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643F4" w14:textId="77777777" w:rsidR="00A13FF9" w:rsidRPr="0013396E" w:rsidRDefault="00A13FF9" w:rsidP="00A13FF9">
      <w:pPr>
        <w:tabs>
          <w:tab w:val="center" w:pos="4680"/>
          <w:tab w:val="left" w:pos="7512"/>
        </w:tabs>
        <w:spacing w:before="2400"/>
        <w:jc w:val="center"/>
        <w:rPr>
          <w:b/>
          <w:sz w:val="36"/>
          <w:szCs w:val="36"/>
        </w:rPr>
      </w:pPr>
      <w:r w:rsidRPr="0013396E">
        <w:rPr>
          <w:b/>
          <w:sz w:val="36"/>
          <w:szCs w:val="36"/>
        </w:rPr>
        <w:t>ERCOT Nodal Protocols</w:t>
      </w:r>
    </w:p>
    <w:p w14:paraId="36D9B425" w14:textId="77777777" w:rsidR="00A13FF9" w:rsidRPr="0013396E" w:rsidRDefault="00A13FF9" w:rsidP="00A13FF9">
      <w:pPr>
        <w:jc w:val="center"/>
        <w:rPr>
          <w:b/>
          <w:sz w:val="36"/>
          <w:szCs w:val="36"/>
        </w:rPr>
      </w:pPr>
    </w:p>
    <w:p w14:paraId="58E0B460" w14:textId="77777777" w:rsidR="00A13FF9" w:rsidRPr="0013396E" w:rsidRDefault="00A13FF9" w:rsidP="00A13FF9">
      <w:pPr>
        <w:jc w:val="center"/>
        <w:rPr>
          <w:b/>
          <w:sz w:val="36"/>
          <w:szCs w:val="36"/>
        </w:rPr>
      </w:pPr>
      <w:r w:rsidRPr="0013396E">
        <w:rPr>
          <w:b/>
          <w:sz w:val="36"/>
          <w:szCs w:val="36"/>
        </w:rPr>
        <w:t xml:space="preserve">Section 6:  Adjustment Period and Real-Time Operations  </w:t>
      </w:r>
    </w:p>
    <w:p w14:paraId="3F74A4E9" w14:textId="77777777" w:rsidR="00A13FF9" w:rsidRPr="0013396E" w:rsidRDefault="00A13FF9" w:rsidP="00A13FF9">
      <w:pPr>
        <w:pStyle w:val="BodyText"/>
        <w:jc w:val="center"/>
        <w:rPr>
          <w:b/>
          <w:szCs w:val="24"/>
        </w:rPr>
      </w:pPr>
    </w:p>
    <w:p w14:paraId="78E756E8" w14:textId="77777777" w:rsidR="00A13FF9" w:rsidRPr="0013396E" w:rsidRDefault="00A13FF9" w:rsidP="00A13FF9">
      <w:pPr>
        <w:pStyle w:val="BodyText"/>
        <w:jc w:val="center"/>
        <w:rPr>
          <w:b/>
          <w:szCs w:val="24"/>
        </w:rPr>
      </w:pPr>
    </w:p>
    <w:p w14:paraId="5DFE016F" w14:textId="0B33E9F5" w:rsidR="00A13FF9" w:rsidRPr="0013396E" w:rsidRDefault="00BD31B0" w:rsidP="00A13FF9">
      <w:pPr>
        <w:pStyle w:val="BodyText"/>
        <w:jc w:val="center"/>
        <w:rPr>
          <w:b/>
          <w:szCs w:val="24"/>
        </w:rPr>
      </w:pPr>
      <w:r>
        <w:rPr>
          <w:b/>
          <w:szCs w:val="24"/>
        </w:rPr>
        <w:t>April 1</w:t>
      </w:r>
      <w:r w:rsidR="00A13FF9" w:rsidRPr="0013396E">
        <w:rPr>
          <w:b/>
          <w:szCs w:val="24"/>
        </w:rPr>
        <w:t>, 20</w:t>
      </w:r>
      <w:r w:rsidR="00ED4C7D" w:rsidRPr="0013396E">
        <w:rPr>
          <w:b/>
          <w:szCs w:val="24"/>
        </w:rPr>
        <w:t>2</w:t>
      </w:r>
      <w:r>
        <w:rPr>
          <w:b/>
          <w:szCs w:val="24"/>
        </w:rPr>
        <w:t>6</w:t>
      </w:r>
      <w:r w:rsidR="00735A77" w:rsidRPr="0013396E">
        <w:rPr>
          <w:b/>
          <w:szCs w:val="24"/>
        </w:rPr>
        <w:t xml:space="preserve"> </w:t>
      </w:r>
    </w:p>
    <w:p w14:paraId="7489E29A" w14:textId="77777777" w:rsidR="00A13FF9" w:rsidRPr="0013396E" w:rsidRDefault="00A13FF9" w:rsidP="00A13FF9">
      <w:pPr>
        <w:tabs>
          <w:tab w:val="left" w:pos="675"/>
        </w:tabs>
        <w:spacing w:before="360"/>
        <w:rPr>
          <w:b/>
          <w:bCs/>
          <w:i/>
          <w:iCs/>
        </w:rPr>
      </w:pPr>
    </w:p>
    <w:p w14:paraId="68C721A2" w14:textId="77777777" w:rsidR="00A13FF9" w:rsidRPr="0013396E" w:rsidRDefault="00A13FF9" w:rsidP="00A13FF9">
      <w:pPr>
        <w:pBdr>
          <w:top w:val="single" w:sz="4" w:space="1" w:color="auto"/>
        </w:pBdr>
      </w:pPr>
    </w:p>
    <w:p w14:paraId="3A622F13" w14:textId="77777777" w:rsidR="00A13FF9" w:rsidRPr="0013396E" w:rsidRDefault="00A13FF9" w:rsidP="00A13FF9">
      <w:pPr>
        <w:pBdr>
          <w:top w:val="single" w:sz="4" w:space="1" w:color="auto"/>
        </w:pBdr>
        <w:sectPr w:rsidR="00A13FF9" w:rsidRPr="0013396E" w:rsidSect="0011669A">
          <w:headerReference w:type="default" r:id="rId8"/>
          <w:footerReference w:type="even" r:id="rId9"/>
          <w:footerReference w:type="default" r:id="rId10"/>
          <w:pgSz w:w="12240" w:h="15840" w:code="1"/>
          <w:pgMar w:top="1440" w:right="1440" w:bottom="1440" w:left="1440" w:header="720" w:footer="720" w:gutter="0"/>
          <w:pgNumType w:start="1"/>
          <w:cols w:space="720"/>
        </w:sectPr>
      </w:pPr>
    </w:p>
    <w:p w14:paraId="33C210FC" w14:textId="39FBC7F7" w:rsidR="00576B1F" w:rsidRDefault="00A1378D">
      <w:pPr>
        <w:pStyle w:val="TOC1"/>
        <w:rPr>
          <w:rFonts w:asciiTheme="minorHAnsi" w:eastAsiaTheme="minorEastAsia" w:hAnsiTheme="minorHAnsi" w:cstheme="minorBidi"/>
          <w:b w:val="0"/>
          <w:bCs w:val="0"/>
          <w:kern w:val="2"/>
          <w:szCs w:val="24"/>
          <w14:ligatures w14:val="standardContextual"/>
        </w:rPr>
      </w:pPr>
      <w:r w:rsidRPr="0013396E">
        <w:rPr>
          <w:sz w:val="20"/>
        </w:rPr>
        <w:lastRenderedPageBreak/>
        <w:fldChar w:fldCharType="begin"/>
      </w:r>
      <w:r w:rsidR="00A13FF9" w:rsidRPr="0013396E">
        <w:rPr>
          <w:sz w:val="20"/>
        </w:rPr>
        <w:instrText xml:space="preserve"> TOC \o "1-5" \h \z \u </w:instrText>
      </w:r>
      <w:r w:rsidRPr="0013396E">
        <w:rPr>
          <w:sz w:val="20"/>
        </w:rPr>
        <w:fldChar w:fldCharType="separate"/>
      </w:r>
      <w:hyperlink w:anchor="_Toc214878855" w:history="1">
        <w:r w:rsidR="00576B1F" w:rsidRPr="0032790F">
          <w:rPr>
            <w:rStyle w:val="Hyperlink"/>
          </w:rPr>
          <w:t>6</w:t>
        </w:r>
        <w:r w:rsidR="00576B1F">
          <w:rPr>
            <w:rFonts w:asciiTheme="minorHAnsi" w:eastAsiaTheme="minorEastAsia" w:hAnsiTheme="minorHAnsi" w:cstheme="minorBidi"/>
            <w:b w:val="0"/>
            <w:bCs w:val="0"/>
            <w:kern w:val="2"/>
            <w:szCs w:val="24"/>
            <w14:ligatures w14:val="standardContextual"/>
          </w:rPr>
          <w:tab/>
        </w:r>
        <w:r w:rsidR="00576B1F" w:rsidRPr="0032790F">
          <w:rPr>
            <w:rStyle w:val="Hyperlink"/>
          </w:rPr>
          <w:t>Adjustment Period and Real-Time Operations</w:t>
        </w:r>
        <w:r w:rsidR="00576B1F">
          <w:rPr>
            <w:webHidden/>
          </w:rPr>
          <w:tab/>
        </w:r>
        <w:r w:rsidR="00576B1F">
          <w:rPr>
            <w:webHidden/>
          </w:rPr>
          <w:fldChar w:fldCharType="begin"/>
        </w:r>
        <w:r w:rsidR="00576B1F">
          <w:rPr>
            <w:webHidden/>
          </w:rPr>
          <w:instrText xml:space="preserve"> PAGEREF _Toc214878855 \h </w:instrText>
        </w:r>
        <w:r w:rsidR="00576B1F">
          <w:rPr>
            <w:webHidden/>
          </w:rPr>
        </w:r>
        <w:r w:rsidR="00576B1F">
          <w:rPr>
            <w:webHidden/>
          </w:rPr>
          <w:fldChar w:fldCharType="separate"/>
        </w:r>
        <w:r w:rsidR="00343E89">
          <w:rPr>
            <w:webHidden/>
          </w:rPr>
          <w:t>6-1</w:t>
        </w:r>
        <w:r w:rsidR="00576B1F">
          <w:rPr>
            <w:webHidden/>
          </w:rPr>
          <w:fldChar w:fldCharType="end"/>
        </w:r>
      </w:hyperlink>
    </w:p>
    <w:p w14:paraId="37126A3D" w14:textId="556DEEC4" w:rsidR="00576B1F" w:rsidRPr="00576B1F" w:rsidRDefault="00576B1F">
      <w:pPr>
        <w:pStyle w:val="TOC2"/>
        <w:rPr>
          <w:rFonts w:eastAsiaTheme="minorEastAsia"/>
          <w:noProof/>
          <w:kern w:val="2"/>
          <w14:ligatures w14:val="standardContextual"/>
        </w:rPr>
      </w:pPr>
      <w:hyperlink w:anchor="_Toc214878856" w:history="1">
        <w:r w:rsidRPr="00576B1F">
          <w:rPr>
            <w:rStyle w:val="Hyperlink"/>
            <w:noProof/>
          </w:rPr>
          <w:t>6.1</w:t>
        </w:r>
        <w:r w:rsidRPr="00576B1F">
          <w:rPr>
            <w:rFonts w:eastAsiaTheme="minorEastAsia"/>
            <w:noProof/>
            <w:kern w:val="2"/>
            <w14:ligatures w14:val="standardContextual"/>
          </w:rPr>
          <w:tab/>
        </w:r>
        <w:r w:rsidRPr="00576B1F">
          <w:rPr>
            <w:rStyle w:val="Hyperlink"/>
            <w:noProof/>
          </w:rPr>
          <w:t>Introduction</w:t>
        </w:r>
        <w:r w:rsidRPr="00576B1F">
          <w:rPr>
            <w:noProof/>
            <w:webHidden/>
          </w:rPr>
          <w:tab/>
        </w:r>
        <w:r w:rsidRPr="00576B1F">
          <w:rPr>
            <w:noProof/>
            <w:webHidden/>
          </w:rPr>
          <w:fldChar w:fldCharType="begin"/>
        </w:r>
        <w:r w:rsidRPr="00576B1F">
          <w:rPr>
            <w:noProof/>
            <w:webHidden/>
          </w:rPr>
          <w:instrText xml:space="preserve"> PAGEREF _Toc214878856 \h </w:instrText>
        </w:r>
        <w:r w:rsidRPr="00576B1F">
          <w:rPr>
            <w:noProof/>
            <w:webHidden/>
          </w:rPr>
        </w:r>
        <w:r w:rsidRPr="00576B1F">
          <w:rPr>
            <w:noProof/>
            <w:webHidden/>
          </w:rPr>
          <w:fldChar w:fldCharType="separate"/>
        </w:r>
        <w:r w:rsidR="00343E89">
          <w:rPr>
            <w:noProof/>
            <w:webHidden/>
          </w:rPr>
          <w:t>6-1</w:t>
        </w:r>
        <w:r w:rsidRPr="00576B1F">
          <w:rPr>
            <w:noProof/>
            <w:webHidden/>
          </w:rPr>
          <w:fldChar w:fldCharType="end"/>
        </w:r>
      </w:hyperlink>
    </w:p>
    <w:p w14:paraId="58828611" w14:textId="3F2D211A" w:rsidR="00576B1F" w:rsidRPr="00576B1F" w:rsidRDefault="00576B1F">
      <w:pPr>
        <w:pStyle w:val="TOC2"/>
        <w:rPr>
          <w:rFonts w:eastAsiaTheme="minorEastAsia"/>
          <w:noProof/>
          <w:kern w:val="2"/>
          <w14:ligatures w14:val="standardContextual"/>
        </w:rPr>
      </w:pPr>
      <w:hyperlink w:anchor="_Toc214878857" w:history="1">
        <w:r w:rsidRPr="00576B1F">
          <w:rPr>
            <w:rStyle w:val="Hyperlink"/>
            <w:noProof/>
          </w:rPr>
          <w:t>6.2</w:t>
        </w:r>
        <w:r w:rsidRPr="00576B1F">
          <w:rPr>
            <w:rFonts w:eastAsiaTheme="minorEastAsia"/>
            <w:noProof/>
            <w:kern w:val="2"/>
            <w14:ligatures w14:val="standardContextual"/>
          </w:rPr>
          <w:tab/>
        </w:r>
        <w:r w:rsidRPr="00576B1F">
          <w:rPr>
            <w:rStyle w:val="Hyperlink"/>
            <w:noProof/>
          </w:rPr>
          <w:t>Market Timeline Summary</w:t>
        </w:r>
        <w:r w:rsidRPr="00576B1F">
          <w:rPr>
            <w:noProof/>
            <w:webHidden/>
          </w:rPr>
          <w:tab/>
        </w:r>
        <w:r w:rsidRPr="00576B1F">
          <w:rPr>
            <w:noProof/>
            <w:webHidden/>
          </w:rPr>
          <w:fldChar w:fldCharType="begin"/>
        </w:r>
        <w:r w:rsidRPr="00576B1F">
          <w:rPr>
            <w:noProof/>
            <w:webHidden/>
          </w:rPr>
          <w:instrText xml:space="preserve"> PAGEREF _Toc214878857 \h </w:instrText>
        </w:r>
        <w:r w:rsidRPr="00576B1F">
          <w:rPr>
            <w:noProof/>
            <w:webHidden/>
          </w:rPr>
        </w:r>
        <w:r w:rsidRPr="00576B1F">
          <w:rPr>
            <w:noProof/>
            <w:webHidden/>
          </w:rPr>
          <w:fldChar w:fldCharType="separate"/>
        </w:r>
        <w:r w:rsidR="00343E89">
          <w:rPr>
            <w:noProof/>
            <w:webHidden/>
          </w:rPr>
          <w:t>6-2</w:t>
        </w:r>
        <w:r w:rsidRPr="00576B1F">
          <w:rPr>
            <w:noProof/>
            <w:webHidden/>
          </w:rPr>
          <w:fldChar w:fldCharType="end"/>
        </w:r>
      </w:hyperlink>
    </w:p>
    <w:p w14:paraId="225E2733" w14:textId="47588FD9" w:rsidR="00576B1F" w:rsidRPr="00576B1F" w:rsidRDefault="00576B1F">
      <w:pPr>
        <w:pStyle w:val="TOC2"/>
        <w:rPr>
          <w:rFonts w:eastAsiaTheme="minorEastAsia"/>
          <w:noProof/>
          <w:kern w:val="2"/>
          <w14:ligatures w14:val="standardContextual"/>
        </w:rPr>
      </w:pPr>
      <w:hyperlink w:anchor="_Toc214878858" w:history="1">
        <w:r w:rsidRPr="00576B1F">
          <w:rPr>
            <w:rStyle w:val="Hyperlink"/>
            <w:noProof/>
          </w:rPr>
          <w:t>6.3</w:t>
        </w:r>
        <w:r w:rsidRPr="00576B1F">
          <w:rPr>
            <w:rFonts w:eastAsiaTheme="minorEastAsia"/>
            <w:noProof/>
            <w:kern w:val="2"/>
            <w14:ligatures w14:val="standardContextual"/>
          </w:rPr>
          <w:tab/>
        </w:r>
        <w:r w:rsidRPr="00576B1F">
          <w:rPr>
            <w:rStyle w:val="Hyperlink"/>
            <w:noProof/>
          </w:rPr>
          <w:t>Adjustment Period and Real-Time Operations Timeline</w:t>
        </w:r>
        <w:r w:rsidRPr="00576B1F">
          <w:rPr>
            <w:noProof/>
            <w:webHidden/>
          </w:rPr>
          <w:tab/>
        </w:r>
        <w:r w:rsidRPr="00576B1F">
          <w:rPr>
            <w:noProof/>
            <w:webHidden/>
          </w:rPr>
          <w:fldChar w:fldCharType="begin"/>
        </w:r>
        <w:r w:rsidRPr="00576B1F">
          <w:rPr>
            <w:noProof/>
            <w:webHidden/>
          </w:rPr>
          <w:instrText xml:space="preserve"> PAGEREF _Toc214878858 \h </w:instrText>
        </w:r>
        <w:r w:rsidRPr="00576B1F">
          <w:rPr>
            <w:noProof/>
            <w:webHidden/>
          </w:rPr>
        </w:r>
        <w:r w:rsidRPr="00576B1F">
          <w:rPr>
            <w:noProof/>
            <w:webHidden/>
          </w:rPr>
          <w:fldChar w:fldCharType="separate"/>
        </w:r>
        <w:r w:rsidR="00343E89">
          <w:rPr>
            <w:noProof/>
            <w:webHidden/>
          </w:rPr>
          <w:t>6-3</w:t>
        </w:r>
        <w:r w:rsidRPr="00576B1F">
          <w:rPr>
            <w:noProof/>
            <w:webHidden/>
          </w:rPr>
          <w:fldChar w:fldCharType="end"/>
        </w:r>
      </w:hyperlink>
    </w:p>
    <w:p w14:paraId="11128E05" w14:textId="4BA73660" w:rsidR="00576B1F" w:rsidRPr="00576B1F" w:rsidRDefault="00576B1F">
      <w:pPr>
        <w:pStyle w:val="TOC3"/>
        <w:rPr>
          <w:rFonts w:eastAsiaTheme="minorEastAsia"/>
          <w:i w:val="0"/>
          <w:iCs w:val="0"/>
          <w:kern w:val="2"/>
          <w14:ligatures w14:val="standardContextual"/>
        </w:rPr>
      </w:pPr>
      <w:hyperlink w:anchor="_Toc214878859" w:history="1">
        <w:r w:rsidRPr="00576B1F">
          <w:rPr>
            <w:rStyle w:val="Hyperlink"/>
            <w:i w:val="0"/>
            <w:iCs w:val="0"/>
          </w:rPr>
          <w:t>6.3.1</w:t>
        </w:r>
        <w:r w:rsidRPr="00576B1F">
          <w:rPr>
            <w:rFonts w:eastAsiaTheme="minorEastAsia"/>
            <w:i w:val="0"/>
            <w:iCs w:val="0"/>
            <w:kern w:val="2"/>
            <w14:ligatures w14:val="standardContextual"/>
          </w:rPr>
          <w:tab/>
        </w:r>
        <w:r w:rsidRPr="00576B1F">
          <w:rPr>
            <w:rStyle w:val="Hyperlink"/>
            <w:i w:val="0"/>
            <w:iCs w:val="0"/>
          </w:rPr>
          <w:t>Activities for the Adjustment Period</w:t>
        </w:r>
        <w:r w:rsidRPr="00576B1F">
          <w:rPr>
            <w:i w:val="0"/>
            <w:iCs w:val="0"/>
            <w:webHidden/>
          </w:rPr>
          <w:tab/>
        </w:r>
        <w:r w:rsidRPr="00576B1F">
          <w:rPr>
            <w:i w:val="0"/>
            <w:iCs w:val="0"/>
            <w:webHidden/>
          </w:rPr>
          <w:fldChar w:fldCharType="begin"/>
        </w:r>
        <w:r w:rsidRPr="00576B1F">
          <w:rPr>
            <w:i w:val="0"/>
            <w:iCs w:val="0"/>
            <w:webHidden/>
          </w:rPr>
          <w:instrText xml:space="preserve"> PAGEREF _Toc214878859 \h </w:instrText>
        </w:r>
        <w:r w:rsidRPr="00576B1F">
          <w:rPr>
            <w:i w:val="0"/>
            <w:iCs w:val="0"/>
            <w:webHidden/>
          </w:rPr>
        </w:r>
        <w:r w:rsidRPr="00576B1F">
          <w:rPr>
            <w:i w:val="0"/>
            <w:iCs w:val="0"/>
            <w:webHidden/>
          </w:rPr>
          <w:fldChar w:fldCharType="separate"/>
        </w:r>
        <w:r w:rsidR="00343E89">
          <w:rPr>
            <w:i w:val="0"/>
            <w:iCs w:val="0"/>
            <w:webHidden/>
          </w:rPr>
          <w:t>6-6</w:t>
        </w:r>
        <w:r w:rsidRPr="00576B1F">
          <w:rPr>
            <w:i w:val="0"/>
            <w:iCs w:val="0"/>
            <w:webHidden/>
          </w:rPr>
          <w:fldChar w:fldCharType="end"/>
        </w:r>
      </w:hyperlink>
    </w:p>
    <w:p w14:paraId="0FDF1C07" w14:textId="201FB2AB" w:rsidR="00576B1F" w:rsidRPr="00576B1F" w:rsidRDefault="00576B1F">
      <w:pPr>
        <w:pStyle w:val="TOC3"/>
        <w:rPr>
          <w:rFonts w:eastAsiaTheme="minorEastAsia"/>
          <w:i w:val="0"/>
          <w:iCs w:val="0"/>
          <w:kern w:val="2"/>
          <w14:ligatures w14:val="standardContextual"/>
        </w:rPr>
      </w:pPr>
      <w:hyperlink w:anchor="_Toc214878860" w:history="1">
        <w:r w:rsidRPr="00576B1F">
          <w:rPr>
            <w:rStyle w:val="Hyperlink"/>
            <w:i w:val="0"/>
            <w:iCs w:val="0"/>
          </w:rPr>
          <w:t>6.3.2</w:t>
        </w:r>
        <w:r w:rsidRPr="00576B1F">
          <w:rPr>
            <w:rFonts w:eastAsiaTheme="minorEastAsia"/>
            <w:i w:val="0"/>
            <w:iCs w:val="0"/>
            <w:kern w:val="2"/>
            <w14:ligatures w14:val="standardContextual"/>
          </w:rPr>
          <w:tab/>
        </w:r>
        <w:r w:rsidRPr="00576B1F">
          <w:rPr>
            <w:rStyle w:val="Hyperlink"/>
            <w:i w:val="0"/>
            <w:iCs w:val="0"/>
          </w:rPr>
          <w:t>Activities for Real-Time Operations</w:t>
        </w:r>
        <w:r w:rsidRPr="00576B1F">
          <w:rPr>
            <w:i w:val="0"/>
            <w:iCs w:val="0"/>
            <w:webHidden/>
          </w:rPr>
          <w:tab/>
        </w:r>
        <w:r w:rsidRPr="00576B1F">
          <w:rPr>
            <w:i w:val="0"/>
            <w:iCs w:val="0"/>
            <w:webHidden/>
          </w:rPr>
          <w:fldChar w:fldCharType="begin"/>
        </w:r>
        <w:r w:rsidRPr="00576B1F">
          <w:rPr>
            <w:i w:val="0"/>
            <w:iCs w:val="0"/>
            <w:webHidden/>
          </w:rPr>
          <w:instrText xml:space="preserve"> PAGEREF _Toc214878860 \h </w:instrText>
        </w:r>
        <w:r w:rsidRPr="00576B1F">
          <w:rPr>
            <w:i w:val="0"/>
            <w:iCs w:val="0"/>
            <w:webHidden/>
          </w:rPr>
        </w:r>
        <w:r w:rsidRPr="00576B1F">
          <w:rPr>
            <w:i w:val="0"/>
            <w:iCs w:val="0"/>
            <w:webHidden/>
          </w:rPr>
          <w:fldChar w:fldCharType="separate"/>
        </w:r>
        <w:r w:rsidR="00343E89">
          <w:rPr>
            <w:i w:val="0"/>
            <w:iCs w:val="0"/>
            <w:webHidden/>
          </w:rPr>
          <w:t>6-8</w:t>
        </w:r>
        <w:r w:rsidRPr="00576B1F">
          <w:rPr>
            <w:i w:val="0"/>
            <w:iCs w:val="0"/>
            <w:webHidden/>
          </w:rPr>
          <w:fldChar w:fldCharType="end"/>
        </w:r>
      </w:hyperlink>
    </w:p>
    <w:p w14:paraId="7D42F395" w14:textId="09587CD4" w:rsidR="00576B1F" w:rsidRPr="00576B1F" w:rsidRDefault="00576B1F">
      <w:pPr>
        <w:pStyle w:val="TOC3"/>
        <w:rPr>
          <w:rFonts w:eastAsiaTheme="minorEastAsia"/>
          <w:i w:val="0"/>
          <w:iCs w:val="0"/>
          <w:kern w:val="2"/>
          <w14:ligatures w14:val="standardContextual"/>
        </w:rPr>
      </w:pPr>
      <w:hyperlink w:anchor="_Toc214878861" w:history="1">
        <w:r w:rsidRPr="00576B1F">
          <w:rPr>
            <w:rStyle w:val="Hyperlink"/>
            <w:i w:val="0"/>
            <w:iCs w:val="0"/>
          </w:rPr>
          <w:t>6.3.3</w:t>
        </w:r>
        <w:r w:rsidRPr="00576B1F">
          <w:rPr>
            <w:rFonts w:eastAsiaTheme="minorEastAsia"/>
            <w:i w:val="0"/>
            <w:iCs w:val="0"/>
            <w:kern w:val="2"/>
            <w14:ligatures w14:val="standardContextual"/>
          </w:rPr>
          <w:tab/>
        </w:r>
        <w:r w:rsidRPr="00576B1F">
          <w:rPr>
            <w:rStyle w:val="Hyperlink"/>
            <w:i w:val="0"/>
            <w:iCs w:val="0"/>
          </w:rPr>
          <w:t>Real-Time Timeline Deviations</w:t>
        </w:r>
        <w:r w:rsidRPr="00576B1F">
          <w:rPr>
            <w:i w:val="0"/>
            <w:iCs w:val="0"/>
            <w:webHidden/>
          </w:rPr>
          <w:tab/>
        </w:r>
        <w:r w:rsidRPr="00576B1F">
          <w:rPr>
            <w:i w:val="0"/>
            <w:iCs w:val="0"/>
            <w:webHidden/>
          </w:rPr>
          <w:fldChar w:fldCharType="begin"/>
        </w:r>
        <w:r w:rsidRPr="00576B1F">
          <w:rPr>
            <w:i w:val="0"/>
            <w:iCs w:val="0"/>
            <w:webHidden/>
          </w:rPr>
          <w:instrText xml:space="preserve"> PAGEREF _Toc214878861 \h </w:instrText>
        </w:r>
        <w:r w:rsidRPr="00576B1F">
          <w:rPr>
            <w:i w:val="0"/>
            <w:iCs w:val="0"/>
            <w:webHidden/>
          </w:rPr>
        </w:r>
        <w:r w:rsidRPr="00576B1F">
          <w:rPr>
            <w:i w:val="0"/>
            <w:iCs w:val="0"/>
            <w:webHidden/>
          </w:rPr>
          <w:fldChar w:fldCharType="separate"/>
        </w:r>
        <w:r w:rsidR="00343E89">
          <w:rPr>
            <w:i w:val="0"/>
            <w:iCs w:val="0"/>
            <w:webHidden/>
          </w:rPr>
          <w:t>6-17</w:t>
        </w:r>
        <w:r w:rsidRPr="00576B1F">
          <w:rPr>
            <w:i w:val="0"/>
            <w:iCs w:val="0"/>
            <w:webHidden/>
          </w:rPr>
          <w:fldChar w:fldCharType="end"/>
        </w:r>
      </w:hyperlink>
    </w:p>
    <w:p w14:paraId="0C87A06E" w14:textId="42ADD57D" w:rsidR="00576B1F" w:rsidRPr="00576B1F" w:rsidRDefault="00576B1F">
      <w:pPr>
        <w:pStyle w:val="TOC3"/>
        <w:rPr>
          <w:rFonts w:eastAsiaTheme="minorEastAsia"/>
          <w:i w:val="0"/>
          <w:iCs w:val="0"/>
          <w:kern w:val="2"/>
          <w14:ligatures w14:val="standardContextual"/>
        </w:rPr>
      </w:pPr>
      <w:hyperlink w:anchor="_Toc214878862" w:history="1">
        <w:r w:rsidRPr="00576B1F">
          <w:rPr>
            <w:rStyle w:val="Hyperlink"/>
            <w:i w:val="0"/>
            <w:iCs w:val="0"/>
          </w:rPr>
          <w:t>6.3.4</w:t>
        </w:r>
        <w:r w:rsidRPr="00576B1F">
          <w:rPr>
            <w:rFonts w:eastAsiaTheme="minorEastAsia"/>
            <w:i w:val="0"/>
            <w:iCs w:val="0"/>
            <w:kern w:val="2"/>
            <w14:ligatures w14:val="standardContextual"/>
          </w:rPr>
          <w:tab/>
        </w:r>
        <w:r w:rsidRPr="00576B1F">
          <w:rPr>
            <w:rStyle w:val="Hyperlink"/>
            <w:i w:val="0"/>
            <w:iCs w:val="0"/>
          </w:rPr>
          <w:t>ERCOT Notification of Validation Rules for Real-Time</w:t>
        </w:r>
        <w:r w:rsidRPr="00576B1F">
          <w:rPr>
            <w:i w:val="0"/>
            <w:iCs w:val="0"/>
            <w:webHidden/>
          </w:rPr>
          <w:tab/>
        </w:r>
        <w:r w:rsidRPr="00576B1F">
          <w:rPr>
            <w:i w:val="0"/>
            <w:iCs w:val="0"/>
            <w:webHidden/>
          </w:rPr>
          <w:fldChar w:fldCharType="begin"/>
        </w:r>
        <w:r w:rsidRPr="00576B1F">
          <w:rPr>
            <w:i w:val="0"/>
            <w:iCs w:val="0"/>
            <w:webHidden/>
          </w:rPr>
          <w:instrText xml:space="preserve"> PAGEREF _Toc214878862 \h </w:instrText>
        </w:r>
        <w:r w:rsidRPr="00576B1F">
          <w:rPr>
            <w:i w:val="0"/>
            <w:iCs w:val="0"/>
            <w:webHidden/>
          </w:rPr>
        </w:r>
        <w:r w:rsidRPr="00576B1F">
          <w:rPr>
            <w:i w:val="0"/>
            <w:iCs w:val="0"/>
            <w:webHidden/>
          </w:rPr>
          <w:fldChar w:fldCharType="separate"/>
        </w:r>
        <w:r w:rsidR="00343E89">
          <w:rPr>
            <w:i w:val="0"/>
            <w:iCs w:val="0"/>
            <w:webHidden/>
          </w:rPr>
          <w:t>6-17</w:t>
        </w:r>
        <w:r w:rsidRPr="00576B1F">
          <w:rPr>
            <w:i w:val="0"/>
            <w:iCs w:val="0"/>
            <w:webHidden/>
          </w:rPr>
          <w:fldChar w:fldCharType="end"/>
        </w:r>
      </w:hyperlink>
    </w:p>
    <w:p w14:paraId="4A2254D5" w14:textId="323F0C83" w:rsidR="00576B1F" w:rsidRPr="00576B1F" w:rsidRDefault="00576B1F">
      <w:pPr>
        <w:pStyle w:val="TOC2"/>
        <w:rPr>
          <w:rFonts w:eastAsiaTheme="minorEastAsia"/>
          <w:noProof/>
          <w:kern w:val="2"/>
          <w14:ligatures w14:val="standardContextual"/>
        </w:rPr>
      </w:pPr>
      <w:hyperlink w:anchor="_Toc214878863" w:history="1">
        <w:r w:rsidRPr="00576B1F">
          <w:rPr>
            <w:rStyle w:val="Hyperlink"/>
            <w:noProof/>
          </w:rPr>
          <w:t>6.4</w:t>
        </w:r>
        <w:r w:rsidRPr="00576B1F">
          <w:rPr>
            <w:rFonts w:eastAsiaTheme="minorEastAsia"/>
            <w:noProof/>
            <w:kern w:val="2"/>
            <w14:ligatures w14:val="standardContextual"/>
          </w:rPr>
          <w:tab/>
        </w:r>
        <w:r w:rsidRPr="00576B1F">
          <w:rPr>
            <w:rStyle w:val="Hyperlink"/>
            <w:noProof/>
          </w:rPr>
          <w:t>Adjustment Period</w:t>
        </w:r>
        <w:r w:rsidRPr="00576B1F">
          <w:rPr>
            <w:noProof/>
            <w:webHidden/>
          </w:rPr>
          <w:tab/>
        </w:r>
        <w:r w:rsidRPr="00576B1F">
          <w:rPr>
            <w:noProof/>
            <w:webHidden/>
          </w:rPr>
          <w:fldChar w:fldCharType="begin"/>
        </w:r>
        <w:r w:rsidRPr="00576B1F">
          <w:rPr>
            <w:noProof/>
            <w:webHidden/>
          </w:rPr>
          <w:instrText xml:space="preserve"> PAGEREF _Toc214878863 \h </w:instrText>
        </w:r>
        <w:r w:rsidRPr="00576B1F">
          <w:rPr>
            <w:noProof/>
            <w:webHidden/>
          </w:rPr>
        </w:r>
        <w:r w:rsidRPr="00576B1F">
          <w:rPr>
            <w:noProof/>
            <w:webHidden/>
          </w:rPr>
          <w:fldChar w:fldCharType="separate"/>
        </w:r>
        <w:r w:rsidR="00343E89">
          <w:rPr>
            <w:noProof/>
            <w:webHidden/>
          </w:rPr>
          <w:t>6-17</w:t>
        </w:r>
        <w:r w:rsidRPr="00576B1F">
          <w:rPr>
            <w:noProof/>
            <w:webHidden/>
          </w:rPr>
          <w:fldChar w:fldCharType="end"/>
        </w:r>
      </w:hyperlink>
    </w:p>
    <w:p w14:paraId="221D440D" w14:textId="06CB41E5" w:rsidR="00576B1F" w:rsidRPr="00576B1F" w:rsidRDefault="00576B1F">
      <w:pPr>
        <w:pStyle w:val="TOC3"/>
        <w:rPr>
          <w:rFonts w:eastAsiaTheme="minorEastAsia"/>
          <w:i w:val="0"/>
          <w:iCs w:val="0"/>
          <w:kern w:val="2"/>
          <w14:ligatures w14:val="standardContextual"/>
        </w:rPr>
      </w:pPr>
      <w:hyperlink w:anchor="_Toc214878864" w:history="1">
        <w:r w:rsidRPr="00576B1F">
          <w:rPr>
            <w:rStyle w:val="Hyperlink"/>
            <w:i w:val="0"/>
            <w:iCs w:val="0"/>
          </w:rPr>
          <w:t>6.4.1</w:t>
        </w:r>
        <w:r w:rsidRPr="00576B1F">
          <w:rPr>
            <w:rFonts w:eastAsiaTheme="minorEastAsia"/>
            <w:i w:val="0"/>
            <w:iCs w:val="0"/>
            <w:kern w:val="2"/>
            <w14:ligatures w14:val="standardContextual"/>
          </w:rPr>
          <w:tab/>
        </w:r>
        <w:r w:rsidRPr="00576B1F">
          <w:rPr>
            <w:rStyle w:val="Hyperlink"/>
            <w:i w:val="0"/>
            <w:iCs w:val="0"/>
          </w:rPr>
          <w:t>Capacity Trade, Energy Trade, Self-Schedule, and Ancillary Service Trades</w:t>
        </w:r>
        <w:r w:rsidRPr="00576B1F">
          <w:rPr>
            <w:i w:val="0"/>
            <w:iCs w:val="0"/>
            <w:webHidden/>
          </w:rPr>
          <w:tab/>
        </w:r>
        <w:r w:rsidRPr="00576B1F">
          <w:rPr>
            <w:i w:val="0"/>
            <w:iCs w:val="0"/>
            <w:webHidden/>
          </w:rPr>
          <w:fldChar w:fldCharType="begin"/>
        </w:r>
        <w:r w:rsidRPr="00576B1F">
          <w:rPr>
            <w:i w:val="0"/>
            <w:iCs w:val="0"/>
            <w:webHidden/>
          </w:rPr>
          <w:instrText xml:space="preserve"> PAGEREF _Toc214878864 \h </w:instrText>
        </w:r>
        <w:r w:rsidRPr="00576B1F">
          <w:rPr>
            <w:i w:val="0"/>
            <w:iCs w:val="0"/>
            <w:webHidden/>
          </w:rPr>
        </w:r>
        <w:r w:rsidRPr="00576B1F">
          <w:rPr>
            <w:i w:val="0"/>
            <w:iCs w:val="0"/>
            <w:webHidden/>
          </w:rPr>
          <w:fldChar w:fldCharType="separate"/>
        </w:r>
        <w:r w:rsidR="00343E89">
          <w:rPr>
            <w:i w:val="0"/>
            <w:iCs w:val="0"/>
            <w:webHidden/>
          </w:rPr>
          <w:t>6-17</w:t>
        </w:r>
        <w:r w:rsidRPr="00576B1F">
          <w:rPr>
            <w:i w:val="0"/>
            <w:iCs w:val="0"/>
            <w:webHidden/>
          </w:rPr>
          <w:fldChar w:fldCharType="end"/>
        </w:r>
      </w:hyperlink>
    </w:p>
    <w:p w14:paraId="57C863F0" w14:textId="081505AD" w:rsidR="00576B1F" w:rsidRPr="00576B1F" w:rsidRDefault="00576B1F">
      <w:pPr>
        <w:pStyle w:val="TOC3"/>
        <w:rPr>
          <w:rFonts w:eastAsiaTheme="minorEastAsia"/>
          <w:i w:val="0"/>
          <w:iCs w:val="0"/>
          <w:kern w:val="2"/>
          <w14:ligatures w14:val="standardContextual"/>
        </w:rPr>
      </w:pPr>
      <w:hyperlink w:anchor="_Toc214878865" w:history="1">
        <w:r w:rsidRPr="00576B1F">
          <w:rPr>
            <w:rStyle w:val="Hyperlink"/>
            <w:i w:val="0"/>
            <w:iCs w:val="0"/>
          </w:rPr>
          <w:t>6.4.2</w:t>
        </w:r>
        <w:r w:rsidRPr="00576B1F">
          <w:rPr>
            <w:rFonts w:eastAsiaTheme="minorEastAsia"/>
            <w:i w:val="0"/>
            <w:iCs w:val="0"/>
            <w:kern w:val="2"/>
            <w14:ligatures w14:val="standardContextual"/>
          </w:rPr>
          <w:tab/>
        </w:r>
        <w:r w:rsidRPr="00576B1F">
          <w:rPr>
            <w:rStyle w:val="Hyperlink"/>
            <w:i w:val="0"/>
            <w:iCs w:val="0"/>
          </w:rPr>
          <w:t>Output Schedules</w:t>
        </w:r>
        <w:r w:rsidRPr="00576B1F">
          <w:rPr>
            <w:i w:val="0"/>
            <w:iCs w:val="0"/>
            <w:webHidden/>
          </w:rPr>
          <w:tab/>
        </w:r>
        <w:r w:rsidRPr="00576B1F">
          <w:rPr>
            <w:i w:val="0"/>
            <w:iCs w:val="0"/>
            <w:webHidden/>
          </w:rPr>
          <w:fldChar w:fldCharType="begin"/>
        </w:r>
        <w:r w:rsidRPr="00576B1F">
          <w:rPr>
            <w:i w:val="0"/>
            <w:iCs w:val="0"/>
            <w:webHidden/>
          </w:rPr>
          <w:instrText xml:space="preserve"> PAGEREF _Toc214878865 \h </w:instrText>
        </w:r>
        <w:r w:rsidRPr="00576B1F">
          <w:rPr>
            <w:i w:val="0"/>
            <w:iCs w:val="0"/>
            <w:webHidden/>
          </w:rPr>
        </w:r>
        <w:r w:rsidRPr="00576B1F">
          <w:rPr>
            <w:i w:val="0"/>
            <w:iCs w:val="0"/>
            <w:webHidden/>
          </w:rPr>
          <w:fldChar w:fldCharType="separate"/>
        </w:r>
        <w:r w:rsidR="00343E89">
          <w:rPr>
            <w:i w:val="0"/>
            <w:iCs w:val="0"/>
            <w:webHidden/>
          </w:rPr>
          <w:t>6-18</w:t>
        </w:r>
        <w:r w:rsidRPr="00576B1F">
          <w:rPr>
            <w:i w:val="0"/>
            <w:iCs w:val="0"/>
            <w:webHidden/>
          </w:rPr>
          <w:fldChar w:fldCharType="end"/>
        </w:r>
      </w:hyperlink>
    </w:p>
    <w:p w14:paraId="3DAED763" w14:textId="4058A1BE" w:rsidR="00576B1F" w:rsidRPr="00576B1F" w:rsidRDefault="00576B1F">
      <w:pPr>
        <w:pStyle w:val="TOC4"/>
        <w:rPr>
          <w:rFonts w:eastAsiaTheme="minorEastAsia"/>
          <w:kern w:val="2"/>
          <w:lang w:val="en-US"/>
          <w14:ligatures w14:val="standardContextual"/>
        </w:rPr>
      </w:pPr>
      <w:hyperlink w:anchor="_Toc214878866" w:history="1">
        <w:r w:rsidRPr="00576B1F">
          <w:rPr>
            <w:rStyle w:val="Hyperlink"/>
          </w:rPr>
          <w:t>6.4.2.1</w:t>
        </w:r>
        <w:r w:rsidRPr="00576B1F">
          <w:rPr>
            <w:rFonts w:eastAsiaTheme="minorEastAsia"/>
            <w:kern w:val="2"/>
            <w:lang w:val="en-US"/>
            <w14:ligatures w14:val="standardContextual"/>
          </w:rPr>
          <w:tab/>
        </w:r>
        <w:r w:rsidRPr="00576B1F">
          <w:rPr>
            <w:rStyle w:val="Hyperlink"/>
          </w:rPr>
          <w:t>Output Schedules for Resources</w:t>
        </w:r>
        <w:r w:rsidRPr="00576B1F">
          <w:rPr>
            <w:webHidden/>
          </w:rPr>
          <w:tab/>
        </w:r>
        <w:r w:rsidRPr="00576B1F">
          <w:rPr>
            <w:webHidden/>
          </w:rPr>
          <w:fldChar w:fldCharType="begin"/>
        </w:r>
        <w:r w:rsidRPr="00576B1F">
          <w:rPr>
            <w:webHidden/>
          </w:rPr>
          <w:instrText xml:space="preserve"> PAGEREF _Toc214878866 \h </w:instrText>
        </w:r>
        <w:r w:rsidRPr="00576B1F">
          <w:rPr>
            <w:webHidden/>
          </w:rPr>
        </w:r>
        <w:r w:rsidRPr="00576B1F">
          <w:rPr>
            <w:webHidden/>
          </w:rPr>
          <w:fldChar w:fldCharType="separate"/>
        </w:r>
        <w:r w:rsidR="00343E89">
          <w:rPr>
            <w:webHidden/>
          </w:rPr>
          <w:t>6-18</w:t>
        </w:r>
        <w:r w:rsidRPr="00576B1F">
          <w:rPr>
            <w:webHidden/>
          </w:rPr>
          <w:fldChar w:fldCharType="end"/>
        </w:r>
      </w:hyperlink>
    </w:p>
    <w:p w14:paraId="7789CBB3" w14:textId="059F714C" w:rsidR="00576B1F" w:rsidRPr="00576B1F" w:rsidRDefault="00576B1F">
      <w:pPr>
        <w:pStyle w:val="TOC4"/>
        <w:rPr>
          <w:rFonts w:eastAsiaTheme="minorEastAsia"/>
          <w:kern w:val="2"/>
          <w:lang w:val="en-US"/>
          <w14:ligatures w14:val="standardContextual"/>
        </w:rPr>
      </w:pPr>
      <w:hyperlink w:anchor="_Toc214878867" w:history="1">
        <w:r w:rsidRPr="00576B1F">
          <w:rPr>
            <w:rStyle w:val="Hyperlink"/>
          </w:rPr>
          <w:t>6.4.2.2</w:t>
        </w:r>
        <w:r w:rsidRPr="00576B1F">
          <w:rPr>
            <w:rFonts w:eastAsiaTheme="minorEastAsia"/>
            <w:kern w:val="2"/>
            <w:lang w:val="en-US"/>
            <w14:ligatures w14:val="standardContextual"/>
          </w:rPr>
          <w:tab/>
        </w:r>
        <w:r w:rsidRPr="00576B1F">
          <w:rPr>
            <w:rStyle w:val="Hyperlink"/>
          </w:rPr>
          <w:t>Output Schedule Criteria</w:t>
        </w:r>
        <w:r w:rsidRPr="00576B1F">
          <w:rPr>
            <w:webHidden/>
          </w:rPr>
          <w:tab/>
        </w:r>
        <w:r w:rsidRPr="00576B1F">
          <w:rPr>
            <w:webHidden/>
          </w:rPr>
          <w:fldChar w:fldCharType="begin"/>
        </w:r>
        <w:r w:rsidRPr="00576B1F">
          <w:rPr>
            <w:webHidden/>
          </w:rPr>
          <w:instrText xml:space="preserve"> PAGEREF _Toc214878867 \h </w:instrText>
        </w:r>
        <w:r w:rsidRPr="00576B1F">
          <w:rPr>
            <w:webHidden/>
          </w:rPr>
        </w:r>
        <w:r w:rsidRPr="00576B1F">
          <w:rPr>
            <w:webHidden/>
          </w:rPr>
          <w:fldChar w:fldCharType="separate"/>
        </w:r>
        <w:r w:rsidR="00343E89">
          <w:rPr>
            <w:webHidden/>
          </w:rPr>
          <w:t>6-18</w:t>
        </w:r>
        <w:r w:rsidRPr="00576B1F">
          <w:rPr>
            <w:webHidden/>
          </w:rPr>
          <w:fldChar w:fldCharType="end"/>
        </w:r>
      </w:hyperlink>
    </w:p>
    <w:p w14:paraId="7C5890F4" w14:textId="087E063B" w:rsidR="00576B1F" w:rsidRPr="00576B1F" w:rsidRDefault="00576B1F">
      <w:pPr>
        <w:pStyle w:val="TOC4"/>
        <w:rPr>
          <w:rFonts w:eastAsiaTheme="minorEastAsia"/>
          <w:kern w:val="2"/>
          <w:lang w:val="en-US"/>
          <w14:ligatures w14:val="standardContextual"/>
        </w:rPr>
      </w:pPr>
      <w:hyperlink w:anchor="_Toc214878868" w:history="1">
        <w:r w:rsidRPr="00576B1F">
          <w:rPr>
            <w:rStyle w:val="Hyperlink"/>
          </w:rPr>
          <w:t>6.4.2.3</w:t>
        </w:r>
        <w:r w:rsidRPr="00576B1F">
          <w:rPr>
            <w:rFonts w:eastAsiaTheme="minorEastAsia"/>
            <w:kern w:val="2"/>
            <w:lang w:val="en-US"/>
            <w14:ligatures w14:val="standardContextual"/>
          </w:rPr>
          <w:tab/>
        </w:r>
        <w:r w:rsidRPr="00576B1F">
          <w:rPr>
            <w:rStyle w:val="Hyperlink"/>
          </w:rPr>
          <w:t>Output Schedule Validation</w:t>
        </w:r>
        <w:r w:rsidRPr="00576B1F">
          <w:rPr>
            <w:webHidden/>
          </w:rPr>
          <w:tab/>
        </w:r>
        <w:r w:rsidRPr="00576B1F">
          <w:rPr>
            <w:webHidden/>
          </w:rPr>
          <w:fldChar w:fldCharType="begin"/>
        </w:r>
        <w:r w:rsidRPr="00576B1F">
          <w:rPr>
            <w:webHidden/>
          </w:rPr>
          <w:instrText xml:space="preserve"> PAGEREF _Toc214878868 \h </w:instrText>
        </w:r>
        <w:r w:rsidRPr="00576B1F">
          <w:rPr>
            <w:webHidden/>
          </w:rPr>
        </w:r>
        <w:r w:rsidRPr="00576B1F">
          <w:rPr>
            <w:webHidden/>
          </w:rPr>
          <w:fldChar w:fldCharType="separate"/>
        </w:r>
        <w:r w:rsidR="00343E89">
          <w:rPr>
            <w:webHidden/>
          </w:rPr>
          <w:t>6-19</w:t>
        </w:r>
        <w:r w:rsidRPr="00576B1F">
          <w:rPr>
            <w:webHidden/>
          </w:rPr>
          <w:fldChar w:fldCharType="end"/>
        </w:r>
      </w:hyperlink>
    </w:p>
    <w:p w14:paraId="6CBDD574" w14:textId="12CBC220" w:rsidR="00576B1F" w:rsidRPr="00576B1F" w:rsidRDefault="00576B1F">
      <w:pPr>
        <w:pStyle w:val="TOC3"/>
        <w:rPr>
          <w:rFonts w:eastAsiaTheme="minorEastAsia"/>
          <w:i w:val="0"/>
          <w:iCs w:val="0"/>
          <w:kern w:val="2"/>
          <w14:ligatures w14:val="standardContextual"/>
        </w:rPr>
      </w:pPr>
      <w:hyperlink w:anchor="_Toc214878869" w:history="1">
        <w:r w:rsidRPr="00576B1F">
          <w:rPr>
            <w:rStyle w:val="Hyperlink"/>
            <w:i w:val="0"/>
            <w:iCs w:val="0"/>
          </w:rPr>
          <w:t>6.4.3</w:t>
        </w:r>
        <w:r w:rsidRPr="00576B1F">
          <w:rPr>
            <w:rFonts w:eastAsiaTheme="minorEastAsia"/>
            <w:i w:val="0"/>
            <w:iCs w:val="0"/>
            <w:kern w:val="2"/>
            <w14:ligatures w14:val="standardContextual"/>
          </w:rPr>
          <w:tab/>
        </w:r>
        <w:r w:rsidRPr="00576B1F">
          <w:rPr>
            <w:rStyle w:val="Hyperlink"/>
            <w:i w:val="0"/>
            <w:iCs w:val="0"/>
          </w:rPr>
          <w:t>Real-Time Market (RTM) Energy Bids and Offers</w:t>
        </w:r>
        <w:r w:rsidRPr="00576B1F">
          <w:rPr>
            <w:i w:val="0"/>
            <w:iCs w:val="0"/>
            <w:webHidden/>
          </w:rPr>
          <w:tab/>
        </w:r>
        <w:r w:rsidRPr="00576B1F">
          <w:rPr>
            <w:i w:val="0"/>
            <w:iCs w:val="0"/>
            <w:webHidden/>
          </w:rPr>
          <w:fldChar w:fldCharType="begin"/>
        </w:r>
        <w:r w:rsidRPr="00576B1F">
          <w:rPr>
            <w:i w:val="0"/>
            <w:iCs w:val="0"/>
            <w:webHidden/>
          </w:rPr>
          <w:instrText xml:space="preserve"> PAGEREF _Toc214878869 \h </w:instrText>
        </w:r>
        <w:r w:rsidRPr="00576B1F">
          <w:rPr>
            <w:i w:val="0"/>
            <w:iCs w:val="0"/>
            <w:webHidden/>
          </w:rPr>
        </w:r>
        <w:r w:rsidRPr="00576B1F">
          <w:rPr>
            <w:i w:val="0"/>
            <w:iCs w:val="0"/>
            <w:webHidden/>
          </w:rPr>
          <w:fldChar w:fldCharType="separate"/>
        </w:r>
        <w:r w:rsidR="00343E89">
          <w:rPr>
            <w:i w:val="0"/>
            <w:iCs w:val="0"/>
            <w:webHidden/>
          </w:rPr>
          <w:t>6-19</w:t>
        </w:r>
        <w:r w:rsidRPr="00576B1F">
          <w:rPr>
            <w:i w:val="0"/>
            <w:iCs w:val="0"/>
            <w:webHidden/>
          </w:rPr>
          <w:fldChar w:fldCharType="end"/>
        </w:r>
      </w:hyperlink>
    </w:p>
    <w:p w14:paraId="49B2A3DF" w14:textId="34CA3A41" w:rsidR="00576B1F" w:rsidRPr="00576B1F" w:rsidRDefault="00576B1F">
      <w:pPr>
        <w:pStyle w:val="TOC3"/>
        <w:rPr>
          <w:rFonts w:eastAsiaTheme="minorEastAsia"/>
          <w:i w:val="0"/>
          <w:iCs w:val="0"/>
          <w:kern w:val="2"/>
          <w14:ligatures w14:val="standardContextual"/>
        </w:rPr>
      </w:pPr>
      <w:hyperlink w:anchor="_Toc214878870" w:history="1">
        <w:r w:rsidRPr="00576B1F">
          <w:rPr>
            <w:rStyle w:val="Hyperlink"/>
            <w:i w:val="0"/>
            <w:iCs w:val="0"/>
          </w:rPr>
          <w:t>6.4.3</w:t>
        </w:r>
        <w:r w:rsidRPr="00576B1F">
          <w:rPr>
            <w:rFonts w:eastAsiaTheme="minorEastAsia"/>
            <w:i w:val="0"/>
            <w:iCs w:val="0"/>
            <w:kern w:val="2"/>
            <w14:ligatures w14:val="standardContextual"/>
          </w:rPr>
          <w:tab/>
        </w:r>
        <w:r w:rsidRPr="00576B1F">
          <w:rPr>
            <w:rStyle w:val="Hyperlink"/>
            <w:i w:val="0"/>
            <w:iCs w:val="0"/>
          </w:rPr>
          <w:t>[RESERVED]</w:t>
        </w:r>
        <w:r w:rsidRPr="00576B1F">
          <w:rPr>
            <w:i w:val="0"/>
            <w:iCs w:val="0"/>
            <w:webHidden/>
          </w:rPr>
          <w:tab/>
        </w:r>
        <w:r w:rsidRPr="00576B1F">
          <w:rPr>
            <w:i w:val="0"/>
            <w:iCs w:val="0"/>
            <w:webHidden/>
          </w:rPr>
          <w:fldChar w:fldCharType="begin"/>
        </w:r>
        <w:r w:rsidRPr="00576B1F">
          <w:rPr>
            <w:i w:val="0"/>
            <w:iCs w:val="0"/>
            <w:webHidden/>
          </w:rPr>
          <w:instrText xml:space="preserve"> PAGEREF _Toc214878870 \h </w:instrText>
        </w:r>
        <w:r w:rsidRPr="00576B1F">
          <w:rPr>
            <w:i w:val="0"/>
            <w:iCs w:val="0"/>
            <w:webHidden/>
          </w:rPr>
        </w:r>
        <w:r w:rsidRPr="00576B1F">
          <w:rPr>
            <w:i w:val="0"/>
            <w:iCs w:val="0"/>
            <w:webHidden/>
          </w:rPr>
          <w:fldChar w:fldCharType="separate"/>
        </w:r>
        <w:r w:rsidR="00343E89">
          <w:rPr>
            <w:i w:val="0"/>
            <w:iCs w:val="0"/>
            <w:webHidden/>
          </w:rPr>
          <w:t>6-19</w:t>
        </w:r>
        <w:r w:rsidRPr="00576B1F">
          <w:rPr>
            <w:i w:val="0"/>
            <w:iCs w:val="0"/>
            <w:webHidden/>
          </w:rPr>
          <w:fldChar w:fldCharType="end"/>
        </w:r>
      </w:hyperlink>
    </w:p>
    <w:p w14:paraId="65458F08" w14:textId="5ADFF14C" w:rsidR="00576B1F" w:rsidRPr="00576B1F" w:rsidRDefault="00576B1F">
      <w:pPr>
        <w:pStyle w:val="TOC4"/>
        <w:rPr>
          <w:rFonts w:eastAsiaTheme="minorEastAsia"/>
          <w:kern w:val="2"/>
          <w:lang w:val="en-US"/>
          <w14:ligatures w14:val="standardContextual"/>
        </w:rPr>
      </w:pPr>
      <w:hyperlink w:anchor="_Toc214878871" w:history="1">
        <w:r w:rsidRPr="00576B1F">
          <w:rPr>
            <w:rStyle w:val="Hyperlink"/>
          </w:rPr>
          <w:t>6.4.3.1</w:t>
        </w:r>
        <w:r w:rsidRPr="00576B1F">
          <w:rPr>
            <w:rFonts w:eastAsiaTheme="minorEastAsia"/>
            <w:kern w:val="2"/>
            <w:lang w:val="en-US"/>
            <w14:ligatures w14:val="standardContextual"/>
          </w:rPr>
          <w:tab/>
        </w:r>
        <w:r w:rsidRPr="00576B1F">
          <w:rPr>
            <w:rStyle w:val="Hyperlink"/>
          </w:rPr>
          <w:t>RTM Energy Bids</w:t>
        </w:r>
        <w:r w:rsidRPr="00576B1F">
          <w:rPr>
            <w:webHidden/>
          </w:rPr>
          <w:tab/>
        </w:r>
        <w:r w:rsidRPr="00576B1F">
          <w:rPr>
            <w:webHidden/>
          </w:rPr>
          <w:fldChar w:fldCharType="begin"/>
        </w:r>
        <w:r w:rsidRPr="00576B1F">
          <w:rPr>
            <w:webHidden/>
          </w:rPr>
          <w:instrText xml:space="preserve"> PAGEREF _Toc214878871 \h </w:instrText>
        </w:r>
        <w:r w:rsidRPr="00576B1F">
          <w:rPr>
            <w:webHidden/>
          </w:rPr>
        </w:r>
        <w:r w:rsidRPr="00576B1F">
          <w:rPr>
            <w:webHidden/>
          </w:rPr>
          <w:fldChar w:fldCharType="separate"/>
        </w:r>
        <w:r w:rsidR="00343E89">
          <w:rPr>
            <w:webHidden/>
          </w:rPr>
          <w:t>6-19</w:t>
        </w:r>
        <w:r w:rsidRPr="00576B1F">
          <w:rPr>
            <w:webHidden/>
          </w:rPr>
          <w:fldChar w:fldCharType="end"/>
        </w:r>
      </w:hyperlink>
    </w:p>
    <w:p w14:paraId="388D0AC3" w14:textId="3C1866B0" w:rsidR="00576B1F" w:rsidRPr="00576B1F" w:rsidRDefault="00576B1F">
      <w:pPr>
        <w:pStyle w:val="TOC5"/>
        <w:rPr>
          <w:rFonts w:eastAsiaTheme="minorEastAsia"/>
          <w:i w:val="0"/>
          <w:kern w:val="2"/>
          <w:sz w:val="20"/>
          <w:szCs w:val="20"/>
          <w14:ligatures w14:val="standardContextual"/>
        </w:rPr>
      </w:pPr>
      <w:hyperlink w:anchor="_Toc214878872" w:history="1">
        <w:r w:rsidRPr="00576B1F">
          <w:rPr>
            <w:rStyle w:val="Hyperlink"/>
            <w:i w:val="0"/>
            <w:sz w:val="20"/>
            <w:szCs w:val="20"/>
          </w:rPr>
          <w:t>6.4.3.1.1</w:t>
        </w:r>
        <w:r w:rsidRPr="00576B1F">
          <w:rPr>
            <w:rFonts w:eastAsiaTheme="minorEastAsia"/>
            <w:i w:val="0"/>
            <w:kern w:val="2"/>
            <w:sz w:val="20"/>
            <w:szCs w:val="20"/>
            <w14:ligatures w14:val="standardContextual"/>
          </w:rPr>
          <w:tab/>
        </w:r>
        <w:r w:rsidRPr="00576B1F">
          <w:rPr>
            <w:rStyle w:val="Hyperlink"/>
            <w:i w:val="0"/>
            <w:sz w:val="20"/>
            <w:szCs w:val="20"/>
          </w:rPr>
          <w:t>RTM Energy Bid Criteria</w:t>
        </w:r>
        <w:r w:rsidRPr="00576B1F">
          <w:rPr>
            <w:i w:val="0"/>
            <w:webHidden/>
            <w:sz w:val="20"/>
            <w:szCs w:val="20"/>
          </w:rPr>
          <w:tab/>
        </w:r>
        <w:r w:rsidRPr="00576B1F">
          <w:rPr>
            <w:i w:val="0"/>
            <w:webHidden/>
            <w:sz w:val="20"/>
            <w:szCs w:val="20"/>
          </w:rPr>
          <w:fldChar w:fldCharType="begin"/>
        </w:r>
        <w:r w:rsidRPr="00576B1F">
          <w:rPr>
            <w:i w:val="0"/>
            <w:webHidden/>
            <w:sz w:val="20"/>
            <w:szCs w:val="20"/>
          </w:rPr>
          <w:instrText xml:space="preserve"> PAGEREF _Toc214878872 \h </w:instrText>
        </w:r>
        <w:r w:rsidRPr="00576B1F">
          <w:rPr>
            <w:i w:val="0"/>
            <w:webHidden/>
            <w:sz w:val="20"/>
            <w:szCs w:val="20"/>
          </w:rPr>
        </w:r>
        <w:r w:rsidRPr="00576B1F">
          <w:rPr>
            <w:i w:val="0"/>
            <w:webHidden/>
            <w:sz w:val="20"/>
            <w:szCs w:val="20"/>
          </w:rPr>
          <w:fldChar w:fldCharType="separate"/>
        </w:r>
        <w:r w:rsidR="00343E89">
          <w:rPr>
            <w:i w:val="0"/>
            <w:webHidden/>
            <w:sz w:val="20"/>
            <w:szCs w:val="20"/>
          </w:rPr>
          <w:t>6-20</w:t>
        </w:r>
        <w:r w:rsidRPr="00576B1F">
          <w:rPr>
            <w:i w:val="0"/>
            <w:webHidden/>
            <w:sz w:val="20"/>
            <w:szCs w:val="20"/>
          </w:rPr>
          <w:fldChar w:fldCharType="end"/>
        </w:r>
      </w:hyperlink>
    </w:p>
    <w:p w14:paraId="15E2A10D" w14:textId="54039F47" w:rsidR="00576B1F" w:rsidRPr="00576B1F" w:rsidRDefault="00576B1F">
      <w:pPr>
        <w:pStyle w:val="TOC5"/>
        <w:rPr>
          <w:rFonts w:eastAsiaTheme="minorEastAsia"/>
          <w:i w:val="0"/>
          <w:kern w:val="2"/>
          <w:sz w:val="20"/>
          <w:szCs w:val="20"/>
          <w14:ligatures w14:val="standardContextual"/>
        </w:rPr>
      </w:pPr>
      <w:hyperlink w:anchor="_Toc214878873" w:history="1">
        <w:r w:rsidRPr="00576B1F">
          <w:rPr>
            <w:rStyle w:val="Hyperlink"/>
            <w:i w:val="0"/>
            <w:sz w:val="20"/>
            <w:szCs w:val="20"/>
          </w:rPr>
          <w:t>6.4.3.1.2</w:t>
        </w:r>
        <w:r w:rsidRPr="00576B1F">
          <w:rPr>
            <w:rFonts w:eastAsiaTheme="minorEastAsia"/>
            <w:i w:val="0"/>
            <w:kern w:val="2"/>
            <w:sz w:val="20"/>
            <w:szCs w:val="20"/>
            <w14:ligatures w14:val="standardContextual"/>
          </w:rPr>
          <w:tab/>
        </w:r>
        <w:r w:rsidRPr="00576B1F">
          <w:rPr>
            <w:rStyle w:val="Hyperlink"/>
            <w:i w:val="0"/>
            <w:sz w:val="20"/>
            <w:szCs w:val="20"/>
          </w:rPr>
          <w:t>RTM Energy Bid Validation</w:t>
        </w:r>
        <w:r w:rsidRPr="00576B1F">
          <w:rPr>
            <w:i w:val="0"/>
            <w:webHidden/>
            <w:sz w:val="20"/>
            <w:szCs w:val="20"/>
          </w:rPr>
          <w:tab/>
        </w:r>
        <w:r w:rsidRPr="00576B1F">
          <w:rPr>
            <w:i w:val="0"/>
            <w:webHidden/>
            <w:sz w:val="20"/>
            <w:szCs w:val="20"/>
          </w:rPr>
          <w:fldChar w:fldCharType="begin"/>
        </w:r>
        <w:r w:rsidRPr="00576B1F">
          <w:rPr>
            <w:i w:val="0"/>
            <w:webHidden/>
            <w:sz w:val="20"/>
            <w:szCs w:val="20"/>
          </w:rPr>
          <w:instrText xml:space="preserve"> PAGEREF _Toc214878873 \h </w:instrText>
        </w:r>
        <w:r w:rsidRPr="00576B1F">
          <w:rPr>
            <w:i w:val="0"/>
            <w:webHidden/>
            <w:sz w:val="20"/>
            <w:szCs w:val="20"/>
          </w:rPr>
        </w:r>
        <w:r w:rsidRPr="00576B1F">
          <w:rPr>
            <w:i w:val="0"/>
            <w:webHidden/>
            <w:sz w:val="20"/>
            <w:szCs w:val="20"/>
          </w:rPr>
          <w:fldChar w:fldCharType="separate"/>
        </w:r>
        <w:r w:rsidR="00343E89">
          <w:rPr>
            <w:i w:val="0"/>
            <w:webHidden/>
            <w:sz w:val="20"/>
            <w:szCs w:val="20"/>
          </w:rPr>
          <w:t>6-21</w:t>
        </w:r>
        <w:r w:rsidRPr="00576B1F">
          <w:rPr>
            <w:i w:val="0"/>
            <w:webHidden/>
            <w:sz w:val="20"/>
            <w:szCs w:val="20"/>
          </w:rPr>
          <w:fldChar w:fldCharType="end"/>
        </w:r>
      </w:hyperlink>
    </w:p>
    <w:p w14:paraId="32492AC4" w14:textId="2B033C2F" w:rsidR="00576B1F" w:rsidRPr="00576B1F" w:rsidRDefault="00576B1F">
      <w:pPr>
        <w:pStyle w:val="TOC3"/>
        <w:rPr>
          <w:rFonts w:eastAsiaTheme="minorEastAsia"/>
          <w:i w:val="0"/>
          <w:iCs w:val="0"/>
          <w:kern w:val="2"/>
          <w14:ligatures w14:val="standardContextual"/>
        </w:rPr>
      </w:pPr>
      <w:hyperlink w:anchor="_Toc214878874" w:history="1">
        <w:r w:rsidRPr="00576B1F">
          <w:rPr>
            <w:rStyle w:val="Hyperlink"/>
            <w:i w:val="0"/>
            <w:iCs w:val="0"/>
          </w:rPr>
          <w:t>6.4.4</w:t>
        </w:r>
        <w:r w:rsidRPr="00576B1F">
          <w:rPr>
            <w:rFonts w:eastAsiaTheme="minorEastAsia"/>
            <w:i w:val="0"/>
            <w:iCs w:val="0"/>
            <w:kern w:val="2"/>
            <w14:ligatures w14:val="standardContextual"/>
          </w:rPr>
          <w:tab/>
        </w:r>
        <w:r w:rsidRPr="00576B1F">
          <w:rPr>
            <w:rStyle w:val="Hyperlink"/>
            <w:i w:val="0"/>
            <w:iCs w:val="0"/>
          </w:rPr>
          <w:t>Energy Offer Curve and Energy Bid/Offer Curve</w:t>
        </w:r>
        <w:r w:rsidRPr="00576B1F">
          <w:rPr>
            <w:i w:val="0"/>
            <w:iCs w:val="0"/>
            <w:webHidden/>
          </w:rPr>
          <w:tab/>
        </w:r>
        <w:r w:rsidRPr="00576B1F">
          <w:rPr>
            <w:i w:val="0"/>
            <w:iCs w:val="0"/>
            <w:webHidden/>
          </w:rPr>
          <w:fldChar w:fldCharType="begin"/>
        </w:r>
        <w:r w:rsidRPr="00576B1F">
          <w:rPr>
            <w:i w:val="0"/>
            <w:iCs w:val="0"/>
            <w:webHidden/>
          </w:rPr>
          <w:instrText xml:space="preserve"> PAGEREF _Toc214878874 \h </w:instrText>
        </w:r>
        <w:r w:rsidRPr="00576B1F">
          <w:rPr>
            <w:i w:val="0"/>
            <w:iCs w:val="0"/>
            <w:webHidden/>
          </w:rPr>
        </w:r>
        <w:r w:rsidRPr="00576B1F">
          <w:rPr>
            <w:i w:val="0"/>
            <w:iCs w:val="0"/>
            <w:webHidden/>
          </w:rPr>
          <w:fldChar w:fldCharType="separate"/>
        </w:r>
        <w:r w:rsidR="00343E89">
          <w:rPr>
            <w:i w:val="0"/>
            <w:iCs w:val="0"/>
            <w:webHidden/>
          </w:rPr>
          <w:t>6-21</w:t>
        </w:r>
        <w:r w:rsidRPr="00576B1F">
          <w:rPr>
            <w:i w:val="0"/>
            <w:iCs w:val="0"/>
            <w:webHidden/>
          </w:rPr>
          <w:fldChar w:fldCharType="end"/>
        </w:r>
      </w:hyperlink>
    </w:p>
    <w:p w14:paraId="3BFA8023" w14:textId="6EC8C778" w:rsidR="00576B1F" w:rsidRPr="00576B1F" w:rsidRDefault="00576B1F">
      <w:pPr>
        <w:pStyle w:val="TOC4"/>
        <w:rPr>
          <w:rFonts w:eastAsiaTheme="minorEastAsia"/>
          <w:kern w:val="2"/>
          <w:lang w:val="en-US"/>
          <w14:ligatures w14:val="standardContextual"/>
        </w:rPr>
      </w:pPr>
      <w:hyperlink w:anchor="_Toc214878875" w:history="1">
        <w:r w:rsidRPr="00576B1F">
          <w:rPr>
            <w:rStyle w:val="Hyperlink"/>
          </w:rPr>
          <w:t>6.4.4.1</w:t>
        </w:r>
        <w:r w:rsidRPr="00576B1F">
          <w:rPr>
            <w:rFonts w:eastAsiaTheme="minorEastAsia"/>
            <w:kern w:val="2"/>
            <w:lang w:val="en-US"/>
            <w14:ligatures w14:val="standardContextual"/>
          </w:rPr>
          <w:tab/>
        </w:r>
        <w:r w:rsidRPr="00576B1F">
          <w:rPr>
            <w:rStyle w:val="Hyperlink"/>
          </w:rPr>
          <w:t>Energy Offer Curve for RUC-Committed Switchable Generation Resources</w:t>
        </w:r>
        <w:r w:rsidRPr="00576B1F">
          <w:rPr>
            <w:webHidden/>
          </w:rPr>
          <w:tab/>
        </w:r>
        <w:r w:rsidRPr="00576B1F">
          <w:rPr>
            <w:webHidden/>
          </w:rPr>
          <w:fldChar w:fldCharType="begin"/>
        </w:r>
        <w:r w:rsidRPr="00576B1F">
          <w:rPr>
            <w:webHidden/>
          </w:rPr>
          <w:instrText xml:space="preserve"> PAGEREF _Toc214878875 \h </w:instrText>
        </w:r>
        <w:r w:rsidRPr="00576B1F">
          <w:rPr>
            <w:webHidden/>
          </w:rPr>
        </w:r>
        <w:r w:rsidRPr="00576B1F">
          <w:rPr>
            <w:webHidden/>
          </w:rPr>
          <w:fldChar w:fldCharType="separate"/>
        </w:r>
        <w:r w:rsidR="00343E89">
          <w:rPr>
            <w:webHidden/>
          </w:rPr>
          <w:t>6-21</w:t>
        </w:r>
        <w:r w:rsidRPr="00576B1F">
          <w:rPr>
            <w:webHidden/>
          </w:rPr>
          <w:fldChar w:fldCharType="end"/>
        </w:r>
      </w:hyperlink>
    </w:p>
    <w:p w14:paraId="14129DE0" w14:textId="4559A1B9" w:rsidR="00576B1F" w:rsidRPr="00576B1F" w:rsidRDefault="00576B1F">
      <w:pPr>
        <w:pStyle w:val="TOC3"/>
        <w:rPr>
          <w:rFonts w:eastAsiaTheme="minorEastAsia"/>
          <w:i w:val="0"/>
          <w:iCs w:val="0"/>
          <w:kern w:val="2"/>
          <w14:ligatures w14:val="standardContextual"/>
        </w:rPr>
      </w:pPr>
      <w:hyperlink w:anchor="_Toc214878876" w:history="1">
        <w:r w:rsidRPr="00576B1F">
          <w:rPr>
            <w:rStyle w:val="Hyperlink"/>
            <w:i w:val="0"/>
            <w:iCs w:val="0"/>
          </w:rPr>
          <w:t>6.4.5</w:t>
        </w:r>
        <w:r w:rsidRPr="00576B1F">
          <w:rPr>
            <w:rFonts w:eastAsiaTheme="minorEastAsia"/>
            <w:i w:val="0"/>
            <w:iCs w:val="0"/>
            <w:kern w:val="2"/>
            <w14:ligatures w14:val="standardContextual"/>
          </w:rPr>
          <w:tab/>
        </w:r>
        <w:r w:rsidRPr="00576B1F">
          <w:rPr>
            <w:rStyle w:val="Hyperlink"/>
            <w:i w:val="0"/>
            <w:iCs w:val="0"/>
          </w:rPr>
          <w:t>[RESERVED]</w:t>
        </w:r>
        <w:r w:rsidRPr="00576B1F">
          <w:rPr>
            <w:i w:val="0"/>
            <w:iCs w:val="0"/>
            <w:webHidden/>
          </w:rPr>
          <w:tab/>
        </w:r>
        <w:r w:rsidRPr="00576B1F">
          <w:rPr>
            <w:i w:val="0"/>
            <w:iCs w:val="0"/>
            <w:webHidden/>
          </w:rPr>
          <w:fldChar w:fldCharType="begin"/>
        </w:r>
        <w:r w:rsidRPr="00576B1F">
          <w:rPr>
            <w:i w:val="0"/>
            <w:iCs w:val="0"/>
            <w:webHidden/>
          </w:rPr>
          <w:instrText xml:space="preserve"> PAGEREF _Toc214878876 \h </w:instrText>
        </w:r>
        <w:r w:rsidRPr="00576B1F">
          <w:rPr>
            <w:i w:val="0"/>
            <w:iCs w:val="0"/>
            <w:webHidden/>
          </w:rPr>
        </w:r>
        <w:r w:rsidRPr="00576B1F">
          <w:rPr>
            <w:i w:val="0"/>
            <w:iCs w:val="0"/>
            <w:webHidden/>
          </w:rPr>
          <w:fldChar w:fldCharType="separate"/>
        </w:r>
        <w:r w:rsidR="00343E89">
          <w:rPr>
            <w:i w:val="0"/>
            <w:iCs w:val="0"/>
            <w:webHidden/>
          </w:rPr>
          <w:t>6-22</w:t>
        </w:r>
        <w:r w:rsidRPr="00576B1F">
          <w:rPr>
            <w:i w:val="0"/>
            <w:iCs w:val="0"/>
            <w:webHidden/>
          </w:rPr>
          <w:fldChar w:fldCharType="end"/>
        </w:r>
      </w:hyperlink>
    </w:p>
    <w:p w14:paraId="293F6814" w14:textId="166052C0" w:rsidR="00576B1F" w:rsidRPr="00576B1F" w:rsidRDefault="00576B1F">
      <w:pPr>
        <w:pStyle w:val="TOC3"/>
        <w:rPr>
          <w:rFonts w:eastAsiaTheme="minorEastAsia"/>
          <w:i w:val="0"/>
          <w:iCs w:val="0"/>
          <w:kern w:val="2"/>
          <w14:ligatures w14:val="standardContextual"/>
        </w:rPr>
      </w:pPr>
      <w:hyperlink w:anchor="_Toc214878877" w:history="1">
        <w:r w:rsidRPr="00576B1F">
          <w:rPr>
            <w:rStyle w:val="Hyperlink"/>
            <w:i w:val="0"/>
            <w:iCs w:val="0"/>
          </w:rPr>
          <w:t>6.4.6</w:t>
        </w:r>
        <w:r w:rsidRPr="00576B1F">
          <w:rPr>
            <w:rFonts w:eastAsiaTheme="minorEastAsia"/>
            <w:i w:val="0"/>
            <w:iCs w:val="0"/>
            <w:kern w:val="2"/>
            <w14:ligatures w14:val="standardContextual"/>
          </w:rPr>
          <w:tab/>
        </w:r>
        <w:r w:rsidRPr="00576B1F">
          <w:rPr>
            <w:rStyle w:val="Hyperlink"/>
            <w:i w:val="0"/>
            <w:iCs w:val="0"/>
          </w:rPr>
          <w:t>Resource Status</w:t>
        </w:r>
        <w:r w:rsidRPr="00576B1F">
          <w:rPr>
            <w:i w:val="0"/>
            <w:iCs w:val="0"/>
            <w:webHidden/>
          </w:rPr>
          <w:tab/>
        </w:r>
        <w:r w:rsidRPr="00576B1F">
          <w:rPr>
            <w:i w:val="0"/>
            <w:iCs w:val="0"/>
            <w:webHidden/>
          </w:rPr>
          <w:fldChar w:fldCharType="begin"/>
        </w:r>
        <w:r w:rsidRPr="00576B1F">
          <w:rPr>
            <w:i w:val="0"/>
            <w:iCs w:val="0"/>
            <w:webHidden/>
          </w:rPr>
          <w:instrText xml:space="preserve"> PAGEREF _Toc214878877 \h </w:instrText>
        </w:r>
        <w:r w:rsidRPr="00576B1F">
          <w:rPr>
            <w:i w:val="0"/>
            <w:iCs w:val="0"/>
            <w:webHidden/>
          </w:rPr>
        </w:r>
        <w:r w:rsidRPr="00576B1F">
          <w:rPr>
            <w:i w:val="0"/>
            <w:iCs w:val="0"/>
            <w:webHidden/>
          </w:rPr>
          <w:fldChar w:fldCharType="separate"/>
        </w:r>
        <w:r w:rsidR="00343E89">
          <w:rPr>
            <w:i w:val="0"/>
            <w:iCs w:val="0"/>
            <w:webHidden/>
          </w:rPr>
          <w:t>6-22</w:t>
        </w:r>
        <w:r w:rsidRPr="00576B1F">
          <w:rPr>
            <w:i w:val="0"/>
            <w:iCs w:val="0"/>
            <w:webHidden/>
          </w:rPr>
          <w:fldChar w:fldCharType="end"/>
        </w:r>
      </w:hyperlink>
    </w:p>
    <w:p w14:paraId="0088889B" w14:textId="63C686D9" w:rsidR="00576B1F" w:rsidRPr="00576B1F" w:rsidRDefault="00576B1F">
      <w:pPr>
        <w:pStyle w:val="TOC3"/>
        <w:rPr>
          <w:rFonts w:eastAsiaTheme="minorEastAsia"/>
          <w:i w:val="0"/>
          <w:iCs w:val="0"/>
          <w:kern w:val="2"/>
          <w14:ligatures w14:val="standardContextual"/>
        </w:rPr>
      </w:pPr>
      <w:hyperlink w:anchor="_Toc214878878" w:history="1">
        <w:r w:rsidRPr="00576B1F">
          <w:rPr>
            <w:rStyle w:val="Hyperlink"/>
            <w:i w:val="0"/>
            <w:iCs w:val="0"/>
          </w:rPr>
          <w:t>6.4.7</w:t>
        </w:r>
        <w:r w:rsidRPr="00576B1F">
          <w:rPr>
            <w:rFonts w:eastAsiaTheme="minorEastAsia"/>
            <w:i w:val="0"/>
            <w:iCs w:val="0"/>
            <w:kern w:val="2"/>
            <w14:ligatures w14:val="standardContextual"/>
          </w:rPr>
          <w:tab/>
        </w:r>
        <w:r w:rsidRPr="00576B1F">
          <w:rPr>
            <w:rStyle w:val="Hyperlink"/>
            <w:i w:val="0"/>
            <w:iCs w:val="0"/>
          </w:rPr>
          <w:t>QSE-Requested Decommitment of Resources</w:t>
        </w:r>
        <w:r w:rsidRPr="00576B1F">
          <w:rPr>
            <w:i w:val="0"/>
            <w:iCs w:val="0"/>
            <w:webHidden/>
          </w:rPr>
          <w:tab/>
        </w:r>
        <w:r w:rsidRPr="00576B1F">
          <w:rPr>
            <w:i w:val="0"/>
            <w:iCs w:val="0"/>
            <w:webHidden/>
          </w:rPr>
          <w:fldChar w:fldCharType="begin"/>
        </w:r>
        <w:r w:rsidRPr="00576B1F">
          <w:rPr>
            <w:i w:val="0"/>
            <w:iCs w:val="0"/>
            <w:webHidden/>
          </w:rPr>
          <w:instrText xml:space="preserve"> PAGEREF _Toc214878878 \h </w:instrText>
        </w:r>
        <w:r w:rsidRPr="00576B1F">
          <w:rPr>
            <w:i w:val="0"/>
            <w:iCs w:val="0"/>
            <w:webHidden/>
          </w:rPr>
        </w:r>
        <w:r w:rsidRPr="00576B1F">
          <w:rPr>
            <w:i w:val="0"/>
            <w:iCs w:val="0"/>
            <w:webHidden/>
          </w:rPr>
          <w:fldChar w:fldCharType="separate"/>
        </w:r>
        <w:r w:rsidR="00343E89">
          <w:rPr>
            <w:i w:val="0"/>
            <w:iCs w:val="0"/>
            <w:webHidden/>
          </w:rPr>
          <w:t>6-22</w:t>
        </w:r>
        <w:r w:rsidRPr="00576B1F">
          <w:rPr>
            <w:i w:val="0"/>
            <w:iCs w:val="0"/>
            <w:webHidden/>
          </w:rPr>
          <w:fldChar w:fldCharType="end"/>
        </w:r>
      </w:hyperlink>
    </w:p>
    <w:p w14:paraId="10ED64C6" w14:textId="31366CE1" w:rsidR="00576B1F" w:rsidRPr="00576B1F" w:rsidRDefault="00576B1F">
      <w:pPr>
        <w:pStyle w:val="TOC4"/>
        <w:rPr>
          <w:rFonts w:eastAsiaTheme="minorEastAsia"/>
          <w:kern w:val="2"/>
          <w:lang w:val="en-US"/>
          <w14:ligatures w14:val="standardContextual"/>
        </w:rPr>
      </w:pPr>
      <w:hyperlink w:anchor="_Toc214878879" w:history="1">
        <w:r w:rsidRPr="00576B1F">
          <w:rPr>
            <w:rStyle w:val="Hyperlink"/>
          </w:rPr>
          <w:t>6.4.7.1</w:t>
        </w:r>
        <w:r w:rsidRPr="00576B1F">
          <w:rPr>
            <w:rFonts w:eastAsiaTheme="minorEastAsia"/>
            <w:kern w:val="2"/>
            <w:lang w:val="en-US"/>
            <w14:ligatures w14:val="standardContextual"/>
          </w:rPr>
          <w:tab/>
        </w:r>
        <w:r w:rsidRPr="00576B1F">
          <w:rPr>
            <w:rStyle w:val="Hyperlink"/>
          </w:rPr>
          <w:t>QSE Request to Decommit Resources in the Operating Period</w:t>
        </w:r>
        <w:r w:rsidRPr="00576B1F">
          <w:rPr>
            <w:webHidden/>
          </w:rPr>
          <w:tab/>
        </w:r>
        <w:r w:rsidRPr="00576B1F">
          <w:rPr>
            <w:webHidden/>
          </w:rPr>
          <w:fldChar w:fldCharType="begin"/>
        </w:r>
        <w:r w:rsidRPr="00576B1F">
          <w:rPr>
            <w:webHidden/>
          </w:rPr>
          <w:instrText xml:space="preserve"> PAGEREF _Toc214878879 \h </w:instrText>
        </w:r>
        <w:r w:rsidRPr="00576B1F">
          <w:rPr>
            <w:webHidden/>
          </w:rPr>
        </w:r>
        <w:r w:rsidRPr="00576B1F">
          <w:rPr>
            <w:webHidden/>
          </w:rPr>
          <w:fldChar w:fldCharType="separate"/>
        </w:r>
        <w:r w:rsidR="00343E89">
          <w:rPr>
            <w:webHidden/>
          </w:rPr>
          <w:t>6-23</w:t>
        </w:r>
        <w:r w:rsidRPr="00576B1F">
          <w:rPr>
            <w:webHidden/>
          </w:rPr>
          <w:fldChar w:fldCharType="end"/>
        </w:r>
      </w:hyperlink>
    </w:p>
    <w:p w14:paraId="7E3FB7D3" w14:textId="42873073" w:rsidR="00576B1F" w:rsidRPr="00576B1F" w:rsidRDefault="00576B1F">
      <w:pPr>
        <w:pStyle w:val="TOC4"/>
        <w:rPr>
          <w:rFonts w:eastAsiaTheme="minorEastAsia"/>
          <w:kern w:val="2"/>
          <w:lang w:val="en-US"/>
          <w14:ligatures w14:val="standardContextual"/>
        </w:rPr>
      </w:pPr>
      <w:hyperlink w:anchor="_Toc214878880" w:history="1">
        <w:r w:rsidRPr="00576B1F">
          <w:rPr>
            <w:rStyle w:val="Hyperlink"/>
          </w:rPr>
          <w:t>6.4.7.2</w:t>
        </w:r>
        <w:r w:rsidRPr="00576B1F">
          <w:rPr>
            <w:rFonts w:eastAsiaTheme="minorEastAsia"/>
            <w:kern w:val="2"/>
            <w:lang w:val="en-US"/>
            <w14:ligatures w14:val="standardContextual"/>
          </w:rPr>
          <w:tab/>
        </w:r>
        <w:r w:rsidRPr="00576B1F">
          <w:rPr>
            <w:rStyle w:val="Hyperlink"/>
          </w:rPr>
          <w:t>QSE Request to Decommit Resources in the Adjustment Period</w:t>
        </w:r>
        <w:r w:rsidRPr="00576B1F">
          <w:rPr>
            <w:webHidden/>
          </w:rPr>
          <w:tab/>
        </w:r>
        <w:r w:rsidRPr="00576B1F">
          <w:rPr>
            <w:webHidden/>
          </w:rPr>
          <w:fldChar w:fldCharType="begin"/>
        </w:r>
        <w:r w:rsidRPr="00576B1F">
          <w:rPr>
            <w:webHidden/>
          </w:rPr>
          <w:instrText xml:space="preserve"> PAGEREF _Toc214878880 \h </w:instrText>
        </w:r>
        <w:r w:rsidRPr="00576B1F">
          <w:rPr>
            <w:webHidden/>
          </w:rPr>
        </w:r>
        <w:r w:rsidRPr="00576B1F">
          <w:rPr>
            <w:webHidden/>
          </w:rPr>
          <w:fldChar w:fldCharType="separate"/>
        </w:r>
        <w:r w:rsidR="00343E89">
          <w:rPr>
            <w:webHidden/>
          </w:rPr>
          <w:t>6-23</w:t>
        </w:r>
        <w:r w:rsidRPr="00576B1F">
          <w:rPr>
            <w:webHidden/>
          </w:rPr>
          <w:fldChar w:fldCharType="end"/>
        </w:r>
      </w:hyperlink>
    </w:p>
    <w:p w14:paraId="6D7C1252" w14:textId="55D40063" w:rsidR="00576B1F" w:rsidRPr="00576B1F" w:rsidRDefault="00576B1F">
      <w:pPr>
        <w:pStyle w:val="TOC3"/>
        <w:rPr>
          <w:rFonts w:eastAsiaTheme="minorEastAsia"/>
          <w:i w:val="0"/>
          <w:iCs w:val="0"/>
          <w:kern w:val="2"/>
          <w14:ligatures w14:val="standardContextual"/>
        </w:rPr>
      </w:pPr>
      <w:hyperlink w:anchor="_Toc214878881" w:history="1">
        <w:r w:rsidRPr="00576B1F">
          <w:rPr>
            <w:rStyle w:val="Hyperlink"/>
            <w:i w:val="0"/>
            <w:iCs w:val="0"/>
          </w:rPr>
          <w:t>6.4.8</w:t>
        </w:r>
        <w:r w:rsidRPr="00576B1F">
          <w:rPr>
            <w:rFonts w:eastAsiaTheme="minorEastAsia"/>
            <w:i w:val="0"/>
            <w:iCs w:val="0"/>
            <w:kern w:val="2"/>
            <w14:ligatures w14:val="standardContextual"/>
          </w:rPr>
          <w:tab/>
        </w:r>
        <w:r w:rsidRPr="00576B1F">
          <w:rPr>
            <w:rStyle w:val="Hyperlink"/>
            <w:i w:val="0"/>
            <w:iCs w:val="0"/>
          </w:rPr>
          <w:t>Notification of Forced Outage of a Resource</w:t>
        </w:r>
        <w:r w:rsidRPr="00576B1F">
          <w:rPr>
            <w:i w:val="0"/>
            <w:iCs w:val="0"/>
            <w:webHidden/>
          </w:rPr>
          <w:tab/>
        </w:r>
        <w:r w:rsidRPr="00576B1F">
          <w:rPr>
            <w:i w:val="0"/>
            <w:iCs w:val="0"/>
            <w:webHidden/>
          </w:rPr>
          <w:fldChar w:fldCharType="begin"/>
        </w:r>
        <w:r w:rsidRPr="00576B1F">
          <w:rPr>
            <w:i w:val="0"/>
            <w:iCs w:val="0"/>
            <w:webHidden/>
          </w:rPr>
          <w:instrText xml:space="preserve"> PAGEREF _Toc214878881 \h </w:instrText>
        </w:r>
        <w:r w:rsidRPr="00576B1F">
          <w:rPr>
            <w:i w:val="0"/>
            <w:iCs w:val="0"/>
            <w:webHidden/>
          </w:rPr>
        </w:r>
        <w:r w:rsidRPr="00576B1F">
          <w:rPr>
            <w:i w:val="0"/>
            <w:iCs w:val="0"/>
            <w:webHidden/>
          </w:rPr>
          <w:fldChar w:fldCharType="separate"/>
        </w:r>
        <w:r w:rsidR="00343E89">
          <w:rPr>
            <w:i w:val="0"/>
            <w:iCs w:val="0"/>
            <w:webHidden/>
          </w:rPr>
          <w:t>6-23</w:t>
        </w:r>
        <w:r w:rsidRPr="00576B1F">
          <w:rPr>
            <w:i w:val="0"/>
            <w:iCs w:val="0"/>
            <w:webHidden/>
          </w:rPr>
          <w:fldChar w:fldCharType="end"/>
        </w:r>
      </w:hyperlink>
    </w:p>
    <w:p w14:paraId="4BD7D557" w14:textId="02649437" w:rsidR="00576B1F" w:rsidRPr="00576B1F" w:rsidRDefault="00576B1F">
      <w:pPr>
        <w:pStyle w:val="TOC3"/>
        <w:rPr>
          <w:rFonts w:eastAsiaTheme="minorEastAsia"/>
          <w:i w:val="0"/>
          <w:iCs w:val="0"/>
          <w:kern w:val="2"/>
          <w14:ligatures w14:val="standardContextual"/>
        </w:rPr>
      </w:pPr>
      <w:hyperlink w:anchor="_Toc214878882" w:history="1">
        <w:r w:rsidRPr="00576B1F">
          <w:rPr>
            <w:rStyle w:val="Hyperlink"/>
            <w:i w:val="0"/>
            <w:iCs w:val="0"/>
          </w:rPr>
          <w:t>6.4.9</w:t>
        </w:r>
        <w:r w:rsidRPr="00576B1F">
          <w:rPr>
            <w:rFonts w:eastAsiaTheme="minorEastAsia"/>
            <w:i w:val="0"/>
            <w:iCs w:val="0"/>
            <w:kern w:val="2"/>
            <w14:ligatures w14:val="standardContextual"/>
          </w:rPr>
          <w:tab/>
        </w:r>
        <w:r w:rsidRPr="00576B1F">
          <w:rPr>
            <w:rStyle w:val="Hyperlink"/>
            <w:i w:val="0"/>
            <w:iCs w:val="0"/>
          </w:rPr>
          <w:t>Real-Time Ancillary Service Offers and Awards</w:t>
        </w:r>
        <w:r w:rsidRPr="00576B1F">
          <w:rPr>
            <w:i w:val="0"/>
            <w:iCs w:val="0"/>
            <w:webHidden/>
          </w:rPr>
          <w:tab/>
        </w:r>
        <w:r w:rsidRPr="00576B1F">
          <w:rPr>
            <w:i w:val="0"/>
            <w:iCs w:val="0"/>
            <w:webHidden/>
          </w:rPr>
          <w:fldChar w:fldCharType="begin"/>
        </w:r>
        <w:r w:rsidRPr="00576B1F">
          <w:rPr>
            <w:i w:val="0"/>
            <w:iCs w:val="0"/>
            <w:webHidden/>
          </w:rPr>
          <w:instrText xml:space="preserve"> PAGEREF _Toc214878882 \h </w:instrText>
        </w:r>
        <w:r w:rsidRPr="00576B1F">
          <w:rPr>
            <w:i w:val="0"/>
            <w:iCs w:val="0"/>
            <w:webHidden/>
          </w:rPr>
        </w:r>
        <w:r w:rsidRPr="00576B1F">
          <w:rPr>
            <w:i w:val="0"/>
            <w:iCs w:val="0"/>
            <w:webHidden/>
          </w:rPr>
          <w:fldChar w:fldCharType="separate"/>
        </w:r>
        <w:r w:rsidR="00343E89">
          <w:rPr>
            <w:i w:val="0"/>
            <w:iCs w:val="0"/>
            <w:webHidden/>
          </w:rPr>
          <w:t>6-24</w:t>
        </w:r>
        <w:r w:rsidRPr="00576B1F">
          <w:rPr>
            <w:i w:val="0"/>
            <w:iCs w:val="0"/>
            <w:webHidden/>
          </w:rPr>
          <w:fldChar w:fldCharType="end"/>
        </w:r>
      </w:hyperlink>
    </w:p>
    <w:p w14:paraId="322046B2" w14:textId="05E7DD6F" w:rsidR="00576B1F" w:rsidRPr="00576B1F" w:rsidRDefault="00576B1F">
      <w:pPr>
        <w:pStyle w:val="TOC4"/>
        <w:rPr>
          <w:rFonts w:eastAsiaTheme="minorEastAsia"/>
          <w:kern w:val="2"/>
          <w:lang w:val="en-US"/>
          <w14:ligatures w14:val="standardContextual"/>
        </w:rPr>
      </w:pPr>
      <w:hyperlink w:anchor="_Toc214878883" w:history="1">
        <w:r w:rsidRPr="00576B1F">
          <w:rPr>
            <w:rStyle w:val="Hyperlink"/>
          </w:rPr>
          <w:t>6.4.9.1</w:t>
        </w:r>
        <w:r w:rsidRPr="00576B1F">
          <w:rPr>
            <w:rFonts w:eastAsiaTheme="minorEastAsia"/>
            <w:kern w:val="2"/>
            <w:lang w:val="en-US"/>
            <w14:ligatures w14:val="standardContextual"/>
          </w:rPr>
          <w:tab/>
        </w:r>
        <w:r w:rsidRPr="00576B1F">
          <w:rPr>
            <w:rStyle w:val="Hyperlink"/>
          </w:rPr>
          <w:t>Ancillary Service Offers</w:t>
        </w:r>
        <w:r w:rsidRPr="00576B1F">
          <w:rPr>
            <w:webHidden/>
          </w:rPr>
          <w:tab/>
        </w:r>
        <w:r w:rsidRPr="00576B1F">
          <w:rPr>
            <w:webHidden/>
          </w:rPr>
          <w:fldChar w:fldCharType="begin"/>
        </w:r>
        <w:r w:rsidRPr="00576B1F">
          <w:rPr>
            <w:webHidden/>
          </w:rPr>
          <w:instrText xml:space="preserve"> PAGEREF _Toc214878883 \h </w:instrText>
        </w:r>
        <w:r w:rsidRPr="00576B1F">
          <w:rPr>
            <w:webHidden/>
          </w:rPr>
        </w:r>
        <w:r w:rsidRPr="00576B1F">
          <w:rPr>
            <w:webHidden/>
          </w:rPr>
          <w:fldChar w:fldCharType="separate"/>
        </w:r>
        <w:r w:rsidR="00343E89">
          <w:rPr>
            <w:webHidden/>
          </w:rPr>
          <w:t>6-24</w:t>
        </w:r>
        <w:r w:rsidRPr="00576B1F">
          <w:rPr>
            <w:webHidden/>
          </w:rPr>
          <w:fldChar w:fldCharType="end"/>
        </w:r>
      </w:hyperlink>
    </w:p>
    <w:p w14:paraId="1B44D735" w14:textId="68A79E0B" w:rsidR="00576B1F" w:rsidRPr="00576B1F" w:rsidRDefault="00576B1F">
      <w:pPr>
        <w:pStyle w:val="TOC5"/>
        <w:rPr>
          <w:rFonts w:eastAsiaTheme="minorEastAsia"/>
          <w:i w:val="0"/>
          <w:kern w:val="2"/>
          <w:sz w:val="20"/>
          <w:szCs w:val="20"/>
          <w14:ligatures w14:val="standardContextual"/>
        </w:rPr>
      </w:pPr>
      <w:hyperlink w:anchor="_Toc214878884" w:history="1">
        <w:r w:rsidRPr="00576B1F">
          <w:rPr>
            <w:rStyle w:val="Hyperlink"/>
            <w:i w:val="0"/>
            <w:sz w:val="20"/>
            <w:szCs w:val="20"/>
          </w:rPr>
          <w:t>6.4.9.1.1</w:t>
        </w:r>
        <w:r w:rsidRPr="00576B1F">
          <w:rPr>
            <w:rFonts w:eastAsiaTheme="minorEastAsia"/>
            <w:i w:val="0"/>
            <w:kern w:val="2"/>
            <w:sz w:val="20"/>
            <w:szCs w:val="20"/>
            <w14:ligatures w14:val="standardContextual"/>
          </w:rPr>
          <w:tab/>
        </w:r>
        <w:r w:rsidRPr="00576B1F">
          <w:rPr>
            <w:rStyle w:val="Hyperlink"/>
            <w:i w:val="0"/>
            <w:sz w:val="20"/>
            <w:szCs w:val="20"/>
          </w:rPr>
          <w:t>Ancillary Service Awards</w:t>
        </w:r>
        <w:r w:rsidRPr="00576B1F">
          <w:rPr>
            <w:i w:val="0"/>
            <w:webHidden/>
            <w:sz w:val="20"/>
            <w:szCs w:val="20"/>
          </w:rPr>
          <w:tab/>
        </w:r>
        <w:r w:rsidRPr="00576B1F">
          <w:rPr>
            <w:i w:val="0"/>
            <w:webHidden/>
            <w:sz w:val="20"/>
            <w:szCs w:val="20"/>
          </w:rPr>
          <w:fldChar w:fldCharType="begin"/>
        </w:r>
        <w:r w:rsidRPr="00576B1F">
          <w:rPr>
            <w:i w:val="0"/>
            <w:webHidden/>
            <w:sz w:val="20"/>
            <w:szCs w:val="20"/>
          </w:rPr>
          <w:instrText xml:space="preserve"> PAGEREF _Toc214878884 \h </w:instrText>
        </w:r>
        <w:r w:rsidRPr="00576B1F">
          <w:rPr>
            <w:i w:val="0"/>
            <w:webHidden/>
            <w:sz w:val="20"/>
            <w:szCs w:val="20"/>
          </w:rPr>
        </w:r>
        <w:r w:rsidRPr="00576B1F">
          <w:rPr>
            <w:i w:val="0"/>
            <w:webHidden/>
            <w:sz w:val="20"/>
            <w:szCs w:val="20"/>
          </w:rPr>
          <w:fldChar w:fldCharType="separate"/>
        </w:r>
        <w:r w:rsidR="00343E89">
          <w:rPr>
            <w:i w:val="0"/>
            <w:webHidden/>
            <w:sz w:val="20"/>
            <w:szCs w:val="20"/>
          </w:rPr>
          <w:t>6-24</w:t>
        </w:r>
        <w:r w:rsidRPr="00576B1F">
          <w:rPr>
            <w:i w:val="0"/>
            <w:webHidden/>
            <w:sz w:val="20"/>
            <w:szCs w:val="20"/>
          </w:rPr>
          <w:fldChar w:fldCharType="end"/>
        </w:r>
      </w:hyperlink>
    </w:p>
    <w:p w14:paraId="3B00DD1A" w14:textId="74689661" w:rsidR="00576B1F" w:rsidRPr="00576B1F" w:rsidRDefault="00576B1F">
      <w:pPr>
        <w:pStyle w:val="TOC5"/>
        <w:rPr>
          <w:rFonts w:eastAsiaTheme="minorEastAsia"/>
          <w:i w:val="0"/>
          <w:kern w:val="2"/>
          <w:sz w:val="20"/>
          <w:szCs w:val="20"/>
          <w14:ligatures w14:val="standardContextual"/>
        </w:rPr>
      </w:pPr>
      <w:hyperlink w:anchor="_Toc214878885" w:history="1">
        <w:r w:rsidRPr="00576B1F">
          <w:rPr>
            <w:rStyle w:val="Hyperlink"/>
            <w:i w:val="0"/>
            <w:sz w:val="20"/>
            <w:szCs w:val="20"/>
          </w:rPr>
          <w:t>6.4.9.1.2</w:t>
        </w:r>
        <w:r w:rsidRPr="00576B1F">
          <w:rPr>
            <w:rFonts w:eastAsiaTheme="minorEastAsia"/>
            <w:i w:val="0"/>
            <w:kern w:val="2"/>
            <w:sz w:val="20"/>
            <w:szCs w:val="20"/>
            <w14:ligatures w14:val="standardContextual"/>
          </w:rPr>
          <w:tab/>
        </w:r>
        <w:r w:rsidRPr="00576B1F">
          <w:rPr>
            <w:rStyle w:val="Hyperlink"/>
            <w:i w:val="0"/>
            <w:sz w:val="20"/>
            <w:szCs w:val="20"/>
          </w:rPr>
          <w:t>Changes to Operating Day Ancillary Service Plan</w:t>
        </w:r>
        <w:r w:rsidRPr="00576B1F">
          <w:rPr>
            <w:i w:val="0"/>
            <w:webHidden/>
            <w:sz w:val="20"/>
            <w:szCs w:val="20"/>
          </w:rPr>
          <w:tab/>
        </w:r>
        <w:r w:rsidRPr="00576B1F">
          <w:rPr>
            <w:i w:val="0"/>
            <w:webHidden/>
            <w:sz w:val="20"/>
            <w:szCs w:val="20"/>
          </w:rPr>
          <w:fldChar w:fldCharType="begin"/>
        </w:r>
        <w:r w:rsidRPr="00576B1F">
          <w:rPr>
            <w:i w:val="0"/>
            <w:webHidden/>
            <w:sz w:val="20"/>
            <w:szCs w:val="20"/>
          </w:rPr>
          <w:instrText xml:space="preserve"> PAGEREF _Toc214878885 \h </w:instrText>
        </w:r>
        <w:r w:rsidRPr="00576B1F">
          <w:rPr>
            <w:i w:val="0"/>
            <w:webHidden/>
            <w:sz w:val="20"/>
            <w:szCs w:val="20"/>
          </w:rPr>
        </w:r>
        <w:r w:rsidRPr="00576B1F">
          <w:rPr>
            <w:i w:val="0"/>
            <w:webHidden/>
            <w:sz w:val="20"/>
            <w:szCs w:val="20"/>
          </w:rPr>
          <w:fldChar w:fldCharType="separate"/>
        </w:r>
        <w:r w:rsidR="00343E89">
          <w:rPr>
            <w:i w:val="0"/>
            <w:webHidden/>
            <w:sz w:val="20"/>
            <w:szCs w:val="20"/>
          </w:rPr>
          <w:t>6-25</w:t>
        </w:r>
        <w:r w:rsidRPr="00576B1F">
          <w:rPr>
            <w:i w:val="0"/>
            <w:webHidden/>
            <w:sz w:val="20"/>
            <w:szCs w:val="20"/>
          </w:rPr>
          <w:fldChar w:fldCharType="end"/>
        </w:r>
      </w:hyperlink>
    </w:p>
    <w:p w14:paraId="2B2F07E9" w14:textId="49149812" w:rsidR="00576B1F" w:rsidRPr="00576B1F" w:rsidRDefault="00576B1F">
      <w:pPr>
        <w:pStyle w:val="TOC2"/>
        <w:rPr>
          <w:rFonts w:eastAsiaTheme="minorEastAsia"/>
          <w:noProof/>
          <w:kern w:val="2"/>
          <w14:ligatures w14:val="standardContextual"/>
        </w:rPr>
      </w:pPr>
      <w:hyperlink w:anchor="_Toc214878886" w:history="1">
        <w:r w:rsidRPr="00576B1F">
          <w:rPr>
            <w:rStyle w:val="Hyperlink"/>
            <w:noProof/>
          </w:rPr>
          <w:t>6.5</w:t>
        </w:r>
        <w:r w:rsidRPr="00576B1F">
          <w:rPr>
            <w:rFonts w:eastAsiaTheme="minorEastAsia"/>
            <w:noProof/>
            <w:kern w:val="2"/>
            <w14:ligatures w14:val="standardContextual"/>
          </w:rPr>
          <w:tab/>
        </w:r>
        <w:r w:rsidRPr="00576B1F">
          <w:rPr>
            <w:rStyle w:val="Hyperlink"/>
            <w:noProof/>
          </w:rPr>
          <w:t>Real-Time Energy Operations</w:t>
        </w:r>
        <w:r w:rsidRPr="00576B1F">
          <w:rPr>
            <w:noProof/>
            <w:webHidden/>
          </w:rPr>
          <w:tab/>
        </w:r>
        <w:r w:rsidRPr="00576B1F">
          <w:rPr>
            <w:noProof/>
            <w:webHidden/>
          </w:rPr>
          <w:fldChar w:fldCharType="begin"/>
        </w:r>
        <w:r w:rsidRPr="00576B1F">
          <w:rPr>
            <w:noProof/>
            <w:webHidden/>
          </w:rPr>
          <w:instrText xml:space="preserve"> PAGEREF _Toc214878886 \h </w:instrText>
        </w:r>
        <w:r w:rsidRPr="00576B1F">
          <w:rPr>
            <w:noProof/>
            <w:webHidden/>
          </w:rPr>
        </w:r>
        <w:r w:rsidRPr="00576B1F">
          <w:rPr>
            <w:noProof/>
            <w:webHidden/>
          </w:rPr>
          <w:fldChar w:fldCharType="separate"/>
        </w:r>
        <w:r w:rsidR="00343E89">
          <w:rPr>
            <w:noProof/>
            <w:webHidden/>
          </w:rPr>
          <w:t>6-25</w:t>
        </w:r>
        <w:r w:rsidRPr="00576B1F">
          <w:rPr>
            <w:noProof/>
            <w:webHidden/>
          </w:rPr>
          <w:fldChar w:fldCharType="end"/>
        </w:r>
      </w:hyperlink>
    </w:p>
    <w:p w14:paraId="464F4AD7" w14:textId="65A9E4CF" w:rsidR="00576B1F" w:rsidRPr="00576B1F" w:rsidRDefault="00576B1F">
      <w:pPr>
        <w:pStyle w:val="TOC3"/>
        <w:rPr>
          <w:rFonts w:eastAsiaTheme="minorEastAsia"/>
          <w:i w:val="0"/>
          <w:iCs w:val="0"/>
          <w:kern w:val="2"/>
          <w14:ligatures w14:val="standardContextual"/>
        </w:rPr>
      </w:pPr>
      <w:hyperlink w:anchor="_Toc214878887" w:history="1">
        <w:r w:rsidRPr="00576B1F">
          <w:rPr>
            <w:rStyle w:val="Hyperlink"/>
            <w:i w:val="0"/>
            <w:iCs w:val="0"/>
          </w:rPr>
          <w:t>6.5.1</w:t>
        </w:r>
        <w:r w:rsidRPr="00576B1F">
          <w:rPr>
            <w:rFonts w:eastAsiaTheme="minorEastAsia"/>
            <w:i w:val="0"/>
            <w:iCs w:val="0"/>
            <w:kern w:val="2"/>
            <w14:ligatures w14:val="standardContextual"/>
          </w:rPr>
          <w:tab/>
        </w:r>
        <w:r w:rsidRPr="00576B1F">
          <w:rPr>
            <w:rStyle w:val="Hyperlink"/>
            <w:i w:val="0"/>
            <w:iCs w:val="0"/>
          </w:rPr>
          <w:t>ERCOT Activities</w:t>
        </w:r>
        <w:r w:rsidRPr="00576B1F">
          <w:rPr>
            <w:i w:val="0"/>
            <w:iCs w:val="0"/>
            <w:webHidden/>
          </w:rPr>
          <w:tab/>
        </w:r>
        <w:r w:rsidRPr="00576B1F">
          <w:rPr>
            <w:i w:val="0"/>
            <w:iCs w:val="0"/>
            <w:webHidden/>
          </w:rPr>
          <w:fldChar w:fldCharType="begin"/>
        </w:r>
        <w:r w:rsidRPr="00576B1F">
          <w:rPr>
            <w:i w:val="0"/>
            <w:iCs w:val="0"/>
            <w:webHidden/>
          </w:rPr>
          <w:instrText xml:space="preserve"> PAGEREF _Toc214878887 \h </w:instrText>
        </w:r>
        <w:r w:rsidRPr="00576B1F">
          <w:rPr>
            <w:i w:val="0"/>
            <w:iCs w:val="0"/>
            <w:webHidden/>
          </w:rPr>
        </w:r>
        <w:r w:rsidRPr="00576B1F">
          <w:rPr>
            <w:i w:val="0"/>
            <w:iCs w:val="0"/>
            <w:webHidden/>
          </w:rPr>
          <w:fldChar w:fldCharType="separate"/>
        </w:r>
        <w:r w:rsidR="00343E89">
          <w:rPr>
            <w:i w:val="0"/>
            <w:iCs w:val="0"/>
            <w:webHidden/>
          </w:rPr>
          <w:t>6-25</w:t>
        </w:r>
        <w:r w:rsidRPr="00576B1F">
          <w:rPr>
            <w:i w:val="0"/>
            <w:iCs w:val="0"/>
            <w:webHidden/>
          </w:rPr>
          <w:fldChar w:fldCharType="end"/>
        </w:r>
      </w:hyperlink>
    </w:p>
    <w:p w14:paraId="6AF6E1BC" w14:textId="5DFD5234" w:rsidR="00576B1F" w:rsidRPr="00576B1F" w:rsidRDefault="00576B1F">
      <w:pPr>
        <w:pStyle w:val="TOC4"/>
        <w:rPr>
          <w:rFonts w:eastAsiaTheme="minorEastAsia"/>
          <w:kern w:val="2"/>
          <w:lang w:val="en-US"/>
          <w14:ligatures w14:val="standardContextual"/>
        </w:rPr>
      </w:pPr>
      <w:hyperlink w:anchor="_Toc214878888" w:history="1">
        <w:r w:rsidRPr="00576B1F">
          <w:rPr>
            <w:rStyle w:val="Hyperlink"/>
          </w:rPr>
          <w:t>6.5.1.1</w:t>
        </w:r>
        <w:r w:rsidRPr="00576B1F">
          <w:rPr>
            <w:rFonts w:eastAsiaTheme="minorEastAsia"/>
            <w:kern w:val="2"/>
            <w:lang w:val="en-US"/>
            <w14:ligatures w14:val="standardContextual"/>
          </w:rPr>
          <w:tab/>
        </w:r>
        <w:r w:rsidRPr="00576B1F">
          <w:rPr>
            <w:rStyle w:val="Hyperlink"/>
          </w:rPr>
          <w:t>ERCOT Control Area Authority</w:t>
        </w:r>
        <w:r w:rsidRPr="00576B1F">
          <w:rPr>
            <w:webHidden/>
          </w:rPr>
          <w:tab/>
        </w:r>
        <w:r w:rsidRPr="00576B1F">
          <w:rPr>
            <w:webHidden/>
          </w:rPr>
          <w:fldChar w:fldCharType="begin"/>
        </w:r>
        <w:r w:rsidRPr="00576B1F">
          <w:rPr>
            <w:webHidden/>
          </w:rPr>
          <w:instrText xml:space="preserve"> PAGEREF _Toc214878888 \h </w:instrText>
        </w:r>
        <w:r w:rsidRPr="00576B1F">
          <w:rPr>
            <w:webHidden/>
          </w:rPr>
        </w:r>
        <w:r w:rsidRPr="00576B1F">
          <w:rPr>
            <w:webHidden/>
          </w:rPr>
          <w:fldChar w:fldCharType="separate"/>
        </w:r>
        <w:r w:rsidR="00343E89">
          <w:rPr>
            <w:webHidden/>
          </w:rPr>
          <w:t>6-25</w:t>
        </w:r>
        <w:r w:rsidRPr="00576B1F">
          <w:rPr>
            <w:webHidden/>
          </w:rPr>
          <w:fldChar w:fldCharType="end"/>
        </w:r>
      </w:hyperlink>
    </w:p>
    <w:p w14:paraId="1C3EDC04" w14:textId="5969126A" w:rsidR="00576B1F" w:rsidRPr="00576B1F" w:rsidRDefault="00576B1F">
      <w:pPr>
        <w:pStyle w:val="TOC4"/>
        <w:rPr>
          <w:rFonts w:eastAsiaTheme="minorEastAsia"/>
          <w:kern w:val="2"/>
          <w:lang w:val="en-US"/>
          <w14:ligatures w14:val="standardContextual"/>
        </w:rPr>
      </w:pPr>
      <w:hyperlink w:anchor="_Toc214878889" w:history="1">
        <w:r w:rsidRPr="00576B1F">
          <w:rPr>
            <w:rStyle w:val="Hyperlink"/>
          </w:rPr>
          <w:t>6.5.1.2</w:t>
        </w:r>
        <w:r w:rsidRPr="00576B1F">
          <w:rPr>
            <w:rFonts w:eastAsiaTheme="minorEastAsia"/>
            <w:kern w:val="2"/>
            <w:lang w:val="en-US"/>
            <w14:ligatures w14:val="standardContextual"/>
          </w:rPr>
          <w:tab/>
        </w:r>
        <w:r w:rsidRPr="00576B1F">
          <w:rPr>
            <w:rStyle w:val="Hyperlink"/>
          </w:rPr>
          <w:t>Centralized Dispatch</w:t>
        </w:r>
        <w:r w:rsidRPr="00576B1F">
          <w:rPr>
            <w:webHidden/>
          </w:rPr>
          <w:tab/>
        </w:r>
        <w:r w:rsidRPr="00576B1F">
          <w:rPr>
            <w:webHidden/>
          </w:rPr>
          <w:fldChar w:fldCharType="begin"/>
        </w:r>
        <w:r w:rsidRPr="00576B1F">
          <w:rPr>
            <w:webHidden/>
          </w:rPr>
          <w:instrText xml:space="preserve"> PAGEREF _Toc214878889 \h </w:instrText>
        </w:r>
        <w:r w:rsidRPr="00576B1F">
          <w:rPr>
            <w:webHidden/>
          </w:rPr>
        </w:r>
        <w:r w:rsidRPr="00576B1F">
          <w:rPr>
            <w:webHidden/>
          </w:rPr>
          <w:fldChar w:fldCharType="separate"/>
        </w:r>
        <w:r w:rsidR="00343E89">
          <w:rPr>
            <w:webHidden/>
          </w:rPr>
          <w:t>6-30</w:t>
        </w:r>
        <w:r w:rsidRPr="00576B1F">
          <w:rPr>
            <w:webHidden/>
          </w:rPr>
          <w:fldChar w:fldCharType="end"/>
        </w:r>
      </w:hyperlink>
    </w:p>
    <w:p w14:paraId="328B3C87" w14:textId="432FAB86" w:rsidR="00576B1F" w:rsidRPr="00576B1F" w:rsidRDefault="00576B1F">
      <w:pPr>
        <w:pStyle w:val="TOC3"/>
        <w:rPr>
          <w:rFonts w:eastAsiaTheme="minorEastAsia"/>
          <w:i w:val="0"/>
          <w:iCs w:val="0"/>
          <w:kern w:val="2"/>
          <w14:ligatures w14:val="standardContextual"/>
        </w:rPr>
      </w:pPr>
      <w:hyperlink w:anchor="_Toc214878890" w:history="1">
        <w:r w:rsidRPr="00576B1F">
          <w:rPr>
            <w:rStyle w:val="Hyperlink"/>
            <w:i w:val="0"/>
            <w:iCs w:val="0"/>
          </w:rPr>
          <w:t>6.5.2</w:t>
        </w:r>
        <w:r w:rsidRPr="00576B1F">
          <w:rPr>
            <w:rFonts w:eastAsiaTheme="minorEastAsia"/>
            <w:i w:val="0"/>
            <w:iCs w:val="0"/>
            <w:kern w:val="2"/>
            <w14:ligatures w14:val="standardContextual"/>
          </w:rPr>
          <w:tab/>
        </w:r>
        <w:r w:rsidRPr="00576B1F">
          <w:rPr>
            <w:rStyle w:val="Hyperlink"/>
            <w:i w:val="0"/>
            <w:iCs w:val="0"/>
          </w:rPr>
          <w:t>Operating Standards</w:t>
        </w:r>
        <w:r w:rsidRPr="00576B1F">
          <w:rPr>
            <w:i w:val="0"/>
            <w:iCs w:val="0"/>
            <w:webHidden/>
          </w:rPr>
          <w:tab/>
        </w:r>
        <w:r w:rsidRPr="00576B1F">
          <w:rPr>
            <w:i w:val="0"/>
            <w:iCs w:val="0"/>
            <w:webHidden/>
          </w:rPr>
          <w:fldChar w:fldCharType="begin"/>
        </w:r>
        <w:r w:rsidRPr="00576B1F">
          <w:rPr>
            <w:i w:val="0"/>
            <w:iCs w:val="0"/>
            <w:webHidden/>
          </w:rPr>
          <w:instrText xml:space="preserve"> PAGEREF _Toc214878890 \h </w:instrText>
        </w:r>
        <w:r w:rsidRPr="00576B1F">
          <w:rPr>
            <w:i w:val="0"/>
            <w:iCs w:val="0"/>
            <w:webHidden/>
          </w:rPr>
        </w:r>
        <w:r w:rsidRPr="00576B1F">
          <w:rPr>
            <w:i w:val="0"/>
            <w:iCs w:val="0"/>
            <w:webHidden/>
          </w:rPr>
          <w:fldChar w:fldCharType="separate"/>
        </w:r>
        <w:r w:rsidR="00343E89">
          <w:rPr>
            <w:i w:val="0"/>
            <w:iCs w:val="0"/>
            <w:webHidden/>
          </w:rPr>
          <w:t>6-31</w:t>
        </w:r>
        <w:r w:rsidRPr="00576B1F">
          <w:rPr>
            <w:i w:val="0"/>
            <w:iCs w:val="0"/>
            <w:webHidden/>
          </w:rPr>
          <w:fldChar w:fldCharType="end"/>
        </w:r>
      </w:hyperlink>
    </w:p>
    <w:p w14:paraId="229DCDED" w14:textId="478F9634" w:rsidR="00576B1F" w:rsidRPr="00576B1F" w:rsidRDefault="00576B1F">
      <w:pPr>
        <w:pStyle w:val="TOC3"/>
        <w:rPr>
          <w:rFonts w:eastAsiaTheme="minorEastAsia"/>
          <w:i w:val="0"/>
          <w:iCs w:val="0"/>
          <w:kern w:val="2"/>
          <w14:ligatures w14:val="standardContextual"/>
        </w:rPr>
      </w:pPr>
      <w:hyperlink w:anchor="_Toc214878891" w:history="1">
        <w:r w:rsidRPr="00576B1F">
          <w:rPr>
            <w:rStyle w:val="Hyperlink"/>
            <w:i w:val="0"/>
            <w:iCs w:val="0"/>
          </w:rPr>
          <w:t>6.5.3</w:t>
        </w:r>
        <w:r w:rsidRPr="00576B1F">
          <w:rPr>
            <w:rFonts w:eastAsiaTheme="minorEastAsia"/>
            <w:i w:val="0"/>
            <w:iCs w:val="0"/>
            <w:kern w:val="2"/>
            <w14:ligatures w14:val="standardContextual"/>
          </w:rPr>
          <w:tab/>
        </w:r>
        <w:r w:rsidRPr="00576B1F">
          <w:rPr>
            <w:rStyle w:val="Hyperlink"/>
            <w:i w:val="0"/>
            <w:iCs w:val="0"/>
          </w:rPr>
          <w:t>Equipment Operating Ratings and Limits</w:t>
        </w:r>
        <w:r w:rsidRPr="00576B1F">
          <w:rPr>
            <w:i w:val="0"/>
            <w:iCs w:val="0"/>
            <w:webHidden/>
          </w:rPr>
          <w:tab/>
        </w:r>
        <w:r w:rsidRPr="00576B1F">
          <w:rPr>
            <w:i w:val="0"/>
            <w:iCs w:val="0"/>
            <w:webHidden/>
          </w:rPr>
          <w:fldChar w:fldCharType="begin"/>
        </w:r>
        <w:r w:rsidRPr="00576B1F">
          <w:rPr>
            <w:i w:val="0"/>
            <w:iCs w:val="0"/>
            <w:webHidden/>
          </w:rPr>
          <w:instrText xml:space="preserve"> PAGEREF _Toc214878891 \h </w:instrText>
        </w:r>
        <w:r w:rsidRPr="00576B1F">
          <w:rPr>
            <w:i w:val="0"/>
            <w:iCs w:val="0"/>
            <w:webHidden/>
          </w:rPr>
        </w:r>
        <w:r w:rsidRPr="00576B1F">
          <w:rPr>
            <w:i w:val="0"/>
            <w:iCs w:val="0"/>
            <w:webHidden/>
          </w:rPr>
          <w:fldChar w:fldCharType="separate"/>
        </w:r>
        <w:r w:rsidR="00343E89">
          <w:rPr>
            <w:i w:val="0"/>
            <w:iCs w:val="0"/>
            <w:webHidden/>
          </w:rPr>
          <w:t>6-32</w:t>
        </w:r>
        <w:r w:rsidRPr="00576B1F">
          <w:rPr>
            <w:i w:val="0"/>
            <w:iCs w:val="0"/>
            <w:webHidden/>
          </w:rPr>
          <w:fldChar w:fldCharType="end"/>
        </w:r>
      </w:hyperlink>
    </w:p>
    <w:p w14:paraId="1AF1D07F" w14:textId="6B8950A0" w:rsidR="00576B1F" w:rsidRPr="00576B1F" w:rsidRDefault="00576B1F">
      <w:pPr>
        <w:pStyle w:val="TOC3"/>
        <w:rPr>
          <w:rFonts w:eastAsiaTheme="minorEastAsia"/>
          <w:i w:val="0"/>
          <w:iCs w:val="0"/>
          <w:kern w:val="2"/>
          <w14:ligatures w14:val="standardContextual"/>
        </w:rPr>
      </w:pPr>
      <w:hyperlink w:anchor="_Toc214878892" w:history="1">
        <w:r w:rsidRPr="00576B1F">
          <w:rPr>
            <w:rStyle w:val="Hyperlink"/>
            <w:i w:val="0"/>
            <w:iCs w:val="0"/>
          </w:rPr>
          <w:t>6.5.4</w:t>
        </w:r>
        <w:r w:rsidRPr="00576B1F">
          <w:rPr>
            <w:rFonts w:eastAsiaTheme="minorEastAsia"/>
            <w:i w:val="0"/>
            <w:iCs w:val="0"/>
            <w:kern w:val="2"/>
            <w14:ligatures w14:val="standardContextual"/>
          </w:rPr>
          <w:tab/>
        </w:r>
        <w:r w:rsidRPr="00576B1F">
          <w:rPr>
            <w:rStyle w:val="Hyperlink"/>
            <w:i w:val="0"/>
            <w:iCs w:val="0"/>
          </w:rPr>
          <w:t>Inadvertent Energy Account</w:t>
        </w:r>
        <w:r w:rsidRPr="00576B1F">
          <w:rPr>
            <w:i w:val="0"/>
            <w:iCs w:val="0"/>
            <w:webHidden/>
          </w:rPr>
          <w:tab/>
        </w:r>
        <w:r w:rsidRPr="00576B1F">
          <w:rPr>
            <w:i w:val="0"/>
            <w:iCs w:val="0"/>
            <w:webHidden/>
          </w:rPr>
          <w:fldChar w:fldCharType="begin"/>
        </w:r>
        <w:r w:rsidRPr="00576B1F">
          <w:rPr>
            <w:i w:val="0"/>
            <w:iCs w:val="0"/>
            <w:webHidden/>
          </w:rPr>
          <w:instrText xml:space="preserve"> PAGEREF _Toc214878892 \h </w:instrText>
        </w:r>
        <w:r w:rsidRPr="00576B1F">
          <w:rPr>
            <w:i w:val="0"/>
            <w:iCs w:val="0"/>
            <w:webHidden/>
          </w:rPr>
        </w:r>
        <w:r w:rsidRPr="00576B1F">
          <w:rPr>
            <w:i w:val="0"/>
            <w:iCs w:val="0"/>
            <w:webHidden/>
          </w:rPr>
          <w:fldChar w:fldCharType="separate"/>
        </w:r>
        <w:r w:rsidR="00343E89">
          <w:rPr>
            <w:i w:val="0"/>
            <w:iCs w:val="0"/>
            <w:webHidden/>
          </w:rPr>
          <w:t>6-33</w:t>
        </w:r>
        <w:r w:rsidRPr="00576B1F">
          <w:rPr>
            <w:i w:val="0"/>
            <w:iCs w:val="0"/>
            <w:webHidden/>
          </w:rPr>
          <w:fldChar w:fldCharType="end"/>
        </w:r>
      </w:hyperlink>
    </w:p>
    <w:p w14:paraId="49D851FB" w14:textId="7315C1F0" w:rsidR="00576B1F" w:rsidRPr="00576B1F" w:rsidRDefault="00576B1F">
      <w:pPr>
        <w:pStyle w:val="TOC3"/>
        <w:rPr>
          <w:rFonts w:eastAsiaTheme="minorEastAsia"/>
          <w:i w:val="0"/>
          <w:iCs w:val="0"/>
          <w:kern w:val="2"/>
          <w14:ligatures w14:val="standardContextual"/>
        </w:rPr>
      </w:pPr>
      <w:hyperlink w:anchor="_Toc214878893" w:history="1">
        <w:r w:rsidRPr="00576B1F">
          <w:rPr>
            <w:rStyle w:val="Hyperlink"/>
            <w:i w:val="0"/>
            <w:iCs w:val="0"/>
          </w:rPr>
          <w:t>6.5.5</w:t>
        </w:r>
        <w:r w:rsidRPr="00576B1F">
          <w:rPr>
            <w:rFonts w:eastAsiaTheme="minorEastAsia"/>
            <w:i w:val="0"/>
            <w:iCs w:val="0"/>
            <w:kern w:val="2"/>
            <w14:ligatures w14:val="standardContextual"/>
          </w:rPr>
          <w:tab/>
        </w:r>
        <w:r w:rsidRPr="00576B1F">
          <w:rPr>
            <w:rStyle w:val="Hyperlink"/>
            <w:i w:val="0"/>
            <w:iCs w:val="0"/>
          </w:rPr>
          <w:t>QSE Activities</w:t>
        </w:r>
        <w:r w:rsidRPr="00576B1F">
          <w:rPr>
            <w:i w:val="0"/>
            <w:iCs w:val="0"/>
            <w:webHidden/>
          </w:rPr>
          <w:tab/>
        </w:r>
        <w:r w:rsidRPr="00576B1F">
          <w:rPr>
            <w:i w:val="0"/>
            <w:iCs w:val="0"/>
            <w:webHidden/>
          </w:rPr>
          <w:fldChar w:fldCharType="begin"/>
        </w:r>
        <w:r w:rsidRPr="00576B1F">
          <w:rPr>
            <w:i w:val="0"/>
            <w:iCs w:val="0"/>
            <w:webHidden/>
          </w:rPr>
          <w:instrText xml:space="preserve"> PAGEREF _Toc214878893 \h </w:instrText>
        </w:r>
        <w:r w:rsidRPr="00576B1F">
          <w:rPr>
            <w:i w:val="0"/>
            <w:iCs w:val="0"/>
            <w:webHidden/>
          </w:rPr>
        </w:r>
        <w:r w:rsidRPr="00576B1F">
          <w:rPr>
            <w:i w:val="0"/>
            <w:iCs w:val="0"/>
            <w:webHidden/>
          </w:rPr>
          <w:fldChar w:fldCharType="separate"/>
        </w:r>
        <w:r w:rsidR="00343E89">
          <w:rPr>
            <w:i w:val="0"/>
            <w:iCs w:val="0"/>
            <w:webHidden/>
          </w:rPr>
          <w:t>6-33</w:t>
        </w:r>
        <w:r w:rsidRPr="00576B1F">
          <w:rPr>
            <w:i w:val="0"/>
            <w:iCs w:val="0"/>
            <w:webHidden/>
          </w:rPr>
          <w:fldChar w:fldCharType="end"/>
        </w:r>
      </w:hyperlink>
    </w:p>
    <w:p w14:paraId="0ACDECB8" w14:textId="4066F79C" w:rsidR="00576B1F" w:rsidRPr="00576B1F" w:rsidRDefault="00576B1F">
      <w:pPr>
        <w:pStyle w:val="TOC4"/>
        <w:rPr>
          <w:rFonts w:eastAsiaTheme="minorEastAsia"/>
          <w:kern w:val="2"/>
          <w:lang w:val="en-US"/>
          <w14:ligatures w14:val="standardContextual"/>
        </w:rPr>
      </w:pPr>
      <w:hyperlink w:anchor="_Toc214878894" w:history="1">
        <w:r w:rsidRPr="00576B1F">
          <w:rPr>
            <w:rStyle w:val="Hyperlink"/>
          </w:rPr>
          <w:t>6.5.5.1</w:t>
        </w:r>
        <w:r w:rsidRPr="00576B1F">
          <w:rPr>
            <w:rFonts w:eastAsiaTheme="minorEastAsia"/>
            <w:kern w:val="2"/>
            <w:lang w:val="en-US"/>
            <w14:ligatures w14:val="standardContextual"/>
          </w:rPr>
          <w:tab/>
        </w:r>
        <w:r w:rsidRPr="00576B1F">
          <w:rPr>
            <w:rStyle w:val="Hyperlink"/>
          </w:rPr>
          <w:t>Changes in Resource Status</w:t>
        </w:r>
        <w:r w:rsidRPr="00576B1F">
          <w:rPr>
            <w:webHidden/>
          </w:rPr>
          <w:tab/>
        </w:r>
        <w:r w:rsidRPr="00576B1F">
          <w:rPr>
            <w:webHidden/>
          </w:rPr>
          <w:fldChar w:fldCharType="begin"/>
        </w:r>
        <w:r w:rsidRPr="00576B1F">
          <w:rPr>
            <w:webHidden/>
          </w:rPr>
          <w:instrText xml:space="preserve"> PAGEREF _Toc214878894 \h </w:instrText>
        </w:r>
        <w:r w:rsidRPr="00576B1F">
          <w:rPr>
            <w:webHidden/>
          </w:rPr>
        </w:r>
        <w:r w:rsidRPr="00576B1F">
          <w:rPr>
            <w:webHidden/>
          </w:rPr>
          <w:fldChar w:fldCharType="separate"/>
        </w:r>
        <w:r w:rsidR="00343E89">
          <w:rPr>
            <w:webHidden/>
          </w:rPr>
          <w:t>6-33</w:t>
        </w:r>
        <w:r w:rsidRPr="00576B1F">
          <w:rPr>
            <w:webHidden/>
          </w:rPr>
          <w:fldChar w:fldCharType="end"/>
        </w:r>
      </w:hyperlink>
    </w:p>
    <w:p w14:paraId="18FEFCDA" w14:textId="4E93FD26" w:rsidR="00576B1F" w:rsidRPr="00576B1F" w:rsidRDefault="00576B1F">
      <w:pPr>
        <w:pStyle w:val="TOC4"/>
        <w:rPr>
          <w:rFonts w:eastAsiaTheme="minorEastAsia"/>
          <w:kern w:val="2"/>
          <w:lang w:val="en-US"/>
          <w14:ligatures w14:val="standardContextual"/>
        </w:rPr>
      </w:pPr>
      <w:hyperlink w:anchor="_Toc214878895" w:history="1">
        <w:r w:rsidRPr="00576B1F">
          <w:rPr>
            <w:rStyle w:val="Hyperlink"/>
          </w:rPr>
          <w:t>6.5.5.2</w:t>
        </w:r>
        <w:r w:rsidRPr="00576B1F">
          <w:rPr>
            <w:rFonts w:eastAsiaTheme="minorEastAsia"/>
            <w:kern w:val="2"/>
            <w:lang w:val="en-US"/>
            <w14:ligatures w14:val="standardContextual"/>
          </w:rPr>
          <w:tab/>
        </w:r>
        <w:r w:rsidRPr="00576B1F">
          <w:rPr>
            <w:rStyle w:val="Hyperlink"/>
          </w:rPr>
          <w:t>Operational Data Requirements</w:t>
        </w:r>
        <w:r w:rsidRPr="00576B1F">
          <w:rPr>
            <w:webHidden/>
          </w:rPr>
          <w:tab/>
        </w:r>
        <w:r w:rsidRPr="00576B1F">
          <w:rPr>
            <w:webHidden/>
          </w:rPr>
          <w:fldChar w:fldCharType="begin"/>
        </w:r>
        <w:r w:rsidRPr="00576B1F">
          <w:rPr>
            <w:webHidden/>
          </w:rPr>
          <w:instrText xml:space="preserve"> PAGEREF _Toc214878895 \h </w:instrText>
        </w:r>
        <w:r w:rsidRPr="00576B1F">
          <w:rPr>
            <w:webHidden/>
          </w:rPr>
        </w:r>
        <w:r w:rsidRPr="00576B1F">
          <w:rPr>
            <w:webHidden/>
          </w:rPr>
          <w:fldChar w:fldCharType="separate"/>
        </w:r>
        <w:r w:rsidR="00343E89">
          <w:rPr>
            <w:webHidden/>
          </w:rPr>
          <w:t>6-35</w:t>
        </w:r>
        <w:r w:rsidRPr="00576B1F">
          <w:rPr>
            <w:webHidden/>
          </w:rPr>
          <w:fldChar w:fldCharType="end"/>
        </w:r>
      </w:hyperlink>
    </w:p>
    <w:p w14:paraId="0936FEE8" w14:textId="79DA59D8" w:rsidR="00576B1F" w:rsidRPr="00576B1F" w:rsidRDefault="00576B1F">
      <w:pPr>
        <w:pStyle w:val="TOC3"/>
        <w:rPr>
          <w:rFonts w:eastAsiaTheme="minorEastAsia"/>
          <w:i w:val="0"/>
          <w:iCs w:val="0"/>
          <w:kern w:val="2"/>
          <w14:ligatures w14:val="standardContextual"/>
        </w:rPr>
      </w:pPr>
      <w:hyperlink w:anchor="_Toc214878896" w:history="1">
        <w:r w:rsidRPr="00576B1F">
          <w:rPr>
            <w:rStyle w:val="Hyperlink"/>
            <w:i w:val="0"/>
            <w:iCs w:val="0"/>
          </w:rPr>
          <w:t>6.5.6</w:t>
        </w:r>
        <w:r w:rsidRPr="00576B1F">
          <w:rPr>
            <w:rFonts w:eastAsiaTheme="minorEastAsia"/>
            <w:i w:val="0"/>
            <w:iCs w:val="0"/>
            <w:kern w:val="2"/>
            <w14:ligatures w14:val="standardContextual"/>
          </w:rPr>
          <w:tab/>
        </w:r>
        <w:r w:rsidRPr="00576B1F">
          <w:rPr>
            <w:rStyle w:val="Hyperlink"/>
            <w:i w:val="0"/>
            <w:iCs w:val="0"/>
          </w:rPr>
          <w:t>TSP and DSP Responsibilities</w:t>
        </w:r>
        <w:r w:rsidRPr="00576B1F">
          <w:rPr>
            <w:i w:val="0"/>
            <w:iCs w:val="0"/>
            <w:webHidden/>
          </w:rPr>
          <w:tab/>
        </w:r>
        <w:r w:rsidRPr="00576B1F">
          <w:rPr>
            <w:i w:val="0"/>
            <w:iCs w:val="0"/>
            <w:webHidden/>
          </w:rPr>
          <w:fldChar w:fldCharType="begin"/>
        </w:r>
        <w:r w:rsidRPr="00576B1F">
          <w:rPr>
            <w:i w:val="0"/>
            <w:iCs w:val="0"/>
            <w:webHidden/>
          </w:rPr>
          <w:instrText xml:space="preserve"> PAGEREF _Toc214878896 \h </w:instrText>
        </w:r>
        <w:r w:rsidRPr="00576B1F">
          <w:rPr>
            <w:i w:val="0"/>
            <w:iCs w:val="0"/>
            <w:webHidden/>
          </w:rPr>
        </w:r>
        <w:r w:rsidRPr="00576B1F">
          <w:rPr>
            <w:i w:val="0"/>
            <w:iCs w:val="0"/>
            <w:webHidden/>
          </w:rPr>
          <w:fldChar w:fldCharType="separate"/>
        </w:r>
        <w:r w:rsidR="00343E89">
          <w:rPr>
            <w:i w:val="0"/>
            <w:iCs w:val="0"/>
            <w:webHidden/>
          </w:rPr>
          <w:t>6-42</w:t>
        </w:r>
        <w:r w:rsidRPr="00576B1F">
          <w:rPr>
            <w:i w:val="0"/>
            <w:iCs w:val="0"/>
            <w:webHidden/>
          </w:rPr>
          <w:fldChar w:fldCharType="end"/>
        </w:r>
      </w:hyperlink>
    </w:p>
    <w:p w14:paraId="1DDDB73E" w14:textId="24F60354" w:rsidR="00576B1F" w:rsidRPr="00576B1F" w:rsidRDefault="00576B1F">
      <w:pPr>
        <w:pStyle w:val="TOC3"/>
        <w:rPr>
          <w:rFonts w:eastAsiaTheme="minorEastAsia"/>
          <w:i w:val="0"/>
          <w:iCs w:val="0"/>
          <w:kern w:val="2"/>
          <w14:ligatures w14:val="standardContextual"/>
        </w:rPr>
      </w:pPr>
      <w:hyperlink w:anchor="_Toc214878897" w:history="1">
        <w:r w:rsidRPr="00576B1F">
          <w:rPr>
            <w:rStyle w:val="Hyperlink"/>
            <w:i w:val="0"/>
            <w:iCs w:val="0"/>
          </w:rPr>
          <w:t>6.5.6</w:t>
        </w:r>
        <w:r w:rsidRPr="00576B1F">
          <w:rPr>
            <w:rFonts w:eastAsiaTheme="minorEastAsia"/>
            <w:i w:val="0"/>
            <w:iCs w:val="0"/>
            <w:kern w:val="2"/>
            <w14:ligatures w14:val="standardContextual"/>
          </w:rPr>
          <w:tab/>
        </w:r>
        <w:r w:rsidRPr="00576B1F">
          <w:rPr>
            <w:rStyle w:val="Hyperlink"/>
            <w:i w:val="0"/>
            <w:iCs w:val="0"/>
          </w:rPr>
          <w:t>TSP, TO, DCTO, and DSP Responsibilities</w:t>
        </w:r>
        <w:r w:rsidRPr="00576B1F">
          <w:rPr>
            <w:i w:val="0"/>
            <w:iCs w:val="0"/>
            <w:webHidden/>
          </w:rPr>
          <w:tab/>
        </w:r>
        <w:r w:rsidRPr="00576B1F">
          <w:rPr>
            <w:i w:val="0"/>
            <w:iCs w:val="0"/>
            <w:webHidden/>
          </w:rPr>
          <w:fldChar w:fldCharType="begin"/>
        </w:r>
        <w:r w:rsidRPr="00576B1F">
          <w:rPr>
            <w:i w:val="0"/>
            <w:iCs w:val="0"/>
            <w:webHidden/>
          </w:rPr>
          <w:instrText xml:space="preserve"> PAGEREF _Toc214878897 \h </w:instrText>
        </w:r>
        <w:r w:rsidRPr="00576B1F">
          <w:rPr>
            <w:i w:val="0"/>
            <w:iCs w:val="0"/>
            <w:webHidden/>
          </w:rPr>
        </w:r>
        <w:r w:rsidRPr="00576B1F">
          <w:rPr>
            <w:i w:val="0"/>
            <w:iCs w:val="0"/>
            <w:webHidden/>
          </w:rPr>
          <w:fldChar w:fldCharType="separate"/>
        </w:r>
        <w:r w:rsidR="00343E89">
          <w:rPr>
            <w:i w:val="0"/>
            <w:iCs w:val="0"/>
            <w:webHidden/>
          </w:rPr>
          <w:t>6-43</w:t>
        </w:r>
        <w:r w:rsidRPr="00576B1F">
          <w:rPr>
            <w:i w:val="0"/>
            <w:iCs w:val="0"/>
            <w:webHidden/>
          </w:rPr>
          <w:fldChar w:fldCharType="end"/>
        </w:r>
      </w:hyperlink>
    </w:p>
    <w:p w14:paraId="5DCB7866" w14:textId="74A0267A" w:rsidR="00576B1F" w:rsidRPr="00576B1F" w:rsidRDefault="00576B1F">
      <w:pPr>
        <w:pStyle w:val="TOC3"/>
        <w:rPr>
          <w:rFonts w:eastAsiaTheme="minorEastAsia"/>
          <w:i w:val="0"/>
          <w:iCs w:val="0"/>
          <w:kern w:val="2"/>
          <w14:ligatures w14:val="standardContextual"/>
        </w:rPr>
      </w:pPr>
      <w:hyperlink w:anchor="_Toc214878898" w:history="1">
        <w:r w:rsidRPr="00576B1F">
          <w:rPr>
            <w:rStyle w:val="Hyperlink"/>
            <w:i w:val="0"/>
            <w:iCs w:val="0"/>
          </w:rPr>
          <w:t>6.5.7</w:t>
        </w:r>
        <w:r w:rsidRPr="00576B1F">
          <w:rPr>
            <w:rFonts w:eastAsiaTheme="minorEastAsia"/>
            <w:i w:val="0"/>
            <w:iCs w:val="0"/>
            <w:kern w:val="2"/>
            <w14:ligatures w14:val="standardContextual"/>
          </w:rPr>
          <w:tab/>
        </w:r>
        <w:r w:rsidRPr="00576B1F">
          <w:rPr>
            <w:rStyle w:val="Hyperlink"/>
            <w:i w:val="0"/>
            <w:iCs w:val="0"/>
          </w:rPr>
          <w:t>Real-Time Sequence Methodology</w:t>
        </w:r>
        <w:r w:rsidRPr="00576B1F">
          <w:rPr>
            <w:i w:val="0"/>
            <w:iCs w:val="0"/>
            <w:webHidden/>
          </w:rPr>
          <w:tab/>
        </w:r>
        <w:r w:rsidRPr="00576B1F">
          <w:rPr>
            <w:i w:val="0"/>
            <w:iCs w:val="0"/>
            <w:webHidden/>
          </w:rPr>
          <w:fldChar w:fldCharType="begin"/>
        </w:r>
        <w:r w:rsidRPr="00576B1F">
          <w:rPr>
            <w:i w:val="0"/>
            <w:iCs w:val="0"/>
            <w:webHidden/>
          </w:rPr>
          <w:instrText xml:space="preserve"> PAGEREF _Toc214878898 \h </w:instrText>
        </w:r>
        <w:r w:rsidRPr="00576B1F">
          <w:rPr>
            <w:i w:val="0"/>
            <w:iCs w:val="0"/>
            <w:webHidden/>
          </w:rPr>
        </w:r>
        <w:r w:rsidRPr="00576B1F">
          <w:rPr>
            <w:i w:val="0"/>
            <w:iCs w:val="0"/>
            <w:webHidden/>
          </w:rPr>
          <w:fldChar w:fldCharType="separate"/>
        </w:r>
        <w:r w:rsidR="00343E89">
          <w:rPr>
            <w:i w:val="0"/>
            <w:iCs w:val="0"/>
            <w:webHidden/>
          </w:rPr>
          <w:t>6-44</w:t>
        </w:r>
        <w:r w:rsidRPr="00576B1F">
          <w:rPr>
            <w:i w:val="0"/>
            <w:iCs w:val="0"/>
            <w:webHidden/>
          </w:rPr>
          <w:fldChar w:fldCharType="end"/>
        </w:r>
      </w:hyperlink>
    </w:p>
    <w:p w14:paraId="61D6C7B4" w14:textId="1B18A8A5" w:rsidR="00576B1F" w:rsidRPr="00576B1F" w:rsidRDefault="00576B1F">
      <w:pPr>
        <w:pStyle w:val="TOC4"/>
        <w:rPr>
          <w:rFonts w:eastAsiaTheme="minorEastAsia"/>
          <w:kern w:val="2"/>
          <w:lang w:val="en-US"/>
          <w14:ligatures w14:val="standardContextual"/>
        </w:rPr>
      </w:pPr>
      <w:hyperlink w:anchor="_Toc214878899" w:history="1">
        <w:r w:rsidRPr="00576B1F">
          <w:rPr>
            <w:rStyle w:val="Hyperlink"/>
          </w:rPr>
          <w:t>6.5.7.1</w:t>
        </w:r>
        <w:r w:rsidRPr="00576B1F">
          <w:rPr>
            <w:rFonts w:eastAsiaTheme="minorEastAsia"/>
            <w:kern w:val="2"/>
            <w:lang w:val="en-US"/>
            <w14:ligatures w14:val="standardContextual"/>
          </w:rPr>
          <w:tab/>
        </w:r>
        <w:r w:rsidRPr="00576B1F">
          <w:rPr>
            <w:rStyle w:val="Hyperlink"/>
          </w:rPr>
          <w:t>Real-Time Sequence</w:t>
        </w:r>
        <w:r w:rsidRPr="00576B1F">
          <w:rPr>
            <w:webHidden/>
          </w:rPr>
          <w:tab/>
        </w:r>
        <w:r w:rsidRPr="00576B1F">
          <w:rPr>
            <w:webHidden/>
          </w:rPr>
          <w:fldChar w:fldCharType="begin"/>
        </w:r>
        <w:r w:rsidRPr="00576B1F">
          <w:rPr>
            <w:webHidden/>
          </w:rPr>
          <w:instrText xml:space="preserve"> PAGEREF _Toc214878899 \h </w:instrText>
        </w:r>
        <w:r w:rsidRPr="00576B1F">
          <w:rPr>
            <w:webHidden/>
          </w:rPr>
        </w:r>
        <w:r w:rsidRPr="00576B1F">
          <w:rPr>
            <w:webHidden/>
          </w:rPr>
          <w:fldChar w:fldCharType="separate"/>
        </w:r>
        <w:r w:rsidR="00343E89">
          <w:rPr>
            <w:webHidden/>
          </w:rPr>
          <w:t>6-44</w:t>
        </w:r>
        <w:r w:rsidRPr="00576B1F">
          <w:rPr>
            <w:webHidden/>
          </w:rPr>
          <w:fldChar w:fldCharType="end"/>
        </w:r>
      </w:hyperlink>
    </w:p>
    <w:p w14:paraId="07B83EC1" w14:textId="0D1C78B4" w:rsidR="00576B1F" w:rsidRPr="00576B1F" w:rsidRDefault="00576B1F">
      <w:pPr>
        <w:pStyle w:val="TOC5"/>
        <w:rPr>
          <w:rFonts w:eastAsiaTheme="minorEastAsia"/>
          <w:i w:val="0"/>
          <w:kern w:val="2"/>
          <w:sz w:val="20"/>
          <w:szCs w:val="20"/>
          <w14:ligatures w14:val="standardContextual"/>
        </w:rPr>
      </w:pPr>
      <w:hyperlink w:anchor="_Toc214878900" w:history="1">
        <w:r w:rsidRPr="00576B1F">
          <w:rPr>
            <w:rStyle w:val="Hyperlink"/>
            <w:i w:val="0"/>
            <w:sz w:val="20"/>
            <w:szCs w:val="20"/>
          </w:rPr>
          <w:t>6.5.7.1.1</w:t>
        </w:r>
        <w:r w:rsidRPr="00576B1F">
          <w:rPr>
            <w:rFonts w:eastAsiaTheme="minorEastAsia"/>
            <w:i w:val="0"/>
            <w:kern w:val="2"/>
            <w:sz w:val="20"/>
            <w:szCs w:val="20"/>
            <w14:ligatures w14:val="standardContextual"/>
          </w:rPr>
          <w:tab/>
        </w:r>
        <w:r w:rsidRPr="00576B1F">
          <w:rPr>
            <w:rStyle w:val="Hyperlink"/>
            <w:i w:val="0"/>
            <w:sz w:val="20"/>
            <w:szCs w:val="20"/>
          </w:rPr>
          <w:t>SCADA Telemetry</w:t>
        </w:r>
        <w:r w:rsidRPr="00576B1F">
          <w:rPr>
            <w:i w:val="0"/>
            <w:webHidden/>
            <w:sz w:val="20"/>
            <w:szCs w:val="20"/>
          </w:rPr>
          <w:tab/>
        </w:r>
        <w:r w:rsidRPr="00576B1F">
          <w:rPr>
            <w:i w:val="0"/>
            <w:webHidden/>
            <w:sz w:val="20"/>
            <w:szCs w:val="20"/>
          </w:rPr>
          <w:fldChar w:fldCharType="begin"/>
        </w:r>
        <w:r w:rsidRPr="00576B1F">
          <w:rPr>
            <w:i w:val="0"/>
            <w:webHidden/>
            <w:sz w:val="20"/>
            <w:szCs w:val="20"/>
          </w:rPr>
          <w:instrText xml:space="preserve"> PAGEREF _Toc214878900 \h </w:instrText>
        </w:r>
        <w:r w:rsidRPr="00576B1F">
          <w:rPr>
            <w:i w:val="0"/>
            <w:webHidden/>
            <w:sz w:val="20"/>
            <w:szCs w:val="20"/>
          </w:rPr>
        </w:r>
        <w:r w:rsidRPr="00576B1F">
          <w:rPr>
            <w:i w:val="0"/>
            <w:webHidden/>
            <w:sz w:val="20"/>
            <w:szCs w:val="20"/>
          </w:rPr>
          <w:fldChar w:fldCharType="separate"/>
        </w:r>
        <w:r w:rsidR="00343E89">
          <w:rPr>
            <w:i w:val="0"/>
            <w:webHidden/>
            <w:sz w:val="20"/>
            <w:szCs w:val="20"/>
          </w:rPr>
          <w:t>6-45</w:t>
        </w:r>
        <w:r w:rsidRPr="00576B1F">
          <w:rPr>
            <w:i w:val="0"/>
            <w:webHidden/>
            <w:sz w:val="20"/>
            <w:szCs w:val="20"/>
          </w:rPr>
          <w:fldChar w:fldCharType="end"/>
        </w:r>
      </w:hyperlink>
    </w:p>
    <w:p w14:paraId="424C16FA" w14:textId="422DB152" w:rsidR="00576B1F" w:rsidRPr="00576B1F" w:rsidRDefault="00576B1F">
      <w:pPr>
        <w:pStyle w:val="TOC5"/>
        <w:rPr>
          <w:rFonts w:eastAsiaTheme="minorEastAsia"/>
          <w:i w:val="0"/>
          <w:kern w:val="2"/>
          <w:sz w:val="20"/>
          <w:szCs w:val="20"/>
          <w14:ligatures w14:val="standardContextual"/>
        </w:rPr>
      </w:pPr>
      <w:hyperlink w:anchor="_Toc214878901" w:history="1">
        <w:r w:rsidRPr="00576B1F">
          <w:rPr>
            <w:rStyle w:val="Hyperlink"/>
            <w:i w:val="0"/>
            <w:sz w:val="20"/>
            <w:szCs w:val="20"/>
          </w:rPr>
          <w:t>6.5.7.1.2</w:t>
        </w:r>
        <w:r w:rsidRPr="00576B1F">
          <w:rPr>
            <w:rFonts w:eastAsiaTheme="minorEastAsia"/>
            <w:i w:val="0"/>
            <w:kern w:val="2"/>
            <w:sz w:val="20"/>
            <w:szCs w:val="20"/>
            <w14:ligatures w14:val="standardContextual"/>
          </w:rPr>
          <w:tab/>
        </w:r>
        <w:r w:rsidRPr="00576B1F">
          <w:rPr>
            <w:rStyle w:val="Hyperlink"/>
            <w:i w:val="0"/>
            <w:sz w:val="20"/>
            <w:szCs w:val="20"/>
          </w:rPr>
          <w:t>Network Topology Builder</w:t>
        </w:r>
        <w:r w:rsidRPr="00576B1F">
          <w:rPr>
            <w:i w:val="0"/>
            <w:webHidden/>
            <w:sz w:val="20"/>
            <w:szCs w:val="20"/>
          </w:rPr>
          <w:tab/>
        </w:r>
        <w:r w:rsidRPr="00576B1F">
          <w:rPr>
            <w:i w:val="0"/>
            <w:webHidden/>
            <w:sz w:val="20"/>
            <w:szCs w:val="20"/>
          </w:rPr>
          <w:fldChar w:fldCharType="begin"/>
        </w:r>
        <w:r w:rsidRPr="00576B1F">
          <w:rPr>
            <w:i w:val="0"/>
            <w:webHidden/>
            <w:sz w:val="20"/>
            <w:szCs w:val="20"/>
          </w:rPr>
          <w:instrText xml:space="preserve"> PAGEREF _Toc214878901 \h </w:instrText>
        </w:r>
        <w:r w:rsidRPr="00576B1F">
          <w:rPr>
            <w:i w:val="0"/>
            <w:webHidden/>
            <w:sz w:val="20"/>
            <w:szCs w:val="20"/>
          </w:rPr>
        </w:r>
        <w:r w:rsidRPr="00576B1F">
          <w:rPr>
            <w:i w:val="0"/>
            <w:webHidden/>
            <w:sz w:val="20"/>
            <w:szCs w:val="20"/>
          </w:rPr>
          <w:fldChar w:fldCharType="separate"/>
        </w:r>
        <w:r w:rsidR="00343E89">
          <w:rPr>
            <w:i w:val="0"/>
            <w:webHidden/>
            <w:sz w:val="20"/>
            <w:szCs w:val="20"/>
          </w:rPr>
          <w:t>6-45</w:t>
        </w:r>
        <w:r w:rsidRPr="00576B1F">
          <w:rPr>
            <w:i w:val="0"/>
            <w:webHidden/>
            <w:sz w:val="20"/>
            <w:szCs w:val="20"/>
          </w:rPr>
          <w:fldChar w:fldCharType="end"/>
        </w:r>
      </w:hyperlink>
    </w:p>
    <w:p w14:paraId="7C1A5CBE" w14:textId="25BBEA9E" w:rsidR="00576B1F" w:rsidRPr="00576B1F" w:rsidRDefault="00576B1F">
      <w:pPr>
        <w:pStyle w:val="TOC5"/>
        <w:rPr>
          <w:rFonts w:eastAsiaTheme="minorEastAsia"/>
          <w:i w:val="0"/>
          <w:kern w:val="2"/>
          <w:sz w:val="20"/>
          <w:szCs w:val="20"/>
          <w14:ligatures w14:val="standardContextual"/>
        </w:rPr>
      </w:pPr>
      <w:hyperlink w:anchor="_Toc214878902" w:history="1">
        <w:r w:rsidRPr="00576B1F">
          <w:rPr>
            <w:rStyle w:val="Hyperlink"/>
            <w:i w:val="0"/>
            <w:sz w:val="20"/>
            <w:szCs w:val="20"/>
          </w:rPr>
          <w:t>6.5.7.1.3</w:t>
        </w:r>
        <w:r w:rsidRPr="00576B1F">
          <w:rPr>
            <w:rFonts w:eastAsiaTheme="minorEastAsia"/>
            <w:i w:val="0"/>
            <w:kern w:val="2"/>
            <w:sz w:val="20"/>
            <w:szCs w:val="20"/>
            <w14:ligatures w14:val="standardContextual"/>
          </w:rPr>
          <w:tab/>
        </w:r>
        <w:r w:rsidRPr="00576B1F">
          <w:rPr>
            <w:rStyle w:val="Hyperlink"/>
            <w:i w:val="0"/>
            <w:sz w:val="20"/>
            <w:szCs w:val="20"/>
          </w:rPr>
          <w:t>Bus Load Forecast</w:t>
        </w:r>
        <w:r w:rsidRPr="00576B1F">
          <w:rPr>
            <w:i w:val="0"/>
            <w:webHidden/>
            <w:sz w:val="20"/>
            <w:szCs w:val="20"/>
          </w:rPr>
          <w:tab/>
        </w:r>
        <w:r w:rsidRPr="00576B1F">
          <w:rPr>
            <w:i w:val="0"/>
            <w:webHidden/>
            <w:sz w:val="20"/>
            <w:szCs w:val="20"/>
          </w:rPr>
          <w:fldChar w:fldCharType="begin"/>
        </w:r>
        <w:r w:rsidRPr="00576B1F">
          <w:rPr>
            <w:i w:val="0"/>
            <w:webHidden/>
            <w:sz w:val="20"/>
            <w:szCs w:val="20"/>
          </w:rPr>
          <w:instrText xml:space="preserve"> PAGEREF _Toc214878902 \h </w:instrText>
        </w:r>
        <w:r w:rsidRPr="00576B1F">
          <w:rPr>
            <w:i w:val="0"/>
            <w:webHidden/>
            <w:sz w:val="20"/>
            <w:szCs w:val="20"/>
          </w:rPr>
        </w:r>
        <w:r w:rsidRPr="00576B1F">
          <w:rPr>
            <w:i w:val="0"/>
            <w:webHidden/>
            <w:sz w:val="20"/>
            <w:szCs w:val="20"/>
          </w:rPr>
          <w:fldChar w:fldCharType="separate"/>
        </w:r>
        <w:r w:rsidR="00343E89">
          <w:rPr>
            <w:i w:val="0"/>
            <w:webHidden/>
            <w:sz w:val="20"/>
            <w:szCs w:val="20"/>
          </w:rPr>
          <w:t>6-45</w:t>
        </w:r>
        <w:r w:rsidRPr="00576B1F">
          <w:rPr>
            <w:i w:val="0"/>
            <w:webHidden/>
            <w:sz w:val="20"/>
            <w:szCs w:val="20"/>
          </w:rPr>
          <w:fldChar w:fldCharType="end"/>
        </w:r>
      </w:hyperlink>
    </w:p>
    <w:p w14:paraId="1A64E2C1" w14:textId="3EDAAFBF" w:rsidR="00576B1F" w:rsidRPr="00576B1F" w:rsidRDefault="00576B1F">
      <w:pPr>
        <w:pStyle w:val="TOC5"/>
        <w:rPr>
          <w:rFonts w:eastAsiaTheme="minorEastAsia"/>
          <w:i w:val="0"/>
          <w:kern w:val="2"/>
          <w:sz w:val="20"/>
          <w:szCs w:val="20"/>
          <w14:ligatures w14:val="standardContextual"/>
        </w:rPr>
      </w:pPr>
      <w:hyperlink w:anchor="_Toc214878903" w:history="1">
        <w:r w:rsidRPr="00576B1F">
          <w:rPr>
            <w:rStyle w:val="Hyperlink"/>
            <w:i w:val="0"/>
            <w:sz w:val="20"/>
            <w:szCs w:val="20"/>
          </w:rPr>
          <w:t>6.5.7.1.4</w:t>
        </w:r>
        <w:r w:rsidRPr="00576B1F">
          <w:rPr>
            <w:rFonts w:eastAsiaTheme="minorEastAsia"/>
            <w:i w:val="0"/>
            <w:kern w:val="2"/>
            <w:sz w:val="20"/>
            <w:szCs w:val="20"/>
            <w14:ligatures w14:val="standardContextual"/>
          </w:rPr>
          <w:tab/>
        </w:r>
        <w:r w:rsidRPr="00576B1F">
          <w:rPr>
            <w:rStyle w:val="Hyperlink"/>
            <w:i w:val="0"/>
            <w:sz w:val="20"/>
            <w:szCs w:val="20"/>
          </w:rPr>
          <w:t>State Estimator</w:t>
        </w:r>
        <w:r w:rsidRPr="00576B1F">
          <w:rPr>
            <w:i w:val="0"/>
            <w:webHidden/>
            <w:sz w:val="20"/>
            <w:szCs w:val="20"/>
          </w:rPr>
          <w:tab/>
        </w:r>
        <w:r w:rsidRPr="00576B1F">
          <w:rPr>
            <w:i w:val="0"/>
            <w:webHidden/>
            <w:sz w:val="20"/>
            <w:szCs w:val="20"/>
          </w:rPr>
          <w:fldChar w:fldCharType="begin"/>
        </w:r>
        <w:r w:rsidRPr="00576B1F">
          <w:rPr>
            <w:i w:val="0"/>
            <w:webHidden/>
            <w:sz w:val="20"/>
            <w:szCs w:val="20"/>
          </w:rPr>
          <w:instrText xml:space="preserve"> PAGEREF _Toc214878903 \h </w:instrText>
        </w:r>
        <w:r w:rsidRPr="00576B1F">
          <w:rPr>
            <w:i w:val="0"/>
            <w:webHidden/>
            <w:sz w:val="20"/>
            <w:szCs w:val="20"/>
          </w:rPr>
        </w:r>
        <w:r w:rsidRPr="00576B1F">
          <w:rPr>
            <w:i w:val="0"/>
            <w:webHidden/>
            <w:sz w:val="20"/>
            <w:szCs w:val="20"/>
          </w:rPr>
          <w:fldChar w:fldCharType="separate"/>
        </w:r>
        <w:r w:rsidR="00343E89">
          <w:rPr>
            <w:i w:val="0"/>
            <w:webHidden/>
            <w:sz w:val="20"/>
            <w:szCs w:val="20"/>
          </w:rPr>
          <w:t>6-45</w:t>
        </w:r>
        <w:r w:rsidRPr="00576B1F">
          <w:rPr>
            <w:i w:val="0"/>
            <w:webHidden/>
            <w:sz w:val="20"/>
            <w:szCs w:val="20"/>
          </w:rPr>
          <w:fldChar w:fldCharType="end"/>
        </w:r>
      </w:hyperlink>
    </w:p>
    <w:p w14:paraId="2B5BD829" w14:textId="47562441" w:rsidR="00576B1F" w:rsidRPr="00576B1F" w:rsidRDefault="00576B1F">
      <w:pPr>
        <w:pStyle w:val="TOC5"/>
        <w:rPr>
          <w:rFonts w:eastAsiaTheme="minorEastAsia"/>
          <w:i w:val="0"/>
          <w:kern w:val="2"/>
          <w:sz w:val="20"/>
          <w:szCs w:val="20"/>
          <w14:ligatures w14:val="standardContextual"/>
        </w:rPr>
      </w:pPr>
      <w:hyperlink w:anchor="_Toc214878904" w:history="1">
        <w:r w:rsidRPr="00576B1F">
          <w:rPr>
            <w:rStyle w:val="Hyperlink"/>
            <w:i w:val="0"/>
            <w:sz w:val="20"/>
            <w:szCs w:val="20"/>
          </w:rPr>
          <w:t>6.5.7.1.5</w:t>
        </w:r>
        <w:r w:rsidRPr="00576B1F">
          <w:rPr>
            <w:rFonts w:eastAsiaTheme="minorEastAsia"/>
            <w:i w:val="0"/>
            <w:kern w:val="2"/>
            <w:sz w:val="20"/>
            <w:szCs w:val="20"/>
            <w14:ligatures w14:val="standardContextual"/>
          </w:rPr>
          <w:tab/>
        </w:r>
        <w:r w:rsidRPr="00576B1F">
          <w:rPr>
            <w:rStyle w:val="Hyperlink"/>
            <w:i w:val="0"/>
            <w:sz w:val="20"/>
            <w:szCs w:val="20"/>
          </w:rPr>
          <w:t>Topology Consistency Analyzer</w:t>
        </w:r>
        <w:r w:rsidRPr="00576B1F">
          <w:rPr>
            <w:i w:val="0"/>
            <w:webHidden/>
            <w:sz w:val="20"/>
            <w:szCs w:val="20"/>
          </w:rPr>
          <w:tab/>
        </w:r>
        <w:r w:rsidRPr="00576B1F">
          <w:rPr>
            <w:i w:val="0"/>
            <w:webHidden/>
            <w:sz w:val="20"/>
            <w:szCs w:val="20"/>
          </w:rPr>
          <w:fldChar w:fldCharType="begin"/>
        </w:r>
        <w:r w:rsidRPr="00576B1F">
          <w:rPr>
            <w:i w:val="0"/>
            <w:webHidden/>
            <w:sz w:val="20"/>
            <w:szCs w:val="20"/>
          </w:rPr>
          <w:instrText xml:space="preserve"> PAGEREF _Toc214878904 \h </w:instrText>
        </w:r>
        <w:r w:rsidRPr="00576B1F">
          <w:rPr>
            <w:i w:val="0"/>
            <w:webHidden/>
            <w:sz w:val="20"/>
            <w:szCs w:val="20"/>
          </w:rPr>
        </w:r>
        <w:r w:rsidRPr="00576B1F">
          <w:rPr>
            <w:i w:val="0"/>
            <w:webHidden/>
            <w:sz w:val="20"/>
            <w:szCs w:val="20"/>
          </w:rPr>
          <w:fldChar w:fldCharType="separate"/>
        </w:r>
        <w:r w:rsidR="00343E89">
          <w:rPr>
            <w:i w:val="0"/>
            <w:webHidden/>
            <w:sz w:val="20"/>
            <w:szCs w:val="20"/>
          </w:rPr>
          <w:t>6-45</w:t>
        </w:r>
        <w:r w:rsidRPr="00576B1F">
          <w:rPr>
            <w:i w:val="0"/>
            <w:webHidden/>
            <w:sz w:val="20"/>
            <w:szCs w:val="20"/>
          </w:rPr>
          <w:fldChar w:fldCharType="end"/>
        </w:r>
      </w:hyperlink>
    </w:p>
    <w:p w14:paraId="7D8072C2" w14:textId="0CC0DAEF" w:rsidR="00576B1F" w:rsidRPr="00576B1F" w:rsidRDefault="00576B1F">
      <w:pPr>
        <w:pStyle w:val="TOC5"/>
        <w:rPr>
          <w:rFonts w:eastAsiaTheme="minorEastAsia"/>
          <w:i w:val="0"/>
          <w:kern w:val="2"/>
          <w:sz w:val="20"/>
          <w:szCs w:val="20"/>
          <w14:ligatures w14:val="standardContextual"/>
        </w:rPr>
      </w:pPr>
      <w:hyperlink w:anchor="_Toc214878905" w:history="1">
        <w:r w:rsidRPr="00576B1F">
          <w:rPr>
            <w:rStyle w:val="Hyperlink"/>
            <w:i w:val="0"/>
            <w:sz w:val="20"/>
            <w:szCs w:val="20"/>
          </w:rPr>
          <w:t>6.5.7.1.6</w:t>
        </w:r>
        <w:r w:rsidRPr="00576B1F">
          <w:rPr>
            <w:rFonts w:eastAsiaTheme="minorEastAsia"/>
            <w:i w:val="0"/>
            <w:kern w:val="2"/>
            <w:sz w:val="20"/>
            <w:szCs w:val="20"/>
            <w14:ligatures w14:val="standardContextual"/>
          </w:rPr>
          <w:tab/>
        </w:r>
        <w:r w:rsidRPr="00576B1F">
          <w:rPr>
            <w:rStyle w:val="Hyperlink"/>
            <w:i w:val="0"/>
            <w:sz w:val="20"/>
            <w:szCs w:val="20"/>
          </w:rPr>
          <w:t>Breakers/Switch Status Alarm Processor and Forced Outage Detection Processor</w:t>
        </w:r>
        <w:r w:rsidRPr="00576B1F">
          <w:rPr>
            <w:i w:val="0"/>
            <w:webHidden/>
            <w:sz w:val="20"/>
            <w:szCs w:val="20"/>
          </w:rPr>
          <w:tab/>
        </w:r>
        <w:r w:rsidRPr="00576B1F">
          <w:rPr>
            <w:i w:val="0"/>
            <w:webHidden/>
            <w:sz w:val="20"/>
            <w:szCs w:val="20"/>
          </w:rPr>
          <w:fldChar w:fldCharType="begin"/>
        </w:r>
        <w:r w:rsidRPr="00576B1F">
          <w:rPr>
            <w:i w:val="0"/>
            <w:webHidden/>
            <w:sz w:val="20"/>
            <w:szCs w:val="20"/>
          </w:rPr>
          <w:instrText xml:space="preserve"> PAGEREF _Toc214878905 \h </w:instrText>
        </w:r>
        <w:r w:rsidRPr="00576B1F">
          <w:rPr>
            <w:i w:val="0"/>
            <w:webHidden/>
            <w:sz w:val="20"/>
            <w:szCs w:val="20"/>
          </w:rPr>
        </w:r>
        <w:r w:rsidRPr="00576B1F">
          <w:rPr>
            <w:i w:val="0"/>
            <w:webHidden/>
            <w:sz w:val="20"/>
            <w:szCs w:val="20"/>
          </w:rPr>
          <w:fldChar w:fldCharType="separate"/>
        </w:r>
        <w:r w:rsidR="00343E89">
          <w:rPr>
            <w:i w:val="0"/>
            <w:webHidden/>
            <w:sz w:val="20"/>
            <w:szCs w:val="20"/>
          </w:rPr>
          <w:t>6-46</w:t>
        </w:r>
        <w:r w:rsidRPr="00576B1F">
          <w:rPr>
            <w:i w:val="0"/>
            <w:webHidden/>
            <w:sz w:val="20"/>
            <w:szCs w:val="20"/>
          </w:rPr>
          <w:fldChar w:fldCharType="end"/>
        </w:r>
      </w:hyperlink>
    </w:p>
    <w:p w14:paraId="43BF82D3" w14:textId="0B13F0B1" w:rsidR="00576B1F" w:rsidRPr="00576B1F" w:rsidRDefault="00576B1F">
      <w:pPr>
        <w:pStyle w:val="TOC5"/>
        <w:rPr>
          <w:rFonts w:eastAsiaTheme="minorEastAsia"/>
          <w:i w:val="0"/>
          <w:kern w:val="2"/>
          <w:sz w:val="20"/>
          <w:szCs w:val="20"/>
          <w14:ligatures w14:val="standardContextual"/>
        </w:rPr>
      </w:pPr>
      <w:hyperlink w:anchor="_Toc214878906" w:history="1">
        <w:r w:rsidRPr="00576B1F">
          <w:rPr>
            <w:rStyle w:val="Hyperlink"/>
            <w:i w:val="0"/>
            <w:sz w:val="20"/>
            <w:szCs w:val="20"/>
          </w:rPr>
          <w:t>6.5.7.1.7</w:t>
        </w:r>
        <w:r w:rsidRPr="00576B1F">
          <w:rPr>
            <w:rFonts w:eastAsiaTheme="minorEastAsia"/>
            <w:i w:val="0"/>
            <w:kern w:val="2"/>
            <w:sz w:val="20"/>
            <w:szCs w:val="20"/>
            <w14:ligatures w14:val="standardContextual"/>
          </w:rPr>
          <w:tab/>
        </w:r>
        <w:r w:rsidRPr="00576B1F">
          <w:rPr>
            <w:rStyle w:val="Hyperlink"/>
            <w:i w:val="0"/>
            <w:sz w:val="20"/>
            <w:szCs w:val="20"/>
          </w:rPr>
          <w:t>Real-Time Weather and Dynamic Rating Processor</w:t>
        </w:r>
        <w:r w:rsidRPr="00576B1F">
          <w:rPr>
            <w:i w:val="0"/>
            <w:webHidden/>
            <w:sz w:val="20"/>
            <w:szCs w:val="20"/>
          </w:rPr>
          <w:tab/>
        </w:r>
        <w:r w:rsidRPr="00576B1F">
          <w:rPr>
            <w:i w:val="0"/>
            <w:webHidden/>
            <w:sz w:val="20"/>
            <w:szCs w:val="20"/>
          </w:rPr>
          <w:fldChar w:fldCharType="begin"/>
        </w:r>
        <w:r w:rsidRPr="00576B1F">
          <w:rPr>
            <w:i w:val="0"/>
            <w:webHidden/>
            <w:sz w:val="20"/>
            <w:szCs w:val="20"/>
          </w:rPr>
          <w:instrText xml:space="preserve"> PAGEREF _Toc214878906 \h </w:instrText>
        </w:r>
        <w:r w:rsidRPr="00576B1F">
          <w:rPr>
            <w:i w:val="0"/>
            <w:webHidden/>
            <w:sz w:val="20"/>
            <w:szCs w:val="20"/>
          </w:rPr>
        </w:r>
        <w:r w:rsidRPr="00576B1F">
          <w:rPr>
            <w:i w:val="0"/>
            <w:webHidden/>
            <w:sz w:val="20"/>
            <w:szCs w:val="20"/>
          </w:rPr>
          <w:fldChar w:fldCharType="separate"/>
        </w:r>
        <w:r w:rsidR="00343E89">
          <w:rPr>
            <w:i w:val="0"/>
            <w:webHidden/>
            <w:sz w:val="20"/>
            <w:szCs w:val="20"/>
          </w:rPr>
          <w:t>6-46</w:t>
        </w:r>
        <w:r w:rsidRPr="00576B1F">
          <w:rPr>
            <w:i w:val="0"/>
            <w:webHidden/>
            <w:sz w:val="20"/>
            <w:szCs w:val="20"/>
          </w:rPr>
          <w:fldChar w:fldCharType="end"/>
        </w:r>
      </w:hyperlink>
    </w:p>
    <w:p w14:paraId="250AA65B" w14:textId="35922692" w:rsidR="00576B1F" w:rsidRPr="00576B1F" w:rsidRDefault="00576B1F">
      <w:pPr>
        <w:pStyle w:val="TOC5"/>
        <w:rPr>
          <w:rFonts w:eastAsiaTheme="minorEastAsia"/>
          <w:i w:val="0"/>
          <w:kern w:val="2"/>
          <w:sz w:val="20"/>
          <w:szCs w:val="20"/>
          <w14:ligatures w14:val="standardContextual"/>
        </w:rPr>
      </w:pPr>
      <w:hyperlink w:anchor="_Toc214878907" w:history="1">
        <w:r w:rsidRPr="00576B1F">
          <w:rPr>
            <w:rStyle w:val="Hyperlink"/>
            <w:i w:val="0"/>
            <w:sz w:val="20"/>
            <w:szCs w:val="20"/>
          </w:rPr>
          <w:t>6.5.7.1.8</w:t>
        </w:r>
        <w:r w:rsidRPr="00576B1F">
          <w:rPr>
            <w:rFonts w:eastAsiaTheme="minorEastAsia"/>
            <w:i w:val="0"/>
            <w:kern w:val="2"/>
            <w:sz w:val="20"/>
            <w:szCs w:val="20"/>
            <w14:ligatures w14:val="standardContextual"/>
          </w:rPr>
          <w:tab/>
        </w:r>
        <w:r w:rsidRPr="00576B1F">
          <w:rPr>
            <w:rStyle w:val="Hyperlink"/>
            <w:i w:val="0"/>
            <w:sz w:val="20"/>
            <w:szCs w:val="20"/>
          </w:rPr>
          <w:t>Overload Alarm Processor</w:t>
        </w:r>
        <w:r w:rsidRPr="00576B1F">
          <w:rPr>
            <w:i w:val="0"/>
            <w:webHidden/>
            <w:sz w:val="20"/>
            <w:szCs w:val="20"/>
          </w:rPr>
          <w:tab/>
        </w:r>
        <w:r w:rsidRPr="00576B1F">
          <w:rPr>
            <w:i w:val="0"/>
            <w:webHidden/>
            <w:sz w:val="20"/>
            <w:szCs w:val="20"/>
          </w:rPr>
          <w:fldChar w:fldCharType="begin"/>
        </w:r>
        <w:r w:rsidRPr="00576B1F">
          <w:rPr>
            <w:i w:val="0"/>
            <w:webHidden/>
            <w:sz w:val="20"/>
            <w:szCs w:val="20"/>
          </w:rPr>
          <w:instrText xml:space="preserve"> PAGEREF _Toc214878907 \h </w:instrText>
        </w:r>
        <w:r w:rsidRPr="00576B1F">
          <w:rPr>
            <w:i w:val="0"/>
            <w:webHidden/>
            <w:sz w:val="20"/>
            <w:szCs w:val="20"/>
          </w:rPr>
        </w:r>
        <w:r w:rsidRPr="00576B1F">
          <w:rPr>
            <w:i w:val="0"/>
            <w:webHidden/>
            <w:sz w:val="20"/>
            <w:szCs w:val="20"/>
          </w:rPr>
          <w:fldChar w:fldCharType="separate"/>
        </w:r>
        <w:r w:rsidR="00343E89">
          <w:rPr>
            <w:i w:val="0"/>
            <w:webHidden/>
            <w:sz w:val="20"/>
            <w:szCs w:val="20"/>
          </w:rPr>
          <w:t>6-47</w:t>
        </w:r>
        <w:r w:rsidRPr="00576B1F">
          <w:rPr>
            <w:i w:val="0"/>
            <w:webHidden/>
            <w:sz w:val="20"/>
            <w:szCs w:val="20"/>
          </w:rPr>
          <w:fldChar w:fldCharType="end"/>
        </w:r>
      </w:hyperlink>
    </w:p>
    <w:p w14:paraId="249CB266" w14:textId="17A61BBD" w:rsidR="00576B1F" w:rsidRPr="00576B1F" w:rsidRDefault="00576B1F">
      <w:pPr>
        <w:pStyle w:val="TOC5"/>
        <w:rPr>
          <w:rFonts w:eastAsiaTheme="minorEastAsia"/>
          <w:i w:val="0"/>
          <w:kern w:val="2"/>
          <w:sz w:val="20"/>
          <w:szCs w:val="20"/>
          <w14:ligatures w14:val="standardContextual"/>
        </w:rPr>
      </w:pPr>
      <w:hyperlink w:anchor="_Toc214878908" w:history="1">
        <w:r w:rsidRPr="00576B1F">
          <w:rPr>
            <w:rStyle w:val="Hyperlink"/>
            <w:i w:val="0"/>
            <w:sz w:val="20"/>
            <w:szCs w:val="20"/>
          </w:rPr>
          <w:t>6.5.7.1.9</w:t>
        </w:r>
        <w:r w:rsidRPr="00576B1F">
          <w:rPr>
            <w:rFonts w:eastAsiaTheme="minorEastAsia"/>
            <w:i w:val="0"/>
            <w:kern w:val="2"/>
            <w:sz w:val="20"/>
            <w:szCs w:val="20"/>
            <w14:ligatures w14:val="standardContextual"/>
          </w:rPr>
          <w:tab/>
        </w:r>
        <w:r w:rsidRPr="00576B1F">
          <w:rPr>
            <w:rStyle w:val="Hyperlink"/>
            <w:i w:val="0"/>
            <w:sz w:val="20"/>
            <w:szCs w:val="20"/>
          </w:rPr>
          <w:t>Contingency List and Contingency Screening</w:t>
        </w:r>
        <w:r w:rsidRPr="00576B1F">
          <w:rPr>
            <w:i w:val="0"/>
            <w:webHidden/>
            <w:sz w:val="20"/>
            <w:szCs w:val="20"/>
          </w:rPr>
          <w:tab/>
        </w:r>
        <w:r w:rsidRPr="00576B1F">
          <w:rPr>
            <w:i w:val="0"/>
            <w:webHidden/>
            <w:sz w:val="20"/>
            <w:szCs w:val="20"/>
          </w:rPr>
          <w:fldChar w:fldCharType="begin"/>
        </w:r>
        <w:r w:rsidRPr="00576B1F">
          <w:rPr>
            <w:i w:val="0"/>
            <w:webHidden/>
            <w:sz w:val="20"/>
            <w:szCs w:val="20"/>
          </w:rPr>
          <w:instrText xml:space="preserve"> PAGEREF _Toc214878908 \h </w:instrText>
        </w:r>
        <w:r w:rsidRPr="00576B1F">
          <w:rPr>
            <w:i w:val="0"/>
            <w:webHidden/>
            <w:sz w:val="20"/>
            <w:szCs w:val="20"/>
          </w:rPr>
        </w:r>
        <w:r w:rsidRPr="00576B1F">
          <w:rPr>
            <w:i w:val="0"/>
            <w:webHidden/>
            <w:sz w:val="20"/>
            <w:szCs w:val="20"/>
          </w:rPr>
          <w:fldChar w:fldCharType="separate"/>
        </w:r>
        <w:r w:rsidR="00343E89">
          <w:rPr>
            <w:i w:val="0"/>
            <w:webHidden/>
            <w:sz w:val="20"/>
            <w:szCs w:val="20"/>
          </w:rPr>
          <w:t>6-47</w:t>
        </w:r>
        <w:r w:rsidRPr="00576B1F">
          <w:rPr>
            <w:i w:val="0"/>
            <w:webHidden/>
            <w:sz w:val="20"/>
            <w:szCs w:val="20"/>
          </w:rPr>
          <w:fldChar w:fldCharType="end"/>
        </w:r>
      </w:hyperlink>
    </w:p>
    <w:p w14:paraId="2A74B585" w14:textId="53A5A77A" w:rsidR="00576B1F" w:rsidRPr="00576B1F" w:rsidRDefault="00576B1F">
      <w:pPr>
        <w:pStyle w:val="TOC5"/>
        <w:rPr>
          <w:rFonts w:eastAsiaTheme="minorEastAsia"/>
          <w:i w:val="0"/>
          <w:kern w:val="2"/>
          <w:sz w:val="20"/>
          <w:szCs w:val="20"/>
          <w14:ligatures w14:val="standardContextual"/>
        </w:rPr>
      </w:pPr>
      <w:hyperlink w:anchor="_Toc214878909" w:history="1">
        <w:r w:rsidRPr="00576B1F">
          <w:rPr>
            <w:rStyle w:val="Hyperlink"/>
            <w:i w:val="0"/>
            <w:sz w:val="20"/>
            <w:szCs w:val="20"/>
          </w:rPr>
          <w:t>6.5.7.1.10</w:t>
        </w:r>
        <w:r w:rsidRPr="00576B1F">
          <w:rPr>
            <w:rFonts w:eastAsiaTheme="minorEastAsia"/>
            <w:i w:val="0"/>
            <w:kern w:val="2"/>
            <w:sz w:val="20"/>
            <w:szCs w:val="20"/>
            <w14:ligatures w14:val="standardContextual"/>
          </w:rPr>
          <w:tab/>
        </w:r>
        <w:r w:rsidRPr="00576B1F">
          <w:rPr>
            <w:rStyle w:val="Hyperlink"/>
            <w:i w:val="0"/>
            <w:sz w:val="20"/>
            <w:szCs w:val="20"/>
          </w:rPr>
          <w:t>Network Security Analysis Processor and Security Violation Alarm</w:t>
        </w:r>
        <w:r w:rsidRPr="00576B1F">
          <w:rPr>
            <w:i w:val="0"/>
            <w:webHidden/>
            <w:sz w:val="20"/>
            <w:szCs w:val="20"/>
          </w:rPr>
          <w:tab/>
        </w:r>
        <w:r w:rsidRPr="00576B1F">
          <w:rPr>
            <w:i w:val="0"/>
            <w:webHidden/>
            <w:sz w:val="20"/>
            <w:szCs w:val="20"/>
          </w:rPr>
          <w:fldChar w:fldCharType="begin"/>
        </w:r>
        <w:r w:rsidRPr="00576B1F">
          <w:rPr>
            <w:i w:val="0"/>
            <w:webHidden/>
            <w:sz w:val="20"/>
            <w:szCs w:val="20"/>
          </w:rPr>
          <w:instrText xml:space="preserve"> PAGEREF _Toc214878909 \h </w:instrText>
        </w:r>
        <w:r w:rsidRPr="00576B1F">
          <w:rPr>
            <w:i w:val="0"/>
            <w:webHidden/>
            <w:sz w:val="20"/>
            <w:szCs w:val="20"/>
          </w:rPr>
        </w:r>
        <w:r w:rsidRPr="00576B1F">
          <w:rPr>
            <w:i w:val="0"/>
            <w:webHidden/>
            <w:sz w:val="20"/>
            <w:szCs w:val="20"/>
          </w:rPr>
          <w:fldChar w:fldCharType="separate"/>
        </w:r>
        <w:r w:rsidR="00343E89">
          <w:rPr>
            <w:i w:val="0"/>
            <w:webHidden/>
            <w:sz w:val="20"/>
            <w:szCs w:val="20"/>
          </w:rPr>
          <w:t>6-47</w:t>
        </w:r>
        <w:r w:rsidRPr="00576B1F">
          <w:rPr>
            <w:i w:val="0"/>
            <w:webHidden/>
            <w:sz w:val="20"/>
            <w:szCs w:val="20"/>
          </w:rPr>
          <w:fldChar w:fldCharType="end"/>
        </w:r>
      </w:hyperlink>
    </w:p>
    <w:p w14:paraId="5A646736" w14:textId="79845334" w:rsidR="00576B1F" w:rsidRPr="00576B1F" w:rsidRDefault="00576B1F">
      <w:pPr>
        <w:pStyle w:val="TOC5"/>
        <w:rPr>
          <w:rFonts w:eastAsiaTheme="minorEastAsia"/>
          <w:i w:val="0"/>
          <w:kern w:val="2"/>
          <w:sz w:val="20"/>
          <w:szCs w:val="20"/>
          <w14:ligatures w14:val="standardContextual"/>
        </w:rPr>
      </w:pPr>
      <w:hyperlink w:anchor="_Toc214878910" w:history="1">
        <w:r w:rsidRPr="00576B1F">
          <w:rPr>
            <w:rStyle w:val="Hyperlink"/>
            <w:i w:val="0"/>
            <w:sz w:val="20"/>
            <w:szCs w:val="20"/>
          </w:rPr>
          <w:t>6.5.7.1.11</w:t>
        </w:r>
        <w:r w:rsidRPr="00576B1F">
          <w:rPr>
            <w:rFonts w:eastAsiaTheme="minorEastAsia"/>
            <w:i w:val="0"/>
            <w:kern w:val="2"/>
            <w:sz w:val="20"/>
            <w:szCs w:val="20"/>
            <w14:ligatures w14:val="standardContextual"/>
          </w:rPr>
          <w:tab/>
        </w:r>
        <w:r w:rsidRPr="00576B1F">
          <w:rPr>
            <w:rStyle w:val="Hyperlink"/>
            <w:i w:val="0"/>
            <w:sz w:val="20"/>
            <w:szCs w:val="20"/>
          </w:rPr>
          <w:t>Transmission Network and Power Balance Constraint Management</w:t>
        </w:r>
        <w:r w:rsidRPr="00576B1F">
          <w:rPr>
            <w:i w:val="0"/>
            <w:webHidden/>
            <w:sz w:val="20"/>
            <w:szCs w:val="20"/>
          </w:rPr>
          <w:tab/>
        </w:r>
        <w:r w:rsidRPr="00576B1F">
          <w:rPr>
            <w:i w:val="0"/>
            <w:webHidden/>
            <w:sz w:val="20"/>
            <w:szCs w:val="20"/>
          </w:rPr>
          <w:fldChar w:fldCharType="begin"/>
        </w:r>
        <w:r w:rsidRPr="00576B1F">
          <w:rPr>
            <w:i w:val="0"/>
            <w:webHidden/>
            <w:sz w:val="20"/>
            <w:szCs w:val="20"/>
          </w:rPr>
          <w:instrText xml:space="preserve"> PAGEREF _Toc214878910 \h </w:instrText>
        </w:r>
        <w:r w:rsidRPr="00576B1F">
          <w:rPr>
            <w:i w:val="0"/>
            <w:webHidden/>
            <w:sz w:val="20"/>
            <w:szCs w:val="20"/>
          </w:rPr>
        </w:r>
        <w:r w:rsidRPr="00576B1F">
          <w:rPr>
            <w:i w:val="0"/>
            <w:webHidden/>
            <w:sz w:val="20"/>
            <w:szCs w:val="20"/>
          </w:rPr>
          <w:fldChar w:fldCharType="separate"/>
        </w:r>
        <w:r w:rsidR="00343E89">
          <w:rPr>
            <w:i w:val="0"/>
            <w:webHidden/>
            <w:sz w:val="20"/>
            <w:szCs w:val="20"/>
          </w:rPr>
          <w:t>6-49</w:t>
        </w:r>
        <w:r w:rsidRPr="00576B1F">
          <w:rPr>
            <w:i w:val="0"/>
            <w:webHidden/>
            <w:sz w:val="20"/>
            <w:szCs w:val="20"/>
          </w:rPr>
          <w:fldChar w:fldCharType="end"/>
        </w:r>
      </w:hyperlink>
    </w:p>
    <w:p w14:paraId="58D86FC9" w14:textId="4F31AE8F" w:rsidR="00576B1F" w:rsidRPr="00576B1F" w:rsidRDefault="00576B1F">
      <w:pPr>
        <w:pStyle w:val="TOC5"/>
        <w:rPr>
          <w:rFonts w:eastAsiaTheme="minorEastAsia"/>
          <w:i w:val="0"/>
          <w:kern w:val="2"/>
          <w:sz w:val="20"/>
          <w:szCs w:val="20"/>
          <w14:ligatures w14:val="standardContextual"/>
        </w:rPr>
      </w:pPr>
      <w:hyperlink w:anchor="_Toc214878911" w:history="1">
        <w:r w:rsidRPr="00576B1F">
          <w:rPr>
            <w:rStyle w:val="Hyperlink"/>
            <w:i w:val="0"/>
            <w:sz w:val="20"/>
            <w:szCs w:val="20"/>
          </w:rPr>
          <w:t>6.5.7.1.12</w:t>
        </w:r>
        <w:r w:rsidRPr="00576B1F">
          <w:rPr>
            <w:rFonts w:eastAsiaTheme="minorEastAsia"/>
            <w:i w:val="0"/>
            <w:kern w:val="2"/>
            <w:sz w:val="20"/>
            <w:szCs w:val="20"/>
            <w14:ligatures w14:val="standardContextual"/>
          </w:rPr>
          <w:tab/>
        </w:r>
        <w:r w:rsidRPr="00576B1F">
          <w:rPr>
            <w:rStyle w:val="Hyperlink"/>
            <w:i w:val="0"/>
            <w:sz w:val="20"/>
            <w:szCs w:val="20"/>
          </w:rPr>
          <w:t>Resource Limits</w:t>
        </w:r>
        <w:r w:rsidRPr="00576B1F">
          <w:rPr>
            <w:i w:val="0"/>
            <w:webHidden/>
            <w:sz w:val="20"/>
            <w:szCs w:val="20"/>
          </w:rPr>
          <w:tab/>
        </w:r>
        <w:r w:rsidRPr="00576B1F">
          <w:rPr>
            <w:i w:val="0"/>
            <w:webHidden/>
            <w:sz w:val="20"/>
            <w:szCs w:val="20"/>
          </w:rPr>
          <w:fldChar w:fldCharType="begin"/>
        </w:r>
        <w:r w:rsidRPr="00576B1F">
          <w:rPr>
            <w:i w:val="0"/>
            <w:webHidden/>
            <w:sz w:val="20"/>
            <w:szCs w:val="20"/>
          </w:rPr>
          <w:instrText xml:space="preserve"> PAGEREF _Toc214878911 \h </w:instrText>
        </w:r>
        <w:r w:rsidRPr="00576B1F">
          <w:rPr>
            <w:i w:val="0"/>
            <w:webHidden/>
            <w:sz w:val="20"/>
            <w:szCs w:val="20"/>
          </w:rPr>
        </w:r>
        <w:r w:rsidRPr="00576B1F">
          <w:rPr>
            <w:i w:val="0"/>
            <w:webHidden/>
            <w:sz w:val="20"/>
            <w:szCs w:val="20"/>
          </w:rPr>
          <w:fldChar w:fldCharType="separate"/>
        </w:r>
        <w:r w:rsidR="00343E89">
          <w:rPr>
            <w:i w:val="0"/>
            <w:webHidden/>
            <w:sz w:val="20"/>
            <w:szCs w:val="20"/>
          </w:rPr>
          <w:t>6-50</w:t>
        </w:r>
        <w:r w:rsidRPr="00576B1F">
          <w:rPr>
            <w:i w:val="0"/>
            <w:webHidden/>
            <w:sz w:val="20"/>
            <w:szCs w:val="20"/>
          </w:rPr>
          <w:fldChar w:fldCharType="end"/>
        </w:r>
      </w:hyperlink>
    </w:p>
    <w:p w14:paraId="024564D0" w14:textId="660ED3FE" w:rsidR="00576B1F" w:rsidRPr="00576B1F" w:rsidRDefault="00576B1F">
      <w:pPr>
        <w:pStyle w:val="TOC5"/>
        <w:rPr>
          <w:rFonts w:eastAsiaTheme="minorEastAsia"/>
          <w:i w:val="0"/>
          <w:kern w:val="2"/>
          <w:sz w:val="20"/>
          <w:szCs w:val="20"/>
          <w14:ligatures w14:val="standardContextual"/>
        </w:rPr>
      </w:pPr>
      <w:hyperlink w:anchor="_Toc214878912" w:history="1">
        <w:r w:rsidRPr="00576B1F">
          <w:rPr>
            <w:rStyle w:val="Hyperlink"/>
            <w:i w:val="0"/>
            <w:sz w:val="20"/>
            <w:szCs w:val="20"/>
          </w:rPr>
          <w:t>6.5.7.1.13</w:t>
        </w:r>
        <w:r w:rsidRPr="00576B1F">
          <w:rPr>
            <w:rFonts w:eastAsiaTheme="minorEastAsia"/>
            <w:i w:val="0"/>
            <w:kern w:val="2"/>
            <w:sz w:val="20"/>
            <w:szCs w:val="20"/>
            <w14:ligatures w14:val="standardContextual"/>
          </w:rPr>
          <w:tab/>
        </w:r>
        <w:r w:rsidRPr="00576B1F">
          <w:rPr>
            <w:rStyle w:val="Hyperlink"/>
            <w:i w:val="0"/>
            <w:sz w:val="20"/>
            <w:szCs w:val="20"/>
          </w:rPr>
          <w:t>Data Inputs and Outputs for the Real-Time Sequence and SCED</w:t>
        </w:r>
        <w:r w:rsidRPr="00576B1F">
          <w:rPr>
            <w:i w:val="0"/>
            <w:webHidden/>
            <w:sz w:val="20"/>
            <w:szCs w:val="20"/>
          </w:rPr>
          <w:tab/>
        </w:r>
        <w:r w:rsidRPr="00576B1F">
          <w:rPr>
            <w:i w:val="0"/>
            <w:webHidden/>
            <w:sz w:val="20"/>
            <w:szCs w:val="20"/>
          </w:rPr>
          <w:fldChar w:fldCharType="begin"/>
        </w:r>
        <w:r w:rsidRPr="00576B1F">
          <w:rPr>
            <w:i w:val="0"/>
            <w:webHidden/>
            <w:sz w:val="20"/>
            <w:szCs w:val="20"/>
          </w:rPr>
          <w:instrText xml:space="preserve"> PAGEREF _Toc214878912 \h </w:instrText>
        </w:r>
        <w:r w:rsidRPr="00576B1F">
          <w:rPr>
            <w:i w:val="0"/>
            <w:webHidden/>
            <w:sz w:val="20"/>
            <w:szCs w:val="20"/>
          </w:rPr>
        </w:r>
        <w:r w:rsidRPr="00576B1F">
          <w:rPr>
            <w:i w:val="0"/>
            <w:webHidden/>
            <w:sz w:val="20"/>
            <w:szCs w:val="20"/>
          </w:rPr>
          <w:fldChar w:fldCharType="separate"/>
        </w:r>
        <w:r w:rsidR="00343E89">
          <w:rPr>
            <w:i w:val="0"/>
            <w:webHidden/>
            <w:sz w:val="20"/>
            <w:szCs w:val="20"/>
          </w:rPr>
          <w:t>6-51</w:t>
        </w:r>
        <w:r w:rsidRPr="00576B1F">
          <w:rPr>
            <w:i w:val="0"/>
            <w:webHidden/>
            <w:sz w:val="20"/>
            <w:szCs w:val="20"/>
          </w:rPr>
          <w:fldChar w:fldCharType="end"/>
        </w:r>
      </w:hyperlink>
    </w:p>
    <w:p w14:paraId="3B393D87" w14:textId="1A0050AC" w:rsidR="00576B1F" w:rsidRPr="00576B1F" w:rsidRDefault="00576B1F">
      <w:pPr>
        <w:pStyle w:val="TOC4"/>
        <w:rPr>
          <w:rFonts w:eastAsiaTheme="minorEastAsia"/>
          <w:kern w:val="2"/>
          <w:lang w:val="en-US"/>
          <w14:ligatures w14:val="standardContextual"/>
        </w:rPr>
      </w:pPr>
      <w:hyperlink w:anchor="_Toc214878913" w:history="1">
        <w:r w:rsidRPr="00576B1F">
          <w:rPr>
            <w:rStyle w:val="Hyperlink"/>
          </w:rPr>
          <w:t>6.5.7.2</w:t>
        </w:r>
        <w:r w:rsidRPr="00576B1F">
          <w:rPr>
            <w:rFonts w:eastAsiaTheme="minorEastAsia"/>
            <w:kern w:val="2"/>
            <w:lang w:val="en-US"/>
            <w14:ligatures w14:val="standardContextual"/>
          </w:rPr>
          <w:tab/>
        </w:r>
        <w:r w:rsidRPr="00576B1F">
          <w:rPr>
            <w:rStyle w:val="Hyperlink"/>
          </w:rPr>
          <w:t>Resource Limit Calculator</w:t>
        </w:r>
        <w:r w:rsidRPr="00576B1F">
          <w:rPr>
            <w:webHidden/>
          </w:rPr>
          <w:tab/>
        </w:r>
        <w:r w:rsidRPr="00576B1F">
          <w:rPr>
            <w:webHidden/>
          </w:rPr>
          <w:fldChar w:fldCharType="begin"/>
        </w:r>
        <w:r w:rsidRPr="00576B1F">
          <w:rPr>
            <w:webHidden/>
          </w:rPr>
          <w:instrText xml:space="preserve"> PAGEREF _Toc214878913 \h </w:instrText>
        </w:r>
        <w:r w:rsidRPr="00576B1F">
          <w:rPr>
            <w:webHidden/>
          </w:rPr>
        </w:r>
        <w:r w:rsidRPr="00576B1F">
          <w:rPr>
            <w:webHidden/>
          </w:rPr>
          <w:fldChar w:fldCharType="separate"/>
        </w:r>
        <w:r w:rsidR="00343E89">
          <w:rPr>
            <w:webHidden/>
          </w:rPr>
          <w:t>6-55</w:t>
        </w:r>
        <w:r w:rsidRPr="00576B1F">
          <w:rPr>
            <w:webHidden/>
          </w:rPr>
          <w:fldChar w:fldCharType="end"/>
        </w:r>
      </w:hyperlink>
    </w:p>
    <w:p w14:paraId="1DFA4634" w14:textId="67C75624" w:rsidR="00576B1F" w:rsidRPr="00576B1F" w:rsidRDefault="00576B1F">
      <w:pPr>
        <w:pStyle w:val="TOC4"/>
        <w:rPr>
          <w:rFonts w:eastAsiaTheme="minorEastAsia"/>
          <w:kern w:val="2"/>
          <w:lang w:val="en-US"/>
          <w14:ligatures w14:val="standardContextual"/>
        </w:rPr>
      </w:pPr>
      <w:hyperlink w:anchor="_Toc214878914" w:history="1">
        <w:r w:rsidRPr="00576B1F">
          <w:rPr>
            <w:rStyle w:val="Hyperlink"/>
          </w:rPr>
          <w:t>6.5.7.3</w:t>
        </w:r>
        <w:r w:rsidRPr="00576B1F">
          <w:rPr>
            <w:rFonts w:eastAsiaTheme="minorEastAsia"/>
            <w:kern w:val="2"/>
            <w:lang w:val="en-US"/>
            <w14:ligatures w14:val="standardContextual"/>
          </w:rPr>
          <w:tab/>
        </w:r>
        <w:r w:rsidRPr="00576B1F">
          <w:rPr>
            <w:rStyle w:val="Hyperlink"/>
          </w:rPr>
          <w:t>Security Constrained Economic Dispatch</w:t>
        </w:r>
        <w:r w:rsidRPr="00576B1F">
          <w:rPr>
            <w:webHidden/>
          </w:rPr>
          <w:tab/>
        </w:r>
        <w:r w:rsidRPr="00576B1F">
          <w:rPr>
            <w:webHidden/>
          </w:rPr>
          <w:fldChar w:fldCharType="begin"/>
        </w:r>
        <w:r w:rsidRPr="00576B1F">
          <w:rPr>
            <w:webHidden/>
          </w:rPr>
          <w:instrText xml:space="preserve"> PAGEREF _Toc214878914 \h </w:instrText>
        </w:r>
        <w:r w:rsidRPr="00576B1F">
          <w:rPr>
            <w:webHidden/>
          </w:rPr>
        </w:r>
        <w:r w:rsidRPr="00576B1F">
          <w:rPr>
            <w:webHidden/>
          </w:rPr>
          <w:fldChar w:fldCharType="separate"/>
        </w:r>
        <w:r w:rsidR="00343E89">
          <w:rPr>
            <w:webHidden/>
          </w:rPr>
          <w:t>6-58</w:t>
        </w:r>
        <w:r w:rsidRPr="00576B1F">
          <w:rPr>
            <w:webHidden/>
          </w:rPr>
          <w:fldChar w:fldCharType="end"/>
        </w:r>
      </w:hyperlink>
    </w:p>
    <w:p w14:paraId="2564016C" w14:textId="07E5D148" w:rsidR="00576B1F" w:rsidRPr="00576B1F" w:rsidRDefault="00576B1F">
      <w:pPr>
        <w:pStyle w:val="TOC5"/>
        <w:rPr>
          <w:rFonts w:eastAsiaTheme="minorEastAsia"/>
          <w:i w:val="0"/>
          <w:kern w:val="2"/>
          <w:sz w:val="20"/>
          <w:szCs w:val="20"/>
          <w14:ligatures w14:val="standardContextual"/>
        </w:rPr>
      </w:pPr>
      <w:hyperlink w:anchor="_Toc214878915" w:history="1">
        <w:r w:rsidRPr="00576B1F">
          <w:rPr>
            <w:rStyle w:val="Hyperlink"/>
            <w:i w:val="0"/>
            <w:snapToGrid w:val="0"/>
            <w:sz w:val="20"/>
            <w:szCs w:val="20"/>
          </w:rPr>
          <w:t>6.5.7.3.1</w:t>
        </w:r>
        <w:r w:rsidRPr="00576B1F">
          <w:rPr>
            <w:rFonts w:eastAsiaTheme="minorEastAsia"/>
            <w:i w:val="0"/>
            <w:kern w:val="2"/>
            <w:sz w:val="20"/>
            <w:szCs w:val="20"/>
            <w14:ligatures w14:val="standardContextual"/>
          </w:rPr>
          <w:tab/>
        </w:r>
        <w:r w:rsidRPr="00576B1F">
          <w:rPr>
            <w:rStyle w:val="Hyperlink"/>
            <w:i w:val="0"/>
            <w:snapToGrid w:val="0"/>
            <w:sz w:val="20"/>
            <w:szCs w:val="20"/>
          </w:rPr>
          <w:t>Determination of Real-Time Reliability Deployment Price Adders</w:t>
        </w:r>
        <w:r w:rsidRPr="00576B1F">
          <w:rPr>
            <w:i w:val="0"/>
            <w:webHidden/>
            <w:sz w:val="20"/>
            <w:szCs w:val="20"/>
          </w:rPr>
          <w:tab/>
        </w:r>
        <w:r w:rsidRPr="00576B1F">
          <w:rPr>
            <w:i w:val="0"/>
            <w:webHidden/>
            <w:sz w:val="20"/>
            <w:szCs w:val="20"/>
          </w:rPr>
          <w:fldChar w:fldCharType="begin"/>
        </w:r>
        <w:r w:rsidRPr="00576B1F">
          <w:rPr>
            <w:i w:val="0"/>
            <w:webHidden/>
            <w:sz w:val="20"/>
            <w:szCs w:val="20"/>
          </w:rPr>
          <w:instrText xml:space="preserve"> PAGEREF _Toc214878915 \h </w:instrText>
        </w:r>
        <w:r w:rsidRPr="00576B1F">
          <w:rPr>
            <w:i w:val="0"/>
            <w:webHidden/>
            <w:sz w:val="20"/>
            <w:szCs w:val="20"/>
          </w:rPr>
        </w:r>
        <w:r w:rsidRPr="00576B1F">
          <w:rPr>
            <w:i w:val="0"/>
            <w:webHidden/>
            <w:sz w:val="20"/>
            <w:szCs w:val="20"/>
          </w:rPr>
          <w:fldChar w:fldCharType="separate"/>
        </w:r>
        <w:r w:rsidR="00343E89">
          <w:rPr>
            <w:i w:val="0"/>
            <w:webHidden/>
            <w:sz w:val="20"/>
            <w:szCs w:val="20"/>
          </w:rPr>
          <w:t>6-73</w:t>
        </w:r>
        <w:r w:rsidRPr="00576B1F">
          <w:rPr>
            <w:i w:val="0"/>
            <w:webHidden/>
            <w:sz w:val="20"/>
            <w:szCs w:val="20"/>
          </w:rPr>
          <w:fldChar w:fldCharType="end"/>
        </w:r>
      </w:hyperlink>
    </w:p>
    <w:p w14:paraId="08975F7C" w14:textId="457FBDFB" w:rsidR="00576B1F" w:rsidRPr="00576B1F" w:rsidRDefault="00576B1F">
      <w:pPr>
        <w:pStyle w:val="TOC4"/>
        <w:rPr>
          <w:rFonts w:eastAsiaTheme="minorEastAsia"/>
          <w:kern w:val="2"/>
          <w:lang w:val="en-US"/>
          <w14:ligatures w14:val="standardContextual"/>
        </w:rPr>
      </w:pPr>
      <w:hyperlink w:anchor="_Toc214878916" w:history="1">
        <w:r w:rsidRPr="00576B1F">
          <w:rPr>
            <w:rStyle w:val="Hyperlink"/>
          </w:rPr>
          <w:t>6.5.7.4</w:t>
        </w:r>
        <w:r w:rsidRPr="00576B1F">
          <w:rPr>
            <w:rFonts w:eastAsiaTheme="minorEastAsia"/>
            <w:kern w:val="2"/>
            <w:lang w:val="en-US"/>
            <w14:ligatures w14:val="standardContextual"/>
          </w:rPr>
          <w:tab/>
        </w:r>
        <w:r w:rsidRPr="00576B1F">
          <w:rPr>
            <w:rStyle w:val="Hyperlink"/>
          </w:rPr>
          <w:t>Base Points</w:t>
        </w:r>
        <w:r w:rsidRPr="00576B1F">
          <w:rPr>
            <w:webHidden/>
          </w:rPr>
          <w:tab/>
        </w:r>
        <w:r w:rsidRPr="00576B1F">
          <w:rPr>
            <w:webHidden/>
          </w:rPr>
          <w:fldChar w:fldCharType="begin"/>
        </w:r>
        <w:r w:rsidRPr="00576B1F">
          <w:rPr>
            <w:webHidden/>
          </w:rPr>
          <w:instrText xml:space="preserve"> PAGEREF _Toc214878916 \h </w:instrText>
        </w:r>
        <w:r w:rsidRPr="00576B1F">
          <w:rPr>
            <w:webHidden/>
          </w:rPr>
        </w:r>
        <w:r w:rsidRPr="00576B1F">
          <w:rPr>
            <w:webHidden/>
          </w:rPr>
          <w:fldChar w:fldCharType="separate"/>
        </w:r>
        <w:r w:rsidR="00343E89">
          <w:rPr>
            <w:webHidden/>
          </w:rPr>
          <w:t>6-81</w:t>
        </w:r>
        <w:r w:rsidRPr="00576B1F">
          <w:rPr>
            <w:webHidden/>
          </w:rPr>
          <w:fldChar w:fldCharType="end"/>
        </w:r>
      </w:hyperlink>
    </w:p>
    <w:p w14:paraId="3236C3F5" w14:textId="012A8C8D" w:rsidR="00576B1F" w:rsidRPr="00576B1F" w:rsidRDefault="00576B1F">
      <w:pPr>
        <w:pStyle w:val="TOC5"/>
        <w:rPr>
          <w:rFonts w:eastAsiaTheme="minorEastAsia"/>
          <w:i w:val="0"/>
          <w:kern w:val="2"/>
          <w:sz w:val="20"/>
          <w:szCs w:val="20"/>
          <w14:ligatures w14:val="standardContextual"/>
        </w:rPr>
      </w:pPr>
      <w:hyperlink w:anchor="_Toc214878917" w:history="1">
        <w:r w:rsidRPr="00576B1F">
          <w:rPr>
            <w:rStyle w:val="Hyperlink"/>
            <w:i w:val="0"/>
            <w:snapToGrid w:val="0"/>
            <w:sz w:val="20"/>
            <w:szCs w:val="20"/>
          </w:rPr>
          <w:t>6.5.7.4.1</w:t>
        </w:r>
        <w:r w:rsidRPr="00576B1F">
          <w:rPr>
            <w:rFonts w:eastAsiaTheme="minorEastAsia"/>
            <w:i w:val="0"/>
            <w:kern w:val="2"/>
            <w:sz w:val="20"/>
            <w:szCs w:val="20"/>
            <w14:ligatures w14:val="standardContextual"/>
          </w:rPr>
          <w:tab/>
        </w:r>
        <w:r w:rsidRPr="00576B1F">
          <w:rPr>
            <w:rStyle w:val="Hyperlink"/>
            <w:i w:val="0"/>
            <w:snapToGrid w:val="0"/>
            <w:sz w:val="20"/>
            <w:szCs w:val="20"/>
          </w:rPr>
          <w:t>Updated Desired Set Points</w:t>
        </w:r>
        <w:r w:rsidRPr="00576B1F">
          <w:rPr>
            <w:i w:val="0"/>
            <w:webHidden/>
            <w:sz w:val="20"/>
            <w:szCs w:val="20"/>
          </w:rPr>
          <w:tab/>
        </w:r>
        <w:r w:rsidRPr="00576B1F">
          <w:rPr>
            <w:i w:val="0"/>
            <w:webHidden/>
            <w:sz w:val="20"/>
            <w:szCs w:val="20"/>
          </w:rPr>
          <w:fldChar w:fldCharType="begin"/>
        </w:r>
        <w:r w:rsidRPr="00576B1F">
          <w:rPr>
            <w:i w:val="0"/>
            <w:webHidden/>
            <w:sz w:val="20"/>
            <w:szCs w:val="20"/>
          </w:rPr>
          <w:instrText xml:space="preserve"> PAGEREF _Toc214878917 \h </w:instrText>
        </w:r>
        <w:r w:rsidRPr="00576B1F">
          <w:rPr>
            <w:i w:val="0"/>
            <w:webHidden/>
            <w:sz w:val="20"/>
            <w:szCs w:val="20"/>
          </w:rPr>
        </w:r>
        <w:r w:rsidRPr="00576B1F">
          <w:rPr>
            <w:i w:val="0"/>
            <w:webHidden/>
            <w:sz w:val="20"/>
            <w:szCs w:val="20"/>
          </w:rPr>
          <w:fldChar w:fldCharType="separate"/>
        </w:r>
        <w:r w:rsidR="00343E89">
          <w:rPr>
            <w:i w:val="0"/>
            <w:webHidden/>
            <w:sz w:val="20"/>
            <w:szCs w:val="20"/>
          </w:rPr>
          <w:t>6-82</w:t>
        </w:r>
        <w:r w:rsidRPr="00576B1F">
          <w:rPr>
            <w:i w:val="0"/>
            <w:webHidden/>
            <w:sz w:val="20"/>
            <w:szCs w:val="20"/>
          </w:rPr>
          <w:fldChar w:fldCharType="end"/>
        </w:r>
      </w:hyperlink>
    </w:p>
    <w:p w14:paraId="7A085269" w14:textId="2A6984BB" w:rsidR="00576B1F" w:rsidRPr="00576B1F" w:rsidRDefault="00576B1F">
      <w:pPr>
        <w:pStyle w:val="TOC4"/>
        <w:rPr>
          <w:rFonts w:eastAsiaTheme="minorEastAsia"/>
          <w:kern w:val="2"/>
          <w:lang w:val="en-US"/>
          <w14:ligatures w14:val="standardContextual"/>
        </w:rPr>
      </w:pPr>
      <w:hyperlink w:anchor="_Toc214878918" w:history="1">
        <w:r w:rsidRPr="00576B1F">
          <w:rPr>
            <w:rStyle w:val="Hyperlink"/>
          </w:rPr>
          <w:t>6.5.7.5</w:t>
        </w:r>
        <w:r w:rsidRPr="00576B1F">
          <w:rPr>
            <w:rFonts w:eastAsiaTheme="minorEastAsia"/>
            <w:kern w:val="2"/>
            <w:lang w:val="en-US"/>
            <w14:ligatures w14:val="standardContextual"/>
          </w:rPr>
          <w:tab/>
        </w:r>
        <w:r w:rsidRPr="00576B1F">
          <w:rPr>
            <w:rStyle w:val="Hyperlink"/>
          </w:rPr>
          <w:t>Ancillary Services Capacity Monitor</w:t>
        </w:r>
        <w:r w:rsidRPr="00576B1F">
          <w:rPr>
            <w:webHidden/>
          </w:rPr>
          <w:tab/>
        </w:r>
        <w:r w:rsidRPr="00576B1F">
          <w:rPr>
            <w:webHidden/>
          </w:rPr>
          <w:fldChar w:fldCharType="begin"/>
        </w:r>
        <w:r w:rsidRPr="00576B1F">
          <w:rPr>
            <w:webHidden/>
          </w:rPr>
          <w:instrText xml:space="preserve"> PAGEREF _Toc214878918 \h </w:instrText>
        </w:r>
        <w:r w:rsidRPr="00576B1F">
          <w:rPr>
            <w:webHidden/>
          </w:rPr>
        </w:r>
        <w:r w:rsidRPr="00576B1F">
          <w:rPr>
            <w:webHidden/>
          </w:rPr>
          <w:fldChar w:fldCharType="separate"/>
        </w:r>
        <w:r w:rsidR="00343E89">
          <w:rPr>
            <w:webHidden/>
          </w:rPr>
          <w:t>6-82</w:t>
        </w:r>
        <w:r w:rsidRPr="00576B1F">
          <w:rPr>
            <w:webHidden/>
          </w:rPr>
          <w:fldChar w:fldCharType="end"/>
        </w:r>
      </w:hyperlink>
    </w:p>
    <w:p w14:paraId="2C4E8021" w14:textId="2947A03D" w:rsidR="00576B1F" w:rsidRPr="00576B1F" w:rsidRDefault="00576B1F">
      <w:pPr>
        <w:pStyle w:val="TOC4"/>
        <w:rPr>
          <w:rFonts w:eastAsiaTheme="minorEastAsia"/>
          <w:kern w:val="2"/>
          <w:lang w:val="en-US"/>
          <w14:ligatures w14:val="standardContextual"/>
        </w:rPr>
      </w:pPr>
      <w:hyperlink w:anchor="_Toc214878919" w:history="1">
        <w:r w:rsidRPr="00576B1F">
          <w:rPr>
            <w:rStyle w:val="Hyperlink"/>
          </w:rPr>
          <w:t>6.5.7.6</w:t>
        </w:r>
        <w:r w:rsidRPr="00576B1F">
          <w:rPr>
            <w:rFonts w:eastAsiaTheme="minorEastAsia"/>
            <w:kern w:val="2"/>
            <w:lang w:val="en-US"/>
            <w14:ligatures w14:val="standardContextual"/>
          </w:rPr>
          <w:tab/>
        </w:r>
        <w:r w:rsidRPr="00576B1F">
          <w:rPr>
            <w:rStyle w:val="Hyperlink"/>
          </w:rPr>
          <w:t>Load Frequency Control</w:t>
        </w:r>
        <w:r w:rsidRPr="00576B1F">
          <w:rPr>
            <w:webHidden/>
          </w:rPr>
          <w:tab/>
        </w:r>
        <w:r w:rsidRPr="00576B1F">
          <w:rPr>
            <w:webHidden/>
          </w:rPr>
          <w:fldChar w:fldCharType="begin"/>
        </w:r>
        <w:r w:rsidRPr="00576B1F">
          <w:rPr>
            <w:webHidden/>
          </w:rPr>
          <w:instrText xml:space="preserve"> PAGEREF _Toc214878919 \h </w:instrText>
        </w:r>
        <w:r w:rsidRPr="00576B1F">
          <w:rPr>
            <w:webHidden/>
          </w:rPr>
        </w:r>
        <w:r w:rsidRPr="00576B1F">
          <w:rPr>
            <w:webHidden/>
          </w:rPr>
          <w:fldChar w:fldCharType="separate"/>
        </w:r>
        <w:r w:rsidR="00343E89">
          <w:rPr>
            <w:webHidden/>
          </w:rPr>
          <w:t>6-90</w:t>
        </w:r>
        <w:r w:rsidRPr="00576B1F">
          <w:rPr>
            <w:webHidden/>
          </w:rPr>
          <w:fldChar w:fldCharType="end"/>
        </w:r>
      </w:hyperlink>
    </w:p>
    <w:p w14:paraId="5A9640BD" w14:textId="2755B277" w:rsidR="00576B1F" w:rsidRPr="00576B1F" w:rsidRDefault="00576B1F">
      <w:pPr>
        <w:pStyle w:val="TOC5"/>
        <w:rPr>
          <w:rFonts w:eastAsiaTheme="minorEastAsia"/>
          <w:i w:val="0"/>
          <w:kern w:val="2"/>
          <w:sz w:val="20"/>
          <w:szCs w:val="20"/>
          <w14:ligatures w14:val="standardContextual"/>
        </w:rPr>
      </w:pPr>
      <w:hyperlink w:anchor="_Toc214878920" w:history="1">
        <w:r w:rsidRPr="00576B1F">
          <w:rPr>
            <w:rStyle w:val="Hyperlink"/>
            <w:i w:val="0"/>
            <w:sz w:val="20"/>
            <w:szCs w:val="20"/>
          </w:rPr>
          <w:t>6.5.7.6.1</w:t>
        </w:r>
        <w:r w:rsidRPr="00576B1F">
          <w:rPr>
            <w:rFonts w:eastAsiaTheme="minorEastAsia"/>
            <w:i w:val="0"/>
            <w:kern w:val="2"/>
            <w:sz w:val="20"/>
            <w:szCs w:val="20"/>
            <w14:ligatures w14:val="standardContextual"/>
          </w:rPr>
          <w:tab/>
        </w:r>
        <w:r w:rsidRPr="00576B1F">
          <w:rPr>
            <w:rStyle w:val="Hyperlink"/>
            <w:i w:val="0"/>
            <w:sz w:val="20"/>
            <w:szCs w:val="20"/>
          </w:rPr>
          <w:t>LFC Process Description</w:t>
        </w:r>
        <w:r w:rsidRPr="00576B1F">
          <w:rPr>
            <w:i w:val="0"/>
            <w:webHidden/>
            <w:sz w:val="20"/>
            <w:szCs w:val="20"/>
          </w:rPr>
          <w:tab/>
        </w:r>
        <w:r w:rsidRPr="00576B1F">
          <w:rPr>
            <w:i w:val="0"/>
            <w:webHidden/>
            <w:sz w:val="20"/>
            <w:szCs w:val="20"/>
          </w:rPr>
          <w:fldChar w:fldCharType="begin"/>
        </w:r>
        <w:r w:rsidRPr="00576B1F">
          <w:rPr>
            <w:i w:val="0"/>
            <w:webHidden/>
            <w:sz w:val="20"/>
            <w:szCs w:val="20"/>
          </w:rPr>
          <w:instrText xml:space="preserve"> PAGEREF _Toc214878920 \h </w:instrText>
        </w:r>
        <w:r w:rsidRPr="00576B1F">
          <w:rPr>
            <w:i w:val="0"/>
            <w:webHidden/>
            <w:sz w:val="20"/>
            <w:szCs w:val="20"/>
          </w:rPr>
        </w:r>
        <w:r w:rsidRPr="00576B1F">
          <w:rPr>
            <w:i w:val="0"/>
            <w:webHidden/>
            <w:sz w:val="20"/>
            <w:szCs w:val="20"/>
          </w:rPr>
          <w:fldChar w:fldCharType="separate"/>
        </w:r>
        <w:r w:rsidR="00343E89">
          <w:rPr>
            <w:i w:val="0"/>
            <w:webHidden/>
            <w:sz w:val="20"/>
            <w:szCs w:val="20"/>
          </w:rPr>
          <w:t>6-90</w:t>
        </w:r>
        <w:r w:rsidRPr="00576B1F">
          <w:rPr>
            <w:i w:val="0"/>
            <w:webHidden/>
            <w:sz w:val="20"/>
            <w:szCs w:val="20"/>
          </w:rPr>
          <w:fldChar w:fldCharType="end"/>
        </w:r>
      </w:hyperlink>
    </w:p>
    <w:p w14:paraId="513E68D4" w14:textId="1101D5E6" w:rsidR="00576B1F" w:rsidRPr="00576B1F" w:rsidRDefault="00576B1F">
      <w:pPr>
        <w:pStyle w:val="TOC5"/>
        <w:rPr>
          <w:rFonts w:eastAsiaTheme="minorEastAsia"/>
          <w:i w:val="0"/>
          <w:kern w:val="2"/>
          <w:sz w:val="20"/>
          <w:szCs w:val="20"/>
          <w14:ligatures w14:val="standardContextual"/>
        </w:rPr>
      </w:pPr>
      <w:hyperlink w:anchor="_Toc214878921" w:history="1">
        <w:r w:rsidRPr="00576B1F">
          <w:rPr>
            <w:rStyle w:val="Hyperlink"/>
            <w:i w:val="0"/>
            <w:sz w:val="20"/>
            <w:szCs w:val="20"/>
          </w:rPr>
          <w:t>6.5.7.6.2</w:t>
        </w:r>
        <w:r w:rsidRPr="00576B1F">
          <w:rPr>
            <w:rFonts w:eastAsiaTheme="minorEastAsia"/>
            <w:i w:val="0"/>
            <w:kern w:val="2"/>
            <w:sz w:val="20"/>
            <w:szCs w:val="20"/>
            <w14:ligatures w14:val="standardContextual"/>
          </w:rPr>
          <w:tab/>
        </w:r>
        <w:r w:rsidRPr="00576B1F">
          <w:rPr>
            <w:rStyle w:val="Hyperlink"/>
            <w:i w:val="0"/>
            <w:sz w:val="20"/>
            <w:szCs w:val="20"/>
          </w:rPr>
          <w:t>LFC Deployment</w:t>
        </w:r>
        <w:r w:rsidRPr="00576B1F">
          <w:rPr>
            <w:i w:val="0"/>
            <w:webHidden/>
            <w:sz w:val="20"/>
            <w:szCs w:val="20"/>
          </w:rPr>
          <w:tab/>
        </w:r>
        <w:r w:rsidRPr="00576B1F">
          <w:rPr>
            <w:i w:val="0"/>
            <w:webHidden/>
            <w:sz w:val="20"/>
            <w:szCs w:val="20"/>
          </w:rPr>
          <w:fldChar w:fldCharType="begin"/>
        </w:r>
        <w:r w:rsidRPr="00576B1F">
          <w:rPr>
            <w:i w:val="0"/>
            <w:webHidden/>
            <w:sz w:val="20"/>
            <w:szCs w:val="20"/>
          </w:rPr>
          <w:instrText xml:space="preserve"> PAGEREF _Toc214878921 \h </w:instrText>
        </w:r>
        <w:r w:rsidRPr="00576B1F">
          <w:rPr>
            <w:i w:val="0"/>
            <w:webHidden/>
            <w:sz w:val="20"/>
            <w:szCs w:val="20"/>
          </w:rPr>
        </w:r>
        <w:r w:rsidRPr="00576B1F">
          <w:rPr>
            <w:i w:val="0"/>
            <w:webHidden/>
            <w:sz w:val="20"/>
            <w:szCs w:val="20"/>
          </w:rPr>
          <w:fldChar w:fldCharType="separate"/>
        </w:r>
        <w:r w:rsidR="00343E89">
          <w:rPr>
            <w:i w:val="0"/>
            <w:webHidden/>
            <w:sz w:val="20"/>
            <w:szCs w:val="20"/>
          </w:rPr>
          <w:t>6-91</w:t>
        </w:r>
        <w:r w:rsidRPr="00576B1F">
          <w:rPr>
            <w:i w:val="0"/>
            <w:webHidden/>
            <w:sz w:val="20"/>
            <w:szCs w:val="20"/>
          </w:rPr>
          <w:fldChar w:fldCharType="end"/>
        </w:r>
      </w:hyperlink>
    </w:p>
    <w:p w14:paraId="62486282" w14:textId="508D1825" w:rsidR="00576B1F" w:rsidRPr="00576B1F" w:rsidRDefault="00576B1F">
      <w:pPr>
        <w:pStyle w:val="TOC4"/>
        <w:rPr>
          <w:rFonts w:eastAsiaTheme="minorEastAsia"/>
          <w:kern w:val="2"/>
          <w:lang w:val="en-US"/>
          <w14:ligatures w14:val="standardContextual"/>
        </w:rPr>
      </w:pPr>
      <w:hyperlink w:anchor="_Toc214878922" w:history="1">
        <w:r w:rsidRPr="00576B1F">
          <w:rPr>
            <w:rStyle w:val="Hyperlink"/>
          </w:rPr>
          <w:t>6.5.7.7</w:t>
        </w:r>
        <w:r w:rsidRPr="00576B1F">
          <w:rPr>
            <w:rFonts w:eastAsiaTheme="minorEastAsia"/>
            <w:kern w:val="2"/>
            <w:lang w:val="en-US"/>
            <w14:ligatures w14:val="standardContextual"/>
          </w:rPr>
          <w:tab/>
        </w:r>
        <w:r w:rsidRPr="00576B1F">
          <w:rPr>
            <w:rStyle w:val="Hyperlink"/>
          </w:rPr>
          <w:t>Voltage Support Service</w:t>
        </w:r>
        <w:r w:rsidRPr="00576B1F">
          <w:rPr>
            <w:webHidden/>
          </w:rPr>
          <w:tab/>
        </w:r>
        <w:r w:rsidRPr="00576B1F">
          <w:rPr>
            <w:webHidden/>
          </w:rPr>
          <w:fldChar w:fldCharType="begin"/>
        </w:r>
        <w:r w:rsidRPr="00576B1F">
          <w:rPr>
            <w:webHidden/>
          </w:rPr>
          <w:instrText xml:space="preserve"> PAGEREF _Toc214878922 \h </w:instrText>
        </w:r>
        <w:r w:rsidRPr="00576B1F">
          <w:rPr>
            <w:webHidden/>
          </w:rPr>
        </w:r>
        <w:r w:rsidRPr="00576B1F">
          <w:rPr>
            <w:webHidden/>
          </w:rPr>
          <w:fldChar w:fldCharType="separate"/>
        </w:r>
        <w:r w:rsidR="00343E89">
          <w:rPr>
            <w:webHidden/>
          </w:rPr>
          <w:t>6-98</w:t>
        </w:r>
        <w:r w:rsidRPr="00576B1F">
          <w:rPr>
            <w:webHidden/>
          </w:rPr>
          <w:fldChar w:fldCharType="end"/>
        </w:r>
      </w:hyperlink>
    </w:p>
    <w:p w14:paraId="0DF7F8BC" w14:textId="298A6F43" w:rsidR="00576B1F" w:rsidRPr="00576B1F" w:rsidRDefault="00576B1F">
      <w:pPr>
        <w:pStyle w:val="TOC4"/>
        <w:rPr>
          <w:rFonts w:eastAsiaTheme="minorEastAsia"/>
          <w:kern w:val="2"/>
          <w:lang w:val="en-US"/>
          <w14:ligatures w14:val="standardContextual"/>
        </w:rPr>
      </w:pPr>
      <w:hyperlink w:anchor="_Toc214878923" w:history="1">
        <w:r w:rsidRPr="00576B1F">
          <w:rPr>
            <w:rStyle w:val="Hyperlink"/>
          </w:rPr>
          <w:t>6.5.7.8</w:t>
        </w:r>
        <w:r w:rsidRPr="00576B1F">
          <w:rPr>
            <w:rFonts w:eastAsiaTheme="minorEastAsia"/>
            <w:kern w:val="2"/>
            <w:lang w:val="en-US"/>
            <w14:ligatures w14:val="standardContextual"/>
          </w:rPr>
          <w:tab/>
        </w:r>
        <w:r w:rsidRPr="00576B1F">
          <w:rPr>
            <w:rStyle w:val="Hyperlink"/>
          </w:rPr>
          <w:t>Dispatch Procedures</w:t>
        </w:r>
        <w:r w:rsidRPr="00576B1F">
          <w:rPr>
            <w:webHidden/>
          </w:rPr>
          <w:tab/>
        </w:r>
        <w:r w:rsidRPr="00576B1F">
          <w:rPr>
            <w:webHidden/>
          </w:rPr>
          <w:fldChar w:fldCharType="begin"/>
        </w:r>
        <w:r w:rsidRPr="00576B1F">
          <w:rPr>
            <w:webHidden/>
          </w:rPr>
          <w:instrText xml:space="preserve"> PAGEREF _Toc214878923 \h </w:instrText>
        </w:r>
        <w:r w:rsidRPr="00576B1F">
          <w:rPr>
            <w:webHidden/>
          </w:rPr>
        </w:r>
        <w:r w:rsidRPr="00576B1F">
          <w:rPr>
            <w:webHidden/>
          </w:rPr>
          <w:fldChar w:fldCharType="separate"/>
        </w:r>
        <w:r w:rsidR="00343E89">
          <w:rPr>
            <w:webHidden/>
          </w:rPr>
          <w:t>6-99</w:t>
        </w:r>
        <w:r w:rsidRPr="00576B1F">
          <w:rPr>
            <w:webHidden/>
          </w:rPr>
          <w:fldChar w:fldCharType="end"/>
        </w:r>
      </w:hyperlink>
    </w:p>
    <w:p w14:paraId="7D0E0029" w14:textId="6E01F784" w:rsidR="00576B1F" w:rsidRPr="00576B1F" w:rsidRDefault="00576B1F">
      <w:pPr>
        <w:pStyle w:val="TOC4"/>
        <w:rPr>
          <w:rFonts w:eastAsiaTheme="minorEastAsia"/>
          <w:kern w:val="2"/>
          <w:lang w:val="en-US"/>
          <w14:ligatures w14:val="standardContextual"/>
        </w:rPr>
      </w:pPr>
      <w:hyperlink w:anchor="_Toc214878924" w:history="1">
        <w:r w:rsidRPr="00576B1F">
          <w:rPr>
            <w:rStyle w:val="Hyperlink"/>
          </w:rPr>
          <w:t>6.5.7.9</w:t>
        </w:r>
        <w:r w:rsidRPr="00576B1F">
          <w:rPr>
            <w:rFonts w:eastAsiaTheme="minorEastAsia"/>
            <w:kern w:val="2"/>
            <w:lang w:val="en-US"/>
            <w14:ligatures w14:val="standardContextual"/>
          </w:rPr>
          <w:tab/>
        </w:r>
        <w:r w:rsidRPr="00576B1F">
          <w:rPr>
            <w:rStyle w:val="Hyperlink"/>
          </w:rPr>
          <w:t>Compliance with Dispatch Instructions</w:t>
        </w:r>
        <w:r w:rsidRPr="00576B1F">
          <w:rPr>
            <w:webHidden/>
          </w:rPr>
          <w:tab/>
        </w:r>
        <w:r w:rsidRPr="00576B1F">
          <w:rPr>
            <w:webHidden/>
          </w:rPr>
          <w:fldChar w:fldCharType="begin"/>
        </w:r>
        <w:r w:rsidRPr="00576B1F">
          <w:rPr>
            <w:webHidden/>
          </w:rPr>
          <w:instrText xml:space="preserve"> PAGEREF _Toc214878924 \h </w:instrText>
        </w:r>
        <w:r w:rsidRPr="00576B1F">
          <w:rPr>
            <w:webHidden/>
          </w:rPr>
        </w:r>
        <w:r w:rsidRPr="00576B1F">
          <w:rPr>
            <w:webHidden/>
          </w:rPr>
          <w:fldChar w:fldCharType="separate"/>
        </w:r>
        <w:r w:rsidR="00343E89">
          <w:rPr>
            <w:webHidden/>
          </w:rPr>
          <w:t>6-100</w:t>
        </w:r>
        <w:r w:rsidRPr="00576B1F">
          <w:rPr>
            <w:webHidden/>
          </w:rPr>
          <w:fldChar w:fldCharType="end"/>
        </w:r>
      </w:hyperlink>
    </w:p>
    <w:p w14:paraId="1D292A1F" w14:textId="22780700" w:rsidR="00576B1F" w:rsidRPr="00576B1F" w:rsidRDefault="00576B1F">
      <w:pPr>
        <w:pStyle w:val="TOC4"/>
        <w:rPr>
          <w:rFonts w:eastAsiaTheme="minorEastAsia"/>
          <w:kern w:val="2"/>
          <w:lang w:val="en-US"/>
          <w14:ligatures w14:val="standardContextual"/>
        </w:rPr>
      </w:pPr>
      <w:hyperlink w:anchor="_Toc214878925" w:history="1">
        <w:r w:rsidRPr="00576B1F">
          <w:rPr>
            <w:rStyle w:val="Hyperlink"/>
          </w:rPr>
          <w:t>6.5.7.10</w:t>
        </w:r>
        <w:r w:rsidRPr="00576B1F">
          <w:rPr>
            <w:rFonts w:eastAsiaTheme="minorEastAsia"/>
            <w:kern w:val="2"/>
            <w:lang w:val="en-US"/>
            <w14:ligatures w14:val="standardContextual"/>
          </w:rPr>
          <w:tab/>
        </w:r>
        <w:r w:rsidRPr="00576B1F">
          <w:rPr>
            <w:rStyle w:val="Hyperlink"/>
          </w:rPr>
          <w:t>IRR Ramp Rate Limitations</w:t>
        </w:r>
        <w:r w:rsidRPr="00576B1F">
          <w:rPr>
            <w:webHidden/>
          </w:rPr>
          <w:tab/>
        </w:r>
        <w:r w:rsidRPr="00576B1F">
          <w:rPr>
            <w:webHidden/>
          </w:rPr>
          <w:fldChar w:fldCharType="begin"/>
        </w:r>
        <w:r w:rsidRPr="00576B1F">
          <w:rPr>
            <w:webHidden/>
          </w:rPr>
          <w:instrText xml:space="preserve"> PAGEREF _Toc214878925 \h </w:instrText>
        </w:r>
        <w:r w:rsidRPr="00576B1F">
          <w:rPr>
            <w:webHidden/>
          </w:rPr>
        </w:r>
        <w:r w:rsidRPr="00576B1F">
          <w:rPr>
            <w:webHidden/>
          </w:rPr>
          <w:fldChar w:fldCharType="separate"/>
        </w:r>
        <w:r w:rsidR="00343E89">
          <w:rPr>
            <w:webHidden/>
          </w:rPr>
          <w:t>6-102</w:t>
        </w:r>
        <w:r w:rsidRPr="00576B1F">
          <w:rPr>
            <w:webHidden/>
          </w:rPr>
          <w:fldChar w:fldCharType="end"/>
        </w:r>
      </w:hyperlink>
    </w:p>
    <w:p w14:paraId="4F41993D" w14:textId="61F4A4C1" w:rsidR="00576B1F" w:rsidRPr="00576B1F" w:rsidRDefault="00576B1F">
      <w:pPr>
        <w:pStyle w:val="TOC4"/>
        <w:rPr>
          <w:rFonts w:eastAsiaTheme="minorEastAsia"/>
          <w:kern w:val="2"/>
          <w:lang w:val="en-US"/>
          <w14:ligatures w14:val="standardContextual"/>
        </w:rPr>
      </w:pPr>
      <w:hyperlink w:anchor="_Toc214878926" w:history="1">
        <w:r w:rsidRPr="00576B1F">
          <w:rPr>
            <w:rStyle w:val="Hyperlink"/>
            <w:snapToGrid w:val="0"/>
          </w:rPr>
          <w:t>6.5.7.11</w:t>
        </w:r>
        <w:r w:rsidRPr="00576B1F">
          <w:rPr>
            <w:rFonts w:eastAsiaTheme="minorEastAsia"/>
            <w:kern w:val="2"/>
            <w:lang w:val="en-US"/>
            <w14:ligatures w14:val="standardContextual"/>
          </w:rPr>
          <w:tab/>
        </w:r>
        <w:r w:rsidRPr="00576B1F">
          <w:rPr>
            <w:rStyle w:val="Hyperlink"/>
            <w:snapToGrid w:val="0"/>
          </w:rPr>
          <w:t>DC-Coupled Resource Ramp Rate Limitations</w:t>
        </w:r>
        <w:r w:rsidRPr="00576B1F">
          <w:rPr>
            <w:webHidden/>
          </w:rPr>
          <w:tab/>
        </w:r>
        <w:r w:rsidRPr="00576B1F">
          <w:rPr>
            <w:webHidden/>
          </w:rPr>
          <w:fldChar w:fldCharType="begin"/>
        </w:r>
        <w:r w:rsidRPr="00576B1F">
          <w:rPr>
            <w:webHidden/>
          </w:rPr>
          <w:instrText xml:space="preserve"> PAGEREF _Toc214878926 \h </w:instrText>
        </w:r>
        <w:r w:rsidRPr="00576B1F">
          <w:rPr>
            <w:webHidden/>
          </w:rPr>
        </w:r>
        <w:r w:rsidRPr="00576B1F">
          <w:rPr>
            <w:webHidden/>
          </w:rPr>
          <w:fldChar w:fldCharType="separate"/>
        </w:r>
        <w:r w:rsidR="00343E89">
          <w:rPr>
            <w:webHidden/>
          </w:rPr>
          <w:t>6-103</w:t>
        </w:r>
        <w:r w:rsidRPr="00576B1F">
          <w:rPr>
            <w:webHidden/>
          </w:rPr>
          <w:fldChar w:fldCharType="end"/>
        </w:r>
      </w:hyperlink>
    </w:p>
    <w:p w14:paraId="22A098EC" w14:textId="6C96C623" w:rsidR="00576B1F" w:rsidRPr="00576B1F" w:rsidRDefault="00576B1F">
      <w:pPr>
        <w:pStyle w:val="TOC3"/>
        <w:rPr>
          <w:rFonts w:eastAsiaTheme="minorEastAsia"/>
          <w:i w:val="0"/>
          <w:iCs w:val="0"/>
          <w:kern w:val="2"/>
          <w14:ligatures w14:val="standardContextual"/>
        </w:rPr>
      </w:pPr>
      <w:hyperlink w:anchor="_Toc214878927" w:history="1">
        <w:r w:rsidRPr="00576B1F">
          <w:rPr>
            <w:rStyle w:val="Hyperlink"/>
            <w:i w:val="0"/>
            <w:iCs w:val="0"/>
          </w:rPr>
          <w:t>6.5.8</w:t>
        </w:r>
        <w:r w:rsidRPr="00576B1F">
          <w:rPr>
            <w:rFonts w:eastAsiaTheme="minorEastAsia"/>
            <w:i w:val="0"/>
            <w:iCs w:val="0"/>
            <w:kern w:val="2"/>
            <w14:ligatures w14:val="standardContextual"/>
          </w:rPr>
          <w:tab/>
        </w:r>
        <w:r w:rsidRPr="00576B1F">
          <w:rPr>
            <w:rStyle w:val="Hyperlink"/>
            <w:i w:val="0"/>
            <w:iCs w:val="0"/>
          </w:rPr>
          <w:t>Verbal Dispatch Instruction Confirmation</w:t>
        </w:r>
        <w:r w:rsidRPr="00576B1F">
          <w:rPr>
            <w:i w:val="0"/>
            <w:iCs w:val="0"/>
            <w:webHidden/>
          </w:rPr>
          <w:tab/>
        </w:r>
        <w:r w:rsidRPr="00576B1F">
          <w:rPr>
            <w:i w:val="0"/>
            <w:iCs w:val="0"/>
            <w:webHidden/>
          </w:rPr>
          <w:fldChar w:fldCharType="begin"/>
        </w:r>
        <w:r w:rsidRPr="00576B1F">
          <w:rPr>
            <w:i w:val="0"/>
            <w:iCs w:val="0"/>
            <w:webHidden/>
          </w:rPr>
          <w:instrText xml:space="preserve"> PAGEREF _Toc214878927 \h </w:instrText>
        </w:r>
        <w:r w:rsidRPr="00576B1F">
          <w:rPr>
            <w:i w:val="0"/>
            <w:iCs w:val="0"/>
            <w:webHidden/>
          </w:rPr>
        </w:r>
        <w:r w:rsidRPr="00576B1F">
          <w:rPr>
            <w:i w:val="0"/>
            <w:iCs w:val="0"/>
            <w:webHidden/>
          </w:rPr>
          <w:fldChar w:fldCharType="separate"/>
        </w:r>
        <w:r w:rsidR="00343E89">
          <w:rPr>
            <w:i w:val="0"/>
            <w:iCs w:val="0"/>
            <w:webHidden/>
          </w:rPr>
          <w:t>6-103</w:t>
        </w:r>
        <w:r w:rsidRPr="00576B1F">
          <w:rPr>
            <w:i w:val="0"/>
            <w:iCs w:val="0"/>
            <w:webHidden/>
          </w:rPr>
          <w:fldChar w:fldCharType="end"/>
        </w:r>
      </w:hyperlink>
    </w:p>
    <w:p w14:paraId="06174E75" w14:textId="043441D2" w:rsidR="00576B1F" w:rsidRPr="00576B1F" w:rsidRDefault="00576B1F">
      <w:pPr>
        <w:pStyle w:val="TOC3"/>
        <w:rPr>
          <w:rFonts w:eastAsiaTheme="minorEastAsia"/>
          <w:i w:val="0"/>
          <w:iCs w:val="0"/>
          <w:kern w:val="2"/>
          <w14:ligatures w14:val="standardContextual"/>
        </w:rPr>
      </w:pPr>
      <w:hyperlink w:anchor="_Toc214878928" w:history="1">
        <w:r w:rsidRPr="00576B1F">
          <w:rPr>
            <w:rStyle w:val="Hyperlink"/>
            <w:i w:val="0"/>
            <w:iCs w:val="0"/>
          </w:rPr>
          <w:t>6.5.9</w:t>
        </w:r>
        <w:r w:rsidRPr="00576B1F">
          <w:rPr>
            <w:rFonts w:eastAsiaTheme="minorEastAsia"/>
            <w:i w:val="0"/>
            <w:iCs w:val="0"/>
            <w:kern w:val="2"/>
            <w14:ligatures w14:val="standardContextual"/>
          </w:rPr>
          <w:tab/>
        </w:r>
        <w:r w:rsidRPr="00576B1F">
          <w:rPr>
            <w:rStyle w:val="Hyperlink"/>
            <w:i w:val="0"/>
            <w:iCs w:val="0"/>
          </w:rPr>
          <w:t>Emergency Operations</w:t>
        </w:r>
        <w:r w:rsidRPr="00576B1F">
          <w:rPr>
            <w:i w:val="0"/>
            <w:iCs w:val="0"/>
            <w:webHidden/>
          </w:rPr>
          <w:tab/>
        </w:r>
        <w:r w:rsidRPr="00576B1F">
          <w:rPr>
            <w:i w:val="0"/>
            <w:iCs w:val="0"/>
            <w:webHidden/>
          </w:rPr>
          <w:fldChar w:fldCharType="begin"/>
        </w:r>
        <w:r w:rsidRPr="00576B1F">
          <w:rPr>
            <w:i w:val="0"/>
            <w:iCs w:val="0"/>
            <w:webHidden/>
          </w:rPr>
          <w:instrText xml:space="preserve"> PAGEREF _Toc214878928 \h </w:instrText>
        </w:r>
        <w:r w:rsidRPr="00576B1F">
          <w:rPr>
            <w:i w:val="0"/>
            <w:iCs w:val="0"/>
            <w:webHidden/>
          </w:rPr>
        </w:r>
        <w:r w:rsidRPr="00576B1F">
          <w:rPr>
            <w:i w:val="0"/>
            <w:iCs w:val="0"/>
            <w:webHidden/>
          </w:rPr>
          <w:fldChar w:fldCharType="separate"/>
        </w:r>
        <w:r w:rsidR="00343E89">
          <w:rPr>
            <w:i w:val="0"/>
            <w:iCs w:val="0"/>
            <w:webHidden/>
          </w:rPr>
          <w:t>6-104</w:t>
        </w:r>
        <w:r w:rsidRPr="00576B1F">
          <w:rPr>
            <w:i w:val="0"/>
            <w:iCs w:val="0"/>
            <w:webHidden/>
          </w:rPr>
          <w:fldChar w:fldCharType="end"/>
        </w:r>
      </w:hyperlink>
    </w:p>
    <w:p w14:paraId="4729A53C" w14:textId="73C05BA5" w:rsidR="00576B1F" w:rsidRPr="00576B1F" w:rsidRDefault="00576B1F">
      <w:pPr>
        <w:pStyle w:val="TOC4"/>
        <w:rPr>
          <w:rFonts w:eastAsiaTheme="minorEastAsia"/>
          <w:kern w:val="2"/>
          <w:lang w:val="en-US"/>
          <w14:ligatures w14:val="standardContextual"/>
        </w:rPr>
      </w:pPr>
      <w:hyperlink w:anchor="_Toc214878929" w:history="1">
        <w:r w:rsidRPr="00576B1F">
          <w:rPr>
            <w:rStyle w:val="Hyperlink"/>
          </w:rPr>
          <w:t>6.5.9.1</w:t>
        </w:r>
        <w:r w:rsidRPr="00576B1F">
          <w:rPr>
            <w:rFonts w:eastAsiaTheme="minorEastAsia"/>
            <w:kern w:val="2"/>
            <w:lang w:val="en-US"/>
            <w14:ligatures w14:val="standardContextual"/>
          </w:rPr>
          <w:tab/>
        </w:r>
        <w:r w:rsidRPr="00576B1F">
          <w:rPr>
            <w:rStyle w:val="Hyperlink"/>
          </w:rPr>
          <w:t>Emergency and Short Supply Operation</w:t>
        </w:r>
        <w:r w:rsidRPr="00576B1F">
          <w:rPr>
            <w:webHidden/>
          </w:rPr>
          <w:tab/>
        </w:r>
        <w:r w:rsidRPr="00576B1F">
          <w:rPr>
            <w:webHidden/>
          </w:rPr>
          <w:fldChar w:fldCharType="begin"/>
        </w:r>
        <w:r w:rsidRPr="00576B1F">
          <w:rPr>
            <w:webHidden/>
          </w:rPr>
          <w:instrText xml:space="preserve"> PAGEREF _Toc214878929 \h </w:instrText>
        </w:r>
        <w:r w:rsidRPr="00576B1F">
          <w:rPr>
            <w:webHidden/>
          </w:rPr>
        </w:r>
        <w:r w:rsidRPr="00576B1F">
          <w:rPr>
            <w:webHidden/>
          </w:rPr>
          <w:fldChar w:fldCharType="separate"/>
        </w:r>
        <w:r w:rsidR="00343E89">
          <w:rPr>
            <w:webHidden/>
          </w:rPr>
          <w:t>6-105</w:t>
        </w:r>
        <w:r w:rsidRPr="00576B1F">
          <w:rPr>
            <w:webHidden/>
          </w:rPr>
          <w:fldChar w:fldCharType="end"/>
        </w:r>
      </w:hyperlink>
    </w:p>
    <w:p w14:paraId="23B4DA9F" w14:textId="01EF6ACE" w:rsidR="00576B1F" w:rsidRPr="00576B1F" w:rsidRDefault="00576B1F">
      <w:pPr>
        <w:pStyle w:val="TOC4"/>
        <w:rPr>
          <w:rFonts w:eastAsiaTheme="minorEastAsia"/>
          <w:kern w:val="2"/>
          <w:lang w:val="en-US"/>
          <w14:ligatures w14:val="standardContextual"/>
        </w:rPr>
      </w:pPr>
      <w:hyperlink w:anchor="_Toc214878930" w:history="1">
        <w:r w:rsidRPr="00576B1F">
          <w:rPr>
            <w:rStyle w:val="Hyperlink"/>
          </w:rPr>
          <w:t>6.5.9.2</w:t>
        </w:r>
        <w:r w:rsidRPr="00576B1F">
          <w:rPr>
            <w:rFonts w:eastAsiaTheme="minorEastAsia"/>
            <w:kern w:val="2"/>
            <w:lang w:val="en-US"/>
            <w14:ligatures w14:val="standardContextual"/>
          </w:rPr>
          <w:tab/>
        </w:r>
        <w:r w:rsidRPr="00576B1F">
          <w:rPr>
            <w:rStyle w:val="Hyperlink"/>
          </w:rPr>
          <w:t>Failure of the SCED Process</w:t>
        </w:r>
        <w:r w:rsidRPr="00576B1F">
          <w:rPr>
            <w:webHidden/>
          </w:rPr>
          <w:tab/>
        </w:r>
        <w:r w:rsidRPr="00576B1F">
          <w:rPr>
            <w:webHidden/>
          </w:rPr>
          <w:fldChar w:fldCharType="begin"/>
        </w:r>
        <w:r w:rsidRPr="00576B1F">
          <w:rPr>
            <w:webHidden/>
          </w:rPr>
          <w:instrText xml:space="preserve"> PAGEREF _Toc214878930 \h </w:instrText>
        </w:r>
        <w:r w:rsidRPr="00576B1F">
          <w:rPr>
            <w:webHidden/>
          </w:rPr>
        </w:r>
        <w:r w:rsidRPr="00576B1F">
          <w:rPr>
            <w:webHidden/>
          </w:rPr>
          <w:fldChar w:fldCharType="separate"/>
        </w:r>
        <w:r w:rsidR="00343E89">
          <w:rPr>
            <w:webHidden/>
          </w:rPr>
          <w:t>6-105</w:t>
        </w:r>
        <w:r w:rsidRPr="00576B1F">
          <w:rPr>
            <w:webHidden/>
          </w:rPr>
          <w:fldChar w:fldCharType="end"/>
        </w:r>
      </w:hyperlink>
    </w:p>
    <w:p w14:paraId="6C33C7D9" w14:textId="4CE457D2" w:rsidR="00576B1F" w:rsidRPr="00576B1F" w:rsidRDefault="00576B1F">
      <w:pPr>
        <w:pStyle w:val="TOC4"/>
        <w:rPr>
          <w:rFonts w:eastAsiaTheme="minorEastAsia"/>
          <w:kern w:val="2"/>
          <w:lang w:val="en-US"/>
          <w14:ligatures w14:val="standardContextual"/>
        </w:rPr>
      </w:pPr>
      <w:hyperlink w:anchor="_Toc214878931" w:history="1">
        <w:r w:rsidRPr="00576B1F">
          <w:rPr>
            <w:rStyle w:val="Hyperlink"/>
          </w:rPr>
          <w:t>6.5.9.3</w:t>
        </w:r>
        <w:r w:rsidRPr="00576B1F">
          <w:rPr>
            <w:rFonts w:eastAsiaTheme="minorEastAsia"/>
            <w:kern w:val="2"/>
            <w:lang w:val="en-US"/>
            <w14:ligatures w14:val="standardContextual"/>
          </w:rPr>
          <w:tab/>
        </w:r>
        <w:r w:rsidRPr="00576B1F">
          <w:rPr>
            <w:rStyle w:val="Hyperlink"/>
          </w:rPr>
          <w:t>Communication Prior to and During Emergency Conditions</w:t>
        </w:r>
        <w:r w:rsidRPr="00576B1F">
          <w:rPr>
            <w:webHidden/>
          </w:rPr>
          <w:tab/>
        </w:r>
        <w:r w:rsidRPr="00576B1F">
          <w:rPr>
            <w:webHidden/>
          </w:rPr>
          <w:fldChar w:fldCharType="begin"/>
        </w:r>
        <w:r w:rsidRPr="00576B1F">
          <w:rPr>
            <w:webHidden/>
          </w:rPr>
          <w:instrText xml:space="preserve"> PAGEREF _Toc214878931 \h </w:instrText>
        </w:r>
        <w:r w:rsidRPr="00576B1F">
          <w:rPr>
            <w:webHidden/>
          </w:rPr>
        </w:r>
        <w:r w:rsidRPr="00576B1F">
          <w:rPr>
            <w:webHidden/>
          </w:rPr>
          <w:fldChar w:fldCharType="separate"/>
        </w:r>
        <w:r w:rsidR="00343E89">
          <w:rPr>
            <w:webHidden/>
          </w:rPr>
          <w:t>6-106</w:t>
        </w:r>
        <w:r w:rsidRPr="00576B1F">
          <w:rPr>
            <w:webHidden/>
          </w:rPr>
          <w:fldChar w:fldCharType="end"/>
        </w:r>
      </w:hyperlink>
    </w:p>
    <w:p w14:paraId="1986B19E" w14:textId="61FFBFAD" w:rsidR="00576B1F" w:rsidRPr="00576B1F" w:rsidRDefault="00576B1F">
      <w:pPr>
        <w:pStyle w:val="TOC5"/>
        <w:rPr>
          <w:rFonts w:eastAsiaTheme="minorEastAsia"/>
          <w:i w:val="0"/>
          <w:kern w:val="2"/>
          <w:sz w:val="20"/>
          <w:szCs w:val="20"/>
          <w14:ligatures w14:val="standardContextual"/>
        </w:rPr>
      </w:pPr>
      <w:hyperlink w:anchor="_Toc214878932" w:history="1">
        <w:r w:rsidRPr="00576B1F">
          <w:rPr>
            <w:rStyle w:val="Hyperlink"/>
            <w:i w:val="0"/>
            <w:sz w:val="20"/>
            <w:szCs w:val="20"/>
          </w:rPr>
          <w:t>6.5.9.3.1</w:t>
        </w:r>
        <w:r w:rsidRPr="00576B1F">
          <w:rPr>
            <w:rFonts w:eastAsiaTheme="minorEastAsia"/>
            <w:i w:val="0"/>
            <w:kern w:val="2"/>
            <w:sz w:val="20"/>
            <w:szCs w:val="20"/>
            <w14:ligatures w14:val="standardContextual"/>
          </w:rPr>
          <w:tab/>
        </w:r>
        <w:r w:rsidRPr="00576B1F">
          <w:rPr>
            <w:rStyle w:val="Hyperlink"/>
            <w:i w:val="0"/>
            <w:sz w:val="20"/>
            <w:szCs w:val="20"/>
          </w:rPr>
          <w:t>Operating Condition Notice</w:t>
        </w:r>
        <w:r w:rsidRPr="00576B1F">
          <w:rPr>
            <w:i w:val="0"/>
            <w:webHidden/>
            <w:sz w:val="20"/>
            <w:szCs w:val="20"/>
          </w:rPr>
          <w:tab/>
        </w:r>
        <w:r w:rsidRPr="00576B1F">
          <w:rPr>
            <w:i w:val="0"/>
            <w:webHidden/>
            <w:sz w:val="20"/>
            <w:szCs w:val="20"/>
          </w:rPr>
          <w:fldChar w:fldCharType="begin"/>
        </w:r>
        <w:r w:rsidRPr="00576B1F">
          <w:rPr>
            <w:i w:val="0"/>
            <w:webHidden/>
            <w:sz w:val="20"/>
            <w:szCs w:val="20"/>
          </w:rPr>
          <w:instrText xml:space="preserve"> PAGEREF _Toc214878932 \h </w:instrText>
        </w:r>
        <w:r w:rsidRPr="00576B1F">
          <w:rPr>
            <w:i w:val="0"/>
            <w:webHidden/>
            <w:sz w:val="20"/>
            <w:szCs w:val="20"/>
          </w:rPr>
        </w:r>
        <w:r w:rsidRPr="00576B1F">
          <w:rPr>
            <w:i w:val="0"/>
            <w:webHidden/>
            <w:sz w:val="20"/>
            <w:szCs w:val="20"/>
          </w:rPr>
          <w:fldChar w:fldCharType="separate"/>
        </w:r>
        <w:r w:rsidR="00343E89">
          <w:rPr>
            <w:i w:val="0"/>
            <w:webHidden/>
            <w:sz w:val="20"/>
            <w:szCs w:val="20"/>
          </w:rPr>
          <w:t>6-108</w:t>
        </w:r>
        <w:r w:rsidRPr="00576B1F">
          <w:rPr>
            <w:i w:val="0"/>
            <w:webHidden/>
            <w:sz w:val="20"/>
            <w:szCs w:val="20"/>
          </w:rPr>
          <w:fldChar w:fldCharType="end"/>
        </w:r>
      </w:hyperlink>
    </w:p>
    <w:p w14:paraId="5F58AF85" w14:textId="7CF60C25" w:rsidR="00576B1F" w:rsidRPr="00576B1F" w:rsidRDefault="00576B1F">
      <w:pPr>
        <w:pStyle w:val="TOC5"/>
        <w:rPr>
          <w:rFonts w:eastAsiaTheme="minorEastAsia"/>
          <w:i w:val="0"/>
          <w:kern w:val="2"/>
          <w:sz w:val="20"/>
          <w:szCs w:val="20"/>
          <w14:ligatures w14:val="standardContextual"/>
        </w:rPr>
      </w:pPr>
      <w:hyperlink w:anchor="_Toc214878933" w:history="1">
        <w:r w:rsidRPr="00576B1F">
          <w:rPr>
            <w:rStyle w:val="Hyperlink"/>
            <w:i w:val="0"/>
            <w:sz w:val="20"/>
            <w:szCs w:val="20"/>
          </w:rPr>
          <w:t>6.5.9.3.1.1</w:t>
        </w:r>
        <w:r w:rsidRPr="00576B1F">
          <w:rPr>
            <w:rFonts w:eastAsiaTheme="minorEastAsia"/>
            <w:i w:val="0"/>
            <w:kern w:val="2"/>
            <w:sz w:val="20"/>
            <w:szCs w:val="20"/>
            <w14:ligatures w14:val="standardContextual"/>
          </w:rPr>
          <w:tab/>
        </w:r>
        <w:r w:rsidRPr="00576B1F">
          <w:rPr>
            <w:rStyle w:val="Hyperlink"/>
            <w:i w:val="0"/>
            <w:sz w:val="20"/>
            <w:szCs w:val="20"/>
          </w:rPr>
          <w:t>Advance Action Notice</w:t>
        </w:r>
        <w:r w:rsidRPr="00576B1F">
          <w:rPr>
            <w:i w:val="0"/>
            <w:webHidden/>
            <w:sz w:val="20"/>
            <w:szCs w:val="20"/>
          </w:rPr>
          <w:tab/>
        </w:r>
        <w:r w:rsidRPr="00576B1F">
          <w:rPr>
            <w:i w:val="0"/>
            <w:webHidden/>
            <w:sz w:val="20"/>
            <w:szCs w:val="20"/>
          </w:rPr>
          <w:fldChar w:fldCharType="begin"/>
        </w:r>
        <w:r w:rsidRPr="00576B1F">
          <w:rPr>
            <w:i w:val="0"/>
            <w:webHidden/>
            <w:sz w:val="20"/>
            <w:szCs w:val="20"/>
          </w:rPr>
          <w:instrText xml:space="preserve"> PAGEREF _Toc214878933 \h </w:instrText>
        </w:r>
        <w:r w:rsidRPr="00576B1F">
          <w:rPr>
            <w:i w:val="0"/>
            <w:webHidden/>
            <w:sz w:val="20"/>
            <w:szCs w:val="20"/>
          </w:rPr>
        </w:r>
        <w:r w:rsidRPr="00576B1F">
          <w:rPr>
            <w:i w:val="0"/>
            <w:webHidden/>
            <w:sz w:val="20"/>
            <w:szCs w:val="20"/>
          </w:rPr>
          <w:fldChar w:fldCharType="separate"/>
        </w:r>
        <w:r w:rsidR="00343E89">
          <w:rPr>
            <w:i w:val="0"/>
            <w:webHidden/>
            <w:sz w:val="20"/>
            <w:szCs w:val="20"/>
          </w:rPr>
          <w:t>6-110</w:t>
        </w:r>
        <w:r w:rsidRPr="00576B1F">
          <w:rPr>
            <w:i w:val="0"/>
            <w:webHidden/>
            <w:sz w:val="20"/>
            <w:szCs w:val="20"/>
          </w:rPr>
          <w:fldChar w:fldCharType="end"/>
        </w:r>
      </w:hyperlink>
    </w:p>
    <w:p w14:paraId="68527933" w14:textId="1C484DFF" w:rsidR="00576B1F" w:rsidRPr="00576B1F" w:rsidRDefault="00576B1F">
      <w:pPr>
        <w:pStyle w:val="TOC5"/>
        <w:rPr>
          <w:rFonts w:eastAsiaTheme="minorEastAsia"/>
          <w:i w:val="0"/>
          <w:kern w:val="2"/>
          <w:sz w:val="20"/>
          <w:szCs w:val="20"/>
          <w14:ligatures w14:val="standardContextual"/>
        </w:rPr>
      </w:pPr>
      <w:hyperlink w:anchor="_Toc214878934" w:history="1">
        <w:r w:rsidRPr="00576B1F">
          <w:rPr>
            <w:rStyle w:val="Hyperlink"/>
            <w:i w:val="0"/>
            <w:sz w:val="20"/>
            <w:szCs w:val="20"/>
          </w:rPr>
          <w:t>6.5.9.3.2</w:t>
        </w:r>
        <w:r w:rsidRPr="00576B1F">
          <w:rPr>
            <w:rFonts w:eastAsiaTheme="minorEastAsia"/>
            <w:i w:val="0"/>
            <w:kern w:val="2"/>
            <w:sz w:val="20"/>
            <w:szCs w:val="20"/>
            <w14:ligatures w14:val="standardContextual"/>
          </w:rPr>
          <w:tab/>
        </w:r>
        <w:r w:rsidRPr="00576B1F">
          <w:rPr>
            <w:rStyle w:val="Hyperlink"/>
            <w:i w:val="0"/>
            <w:sz w:val="20"/>
            <w:szCs w:val="20"/>
          </w:rPr>
          <w:t>Advisory</w:t>
        </w:r>
        <w:r w:rsidRPr="00576B1F">
          <w:rPr>
            <w:i w:val="0"/>
            <w:webHidden/>
            <w:sz w:val="20"/>
            <w:szCs w:val="20"/>
          </w:rPr>
          <w:tab/>
        </w:r>
        <w:r w:rsidRPr="00576B1F">
          <w:rPr>
            <w:i w:val="0"/>
            <w:webHidden/>
            <w:sz w:val="20"/>
            <w:szCs w:val="20"/>
          </w:rPr>
          <w:fldChar w:fldCharType="begin"/>
        </w:r>
        <w:r w:rsidRPr="00576B1F">
          <w:rPr>
            <w:i w:val="0"/>
            <w:webHidden/>
            <w:sz w:val="20"/>
            <w:szCs w:val="20"/>
          </w:rPr>
          <w:instrText xml:space="preserve"> PAGEREF _Toc214878934 \h </w:instrText>
        </w:r>
        <w:r w:rsidRPr="00576B1F">
          <w:rPr>
            <w:i w:val="0"/>
            <w:webHidden/>
            <w:sz w:val="20"/>
            <w:szCs w:val="20"/>
          </w:rPr>
        </w:r>
        <w:r w:rsidRPr="00576B1F">
          <w:rPr>
            <w:i w:val="0"/>
            <w:webHidden/>
            <w:sz w:val="20"/>
            <w:szCs w:val="20"/>
          </w:rPr>
          <w:fldChar w:fldCharType="separate"/>
        </w:r>
        <w:r w:rsidR="00343E89">
          <w:rPr>
            <w:i w:val="0"/>
            <w:webHidden/>
            <w:sz w:val="20"/>
            <w:szCs w:val="20"/>
          </w:rPr>
          <w:t>6-110</w:t>
        </w:r>
        <w:r w:rsidRPr="00576B1F">
          <w:rPr>
            <w:i w:val="0"/>
            <w:webHidden/>
            <w:sz w:val="20"/>
            <w:szCs w:val="20"/>
          </w:rPr>
          <w:fldChar w:fldCharType="end"/>
        </w:r>
      </w:hyperlink>
    </w:p>
    <w:p w14:paraId="3F008B58" w14:textId="0A12AEC4" w:rsidR="00576B1F" w:rsidRPr="00576B1F" w:rsidRDefault="00576B1F">
      <w:pPr>
        <w:pStyle w:val="TOC5"/>
        <w:rPr>
          <w:rFonts w:eastAsiaTheme="minorEastAsia"/>
          <w:i w:val="0"/>
          <w:kern w:val="2"/>
          <w:sz w:val="20"/>
          <w:szCs w:val="20"/>
          <w14:ligatures w14:val="standardContextual"/>
        </w:rPr>
      </w:pPr>
      <w:hyperlink w:anchor="_Toc214878935" w:history="1">
        <w:r w:rsidRPr="00576B1F">
          <w:rPr>
            <w:rStyle w:val="Hyperlink"/>
            <w:i w:val="0"/>
            <w:sz w:val="20"/>
            <w:szCs w:val="20"/>
          </w:rPr>
          <w:t>6.5.9.3.3</w:t>
        </w:r>
        <w:r w:rsidRPr="00576B1F">
          <w:rPr>
            <w:rFonts w:eastAsiaTheme="minorEastAsia"/>
            <w:i w:val="0"/>
            <w:kern w:val="2"/>
            <w:sz w:val="20"/>
            <w:szCs w:val="20"/>
            <w14:ligatures w14:val="standardContextual"/>
          </w:rPr>
          <w:tab/>
        </w:r>
        <w:r w:rsidRPr="00576B1F">
          <w:rPr>
            <w:rStyle w:val="Hyperlink"/>
            <w:i w:val="0"/>
            <w:sz w:val="20"/>
            <w:szCs w:val="20"/>
          </w:rPr>
          <w:t>Watch</w:t>
        </w:r>
        <w:r w:rsidRPr="00576B1F">
          <w:rPr>
            <w:i w:val="0"/>
            <w:webHidden/>
            <w:sz w:val="20"/>
            <w:szCs w:val="20"/>
          </w:rPr>
          <w:tab/>
        </w:r>
        <w:r w:rsidRPr="00576B1F">
          <w:rPr>
            <w:i w:val="0"/>
            <w:webHidden/>
            <w:sz w:val="20"/>
            <w:szCs w:val="20"/>
          </w:rPr>
          <w:fldChar w:fldCharType="begin"/>
        </w:r>
        <w:r w:rsidRPr="00576B1F">
          <w:rPr>
            <w:i w:val="0"/>
            <w:webHidden/>
            <w:sz w:val="20"/>
            <w:szCs w:val="20"/>
          </w:rPr>
          <w:instrText xml:space="preserve"> PAGEREF _Toc214878935 \h </w:instrText>
        </w:r>
        <w:r w:rsidRPr="00576B1F">
          <w:rPr>
            <w:i w:val="0"/>
            <w:webHidden/>
            <w:sz w:val="20"/>
            <w:szCs w:val="20"/>
          </w:rPr>
        </w:r>
        <w:r w:rsidRPr="00576B1F">
          <w:rPr>
            <w:i w:val="0"/>
            <w:webHidden/>
            <w:sz w:val="20"/>
            <w:szCs w:val="20"/>
          </w:rPr>
          <w:fldChar w:fldCharType="separate"/>
        </w:r>
        <w:r w:rsidR="00343E89">
          <w:rPr>
            <w:i w:val="0"/>
            <w:webHidden/>
            <w:sz w:val="20"/>
            <w:szCs w:val="20"/>
          </w:rPr>
          <w:t>6-111</w:t>
        </w:r>
        <w:r w:rsidRPr="00576B1F">
          <w:rPr>
            <w:i w:val="0"/>
            <w:webHidden/>
            <w:sz w:val="20"/>
            <w:szCs w:val="20"/>
          </w:rPr>
          <w:fldChar w:fldCharType="end"/>
        </w:r>
      </w:hyperlink>
    </w:p>
    <w:p w14:paraId="12EE8570" w14:textId="1876FC41" w:rsidR="00576B1F" w:rsidRPr="00576B1F" w:rsidRDefault="00576B1F">
      <w:pPr>
        <w:pStyle w:val="TOC5"/>
        <w:rPr>
          <w:rFonts w:eastAsiaTheme="minorEastAsia"/>
          <w:i w:val="0"/>
          <w:kern w:val="2"/>
          <w:sz w:val="20"/>
          <w:szCs w:val="20"/>
          <w14:ligatures w14:val="standardContextual"/>
        </w:rPr>
      </w:pPr>
      <w:hyperlink w:anchor="_Toc214878936" w:history="1">
        <w:r w:rsidRPr="00576B1F">
          <w:rPr>
            <w:rStyle w:val="Hyperlink"/>
            <w:i w:val="0"/>
            <w:sz w:val="20"/>
            <w:szCs w:val="20"/>
          </w:rPr>
          <w:t>6.5.9.3.4</w:t>
        </w:r>
        <w:r w:rsidRPr="00576B1F">
          <w:rPr>
            <w:rFonts w:eastAsiaTheme="minorEastAsia"/>
            <w:i w:val="0"/>
            <w:kern w:val="2"/>
            <w:sz w:val="20"/>
            <w:szCs w:val="20"/>
            <w14:ligatures w14:val="standardContextual"/>
          </w:rPr>
          <w:tab/>
        </w:r>
        <w:r w:rsidRPr="00576B1F">
          <w:rPr>
            <w:rStyle w:val="Hyperlink"/>
            <w:i w:val="0"/>
            <w:sz w:val="20"/>
            <w:szCs w:val="20"/>
          </w:rPr>
          <w:t>Emergency Notice</w:t>
        </w:r>
        <w:r w:rsidRPr="00576B1F">
          <w:rPr>
            <w:i w:val="0"/>
            <w:webHidden/>
            <w:sz w:val="20"/>
            <w:szCs w:val="20"/>
          </w:rPr>
          <w:tab/>
        </w:r>
        <w:r w:rsidRPr="00576B1F">
          <w:rPr>
            <w:i w:val="0"/>
            <w:webHidden/>
            <w:sz w:val="20"/>
            <w:szCs w:val="20"/>
          </w:rPr>
          <w:fldChar w:fldCharType="begin"/>
        </w:r>
        <w:r w:rsidRPr="00576B1F">
          <w:rPr>
            <w:i w:val="0"/>
            <w:webHidden/>
            <w:sz w:val="20"/>
            <w:szCs w:val="20"/>
          </w:rPr>
          <w:instrText xml:space="preserve"> PAGEREF _Toc214878936 \h </w:instrText>
        </w:r>
        <w:r w:rsidRPr="00576B1F">
          <w:rPr>
            <w:i w:val="0"/>
            <w:webHidden/>
            <w:sz w:val="20"/>
            <w:szCs w:val="20"/>
          </w:rPr>
        </w:r>
        <w:r w:rsidRPr="00576B1F">
          <w:rPr>
            <w:i w:val="0"/>
            <w:webHidden/>
            <w:sz w:val="20"/>
            <w:szCs w:val="20"/>
          </w:rPr>
          <w:fldChar w:fldCharType="separate"/>
        </w:r>
        <w:r w:rsidR="00343E89">
          <w:rPr>
            <w:i w:val="0"/>
            <w:webHidden/>
            <w:sz w:val="20"/>
            <w:szCs w:val="20"/>
          </w:rPr>
          <w:t>6-113</w:t>
        </w:r>
        <w:r w:rsidRPr="00576B1F">
          <w:rPr>
            <w:i w:val="0"/>
            <w:webHidden/>
            <w:sz w:val="20"/>
            <w:szCs w:val="20"/>
          </w:rPr>
          <w:fldChar w:fldCharType="end"/>
        </w:r>
      </w:hyperlink>
    </w:p>
    <w:p w14:paraId="6381E4B0" w14:textId="54C458F5" w:rsidR="00576B1F" w:rsidRPr="00576B1F" w:rsidRDefault="00576B1F">
      <w:pPr>
        <w:pStyle w:val="TOC4"/>
        <w:rPr>
          <w:rFonts w:eastAsiaTheme="minorEastAsia"/>
          <w:kern w:val="2"/>
          <w:lang w:val="en-US"/>
          <w14:ligatures w14:val="standardContextual"/>
        </w:rPr>
      </w:pPr>
      <w:hyperlink w:anchor="_Toc214878937" w:history="1">
        <w:r w:rsidRPr="00576B1F">
          <w:rPr>
            <w:rStyle w:val="Hyperlink"/>
          </w:rPr>
          <w:t>6.5.9.4</w:t>
        </w:r>
        <w:r w:rsidRPr="00576B1F">
          <w:rPr>
            <w:rFonts w:eastAsiaTheme="minorEastAsia"/>
            <w:kern w:val="2"/>
            <w:lang w:val="en-US"/>
            <w14:ligatures w14:val="standardContextual"/>
          </w:rPr>
          <w:tab/>
        </w:r>
        <w:r w:rsidRPr="00576B1F">
          <w:rPr>
            <w:rStyle w:val="Hyperlink"/>
          </w:rPr>
          <w:t>Energy Emergency Alert</w:t>
        </w:r>
        <w:r w:rsidRPr="00576B1F">
          <w:rPr>
            <w:webHidden/>
          </w:rPr>
          <w:tab/>
        </w:r>
        <w:r w:rsidRPr="00576B1F">
          <w:rPr>
            <w:webHidden/>
          </w:rPr>
          <w:fldChar w:fldCharType="begin"/>
        </w:r>
        <w:r w:rsidRPr="00576B1F">
          <w:rPr>
            <w:webHidden/>
          </w:rPr>
          <w:instrText xml:space="preserve"> PAGEREF _Toc214878937 \h </w:instrText>
        </w:r>
        <w:r w:rsidRPr="00576B1F">
          <w:rPr>
            <w:webHidden/>
          </w:rPr>
        </w:r>
        <w:r w:rsidRPr="00576B1F">
          <w:rPr>
            <w:webHidden/>
          </w:rPr>
          <w:fldChar w:fldCharType="separate"/>
        </w:r>
        <w:r w:rsidR="00343E89">
          <w:rPr>
            <w:webHidden/>
          </w:rPr>
          <w:t>6-113</w:t>
        </w:r>
        <w:r w:rsidRPr="00576B1F">
          <w:rPr>
            <w:webHidden/>
          </w:rPr>
          <w:fldChar w:fldCharType="end"/>
        </w:r>
      </w:hyperlink>
    </w:p>
    <w:p w14:paraId="092F2D53" w14:textId="2D4EF59C" w:rsidR="00576B1F" w:rsidRPr="00576B1F" w:rsidRDefault="00576B1F">
      <w:pPr>
        <w:pStyle w:val="TOC5"/>
        <w:rPr>
          <w:rFonts w:eastAsiaTheme="minorEastAsia"/>
          <w:i w:val="0"/>
          <w:kern w:val="2"/>
          <w:sz w:val="20"/>
          <w:szCs w:val="20"/>
          <w14:ligatures w14:val="standardContextual"/>
        </w:rPr>
      </w:pPr>
      <w:hyperlink w:anchor="_Toc214878938" w:history="1">
        <w:r w:rsidRPr="00576B1F">
          <w:rPr>
            <w:rStyle w:val="Hyperlink"/>
            <w:i w:val="0"/>
            <w:sz w:val="20"/>
            <w:szCs w:val="20"/>
          </w:rPr>
          <w:t>6.5.9.4.1</w:t>
        </w:r>
        <w:r w:rsidRPr="00576B1F">
          <w:rPr>
            <w:rFonts w:eastAsiaTheme="minorEastAsia"/>
            <w:i w:val="0"/>
            <w:kern w:val="2"/>
            <w:sz w:val="20"/>
            <w:szCs w:val="20"/>
            <w14:ligatures w14:val="standardContextual"/>
          </w:rPr>
          <w:tab/>
        </w:r>
        <w:r w:rsidRPr="00576B1F">
          <w:rPr>
            <w:rStyle w:val="Hyperlink"/>
            <w:i w:val="0"/>
            <w:sz w:val="20"/>
            <w:szCs w:val="20"/>
          </w:rPr>
          <w:t>General Procedures Prior to EEA Operations</w:t>
        </w:r>
        <w:r w:rsidRPr="00576B1F">
          <w:rPr>
            <w:i w:val="0"/>
            <w:webHidden/>
            <w:sz w:val="20"/>
            <w:szCs w:val="20"/>
          </w:rPr>
          <w:tab/>
        </w:r>
        <w:r w:rsidRPr="00576B1F">
          <w:rPr>
            <w:i w:val="0"/>
            <w:webHidden/>
            <w:sz w:val="20"/>
            <w:szCs w:val="20"/>
          </w:rPr>
          <w:fldChar w:fldCharType="begin"/>
        </w:r>
        <w:r w:rsidRPr="00576B1F">
          <w:rPr>
            <w:i w:val="0"/>
            <w:webHidden/>
            <w:sz w:val="20"/>
            <w:szCs w:val="20"/>
          </w:rPr>
          <w:instrText xml:space="preserve"> PAGEREF _Toc214878938 \h </w:instrText>
        </w:r>
        <w:r w:rsidRPr="00576B1F">
          <w:rPr>
            <w:i w:val="0"/>
            <w:webHidden/>
            <w:sz w:val="20"/>
            <w:szCs w:val="20"/>
          </w:rPr>
        </w:r>
        <w:r w:rsidRPr="00576B1F">
          <w:rPr>
            <w:i w:val="0"/>
            <w:webHidden/>
            <w:sz w:val="20"/>
            <w:szCs w:val="20"/>
          </w:rPr>
          <w:fldChar w:fldCharType="separate"/>
        </w:r>
        <w:r w:rsidR="00343E89">
          <w:rPr>
            <w:i w:val="0"/>
            <w:webHidden/>
            <w:sz w:val="20"/>
            <w:szCs w:val="20"/>
          </w:rPr>
          <w:t>6-116</w:t>
        </w:r>
        <w:r w:rsidRPr="00576B1F">
          <w:rPr>
            <w:i w:val="0"/>
            <w:webHidden/>
            <w:sz w:val="20"/>
            <w:szCs w:val="20"/>
          </w:rPr>
          <w:fldChar w:fldCharType="end"/>
        </w:r>
      </w:hyperlink>
    </w:p>
    <w:p w14:paraId="71EA8684" w14:textId="6698FDF8" w:rsidR="00576B1F" w:rsidRPr="00576B1F" w:rsidRDefault="00576B1F">
      <w:pPr>
        <w:pStyle w:val="TOC5"/>
        <w:rPr>
          <w:rFonts w:eastAsiaTheme="minorEastAsia"/>
          <w:i w:val="0"/>
          <w:kern w:val="2"/>
          <w:sz w:val="20"/>
          <w:szCs w:val="20"/>
          <w14:ligatures w14:val="standardContextual"/>
        </w:rPr>
      </w:pPr>
      <w:hyperlink w:anchor="_Toc214878939" w:history="1">
        <w:r w:rsidRPr="00576B1F">
          <w:rPr>
            <w:rStyle w:val="Hyperlink"/>
            <w:i w:val="0"/>
            <w:sz w:val="20"/>
            <w:szCs w:val="20"/>
          </w:rPr>
          <w:t>6.5.9.4.2</w:t>
        </w:r>
        <w:r w:rsidRPr="00576B1F">
          <w:rPr>
            <w:rFonts w:eastAsiaTheme="minorEastAsia"/>
            <w:i w:val="0"/>
            <w:kern w:val="2"/>
            <w:sz w:val="20"/>
            <w:szCs w:val="20"/>
            <w14:ligatures w14:val="standardContextual"/>
          </w:rPr>
          <w:tab/>
        </w:r>
        <w:r w:rsidRPr="00576B1F">
          <w:rPr>
            <w:rStyle w:val="Hyperlink"/>
            <w:i w:val="0"/>
            <w:sz w:val="20"/>
            <w:szCs w:val="20"/>
          </w:rPr>
          <w:t>EEA Levels</w:t>
        </w:r>
        <w:r w:rsidRPr="00576B1F">
          <w:rPr>
            <w:i w:val="0"/>
            <w:webHidden/>
            <w:sz w:val="20"/>
            <w:szCs w:val="20"/>
          </w:rPr>
          <w:tab/>
        </w:r>
        <w:r w:rsidRPr="00576B1F">
          <w:rPr>
            <w:i w:val="0"/>
            <w:webHidden/>
            <w:sz w:val="20"/>
            <w:szCs w:val="20"/>
          </w:rPr>
          <w:fldChar w:fldCharType="begin"/>
        </w:r>
        <w:r w:rsidRPr="00576B1F">
          <w:rPr>
            <w:i w:val="0"/>
            <w:webHidden/>
            <w:sz w:val="20"/>
            <w:szCs w:val="20"/>
          </w:rPr>
          <w:instrText xml:space="preserve"> PAGEREF _Toc214878939 \h </w:instrText>
        </w:r>
        <w:r w:rsidRPr="00576B1F">
          <w:rPr>
            <w:i w:val="0"/>
            <w:webHidden/>
            <w:sz w:val="20"/>
            <w:szCs w:val="20"/>
          </w:rPr>
        </w:r>
        <w:r w:rsidRPr="00576B1F">
          <w:rPr>
            <w:i w:val="0"/>
            <w:webHidden/>
            <w:sz w:val="20"/>
            <w:szCs w:val="20"/>
          </w:rPr>
          <w:fldChar w:fldCharType="separate"/>
        </w:r>
        <w:r w:rsidR="00343E89">
          <w:rPr>
            <w:i w:val="0"/>
            <w:webHidden/>
            <w:sz w:val="20"/>
            <w:szCs w:val="20"/>
          </w:rPr>
          <w:t>6-120</w:t>
        </w:r>
        <w:r w:rsidRPr="00576B1F">
          <w:rPr>
            <w:i w:val="0"/>
            <w:webHidden/>
            <w:sz w:val="20"/>
            <w:szCs w:val="20"/>
          </w:rPr>
          <w:fldChar w:fldCharType="end"/>
        </w:r>
      </w:hyperlink>
    </w:p>
    <w:p w14:paraId="4D376D17" w14:textId="545D9383" w:rsidR="00576B1F" w:rsidRPr="00576B1F" w:rsidRDefault="00576B1F">
      <w:pPr>
        <w:pStyle w:val="TOC5"/>
        <w:rPr>
          <w:rFonts w:eastAsiaTheme="minorEastAsia"/>
          <w:i w:val="0"/>
          <w:kern w:val="2"/>
          <w:sz w:val="20"/>
          <w:szCs w:val="20"/>
          <w14:ligatures w14:val="standardContextual"/>
        </w:rPr>
      </w:pPr>
      <w:hyperlink w:anchor="_Toc214878940" w:history="1">
        <w:r w:rsidRPr="00576B1F">
          <w:rPr>
            <w:rStyle w:val="Hyperlink"/>
            <w:i w:val="0"/>
            <w:sz w:val="20"/>
            <w:szCs w:val="20"/>
          </w:rPr>
          <w:t>6.5.9.4.3</w:t>
        </w:r>
        <w:r w:rsidRPr="00576B1F">
          <w:rPr>
            <w:rFonts w:eastAsiaTheme="minorEastAsia"/>
            <w:i w:val="0"/>
            <w:kern w:val="2"/>
            <w:sz w:val="20"/>
            <w:szCs w:val="20"/>
            <w14:ligatures w14:val="standardContextual"/>
          </w:rPr>
          <w:tab/>
        </w:r>
        <w:r w:rsidRPr="00576B1F">
          <w:rPr>
            <w:rStyle w:val="Hyperlink"/>
            <w:i w:val="0"/>
            <w:sz w:val="20"/>
            <w:szCs w:val="20"/>
          </w:rPr>
          <w:t>Restoration of Market Operations</w:t>
        </w:r>
        <w:r w:rsidRPr="00576B1F">
          <w:rPr>
            <w:i w:val="0"/>
            <w:webHidden/>
            <w:sz w:val="20"/>
            <w:szCs w:val="20"/>
          </w:rPr>
          <w:tab/>
        </w:r>
        <w:r w:rsidRPr="00576B1F">
          <w:rPr>
            <w:i w:val="0"/>
            <w:webHidden/>
            <w:sz w:val="20"/>
            <w:szCs w:val="20"/>
          </w:rPr>
          <w:fldChar w:fldCharType="begin"/>
        </w:r>
        <w:r w:rsidRPr="00576B1F">
          <w:rPr>
            <w:i w:val="0"/>
            <w:webHidden/>
            <w:sz w:val="20"/>
            <w:szCs w:val="20"/>
          </w:rPr>
          <w:instrText xml:space="preserve"> PAGEREF _Toc214878940 \h </w:instrText>
        </w:r>
        <w:r w:rsidRPr="00576B1F">
          <w:rPr>
            <w:i w:val="0"/>
            <w:webHidden/>
            <w:sz w:val="20"/>
            <w:szCs w:val="20"/>
          </w:rPr>
        </w:r>
        <w:r w:rsidRPr="00576B1F">
          <w:rPr>
            <w:i w:val="0"/>
            <w:webHidden/>
            <w:sz w:val="20"/>
            <w:szCs w:val="20"/>
          </w:rPr>
          <w:fldChar w:fldCharType="separate"/>
        </w:r>
        <w:r w:rsidR="00343E89">
          <w:rPr>
            <w:i w:val="0"/>
            <w:webHidden/>
            <w:sz w:val="20"/>
            <w:szCs w:val="20"/>
          </w:rPr>
          <w:t>6-124</w:t>
        </w:r>
        <w:r w:rsidRPr="00576B1F">
          <w:rPr>
            <w:i w:val="0"/>
            <w:webHidden/>
            <w:sz w:val="20"/>
            <w:szCs w:val="20"/>
          </w:rPr>
          <w:fldChar w:fldCharType="end"/>
        </w:r>
      </w:hyperlink>
    </w:p>
    <w:p w14:paraId="6260DE00" w14:textId="24B4C119" w:rsidR="00576B1F" w:rsidRPr="00576B1F" w:rsidRDefault="00576B1F">
      <w:pPr>
        <w:pStyle w:val="TOC4"/>
        <w:rPr>
          <w:rFonts w:eastAsiaTheme="minorEastAsia"/>
          <w:kern w:val="2"/>
          <w:lang w:val="en-US"/>
          <w14:ligatures w14:val="standardContextual"/>
        </w:rPr>
      </w:pPr>
      <w:hyperlink w:anchor="_Toc214878941" w:history="1">
        <w:r w:rsidRPr="00576B1F">
          <w:rPr>
            <w:rStyle w:val="Hyperlink"/>
          </w:rPr>
          <w:t>6.5.9.5</w:t>
        </w:r>
        <w:r w:rsidRPr="00576B1F">
          <w:rPr>
            <w:rFonts w:eastAsiaTheme="minorEastAsia"/>
            <w:kern w:val="2"/>
            <w:lang w:val="en-US"/>
            <w14:ligatures w14:val="standardContextual"/>
          </w:rPr>
          <w:tab/>
        </w:r>
        <w:r w:rsidRPr="00576B1F">
          <w:rPr>
            <w:rStyle w:val="Hyperlink"/>
          </w:rPr>
          <w:t>Block Load Transfers between ERCOT and Non-ERCOT Control Areas</w:t>
        </w:r>
        <w:r w:rsidRPr="00576B1F">
          <w:rPr>
            <w:webHidden/>
          </w:rPr>
          <w:tab/>
        </w:r>
        <w:r w:rsidRPr="00576B1F">
          <w:rPr>
            <w:webHidden/>
          </w:rPr>
          <w:fldChar w:fldCharType="begin"/>
        </w:r>
        <w:r w:rsidRPr="00576B1F">
          <w:rPr>
            <w:webHidden/>
          </w:rPr>
          <w:instrText xml:space="preserve"> PAGEREF _Toc214878941 \h </w:instrText>
        </w:r>
        <w:r w:rsidRPr="00576B1F">
          <w:rPr>
            <w:webHidden/>
          </w:rPr>
        </w:r>
        <w:r w:rsidRPr="00576B1F">
          <w:rPr>
            <w:webHidden/>
          </w:rPr>
          <w:fldChar w:fldCharType="separate"/>
        </w:r>
        <w:r w:rsidR="00343E89">
          <w:rPr>
            <w:webHidden/>
          </w:rPr>
          <w:t>6-124</w:t>
        </w:r>
        <w:r w:rsidRPr="00576B1F">
          <w:rPr>
            <w:webHidden/>
          </w:rPr>
          <w:fldChar w:fldCharType="end"/>
        </w:r>
      </w:hyperlink>
    </w:p>
    <w:p w14:paraId="39318D40" w14:textId="333A21D1" w:rsidR="00576B1F" w:rsidRPr="00576B1F" w:rsidRDefault="00576B1F">
      <w:pPr>
        <w:pStyle w:val="TOC5"/>
        <w:rPr>
          <w:rFonts w:eastAsiaTheme="minorEastAsia"/>
          <w:i w:val="0"/>
          <w:kern w:val="2"/>
          <w:sz w:val="20"/>
          <w:szCs w:val="20"/>
          <w14:ligatures w14:val="standardContextual"/>
        </w:rPr>
      </w:pPr>
      <w:hyperlink w:anchor="_Toc214878942" w:history="1">
        <w:r w:rsidRPr="00576B1F">
          <w:rPr>
            <w:rStyle w:val="Hyperlink"/>
            <w:i w:val="0"/>
            <w:sz w:val="20"/>
            <w:szCs w:val="20"/>
          </w:rPr>
          <w:t>6.5.9.5.1</w:t>
        </w:r>
        <w:r w:rsidRPr="00576B1F">
          <w:rPr>
            <w:rFonts w:eastAsiaTheme="minorEastAsia"/>
            <w:i w:val="0"/>
            <w:kern w:val="2"/>
            <w:sz w:val="20"/>
            <w:szCs w:val="20"/>
            <w14:ligatures w14:val="standardContextual"/>
          </w:rPr>
          <w:tab/>
        </w:r>
        <w:r w:rsidRPr="00576B1F">
          <w:rPr>
            <w:rStyle w:val="Hyperlink"/>
            <w:i w:val="0"/>
            <w:sz w:val="20"/>
            <w:szCs w:val="20"/>
          </w:rPr>
          <w:t>Registration and Posting of BLT Points</w:t>
        </w:r>
        <w:r w:rsidRPr="00576B1F">
          <w:rPr>
            <w:i w:val="0"/>
            <w:webHidden/>
            <w:sz w:val="20"/>
            <w:szCs w:val="20"/>
          </w:rPr>
          <w:tab/>
        </w:r>
        <w:r w:rsidRPr="00576B1F">
          <w:rPr>
            <w:i w:val="0"/>
            <w:webHidden/>
            <w:sz w:val="20"/>
            <w:szCs w:val="20"/>
          </w:rPr>
          <w:fldChar w:fldCharType="begin"/>
        </w:r>
        <w:r w:rsidRPr="00576B1F">
          <w:rPr>
            <w:i w:val="0"/>
            <w:webHidden/>
            <w:sz w:val="20"/>
            <w:szCs w:val="20"/>
          </w:rPr>
          <w:instrText xml:space="preserve"> PAGEREF _Toc214878942 \h </w:instrText>
        </w:r>
        <w:r w:rsidRPr="00576B1F">
          <w:rPr>
            <w:i w:val="0"/>
            <w:webHidden/>
            <w:sz w:val="20"/>
            <w:szCs w:val="20"/>
          </w:rPr>
        </w:r>
        <w:r w:rsidRPr="00576B1F">
          <w:rPr>
            <w:i w:val="0"/>
            <w:webHidden/>
            <w:sz w:val="20"/>
            <w:szCs w:val="20"/>
          </w:rPr>
          <w:fldChar w:fldCharType="separate"/>
        </w:r>
        <w:r w:rsidR="00343E89">
          <w:rPr>
            <w:i w:val="0"/>
            <w:webHidden/>
            <w:sz w:val="20"/>
            <w:szCs w:val="20"/>
          </w:rPr>
          <w:t>6-126</w:t>
        </w:r>
        <w:r w:rsidRPr="00576B1F">
          <w:rPr>
            <w:i w:val="0"/>
            <w:webHidden/>
            <w:sz w:val="20"/>
            <w:szCs w:val="20"/>
          </w:rPr>
          <w:fldChar w:fldCharType="end"/>
        </w:r>
      </w:hyperlink>
    </w:p>
    <w:p w14:paraId="3D04B5A1" w14:textId="459ECBE8" w:rsidR="00576B1F" w:rsidRPr="00576B1F" w:rsidRDefault="00576B1F">
      <w:pPr>
        <w:pStyle w:val="TOC5"/>
        <w:rPr>
          <w:rFonts w:eastAsiaTheme="minorEastAsia"/>
          <w:i w:val="0"/>
          <w:kern w:val="2"/>
          <w:sz w:val="20"/>
          <w:szCs w:val="20"/>
          <w14:ligatures w14:val="standardContextual"/>
        </w:rPr>
      </w:pPr>
      <w:hyperlink w:anchor="_Toc214878943" w:history="1">
        <w:r w:rsidRPr="00576B1F">
          <w:rPr>
            <w:rStyle w:val="Hyperlink"/>
            <w:i w:val="0"/>
            <w:sz w:val="20"/>
            <w:szCs w:val="20"/>
          </w:rPr>
          <w:t>6.5.9.5.2</w:t>
        </w:r>
        <w:r w:rsidRPr="00576B1F">
          <w:rPr>
            <w:rFonts w:eastAsiaTheme="minorEastAsia"/>
            <w:i w:val="0"/>
            <w:kern w:val="2"/>
            <w:sz w:val="20"/>
            <w:szCs w:val="20"/>
            <w14:ligatures w14:val="standardContextual"/>
          </w:rPr>
          <w:tab/>
        </w:r>
        <w:r w:rsidRPr="00576B1F">
          <w:rPr>
            <w:rStyle w:val="Hyperlink"/>
            <w:i w:val="0"/>
            <w:sz w:val="20"/>
            <w:szCs w:val="20"/>
          </w:rPr>
          <w:t>Scheduling and Operation of BLTs</w:t>
        </w:r>
        <w:r w:rsidRPr="00576B1F">
          <w:rPr>
            <w:i w:val="0"/>
            <w:webHidden/>
            <w:sz w:val="20"/>
            <w:szCs w:val="20"/>
          </w:rPr>
          <w:tab/>
        </w:r>
        <w:r w:rsidRPr="00576B1F">
          <w:rPr>
            <w:i w:val="0"/>
            <w:webHidden/>
            <w:sz w:val="20"/>
            <w:szCs w:val="20"/>
          </w:rPr>
          <w:fldChar w:fldCharType="begin"/>
        </w:r>
        <w:r w:rsidRPr="00576B1F">
          <w:rPr>
            <w:i w:val="0"/>
            <w:webHidden/>
            <w:sz w:val="20"/>
            <w:szCs w:val="20"/>
          </w:rPr>
          <w:instrText xml:space="preserve"> PAGEREF _Toc214878943 \h </w:instrText>
        </w:r>
        <w:r w:rsidRPr="00576B1F">
          <w:rPr>
            <w:i w:val="0"/>
            <w:webHidden/>
            <w:sz w:val="20"/>
            <w:szCs w:val="20"/>
          </w:rPr>
        </w:r>
        <w:r w:rsidRPr="00576B1F">
          <w:rPr>
            <w:i w:val="0"/>
            <w:webHidden/>
            <w:sz w:val="20"/>
            <w:szCs w:val="20"/>
          </w:rPr>
          <w:fldChar w:fldCharType="separate"/>
        </w:r>
        <w:r w:rsidR="00343E89">
          <w:rPr>
            <w:i w:val="0"/>
            <w:webHidden/>
            <w:sz w:val="20"/>
            <w:szCs w:val="20"/>
          </w:rPr>
          <w:t>6-127</w:t>
        </w:r>
        <w:r w:rsidRPr="00576B1F">
          <w:rPr>
            <w:i w:val="0"/>
            <w:webHidden/>
            <w:sz w:val="20"/>
            <w:szCs w:val="20"/>
          </w:rPr>
          <w:fldChar w:fldCharType="end"/>
        </w:r>
      </w:hyperlink>
    </w:p>
    <w:p w14:paraId="78B8B21C" w14:textId="55AA1A96" w:rsidR="00576B1F" w:rsidRPr="00576B1F" w:rsidRDefault="00576B1F">
      <w:pPr>
        <w:pStyle w:val="TOC4"/>
        <w:rPr>
          <w:rFonts w:eastAsiaTheme="minorEastAsia"/>
          <w:kern w:val="2"/>
          <w:lang w:val="en-US"/>
          <w14:ligatures w14:val="standardContextual"/>
        </w:rPr>
      </w:pPr>
      <w:hyperlink w:anchor="_Toc214878944" w:history="1">
        <w:r w:rsidRPr="00576B1F">
          <w:rPr>
            <w:rStyle w:val="Hyperlink"/>
          </w:rPr>
          <w:t>6.5.9.6</w:t>
        </w:r>
        <w:r w:rsidRPr="00576B1F">
          <w:rPr>
            <w:rFonts w:eastAsiaTheme="minorEastAsia"/>
            <w:kern w:val="2"/>
            <w:lang w:val="en-US"/>
            <w14:ligatures w14:val="standardContextual"/>
          </w:rPr>
          <w:tab/>
        </w:r>
        <w:r w:rsidRPr="00576B1F">
          <w:rPr>
            <w:rStyle w:val="Hyperlink"/>
          </w:rPr>
          <w:t>Black Start</w:t>
        </w:r>
        <w:r w:rsidRPr="00576B1F">
          <w:rPr>
            <w:webHidden/>
          </w:rPr>
          <w:tab/>
        </w:r>
        <w:r w:rsidRPr="00576B1F">
          <w:rPr>
            <w:webHidden/>
          </w:rPr>
          <w:fldChar w:fldCharType="begin"/>
        </w:r>
        <w:r w:rsidRPr="00576B1F">
          <w:rPr>
            <w:webHidden/>
          </w:rPr>
          <w:instrText xml:space="preserve"> PAGEREF _Toc214878944 \h </w:instrText>
        </w:r>
        <w:r w:rsidRPr="00576B1F">
          <w:rPr>
            <w:webHidden/>
          </w:rPr>
        </w:r>
        <w:r w:rsidRPr="00576B1F">
          <w:rPr>
            <w:webHidden/>
          </w:rPr>
          <w:fldChar w:fldCharType="separate"/>
        </w:r>
        <w:r w:rsidR="00343E89">
          <w:rPr>
            <w:webHidden/>
          </w:rPr>
          <w:t>6-127</w:t>
        </w:r>
        <w:r w:rsidRPr="00576B1F">
          <w:rPr>
            <w:webHidden/>
          </w:rPr>
          <w:fldChar w:fldCharType="end"/>
        </w:r>
      </w:hyperlink>
    </w:p>
    <w:p w14:paraId="6095C718" w14:textId="2B039BB5" w:rsidR="00576B1F" w:rsidRPr="00576B1F" w:rsidRDefault="00576B1F">
      <w:pPr>
        <w:pStyle w:val="TOC2"/>
        <w:rPr>
          <w:rFonts w:eastAsiaTheme="minorEastAsia"/>
          <w:noProof/>
          <w:kern w:val="2"/>
          <w14:ligatures w14:val="standardContextual"/>
        </w:rPr>
      </w:pPr>
      <w:hyperlink w:anchor="_Toc214878945" w:history="1">
        <w:r w:rsidRPr="00576B1F">
          <w:rPr>
            <w:rStyle w:val="Hyperlink"/>
            <w:noProof/>
          </w:rPr>
          <w:t>6.6</w:t>
        </w:r>
        <w:r w:rsidRPr="00576B1F">
          <w:rPr>
            <w:rFonts w:eastAsiaTheme="minorEastAsia"/>
            <w:noProof/>
            <w:kern w:val="2"/>
            <w14:ligatures w14:val="standardContextual"/>
          </w:rPr>
          <w:tab/>
        </w:r>
        <w:r w:rsidRPr="00576B1F">
          <w:rPr>
            <w:rStyle w:val="Hyperlink"/>
            <w:noProof/>
          </w:rPr>
          <w:t>Settlement Calculations for the Real-Time Energy Operations</w:t>
        </w:r>
        <w:r w:rsidRPr="00576B1F">
          <w:rPr>
            <w:noProof/>
            <w:webHidden/>
          </w:rPr>
          <w:tab/>
        </w:r>
        <w:r w:rsidRPr="00576B1F">
          <w:rPr>
            <w:noProof/>
            <w:webHidden/>
          </w:rPr>
          <w:fldChar w:fldCharType="begin"/>
        </w:r>
        <w:r w:rsidRPr="00576B1F">
          <w:rPr>
            <w:noProof/>
            <w:webHidden/>
          </w:rPr>
          <w:instrText xml:space="preserve"> PAGEREF _Toc214878945 \h </w:instrText>
        </w:r>
        <w:r w:rsidRPr="00576B1F">
          <w:rPr>
            <w:noProof/>
            <w:webHidden/>
          </w:rPr>
        </w:r>
        <w:r w:rsidRPr="00576B1F">
          <w:rPr>
            <w:noProof/>
            <w:webHidden/>
          </w:rPr>
          <w:fldChar w:fldCharType="separate"/>
        </w:r>
        <w:r w:rsidR="00343E89">
          <w:rPr>
            <w:noProof/>
            <w:webHidden/>
          </w:rPr>
          <w:t>6-128</w:t>
        </w:r>
        <w:r w:rsidRPr="00576B1F">
          <w:rPr>
            <w:noProof/>
            <w:webHidden/>
          </w:rPr>
          <w:fldChar w:fldCharType="end"/>
        </w:r>
      </w:hyperlink>
    </w:p>
    <w:p w14:paraId="6D03C559" w14:textId="3BED4D5F" w:rsidR="00576B1F" w:rsidRPr="00576B1F" w:rsidRDefault="00576B1F">
      <w:pPr>
        <w:pStyle w:val="TOC3"/>
        <w:rPr>
          <w:rFonts w:eastAsiaTheme="minorEastAsia"/>
          <w:i w:val="0"/>
          <w:iCs w:val="0"/>
          <w:kern w:val="2"/>
          <w14:ligatures w14:val="standardContextual"/>
        </w:rPr>
      </w:pPr>
      <w:hyperlink w:anchor="_Toc214878946" w:history="1">
        <w:r w:rsidRPr="00576B1F">
          <w:rPr>
            <w:rStyle w:val="Hyperlink"/>
            <w:i w:val="0"/>
            <w:iCs w:val="0"/>
          </w:rPr>
          <w:t>6.6.1</w:t>
        </w:r>
        <w:r w:rsidRPr="00576B1F">
          <w:rPr>
            <w:rFonts w:eastAsiaTheme="minorEastAsia"/>
            <w:i w:val="0"/>
            <w:iCs w:val="0"/>
            <w:kern w:val="2"/>
            <w14:ligatures w14:val="standardContextual"/>
          </w:rPr>
          <w:tab/>
        </w:r>
        <w:r w:rsidRPr="00576B1F">
          <w:rPr>
            <w:rStyle w:val="Hyperlink"/>
            <w:i w:val="0"/>
            <w:iCs w:val="0"/>
          </w:rPr>
          <w:t>Real-Time Settlement Point Prices</w:t>
        </w:r>
        <w:r w:rsidRPr="00576B1F">
          <w:rPr>
            <w:i w:val="0"/>
            <w:iCs w:val="0"/>
            <w:webHidden/>
          </w:rPr>
          <w:tab/>
        </w:r>
        <w:r w:rsidRPr="00576B1F">
          <w:rPr>
            <w:i w:val="0"/>
            <w:iCs w:val="0"/>
            <w:webHidden/>
          </w:rPr>
          <w:fldChar w:fldCharType="begin"/>
        </w:r>
        <w:r w:rsidRPr="00576B1F">
          <w:rPr>
            <w:i w:val="0"/>
            <w:iCs w:val="0"/>
            <w:webHidden/>
          </w:rPr>
          <w:instrText xml:space="preserve"> PAGEREF _Toc214878946 \h </w:instrText>
        </w:r>
        <w:r w:rsidRPr="00576B1F">
          <w:rPr>
            <w:i w:val="0"/>
            <w:iCs w:val="0"/>
            <w:webHidden/>
          </w:rPr>
        </w:r>
        <w:r w:rsidRPr="00576B1F">
          <w:rPr>
            <w:i w:val="0"/>
            <w:iCs w:val="0"/>
            <w:webHidden/>
          </w:rPr>
          <w:fldChar w:fldCharType="separate"/>
        </w:r>
        <w:r w:rsidR="00343E89">
          <w:rPr>
            <w:i w:val="0"/>
            <w:iCs w:val="0"/>
            <w:webHidden/>
          </w:rPr>
          <w:t>6-128</w:t>
        </w:r>
        <w:r w:rsidRPr="00576B1F">
          <w:rPr>
            <w:i w:val="0"/>
            <w:iCs w:val="0"/>
            <w:webHidden/>
          </w:rPr>
          <w:fldChar w:fldCharType="end"/>
        </w:r>
      </w:hyperlink>
    </w:p>
    <w:p w14:paraId="44B6DB2C" w14:textId="302F30A3" w:rsidR="00576B1F" w:rsidRPr="00576B1F" w:rsidRDefault="00576B1F">
      <w:pPr>
        <w:pStyle w:val="TOC4"/>
        <w:rPr>
          <w:rFonts w:eastAsiaTheme="minorEastAsia"/>
          <w:kern w:val="2"/>
          <w:lang w:val="en-US"/>
          <w14:ligatures w14:val="standardContextual"/>
        </w:rPr>
      </w:pPr>
      <w:hyperlink w:anchor="_Toc214878947" w:history="1">
        <w:r w:rsidRPr="00576B1F">
          <w:rPr>
            <w:rStyle w:val="Hyperlink"/>
          </w:rPr>
          <w:t>6.6.1.1</w:t>
        </w:r>
        <w:r w:rsidRPr="00576B1F">
          <w:rPr>
            <w:rFonts w:eastAsiaTheme="minorEastAsia"/>
            <w:kern w:val="2"/>
            <w:lang w:val="en-US"/>
            <w14:ligatures w14:val="standardContextual"/>
          </w:rPr>
          <w:tab/>
        </w:r>
        <w:r w:rsidRPr="00576B1F">
          <w:rPr>
            <w:rStyle w:val="Hyperlink"/>
          </w:rPr>
          <w:t>Real-Time Settlement Point Price for a Resource Node</w:t>
        </w:r>
        <w:r w:rsidRPr="00576B1F">
          <w:rPr>
            <w:webHidden/>
          </w:rPr>
          <w:tab/>
        </w:r>
        <w:r w:rsidRPr="00576B1F">
          <w:rPr>
            <w:webHidden/>
          </w:rPr>
          <w:fldChar w:fldCharType="begin"/>
        </w:r>
        <w:r w:rsidRPr="00576B1F">
          <w:rPr>
            <w:webHidden/>
          </w:rPr>
          <w:instrText xml:space="preserve"> PAGEREF _Toc214878947 \h </w:instrText>
        </w:r>
        <w:r w:rsidRPr="00576B1F">
          <w:rPr>
            <w:webHidden/>
          </w:rPr>
        </w:r>
        <w:r w:rsidRPr="00576B1F">
          <w:rPr>
            <w:webHidden/>
          </w:rPr>
          <w:fldChar w:fldCharType="separate"/>
        </w:r>
        <w:r w:rsidR="00343E89">
          <w:rPr>
            <w:webHidden/>
          </w:rPr>
          <w:t>6-128</w:t>
        </w:r>
        <w:r w:rsidRPr="00576B1F">
          <w:rPr>
            <w:webHidden/>
          </w:rPr>
          <w:fldChar w:fldCharType="end"/>
        </w:r>
      </w:hyperlink>
    </w:p>
    <w:p w14:paraId="3602F9EE" w14:textId="661A2DC9" w:rsidR="00576B1F" w:rsidRPr="00576B1F" w:rsidRDefault="00576B1F">
      <w:pPr>
        <w:pStyle w:val="TOC4"/>
        <w:rPr>
          <w:rFonts w:eastAsiaTheme="minorEastAsia"/>
          <w:kern w:val="2"/>
          <w:lang w:val="en-US"/>
          <w14:ligatures w14:val="standardContextual"/>
        </w:rPr>
      </w:pPr>
      <w:hyperlink w:anchor="_Toc214878948" w:history="1">
        <w:r w:rsidRPr="00576B1F">
          <w:rPr>
            <w:rStyle w:val="Hyperlink"/>
          </w:rPr>
          <w:t>6.6.1.2</w:t>
        </w:r>
        <w:r w:rsidRPr="00576B1F">
          <w:rPr>
            <w:rFonts w:eastAsiaTheme="minorEastAsia"/>
            <w:kern w:val="2"/>
            <w:lang w:val="en-US"/>
            <w14:ligatures w14:val="standardContextual"/>
          </w:rPr>
          <w:tab/>
        </w:r>
        <w:r w:rsidRPr="00576B1F">
          <w:rPr>
            <w:rStyle w:val="Hyperlink"/>
          </w:rPr>
          <w:t>Real-Time Settlement Point Price for a Load Zone</w:t>
        </w:r>
        <w:r w:rsidRPr="00576B1F">
          <w:rPr>
            <w:webHidden/>
          </w:rPr>
          <w:tab/>
        </w:r>
        <w:r w:rsidRPr="00576B1F">
          <w:rPr>
            <w:webHidden/>
          </w:rPr>
          <w:fldChar w:fldCharType="begin"/>
        </w:r>
        <w:r w:rsidRPr="00576B1F">
          <w:rPr>
            <w:webHidden/>
          </w:rPr>
          <w:instrText xml:space="preserve"> PAGEREF _Toc214878948 \h </w:instrText>
        </w:r>
        <w:r w:rsidRPr="00576B1F">
          <w:rPr>
            <w:webHidden/>
          </w:rPr>
        </w:r>
        <w:r w:rsidRPr="00576B1F">
          <w:rPr>
            <w:webHidden/>
          </w:rPr>
          <w:fldChar w:fldCharType="separate"/>
        </w:r>
        <w:r w:rsidR="00343E89">
          <w:rPr>
            <w:webHidden/>
          </w:rPr>
          <w:t>6-131</w:t>
        </w:r>
        <w:r w:rsidRPr="00576B1F">
          <w:rPr>
            <w:webHidden/>
          </w:rPr>
          <w:fldChar w:fldCharType="end"/>
        </w:r>
      </w:hyperlink>
    </w:p>
    <w:p w14:paraId="2B3AFC39" w14:textId="0971AF3E" w:rsidR="00576B1F" w:rsidRPr="00576B1F" w:rsidRDefault="00576B1F">
      <w:pPr>
        <w:pStyle w:val="TOC4"/>
        <w:rPr>
          <w:rFonts w:eastAsiaTheme="minorEastAsia"/>
          <w:kern w:val="2"/>
          <w:lang w:val="en-US"/>
          <w14:ligatures w14:val="standardContextual"/>
        </w:rPr>
      </w:pPr>
      <w:hyperlink w:anchor="_Toc214878949" w:history="1">
        <w:r w:rsidRPr="00576B1F">
          <w:rPr>
            <w:rStyle w:val="Hyperlink"/>
          </w:rPr>
          <w:t>6.6.1.3</w:t>
        </w:r>
        <w:r w:rsidRPr="00576B1F">
          <w:rPr>
            <w:rFonts w:eastAsiaTheme="minorEastAsia"/>
            <w:kern w:val="2"/>
            <w:lang w:val="en-US"/>
            <w14:ligatures w14:val="standardContextual"/>
          </w:rPr>
          <w:tab/>
        </w:r>
        <w:r w:rsidRPr="00576B1F">
          <w:rPr>
            <w:rStyle w:val="Hyperlink"/>
          </w:rPr>
          <w:t>Real-Time Settlement Point Price for a Hub</w:t>
        </w:r>
        <w:r w:rsidRPr="00576B1F">
          <w:rPr>
            <w:webHidden/>
          </w:rPr>
          <w:tab/>
        </w:r>
        <w:r w:rsidRPr="00576B1F">
          <w:rPr>
            <w:webHidden/>
          </w:rPr>
          <w:fldChar w:fldCharType="begin"/>
        </w:r>
        <w:r w:rsidRPr="00576B1F">
          <w:rPr>
            <w:webHidden/>
          </w:rPr>
          <w:instrText xml:space="preserve"> PAGEREF _Toc214878949 \h </w:instrText>
        </w:r>
        <w:r w:rsidRPr="00576B1F">
          <w:rPr>
            <w:webHidden/>
          </w:rPr>
        </w:r>
        <w:r w:rsidRPr="00576B1F">
          <w:rPr>
            <w:webHidden/>
          </w:rPr>
          <w:fldChar w:fldCharType="separate"/>
        </w:r>
        <w:r w:rsidR="00343E89">
          <w:rPr>
            <w:webHidden/>
          </w:rPr>
          <w:t>6-133</w:t>
        </w:r>
        <w:r w:rsidRPr="00576B1F">
          <w:rPr>
            <w:webHidden/>
          </w:rPr>
          <w:fldChar w:fldCharType="end"/>
        </w:r>
      </w:hyperlink>
    </w:p>
    <w:p w14:paraId="10EAEB9B" w14:textId="66D03B87" w:rsidR="00576B1F" w:rsidRPr="00576B1F" w:rsidRDefault="00576B1F">
      <w:pPr>
        <w:pStyle w:val="TOC4"/>
        <w:rPr>
          <w:rFonts w:eastAsiaTheme="minorEastAsia"/>
          <w:kern w:val="2"/>
          <w:lang w:val="en-US"/>
          <w14:ligatures w14:val="standardContextual"/>
        </w:rPr>
      </w:pPr>
      <w:hyperlink w:anchor="_Toc214878950" w:history="1">
        <w:r w:rsidRPr="00576B1F">
          <w:rPr>
            <w:rStyle w:val="Hyperlink"/>
          </w:rPr>
          <w:t>6.6.1.4</w:t>
        </w:r>
        <w:r w:rsidRPr="00576B1F">
          <w:rPr>
            <w:rFonts w:eastAsiaTheme="minorEastAsia"/>
            <w:kern w:val="2"/>
            <w:lang w:val="en-US"/>
            <w14:ligatures w14:val="standardContextual"/>
          </w:rPr>
          <w:tab/>
        </w:r>
        <w:r w:rsidRPr="00576B1F">
          <w:rPr>
            <w:rStyle w:val="Hyperlink"/>
          </w:rPr>
          <w:t>Load Zone LMPs</w:t>
        </w:r>
        <w:r w:rsidRPr="00576B1F">
          <w:rPr>
            <w:webHidden/>
          </w:rPr>
          <w:tab/>
        </w:r>
        <w:r w:rsidRPr="00576B1F">
          <w:rPr>
            <w:webHidden/>
          </w:rPr>
          <w:fldChar w:fldCharType="begin"/>
        </w:r>
        <w:r w:rsidRPr="00576B1F">
          <w:rPr>
            <w:webHidden/>
          </w:rPr>
          <w:instrText xml:space="preserve"> PAGEREF _Toc214878950 \h </w:instrText>
        </w:r>
        <w:r w:rsidRPr="00576B1F">
          <w:rPr>
            <w:webHidden/>
          </w:rPr>
        </w:r>
        <w:r w:rsidRPr="00576B1F">
          <w:rPr>
            <w:webHidden/>
          </w:rPr>
          <w:fldChar w:fldCharType="separate"/>
        </w:r>
        <w:r w:rsidR="00343E89">
          <w:rPr>
            <w:webHidden/>
          </w:rPr>
          <w:t>6-133</w:t>
        </w:r>
        <w:r w:rsidRPr="00576B1F">
          <w:rPr>
            <w:webHidden/>
          </w:rPr>
          <w:fldChar w:fldCharType="end"/>
        </w:r>
      </w:hyperlink>
    </w:p>
    <w:p w14:paraId="1F5D4512" w14:textId="3ABF2F54" w:rsidR="00576B1F" w:rsidRPr="00576B1F" w:rsidRDefault="00576B1F">
      <w:pPr>
        <w:pStyle w:val="TOC4"/>
        <w:rPr>
          <w:rFonts w:eastAsiaTheme="minorEastAsia"/>
          <w:kern w:val="2"/>
          <w:lang w:val="en-US"/>
          <w14:ligatures w14:val="standardContextual"/>
        </w:rPr>
      </w:pPr>
      <w:hyperlink w:anchor="_Toc214878951" w:history="1">
        <w:r w:rsidRPr="00576B1F">
          <w:rPr>
            <w:rStyle w:val="Hyperlink"/>
          </w:rPr>
          <w:t>6.6.1.5</w:t>
        </w:r>
        <w:r w:rsidRPr="00576B1F">
          <w:rPr>
            <w:rFonts w:eastAsiaTheme="minorEastAsia"/>
            <w:kern w:val="2"/>
            <w:lang w:val="en-US"/>
            <w14:ligatures w14:val="standardContextual"/>
          </w:rPr>
          <w:tab/>
        </w:r>
        <w:r w:rsidRPr="00576B1F">
          <w:rPr>
            <w:rStyle w:val="Hyperlink"/>
          </w:rPr>
          <w:t xml:space="preserve"> Hub LMPs</w:t>
        </w:r>
        <w:r w:rsidRPr="00576B1F">
          <w:rPr>
            <w:webHidden/>
          </w:rPr>
          <w:tab/>
        </w:r>
        <w:r w:rsidRPr="00576B1F">
          <w:rPr>
            <w:webHidden/>
          </w:rPr>
          <w:fldChar w:fldCharType="begin"/>
        </w:r>
        <w:r w:rsidRPr="00576B1F">
          <w:rPr>
            <w:webHidden/>
          </w:rPr>
          <w:instrText xml:space="preserve"> PAGEREF _Toc214878951 \h </w:instrText>
        </w:r>
        <w:r w:rsidRPr="00576B1F">
          <w:rPr>
            <w:webHidden/>
          </w:rPr>
        </w:r>
        <w:r w:rsidRPr="00576B1F">
          <w:rPr>
            <w:webHidden/>
          </w:rPr>
          <w:fldChar w:fldCharType="separate"/>
        </w:r>
        <w:r w:rsidR="00343E89">
          <w:rPr>
            <w:webHidden/>
          </w:rPr>
          <w:t>6-134</w:t>
        </w:r>
        <w:r w:rsidRPr="00576B1F">
          <w:rPr>
            <w:webHidden/>
          </w:rPr>
          <w:fldChar w:fldCharType="end"/>
        </w:r>
      </w:hyperlink>
    </w:p>
    <w:p w14:paraId="582F7A03" w14:textId="1337E7A0" w:rsidR="00576B1F" w:rsidRPr="00576B1F" w:rsidRDefault="00576B1F">
      <w:pPr>
        <w:pStyle w:val="TOC4"/>
        <w:rPr>
          <w:rFonts w:eastAsiaTheme="minorEastAsia"/>
          <w:kern w:val="2"/>
          <w:lang w:val="en-US"/>
          <w14:ligatures w14:val="standardContextual"/>
        </w:rPr>
      </w:pPr>
      <w:hyperlink w:anchor="_Toc214878952" w:history="1">
        <w:r w:rsidRPr="00576B1F">
          <w:rPr>
            <w:rStyle w:val="Hyperlink"/>
          </w:rPr>
          <w:t>6.6.1.5</w:t>
        </w:r>
        <w:r w:rsidRPr="00576B1F">
          <w:rPr>
            <w:rFonts w:eastAsiaTheme="minorEastAsia"/>
            <w:kern w:val="2"/>
            <w:lang w:val="en-US"/>
            <w14:ligatures w14:val="standardContextual"/>
          </w:rPr>
          <w:tab/>
        </w:r>
        <w:r w:rsidRPr="00576B1F">
          <w:rPr>
            <w:rStyle w:val="Hyperlink"/>
          </w:rPr>
          <w:t xml:space="preserve"> Hub LMPs</w:t>
        </w:r>
        <w:r w:rsidRPr="00576B1F">
          <w:rPr>
            <w:webHidden/>
          </w:rPr>
          <w:tab/>
        </w:r>
        <w:r w:rsidRPr="00576B1F">
          <w:rPr>
            <w:webHidden/>
          </w:rPr>
          <w:fldChar w:fldCharType="begin"/>
        </w:r>
        <w:r w:rsidRPr="00576B1F">
          <w:rPr>
            <w:webHidden/>
          </w:rPr>
          <w:instrText xml:space="preserve"> PAGEREF _Toc214878952 \h </w:instrText>
        </w:r>
        <w:r w:rsidRPr="00576B1F">
          <w:rPr>
            <w:webHidden/>
          </w:rPr>
        </w:r>
        <w:r w:rsidRPr="00576B1F">
          <w:rPr>
            <w:webHidden/>
          </w:rPr>
          <w:fldChar w:fldCharType="separate"/>
        </w:r>
        <w:r w:rsidR="00343E89">
          <w:rPr>
            <w:webHidden/>
          </w:rPr>
          <w:t>6-136</w:t>
        </w:r>
        <w:r w:rsidRPr="00576B1F">
          <w:rPr>
            <w:webHidden/>
          </w:rPr>
          <w:fldChar w:fldCharType="end"/>
        </w:r>
      </w:hyperlink>
    </w:p>
    <w:p w14:paraId="3068A0F4" w14:textId="7711D7A3" w:rsidR="00576B1F" w:rsidRPr="00576B1F" w:rsidRDefault="00576B1F">
      <w:pPr>
        <w:pStyle w:val="TOC4"/>
        <w:rPr>
          <w:rFonts w:eastAsiaTheme="minorEastAsia"/>
          <w:kern w:val="2"/>
          <w:lang w:val="en-US"/>
          <w14:ligatures w14:val="standardContextual"/>
        </w:rPr>
      </w:pPr>
      <w:hyperlink w:anchor="_Toc214878953" w:history="1">
        <w:r w:rsidRPr="00576B1F">
          <w:rPr>
            <w:rStyle w:val="Hyperlink"/>
            <w:snapToGrid w:val="0"/>
          </w:rPr>
          <w:t>6.6.1.6</w:t>
        </w:r>
        <w:r w:rsidRPr="00576B1F">
          <w:rPr>
            <w:rFonts w:eastAsiaTheme="minorEastAsia"/>
            <w:kern w:val="2"/>
            <w:lang w:val="en-US"/>
            <w14:ligatures w14:val="standardContextual"/>
          </w:rPr>
          <w:tab/>
        </w:r>
        <w:r w:rsidRPr="00576B1F">
          <w:rPr>
            <w:rStyle w:val="Hyperlink"/>
            <w:snapToGrid w:val="0"/>
          </w:rPr>
          <w:t xml:space="preserve"> Real-Time Market Clearing Prices for Ancillary Services</w:t>
        </w:r>
        <w:r w:rsidRPr="00576B1F">
          <w:rPr>
            <w:webHidden/>
          </w:rPr>
          <w:tab/>
        </w:r>
        <w:r w:rsidRPr="00576B1F">
          <w:rPr>
            <w:webHidden/>
          </w:rPr>
          <w:fldChar w:fldCharType="begin"/>
        </w:r>
        <w:r w:rsidRPr="00576B1F">
          <w:rPr>
            <w:webHidden/>
          </w:rPr>
          <w:instrText xml:space="preserve"> PAGEREF _Toc214878953 \h </w:instrText>
        </w:r>
        <w:r w:rsidRPr="00576B1F">
          <w:rPr>
            <w:webHidden/>
          </w:rPr>
        </w:r>
        <w:r w:rsidRPr="00576B1F">
          <w:rPr>
            <w:webHidden/>
          </w:rPr>
          <w:fldChar w:fldCharType="separate"/>
        </w:r>
        <w:r w:rsidR="00343E89">
          <w:rPr>
            <w:webHidden/>
          </w:rPr>
          <w:t>6-138</w:t>
        </w:r>
        <w:r w:rsidRPr="00576B1F">
          <w:rPr>
            <w:webHidden/>
          </w:rPr>
          <w:fldChar w:fldCharType="end"/>
        </w:r>
      </w:hyperlink>
    </w:p>
    <w:p w14:paraId="38F37EA4" w14:textId="7C007678" w:rsidR="00576B1F" w:rsidRPr="00576B1F" w:rsidRDefault="00576B1F">
      <w:pPr>
        <w:pStyle w:val="TOC4"/>
        <w:rPr>
          <w:rFonts w:eastAsiaTheme="minorEastAsia"/>
          <w:kern w:val="2"/>
          <w:lang w:val="en-US"/>
          <w14:ligatures w14:val="standardContextual"/>
        </w:rPr>
      </w:pPr>
      <w:hyperlink w:anchor="_Toc214878954" w:history="1">
        <w:r w:rsidRPr="00576B1F">
          <w:rPr>
            <w:rStyle w:val="Hyperlink"/>
            <w:snapToGrid w:val="0"/>
          </w:rPr>
          <w:t>6.6.1.7</w:t>
        </w:r>
        <w:r w:rsidRPr="00576B1F">
          <w:rPr>
            <w:rFonts w:eastAsiaTheme="minorEastAsia"/>
            <w:kern w:val="2"/>
            <w:lang w:val="en-US"/>
            <w14:ligatures w14:val="standardContextual"/>
          </w:rPr>
          <w:tab/>
        </w:r>
        <w:r w:rsidRPr="00576B1F">
          <w:rPr>
            <w:rStyle w:val="Hyperlink"/>
            <w:snapToGrid w:val="0"/>
          </w:rPr>
          <w:t xml:space="preserve"> Real-Time Reliability Deployment Prices for Ancillary Services</w:t>
        </w:r>
        <w:r w:rsidRPr="00576B1F">
          <w:rPr>
            <w:webHidden/>
          </w:rPr>
          <w:tab/>
        </w:r>
        <w:r w:rsidRPr="00576B1F">
          <w:rPr>
            <w:webHidden/>
          </w:rPr>
          <w:fldChar w:fldCharType="begin"/>
        </w:r>
        <w:r w:rsidRPr="00576B1F">
          <w:rPr>
            <w:webHidden/>
          </w:rPr>
          <w:instrText xml:space="preserve"> PAGEREF _Toc214878954 \h </w:instrText>
        </w:r>
        <w:r w:rsidRPr="00576B1F">
          <w:rPr>
            <w:webHidden/>
          </w:rPr>
        </w:r>
        <w:r w:rsidRPr="00576B1F">
          <w:rPr>
            <w:webHidden/>
          </w:rPr>
          <w:fldChar w:fldCharType="separate"/>
        </w:r>
        <w:r w:rsidR="00343E89">
          <w:rPr>
            <w:webHidden/>
          </w:rPr>
          <w:t>6-142</w:t>
        </w:r>
        <w:r w:rsidRPr="00576B1F">
          <w:rPr>
            <w:webHidden/>
          </w:rPr>
          <w:fldChar w:fldCharType="end"/>
        </w:r>
      </w:hyperlink>
    </w:p>
    <w:p w14:paraId="704E36C9" w14:textId="49B0CE96" w:rsidR="00576B1F" w:rsidRPr="00576B1F" w:rsidRDefault="00576B1F">
      <w:pPr>
        <w:pStyle w:val="TOC3"/>
        <w:rPr>
          <w:rFonts w:eastAsiaTheme="minorEastAsia"/>
          <w:i w:val="0"/>
          <w:iCs w:val="0"/>
          <w:kern w:val="2"/>
          <w14:ligatures w14:val="standardContextual"/>
        </w:rPr>
      </w:pPr>
      <w:hyperlink w:anchor="_Toc214878955" w:history="1">
        <w:r w:rsidRPr="00576B1F">
          <w:rPr>
            <w:rStyle w:val="Hyperlink"/>
            <w:i w:val="0"/>
            <w:iCs w:val="0"/>
          </w:rPr>
          <w:t>6.6.2</w:t>
        </w:r>
        <w:r w:rsidRPr="00576B1F">
          <w:rPr>
            <w:rFonts w:eastAsiaTheme="minorEastAsia"/>
            <w:i w:val="0"/>
            <w:iCs w:val="0"/>
            <w:kern w:val="2"/>
            <w14:ligatures w14:val="standardContextual"/>
          </w:rPr>
          <w:tab/>
        </w:r>
        <w:r w:rsidRPr="00576B1F">
          <w:rPr>
            <w:rStyle w:val="Hyperlink"/>
            <w:i w:val="0"/>
            <w:iCs w:val="0"/>
          </w:rPr>
          <w:t>Load Ratio Share</w:t>
        </w:r>
        <w:r w:rsidRPr="00576B1F">
          <w:rPr>
            <w:i w:val="0"/>
            <w:iCs w:val="0"/>
            <w:webHidden/>
          </w:rPr>
          <w:tab/>
        </w:r>
        <w:r w:rsidRPr="00576B1F">
          <w:rPr>
            <w:i w:val="0"/>
            <w:iCs w:val="0"/>
            <w:webHidden/>
          </w:rPr>
          <w:fldChar w:fldCharType="begin"/>
        </w:r>
        <w:r w:rsidRPr="00576B1F">
          <w:rPr>
            <w:i w:val="0"/>
            <w:iCs w:val="0"/>
            <w:webHidden/>
          </w:rPr>
          <w:instrText xml:space="preserve"> PAGEREF _Toc214878955 \h </w:instrText>
        </w:r>
        <w:r w:rsidRPr="00576B1F">
          <w:rPr>
            <w:i w:val="0"/>
            <w:iCs w:val="0"/>
            <w:webHidden/>
          </w:rPr>
        </w:r>
        <w:r w:rsidRPr="00576B1F">
          <w:rPr>
            <w:i w:val="0"/>
            <w:iCs w:val="0"/>
            <w:webHidden/>
          </w:rPr>
          <w:fldChar w:fldCharType="separate"/>
        </w:r>
        <w:r w:rsidR="00343E89">
          <w:rPr>
            <w:i w:val="0"/>
            <w:iCs w:val="0"/>
            <w:webHidden/>
          </w:rPr>
          <w:t>6-145</w:t>
        </w:r>
        <w:r w:rsidRPr="00576B1F">
          <w:rPr>
            <w:i w:val="0"/>
            <w:iCs w:val="0"/>
            <w:webHidden/>
          </w:rPr>
          <w:fldChar w:fldCharType="end"/>
        </w:r>
      </w:hyperlink>
    </w:p>
    <w:p w14:paraId="0398BBBA" w14:textId="5090C438" w:rsidR="00576B1F" w:rsidRPr="00576B1F" w:rsidRDefault="00576B1F">
      <w:pPr>
        <w:pStyle w:val="TOC4"/>
        <w:rPr>
          <w:rFonts w:eastAsiaTheme="minorEastAsia"/>
          <w:kern w:val="2"/>
          <w:lang w:val="en-US"/>
          <w14:ligatures w14:val="standardContextual"/>
        </w:rPr>
      </w:pPr>
      <w:hyperlink w:anchor="_Toc214878956" w:history="1">
        <w:r w:rsidRPr="00576B1F">
          <w:rPr>
            <w:rStyle w:val="Hyperlink"/>
          </w:rPr>
          <w:t>6.6.2.1</w:t>
        </w:r>
        <w:r w:rsidRPr="00576B1F">
          <w:rPr>
            <w:rFonts w:eastAsiaTheme="minorEastAsia"/>
            <w:kern w:val="2"/>
            <w:lang w:val="en-US"/>
            <w14:ligatures w14:val="standardContextual"/>
          </w:rPr>
          <w:tab/>
        </w:r>
        <w:r w:rsidRPr="00576B1F">
          <w:rPr>
            <w:rStyle w:val="Hyperlink"/>
          </w:rPr>
          <w:t>ERCOT Total Adjusted Metered Load for a 15-Minute Settlement Interval</w:t>
        </w:r>
        <w:r w:rsidRPr="00576B1F">
          <w:rPr>
            <w:webHidden/>
          </w:rPr>
          <w:tab/>
        </w:r>
        <w:r w:rsidRPr="00576B1F">
          <w:rPr>
            <w:webHidden/>
          </w:rPr>
          <w:fldChar w:fldCharType="begin"/>
        </w:r>
        <w:r w:rsidRPr="00576B1F">
          <w:rPr>
            <w:webHidden/>
          </w:rPr>
          <w:instrText xml:space="preserve"> PAGEREF _Toc214878956 \h </w:instrText>
        </w:r>
        <w:r w:rsidRPr="00576B1F">
          <w:rPr>
            <w:webHidden/>
          </w:rPr>
        </w:r>
        <w:r w:rsidRPr="00576B1F">
          <w:rPr>
            <w:webHidden/>
          </w:rPr>
          <w:fldChar w:fldCharType="separate"/>
        </w:r>
        <w:r w:rsidR="00343E89">
          <w:rPr>
            <w:webHidden/>
          </w:rPr>
          <w:t>6-145</w:t>
        </w:r>
        <w:r w:rsidRPr="00576B1F">
          <w:rPr>
            <w:webHidden/>
          </w:rPr>
          <w:fldChar w:fldCharType="end"/>
        </w:r>
      </w:hyperlink>
    </w:p>
    <w:p w14:paraId="1566880B" w14:textId="0072BFB0" w:rsidR="00576B1F" w:rsidRPr="00576B1F" w:rsidRDefault="00576B1F">
      <w:pPr>
        <w:pStyle w:val="TOC4"/>
        <w:rPr>
          <w:rFonts w:eastAsiaTheme="minorEastAsia"/>
          <w:kern w:val="2"/>
          <w:lang w:val="en-US"/>
          <w14:ligatures w14:val="standardContextual"/>
        </w:rPr>
      </w:pPr>
      <w:hyperlink w:anchor="_Toc214878957" w:history="1">
        <w:r w:rsidRPr="00576B1F">
          <w:rPr>
            <w:rStyle w:val="Hyperlink"/>
          </w:rPr>
          <w:t>6.6.2.2</w:t>
        </w:r>
        <w:r w:rsidRPr="00576B1F">
          <w:rPr>
            <w:rFonts w:eastAsiaTheme="minorEastAsia"/>
            <w:kern w:val="2"/>
            <w:lang w:val="en-US"/>
            <w14:ligatures w14:val="standardContextual"/>
          </w:rPr>
          <w:tab/>
        </w:r>
        <w:r w:rsidRPr="00576B1F">
          <w:rPr>
            <w:rStyle w:val="Hyperlink"/>
          </w:rPr>
          <w:t>QSE Load Ratio Share for a 15-Minute Settlement Interval</w:t>
        </w:r>
        <w:r w:rsidRPr="00576B1F">
          <w:rPr>
            <w:webHidden/>
          </w:rPr>
          <w:tab/>
        </w:r>
        <w:r w:rsidRPr="00576B1F">
          <w:rPr>
            <w:webHidden/>
          </w:rPr>
          <w:fldChar w:fldCharType="begin"/>
        </w:r>
        <w:r w:rsidRPr="00576B1F">
          <w:rPr>
            <w:webHidden/>
          </w:rPr>
          <w:instrText xml:space="preserve"> PAGEREF _Toc214878957 \h </w:instrText>
        </w:r>
        <w:r w:rsidRPr="00576B1F">
          <w:rPr>
            <w:webHidden/>
          </w:rPr>
        </w:r>
        <w:r w:rsidRPr="00576B1F">
          <w:rPr>
            <w:webHidden/>
          </w:rPr>
          <w:fldChar w:fldCharType="separate"/>
        </w:r>
        <w:r w:rsidR="00343E89">
          <w:rPr>
            <w:webHidden/>
          </w:rPr>
          <w:t>6-145</w:t>
        </w:r>
        <w:r w:rsidRPr="00576B1F">
          <w:rPr>
            <w:webHidden/>
          </w:rPr>
          <w:fldChar w:fldCharType="end"/>
        </w:r>
      </w:hyperlink>
    </w:p>
    <w:p w14:paraId="197DCDB0" w14:textId="3D5E3808" w:rsidR="00576B1F" w:rsidRPr="00576B1F" w:rsidRDefault="00576B1F">
      <w:pPr>
        <w:pStyle w:val="TOC4"/>
        <w:rPr>
          <w:rFonts w:eastAsiaTheme="minorEastAsia"/>
          <w:kern w:val="2"/>
          <w:lang w:val="en-US"/>
          <w14:ligatures w14:val="standardContextual"/>
        </w:rPr>
      </w:pPr>
      <w:hyperlink w:anchor="_Toc214878958" w:history="1">
        <w:r w:rsidRPr="00576B1F">
          <w:rPr>
            <w:rStyle w:val="Hyperlink"/>
            <w:snapToGrid w:val="0"/>
          </w:rPr>
          <w:t>6.6.2.3</w:t>
        </w:r>
        <w:r w:rsidRPr="00576B1F">
          <w:rPr>
            <w:rFonts w:eastAsiaTheme="minorEastAsia"/>
            <w:kern w:val="2"/>
            <w:lang w:val="en-US"/>
            <w14:ligatures w14:val="standardContextual"/>
          </w:rPr>
          <w:tab/>
        </w:r>
        <w:r w:rsidRPr="00576B1F">
          <w:rPr>
            <w:rStyle w:val="Hyperlink"/>
            <w:snapToGrid w:val="0"/>
          </w:rPr>
          <w:t>ERCOT Total Adjusted Metered Load for an Operating Hour</w:t>
        </w:r>
        <w:r w:rsidRPr="00576B1F">
          <w:rPr>
            <w:webHidden/>
          </w:rPr>
          <w:tab/>
        </w:r>
        <w:r w:rsidRPr="00576B1F">
          <w:rPr>
            <w:webHidden/>
          </w:rPr>
          <w:fldChar w:fldCharType="begin"/>
        </w:r>
        <w:r w:rsidRPr="00576B1F">
          <w:rPr>
            <w:webHidden/>
          </w:rPr>
          <w:instrText xml:space="preserve"> PAGEREF _Toc214878958 \h </w:instrText>
        </w:r>
        <w:r w:rsidRPr="00576B1F">
          <w:rPr>
            <w:webHidden/>
          </w:rPr>
        </w:r>
        <w:r w:rsidRPr="00576B1F">
          <w:rPr>
            <w:webHidden/>
          </w:rPr>
          <w:fldChar w:fldCharType="separate"/>
        </w:r>
        <w:r w:rsidR="00343E89">
          <w:rPr>
            <w:webHidden/>
          </w:rPr>
          <w:t>6-147</w:t>
        </w:r>
        <w:r w:rsidRPr="00576B1F">
          <w:rPr>
            <w:webHidden/>
          </w:rPr>
          <w:fldChar w:fldCharType="end"/>
        </w:r>
      </w:hyperlink>
    </w:p>
    <w:p w14:paraId="0A489B8D" w14:textId="686B7D23" w:rsidR="00576B1F" w:rsidRPr="00576B1F" w:rsidRDefault="00576B1F">
      <w:pPr>
        <w:pStyle w:val="TOC4"/>
        <w:rPr>
          <w:rFonts w:eastAsiaTheme="minorEastAsia"/>
          <w:kern w:val="2"/>
          <w:lang w:val="en-US"/>
          <w14:ligatures w14:val="standardContextual"/>
        </w:rPr>
      </w:pPr>
      <w:hyperlink w:anchor="_Toc214878959" w:history="1">
        <w:r w:rsidRPr="00576B1F">
          <w:rPr>
            <w:rStyle w:val="Hyperlink"/>
          </w:rPr>
          <w:t>6.6.2.4</w:t>
        </w:r>
        <w:r w:rsidRPr="00576B1F">
          <w:rPr>
            <w:rFonts w:eastAsiaTheme="minorEastAsia"/>
            <w:kern w:val="2"/>
            <w:lang w:val="en-US"/>
            <w14:ligatures w14:val="standardContextual"/>
          </w:rPr>
          <w:tab/>
        </w:r>
        <w:r w:rsidRPr="00576B1F">
          <w:rPr>
            <w:rStyle w:val="Hyperlink"/>
          </w:rPr>
          <w:t>QSE Load Ratio Share for an Operating Hour</w:t>
        </w:r>
        <w:r w:rsidRPr="00576B1F">
          <w:rPr>
            <w:webHidden/>
          </w:rPr>
          <w:tab/>
        </w:r>
        <w:r w:rsidRPr="00576B1F">
          <w:rPr>
            <w:webHidden/>
          </w:rPr>
          <w:fldChar w:fldCharType="begin"/>
        </w:r>
        <w:r w:rsidRPr="00576B1F">
          <w:rPr>
            <w:webHidden/>
          </w:rPr>
          <w:instrText xml:space="preserve"> PAGEREF _Toc214878959 \h </w:instrText>
        </w:r>
        <w:r w:rsidRPr="00576B1F">
          <w:rPr>
            <w:webHidden/>
          </w:rPr>
        </w:r>
        <w:r w:rsidRPr="00576B1F">
          <w:rPr>
            <w:webHidden/>
          </w:rPr>
          <w:fldChar w:fldCharType="separate"/>
        </w:r>
        <w:r w:rsidR="00343E89">
          <w:rPr>
            <w:webHidden/>
          </w:rPr>
          <w:t>6-148</w:t>
        </w:r>
        <w:r w:rsidRPr="00576B1F">
          <w:rPr>
            <w:webHidden/>
          </w:rPr>
          <w:fldChar w:fldCharType="end"/>
        </w:r>
      </w:hyperlink>
    </w:p>
    <w:p w14:paraId="1E84360F" w14:textId="1C8D8477" w:rsidR="00576B1F" w:rsidRPr="00576B1F" w:rsidRDefault="00576B1F">
      <w:pPr>
        <w:pStyle w:val="TOC4"/>
        <w:rPr>
          <w:rFonts w:eastAsiaTheme="minorEastAsia"/>
          <w:kern w:val="2"/>
          <w:lang w:val="en-US"/>
          <w14:ligatures w14:val="standardContextual"/>
        </w:rPr>
      </w:pPr>
      <w:hyperlink w:anchor="_Toc214878960" w:history="1">
        <w:r w:rsidRPr="00576B1F">
          <w:rPr>
            <w:rStyle w:val="Hyperlink"/>
            <w:snapToGrid w:val="0"/>
          </w:rPr>
          <w:t>6.6.2.5</w:t>
        </w:r>
        <w:r w:rsidRPr="00576B1F">
          <w:rPr>
            <w:rFonts w:eastAsiaTheme="minorEastAsia"/>
            <w:kern w:val="2"/>
            <w:lang w:val="en-US"/>
            <w14:ligatures w14:val="standardContextual"/>
          </w:rPr>
          <w:tab/>
        </w:r>
        <w:r w:rsidRPr="00576B1F">
          <w:rPr>
            <w:rStyle w:val="Hyperlink"/>
            <w:snapToGrid w:val="0"/>
          </w:rPr>
          <w:t>ERCOT Total Adjusted Metered Load for a Month</w:t>
        </w:r>
        <w:r w:rsidRPr="00576B1F">
          <w:rPr>
            <w:webHidden/>
          </w:rPr>
          <w:tab/>
        </w:r>
        <w:r w:rsidRPr="00576B1F">
          <w:rPr>
            <w:webHidden/>
          </w:rPr>
          <w:fldChar w:fldCharType="begin"/>
        </w:r>
        <w:r w:rsidRPr="00576B1F">
          <w:rPr>
            <w:webHidden/>
          </w:rPr>
          <w:instrText xml:space="preserve"> PAGEREF _Toc214878960 \h </w:instrText>
        </w:r>
        <w:r w:rsidRPr="00576B1F">
          <w:rPr>
            <w:webHidden/>
          </w:rPr>
        </w:r>
        <w:r w:rsidRPr="00576B1F">
          <w:rPr>
            <w:webHidden/>
          </w:rPr>
          <w:fldChar w:fldCharType="separate"/>
        </w:r>
        <w:r w:rsidR="00343E89">
          <w:rPr>
            <w:webHidden/>
          </w:rPr>
          <w:t>6-148</w:t>
        </w:r>
        <w:r w:rsidRPr="00576B1F">
          <w:rPr>
            <w:webHidden/>
          </w:rPr>
          <w:fldChar w:fldCharType="end"/>
        </w:r>
      </w:hyperlink>
    </w:p>
    <w:p w14:paraId="511A9C03" w14:textId="1A780168" w:rsidR="00576B1F" w:rsidRPr="00576B1F" w:rsidRDefault="00576B1F">
      <w:pPr>
        <w:pStyle w:val="TOC4"/>
        <w:rPr>
          <w:rFonts w:eastAsiaTheme="minorEastAsia"/>
          <w:kern w:val="2"/>
          <w:lang w:val="en-US"/>
          <w14:ligatures w14:val="standardContextual"/>
        </w:rPr>
      </w:pPr>
      <w:hyperlink w:anchor="_Toc214878961" w:history="1">
        <w:r w:rsidRPr="00576B1F">
          <w:rPr>
            <w:rStyle w:val="Hyperlink"/>
          </w:rPr>
          <w:t>6.6.2.6</w:t>
        </w:r>
        <w:r w:rsidRPr="00576B1F">
          <w:rPr>
            <w:rFonts w:eastAsiaTheme="minorEastAsia"/>
            <w:kern w:val="2"/>
            <w:lang w:val="en-US"/>
            <w14:ligatures w14:val="standardContextual"/>
          </w:rPr>
          <w:tab/>
        </w:r>
        <w:r w:rsidRPr="00576B1F">
          <w:rPr>
            <w:rStyle w:val="Hyperlink"/>
          </w:rPr>
          <w:t>QSE DC Tie Export Load Ratio Share for a Month</w:t>
        </w:r>
        <w:r w:rsidRPr="00576B1F">
          <w:rPr>
            <w:webHidden/>
          </w:rPr>
          <w:tab/>
        </w:r>
        <w:r w:rsidRPr="00576B1F">
          <w:rPr>
            <w:webHidden/>
          </w:rPr>
          <w:fldChar w:fldCharType="begin"/>
        </w:r>
        <w:r w:rsidRPr="00576B1F">
          <w:rPr>
            <w:webHidden/>
          </w:rPr>
          <w:instrText xml:space="preserve"> PAGEREF _Toc214878961 \h </w:instrText>
        </w:r>
        <w:r w:rsidRPr="00576B1F">
          <w:rPr>
            <w:webHidden/>
          </w:rPr>
        </w:r>
        <w:r w:rsidRPr="00576B1F">
          <w:rPr>
            <w:webHidden/>
          </w:rPr>
          <w:fldChar w:fldCharType="separate"/>
        </w:r>
        <w:r w:rsidR="00343E89">
          <w:rPr>
            <w:webHidden/>
          </w:rPr>
          <w:t>6-149</w:t>
        </w:r>
        <w:r w:rsidRPr="00576B1F">
          <w:rPr>
            <w:webHidden/>
          </w:rPr>
          <w:fldChar w:fldCharType="end"/>
        </w:r>
      </w:hyperlink>
    </w:p>
    <w:p w14:paraId="04E012A2" w14:textId="4523FF92" w:rsidR="00576B1F" w:rsidRPr="00576B1F" w:rsidRDefault="00576B1F">
      <w:pPr>
        <w:pStyle w:val="TOC4"/>
        <w:rPr>
          <w:rFonts w:eastAsiaTheme="minorEastAsia"/>
          <w:kern w:val="2"/>
          <w:lang w:val="en-US"/>
          <w14:ligatures w14:val="standardContextual"/>
        </w:rPr>
      </w:pPr>
      <w:hyperlink w:anchor="_Toc214878962" w:history="1">
        <w:r w:rsidRPr="00576B1F">
          <w:rPr>
            <w:rStyle w:val="Hyperlink"/>
            <w:snapToGrid w:val="0"/>
          </w:rPr>
          <w:t>6.6.2.7</w:t>
        </w:r>
        <w:r w:rsidRPr="00576B1F">
          <w:rPr>
            <w:rFonts w:eastAsiaTheme="minorEastAsia"/>
            <w:kern w:val="2"/>
            <w:lang w:val="en-US"/>
            <w14:ligatures w14:val="standardContextual"/>
          </w:rPr>
          <w:tab/>
        </w:r>
        <w:r w:rsidRPr="00576B1F">
          <w:rPr>
            <w:rStyle w:val="Hyperlink"/>
            <w:snapToGrid w:val="0"/>
          </w:rPr>
          <w:t>ERCOT Adjusted Metered Load by Congestion Management Zone for a Month</w:t>
        </w:r>
        <w:r w:rsidRPr="00576B1F">
          <w:rPr>
            <w:webHidden/>
          </w:rPr>
          <w:tab/>
        </w:r>
        <w:r w:rsidRPr="00576B1F">
          <w:rPr>
            <w:webHidden/>
          </w:rPr>
          <w:fldChar w:fldCharType="begin"/>
        </w:r>
        <w:r w:rsidRPr="00576B1F">
          <w:rPr>
            <w:webHidden/>
          </w:rPr>
          <w:instrText xml:space="preserve"> PAGEREF _Toc214878962 \h </w:instrText>
        </w:r>
        <w:r w:rsidRPr="00576B1F">
          <w:rPr>
            <w:webHidden/>
          </w:rPr>
        </w:r>
        <w:r w:rsidRPr="00576B1F">
          <w:rPr>
            <w:webHidden/>
          </w:rPr>
          <w:fldChar w:fldCharType="separate"/>
        </w:r>
        <w:r w:rsidR="00343E89">
          <w:rPr>
            <w:webHidden/>
          </w:rPr>
          <w:t>6-149</w:t>
        </w:r>
        <w:r w:rsidRPr="00576B1F">
          <w:rPr>
            <w:webHidden/>
          </w:rPr>
          <w:fldChar w:fldCharType="end"/>
        </w:r>
      </w:hyperlink>
    </w:p>
    <w:p w14:paraId="233787C7" w14:textId="2F05B562" w:rsidR="00576B1F" w:rsidRPr="00576B1F" w:rsidRDefault="00576B1F">
      <w:pPr>
        <w:pStyle w:val="TOC4"/>
        <w:rPr>
          <w:rFonts w:eastAsiaTheme="minorEastAsia"/>
          <w:kern w:val="2"/>
          <w:lang w:val="en-US"/>
          <w14:ligatures w14:val="standardContextual"/>
        </w:rPr>
      </w:pPr>
      <w:hyperlink w:anchor="_Toc214878963" w:history="1">
        <w:r w:rsidRPr="00576B1F">
          <w:rPr>
            <w:rStyle w:val="Hyperlink"/>
          </w:rPr>
          <w:t>6.6.2.8</w:t>
        </w:r>
        <w:r w:rsidRPr="00576B1F">
          <w:rPr>
            <w:rFonts w:eastAsiaTheme="minorEastAsia"/>
            <w:kern w:val="2"/>
            <w:lang w:val="en-US"/>
            <w14:ligatures w14:val="standardContextual"/>
          </w:rPr>
          <w:tab/>
        </w:r>
        <w:r w:rsidRPr="00576B1F">
          <w:rPr>
            <w:rStyle w:val="Hyperlink"/>
          </w:rPr>
          <w:t>QSE DC Tie Export Load Ratio Share by Congestion Management Zone for a Month</w:t>
        </w:r>
        <w:r w:rsidRPr="00576B1F">
          <w:rPr>
            <w:webHidden/>
          </w:rPr>
          <w:tab/>
        </w:r>
        <w:r w:rsidRPr="00576B1F">
          <w:rPr>
            <w:webHidden/>
          </w:rPr>
          <w:fldChar w:fldCharType="begin"/>
        </w:r>
        <w:r w:rsidRPr="00576B1F">
          <w:rPr>
            <w:webHidden/>
          </w:rPr>
          <w:instrText xml:space="preserve"> PAGEREF _Toc214878963 \h </w:instrText>
        </w:r>
        <w:r w:rsidRPr="00576B1F">
          <w:rPr>
            <w:webHidden/>
          </w:rPr>
        </w:r>
        <w:r w:rsidRPr="00576B1F">
          <w:rPr>
            <w:webHidden/>
          </w:rPr>
          <w:fldChar w:fldCharType="separate"/>
        </w:r>
        <w:r w:rsidR="00343E89">
          <w:rPr>
            <w:webHidden/>
          </w:rPr>
          <w:t>6-150</w:t>
        </w:r>
        <w:r w:rsidRPr="00576B1F">
          <w:rPr>
            <w:webHidden/>
          </w:rPr>
          <w:fldChar w:fldCharType="end"/>
        </w:r>
      </w:hyperlink>
    </w:p>
    <w:p w14:paraId="2460963E" w14:textId="5352E119" w:rsidR="00576B1F" w:rsidRPr="00576B1F" w:rsidRDefault="00576B1F">
      <w:pPr>
        <w:pStyle w:val="TOC3"/>
        <w:rPr>
          <w:rFonts w:eastAsiaTheme="minorEastAsia"/>
          <w:i w:val="0"/>
          <w:iCs w:val="0"/>
          <w:kern w:val="2"/>
          <w14:ligatures w14:val="standardContextual"/>
        </w:rPr>
      </w:pPr>
      <w:hyperlink w:anchor="_Toc214878964" w:history="1">
        <w:r w:rsidRPr="00576B1F">
          <w:rPr>
            <w:rStyle w:val="Hyperlink"/>
            <w:i w:val="0"/>
            <w:iCs w:val="0"/>
          </w:rPr>
          <w:t>6.6.3</w:t>
        </w:r>
        <w:r w:rsidRPr="00576B1F">
          <w:rPr>
            <w:rFonts w:eastAsiaTheme="minorEastAsia"/>
            <w:i w:val="0"/>
            <w:iCs w:val="0"/>
            <w:kern w:val="2"/>
            <w14:ligatures w14:val="standardContextual"/>
          </w:rPr>
          <w:tab/>
        </w:r>
        <w:r w:rsidRPr="00576B1F">
          <w:rPr>
            <w:rStyle w:val="Hyperlink"/>
            <w:i w:val="0"/>
            <w:iCs w:val="0"/>
          </w:rPr>
          <w:t>Real-Time Energy Charges and Payments</w:t>
        </w:r>
        <w:r w:rsidRPr="00576B1F">
          <w:rPr>
            <w:i w:val="0"/>
            <w:iCs w:val="0"/>
            <w:webHidden/>
          </w:rPr>
          <w:tab/>
        </w:r>
        <w:r w:rsidRPr="00576B1F">
          <w:rPr>
            <w:i w:val="0"/>
            <w:iCs w:val="0"/>
            <w:webHidden/>
          </w:rPr>
          <w:fldChar w:fldCharType="begin"/>
        </w:r>
        <w:r w:rsidRPr="00576B1F">
          <w:rPr>
            <w:i w:val="0"/>
            <w:iCs w:val="0"/>
            <w:webHidden/>
          </w:rPr>
          <w:instrText xml:space="preserve"> PAGEREF _Toc214878964 \h </w:instrText>
        </w:r>
        <w:r w:rsidRPr="00576B1F">
          <w:rPr>
            <w:i w:val="0"/>
            <w:iCs w:val="0"/>
            <w:webHidden/>
          </w:rPr>
        </w:r>
        <w:r w:rsidRPr="00576B1F">
          <w:rPr>
            <w:i w:val="0"/>
            <w:iCs w:val="0"/>
            <w:webHidden/>
          </w:rPr>
          <w:fldChar w:fldCharType="separate"/>
        </w:r>
        <w:r w:rsidR="00343E89">
          <w:rPr>
            <w:i w:val="0"/>
            <w:iCs w:val="0"/>
            <w:webHidden/>
          </w:rPr>
          <w:t>6-150</w:t>
        </w:r>
        <w:r w:rsidRPr="00576B1F">
          <w:rPr>
            <w:i w:val="0"/>
            <w:iCs w:val="0"/>
            <w:webHidden/>
          </w:rPr>
          <w:fldChar w:fldCharType="end"/>
        </w:r>
      </w:hyperlink>
    </w:p>
    <w:p w14:paraId="28707DCD" w14:textId="5D8F8049" w:rsidR="00576B1F" w:rsidRPr="00576B1F" w:rsidRDefault="00576B1F">
      <w:pPr>
        <w:pStyle w:val="TOC4"/>
        <w:rPr>
          <w:rFonts w:eastAsiaTheme="minorEastAsia"/>
          <w:kern w:val="2"/>
          <w:lang w:val="en-US"/>
          <w14:ligatures w14:val="standardContextual"/>
        </w:rPr>
      </w:pPr>
      <w:hyperlink w:anchor="_Toc214878965" w:history="1">
        <w:r w:rsidRPr="00576B1F">
          <w:rPr>
            <w:rStyle w:val="Hyperlink"/>
          </w:rPr>
          <w:t>6.6.3.1</w:t>
        </w:r>
        <w:r w:rsidRPr="00576B1F">
          <w:rPr>
            <w:rFonts w:eastAsiaTheme="minorEastAsia"/>
            <w:kern w:val="2"/>
            <w:lang w:val="en-US"/>
            <w14:ligatures w14:val="standardContextual"/>
          </w:rPr>
          <w:tab/>
        </w:r>
        <w:r w:rsidRPr="00576B1F">
          <w:rPr>
            <w:rStyle w:val="Hyperlink"/>
          </w:rPr>
          <w:t>Real-Time Energy Imbalance Payment or Charge at a Resource Node</w:t>
        </w:r>
        <w:r w:rsidRPr="00576B1F">
          <w:rPr>
            <w:webHidden/>
          </w:rPr>
          <w:tab/>
        </w:r>
        <w:r w:rsidRPr="00576B1F">
          <w:rPr>
            <w:webHidden/>
          </w:rPr>
          <w:fldChar w:fldCharType="begin"/>
        </w:r>
        <w:r w:rsidRPr="00576B1F">
          <w:rPr>
            <w:webHidden/>
          </w:rPr>
          <w:instrText xml:space="preserve"> PAGEREF _Toc214878965 \h </w:instrText>
        </w:r>
        <w:r w:rsidRPr="00576B1F">
          <w:rPr>
            <w:webHidden/>
          </w:rPr>
        </w:r>
        <w:r w:rsidRPr="00576B1F">
          <w:rPr>
            <w:webHidden/>
          </w:rPr>
          <w:fldChar w:fldCharType="separate"/>
        </w:r>
        <w:r w:rsidR="00343E89">
          <w:rPr>
            <w:webHidden/>
          </w:rPr>
          <w:t>6-150</w:t>
        </w:r>
        <w:r w:rsidRPr="00576B1F">
          <w:rPr>
            <w:webHidden/>
          </w:rPr>
          <w:fldChar w:fldCharType="end"/>
        </w:r>
      </w:hyperlink>
    </w:p>
    <w:p w14:paraId="7E96DA91" w14:textId="1AC35527" w:rsidR="00576B1F" w:rsidRPr="00576B1F" w:rsidRDefault="00576B1F">
      <w:pPr>
        <w:pStyle w:val="TOC4"/>
        <w:rPr>
          <w:rFonts w:eastAsiaTheme="minorEastAsia"/>
          <w:kern w:val="2"/>
          <w:lang w:val="en-US"/>
          <w14:ligatures w14:val="standardContextual"/>
        </w:rPr>
      </w:pPr>
      <w:hyperlink w:anchor="_Toc214878966" w:history="1">
        <w:r w:rsidRPr="00576B1F">
          <w:rPr>
            <w:rStyle w:val="Hyperlink"/>
          </w:rPr>
          <w:t>6.6.3.2</w:t>
        </w:r>
        <w:r w:rsidRPr="00576B1F">
          <w:rPr>
            <w:rFonts w:eastAsiaTheme="minorEastAsia"/>
            <w:kern w:val="2"/>
            <w:lang w:val="en-US"/>
            <w14:ligatures w14:val="standardContextual"/>
          </w:rPr>
          <w:tab/>
        </w:r>
        <w:r w:rsidRPr="00576B1F">
          <w:rPr>
            <w:rStyle w:val="Hyperlink"/>
          </w:rPr>
          <w:t>Real-Time Energy Imbalance Payment or Charge at a Load Zone</w:t>
        </w:r>
        <w:r w:rsidRPr="00576B1F">
          <w:rPr>
            <w:webHidden/>
          </w:rPr>
          <w:tab/>
        </w:r>
        <w:r w:rsidRPr="00576B1F">
          <w:rPr>
            <w:webHidden/>
          </w:rPr>
          <w:fldChar w:fldCharType="begin"/>
        </w:r>
        <w:r w:rsidRPr="00576B1F">
          <w:rPr>
            <w:webHidden/>
          </w:rPr>
          <w:instrText xml:space="preserve"> PAGEREF _Toc214878966 \h </w:instrText>
        </w:r>
        <w:r w:rsidRPr="00576B1F">
          <w:rPr>
            <w:webHidden/>
          </w:rPr>
        </w:r>
        <w:r w:rsidRPr="00576B1F">
          <w:rPr>
            <w:webHidden/>
          </w:rPr>
          <w:fldChar w:fldCharType="separate"/>
        </w:r>
        <w:r w:rsidR="00343E89">
          <w:rPr>
            <w:webHidden/>
          </w:rPr>
          <w:t>6-163</w:t>
        </w:r>
        <w:r w:rsidRPr="00576B1F">
          <w:rPr>
            <w:webHidden/>
          </w:rPr>
          <w:fldChar w:fldCharType="end"/>
        </w:r>
      </w:hyperlink>
    </w:p>
    <w:p w14:paraId="7C4BD63F" w14:textId="1CA60881" w:rsidR="00576B1F" w:rsidRPr="00576B1F" w:rsidRDefault="00576B1F">
      <w:pPr>
        <w:pStyle w:val="TOC4"/>
        <w:rPr>
          <w:rFonts w:eastAsiaTheme="minorEastAsia"/>
          <w:kern w:val="2"/>
          <w:lang w:val="en-US"/>
          <w14:ligatures w14:val="standardContextual"/>
        </w:rPr>
      </w:pPr>
      <w:hyperlink w:anchor="_Toc214878967" w:history="1">
        <w:r w:rsidRPr="00576B1F">
          <w:rPr>
            <w:rStyle w:val="Hyperlink"/>
          </w:rPr>
          <w:t>6.6.3.3</w:t>
        </w:r>
        <w:r w:rsidRPr="00576B1F">
          <w:rPr>
            <w:rFonts w:eastAsiaTheme="minorEastAsia"/>
            <w:kern w:val="2"/>
            <w:lang w:val="en-US"/>
            <w14:ligatures w14:val="standardContextual"/>
          </w:rPr>
          <w:tab/>
        </w:r>
        <w:r w:rsidRPr="00576B1F">
          <w:rPr>
            <w:rStyle w:val="Hyperlink"/>
          </w:rPr>
          <w:t>Real-Time Energy Imbalance Payment or Charge at a Hub</w:t>
        </w:r>
        <w:r w:rsidRPr="00576B1F">
          <w:rPr>
            <w:webHidden/>
          </w:rPr>
          <w:tab/>
        </w:r>
        <w:r w:rsidRPr="00576B1F">
          <w:rPr>
            <w:webHidden/>
          </w:rPr>
          <w:fldChar w:fldCharType="begin"/>
        </w:r>
        <w:r w:rsidRPr="00576B1F">
          <w:rPr>
            <w:webHidden/>
          </w:rPr>
          <w:instrText xml:space="preserve"> PAGEREF _Toc214878967 \h </w:instrText>
        </w:r>
        <w:r w:rsidRPr="00576B1F">
          <w:rPr>
            <w:webHidden/>
          </w:rPr>
        </w:r>
        <w:r w:rsidRPr="00576B1F">
          <w:rPr>
            <w:webHidden/>
          </w:rPr>
          <w:fldChar w:fldCharType="separate"/>
        </w:r>
        <w:r w:rsidR="00343E89">
          <w:rPr>
            <w:webHidden/>
          </w:rPr>
          <w:t>6-167</w:t>
        </w:r>
        <w:r w:rsidRPr="00576B1F">
          <w:rPr>
            <w:webHidden/>
          </w:rPr>
          <w:fldChar w:fldCharType="end"/>
        </w:r>
      </w:hyperlink>
    </w:p>
    <w:p w14:paraId="04672C8C" w14:textId="7254EBC9" w:rsidR="00576B1F" w:rsidRPr="00576B1F" w:rsidRDefault="00576B1F">
      <w:pPr>
        <w:pStyle w:val="TOC4"/>
        <w:rPr>
          <w:rFonts w:eastAsiaTheme="minorEastAsia"/>
          <w:kern w:val="2"/>
          <w:lang w:val="en-US"/>
          <w14:ligatures w14:val="standardContextual"/>
        </w:rPr>
      </w:pPr>
      <w:hyperlink w:anchor="_Toc214878968" w:history="1">
        <w:r w:rsidRPr="00576B1F">
          <w:rPr>
            <w:rStyle w:val="Hyperlink"/>
          </w:rPr>
          <w:t>6.6.3.4</w:t>
        </w:r>
        <w:r w:rsidRPr="00576B1F">
          <w:rPr>
            <w:rFonts w:eastAsiaTheme="minorEastAsia"/>
            <w:kern w:val="2"/>
            <w:lang w:val="en-US"/>
            <w14:ligatures w14:val="standardContextual"/>
          </w:rPr>
          <w:tab/>
        </w:r>
        <w:r w:rsidRPr="00576B1F">
          <w:rPr>
            <w:rStyle w:val="Hyperlink"/>
          </w:rPr>
          <w:t>Real-Time Energy Payment for DC Tie Import</w:t>
        </w:r>
        <w:r w:rsidRPr="00576B1F">
          <w:rPr>
            <w:webHidden/>
          </w:rPr>
          <w:tab/>
        </w:r>
        <w:r w:rsidRPr="00576B1F">
          <w:rPr>
            <w:webHidden/>
          </w:rPr>
          <w:fldChar w:fldCharType="begin"/>
        </w:r>
        <w:r w:rsidRPr="00576B1F">
          <w:rPr>
            <w:webHidden/>
          </w:rPr>
          <w:instrText xml:space="preserve"> PAGEREF _Toc214878968 \h </w:instrText>
        </w:r>
        <w:r w:rsidRPr="00576B1F">
          <w:rPr>
            <w:webHidden/>
          </w:rPr>
        </w:r>
        <w:r w:rsidRPr="00576B1F">
          <w:rPr>
            <w:webHidden/>
          </w:rPr>
          <w:fldChar w:fldCharType="separate"/>
        </w:r>
        <w:r w:rsidR="00343E89">
          <w:rPr>
            <w:webHidden/>
          </w:rPr>
          <w:t>6-169</w:t>
        </w:r>
        <w:r w:rsidRPr="00576B1F">
          <w:rPr>
            <w:webHidden/>
          </w:rPr>
          <w:fldChar w:fldCharType="end"/>
        </w:r>
      </w:hyperlink>
    </w:p>
    <w:p w14:paraId="05249B81" w14:textId="440AC4F9" w:rsidR="00576B1F" w:rsidRPr="00576B1F" w:rsidRDefault="00576B1F">
      <w:pPr>
        <w:pStyle w:val="TOC4"/>
        <w:rPr>
          <w:rFonts w:eastAsiaTheme="minorEastAsia"/>
          <w:kern w:val="2"/>
          <w:lang w:val="en-US"/>
          <w14:ligatures w14:val="standardContextual"/>
        </w:rPr>
      </w:pPr>
      <w:hyperlink w:anchor="_Toc214878969" w:history="1">
        <w:r w:rsidRPr="00576B1F">
          <w:rPr>
            <w:rStyle w:val="Hyperlink"/>
          </w:rPr>
          <w:t>6.6.3.5</w:t>
        </w:r>
        <w:r w:rsidRPr="00576B1F">
          <w:rPr>
            <w:rFonts w:eastAsiaTheme="minorEastAsia"/>
            <w:kern w:val="2"/>
            <w:lang w:val="en-US"/>
            <w14:ligatures w14:val="standardContextual"/>
          </w:rPr>
          <w:tab/>
        </w:r>
        <w:r w:rsidRPr="00576B1F">
          <w:rPr>
            <w:rStyle w:val="Hyperlink"/>
          </w:rPr>
          <w:t>Real-Time Payment for a Block Load Transfer Point</w:t>
        </w:r>
        <w:r w:rsidRPr="00576B1F">
          <w:rPr>
            <w:webHidden/>
          </w:rPr>
          <w:tab/>
        </w:r>
        <w:r w:rsidRPr="00576B1F">
          <w:rPr>
            <w:webHidden/>
          </w:rPr>
          <w:fldChar w:fldCharType="begin"/>
        </w:r>
        <w:r w:rsidRPr="00576B1F">
          <w:rPr>
            <w:webHidden/>
          </w:rPr>
          <w:instrText xml:space="preserve"> PAGEREF _Toc214878969 \h </w:instrText>
        </w:r>
        <w:r w:rsidRPr="00576B1F">
          <w:rPr>
            <w:webHidden/>
          </w:rPr>
        </w:r>
        <w:r w:rsidRPr="00576B1F">
          <w:rPr>
            <w:webHidden/>
          </w:rPr>
          <w:fldChar w:fldCharType="separate"/>
        </w:r>
        <w:r w:rsidR="00343E89">
          <w:rPr>
            <w:webHidden/>
          </w:rPr>
          <w:t>6-171</w:t>
        </w:r>
        <w:r w:rsidRPr="00576B1F">
          <w:rPr>
            <w:webHidden/>
          </w:rPr>
          <w:fldChar w:fldCharType="end"/>
        </w:r>
      </w:hyperlink>
    </w:p>
    <w:p w14:paraId="686E5085" w14:textId="221FCF70" w:rsidR="00576B1F" w:rsidRPr="00576B1F" w:rsidRDefault="00576B1F">
      <w:pPr>
        <w:pStyle w:val="TOC4"/>
        <w:rPr>
          <w:rFonts w:eastAsiaTheme="minorEastAsia"/>
          <w:kern w:val="2"/>
          <w:lang w:val="en-US"/>
          <w14:ligatures w14:val="standardContextual"/>
        </w:rPr>
      </w:pPr>
      <w:hyperlink w:anchor="_Toc214878970" w:history="1">
        <w:r w:rsidRPr="00576B1F">
          <w:rPr>
            <w:rStyle w:val="Hyperlink"/>
          </w:rPr>
          <w:t>6.6.3.6</w:t>
        </w:r>
        <w:r w:rsidRPr="00576B1F">
          <w:rPr>
            <w:rFonts w:eastAsiaTheme="minorEastAsia"/>
            <w:kern w:val="2"/>
            <w:lang w:val="en-US"/>
            <w14:ligatures w14:val="standardContextual"/>
          </w:rPr>
          <w:tab/>
        </w:r>
        <w:r w:rsidRPr="00576B1F">
          <w:rPr>
            <w:rStyle w:val="Hyperlink"/>
          </w:rPr>
          <w:t>Real-Time High Dispatch Limit Override Energy Payment</w:t>
        </w:r>
        <w:r w:rsidRPr="00576B1F">
          <w:rPr>
            <w:webHidden/>
          </w:rPr>
          <w:tab/>
        </w:r>
        <w:r w:rsidRPr="00576B1F">
          <w:rPr>
            <w:webHidden/>
          </w:rPr>
          <w:fldChar w:fldCharType="begin"/>
        </w:r>
        <w:r w:rsidRPr="00576B1F">
          <w:rPr>
            <w:webHidden/>
          </w:rPr>
          <w:instrText xml:space="preserve"> PAGEREF _Toc214878970 \h </w:instrText>
        </w:r>
        <w:r w:rsidRPr="00576B1F">
          <w:rPr>
            <w:webHidden/>
          </w:rPr>
        </w:r>
        <w:r w:rsidRPr="00576B1F">
          <w:rPr>
            <w:webHidden/>
          </w:rPr>
          <w:fldChar w:fldCharType="separate"/>
        </w:r>
        <w:r w:rsidR="00343E89">
          <w:rPr>
            <w:webHidden/>
          </w:rPr>
          <w:t>6-174</w:t>
        </w:r>
        <w:r w:rsidRPr="00576B1F">
          <w:rPr>
            <w:webHidden/>
          </w:rPr>
          <w:fldChar w:fldCharType="end"/>
        </w:r>
      </w:hyperlink>
    </w:p>
    <w:p w14:paraId="6B13E20B" w14:textId="1F263507" w:rsidR="00576B1F" w:rsidRPr="00576B1F" w:rsidRDefault="00576B1F">
      <w:pPr>
        <w:pStyle w:val="TOC4"/>
        <w:rPr>
          <w:rFonts w:eastAsiaTheme="minorEastAsia"/>
          <w:kern w:val="2"/>
          <w:lang w:val="en-US"/>
          <w14:ligatures w14:val="standardContextual"/>
        </w:rPr>
      </w:pPr>
      <w:hyperlink w:anchor="_Toc214878971" w:history="1">
        <w:r w:rsidRPr="00576B1F">
          <w:rPr>
            <w:rStyle w:val="Hyperlink"/>
          </w:rPr>
          <w:t>6.6.3.7</w:t>
        </w:r>
        <w:r w:rsidRPr="00576B1F">
          <w:rPr>
            <w:rFonts w:eastAsiaTheme="minorEastAsia"/>
            <w:kern w:val="2"/>
            <w:lang w:val="en-US"/>
            <w14:ligatures w14:val="standardContextual"/>
          </w:rPr>
          <w:tab/>
        </w:r>
        <w:r w:rsidRPr="00576B1F">
          <w:rPr>
            <w:rStyle w:val="Hyperlink"/>
          </w:rPr>
          <w:t>Real-Time High Dispatch Limit Override Energy Charge</w:t>
        </w:r>
        <w:r w:rsidRPr="00576B1F">
          <w:rPr>
            <w:webHidden/>
          </w:rPr>
          <w:tab/>
        </w:r>
        <w:r w:rsidRPr="00576B1F">
          <w:rPr>
            <w:webHidden/>
          </w:rPr>
          <w:fldChar w:fldCharType="begin"/>
        </w:r>
        <w:r w:rsidRPr="00576B1F">
          <w:rPr>
            <w:webHidden/>
          </w:rPr>
          <w:instrText xml:space="preserve"> PAGEREF _Toc214878971 \h </w:instrText>
        </w:r>
        <w:r w:rsidRPr="00576B1F">
          <w:rPr>
            <w:webHidden/>
          </w:rPr>
        </w:r>
        <w:r w:rsidRPr="00576B1F">
          <w:rPr>
            <w:webHidden/>
          </w:rPr>
          <w:fldChar w:fldCharType="separate"/>
        </w:r>
        <w:r w:rsidR="00343E89">
          <w:rPr>
            <w:webHidden/>
          </w:rPr>
          <w:t>6-178</w:t>
        </w:r>
        <w:r w:rsidRPr="00576B1F">
          <w:rPr>
            <w:webHidden/>
          </w:rPr>
          <w:fldChar w:fldCharType="end"/>
        </w:r>
      </w:hyperlink>
    </w:p>
    <w:p w14:paraId="74D3B721" w14:textId="0E4620A1" w:rsidR="00576B1F" w:rsidRPr="00576B1F" w:rsidRDefault="00576B1F">
      <w:pPr>
        <w:pStyle w:val="TOC4"/>
        <w:rPr>
          <w:rFonts w:eastAsiaTheme="minorEastAsia"/>
          <w:kern w:val="2"/>
          <w:lang w:val="en-US"/>
          <w14:ligatures w14:val="standardContextual"/>
        </w:rPr>
      </w:pPr>
      <w:hyperlink w:anchor="_Toc214878972" w:history="1">
        <w:r w:rsidRPr="00576B1F">
          <w:rPr>
            <w:rStyle w:val="Hyperlink"/>
            <w:snapToGrid w:val="0"/>
          </w:rPr>
          <w:t>6.6.3.8</w:t>
        </w:r>
        <w:r w:rsidRPr="00576B1F">
          <w:rPr>
            <w:rFonts w:eastAsiaTheme="minorEastAsia"/>
            <w:kern w:val="2"/>
            <w:lang w:val="en-US"/>
            <w14:ligatures w14:val="standardContextual"/>
          </w:rPr>
          <w:tab/>
        </w:r>
        <w:r w:rsidRPr="00576B1F">
          <w:rPr>
            <w:rStyle w:val="Hyperlink"/>
            <w:snapToGrid w:val="0"/>
          </w:rPr>
          <w:t>Real-Time Payment or Charge for Energy from a Settlement Only Distribution Generator (SODG) or a Settlement Only Transmission Generator (SOTG)</w:t>
        </w:r>
        <w:r w:rsidRPr="00576B1F">
          <w:rPr>
            <w:webHidden/>
          </w:rPr>
          <w:tab/>
        </w:r>
        <w:r w:rsidRPr="00576B1F">
          <w:rPr>
            <w:webHidden/>
          </w:rPr>
          <w:fldChar w:fldCharType="begin"/>
        </w:r>
        <w:r w:rsidRPr="00576B1F">
          <w:rPr>
            <w:webHidden/>
          </w:rPr>
          <w:instrText xml:space="preserve"> PAGEREF _Toc214878972 \h </w:instrText>
        </w:r>
        <w:r w:rsidRPr="00576B1F">
          <w:rPr>
            <w:webHidden/>
          </w:rPr>
        </w:r>
        <w:r w:rsidRPr="00576B1F">
          <w:rPr>
            <w:webHidden/>
          </w:rPr>
          <w:fldChar w:fldCharType="separate"/>
        </w:r>
        <w:r w:rsidR="00343E89">
          <w:rPr>
            <w:webHidden/>
          </w:rPr>
          <w:t>6-178</w:t>
        </w:r>
        <w:r w:rsidRPr="00576B1F">
          <w:rPr>
            <w:webHidden/>
          </w:rPr>
          <w:fldChar w:fldCharType="end"/>
        </w:r>
      </w:hyperlink>
    </w:p>
    <w:p w14:paraId="792565FF" w14:textId="79CB82BD" w:rsidR="00576B1F" w:rsidRPr="00576B1F" w:rsidRDefault="00576B1F">
      <w:pPr>
        <w:pStyle w:val="TOC4"/>
        <w:rPr>
          <w:rFonts w:eastAsiaTheme="minorEastAsia"/>
          <w:kern w:val="2"/>
          <w:lang w:val="en-US"/>
          <w14:ligatures w14:val="standardContextual"/>
        </w:rPr>
      </w:pPr>
      <w:hyperlink w:anchor="_Toc214878973" w:history="1">
        <w:r w:rsidRPr="00576B1F">
          <w:rPr>
            <w:rStyle w:val="Hyperlink"/>
          </w:rPr>
          <w:t>6.6.3.8</w:t>
        </w:r>
        <w:r w:rsidRPr="00576B1F">
          <w:rPr>
            <w:rFonts w:eastAsiaTheme="minorEastAsia"/>
            <w:kern w:val="2"/>
            <w:lang w:val="en-US"/>
            <w14:ligatures w14:val="standardContextual"/>
          </w:rPr>
          <w:tab/>
        </w:r>
        <w:r w:rsidRPr="00576B1F">
          <w:rPr>
            <w:rStyle w:val="Hyperlink"/>
          </w:rPr>
          <w:t>Real-Time Payment or Charge for Energy from a Settlement Only Distribution Generator (SODG), Settlement Only Transmission Generator (SOTG), Settlement Only Distribution Energy Storage System (SODESS), or Settlement Only Transmission Energy Storage System (SOTESS)</w:t>
        </w:r>
        <w:r w:rsidRPr="00576B1F">
          <w:rPr>
            <w:webHidden/>
          </w:rPr>
          <w:tab/>
        </w:r>
        <w:r w:rsidRPr="00576B1F">
          <w:rPr>
            <w:webHidden/>
          </w:rPr>
          <w:fldChar w:fldCharType="begin"/>
        </w:r>
        <w:r w:rsidRPr="00576B1F">
          <w:rPr>
            <w:webHidden/>
          </w:rPr>
          <w:instrText xml:space="preserve"> PAGEREF _Toc214878973 \h </w:instrText>
        </w:r>
        <w:r w:rsidRPr="00576B1F">
          <w:rPr>
            <w:webHidden/>
          </w:rPr>
        </w:r>
        <w:r w:rsidRPr="00576B1F">
          <w:rPr>
            <w:webHidden/>
          </w:rPr>
          <w:fldChar w:fldCharType="separate"/>
        </w:r>
        <w:r w:rsidR="00343E89">
          <w:rPr>
            <w:webHidden/>
          </w:rPr>
          <w:t>6-181</w:t>
        </w:r>
        <w:r w:rsidRPr="00576B1F">
          <w:rPr>
            <w:webHidden/>
          </w:rPr>
          <w:fldChar w:fldCharType="end"/>
        </w:r>
      </w:hyperlink>
    </w:p>
    <w:p w14:paraId="2AC6CEF7" w14:textId="47006D67" w:rsidR="00576B1F" w:rsidRPr="00576B1F" w:rsidRDefault="00576B1F">
      <w:pPr>
        <w:pStyle w:val="TOC4"/>
        <w:rPr>
          <w:rFonts w:eastAsiaTheme="minorEastAsia"/>
          <w:kern w:val="2"/>
          <w:lang w:val="en-US"/>
          <w14:ligatures w14:val="standardContextual"/>
        </w:rPr>
      </w:pPr>
      <w:hyperlink w:anchor="_Toc214878974" w:history="1">
        <w:r w:rsidRPr="00576B1F">
          <w:rPr>
            <w:rStyle w:val="Hyperlink"/>
          </w:rPr>
          <w:t>6.6.3.9</w:t>
        </w:r>
        <w:r w:rsidRPr="00576B1F">
          <w:rPr>
            <w:rFonts w:eastAsiaTheme="minorEastAsia"/>
            <w:kern w:val="2"/>
            <w:lang w:val="en-US"/>
            <w14:ligatures w14:val="standardContextual"/>
          </w:rPr>
          <w:tab/>
        </w:r>
        <w:r w:rsidRPr="00576B1F">
          <w:rPr>
            <w:rStyle w:val="Hyperlink"/>
          </w:rPr>
          <w:t>Real-Time Constraint Management Plan Cost Recovery Payment</w:t>
        </w:r>
        <w:r w:rsidRPr="00576B1F">
          <w:rPr>
            <w:webHidden/>
          </w:rPr>
          <w:tab/>
        </w:r>
        <w:r w:rsidRPr="00576B1F">
          <w:rPr>
            <w:webHidden/>
          </w:rPr>
          <w:fldChar w:fldCharType="begin"/>
        </w:r>
        <w:r w:rsidRPr="00576B1F">
          <w:rPr>
            <w:webHidden/>
          </w:rPr>
          <w:instrText xml:space="preserve"> PAGEREF _Toc214878974 \h </w:instrText>
        </w:r>
        <w:r w:rsidRPr="00576B1F">
          <w:rPr>
            <w:webHidden/>
          </w:rPr>
        </w:r>
        <w:r w:rsidRPr="00576B1F">
          <w:rPr>
            <w:webHidden/>
          </w:rPr>
          <w:fldChar w:fldCharType="separate"/>
        </w:r>
        <w:r w:rsidR="00343E89">
          <w:rPr>
            <w:webHidden/>
          </w:rPr>
          <w:t>6-185</w:t>
        </w:r>
        <w:r w:rsidRPr="00576B1F">
          <w:rPr>
            <w:webHidden/>
          </w:rPr>
          <w:fldChar w:fldCharType="end"/>
        </w:r>
      </w:hyperlink>
    </w:p>
    <w:p w14:paraId="27FE9FCA" w14:textId="115A64CA" w:rsidR="00576B1F" w:rsidRPr="00576B1F" w:rsidRDefault="00576B1F">
      <w:pPr>
        <w:pStyle w:val="TOC4"/>
        <w:rPr>
          <w:rFonts w:eastAsiaTheme="minorEastAsia"/>
          <w:kern w:val="2"/>
          <w:lang w:val="en-US"/>
          <w14:ligatures w14:val="standardContextual"/>
        </w:rPr>
      </w:pPr>
      <w:hyperlink w:anchor="_Toc214878975" w:history="1">
        <w:r w:rsidRPr="00576B1F">
          <w:rPr>
            <w:rStyle w:val="Hyperlink"/>
            <w:snapToGrid w:val="0"/>
          </w:rPr>
          <w:t>6.6.3.10</w:t>
        </w:r>
        <w:r w:rsidRPr="00576B1F">
          <w:rPr>
            <w:rFonts w:eastAsiaTheme="minorEastAsia"/>
            <w:kern w:val="2"/>
            <w:lang w:val="en-US"/>
            <w14:ligatures w14:val="standardContextual"/>
          </w:rPr>
          <w:tab/>
        </w:r>
        <w:r w:rsidRPr="00576B1F">
          <w:rPr>
            <w:rStyle w:val="Hyperlink"/>
            <w:snapToGrid w:val="0"/>
          </w:rPr>
          <w:t>Real-Time Constraint Management Plan Cost Recovery Charge</w:t>
        </w:r>
        <w:r w:rsidRPr="00576B1F">
          <w:rPr>
            <w:webHidden/>
          </w:rPr>
          <w:tab/>
        </w:r>
        <w:r w:rsidRPr="00576B1F">
          <w:rPr>
            <w:webHidden/>
          </w:rPr>
          <w:fldChar w:fldCharType="begin"/>
        </w:r>
        <w:r w:rsidRPr="00576B1F">
          <w:rPr>
            <w:webHidden/>
          </w:rPr>
          <w:instrText xml:space="preserve"> PAGEREF _Toc214878975 \h </w:instrText>
        </w:r>
        <w:r w:rsidRPr="00576B1F">
          <w:rPr>
            <w:webHidden/>
          </w:rPr>
        </w:r>
        <w:r w:rsidRPr="00576B1F">
          <w:rPr>
            <w:webHidden/>
          </w:rPr>
          <w:fldChar w:fldCharType="separate"/>
        </w:r>
        <w:r w:rsidR="00343E89">
          <w:rPr>
            <w:webHidden/>
          </w:rPr>
          <w:t>6-190</w:t>
        </w:r>
        <w:r w:rsidRPr="00576B1F">
          <w:rPr>
            <w:webHidden/>
          </w:rPr>
          <w:fldChar w:fldCharType="end"/>
        </w:r>
      </w:hyperlink>
    </w:p>
    <w:p w14:paraId="6E44DBDA" w14:textId="2C832F67" w:rsidR="00576B1F" w:rsidRPr="00576B1F" w:rsidRDefault="00576B1F">
      <w:pPr>
        <w:pStyle w:val="TOC4"/>
        <w:rPr>
          <w:rFonts w:eastAsiaTheme="minorEastAsia"/>
          <w:kern w:val="2"/>
          <w:lang w:val="en-US"/>
          <w14:ligatures w14:val="standardContextual"/>
        </w:rPr>
      </w:pPr>
      <w:hyperlink w:anchor="_Toc214878976" w:history="1">
        <w:r w:rsidRPr="00576B1F">
          <w:rPr>
            <w:rStyle w:val="Hyperlink"/>
            <w:snapToGrid w:val="0"/>
          </w:rPr>
          <w:t>6.6.3.11</w:t>
        </w:r>
        <w:r w:rsidRPr="00576B1F">
          <w:rPr>
            <w:rFonts w:eastAsiaTheme="minorEastAsia"/>
            <w:kern w:val="2"/>
            <w:lang w:val="en-US"/>
            <w14:ligatures w14:val="standardContextual"/>
          </w:rPr>
          <w:tab/>
        </w:r>
        <w:r w:rsidRPr="00576B1F">
          <w:rPr>
            <w:rStyle w:val="Hyperlink"/>
            <w:snapToGrid w:val="0"/>
          </w:rPr>
          <w:t>Miscellaneous Invoice for Cost Recovery Payments and Charges for a Real-Time Constraint Management Plan</w:t>
        </w:r>
        <w:r w:rsidRPr="00576B1F">
          <w:rPr>
            <w:webHidden/>
          </w:rPr>
          <w:tab/>
        </w:r>
        <w:r w:rsidRPr="00576B1F">
          <w:rPr>
            <w:webHidden/>
          </w:rPr>
          <w:fldChar w:fldCharType="begin"/>
        </w:r>
        <w:r w:rsidRPr="00576B1F">
          <w:rPr>
            <w:webHidden/>
          </w:rPr>
          <w:instrText xml:space="preserve"> PAGEREF _Toc214878976 \h </w:instrText>
        </w:r>
        <w:r w:rsidRPr="00576B1F">
          <w:rPr>
            <w:webHidden/>
          </w:rPr>
        </w:r>
        <w:r w:rsidRPr="00576B1F">
          <w:rPr>
            <w:webHidden/>
          </w:rPr>
          <w:fldChar w:fldCharType="separate"/>
        </w:r>
        <w:r w:rsidR="00343E89">
          <w:rPr>
            <w:webHidden/>
          </w:rPr>
          <w:t>6-191</w:t>
        </w:r>
        <w:r w:rsidRPr="00576B1F">
          <w:rPr>
            <w:webHidden/>
          </w:rPr>
          <w:fldChar w:fldCharType="end"/>
        </w:r>
      </w:hyperlink>
    </w:p>
    <w:p w14:paraId="62B3215F" w14:textId="6D08F1EB" w:rsidR="00576B1F" w:rsidRPr="00576B1F" w:rsidRDefault="00576B1F">
      <w:pPr>
        <w:pStyle w:val="TOC3"/>
        <w:rPr>
          <w:rFonts w:eastAsiaTheme="minorEastAsia"/>
          <w:i w:val="0"/>
          <w:iCs w:val="0"/>
          <w:kern w:val="2"/>
          <w14:ligatures w14:val="standardContextual"/>
        </w:rPr>
      </w:pPr>
      <w:hyperlink w:anchor="_Toc214878977" w:history="1">
        <w:r w:rsidRPr="00576B1F">
          <w:rPr>
            <w:rStyle w:val="Hyperlink"/>
            <w:i w:val="0"/>
            <w:iCs w:val="0"/>
          </w:rPr>
          <w:t>6.6.4</w:t>
        </w:r>
        <w:r w:rsidRPr="00576B1F">
          <w:rPr>
            <w:rFonts w:eastAsiaTheme="minorEastAsia"/>
            <w:i w:val="0"/>
            <w:iCs w:val="0"/>
            <w:kern w:val="2"/>
            <w14:ligatures w14:val="standardContextual"/>
          </w:rPr>
          <w:tab/>
        </w:r>
        <w:r w:rsidRPr="00576B1F">
          <w:rPr>
            <w:rStyle w:val="Hyperlink"/>
            <w:i w:val="0"/>
            <w:iCs w:val="0"/>
          </w:rPr>
          <w:t>Real-Time Congestion Payment or Charge for Self-Schedules</w:t>
        </w:r>
        <w:r w:rsidRPr="00576B1F">
          <w:rPr>
            <w:i w:val="0"/>
            <w:iCs w:val="0"/>
            <w:webHidden/>
          </w:rPr>
          <w:tab/>
        </w:r>
        <w:r w:rsidRPr="00576B1F">
          <w:rPr>
            <w:i w:val="0"/>
            <w:iCs w:val="0"/>
            <w:webHidden/>
          </w:rPr>
          <w:fldChar w:fldCharType="begin"/>
        </w:r>
        <w:r w:rsidRPr="00576B1F">
          <w:rPr>
            <w:i w:val="0"/>
            <w:iCs w:val="0"/>
            <w:webHidden/>
          </w:rPr>
          <w:instrText xml:space="preserve"> PAGEREF _Toc214878977 \h </w:instrText>
        </w:r>
        <w:r w:rsidRPr="00576B1F">
          <w:rPr>
            <w:i w:val="0"/>
            <w:iCs w:val="0"/>
            <w:webHidden/>
          </w:rPr>
        </w:r>
        <w:r w:rsidRPr="00576B1F">
          <w:rPr>
            <w:i w:val="0"/>
            <w:iCs w:val="0"/>
            <w:webHidden/>
          </w:rPr>
          <w:fldChar w:fldCharType="separate"/>
        </w:r>
        <w:r w:rsidR="00343E89">
          <w:rPr>
            <w:i w:val="0"/>
            <w:iCs w:val="0"/>
            <w:webHidden/>
          </w:rPr>
          <w:t>6-191</w:t>
        </w:r>
        <w:r w:rsidRPr="00576B1F">
          <w:rPr>
            <w:i w:val="0"/>
            <w:iCs w:val="0"/>
            <w:webHidden/>
          </w:rPr>
          <w:fldChar w:fldCharType="end"/>
        </w:r>
      </w:hyperlink>
    </w:p>
    <w:p w14:paraId="0D141800" w14:textId="3BC0748A" w:rsidR="00576B1F" w:rsidRPr="00576B1F" w:rsidRDefault="00576B1F">
      <w:pPr>
        <w:pStyle w:val="TOC3"/>
        <w:rPr>
          <w:rFonts w:eastAsiaTheme="minorEastAsia"/>
          <w:i w:val="0"/>
          <w:iCs w:val="0"/>
          <w:kern w:val="2"/>
          <w14:ligatures w14:val="standardContextual"/>
        </w:rPr>
      </w:pPr>
      <w:hyperlink w:anchor="_Toc214878978" w:history="1">
        <w:r w:rsidRPr="00576B1F">
          <w:rPr>
            <w:rStyle w:val="Hyperlink"/>
            <w:i w:val="0"/>
            <w:iCs w:val="0"/>
            <w:lang w:val="fr-FR"/>
          </w:rPr>
          <w:t>6.6.5</w:t>
        </w:r>
        <w:r w:rsidRPr="00576B1F">
          <w:rPr>
            <w:rFonts w:eastAsiaTheme="minorEastAsia"/>
            <w:i w:val="0"/>
            <w:iCs w:val="0"/>
            <w:kern w:val="2"/>
            <w14:ligatures w14:val="standardContextual"/>
          </w:rPr>
          <w:tab/>
        </w:r>
        <w:r w:rsidRPr="00576B1F">
          <w:rPr>
            <w:rStyle w:val="Hyperlink"/>
            <w:i w:val="0"/>
            <w:iCs w:val="0"/>
            <w:lang w:val="fr-FR"/>
          </w:rPr>
          <w:t>Set Point Deviation Charge</w:t>
        </w:r>
        <w:r w:rsidRPr="00576B1F">
          <w:rPr>
            <w:i w:val="0"/>
            <w:iCs w:val="0"/>
            <w:webHidden/>
          </w:rPr>
          <w:tab/>
        </w:r>
        <w:r w:rsidRPr="00576B1F">
          <w:rPr>
            <w:i w:val="0"/>
            <w:iCs w:val="0"/>
            <w:webHidden/>
          </w:rPr>
          <w:fldChar w:fldCharType="begin"/>
        </w:r>
        <w:r w:rsidRPr="00576B1F">
          <w:rPr>
            <w:i w:val="0"/>
            <w:iCs w:val="0"/>
            <w:webHidden/>
          </w:rPr>
          <w:instrText xml:space="preserve"> PAGEREF _Toc214878978 \h </w:instrText>
        </w:r>
        <w:r w:rsidRPr="00576B1F">
          <w:rPr>
            <w:i w:val="0"/>
            <w:iCs w:val="0"/>
            <w:webHidden/>
          </w:rPr>
        </w:r>
        <w:r w:rsidRPr="00576B1F">
          <w:rPr>
            <w:i w:val="0"/>
            <w:iCs w:val="0"/>
            <w:webHidden/>
          </w:rPr>
          <w:fldChar w:fldCharType="separate"/>
        </w:r>
        <w:r w:rsidR="00343E89">
          <w:rPr>
            <w:i w:val="0"/>
            <w:iCs w:val="0"/>
            <w:webHidden/>
          </w:rPr>
          <w:t>6-192</w:t>
        </w:r>
        <w:r w:rsidRPr="00576B1F">
          <w:rPr>
            <w:i w:val="0"/>
            <w:iCs w:val="0"/>
            <w:webHidden/>
          </w:rPr>
          <w:fldChar w:fldCharType="end"/>
        </w:r>
      </w:hyperlink>
    </w:p>
    <w:p w14:paraId="56E96D59" w14:textId="3E921B8A" w:rsidR="00576B1F" w:rsidRPr="00576B1F" w:rsidRDefault="00576B1F">
      <w:pPr>
        <w:pStyle w:val="TOC4"/>
        <w:rPr>
          <w:rFonts w:eastAsiaTheme="minorEastAsia"/>
          <w:kern w:val="2"/>
          <w:lang w:val="en-US"/>
          <w14:ligatures w14:val="standardContextual"/>
        </w:rPr>
      </w:pPr>
      <w:hyperlink w:anchor="_Toc214878979" w:history="1">
        <w:r w:rsidRPr="00576B1F">
          <w:rPr>
            <w:rStyle w:val="Hyperlink"/>
          </w:rPr>
          <w:t>6.6.5.1</w:t>
        </w:r>
        <w:r w:rsidRPr="00576B1F">
          <w:rPr>
            <w:rFonts w:eastAsiaTheme="minorEastAsia"/>
            <w:kern w:val="2"/>
            <w:lang w:val="en-US"/>
            <w14:ligatures w14:val="standardContextual"/>
          </w:rPr>
          <w:tab/>
        </w:r>
        <w:r w:rsidRPr="00576B1F">
          <w:rPr>
            <w:rStyle w:val="Hyperlink"/>
          </w:rPr>
          <w:t>Resource Set Point Deviation Charge</w:t>
        </w:r>
        <w:r w:rsidRPr="00576B1F">
          <w:rPr>
            <w:webHidden/>
          </w:rPr>
          <w:tab/>
        </w:r>
        <w:r w:rsidRPr="00576B1F">
          <w:rPr>
            <w:webHidden/>
          </w:rPr>
          <w:fldChar w:fldCharType="begin"/>
        </w:r>
        <w:r w:rsidRPr="00576B1F">
          <w:rPr>
            <w:webHidden/>
          </w:rPr>
          <w:instrText xml:space="preserve"> PAGEREF _Toc214878979 \h </w:instrText>
        </w:r>
        <w:r w:rsidRPr="00576B1F">
          <w:rPr>
            <w:webHidden/>
          </w:rPr>
        </w:r>
        <w:r w:rsidRPr="00576B1F">
          <w:rPr>
            <w:webHidden/>
          </w:rPr>
          <w:fldChar w:fldCharType="separate"/>
        </w:r>
        <w:r w:rsidR="00343E89">
          <w:rPr>
            <w:webHidden/>
          </w:rPr>
          <w:t>6-192</w:t>
        </w:r>
        <w:r w:rsidRPr="00576B1F">
          <w:rPr>
            <w:webHidden/>
          </w:rPr>
          <w:fldChar w:fldCharType="end"/>
        </w:r>
      </w:hyperlink>
    </w:p>
    <w:p w14:paraId="5414D5C2" w14:textId="1A40EF2F" w:rsidR="00576B1F" w:rsidRPr="00576B1F" w:rsidRDefault="00576B1F">
      <w:pPr>
        <w:pStyle w:val="TOC4"/>
        <w:rPr>
          <w:rFonts w:eastAsiaTheme="minorEastAsia"/>
          <w:kern w:val="2"/>
          <w:lang w:val="en-US"/>
          <w14:ligatures w14:val="standardContextual"/>
        </w:rPr>
      </w:pPr>
      <w:hyperlink w:anchor="_Toc214878980" w:history="1">
        <w:r w:rsidRPr="00576B1F">
          <w:rPr>
            <w:rStyle w:val="Hyperlink"/>
          </w:rPr>
          <w:t>6.6.5.2</w:t>
        </w:r>
        <w:r w:rsidRPr="00576B1F">
          <w:rPr>
            <w:rFonts w:eastAsiaTheme="minorEastAsia"/>
            <w:kern w:val="2"/>
            <w:lang w:val="en-US"/>
            <w14:ligatures w14:val="standardContextual"/>
          </w:rPr>
          <w:tab/>
        </w:r>
        <w:r w:rsidRPr="00576B1F">
          <w:rPr>
            <w:rStyle w:val="Hyperlink"/>
          </w:rPr>
          <w:t>Set Point Deviation Charge for Over Generation</w:t>
        </w:r>
        <w:r w:rsidRPr="00576B1F">
          <w:rPr>
            <w:webHidden/>
          </w:rPr>
          <w:tab/>
        </w:r>
        <w:r w:rsidRPr="00576B1F">
          <w:rPr>
            <w:webHidden/>
          </w:rPr>
          <w:fldChar w:fldCharType="begin"/>
        </w:r>
        <w:r w:rsidRPr="00576B1F">
          <w:rPr>
            <w:webHidden/>
          </w:rPr>
          <w:instrText xml:space="preserve"> PAGEREF _Toc214878980 \h </w:instrText>
        </w:r>
        <w:r w:rsidRPr="00576B1F">
          <w:rPr>
            <w:webHidden/>
          </w:rPr>
        </w:r>
        <w:r w:rsidRPr="00576B1F">
          <w:rPr>
            <w:webHidden/>
          </w:rPr>
          <w:fldChar w:fldCharType="separate"/>
        </w:r>
        <w:r w:rsidR="00343E89">
          <w:rPr>
            <w:webHidden/>
          </w:rPr>
          <w:t>6-193</w:t>
        </w:r>
        <w:r w:rsidRPr="00576B1F">
          <w:rPr>
            <w:webHidden/>
          </w:rPr>
          <w:fldChar w:fldCharType="end"/>
        </w:r>
      </w:hyperlink>
    </w:p>
    <w:p w14:paraId="3E5958EE" w14:textId="69733286" w:rsidR="00576B1F" w:rsidRPr="00576B1F" w:rsidRDefault="00576B1F">
      <w:pPr>
        <w:pStyle w:val="TOC4"/>
        <w:rPr>
          <w:rFonts w:eastAsiaTheme="minorEastAsia"/>
          <w:kern w:val="2"/>
          <w:lang w:val="en-US"/>
          <w14:ligatures w14:val="standardContextual"/>
        </w:rPr>
      </w:pPr>
      <w:hyperlink w:anchor="_Toc214878981" w:history="1">
        <w:r w:rsidRPr="00576B1F">
          <w:rPr>
            <w:rStyle w:val="Hyperlink"/>
          </w:rPr>
          <w:t>6.6.5.2</w:t>
        </w:r>
        <w:r w:rsidRPr="00576B1F">
          <w:rPr>
            <w:rFonts w:eastAsiaTheme="minorEastAsia"/>
            <w:kern w:val="2"/>
            <w:lang w:val="en-US"/>
            <w14:ligatures w14:val="standardContextual"/>
          </w:rPr>
          <w:tab/>
        </w:r>
        <w:r w:rsidRPr="00576B1F">
          <w:rPr>
            <w:rStyle w:val="Hyperlink"/>
          </w:rPr>
          <w:t>Set Point Deviation Charge for Over Generation</w:t>
        </w:r>
        <w:r w:rsidRPr="00576B1F">
          <w:rPr>
            <w:webHidden/>
          </w:rPr>
          <w:tab/>
        </w:r>
        <w:r w:rsidRPr="00576B1F">
          <w:rPr>
            <w:webHidden/>
          </w:rPr>
          <w:fldChar w:fldCharType="begin"/>
        </w:r>
        <w:r w:rsidRPr="00576B1F">
          <w:rPr>
            <w:webHidden/>
          </w:rPr>
          <w:instrText xml:space="preserve"> PAGEREF _Toc214878981 \h </w:instrText>
        </w:r>
        <w:r w:rsidRPr="00576B1F">
          <w:rPr>
            <w:webHidden/>
          </w:rPr>
        </w:r>
        <w:r w:rsidRPr="00576B1F">
          <w:rPr>
            <w:webHidden/>
          </w:rPr>
          <w:fldChar w:fldCharType="separate"/>
        </w:r>
        <w:r w:rsidR="00343E89">
          <w:rPr>
            <w:webHidden/>
          </w:rPr>
          <w:t>6-194</w:t>
        </w:r>
        <w:r w:rsidRPr="00576B1F">
          <w:rPr>
            <w:webHidden/>
          </w:rPr>
          <w:fldChar w:fldCharType="end"/>
        </w:r>
      </w:hyperlink>
    </w:p>
    <w:p w14:paraId="04B57A0E" w14:textId="53D8B8FB" w:rsidR="00576B1F" w:rsidRPr="00576B1F" w:rsidRDefault="00576B1F">
      <w:pPr>
        <w:pStyle w:val="TOC5"/>
        <w:rPr>
          <w:rFonts w:eastAsiaTheme="minorEastAsia"/>
          <w:i w:val="0"/>
          <w:kern w:val="2"/>
          <w:sz w:val="20"/>
          <w:szCs w:val="20"/>
          <w14:ligatures w14:val="standardContextual"/>
        </w:rPr>
      </w:pPr>
      <w:hyperlink w:anchor="_Toc214878982" w:history="1">
        <w:r w:rsidRPr="00576B1F">
          <w:rPr>
            <w:rStyle w:val="Hyperlink"/>
            <w:i w:val="0"/>
            <w:snapToGrid w:val="0"/>
            <w:sz w:val="20"/>
            <w:szCs w:val="20"/>
          </w:rPr>
          <w:t>6.6.5.2.1</w:t>
        </w:r>
        <w:r w:rsidRPr="00576B1F">
          <w:rPr>
            <w:rFonts w:eastAsiaTheme="minorEastAsia"/>
            <w:i w:val="0"/>
            <w:kern w:val="2"/>
            <w:sz w:val="20"/>
            <w:szCs w:val="20"/>
            <w14:ligatures w14:val="standardContextual"/>
          </w:rPr>
          <w:tab/>
        </w:r>
        <w:r w:rsidRPr="00576B1F">
          <w:rPr>
            <w:rStyle w:val="Hyperlink"/>
            <w:i w:val="0"/>
            <w:snapToGrid w:val="0"/>
            <w:sz w:val="20"/>
            <w:szCs w:val="20"/>
          </w:rPr>
          <w:t>Set Point Deviation Charge for Under Generation</w:t>
        </w:r>
        <w:r w:rsidRPr="00576B1F">
          <w:rPr>
            <w:i w:val="0"/>
            <w:webHidden/>
            <w:sz w:val="20"/>
            <w:szCs w:val="20"/>
          </w:rPr>
          <w:tab/>
        </w:r>
        <w:r w:rsidRPr="00576B1F">
          <w:rPr>
            <w:i w:val="0"/>
            <w:webHidden/>
            <w:sz w:val="20"/>
            <w:szCs w:val="20"/>
          </w:rPr>
          <w:fldChar w:fldCharType="begin"/>
        </w:r>
        <w:r w:rsidRPr="00576B1F">
          <w:rPr>
            <w:i w:val="0"/>
            <w:webHidden/>
            <w:sz w:val="20"/>
            <w:szCs w:val="20"/>
          </w:rPr>
          <w:instrText xml:space="preserve"> PAGEREF _Toc214878982 \h </w:instrText>
        </w:r>
        <w:r w:rsidRPr="00576B1F">
          <w:rPr>
            <w:i w:val="0"/>
            <w:webHidden/>
            <w:sz w:val="20"/>
            <w:szCs w:val="20"/>
          </w:rPr>
        </w:r>
        <w:r w:rsidRPr="00576B1F">
          <w:rPr>
            <w:i w:val="0"/>
            <w:webHidden/>
            <w:sz w:val="20"/>
            <w:szCs w:val="20"/>
          </w:rPr>
          <w:fldChar w:fldCharType="separate"/>
        </w:r>
        <w:r w:rsidR="00343E89">
          <w:rPr>
            <w:i w:val="0"/>
            <w:webHidden/>
            <w:sz w:val="20"/>
            <w:szCs w:val="20"/>
          </w:rPr>
          <w:t>6-196</w:t>
        </w:r>
        <w:r w:rsidRPr="00576B1F">
          <w:rPr>
            <w:i w:val="0"/>
            <w:webHidden/>
            <w:sz w:val="20"/>
            <w:szCs w:val="20"/>
          </w:rPr>
          <w:fldChar w:fldCharType="end"/>
        </w:r>
      </w:hyperlink>
    </w:p>
    <w:p w14:paraId="41182B86" w14:textId="136BA446" w:rsidR="00576B1F" w:rsidRPr="00576B1F" w:rsidRDefault="00576B1F">
      <w:pPr>
        <w:pStyle w:val="TOC5"/>
        <w:rPr>
          <w:rFonts w:eastAsiaTheme="minorEastAsia"/>
          <w:i w:val="0"/>
          <w:kern w:val="2"/>
          <w:sz w:val="20"/>
          <w:szCs w:val="20"/>
          <w14:ligatures w14:val="standardContextual"/>
        </w:rPr>
      </w:pPr>
      <w:hyperlink w:anchor="_Toc214878983" w:history="1">
        <w:r w:rsidRPr="00576B1F">
          <w:rPr>
            <w:rStyle w:val="Hyperlink"/>
            <w:i w:val="0"/>
            <w:snapToGrid w:val="0"/>
            <w:sz w:val="20"/>
            <w:szCs w:val="20"/>
          </w:rPr>
          <w:t>6.6.5.2.1</w:t>
        </w:r>
        <w:r w:rsidRPr="00576B1F">
          <w:rPr>
            <w:rFonts w:eastAsiaTheme="minorEastAsia"/>
            <w:i w:val="0"/>
            <w:kern w:val="2"/>
            <w:sz w:val="20"/>
            <w:szCs w:val="20"/>
            <w14:ligatures w14:val="standardContextual"/>
          </w:rPr>
          <w:tab/>
        </w:r>
        <w:r w:rsidRPr="00576B1F">
          <w:rPr>
            <w:rStyle w:val="Hyperlink"/>
            <w:i w:val="0"/>
            <w:snapToGrid w:val="0"/>
            <w:sz w:val="20"/>
            <w:szCs w:val="20"/>
          </w:rPr>
          <w:t>Set Point Deviation Charge for Under Generation</w:t>
        </w:r>
        <w:r w:rsidRPr="00576B1F">
          <w:rPr>
            <w:i w:val="0"/>
            <w:webHidden/>
            <w:sz w:val="20"/>
            <w:szCs w:val="20"/>
          </w:rPr>
          <w:tab/>
        </w:r>
        <w:r w:rsidRPr="00576B1F">
          <w:rPr>
            <w:i w:val="0"/>
            <w:webHidden/>
            <w:sz w:val="20"/>
            <w:szCs w:val="20"/>
          </w:rPr>
          <w:fldChar w:fldCharType="begin"/>
        </w:r>
        <w:r w:rsidRPr="00576B1F">
          <w:rPr>
            <w:i w:val="0"/>
            <w:webHidden/>
            <w:sz w:val="20"/>
            <w:szCs w:val="20"/>
          </w:rPr>
          <w:instrText xml:space="preserve"> PAGEREF _Toc214878983 \h </w:instrText>
        </w:r>
        <w:r w:rsidRPr="00576B1F">
          <w:rPr>
            <w:i w:val="0"/>
            <w:webHidden/>
            <w:sz w:val="20"/>
            <w:szCs w:val="20"/>
          </w:rPr>
        </w:r>
        <w:r w:rsidRPr="00576B1F">
          <w:rPr>
            <w:i w:val="0"/>
            <w:webHidden/>
            <w:sz w:val="20"/>
            <w:szCs w:val="20"/>
          </w:rPr>
          <w:fldChar w:fldCharType="separate"/>
        </w:r>
        <w:r w:rsidR="00343E89">
          <w:rPr>
            <w:i w:val="0"/>
            <w:webHidden/>
            <w:sz w:val="20"/>
            <w:szCs w:val="20"/>
          </w:rPr>
          <w:t>6-198</w:t>
        </w:r>
        <w:r w:rsidRPr="00576B1F">
          <w:rPr>
            <w:i w:val="0"/>
            <w:webHidden/>
            <w:sz w:val="20"/>
            <w:szCs w:val="20"/>
          </w:rPr>
          <w:fldChar w:fldCharType="end"/>
        </w:r>
      </w:hyperlink>
    </w:p>
    <w:p w14:paraId="574A959C" w14:textId="48FA8336" w:rsidR="00576B1F" w:rsidRPr="00576B1F" w:rsidRDefault="00576B1F">
      <w:pPr>
        <w:pStyle w:val="TOC5"/>
        <w:rPr>
          <w:rFonts w:eastAsiaTheme="minorEastAsia"/>
          <w:i w:val="0"/>
          <w:kern w:val="2"/>
          <w:sz w:val="20"/>
          <w:szCs w:val="20"/>
          <w14:ligatures w14:val="standardContextual"/>
        </w:rPr>
      </w:pPr>
      <w:hyperlink w:anchor="_Toc214878984" w:history="1">
        <w:r w:rsidRPr="00576B1F">
          <w:rPr>
            <w:rStyle w:val="Hyperlink"/>
            <w:i w:val="0"/>
            <w:sz w:val="20"/>
            <w:szCs w:val="20"/>
            <w:lang w:val="fr-FR"/>
          </w:rPr>
          <w:t>6.6.5.3</w:t>
        </w:r>
        <w:r w:rsidRPr="00576B1F">
          <w:rPr>
            <w:rFonts w:eastAsiaTheme="minorEastAsia"/>
            <w:i w:val="0"/>
            <w:kern w:val="2"/>
            <w:sz w:val="20"/>
            <w:szCs w:val="20"/>
            <w14:ligatures w14:val="standardContextual"/>
          </w:rPr>
          <w:tab/>
        </w:r>
        <w:r w:rsidRPr="00576B1F">
          <w:rPr>
            <w:rStyle w:val="Hyperlink"/>
            <w:i w:val="0"/>
            <w:sz w:val="20"/>
            <w:szCs w:val="20"/>
            <w:lang w:val="fr-FR"/>
          </w:rPr>
          <w:t xml:space="preserve">Controllable Load Resource Set Point Deviation Charge for Over </w:t>
        </w:r>
        <w:r w:rsidRPr="00576B1F">
          <w:rPr>
            <w:rStyle w:val="Hyperlink"/>
            <w:i w:val="0"/>
            <w:sz w:val="20"/>
            <w:szCs w:val="20"/>
          </w:rPr>
          <w:t>Consumption</w:t>
        </w:r>
        <w:r w:rsidRPr="00576B1F">
          <w:rPr>
            <w:i w:val="0"/>
            <w:webHidden/>
            <w:sz w:val="20"/>
            <w:szCs w:val="20"/>
          </w:rPr>
          <w:tab/>
        </w:r>
        <w:r w:rsidRPr="00576B1F">
          <w:rPr>
            <w:i w:val="0"/>
            <w:webHidden/>
            <w:sz w:val="20"/>
            <w:szCs w:val="20"/>
          </w:rPr>
          <w:fldChar w:fldCharType="begin"/>
        </w:r>
        <w:r w:rsidRPr="00576B1F">
          <w:rPr>
            <w:i w:val="0"/>
            <w:webHidden/>
            <w:sz w:val="20"/>
            <w:szCs w:val="20"/>
          </w:rPr>
          <w:instrText xml:space="preserve"> PAGEREF _Toc214878984 \h </w:instrText>
        </w:r>
        <w:r w:rsidRPr="00576B1F">
          <w:rPr>
            <w:i w:val="0"/>
            <w:webHidden/>
            <w:sz w:val="20"/>
            <w:szCs w:val="20"/>
          </w:rPr>
        </w:r>
        <w:r w:rsidRPr="00576B1F">
          <w:rPr>
            <w:i w:val="0"/>
            <w:webHidden/>
            <w:sz w:val="20"/>
            <w:szCs w:val="20"/>
          </w:rPr>
          <w:fldChar w:fldCharType="separate"/>
        </w:r>
        <w:r w:rsidR="00343E89">
          <w:rPr>
            <w:i w:val="0"/>
            <w:webHidden/>
            <w:sz w:val="20"/>
            <w:szCs w:val="20"/>
          </w:rPr>
          <w:t>6-199</w:t>
        </w:r>
        <w:r w:rsidRPr="00576B1F">
          <w:rPr>
            <w:i w:val="0"/>
            <w:webHidden/>
            <w:sz w:val="20"/>
            <w:szCs w:val="20"/>
          </w:rPr>
          <w:fldChar w:fldCharType="end"/>
        </w:r>
      </w:hyperlink>
    </w:p>
    <w:p w14:paraId="635A6B05" w14:textId="1D29C01E" w:rsidR="00576B1F" w:rsidRPr="00576B1F" w:rsidRDefault="00576B1F">
      <w:pPr>
        <w:pStyle w:val="TOC5"/>
        <w:rPr>
          <w:rFonts w:eastAsiaTheme="minorEastAsia"/>
          <w:i w:val="0"/>
          <w:kern w:val="2"/>
          <w:sz w:val="20"/>
          <w:szCs w:val="20"/>
          <w14:ligatures w14:val="standardContextual"/>
        </w:rPr>
      </w:pPr>
      <w:hyperlink w:anchor="_Toc214878985" w:history="1">
        <w:r w:rsidRPr="00576B1F">
          <w:rPr>
            <w:rStyle w:val="Hyperlink"/>
            <w:i w:val="0"/>
            <w:sz w:val="20"/>
            <w:szCs w:val="20"/>
          </w:rPr>
          <w:t>6.6.5.3.1</w:t>
        </w:r>
        <w:r w:rsidRPr="00576B1F">
          <w:rPr>
            <w:rFonts w:eastAsiaTheme="minorEastAsia"/>
            <w:i w:val="0"/>
            <w:kern w:val="2"/>
            <w:sz w:val="20"/>
            <w:szCs w:val="20"/>
            <w14:ligatures w14:val="standardContextual"/>
          </w:rPr>
          <w:tab/>
        </w:r>
        <w:r w:rsidRPr="00576B1F">
          <w:rPr>
            <w:rStyle w:val="Hyperlink"/>
            <w:i w:val="0"/>
            <w:sz w:val="20"/>
            <w:szCs w:val="20"/>
          </w:rPr>
          <w:t>Controllable Load Resource Set Point Deviation Charge for Under Consumption</w:t>
        </w:r>
        <w:r w:rsidRPr="00576B1F">
          <w:rPr>
            <w:i w:val="0"/>
            <w:webHidden/>
            <w:sz w:val="20"/>
            <w:szCs w:val="20"/>
          </w:rPr>
          <w:tab/>
        </w:r>
        <w:r w:rsidRPr="00576B1F">
          <w:rPr>
            <w:i w:val="0"/>
            <w:webHidden/>
            <w:sz w:val="20"/>
            <w:szCs w:val="20"/>
          </w:rPr>
          <w:fldChar w:fldCharType="begin"/>
        </w:r>
        <w:r w:rsidRPr="00576B1F">
          <w:rPr>
            <w:i w:val="0"/>
            <w:webHidden/>
            <w:sz w:val="20"/>
            <w:szCs w:val="20"/>
          </w:rPr>
          <w:instrText xml:space="preserve"> PAGEREF _Toc214878985 \h </w:instrText>
        </w:r>
        <w:r w:rsidRPr="00576B1F">
          <w:rPr>
            <w:i w:val="0"/>
            <w:webHidden/>
            <w:sz w:val="20"/>
            <w:szCs w:val="20"/>
          </w:rPr>
        </w:r>
        <w:r w:rsidRPr="00576B1F">
          <w:rPr>
            <w:i w:val="0"/>
            <w:webHidden/>
            <w:sz w:val="20"/>
            <w:szCs w:val="20"/>
          </w:rPr>
          <w:fldChar w:fldCharType="separate"/>
        </w:r>
        <w:r w:rsidR="00343E89">
          <w:rPr>
            <w:i w:val="0"/>
            <w:webHidden/>
            <w:sz w:val="20"/>
            <w:szCs w:val="20"/>
          </w:rPr>
          <w:t>6-201</w:t>
        </w:r>
        <w:r w:rsidRPr="00576B1F">
          <w:rPr>
            <w:i w:val="0"/>
            <w:webHidden/>
            <w:sz w:val="20"/>
            <w:szCs w:val="20"/>
          </w:rPr>
          <w:fldChar w:fldCharType="end"/>
        </w:r>
      </w:hyperlink>
    </w:p>
    <w:p w14:paraId="1EC8877E" w14:textId="096BE829" w:rsidR="00576B1F" w:rsidRPr="00576B1F" w:rsidRDefault="00576B1F">
      <w:pPr>
        <w:pStyle w:val="TOC4"/>
        <w:rPr>
          <w:rFonts w:eastAsiaTheme="minorEastAsia"/>
          <w:kern w:val="2"/>
          <w:lang w:val="en-US"/>
          <w14:ligatures w14:val="standardContextual"/>
        </w:rPr>
      </w:pPr>
      <w:hyperlink w:anchor="_Toc214878986" w:history="1">
        <w:r w:rsidRPr="00576B1F">
          <w:rPr>
            <w:rStyle w:val="Hyperlink"/>
          </w:rPr>
          <w:t>6.6.5.4</w:t>
        </w:r>
        <w:r w:rsidRPr="00576B1F">
          <w:rPr>
            <w:rFonts w:eastAsiaTheme="minorEastAsia"/>
            <w:kern w:val="2"/>
            <w:lang w:val="en-US"/>
            <w14:ligatures w14:val="standardContextual"/>
          </w:rPr>
          <w:tab/>
        </w:r>
        <w:r w:rsidRPr="00576B1F">
          <w:rPr>
            <w:rStyle w:val="Hyperlink"/>
          </w:rPr>
          <w:t>IRR Generation Resource Set Point Deviation Charge</w:t>
        </w:r>
        <w:r w:rsidRPr="00576B1F">
          <w:rPr>
            <w:webHidden/>
          </w:rPr>
          <w:tab/>
        </w:r>
        <w:r w:rsidRPr="00576B1F">
          <w:rPr>
            <w:webHidden/>
          </w:rPr>
          <w:fldChar w:fldCharType="begin"/>
        </w:r>
        <w:r w:rsidRPr="00576B1F">
          <w:rPr>
            <w:webHidden/>
          </w:rPr>
          <w:instrText xml:space="preserve"> PAGEREF _Toc214878986 \h </w:instrText>
        </w:r>
        <w:r w:rsidRPr="00576B1F">
          <w:rPr>
            <w:webHidden/>
          </w:rPr>
        </w:r>
        <w:r w:rsidRPr="00576B1F">
          <w:rPr>
            <w:webHidden/>
          </w:rPr>
          <w:fldChar w:fldCharType="separate"/>
        </w:r>
        <w:r w:rsidR="00343E89">
          <w:rPr>
            <w:webHidden/>
          </w:rPr>
          <w:t>6-202</w:t>
        </w:r>
        <w:r w:rsidRPr="00576B1F">
          <w:rPr>
            <w:webHidden/>
          </w:rPr>
          <w:fldChar w:fldCharType="end"/>
        </w:r>
      </w:hyperlink>
    </w:p>
    <w:p w14:paraId="0E02BD1A" w14:textId="4AAF29C0" w:rsidR="00576B1F" w:rsidRPr="00576B1F" w:rsidRDefault="00576B1F">
      <w:pPr>
        <w:pStyle w:val="TOC4"/>
        <w:rPr>
          <w:rFonts w:eastAsiaTheme="minorEastAsia"/>
          <w:kern w:val="2"/>
          <w:lang w:val="en-US"/>
          <w14:ligatures w14:val="standardContextual"/>
        </w:rPr>
      </w:pPr>
      <w:hyperlink w:anchor="_Toc214878987" w:history="1">
        <w:r w:rsidRPr="00576B1F">
          <w:rPr>
            <w:rStyle w:val="Hyperlink"/>
          </w:rPr>
          <w:t>6.6.5.4</w:t>
        </w:r>
        <w:r w:rsidRPr="00576B1F">
          <w:rPr>
            <w:rFonts w:eastAsiaTheme="minorEastAsia"/>
            <w:kern w:val="2"/>
            <w:lang w:val="en-US"/>
            <w14:ligatures w14:val="standardContextual"/>
          </w:rPr>
          <w:tab/>
        </w:r>
        <w:r w:rsidRPr="00576B1F">
          <w:rPr>
            <w:rStyle w:val="Hyperlink"/>
          </w:rPr>
          <w:t>IRR Generation Resource Set Point Deviation Charge</w:t>
        </w:r>
        <w:r w:rsidRPr="00576B1F">
          <w:rPr>
            <w:webHidden/>
          </w:rPr>
          <w:tab/>
        </w:r>
        <w:r w:rsidRPr="00576B1F">
          <w:rPr>
            <w:webHidden/>
          </w:rPr>
          <w:fldChar w:fldCharType="begin"/>
        </w:r>
        <w:r w:rsidRPr="00576B1F">
          <w:rPr>
            <w:webHidden/>
          </w:rPr>
          <w:instrText xml:space="preserve"> PAGEREF _Toc214878987 \h </w:instrText>
        </w:r>
        <w:r w:rsidRPr="00576B1F">
          <w:rPr>
            <w:webHidden/>
          </w:rPr>
        </w:r>
        <w:r w:rsidRPr="00576B1F">
          <w:rPr>
            <w:webHidden/>
          </w:rPr>
          <w:fldChar w:fldCharType="separate"/>
        </w:r>
        <w:r w:rsidR="00343E89">
          <w:rPr>
            <w:webHidden/>
          </w:rPr>
          <w:t>6-204</w:t>
        </w:r>
        <w:r w:rsidRPr="00576B1F">
          <w:rPr>
            <w:webHidden/>
          </w:rPr>
          <w:fldChar w:fldCharType="end"/>
        </w:r>
      </w:hyperlink>
    </w:p>
    <w:p w14:paraId="1A1D3722" w14:textId="66540F6F" w:rsidR="00576B1F" w:rsidRPr="00576B1F" w:rsidRDefault="00576B1F">
      <w:pPr>
        <w:pStyle w:val="TOC4"/>
        <w:rPr>
          <w:rFonts w:eastAsiaTheme="minorEastAsia"/>
          <w:kern w:val="2"/>
          <w:lang w:val="en-US"/>
          <w14:ligatures w14:val="standardContextual"/>
        </w:rPr>
      </w:pPr>
      <w:hyperlink w:anchor="_Toc214878988" w:history="1">
        <w:r w:rsidRPr="00576B1F">
          <w:rPr>
            <w:rStyle w:val="Hyperlink"/>
          </w:rPr>
          <w:t>6.6.5.5</w:t>
        </w:r>
        <w:r w:rsidRPr="00576B1F">
          <w:rPr>
            <w:rFonts w:eastAsiaTheme="minorEastAsia"/>
            <w:kern w:val="2"/>
            <w:lang w:val="en-US"/>
            <w14:ligatures w14:val="standardContextual"/>
          </w:rPr>
          <w:tab/>
        </w:r>
        <w:r w:rsidRPr="00576B1F">
          <w:rPr>
            <w:rStyle w:val="Hyperlink"/>
          </w:rPr>
          <w:t>Energy Storage Resource Set Point Deviation Charge for Over Performance</w:t>
        </w:r>
        <w:r w:rsidRPr="00576B1F">
          <w:rPr>
            <w:webHidden/>
          </w:rPr>
          <w:tab/>
        </w:r>
        <w:r w:rsidRPr="00576B1F">
          <w:rPr>
            <w:webHidden/>
          </w:rPr>
          <w:fldChar w:fldCharType="begin"/>
        </w:r>
        <w:r w:rsidRPr="00576B1F">
          <w:rPr>
            <w:webHidden/>
          </w:rPr>
          <w:instrText xml:space="preserve"> PAGEREF _Toc214878988 \h </w:instrText>
        </w:r>
        <w:r w:rsidRPr="00576B1F">
          <w:rPr>
            <w:webHidden/>
          </w:rPr>
        </w:r>
        <w:r w:rsidRPr="00576B1F">
          <w:rPr>
            <w:webHidden/>
          </w:rPr>
          <w:fldChar w:fldCharType="separate"/>
        </w:r>
        <w:r w:rsidR="00343E89">
          <w:rPr>
            <w:webHidden/>
          </w:rPr>
          <w:t>6-206</w:t>
        </w:r>
        <w:r w:rsidRPr="00576B1F">
          <w:rPr>
            <w:webHidden/>
          </w:rPr>
          <w:fldChar w:fldCharType="end"/>
        </w:r>
      </w:hyperlink>
    </w:p>
    <w:p w14:paraId="6DD8DF07" w14:textId="1E2939E0" w:rsidR="00576B1F" w:rsidRPr="00576B1F" w:rsidRDefault="00576B1F">
      <w:pPr>
        <w:pStyle w:val="TOC4"/>
        <w:rPr>
          <w:rFonts w:eastAsiaTheme="minorEastAsia"/>
          <w:kern w:val="2"/>
          <w:lang w:val="en-US"/>
          <w14:ligatures w14:val="standardContextual"/>
        </w:rPr>
      </w:pPr>
      <w:hyperlink w:anchor="_Toc214878989" w:history="1">
        <w:r w:rsidRPr="00576B1F">
          <w:rPr>
            <w:rStyle w:val="Hyperlink"/>
          </w:rPr>
          <w:t>6.6.5.5.1</w:t>
        </w:r>
        <w:r w:rsidRPr="00576B1F">
          <w:rPr>
            <w:rFonts w:eastAsiaTheme="minorEastAsia"/>
            <w:kern w:val="2"/>
            <w:lang w:val="en-US"/>
            <w14:ligatures w14:val="standardContextual"/>
          </w:rPr>
          <w:tab/>
        </w:r>
        <w:r w:rsidRPr="00576B1F">
          <w:rPr>
            <w:rStyle w:val="Hyperlink"/>
          </w:rPr>
          <w:t>Energy Storage Resource Set Point Deviation Charge for Under Performance</w:t>
        </w:r>
        <w:r w:rsidRPr="00576B1F">
          <w:rPr>
            <w:webHidden/>
          </w:rPr>
          <w:tab/>
        </w:r>
        <w:r w:rsidRPr="00576B1F">
          <w:rPr>
            <w:webHidden/>
          </w:rPr>
          <w:fldChar w:fldCharType="begin"/>
        </w:r>
        <w:r w:rsidRPr="00576B1F">
          <w:rPr>
            <w:webHidden/>
          </w:rPr>
          <w:instrText xml:space="preserve"> PAGEREF _Toc214878989 \h </w:instrText>
        </w:r>
        <w:r w:rsidRPr="00576B1F">
          <w:rPr>
            <w:webHidden/>
          </w:rPr>
        </w:r>
        <w:r w:rsidRPr="00576B1F">
          <w:rPr>
            <w:webHidden/>
          </w:rPr>
          <w:fldChar w:fldCharType="separate"/>
        </w:r>
        <w:r w:rsidR="00343E89">
          <w:rPr>
            <w:webHidden/>
          </w:rPr>
          <w:t>6-209</w:t>
        </w:r>
        <w:r w:rsidRPr="00576B1F">
          <w:rPr>
            <w:webHidden/>
          </w:rPr>
          <w:fldChar w:fldCharType="end"/>
        </w:r>
      </w:hyperlink>
    </w:p>
    <w:p w14:paraId="33F0FAEB" w14:textId="28C439DB" w:rsidR="00576B1F" w:rsidRPr="00576B1F" w:rsidRDefault="00576B1F">
      <w:pPr>
        <w:pStyle w:val="TOC4"/>
        <w:rPr>
          <w:rFonts w:eastAsiaTheme="minorEastAsia"/>
          <w:kern w:val="2"/>
          <w:lang w:val="en-US"/>
          <w14:ligatures w14:val="standardContextual"/>
        </w:rPr>
      </w:pPr>
      <w:hyperlink w:anchor="_Toc214878990" w:history="1">
        <w:r w:rsidRPr="00576B1F">
          <w:rPr>
            <w:rStyle w:val="Hyperlink"/>
          </w:rPr>
          <w:t>6.6.5.6</w:t>
        </w:r>
        <w:r w:rsidRPr="00576B1F">
          <w:rPr>
            <w:rFonts w:eastAsiaTheme="minorEastAsia"/>
            <w:kern w:val="2"/>
            <w:lang w:val="en-US"/>
            <w14:ligatures w14:val="standardContextual"/>
          </w:rPr>
          <w:tab/>
        </w:r>
        <w:r w:rsidRPr="00576B1F">
          <w:rPr>
            <w:rStyle w:val="Hyperlink"/>
          </w:rPr>
          <w:t>Resources Exempt from Deviation Charges</w:t>
        </w:r>
        <w:r w:rsidRPr="00576B1F">
          <w:rPr>
            <w:webHidden/>
          </w:rPr>
          <w:tab/>
        </w:r>
        <w:r w:rsidRPr="00576B1F">
          <w:rPr>
            <w:webHidden/>
          </w:rPr>
          <w:fldChar w:fldCharType="begin"/>
        </w:r>
        <w:r w:rsidRPr="00576B1F">
          <w:rPr>
            <w:webHidden/>
          </w:rPr>
          <w:instrText xml:space="preserve"> PAGEREF _Toc214878990 \h </w:instrText>
        </w:r>
        <w:r w:rsidRPr="00576B1F">
          <w:rPr>
            <w:webHidden/>
          </w:rPr>
        </w:r>
        <w:r w:rsidRPr="00576B1F">
          <w:rPr>
            <w:webHidden/>
          </w:rPr>
          <w:fldChar w:fldCharType="separate"/>
        </w:r>
        <w:r w:rsidR="00343E89">
          <w:rPr>
            <w:webHidden/>
          </w:rPr>
          <w:t>6-211</w:t>
        </w:r>
        <w:r w:rsidRPr="00576B1F">
          <w:rPr>
            <w:webHidden/>
          </w:rPr>
          <w:fldChar w:fldCharType="end"/>
        </w:r>
      </w:hyperlink>
    </w:p>
    <w:p w14:paraId="3ED6C816" w14:textId="31C18A4B" w:rsidR="00576B1F" w:rsidRPr="00576B1F" w:rsidRDefault="00576B1F">
      <w:pPr>
        <w:pStyle w:val="TOC4"/>
        <w:rPr>
          <w:rFonts w:eastAsiaTheme="minorEastAsia"/>
          <w:kern w:val="2"/>
          <w:lang w:val="en-US"/>
          <w14:ligatures w14:val="standardContextual"/>
        </w:rPr>
      </w:pPr>
      <w:hyperlink w:anchor="_Toc214878991" w:history="1">
        <w:r w:rsidRPr="00576B1F">
          <w:rPr>
            <w:rStyle w:val="Hyperlink"/>
            <w:snapToGrid w:val="0"/>
          </w:rPr>
          <w:t>6.6.5.7</w:t>
        </w:r>
        <w:r w:rsidRPr="00576B1F">
          <w:rPr>
            <w:rFonts w:eastAsiaTheme="minorEastAsia"/>
            <w:kern w:val="2"/>
            <w:lang w:val="en-US"/>
            <w14:ligatures w14:val="standardContextual"/>
          </w:rPr>
          <w:tab/>
        </w:r>
        <w:r w:rsidRPr="00576B1F">
          <w:rPr>
            <w:rStyle w:val="Hyperlink"/>
            <w:snapToGrid w:val="0"/>
          </w:rPr>
          <w:t>Set Point Deviation Payment</w:t>
        </w:r>
        <w:r w:rsidRPr="00576B1F">
          <w:rPr>
            <w:webHidden/>
          </w:rPr>
          <w:tab/>
        </w:r>
        <w:r w:rsidRPr="00576B1F">
          <w:rPr>
            <w:webHidden/>
          </w:rPr>
          <w:fldChar w:fldCharType="begin"/>
        </w:r>
        <w:r w:rsidRPr="00576B1F">
          <w:rPr>
            <w:webHidden/>
          </w:rPr>
          <w:instrText xml:space="preserve"> PAGEREF _Toc214878991 \h </w:instrText>
        </w:r>
        <w:r w:rsidRPr="00576B1F">
          <w:rPr>
            <w:webHidden/>
          </w:rPr>
        </w:r>
        <w:r w:rsidRPr="00576B1F">
          <w:rPr>
            <w:webHidden/>
          </w:rPr>
          <w:fldChar w:fldCharType="separate"/>
        </w:r>
        <w:r w:rsidR="00343E89">
          <w:rPr>
            <w:webHidden/>
          </w:rPr>
          <w:t>6-212</w:t>
        </w:r>
        <w:r w:rsidRPr="00576B1F">
          <w:rPr>
            <w:webHidden/>
          </w:rPr>
          <w:fldChar w:fldCharType="end"/>
        </w:r>
      </w:hyperlink>
    </w:p>
    <w:p w14:paraId="50C6CF1B" w14:textId="0B95AA3B" w:rsidR="00576B1F" w:rsidRPr="00576B1F" w:rsidRDefault="00576B1F">
      <w:pPr>
        <w:pStyle w:val="TOC3"/>
        <w:rPr>
          <w:rFonts w:eastAsiaTheme="minorEastAsia"/>
          <w:i w:val="0"/>
          <w:iCs w:val="0"/>
          <w:kern w:val="2"/>
          <w14:ligatures w14:val="standardContextual"/>
        </w:rPr>
      </w:pPr>
      <w:hyperlink w:anchor="_Toc214878992" w:history="1">
        <w:r w:rsidRPr="00576B1F">
          <w:rPr>
            <w:rStyle w:val="Hyperlink"/>
            <w:i w:val="0"/>
            <w:iCs w:val="0"/>
          </w:rPr>
          <w:t>6.6.6</w:t>
        </w:r>
        <w:r w:rsidRPr="00576B1F">
          <w:rPr>
            <w:rFonts w:eastAsiaTheme="minorEastAsia"/>
            <w:i w:val="0"/>
            <w:iCs w:val="0"/>
            <w:kern w:val="2"/>
            <w14:ligatures w14:val="standardContextual"/>
          </w:rPr>
          <w:tab/>
        </w:r>
        <w:r w:rsidRPr="00576B1F">
          <w:rPr>
            <w:rStyle w:val="Hyperlink"/>
            <w:i w:val="0"/>
            <w:iCs w:val="0"/>
          </w:rPr>
          <w:t>Reliability Must-Run Settlement</w:t>
        </w:r>
        <w:r w:rsidRPr="00576B1F">
          <w:rPr>
            <w:i w:val="0"/>
            <w:iCs w:val="0"/>
            <w:webHidden/>
          </w:rPr>
          <w:tab/>
        </w:r>
        <w:r w:rsidRPr="00576B1F">
          <w:rPr>
            <w:i w:val="0"/>
            <w:iCs w:val="0"/>
            <w:webHidden/>
          </w:rPr>
          <w:fldChar w:fldCharType="begin"/>
        </w:r>
        <w:r w:rsidRPr="00576B1F">
          <w:rPr>
            <w:i w:val="0"/>
            <w:iCs w:val="0"/>
            <w:webHidden/>
          </w:rPr>
          <w:instrText xml:space="preserve"> PAGEREF _Toc214878992 \h </w:instrText>
        </w:r>
        <w:r w:rsidRPr="00576B1F">
          <w:rPr>
            <w:i w:val="0"/>
            <w:iCs w:val="0"/>
            <w:webHidden/>
          </w:rPr>
        </w:r>
        <w:r w:rsidRPr="00576B1F">
          <w:rPr>
            <w:i w:val="0"/>
            <w:iCs w:val="0"/>
            <w:webHidden/>
          </w:rPr>
          <w:fldChar w:fldCharType="separate"/>
        </w:r>
        <w:r w:rsidR="00343E89">
          <w:rPr>
            <w:i w:val="0"/>
            <w:iCs w:val="0"/>
            <w:webHidden/>
          </w:rPr>
          <w:t>6-213</w:t>
        </w:r>
        <w:r w:rsidRPr="00576B1F">
          <w:rPr>
            <w:i w:val="0"/>
            <w:iCs w:val="0"/>
            <w:webHidden/>
          </w:rPr>
          <w:fldChar w:fldCharType="end"/>
        </w:r>
      </w:hyperlink>
    </w:p>
    <w:p w14:paraId="760413D9" w14:textId="3CB956D3" w:rsidR="00576B1F" w:rsidRPr="00576B1F" w:rsidRDefault="00576B1F">
      <w:pPr>
        <w:pStyle w:val="TOC3"/>
        <w:rPr>
          <w:rFonts w:eastAsiaTheme="minorEastAsia"/>
          <w:i w:val="0"/>
          <w:iCs w:val="0"/>
          <w:kern w:val="2"/>
          <w14:ligatures w14:val="standardContextual"/>
        </w:rPr>
      </w:pPr>
      <w:hyperlink w:anchor="_Toc214878993" w:history="1">
        <w:r w:rsidRPr="00576B1F">
          <w:rPr>
            <w:rStyle w:val="Hyperlink"/>
            <w:i w:val="0"/>
            <w:iCs w:val="0"/>
          </w:rPr>
          <w:t>6.6.6</w:t>
        </w:r>
        <w:r w:rsidRPr="00576B1F">
          <w:rPr>
            <w:rFonts w:eastAsiaTheme="minorEastAsia"/>
            <w:i w:val="0"/>
            <w:iCs w:val="0"/>
            <w:kern w:val="2"/>
            <w14:ligatures w14:val="standardContextual"/>
          </w:rPr>
          <w:tab/>
        </w:r>
        <w:r w:rsidRPr="00576B1F">
          <w:rPr>
            <w:rStyle w:val="Hyperlink"/>
            <w:i w:val="0"/>
            <w:iCs w:val="0"/>
          </w:rPr>
          <w:t>Reliability Must-Run and Must-Run Alternative Settlement</w:t>
        </w:r>
        <w:r w:rsidRPr="00576B1F">
          <w:rPr>
            <w:i w:val="0"/>
            <w:iCs w:val="0"/>
            <w:webHidden/>
          </w:rPr>
          <w:tab/>
        </w:r>
        <w:r w:rsidRPr="00576B1F">
          <w:rPr>
            <w:i w:val="0"/>
            <w:iCs w:val="0"/>
            <w:webHidden/>
          </w:rPr>
          <w:fldChar w:fldCharType="begin"/>
        </w:r>
        <w:r w:rsidRPr="00576B1F">
          <w:rPr>
            <w:i w:val="0"/>
            <w:iCs w:val="0"/>
            <w:webHidden/>
          </w:rPr>
          <w:instrText xml:space="preserve"> PAGEREF _Toc214878993 \h </w:instrText>
        </w:r>
        <w:r w:rsidRPr="00576B1F">
          <w:rPr>
            <w:i w:val="0"/>
            <w:iCs w:val="0"/>
            <w:webHidden/>
          </w:rPr>
        </w:r>
        <w:r w:rsidRPr="00576B1F">
          <w:rPr>
            <w:i w:val="0"/>
            <w:iCs w:val="0"/>
            <w:webHidden/>
          </w:rPr>
          <w:fldChar w:fldCharType="separate"/>
        </w:r>
        <w:r w:rsidR="00343E89">
          <w:rPr>
            <w:i w:val="0"/>
            <w:iCs w:val="0"/>
            <w:webHidden/>
          </w:rPr>
          <w:t>6-213</w:t>
        </w:r>
        <w:r w:rsidRPr="00576B1F">
          <w:rPr>
            <w:i w:val="0"/>
            <w:iCs w:val="0"/>
            <w:webHidden/>
          </w:rPr>
          <w:fldChar w:fldCharType="end"/>
        </w:r>
      </w:hyperlink>
    </w:p>
    <w:p w14:paraId="157A7242" w14:textId="4C1AE55F" w:rsidR="00576B1F" w:rsidRPr="00576B1F" w:rsidRDefault="00576B1F">
      <w:pPr>
        <w:pStyle w:val="TOC4"/>
        <w:rPr>
          <w:rFonts w:eastAsiaTheme="minorEastAsia"/>
          <w:kern w:val="2"/>
          <w:lang w:val="en-US"/>
          <w14:ligatures w14:val="standardContextual"/>
        </w:rPr>
      </w:pPr>
      <w:hyperlink w:anchor="_Toc214878994" w:history="1">
        <w:r w:rsidRPr="00576B1F">
          <w:rPr>
            <w:rStyle w:val="Hyperlink"/>
          </w:rPr>
          <w:t>6.6.6.1</w:t>
        </w:r>
        <w:r w:rsidRPr="00576B1F">
          <w:rPr>
            <w:rFonts w:eastAsiaTheme="minorEastAsia"/>
            <w:kern w:val="2"/>
            <w:lang w:val="en-US"/>
            <w14:ligatures w14:val="standardContextual"/>
          </w:rPr>
          <w:tab/>
        </w:r>
        <w:r w:rsidRPr="00576B1F">
          <w:rPr>
            <w:rStyle w:val="Hyperlink"/>
          </w:rPr>
          <w:t>RMR Standby Payment</w:t>
        </w:r>
        <w:r w:rsidRPr="00576B1F">
          <w:rPr>
            <w:webHidden/>
          </w:rPr>
          <w:tab/>
        </w:r>
        <w:r w:rsidRPr="00576B1F">
          <w:rPr>
            <w:webHidden/>
          </w:rPr>
          <w:fldChar w:fldCharType="begin"/>
        </w:r>
        <w:r w:rsidRPr="00576B1F">
          <w:rPr>
            <w:webHidden/>
          </w:rPr>
          <w:instrText xml:space="preserve"> PAGEREF _Toc214878994 \h </w:instrText>
        </w:r>
        <w:r w:rsidRPr="00576B1F">
          <w:rPr>
            <w:webHidden/>
          </w:rPr>
        </w:r>
        <w:r w:rsidRPr="00576B1F">
          <w:rPr>
            <w:webHidden/>
          </w:rPr>
          <w:fldChar w:fldCharType="separate"/>
        </w:r>
        <w:r w:rsidR="00343E89">
          <w:rPr>
            <w:webHidden/>
          </w:rPr>
          <w:t>6-213</w:t>
        </w:r>
        <w:r w:rsidRPr="00576B1F">
          <w:rPr>
            <w:webHidden/>
          </w:rPr>
          <w:fldChar w:fldCharType="end"/>
        </w:r>
      </w:hyperlink>
    </w:p>
    <w:p w14:paraId="157DFC5C" w14:textId="434FB9CA" w:rsidR="00576B1F" w:rsidRPr="00576B1F" w:rsidRDefault="00576B1F">
      <w:pPr>
        <w:pStyle w:val="TOC4"/>
        <w:rPr>
          <w:rFonts w:eastAsiaTheme="minorEastAsia"/>
          <w:kern w:val="2"/>
          <w:lang w:val="en-US"/>
          <w14:ligatures w14:val="standardContextual"/>
        </w:rPr>
      </w:pPr>
      <w:hyperlink w:anchor="_Toc214878995" w:history="1">
        <w:r w:rsidRPr="00576B1F">
          <w:rPr>
            <w:rStyle w:val="Hyperlink"/>
          </w:rPr>
          <w:t>6.6.6.2</w:t>
        </w:r>
        <w:r w:rsidRPr="00576B1F">
          <w:rPr>
            <w:rFonts w:eastAsiaTheme="minorEastAsia"/>
            <w:kern w:val="2"/>
            <w:lang w:val="en-US"/>
            <w14:ligatures w14:val="standardContextual"/>
          </w:rPr>
          <w:tab/>
        </w:r>
        <w:r w:rsidRPr="00576B1F">
          <w:rPr>
            <w:rStyle w:val="Hyperlink"/>
          </w:rPr>
          <w:t>RMR Payment for Energy</w:t>
        </w:r>
        <w:r w:rsidRPr="00576B1F">
          <w:rPr>
            <w:webHidden/>
          </w:rPr>
          <w:tab/>
        </w:r>
        <w:r w:rsidRPr="00576B1F">
          <w:rPr>
            <w:webHidden/>
          </w:rPr>
          <w:fldChar w:fldCharType="begin"/>
        </w:r>
        <w:r w:rsidRPr="00576B1F">
          <w:rPr>
            <w:webHidden/>
          </w:rPr>
          <w:instrText xml:space="preserve"> PAGEREF _Toc214878995 \h </w:instrText>
        </w:r>
        <w:r w:rsidRPr="00576B1F">
          <w:rPr>
            <w:webHidden/>
          </w:rPr>
        </w:r>
        <w:r w:rsidRPr="00576B1F">
          <w:rPr>
            <w:webHidden/>
          </w:rPr>
          <w:fldChar w:fldCharType="separate"/>
        </w:r>
        <w:r w:rsidR="00343E89">
          <w:rPr>
            <w:webHidden/>
          </w:rPr>
          <w:t>6-216</w:t>
        </w:r>
        <w:r w:rsidRPr="00576B1F">
          <w:rPr>
            <w:webHidden/>
          </w:rPr>
          <w:fldChar w:fldCharType="end"/>
        </w:r>
      </w:hyperlink>
    </w:p>
    <w:p w14:paraId="1D47199C" w14:textId="181C38E2" w:rsidR="00576B1F" w:rsidRPr="00576B1F" w:rsidRDefault="00576B1F">
      <w:pPr>
        <w:pStyle w:val="TOC4"/>
        <w:rPr>
          <w:rFonts w:eastAsiaTheme="minorEastAsia"/>
          <w:kern w:val="2"/>
          <w:lang w:val="en-US"/>
          <w14:ligatures w14:val="standardContextual"/>
        </w:rPr>
      </w:pPr>
      <w:hyperlink w:anchor="_Toc214878996" w:history="1">
        <w:r w:rsidRPr="00576B1F">
          <w:rPr>
            <w:rStyle w:val="Hyperlink"/>
          </w:rPr>
          <w:t>6.6.6.3</w:t>
        </w:r>
        <w:r w:rsidRPr="00576B1F">
          <w:rPr>
            <w:rFonts w:eastAsiaTheme="minorEastAsia"/>
            <w:kern w:val="2"/>
            <w:lang w:val="en-US"/>
            <w14:ligatures w14:val="standardContextual"/>
          </w:rPr>
          <w:tab/>
        </w:r>
        <w:r w:rsidRPr="00576B1F">
          <w:rPr>
            <w:rStyle w:val="Hyperlink"/>
          </w:rPr>
          <w:t>RMR Adjustment Charge</w:t>
        </w:r>
        <w:r w:rsidRPr="00576B1F">
          <w:rPr>
            <w:webHidden/>
          </w:rPr>
          <w:tab/>
        </w:r>
        <w:r w:rsidRPr="00576B1F">
          <w:rPr>
            <w:webHidden/>
          </w:rPr>
          <w:fldChar w:fldCharType="begin"/>
        </w:r>
        <w:r w:rsidRPr="00576B1F">
          <w:rPr>
            <w:webHidden/>
          </w:rPr>
          <w:instrText xml:space="preserve"> PAGEREF _Toc214878996 \h </w:instrText>
        </w:r>
        <w:r w:rsidRPr="00576B1F">
          <w:rPr>
            <w:webHidden/>
          </w:rPr>
        </w:r>
        <w:r w:rsidRPr="00576B1F">
          <w:rPr>
            <w:webHidden/>
          </w:rPr>
          <w:fldChar w:fldCharType="separate"/>
        </w:r>
        <w:r w:rsidR="00343E89">
          <w:rPr>
            <w:webHidden/>
          </w:rPr>
          <w:t>6-219</w:t>
        </w:r>
        <w:r w:rsidRPr="00576B1F">
          <w:rPr>
            <w:webHidden/>
          </w:rPr>
          <w:fldChar w:fldCharType="end"/>
        </w:r>
      </w:hyperlink>
    </w:p>
    <w:p w14:paraId="4BAE3463" w14:textId="023AA029" w:rsidR="00576B1F" w:rsidRPr="00576B1F" w:rsidRDefault="00576B1F">
      <w:pPr>
        <w:pStyle w:val="TOC4"/>
        <w:rPr>
          <w:rFonts w:eastAsiaTheme="minorEastAsia"/>
          <w:kern w:val="2"/>
          <w:lang w:val="en-US"/>
          <w14:ligatures w14:val="standardContextual"/>
        </w:rPr>
      </w:pPr>
      <w:hyperlink w:anchor="_Toc214878997" w:history="1">
        <w:r w:rsidRPr="00576B1F">
          <w:rPr>
            <w:rStyle w:val="Hyperlink"/>
          </w:rPr>
          <w:t>6.6.6.4</w:t>
        </w:r>
        <w:r w:rsidRPr="00576B1F">
          <w:rPr>
            <w:rFonts w:eastAsiaTheme="minorEastAsia"/>
            <w:kern w:val="2"/>
            <w:lang w:val="en-US"/>
            <w14:ligatures w14:val="standardContextual"/>
          </w:rPr>
          <w:tab/>
        </w:r>
        <w:r w:rsidRPr="00576B1F">
          <w:rPr>
            <w:rStyle w:val="Hyperlink"/>
          </w:rPr>
          <w:t>RMR Charge for Unexcused Misconduct</w:t>
        </w:r>
        <w:r w:rsidRPr="00576B1F">
          <w:rPr>
            <w:webHidden/>
          </w:rPr>
          <w:tab/>
        </w:r>
        <w:r w:rsidRPr="00576B1F">
          <w:rPr>
            <w:webHidden/>
          </w:rPr>
          <w:fldChar w:fldCharType="begin"/>
        </w:r>
        <w:r w:rsidRPr="00576B1F">
          <w:rPr>
            <w:webHidden/>
          </w:rPr>
          <w:instrText xml:space="preserve"> PAGEREF _Toc214878997 \h </w:instrText>
        </w:r>
        <w:r w:rsidRPr="00576B1F">
          <w:rPr>
            <w:webHidden/>
          </w:rPr>
        </w:r>
        <w:r w:rsidRPr="00576B1F">
          <w:rPr>
            <w:webHidden/>
          </w:rPr>
          <w:fldChar w:fldCharType="separate"/>
        </w:r>
        <w:r w:rsidR="00343E89">
          <w:rPr>
            <w:webHidden/>
          </w:rPr>
          <w:t>6-220</w:t>
        </w:r>
        <w:r w:rsidRPr="00576B1F">
          <w:rPr>
            <w:webHidden/>
          </w:rPr>
          <w:fldChar w:fldCharType="end"/>
        </w:r>
      </w:hyperlink>
    </w:p>
    <w:p w14:paraId="751C9513" w14:textId="24890414" w:rsidR="00576B1F" w:rsidRPr="00576B1F" w:rsidRDefault="00576B1F">
      <w:pPr>
        <w:pStyle w:val="TOC4"/>
        <w:rPr>
          <w:rFonts w:eastAsiaTheme="minorEastAsia"/>
          <w:kern w:val="2"/>
          <w:lang w:val="en-US"/>
          <w14:ligatures w14:val="standardContextual"/>
        </w:rPr>
      </w:pPr>
      <w:hyperlink w:anchor="_Toc214878998" w:history="1">
        <w:r w:rsidRPr="00576B1F">
          <w:rPr>
            <w:rStyle w:val="Hyperlink"/>
          </w:rPr>
          <w:t>6.6.6.5</w:t>
        </w:r>
        <w:r w:rsidRPr="00576B1F">
          <w:rPr>
            <w:rFonts w:eastAsiaTheme="minorEastAsia"/>
            <w:kern w:val="2"/>
            <w:lang w:val="en-US"/>
            <w14:ligatures w14:val="standardContextual"/>
          </w:rPr>
          <w:tab/>
        </w:r>
        <w:r w:rsidRPr="00576B1F">
          <w:rPr>
            <w:rStyle w:val="Hyperlink"/>
          </w:rPr>
          <w:t>RMR Service Charge</w:t>
        </w:r>
        <w:r w:rsidRPr="00576B1F">
          <w:rPr>
            <w:webHidden/>
          </w:rPr>
          <w:tab/>
        </w:r>
        <w:r w:rsidRPr="00576B1F">
          <w:rPr>
            <w:webHidden/>
          </w:rPr>
          <w:fldChar w:fldCharType="begin"/>
        </w:r>
        <w:r w:rsidRPr="00576B1F">
          <w:rPr>
            <w:webHidden/>
          </w:rPr>
          <w:instrText xml:space="preserve"> PAGEREF _Toc214878998 \h </w:instrText>
        </w:r>
        <w:r w:rsidRPr="00576B1F">
          <w:rPr>
            <w:webHidden/>
          </w:rPr>
        </w:r>
        <w:r w:rsidRPr="00576B1F">
          <w:rPr>
            <w:webHidden/>
          </w:rPr>
          <w:fldChar w:fldCharType="separate"/>
        </w:r>
        <w:r w:rsidR="00343E89">
          <w:rPr>
            <w:webHidden/>
          </w:rPr>
          <w:t>6-221</w:t>
        </w:r>
        <w:r w:rsidRPr="00576B1F">
          <w:rPr>
            <w:webHidden/>
          </w:rPr>
          <w:fldChar w:fldCharType="end"/>
        </w:r>
      </w:hyperlink>
    </w:p>
    <w:p w14:paraId="648FF54F" w14:textId="4ADA3CB9" w:rsidR="00576B1F" w:rsidRPr="00576B1F" w:rsidRDefault="00576B1F">
      <w:pPr>
        <w:pStyle w:val="TOC4"/>
        <w:rPr>
          <w:rFonts w:eastAsiaTheme="minorEastAsia"/>
          <w:kern w:val="2"/>
          <w:lang w:val="en-US"/>
          <w14:ligatures w14:val="standardContextual"/>
        </w:rPr>
      </w:pPr>
      <w:hyperlink w:anchor="_Toc214878999" w:history="1">
        <w:r w:rsidRPr="00576B1F">
          <w:rPr>
            <w:rStyle w:val="Hyperlink"/>
          </w:rPr>
          <w:t>6.6.6.6</w:t>
        </w:r>
        <w:r w:rsidRPr="00576B1F">
          <w:rPr>
            <w:rFonts w:eastAsiaTheme="minorEastAsia"/>
            <w:kern w:val="2"/>
            <w:lang w:val="en-US"/>
            <w14:ligatures w14:val="standardContextual"/>
          </w:rPr>
          <w:tab/>
        </w:r>
        <w:r w:rsidRPr="00576B1F">
          <w:rPr>
            <w:rStyle w:val="Hyperlink"/>
          </w:rPr>
          <w:t>Method for Reconciling RMR Actual Eligible Costs, RMR and MRA Contributed Capital Expenditures, and Miscellaneous RMR Incurred Expenses</w:t>
        </w:r>
        <w:r w:rsidRPr="00576B1F">
          <w:rPr>
            <w:webHidden/>
          </w:rPr>
          <w:tab/>
        </w:r>
        <w:r w:rsidRPr="00576B1F">
          <w:rPr>
            <w:webHidden/>
          </w:rPr>
          <w:fldChar w:fldCharType="begin"/>
        </w:r>
        <w:r w:rsidRPr="00576B1F">
          <w:rPr>
            <w:webHidden/>
          </w:rPr>
          <w:instrText xml:space="preserve"> PAGEREF _Toc214878999 \h </w:instrText>
        </w:r>
        <w:r w:rsidRPr="00576B1F">
          <w:rPr>
            <w:webHidden/>
          </w:rPr>
        </w:r>
        <w:r w:rsidRPr="00576B1F">
          <w:rPr>
            <w:webHidden/>
          </w:rPr>
          <w:fldChar w:fldCharType="separate"/>
        </w:r>
        <w:r w:rsidR="00343E89">
          <w:rPr>
            <w:webHidden/>
          </w:rPr>
          <w:t>6-222</w:t>
        </w:r>
        <w:r w:rsidRPr="00576B1F">
          <w:rPr>
            <w:webHidden/>
          </w:rPr>
          <w:fldChar w:fldCharType="end"/>
        </w:r>
      </w:hyperlink>
    </w:p>
    <w:p w14:paraId="01C2B7D6" w14:textId="79955325" w:rsidR="00576B1F" w:rsidRPr="00576B1F" w:rsidRDefault="00576B1F">
      <w:pPr>
        <w:pStyle w:val="TOC4"/>
        <w:rPr>
          <w:rFonts w:eastAsiaTheme="minorEastAsia"/>
          <w:kern w:val="2"/>
          <w:lang w:val="en-US"/>
          <w14:ligatures w14:val="standardContextual"/>
        </w:rPr>
      </w:pPr>
      <w:hyperlink w:anchor="_Toc214879000" w:history="1">
        <w:r w:rsidRPr="00576B1F">
          <w:rPr>
            <w:rStyle w:val="Hyperlink"/>
            <w:snapToGrid w:val="0"/>
          </w:rPr>
          <w:t>6.6.6.7</w:t>
        </w:r>
        <w:r w:rsidRPr="00576B1F">
          <w:rPr>
            <w:rFonts w:eastAsiaTheme="minorEastAsia"/>
            <w:kern w:val="2"/>
            <w:lang w:val="en-US"/>
            <w14:ligatures w14:val="standardContextual"/>
          </w:rPr>
          <w:tab/>
        </w:r>
        <w:r w:rsidRPr="00576B1F">
          <w:rPr>
            <w:rStyle w:val="Hyperlink"/>
            <w:snapToGrid w:val="0"/>
          </w:rPr>
          <w:t>MRA Standby Payment</w:t>
        </w:r>
        <w:r w:rsidRPr="00576B1F">
          <w:rPr>
            <w:webHidden/>
          </w:rPr>
          <w:tab/>
        </w:r>
        <w:r w:rsidRPr="00576B1F">
          <w:rPr>
            <w:webHidden/>
          </w:rPr>
          <w:fldChar w:fldCharType="begin"/>
        </w:r>
        <w:r w:rsidRPr="00576B1F">
          <w:rPr>
            <w:webHidden/>
          </w:rPr>
          <w:instrText xml:space="preserve"> PAGEREF _Toc214879000 \h </w:instrText>
        </w:r>
        <w:r w:rsidRPr="00576B1F">
          <w:rPr>
            <w:webHidden/>
          </w:rPr>
        </w:r>
        <w:r w:rsidRPr="00576B1F">
          <w:rPr>
            <w:webHidden/>
          </w:rPr>
          <w:fldChar w:fldCharType="separate"/>
        </w:r>
        <w:r w:rsidR="00343E89">
          <w:rPr>
            <w:webHidden/>
          </w:rPr>
          <w:t>6-226</w:t>
        </w:r>
        <w:r w:rsidRPr="00576B1F">
          <w:rPr>
            <w:webHidden/>
          </w:rPr>
          <w:fldChar w:fldCharType="end"/>
        </w:r>
      </w:hyperlink>
    </w:p>
    <w:p w14:paraId="261341F1" w14:textId="710714AF" w:rsidR="00576B1F" w:rsidRPr="00576B1F" w:rsidRDefault="00576B1F">
      <w:pPr>
        <w:pStyle w:val="TOC4"/>
        <w:rPr>
          <w:rFonts w:eastAsiaTheme="minorEastAsia"/>
          <w:kern w:val="2"/>
          <w:lang w:val="en-US"/>
          <w14:ligatures w14:val="standardContextual"/>
        </w:rPr>
      </w:pPr>
      <w:hyperlink w:anchor="_Toc214879001" w:history="1">
        <w:r w:rsidRPr="00576B1F">
          <w:rPr>
            <w:rStyle w:val="Hyperlink"/>
            <w:snapToGrid w:val="0"/>
          </w:rPr>
          <w:t>6.6.6.8</w:t>
        </w:r>
        <w:r w:rsidRPr="00576B1F">
          <w:rPr>
            <w:rFonts w:eastAsiaTheme="minorEastAsia"/>
            <w:kern w:val="2"/>
            <w:lang w:val="en-US"/>
            <w14:ligatures w14:val="standardContextual"/>
          </w:rPr>
          <w:tab/>
        </w:r>
        <w:r w:rsidRPr="00576B1F">
          <w:rPr>
            <w:rStyle w:val="Hyperlink"/>
            <w:snapToGrid w:val="0"/>
          </w:rPr>
          <w:t>MRA Contributed Capital Expenditures Payment</w:t>
        </w:r>
        <w:r w:rsidRPr="00576B1F">
          <w:rPr>
            <w:webHidden/>
          </w:rPr>
          <w:tab/>
        </w:r>
        <w:r w:rsidRPr="00576B1F">
          <w:rPr>
            <w:webHidden/>
          </w:rPr>
          <w:fldChar w:fldCharType="begin"/>
        </w:r>
        <w:r w:rsidRPr="00576B1F">
          <w:rPr>
            <w:webHidden/>
          </w:rPr>
          <w:instrText xml:space="preserve"> PAGEREF _Toc214879001 \h </w:instrText>
        </w:r>
        <w:r w:rsidRPr="00576B1F">
          <w:rPr>
            <w:webHidden/>
          </w:rPr>
        </w:r>
        <w:r w:rsidRPr="00576B1F">
          <w:rPr>
            <w:webHidden/>
          </w:rPr>
          <w:fldChar w:fldCharType="separate"/>
        </w:r>
        <w:r w:rsidR="00343E89">
          <w:rPr>
            <w:webHidden/>
          </w:rPr>
          <w:t>6-230</w:t>
        </w:r>
        <w:r w:rsidRPr="00576B1F">
          <w:rPr>
            <w:webHidden/>
          </w:rPr>
          <w:fldChar w:fldCharType="end"/>
        </w:r>
      </w:hyperlink>
    </w:p>
    <w:p w14:paraId="4BD5930B" w14:textId="62233932" w:rsidR="00576B1F" w:rsidRPr="00576B1F" w:rsidRDefault="00576B1F">
      <w:pPr>
        <w:pStyle w:val="TOC4"/>
        <w:rPr>
          <w:rFonts w:eastAsiaTheme="minorEastAsia"/>
          <w:kern w:val="2"/>
          <w:lang w:val="en-US"/>
          <w14:ligatures w14:val="standardContextual"/>
        </w:rPr>
      </w:pPr>
      <w:hyperlink w:anchor="_Toc214879002" w:history="1">
        <w:r w:rsidRPr="00576B1F">
          <w:rPr>
            <w:rStyle w:val="Hyperlink"/>
            <w:snapToGrid w:val="0"/>
          </w:rPr>
          <w:t>6.6.6.9</w:t>
        </w:r>
        <w:r w:rsidRPr="00576B1F">
          <w:rPr>
            <w:rFonts w:eastAsiaTheme="minorEastAsia"/>
            <w:kern w:val="2"/>
            <w:lang w:val="en-US"/>
            <w14:ligatures w14:val="standardContextual"/>
          </w:rPr>
          <w:tab/>
        </w:r>
        <w:r w:rsidRPr="00576B1F">
          <w:rPr>
            <w:rStyle w:val="Hyperlink"/>
            <w:snapToGrid w:val="0"/>
          </w:rPr>
          <w:t>MRA Payment for Deployment Event</w:t>
        </w:r>
        <w:r w:rsidRPr="00576B1F">
          <w:rPr>
            <w:webHidden/>
          </w:rPr>
          <w:tab/>
        </w:r>
        <w:r w:rsidRPr="00576B1F">
          <w:rPr>
            <w:webHidden/>
          </w:rPr>
          <w:fldChar w:fldCharType="begin"/>
        </w:r>
        <w:r w:rsidRPr="00576B1F">
          <w:rPr>
            <w:webHidden/>
          </w:rPr>
          <w:instrText xml:space="preserve"> PAGEREF _Toc214879002 \h </w:instrText>
        </w:r>
        <w:r w:rsidRPr="00576B1F">
          <w:rPr>
            <w:webHidden/>
          </w:rPr>
        </w:r>
        <w:r w:rsidRPr="00576B1F">
          <w:rPr>
            <w:webHidden/>
          </w:rPr>
          <w:fldChar w:fldCharType="separate"/>
        </w:r>
        <w:r w:rsidR="00343E89">
          <w:rPr>
            <w:webHidden/>
          </w:rPr>
          <w:t>6-231</w:t>
        </w:r>
        <w:r w:rsidRPr="00576B1F">
          <w:rPr>
            <w:webHidden/>
          </w:rPr>
          <w:fldChar w:fldCharType="end"/>
        </w:r>
      </w:hyperlink>
    </w:p>
    <w:p w14:paraId="5B76EB54" w14:textId="3FA30B71" w:rsidR="00576B1F" w:rsidRPr="00576B1F" w:rsidRDefault="00576B1F">
      <w:pPr>
        <w:pStyle w:val="TOC4"/>
        <w:rPr>
          <w:rFonts w:eastAsiaTheme="minorEastAsia"/>
          <w:kern w:val="2"/>
          <w:lang w:val="en-US"/>
          <w14:ligatures w14:val="standardContextual"/>
        </w:rPr>
      </w:pPr>
      <w:hyperlink w:anchor="_Toc214879003" w:history="1">
        <w:r w:rsidRPr="00576B1F">
          <w:rPr>
            <w:rStyle w:val="Hyperlink"/>
            <w:snapToGrid w:val="0"/>
          </w:rPr>
          <w:t>6.6.6.10</w:t>
        </w:r>
        <w:r w:rsidRPr="00576B1F">
          <w:rPr>
            <w:rFonts w:eastAsiaTheme="minorEastAsia"/>
            <w:kern w:val="2"/>
            <w:lang w:val="en-US"/>
            <w14:ligatures w14:val="standardContextual"/>
          </w:rPr>
          <w:tab/>
        </w:r>
        <w:r w:rsidRPr="00576B1F">
          <w:rPr>
            <w:rStyle w:val="Hyperlink"/>
            <w:snapToGrid w:val="0"/>
          </w:rPr>
          <w:t>MRA Variable Payment for Deployment</w:t>
        </w:r>
        <w:r w:rsidRPr="00576B1F">
          <w:rPr>
            <w:webHidden/>
          </w:rPr>
          <w:tab/>
        </w:r>
        <w:r w:rsidRPr="00576B1F">
          <w:rPr>
            <w:webHidden/>
          </w:rPr>
          <w:fldChar w:fldCharType="begin"/>
        </w:r>
        <w:r w:rsidRPr="00576B1F">
          <w:rPr>
            <w:webHidden/>
          </w:rPr>
          <w:instrText xml:space="preserve"> PAGEREF _Toc214879003 \h </w:instrText>
        </w:r>
        <w:r w:rsidRPr="00576B1F">
          <w:rPr>
            <w:webHidden/>
          </w:rPr>
        </w:r>
        <w:r w:rsidRPr="00576B1F">
          <w:rPr>
            <w:webHidden/>
          </w:rPr>
          <w:fldChar w:fldCharType="separate"/>
        </w:r>
        <w:r w:rsidR="00343E89">
          <w:rPr>
            <w:webHidden/>
          </w:rPr>
          <w:t>6-233</w:t>
        </w:r>
        <w:r w:rsidRPr="00576B1F">
          <w:rPr>
            <w:webHidden/>
          </w:rPr>
          <w:fldChar w:fldCharType="end"/>
        </w:r>
      </w:hyperlink>
    </w:p>
    <w:p w14:paraId="7C2EE9A7" w14:textId="02869E4D" w:rsidR="00576B1F" w:rsidRPr="00576B1F" w:rsidRDefault="00576B1F">
      <w:pPr>
        <w:pStyle w:val="TOC4"/>
        <w:rPr>
          <w:rFonts w:eastAsiaTheme="minorEastAsia"/>
          <w:kern w:val="2"/>
          <w:lang w:val="en-US"/>
          <w14:ligatures w14:val="standardContextual"/>
        </w:rPr>
      </w:pPr>
      <w:hyperlink w:anchor="_Toc214879004" w:history="1">
        <w:r w:rsidRPr="00576B1F">
          <w:rPr>
            <w:rStyle w:val="Hyperlink"/>
            <w:snapToGrid w:val="0"/>
          </w:rPr>
          <w:t>6.6.6.11</w:t>
        </w:r>
        <w:r w:rsidRPr="00576B1F">
          <w:rPr>
            <w:rFonts w:eastAsiaTheme="minorEastAsia"/>
            <w:kern w:val="2"/>
            <w:lang w:val="en-US"/>
            <w14:ligatures w14:val="standardContextual"/>
          </w:rPr>
          <w:tab/>
        </w:r>
        <w:r w:rsidRPr="00576B1F">
          <w:rPr>
            <w:rStyle w:val="Hyperlink"/>
            <w:snapToGrid w:val="0"/>
          </w:rPr>
          <w:t>MRA Charge for Unexcused Misconduct</w:t>
        </w:r>
        <w:r w:rsidRPr="00576B1F">
          <w:rPr>
            <w:webHidden/>
          </w:rPr>
          <w:tab/>
        </w:r>
        <w:r w:rsidRPr="00576B1F">
          <w:rPr>
            <w:webHidden/>
          </w:rPr>
          <w:fldChar w:fldCharType="begin"/>
        </w:r>
        <w:r w:rsidRPr="00576B1F">
          <w:rPr>
            <w:webHidden/>
          </w:rPr>
          <w:instrText xml:space="preserve"> PAGEREF _Toc214879004 \h </w:instrText>
        </w:r>
        <w:r w:rsidRPr="00576B1F">
          <w:rPr>
            <w:webHidden/>
          </w:rPr>
        </w:r>
        <w:r w:rsidRPr="00576B1F">
          <w:rPr>
            <w:webHidden/>
          </w:rPr>
          <w:fldChar w:fldCharType="separate"/>
        </w:r>
        <w:r w:rsidR="00343E89">
          <w:rPr>
            <w:webHidden/>
          </w:rPr>
          <w:t>6-238</w:t>
        </w:r>
        <w:r w:rsidRPr="00576B1F">
          <w:rPr>
            <w:webHidden/>
          </w:rPr>
          <w:fldChar w:fldCharType="end"/>
        </w:r>
      </w:hyperlink>
    </w:p>
    <w:p w14:paraId="2EC69A57" w14:textId="716B1D96" w:rsidR="00576B1F" w:rsidRPr="00576B1F" w:rsidRDefault="00576B1F">
      <w:pPr>
        <w:pStyle w:val="TOC4"/>
        <w:rPr>
          <w:rFonts w:eastAsiaTheme="minorEastAsia"/>
          <w:kern w:val="2"/>
          <w:lang w:val="en-US"/>
          <w14:ligatures w14:val="standardContextual"/>
        </w:rPr>
      </w:pPr>
      <w:hyperlink w:anchor="_Toc214879005" w:history="1">
        <w:r w:rsidRPr="00576B1F">
          <w:rPr>
            <w:rStyle w:val="Hyperlink"/>
            <w:snapToGrid w:val="0"/>
          </w:rPr>
          <w:t>6.6.6.12</w:t>
        </w:r>
        <w:r w:rsidRPr="00576B1F">
          <w:rPr>
            <w:rFonts w:eastAsiaTheme="minorEastAsia"/>
            <w:kern w:val="2"/>
            <w:lang w:val="en-US"/>
            <w14:ligatures w14:val="standardContextual"/>
          </w:rPr>
          <w:tab/>
        </w:r>
        <w:r w:rsidRPr="00576B1F">
          <w:rPr>
            <w:rStyle w:val="Hyperlink"/>
            <w:snapToGrid w:val="0"/>
          </w:rPr>
          <w:t>MRA Service Charge</w:t>
        </w:r>
        <w:r w:rsidRPr="00576B1F">
          <w:rPr>
            <w:webHidden/>
          </w:rPr>
          <w:tab/>
        </w:r>
        <w:r w:rsidRPr="00576B1F">
          <w:rPr>
            <w:webHidden/>
          </w:rPr>
          <w:fldChar w:fldCharType="begin"/>
        </w:r>
        <w:r w:rsidRPr="00576B1F">
          <w:rPr>
            <w:webHidden/>
          </w:rPr>
          <w:instrText xml:space="preserve"> PAGEREF _Toc214879005 \h </w:instrText>
        </w:r>
        <w:r w:rsidRPr="00576B1F">
          <w:rPr>
            <w:webHidden/>
          </w:rPr>
        </w:r>
        <w:r w:rsidRPr="00576B1F">
          <w:rPr>
            <w:webHidden/>
          </w:rPr>
          <w:fldChar w:fldCharType="separate"/>
        </w:r>
        <w:r w:rsidR="00343E89">
          <w:rPr>
            <w:webHidden/>
          </w:rPr>
          <w:t>6-239</w:t>
        </w:r>
        <w:r w:rsidRPr="00576B1F">
          <w:rPr>
            <w:webHidden/>
          </w:rPr>
          <w:fldChar w:fldCharType="end"/>
        </w:r>
      </w:hyperlink>
    </w:p>
    <w:p w14:paraId="141BBA06" w14:textId="658A314B" w:rsidR="00576B1F" w:rsidRPr="00576B1F" w:rsidRDefault="00576B1F">
      <w:pPr>
        <w:pStyle w:val="TOC3"/>
        <w:rPr>
          <w:rFonts w:eastAsiaTheme="minorEastAsia"/>
          <w:i w:val="0"/>
          <w:iCs w:val="0"/>
          <w:kern w:val="2"/>
          <w14:ligatures w14:val="standardContextual"/>
        </w:rPr>
      </w:pPr>
      <w:hyperlink w:anchor="_Toc214879006" w:history="1">
        <w:r w:rsidRPr="00576B1F">
          <w:rPr>
            <w:rStyle w:val="Hyperlink"/>
            <w:i w:val="0"/>
            <w:iCs w:val="0"/>
          </w:rPr>
          <w:t>6.6.7</w:t>
        </w:r>
        <w:r w:rsidRPr="00576B1F">
          <w:rPr>
            <w:rFonts w:eastAsiaTheme="minorEastAsia"/>
            <w:i w:val="0"/>
            <w:iCs w:val="0"/>
            <w:kern w:val="2"/>
            <w14:ligatures w14:val="standardContextual"/>
          </w:rPr>
          <w:tab/>
        </w:r>
        <w:r w:rsidRPr="00576B1F">
          <w:rPr>
            <w:rStyle w:val="Hyperlink"/>
            <w:i w:val="0"/>
            <w:iCs w:val="0"/>
          </w:rPr>
          <w:t>Voltage Support Settlement</w:t>
        </w:r>
        <w:r w:rsidRPr="00576B1F">
          <w:rPr>
            <w:i w:val="0"/>
            <w:iCs w:val="0"/>
            <w:webHidden/>
          </w:rPr>
          <w:tab/>
        </w:r>
        <w:r w:rsidRPr="00576B1F">
          <w:rPr>
            <w:i w:val="0"/>
            <w:iCs w:val="0"/>
            <w:webHidden/>
          </w:rPr>
          <w:fldChar w:fldCharType="begin"/>
        </w:r>
        <w:r w:rsidRPr="00576B1F">
          <w:rPr>
            <w:i w:val="0"/>
            <w:iCs w:val="0"/>
            <w:webHidden/>
          </w:rPr>
          <w:instrText xml:space="preserve"> PAGEREF _Toc214879006 \h </w:instrText>
        </w:r>
        <w:r w:rsidRPr="00576B1F">
          <w:rPr>
            <w:i w:val="0"/>
            <w:iCs w:val="0"/>
            <w:webHidden/>
          </w:rPr>
        </w:r>
        <w:r w:rsidRPr="00576B1F">
          <w:rPr>
            <w:i w:val="0"/>
            <w:iCs w:val="0"/>
            <w:webHidden/>
          </w:rPr>
          <w:fldChar w:fldCharType="separate"/>
        </w:r>
        <w:r w:rsidR="00343E89">
          <w:rPr>
            <w:i w:val="0"/>
            <w:iCs w:val="0"/>
            <w:webHidden/>
          </w:rPr>
          <w:t>6-240</w:t>
        </w:r>
        <w:r w:rsidRPr="00576B1F">
          <w:rPr>
            <w:i w:val="0"/>
            <w:iCs w:val="0"/>
            <w:webHidden/>
          </w:rPr>
          <w:fldChar w:fldCharType="end"/>
        </w:r>
      </w:hyperlink>
    </w:p>
    <w:p w14:paraId="06BC376C" w14:textId="1FF9BE3A" w:rsidR="00576B1F" w:rsidRPr="00576B1F" w:rsidRDefault="00576B1F">
      <w:pPr>
        <w:pStyle w:val="TOC4"/>
        <w:rPr>
          <w:rFonts w:eastAsiaTheme="minorEastAsia"/>
          <w:kern w:val="2"/>
          <w:lang w:val="en-US"/>
          <w14:ligatures w14:val="standardContextual"/>
        </w:rPr>
      </w:pPr>
      <w:hyperlink w:anchor="_Toc214879007" w:history="1">
        <w:r w:rsidRPr="00576B1F">
          <w:rPr>
            <w:rStyle w:val="Hyperlink"/>
          </w:rPr>
          <w:t>6.6.7.1</w:t>
        </w:r>
        <w:r w:rsidRPr="00576B1F">
          <w:rPr>
            <w:rFonts w:eastAsiaTheme="minorEastAsia"/>
            <w:kern w:val="2"/>
            <w:lang w:val="en-US"/>
            <w14:ligatures w14:val="standardContextual"/>
          </w:rPr>
          <w:tab/>
        </w:r>
        <w:r w:rsidRPr="00576B1F">
          <w:rPr>
            <w:rStyle w:val="Hyperlink"/>
          </w:rPr>
          <w:t>Voltage Support Service Payments</w:t>
        </w:r>
        <w:r w:rsidRPr="00576B1F">
          <w:rPr>
            <w:webHidden/>
          </w:rPr>
          <w:tab/>
        </w:r>
        <w:r w:rsidRPr="00576B1F">
          <w:rPr>
            <w:webHidden/>
          </w:rPr>
          <w:fldChar w:fldCharType="begin"/>
        </w:r>
        <w:r w:rsidRPr="00576B1F">
          <w:rPr>
            <w:webHidden/>
          </w:rPr>
          <w:instrText xml:space="preserve"> PAGEREF _Toc214879007 \h </w:instrText>
        </w:r>
        <w:r w:rsidRPr="00576B1F">
          <w:rPr>
            <w:webHidden/>
          </w:rPr>
        </w:r>
        <w:r w:rsidRPr="00576B1F">
          <w:rPr>
            <w:webHidden/>
          </w:rPr>
          <w:fldChar w:fldCharType="separate"/>
        </w:r>
        <w:r w:rsidR="00343E89">
          <w:rPr>
            <w:webHidden/>
          </w:rPr>
          <w:t>6-240</w:t>
        </w:r>
        <w:r w:rsidRPr="00576B1F">
          <w:rPr>
            <w:webHidden/>
          </w:rPr>
          <w:fldChar w:fldCharType="end"/>
        </w:r>
      </w:hyperlink>
    </w:p>
    <w:p w14:paraId="7DA6E965" w14:textId="2866FD4B" w:rsidR="00576B1F" w:rsidRPr="00576B1F" w:rsidRDefault="00576B1F">
      <w:pPr>
        <w:pStyle w:val="TOC4"/>
        <w:rPr>
          <w:rFonts w:eastAsiaTheme="minorEastAsia"/>
          <w:kern w:val="2"/>
          <w:lang w:val="en-US"/>
          <w14:ligatures w14:val="standardContextual"/>
        </w:rPr>
      </w:pPr>
      <w:hyperlink w:anchor="_Toc214879008" w:history="1">
        <w:r w:rsidRPr="00576B1F">
          <w:rPr>
            <w:rStyle w:val="Hyperlink"/>
          </w:rPr>
          <w:t>6.6.7.2</w:t>
        </w:r>
        <w:r w:rsidRPr="00576B1F">
          <w:rPr>
            <w:rFonts w:eastAsiaTheme="minorEastAsia"/>
            <w:kern w:val="2"/>
            <w:lang w:val="en-US"/>
            <w14:ligatures w14:val="standardContextual"/>
          </w:rPr>
          <w:tab/>
        </w:r>
        <w:r w:rsidRPr="00576B1F">
          <w:rPr>
            <w:rStyle w:val="Hyperlink"/>
          </w:rPr>
          <w:t>Voltage Support Charge</w:t>
        </w:r>
        <w:r w:rsidRPr="00576B1F">
          <w:rPr>
            <w:webHidden/>
          </w:rPr>
          <w:tab/>
        </w:r>
        <w:r w:rsidRPr="00576B1F">
          <w:rPr>
            <w:webHidden/>
          </w:rPr>
          <w:fldChar w:fldCharType="begin"/>
        </w:r>
        <w:r w:rsidRPr="00576B1F">
          <w:rPr>
            <w:webHidden/>
          </w:rPr>
          <w:instrText xml:space="preserve"> PAGEREF _Toc214879008 \h </w:instrText>
        </w:r>
        <w:r w:rsidRPr="00576B1F">
          <w:rPr>
            <w:webHidden/>
          </w:rPr>
        </w:r>
        <w:r w:rsidRPr="00576B1F">
          <w:rPr>
            <w:webHidden/>
          </w:rPr>
          <w:fldChar w:fldCharType="separate"/>
        </w:r>
        <w:r w:rsidR="00343E89">
          <w:rPr>
            <w:webHidden/>
          </w:rPr>
          <w:t>6-244</w:t>
        </w:r>
        <w:r w:rsidRPr="00576B1F">
          <w:rPr>
            <w:webHidden/>
          </w:rPr>
          <w:fldChar w:fldCharType="end"/>
        </w:r>
      </w:hyperlink>
    </w:p>
    <w:p w14:paraId="0754CC9E" w14:textId="5B2DFD0B" w:rsidR="00576B1F" w:rsidRPr="00576B1F" w:rsidRDefault="00576B1F">
      <w:pPr>
        <w:pStyle w:val="TOC3"/>
        <w:rPr>
          <w:rFonts w:eastAsiaTheme="minorEastAsia"/>
          <w:i w:val="0"/>
          <w:iCs w:val="0"/>
          <w:kern w:val="2"/>
          <w14:ligatures w14:val="standardContextual"/>
        </w:rPr>
      </w:pPr>
      <w:hyperlink w:anchor="_Toc214879009" w:history="1">
        <w:r w:rsidRPr="00576B1F">
          <w:rPr>
            <w:rStyle w:val="Hyperlink"/>
            <w:i w:val="0"/>
            <w:iCs w:val="0"/>
          </w:rPr>
          <w:t>6.6.8</w:t>
        </w:r>
        <w:r w:rsidRPr="00576B1F">
          <w:rPr>
            <w:rFonts w:eastAsiaTheme="minorEastAsia"/>
            <w:i w:val="0"/>
            <w:iCs w:val="0"/>
            <w:kern w:val="2"/>
            <w14:ligatures w14:val="standardContextual"/>
          </w:rPr>
          <w:tab/>
        </w:r>
        <w:r w:rsidRPr="00576B1F">
          <w:rPr>
            <w:rStyle w:val="Hyperlink"/>
            <w:i w:val="0"/>
            <w:iCs w:val="0"/>
          </w:rPr>
          <w:t>Black Start Capacity</w:t>
        </w:r>
        <w:r w:rsidRPr="00576B1F">
          <w:rPr>
            <w:i w:val="0"/>
            <w:iCs w:val="0"/>
            <w:webHidden/>
          </w:rPr>
          <w:tab/>
        </w:r>
        <w:r w:rsidRPr="00576B1F">
          <w:rPr>
            <w:i w:val="0"/>
            <w:iCs w:val="0"/>
            <w:webHidden/>
          </w:rPr>
          <w:fldChar w:fldCharType="begin"/>
        </w:r>
        <w:r w:rsidRPr="00576B1F">
          <w:rPr>
            <w:i w:val="0"/>
            <w:iCs w:val="0"/>
            <w:webHidden/>
          </w:rPr>
          <w:instrText xml:space="preserve"> PAGEREF _Toc214879009 \h </w:instrText>
        </w:r>
        <w:r w:rsidRPr="00576B1F">
          <w:rPr>
            <w:i w:val="0"/>
            <w:iCs w:val="0"/>
            <w:webHidden/>
          </w:rPr>
        </w:r>
        <w:r w:rsidRPr="00576B1F">
          <w:rPr>
            <w:i w:val="0"/>
            <w:iCs w:val="0"/>
            <w:webHidden/>
          </w:rPr>
          <w:fldChar w:fldCharType="separate"/>
        </w:r>
        <w:r w:rsidR="00343E89">
          <w:rPr>
            <w:i w:val="0"/>
            <w:iCs w:val="0"/>
            <w:webHidden/>
          </w:rPr>
          <w:t>6-245</w:t>
        </w:r>
        <w:r w:rsidRPr="00576B1F">
          <w:rPr>
            <w:i w:val="0"/>
            <w:iCs w:val="0"/>
            <w:webHidden/>
          </w:rPr>
          <w:fldChar w:fldCharType="end"/>
        </w:r>
      </w:hyperlink>
    </w:p>
    <w:p w14:paraId="5B3A85DD" w14:textId="50E1AA07" w:rsidR="00576B1F" w:rsidRPr="00576B1F" w:rsidRDefault="00576B1F">
      <w:pPr>
        <w:pStyle w:val="TOC4"/>
        <w:rPr>
          <w:rFonts w:eastAsiaTheme="minorEastAsia"/>
          <w:kern w:val="2"/>
          <w:lang w:val="en-US"/>
          <w14:ligatures w14:val="standardContextual"/>
        </w:rPr>
      </w:pPr>
      <w:hyperlink w:anchor="_Toc214879010" w:history="1">
        <w:r w:rsidRPr="00576B1F">
          <w:rPr>
            <w:rStyle w:val="Hyperlink"/>
          </w:rPr>
          <w:t>6.6.8.1</w:t>
        </w:r>
        <w:r w:rsidRPr="00576B1F">
          <w:rPr>
            <w:rFonts w:eastAsiaTheme="minorEastAsia"/>
            <w:kern w:val="2"/>
            <w:lang w:val="en-US"/>
            <w14:ligatures w14:val="standardContextual"/>
          </w:rPr>
          <w:tab/>
        </w:r>
        <w:r w:rsidRPr="00576B1F">
          <w:rPr>
            <w:rStyle w:val="Hyperlink"/>
          </w:rPr>
          <w:t>Black Start Hourly Standby Fee Payment</w:t>
        </w:r>
        <w:r w:rsidRPr="00576B1F">
          <w:rPr>
            <w:webHidden/>
          </w:rPr>
          <w:tab/>
        </w:r>
        <w:r w:rsidRPr="00576B1F">
          <w:rPr>
            <w:webHidden/>
          </w:rPr>
          <w:fldChar w:fldCharType="begin"/>
        </w:r>
        <w:r w:rsidRPr="00576B1F">
          <w:rPr>
            <w:webHidden/>
          </w:rPr>
          <w:instrText xml:space="preserve"> PAGEREF _Toc214879010 \h </w:instrText>
        </w:r>
        <w:r w:rsidRPr="00576B1F">
          <w:rPr>
            <w:webHidden/>
          </w:rPr>
        </w:r>
        <w:r w:rsidRPr="00576B1F">
          <w:rPr>
            <w:webHidden/>
          </w:rPr>
          <w:fldChar w:fldCharType="separate"/>
        </w:r>
        <w:r w:rsidR="00343E89">
          <w:rPr>
            <w:webHidden/>
          </w:rPr>
          <w:t>6-245</w:t>
        </w:r>
        <w:r w:rsidRPr="00576B1F">
          <w:rPr>
            <w:webHidden/>
          </w:rPr>
          <w:fldChar w:fldCharType="end"/>
        </w:r>
      </w:hyperlink>
    </w:p>
    <w:p w14:paraId="6F2E5F86" w14:textId="3A7A9C1E" w:rsidR="00576B1F" w:rsidRPr="00576B1F" w:rsidRDefault="00576B1F">
      <w:pPr>
        <w:pStyle w:val="TOC4"/>
        <w:rPr>
          <w:rFonts w:eastAsiaTheme="minorEastAsia"/>
          <w:kern w:val="2"/>
          <w:lang w:val="en-US"/>
          <w14:ligatures w14:val="standardContextual"/>
        </w:rPr>
      </w:pPr>
      <w:hyperlink w:anchor="_Toc214879011" w:history="1">
        <w:r w:rsidRPr="00576B1F">
          <w:rPr>
            <w:rStyle w:val="Hyperlink"/>
          </w:rPr>
          <w:t>6.6.8.2</w:t>
        </w:r>
        <w:r w:rsidRPr="00576B1F">
          <w:rPr>
            <w:rFonts w:eastAsiaTheme="minorEastAsia"/>
            <w:kern w:val="2"/>
            <w:lang w:val="en-US"/>
            <w14:ligatures w14:val="standardContextual"/>
          </w:rPr>
          <w:tab/>
        </w:r>
        <w:r w:rsidRPr="00576B1F">
          <w:rPr>
            <w:rStyle w:val="Hyperlink"/>
          </w:rPr>
          <w:t>Black Start Capacity Charge</w:t>
        </w:r>
        <w:r w:rsidRPr="00576B1F">
          <w:rPr>
            <w:webHidden/>
          </w:rPr>
          <w:tab/>
        </w:r>
        <w:r w:rsidRPr="00576B1F">
          <w:rPr>
            <w:webHidden/>
          </w:rPr>
          <w:fldChar w:fldCharType="begin"/>
        </w:r>
        <w:r w:rsidRPr="00576B1F">
          <w:rPr>
            <w:webHidden/>
          </w:rPr>
          <w:instrText xml:space="preserve"> PAGEREF _Toc214879011 \h </w:instrText>
        </w:r>
        <w:r w:rsidRPr="00576B1F">
          <w:rPr>
            <w:webHidden/>
          </w:rPr>
        </w:r>
        <w:r w:rsidRPr="00576B1F">
          <w:rPr>
            <w:webHidden/>
          </w:rPr>
          <w:fldChar w:fldCharType="separate"/>
        </w:r>
        <w:r w:rsidR="00343E89">
          <w:rPr>
            <w:webHidden/>
          </w:rPr>
          <w:t>6-247</w:t>
        </w:r>
        <w:r w:rsidRPr="00576B1F">
          <w:rPr>
            <w:webHidden/>
          </w:rPr>
          <w:fldChar w:fldCharType="end"/>
        </w:r>
      </w:hyperlink>
    </w:p>
    <w:p w14:paraId="61139BA0" w14:textId="5E17BA68" w:rsidR="00576B1F" w:rsidRPr="00576B1F" w:rsidRDefault="00576B1F">
      <w:pPr>
        <w:pStyle w:val="TOC3"/>
        <w:rPr>
          <w:rFonts w:eastAsiaTheme="minorEastAsia"/>
          <w:i w:val="0"/>
          <w:iCs w:val="0"/>
          <w:kern w:val="2"/>
          <w14:ligatures w14:val="standardContextual"/>
        </w:rPr>
      </w:pPr>
      <w:hyperlink w:anchor="_Toc214879012" w:history="1">
        <w:r w:rsidRPr="00576B1F">
          <w:rPr>
            <w:rStyle w:val="Hyperlink"/>
            <w:i w:val="0"/>
            <w:iCs w:val="0"/>
          </w:rPr>
          <w:t>6.6.9</w:t>
        </w:r>
        <w:r w:rsidRPr="00576B1F">
          <w:rPr>
            <w:rFonts w:eastAsiaTheme="minorEastAsia"/>
            <w:i w:val="0"/>
            <w:iCs w:val="0"/>
            <w:kern w:val="2"/>
            <w14:ligatures w14:val="standardContextual"/>
          </w:rPr>
          <w:tab/>
        </w:r>
        <w:r w:rsidRPr="00576B1F">
          <w:rPr>
            <w:rStyle w:val="Hyperlink"/>
            <w:i w:val="0"/>
            <w:iCs w:val="0"/>
          </w:rPr>
          <w:t>Emergency Operations Settlement</w:t>
        </w:r>
        <w:r w:rsidRPr="00576B1F">
          <w:rPr>
            <w:i w:val="0"/>
            <w:iCs w:val="0"/>
            <w:webHidden/>
          </w:rPr>
          <w:tab/>
        </w:r>
        <w:r w:rsidRPr="00576B1F">
          <w:rPr>
            <w:i w:val="0"/>
            <w:iCs w:val="0"/>
            <w:webHidden/>
          </w:rPr>
          <w:fldChar w:fldCharType="begin"/>
        </w:r>
        <w:r w:rsidRPr="00576B1F">
          <w:rPr>
            <w:i w:val="0"/>
            <w:iCs w:val="0"/>
            <w:webHidden/>
          </w:rPr>
          <w:instrText xml:space="preserve"> PAGEREF _Toc214879012 \h </w:instrText>
        </w:r>
        <w:r w:rsidRPr="00576B1F">
          <w:rPr>
            <w:i w:val="0"/>
            <w:iCs w:val="0"/>
            <w:webHidden/>
          </w:rPr>
        </w:r>
        <w:r w:rsidRPr="00576B1F">
          <w:rPr>
            <w:i w:val="0"/>
            <w:iCs w:val="0"/>
            <w:webHidden/>
          </w:rPr>
          <w:fldChar w:fldCharType="separate"/>
        </w:r>
        <w:r w:rsidR="00343E89">
          <w:rPr>
            <w:i w:val="0"/>
            <w:iCs w:val="0"/>
            <w:webHidden/>
          </w:rPr>
          <w:t>6-247</w:t>
        </w:r>
        <w:r w:rsidRPr="00576B1F">
          <w:rPr>
            <w:i w:val="0"/>
            <w:iCs w:val="0"/>
            <w:webHidden/>
          </w:rPr>
          <w:fldChar w:fldCharType="end"/>
        </w:r>
      </w:hyperlink>
    </w:p>
    <w:p w14:paraId="48464462" w14:textId="3362BC85" w:rsidR="00576B1F" w:rsidRPr="00576B1F" w:rsidRDefault="00576B1F">
      <w:pPr>
        <w:pStyle w:val="TOC4"/>
        <w:rPr>
          <w:rFonts w:eastAsiaTheme="minorEastAsia"/>
          <w:kern w:val="2"/>
          <w:lang w:val="en-US"/>
          <w14:ligatures w14:val="standardContextual"/>
        </w:rPr>
      </w:pPr>
      <w:hyperlink w:anchor="_Toc214879013" w:history="1">
        <w:r w:rsidRPr="00576B1F">
          <w:rPr>
            <w:rStyle w:val="Hyperlink"/>
            <w:snapToGrid w:val="0"/>
          </w:rPr>
          <w:t>6.6.9.1</w:t>
        </w:r>
        <w:r w:rsidRPr="00576B1F">
          <w:rPr>
            <w:rFonts w:eastAsiaTheme="minorEastAsia"/>
            <w:kern w:val="2"/>
            <w:lang w:val="en-US"/>
            <w14:ligatures w14:val="standardContextual"/>
          </w:rPr>
          <w:tab/>
        </w:r>
        <w:r w:rsidRPr="00576B1F">
          <w:rPr>
            <w:rStyle w:val="Hyperlink"/>
            <w:snapToGrid w:val="0"/>
          </w:rPr>
          <w:t>Payment for Emergency Operations Settlement</w:t>
        </w:r>
        <w:r w:rsidRPr="00576B1F">
          <w:rPr>
            <w:webHidden/>
          </w:rPr>
          <w:tab/>
        </w:r>
        <w:r w:rsidRPr="00576B1F">
          <w:rPr>
            <w:webHidden/>
          </w:rPr>
          <w:fldChar w:fldCharType="begin"/>
        </w:r>
        <w:r w:rsidRPr="00576B1F">
          <w:rPr>
            <w:webHidden/>
          </w:rPr>
          <w:instrText xml:space="preserve"> PAGEREF _Toc214879013 \h </w:instrText>
        </w:r>
        <w:r w:rsidRPr="00576B1F">
          <w:rPr>
            <w:webHidden/>
          </w:rPr>
        </w:r>
        <w:r w:rsidRPr="00576B1F">
          <w:rPr>
            <w:webHidden/>
          </w:rPr>
          <w:fldChar w:fldCharType="separate"/>
        </w:r>
        <w:r w:rsidR="00343E89">
          <w:rPr>
            <w:webHidden/>
          </w:rPr>
          <w:t>6-250</w:t>
        </w:r>
        <w:r w:rsidRPr="00576B1F">
          <w:rPr>
            <w:webHidden/>
          </w:rPr>
          <w:fldChar w:fldCharType="end"/>
        </w:r>
      </w:hyperlink>
    </w:p>
    <w:p w14:paraId="4ABA35B9" w14:textId="2857D3E2" w:rsidR="00576B1F" w:rsidRPr="00576B1F" w:rsidRDefault="00576B1F">
      <w:pPr>
        <w:pStyle w:val="TOC4"/>
        <w:rPr>
          <w:rFonts w:eastAsiaTheme="minorEastAsia"/>
          <w:kern w:val="2"/>
          <w:lang w:val="en-US"/>
          <w14:ligatures w14:val="standardContextual"/>
        </w:rPr>
      </w:pPr>
      <w:hyperlink w:anchor="_Toc214879014" w:history="1">
        <w:r w:rsidRPr="00576B1F">
          <w:rPr>
            <w:rStyle w:val="Hyperlink"/>
            <w:snapToGrid w:val="0"/>
          </w:rPr>
          <w:t>6.6.9.2</w:t>
        </w:r>
        <w:r w:rsidRPr="00576B1F">
          <w:rPr>
            <w:rFonts w:eastAsiaTheme="minorEastAsia"/>
            <w:kern w:val="2"/>
            <w:lang w:val="en-US"/>
            <w14:ligatures w14:val="standardContextual"/>
          </w:rPr>
          <w:tab/>
        </w:r>
        <w:r w:rsidRPr="00576B1F">
          <w:rPr>
            <w:rStyle w:val="Hyperlink"/>
            <w:snapToGrid w:val="0"/>
          </w:rPr>
          <w:t>Charge for Emergency Operations Settlement</w:t>
        </w:r>
        <w:r w:rsidRPr="00576B1F">
          <w:rPr>
            <w:webHidden/>
          </w:rPr>
          <w:tab/>
        </w:r>
        <w:r w:rsidRPr="00576B1F">
          <w:rPr>
            <w:webHidden/>
          </w:rPr>
          <w:fldChar w:fldCharType="begin"/>
        </w:r>
        <w:r w:rsidRPr="00576B1F">
          <w:rPr>
            <w:webHidden/>
          </w:rPr>
          <w:instrText xml:space="preserve"> PAGEREF _Toc214879014 \h </w:instrText>
        </w:r>
        <w:r w:rsidRPr="00576B1F">
          <w:rPr>
            <w:webHidden/>
          </w:rPr>
        </w:r>
        <w:r w:rsidRPr="00576B1F">
          <w:rPr>
            <w:webHidden/>
          </w:rPr>
          <w:fldChar w:fldCharType="separate"/>
        </w:r>
        <w:r w:rsidR="00343E89">
          <w:rPr>
            <w:webHidden/>
          </w:rPr>
          <w:t>6-261</w:t>
        </w:r>
        <w:r w:rsidRPr="00576B1F">
          <w:rPr>
            <w:webHidden/>
          </w:rPr>
          <w:fldChar w:fldCharType="end"/>
        </w:r>
      </w:hyperlink>
    </w:p>
    <w:p w14:paraId="64ABD70B" w14:textId="7AE3B769" w:rsidR="00576B1F" w:rsidRPr="00576B1F" w:rsidRDefault="00576B1F">
      <w:pPr>
        <w:pStyle w:val="TOC3"/>
        <w:rPr>
          <w:rFonts w:eastAsiaTheme="minorEastAsia"/>
          <w:i w:val="0"/>
          <w:iCs w:val="0"/>
          <w:kern w:val="2"/>
          <w14:ligatures w14:val="standardContextual"/>
        </w:rPr>
      </w:pPr>
      <w:hyperlink w:anchor="_Toc214879015" w:history="1">
        <w:r w:rsidRPr="00576B1F">
          <w:rPr>
            <w:rStyle w:val="Hyperlink"/>
            <w:i w:val="0"/>
            <w:iCs w:val="0"/>
          </w:rPr>
          <w:t>6.6.10</w:t>
        </w:r>
        <w:r w:rsidRPr="00576B1F">
          <w:rPr>
            <w:rFonts w:eastAsiaTheme="minorEastAsia"/>
            <w:i w:val="0"/>
            <w:iCs w:val="0"/>
            <w:kern w:val="2"/>
            <w14:ligatures w14:val="standardContextual"/>
          </w:rPr>
          <w:tab/>
        </w:r>
        <w:r w:rsidRPr="00576B1F">
          <w:rPr>
            <w:rStyle w:val="Hyperlink"/>
            <w:i w:val="0"/>
            <w:iCs w:val="0"/>
          </w:rPr>
          <w:t>Real-Time Revenue Neutrality Allocation</w:t>
        </w:r>
        <w:r w:rsidRPr="00576B1F">
          <w:rPr>
            <w:i w:val="0"/>
            <w:iCs w:val="0"/>
            <w:webHidden/>
          </w:rPr>
          <w:tab/>
        </w:r>
        <w:r w:rsidRPr="00576B1F">
          <w:rPr>
            <w:i w:val="0"/>
            <w:iCs w:val="0"/>
            <w:webHidden/>
          </w:rPr>
          <w:fldChar w:fldCharType="begin"/>
        </w:r>
        <w:r w:rsidRPr="00576B1F">
          <w:rPr>
            <w:i w:val="0"/>
            <w:iCs w:val="0"/>
            <w:webHidden/>
          </w:rPr>
          <w:instrText xml:space="preserve"> PAGEREF _Toc214879015 \h </w:instrText>
        </w:r>
        <w:r w:rsidRPr="00576B1F">
          <w:rPr>
            <w:i w:val="0"/>
            <w:iCs w:val="0"/>
            <w:webHidden/>
          </w:rPr>
        </w:r>
        <w:r w:rsidRPr="00576B1F">
          <w:rPr>
            <w:i w:val="0"/>
            <w:iCs w:val="0"/>
            <w:webHidden/>
          </w:rPr>
          <w:fldChar w:fldCharType="separate"/>
        </w:r>
        <w:r w:rsidR="00343E89">
          <w:rPr>
            <w:i w:val="0"/>
            <w:iCs w:val="0"/>
            <w:webHidden/>
          </w:rPr>
          <w:t>6-262</w:t>
        </w:r>
        <w:r w:rsidRPr="00576B1F">
          <w:rPr>
            <w:i w:val="0"/>
            <w:iCs w:val="0"/>
            <w:webHidden/>
          </w:rPr>
          <w:fldChar w:fldCharType="end"/>
        </w:r>
      </w:hyperlink>
    </w:p>
    <w:p w14:paraId="2F659CDC" w14:textId="5B7DC8AE" w:rsidR="00576B1F" w:rsidRPr="00576B1F" w:rsidRDefault="00576B1F">
      <w:pPr>
        <w:pStyle w:val="TOC3"/>
        <w:rPr>
          <w:rFonts w:eastAsiaTheme="minorEastAsia"/>
          <w:i w:val="0"/>
          <w:iCs w:val="0"/>
          <w:kern w:val="2"/>
          <w14:ligatures w14:val="standardContextual"/>
        </w:rPr>
      </w:pPr>
      <w:hyperlink w:anchor="_Toc214879016" w:history="1">
        <w:r w:rsidRPr="00576B1F">
          <w:rPr>
            <w:rStyle w:val="Hyperlink"/>
            <w:i w:val="0"/>
            <w:iCs w:val="0"/>
          </w:rPr>
          <w:t>6.6.11</w:t>
        </w:r>
        <w:r w:rsidRPr="00576B1F">
          <w:rPr>
            <w:rFonts w:eastAsiaTheme="minorEastAsia"/>
            <w:i w:val="0"/>
            <w:iCs w:val="0"/>
            <w:kern w:val="2"/>
            <w14:ligatures w14:val="standardContextual"/>
          </w:rPr>
          <w:tab/>
        </w:r>
        <w:r w:rsidRPr="00576B1F">
          <w:rPr>
            <w:rStyle w:val="Hyperlink"/>
            <w:i w:val="0"/>
            <w:iCs w:val="0"/>
          </w:rPr>
          <w:t>Emergency Response Service Capacity</w:t>
        </w:r>
        <w:r w:rsidRPr="00576B1F">
          <w:rPr>
            <w:i w:val="0"/>
            <w:iCs w:val="0"/>
            <w:webHidden/>
          </w:rPr>
          <w:tab/>
        </w:r>
        <w:r w:rsidRPr="00576B1F">
          <w:rPr>
            <w:i w:val="0"/>
            <w:iCs w:val="0"/>
            <w:webHidden/>
          </w:rPr>
          <w:fldChar w:fldCharType="begin"/>
        </w:r>
        <w:r w:rsidRPr="00576B1F">
          <w:rPr>
            <w:i w:val="0"/>
            <w:iCs w:val="0"/>
            <w:webHidden/>
          </w:rPr>
          <w:instrText xml:space="preserve"> PAGEREF _Toc214879016 \h </w:instrText>
        </w:r>
        <w:r w:rsidRPr="00576B1F">
          <w:rPr>
            <w:i w:val="0"/>
            <w:iCs w:val="0"/>
            <w:webHidden/>
          </w:rPr>
        </w:r>
        <w:r w:rsidRPr="00576B1F">
          <w:rPr>
            <w:i w:val="0"/>
            <w:iCs w:val="0"/>
            <w:webHidden/>
          </w:rPr>
          <w:fldChar w:fldCharType="separate"/>
        </w:r>
        <w:r w:rsidR="00343E89">
          <w:rPr>
            <w:i w:val="0"/>
            <w:iCs w:val="0"/>
            <w:webHidden/>
          </w:rPr>
          <w:t>6-268</w:t>
        </w:r>
        <w:r w:rsidRPr="00576B1F">
          <w:rPr>
            <w:i w:val="0"/>
            <w:iCs w:val="0"/>
            <w:webHidden/>
          </w:rPr>
          <w:fldChar w:fldCharType="end"/>
        </w:r>
      </w:hyperlink>
    </w:p>
    <w:p w14:paraId="683F71EC" w14:textId="763322C0" w:rsidR="00576B1F" w:rsidRPr="00576B1F" w:rsidRDefault="00576B1F">
      <w:pPr>
        <w:pStyle w:val="TOC4"/>
        <w:rPr>
          <w:rFonts w:eastAsiaTheme="minorEastAsia"/>
          <w:kern w:val="2"/>
          <w:lang w:val="en-US"/>
          <w14:ligatures w14:val="standardContextual"/>
        </w:rPr>
      </w:pPr>
      <w:hyperlink w:anchor="_Toc214879017" w:history="1">
        <w:r w:rsidRPr="00576B1F">
          <w:rPr>
            <w:rStyle w:val="Hyperlink"/>
          </w:rPr>
          <w:t>6.6.11.1</w:t>
        </w:r>
        <w:r w:rsidRPr="00576B1F">
          <w:rPr>
            <w:rFonts w:eastAsiaTheme="minorEastAsia"/>
            <w:kern w:val="2"/>
            <w:lang w:val="en-US"/>
            <w14:ligatures w14:val="standardContextual"/>
          </w:rPr>
          <w:tab/>
        </w:r>
        <w:r w:rsidRPr="00576B1F">
          <w:rPr>
            <w:rStyle w:val="Hyperlink"/>
          </w:rPr>
          <w:t>Emergency Response Service Capacity Payments</w:t>
        </w:r>
        <w:r w:rsidRPr="00576B1F">
          <w:rPr>
            <w:webHidden/>
          </w:rPr>
          <w:tab/>
        </w:r>
        <w:r w:rsidRPr="00576B1F">
          <w:rPr>
            <w:webHidden/>
          </w:rPr>
          <w:fldChar w:fldCharType="begin"/>
        </w:r>
        <w:r w:rsidRPr="00576B1F">
          <w:rPr>
            <w:webHidden/>
          </w:rPr>
          <w:instrText xml:space="preserve"> PAGEREF _Toc214879017 \h </w:instrText>
        </w:r>
        <w:r w:rsidRPr="00576B1F">
          <w:rPr>
            <w:webHidden/>
          </w:rPr>
        </w:r>
        <w:r w:rsidRPr="00576B1F">
          <w:rPr>
            <w:webHidden/>
          </w:rPr>
          <w:fldChar w:fldCharType="separate"/>
        </w:r>
        <w:r w:rsidR="00343E89">
          <w:rPr>
            <w:webHidden/>
          </w:rPr>
          <w:t>6-268</w:t>
        </w:r>
        <w:r w:rsidRPr="00576B1F">
          <w:rPr>
            <w:webHidden/>
          </w:rPr>
          <w:fldChar w:fldCharType="end"/>
        </w:r>
      </w:hyperlink>
    </w:p>
    <w:p w14:paraId="650247F1" w14:textId="7E86C80E" w:rsidR="00576B1F" w:rsidRPr="00576B1F" w:rsidRDefault="00576B1F">
      <w:pPr>
        <w:pStyle w:val="TOC4"/>
        <w:rPr>
          <w:rFonts w:eastAsiaTheme="minorEastAsia"/>
          <w:kern w:val="2"/>
          <w:lang w:val="en-US"/>
          <w14:ligatures w14:val="standardContextual"/>
        </w:rPr>
      </w:pPr>
      <w:hyperlink w:anchor="_Toc214879018" w:history="1">
        <w:r w:rsidRPr="00576B1F">
          <w:rPr>
            <w:rStyle w:val="Hyperlink"/>
          </w:rPr>
          <w:t>6.6.11.2</w:t>
        </w:r>
        <w:r w:rsidRPr="00576B1F">
          <w:rPr>
            <w:rFonts w:eastAsiaTheme="minorEastAsia"/>
            <w:kern w:val="2"/>
            <w:lang w:val="en-US"/>
            <w14:ligatures w14:val="standardContextual"/>
          </w:rPr>
          <w:tab/>
        </w:r>
        <w:r w:rsidRPr="00576B1F">
          <w:rPr>
            <w:rStyle w:val="Hyperlink"/>
          </w:rPr>
          <w:t>Emergency Response Service Capacity Charge</w:t>
        </w:r>
        <w:r w:rsidRPr="00576B1F">
          <w:rPr>
            <w:webHidden/>
          </w:rPr>
          <w:tab/>
        </w:r>
        <w:r w:rsidRPr="00576B1F">
          <w:rPr>
            <w:webHidden/>
          </w:rPr>
          <w:fldChar w:fldCharType="begin"/>
        </w:r>
        <w:r w:rsidRPr="00576B1F">
          <w:rPr>
            <w:webHidden/>
          </w:rPr>
          <w:instrText xml:space="preserve"> PAGEREF _Toc214879018 \h </w:instrText>
        </w:r>
        <w:r w:rsidRPr="00576B1F">
          <w:rPr>
            <w:webHidden/>
          </w:rPr>
        </w:r>
        <w:r w:rsidRPr="00576B1F">
          <w:rPr>
            <w:webHidden/>
          </w:rPr>
          <w:fldChar w:fldCharType="separate"/>
        </w:r>
        <w:r w:rsidR="00343E89">
          <w:rPr>
            <w:webHidden/>
          </w:rPr>
          <w:t>6-273</w:t>
        </w:r>
        <w:r w:rsidRPr="00576B1F">
          <w:rPr>
            <w:webHidden/>
          </w:rPr>
          <w:fldChar w:fldCharType="end"/>
        </w:r>
      </w:hyperlink>
    </w:p>
    <w:p w14:paraId="238EE742" w14:textId="158F93A7" w:rsidR="00576B1F" w:rsidRPr="00576B1F" w:rsidRDefault="00576B1F">
      <w:pPr>
        <w:pStyle w:val="TOC3"/>
        <w:rPr>
          <w:rFonts w:eastAsiaTheme="minorEastAsia"/>
          <w:i w:val="0"/>
          <w:iCs w:val="0"/>
          <w:kern w:val="2"/>
          <w14:ligatures w14:val="standardContextual"/>
        </w:rPr>
      </w:pPr>
      <w:hyperlink w:anchor="_Toc214879019" w:history="1">
        <w:r w:rsidRPr="00576B1F">
          <w:rPr>
            <w:rStyle w:val="Hyperlink"/>
            <w:i w:val="0"/>
            <w:iCs w:val="0"/>
          </w:rPr>
          <w:t>6.6.12</w:t>
        </w:r>
        <w:r w:rsidRPr="00576B1F">
          <w:rPr>
            <w:rFonts w:eastAsiaTheme="minorEastAsia"/>
            <w:i w:val="0"/>
            <w:iCs w:val="0"/>
            <w:kern w:val="2"/>
            <w14:ligatures w14:val="standardContextual"/>
          </w:rPr>
          <w:tab/>
        </w:r>
        <w:r w:rsidRPr="00576B1F">
          <w:rPr>
            <w:rStyle w:val="Hyperlink"/>
            <w:i w:val="0"/>
            <w:iCs w:val="0"/>
          </w:rPr>
          <w:t>Make-Whole Payment for Switchable Generation Resources Committed for Energy Emergency Alert (EEA)</w:t>
        </w:r>
        <w:r w:rsidRPr="00576B1F">
          <w:rPr>
            <w:i w:val="0"/>
            <w:iCs w:val="0"/>
            <w:webHidden/>
          </w:rPr>
          <w:tab/>
        </w:r>
        <w:r w:rsidRPr="00576B1F">
          <w:rPr>
            <w:i w:val="0"/>
            <w:iCs w:val="0"/>
            <w:webHidden/>
          </w:rPr>
          <w:fldChar w:fldCharType="begin"/>
        </w:r>
        <w:r w:rsidRPr="00576B1F">
          <w:rPr>
            <w:i w:val="0"/>
            <w:iCs w:val="0"/>
            <w:webHidden/>
          </w:rPr>
          <w:instrText xml:space="preserve"> PAGEREF _Toc214879019 \h </w:instrText>
        </w:r>
        <w:r w:rsidRPr="00576B1F">
          <w:rPr>
            <w:i w:val="0"/>
            <w:iCs w:val="0"/>
            <w:webHidden/>
          </w:rPr>
        </w:r>
        <w:r w:rsidRPr="00576B1F">
          <w:rPr>
            <w:i w:val="0"/>
            <w:iCs w:val="0"/>
            <w:webHidden/>
          </w:rPr>
          <w:fldChar w:fldCharType="separate"/>
        </w:r>
        <w:r w:rsidR="00343E89">
          <w:rPr>
            <w:i w:val="0"/>
            <w:iCs w:val="0"/>
            <w:webHidden/>
          </w:rPr>
          <w:t>6-274</w:t>
        </w:r>
        <w:r w:rsidRPr="00576B1F">
          <w:rPr>
            <w:i w:val="0"/>
            <w:iCs w:val="0"/>
            <w:webHidden/>
          </w:rPr>
          <w:fldChar w:fldCharType="end"/>
        </w:r>
      </w:hyperlink>
    </w:p>
    <w:p w14:paraId="3C4A885F" w14:textId="3C25E8F0" w:rsidR="00576B1F" w:rsidRPr="00576B1F" w:rsidRDefault="00576B1F">
      <w:pPr>
        <w:pStyle w:val="TOC4"/>
        <w:rPr>
          <w:rFonts w:eastAsiaTheme="minorEastAsia"/>
          <w:kern w:val="2"/>
          <w:lang w:val="en-US"/>
          <w14:ligatures w14:val="standardContextual"/>
        </w:rPr>
      </w:pPr>
      <w:hyperlink w:anchor="_Toc214879020" w:history="1">
        <w:r w:rsidRPr="00576B1F">
          <w:rPr>
            <w:rStyle w:val="Hyperlink"/>
          </w:rPr>
          <w:t>6.6.12.1</w:t>
        </w:r>
        <w:r w:rsidRPr="00576B1F">
          <w:rPr>
            <w:rFonts w:eastAsiaTheme="minorEastAsia"/>
            <w:kern w:val="2"/>
            <w:lang w:val="en-US"/>
            <w14:ligatures w14:val="standardContextual"/>
          </w:rPr>
          <w:tab/>
        </w:r>
        <w:r w:rsidRPr="00576B1F">
          <w:rPr>
            <w:rStyle w:val="Hyperlink"/>
          </w:rPr>
          <w:t>Switchable Generation Make-Whole Payment</w:t>
        </w:r>
        <w:r w:rsidRPr="00576B1F">
          <w:rPr>
            <w:webHidden/>
          </w:rPr>
          <w:tab/>
        </w:r>
        <w:r w:rsidRPr="00576B1F">
          <w:rPr>
            <w:webHidden/>
          </w:rPr>
          <w:fldChar w:fldCharType="begin"/>
        </w:r>
        <w:r w:rsidRPr="00576B1F">
          <w:rPr>
            <w:webHidden/>
          </w:rPr>
          <w:instrText xml:space="preserve"> PAGEREF _Toc214879020 \h </w:instrText>
        </w:r>
        <w:r w:rsidRPr="00576B1F">
          <w:rPr>
            <w:webHidden/>
          </w:rPr>
        </w:r>
        <w:r w:rsidRPr="00576B1F">
          <w:rPr>
            <w:webHidden/>
          </w:rPr>
          <w:fldChar w:fldCharType="separate"/>
        </w:r>
        <w:r w:rsidR="00343E89">
          <w:rPr>
            <w:webHidden/>
          </w:rPr>
          <w:t>6-277</w:t>
        </w:r>
        <w:r w:rsidRPr="00576B1F">
          <w:rPr>
            <w:webHidden/>
          </w:rPr>
          <w:fldChar w:fldCharType="end"/>
        </w:r>
      </w:hyperlink>
    </w:p>
    <w:p w14:paraId="125E8399" w14:textId="1A045386" w:rsidR="00576B1F" w:rsidRPr="00576B1F" w:rsidRDefault="00576B1F">
      <w:pPr>
        <w:pStyle w:val="TOC4"/>
        <w:rPr>
          <w:rFonts w:eastAsiaTheme="minorEastAsia"/>
          <w:kern w:val="2"/>
          <w:lang w:val="en-US"/>
          <w14:ligatures w14:val="standardContextual"/>
        </w:rPr>
      </w:pPr>
      <w:hyperlink w:anchor="_Toc214879021" w:history="1">
        <w:r w:rsidRPr="00576B1F">
          <w:rPr>
            <w:rStyle w:val="Hyperlink"/>
          </w:rPr>
          <w:t>6.6.12.2</w:t>
        </w:r>
        <w:r w:rsidRPr="00576B1F">
          <w:rPr>
            <w:rFonts w:eastAsiaTheme="minorEastAsia"/>
            <w:kern w:val="2"/>
            <w:lang w:val="en-US"/>
            <w14:ligatures w14:val="standardContextual"/>
          </w:rPr>
          <w:tab/>
        </w:r>
        <w:r w:rsidRPr="00576B1F">
          <w:rPr>
            <w:rStyle w:val="Hyperlink"/>
          </w:rPr>
          <w:t>Switchable Generation Make-Whole Charge</w:t>
        </w:r>
        <w:r w:rsidRPr="00576B1F">
          <w:rPr>
            <w:webHidden/>
          </w:rPr>
          <w:tab/>
        </w:r>
        <w:r w:rsidRPr="00576B1F">
          <w:rPr>
            <w:webHidden/>
          </w:rPr>
          <w:fldChar w:fldCharType="begin"/>
        </w:r>
        <w:r w:rsidRPr="00576B1F">
          <w:rPr>
            <w:webHidden/>
          </w:rPr>
          <w:instrText xml:space="preserve"> PAGEREF _Toc214879021 \h </w:instrText>
        </w:r>
        <w:r w:rsidRPr="00576B1F">
          <w:rPr>
            <w:webHidden/>
          </w:rPr>
        </w:r>
        <w:r w:rsidRPr="00576B1F">
          <w:rPr>
            <w:webHidden/>
          </w:rPr>
          <w:fldChar w:fldCharType="separate"/>
        </w:r>
        <w:r w:rsidR="00343E89">
          <w:rPr>
            <w:webHidden/>
          </w:rPr>
          <w:t>6-285</w:t>
        </w:r>
        <w:r w:rsidRPr="00576B1F">
          <w:rPr>
            <w:webHidden/>
          </w:rPr>
          <w:fldChar w:fldCharType="end"/>
        </w:r>
      </w:hyperlink>
    </w:p>
    <w:p w14:paraId="4EEB4B50" w14:textId="5CE1C220" w:rsidR="00576B1F" w:rsidRPr="00576B1F" w:rsidRDefault="00576B1F">
      <w:pPr>
        <w:pStyle w:val="TOC4"/>
        <w:rPr>
          <w:rFonts w:eastAsiaTheme="minorEastAsia"/>
          <w:kern w:val="2"/>
          <w:lang w:val="en-US"/>
          <w14:ligatures w14:val="standardContextual"/>
        </w:rPr>
      </w:pPr>
      <w:hyperlink w:anchor="_Toc214879022" w:history="1">
        <w:r w:rsidRPr="00576B1F">
          <w:rPr>
            <w:rStyle w:val="Hyperlink"/>
          </w:rPr>
          <w:t>6.6.12.3</w:t>
        </w:r>
        <w:r w:rsidRPr="00576B1F">
          <w:rPr>
            <w:rFonts w:eastAsiaTheme="minorEastAsia"/>
            <w:kern w:val="2"/>
            <w:lang w:val="en-US"/>
            <w14:ligatures w14:val="standardContextual"/>
          </w:rPr>
          <w:tab/>
        </w:r>
        <w:r w:rsidRPr="00576B1F">
          <w:rPr>
            <w:rStyle w:val="Hyperlink"/>
          </w:rPr>
          <w:t>Miscellaneous Invoice for Switchable Generation Make-Whole Payments and Charges</w:t>
        </w:r>
        <w:r w:rsidRPr="00576B1F">
          <w:rPr>
            <w:webHidden/>
          </w:rPr>
          <w:tab/>
        </w:r>
        <w:r w:rsidRPr="00576B1F">
          <w:rPr>
            <w:webHidden/>
          </w:rPr>
          <w:fldChar w:fldCharType="begin"/>
        </w:r>
        <w:r w:rsidRPr="00576B1F">
          <w:rPr>
            <w:webHidden/>
          </w:rPr>
          <w:instrText xml:space="preserve"> PAGEREF _Toc214879022 \h </w:instrText>
        </w:r>
        <w:r w:rsidRPr="00576B1F">
          <w:rPr>
            <w:webHidden/>
          </w:rPr>
        </w:r>
        <w:r w:rsidRPr="00576B1F">
          <w:rPr>
            <w:webHidden/>
          </w:rPr>
          <w:fldChar w:fldCharType="separate"/>
        </w:r>
        <w:r w:rsidR="00343E89">
          <w:rPr>
            <w:webHidden/>
          </w:rPr>
          <w:t>6-285</w:t>
        </w:r>
        <w:r w:rsidRPr="00576B1F">
          <w:rPr>
            <w:webHidden/>
          </w:rPr>
          <w:fldChar w:fldCharType="end"/>
        </w:r>
      </w:hyperlink>
    </w:p>
    <w:p w14:paraId="33B527E3" w14:textId="1563F0C4" w:rsidR="00576B1F" w:rsidRPr="00576B1F" w:rsidRDefault="00576B1F">
      <w:pPr>
        <w:pStyle w:val="TOC3"/>
        <w:rPr>
          <w:rFonts w:eastAsiaTheme="minorEastAsia"/>
          <w:i w:val="0"/>
          <w:iCs w:val="0"/>
          <w:kern w:val="2"/>
          <w14:ligatures w14:val="standardContextual"/>
        </w:rPr>
      </w:pPr>
      <w:hyperlink w:anchor="_Toc214879023" w:history="1">
        <w:r w:rsidRPr="00576B1F">
          <w:rPr>
            <w:rStyle w:val="Hyperlink"/>
            <w:i w:val="0"/>
            <w:iCs w:val="0"/>
          </w:rPr>
          <w:t>6.6.13</w:t>
        </w:r>
        <w:r w:rsidRPr="00576B1F">
          <w:rPr>
            <w:rFonts w:eastAsiaTheme="minorEastAsia"/>
            <w:i w:val="0"/>
            <w:iCs w:val="0"/>
            <w:kern w:val="2"/>
            <w14:ligatures w14:val="standardContextual"/>
          </w:rPr>
          <w:tab/>
        </w:r>
        <w:r w:rsidRPr="00576B1F">
          <w:rPr>
            <w:rStyle w:val="Hyperlink"/>
            <w:i w:val="0"/>
            <w:iCs w:val="0"/>
          </w:rPr>
          <w:t>Wholesale Storage Load Reconciliation for ESRs Operating in a Private Microgrid Island</w:t>
        </w:r>
        <w:r w:rsidRPr="00576B1F">
          <w:rPr>
            <w:i w:val="0"/>
            <w:iCs w:val="0"/>
            <w:webHidden/>
          </w:rPr>
          <w:tab/>
        </w:r>
        <w:r w:rsidRPr="00576B1F">
          <w:rPr>
            <w:i w:val="0"/>
            <w:iCs w:val="0"/>
            <w:webHidden/>
          </w:rPr>
          <w:fldChar w:fldCharType="begin"/>
        </w:r>
        <w:r w:rsidRPr="00576B1F">
          <w:rPr>
            <w:i w:val="0"/>
            <w:iCs w:val="0"/>
            <w:webHidden/>
          </w:rPr>
          <w:instrText xml:space="preserve"> PAGEREF _Toc214879023 \h </w:instrText>
        </w:r>
        <w:r w:rsidRPr="00576B1F">
          <w:rPr>
            <w:i w:val="0"/>
            <w:iCs w:val="0"/>
            <w:webHidden/>
          </w:rPr>
        </w:r>
        <w:r w:rsidRPr="00576B1F">
          <w:rPr>
            <w:i w:val="0"/>
            <w:iCs w:val="0"/>
            <w:webHidden/>
          </w:rPr>
          <w:fldChar w:fldCharType="separate"/>
        </w:r>
        <w:r w:rsidR="00343E89">
          <w:rPr>
            <w:i w:val="0"/>
            <w:iCs w:val="0"/>
            <w:webHidden/>
          </w:rPr>
          <w:t>6-286</w:t>
        </w:r>
        <w:r w:rsidRPr="00576B1F">
          <w:rPr>
            <w:i w:val="0"/>
            <w:iCs w:val="0"/>
            <w:webHidden/>
          </w:rPr>
          <w:fldChar w:fldCharType="end"/>
        </w:r>
      </w:hyperlink>
    </w:p>
    <w:p w14:paraId="47C7F18D" w14:textId="6EEFA0AF" w:rsidR="00576B1F" w:rsidRPr="00576B1F" w:rsidRDefault="00576B1F">
      <w:pPr>
        <w:pStyle w:val="TOC3"/>
        <w:rPr>
          <w:rFonts w:eastAsiaTheme="minorEastAsia"/>
          <w:i w:val="0"/>
          <w:iCs w:val="0"/>
          <w:kern w:val="2"/>
          <w14:ligatures w14:val="standardContextual"/>
        </w:rPr>
      </w:pPr>
      <w:hyperlink w:anchor="_Toc214879024" w:history="1">
        <w:r w:rsidRPr="00576B1F">
          <w:rPr>
            <w:rStyle w:val="Hyperlink"/>
            <w:i w:val="0"/>
            <w:iCs w:val="0"/>
          </w:rPr>
          <w:t>6.6.14</w:t>
        </w:r>
        <w:r w:rsidRPr="00576B1F">
          <w:rPr>
            <w:rFonts w:eastAsiaTheme="minorEastAsia"/>
            <w:i w:val="0"/>
            <w:iCs w:val="0"/>
            <w:kern w:val="2"/>
            <w14:ligatures w14:val="standardContextual"/>
          </w:rPr>
          <w:tab/>
        </w:r>
        <w:r w:rsidRPr="00576B1F">
          <w:rPr>
            <w:rStyle w:val="Hyperlink"/>
            <w:i w:val="0"/>
            <w:iCs w:val="0"/>
          </w:rPr>
          <w:t>Firm Fuel Supply Service Capability</w:t>
        </w:r>
        <w:r w:rsidRPr="00576B1F">
          <w:rPr>
            <w:i w:val="0"/>
            <w:iCs w:val="0"/>
            <w:webHidden/>
          </w:rPr>
          <w:tab/>
        </w:r>
        <w:r w:rsidRPr="00576B1F">
          <w:rPr>
            <w:i w:val="0"/>
            <w:iCs w:val="0"/>
            <w:webHidden/>
          </w:rPr>
          <w:fldChar w:fldCharType="begin"/>
        </w:r>
        <w:r w:rsidRPr="00576B1F">
          <w:rPr>
            <w:i w:val="0"/>
            <w:iCs w:val="0"/>
            <w:webHidden/>
          </w:rPr>
          <w:instrText xml:space="preserve"> PAGEREF _Toc214879024 \h </w:instrText>
        </w:r>
        <w:r w:rsidRPr="00576B1F">
          <w:rPr>
            <w:i w:val="0"/>
            <w:iCs w:val="0"/>
            <w:webHidden/>
          </w:rPr>
        </w:r>
        <w:r w:rsidRPr="00576B1F">
          <w:rPr>
            <w:i w:val="0"/>
            <w:iCs w:val="0"/>
            <w:webHidden/>
          </w:rPr>
          <w:fldChar w:fldCharType="separate"/>
        </w:r>
        <w:r w:rsidR="00343E89">
          <w:rPr>
            <w:i w:val="0"/>
            <w:iCs w:val="0"/>
            <w:webHidden/>
          </w:rPr>
          <w:t>6-286</w:t>
        </w:r>
        <w:r w:rsidRPr="00576B1F">
          <w:rPr>
            <w:i w:val="0"/>
            <w:iCs w:val="0"/>
            <w:webHidden/>
          </w:rPr>
          <w:fldChar w:fldCharType="end"/>
        </w:r>
      </w:hyperlink>
    </w:p>
    <w:p w14:paraId="5C8A9001" w14:textId="528E597C" w:rsidR="00576B1F" w:rsidRPr="00576B1F" w:rsidRDefault="00576B1F">
      <w:pPr>
        <w:pStyle w:val="TOC4"/>
        <w:rPr>
          <w:rFonts w:eastAsiaTheme="minorEastAsia"/>
          <w:kern w:val="2"/>
          <w:lang w:val="en-US"/>
          <w14:ligatures w14:val="standardContextual"/>
        </w:rPr>
      </w:pPr>
      <w:hyperlink w:anchor="_Toc214879025" w:history="1">
        <w:r w:rsidRPr="00576B1F">
          <w:rPr>
            <w:rStyle w:val="Hyperlink"/>
          </w:rPr>
          <w:t>6.6.14.1</w:t>
        </w:r>
        <w:r w:rsidRPr="00576B1F">
          <w:rPr>
            <w:rFonts w:eastAsiaTheme="minorEastAsia"/>
            <w:kern w:val="2"/>
            <w:lang w:val="en-US"/>
            <w14:ligatures w14:val="standardContextual"/>
          </w:rPr>
          <w:tab/>
        </w:r>
        <w:r w:rsidRPr="00576B1F">
          <w:rPr>
            <w:rStyle w:val="Hyperlink"/>
          </w:rPr>
          <w:t>Firm Fuel Supply Service Fuel Replacement Costs Recovery</w:t>
        </w:r>
        <w:r w:rsidRPr="00576B1F">
          <w:rPr>
            <w:webHidden/>
          </w:rPr>
          <w:tab/>
        </w:r>
        <w:r w:rsidRPr="00576B1F">
          <w:rPr>
            <w:webHidden/>
          </w:rPr>
          <w:fldChar w:fldCharType="begin"/>
        </w:r>
        <w:r w:rsidRPr="00576B1F">
          <w:rPr>
            <w:webHidden/>
          </w:rPr>
          <w:instrText xml:space="preserve"> PAGEREF _Toc214879025 \h </w:instrText>
        </w:r>
        <w:r w:rsidRPr="00576B1F">
          <w:rPr>
            <w:webHidden/>
          </w:rPr>
        </w:r>
        <w:r w:rsidRPr="00576B1F">
          <w:rPr>
            <w:webHidden/>
          </w:rPr>
          <w:fldChar w:fldCharType="separate"/>
        </w:r>
        <w:r w:rsidR="00343E89">
          <w:rPr>
            <w:webHidden/>
          </w:rPr>
          <w:t>6-286</w:t>
        </w:r>
        <w:r w:rsidRPr="00576B1F">
          <w:rPr>
            <w:webHidden/>
          </w:rPr>
          <w:fldChar w:fldCharType="end"/>
        </w:r>
      </w:hyperlink>
    </w:p>
    <w:p w14:paraId="4AC351C7" w14:textId="29D3FDC8" w:rsidR="00576B1F" w:rsidRPr="00576B1F" w:rsidRDefault="00576B1F">
      <w:pPr>
        <w:pStyle w:val="TOC4"/>
        <w:rPr>
          <w:rFonts w:eastAsiaTheme="minorEastAsia"/>
          <w:kern w:val="2"/>
          <w:lang w:val="en-US"/>
          <w14:ligatures w14:val="standardContextual"/>
        </w:rPr>
      </w:pPr>
      <w:hyperlink w:anchor="_Toc214879026" w:history="1">
        <w:r w:rsidRPr="00576B1F">
          <w:rPr>
            <w:rStyle w:val="Hyperlink"/>
          </w:rPr>
          <w:t>6.6.14.2</w:t>
        </w:r>
        <w:r w:rsidRPr="00576B1F">
          <w:rPr>
            <w:rFonts w:eastAsiaTheme="minorEastAsia"/>
            <w:kern w:val="2"/>
            <w:lang w:val="en-US"/>
            <w14:ligatures w14:val="standardContextual"/>
          </w:rPr>
          <w:tab/>
        </w:r>
        <w:r w:rsidRPr="00576B1F">
          <w:rPr>
            <w:rStyle w:val="Hyperlink"/>
          </w:rPr>
          <w:t>Firm Fuel Supply Service Hourly Standby Fee Payment and Fuel Replacement Cost Recovery</w:t>
        </w:r>
        <w:r w:rsidRPr="00576B1F">
          <w:rPr>
            <w:webHidden/>
          </w:rPr>
          <w:tab/>
        </w:r>
        <w:r w:rsidRPr="00576B1F">
          <w:rPr>
            <w:webHidden/>
          </w:rPr>
          <w:fldChar w:fldCharType="begin"/>
        </w:r>
        <w:r w:rsidRPr="00576B1F">
          <w:rPr>
            <w:webHidden/>
          </w:rPr>
          <w:instrText xml:space="preserve"> PAGEREF _Toc214879026 \h </w:instrText>
        </w:r>
        <w:r w:rsidRPr="00576B1F">
          <w:rPr>
            <w:webHidden/>
          </w:rPr>
        </w:r>
        <w:r w:rsidRPr="00576B1F">
          <w:rPr>
            <w:webHidden/>
          </w:rPr>
          <w:fldChar w:fldCharType="separate"/>
        </w:r>
        <w:r w:rsidR="00343E89">
          <w:rPr>
            <w:webHidden/>
          </w:rPr>
          <w:t>6-288</w:t>
        </w:r>
        <w:r w:rsidRPr="00576B1F">
          <w:rPr>
            <w:webHidden/>
          </w:rPr>
          <w:fldChar w:fldCharType="end"/>
        </w:r>
      </w:hyperlink>
    </w:p>
    <w:p w14:paraId="422509D9" w14:textId="14AA10F0" w:rsidR="00576B1F" w:rsidRPr="00576B1F" w:rsidRDefault="00576B1F">
      <w:pPr>
        <w:pStyle w:val="TOC4"/>
        <w:rPr>
          <w:rFonts w:eastAsiaTheme="minorEastAsia"/>
          <w:kern w:val="2"/>
          <w:lang w:val="en-US"/>
          <w14:ligatures w14:val="standardContextual"/>
        </w:rPr>
      </w:pPr>
      <w:hyperlink w:anchor="_Toc214879027" w:history="1">
        <w:r w:rsidRPr="00576B1F">
          <w:rPr>
            <w:rStyle w:val="Hyperlink"/>
          </w:rPr>
          <w:t>6.6.14.3</w:t>
        </w:r>
        <w:r w:rsidRPr="00576B1F">
          <w:rPr>
            <w:rFonts w:eastAsiaTheme="minorEastAsia"/>
            <w:kern w:val="2"/>
            <w:lang w:val="en-US"/>
            <w14:ligatures w14:val="standardContextual"/>
          </w:rPr>
          <w:tab/>
        </w:r>
        <w:r w:rsidRPr="00576B1F">
          <w:rPr>
            <w:rStyle w:val="Hyperlink"/>
          </w:rPr>
          <w:t>Firm Fuel Supply Service Capacity Charge</w:t>
        </w:r>
        <w:r w:rsidRPr="00576B1F">
          <w:rPr>
            <w:webHidden/>
          </w:rPr>
          <w:tab/>
        </w:r>
        <w:r w:rsidRPr="00576B1F">
          <w:rPr>
            <w:webHidden/>
          </w:rPr>
          <w:fldChar w:fldCharType="begin"/>
        </w:r>
        <w:r w:rsidRPr="00576B1F">
          <w:rPr>
            <w:webHidden/>
          </w:rPr>
          <w:instrText xml:space="preserve"> PAGEREF _Toc214879027 \h </w:instrText>
        </w:r>
        <w:r w:rsidRPr="00576B1F">
          <w:rPr>
            <w:webHidden/>
          </w:rPr>
        </w:r>
        <w:r w:rsidRPr="00576B1F">
          <w:rPr>
            <w:webHidden/>
          </w:rPr>
          <w:fldChar w:fldCharType="separate"/>
        </w:r>
        <w:r w:rsidR="00343E89">
          <w:rPr>
            <w:webHidden/>
          </w:rPr>
          <w:t>6-292</w:t>
        </w:r>
        <w:r w:rsidRPr="00576B1F">
          <w:rPr>
            <w:webHidden/>
          </w:rPr>
          <w:fldChar w:fldCharType="end"/>
        </w:r>
      </w:hyperlink>
    </w:p>
    <w:p w14:paraId="21F79968" w14:textId="1828E5A5" w:rsidR="00576B1F" w:rsidRPr="00576B1F" w:rsidRDefault="00576B1F">
      <w:pPr>
        <w:pStyle w:val="TOC2"/>
        <w:rPr>
          <w:rFonts w:eastAsiaTheme="minorEastAsia"/>
          <w:noProof/>
          <w:kern w:val="2"/>
          <w14:ligatures w14:val="standardContextual"/>
        </w:rPr>
      </w:pPr>
      <w:hyperlink w:anchor="_Toc214879028" w:history="1">
        <w:r w:rsidRPr="00576B1F">
          <w:rPr>
            <w:rStyle w:val="Hyperlink"/>
            <w:noProof/>
          </w:rPr>
          <w:t>6.7</w:t>
        </w:r>
        <w:r w:rsidRPr="00576B1F">
          <w:rPr>
            <w:rFonts w:eastAsiaTheme="minorEastAsia"/>
            <w:noProof/>
            <w:kern w:val="2"/>
            <w14:ligatures w14:val="standardContextual"/>
          </w:rPr>
          <w:tab/>
        </w:r>
        <w:r w:rsidRPr="00576B1F">
          <w:rPr>
            <w:rStyle w:val="Hyperlink"/>
            <w:noProof/>
          </w:rPr>
          <w:t>Real-Time Settlement Calculations for the Ancillary Services</w:t>
        </w:r>
        <w:r w:rsidRPr="00576B1F">
          <w:rPr>
            <w:noProof/>
            <w:webHidden/>
          </w:rPr>
          <w:tab/>
        </w:r>
        <w:r w:rsidRPr="00576B1F">
          <w:rPr>
            <w:noProof/>
            <w:webHidden/>
          </w:rPr>
          <w:fldChar w:fldCharType="begin"/>
        </w:r>
        <w:r w:rsidRPr="00576B1F">
          <w:rPr>
            <w:noProof/>
            <w:webHidden/>
          </w:rPr>
          <w:instrText xml:space="preserve"> PAGEREF _Toc214879028 \h </w:instrText>
        </w:r>
        <w:r w:rsidRPr="00576B1F">
          <w:rPr>
            <w:noProof/>
            <w:webHidden/>
          </w:rPr>
        </w:r>
        <w:r w:rsidRPr="00576B1F">
          <w:rPr>
            <w:noProof/>
            <w:webHidden/>
          </w:rPr>
          <w:fldChar w:fldCharType="separate"/>
        </w:r>
        <w:r w:rsidR="00343E89">
          <w:rPr>
            <w:noProof/>
            <w:webHidden/>
          </w:rPr>
          <w:t>6-292</w:t>
        </w:r>
        <w:r w:rsidRPr="00576B1F">
          <w:rPr>
            <w:noProof/>
            <w:webHidden/>
          </w:rPr>
          <w:fldChar w:fldCharType="end"/>
        </w:r>
      </w:hyperlink>
    </w:p>
    <w:p w14:paraId="32C500E0" w14:textId="504296E5" w:rsidR="00576B1F" w:rsidRPr="00576B1F" w:rsidRDefault="00576B1F">
      <w:pPr>
        <w:pStyle w:val="TOC3"/>
        <w:rPr>
          <w:rFonts w:eastAsiaTheme="minorEastAsia"/>
          <w:i w:val="0"/>
          <w:iCs w:val="0"/>
          <w:kern w:val="2"/>
          <w14:ligatures w14:val="standardContextual"/>
        </w:rPr>
      </w:pPr>
      <w:hyperlink w:anchor="_Toc214879029" w:history="1">
        <w:r w:rsidRPr="00576B1F">
          <w:rPr>
            <w:rStyle w:val="Hyperlink"/>
            <w:i w:val="0"/>
            <w:iCs w:val="0"/>
          </w:rPr>
          <w:t>6.7.1</w:t>
        </w:r>
        <w:r w:rsidRPr="00576B1F">
          <w:rPr>
            <w:rFonts w:eastAsiaTheme="minorEastAsia"/>
            <w:i w:val="0"/>
            <w:iCs w:val="0"/>
            <w:kern w:val="2"/>
            <w14:ligatures w14:val="standardContextual"/>
          </w:rPr>
          <w:tab/>
        </w:r>
        <w:r w:rsidRPr="00576B1F">
          <w:rPr>
            <w:rStyle w:val="Hyperlink"/>
            <w:i w:val="0"/>
            <w:iCs w:val="0"/>
          </w:rPr>
          <w:t>Real-Time Settlement for Updated Day-Ahead Market Ancillary Service Obligations</w:t>
        </w:r>
        <w:r w:rsidRPr="00576B1F">
          <w:rPr>
            <w:i w:val="0"/>
            <w:iCs w:val="0"/>
            <w:webHidden/>
          </w:rPr>
          <w:tab/>
        </w:r>
        <w:r w:rsidRPr="00576B1F">
          <w:rPr>
            <w:i w:val="0"/>
            <w:iCs w:val="0"/>
            <w:webHidden/>
          </w:rPr>
          <w:fldChar w:fldCharType="begin"/>
        </w:r>
        <w:r w:rsidRPr="00576B1F">
          <w:rPr>
            <w:i w:val="0"/>
            <w:iCs w:val="0"/>
            <w:webHidden/>
          </w:rPr>
          <w:instrText xml:space="preserve"> PAGEREF _Toc214879029 \h </w:instrText>
        </w:r>
        <w:r w:rsidRPr="00576B1F">
          <w:rPr>
            <w:i w:val="0"/>
            <w:iCs w:val="0"/>
            <w:webHidden/>
          </w:rPr>
        </w:r>
        <w:r w:rsidRPr="00576B1F">
          <w:rPr>
            <w:i w:val="0"/>
            <w:iCs w:val="0"/>
            <w:webHidden/>
          </w:rPr>
          <w:fldChar w:fldCharType="separate"/>
        </w:r>
        <w:r w:rsidR="00343E89">
          <w:rPr>
            <w:i w:val="0"/>
            <w:iCs w:val="0"/>
            <w:webHidden/>
          </w:rPr>
          <w:t>6-292</w:t>
        </w:r>
        <w:r w:rsidRPr="00576B1F">
          <w:rPr>
            <w:i w:val="0"/>
            <w:iCs w:val="0"/>
            <w:webHidden/>
          </w:rPr>
          <w:fldChar w:fldCharType="end"/>
        </w:r>
      </w:hyperlink>
    </w:p>
    <w:p w14:paraId="4ABF5FE6" w14:textId="5333EADB" w:rsidR="00576B1F" w:rsidRPr="00576B1F" w:rsidRDefault="00576B1F">
      <w:pPr>
        <w:pStyle w:val="TOC3"/>
        <w:rPr>
          <w:rFonts w:eastAsiaTheme="minorEastAsia"/>
          <w:i w:val="0"/>
          <w:iCs w:val="0"/>
          <w:kern w:val="2"/>
          <w14:ligatures w14:val="standardContextual"/>
        </w:rPr>
      </w:pPr>
      <w:hyperlink w:anchor="_Toc214879030" w:history="1">
        <w:r w:rsidRPr="00576B1F">
          <w:rPr>
            <w:rStyle w:val="Hyperlink"/>
            <w:i w:val="0"/>
            <w:iCs w:val="0"/>
          </w:rPr>
          <w:t>6.7.2</w:t>
        </w:r>
        <w:r w:rsidRPr="00576B1F">
          <w:rPr>
            <w:rFonts w:eastAsiaTheme="minorEastAsia"/>
            <w:i w:val="0"/>
            <w:iCs w:val="0"/>
            <w:kern w:val="2"/>
            <w14:ligatures w14:val="standardContextual"/>
          </w:rPr>
          <w:tab/>
        </w:r>
        <w:r w:rsidRPr="00576B1F">
          <w:rPr>
            <w:rStyle w:val="Hyperlink"/>
            <w:i w:val="0"/>
            <w:iCs w:val="0"/>
          </w:rPr>
          <w:t>Real-Time Ancillary Service Charges and Payments</w:t>
        </w:r>
        <w:r w:rsidRPr="00576B1F">
          <w:rPr>
            <w:i w:val="0"/>
            <w:iCs w:val="0"/>
            <w:webHidden/>
          </w:rPr>
          <w:tab/>
        </w:r>
        <w:r w:rsidRPr="00576B1F">
          <w:rPr>
            <w:i w:val="0"/>
            <w:iCs w:val="0"/>
            <w:webHidden/>
          </w:rPr>
          <w:fldChar w:fldCharType="begin"/>
        </w:r>
        <w:r w:rsidRPr="00576B1F">
          <w:rPr>
            <w:i w:val="0"/>
            <w:iCs w:val="0"/>
            <w:webHidden/>
          </w:rPr>
          <w:instrText xml:space="preserve"> PAGEREF _Toc214879030 \h </w:instrText>
        </w:r>
        <w:r w:rsidRPr="00576B1F">
          <w:rPr>
            <w:i w:val="0"/>
            <w:iCs w:val="0"/>
            <w:webHidden/>
          </w:rPr>
        </w:r>
        <w:r w:rsidRPr="00576B1F">
          <w:rPr>
            <w:i w:val="0"/>
            <w:iCs w:val="0"/>
            <w:webHidden/>
          </w:rPr>
          <w:fldChar w:fldCharType="separate"/>
        </w:r>
        <w:r w:rsidR="00343E89">
          <w:rPr>
            <w:i w:val="0"/>
            <w:iCs w:val="0"/>
            <w:webHidden/>
          </w:rPr>
          <w:t>6-297</w:t>
        </w:r>
        <w:r w:rsidRPr="00576B1F">
          <w:rPr>
            <w:i w:val="0"/>
            <w:iCs w:val="0"/>
            <w:webHidden/>
          </w:rPr>
          <w:fldChar w:fldCharType="end"/>
        </w:r>
      </w:hyperlink>
    </w:p>
    <w:p w14:paraId="2ACEE22F" w14:textId="537CB7FE" w:rsidR="00576B1F" w:rsidRPr="00576B1F" w:rsidRDefault="00576B1F">
      <w:pPr>
        <w:pStyle w:val="TOC4"/>
        <w:rPr>
          <w:rFonts w:eastAsiaTheme="minorEastAsia"/>
          <w:kern w:val="2"/>
          <w:lang w:val="en-US"/>
          <w14:ligatures w14:val="standardContextual"/>
        </w:rPr>
      </w:pPr>
      <w:hyperlink w:anchor="_Toc214879031" w:history="1">
        <w:r w:rsidRPr="00576B1F">
          <w:rPr>
            <w:rStyle w:val="Hyperlink"/>
          </w:rPr>
          <w:t>6.7.2.1</w:t>
        </w:r>
        <w:r w:rsidRPr="00576B1F">
          <w:rPr>
            <w:rFonts w:eastAsiaTheme="minorEastAsia"/>
            <w:kern w:val="2"/>
            <w:lang w:val="en-US"/>
            <w14:ligatures w14:val="standardContextual"/>
          </w:rPr>
          <w:tab/>
        </w:r>
        <w:r w:rsidRPr="00576B1F">
          <w:rPr>
            <w:rStyle w:val="Hyperlink"/>
          </w:rPr>
          <w:t>Real-Time Ancillary Service Imbalance Payment or Charge</w:t>
        </w:r>
        <w:r w:rsidRPr="00576B1F">
          <w:rPr>
            <w:webHidden/>
          </w:rPr>
          <w:tab/>
        </w:r>
        <w:r w:rsidRPr="00576B1F">
          <w:rPr>
            <w:webHidden/>
          </w:rPr>
          <w:fldChar w:fldCharType="begin"/>
        </w:r>
        <w:r w:rsidRPr="00576B1F">
          <w:rPr>
            <w:webHidden/>
          </w:rPr>
          <w:instrText xml:space="preserve"> PAGEREF _Toc214879031 \h </w:instrText>
        </w:r>
        <w:r w:rsidRPr="00576B1F">
          <w:rPr>
            <w:webHidden/>
          </w:rPr>
        </w:r>
        <w:r w:rsidRPr="00576B1F">
          <w:rPr>
            <w:webHidden/>
          </w:rPr>
          <w:fldChar w:fldCharType="separate"/>
        </w:r>
        <w:r w:rsidR="00343E89">
          <w:rPr>
            <w:webHidden/>
          </w:rPr>
          <w:t>6-297</w:t>
        </w:r>
        <w:r w:rsidRPr="00576B1F">
          <w:rPr>
            <w:webHidden/>
          </w:rPr>
          <w:fldChar w:fldCharType="end"/>
        </w:r>
      </w:hyperlink>
    </w:p>
    <w:p w14:paraId="5DC7E091" w14:textId="54D466EF" w:rsidR="00576B1F" w:rsidRPr="00576B1F" w:rsidRDefault="00576B1F">
      <w:pPr>
        <w:pStyle w:val="TOC4"/>
        <w:rPr>
          <w:rFonts w:eastAsiaTheme="minorEastAsia"/>
          <w:kern w:val="2"/>
          <w:lang w:val="en-US"/>
          <w14:ligatures w14:val="standardContextual"/>
        </w:rPr>
      </w:pPr>
      <w:hyperlink w:anchor="_Toc214879032" w:history="1">
        <w:r w:rsidRPr="00576B1F">
          <w:rPr>
            <w:rStyle w:val="Hyperlink"/>
          </w:rPr>
          <w:t>6.7.2.2</w:t>
        </w:r>
        <w:r w:rsidRPr="00576B1F">
          <w:rPr>
            <w:rFonts w:eastAsiaTheme="minorEastAsia"/>
            <w:kern w:val="2"/>
            <w:lang w:val="en-US"/>
            <w14:ligatures w14:val="standardContextual"/>
          </w:rPr>
          <w:tab/>
        </w:r>
        <w:r w:rsidRPr="00576B1F">
          <w:rPr>
            <w:rStyle w:val="Hyperlink"/>
          </w:rPr>
          <w:t>Regulation Up Service Payments and Charges</w:t>
        </w:r>
        <w:r w:rsidRPr="00576B1F">
          <w:rPr>
            <w:webHidden/>
          </w:rPr>
          <w:tab/>
        </w:r>
        <w:r w:rsidRPr="00576B1F">
          <w:rPr>
            <w:webHidden/>
          </w:rPr>
          <w:fldChar w:fldCharType="begin"/>
        </w:r>
        <w:r w:rsidRPr="00576B1F">
          <w:rPr>
            <w:webHidden/>
          </w:rPr>
          <w:instrText xml:space="preserve"> PAGEREF _Toc214879032 \h </w:instrText>
        </w:r>
        <w:r w:rsidRPr="00576B1F">
          <w:rPr>
            <w:webHidden/>
          </w:rPr>
        </w:r>
        <w:r w:rsidRPr="00576B1F">
          <w:rPr>
            <w:webHidden/>
          </w:rPr>
          <w:fldChar w:fldCharType="separate"/>
        </w:r>
        <w:r w:rsidR="00343E89">
          <w:rPr>
            <w:webHidden/>
          </w:rPr>
          <w:t>6-298</w:t>
        </w:r>
        <w:r w:rsidRPr="00576B1F">
          <w:rPr>
            <w:webHidden/>
          </w:rPr>
          <w:fldChar w:fldCharType="end"/>
        </w:r>
      </w:hyperlink>
    </w:p>
    <w:p w14:paraId="57FEFD0E" w14:textId="405091F2" w:rsidR="00576B1F" w:rsidRPr="00576B1F" w:rsidRDefault="00576B1F">
      <w:pPr>
        <w:pStyle w:val="TOC4"/>
        <w:rPr>
          <w:rFonts w:eastAsiaTheme="minorEastAsia"/>
          <w:kern w:val="2"/>
          <w:lang w:val="en-US"/>
          <w14:ligatures w14:val="standardContextual"/>
        </w:rPr>
      </w:pPr>
      <w:hyperlink w:anchor="_Toc214879033" w:history="1">
        <w:r w:rsidRPr="00576B1F">
          <w:rPr>
            <w:rStyle w:val="Hyperlink"/>
          </w:rPr>
          <w:t>6.7.2.3</w:t>
        </w:r>
        <w:r w:rsidRPr="00576B1F">
          <w:rPr>
            <w:rFonts w:eastAsiaTheme="minorEastAsia"/>
            <w:kern w:val="2"/>
            <w:lang w:val="en-US"/>
            <w14:ligatures w14:val="standardContextual"/>
          </w:rPr>
          <w:tab/>
        </w:r>
        <w:r w:rsidRPr="00576B1F">
          <w:rPr>
            <w:rStyle w:val="Hyperlink"/>
          </w:rPr>
          <w:t>Regulation Down Service Payments and Charges</w:t>
        </w:r>
        <w:r w:rsidRPr="00576B1F">
          <w:rPr>
            <w:webHidden/>
          </w:rPr>
          <w:tab/>
        </w:r>
        <w:r w:rsidRPr="00576B1F">
          <w:rPr>
            <w:webHidden/>
          </w:rPr>
          <w:fldChar w:fldCharType="begin"/>
        </w:r>
        <w:r w:rsidRPr="00576B1F">
          <w:rPr>
            <w:webHidden/>
          </w:rPr>
          <w:instrText xml:space="preserve"> PAGEREF _Toc214879033 \h </w:instrText>
        </w:r>
        <w:r w:rsidRPr="00576B1F">
          <w:rPr>
            <w:webHidden/>
          </w:rPr>
        </w:r>
        <w:r w:rsidRPr="00576B1F">
          <w:rPr>
            <w:webHidden/>
          </w:rPr>
          <w:fldChar w:fldCharType="separate"/>
        </w:r>
        <w:r w:rsidR="00343E89">
          <w:rPr>
            <w:webHidden/>
          </w:rPr>
          <w:t>6-300</w:t>
        </w:r>
        <w:r w:rsidRPr="00576B1F">
          <w:rPr>
            <w:webHidden/>
          </w:rPr>
          <w:fldChar w:fldCharType="end"/>
        </w:r>
      </w:hyperlink>
    </w:p>
    <w:p w14:paraId="6C3EEEE1" w14:textId="2AE4B6FA" w:rsidR="00576B1F" w:rsidRPr="00576B1F" w:rsidRDefault="00576B1F">
      <w:pPr>
        <w:pStyle w:val="TOC4"/>
        <w:rPr>
          <w:rFonts w:eastAsiaTheme="minorEastAsia"/>
          <w:kern w:val="2"/>
          <w:lang w:val="en-US"/>
          <w14:ligatures w14:val="standardContextual"/>
        </w:rPr>
      </w:pPr>
      <w:hyperlink w:anchor="_Toc214879034" w:history="1">
        <w:r w:rsidRPr="00576B1F">
          <w:rPr>
            <w:rStyle w:val="Hyperlink"/>
          </w:rPr>
          <w:t>6.7.2.4</w:t>
        </w:r>
        <w:r w:rsidRPr="00576B1F">
          <w:rPr>
            <w:rFonts w:eastAsiaTheme="minorEastAsia"/>
            <w:kern w:val="2"/>
            <w:lang w:val="en-US"/>
            <w14:ligatures w14:val="standardContextual"/>
          </w:rPr>
          <w:tab/>
        </w:r>
        <w:r w:rsidRPr="00576B1F">
          <w:rPr>
            <w:rStyle w:val="Hyperlink"/>
          </w:rPr>
          <w:t>Responsive Reserve Payments and Charges</w:t>
        </w:r>
        <w:r w:rsidRPr="00576B1F">
          <w:rPr>
            <w:webHidden/>
          </w:rPr>
          <w:tab/>
        </w:r>
        <w:r w:rsidRPr="00576B1F">
          <w:rPr>
            <w:webHidden/>
          </w:rPr>
          <w:fldChar w:fldCharType="begin"/>
        </w:r>
        <w:r w:rsidRPr="00576B1F">
          <w:rPr>
            <w:webHidden/>
          </w:rPr>
          <w:instrText xml:space="preserve"> PAGEREF _Toc214879034 \h </w:instrText>
        </w:r>
        <w:r w:rsidRPr="00576B1F">
          <w:rPr>
            <w:webHidden/>
          </w:rPr>
        </w:r>
        <w:r w:rsidRPr="00576B1F">
          <w:rPr>
            <w:webHidden/>
          </w:rPr>
          <w:fldChar w:fldCharType="separate"/>
        </w:r>
        <w:r w:rsidR="00343E89">
          <w:rPr>
            <w:webHidden/>
          </w:rPr>
          <w:t>6-303</w:t>
        </w:r>
        <w:r w:rsidRPr="00576B1F">
          <w:rPr>
            <w:webHidden/>
          </w:rPr>
          <w:fldChar w:fldCharType="end"/>
        </w:r>
      </w:hyperlink>
    </w:p>
    <w:p w14:paraId="455F240D" w14:textId="0AE160AF" w:rsidR="00576B1F" w:rsidRPr="00576B1F" w:rsidRDefault="00576B1F">
      <w:pPr>
        <w:pStyle w:val="TOC4"/>
        <w:rPr>
          <w:rFonts w:eastAsiaTheme="minorEastAsia"/>
          <w:kern w:val="2"/>
          <w:lang w:val="en-US"/>
          <w14:ligatures w14:val="standardContextual"/>
        </w:rPr>
      </w:pPr>
      <w:hyperlink w:anchor="_Toc214879035" w:history="1">
        <w:r w:rsidRPr="00576B1F">
          <w:rPr>
            <w:rStyle w:val="Hyperlink"/>
          </w:rPr>
          <w:t>6.7.2.5</w:t>
        </w:r>
        <w:r w:rsidRPr="00576B1F">
          <w:rPr>
            <w:rFonts w:eastAsiaTheme="minorEastAsia"/>
            <w:kern w:val="2"/>
            <w:lang w:val="en-US"/>
            <w14:ligatures w14:val="standardContextual"/>
          </w:rPr>
          <w:tab/>
        </w:r>
        <w:r w:rsidRPr="00576B1F">
          <w:rPr>
            <w:rStyle w:val="Hyperlink"/>
          </w:rPr>
          <w:t>Non-Spinning Reserve Service Payments and Charges</w:t>
        </w:r>
        <w:r w:rsidRPr="00576B1F">
          <w:rPr>
            <w:webHidden/>
          </w:rPr>
          <w:tab/>
        </w:r>
        <w:r w:rsidRPr="00576B1F">
          <w:rPr>
            <w:webHidden/>
          </w:rPr>
          <w:fldChar w:fldCharType="begin"/>
        </w:r>
        <w:r w:rsidRPr="00576B1F">
          <w:rPr>
            <w:webHidden/>
          </w:rPr>
          <w:instrText xml:space="preserve"> PAGEREF _Toc214879035 \h </w:instrText>
        </w:r>
        <w:r w:rsidRPr="00576B1F">
          <w:rPr>
            <w:webHidden/>
          </w:rPr>
        </w:r>
        <w:r w:rsidRPr="00576B1F">
          <w:rPr>
            <w:webHidden/>
          </w:rPr>
          <w:fldChar w:fldCharType="separate"/>
        </w:r>
        <w:r w:rsidR="00343E89">
          <w:rPr>
            <w:webHidden/>
          </w:rPr>
          <w:t>6-306</w:t>
        </w:r>
        <w:r w:rsidRPr="00576B1F">
          <w:rPr>
            <w:webHidden/>
          </w:rPr>
          <w:fldChar w:fldCharType="end"/>
        </w:r>
      </w:hyperlink>
    </w:p>
    <w:p w14:paraId="6DF6D95E" w14:textId="25ABE11D" w:rsidR="00576B1F" w:rsidRPr="00576B1F" w:rsidRDefault="00576B1F">
      <w:pPr>
        <w:pStyle w:val="TOC4"/>
        <w:rPr>
          <w:rFonts w:eastAsiaTheme="minorEastAsia"/>
          <w:kern w:val="2"/>
          <w:lang w:val="en-US"/>
          <w14:ligatures w14:val="standardContextual"/>
        </w:rPr>
      </w:pPr>
      <w:hyperlink w:anchor="_Toc214879036" w:history="1">
        <w:r w:rsidRPr="00576B1F">
          <w:rPr>
            <w:rStyle w:val="Hyperlink"/>
          </w:rPr>
          <w:t>6.7.2.6</w:t>
        </w:r>
        <w:r w:rsidRPr="00576B1F">
          <w:rPr>
            <w:rFonts w:eastAsiaTheme="minorEastAsia"/>
            <w:kern w:val="2"/>
            <w:lang w:val="en-US"/>
            <w14:ligatures w14:val="standardContextual"/>
          </w:rPr>
          <w:tab/>
        </w:r>
        <w:r w:rsidRPr="00576B1F">
          <w:rPr>
            <w:rStyle w:val="Hyperlink"/>
          </w:rPr>
          <w:t>ERCOT Contingency Reserve Service Payments and Charges</w:t>
        </w:r>
        <w:r w:rsidRPr="00576B1F">
          <w:rPr>
            <w:webHidden/>
          </w:rPr>
          <w:tab/>
        </w:r>
        <w:r w:rsidRPr="00576B1F">
          <w:rPr>
            <w:webHidden/>
          </w:rPr>
          <w:fldChar w:fldCharType="begin"/>
        </w:r>
        <w:r w:rsidRPr="00576B1F">
          <w:rPr>
            <w:webHidden/>
          </w:rPr>
          <w:instrText xml:space="preserve"> PAGEREF _Toc214879036 \h </w:instrText>
        </w:r>
        <w:r w:rsidRPr="00576B1F">
          <w:rPr>
            <w:webHidden/>
          </w:rPr>
        </w:r>
        <w:r w:rsidRPr="00576B1F">
          <w:rPr>
            <w:webHidden/>
          </w:rPr>
          <w:fldChar w:fldCharType="separate"/>
        </w:r>
        <w:r w:rsidR="00343E89">
          <w:rPr>
            <w:webHidden/>
          </w:rPr>
          <w:t>6-308</w:t>
        </w:r>
        <w:r w:rsidRPr="00576B1F">
          <w:rPr>
            <w:webHidden/>
          </w:rPr>
          <w:fldChar w:fldCharType="end"/>
        </w:r>
      </w:hyperlink>
    </w:p>
    <w:p w14:paraId="31FDD267" w14:textId="7C297BD3" w:rsidR="00576B1F" w:rsidRPr="00576B1F" w:rsidRDefault="00576B1F">
      <w:pPr>
        <w:pStyle w:val="TOC4"/>
        <w:rPr>
          <w:rFonts w:eastAsiaTheme="minorEastAsia"/>
          <w:kern w:val="2"/>
          <w:lang w:val="en-US"/>
          <w14:ligatures w14:val="standardContextual"/>
        </w:rPr>
      </w:pPr>
      <w:hyperlink w:anchor="_Toc214879037" w:history="1">
        <w:r w:rsidRPr="00576B1F">
          <w:rPr>
            <w:rStyle w:val="Hyperlink"/>
          </w:rPr>
          <w:t>6.7.2.7</w:t>
        </w:r>
        <w:r w:rsidRPr="00576B1F">
          <w:rPr>
            <w:rFonts w:eastAsiaTheme="minorEastAsia"/>
            <w:kern w:val="2"/>
            <w:lang w:val="en-US"/>
            <w14:ligatures w14:val="standardContextual"/>
          </w:rPr>
          <w:tab/>
        </w:r>
        <w:r w:rsidRPr="00576B1F">
          <w:rPr>
            <w:rStyle w:val="Hyperlink"/>
          </w:rPr>
          <w:t>Real-Time Derated Ancillary Service Capability Payment</w:t>
        </w:r>
        <w:r w:rsidRPr="00576B1F">
          <w:rPr>
            <w:webHidden/>
          </w:rPr>
          <w:tab/>
        </w:r>
        <w:r w:rsidRPr="00576B1F">
          <w:rPr>
            <w:webHidden/>
          </w:rPr>
          <w:fldChar w:fldCharType="begin"/>
        </w:r>
        <w:r w:rsidRPr="00576B1F">
          <w:rPr>
            <w:webHidden/>
          </w:rPr>
          <w:instrText xml:space="preserve"> PAGEREF _Toc214879037 \h </w:instrText>
        </w:r>
        <w:r w:rsidRPr="00576B1F">
          <w:rPr>
            <w:webHidden/>
          </w:rPr>
        </w:r>
        <w:r w:rsidRPr="00576B1F">
          <w:rPr>
            <w:webHidden/>
          </w:rPr>
          <w:fldChar w:fldCharType="separate"/>
        </w:r>
        <w:r w:rsidR="00343E89">
          <w:rPr>
            <w:webHidden/>
          </w:rPr>
          <w:t>6-311</w:t>
        </w:r>
        <w:r w:rsidRPr="00576B1F">
          <w:rPr>
            <w:webHidden/>
          </w:rPr>
          <w:fldChar w:fldCharType="end"/>
        </w:r>
      </w:hyperlink>
    </w:p>
    <w:p w14:paraId="717D7894" w14:textId="79F6853C" w:rsidR="00576B1F" w:rsidRPr="00576B1F" w:rsidRDefault="00576B1F">
      <w:pPr>
        <w:pStyle w:val="TOC4"/>
        <w:rPr>
          <w:rFonts w:eastAsiaTheme="minorEastAsia"/>
          <w:kern w:val="2"/>
          <w:lang w:val="en-US"/>
          <w14:ligatures w14:val="standardContextual"/>
        </w:rPr>
      </w:pPr>
      <w:hyperlink w:anchor="_Toc214879038" w:history="1">
        <w:r w:rsidRPr="00576B1F">
          <w:rPr>
            <w:rStyle w:val="Hyperlink"/>
          </w:rPr>
          <w:t>6.7.2.8</w:t>
        </w:r>
        <w:r w:rsidRPr="00576B1F">
          <w:rPr>
            <w:rFonts w:eastAsiaTheme="minorEastAsia"/>
            <w:kern w:val="2"/>
            <w:lang w:val="en-US"/>
            <w14:ligatures w14:val="standardContextual"/>
          </w:rPr>
          <w:tab/>
        </w:r>
        <w:r w:rsidRPr="00576B1F">
          <w:rPr>
            <w:rStyle w:val="Hyperlink"/>
          </w:rPr>
          <w:t>Real-Time Derated Ancillary Service Capability Charge</w:t>
        </w:r>
        <w:r w:rsidRPr="00576B1F">
          <w:rPr>
            <w:webHidden/>
          </w:rPr>
          <w:tab/>
        </w:r>
        <w:r w:rsidRPr="00576B1F">
          <w:rPr>
            <w:webHidden/>
          </w:rPr>
          <w:fldChar w:fldCharType="begin"/>
        </w:r>
        <w:r w:rsidRPr="00576B1F">
          <w:rPr>
            <w:webHidden/>
          </w:rPr>
          <w:instrText xml:space="preserve"> PAGEREF _Toc214879038 \h </w:instrText>
        </w:r>
        <w:r w:rsidRPr="00576B1F">
          <w:rPr>
            <w:webHidden/>
          </w:rPr>
        </w:r>
        <w:r w:rsidRPr="00576B1F">
          <w:rPr>
            <w:webHidden/>
          </w:rPr>
          <w:fldChar w:fldCharType="separate"/>
        </w:r>
        <w:r w:rsidR="00343E89">
          <w:rPr>
            <w:webHidden/>
          </w:rPr>
          <w:t>6-314</w:t>
        </w:r>
        <w:r w:rsidRPr="00576B1F">
          <w:rPr>
            <w:webHidden/>
          </w:rPr>
          <w:fldChar w:fldCharType="end"/>
        </w:r>
      </w:hyperlink>
    </w:p>
    <w:p w14:paraId="7587CAAF" w14:textId="630799BC" w:rsidR="00576B1F" w:rsidRPr="00576B1F" w:rsidRDefault="00576B1F">
      <w:pPr>
        <w:pStyle w:val="TOC3"/>
        <w:rPr>
          <w:rFonts w:eastAsiaTheme="minorEastAsia"/>
          <w:i w:val="0"/>
          <w:iCs w:val="0"/>
          <w:kern w:val="2"/>
          <w14:ligatures w14:val="standardContextual"/>
        </w:rPr>
      </w:pPr>
      <w:hyperlink w:anchor="_Toc214879039" w:history="1">
        <w:r w:rsidRPr="00576B1F">
          <w:rPr>
            <w:rStyle w:val="Hyperlink"/>
            <w:i w:val="0"/>
            <w:iCs w:val="0"/>
          </w:rPr>
          <w:t>6.7.3</w:t>
        </w:r>
        <w:r w:rsidRPr="00576B1F">
          <w:rPr>
            <w:rFonts w:eastAsiaTheme="minorEastAsia"/>
            <w:i w:val="0"/>
            <w:iCs w:val="0"/>
            <w:kern w:val="2"/>
            <w14:ligatures w14:val="standardContextual"/>
          </w:rPr>
          <w:tab/>
        </w:r>
        <w:r w:rsidRPr="00576B1F">
          <w:rPr>
            <w:rStyle w:val="Hyperlink"/>
            <w:i w:val="0"/>
            <w:iCs w:val="0"/>
          </w:rPr>
          <w:t>Real-Time Ancillary Service Revenue Neutrality Allocation</w:t>
        </w:r>
        <w:r w:rsidRPr="00576B1F">
          <w:rPr>
            <w:i w:val="0"/>
            <w:iCs w:val="0"/>
            <w:webHidden/>
          </w:rPr>
          <w:tab/>
        </w:r>
        <w:r w:rsidRPr="00576B1F">
          <w:rPr>
            <w:i w:val="0"/>
            <w:iCs w:val="0"/>
            <w:webHidden/>
          </w:rPr>
          <w:fldChar w:fldCharType="begin"/>
        </w:r>
        <w:r w:rsidRPr="00576B1F">
          <w:rPr>
            <w:i w:val="0"/>
            <w:iCs w:val="0"/>
            <w:webHidden/>
          </w:rPr>
          <w:instrText xml:space="preserve"> PAGEREF _Toc214879039 \h </w:instrText>
        </w:r>
        <w:r w:rsidRPr="00576B1F">
          <w:rPr>
            <w:i w:val="0"/>
            <w:iCs w:val="0"/>
            <w:webHidden/>
          </w:rPr>
        </w:r>
        <w:r w:rsidRPr="00576B1F">
          <w:rPr>
            <w:i w:val="0"/>
            <w:iCs w:val="0"/>
            <w:webHidden/>
          </w:rPr>
          <w:fldChar w:fldCharType="separate"/>
        </w:r>
        <w:r w:rsidR="00343E89">
          <w:rPr>
            <w:i w:val="0"/>
            <w:iCs w:val="0"/>
            <w:webHidden/>
          </w:rPr>
          <w:t>6-314</w:t>
        </w:r>
        <w:r w:rsidRPr="00576B1F">
          <w:rPr>
            <w:i w:val="0"/>
            <w:iCs w:val="0"/>
            <w:webHidden/>
          </w:rPr>
          <w:fldChar w:fldCharType="end"/>
        </w:r>
      </w:hyperlink>
    </w:p>
    <w:p w14:paraId="7577A4C4" w14:textId="1802EC74" w:rsidR="00576B1F" w:rsidRPr="00576B1F" w:rsidRDefault="00576B1F">
      <w:pPr>
        <w:pStyle w:val="TOC2"/>
        <w:rPr>
          <w:rFonts w:eastAsiaTheme="minorEastAsia"/>
          <w:noProof/>
          <w:kern w:val="2"/>
          <w14:ligatures w14:val="standardContextual"/>
        </w:rPr>
      </w:pPr>
      <w:hyperlink w:anchor="_Toc214879040" w:history="1">
        <w:r w:rsidRPr="00576B1F">
          <w:rPr>
            <w:rStyle w:val="Hyperlink"/>
            <w:noProof/>
            <w:snapToGrid w:val="0"/>
          </w:rPr>
          <w:t>6.8</w:t>
        </w:r>
        <w:r w:rsidRPr="00576B1F">
          <w:rPr>
            <w:rFonts w:eastAsiaTheme="minorEastAsia"/>
            <w:noProof/>
            <w:kern w:val="2"/>
            <w14:ligatures w14:val="standardContextual"/>
          </w:rPr>
          <w:tab/>
        </w:r>
        <w:r w:rsidRPr="00576B1F">
          <w:rPr>
            <w:rStyle w:val="Hyperlink"/>
            <w:noProof/>
            <w:snapToGrid w:val="0"/>
          </w:rPr>
          <w:t>Settlement for Operating Losses During an LCAP or ECAP Effective Period</w:t>
        </w:r>
        <w:r w:rsidRPr="00576B1F">
          <w:rPr>
            <w:noProof/>
            <w:webHidden/>
          </w:rPr>
          <w:tab/>
        </w:r>
        <w:r w:rsidRPr="00576B1F">
          <w:rPr>
            <w:noProof/>
            <w:webHidden/>
          </w:rPr>
          <w:fldChar w:fldCharType="begin"/>
        </w:r>
        <w:r w:rsidRPr="00576B1F">
          <w:rPr>
            <w:noProof/>
            <w:webHidden/>
          </w:rPr>
          <w:instrText xml:space="preserve"> PAGEREF _Toc214879040 \h </w:instrText>
        </w:r>
        <w:r w:rsidRPr="00576B1F">
          <w:rPr>
            <w:noProof/>
            <w:webHidden/>
          </w:rPr>
        </w:r>
        <w:r w:rsidRPr="00576B1F">
          <w:rPr>
            <w:noProof/>
            <w:webHidden/>
          </w:rPr>
          <w:fldChar w:fldCharType="separate"/>
        </w:r>
        <w:r w:rsidR="00343E89">
          <w:rPr>
            <w:noProof/>
            <w:webHidden/>
          </w:rPr>
          <w:t>6-319</w:t>
        </w:r>
        <w:r w:rsidRPr="00576B1F">
          <w:rPr>
            <w:noProof/>
            <w:webHidden/>
          </w:rPr>
          <w:fldChar w:fldCharType="end"/>
        </w:r>
      </w:hyperlink>
    </w:p>
    <w:p w14:paraId="09F8E386" w14:textId="589F2348" w:rsidR="00576B1F" w:rsidRPr="00576B1F" w:rsidRDefault="00576B1F">
      <w:pPr>
        <w:pStyle w:val="TOC3"/>
        <w:rPr>
          <w:rFonts w:eastAsiaTheme="minorEastAsia"/>
          <w:i w:val="0"/>
          <w:iCs w:val="0"/>
          <w:kern w:val="2"/>
          <w14:ligatures w14:val="standardContextual"/>
        </w:rPr>
      </w:pPr>
      <w:hyperlink w:anchor="_Toc214879041" w:history="1">
        <w:r w:rsidRPr="00576B1F">
          <w:rPr>
            <w:rStyle w:val="Hyperlink"/>
            <w:i w:val="0"/>
            <w:iCs w:val="0"/>
            <w:snapToGrid w:val="0"/>
          </w:rPr>
          <w:t>6.8.1</w:t>
        </w:r>
        <w:r w:rsidRPr="00576B1F">
          <w:rPr>
            <w:rFonts w:eastAsiaTheme="minorEastAsia"/>
            <w:i w:val="0"/>
            <w:iCs w:val="0"/>
            <w:kern w:val="2"/>
            <w14:ligatures w14:val="standardContextual"/>
          </w:rPr>
          <w:tab/>
        </w:r>
        <w:r w:rsidRPr="00576B1F">
          <w:rPr>
            <w:rStyle w:val="Hyperlink"/>
            <w:i w:val="0"/>
            <w:iCs w:val="0"/>
            <w:snapToGrid w:val="0"/>
          </w:rPr>
          <w:t>Determination of Operating Losses During an LCAP or ECAP Effective Period</w:t>
        </w:r>
        <w:r w:rsidRPr="00576B1F">
          <w:rPr>
            <w:i w:val="0"/>
            <w:iCs w:val="0"/>
            <w:webHidden/>
          </w:rPr>
          <w:tab/>
        </w:r>
        <w:r w:rsidRPr="00576B1F">
          <w:rPr>
            <w:i w:val="0"/>
            <w:iCs w:val="0"/>
            <w:webHidden/>
          </w:rPr>
          <w:fldChar w:fldCharType="begin"/>
        </w:r>
        <w:r w:rsidRPr="00576B1F">
          <w:rPr>
            <w:i w:val="0"/>
            <w:iCs w:val="0"/>
            <w:webHidden/>
          </w:rPr>
          <w:instrText xml:space="preserve"> PAGEREF _Toc214879041 \h </w:instrText>
        </w:r>
        <w:r w:rsidRPr="00576B1F">
          <w:rPr>
            <w:i w:val="0"/>
            <w:iCs w:val="0"/>
            <w:webHidden/>
          </w:rPr>
        </w:r>
        <w:r w:rsidRPr="00576B1F">
          <w:rPr>
            <w:i w:val="0"/>
            <w:iCs w:val="0"/>
            <w:webHidden/>
          </w:rPr>
          <w:fldChar w:fldCharType="separate"/>
        </w:r>
        <w:r w:rsidR="00343E89">
          <w:rPr>
            <w:i w:val="0"/>
            <w:iCs w:val="0"/>
            <w:webHidden/>
          </w:rPr>
          <w:t>6-319</w:t>
        </w:r>
        <w:r w:rsidRPr="00576B1F">
          <w:rPr>
            <w:i w:val="0"/>
            <w:iCs w:val="0"/>
            <w:webHidden/>
          </w:rPr>
          <w:fldChar w:fldCharType="end"/>
        </w:r>
      </w:hyperlink>
    </w:p>
    <w:p w14:paraId="2C3D49F2" w14:textId="77BB45F8" w:rsidR="00576B1F" w:rsidRPr="00576B1F" w:rsidRDefault="00576B1F">
      <w:pPr>
        <w:pStyle w:val="TOC3"/>
        <w:rPr>
          <w:rFonts w:eastAsiaTheme="minorEastAsia"/>
          <w:i w:val="0"/>
          <w:iCs w:val="0"/>
          <w:kern w:val="2"/>
          <w14:ligatures w14:val="standardContextual"/>
        </w:rPr>
      </w:pPr>
      <w:hyperlink w:anchor="_Toc214879042" w:history="1">
        <w:r w:rsidRPr="00576B1F">
          <w:rPr>
            <w:rStyle w:val="Hyperlink"/>
            <w:i w:val="0"/>
            <w:iCs w:val="0"/>
            <w:snapToGrid w:val="0"/>
          </w:rPr>
          <w:t>6.8.2</w:t>
        </w:r>
        <w:r w:rsidRPr="00576B1F">
          <w:rPr>
            <w:rFonts w:eastAsiaTheme="minorEastAsia"/>
            <w:i w:val="0"/>
            <w:iCs w:val="0"/>
            <w:kern w:val="2"/>
            <w14:ligatures w14:val="standardContextual"/>
          </w:rPr>
          <w:tab/>
        </w:r>
        <w:r w:rsidRPr="00576B1F">
          <w:rPr>
            <w:rStyle w:val="Hyperlink"/>
            <w:i w:val="0"/>
            <w:iCs w:val="0"/>
            <w:snapToGrid w:val="0"/>
          </w:rPr>
          <w:t>Recovery of Operating Losses During an LCAP or ECAP Effective Period</w:t>
        </w:r>
        <w:r w:rsidRPr="00576B1F">
          <w:rPr>
            <w:i w:val="0"/>
            <w:iCs w:val="0"/>
            <w:webHidden/>
          </w:rPr>
          <w:tab/>
        </w:r>
        <w:r w:rsidRPr="00576B1F">
          <w:rPr>
            <w:i w:val="0"/>
            <w:iCs w:val="0"/>
            <w:webHidden/>
          </w:rPr>
          <w:fldChar w:fldCharType="begin"/>
        </w:r>
        <w:r w:rsidRPr="00576B1F">
          <w:rPr>
            <w:i w:val="0"/>
            <w:iCs w:val="0"/>
            <w:webHidden/>
          </w:rPr>
          <w:instrText xml:space="preserve"> PAGEREF _Toc214879042 \h </w:instrText>
        </w:r>
        <w:r w:rsidRPr="00576B1F">
          <w:rPr>
            <w:i w:val="0"/>
            <w:iCs w:val="0"/>
            <w:webHidden/>
          </w:rPr>
        </w:r>
        <w:r w:rsidRPr="00576B1F">
          <w:rPr>
            <w:i w:val="0"/>
            <w:iCs w:val="0"/>
            <w:webHidden/>
          </w:rPr>
          <w:fldChar w:fldCharType="separate"/>
        </w:r>
        <w:r w:rsidR="00343E89">
          <w:rPr>
            <w:i w:val="0"/>
            <w:iCs w:val="0"/>
            <w:webHidden/>
          </w:rPr>
          <w:t>6-321</w:t>
        </w:r>
        <w:r w:rsidRPr="00576B1F">
          <w:rPr>
            <w:i w:val="0"/>
            <w:iCs w:val="0"/>
            <w:webHidden/>
          </w:rPr>
          <w:fldChar w:fldCharType="end"/>
        </w:r>
      </w:hyperlink>
    </w:p>
    <w:p w14:paraId="464AA095" w14:textId="1592ED2B" w:rsidR="00576B1F" w:rsidRPr="00576B1F" w:rsidRDefault="00576B1F">
      <w:pPr>
        <w:pStyle w:val="TOC3"/>
        <w:rPr>
          <w:rFonts w:eastAsiaTheme="minorEastAsia"/>
          <w:i w:val="0"/>
          <w:iCs w:val="0"/>
          <w:kern w:val="2"/>
          <w14:ligatures w14:val="standardContextual"/>
        </w:rPr>
      </w:pPr>
      <w:hyperlink w:anchor="_Toc214879043" w:history="1">
        <w:r w:rsidRPr="00576B1F">
          <w:rPr>
            <w:rStyle w:val="Hyperlink"/>
            <w:i w:val="0"/>
            <w:iCs w:val="0"/>
            <w:snapToGrid w:val="0"/>
          </w:rPr>
          <w:t>6.8.3</w:t>
        </w:r>
        <w:r w:rsidRPr="00576B1F">
          <w:rPr>
            <w:rFonts w:eastAsiaTheme="minorEastAsia"/>
            <w:i w:val="0"/>
            <w:iCs w:val="0"/>
            <w:kern w:val="2"/>
            <w14:ligatures w14:val="standardContextual"/>
          </w:rPr>
          <w:tab/>
        </w:r>
        <w:r w:rsidRPr="00576B1F">
          <w:rPr>
            <w:rStyle w:val="Hyperlink"/>
            <w:i w:val="0"/>
            <w:iCs w:val="0"/>
            <w:snapToGrid w:val="0"/>
          </w:rPr>
          <w:t>Charges for Operating Losses During an LCAP or ECAP Effective Period</w:t>
        </w:r>
        <w:r w:rsidRPr="00576B1F">
          <w:rPr>
            <w:i w:val="0"/>
            <w:iCs w:val="0"/>
            <w:webHidden/>
          </w:rPr>
          <w:tab/>
        </w:r>
        <w:r w:rsidRPr="00576B1F">
          <w:rPr>
            <w:i w:val="0"/>
            <w:iCs w:val="0"/>
            <w:webHidden/>
          </w:rPr>
          <w:fldChar w:fldCharType="begin"/>
        </w:r>
        <w:r w:rsidRPr="00576B1F">
          <w:rPr>
            <w:i w:val="0"/>
            <w:iCs w:val="0"/>
            <w:webHidden/>
          </w:rPr>
          <w:instrText xml:space="preserve"> PAGEREF _Toc214879043 \h </w:instrText>
        </w:r>
        <w:r w:rsidRPr="00576B1F">
          <w:rPr>
            <w:i w:val="0"/>
            <w:iCs w:val="0"/>
            <w:webHidden/>
          </w:rPr>
        </w:r>
        <w:r w:rsidRPr="00576B1F">
          <w:rPr>
            <w:i w:val="0"/>
            <w:iCs w:val="0"/>
            <w:webHidden/>
          </w:rPr>
          <w:fldChar w:fldCharType="separate"/>
        </w:r>
        <w:r w:rsidR="00343E89">
          <w:rPr>
            <w:i w:val="0"/>
            <w:iCs w:val="0"/>
            <w:webHidden/>
          </w:rPr>
          <w:t>6-324</w:t>
        </w:r>
        <w:r w:rsidRPr="00576B1F">
          <w:rPr>
            <w:i w:val="0"/>
            <w:iCs w:val="0"/>
            <w:webHidden/>
          </w:rPr>
          <w:fldChar w:fldCharType="end"/>
        </w:r>
      </w:hyperlink>
    </w:p>
    <w:p w14:paraId="37FF3B89" w14:textId="7CEF8B19" w:rsidR="00576B1F" w:rsidRPr="00576B1F" w:rsidRDefault="00576B1F">
      <w:pPr>
        <w:pStyle w:val="TOC3"/>
        <w:rPr>
          <w:rFonts w:eastAsiaTheme="minorEastAsia"/>
          <w:i w:val="0"/>
          <w:iCs w:val="0"/>
          <w:kern w:val="2"/>
          <w14:ligatures w14:val="standardContextual"/>
        </w:rPr>
      </w:pPr>
      <w:hyperlink w:anchor="_Toc214879044" w:history="1">
        <w:r w:rsidRPr="00576B1F">
          <w:rPr>
            <w:rStyle w:val="Hyperlink"/>
            <w:i w:val="0"/>
            <w:iCs w:val="0"/>
            <w:snapToGrid w:val="0"/>
          </w:rPr>
          <w:t>6.8.4    Miscellaneous Invoice for Payments and Charges for an LCAP or ECAP Effective Period</w:t>
        </w:r>
        <w:r w:rsidRPr="00576B1F">
          <w:rPr>
            <w:i w:val="0"/>
            <w:iCs w:val="0"/>
            <w:webHidden/>
          </w:rPr>
          <w:tab/>
        </w:r>
        <w:r w:rsidRPr="00576B1F">
          <w:rPr>
            <w:i w:val="0"/>
            <w:iCs w:val="0"/>
            <w:webHidden/>
          </w:rPr>
          <w:fldChar w:fldCharType="begin"/>
        </w:r>
        <w:r w:rsidRPr="00576B1F">
          <w:rPr>
            <w:i w:val="0"/>
            <w:iCs w:val="0"/>
            <w:webHidden/>
          </w:rPr>
          <w:instrText xml:space="preserve"> PAGEREF _Toc214879044 \h </w:instrText>
        </w:r>
        <w:r w:rsidRPr="00576B1F">
          <w:rPr>
            <w:i w:val="0"/>
            <w:iCs w:val="0"/>
            <w:webHidden/>
          </w:rPr>
        </w:r>
        <w:r w:rsidRPr="00576B1F">
          <w:rPr>
            <w:i w:val="0"/>
            <w:iCs w:val="0"/>
            <w:webHidden/>
          </w:rPr>
          <w:fldChar w:fldCharType="separate"/>
        </w:r>
        <w:r w:rsidR="00343E89">
          <w:rPr>
            <w:i w:val="0"/>
            <w:iCs w:val="0"/>
            <w:webHidden/>
          </w:rPr>
          <w:t>6-325</w:t>
        </w:r>
        <w:r w:rsidRPr="00576B1F">
          <w:rPr>
            <w:i w:val="0"/>
            <w:iCs w:val="0"/>
            <w:webHidden/>
          </w:rPr>
          <w:fldChar w:fldCharType="end"/>
        </w:r>
      </w:hyperlink>
    </w:p>
    <w:p w14:paraId="457F05BD" w14:textId="559BD494" w:rsidR="00A13FF9" w:rsidRPr="0013396E" w:rsidRDefault="00A1378D" w:rsidP="00A13FF9">
      <w:pPr>
        <w:rPr>
          <w:sz w:val="20"/>
        </w:rPr>
        <w:sectPr w:rsidR="00A13FF9" w:rsidRPr="0013396E" w:rsidSect="0011669A">
          <w:headerReference w:type="default" r:id="rId11"/>
          <w:footerReference w:type="default" r:id="rId12"/>
          <w:pgSz w:w="12240" w:h="15840" w:code="1"/>
          <w:pgMar w:top="1440" w:right="1440" w:bottom="1440" w:left="1440" w:header="720" w:footer="720" w:gutter="0"/>
          <w:pgNumType w:chapStyle="1"/>
          <w:cols w:space="720"/>
        </w:sectPr>
      </w:pPr>
      <w:r w:rsidRPr="0013396E">
        <w:rPr>
          <w:bCs/>
          <w:sz w:val="20"/>
        </w:rPr>
        <w:fldChar w:fldCharType="end"/>
      </w:r>
    </w:p>
    <w:p w14:paraId="350BED17" w14:textId="77777777" w:rsidR="00A13FF9" w:rsidRPr="0013396E" w:rsidRDefault="00A13FF9" w:rsidP="00A13FF9">
      <w:pPr>
        <w:pStyle w:val="Heading1"/>
      </w:pPr>
      <w:bookmarkStart w:id="0" w:name="_Toc397504904"/>
      <w:bookmarkStart w:id="1" w:name="_Toc402357032"/>
      <w:bookmarkStart w:id="2" w:name="_Toc422486412"/>
      <w:bookmarkStart w:id="3" w:name="_Toc433093264"/>
      <w:bookmarkStart w:id="4" w:name="_Toc433093422"/>
      <w:bookmarkStart w:id="5" w:name="_Toc440874653"/>
      <w:bookmarkStart w:id="6" w:name="_Toc468286734"/>
      <w:bookmarkStart w:id="7" w:name="_Toc481502780"/>
      <w:bookmarkStart w:id="8" w:name="_Toc496079950"/>
      <w:bookmarkStart w:id="9" w:name="_Toc214878855"/>
      <w:r w:rsidRPr="0013396E">
        <w:lastRenderedPageBreak/>
        <w:t>Adjustment Period and Real-Time Operations</w:t>
      </w:r>
      <w:bookmarkEnd w:id="0"/>
      <w:bookmarkEnd w:id="1"/>
      <w:bookmarkEnd w:id="2"/>
      <w:bookmarkEnd w:id="3"/>
      <w:bookmarkEnd w:id="4"/>
      <w:bookmarkEnd w:id="5"/>
      <w:bookmarkEnd w:id="6"/>
      <w:bookmarkEnd w:id="7"/>
      <w:bookmarkEnd w:id="8"/>
      <w:bookmarkEnd w:id="9"/>
    </w:p>
    <w:p w14:paraId="2593657F" w14:textId="77777777" w:rsidR="001F04FD" w:rsidRPr="0013396E" w:rsidRDefault="001F04FD" w:rsidP="007A1E53">
      <w:pPr>
        <w:pStyle w:val="H2"/>
        <w:spacing w:before="480"/>
        <w:ind w:left="907" w:hanging="907"/>
      </w:pPr>
      <w:bookmarkStart w:id="10" w:name="_Toc73215970"/>
      <w:bookmarkStart w:id="11" w:name="_Toc397504905"/>
      <w:bookmarkStart w:id="12" w:name="_Toc402357033"/>
      <w:bookmarkStart w:id="13" w:name="_Toc422486413"/>
      <w:bookmarkStart w:id="14" w:name="_Toc433093265"/>
      <w:bookmarkStart w:id="15" w:name="_Toc433093423"/>
      <w:bookmarkStart w:id="16" w:name="_Toc440874654"/>
      <w:bookmarkStart w:id="17" w:name="_Toc448142209"/>
      <w:bookmarkStart w:id="18" w:name="_Toc448142366"/>
      <w:bookmarkStart w:id="19" w:name="_Toc458770202"/>
      <w:bookmarkStart w:id="20" w:name="_Toc459294170"/>
      <w:bookmarkStart w:id="21" w:name="_Toc463262663"/>
      <w:bookmarkStart w:id="22" w:name="_Toc468286735"/>
      <w:bookmarkStart w:id="23" w:name="_Toc481502781"/>
      <w:bookmarkStart w:id="24" w:name="_Toc496079951"/>
      <w:bookmarkStart w:id="25" w:name="_Toc214878856"/>
      <w:r w:rsidRPr="0013396E">
        <w:t>6.1</w:t>
      </w:r>
      <w:r w:rsidRPr="0013396E">
        <w:tab/>
        <w:t>Introduction</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14:paraId="22A98052" w14:textId="77777777" w:rsidR="001F04FD" w:rsidRPr="0013396E" w:rsidRDefault="001F04FD" w:rsidP="001F04FD">
      <w:pPr>
        <w:pStyle w:val="BodyTextNumbered"/>
      </w:pPr>
      <w:r w:rsidRPr="0013396E">
        <w:t>(1)</w:t>
      </w:r>
      <w:r w:rsidRPr="0013396E">
        <w:tab/>
        <w:t>This Section addresses the following components: the Adjustment Period and Real-Time Operations, including Emergency Operations.</w:t>
      </w:r>
    </w:p>
    <w:p w14:paraId="5BAC92B1" w14:textId="1E50C8D8" w:rsidR="001F04FD" w:rsidRPr="0013396E" w:rsidRDefault="001F04FD" w:rsidP="001F04FD">
      <w:pPr>
        <w:pStyle w:val="BodyTextNumbered"/>
      </w:pPr>
      <w:r w:rsidRPr="0013396E">
        <w:t>(2)</w:t>
      </w:r>
      <w:r w:rsidRPr="0013396E">
        <w:tab/>
      </w:r>
      <w:r w:rsidR="001D4369" w:rsidRPr="0013396E">
        <w:t>The Adjustment Period provides each Qualified Scheduling Entity (QSE) the opportunity to adjust its trades, Self-Schedules, and Resource commitments as more accurate information becomes available under Section 6.4, Adjustment Period.  During the Adjustment Period, ERCOT continues to evaluate system sufficiency and security by use of Hour-Ahead Reliability Unit Commitment (RUC) processes, as described in Section 5, Transmission Security Analysis and Reliability Unit Commitment.</w:t>
      </w:r>
    </w:p>
    <w:p w14:paraId="06848664" w14:textId="1A912F70" w:rsidR="001F04FD" w:rsidRPr="0013396E" w:rsidRDefault="001F04FD" w:rsidP="007A1E53">
      <w:pPr>
        <w:pStyle w:val="BodyTextNumbered"/>
      </w:pPr>
      <w:r w:rsidRPr="0013396E">
        <w:t>(3)</w:t>
      </w:r>
      <w:r w:rsidRPr="0013396E">
        <w:tab/>
      </w:r>
      <w:r w:rsidR="001D4369" w:rsidRPr="0013396E">
        <w:t>During Real-Time operations,</w:t>
      </w:r>
      <w:r w:rsidR="001D4369" w:rsidRPr="0013396E">
        <w:rPr>
          <w:b/>
        </w:rPr>
        <w:t xml:space="preserve"> </w:t>
      </w:r>
      <w:r w:rsidR="001D4369" w:rsidRPr="0013396E">
        <w:t xml:space="preserve">ERCOT dispatches Resources under normal system conditions and behavior based on economics and reliability to match system Load with On-Line generation while observing Resource and transmission constraints. </w:t>
      </w:r>
      <w:r w:rsidR="00B44B0A">
        <w:t xml:space="preserve"> </w:t>
      </w:r>
      <w:r w:rsidR="001D4369" w:rsidRPr="0013396E">
        <w:t>The Security-Constrained Economic Dispatch (SCED) process produces Base Points and Ancillary Service awards for Resources.  ERCOT uses the Base Points from the SCED process and uses the deployment of Regulation Up Service (Reg-Up), Regulation Down Service (Reg-Down), ERCOT Contingency Reserve Service (ECRS), Responsive Reserve (RRS), and Non-Spinning Reserve (Non-Spin) to control frequency and solve potential reliability issues.</w:t>
      </w:r>
    </w:p>
    <w:p w14:paraId="0AF53B9A" w14:textId="7F8FB540" w:rsidR="001F04FD" w:rsidRPr="0013396E" w:rsidRDefault="001F04FD" w:rsidP="007A1E53">
      <w:pPr>
        <w:pStyle w:val="BodyTextNumbered"/>
      </w:pPr>
      <w:r w:rsidRPr="0013396E">
        <w:t>(</w:t>
      </w:r>
      <w:r w:rsidR="002D28ED" w:rsidRPr="0013396E">
        <w:t>4</w:t>
      </w:r>
      <w:r w:rsidRPr="0013396E">
        <w:t>)</w:t>
      </w:r>
      <w:r w:rsidRPr="0013396E">
        <w:tab/>
      </w:r>
      <w:r w:rsidR="001D4369" w:rsidRPr="0013396E">
        <w:t xml:space="preserve">Real-Time energy settlements use Real-Time Settlement Point Prices that are calculated for Resource Nodes, Load Zones, and Hubs for a 15-minute Settlement Interval, using the Locational Marginal Prices (LMPs) from all of the executions of SCED in the Settlement Interval.  Similarly, Real-Time Ancillary Service Settlements use Real-Time Market </w:t>
      </w:r>
      <w:r w:rsidR="00CE39AE">
        <w:t xml:space="preserve">(RTM) </w:t>
      </w:r>
      <w:r w:rsidR="001D4369" w:rsidRPr="0013396E">
        <w:t>Clearing Prices for Capacity (MCPCs) for a 15-minute Settlement Interval, using the MCPCs from all of the executions of SCED in the Settlement Interval.  In contrast, the Day-Ahead Market (DAM) energy settlements will use DAM Settlement Point Prices that are calculated for Resource Nodes, Load Zones, and Hubs for a one-hour Settlement Interval, and DAM Ancillary Service Settlements will use DAM MCPCs for a one-hour Settlement Interval.</w:t>
      </w:r>
      <w:bookmarkStart w:id="26" w:name="_Toc78358879"/>
    </w:p>
    <w:p w14:paraId="7CFC4C12" w14:textId="284CA9A4" w:rsidR="00470AB8" w:rsidRPr="0013396E" w:rsidRDefault="001F04FD" w:rsidP="007A1E53">
      <w:pPr>
        <w:pStyle w:val="BodyText"/>
        <w:ind w:left="720" w:hanging="720"/>
      </w:pPr>
      <w:r w:rsidRPr="0013396E">
        <w:t>(</w:t>
      </w:r>
      <w:r w:rsidR="002D28ED" w:rsidRPr="0013396E">
        <w:t>5</w:t>
      </w:r>
      <w:r w:rsidRPr="0013396E">
        <w:t>)</w:t>
      </w:r>
      <w:r w:rsidRPr="0013396E">
        <w:tab/>
        <w:t>To the extent that the ERCOT CEO or designee determines that Market Participant activities have produced an outcome inconsistent with the efficient operation of the ERCOT-administered markets as defined in subsection (c)(2) of P.U.C. S</w:t>
      </w:r>
      <w:r w:rsidRPr="0013396E">
        <w:rPr>
          <w:smallCaps/>
        </w:rPr>
        <w:t>ubst</w:t>
      </w:r>
      <w:r w:rsidRPr="0013396E">
        <w:t xml:space="preserve">. R. 25.503, Oversight of Wholesale Market Participants, ERCOT may prohibit the activity by Notice for a period beginning on the date of the Notice and ending no later than 45 days after the date of the Notice.  ERCOT may issue subsequent Notices on the same activity.  The ERCOT CEO may deem any Nodal Protocol Revision Request (NPRR) designed to correct the activity or issues affecting the activity as Urgent pursuant to Section 21.5, Urgent </w:t>
      </w:r>
      <w:r w:rsidR="00470AB8" w:rsidRPr="0013396E">
        <w:t xml:space="preserve">and Board Priority </w:t>
      </w:r>
      <w:r w:rsidRPr="0013396E">
        <w:t>Nodal Protocol Revision Requests</w:t>
      </w:r>
      <w:r w:rsidR="00470AB8" w:rsidRPr="0013396E">
        <w:t xml:space="preserve"> and System Change Requests</w:t>
      </w:r>
      <w:r w:rsidRPr="0013396E">
        <w:t>.</w:t>
      </w:r>
      <w:bookmarkStart w:id="27" w:name="_Toc397504906"/>
      <w:bookmarkStart w:id="28" w:name="_Toc402357034"/>
      <w:bookmarkStart w:id="29" w:name="_Toc422486414"/>
      <w:bookmarkStart w:id="30" w:name="_Toc433093266"/>
      <w:bookmarkStart w:id="31" w:name="_Toc433093424"/>
      <w:bookmarkStart w:id="32" w:name="_Toc440874655"/>
      <w:bookmarkStart w:id="33" w:name="_Toc448142210"/>
      <w:bookmarkStart w:id="34" w:name="_Toc448142367"/>
      <w:bookmarkStart w:id="35" w:name="_Toc458770203"/>
      <w:bookmarkStart w:id="36" w:name="_Toc459294171"/>
      <w:bookmarkStart w:id="37" w:name="_Toc463262664"/>
      <w:bookmarkStart w:id="38" w:name="_Toc468286736"/>
      <w:bookmarkStart w:id="39" w:name="_Toc481502782"/>
      <w:bookmarkStart w:id="40" w:name="_Toc496079952"/>
    </w:p>
    <w:p w14:paraId="75FF5987" w14:textId="77777777" w:rsidR="001F04FD" w:rsidRPr="0013396E" w:rsidRDefault="001F04FD" w:rsidP="00221A13">
      <w:pPr>
        <w:pStyle w:val="H2"/>
        <w:spacing w:before="480"/>
        <w:ind w:left="907" w:hanging="907"/>
      </w:pPr>
      <w:bookmarkStart w:id="41" w:name="_Toc214878857"/>
      <w:r w:rsidRPr="0013396E">
        <w:lastRenderedPageBreak/>
        <w:t>6.2</w:t>
      </w:r>
      <w:r w:rsidRPr="0013396E">
        <w:tab/>
        <w:t>Market Timeline Summary</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 w14:paraId="601A8E25" w14:textId="77777777" w:rsidR="001F04FD" w:rsidRPr="0013396E" w:rsidRDefault="000468AC" w:rsidP="008E724B">
      <w:pPr>
        <w:pStyle w:val="BodyText"/>
        <w:ind w:left="720" w:hanging="720"/>
      </w:pPr>
      <w:r w:rsidRPr="0013396E">
        <w:t>(1)</w:t>
      </w:r>
      <w:r w:rsidRPr="0013396E">
        <w:tab/>
      </w:r>
      <w:r w:rsidR="001F04FD" w:rsidRPr="0013396E">
        <w:t>The figure below is a high-level summary of the overall market timeline:</w:t>
      </w:r>
    </w:p>
    <w:p w14:paraId="75CC1640" w14:textId="4C5F520E" w:rsidR="001F04FD" w:rsidRPr="0013396E" w:rsidRDefault="00A94020" w:rsidP="001F04FD">
      <w:pPr>
        <w:rPr>
          <w:rStyle w:val="CharCharChar1"/>
        </w:rPr>
      </w:pPr>
      <w:r w:rsidRPr="0013396E">
        <w:rPr>
          <w:noProof/>
        </w:rPr>
        <w:drawing>
          <wp:inline distT="0" distB="0" distL="0" distR="0" wp14:anchorId="0A0AD4E1" wp14:editId="6B8AF17E">
            <wp:extent cx="5705475" cy="3248025"/>
            <wp:effectExtent l="0" t="0" r="9525" b="9525"/>
            <wp:docPr id="1"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05475" cy="3248025"/>
                    </a:xfrm>
                    <a:prstGeom prst="rect">
                      <a:avLst/>
                    </a:prstGeom>
                    <a:noFill/>
                    <a:ln>
                      <a:noFill/>
                    </a:ln>
                  </pic:spPr>
                </pic:pic>
              </a:graphicData>
            </a:graphic>
          </wp:inline>
        </w:drawing>
      </w:r>
    </w:p>
    <w:p w14:paraId="5FDC4E9E" w14:textId="77777777" w:rsidR="000778F6" w:rsidRPr="0013396E" w:rsidRDefault="000778F6" w:rsidP="001F04FD">
      <w:pPr>
        <w:pStyle w:val="H2"/>
        <w:ind w:left="0" w:firstLine="0"/>
      </w:pPr>
      <w:bookmarkStart w:id="42" w:name="_Toc397504907"/>
      <w:bookmarkStart w:id="43" w:name="_Toc402357035"/>
      <w:bookmarkStart w:id="44" w:name="_Toc422486415"/>
      <w:bookmarkStart w:id="45" w:name="_Toc433093267"/>
      <w:bookmarkStart w:id="46" w:name="_Toc433093425"/>
      <w:bookmarkStart w:id="47" w:name="_Toc440874656"/>
      <w:bookmarkStart w:id="48" w:name="_Toc448142211"/>
      <w:bookmarkStart w:id="49" w:name="_Toc448142368"/>
      <w:bookmarkStart w:id="50" w:name="_Toc458770204"/>
      <w:bookmarkStart w:id="51" w:name="_Toc459294172"/>
      <w:bookmarkStart w:id="52" w:name="_Toc463262665"/>
      <w:bookmarkStart w:id="53" w:name="_Toc468286737"/>
      <w:bookmarkStart w:id="54" w:name="_Toc481502783"/>
      <w:bookmarkStart w:id="55" w:name="_Toc496079953"/>
    </w:p>
    <w:p w14:paraId="3C11A62C" w14:textId="77777777" w:rsidR="00B21480" w:rsidRDefault="00B21480" w:rsidP="001F04FD">
      <w:pPr>
        <w:pStyle w:val="H2"/>
        <w:ind w:left="0" w:firstLine="0"/>
      </w:pPr>
      <w:bookmarkStart w:id="56" w:name="_Toc119310177"/>
    </w:p>
    <w:p w14:paraId="46F2CEA1" w14:textId="77777777" w:rsidR="00B21480" w:rsidRDefault="00B21480" w:rsidP="001F04FD">
      <w:pPr>
        <w:pStyle w:val="H2"/>
        <w:ind w:left="0" w:firstLine="0"/>
      </w:pPr>
    </w:p>
    <w:p w14:paraId="1AB2433E" w14:textId="77777777" w:rsidR="00B21480" w:rsidRDefault="00B21480" w:rsidP="001F04FD">
      <w:pPr>
        <w:pStyle w:val="H2"/>
        <w:ind w:left="0" w:firstLine="0"/>
      </w:pPr>
    </w:p>
    <w:p w14:paraId="18ACB782" w14:textId="77777777" w:rsidR="00B21480" w:rsidRDefault="00B21480" w:rsidP="001F04FD">
      <w:pPr>
        <w:pStyle w:val="H2"/>
        <w:ind w:left="0" w:firstLine="0"/>
      </w:pPr>
    </w:p>
    <w:p w14:paraId="62E0798A" w14:textId="77777777" w:rsidR="00B21480" w:rsidRDefault="00B21480" w:rsidP="001F04FD">
      <w:pPr>
        <w:pStyle w:val="H2"/>
        <w:ind w:left="0" w:firstLine="0"/>
      </w:pPr>
    </w:p>
    <w:p w14:paraId="65628A07" w14:textId="77777777" w:rsidR="00B21480" w:rsidRDefault="00B21480" w:rsidP="001F04FD">
      <w:pPr>
        <w:pStyle w:val="H2"/>
        <w:ind w:left="0" w:firstLine="0"/>
      </w:pPr>
    </w:p>
    <w:p w14:paraId="29A29D6A" w14:textId="77777777" w:rsidR="00B21480" w:rsidRDefault="00B21480" w:rsidP="001F04FD">
      <w:pPr>
        <w:pStyle w:val="H2"/>
        <w:ind w:left="0" w:firstLine="0"/>
      </w:pPr>
    </w:p>
    <w:p w14:paraId="5CC8DA02" w14:textId="77777777" w:rsidR="00B21480" w:rsidRDefault="00B21480" w:rsidP="001F04FD">
      <w:pPr>
        <w:pStyle w:val="H2"/>
        <w:ind w:left="0" w:firstLine="0"/>
      </w:pPr>
    </w:p>
    <w:p w14:paraId="3DA72608" w14:textId="77777777" w:rsidR="00B21480" w:rsidRDefault="00B21480" w:rsidP="001F04FD">
      <w:pPr>
        <w:pStyle w:val="H2"/>
        <w:ind w:left="0" w:firstLine="0"/>
      </w:pPr>
    </w:p>
    <w:p w14:paraId="184F9B0A" w14:textId="77777777" w:rsidR="00B21480" w:rsidRPr="00B21480" w:rsidRDefault="00B21480" w:rsidP="007A1E53">
      <w:pPr>
        <w:pStyle w:val="BodyText"/>
      </w:pPr>
    </w:p>
    <w:p w14:paraId="613DE931" w14:textId="1D50BE74" w:rsidR="001F04FD" w:rsidRPr="0013396E" w:rsidRDefault="001F04FD" w:rsidP="001F04FD">
      <w:pPr>
        <w:pStyle w:val="H2"/>
        <w:ind w:left="0" w:firstLine="0"/>
      </w:pPr>
      <w:bookmarkStart w:id="57" w:name="_Toc214878858"/>
      <w:r w:rsidRPr="0013396E">
        <w:lastRenderedPageBreak/>
        <w:t>6.3</w:t>
      </w:r>
      <w:r w:rsidRPr="0013396E">
        <w:tab/>
        <w:t>Adjustment Period and Real-Time Operations Timeline</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p>
    <w:p w14:paraId="2F9E9E72" w14:textId="77777777" w:rsidR="001D4369" w:rsidRPr="0013396E" w:rsidRDefault="001D4369" w:rsidP="001D4369">
      <w:pPr>
        <w:pStyle w:val="Instructions"/>
        <w:spacing w:before="120"/>
        <w:ind w:left="690" w:hanging="690"/>
        <w:rPr>
          <w:b w:val="0"/>
          <w:i w:val="0"/>
        </w:rPr>
      </w:pPr>
      <w:r w:rsidRPr="0013396E">
        <w:rPr>
          <w:b w:val="0"/>
          <w:i w:val="0"/>
          <w:szCs w:val="20"/>
        </w:rPr>
        <w:t>(1)</w:t>
      </w:r>
      <w:r w:rsidRPr="0013396E">
        <w:rPr>
          <w:b w:val="0"/>
          <w:i w:val="0"/>
          <w:szCs w:val="20"/>
        </w:rPr>
        <w:tab/>
        <w:t>The figure below highlights the major activities that occur in the Adjustment Period and Real-Time operations:</w:t>
      </w:r>
    </w:p>
    <w:p w14:paraId="733156AD" w14:textId="72535513" w:rsidR="001D4369" w:rsidRPr="0013396E" w:rsidRDefault="001D4369" w:rsidP="001D4369">
      <w:pPr>
        <w:pStyle w:val="Instructions"/>
        <w:spacing w:before="120"/>
      </w:pPr>
      <w:r w:rsidRPr="0013396E">
        <w:rPr>
          <w:b w:val="0"/>
          <w:bCs/>
          <w:i w:val="0"/>
          <w:noProof/>
          <w:sz w:val="20"/>
          <w:szCs w:val="20"/>
        </w:rPr>
        <mc:AlternateContent>
          <mc:Choice Requires="wpc">
            <w:drawing>
              <wp:anchor distT="0" distB="0" distL="114300" distR="114300" simplePos="0" relativeHeight="251697152" behindDoc="0" locked="0" layoutInCell="1" allowOverlap="1" wp14:anchorId="4C838C7E" wp14:editId="58F5D3A6">
                <wp:simplePos x="0" y="0"/>
                <wp:positionH relativeFrom="column">
                  <wp:posOffset>130175</wp:posOffset>
                </wp:positionH>
                <wp:positionV relativeFrom="paragraph">
                  <wp:posOffset>122251</wp:posOffset>
                </wp:positionV>
                <wp:extent cx="5372100" cy="3479165"/>
                <wp:effectExtent l="0" t="0" r="19050" b="0"/>
                <wp:wrapNone/>
                <wp:docPr id="1797423834" name="Canvas 44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g:wgp>
                        <wpg:cNvPr id="839316906" name="Group 117"/>
                        <wpg:cNvGrpSpPr>
                          <a:grpSpLocks/>
                        </wpg:cNvGrpSpPr>
                        <wpg:grpSpPr bwMode="auto">
                          <a:xfrm>
                            <a:off x="80000" y="882616"/>
                            <a:ext cx="5265400" cy="1565329"/>
                            <a:chOff x="2007" y="3420"/>
                            <a:chExt cx="8292" cy="2465"/>
                          </a:xfrm>
                        </wpg:grpSpPr>
                        <wps:wsp>
                          <wps:cNvPr id="1799225380" name="Freeform 118"/>
                          <wps:cNvSpPr>
                            <a:spLocks/>
                          </wps:cNvSpPr>
                          <wps:spPr bwMode="auto">
                            <a:xfrm>
                              <a:off x="2007" y="3420"/>
                              <a:ext cx="8292" cy="2465"/>
                            </a:xfrm>
                            <a:custGeom>
                              <a:avLst/>
                              <a:gdLst>
                                <a:gd name="T0" fmla="*/ 6219 w 8292"/>
                                <a:gd name="T1" fmla="*/ 0 h 2465"/>
                                <a:gd name="T2" fmla="*/ 6219 w 8292"/>
                                <a:gd name="T3" fmla="*/ 616 h 2465"/>
                                <a:gd name="T4" fmla="*/ 0 w 8292"/>
                                <a:gd name="T5" fmla="*/ 616 h 2465"/>
                                <a:gd name="T6" fmla="*/ 0 w 8292"/>
                                <a:gd name="T7" fmla="*/ 1849 h 2465"/>
                                <a:gd name="T8" fmla="*/ 6219 w 8292"/>
                                <a:gd name="T9" fmla="*/ 1849 h 2465"/>
                                <a:gd name="T10" fmla="*/ 6219 w 8292"/>
                                <a:gd name="T11" fmla="*/ 2465 h 2465"/>
                                <a:gd name="T12" fmla="*/ 8292 w 8292"/>
                                <a:gd name="T13" fmla="*/ 1233 h 2465"/>
                                <a:gd name="T14" fmla="*/ 6219 w 8292"/>
                                <a:gd name="T15" fmla="*/ 0 h 2465"/>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8292" h="2465">
                                  <a:moveTo>
                                    <a:pt x="6219" y="0"/>
                                  </a:moveTo>
                                  <a:lnTo>
                                    <a:pt x="6219" y="616"/>
                                  </a:lnTo>
                                  <a:lnTo>
                                    <a:pt x="0" y="616"/>
                                  </a:lnTo>
                                  <a:lnTo>
                                    <a:pt x="0" y="1849"/>
                                  </a:lnTo>
                                  <a:lnTo>
                                    <a:pt x="6219" y="1849"/>
                                  </a:lnTo>
                                  <a:lnTo>
                                    <a:pt x="6219" y="2465"/>
                                  </a:lnTo>
                                  <a:lnTo>
                                    <a:pt x="8292" y="1233"/>
                                  </a:lnTo>
                                  <a:lnTo>
                                    <a:pt x="6219" y="0"/>
                                  </a:lnTo>
                                  <a:close/>
                                </a:path>
                              </a:pathLst>
                            </a:custGeom>
                            <a:solidFill>
                              <a:srgbClr val="BBE0E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203339" name="Freeform 119"/>
                          <wps:cNvSpPr>
                            <a:spLocks/>
                          </wps:cNvSpPr>
                          <wps:spPr bwMode="auto">
                            <a:xfrm>
                              <a:off x="2007" y="3420"/>
                              <a:ext cx="8292" cy="2465"/>
                            </a:xfrm>
                            <a:custGeom>
                              <a:avLst/>
                              <a:gdLst>
                                <a:gd name="T0" fmla="*/ 6219 w 8292"/>
                                <a:gd name="T1" fmla="*/ 0 h 2465"/>
                                <a:gd name="T2" fmla="*/ 6219 w 8292"/>
                                <a:gd name="T3" fmla="*/ 616 h 2465"/>
                                <a:gd name="T4" fmla="*/ 0 w 8292"/>
                                <a:gd name="T5" fmla="*/ 616 h 2465"/>
                                <a:gd name="T6" fmla="*/ 0 w 8292"/>
                                <a:gd name="T7" fmla="*/ 1849 h 2465"/>
                                <a:gd name="T8" fmla="*/ 6219 w 8292"/>
                                <a:gd name="T9" fmla="*/ 1849 h 2465"/>
                                <a:gd name="T10" fmla="*/ 6219 w 8292"/>
                                <a:gd name="T11" fmla="*/ 2465 h 2465"/>
                                <a:gd name="T12" fmla="*/ 8292 w 8292"/>
                                <a:gd name="T13" fmla="*/ 1233 h 2465"/>
                                <a:gd name="T14" fmla="*/ 6219 w 8292"/>
                                <a:gd name="T15" fmla="*/ 0 h 2465"/>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8292" h="2465">
                                  <a:moveTo>
                                    <a:pt x="6219" y="0"/>
                                  </a:moveTo>
                                  <a:lnTo>
                                    <a:pt x="6219" y="616"/>
                                  </a:lnTo>
                                  <a:lnTo>
                                    <a:pt x="0" y="616"/>
                                  </a:lnTo>
                                  <a:lnTo>
                                    <a:pt x="0" y="1849"/>
                                  </a:lnTo>
                                  <a:lnTo>
                                    <a:pt x="6219" y="1849"/>
                                  </a:lnTo>
                                  <a:lnTo>
                                    <a:pt x="6219" y="2465"/>
                                  </a:lnTo>
                                  <a:lnTo>
                                    <a:pt x="8292" y="1233"/>
                                  </a:lnTo>
                                  <a:lnTo>
                                    <a:pt x="6219" y="0"/>
                                  </a:lnTo>
                                  <a:close/>
                                </a:path>
                              </a:pathLst>
                            </a:custGeom>
                            <a:noFill/>
                            <a:ln w="21"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1947971952" name="Group 120"/>
                        <wpg:cNvGrpSpPr>
                          <a:grpSpLocks/>
                        </wpg:cNvGrpSpPr>
                        <wpg:grpSpPr bwMode="auto">
                          <a:xfrm>
                            <a:off x="927700" y="1323925"/>
                            <a:ext cx="1604000" cy="281305"/>
                            <a:chOff x="3342" y="4115"/>
                            <a:chExt cx="2526" cy="443"/>
                          </a:xfrm>
                        </wpg:grpSpPr>
                        <wps:wsp>
                          <wps:cNvPr id="1412536197" name="Freeform 121"/>
                          <wps:cNvSpPr>
                            <a:spLocks/>
                          </wps:cNvSpPr>
                          <wps:spPr bwMode="auto">
                            <a:xfrm>
                              <a:off x="3342" y="4115"/>
                              <a:ext cx="2526" cy="443"/>
                            </a:xfrm>
                            <a:custGeom>
                              <a:avLst/>
                              <a:gdLst>
                                <a:gd name="T0" fmla="*/ 12 w 15966"/>
                                <a:gd name="T1" fmla="*/ 0 h 2800"/>
                                <a:gd name="T2" fmla="*/ 0 w 15966"/>
                                <a:gd name="T3" fmla="*/ 12 h 2800"/>
                                <a:gd name="T4" fmla="*/ 0 w 15966"/>
                                <a:gd name="T5" fmla="*/ 58 h 2800"/>
                                <a:gd name="T6" fmla="*/ 12 w 15966"/>
                                <a:gd name="T7" fmla="*/ 70 h 2800"/>
                                <a:gd name="T8" fmla="*/ 388 w 15966"/>
                                <a:gd name="T9" fmla="*/ 70 h 2800"/>
                                <a:gd name="T10" fmla="*/ 400 w 15966"/>
                                <a:gd name="T11" fmla="*/ 58 h 2800"/>
                                <a:gd name="T12" fmla="*/ 400 w 15966"/>
                                <a:gd name="T13" fmla="*/ 12 h 2800"/>
                                <a:gd name="T14" fmla="*/ 388 w 15966"/>
                                <a:gd name="T15" fmla="*/ 0 h 2800"/>
                                <a:gd name="T16" fmla="*/ 12 w 15966"/>
                                <a:gd name="T17" fmla="*/ 0 h 28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5966" h="2800">
                                  <a:moveTo>
                                    <a:pt x="466" y="0"/>
                                  </a:moveTo>
                                  <a:cubicBezTo>
                                    <a:pt x="209" y="0"/>
                                    <a:pt x="0" y="209"/>
                                    <a:pt x="0" y="467"/>
                                  </a:cubicBezTo>
                                  <a:lnTo>
                                    <a:pt x="0" y="2334"/>
                                  </a:lnTo>
                                  <a:cubicBezTo>
                                    <a:pt x="0" y="2592"/>
                                    <a:pt x="209" y="2800"/>
                                    <a:pt x="466" y="2800"/>
                                  </a:cubicBezTo>
                                  <a:lnTo>
                                    <a:pt x="15500" y="2800"/>
                                  </a:lnTo>
                                  <a:cubicBezTo>
                                    <a:pt x="15758" y="2800"/>
                                    <a:pt x="15966" y="2592"/>
                                    <a:pt x="15966" y="2334"/>
                                  </a:cubicBezTo>
                                  <a:lnTo>
                                    <a:pt x="15966" y="467"/>
                                  </a:lnTo>
                                  <a:cubicBezTo>
                                    <a:pt x="15966" y="209"/>
                                    <a:pt x="15758" y="0"/>
                                    <a:pt x="15500" y="0"/>
                                  </a:cubicBezTo>
                                  <a:lnTo>
                                    <a:pt x="466" y="0"/>
                                  </a:lnTo>
                                  <a:close/>
                                </a:path>
                              </a:pathLst>
                            </a:custGeom>
                            <a:solidFill>
                              <a:srgbClr val="333399"/>
                            </a:solidFill>
                            <a:ln w="0">
                              <a:solidFill>
                                <a:srgbClr val="000000"/>
                              </a:solidFill>
                              <a:round/>
                              <a:headEnd/>
                              <a:tailEnd/>
                            </a:ln>
                          </wps:spPr>
                          <wps:bodyPr rot="0" vert="horz" wrap="square" lIns="91440" tIns="45720" rIns="91440" bIns="45720" anchor="t" anchorCtr="0" upright="1">
                            <a:noAutofit/>
                          </wps:bodyPr>
                        </wps:wsp>
                        <wps:wsp>
                          <wps:cNvPr id="1993019686" name="Freeform 122"/>
                          <wps:cNvSpPr>
                            <a:spLocks/>
                          </wps:cNvSpPr>
                          <wps:spPr bwMode="auto">
                            <a:xfrm>
                              <a:off x="3342" y="4115"/>
                              <a:ext cx="2526" cy="443"/>
                            </a:xfrm>
                            <a:custGeom>
                              <a:avLst/>
                              <a:gdLst>
                                <a:gd name="T0" fmla="*/ 12 w 15966"/>
                                <a:gd name="T1" fmla="*/ 0 h 2800"/>
                                <a:gd name="T2" fmla="*/ 0 w 15966"/>
                                <a:gd name="T3" fmla="*/ 12 h 2800"/>
                                <a:gd name="T4" fmla="*/ 0 w 15966"/>
                                <a:gd name="T5" fmla="*/ 58 h 2800"/>
                                <a:gd name="T6" fmla="*/ 12 w 15966"/>
                                <a:gd name="T7" fmla="*/ 70 h 2800"/>
                                <a:gd name="T8" fmla="*/ 388 w 15966"/>
                                <a:gd name="T9" fmla="*/ 70 h 2800"/>
                                <a:gd name="T10" fmla="*/ 400 w 15966"/>
                                <a:gd name="T11" fmla="*/ 58 h 2800"/>
                                <a:gd name="T12" fmla="*/ 400 w 15966"/>
                                <a:gd name="T13" fmla="*/ 12 h 2800"/>
                                <a:gd name="T14" fmla="*/ 388 w 15966"/>
                                <a:gd name="T15" fmla="*/ 0 h 2800"/>
                                <a:gd name="T16" fmla="*/ 12 w 15966"/>
                                <a:gd name="T17" fmla="*/ 0 h 28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5966" h="2800">
                                  <a:moveTo>
                                    <a:pt x="466" y="0"/>
                                  </a:moveTo>
                                  <a:cubicBezTo>
                                    <a:pt x="209" y="0"/>
                                    <a:pt x="0" y="209"/>
                                    <a:pt x="0" y="467"/>
                                  </a:cubicBezTo>
                                  <a:lnTo>
                                    <a:pt x="0" y="2334"/>
                                  </a:lnTo>
                                  <a:cubicBezTo>
                                    <a:pt x="0" y="2592"/>
                                    <a:pt x="209" y="2800"/>
                                    <a:pt x="466" y="2800"/>
                                  </a:cubicBezTo>
                                  <a:lnTo>
                                    <a:pt x="15500" y="2800"/>
                                  </a:lnTo>
                                  <a:cubicBezTo>
                                    <a:pt x="15758" y="2800"/>
                                    <a:pt x="15966" y="2592"/>
                                    <a:pt x="15966" y="2334"/>
                                  </a:cubicBezTo>
                                  <a:lnTo>
                                    <a:pt x="15966" y="467"/>
                                  </a:lnTo>
                                  <a:cubicBezTo>
                                    <a:pt x="15966" y="209"/>
                                    <a:pt x="15758" y="0"/>
                                    <a:pt x="15500" y="0"/>
                                  </a:cubicBezTo>
                                  <a:lnTo>
                                    <a:pt x="466" y="0"/>
                                  </a:lnTo>
                                  <a:close/>
                                </a:path>
                              </a:pathLst>
                            </a:custGeom>
                            <a:noFill/>
                            <a:ln w="8"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1886268667" name="Rectangle 123"/>
                        <wps:cNvSpPr>
                          <a:spLocks noChangeArrowheads="1"/>
                        </wps:cNvSpPr>
                        <wps:spPr bwMode="auto">
                          <a:xfrm>
                            <a:off x="1297900" y="1326525"/>
                            <a:ext cx="91059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E50E55" w14:textId="77777777" w:rsidR="001D4369" w:rsidRDefault="001D4369" w:rsidP="001D4369">
                              <w:r>
                                <w:rPr>
                                  <w:rFonts w:ascii="Arial" w:hAnsi="Arial" w:cs="Arial"/>
                                  <w:b/>
                                  <w:bCs/>
                                  <w:color w:val="FFFFFF"/>
                                  <w:sz w:val="20"/>
                                </w:rPr>
                                <w:t>Preparation for</w:t>
                              </w:r>
                            </w:p>
                          </w:txbxContent>
                        </wps:txbx>
                        <wps:bodyPr rot="0" vert="horz" wrap="none" lIns="0" tIns="0" rIns="0" bIns="0" anchor="t" anchorCtr="0" upright="1">
                          <a:spAutoFit/>
                        </wps:bodyPr>
                      </wps:wsp>
                      <wps:wsp>
                        <wps:cNvPr id="1497627003" name="Rectangle 124"/>
                        <wps:cNvSpPr>
                          <a:spLocks noChangeArrowheads="1"/>
                        </wps:cNvSpPr>
                        <wps:spPr bwMode="auto">
                          <a:xfrm>
                            <a:off x="1308100" y="1471327"/>
                            <a:ext cx="26860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B1CBD3" w14:textId="77777777" w:rsidR="001D4369" w:rsidRDefault="001D4369" w:rsidP="001D4369">
                              <w:r>
                                <w:rPr>
                                  <w:rFonts w:ascii="Arial" w:hAnsi="Arial" w:cs="Arial"/>
                                  <w:b/>
                                  <w:bCs/>
                                  <w:color w:val="FFFFFF"/>
                                  <w:sz w:val="20"/>
                                </w:rPr>
                                <w:t>Real</w:t>
                              </w:r>
                            </w:p>
                          </w:txbxContent>
                        </wps:txbx>
                        <wps:bodyPr rot="0" vert="horz" wrap="none" lIns="0" tIns="0" rIns="0" bIns="0" anchor="t" anchorCtr="0" upright="1">
                          <a:spAutoFit/>
                        </wps:bodyPr>
                      </wps:wsp>
                      <wps:wsp>
                        <wps:cNvPr id="828544592" name="Rectangle 125"/>
                        <wps:cNvSpPr>
                          <a:spLocks noChangeArrowheads="1"/>
                        </wps:cNvSpPr>
                        <wps:spPr bwMode="auto">
                          <a:xfrm>
                            <a:off x="1562100" y="1471327"/>
                            <a:ext cx="4254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697BA3" w14:textId="77777777" w:rsidR="001D4369" w:rsidRDefault="001D4369" w:rsidP="001D4369">
                              <w:r>
                                <w:rPr>
                                  <w:rFonts w:ascii="Arial" w:hAnsi="Arial" w:cs="Arial"/>
                                  <w:b/>
                                  <w:bCs/>
                                  <w:color w:val="FFFFFF"/>
                                  <w:sz w:val="20"/>
                                </w:rPr>
                                <w:t>-</w:t>
                              </w:r>
                            </w:p>
                          </w:txbxContent>
                        </wps:txbx>
                        <wps:bodyPr rot="0" vert="horz" wrap="none" lIns="0" tIns="0" rIns="0" bIns="0" anchor="t" anchorCtr="0" upright="1">
                          <a:spAutoFit/>
                        </wps:bodyPr>
                      </wps:wsp>
                      <wps:wsp>
                        <wps:cNvPr id="782260554" name="Rectangle 126"/>
                        <wps:cNvSpPr>
                          <a:spLocks noChangeArrowheads="1"/>
                        </wps:cNvSpPr>
                        <wps:spPr bwMode="auto">
                          <a:xfrm>
                            <a:off x="1602100" y="1471327"/>
                            <a:ext cx="57912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73CC60" w14:textId="77777777" w:rsidR="001D4369" w:rsidRDefault="001D4369" w:rsidP="001D4369">
                              <w:r>
                                <w:rPr>
                                  <w:rFonts w:ascii="Arial" w:hAnsi="Arial" w:cs="Arial"/>
                                  <w:b/>
                                  <w:bCs/>
                                  <w:color w:val="FFFFFF"/>
                                  <w:sz w:val="20"/>
                                </w:rPr>
                                <w:t>Time Ops</w:t>
                              </w:r>
                            </w:p>
                          </w:txbxContent>
                        </wps:txbx>
                        <wps:bodyPr rot="0" vert="horz" wrap="none" lIns="0" tIns="0" rIns="0" bIns="0" anchor="t" anchorCtr="0" upright="1">
                          <a:spAutoFit/>
                        </wps:bodyPr>
                      </wps:wsp>
                      <wpg:wgp>
                        <wpg:cNvPr id="2110426919" name="Group 127"/>
                        <wpg:cNvGrpSpPr>
                          <a:grpSpLocks/>
                        </wpg:cNvGrpSpPr>
                        <wpg:grpSpPr bwMode="auto">
                          <a:xfrm>
                            <a:off x="160600" y="1323925"/>
                            <a:ext cx="723300" cy="682713"/>
                            <a:chOff x="2134" y="4115"/>
                            <a:chExt cx="1139" cy="1075"/>
                          </a:xfrm>
                        </wpg:grpSpPr>
                        <wps:wsp>
                          <wps:cNvPr id="36778401" name="Freeform 128"/>
                          <wps:cNvSpPr>
                            <a:spLocks/>
                          </wps:cNvSpPr>
                          <wps:spPr bwMode="auto">
                            <a:xfrm>
                              <a:off x="2134" y="4115"/>
                              <a:ext cx="1139" cy="1075"/>
                            </a:xfrm>
                            <a:custGeom>
                              <a:avLst/>
                              <a:gdLst>
                                <a:gd name="T0" fmla="*/ 28 w 7200"/>
                                <a:gd name="T1" fmla="*/ 0 h 6800"/>
                                <a:gd name="T2" fmla="*/ 0 w 7200"/>
                                <a:gd name="T3" fmla="*/ 28 h 6800"/>
                                <a:gd name="T4" fmla="*/ 0 w 7200"/>
                                <a:gd name="T5" fmla="*/ 142 h 6800"/>
                                <a:gd name="T6" fmla="*/ 28 w 7200"/>
                                <a:gd name="T7" fmla="*/ 170 h 6800"/>
                                <a:gd name="T8" fmla="*/ 152 w 7200"/>
                                <a:gd name="T9" fmla="*/ 170 h 6800"/>
                                <a:gd name="T10" fmla="*/ 180 w 7200"/>
                                <a:gd name="T11" fmla="*/ 142 h 6800"/>
                                <a:gd name="T12" fmla="*/ 180 w 7200"/>
                                <a:gd name="T13" fmla="*/ 28 h 6800"/>
                                <a:gd name="T14" fmla="*/ 152 w 7200"/>
                                <a:gd name="T15" fmla="*/ 0 h 6800"/>
                                <a:gd name="T16" fmla="*/ 28 w 7200"/>
                                <a:gd name="T17" fmla="*/ 0 h 68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7200" h="6800">
                                  <a:moveTo>
                                    <a:pt x="1134" y="0"/>
                                  </a:moveTo>
                                  <a:cubicBezTo>
                                    <a:pt x="508" y="0"/>
                                    <a:pt x="0" y="508"/>
                                    <a:pt x="0" y="1134"/>
                                  </a:cubicBezTo>
                                  <a:lnTo>
                                    <a:pt x="0" y="5667"/>
                                  </a:lnTo>
                                  <a:cubicBezTo>
                                    <a:pt x="0" y="6293"/>
                                    <a:pt x="508" y="6800"/>
                                    <a:pt x="1134" y="6800"/>
                                  </a:cubicBezTo>
                                  <a:lnTo>
                                    <a:pt x="6067" y="6800"/>
                                  </a:lnTo>
                                  <a:cubicBezTo>
                                    <a:pt x="6693" y="6800"/>
                                    <a:pt x="7200" y="6293"/>
                                    <a:pt x="7200" y="5667"/>
                                  </a:cubicBezTo>
                                  <a:lnTo>
                                    <a:pt x="7200" y="1134"/>
                                  </a:lnTo>
                                  <a:cubicBezTo>
                                    <a:pt x="7200" y="508"/>
                                    <a:pt x="6693" y="0"/>
                                    <a:pt x="6067" y="0"/>
                                  </a:cubicBezTo>
                                  <a:lnTo>
                                    <a:pt x="1134" y="0"/>
                                  </a:lnTo>
                                  <a:close/>
                                </a:path>
                              </a:pathLst>
                            </a:custGeom>
                            <a:solidFill>
                              <a:srgbClr val="333399"/>
                            </a:solidFill>
                            <a:ln w="0">
                              <a:solidFill>
                                <a:srgbClr val="000000"/>
                              </a:solidFill>
                              <a:round/>
                              <a:headEnd/>
                              <a:tailEnd/>
                            </a:ln>
                          </wps:spPr>
                          <wps:bodyPr rot="0" vert="horz" wrap="square" lIns="91440" tIns="45720" rIns="91440" bIns="45720" anchor="t" anchorCtr="0" upright="1">
                            <a:noAutofit/>
                          </wps:bodyPr>
                        </wps:wsp>
                        <wps:wsp>
                          <wps:cNvPr id="1074305229" name="Freeform 129"/>
                          <wps:cNvSpPr>
                            <a:spLocks/>
                          </wps:cNvSpPr>
                          <wps:spPr bwMode="auto">
                            <a:xfrm>
                              <a:off x="2134" y="4115"/>
                              <a:ext cx="1139" cy="1075"/>
                            </a:xfrm>
                            <a:custGeom>
                              <a:avLst/>
                              <a:gdLst>
                                <a:gd name="T0" fmla="*/ 28 w 7200"/>
                                <a:gd name="T1" fmla="*/ 0 h 6800"/>
                                <a:gd name="T2" fmla="*/ 0 w 7200"/>
                                <a:gd name="T3" fmla="*/ 28 h 6800"/>
                                <a:gd name="T4" fmla="*/ 0 w 7200"/>
                                <a:gd name="T5" fmla="*/ 142 h 6800"/>
                                <a:gd name="T6" fmla="*/ 28 w 7200"/>
                                <a:gd name="T7" fmla="*/ 170 h 6800"/>
                                <a:gd name="T8" fmla="*/ 152 w 7200"/>
                                <a:gd name="T9" fmla="*/ 170 h 6800"/>
                                <a:gd name="T10" fmla="*/ 180 w 7200"/>
                                <a:gd name="T11" fmla="*/ 142 h 6800"/>
                                <a:gd name="T12" fmla="*/ 180 w 7200"/>
                                <a:gd name="T13" fmla="*/ 28 h 6800"/>
                                <a:gd name="T14" fmla="*/ 152 w 7200"/>
                                <a:gd name="T15" fmla="*/ 0 h 6800"/>
                                <a:gd name="T16" fmla="*/ 28 w 7200"/>
                                <a:gd name="T17" fmla="*/ 0 h 68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7200" h="6800">
                                  <a:moveTo>
                                    <a:pt x="1134" y="0"/>
                                  </a:moveTo>
                                  <a:cubicBezTo>
                                    <a:pt x="508" y="0"/>
                                    <a:pt x="0" y="508"/>
                                    <a:pt x="0" y="1134"/>
                                  </a:cubicBezTo>
                                  <a:lnTo>
                                    <a:pt x="0" y="5667"/>
                                  </a:lnTo>
                                  <a:cubicBezTo>
                                    <a:pt x="0" y="6293"/>
                                    <a:pt x="508" y="6800"/>
                                    <a:pt x="1134" y="6800"/>
                                  </a:cubicBezTo>
                                  <a:lnTo>
                                    <a:pt x="6067" y="6800"/>
                                  </a:lnTo>
                                  <a:cubicBezTo>
                                    <a:pt x="6693" y="6800"/>
                                    <a:pt x="7200" y="6293"/>
                                    <a:pt x="7200" y="5667"/>
                                  </a:cubicBezTo>
                                  <a:lnTo>
                                    <a:pt x="7200" y="1134"/>
                                  </a:lnTo>
                                  <a:cubicBezTo>
                                    <a:pt x="7200" y="508"/>
                                    <a:pt x="6693" y="0"/>
                                    <a:pt x="6067" y="0"/>
                                  </a:cubicBezTo>
                                  <a:lnTo>
                                    <a:pt x="1134" y="0"/>
                                  </a:lnTo>
                                  <a:close/>
                                </a:path>
                              </a:pathLst>
                            </a:custGeom>
                            <a:noFill/>
                            <a:ln w="8"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2125658208" name="Rectangle 130"/>
                        <wps:cNvSpPr>
                          <a:spLocks noChangeArrowheads="1"/>
                        </wps:cNvSpPr>
                        <wps:spPr bwMode="auto">
                          <a:xfrm>
                            <a:off x="221000" y="1598930"/>
                            <a:ext cx="6356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363445" w14:textId="77777777" w:rsidR="001D4369" w:rsidRDefault="001D4369" w:rsidP="001D4369">
                              <w:r>
                                <w:rPr>
                                  <w:rFonts w:ascii="Arial" w:hAnsi="Arial" w:cs="Arial"/>
                                  <w:b/>
                                  <w:bCs/>
                                  <w:color w:val="FFFFFF"/>
                                  <w:sz w:val="20"/>
                                </w:rPr>
                                <w:t>Adj Period</w:t>
                              </w:r>
                            </w:p>
                          </w:txbxContent>
                        </wps:txbx>
                        <wps:bodyPr rot="0" vert="horz" wrap="none" lIns="0" tIns="0" rIns="0" bIns="0" anchor="t" anchorCtr="0" upright="1">
                          <a:spAutoFit/>
                        </wps:bodyPr>
                      </wps:wsp>
                      <wps:wsp>
                        <wps:cNvPr id="1533975182" name="Rectangle 131"/>
                        <wps:cNvSpPr>
                          <a:spLocks noChangeArrowheads="1"/>
                        </wps:cNvSpPr>
                        <wps:spPr bwMode="auto">
                          <a:xfrm>
                            <a:off x="48300" y="2301243"/>
                            <a:ext cx="32512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E52C03" w14:textId="77777777" w:rsidR="001D4369" w:rsidRDefault="001D4369" w:rsidP="001D4369">
                              <w:r>
                                <w:rPr>
                                  <w:rFonts w:ascii="Arial" w:hAnsi="Arial" w:cs="Arial"/>
                                  <w:b/>
                                  <w:bCs/>
                                  <w:color w:val="000000"/>
                                  <w:sz w:val="20"/>
                                </w:rPr>
                                <w:t>18:00</w:t>
                              </w:r>
                            </w:p>
                          </w:txbxContent>
                        </wps:txbx>
                        <wps:bodyPr rot="0" vert="horz" wrap="none" lIns="0" tIns="0" rIns="0" bIns="0" anchor="t" anchorCtr="0" upright="1">
                          <a:spAutoFit/>
                        </wps:bodyPr>
                      </wps:wsp>
                      <wps:wsp>
                        <wps:cNvPr id="1068829149" name="Rectangle 132"/>
                        <wps:cNvSpPr>
                          <a:spLocks noChangeArrowheads="1"/>
                        </wps:cNvSpPr>
                        <wps:spPr bwMode="auto">
                          <a:xfrm>
                            <a:off x="48300" y="2446046"/>
                            <a:ext cx="13462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504F3E" w14:textId="77777777" w:rsidR="001D4369" w:rsidRDefault="001D4369" w:rsidP="001D4369">
                              <w:r>
                                <w:rPr>
                                  <w:rFonts w:ascii="Arial" w:hAnsi="Arial" w:cs="Arial"/>
                                  <w:b/>
                                  <w:bCs/>
                                  <w:color w:val="000000"/>
                                  <w:sz w:val="20"/>
                                </w:rPr>
                                <w:t xml:space="preserve">(D </w:t>
                              </w:r>
                            </w:p>
                          </w:txbxContent>
                        </wps:txbx>
                        <wps:bodyPr rot="0" vert="horz" wrap="none" lIns="0" tIns="0" rIns="0" bIns="0" anchor="t" anchorCtr="0" upright="1">
                          <a:spAutoFit/>
                        </wps:bodyPr>
                      </wps:wsp>
                      <wps:wsp>
                        <wps:cNvPr id="1244010377" name="Rectangle 133"/>
                        <wps:cNvSpPr>
                          <a:spLocks noChangeArrowheads="1"/>
                        </wps:cNvSpPr>
                        <wps:spPr bwMode="auto">
                          <a:xfrm>
                            <a:off x="208900" y="2446046"/>
                            <a:ext cx="7112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6F9B0E" w14:textId="77777777" w:rsidR="001D4369" w:rsidRDefault="001D4369" w:rsidP="001D4369">
                              <w:r>
                                <w:rPr>
                                  <w:rFonts w:ascii="Arial" w:hAnsi="Arial" w:cs="Arial"/>
                                  <w:b/>
                                  <w:bCs/>
                                  <w:color w:val="000000"/>
                                  <w:sz w:val="20"/>
                                </w:rPr>
                                <w:t>–</w:t>
                              </w:r>
                            </w:p>
                          </w:txbxContent>
                        </wps:txbx>
                        <wps:bodyPr rot="0" vert="horz" wrap="none" lIns="0" tIns="0" rIns="0" bIns="0" anchor="t" anchorCtr="0" upright="1">
                          <a:spAutoFit/>
                        </wps:bodyPr>
                      </wps:wsp>
                      <wps:wsp>
                        <wps:cNvPr id="1713046920" name="Rectangle 134"/>
                        <wps:cNvSpPr>
                          <a:spLocks noChangeArrowheads="1"/>
                        </wps:cNvSpPr>
                        <wps:spPr bwMode="auto">
                          <a:xfrm>
                            <a:off x="309200" y="2446046"/>
                            <a:ext cx="11303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2FEE94" w14:textId="77777777" w:rsidR="001D4369" w:rsidRDefault="001D4369" w:rsidP="001D4369">
                              <w:r>
                                <w:rPr>
                                  <w:rFonts w:ascii="Arial" w:hAnsi="Arial" w:cs="Arial"/>
                                  <w:b/>
                                  <w:bCs/>
                                  <w:color w:val="000000"/>
                                  <w:sz w:val="20"/>
                                </w:rPr>
                                <w:t>1)</w:t>
                              </w:r>
                            </w:p>
                          </w:txbxContent>
                        </wps:txbx>
                        <wps:bodyPr rot="0" vert="horz" wrap="none" lIns="0" tIns="0" rIns="0" bIns="0" anchor="t" anchorCtr="0" upright="1">
                          <a:spAutoFit/>
                        </wps:bodyPr>
                      </wps:wsp>
                      <wps:wsp>
                        <wps:cNvPr id="2037959410" name="Rectangle 135"/>
                        <wps:cNvSpPr>
                          <a:spLocks noChangeArrowheads="1"/>
                        </wps:cNvSpPr>
                        <wps:spPr bwMode="auto">
                          <a:xfrm>
                            <a:off x="552500" y="2316443"/>
                            <a:ext cx="65659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FB51A3" w14:textId="77777777" w:rsidR="001D4369" w:rsidRDefault="001D4369" w:rsidP="001D4369">
                              <w:r>
                                <w:rPr>
                                  <w:rFonts w:ascii="Arial" w:hAnsi="Arial" w:cs="Arial"/>
                                  <w:b/>
                                  <w:bCs/>
                                  <w:color w:val="000000"/>
                                  <w:sz w:val="20"/>
                                </w:rPr>
                                <w:t>60 Minutes</w:t>
                              </w:r>
                            </w:p>
                          </w:txbxContent>
                        </wps:txbx>
                        <wps:bodyPr rot="0" vert="horz" wrap="none" lIns="0" tIns="0" rIns="0" bIns="0" anchor="t" anchorCtr="0" upright="1">
                          <a:spAutoFit/>
                        </wps:bodyPr>
                      </wps:wsp>
                      <wps:wsp>
                        <wps:cNvPr id="873604951" name="Rectangle 136"/>
                        <wps:cNvSpPr>
                          <a:spLocks noChangeArrowheads="1"/>
                        </wps:cNvSpPr>
                        <wps:spPr bwMode="auto">
                          <a:xfrm>
                            <a:off x="649000" y="2461846"/>
                            <a:ext cx="45212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A2D888" w14:textId="77777777" w:rsidR="001D4369" w:rsidRDefault="001D4369" w:rsidP="001D4369">
                              <w:r>
                                <w:rPr>
                                  <w:rFonts w:ascii="Arial" w:hAnsi="Arial" w:cs="Arial"/>
                                  <w:b/>
                                  <w:bCs/>
                                  <w:color w:val="000000"/>
                                  <w:sz w:val="20"/>
                                </w:rPr>
                                <w:t>Prior to</w:t>
                              </w:r>
                            </w:p>
                          </w:txbxContent>
                        </wps:txbx>
                        <wps:bodyPr rot="0" vert="horz" wrap="none" lIns="0" tIns="0" rIns="0" bIns="0" anchor="t" anchorCtr="0" upright="1">
                          <a:spAutoFit/>
                        </wps:bodyPr>
                      </wps:wsp>
                      <wps:wsp>
                        <wps:cNvPr id="962027991" name="Rectangle 137"/>
                        <wps:cNvSpPr>
                          <a:spLocks noChangeArrowheads="1"/>
                        </wps:cNvSpPr>
                        <wps:spPr bwMode="auto">
                          <a:xfrm>
                            <a:off x="622300" y="2606649"/>
                            <a:ext cx="50800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6F7E61" w14:textId="77777777" w:rsidR="001D4369" w:rsidRDefault="001D4369" w:rsidP="001D4369">
                              <w:r>
                                <w:rPr>
                                  <w:rFonts w:ascii="Arial" w:hAnsi="Arial" w:cs="Arial"/>
                                  <w:b/>
                                  <w:bCs/>
                                  <w:color w:val="000000"/>
                                  <w:sz w:val="20"/>
                                </w:rPr>
                                <w:t>Op Hour</w:t>
                              </w:r>
                            </w:p>
                          </w:txbxContent>
                        </wps:txbx>
                        <wps:bodyPr rot="0" vert="horz" wrap="none" lIns="0" tIns="0" rIns="0" bIns="0" anchor="t" anchorCtr="0" upright="1">
                          <a:spAutoFit/>
                        </wps:bodyPr>
                      </wps:wsp>
                      <wpg:wgp>
                        <wpg:cNvPr id="1330891185" name="Group 138"/>
                        <wpg:cNvGrpSpPr>
                          <a:grpSpLocks/>
                        </wpg:cNvGrpSpPr>
                        <wpg:grpSpPr bwMode="auto">
                          <a:xfrm>
                            <a:off x="202500" y="467067"/>
                            <a:ext cx="1406500" cy="576253"/>
                            <a:chOff x="2197" y="2598"/>
                            <a:chExt cx="2215" cy="1075"/>
                          </a:xfrm>
                        </wpg:grpSpPr>
                        <wps:wsp>
                          <wps:cNvPr id="743237116" name="Rectangle 139"/>
                          <wps:cNvSpPr>
                            <a:spLocks noChangeArrowheads="1"/>
                          </wps:cNvSpPr>
                          <wps:spPr bwMode="auto">
                            <a:xfrm>
                              <a:off x="2197" y="2598"/>
                              <a:ext cx="2215" cy="1075"/>
                            </a:xfrm>
                            <a:prstGeom prst="rect">
                              <a:avLst/>
                            </a:prstGeom>
                            <a:solidFill>
                              <a:srgbClr val="99336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2099268" name="Rectangle 140"/>
                          <wps:cNvSpPr>
                            <a:spLocks noChangeArrowheads="1"/>
                          </wps:cNvSpPr>
                          <wps:spPr bwMode="auto">
                            <a:xfrm>
                              <a:off x="2197" y="2598"/>
                              <a:ext cx="2215" cy="1075"/>
                            </a:xfrm>
                            <a:prstGeom prst="rect">
                              <a:avLst/>
                            </a:prstGeom>
                            <a:noFill/>
                            <a:ln w="8"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1014018445" name="Rectangle 141"/>
                        <wps:cNvSpPr>
                          <a:spLocks noChangeArrowheads="1"/>
                        </wps:cNvSpPr>
                        <wps:spPr bwMode="auto">
                          <a:xfrm>
                            <a:off x="582300" y="556973"/>
                            <a:ext cx="61277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E58330" w14:textId="77777777" w:rsidR="001D4369" w:rsidRDefault="001D4369" w:rsidP="001D4369">
                              <w:r>
                                <w:rPr>
                                  <w:rFonts w:ascii="Arial" w:hAnsi="Arial" w:cs="Arial"/>
                                  <w:b/>
                                  <w:bCs/>
                                  <w:color w:val="FFFFFF"/>
                                  <w:sz w:val="14"/>
                                  <w:szCs w:val="14"/>
                                </w:rPr>
                                <w:t>QSE Deadline:</w:t>
                              </w:r>
                            </w:p>
                          </w:txbxContent>
                        </wps:txbx>
                        <wps:bodyPr rot="0" vert="horz" wrap="none" lIns="0" tIns="0" rIns="0" bIns="0" anchor="t" anchorCtr="0" upright="1">
                          <a:spAutoFit/>
                        </wps:bodyPr>
                      </wps:wsp>
                      <wps:wsp>
                        <wps:cNvPr id="789235591" name="Rectangle 142"/>
                        <wps:cNvSpPr>
                          <a:spLocks noChangeArrowheads="1"/>
                        </wps:cNvSpPr>
                        <wps:spPr bwMode="auto">
                          <a:xfrm>
                            <a:off x="578911" y="657459"/>
                            <a:ext cx="645200" cy="8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43837924" name="Rectangle 143"/>
                        <wps:cNvSpPr>
                          <a:spLocks noChangeArrowheads="1"/>
                        </wps:cNvSpPr>
                        <wps:spPr bwMode="auto">
                          <a:xfrm>
                            <a:off x="262300" y="703030"/>
                            <a:ext cx="1314450"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8B2D65" w14:textId="77777777" w:rsidR="001D4369" w:rsidRDefault="001D4369" w:rsidP="001D4369">
                              <w:r>
                                <w:rPr>
                                  <w:rFonts w:ascii="Arial" w:hAnsi="Arial" w:cs="Arial"/>
                                  <w:b/>
                                  <w:bCs/>
                                  <w:color w:val="FFFFFF"/>
                                  <w:sz w:val="14"/>
                                  <w:szCs w:val="14"/>
                                </w:rPr>
                                <w:t>Update Energy Bids and Offers</w:t>
                              </w:r>
                            </w:p>
                          </w:txbxContent>
                        </wps:txbx>
                        <wps:bodyPr rot="0" vert="horz" wrap="none" lIns="0" tIns="0" rIns="0" bIns="0" anchor="t" anchorCtr="0" upright="1">
                          <a:spAutoFit/>
                        </wps:bodyPr>
                      </wps:wsp>
                      <wps:wsp>
                        <wps:cNvPr id="997225313" name="Rectangle 144"/>
                        <wps:cNvSpPr>
                          <a:spLocks noChangeArrowheads="1"/>
                        </wps:cNvSpPr>
                        <wps:spPr bwMode="auto">
                          <a:xfrm>
                            <a:off x="446400" y="649012"/>
                            <a:ext cx="6921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B18E64" w14:textId="77777777" w:rsidR="001D4369" w:rsidRDefault="001D4369" w:rsidP="001D4369"/>
                          </w:txbxContent>
                        </wps:txbx>
                        <wps:bodyPr rot="0" vert="horz" wrap="none" lIns="0" tIns="0" rIns="0" bIns="0" anchor="t" anchorCtr="0" upright="1">
                          <a:spAutoFit/>
                        </wps:bodyPr>
                      </wps:wsp>
                      <wps:wsp>
                        <wps:cNvPr id="1268971937" name="Rectangle 145"/>
                        <wps:cNvSpPr>
                          <a:spLocks noChangeArrowheads="1"/>
                        </wps:cNvSpPr>
                        <wps:spPr bwMode="auto">
                          <a:xfrm>
                            <a:off x="333400" y="819916"/>
                            <a:ext cx="1087120"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F3F02E" w14:textId="77777777" w:rsidR="001D4369" w:rsidRDefault="001D4369" w:rsidP="001D4369">
                              <w:r>
                                <w:rPr>
                                  <w:rFonts w:ascii="Arial" w:hAnsi="Arial" w:cs="Arial"/>
                                  <w:b/>
                                  <w:bCs/>
                                  <w:color w:val="FFFFFF"/>
                                  <w:sz w:val="14"/>
                                  <w:szCs w:val="14"/>
                                </w:rPr>
                                <w:t>Update Output Schedules</w:t>
                              </w:r>
                            </w:p>
                          </w:txbxContent>
                        </wps:txbx>
                        <wps:bodyPr rot="0" vert="horz" wrap="none" lIns="0" tIns="0" rIns="0" bIns="0" anchor="t" anchorCtr="0" upright="1">
                          <a:spAutoFit/>
                        </wps:bodyPr>
                      </wps:wsp>
                      <wpg:wgp>
                        <wpg:cNvPr id="1512067389" name="Group 148"/>
                        <wpg:cNvGrpSpPr>
                          <a:grpSpLocks/>
                        </wpg:cNvGrpSpPr>
                        <wpg:grpSpPr bwMode="auto">
                          <a:xfrm>
                            <a:off x="2411000" y="2729251"/>
                            <a:ext cx="1447200" cy="682013"/>
                            <a:chOff x="5678" y="6328"/>
                            <a:chExt cx="2279" cy="1074"/>
                          </a:xfrm>
                        </wpg:grpSpPr>
                        <wps:wsp>
                          <wps:cNvPr id="1820734658" name="Rectangle 149"/>
                          <wps:cNvSpPr>
                            <a:spLocks noChangeArrowheads="1"/>
                          </wps:cNvSpPr>
                          <wps:spPr bwMode="auto">
                            <a:xfrm>
                              <a:off x="5678" y="6328"/>
                              <a:ext cx="2279" cy="1074"/>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271742" name="Rectangle 150"/>
                          <wps:cNvSpPr>
                            <a:spLocks noChangeArrowheads="1"/>
                          </wps:cNvSpPr>
                          <wps:spPr bwMode="auto">
                            <a:xfrm>
                              <a:off x="5678" y="6328"/>
                              <a:ext cx="2279" cy="1074"/>
                            </a:xfrm>
                            <a:prstGeom prst="rect">
                              <a:avLst/>
                            </a:prstGeom>
                            <a:noFill/>
                            <a:ln w="8"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1690784208" name="Rectangle 151"/>
                        <wps:cNvSpPr>
                          <a:spLocks noChangeArrowheads="1"/>
                        </wps:cNvSpPr>
                        <wps:spPr bwMode="auto">
                          <a:xfrm>
                            <a:off x="2773000" y="2777452"/>
                            <a:ext cx="687070"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E383CB" w14:textId="77777777" w:rsidR="001D4369" w:rsidRDefault="001D4369" w:rsidP="001D4369">
                              <w:r>
                                <w:rPr>
                                  <w:rFonts w:ascii="Arial" w:hAnsi="Arial" w:cs="Arial"/>
                                  <w:b/>
                                  <w:bCs/>
                                  <w:color w:val="000000"/>
                                  <w:sz w:val="14"/>
                                  <w:szCs w:val="14"/>
                                </w:rPr>
                                <w:t>ERCOT Activity:</w:t>
                              </w:r>
                            </w:p>
                          </w:txbxContent>
                        </wps:txbx>
                        <wps:bodyPr rot="0" vert="horz" wrap="none" lIns="0" tIns="0" rIns="0" bIns="0" anchor="t" anchorCtr="0" upright="1">
                          <a:spAutoFit/>
                        </wps:bodyPr>
                      </wps:wsp>
                      <wps:wsp>
                        <wps:cNvPr id="335322388" name="Rectangle 152"/>
                        <wps:cNvSpPr>
                          <a:spLocks noChangeArrowheads="1"/>
                        </wps:cNvSpPr>
                        <wps:spPr bwMode="auto">
                          <a:xfrm>
                            <a:off x="2773000" y="2874654"/>
                            <a:ext cx="722000" cy="89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6642698" name="Rectangle 153"/>
                        <wps:cNvSpPr>
                          <a:spLocks noChangeArrowheads="1"/>
                        </wps:cNvSpPr>
                        <wps:spPr bwMode="auto">
                          <a:xfrm>
                            <a:off x="2557800" y="2889254"/>
                            <a:ext cx="1097280"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60A1EC" w14:textId="77777777" w:rsidR="001D4369" w:rsidRDefault="001D4369" w:rsidP="001D4369">
                              <w:r>
                                <w:rPr>
                                  <w:rFonts w:ascii="Arial" w:hAnsi="Arial" w:cs="Arial"/>
                                  <w:b/>
                                  <w:bCs/>
                                  <w:color w:val="000000"/>
                                  <w:sz w:val="14"/>
                                  <w:szCs w:val="14"/>
                                </w:rPr>
                                <w:t>LFC Process every 4 secs</w:t>
                              </w:r>
                            </w:p>
                          </w:txbxContent>
                        </wps:txbx>
                        <wps:bodyPr rot="0" vert="horz" wrap="none" lIns="0" tIns="0" rIns="0" bIns="0" anchor="t" anchorCtr="0" upright="1">
                          <a:spAutoFit/>
                        </wps:bodyPr>
                      </wps:wsp>
                      <wps:wsp>
                        <wps:cNvPr id="561699237" name="Rectangle 154"/>
                        <wps:cNvSpPr>
                          <a:spLocks noChangeArrowheads="1"/>
                        </wps:cNvSpPr>
                        <wps:spPr bwMode="auto">
                          <a:xfrm>
                            <a:off x="2515200" y="3001656"/>
                            <a:ext cx="94424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BD9D67" w14:textId="77777777" w:rsidR="001D4369" w:rsidRDefault="001D4369" w:rsidP="001D4369">
                              <w:r>
                                <w:rPr>
                                  <w:rFonts w:ascii="Arial" w:hAnsi="Arial" w:cs="Arial"/>
                                  <w:b/>
                                  <w:bCs/>
                                  <w:color w:val="000000"/>
                                  <w:sz w:val="14"/>
                                  <w:szCs w:val="14"/>
                                </w:rPr>
                                <w:t xml:space="preserve">Execute SCED every 5 </w:t>
                              </w:r>
                            </w:p>
                          </w:txbxContent>
                        </wps:txbx>
                        <wps:bodyPr rot="0" vert="horz" wrap="none" lIns="0" tIns="0" rIns="0" bIns="0" anchor="t" anchorCtr="0" upright="1">
                          <a:spAutoFit/>
                        </wps:bodyPr>
                      </wps:wsp>
                      <wps:wsp>
                        <wps:cNvPr id="56157338" name="Rectangle 155"/>
                        <wps:cNvSpPr>
                          <a:spLocks noChangeArrowheads="1"/>
                        </wps:cNvSpPr>
                        <wps:spPr bwMode="auto">
                          <a:xfrm>
                            <a:off x="3474618" y="3001656"/>
                            <a:ext cx="20764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D647DC" w14:textId="77777777" w:rsidR="001D4369" w:rsidRDefault="001D4369" w:rsidP="001D4369">
                              <w:r>
                                <w:rPr>
                                  <w:rFonts w:ascii="Arial" w:hAnsi="Arial" w:cs="Arial"/>
                                  <w:b/>
                                  <w:bCs/>
                                  <w:color w:val="000000"/>
                                  <w:sz w:val="14"/>
                                  <w:szCs w:val="14"/>
                                </w:rPr>
                                <w:t>mins</w:t>
                              </w:r>
                            </w:p>
                          </w:txbxContent>
                        </wps:txbx>
                        <wps:bodyPr rot="0" vert="horz" wrap="none" lIns="0" tIns="0" rIns="0" bIns="0" anchor="t" anchorCtr="0" upright="1">
                          <a:spAutoFit/>
                        </wps:bodyPr>
                      </wps:wsp>
                      <wps:wsp>
                        <wps:cNvPr id="1043488336" name="Rectangle 156"/>
                        <wps:cNvSpPr>
                          <a:spLocks noChangeArrowheads="1"/>
                        </wps:cNvSpPr>
                        <wps:spPr bwMode="auto">
                          <a:xfrm>
                            <a:off x="2545700" y="3114058"/>
                            <a:ext cx="114617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650840" w14:textId="77777777" w:rsidR="001D4369" w:rsidRDefault="001D4369" w:rsidP="001D4369">
                              <w:r>
                                <w:rPr>
                                  <w:rFonts w:ascii="Arial" w:hAnsi="Arial" w:cs="Arial"/>
                                  <w:b/>
                                  <w:bCs/>
                                  <w:color w:val="000000"/>
                                  <w:sz w:val="14"/>
                                  <w:szCs w:val="14"/>
                                </w:rPr>
                                <w:t>Communicate Instructions,</w:t>
                              </w:r>
                            </w:p>
                          </w:txbxContent>
                        </wps:txbx>
                        <wps:bodyPr rot="0" vert="horz" wrap="none" lIns="0" tIns="0" rIns="0" bIns="0" anchor="t" anchorCtr="0" upright="1">
                          <a:spAutoFit/>
                        </wps:bodyPr>
                      </wps:wsp>
                      <wps:wsp>
                        <wps:cNvPr id="755311544" name="Rectangle 157"/>
                        <wps:cNvSpPr>
                          <a:spLocks noChangeArrowheads="1"/>
                        </wps:cNvSpPr>
                        <wps:spPr bwMode="auto">
                          <a:xfrm>
                            <a:off x="2723525" y="3225160"/>
                            <a:ext cx="70167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C6A342" w14:textId="77777777" w:rsidR="001D4369" w:rsidRDefault="001D4369" w:rsidP="001D4369">
                              <w:r>
                                <w:rPr>
                                  <w:rFonts w:ascii="Arial" w:hAnsi="Arial" w:cs="Arial"/>
                                  <w:b/>
                                  <w:bCs/>
                                  <w:color w:val="000000"/>
                                  <w:sz w:val="14"/>
                                  <w:szCs w:val="14"/>
                                </w:rPr>
                                <w:t>Awards &amp; Prices</w:t>
                              </w:r>
                            </w:p>
                          </w:txbxContent>
                        </wps:txbx>
                        <wps:bodyPr rot="0" vert="horz" wrap="none" lIns="0" tIns="0" rIns="0" bIns="0" anchor="t" anchorCtr="0" upright="1">
                          <a:spAutoFit/>
                        </wps:bodyPr>
                      </wps:wsp>
                      <wpg:wgp>
                        <wpg:cNvPr id="1001345548" name="Group 158"/>
                        <wpg:cNvGrpSpPr>
                          <a:grpSpLocks/>
                        </wpg:cNvGrpSpPr>
                        <wpg:grpSpPr bwMode="auto">
                          <a:xfrm>
                            <a:off x="321300" y="2929855"/>
                            <a:ext cx="964500" cy="481409"/>
                            <a:chOff x="2387" y="6644"/>
                            <a:chExt cx="1519" cy="758"/>
                          </a:xfrm>
                        </wpg:grpSpPr>
                        <wps:wsp>
                          <wps:cNvPr id="318007909" name="Rectangle 159"/>
                          <wps:cNvSpPr>
                            <a:spLocks noChangeArrowheads="1"/>
                          </wps:cNvSpPr>
                          <wps:spPr bwMode="auto">
                            <a:xfrm>
                              <a:off x="2387" y="6644"/>
                              <a:ext cx="1519" cy="758"/>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69423766" name="Rectangle 160"/>
                          <wps:cNvSpPr>
                            <a:spLocks noChangeArrowheads="1"/>
                          </wps:cNvSpPr>
                          <wps:spPr bwMode="auto">
                            <a:xfrm>
                              <a:off x="2387" y="6644"/>
                              <a:ext cx="1519" cy="758"/>
                            </a:xfrm>
                            <a:prstGeom prst="rect">
                              <a:avLst/>
                            </a:prstGeom>
                            <a:noFill/>
                            <a:ln w="8"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1507595366" name="Rectangle 161"/>
                        <wps:cNvSpPr>
                          <a:spLocks noChangeArrowheads="1"/>
                        </wps:cNvSpPr>
                        <wps:spPr bwMode="auto">
                          <a:xfrm>
                            <a:off x="442000" y="2989556"/>
                            <a:ext cx="687070"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3D58DA" w14:textId="77777777" w:rsidR="001D4369" w:rsidRDefault="001D4369" w:rsidP="001D4369">
                              <w:r>
                                <w:rPr>
                                  <w:rFonts w:ascii="Arial" w:hAnsi="Arial" w:cs="Arial"/>
                                  <w:b/>
                                  <w:bCs/>
                                  <w:color w:val="000000"/>
                                  <w:sz w:val="14"/>
                                  <w:szCs w:val="14"/>
                                </w:rPr>
                                <w:t>ERCOT Activity:</w:t>
                              </w:r>
                            </w:p>
                          </w:txbxContent>
                        </wps:txbx>
                        <wps:bodyPr rot="0" vert="horz" wrap="none" lIns="0" tIns="0" rIns="0" bIns="0" anchor="t" anchorCtr="0" upright="1">
                          <a:spAutoFit/>
                        </wps:bodyPr>
                      </wps:wsp>
                      <wps:wsp>
                        <wps:cNvPr id="711232924" name="Rectangle 162"/>
                        <wps:cNvSpPr>
                          <a:spLocks noChangeArrowheads="1"/>
                        </wps:cNvSpPr>
                        <wps:spPr bwMode="auto">
                          <a:xfrm>
                            <a:off x="441900" y="3086758"/>
                            <a:ext cx="722000" cy="89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9619957" name="Rectangle 163"/>
                        <wps:cNvSpPr>
                          <a:spLocks noChangeArrowheads="1"/>
                        </wps:cNvSpPr>
                        <wps:spPr bwMode="auto">
                          <a:xfrm>
                            <a:off x="378500" y="3101958"/>
                            <a:ext cx="78549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4A9B13" w14:textId="77777777" w:rsidR="001D4369" w:rsidRDefault="001D4369" w:rsidP="001D4369">
                              <w:r>
                                <w:rPr>
                                  <w:rFonts w:ascii="Arial" w:hAnsi="Arial" w:cs="Arial"/>
                                  <w:b/>
                                  <w:bCs/>
                                  <w:color w:val="000000"/>
                                  <w:sz w:val="14"/>
                                  <w:szCs w:val="14"/>
                                </w:rPr>
                                <w:t xml:space="preserve">Snapshot Inputs &amp; </w:t>
                              </w:r>
                            </w:p>
                          </w:txbxContent>
                        </wps:txbx>
                        <wps:bodyPr rot="0" vert="horz" wrap="none" lIns="0" tIns="0" rIns="0" bIns="0" anchor="t" anchorCtr="0" upright="1">
                          <a:spAutoFit/>
                        </wps:bodyPr>
                      </wps:wsp>
                      <wps:wsp>
                        <wps:cNvPr id="2005165859" name="Rectangle 164"/>
                        <wps:cNvSpPr>
                          <a:spLocks noChangeArrowheads="1"/>
                        </wps:cNvSpPr>
                        <wps:spPr bwMode="auto">
                          <a:xfrm>
                            <a:off x="475600" y="3214360"/>
                            <a:ext cx="62293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F36541" w14:textId="77777777" w:rsidR="001D4369" w:rsidRDefault="001D4369" w:rsidP="001D4369">
                              <w:r>
                                <w:rPr>
                                  <w:rFonts w:ascii="Arial" w:hAnsi="Arial" w:cs="Arial"/>
                                  <w:b/>
                                  <w:bCs/>
                                  <w:color w:val="000000"/>
                                  <w:sz w:val="14"/>
                                  <w:szCs w:val="14"/>
                                </w:rPr>
                                <w:t>Execute HRUC</w:t>
                              </w:r>
                            </w:p>
                          </w:txbxContent>
                        </wps:txbx>
                        <wps:bodyPr rot="0" vert="horz" wrap="none" lIns="0" tIns="0" rIns="0" bIns="0" anchor="t" anchorCtr="0" upright="1">
                          <a:spAutoFit/>
                        </wps:bodyPr>
                      </wps:wsp>
                      <wps:wsp>
                        <wps:cNvPr id="643570629" name="Freeform 165"/>
                        <wps:cNvSpPr>
                          <a:spLocks noEditPoints="1"/>
                        </wps:cNvSpPr>
                        <wps:spPr bwMode="auto">
                          <a:xfrm>
                            <a:off x="904200" y="1043319"/>
                            <a:ext cx="40000" cy="160603"/>
                          </a:xfrm>
                          <a:custGeom>
                            <a:avLst/>
                            <a:gdLst>
                              <a:gd name="T0" fmla="*/ 15723810 w 63"/>
                              <a:gd name="T1" fmla="*/ 0 h 253"/>
                              <a:gd name="T2" fmla="*/ 15723810 w 63"/>
                              <a:gd name="T3" fmla="*/ 80618897 h 253"/>
                              <a:gd name="T4" fmla="*/ 9273016 w 63"/>
                              <a:gd name="T5" fmla="*/ 80618897 h 253"/>
                              <a:gd name="T6" fmla="*/ 9273016 w 63"/>
                              <a:gd name="T7" fmla="*/ 0 h 253"/>
                              <a:gd name="T8" fmla="*/ 15723810 w 63"/>
                              <a:gd name="T9" fmla="*/ 0 h 253"/>
                              <a:gd name="T10" fmla="*/ 25400000 w 63"/>
                              <a:gd name="T11" fmla="*/ 76184858 h 253"/>
                              <a:gd name="T12" fmla="*/ 12498413 w 63"/>
                              <a:gd name="T13" fmla="*/ 101982905 h 253"/>
                              <a:gd name="T14" fmla="*/ 0 w 63"/>
                              <a:gd name="T15" fmla="*/ 76184858 h 253"/>
                              <a:gd name="T16" fmla="*/ 25400000 w 63"/>
                              <a:gd name="T17" fmla="*/ 76184858 h 25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63" h="253">
                                <a:moveTo>
                                  <a:pt x="39" y="0"/>
                                </a:moveTo>
                                <a:lnTo>
                                  <a:pt x="39" y="200"/>
                                </a:lnTo>
                                <a:lnTo>
                                  <a:pt x="23" y="200"/>
                                </a:lnTo>
                                <a:lnTo>
                                  <a:pt x="23" y="0"/>
                                </a:lnTo>
                                <a:lnTo>
                                  <a:pt x="39" y="0"/>
                                </a:lnTo>
                                <a:close/>
                                <a:moveTo>
                                  <a:pt x="63" y="189"/>
                                </a:moveTo>
                                <a:lnTo>
                                  <a:pt x="31" y="253"/>
                                </a:lnTo>
                                <a:lnTo>
                                  <a:pt x="0" y="189"/>
                                </a:lnTo>
                                <a:lnTo>
                                  <a:pt x="63" y="189"/>
                                </a:lnTo>
                                <a:close/>
                              </a:path>
                            </a:pathLst>
                          </a:custGeom>
                          <a:solidFill>
                            <a:srgbClr val="000000"/>
                          </a:solidFill>
                          <a:ln w="1">
                            <a:solidFill>
                              <a:srgbClr val="000000"/>
                            </a:solidFill>
                            <a:bevel/>
                            <a:headEnd/>
                            <a:tailEnd/>
                          </a:ln>
                        </wps:spPr>
                        <wps:bodyPr rot="0" vert="horz" wrap="square" lIns="91440" tIns="45720" rIns="91440" bIns="45720" anchor="t" anchorCtr="0" upright="1">
                          <a:noAutofit/>
                        </wps:bodyPr>
                      </wps:wsp>
                      <wps:wsp>
                        <wps:cNvPr id="1042274362" name="Freeform 166"/>
                        <wps:cNvSpPr>
                          <a:spLocks noEditPoints="1"/>
                        </wps:cNvSpPr>
                        <wps:spPr bwMode="auto">
                          <a:xfrm>
                            <a:off x="3154600" y="962618"/>
                            <a:ext cx="40000" cy="241305"/>
                          </a:xfrm>
                          <a:custGeom>
                            <a:avLst/>
                            <a:gdLst>
                              <a:gd name="T0" fmla="*/ 16126984 w 63"/>
                              <a:gd name="T1" fmla="*/ 0 h 380"/>
                              <a:gd name="T2" fmla="*/ 16126984 w 63"/>
                              <a:gd name="T3" fmla="*/ 131857307 h 380"/>
                              <a:gd name="T4" fmla="*/ 9676190 w 63"/>
                              <a:gd name="T5" fmla="*/ 131857307 h 380"/>
                              <a:gd name="T6" fmla="*/ 9676190 w 63"/>
                              <a:gd name="T7" fmla="*/ 0 h 380"/>
                              <a:gd name="T8" fmla="*/ 16126984 w 63"/>
                              <a:gd name="T9" fmla="*/ 0 h 380"/>
                              <a:gd name="T10" fmla="*/ 25400000 w 63"/>
                              <a:gd name="T11" fmla="*/ 127421740 h 380"/>
                              <a:gd name="T12" fmla="*/ 12901587 w 63"/>
                              <a:gd name="T13" fmla="*/ 153228675 h 380"/>
                              <a:gd name="T14" fmla="*/ 0 w 63"/>
                              <a:gd name="T15" fmla="*/ 127421740 h 380"/>
                              <a:gd name="T16" fmla="*/ 25400000 w 63"/>
                              <a:gd name="T17" fmla="*/ 127421740 h 38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63" h="380">
                                <a:moveTo>
                                  <a:pt x="40" y="0"/>
                                </a:moveTo>
                                <a:lnTo>
                                  <a:pt x="40" y="327"/>
                                </a:lnTo>
                                <a:lnTo>
                                  <a:pt x="24" y="327"/>
                                </a:lnTo>
                                <a:lnTo>
                                  <a:pt x="24" y="0"/>
                                </a:lnTo>
                                <a:lnTo>
                                  <a:pt x="40" y="0"/>
                                </a:lnTo>
                                <a:close/>
                                <a:moveTo>
                                  <a:pt x="63" y="316"/>
                                </a:moveTo>
                                <a:lnTo>
                                  <a:pt x="32" y="380"/>
                                </a:lnTo>
                                <a:lnTo>
                                  <a:pt x="0" y="316"/>
                                </a:lnTo>
                                <a:lnTo>
                                  <a:pt x="63" y="316"/>
                                </a:lnTo>
                                <a:close/>
                              </a:path>
                            </a:pathLst>
                          </a:custGeom>
                          <a:solidFill>
                            <a:srgbClr val="000000"/>
                          </a:solidFill>
                          <a:ln w="1">
                            <a:solidFill>
                              <a:srgbClr val="000000"/>
                            </a:solidFill>
                            <a:bevel/>
                            <a:headEnd/>
                            <a:tailEnd/>
                          </a:ln>
                        </wps:spPr>
                        <wps:bodyPr rot="0" vert="horz" wrap="square" lIns="91440" tIns="45720" rIns="91440" bIns="45720" anchor="t" anchorCtr="0" upright="1">
                          <a:noAutofit/>
                        </wps:bodyPr>
                      </wps:wsp>
                      <wps:wsp>
                        <wps:cNvPr id="218808030" name="Freeform 167"/>
                        <wps:cNvSpPr>
                          <a:spLocks noEditPoints="1"/>
                        </wps:cNvSpPr>
                        <wps:spPr bwMode="auto">
                          <a:xfrm>
                            <a:off x="783500" y="2809252"/>
                            <a:ext cx="40000" cy="120602"/>
                          </a:xfrm>
                          <a:custGeom>
                            <a:avLst/>
                            <a:gdLst>
                              <a:gd name="T0" fmla="*/ 9273016 w 63"/>
                              <a:gd name="T1" fmla="*/ 76582270 h 190"/>
                              <a:gd name="T2" fmla="*/ 9273016 w 63"/>
                              <a:gd name="T3" fmla="*/ 21362423 h 190"/>
                              <a:gd name="T4" fmla="*/ 15723810 w 63"/>
                              <a:gd name="T5" fmla="*/ 21362423 h 190"/>
                              <a:gd name="T6" fmla="*/ 15723810 w 63"/>
                              <a:gd name="T7" fmla="*/ 76582270 h 190"/>
                              <a:gd name="T8" fmla="*/ 9273016 w 63"/>
                              <a:gd name="T9" fmla="*/ 76582270 h 190"/>
                              <a:gd name="T10" fmla="*/ 0 w 63"/>
                              <a:gd name="T11" fmla="*/ 25393068 h 190"/>
                              <a:gd name="T12" fmla="*/ 12498413 w 63"/>
                              <a:gd name="T13" fmla="*/ 0 h 190"/>
                              <a:gd name="T14" fmla="*/ 25400000 w 63"/>
                              <a:gd name="T15" fmla="*/ 25393068 h 190"/>
                              <a:gd name="T16" fmla="*/ 0 w 63"/>
                              <a:gd name="T17" fmla="*/ 25393068 h 19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63" h="190">
                                <a:moveTo>
                                  <a:pt x="23" y="190"/>
                                </a:moveTo>
                                <a:lnTo>
                                  <a:pt x="23" y="53"/>
                                </a:lnTo>
                                <a:lnTo>
                                  <a:pt x="39" y="53"/>
                                </a:lnTo>
                                <a:lnTo>
                                  <a:pt x="39" y="190"/>
                                </a:lnTo>
                                <a:lnTo>
                                  <a:pt x="23" y="190"/>
                                </a:lnTo>
                                <a:close/>
                                <a:moveTo>
                                  <a:pt x="0" y="63"/>
                                </a:moveTo>
                                <a:lnTo>
                                  <a:pt x="31" y="0"/>
                                </a:lnTo>
                                <a:lnTo>
                                  <a:pt x="63" y="63"/>
                                </a:lnTo>
                                <a:lnTo>
                                  <a:pt x="0" y="63"/>
                                </a:lnTo>
                                <a:close/>
                              </a:path>
                            </a:pathLst>
                          </a:custGeom>
                          <a:solidFill>
                            <a:srgbClr val="000000"/>
                          </a:solidFill>
                          <a:ln w="1">
                            <a:solidFill>
                              <a:srgbClr val="000000"/>
                            </a:solidFill>
                            <a:bevel/>
                            <a:headEnd/>
                            <a:tailEnd/>
                          </a:ln>
                        </wps:spPr>
                        <wps:bodyPr rot="0" vert="horz" wrap="square" lIns="91440" tIns="45720" rIns="91440" bIns="45720" anchor="t" anchorCtr="0" upright="1">
                          <a:noAutofit/>
                        </wps:bodyPr>
                      </wps:wsp>
                      <wps:wsp>
                        <wps:cNvPr id="1184197513" name="Freeform 168"/>
                        <wps:cNvSpPr>
                          <a:spLocks noEditPoints="1"/>
                        </wps:cNvSpPr>
                        <wps:spPr bwMode="auto">
                          <a:xfrm>
                            <a:off x="3114600" y="2528547"/>
                            <a:ext cx="40000" cy="200704"/>
                          </a:xfrm>
                          <a:custGeom>
                            <a:avLst/>
                            <a:gdLst>
                              <a:gd name="T0" fmla="*/ 9676190 w 63"/>
                              <a:gd name="T1" fmla="*/ 127447040 h 316"/>
                              <a:gd name="T2" fmla="*/ 9676190 w 63"/>
                              <a:gd name="T3" fmla="*/ 20972298 h 316"/>
                              <a:gd name="T4" fmla="*/ 15723810 w 63"/>
                              <a:gd name="T5" fmla="*/ 20972298 h 316"/>
                              <a:gd name="T6" fmla="*/ 15723810 w 63"/>
                              <a:gd name="T7" fmla="*/ 127447040 h 316"/>
                              <a:gd name="T8" fmla="*/ 9676190 w 63"/>
                              <a:gd name="T9" fmla="*/ 127447040 h 316"/>
                              <a:gd name="T10" fmla="*/ 0 w 63"/>
                              <a:gd name="T11" fmla="*/ 25408745 h 316"/>
                              <a:gd name="T12" fmla="*/ 12498413 w 63"/>
                              <a:gd name="T13" fmla="*/ 0 h 316"/>
                              <a:gd name="T14" fmla="*/ 25400000 w 63"/>
                              <a:gd name="T15" fmla="*/ 25408745 h 316"/>
                              <a:gd name="T16" fmla="*/ 0 w 63"/>
                              <a:gd name="T17" fmla="*/ 25408745 h 316"/>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63" h="316">
                                <a:moveTo>
                                  <a:pt x="24" y="316"/>
                                </a:moveTo>
                                <a:lnTo>
                                  <a:pt x="24" y="52"/>
                                </a:lnTo>
                                <a:lnTo>
                                  <a:pt x="39" y="52"/>
                                </a:lnTo>
                                <a:lnTo>
                                  <a:pt x="39" y="316"/>
                                </a:lnTo>
                                <a:lnTo>
                                  <a:pt x="24" y="316"/>
                                </a:lnTo>
                                <a:close/>
                                <a:moveTo>
                                  <a:pt x="0" y="63"/>
                                </a:moveTo>
                                <a:lnTo>
                                  <a:pt x="31" y="0"/>
                                </a:lnTo>
                                <a:lnTo>
                                  <a:pt x="63" y="63"/>
                                </a:lnTo>
                                <a:lnTo>
                                  <a:pt x="0" y="63"/>
                                </a:lnTo>
                                <a:close/>
                              </a:path>
                            </a:pathLst>
                          </a:custGeom>
                          <a:solidFill>
                            <a:srgbClr val="000000"/>
                          </a:solidFill>
                          <a:ln w="1">
                            <a:solidFill>
                              <a:srgbClr val="000000"/>
                            </a:solidFill>
                            <a:bevel/>
                            <a:headEnd/>
                            <a:tailEnd/>
                          </a:ln>
                        </wps:spPr>
                        <wps:bodyPr rot="0" vert="horz" wrap="square" lIns="91440" tIns="45720" rIns="91440" bIns="45720" anchor="t" anchorCtr="0" upright="1">
                          <a:noAutofit/>
                        </wps:bodyPr>
                      </wps:wsp>
                      <wpg:wgp>
                        <wpg:cNvPr id="634137136" name="Group 169"/>
                        <wpg:cNvGrpSpPr>
                          <a:grpSpLocks/>
                        </wpg:cNvGrpSpPr>
                        <wpg:grpSpPr bwMode="auto">
                          <a:xfrm>
                            <a:off x="923900" y="1645231"/>
                            <a:ext cx="2934300" cy="160703"/>
                            <a:chOff x="3336" y="4621"/>
                            <a:chExt cx="4621" cy="253"/>
                          </a:xfrm>
                        </wpg:grpSpPr>
                        <wps:wsp>
                          <wps:cNvPr id="1754731745" name="Freeform 170"/>
                          <wps:cNvSpPr>
                            <a:spLocks/>
                          </wps:cNvSpPr>
                          <wps:spPr bwMode="auto">
                            <a:xfrm>
                              <a:off x="3336" y="4621"/>
                              <a:ext cx="4621" cy="253"/>
                            </a:xfrm>
                            <a:custGeom>
                              <a:avLst/>
                              <a:gdLst>
                                <a:gd name="T0" fmla="*/ 13 w 14600"/>
                                <a:gd name="T1" fmla="*/ 0 h 800"/>
                                <a:gd name="T2" fmla="*/ 0 w 14600"/>
                                <a:gd name="T3" fmla="*/ 13 h 800"/>
                                <a:gd name="T4" fmla="*/ 0 w 14600"/>
                                <a:gd name="T5" fmla="*/ 67 h 800"/>
                                <a:gd name="T6" fmla="*/ 13 w 14600"/>
                                <a:gd name="T7" fmla="*/ 80 h 800"/>
                                <a:gd name="T8" fmla="*/ 1449 w 14600"/>
                                <a:gd name="T9" fmla="*/ 80 h 800"/>
                                <a:gd name="T10" fmla="*/ 1463 w 14600"/>
                                <a:gd name="T11" fmla="*/ 67 h 800"/>
                                <a:gd name="T12" fmla="*/ 1463 w 14600"/>
                                <a:gd name="T13" fmla="*/ 13 h 800"/>
                                <a:gd name="T14" fmla="*/ 1449 w 14600"/>
                                <a:gd name="T15" fmla="*/ 0 h 800"/>
                                <a:gd name="T16" fmla="*/ 13 w 14600"/>
                                <a:gd name="T17" fmla="*/ 0 h 8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600" h="800">
                                  <a:moveTo>
                                    <a:pt x="134" y="0"/>
                                  </a:moveTo>
                                  <a:cubicBezTo>
                                    <a:pt x="60" y="0"/>
                                    <a:pt x="0" y="60"/>
                                    <a:pt x="0" y="134"/>
                                  </a:cubicBezTo>
                                  <a:lnTo>
                                    <a:pt x="0" y="667"/>
                                  </a:lnTo>
                                  <a:cubicBezTo>
                                    <a:pt x="0" y="741"/>
                                    <a:pt x="60" y="800"/>
                                    <a:pt x="134" y="800"/>
                                  </a:cubicBezTo>
                                  <a:lnTo>
                                    <a:pt x="14467" y="800"/>
                                  </a:lnTo>
                                  <a:cubicBezTo>
                                    <a:pt x="14541" y="800"/>
                                    <a:pt x="14600" y="741"/>
                                    <a:pt x="14600" y="667"/>
                                  </a:cubicBezTo>
                                  <a:lnTo>
                                    <a:pt x="14600" y="134"/>
                                  </a:lnTo>
                                  <a:cubicBezTo>
                                    <a:pt x="14600" y="60"/>
                                    <a:pt x="14541" y="0"/>
                                    <a:pt x="14467" y="0"/>
                                  </a:cubicBezTo>
                                  <a:lnTo>
                                    <a:pt x="134" y="0"/>
                                  </a:lnTo>
                                  <a:close/>
                                </a:path>
                              </a:pathLst>
                            </a:custGeom>
                            <a:solidFill>
                              <a:srgbClr val="C0C0C0"/>
                            </a:solidFill>
                            <a:ln w="0">
                              <a:solidFill>
                                <a:srgbClr val="000000"/>
                              </a:solidFill>
                              <a:round/>
                              <a:headEnd/>
                              <a:tailEnd/>
                            </a:ln>
                          </wps:spPr>
                          <wps:bodyPr rot="0" vert="horz" wrap="square" lIns="91440" tIns="45720" rIns="91440" bIns="45720" anchor="t" anchorCtr="0" upright="1">
                            <a:noAutofit/>
                          </wps:bodyPr>
                        </wps:wsp>
                        <wps:wsp>
                          <wps:cNvPr id="1607553596" name="Freeform 171"/>
                          <wps:cNvSpPr>
                            <a:spLocks/>
                          </wps:cNvSpPr>
                          <wps:spPr bwMode="auto">
                            <a:xfrm>
                              <a:off x="3336" y="4621"/>
                              <a:ext cx="4621" cy="253"/>
                            </a:xfrm>
                            <a:custGeom>
                              <a:avLst/>
                              <a:gdLst>
                                <a:gd name="T0" fmla="*/ 13 w 14600"/>
                                <a:gd name="T1" fmla="*/ 0 h 800"/>
                                <a:gd name="T2" fmla="*/ 0 w 14600"/>
                                <a:gd name="T3" fmla="*/ 13 h 800"/>
                                <a:gd name="T4" fmla="*/ 0 w 14600"/>
                                <a:gd name="T5" fmla="*/ 67 h 800"/>
                                <a:gd name="T6" fmla="*/ 13 w 14600"/>
                                <a:gd name="T7" fmla="*/ 80 h 800"/>
                                <a:gd name="T8" fmla="*/ 1449 w 14600"/>
                                <a:gd name="T9" fmla="*/ 80 h 800"/>
                                <a:gd name="T10" fmla="*/ 1463 w 14600"/>
                                <a:gd name="T11" fmla="*/ 67 h 800"/>
                                <a:gd name="T12" fmla="*/ 1463 w 14600"/>
                                <a:gd name="T13" fmla="*/ 13 h 800"/>
                                <a:gd name="T14" fmla="*/ 1449 w 14600"/>
                                <a:gd name="T15" fmla="*/ 0 h 800"/>
                                <a:gd name="T16" fmla="*/ 13 w 14600"/>
                                <a:gd name="T17" fmla="*/ 0 h 8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600" h="800">
                                  <a:moveTo>
                                    <a:pt x="134" y="0"/>
                                  </a:moveTo>
                                  <a:cubicBezTo>
                                    <a:pt x="60" y="0"/>
                                    <a:pt x="0" y="60"/>
                                    <a:pt x="0" y="134"/>
                                  </a:cubicBezTo>
                                  <a:lnTo>
                                    <a:pt x="0" y="667"/>
                                  </a:lnTo>
                                  <a:cubicBezTo>
                                    <a:pt x="0" y="741"/>
                                    <a:pt x="60" y="800"/>
                                    <a:pt x="134" y="800"/>
                                  </a:cubicBezTo>
                                  <a:lnTo>
                                    <a:pt x="14467" y="800"/>
                                  </a:lnTo>
                                  <a:cubicBezTo>
                                    <a:pt x="14541" y="800"/>
                                    <a:pt x="14600" y="741"/>
                                    <a:pt x="14600" y="667"/>
                                  </a:cubicBezTo>
                                  <a:lnTo>
                                    <a:pt x="14600" y="134"/>
                                  </a:lnTo>
                                  <a:cubicBezTo>
                                    <a:pt x="14600" y="60"/>
                                    <a:pt x="14541" y="0"/>
                                    <a:pt x="14467" y="0"/>
                                  </a:cubicBezTo>
                                  <a:lnTo>
                                    <a:pt x="134" y="0"/>
                                  </a:lnTo>
                                  <a:close/>
                                </a:path>
                              </a:pathLst>
                            </a:custGeom>
                            <a:noFill/>
                            <a:ln w="8"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1587987725" name="Rectangle 172"/>
                        <wps:cNvSpPr>
                          <a:spLocks noChangeArrowheads="1"/>
                        </wps:cNvSpPr>
                        <wps:spPr bwMode="auto">
                          <a:xfrm>
                            <a:off x="1902500" y="1659931"/>
                            <a:ext cx="103060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1A93CB" w14:textId="77777777" w:rsidR="001D4369" w:rsidRDefault="001D4369" w:rsidP="001D4369">
                              <w:r>
                                <w:rPr>
                                  <w:rFonts w:ascii="Arial" w:hAnsi="Arial" w:cs="Arial"/>
                                  <w:b/>
                                  <w:bCs/>
                                  <w:color w:val="000000"/>
                                  <w:sz w:val="20"/>
                                </w:rPr>
                                <w:t>Operating Period</w:t>
                              </w:r>
                            </w:p>
                          </w:txbxContent>
                        </wps:txbx>
                        <wps:bodyPr rot="0" vert="horz" wrap="none" lIns="0" tIns="0" rIns="0" bIns="0" anchor="t" anchorCtr="0" upright="1">
                          <a:spAutoFit/>
                        </wps:bodyPr>
                      </wps:wsp>
                      <wpg:wgp>
                        <wpg:cNvPr id="1121298741" name="Group 173"/>
                        <wpg:cNvGrpSpPr>
                          <a:grpSpLocks/>
                        </wpg:cNvGrpSpPr>
                        <wpg:grpSpPr bwMode="auto">
                          <a:xfrm>
                            <a:off x="2531700" y="1845934"/>
                            <a:ext cx="1326500" cy="160703"/>
                            <a:chOff x="5868" y="4937"/>
                            <a:chExt cx="2089" cy="253"/>
                          </a:xfrm>
                        </wpg:grpSpPr>
                        <wps:wsp>
                          <wps:cNvPr id="862593529" name="Freeform 174"/>
                          <wps:cNvSpPr>
                            <a:spLocks/>
                          </wps:cNvSpPr>
                          <wps:spPr bwMode="auto">
                            <a:xfrm>
                              <a:off x="5868" y="4937"/>
                              <a:ext cx="2089" cy="253"/>
                            </a:xfrm>
                            <a:custGeom>
                              <a:avLst/>
                              <a:gdLst>
                                <a:gd name="T0" fmla="*/ 13 w 6600"/>
                                <a:gd name="T1" fmla="*/ 0 h 800"/>
                                <a:gd name="T2" fmla="*/ 0 w 6600"/>
                                <a:gd name="T3" fmla="*/ 13 h 800"/>
                                <a:gd name="T4" fmla="*/ 0 w 6600"/>
                                <a:gd name="T5" fmla="*/ 67 h 800"/>
                                <a:gd name="T6" fmla="*/ 13 w 6600"/>
                                <a:gd name="T7" fmla="*/ 80 h 800"/>
                                <a:gd name="T8" fmla="*/ 648 w 6600"/>
                                <a:gd name="T9" fmla="*/ 80 h 800"/>
                                <a:gd name="T10" fmla="*/ 661 w 6600"/>
                                <a:gd name="T11" fmla="*/ 67 h 800"/>
                                <a:gd name="T12" fmla="*/ 661 w 6600"/>
                                <a:gd name="T13" fmla="*/ 13 h 800"/>
                                <a:gd name="T14" fmla="*/ 648 w 6600"/>
                                <a:gd name="T15" fmla="*/ 0 h 800"/>
                                <a:gd name="T16" fmla="*/ 13 w 6600"/>
                                <a:gd name="T17" fmla="*/ 0 h 8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6600" h="800">
                                  <a:moveTo>
                                    <a:pt x="134" y="0"/>
                                  </a:moveTo>
                                  <a:cubicBezTo>
                                    <a:pt x="60" y="0"/>
                                    <a:pt x="0" y="60"/>
                                    <a:pt x="0" y="134"/>
                                  </a:cubicBezTo>
                                  <a:lnTo>
                                    <a:pt x="0" y="667"/>
                                  </a:lnTo>
                                  <a:cubicBezTo>
                                    <a:pt x="0" y="741"/>
                                    <a:pt x="60" y="800"/>
                                    <a:pt x="134" y="800"/>
                                  </a:cubicBezTo>
                                  <a:lnTo>
                                    <a:pt x="6467" y="800"/>
                                  </a:lnTo>
                                  <a:cubicBezTo>
                                    <a:pt x="6541" y="800"/>
                                    <a:pt x="6600" y="741"/>
                                    <a:pt x="6600" y="667"/>
                                  </a:cubicBezTo>
                                  <a:lnTo>
                                    <a:pt x="6600" y="134"/>
                                  </a:lnTo>
                                  <a:cubicBezTo>
                                    <a:pt x="6600" y="60"/>
                                    <a:pt x="6541" y="0"/>
                                    <a:pt x="6467" y="0"/>
                                  </a:cubicBezTo>
                                  <a:lnTo>
                                    <a:pt x="134" y="0"/>
                                  </a:lnTo>
                                  <a:close/>
                                </a:path>
                              </a:pathLst>
                            </a:custGeom>
                            <a:solidFill>
                              <a:srgbClr val="C0C0C0"/>
                            </a:solidFill>
                            <a:ln w="0">
                              <a:solidFill>
                                <a:srgbClr val="000000"/>
                              </a:solidFill>
                              <a:round/>
                              <a:headEnd/>
                              <a:tailEnd/>
                            </a:ln>
                          </wps:spPr>
                          <wps:bodyPr rot="0" vert="horz" wrap="square" lIns="91440" tIns="45720" rIns="91440" bIns="45720" anchor="t" anchorCtr="0" upright="1">
                            <a:noAutofit/>
                          </wps:bodyPr>
                        </wps:wsp>
                        <wps:wsp>
                          <wps:cNvPr id="717739579" name="Freeform 175"/>
                          <wps:cNvSpPr>
                            <a:spLocks/>
                          </wps:cNvSpPr>
                          <wps:spPr bwMode="auto">
                            <a:xfrm>
                              <a:off x="5868" y="4937"/>
                              <a:ext cx="2089" cy="253"/>
                            </a:xfrm>
                            <a:custGeom>
                              <a:avLst/>
                              <a:gdLst>
                                <a:gd name="T0" fmla="*/ 13 w 6600"/>
                                <a:gd name="T1" fmla="*/ 0 h 800"/>
                                <a:gd name="T2" fmla="*/ 0 w 6600"/>
                                <a:gd name="T3" fmla="*/ 13 h 800"/>
                                <a:gd name="T4" fmla="*/ 0 w 6600"/>
                                <a:gd name="T5" fmla="*/ 67 h 800"/>
                                <a:gd name="T6" fmla="*/ 13 w 6600"/>
                                <a:gd name="T7" fmla="*/ 80 h 800"/>
                                <a:gd name="T8" fmla="*/ 648 w 6600"/>
                                <a:gd name="T9" fmla="*/ 80 h 800"/>
                                <a:gd name="T10" fmla="*/ 661 w 6600"/>
                                <a:gd name="T11" fmla="*/ 67 h 800"/>
                                <a:gd name="T12" fmla="*/ 661 w 6600"/>
                                <a:gd name="T13" fmla="*/ 13 h 800"/>
                                <a:gd name="T14" fmla="*/ 648 w 6600"/>
                                <a:gd name="T15" fmla="*/ 0 h 800"/>
                                <a:gd name="T16" fmla="*/ 13 w 6600"/>
                                <a:gd name="T17" fmla="*/ 0 h 8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6600" h="800">
                                  <a:moveTo>
                                    <a:pt x="134" y="0"/>
                                  </a:moveTo>
                                  <a:cubicBezTo>
                                    <a:pt x="60" y="0"/>
                                    <a:pt x="0" y="60"/>
                                    <a:pt x="0" y="134"/>
                                  </a:cubicBezTo>
                                  <a:lnTo>
                                    <a:pt x="0" y="667"/>
                                  </a:lnTo>
                                  <a:cubicBezTo>
                                    <a:pt x="0" y="741"/>
                                    <a:pt x="60" y="800"/>
                                    <a:pt x="134" y="800"/>
                                  </a:cubicBezTo>
                                  <a:lnTo>
                                    <a:pt x="6467" y="800"/>
                                  </a:lnTo>
                                  <a:cubicBezTo>
                                    <a:pt x="6541" y="800"/>
                                    <a:pt x="6600" y="741"/>
                                    <a:pt x="6600" y="667"/>
                                  </a:cubicBezTo>
                                  <a:lnTo>
                                    <a:pt x="6600" y="134"/>
                                  </a:lnTo>
                                  <a:cubicBezTo>
                                    <a:pt x="6600" y="60"/>
                                    <a:pt x="6541" y="0"/>
                                    <a:pt x="6467" y="0"/>
                                  </a:cubicBezTo>
                                  <a:lnTo>
                                    <a:pt x="134" y="0"/>
                                  </a:lnTo>
                                  <a:close/>
                                </a:path>
                              </a:pathLst>
                            </a:custGeom>
                            <a:noFill/>
                            <a:ln w="8"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1009313985" name="Rectangle 176"/>
                        <wps:cNvSpPr>
                          <a:spLocks noChangeArrowheads="1"/>
                        </wps:cNvSpPr>
                        <wps:spPr bwMode="auto">
                          <a:xfrm>
                            <a:off x="2689900" y="1860535"/>
                            <a:ext cx="93154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60B270" w14:textId="77777777" w:rsidR="001D4369" w:rsidRDefault="001D4369" w:rsidP="001D4369">
                              <w:r>
                                <w:rPr>
                                  <w:rFonts w:ascii="Arial" w:hAnsi="Arial" w:cs="Arial"/>
                                  <w:b/>
                                  <w:bCs/>
                                  <w:color w:val="000000"/>
                                  <w:sz w:val="20"/>
                                </w:rPr>
                                <w:t>Operating Hour</w:t>
                              </w:r>
                            </w:p>
                          </w:txbxContent>
                        </wps:txbx>
                        <wps:bodyPr rot="0" vert="horz" wrap="none" lIns="0" tIns="0" rIns="0" bIns="0" anchor="t" anchorCtr="0" upright="1">
                          <a:spAutoFit/>
                        </wps:bodyPr>
                      </wps:wsp>
                      <wps:wsp>
                        <wps:cNvPr id="1289585381" name="Line 177"/>
                        <wps:cNvCnPr>
                          <a:cxnSpLocks noChangeShapeType="1"/>
                        </wps:cNvCnPr>
                        <wps:spPr bwMode="auto">
                          <a:xfrm>
                            <a:off x="2531700" y="2046638"/>
                            <a:ext cx="0" cy="240604"/>
                          </a:xfrm>
                          <a:prstGeom prst="line">
                            <a:avLst/>
                          </a:prstGeom>
                          <a:noFill/>
                          <a:ln w="21">
                            <a:solidFill>
                              <a:srgbClr val="000000"/>
                            </a:solidFill>
                            <a:round/>
                            <a:headEnd/>
                            <a:tailEnd/>
                          </a:ln>
                          <a:extLst>
                            <a:ext uri="{909E8E84-426E-40DD-AFC4-6F175D3DCCD1}">
                              <a14:hiddenFill xmlns:a14="http://schemas.microsoft.com/office/drawing/2010/main">
                                <a:noFill/>
                              </a14:hiddenFill>
                            </a:ext>
                          </a:extLst>
                        </wps:spPr>
                        <wps:bodyPr/>
                      </wps:wsp>
                      <wps:wsp>
                        <wps:cNvPr id="597523095" name="Rectangle 178"/>
                        <wps:cNvSpPr>
                          <a:spLocks noChangeArrowheads="1"/>
                        </wps:cNvSpPr>
                        <wps:spPr bwMode="auto">
                          <a:xfrm>
                            <a:off x="2369800" y="2317143"/>
                            <a:ext cx="3460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F62C57" w14:textId="77777777" w:rsidR="001D4369" w:rsidRDefault="001D4369" w:rsidP="001D4369">
                              <w:r>
                                <w:rPr>
                                  <w:rFonts w:ascii="Arial" w:hAnsi="Arial" w:cs="Arial"/>
                                  <w:b/>
                                  <w:bCs/>
                                  <w:color w:val="000000"/>
                                  <w:sz w:val="20"/>
                                </w:rPr>
                                <w:t>Clock</w:t>
                              </w:r>
                            </w:p>
                          </w:txbxContent>
                        </wps:txbx>
                        <wps:bodyPr rot="0" vert="horz" wrap="none" lIns="0" tIns="0" rIns="0" bIns="0" anchor="t" anchorCtr="0" upright="1">
                          <a:spAutoFit/>
                        </wps:bodyPr>
                      </wps:wsp>
                      <wps:wsp>
                        <wps:cNvPr id="717938228" name="Rectangle 179"/>
                        <wps:cNvSpPr>
                          <a:spLocks noChangeArrowheads="1"/>
                        </wps:cNvSpPr>
                        <wps:spPr bwMode="auto">
                          <a:xfrm>
                            <a:off x="2393300" y="2462546"/>
                            <a:ext cx="29654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3C2C4D" w14:textId="77777777" w:rsidR="001D4369" w:rsidRDefault="001D4369" w:rsidP="001D4369">
                              <w:r>
                                <w:rPr>
                                  <w:rFonts w:ascii="Arial" w:hAnsi="Arial" w:cs="Arial"/>
                                  <w:b/>
                                  <w:bCs/>
                                  <w:color w:val="000000"/>
                                  <w:sz w:val="20"/>
                                </w:rPr>
                                <w:t>Hour</w:t>
                              </w:r>
                            </w:p>
                          </w:txbxContent>
                        </wps:txbx>
                        <wps:bodyPr rot="0" vert="horz" wrap="none" lIns="0" tIns="0" rIns="0" bIns="0" anchor="t" anchorCtr="0" upright="1">
                          <a:spAutoFit/>
                        </wps:bodyPr>
                      </wps:wsp>
                      <wps:wsp>
                        <wps:cNvPr id="1736819556" name="Freeform 180"/>
                        <wps:cNvSpPr>
                          <a:spLocks/>
                        </wps:cNvSpPr>
                        <wps:spPr bwMode="auto">
                          <a:xfrm>
                            <a:off x="2531700" y="2126640"/>
                            <a:ext cx="1326500" cy="321306"/>
                          </a:xfrm>
                          <a:custGeom>
                            <a:avLst/>
                            <a:gdLst>
                              <a:gd name="T0" fmla="*/ 0 w 6600"/>
                              <a:gd name="T1" fmla="*/ 0 h 1600"/>
                              <a:gd name="T2" fmla="*/ 22217468 w 6600"/>
                              <a:gd name="T3" fmla="*/ 32262135 h 1600"/>
                              <a:gd name="T4" fmla="*/ 101836812 w 6600"/>
                              <a:gd name="T5" fmla="*/ 32262135 h 1600"/>
                              <a:gd name="T6" fmla="*/ 124054079 w 6600"/>
                              <a:gd name="T7" fmla="*/ 64524269 h 1600"/>
                              <a:gd name="T8" fmla="*/ 146271547 w 6600"/>
                              <a:gd name="T9" fmla="*/ 32262135 h 1600"/>
                              <a:gd name="T10" fmla="*/ 244391948 w 6600"/>
                              <a:gd name="T11" fmla="*/ 32262135 h 1600"/>
                              <a:gd name="T12" fmla="*/ 266609416 w 6600"/>
                              <a:gd name="T13" fmla="*/ 0 h 1600"/>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6600" h="1600">
                                <a:moveTo>
                                  <a:pt x="0" y="0"/>
                                </a:moveTo>
                                <a:cubicBezTo>
                                  <a:pt x="0" y="442"/>
                                  <a:pt x="247" y="800"/>
                                  <a:pt x="550" y="800"/>
                                </a:cubicBezTo>
                                <a:lnTo>
                                  <a:pt x="2521" y="800"/>
                                </a:lnTo>
                                <a:cubicBezTo>
                                  <a:pt x="2825" y="800"/>
                                  <a:pt x="3071" y="1159"/>
                                  <a:pt x="3071" y="1600"/>
                                </a:cubicBezTo>
                                <a:cubicBezTo>
                                  <a:pt x="3071" y="1159"/>
                                  <a:pt x="3317" y="800"/>
                                  <a:pt x="3621" y="800"/>
                                </a:cubicBezTo>
                                <a:lnTo>
                                  <a:pt x="6050" y="800"/>
                                </a:lnTo>
                                <a:cubicBezTo>
                                  <a:pt x="6354" y="800"/>
                                  <a:pt x="6600" y="442"/>
                                  <a:pt x="6600" y="0"/>
                                </a:cubicBezTo>
                              </a:path>
                            </a:pathLst>
                          </a:custGeom>
                          <a:noFill/>
                          <a:ln w="8"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7481946" name="Line 181"/>
                        <wps:cNvCnPr>
                          <a:cxnSpLocks noChangeShapeType="1"/>
                        </wps:cNvCnPr>
                        <wps:spPr bwMode="auto">
                          <a:xfrm>
                            <a:off x="843900" y="2046638"/>
                            <a:ext cx="0" cy="240604"/>
                          </a:xfrm>
                          <a:prstGeom prst="line">
                            <a:avLst/>
                          </a:prstGeom>
                          <a:noFill/>
                          <a:ln w="21">
                            <a:solidFill>
                              <a:srgbClr val="000000"/>
                            </a:solidFill>
                            <a:round/>
                            <a:headEnd/>
                            <a:tailEnd/>
                          </a:ln>
                          <a:extLst>
                            <a:ext uri="{909E8E84-426E-40DD-AFC4-6F175D3DCCD1}">
                              <a14:hiddenFill xmlns:a14="http://schemas.microsoft.com/office/drawing/2010/main">
                                <a:noFill/>
                              </a14:hiddenFill>
                            </a:ext>
                          </a:extLst>
                        </wps:spPr>
                        <wps:bodyPr/>
                      </wps:wsp>
                      <wps:wsp>
                        <wps:cNvPr id="1452533204" name="Line 182"/>
                        <wps:cNvCnPr>
                          <a:cxnSpLocks noChangeShapeType="1"/>
                        </wps:cNvCnPr>
                        <wps:spPr bwMode="auto">
                          <a:xfrm>
                            <a:off x="240600" y="2046638"/>
                            <a:ext cx="0" cy="240604"/>
                          </a:xfrm>
                          <a:prstGeom prst="line">
                            <a:avLst/>
                          </a:prstGeom>
                          <a:noFill/>
                          <a:ln w="21">
                            <a:solidFill>
                              <a:srgbClr val="000000"/>
                            </a:solidFill>
                            <a:round/>
                            <a:headEnd/>
                            <a:tailEnd/>
                          </a:ln>
                          <a:extLst>
                            <a:ext uri="{909E8E84-426E-40DD-AFC4-6F175D3DCCD1}">
                              <a14:hiddenFill xmlns:a14="http://schemas.microsoft.com/office/drawing/2010/main">
                                <a:noFill/>
                              </a14:hiddenFill>
                            </a:ext>
                          </a:extLst>
                        </wps:spPr>
                        <wps:bodyPr/>
                      </wps:wsp>
                      <wps:wsp>
                        <wps:cNvPr id="1219104002" name="Rectangle 183"/>
                        <wps:cNvSpPr>
                          <a:spLocks noChangeArrowheads="1"/>
                        </wps:cNvSpPr>
                        <wps:spPr bwMode="auto">
                          <a:xfrm>
                            <a:off x="3102600" y="2084739"/>
                            <a:ext cx="7810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634103" w14:textId="77777777" w:rsidR="001D4369" w:rsidRDefault="001D4369" w:rsidP="001D4369">
                              <w:r>
                                <w:rPr>
                                  <w:rFonts w:ascii="Arial" w:hAnsi="Arial" w:cs="Arial"/>
                                  <w:b/>
                                  <w:bCs/>
                                  <w:color w:val="000000"/>
                                  <w:sz w:val="20"/>
                                </w:rPr>
                                <w:t>T</w:t>
                              </w:r>
                            </w:p>
                          </w:txbxContent>
                        </wps:txbx>
                        <wps:bodyPr rot="0" vert="horz" wrap="none" lIns="0" tIns="0" rIns="0" bIns="0" anchor="t" anchorCtr="0" upright="1">
                          <a:spAutoFit/>
                        </wps:bodyPr>
                      </wps:wsp>
                      <wps:wsp>
                        <wps:cNvPr id="250594016" name="Freeform 184"/>
                        <wps:cNvSpPr>
                          <a:spLocks noEditPoints="1"/>
                        </wps:cNvSpPr>
                        <wps:spPr bwMode="auto">
                          <a:xfrm>
                            <a:off x="2612300" y="2146940"/>
                            <a:ext cx="442000" cy="40001"/>
                          </a:xfrm>
                          <a:custGeom>
                            <a:avLst/>
                            <a:gdLst>
                              <a:gd name="T0" fmla="*/ 280670000 w 696"/>
                              <a:gd name="T1" fmla="*/ 16127387 h 63"/>
                              <a:gd name="T2" fmla="*/ 20969598 w 696"/>
                              <a:gd name="T3" fmla="*/ 16127387 h 63"/>
                              <a:gd name="T4" fmla="*/ 20969598 w 696"/>
                              <a:gd name="T5" fmla="*/ 9676432 h 63"/>
                              <a:gd name="T6" fmla="*/ 280670000 w 696"/>
                              <a:gd name="T7" fmla="*/ 9676432 h 63"/>
                              <a:gd name="T8" fmla="*/ 280670000 w 696"/>
                              <a:gd name="T9" fmla="*/ 16127387 h 63"/>
                              <a:gd name="T10" fmla="*/ 25405474 w 696"/>
                              <a:gd name="T11" fmla="*/ 25400635 h 63"/>
                              <a:gd name="T12" fmla="*/ 0 w 696"/>
                              <a:gd name="T13" fmla="*/ 12901910 h 63"/>
                              <a:gd name="T14" fmla="*/ 25405474 w 696"/>
                              <a:gd name="T15" fmla="*/ 0 h 63"/>
                              <a:gd name="T16" fmla="*/ 25405474 w 696"/>
                              <a:gd name="T17" fmla="*/ 25400635 h 6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696" h="63">
                                <a:moveTo>
                                  <a:pt x="696" y="40"/>
                                </a:moveTo>
                                <a:lnTo>
                                  <a:pt x="52" y="40"/>
                                </a:lnTo>
                                <a:lnTo>
                                  <a:pt x="52" y="24"/>
                                </a:lnTo>
                                <a:lnTo>
                                  <a:pt x="696" y="24"/>
                                </a:lnTo>
                                <a:lnTo>
                                  <a:pt x="696" y="40"/>
                                </a:lnTo>
                                <a:close/>
                                <a:moveTo>
                                  <a:pt x="63" y="63"/>
                                </a:moveTo>
                                <a:lnTo>
                                  <a:pt x="0" y="32"/>
                                </a:lnTo>
                                <a:lnTo>
                                  <a:pt x="63" y="0"/>
                                </a:lnTo>
                                <a:lnTo>
                                  <a:pt x="63" y="63"/>
                                </a:lnTo>
                                <a:close/>
                              </a:path>
                            </a:pathLst>
                          </a:custGeom>
                          <a:solidFill>
                            <a:srgbClr val="000000"/>
                          </a:solidFill>
                          <a:ln w="1">
                            <a:solidFill>
                              <a:srgbClr val="000000"/>
                            </a:solidFill>
                            <a:bevel/>
                            <a:headEnd/>
                            <a:tailEnd/>
                          </a:ln>
                        </wps:spPr>
                        <wps:bodyPr rot="0" vert="horz" wrap="square" lIns="91440" tIns="45720" rIns="91440" bIns="45720" anchor="t" anchorCtr="0" upright="1">
                          <a:noAutofit/>
                        </wps:bodyPr>
                      </wps:wsp>
                      <wps:wsp>
                        <wps:cNvPr id="410032577" name="Freeform 185"/>
                        <wps:cNvSpPr>
                          <a:spLocks noEditPoints="1"/>
                        </wps:cNvSpPr>
                        <wps:spPr bwMode="auto">
                          <a:xfrm>
                            <a:off x="3215000" y="2146940"/>
                            <a:ext cx="441900" cy="40001"/>
                          </a:xfrm>
                          <a:custGeom>
                            <a:avLst/>
                            <a:gdLst>
                              <a:gd name="T0" fmla="*/ 0 w 696"/>
                              <a:gd name="T1" fmla="*/ 9676432 h 63"/>
                              <a:gd name="T2" fmla="*/ 259641647 w 696"/>
                              <a:gd name="T3" fmla="*/ 9676432 h 63"/>
                              <a:gd name="T4" fmla="*/ 259641647 w 696"/>
                              <a:gd name="T5" fmla="*/ 16127387 h 63"/>
                              <a:gd name="T6" fmla="*/ 0 w 696"/>
                              <a:gd name="T7" fmla="*/ 16127387 h 63"/>
                              <a:gd name="T8" fmla="*/ 0 w 696"/>
                              <a:gd name="T9" fmla="*/ 9676432 h 63"/>
                              <a:gd name="T10" fmla="*/ 255206774 w 696"/>
                              <a:gd name="T11" fmla="*/ 0 h 63"/>
                              <a:gd name="T12" fmla="*/ 280606500 w 696"/>
                              <a:gd name="T13" fmla="*/ 12901910 h 63"/>
                              <a:gd name="T14" fmla="*/ 255206774 w 696"/>
                              <a:gd name="T15" fmla="*/ 25400635 h 63"/>
                              <a:gd name="T16" fmla="*/ 255206774 w 696"/>
                              <a:gd name="T17" fmla="*/ 0 h 6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696" h="63">
                                <a:moveTo>
                                  <a:pt x="0" y="24"/>
                                </a:moveTo>
                                <a:lnTo>
                                  <a:pt x="644" y="24"/>
                                </a:lnTo>
                                <a:lnTo>
                                  <a:pt x="644" y="40"/>
                                </a:lnTo>
                                <a:lnTo>
                                  <a:pt x="0" y="40"/>
                                </a:lnTo>
                                <a:lnTo>
                                  <a:pt x="0" y="24"/>
                                </a:lnTo>
                                <a:close/>
                                <a:moveTo>
                                  <a:pt x="633" y="0"/>
                                </a:moveTo>
                                <a:lnTo>
                                  <a:pt x="696" y="32"/>
                                </a:lnTo>
                                <a:lnTo>
                                  <a:pt x="633" y="63"/>
                                </a:lnTo>
                                <a:lnTo>
                                  <a:pt x="633" y="0"/>
                                </a:lnTo>
                                <a:close/>
                              </a:path>
                            </a:pathLst>
                          </a:custGeom>
                          <a:solidFill>
                            <a:srgbClr val="000000"/>
                          </a:solidFill>
                          <a:ln w="1">
                            <a:solidFill>
                              <a:srgbClr val="000000"/>
                            </a:solidFill>
                            <a:bevel/>
                            <a:headEnd/>
                            <a:tailEnd/>
                          </a:ln>
                        </wps:spPr>
                        <wps:bodyPr rot="0" vert="horz" wrap="square" lIns="91440" tIns="45720" rIns="91440" bIns="45720" anchor="t" anchorCtr="0" upright="1">
                          <a:noAutofit/>
                        </wps:bodyPr>
                      </wps:wsp>
                      <wps:wsp>
                        <wps:cNvPr id="1997289622" name="Rectangle 186"/>
                        <wps:cNvSpPr>
                          <a:spLocks noChangeArrowheads="1"/>
                        </wps:cNvSpPr>
                        <wps:spPr bwMode="auto">
                          <a:xfrm>
                            <a:off x="248900" y="38701"/>
                            <a:ext cx="2651800" cy="248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1BB971" w14:textId="77777777" w:rsidR="001D4369" w:rsidRDefault="001D4369" w:rsidP="001D4369">
                              <w:r>
                                <w:rPr>
                                  <w:rFonts w:ascii="Arial" w:hAnsi="Arial" w:cs="Arial"/>
                                  <w:b/>
                                  <w:bCs/>
                                  <w:color w:val="000000"/>
                                  <w:sz w:val="34"/>
                                  <w:szCs w:val="34"/>
                                </w:rPr>
                                <w:t>Adjustment Period &amp; Real</w:t>
                              </w:r>
                            </w:p>
                          </w:txbxContent>
                        </wps:txbx>
                        <wps:bodyPr rot="0" vert="horz" wrap="none" lIns="0" tIns="0" rIns="0" bIns="0" anchor="t" anchorCtr="0" upright="1">
                          <a:spAutoFit/>
                        </wps:bodyPr>
                      </wps:wsp>
                      <wps:wsp>
                        <wps:cNvPr id="1018074243" name="Rectangle 187"/>
                        <wps:cNvSpPr>
                          <a:spLocks noChangeArrowheads="1"/>
                        </wps:cNvSpPr>
                        <wps:spPr bwMode="auto">
                          <a:xfrm>
                            <a:off x="2879100" y="38701"/>
                            <a:ext cx="72400" cy="248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D7D735" w14:textId="77777777" w:rsidR="001D4369" w:rsidRDefault="001D4369" w:rsidP="001D4369">
                              <w:r>
                                <w:rPr>
                                  <w:rFonts w:ascii="Arial" w:hAnsi="Arial" w:cs="Arial"/>
                                  <w:b/>
                                  <w:bCs/>
                                  <w:color w:val="000000"/>
                                  <w:sz w:val="34"/>
                                  <w:szCs w:val="34"/>
                                </w:rPr>
                                <w:t>-</w:t>
                              </w:r>
                            </w:p>
                          </w:txbxContent>
                        </wps:txbx>
                        <wps:bodyPr rot="0" vert="horz" wrap="none" lIns="0" tIns="0" rIns="0" bIns="0" anchor="t" anchorCtr="0" upright="1">
                          <a:spAutoFit/>
                        </wps:bodyPr>
                      </wps:wsp>
                      <wps:wsp>
                        <wps:cNvPr id="1394833226" name="Rectangle 188"/>
                        <wps:cNvSpPr>
                          <a:spLocks noChangeArrowheads="1"/>
                        </wps:cNvSpPr>
                        <wps:spPr bwMode="auto">
                          <a:xfrm>
                            <a:off x="2950800" y="38701"/>
                            <a:ext cx="1703800" cy="248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9D95D2" w14:textId="77777777" w:rsidR="001D4369" w:rsidRDefault="001D4369" w:rsidP="001D4369">
                              <w:r>
                                <w:rPr>
                                  <w:rFonts w:ascii="Arial" w:hAnsi="Arial" w:cs="Arial"/>
                                  <w:b/>
                                  <w:bCs/>
                                  <w:color w:val="000000"/>
                                  <w:sz w:val="34"/>
                                  <w:szCs w:val="34"/>
                                </w:rPr>
                                <w:t>Time Operations</w:t>
                              </w:r>
                            </w:p>
                          </w:txbxContent>
                        </wps:txbx>
                        <wps:bodyPr rot="0" vert="horz" wrap="none" lIns="0" tIns="0" rIns="0" bIns="0" anchor="t" anchorCtr="0" upright="1">
                          <a:spAutoFit/>
                        </wps:bodyPr>
                      </wps:wsp>
                      <wpg:wgp>
                        <wpg:cNvPr id="1105658717" name="Group 189"/>
                        <wpg:cNvGrpSpPr>
                          <a:grpSpLocks/>
                        </wpg:cNvGrpSpPr>
                        <wpg:grpSpPr bwMode="auto">
                          <a:xfrm>
                            <a:off x="2571700" y="1323925"/>
                            <a:ext cx="1286500" cy="281305"/>
                            <a:chOff x="5931" y="4115"/>
                            <a:chExt cx="2026" cy="443"/>
                          </a:xfrm>
                        </wpg:grpSpPr>
                        <wps:wsp>
                          <wps:cNvPr id="1243608084" name="Freeform 190"/>
                          <wps:cNvSpPr>
                            <a:spLocks/>
                          </wps:cNvSpPr>
                          <wps:spPr bwMode="auto">
                            <a:xfrm>
                              <a:off x="5931" y="4115"/>
                              <a:ext cx="2026" cy="443"/>
                            </a:xfrm>
                            <a:custGeom>
                              <a:avLst/>
                              <a:gdLst>
                                <a:gd name="T0" fmla="*/ 23 w 6400"/>
                                <a:gd name="T1" fmla="*/ 0 h 1400"/>
                                <a:gd name="T2" fmla="*/ 0 w 6400"/>
                                <a:gd name="T3" fmla="*/ 23 h 1400"/>
                                <a:gd name="T4" fmla="*/ 0 w 6400"/>
                                <a:gd name="T5" fmla="*/ 117 h 1400"/>
                                <a:gd name="T6" fmla="*/ 23 w 6400"/>
                                <a:gd name="T7" fmla="*/ 140 h 1400"/>
                                <a:gd name="T8" fmla="*/ 618 w 6400"/>
                                <a:gd name="T9" fmla="*/ 140 h 1400"/>
                                <a:gd name="T10" fmla="*/ 641 w 6400"/>
                                <a:gd name="T11" fmla="*/ 117 h 1400"/>
                                <a:gd name="T12" fmla="*/ 641 w 6400"/>
                                <a:gd name="T13" fmla="*/ 23 h 1400"/>
                                <a:gd name="T14" fmla="*/ 618 w 6400"/>
                                <a:gd name="T15" fmla="*/ 0 h 1400"/>
                                <a:gd name="T16" fmla="*/ 23 w 6400"/>
                                <a:gd name="T17" fmla="*/ 0 h 14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6400" h="1400">
                                  <a:moveTo>
                                    <a:pt x="234" y="0"/>
                                  </a:moveTo>
                                  <a:cubicBezTo>
                                    <a:pt x="105" y="0"/>
                                    <a:pt x="0" y="105"/>
                                    <a:pt x="0" y="234"/>
                                  </a:cubicBezTo>
                                  <a:lnTo>
                                    <a:pt x="0" y="1167"/>
                                  </a:lnTo>
                                  <a:cubicBezTo>
                                    <a:pt x="0" y="1296"/>
                                    <a:pt x="105" y="1400"/>
                                    <a:pt x="234" y="1400"/>
                                  </a:cubicBezTo>
                                  <a:lnTo>
                                    <a:pt x="6167" y="1400"/>
                                  </a:lnTo>
                                  <a:cubicBezTo>
                                    <a:pt x="6296" y="1400"/>
                                    <a:pt x="6400" y="1296"/>
                                    <a:pt x="6400" y="1167"/>
                                  </a:cubicBezTo>
                                  <a:lnTo>
                                    <a:pt x="6400" y="234"/>
                                  </a:lnTo>
                                  <a:cubicBezTo>
                                    <a:pt x="6400" y="105"/>
                                    <a:pt x="6296" y="0"/>
                                    <a:pt x="6167" y="0"/>
                                  </a:cubicBezTo>
                                  <a:lnTo>
                                    <a:pt x="234" y="0"/>
                                  </a:lnTo>
                                  <a:close/>
                                </a:path>
                              </a:pathLst>
                            </a:custGeom>
                            <a:solidFill>
                              <a:srgbClr val="333399"/>
                            </a:solidFill>
                            <a:ln w="0">
                              <a:solidFill>
                                <a:srgbClr val="000000"/>
                              </a:solidFill>
                              <a:round/>
                              <a:headEnd/>
                              <a:tailEnd/>
                            </a:ln>
                          </wps:spPr>
                          <wps:bodyPr rot="0" vert="horz" wrap="square" lIns="91440" tIns="45720" rIns="91440" bIns="45720" anchor="t" anchorCtr="0" upright="1">
                            <a:noAutofit/>
                          </wps:bodyPr>
                        </wps:wsp>
                        <wps:wsp>
                          <wps:cNvPr id="1137900567" name="Freeform 191"/>
                          <wps:cNvSpPr>
                            <a:spLocks/>
                          </wps:cNvSpPr>
                          <wps:spPr bwMode="auto">
                            <a:xfrm>
                              <a:off x="5931" y="4115"/>
                              <a:ext cx="2026" cy="443"/>
                            </a:xfrm>
                            <a:custGeom>
                              <a:avLst/>
                              <a:gdLst>
                                <a:gd name="T0" fmla="*/ 23 w 6400"/>
                                <a:gd name="T1" fmla="*/ 0 h 1400"/>
                                <a:gd name="T2" fmla="*/ 0 w 6400"/>
                                <a:gd name="T3" fmla="*/ 23 h 1400"/>
                                <a:gd name="T4" fmla="*/ 0 w 6400"/>
                                <a:gd name="T5" fmla="*/ 117 h 1400"/>
                                <a:gd name="T6" fmla="*/ 23 w 6400"/>
                                <a:gd name="T7" fmla="*/ 140 h 1400"/>
                                <a:gd name="T8" fmla="*/ 618 w 6400"/>
                                <a:gd name="T9" fmla="*/ 140 h 1400"/>
                                <a:gd name="T10" fmla="*/ 641 w 6400"/>
                                <a:gd name="T11" fmla="*/ 117 h 1400"/>
                                <a:gd name="T12" fmla="*/ 641 w 6400"/>
                                <a:gd name="T13" fmla="*/ 23 h 1400"/>
                                <a:gd name="T14" fmla="*/ 618 w 6400"/>
                                <a:gd name="T15" fmla="*/ 0 h 1400"/>
                                <a:gd name="T16" fmla="*/ 23 w 6400"/>
                                <a:gd name="T17" fmla="*/ 0 h 14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6400" h="1400">
                                  <a:moveTo>
                                    <a:pt x="234" y="0"/>
                                  </a:moveTo>
                                  <a:cubicBezTo>
                                    <a:pt x="105" y="0"/>
                                    <a:pt x="0" y="105"/>
                                    <a:pt x="0" y="234"/>
                                  </a:cubicBezTo>
                                  <a:lnTo>
                                    <a:pt x="0" y="1167"/>
                                  </a:lnTo>
                                  <a:cubicBezTo>
                                    <a:pt x="0" y="1296"/>
                                    <a:pt x="105" y="1400"/>
                                    <a:pt x="234" y="1400"/>
                                  </a:cubicBezTo>
                                  <a:lnTo>
                                    <a:pt x="6167" y="1400"/>
                                  </a:lnTo>
                                  <a:cubicBezTo>
                                    <a:pt x="6296" y="1400"/>
                                    <a:pt x="6400" y="1296"/>
                                    <a:pt x="6400" y="1167"/>
                                  </a:cubicBezTo>
                                  <a:lnTo>
                                    <a:pt x="6400" y="234"/>
                                  </a:lnTo>
                                  <a:cubicBezTo>
                                    <a:pt x="6400" y="105"/>
                                    <a:pt x="6296" y="0"/>
                                    <a:pt x="6167" y="0"/>
                                  </a:cubicBezTo>
                                  <a:lnTo>
                                    <a:pt x="234" y="0"/>
                                  </a:lnTo>
                                  <a:close/>
                                </a:path>
                              </a:pathLst>
                            </a:custGeom>
                            <a:noFill/>
                            <a:ln w="8"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481805570" name="Rectangle 192"/>
                        <wps:cNvSpPr>
                          <a:spLocks noChangeArrowheads="1"/>
                        </wps:cNvSpPr>
                        <wps:spPr bwMode="auto">
                          <a:xfrm>
                            <a:off x="2910800" y="1326525"/>
                            <a:ext cx="26860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26A9C2" w14:textId="77777777" w:rsidR="001D4369" w:rsidRDefault="001D4369" w:rsidP="001D4369">
                              <w:r>
                                <w:rPr>
                                  <w:rFonts w:ascii="Arial" w:hAnsi="Arial" w:cs="Arial"/>
                                  <w:b/>
                                  <w:bCs/>
                                  <w:color w:val="FFFFFF"/>
                                  <w:sz w:val="20"/>
                                </w:rPr>
                                <w:t>Real</w:t>
                              </w:r>
                            </w:p>
                          </w:txbxContent>
                        </wps:txbx>
                        <wps:bodyPr rot="0" vert="horz" wrap="none" lIns="0" tIns="0" rIns="0" bIns="0" anchor="t" anchorCtr="0" upright="1">
                          <a:spAutoFit/>
                        </wps:bodyPr>
                      </wps:wsp>
                      <wps:wsp>
                        <wps:cNvPr id="967180010" name="Rectangle 193"/>
                        <wps:cNvSpPr>
                          <a:spLocks noChangeArrowheads="1"/>
                        </wps:cNvSpPr>
                        <wps:spPr bwMode="auto">
                          <a:xfrm>
                            <a:off x="3164800" y="1326525"/>
                            <a:ext cx="4254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1A5489" w14:textId="77777777" w:rsidR="001D4369" w:rsidRDefault="001D4369" w:rsidP="001D4369">
                              <w:r>
                                <w:rPr>
                                  <w:rFonts w:ascii="Arial" w:hAnsi="Arial" w:cs="Arial"/>
                                  <w:b/>
                                  <w:bCs/>
                                  <w:color w:val="FFFFFF"/>
                                  <w:sz w:val="20"/>
                                </w:rPr>
                                <w:t>-</w:t>
                              </w:r>
                            </w:p>
                          </w:txbxContent>
                        </wps:txbx>
                        <wps:bodyPr rot="0" vert="horz" wrap="none" lIns="0" tIns="0" rIns="0" bIns="0" anchor="t" anchorCtr="0" upright="1">
                          <a:spAutoFit/>
                        </wps:bodyPr>
                      </wps:wsp>
                      <wps:wsp>
                        <wps:cNvPr id="1935332343" name="Rectangle 194"/>
                        <wps:cNvSpPr>
                          <a:spLocks noChangeArrowheads="1"/>
                        </wps:cNvSpPr>
                        <wps:spPr bwMode="auto">
                          <a:xfrm>
                            <a:off x="3204800" y="1326525"/>
                            <a:ext cx="29654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ADEB1A" w14:textId="77777777" w:rsidR="001D4369" w:rsidRDefault="001D4369" w:rsidP="001D4369">
                              <w:r>
                                <w:rPr>
                                  <w:rFonts w:ascii="Arial" w:hAnsi="Arial" w:cs="Arial"/>
                                  <w:b/>
                                  <w:bCs/>
                                  <w:color w:val="FFFFFF"/>
                                  <w:sz w:val="20"/>
                                </w:rPr>
                                <w:t xml:space="preserve">Time </w:t>
                              </w:r>
                            </w:p>
                          </w:txbxContent>
                        </wps:txbx>
                        <wps:bodyPr rot="0" vert="horz" wrap="none" lIns="0" tIns="0" rIns="0" bIns="0" anchor="t" anchorCtr="0" upright="1">
                          <a:spAutoFit/>
                        </wps:bodyPr>
                      </wps:wsp>
                      <wps:wsp>
                        <wps:cNvPr id="456075126" name="Rectangle 195"/>
                        <wps:cNvSpPr>
                          <a:spLocks noChangeArrowheads="1"/>
                        </wps:cNvSpPr>
                        <wps:spPr bwMode="auto">
                          <a:xfrm>
                            <a:off x="2896900" y="1471327"/>
                            <a:ext cx="6705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11CB8E" w14:textId="77777777" w:rsidR="001D4369" w:rsidRDefault="001D4369" w:rsidP="001D4369">
                              <w:r>
                                <w:rPr>
                                  <w:rFonts w:ascii="Arial" w:hAnsi="Arial" w:cs="Arial"/>
                                  <w:b/>
                                  <w:bCs/>
                                  <w:color w:val="FFFFFF"/>
                                  <w:sz w:val="20"/>
                                </w:rPr>
                                <w:t>Operations</w:t>
                              </w:r>
                            </w:p>
                          </w:txbxContent>
                        </wps:txbx>
                        <wps:bodyPr rot="0" vert="horz" wrap="none" lIns="0" tIns="0" rIns="0" bIns="0" anchor="t" anchorCtr="0" upright="1">
                          <a:spAutoFit/>
                        </wps:bodyPr>
                      </wps:wsp>
                      <wpg:wgp>
                        <wpg:cNvPr id="1465444041" name="Group 196"/>
                        <wpg:cNvGrpSpPr>
                          <a:grpSpLocks/>
                        </wpg:cNvGrpSpPr>
                        <wpg:grpSpPr bwMode="auto">
                          <a:xfrm>
                            <a:off x="2331000" y="444043"/>
                            <a:ext cx="1607200" cy="599277"/>
                            <a:chOff x="5552" y="2851"/>
                            <a:chExt cx="2531" cy="822"/>
                          </a:xfrm>
                        </wpg:grpSpPr>
                        <wps:wsp>
                          <wps:cNvPr id="1919248983" name="Rectangle 197"/>
                          <wps:cNvSpPr>
                            <a:spLocks noChangeArrowheads="1"/>
                          </wps:cNvSpPr>
                          <wps:spPr bwMode="auto">
                            <a:xfrm>
                              <a:off x="5552" y="2851"/>
                              <a:ext cx="2531" cy="822"/>
                            </a:xfrm>
                            <a:prstGeom prst="rect">
                              <a:avLst/>
                            </a:prstGeom>
                            <a:solidFill>
                              <a:srgbClr val="99336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16648918" name="Rectangle 198"/>
                          <wps:cNvSpPr>
                            <a:spLocks noChangeArrowheads="1"/>
                          </wps:cNvSpPr>
                          <wps:spPr bwMode="auto">
                            <a:xfrm>
                              <a:off x="5552" y="2851"/>
                              <a:ext cx="2531" cy="822"/>
                            </a:xfrm>
                            <a:prstGeom prst="rect">
                              <a:avLst/>
                            </a:prstGeom>
                            <a:noFill/>
                            <a:ln w="8"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1352981800" name="Rectangle 199"/>
                        <wps:cNvSpPr>
                          <a:spLocks noChangeArrowheads="1"/>
                        </wps:cNvSpPr>
                        <wps:spPr bwMode="auto">
                          <a:xfrm>
                            <a:off x="2821026" y="459986"/>
                            <a:ext cx="61277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1AD1ED" w14:textId="77777777" w:rsidR="001D4369" w:rsidRDefault="001D4369" w:rsidP="001D4369">
                              <w:r>
                                <w:rPr>
                                  <w:rFonts w:ascii="Arial" w:hAnsi="Arial" w:cs="Arial"/>
                                  <w:b/>
                                  <w:bCs/>
                                  <w:color w:val="FFFFFF"/>
                                  <w:sz w:val="14"/>
                                  <w:szCs w:val="14"/>
                                </w:rPr>
                                <w:t>QSE Deadline:</w:t>
                              </w:r>
                            </w:p>
                          </w:txbxContent>
                        </wps:txbx>
                        <wps:bodyPr rot="0" vert="horz" wrap="none" lIns="0" tIns="0" rIns="0" bIns="0" anchor="t" anchorCtr="0" upright="1">
                          <a:spAutoFit/>
                        </wps:bodyPr>
                      </wps:wsp>
                      <wps:wsp>
                        <wps:cNvPr id="308665085" name="Rectangle 200"/>
                        <wps:cNvSpPr>
                          <a:spLocks noChangeArrowheads="1"/>
                        </wps:cNvSpPr>
                        <wps:spPr bwMode="auto">
                          <a:xfrm>
                            <a:off x="2812400" y="562650"/>
                            <a:ext cx="645800" cy="8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93484957" name="Rectangle 201"/>
                        <wps:cNvSpPr>
                          <a:spLocks noChangeArrowheads="1"/>
                        </wps:cNvSpPr>
                        <wps:spPr bwMode="auto">
                          <a:xfrm>
                            <a:off x="2421692" y="634003"/>
                            <a:ext cx="1358900" cy="481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2F8E44" w14:textId="77777777" w:rsidR="001D4369" w:rsidRDefault="001D4369" w:rsidP="001D4369">
                              <w:pPr>
                                <w:rPr>
                                  <w:rFonts w:ascii="Arial" w:hAnsi="Arial" w:cs="Arial"/>
                                  <w:b/>
                                  <w:bCs/>
                                  <w:color w:val="FFFFFF"/>
                                  <w:sz w:val="14"/>
                                  <w:szCs w:val="14"/>
                                </w:rPr>
                              </w:pPr>
                              <w:r>
                                <w:rPr>
                                  <w:rFonts w:ascii="Arial" w:hAnsi="Arial" w:cs="Arial"/>
                                  <w:b/>
                                  <w:bCs/>
                                  <w:color w:val="FFFFFF"/>
                                  <w:sz w:val="14"/>
                                  <w:szCs w:val="14"/>
                                </w:rPr>
                                <w:t xml:space="preserve">                Update AS Offers</w:t>
                              </w:r>
                            </w:p>
                            <w:p w14:paraId="7F718ABC" w14:textId="77777777" w:rsidR="001D4369" w:rsidRDefault="001D4369" w:rsidP="001D4369">
                              <w:pPr>
                                <w:jc w:val="center"/>
                              </w:pPr>
                              <w:r>
                                <w:rPr>
                                  <w:rFonts w:ascii="Arial" w:hAnsi="Arial" w:cs="Arial"/>
                                  <w:b/>
                                  <w:bCs/>
                                  <w:color w:val="FFFFFF"/>
                                  <w:sz w:val="14"/>
                                  <w:szCs w:val="14"/>
                                </w:rPr>
                                <w:t>Provide SCADA Telemetry</w:t>
                              </w:r>
                            </w:p>
                            <w:p w14:paraId="41E44BCD" w14:textId="77777777" w:rsidR="001D4369" w:rsidRDefault="001D4369" w:rsidP="001D4369">
                              <w:pPr>
                                <w:rPr>
                                  <w:rFonts w:asciiTheme="minorHAnsi" w:hAnsiTheme="minorHAnsi" w:cstheme="minorBidi"/>
                                  <w:sz w:val="22"/>
                                  <w:szCs w:val="22"/>
                                </w:rPr>
                              </w:pPr>
                              <w:r>
                                <w:rPr>
                                  <w:rFonts w:ascii="Arial" w:hAnsi="Arial" w:cs="Arial"/>
                                  <w:b/>
                                  <w:bCs/>
                                  <w:color w:val="FFFFFF"/>
                                  <w:sz w:val="14"/>
                                  <w:szCs w:val="14"/>
                                </w:rPr>
                                <w:t>Update Energy Bid/Offer Curves</w:t>
                              </w:r>
                            </w:p>
                            <w:p w14:paraId="6E3CDAE6" w14:textId="77777777" w:rsidR="001D4369" w:rsidRDefault="001D4369" w:rsidP="001D4369"/>
                          </w:txbxContent>
                        </wps:txbx>
                        <wps:bodyPr rot="0" vert="horz" wrap="none" lIns="0" tIns="0" rIns="0" bIns="0" anchor="t" anchorCtr="0" upright="1">
                          <a:spAutoFit/>
                        </wps:bodyPr>
                      </wps:wsp>
                      <wpg:wgp>
                        <wpg:cNvPr id="142699568" name="Group 204"/>
                        <wpg:cNvGrpSpPr>
                          <a:grpSpLocks/>
                        </wpg:cNvGrpSpPr>
                        <wpg:grpSpPr bwMode="auto">
                          <a:xfrm>
                            <a:off x="1365800" y="2929855"/>
                            <a:ext cx="965200" cy="481409"/>
                            <a:chOff x="4032" y="6644"/>
                            <a:chExt cx="1520" cy="758"/>
                          </a:xfrm>
                        </wpg:grpSpPr>
                        <wps:wsp>
                          <wps:cNvPr id="482556422" name="Rectangle 205"/>
                          <wps:cNvSpPr>
                            <a:spLocks noChangeArrowheads="1"/>
                          </wps:cNvSpPr>
                          <wps:spPr bwMode="auto">
                            <a:xfrm>
                              <a:off x="4032" y="6644"/>
                              <a:ext cx="1520" cy="758"/>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7889508" name="Rectangle 206"/>
                          <wps:cNvSpPr>
                            <a:spLocks noChangeArrowheads="1"/>
                          </wps:cNvSpPr>
                          <wps:spPr bwMode="auto">
                            <a:xfrm>
                              <a:off x="4032" y="6644"/>
                              <a:ext cx="1520" cy="758"/>
                            </a:xfrm>
                            <a:prstGeom prst="rect">
                              <a:avLst/>
                            </a:prstGeom>
                            <a:noFill/>
                            <a:ln w="8"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1875470260" name="Rectangle 207"/>
                        <wps:cNvSpPr>
                          <a:spLocks noChangeArrowheads="1"/>
                        </wps:cNvSpPr>
                        <wps:spPr bwMode="auto">
                          <a:xfrm>
                            <a:off x="1487200" y="2989556"/>
                            <a:ext cx="687070"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01E6D8" w14:textId="77777777" w:rsidR="001D4369" w:rsidRDefault="001D4369" w:rsidP="001D4369">
                              <w:r>
                                <w:rPr>
                                  <w:rFonts w:ascii="Arial" w:hAnsi="Arial" w:cs="Arial"/>
                                  <w:b/>
                                  <w:bCs/>
                                  <w:color w:val="000000"/>
                                  <w:sz w:val="14"/>
                                  <w:szCs w:val="14"/>
                                </w:rPr>
                                <w:t>ERCOT Activity:</w:t>
                              </w:r>
                            </w:p>
                          </w:txbxContent>
                        </wps:txbx>
                        <wps:bodyPr rot="0" vert="horz" wrap="none" lIns="0" tIns="0" rIns="0" bIns="0" anchor="t" anchorCtr="0" upright="1">
                          <a:spAutoFit/>
                        </wps:bodyPr>
                      </wps:wsp>
                      <wps:wsp>
                        <wps:cNvPr id="1383678361" name="Rectangle 208"/>
                        <wps:cNvSpPr>
                          <a:spLocks noChangeArrowheads="1"/>
                        </wps:cNvSpPr>
                        <wps:spPr bwMode="auto">
                          <a:xfrm>
                            <a:off x="1487100" y="3086758"/>
                            <a:ext cx="722000" cy="89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8775665" name="Rectangle 209"/>
                        <wps:cNvSpPr>
                          <a:spLocks noChangeArrowheads="1"/>
                        </wps:cNvSpPr>
                        <wps:spPr bwMode="auto">
                          <a:xfrm>
                            <a:off x="1539200" y="3101958"/>
                            <a:ext cx="588010"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2AE407" w14:textId="77777777" w:rsidR="001D4369" w:rsidRDefault="001D4369" w:rsidP="001D4369">
                              <w:r>
                                <w:rPr>
                                  <w:rFonts w:ascii="Arial" w:hAnsi="Arial" w:cs="Arial"/>
                                  <w:b/>
                                  <w:bCs/>
                                  <w:color w:val="000000"/>
                                  <w:sz w:val="14"/>
                                  <w:szCs w:val="14"/>
                                </w:rPr>
                                <w:t>Communicate</w:t>
                              </w:r>
                            </w:p>
                          </w:txbxContent>
                        </wps:txbx>
                        <wps:bodyPr rot="0" vert="horz" wrap="none" lIns="0" tIns="0" rIns="0" bIns="0" anchor="t" anchorCtr="0" upright="1">
                          <a:spAutoFit/>
                        </wps:bodyPr>
                      </wps:wsp>
                      <wps:wsp>
                        <wps:cNvPr id="182285037" name="Rectangle 210"/>
                        <wps:cNvSpPr>
                          <a:spLocks noChangeArrowheads="1"/>
                        </wps:cNvSpPr>
                        <wps:spPr bwMode="auto">
                          <a:xfrm>
                            <a:off x="1388100" y="3214360"/>
                            <a:ext cx="87439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091B6F" w14:textId="77777777" w:rsidR="001D4369" w:rsidRDefault="001D4369" w:rsidP="001D4369">
                              <w:r>
                                <w:rPr>
                                  <w:rFonts w:ascii="Arial" w:hAnsi="Arial" w:cs="Arial"/>
                                  <w:b/>
                                  <w:bCs/>
                                  <w:color w:val="000000"/>
                                  <w:sz w:val="14"/>
                                  <w:szCs w:val="14"/>
                                </w:rPr>
                                <w:t>HRUC Commitments</w:t>
                              </w:r>
                            </w:p>
                          </w:txbxContent>
                        </wps:txbx>
                        <wps:bodyPr rot="0" vert="horz" wrap="none" lIns="0" tIns="0" rIns="0" bIns="0" anchor="t" anchorCtr="0" upright="1">
                          <a:spAutoFit/>
                        </wps:bodyPr>
                      </wps:wsp>
                      <wps:wsp>
                        <wps:cNvPr id="35916403" name="Freeform 211"/>
                        <wps:cNvSpPr>
                          <a:spLocks noEditPoints="1"/>
                        </wps:cNvSpPr>
                        <wps:spPr bwMode="auto">
                          <a:xfrm>
                            <a:off x="1828100" y="2167240"/>
                            <a:ext cx="40700" cy="762614"/>
                          </a:xfrm>
                          <a:custGeom>
                            <a:avLst/>
                            <a:gdLst>
                              <a:gd name="T0" fmla="*/ 9691688 w 64"/>
                              <a:gd name="T1" fmla="*/ 484259890 h 1201"/>
                              <a:gd name="T2" fmla="*/ 9691688 w 64"/>
                              <a:gd name="T3" fmla="*/ 20967123 h 1201"/>
                              <a:gd name="T4" fmla="*/ 16152813 w 64"/>
                              <a:gd name="T5" fmla="*/ 20967123 h 1201"/>
                              <a:gd name="T6" fmla="*/ 16152813 w 64"/>
                              <a:gd name="T7" fmla="*/ 484259890 h 1201"/>
                              <a:gd name="T8" fmla="*/ 9691688 w 64"/>
                              <a:gd name="T9" fmla="*/ 484259890 h 1201"/>
                              <a:gd name="T10" fmla="*/ 0 w 64"/>
                              <a:gd name="T11" fmla="*/ 25402475 h 1201"/>
                              <a:gd name="T12" fmla="*/ 12922250 w 64"/>
                              <a:gd name="T13" fmla="*/ 0 h 1201"/>
                              <a:gd name="T14" fmla="*/ 25844500 w 64"/>
                              <a:gd name="T15" fmla="*/ 25402475 h 1201"/>
                              <a:gd name="T16" fmla="*/ 0 w 64"/>
                              <a:gd name="T17" fmla="*/ 25402475 h 1201"/>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64" h="1201">
                                <a:moveTo>
                                  <a:pt x="24" y="1201"/>
                                </a:moveTo>
                                <a:lnTo>
                                  <a:pt x="24" y="52"/>
                                </a:lnTo>
                                <a:lnTo>
                                  <a:pt x="40" y="52"/>
                                </a:lnTo>
                                <a:lnTo>
                                  <a:pt x="40" y="1201"/>
                                </a:lnTo>
                                <a:lnTo>
                                  <a:pt x="24" y="1201"/>
                                </a:lnTo>
                                <a:close/>
                                <a:moveTo>
                                  <a:pt x="0" y="63"/>
                                </a:moveTo>
                                <a:lnTo>
                                  <a:pt x="32" y="0"/>
                                </a:lnTo>
                                <a:lnTo>
                                  <a:pt x="64" y="63"/>
                                </a:lnTo>
                                <a:lnTo>
                                  <a:pt x="0" y="63"/>
                                </a:lnTo>
                                <a:close/>
                              </a:path>
                            </a:pathLst>
                          </a:custGeom>
                          <a:solidFill>
                            <a:srgbClr val="000000"/>
                          </a:solidFill>
                          <a:ln w="1">
                            <a:solidFill>
                              <a:srgbClr val="000000"/>
                            </a:solidFill>
                            <a:bevel/>
                            <a:headEnd/>
                            <a:tailEnd/>
                          </a:ln>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4C838C7E" id="Canvas 448" o:spid="_x0000_s1026" editas="canvas" style="position:absolute;margin-left:10.25pt;margin-top:9.65pt;width:423pt;height:273.95pt;z-index:251697152" coordsize="53721,34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3721;height:34791;visibility:visible;mso-wrap-style:square">
                  <v:fill o:detectmouseclick="t"/>
                  <v:path o:connecttype="none"/>
                </v:shape>
                <v:group id="Group 117" o:spid="_x0000_s1028" style="position:absolute;left:800;top:8826;width:52654;height:15653" coordorigin="2007,3420" coordsize="8292,2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">
                  <v:shape id="Freeform 118" o:spid="_x0000_s1029" style="position:absolute;left:2007;top:3420;width:8292;height:2465;visibility:visible;mso-wrap-style:square;v-text-anchor:top" coordsize="8292,2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" path="m6219,r,616l,616,,1849r6219,l6219,2465,8292,1233,6219,xe" fillcolor="#bbe0e3" stroked="f">
                    <v:path arrowok="t" o:connecttype="custom" o:connectlocs="6219,0;6219,616;0,616;0,1849;6219,1849;6219,2465;8292,1233;6219,0" o:connectangles="0,0,0,0,0,0,0,0"/>
                  </v:shape>
                  <v:shape id="Freeform 119" o:spid="_x0000_s1030" style="position:absolute;left:2007;top:3420;width:8292;height:2465;visibility:visible;mso-wrap-style:square;v-text-anchor:top" coordsize="8292,2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" path="m6219,r,616l,616,,1849r6219,l6219,2465,8292,1233,6219,xe" filled="f" strokeweight="58e-5mm">
                    <v:stroke joinstyle="miter" endcap="round"/>
                    <v:path arrowok="t" o:connecttype="custom" o:connectlocs="6219,0;6219,616;0,616;0,1849;6219,1849;6219,2465;8292,1233;6219,0" o:connectangles="0,0,0,0,0,0,0,0"/>
                  </v:shape>
                </v:group>
                <v:group id="Group 120" o:spid="_x0000_s1031" style="position:absolute;left:9277;top:13239;width:16040;height:2813" coordorigin="3342,4115" coordsize="2526,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">
                  <v:shape id="Freeform 121" o:spid="_x0000_s1032" style="position:absolute;left:3342;top:4115;width:2526;height:443;visibility:visible;mso-wrap-style:square;v-text-anchor:top" coordsize="15966,2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" path="m466,c209,,,209,,467l,2334v,258,209,466,466,466l15500,2800v258,,466,-208,466,-466l15966,467c15966,209,15758,,15500,l466,xe" fillcolor="#339" strokeweight="0">
                    <v:path arrowok="t" o:connecttype="custom" o:connectlocs="2,0;0,2;0,9;2,11;61,11;63,9;63,2;61,0;2,0" o:connectangles="0,0,0,0,0,0,0,0,0"/>
                  </v:shape>
                  <v:shape id="Freeform 122" o:spid="_x0000_s1033" style="position:absolute;left:3342;top:4115;width:2526;height:443;visibility:visible;mso-wrap-style:square;v-text-anchor:top" coordsize="15966,2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" path="m466,c209,,,209,,467l,2334v,258,209,466,466,466l15500,2800v258,,466,-208,466,-466l15966,467c15966,209,15758,,15500,l466,xe" filled="f" strokeweight="22e-5mm">
                    <v:stroke endcap="round"/>
                    <v:path arrowok="t" o:connecttype="custom" o:connectlocs="2,0;0,2;0,9;2,11;61,11;63,9;63,2;61,0;2,0" o:connectangles="0,0,0,0,0,0,0,0,0"/>
                  </v:shape>
                </v:group>
                <v:rect id="Rectangle 123" o:spid="_x0000_s1034" style="position:absolute;left:12979;top:13265;width:9105;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" filled="f" stroked="f">
                  <v:textbox style="mso-fit-shape-to-text:t" inset="0,0,0,0">
                    <w:txbxContent>
                      <w:p w14:paraId="65E50E55" w14:textId="77777777" w:rsidR="001D4369" w:rsidRDefault="001D4369" w:rsidP="001D4369">
                        <w:r>
                          <w:rPr>
                            <w:rFonts w:ascii="Arial" w:hAnsi="Arial" w:cs="Arial"/>
                            <w:b/>
                            <w:bCs/>
                            <w:color w:val="FFFFFF"/>
                            <w:sz w:val="20"/>
                          </w:rPr>
                          <w:t>Preparation for</w:t>
                        </w:r>
                      </w:p>
                    </w:txbxContent>
                  </v:textbox>
                </v:rect>
                <v:rect id="Rectangle 124" o:spid="_x0000_s1035" style="position:absolute;left:13081;top:14713;width:2686;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" filled="f" stroked="f">
                  <v:textbox style="mso-fit-shape-to-text:t" inset="0,0,0,0">
                    <w:txbxContent>
                      <w:p w14:paraId="4FB1CBD3" w14:textId="77777777" w:rsidR="001D4369" w:rsidRDefault="001D4369" w:rsidP="001D4369">
                        <w:r>
                          <w:rPr>
                            <w:rFonts w:ascii="Arial" w:hAnsi="Arial" w:cs="Arial"/>
                            <w:b/>
                            <w:bCs/>
                            <w:color w:val="FFFFFF"/>
                            <w:sz w:val="20"/>
                          </w:rPr>
                          <w:t>Real</w:t>
                        </w:r>
                      </w:p>
                    </w:txbxContent>
                  </v:textbox>
                </v:rect>
                <v:rect id="Rectangle 125" o:spid="_x0000_s1036" style="position:absolute;left:15621;top:14713;width:425;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" filled="f" stroked="f">
                  <v:textbox style="mso-fit-shape-to-text:t" inset="0,0,0,0">
                    <w:txbxContent>
                      <w:p w14:paraId="5D697BA3" w14:textId="77777777" w:rsidR="001D4369" w:rsidRDefault="001D4369" w:rsidP="001D4369">
                        <w:r>
                          <w:rPr>
                            <w:rFonts w:ascii="Arial" w:hAnsi="Arial" w:cs="Arial"/>
                            <w:b/>
                            <w:bCs/>
                            <w:color w:val="FFFFFF"/>
                            <w:sz w:val="20"/>
                          </w:rPr>
                          <w:t>-</w:t>
                        </w:r>
                      </w:p>
                    </w:txbxContent>
                  </v:textbox>
                </v:rect>
                <v:rect id="Rectangle 126" o:spid="_x0000_s1037" style="position:absolute;left:16021;top:14713;width:5791;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" filled="f" stroked="f">
                  <v:textbox style="mso-fit-shape-to-text:t" inset="0,0,0,0">
                    <w:txbxContent>
                      <w:p w14:paraId="7C73CC60" w14:textId="77777777" w:rsidR="001D4369" w:rsidRDefault="001D4369" w:rsidP="001D4369">
                        <w:r>
                          <w:rPr>
                            <w:rFonts w:ascii="Arial" w:hAnsi="Arial" w:cs="Arial"/>
                            <w:b/>
                            <w:bCs/>
                            <w:color w:val="FFFFFF"/>
                            <w:sz w:val="20"/>
                          </w:rPr>
                          <w:t>Time Ops</w:t>
                        </w:r>
                      </w:p>
                    </w:txbxContent>
                  </v:textbox>
                </v:rect>
                <v:group id="Group 127" o:spid="_x0000_s1038" style="position:absolute;left:1606;top:13239;width:7233;height:6827" coordorigin="2134,4115" coordsize="1139,1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">
                  <v:shape id="Freeform 128" o:spid="_x0000_s1039" style="position:absolute;left:2134;top:4115;width:1139;height:1075;visibility:visible;mso-wrap-style:square;v-text-anchor:top" coordsize="7200,6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" path="m1134,c508,,,508,,1134l,5667v,626,508,1133,1134,1133l6067,6800v626,,1133,-507,1133,-1133l7200,1134c7200,508,6693,,6067,l1134,xe" fillcolor="#339" strokeweight="0">
                    <v:path arrowok="t" o:connecttype="custom" o:connectlocs="4,0;0,4;0,22;4,27;24,27;28,22;28,4;24,0;4,0" o:connectangles="0,0,0,0,0,0,0,0,0"/>
                  </v:shape>
                  <v:shape id="Freeform 129" o:spid="_x0000_s1040" style="position:absolute;left:2134;top:4115;width:1139;height:1075;visibility:visible;mso-wrap-style:square;v-text-anchor:top" coordsize="7200,6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" path="m1134,c508,,,508,,1134l,5667v,626,508,1133,1134,1133l6067,6800v626,,1133,-507,1133,-1133l7200,1134c7200,508,6693,,6067,l1134,xe" filled="f" strokeweight="22e-5mm">
                    <v:stroke endcap="round"/>
                    <v:path arrowok="t" o:connecttype="custom" o:connectlocs="4,0;0,4;0,22;4,27;24,27;28,22;28,4;24,0;4,0" o:connectangles="0,0,0,0,0,0,0,0,0"/>
                  </v:shape>
                </v:group>
                <v:rect id="Rectangle 130" o:spid="_x0000_s1041" style="position:absolute;left:2210;top:15989;width:6356;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" filled="f" stroked="f">
                  <v:textbox style="mso-fit-shape-to-text:t" inset="0,0,0,0">
                    <w:txbxContent>
                      <w:p w14:paraId="6D363445" w14:textId="77777777" w:rsidR="001D4369" w:rsidRDefault="001D4369" w:rsidP="001D4369">
                        <w:r>
                          <w:rPr>
                            <w:rFonts w:ascii="Arial" w:hAnsi="Arial" w:cs="Arial"/>
                            <w:b/>
                            <w:bCs/>
                            <w:color w:val="FFFFFF"/>
                            <w:sz w:val="20"/>
                          </w:rPr>
                          <w:t>Adj Period</w:t>
                        </w:r>
                      </w:p>
                    </w:txbxContent>
                  </v:textbox>
                </v:rect>
                <v:rect id="Rectangle 131" o:spid="_x0000_s1042" style="position:absolute;left:483;top:23012;width:3251;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" filled="f" stroked="f">
                  <v:textbox style="mso-fit-shape-to-text:t" inset="0,0,0,0">
                    <w:txbxContent>
                      <w:p w14:paraId="75E52C03" w14:textId="77777777" w:rsidR="001D4369" w:rsidRDefault="001D4369" w:rsidP="001D4369">
                        <w:r>
                          <w:rPr>
                            <w:rFonts w:ascii="Arial" w:hAnsi="Arial" w:cs="Arial"/>
                            <w:b/>
                            <w:bCs/>
                            <w:color w:val="000000"/>
                            <w:sz w:val="20"/>
                          </w:rPr>
                          <w:t>18:00</w:t>
                        </w:r>
                      </w:p>
                    </w:txbxContent>
                  </v:textbox>
                </v:rect>
                <v:rect id="Rectangle 132" o:spid="_x0000_s1043" style="position:absolute;left:483;top:24460;width:1346;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" filled="f" stroked="f">
                  <v:textbox style="mso-fit-shape-to-text:t" inset="0,0,0,0">
                    <w:txbxContent>
                      <w:p w14:paraId="03504F3E" w14:textId="77777777" w:rsidR="001D4369" w:rsidRDefault="001D4369" w:rsidP="001D4369">
                        <w:r>
                          <w:rPr>
                            <w:rFonts w:ascii="Arial" w:hAnsi="Arial" w:cs="Arial"/>
                            <w:b/>
                            <w:bCs/>
                            <w:color w:val="000000"/>
                            <w:sz w:val="20"/>
                          </w:rPr>
                          <w:t xml:space="preserve">(D </w:t>
                        </w:r>
                      </w:p>
                    </w:txbxContent>
                  </v:textbox>
                </v:rect>
                <v:rect id="Rectangle 133" o:spid="_x0000_s1044" style="position:absolute;left:2089;top:24460;width:711;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" filled="f" stroked="f">
                  <v:textbox style="mso-fit-shape-to-text:t" inset="0,0,0,0">
                    <w:txbxContent>
                      <w:p w14:paraId="0B6F9B0E" w14:textId="77777777" w:rsidR="001D4369" w:rsidRDefault="001D4369" w:rsidP="001D4369">
                        <w:r>
                          <w:rPr>
                            <w:rFonts w:ascii="Arial" w:hAnsi="Arial" w:cs="Arial"/>
                            <w:b/>
                            <w:bCs/>
                            <w:color w:val="000000"/>
                            <w:sz w:val="20"/>
                          </w:rPr>
                          <w:t>–</w:t>
                        </w:r>
                      </w:p>
                    </w:txbxContent>
                  </v:textbox>
                </v:rect>
                <v:rect id="Rectangle 134" o:spid="_x0000_s1045" style="position:absolute;left:3092;top:24460;width:1130;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" filled="f" stroked="f">
                  <v:textbox style="mso-fit-shape-to-text:t" inset="0,0,0,0">
                    <w:txbxContent>
                      <w:p w14:paraId="2A2FEE94" w14:textId="77777777" w:rsidR="001D4369" w:rsidRDefault="001D4369" w:rsidP="001D4369">
                        <w:r>
                          <w:rPr>
                            <w:rFonts w:ascii="Arial" w:hAnsi="Arial" w:cs="Arial"/>
                            <w:b/>
                            <w:bCs/>
                            <w:color w:val="000000"/>
                            <w:sz w:val="20"/>
                          </w:rPr>
                          <w:t>1)</w:t>
                        </w:r>
                      </w:p>
                    </w:txbxContent>
                  </v:textbox>
                </v:rect>
                <v:rect id="Rectangle 135" o:spid="_x0000_s1046" style="position:absolute;left:5525;top:23164;width:6565;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" filled="f" stroked="f">
                  <v:textbox style="mso-fit-shape-to-text:t" inset="0,0,0,0">
                    <w:txbxContent>
                      <w:p w14:paraId="38FB51A3" w14:textId="77777777" w:rsidR="001D4369" w:rsidRDefault="001D4369" w:rsidP="001D4369">
                        <w:r>
                          <w:rPr>
                            <w:rFonts w:ascii="Arial" w:hAnsi="Arial" w:cs="Arial"/>
                            <w:b/>
                            <w:bCs/>
                            <w:color w:val="000000"/>
                            <w:sz w:val="20"/>
                          </w:rPr>
                          <w:t>60 Minutes</w:t>
                        </w:r>
                      </w:p>
                    </w:txbxContent>
                  </v:textbox>
                </v:rect>
                <v:rect id="Rectangle 136" o:spid="_x0000_s1047" style="position:absolute;left:6490;top:24618;width:4521;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" filled="f" stroked="f">
                  <v:textbox style="mso-fit-shape-to-text:t" inset="0,0,0,0">
                    <w:txbxContent>
                      <w:p w14:paraId="33A2D888" w14:textId="77777777" w:rsidR="001D4369" w:rsidRDefault="001D4369" w:rsidP="001D4369">
                        <w:r>
                          <w:rPr>
                            <w:rFonts w:ascii="Arial" w:hAnsi="Arial" w:cs="Arial"/>
                            <w:b/>
                            <w:bCs/>
                            <w:color w:val="000000"/>
                            <w:sz w:val="20"/>
                          </w:rPr>
                          <w:t>Prior to</w:t>
                        </w:r>
                      </w:p>
                    </w:txbxContent>
                  </v:textbox>
                </v:rect>
                <v:rect id="Rectangle 137" o:spid="_x0000_s1048" style="position:absolute;left:6223;top:26066;width:5080;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" filled="f" stroked="f">
                  <v:textbox style="mso-fit-shape-to-text:t" inset="0,0,0,0">
                    <w:txbxContent>
                      <w:p w14:paraId="4F6F7E61" w14:textId="77777777" w:rsidR="001D4369" w:rsidRDefault="001D4369" w:rsidP="001D4369">
                        <w:r>
                          <w:rPr>
                            <w:rFonts w:ascii="Arial" w:hAnsi="Arial" w:cs="Arial"/>
                            <w:b/>
                            <w:bCs/>
                            <w:color w:val="000000"/>
                            <w:sz w:val="20"/>
                          </w:rPr>
                          <w:t>Op Hour</w:t>
                        </w:r>
                      </w:p>
                    </w:txbxContent>
                  </v:textbox>
                </v:rect>
                <v:group id="Group 138" o:spid="_x0000_s1049" style="position:absolute;left:2025;top:4670;width:14065;height:5763" coordorigin="2197,2598" coordsize="2215,1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">
                  <v:rect id="Rectangle 139" o:spid="_x0000_s1050" style="position:absolute;left:2197;top:2598;width:2215;height:10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" fillcolor="#936" stroked="f"/>
                  <v:rect id="Rectangle 140" o:spid="_x0000_s1051" style="position:absolute;left:2197;top:2598;width:2215;height:10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" filled="f" strokeweight="22e-5mm">
                    <v:stroke endcap="round"/>
                  </v:rect>
                </v:group>
                <v:rect id="Rectangle 141" o:spid="_x0000_s1052" style="position:absolute;left:5823;top:5569;width:6127;height:10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" filled="f" stroked="f">
                  <v:textbox style="mso-fit-shape-to-text:t" inset="0,0,0,0">
                    <w:txbxContent>
                      <w:p w14:paraId="36E58330" w14:textId="77777777" w:rsidR="001D4369" w:rsidRDefault="001D4369" w:rsidP="001D4369">
                        <w:r>
                          <w:rPr>
                            <w:rFonts w:ascii="Arial" w:hAnsi="Arial" w:cs="Arial"/>
                            <w:b/>
                            <w:bCs/>
                            <w:color w:val="FFFFFF"/>
                            <w:sz w:val="14"/>
                            <w:szCs w:val="14"/>
                          </w:rPr>
                          <w:t>QSE Deadline:</w:t>
                        </w:r>
                      </w:p>
                    </w:txbxContent>
                  </v:textbox>
                </v:rect>
                <v:rect id="Rectangle 142" o:spid="_x0000_s1053" style="position:absolute;left:5789;top:6574;width:6452;height: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" stroked="f"/>
                <v:rect id="Rectangle 143" o:spid="_x0000_s1054" style="position:absolute;left:2623;top:7030;width:13144;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" filled="f" stroked="f">
                  <v:textbox style="mso-fit-shape-to-text:t" inset="0,0,0,0">
                    <w:txbxContent>
                      <w:p w14:paraId="308B2D65" w14:textId="77777777" w:rsidR="001D4369" w:rsidRDefault="001D4369" w:rsidP="001D4369">
                        <w:r>
                          <w:rPr>
                            <w:rFonts w:ascii="Arial" w:hAnsi="Arial" w:cs="Arial"/>
                            <w:b/>
                            <w:bCs/>
                            <w:color w:val="FFFFFF"/>
                            <w:sz w:val="14"/>
                            <w:szCs w:val="14"/>
                          </w:rPr>
                          <w:t>Update Energy Bids and Offers</w:t>
                        </w:r>
                      </w:p>
                    </w:txbxContent>
                  </v:textbox>
                </v:rect>
                <v:rect id="Rectangle 144" o:spid="_x0000_s1055" style="position:absolute;left:4464;top:6490;width:692;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" filled="f" stroked="f">
                  <v:textbox style="mso-fit-shape-to-text:t" inset="0,0,0,0">
                    <w:txbxContent>
                      <w:p w14:paraId="0CB18E64" w14:textId="77777777" w:rsidR="001D4369" w:rsidRDefault="001D4369" w:rsidP="001D4369"/>
                    </w:txbxContent>
                  </v:textbox>
                </v:rect>
                <v:rect id="Rectangle 145" o:spid="_x0000_s1056" style="position:absolute;left:3334;top:8199;width:10871;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" filled="f" stroked="f">
                  <v:textbox style="mso-fit-shape-to-text:t" inset="0,0,0,0">
                    <w:txbxContent>
                      <w:p w14:paraId="10F3F02E" w14:textId="77777777" w:rsidR="001D4369" w:rsidRDefault="001D4369" w:rsidP="001D4369">
                        <w:r>
                          <w:rPr>
                            <w:rFonts w:ascii="Arial" w:hAnsi="Arial" w:cs="Arial"/>
                            <w:b/>
                            <w:bCs/>
                            <w:color w:val="FFFFFF"/>
                            <w:sz w:val="14"/>
                            <w:szCs w:val="14"/>
                          </w:rPr>
                          <w:t>Update Output Schedules</w:t>
                        </w:r>
                      </w:p>
                    </w:txbxContent>
                  </v:textbox>
                </v:rect>
                <v:group id="Group 148" o:spid="_x0000_s1057" style="position:absolute;left:24110;top:27292;width:14472;height:6820" coordorigin="5678,6328" coordsize="2279,10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">
                  <v:rect id="Rectangle 149" o:spid="_x0000_s1058" style="position:absolute;left:5678;top:6328;width:2279;height:10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" fillcolor="silver" stroked="f"/>
                  <v:rect id="Rectangle 150" o:spid="_x0000_s1059" style="position:absolute;left:5678;top:6328;width:2279;height:10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" filled="f" strokeweight="22e-5mm">
                    <v:stroke endcap="round"/>
                  </v:rect>
                </v:group>
                <v:rect id="Rectangle 151" o:spid="_x0000_s1060" style="position:absolute;left:27730;top:27774;width:6870;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" filled="f" stroked="f">
                  <v:textbox style="mso-fit-shape-to-text:t" inset="0,0,0,0">
                    <w:txbxContent>
                      <w:p w14:paraId="54E383CB" w14:textId="77777777" w:rsidR="001D4369" w:rsidRDefault="001D4369" w:rsidP="001D4369">
                        <w:r>
                          <w:rPr>
                            <w:rFonts w:ascii="Arial" w:hAnsi="Arial" w:cs="Arial"/>
                            <w:b/>
                            <w:bCs/>
                            <w:color w:val="000000"/>
                            <w:sz w:val="14"/>
                            <w:szCs w:val="14"/>
                          </w:rPr>
                          <w:t>ERCOT Activity:</w:t>
                        </w:r>
                      </w:p>
                    </w:txbxContent>
                  </v:textbox>
                </v:rect>
                <v:rect id="Rectangle 152" o:spid="_x0000_s1061" style="position:absolute;left:27730;top:28746;width:7220;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" fillcolor="black" stroked="f"/>
                <v:rect id="Rectangle 153" o:spid="_x0000_s1062" style="position:absolute;left:25578;top:28892;width:10972;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" filled="f" stroked="f">
                  <v:textbox style="mso-fit-shape-to-text:t" inset="0,0,0,0">
                    <w:txbxContent>
                      <w:p w14:paraId="4360A1EC" w14:textId="77777777" w:rsidR="001D4369" w:rsidRDefault="001D4369" w:rsidP="001D4369">
                        <w:r>
                          <w:rPr>
                            <w:rFonts w:ascii="Arial" w:hAnsi="Arial" w:cs="Arial"/>
                            <w:b/>
                            <w:bCs/>
                            <w:color w:val="000000"/>
                            <w:sz w:val="14"/>
                            <w:szCs w:val="14"/>
                          </w:rPr>
                          <w:t>LFC Process every 4 secs</w:t>
                        </w:r>
                      </w:p>
                    </w:txbxContent>
                  </v:textbox>
                </v:rect>
                <v:rect id="Rectangle 154" o:spid="_x0000_s1063" style="position:absolute;left:25152;top:30016;width:9442;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" filled="f" stroked="f">
                  <v:textbox style="mso-fit-shape-to-text:t" inset="0,0,0,0">
                    <w:txbxContent>
                      <w:p w14:paraId="7DBD9D67" w14:textId="77777777" w:rsidR="001D4369" w:rsidRDefault="001D4369" w:rsidP="001D4369">
                        <w:r>
                          <w:rPr>
                            <w:rFonts w:ascii="Arial" w:hAnsi="Arial" w:cs="Arial"/>
                            <w:b/>
                            <w:bCs/>
                            <w:color w:val="000000"/>
                            <w:sz w:val="14"/>
                            <w:szCs w:val="14"/>
                          </w:rPr>
                          <w:t xml:space="preserve">Execute SCED every 5 </w:t>
                        </w:r>
                      </w:p>
                    </w:txbxContent>
                  </v:textbox>
                </v:rect>
                <v:rect id="Rectangle 155" o:spid="_x0000_s1064" style="position:absolute;left:34746;top:30016;width:2076;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" filled="f" stroked="f">
                  <v:textbox style="mso-fit-shape-to-text:t" inset="0,0,0,0">
                    <w:txbxContent>
                      <w:p w14:paraId="05D647DC" w14:textId="77777777" w:rsidR="001D4369" w:rsidRDefault="001D4369" w:rsidP="001D4369">
                        <w:r>
                          <w:rPr>
                            <w:rFonts w:ascii="Arial" w:hAnsi="Arial" w:cs="Arial"/>
                            <w:b/>
                            <w:bCs/>
                            <w:color w:val="000000"/>
                            <w:sz w:val="14"/>
                            <w:szCs w:val="14"/>
                          </w:rPr>
                          <w:t>mins</w:t>
                        </w:r>
                      </w:p>
                    </w:txbxContent>
                  </v:textbox>
                </v:rect>
                <v:rect id="Rectangle 156" o:spid="_x0000_s1065" style="position:absolute;left:25457;top:31140;width:11461;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" filled="f" stroked="f">
                  <v:textbox style="mso-fit-shape-to-text:t" inset="0,0,0,0">
                    <w:txbxContent>
                      <w:p w14:paraId="01650840" w14:textId="77777777" w:rsidR="001D4369" w:rsidRDefault="001D4369" w:rsidP="001D4369">
                        <w:r>
                          <w:rPr>
                            <w:rFonts w:ascii="Arial" w:hAnsi="Arial" w:cs="Arial"/>
                            <w:b/>
                            <w:bCs/>
                            <w:color w:val="000000"/>
                            <w:sz w:val="14"/>
                            <w:szCs w:val="14"/>
                          </w:rPr>
                          <w:t>Communicate Instructions,</w:t>
                        </w:r>
                      </w:p>
                    </w:txbxContent>
                  </v:textbox>
                </v:rect>
                <v:rect id="Rectangle 157" o:spid="_x0000_s1066" style="position:absolute;left:27235;top:32251;width:7017;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" filled="f" stroked="f">
                  <v:textbox style="mso-fit-shape-to-text:t" inset="0,0,0,0">
                    <w:txbxContent>
                      <w:p w14:paraId="67C6A342" w14:textId="77777777" w:rsidR="001D4369" w:rsidRDefault="001D4369" w:rsidP="001D4369">
                        <w:r>
                          <w:rPr>
                            <w:rFonts w:ascii="Arial" w:hAnsi="Arial" w:cs="Arial"/>
                            <w:b/>
                            <w:bCs/>
                            <w:color w:val="000000"/>
                            <w:sz w:val="14"/>
                            <w:szCs w:val="14"/>
                          </w:rPr>
                          <w:t>Awards &amp; Prices</w:t>
                        </w:r>
                      </w:p>
                    </w:txbxContent>
                  </v:textbox>
                </v:rect>
                <v:group id="Group 158" o:spid="_x0000_s1067" style="position:absolute;left:3213;top:29298;width:9645;height:4814" coordorigin="2387,6644" coordsize="1519,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">
                  <v:rect id="Rectangle 159" o:spid="_x0000_s1068" style="position:absolute;left:2387;top:6644;width:1519;height:7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" fillcolor="silver" stroked="f"/>
                  <v:rect id="Rectangle 160" o:spid="_x0000_s1069" style="position:absolute;left:2387;top:6644;width:1519;height:7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" filled="f" strokeweight="22e-5mm">
                    <v:stroke endcap="round"/>
                  </v:rect>
                </v:group>
                <v:rect id="Rectangle 161" o:spid="_x0000_s1070" style="position:absolute;left:4420;top:29895;width:6870;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" filled="f" stroked="f">
                  <v:textbox style="mso-fit-shape-to-text:t" inset="0,0,0,0">
                    <w:txbxContent>
                      <w:p w14:paraId="163D58DA" w14:textId="77777777" w:rsidR="001D4369" w:rsidRDefault="001D4369" w:rsidP="001D4369">
                        <w:r>
                          <w:rPr>
                            <w:rFonts w:ascii="Arial" w:hAnsi="Arial" w:cs="Arial"/>
                            <w:b/>
                            <w:bCs/>
                            <w:color w:val="000000"/>
                            <w:sz w:val="14"/>
                            <w:szCs w:val="14"/>
                          </w:rPr>
                          <w:t>ERCOT Activity:</w:t>
                        </w:r>
                      </w:p>
                    </w:txbxContent>
                  </v:textbox>
                </v:rect>
                <v:rect id="Rectangle 162" o:spid="_x0000_s1071" style="position:absolute;left:4419;top:30867;width:7220;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" fillcolor="black" stroked="f"/>
                <v:rect id="Rectangle 163" o:spid="_x0000_s1072" style="position:absolute;left:3785;top:31019;width:7854;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" filled="f" stroked="f">
                  <v:textbox style="mso-fit-shape-to-text:t" inset="0,0,0,0">
                    <w:txbxContent>
                      <w:p w14:paraId="1E4A9B13" w14:textId="77777777" w:rsidR="001D4369" w:rsidRDefault="001D4369" w:rsidP="001D4369">
                        <w:r>
                          <w:rPr>
                            <w:rFonts w:ascii="Arial" w:hAnsi="Arial" w:cs="Arial"/>
                            <w:b/>
                            <w:bCs/>
                            <w:color w:val="000000"/>
                            <w:sz w:val="14"/>
                            <w:szCs w:val="14"/>
                          </w:rPr>
                          <w:t xml:space="preserve">Snapshot Inputs &amp; </w:t>
                        </w:r>
                      </w:p>
                    </w:txbxContent>
                  </v:textbox>
                </v:rect>
                <v:rect id="Rectangle 164" o:spid="_x0000_s1073" style="position:absolute;left:4756;top:32143;width:6229;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" filled="f" stroked="f">
                  <v:textbox style="mso-fit-shape-to-text:t" inset="0,0,0,0">
                    <w:txbxContent>
                      <w:p w14:paraId="40F36541" w14:textId="77777777" w:rsidR="001D4369" w:rsidRDefault="001D4369" w:rsidP="001D4369">
                        <w:r>
                          <w:rPr>
                            <w:rFonts w:ascii="Arial" w:hAnsi="Arial" w:cs="Arial"/>
                            <w:b/>
                            <w:bCs/>
                            <w:color w:val="000000"/>
                            <w:sz w:val="14"/>
                            <w:szCs w:val="14"/>
                          </w:rPr>
                          <w:t>Execute HRUC</w:t>
                        </w:r>
                      </w:p>
                    </w:txbxContent>
                  </v:textbox>
                </v:rect>
                <v:shape id="Freeform 165" o:spid="_x0000_s1074" style="position:absolute;left:9042;top:10433;width:400;height:1606;visibility:visible;mso-wrap-style:square;v-text-anchor:top" coordsize="63,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" path="m39,r,200l23,200,23,,39,xm63,189l31,253,,189r63,xe" fillcolor="black" strokeweight="3e-5mm">
                  <v:stroke joinstyle="bevel"/>
                  <v:path arrowok="t" o:connecttype="custom" o:connectlocs="2147483646,0;2147483646,2147483646;2147483646,2147483646;2147483646,0;2147483646,0;2147483646,2147483646;2147483646,2147483646;0,2147483646;2147483646,2147483646" o:connectangles="0,0,0,0,0,0,0,0,0"/>
                  <o:lock v:ext="edit" verticies="t"/>
                </v:shape>
                <v:shape id="Freeform 166" o:spid="_x0000_s1075" style="position:absolute;left:31546;top:9626;width:400;height:2413;visibility:visible;mso-wrap-style:square;v-text-anchor:top" coordsize="63,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" path="m40,r,327l24,327,24,,40,xm63,316l32,380,,316r63,xe" fillcolor="black" strokeweight="3e-5mm">
                  <v:stroke joinstyle="bevel"/>
                  <v:path arrowok="t" o:connecttype="custom" o:connectlocs="2147483646,0;2147483646,2147483646;2147483646,2147483646;2147483646,0;2147483646,0;2147483646,2147483646;2147483646,2147483646;0,2147483646;2147483646,2147483646" o:connectangles="0,0,0,0,0,0,0,0,0"/>
                  <o:lock v:ext="edit" verticies="t"/>
                </v:shape>
                <v:shape id="Freeform 167" o:spid="_x0000_s1076" style="position:absolute;left:7835;top:28092;width:400;height:1206;visibility:visible;mso-wrap-style:square;v-text-anchor:top" coordsize="63,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" path="m23,190l23,53r16,l39,190r-16,xm,63l31,,63,63,,63xe" fillcolor="black" strokeweight="3e-5mm">
                  <v:stroke joinstyle="bevel"/>
                  <v:path arrowok="t" o:connecttype="custom" o:connectlocs="2147483646,2147483646;2147483646,2147483646;2147483646,2147483646;2147483646,2147483646;2147483646,2147483646;0,2147483646;2147483646,0;2147483646,2147483646;0,2147483646" o:connectangles="0,0,0,0,0,0,0,0,0"/>
                  <o:lock v:ext="edit" verticies="t"/>
                </v:shape>
                <v:shape id="Freeform 168" o:spid="_x0000_s1077" style="position:absolute;left:31146;top:25285;width:400;height:2007;visibility:visible;mso-wrap-style:square;v-text-anchor:top" coordsize="63,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" path="m24,316l24,52r15,l39,316r-15,xm,63l31,,63,63,,63xe" fillcolor="black" strokeweight="3e-5mm">
                  <v:stroke joinstyle="bevel"/>
                  <v:path arrowok="t" o:connecttype="custom" o:connectlocs="2147483646,2147483646;2147483646,2147483646;2147483646,2147483646;2147483646,2147483646;2147483646,2147483646;0,2147483646;2147483646,0;2147483646,2147483646;0,2147483646" o:connectangles="0,0,0,0,0,0,0,0,0"/>
                  <o:lock v:ext="edit" verticies="t"/>
                </v:shape>
                <v:group id="Group 169" o:spid="_x0000_s1078" style="position:absolute;left:9239;top:16452;width:29343;height:1607" coordorigin="3336,4621" coordsize="4621,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">
                  <v:shape id="Freeform 170" o:spid="_x0000_s1079" style="position:absolute;left:3336;top:4621;width:4621;height:253;visibility:visible;mso-wrap-style:square;v-text-anchor:top" coordsize="1460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" path="m134,c60,,,60,,134l,667v,74,60,133,134,133l14467,800v74,,133,-59,133,-133l14600,134c14600,60,14541,,14467,l134,xe" fillcolor="silver" strokeweight="0">
                    <v:path arrowok="t" o:connecttype="custom" o:connectlocs="4,0;0,4;0,21;4,25;459,25;463,21;463,4;459,0;4,0" o:connectangles="0,0,0,0,0,0,0,0,0"/>
                  </v:shape>
                  <v:shape id="Freeform 171" o:spid="_x0000_s1080" style="position:absolute;left:3336;top:4621;width:4621;height:253;visibility:visible;mso-wrap-style:square;v-text-anchor:top" coordsize="1460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" path="m134,c60,,,60,,134l,667v,74,60,133,134,133l14467,800v74,,133,-59,133,-133l14600,134c14600,60,14541,,14467,l134,xe" filled="f" strokeweight="22e-5mm">
                    <v:stroke endcap="round"/>
                    <v:path arrowok="t" o:connecttype="custom" o:connectlocs="4,0;0,4;0,21;4,25;459,25;463,21;463,4;459,0;4,0" o:connectangles="0,0,0,0,0,0,0,0,0"/>
                  </v:shape>
                </v:group>
                <v:rect id="Rectangle 172" o:spid="_x0000_s1081" style="position:absolute;left:19025;top:16599;width:10306;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" filled="f" stroked="f">
                  <v:textbox style="mso-fit-shape-to-text:t" inset="0,0,0,0">
                    <w:txbxContent>
                      <w:p w14:paraId="591A93CB" w14:textId="77777777" w:rsidR="001D4369" w:rsidRDefault="001D4369" w:rsidP="001D4369">
                        <w:r>
                          <w:rPr>
                            <w:rFonts w:ascii="Arial" w:hAnsi="Arial" w:cs="Arial"/>
                            <w:b/>
                            <w:bCs/>
                            <w:color w:val="000000"/>
                            <w:sz w:val="20"/>
                          </w:rPr>
                          <w:t>Operating Period</w:t>
                        </w:r>
                      </w:p>
                    </w:txbxContent>
                  </v:textbox>
                </v:rect>
                <v:group id="Group 173" o:spid="_x0000_s1082" style="position:absolute;left:25317;top:18459;width:13265;height:1607" coordorigin="5868,4937" coordsize="2089,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">
                  <v:shape id="Freeform 174" o:spid="_x0000_s1083" style="position:absolute;left:5868;top:4937;width:2089;height:253;visibility:visible;mso-wrap-style:square;v-text-anchor:top" coordsize="660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" path="m134,c60,,,60,,134l,667v,74,60,133,134,133l6467,800v74,,133,-59,133,-133l6600,134c6600,60,6541,,6467,l134,xe" fillcolor="silver" strokeweight="0">
                    <v:path arrowok="t" o:connecttype="custom" o:connectlocs="4,0;0,4;0,21;4,25;205,25;209,21;209,4;205,0;4,0" o:connectangles="0,0,0,0,0,0,0,0,0"/>
                  </v:shape>
                  <v:shape id="Freeform 175" o:spid="_x0000_s1084" style="position:absolute;left:5868;top:4937;width:2089;height:253;visibility:visible;mso-wrap-style:square;v-text-anchor:top" coordsize="660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" path="m134,c60,,,60,,134l,667v,74,60,133,134,133l6467,800v74,,133,-59,133,-133l6600,134c6600,60,6541,,6467,l134,xe" filled="f" strokeweight="22e-5mm">
                    <v:stroke endcap="round"/>
                    <v:path arrowok="t" o:connecttype="custom" o:connectlocs="4,0;0,4;0,21;4,25;205,25;209,21;209,4;205,0;4,0" o:connectangles="0,0,0,0,0,0,0,0,0"/>
                  </v:shape>
                </v:group>
                <v:rect id="Rectangle 176" o:spid="_x0000_s1085" style="position:absolute;left:26899;top:18605;width:9315;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" filled="f" stroked="f">
                  <v:textbox style="mso-fit-shape-to-text:t" inset="0,0,0,0">
                    <w:txbxContent>
                      <w:p w14:paraId="2960B270" w14:textId="77777777" w:rsidR="001D4369" w:rsidRDefault="001D4369" w:rsidP="001D4369">
                        <w:r>
                          <w:rPr>
                            <w:rFonts w:ascii="Arial" w:hAnsi="Arial" w:cs="Arial"/>
                            <w:b/>
                            <w:bCs/>
                            <w:color w:val="000000"/>
                            <w:sz w:val="20"/>
                          </w:rPr>
                          <w:t>Operating Hour</w:t>
                        </w:r>
                      </w:p>
                    </w:txbxContent>
                  </v:textbox>
                </v:rect>
                <v:line id="Line 177" o:spid="_x0000_s1086" style="position:absolute;visibility:visible;mso-wrap-style:square" from="25317,20466" to="25317,22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" strokeweight="58e-5mm"/>
                <v:rect id="Rectangle 178" o:spid="_x0000_s1087" style="position:absolute;left:23698;top:23171;width:3460;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" filled="f" stroked="f">
                  <v:textbox style="mso-fit-shape-to-text:t" inset="0,0,0,0">
                    <w:txbxContent>
                      <w:p w14:paraId="08F62C57" w14:textId="77777777" w:rsidR="001D4369" w:rsidRDefault="001D4369" w:rsidP="001D4369">
                        <w:r>
                          <w:rPr>
                            <w:rFonts w:ascii="Arial" w:hAnsi="Arial" w:cs="Arial"/>
                            <w:b/>
                            <w:bCs/>
                            <w:color w:val="000000"/>
                            <w:sz w:val="20"/>
                          </w:rPr>
                          <w:t>Clock</w:t>
                        </w:r>
                      </w:p>
                    </w:txbxContent>
                  </v:textbox>
                </v:rect>
                <v:rect id="Rectangle 179" o:spid="_x0000_s1088" style="position:absolute;left:23933;top:24625;width:2965;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" filled="f" stroked="f">
                  <v:textbox style="mso-fit-shape-to-text:t" inset="0,0,0,0">
                    <w:txbxContent>
                      <w:p w14:paraId="613C2C4D" w14:textId="77777777" w:rsidR="001D4369" w:rsidRDefault="001D4369" w:rsidP="001D4369">
                        <w:r>
                          <w:rPr>
                            <w:rFonts w:ascii="Arial" w:hAnsi="Arial" w:cs="Arial"/>
                            <w:b/>
                            <w:bCs/>
                            <w:color w:val="000000"/>
                            <w:sz w:val="20"/>
                          </w:rPr>
                          <w:t>Hour</w:t>
                        </w:r>
                      </w:p>
                    </w:txbxContent>
                  </v:textbox>
                </v:rect>
                <v:shape id="Freeform 180" o:spid="_x0000_s1089" style="position:absolute;left:25317;top:21266;width:13265;height:3213;visibility:visible;mso-wrap-style:square;v-text-anchor:top" coordsize="6600,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" path="m,c,442,247,800,550,800r1971,c2825,800,3071,1159,3071,1600v,-441,246,-800,550,-800l6050,800v304,,550,-358,550,-800e" filled="f" strokeweight="22e-5mm">
                  <v:stroke endcap="round"/>
                  <v:path arrowok="t" o:connecttype="custom" o:connectlocs="0,0;2147483646,2147483646;2147483646,2147483646;2147483646,2147483646;2147483646,2147483646;2147483646,2147483646;2147483646,0" o:connectangles="0,0,0,0,0,0,0"/>
                </v:shape>
                <v:line id="Line 181" o:spid="_x0000_s1090" style="position:absolute;visibility:visible;mso-wrap-style:square" from="8439,20466" to="8439,22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" strokeweight="58e-5mm"/>
                <v:line id="Line 182" o:spid="_x0000_s1091" style="position:absolute;visibility:visible;mso-wrap-style:square" from="2406,20466" to="2406,22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" strokeweight="58e-5mm"/>
                <v:rect id="Rectangle 183" o:spid="_x0000_s1092" style="position:absolute;left:31026;top:20847;width:781;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" filled="f" stroked="f">
                  <v:textbox style="mso-fit-shape-to-text:t" inset="0,0,0,0">
                    <w:txbxContent>
                      <w:p w14:paraId="2A634103" w14:textId="77777777" w:rsidR="001D4369" w:rsidRDefault="001D4369" w:rsidP="001D4369">
                        <w:r>
                          <w:rPr>
                            <w:rFonts w:ascii="Arial" w:hAnsi="Arial" w:cs="Arial"/>
                            <w:b/>
                            <w:bCs/>
                            <w:color w:val="000000"/>
                            <w:sz w:val="20"/>
                          </w:rPr>
                          <w:t>T</w:t>
                        </w:r>
                      </w:p>
                    </w:txbxContent>
                  </v:textbox>
                </v:rect>
                <v:shape id="Freeform 184" o:spid="_x0000_s1093" style="position:absolute;left:26123;top:21469;width:4420;height:400;visibility:visible;mso-wrap-style:square;v-text-anchor:top" coordsize="696,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" path="m696,40l52,40r,-16l696,24r,16xm63,63l,32,63,r,63xe" fillcolor="black" strokeweight="3e-5mm">
                  <v:stroke joinstyle="bevel"/>
                  <v:path arrowok="t" o:connecttype="custom" o:connectlocs="2147483646,2147483646;2147483646,2147483646;2147483646,2147483646;2147483646,2147483646;2147483646,2147483646;2147483646,2147483646;0,2147483646;2147483646,0;2147483646,2147483646" o:connectangles="0,0,0,0,0,0,0,0,0"/>
                  <o:lock v:ext="edit" verticies="t"/>
                </v:shape>
                <v:shape id="Freeform 185" o:spid="_x0000_s1094" style="position:absolute;left:32150;top:21469;width:4419;height:400;visibility:visible;mso-wrap-style:square;v-text-anchor:top" coordsize="696,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" path="m,24r644,l644,40,,40,,24xm633,r63,32l633,63,633,xe" fillcolor="black" strokeweight="3e-5mm">
                  <v:stroke joinstyle="bevel"/>
                  <v:path arrowok="t" o:connecttype="custom" o:connectlocs="0,2147483646;2147483646,2147483646;2147483646,2147483646;0,2147483646;0,2147483646;2147483646,0;2147483646,2147483646;2147483646,2147483646;2147483646,0" o:connectangles="0,0,0,0,0,0,0,0,0"/>
                  <o:lock v:ext="edit" verticies="t"/>
                </v:shape>
                <v:rect id="Rectangle 186" o:spid="_x0000_s1095" style="position:absolute;left:2489;top:387;width:26518;height:24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" filled="f" stroked="f">
                  <v:textbox style="mso-fit-shape-to-text:t" inset="0,0,0,0">
                    <w:txbxContent>
                      <w:p w14:paraId="741BB971" w14:textId="77777777" w:rsidR="001D4369" w:rsidRDefault="001D4369" w:rsidP="001D4369">
                        <w:r>
                          <w:rPr>
                            <w:rFonts w:ascii="Arial" w:hAnsi="Arial" w:cs="Arial"/>
                            <w:b/>
                            <w:bCs/>
                            <w:color w:val="000000"/>
                            <w:sz w:val="34"/>
                            <w:szCs w:val="34"/>
                          </w:rPr>
                          <w:t>Adjustment Period &amp; Real</w:t>
                        </w:r>
                      </w:p>
                    </w:txbxContent>
                  </v:textbox>
                </v:rect>
                <v:rect id="Rectangle 187" o:spid="_x0000_s1096" style="position:absolute;left:28791;top:387;width:724;height:24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" filled="f" stroked="f">
                  <v:textbox style="mso-fit-shape-to-text:t" inset="0,0,0,0">
                    <w:txbxContent>
                      <w:p w14:paraId="0FD7D735" w14:textId="77777777" w:rsidR="001D4369" w:rsidRDefault="001D4369" w:rsidP="001D4369">
                        <w:r>
                          <w:rPr>
                            <w:rFonts w:ascii="Arial" w:hAnsi="Arial" w:cs="Arial"/>
                            <w:b/>
                            <w:bCs/>
                            <w:color w:val="000000"/>
                            <w:sz w:val="34"/>
                            <w:szCs w:val="34"/>
                          </w:rPr>
                          <w:t>-</w:t>
                        </w:r>
                      </w:p>
                    </w:txbxContent>
                  </v:textbox>
                </v:rect>
                <v:rect id="Rectangle 188" o:spid="_x0000_s1097" style="position:absolute;left:29508;top:387;width:17038;height:24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" filled="f" stroked="f">
                  <v:textbox style="mso-fit-shape-to-text:t" inset="0,0,0,0">
                    <w:txbxContent>
                      <w:p w14:paraId="359D95D2" w14:textId="77777777" w:rsidR="001D4369" w:rsidRDefault="001D4369" w:rsidP="001D4369">
                        <w:r>
                          <w:rPr>
                            <w:rFonts w:ascii="Arial" w:hAnsi="Arial" w:cs="Arial"/>
                            <w:b/>
                            <w:bCs/>
                            <w:color w:val="000000"/>
                            <w:sz w:val="34"/>
                            <w:szCs w:val="34"/>
                          </w:rPr>
                          <w:t>Time Operations</w:t>
                        </w:r>
                      </w:p>
                    </w:txbxContent>
                  </v:textbox>
                </v:rect>
                <v:group id="Group 189" o:spid="_x0000_s1098" style="position:absolute;left:25717;top:13239;width:12865;height:2813" coordorigin="5931,4115" coordsize="2026,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">
                  <v:shape id="Freeform 190" o:spid="_x0000_s1099" style="position:absolute;left:5931;top:4115;width:2026;height:443;visibility:visible;mso-wrap-style:square;v-text-anchor:top" coordsize="6400,1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" path="m234,c105,,,105,,234r,933c,1296,105,1400,234,1400r5933,c6296,1400,6400,1296,6400,1167r,-933c6400,105,6296,,6167,l234,xe" fillcolor="#339" strokeweight="0">
                    <v:path arrowok="t" o:connecttype="custom" o:connectlocs="7,0;0,7;0,37;7,44;196,44;203,37;203,7;196,0;7,0" o:connectangles="0,0,0,0,0,0,0,0,0"/>
                  </v:shape>
                  <v:shape id="Freeform 191" o:spid="_x0000_s1100" style="position:absolute;left:5931;top:4115;width:2026;height:443;visibility:visible;mso-wrap-style:square;v-text-anchor:top" coordsize="6400,1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" path="m234,c105,,,105,,234r,933c,1296,105,1400,234,1400r5933,c6296,1400,6400,1296,6400,1167r,-933c6400,105,6296,,6167,l234,xe" filled="f" strokeweight="22e-5mm">
                    <v:stroke endcap="round"/>
                    <v:path arrowok="t" o:connecttype="custom" o:connectlocs="7,0;0,7;0,37;7,44;196,44;203,37;203,7;196,0;7,0" o:connectangles="0,0,0,0,0,0,0,0,0"/>
                  </v:shape>
                </v:group>
                <v:rect id="Rectangle 192" o:spid="_x0000_s1101" style="position:absolute;left:29108;top:13265;width:2686;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" filled="f" stroked="f">
                  <v:textbox style="mso-fit-shape-to-text:t" inset="0,0,0,0">
                    <w:txbxContent>
                      <w:p w14:paraId="2926A9C2" w14:textId="77777777" w:rsidR="001D4369" w:rsidRDefault="001D4369" w:rsidP="001D4369">
                        <w:r>
                          <w:rPr>
                            <w:rFonts w:ascii="Arial" w:hAnsi="Arial" w:cs="Arial"/>
                            <w:b/>
                            <w:bCs/>
                            <w:color w:val="FFFFFF"/>
                            <w:sz w:val="20"/>
                          </w:rPr>
                          <w:t>Real</w:t>
                        </w:r>
                      </w:p>
                    </w:txbxContent>
                  </v:textbox>
                </v:rect>
                <v:rect id="Rectangle 193" o:spid="_x0000_s1102" style="position:absolute;left:31648;top:13265;width:425;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" filled="f" stroked="f">
                  <v:textbox style="mso-fit-shape-to-text:t" inset="0,0,0,0">
                    <w:txbxContent>
                      <w:p w14:paraId="1F1A5489" w14:textId="77777777" w:rsidR="001D4369" w:rsidRDefault="001D4369" w:rsidP="001D4369">
                        <w:r>
                          <w:rPr>
                            <w:rFonts w:ascii="Arial" w:hAnsi="Arial" w:cs="Arial"/>
                            <w:b/>
                            <w:bCs/>
                            <w:color w:val="FFFFFF"/>
                            <w:sz w:val="20"/>
                          </w:rPr>
                          <w:t>-</w:t>
                        </w:r>
                      </w:p>
                    </w:txbxContent>
                  </v:textbox>
                </v:rect>
                <v:rect id="Rectangle 194" o:spid="_x0000_s1103" style="position:absolute;left:32048;top:13265;width:2965;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" filled="f" stroked="f">
                  <v:textbox style="mso-fit-shape-to-text:t" inset="0,0,0,0">
                    <w:txbxContent>
                      <w:p w14:paraId="71ADEB1A" w14:textId="77777777" w:rsidR="001D4369" w:rsidRDefault="001D4369" w:rsidP="001D4369">
                        <w:r>
                          <w:rPr>
                            <w:rFonts w:ascii="Arial" w:hAnsi="Arial" w:cs="Arial"/>
                            <w:b/>
                            <w:bCs/>
                            <w:color w:val="FFFFFF"/>
                            <w:sz w:val="20"/>
                          </w:rPr>
                          <w:t xml:space="preserve">Time </w:t>
                        </w:r>
                      </w:p>
                    </w:txbxContent>
                  </v:textbox>
                </v:rect>
                <v:rect id="Rectangle 195" o:spid="_x0000_s1104" style="position:absolute;left:28969;top:14713;width:6705;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" filled="f" stroked="f">
                  <v:textbox style="mso-fit-shape-to-text:t" inset="0,0,0,0">
                    <w:txbxContent>
                      <w:p w14:paraId="6C11CB8E" w14:textId="77777777" w:rsidR="001D4369" w:rsidRDefault="001D4369" w:rsidP="001D4369">
                        <w:r>
                          <w:rPr>
                            <w:rFonts w:ascii="Arial" w:hAnsi="Arial" w:cs="Arial"/>
                            <w:b/>
                            <w:bCs/>
                            <w:color w:val="FFFFFF"/>
                            <w:sz w:val="20"/>
                          </w:rPr>
                          <w:t>Operations</w:t>
                        </w:r>
                      </w:p>
                    </w:txbxContent>
                  </v:textbox>
                </v:rect>
                <v:group id="Group 196" o:spid="_x0000_s1105" style="position:absolute;left:23310;top:4440;width:16072;height:5993" coordorigin="5552,2851" coordsize="2531,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">
                  <v:rect id="Rectangle 197" o:spid="_x0000_s1106" style="position:absolute;left:5552;top:2851;width:2531;height: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" fillcolor="#936" stroked="f"/>
                  <v:rect id="Rectangle 198" o:spid="_x0000_s1107" style="position:absolute;left:5552;top:2851;width:2531;height: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" filled="f" strokeweight="22e-5mm">
                    <v:stroke endcap="round"/>
                  </v:rect>
                </v:group>
                <v:rect id="Rectangle 199" o:spid="_x0000_s1108" style="position:absolute;left:28210;top:4599;width:6128;height:10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" filled="f" stroked="f">
                  <v:textbox style="mso-fit-shape-to-text:t" inset="0,0,0,0">
                    <w:txbxContent>
                      <w:p w14:paraId="7B1AD1ED" w14:textId="77777777" w:rsidR="001D4369" w:rsidRDefault="001D4369" w:rsidP="001D4369">
                        <w:r>
                          <w:rPr>
                            <w:rFonts w:ascii="Arial" w:hAnsi="Arial" w:cs="Arial"/>
                            <w:b/>
                            <w:bCs/>
                            <w:color w:val="FFFFFF"/>
                            <w:sz w:val="14"/>
                            <w:szCs w:val="14"/>
                          </w:rPr>
                          <w:t>QSE Deadline:</w:t>
                        </w:r>
                      </w:p>
                    </w:txbxContent>
                  </v:textbox>
                </v:rect>
                <v:rect id="Rectangle 200" o:spid="_x0000_s1109" style="position:absolute;left:28124;top:5626;width:6458;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" stroked="f"/>
                <v:rect id="Rectangle 201" o:spid="_x0000_s1110" style="position:absolute;left:24216;top:6340;width:13589;height:48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" filled="f" stroked="f">
                  <v:textbox style="mso-fit-shape-to-text:t" inset="0,0,0,0">
                    <w:txbxContent>
                      <w:p w14:paraId="142F8E44" w14:textId="77777777" w:rsidR="001D4369" w:rsidRDefault="001D4369" w:rsidP="001D4369">
                        <w:pPr>
                          <w:rPr>
                            <w:rFonts w:ascii="Arial" w:hAnsi="Arial" w:cs="Arial"/>
                            <w:b/>
                            <w:bCs/>
                            <w:color w:val="FFFFFF"/>
                            <w:sz w:val="14"/>
                            <w:szCs w:val="14"/>
                          </w:rPr>
                        </w:pPr>
                        <w:r>
                          <w:rPr>
                            <w:rFonts w:ascii="Arial" w:hAnsi="Arial" w:cs="Arial"/>
                            <w:b/>
                            <w:bCs/>
                            <w:color w:val="FFFFFF"/>
                            <w:sz w:val="14"/>
                            <w:szCs w:val="14"/>
                          </w:rPr>
                          <w:t xml:space="preserve">                Update AS Offers</w:t>
                        </w:r>
                      </w:p>
                      <w:p w14:paraId="7F718ABC" w14:textId="77777777" w:rsidR="001D4369" w:rsidRDefault="001D4369" w:rsidP="001D4369">
                        <w:pPr>
                          <w:jc w:val="center"/>
                        </w:pPr>
                        <w:r>
                          <w:rPr>
                            <w:rFonts w:ascii="Arial" w:hAnsi="Arial" w:cs="Arial"/>
                            <w:b/>
                            <w:bCs/>
                            <w:color w:val="FFFFFF"/>
                            <w:sz w:val="14"/>
                            <w:szCs w:val="14"/>
                          </w:rPr>
                          <w:t>Provide SCADA Telemetry</w:t>
                        </w:r>
                      </w:p>
                      <w:p w14:paraId="41E44BCD" w14:textId="77777777" w:rsidR="001D4369" w:rsidRDefault="001D4369" w:rsidP="001D4369">
                        <w:pPr>
                          <w:rPr>
                            <w:rFonts w:asciiTheme="minorHAnsi" w:hAnsiTheme="minorHAnsi" w:cstheme="minorBidi"/>
                            <w:sz w:val="22"/>
                            <w:szCs w:val="22"/>
                          </w:rPr>
                        </w:pPr>
                        <w:r>
                          <w:rPr>
                            <w:rFonts w:ascii="Arial" w:hAnsi="Arial" w:cs="Arial"/>
                            <w:b/>
                            <w:bCs/>
                            <w:color w:val="FFFFFF"/>
                            <w:sz w:val="14"/>
                            <w:szCs w:val="14"/>
                          </w:rPr>
                          <w:t>Update Energy Bid/Offer Curves</w:t>
                        </w:r>
                      </w:p>
                      <w:p w14:paraId="6E3CDAE6" w14:textId="77777777" w:rsidR="001D4369" w:rsidRDefault="001D4369" w:rsidP="001D4369"/>
                    </w:txbxContent>
                  </v:textbox>
                </v:rect>
                <v:group id="Group 204" o:spid="_x0000_s1111" style="position:absolute;left:13658;top:29298;width:9652;height:4814" coordorigin="4032,6644" coordsize="1520,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">
                  <v:rect id="Rectangle 205" o:spid="_x0000_s1112" style="position:absolute;left:4032;top:6644;width:1520;height:7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" fillcolor="silver" stroked="f"/>
                  <v:rect id="Rectangle 206" o:spid="_x0000_s1113" style="position:absolute;left:4032;top:6644;width:1520;height:7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" filled="f" strokeweight="22e-5mm">
                    <v:stroke endcap="round"/>
                  </v:rect>
                </v:group>
                <v:rect id="Rectangle 207" o:spid="_x0000_s1114" style="position:absolute;left:14872;top:29895;width:6870;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" filled="f" stroked="f">
                  <v:textbox style="mso-fit-shape-to-text:t" inset="0,0,0,0">
                    <w:txbxContent>
                      <w:p w14:paraId="2801E6D8" w14:textId="77777777" w:rsidR="001D4369" w:rsidRDefault="001D4369" w:rsidP="001D4369">
                        <w:r>
                          <w:rPr>
                            <w:rFonts w:ascii="Arial" w:hAnsi="Arial" w:cs="Arial"/>
                            <w:b/>
                            <w:bCs/>
                            <w:color w:val="000000"/>
                            <w:sz w:val="14"/>
                            <w:szCs w:val="14"/>
                          </w:rPr>
                          <w:t>ERCOT Activity:</w:t>
                        </w:r>
                      </w:p>
                    </w:txbxContent>
                  </v:textbox>
                </v:rect>
                <v:rect id="Rectangle 208" o:spid="_x0000_s1115" style="position:absolute;left:14871;top:30867;width:7220;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" fillcolor="black" stroked="f"/>
                <v:rect id="Rectangle 209" o:spid="_x0000_s1116" style="position:absolute;left:15392;top:31019;width:5880;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" filled="f" stroked="f">
                  <v:textbox style="mso-fit-shape-to-text:t" inset="0,0,0,0">
                    <w:txbxContent>
                      <w:p w14:paraId="172AE407" w14:textId="77777777" w:rsidR="001D4369" w:rsidRDefault="001D4369" w:rsidP="001D4369">
                        <w:r>
                          <w:rPr>
                            <w:rFonts w:ascii="Arial" w:hAnsi="Arial" w:cs="Arial"/>
                            <w:b/>
                            <w:bCs/>
                            <w:color w:val="000000"/>
                            <w:sz w:val="14"/>
                            <w:szCs w:val="14"/>
                          </w:rPr>
                          <w:t>Communicate</w:t>
                        </w:r>
                      </w:p>
                    </w:txbxContent>
                  </v:textbox>
                </v:rect>
                <v:rect id="Rectangle 210" o:spid="_x0000_s1117" style="position:absolute;left:13881;top:32143;width:8743;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" filled="f" stroked="f">
                  <v:textbox style="mso-fit-shape-to-text:t" inset="0,0,0,0">
                    <w:txbxContent>
                      <w:p w14:paraId="70091B6F" w14:textId="77777777" w:rsidR="001D4369" w:rsidRDefault="001D4369" w:rsidP="001D4369">
                        <w:r>
                          <w:rPr>
                            <w:rFonts w:ascii="Arial" w:hAnsi="Arial" w:cs="Arial"/>
                            <w:b/>
                            <w:bCs/>
                            <w:color w:val="000000"/>
                            <w:sz w:val="14"/>
                            <w:szCs w:val="14"/>
                          </w:rPr>
                          <w:t>HRUC Commitments</w:t>
                        </w:r>
                      </w:p>
                    </w:txbxContent>
                  </v:textbox>
                </v:rect>
                <v:shape id="Freeform 211" o:spid="_x0000_s1118" style="position:absolute;left:18281;top:21672;width:407;height:7626;visibility:visible;mso-wrap-style:square;v-text-anchor:top" coordsize="64,1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" path="m24,1201l24,52r16,l40,1201r-16,xm,63l32,,64,63,,63xe" fillcolor="black" strokeweight="3e-5mm">
                  <v:stroke joinstyle="bevel"/>
                  <v:path arrowok="t" o:connecttype="custom" o:connectlocs="2147483646,2147483646;2147483646,2147483646;2147483646,2147483646;2147483646,2147483646;2147483646,2147483646;0,2147483646;2147483646,0;2147483646,2147483646;0,2147483646" o:connectangles="0,0,0,0,0,0,0,0,0"/>
                  <o:lock v:ext="edit" verticies="t"/>
                </v:shape>
              </v:group>
            </w:pict>
          </mc:Fallback>
        </mc:AlternateContent>
      </w:r>
    </w:p>
    <w:p w14:paraId="46D70DD4" w14:textId="77777777" w:rsidR="001D4369" w:rsidRPr="0013396E" w:rsidRDefault="001D4369" w:rsidP="001D4369">
      <w:pPr>
        <w:spacing w:after="240"/>
      </w:pPr>
    </w:p>
    <w:p w14:paraId="433A55E8" w14:textId="77777777" w:rsidR="001D4369" w:rsidRPr="0013396E" w:rsidRDefault="001D4369" w:rsidP="001D4369">
      <w:pPr>
        <w:spacing w:after="240"/>
      </w:pPr>
    </w:p>
    <w:p w14:paraId="2FFE8198" w14:textId="77777777" w:rsidR="001D4369" w:rsidRPr="0013396E" w:rsidRDefault="001D4369" w:rsidP="001D4369">
      <w:pPr>
        <w:spacing w:after="240"/>
      </w:pPr>
    </w:p>
    <w:p w14:paraId="51BE75AA" w14:textId="77777777" w:rsidR="001D4369" w:rsidRPr="0013396E" w:rsidRDefault="001D4369" w:rsidP="001D4369">
      <w:pPr>
        <w:spacing w:after="240"/>
      </w:pPr>
    </w:p>
    <w:p w14:paraId="12B4E59C" w14:textId="77777777" w:rsidR="001D4369" w:rsidRPr="0013396E" w:rsidRDefault="001D4369" w:rsidP="001D4369">
      <w:pPr>
        <w:spacing w:after="240"/>
      </w:pPr>
    </w:p>
    <w:p w14:paraId="40D945E6" w14:textId="77777777" w:rsidR="001D4369" w:rsidRPr="0013396E" w:rsidRDefault="001D4369" w:rsidP="001D4369">
      <w:pPr>
        <w:spacing w:after="240"/>
      </w:pPr>
    </w:p>
    <w:p w14:paraId="6A5B532E" w14:textId="77777777" w:rsidR="001D4369" w:rsidRPr="0013396E" w:rsidRDefault="001D4369" w:rsidP="001D4369">
      <w:pPr>
        <w:spacing w:after="240"/>
      </w:pPr>
    </w:p>
    <w:p w14:paraId="4C93089E" w14:textId="77777777" w:rsidR="001D4369" w:rsidRPr="0013396E" w:rsidRDefault="001D4369" w:rsidP="001D4369">
      <w:pPr>
        <w:spacing w:before="240" w:after="240"/>
        <w:ind w:left="720" w:hanging="720"/>
      </w:pPr>
    </w:p>
    <w:p w14:paraId="3FBE675F" w14:textId="77777777" w:rsidR="001D4369" w:rsidRPr="0013396E" w:rsidRDefault="001D4369" w:rsidP="001D4369">
      <w:pPr>
        <w:spacing w:before="240" w:after="240"/>
        <w:ind w:left="720" w:hanging="720"/>
      </w:pPr>
    </w:p>
    <w:p w14:paraId="0690766A" w14:textId="77777777" w:rsidR="001D4369" w:rsidRPr="0013396E" w:rsidRDefault="001D4369" w:rsidP="001D4369">
      <w:pPr>
        <w:spacing w:before="240" w:after="240"/>
        <w:ind w:left="720" w:hanging="720"/>
      </w:pPr>
    </w:p>
    <w:p w14:paraId="6F1B7E3F" w14:textId="77777777" w:rsidR="001D4369" w:rsidRPr="0013396E" w:rsidRDefault="001D4369" w:rsidP="001D4369">
      <w:pPr>
        <w:spacing w:before="240" w:after="240"/>
        <w:ind w:left="720" w:hanging="720"/>
      </w:pPr>
    </w:p>
    <w:p w14:paraId="0CC72A81" w14:textId="77777777" w:rsidR="001D4369" w:rsidRPr="0013396E" w:rsidRDefault="001D4369" w:rsidP="001D4369">
      <w:pPr>
        <w:spacing w:before="240" w:after="240"/>
        <w:ind w:left="720" w:hanging="720"/>
      </w:pPr>
      <w:r w:rsidRPr="0013396E">
        <w:t>(2)</w:t>
      </w:r>
      <w:r w:rsidRPr="0013396E">
        <w:tab/>
        <w:t>Activities for the Adjustment Period begin at 1800 in the Day-Ahead and end one full hour before the start of the Operating Hour.  The figure above is intended to be only a general guide and not controlling language, and any conflict between this figure and another section of the Protocols is controlled by the other section.</w:t>
      </w:r>
    </w:p>
    <w:p w14:paraId="4FB654D4" w14:textId="7957A834" w:rsidR="001D4369" w:rsidRPr="0013396E" w:rsidRDefault="001D4369" w:rsidP="001D4369">
      <w:pPr>
        <w:spacing w:after="240"/>
        <w:ind w:left="720" w:hanging="720"/>
        <w:rPr>
          <w:iCs/>
        </w:rPr>
      </w:pPr>
      <w:r w:rsidRPr="0013396E">
        <w:rPr>
          <w:iCs/>
        </w:rPr>
        <w:t>(3)</w:t>
      </w:r>
      <w:r w:rsidRPr="0013396E">
        <w:rPr>
          <w:iCs/>
        </w:rPr>
        <w:tab/>
        <w:t xml:space="preserve">ERCOT shall monitor Real-Time Locational Marginal Prices (LMPs), Real-Time Market </w:t>
      </w:r>
      <w:r w:rsidR="00CE39AE">
        <w:rPr>
          <w:iCs/>
        </w:rPr>
        <w:t xml:space="preserve">(RTM) </w:t>
      </w:r>
      <w:r w:rsidRPr="0013396E">
        <w:rPr>
          <w:iCs/>
        </w:rPr>
        <w:t xml:space="preserve">Clearing Prices for Capacity (MCPCs), and Real-Time Settlement Point Prices, including Real-Time prices for energy metered, Real-Time Reliability Deployment Price Adders for Energy, and Real-Time Reliability Deployment Price Adders for Ancillary Service, for errors and if there are conditions that cause the price to be questionable, as soon as practicable, ERCOT shall notify all Market Participants that the Real-Time LMPs, Real-Time MCPCs, and Real-Time Settlement Point Prices are under investigation.  </w:t>
      </w:r>
    </w:p>
    <w:p w14:paraId="20E12B2D" w14:textId="77777777" w:rsidR="001D4369" w:rsidRPr="0013396E" w:rsidRDefault="001D4369" w:rsidP="001D4369">
      <w:pPr>
        <w:spacing w:after="240"/>
        <w:ind w:left="720" w:hanging="720"/>
      </w:pPr>
      <w:r w:rsidRPr="0013396E">
        <w:t>(4)</w:t>
      </w:r>
      <w:r w:rsidRPr="0013396E">
        <w:tab/>
        <w:t>ERCOT shall correct prices for an Operating Day when accurate prices can be determined, the impact of the price correction is determined to be significant, and one of the following conditions has been met:  a market solution is determined to be invalid, invalid prices are identified in an otherwise valid market solution, the Base Points or Ancillary Service awards received by Market Participants are inconsistent with the Base Points or Ancillary Service awards of a valid market solution, or the Security-</w:t>
      </w:r>
      <w:r w:rsidRPr="0013396E">
        <w:lastRenderedPageBreak/>
        <w:t>Constrained Economic Dispatch (SCED) process experiences a failure as described in Section 6.5.9.2, Failure of the SCED Process.  The following are some reasons that may cause these conditions.</w:t>
      </w:r>
    </w:p>
    <w:p w14:paraId="79420EDF" w14:textId="77777777" w:rsidR="001D4369" w:rsidRPr="0013396E" w:rsidRDefault="001D4369" w:rsidP="001D4369">
      <w:pPr>
        <w:spacing w:after="240"/>
        <w:ind w:left="1440" w:hanging="720"/>
      </w:pPr>
      <w:r w:rsidRPr="0013396E">
        <w:t>(a)</w:t>
      </w:r>
      <w:r w:rsidRPr="0013396E">
        <w:tab/>
        <w:t>Data Input error:  Missing, incomplete, stale, or incorrect versions of one or more data elements input to the market applications may result in an invalid market solution and/or prices.</w:t>
      </w:r>
    </w:p>
    <w:p w14:paraId="764183AF" w14:textId="77777777" w:rsidR="001D4369" w:rsidRPr="0013396E" w:rsidRDefault="001D4369" w:rsidP="001D4369">
      <w:pPr>
        <w:spacing w:after="240"/>
        <w:ind w:left="1440" w:hanging="720"/>
      </w:pPr>
      <w:r w:rsidRPr="0013396E">
        <w:t>(b)</w:t>
      </w:r>
      <w:r w:rsidRPr="0013396E">
        <w:tab/>
        <w:t>Data Output error:  These include:  incorrect or incomplete data transfer, price recalculation error in post-processing, and Base Points inconsistent with prices due to the Emergency Base Point flag remaining activated even when the SCED solution is valid.</w:t>
      </w:r>
    </w:p>
    <w:p w14:paraId="4A65C862" w14:textId="77777777" w:rsidR="001D4369" w:rsidRPr="0013396E" w:rsidRDefault="001D4369" w:rsidP="001D4369">
      <w:pPr>
        <w:spacing w:after="240"/>
        <w:ind w:left="1440" w:hanging="720"/>
      </w:pPr>
      <w:r w:rsidRPr="0013396E">
        <w:t>(c)</w:t>
      </w:r>
      <w:r w:rsidRPr="0013396E">
        <w:tab/>
        <w:t>Hardware/Software error:  These include unpredicted hardware or software failures, planned market system or database outages, planned application or database upgrades, software implementation errors, and failure of the market run to complete.</w:t>
      </w:r>
    </w:p>
    <w:p w14:paraId="3DC54286" w14:textId="77777777" w:rsidR="001D4369" w:rsidRPr="0013396E" w:rsidRDefault="001D4369" w:rsidP="001D4369">
      <w:pPr>
        <w:spacing w:after="240"/>
        <w:ind w:left="1440" w:hanging="720"/>
      </w:pPr>
      <w:r w:rsidRPr="0013396E">
        <w:t>(d)</w:t>
      </w:r>
      <w:r w:rsidRPr="0013396E">
        <w:tab/>
        <w:t>Inconsistency with the Protocols or Public Utility Commission of Texas (PUCT) Substantive Rules:  Pricing errors may occur when specific circumstances result in prices that are in conflict with such Protocol language or the PUCT Substantive Rules.</w:t>
      </w:r>
    </w:p>
    <w:p w14:paraId="5395F03C" w14:textId="77777777" w:rsidR="001D4369" w:rsidRPr="0013396E" w:rsidRDefault="001D4369" w:rsidP="001D4369">
      <w:pPr>
        <w:spacing w:after="240"/>
        <w:ind w:left="720" w:hanging="720"/>
        <w:rPr>
          <w:iCs/>
        </w:rPr>
      </w:pPr>
      <w:r w:rsidRPr="0013396E">
        <w:rPr>
          <w:iCs/>
        </w:rPr>
        <w:t>(5)</w:t>
      </w:r>
      <w:r w:rsidRPr="0013396E">
        <w:rPr>
          <w:iCs/>
        </w:rPr>
        <w:tab/>
        <w:t>For purposes of a price correction performed prior to 1600 on the second Business Day after the Operating Day, the impact of a price correction shall be considered significant, as that term is used in paragraph (4) above, for the Operating Day when:</w:t>
      </w:r>
    </w:p>
    <w:p w14:paraId="3A2E1AAB" w14:textId="77777777" w:rsidR="001D4369" w:rsidRPr="0013396E" w:rsidRDefault="001D4369" w:rsidP="001D4369">
      <w:pPr>
        <w:spacing w:after="240"/>
        <w:ind w:left="1440" w:hanging="720"/>
        <w:rPr>
          <w:iCs/>
        </w:rPr>
      </w:pPr>
      <w:r w:rsidRPr="0013396E">
        <w:t>(a)</w:t>
      </w:r>
      <w:r w:rsidRPr="0013396E">
        <w:rPr>
          <w:iCs/>
        </w:rPr>
        <w:tab/>
        <w:t>The absolute value change to any single Real-Time Settlement Point Price at a Resource Node or Real-Time MCPC is greater than $0.05/MWh;</w:t>
      </w:r>
    </w:p>
    <w:p w14:paraId="15C1E90A" w14:textId="77777777" w:rsidR="001D4369" w:rsidRPr="0013396E" w:rsidRDefault="001D4369" w:rsidP="001D4369">
      <w:pPr>
        <w:spacing w:after="240"/>
        <w:ind w:left="1440" w:hanging="720"/>
        <w:rPr>
          <w:iCs/>
        </w:rPr>
      </w:pPr>
      <w:r w:rsidRPr="0013396E">
        <w:rPr>
          <w:iCs/>
        </w:rPr>
        <w:t>(b)       The price correction would require ERCOT to change more than 50 Real-Time Settlement Point Prices and/or Real-Time MCPCs;</w:t>
      </w:r>
    </w:p>
    <w:p w14:paraId="4B15F315" w14:textId="77777777" w:rsidR="001D4369" w:rsidRPr="0013396E" w:rsidRDefault="001D4369" w:rsidP="001D4369">
      <w:pPr>
        <w:spacing w:after="240"/>
        <w:ind w:left="1440" w:hanging="720"/>
        <w:rPr>
          <w:iCs/>
        </w:rPr>
      </w:pPr>
      <w:r w:rsidRPr="0013396E">
        <w:rPr>
          <w:iCs/>
        </w:rPr>
        <w:t>(c)       The absolute value change to any Real-Time Settlement Point Price at a Load Zone or Hub is greater than $0.02/MWh; or</w:t>
      </w:r>
    </w:p>
    <w:p w14:paraId="241B4D4A" w14:textId="77777777" w:rsidR="001D4369" w:rsidRPr="0013396E" w:rsidRDefault="001D4369" w:rsidP="001D4369">
      <w:pPr>
        <w:spacing w:after="240"/>
        <w:ind w:left="1440" w:hanging="720"/>
        <w:rPr>
          <w:iCs/>
        </w:rPr>
      </w:pPr>
      <w:r w:rsidRPr="0013396E">
        <w:rPr>
          <w:iCs/>
        </w:rPr>
        <w:t>(d)       The estimated absolute total dollar impact for changes to Real-Time prices for energy metered is greater than $500.</w:t>
      </w:r>
    </w:p>
    <w:p w14:paraId="4670CF7F" w14:textId="77777777" w:rsidR="001D4369" w:rsidRPr="0013396E" w:rsidRDefault="001D4369" w:rsidP="001D4369">
      <w:pPr>
        <w:spacing w:after="240"/>
        <w:ind w:left="720" w:hanging="720"/>
      </w:pPr>
      <w:r w:rsidRPr="0013396E">
        <w:t>(6)</w:t>
      </w:r>
      <w:r w:rsidRPr="0013396E">
        <w:tab/>
        <w:t xml:space="preserve">If it is determined that any Real-Time Settlement Point Prices, Settlement Point LMPs, Electrical Bus LMPs, Real-Time prices for energy metered, Real-Time Reliability Deployment Price Adders for Energy, </w:t>
      </w:r>
      <w:r w:rsidRPr="0013396E">
        <w:rPr>
          <w:iCs/>
        </w:rPr>
        <w:t xml:space="preserve">Real-Time </w:t>
      </w:r>
      <w:r w:rsidRPr="0013396E">
        <w:t>MCPCs, Real-Time Reliability Deployment Price Adders for Ancillary Service, and/or constraint Shadow Prices are erroneous, ERCOT shall correct the prices before the prices are considered final in paragraph (7) below.  Specifically:</w:t>
      </w:r>
    </w:p>
    <w:p w14:paraId="70D51D24" w14:textId="77777777" w:rsidR="001D4369" w:rsidRPr="0013396E" w:rsidRDefault="001D4369" w:rsidP="001D4369">
      <w:pPr>
        <w:spacing w:after="240"/>
        <w:ind w:left="1440" w:hanging="720"/>
      </w:pPr>
      <w:r w:rsidRPr="0013396E">
        <w:t>(a)</w:t>
      </w:r>
      <w:r w:rsidRPr="0013396E">
        <w:tab/>
        <w:t xml:space="preserve">If it is determined that correcting the Real-Time Settlement Point Prices will not affect the Base Points, and correcting Real-Time MCPCs will not affect Ancillary </w:t>
      </w:r>
      <w:r w:rsidRPr="0013396E">
        <w:lastRenderedPageBreak/>
        <w:t>Service awards, then ERCOT shall correct the prices before the prices are considered final in paragraph (7) below.</w:t>
      </w:r>
    </w:p>
    <w:p w14:paraId="3ACBDE65" w14:textId="77777777" w:rsidR="001D4369" w:rsidRPr="0013396E" w:rsidRDefault="001D4369" w:rsidP="001D4369">
      <w:pPr>
        <w:spacing w:after="240"/>
        <w:ind w:left="1440" w:hanging="720"/>
      </w:pPr>
      <w:r w:rsidRPr="0013396E">
        <w:t>(b)</w:t>
      </w:r>
      <w:r w:rsidRPr="0013396E">
        <w:tab/>
        <w:t xml:space="preserve">If it is determined that correcting the Real-Time Settlement Point Prices will affect the Base Points, or correcting Real-Time MCPCs will affect Ancillary Service awards, </w:t>
      </w:r>
      <w:r w:rsidRPr="0013396E">
        <w:rPr>
          <w:iCs/>
        </w:rPr>
        <w:t xml:space="preserve">then ERCOT shall correct the prices </w:t>
      </w:r>
      <w:r w:rsidRPr="0013396E">
        <w:t xml:space="preserve">before the prices are considered final and settle the SCED executions as failed in accordance with Section 6.5.9.2.  </w:t>
      </w:r>
    </w:p>
    <w:p w14:paraId="3A1FAD52" w14:textId="77777777" w:rsidR="001D4369" w:rsidRPr="0013396E" w:rsidRDefault="001D4369" w:rsidP="001D4369">
      <w:pPr>
        <w:spacing w:after="240"/>
        <w:ind w:left="1440" w:hanging="720"/>
      </w:pPr>
      <w:r w:rsidRPr="0013396E">
        <w:t>(c)</w:t>
      </w:r>
      <w:r w:rsidRPr="0013396E">
        <w:tab/>
        <w:t>For Settlement purposes, if the Base Points are inconsistent with the Real-Time LMPs, ignoring the Real-Time Reliability Deployment Price Adder for Energy, or Ancillary Service awards are inconsistent with the Real-Time MCPCs, ignoring the Real-Time Reliability Deployment Price Adder for Ancillary Service, averaged over the 15-minute Settlement Interval, then ERCOT shall consider the relevant Settlement Interval(s) in accordance with Section 6.6.9, Emergency Operations Settlement.</w:t>
      </w:r>
    </w:p>
    <w:p w14:paraId="6C48FA74" w14:textId="77777777" w:rsidR="001D4369" w:rsidRPr="0013396E" w:rsidRDefault="001D4369" w:rsidP="001D4369">
      <w:pPr>
        <w:spacing w:after="240"/>
        <w:ind w:left="720" w:hanging="720"/>
      </w:pPr>
      <w:r w:rsidRPr="0013396E">
        <w:t>(7)</w:t>
      </w:r>
      <w:r w:rsidRPr="0013396E">
        <w:tab/>
        <w:t xml:space="preserve">All Real-Time LMPs, Real-Time Settlement Point Prices, Real-Time prices for energy metered, Real-Time Reliability Deployment Price Adders for Energy, Real-Time MCPCs, and Real-Time Reliability Deployment Price Adders for Ancillary Service are final at 1600 of the second Business Day after the Operating Day.  </w:t>
      </w:r>
    </w:p>
    <w:p w14:paraId="46BD21E9" w14:textId="77777777" w:rsidR="001D4369" w:rsidRPr="0013396E" w:rsidRDefault="001D4369" w:rsidP="001D4369">
      <w:pPr>
        <w:spacing w:after="240"/>
        <w:ind w:left="1440" w:hanging="720"/>
      </w:pPr>
      <w:r w:rsidRPr="0013396E">
        <w:t>(a)</w:t>
      </w:r>
      <w:r w:rsidRPr="0013396E">
        <w:tab/>
        <w:t xml:space="preserve">However, after Real-Time LMPs, Real-Time Settlement Point Prices, Real-Time prices for energy metered, Real-Time Reliability Deployment Price Adders for Energy, </w:t>
      </w:r>
      <w:r w:rsidRPr="0013396E">
        <w:rPr>
          <w:iCs/>
        </w:rPr>
        <w:t xml:space="preserve">Real-Time </w:t>
      </w:r>
      <w:r w:rsidRPr="0013396E">
        <w:t>MCPCs, and Real-Time Reliability Deployment Price Adders for Ancillary Service are final, if ERCOT determines that prices qualify for a price correction pursuant to paragraph (4) above and that ERCOT will seek ERCOT Board review of such prices, it shall notify Market Participants and describe the need for such correction as soon as practicable but no later than 30 days after the Operating Day.  Failure to notify Market Participants within this timeline precludes the ERCOT Board from reviewing such prices.  However, nothing in this section shall be understood to limit or otherwise inhibit any of the following:</w:t>
      </w:r>
    </w:p>
    <w:p w14:paraId="60CAC587" w14:textId="77777777" w:rsidR="001D4369" w:rsidRPr="0013396E" w:rsidRDefault="001D4369" w:rsidP="001D4369">
      <w:pPr>
        <w:spacing w:after="240"/>
        <w:ind w:left="2160" w:hanging="720"/>
      </w:pPr>
      <w:r w:rsidRPr="0013396E">
        <w:t>(i)</w:t>
      </w:r>
      <w:r w:rsidRPr="0013396E">
        <w:tab/>
        <w:t xml:space="preserve">ERCOT’s duty to inform the PUCT of potential or actual violations of the ERCOT Protocols or PUCT Rules and its right to request that the PUCT authorize correction of any prices that may have been affected by such potential or actual violations; </w:t>
      </w:r>
    </w:p>
    <w:p w14:paraId="5E08BCBC" w14:textId="77777777" w:rsidR="001D4369" w:rsidRPr="0013396E" w:rsidRDefault="001D4369" w:rsidP="001D4369">
      <w:pPr>
        <w:spacing w:after="240"/>
        <w:ind w:left="2160" w:hanging="720"/>
      </w:pPr>
      <w:r w:rsidRPr="0013396E">
        <w:t>(ii)</w:t>
      </w:r>
      <w:r w:rsidRPr="0013396E">
        <w:tab/>
        <w:t>The PUCT’s authority to order price corrections when permitted to do so under other law; or</w:t>
      </w:r>
    </w:p>
    <w:p w14:paraId="103D5955" w14:textId="77777777" w:rsidR="001D4369" w:rsidRPr="0013396E" w:rsidRDefault="001D4369" w:rsidP="001D4369">
      <w:pPr>
        <w:spacing w:after="240"/>
        <w:ind w:left="2160" w:hanging="720"/>
      </w:pPr>
      <w:r w:rsidRPr="0013396E">
        <w:t>(iii)</w:t>
      </w:r>
      <w:r w:rsidRPr="0013396E">
        <w:tab/>
        <w:t xml:space="preserve">ERCOT’s authority to grant relief to a Market Participant pursuant to the timelines specified in Section 20, Alternative Dispute Resolution Procedure and Procedure for Return of Settlement Funds.  </w:t>
      </w:r>
    </w:p>
    <w:p w14:paraId="1C98CDF9" w14:textId="77777777" w:rsidR="001D4369" w:rsidRPr="0013396E" w:rsidRDefault="001D4369" w:rsidP="001D4369">
      <w:pPr>
        <w:pStyle w:val="BodyTextNumbered"/>
        <w:ind w:left="1440"/>
      </w:pPr>
      <w:r w:rsidRPr="0013396E">
        <w:t>(b)</w:t>
      </w:r>
      <w:r w:rsidRPr="0013396E">
        <w:tab/>
        <w:t xml:space="preserve">Before seeking ERCOT Board review of prices, ERCOT will determine if the impact of the price correction is significant, as that term is used in paragraph (4) </w:t>
      </w:r>
      <w:r w:rsidRPr="0013396E">
        <w:lastRenderedPageBreak/>
        <w:t>above, by calculating the potential changes to the RTM Settlement Statement(s) of any Counter-Party on a given Operating Day.  ERCOT shall seek ERCOT Board review of prices if the change in RTM Settlement Statement(s) would result in the absolute value impact to any single Counter-Party, based on the sum of all original RTM Settlement Statement amounts of Market Participants assigned to the Counter-Party, to be greater than:</w:t>
      </w:r>
    </w:p>
    <w:p w14:paraId="2D2296DC" w14:textId="77777777" w:rsidR="001D4369" w:rsidRPr="0013396E" w:rsidRDefault="001D4369" w:rsidP="001D4369">
      <w:pPr>
        <w:pStyle w:val="BodyTextNumbered"/>
        <w:ind w:left="2160"/>
      </w:pPr>
      <w:r w:rsidRPr="0013396E">
        <w:t>(i)</w:t>
      </w:r>
      <w:r w:rsidRPr="0013396E">
        <w:tab/>
        <w:t>2% and also greater than $20,000; or</w:t>
      </w:r>
    </w:p>
    <w:p w14:paraId="230241C0" w14:textId="77777777" w:rsidR="001D4369" w:rsidRPr="0013396E" w:rsidRDefault="001D4369" w:rsidP="001D4369">
      <w:pPr>
        <w:pStyle w:val="BodyTextNumbered"/>
        <w:ind w:left="2160"/>
      </w:pPr>
      <w:r w:rsidRPr="0013396E">
        <w:t>(ii)</w:t>
      </w:r>
      <w:r w:rsidRPr="0013396E">
        <w:tab/>
        <w:t>20% and also greater than $2,000.</w:t>
      </w:r>
    </w:p>
    <w:p w14:paraId="28A135B3" w14:textId="77777777" w:rsidR="001D4369" w:rsidRPr="0013396E" w:rsidRDefault="001D4369" w:rsidP="001D4369">
      <w:pPr>
        <w:spacing w:after="240"/>
        <w:ind w:left="1440" w:hanging="720"/>
      </w:pPr>
      <w:r w:rsidRPr="0013396E">
        <w:t>(c)</w:t>
      </w:r>
      <w:r w:rsidRPr="0013396E">
        <w:tab/>
        <w:t xml:space="preserve">The ERCOT Board may review and change Real-Time LMPs, Real-Time Settlement Point Prices, Real-Time prices for energy metered, Real-Time Reliability Deployment Price Adders for Energy, </w:t>
      </w:r>
      <w:r w:rsidRPr="0013396E">
        <w:rPr>
          <w:iCs/>
        </w:rPr>
        <w:t xml:space="preserve">Real-Time </w:t>
      </w:r>
      <w:r w:rsidRPr="0013396E">
        <w:t>MCPCs, and Real-Time Reliability Deployment Price Adders for Ancillary Service if ERCOT gave timely notice to Market Participants and the ERCOT Board finds that such prices should be corrected for an Operating Day.</w:t>
      </w:r>
    </w:p>
    <w:p w14:paraId="6ADFE909" w14:textId="49D532F7" w:rsidR="001F04FD" w:rsidRPr="0013396E" w:rsidRDefault="001D4369" w:rsidP="005B6369">
      <w:pPr>
        <w:pStyle w:val="BodyTextNumbered"/>
        <w:tabs>
          <w:tab w:val="left" w:pos="3510"/>
        </w:tabs>
        <w:ind w:left="1440"/>
      </w:pPr>
      <w:r w:rsidRPr="0013396E">
        <w:t>(d)</w:t>
      </w:r>
      <w:r w:rsidRPr="0013396E">
        <w:tab/>
        <w:t xml:space="preserve">In review of Real-Time LMPs, Real-Time Settlement Point Prices, Real-Time prices for energy metered, Real-Time Reliability Deployment Price Adders for Energy, </w:t>
      </w:r>
      <w:r w:rsidRPr="0013396E">
        <w:rPr>
          <w:iCs/>
        </w:rPr>
        <w:t xml:space="preserve">Real-Time </w:t>
      </w:r>
      <w:r w:rsidRPr="0013396E">
        <w:t>MCPCs, and Real-Time Reliability Deployment Price Adders for Ancillary Service, the ERCOT Board may rely on the same reasons identified in paragraph (4) above to find that the prices should be corrected for an Operating Day.</w:t>
      </w:r>
    </w:p>
    <w:p w14:paraId="2AFBE24D" w14:textId="77777777" w:rsidR="001F04FD" w:rsidRPr="0013396E" w:rsidRDefault="001F04FD" w:rsidP="007A1E53">
      <w:pPr>
        <w:pStyle w:val="H3"/>
      </w:pPr>
      <w:bookmarkStart w:id="58" w:name="_Toc397504908"/>
      <w:bookmarkStart w:id="59" w:name="_Toc402357036"/>
      <w:bookmarkStart w:id="60" w:name="_Toc422486416"/>
      <w:bookmarkStart w:id="61" w:name="_Toc433093268"/>
      <w:bookmarkStart w:id="62" w:name="_Toc433093426"/>
      <w:bookmarkStart w:id="63" w:name="_Toc440874657"/>
      <w:bookmarkStart w:id="64" w:name="_Toc448142212"/>
      <w:bookmarkStart w:id="65" w:name="_Toc448142369"/>
      <w:bookmarkStart w:id="66" w:name="_Toc458770205"/>
      <w:bookmarkStart w:id="67" w:name="_Toc459294173"/>
      <w:bookmarkStart w:id="68" w:name="_Toc463262666"/>
      <w:bookmarkStart w:id="69" w:name="_Toc468286738"/>
      <w:bookmarkStart w:id="70" w:name="_Toc481502784"/>
      <w:bookmarkStart w:id="71" w:name="_Toc496079954"/>
      <w:bookmarkStart w:id="72" w:name="_Toc214878859"/>
      <w:r w:rsidRPr="0013396E">
        <w:t>6.3.1</w:t>
      </w:r>
      <w:r w:rsidRPr="0013396E">
        <w:tab/>
        <w:t>Activities for the Adjustment Period</w:t>
      </w:r>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p>
    <w:p w14:paraId="1C256A55" w14:textId="04A0EE22" w:rsidR="001F04FD" w:rsidRPr="0013396E" w:rsidRDefault="001F04FD" w:rsidP="001F04FD">
      <w:pPr>
        <w:pStyle w:val="BodyTextNumbered"/>
      </w:pPr>
      <w:r w:rsidRPr="0013396E">
        <w:t>(1)</w:t>
      </w:r>
      <w:r w:rsidRPr="0013396E">
        <w:tab/>
        <w:t xml:space="preserve">The following table summarizes the timeline for the Adjustment Period and the activities of </w:t>
      </w:r>
      <w:r w:rsidR="00B21480">
        <w:t>Qualified Scheduling Entities (</w:t>
      </w:r>
      <w:r w:rsidRPr="0013396E">
        <w:t>QSEs</w:t>
      </w:r>
      <w:r w:rsidR="00B21480">
        <w:t>)</w:t>
      </w:r>
      <w:r w:rsidRPr="0013396E">
        <w:t xml:space="preserve"> and ERCOT.  The table is intended to be only a general guide and not controlling language, and any conflict between this table and another section of the Protocols is controlled by the other section: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0"/>
        <w:gridCol w:w="3596"/>
        <w:gridCol w:w="3826"/>
      </w:tblGrid>
      <w:tr w:rsidR="001F04FD" w:rsidRPr="0013396E" w14:paraId="1733F993" w14:textId="77777777" w:rsidTr="005D68C2">
        <w:trPr>
          <w:cantSplit/>
          <w:trHeight w:val="576"/>
          <w:tblHeader/>
        </w:trPr>
        <w:tc>
          <w:tcPr>
            <w:tcW w:w="1820" w:type="dxa"/>
          </w:tcPr>
          <w:p w14:paraId="626D07DB" w14:textId="77777777" w:rsidR="001F04FD" w:rsidRPr="0013396E" w:rsidRDefault="001F04FD" w:rsidP="00AC4DEE">
            <w:pPr>
              <w:pStyle w:val="TableHead"/>
            </w:pPr>
            <w:r w:rsidRPr="0013396E">
              <w:t xml:space="preserve">Adjustment Period </w:t>
            </w:r>
          </w:p>
        </w:tc>
        <w:tc>
          <w:tcPr>
            <w:tcW w:w="3596" w:type="dxa"/>
          </w:tcPr>
          <w:p w14:paraId="0BD3599E" w14:textId="77777777" w:rsidR="001F04FD" w:rsidRPr="0013396E" w:rsidRDefault="001F04FD" w:rsidP="00AC4DEE">
            <w:pPr>
              <w:pStyle w:val="TableHead"/>
              <w:rPr>
                <w:bCs/>
              </w:rPr>
            </w:pPr>
            <w:r w:rsidRPr="0013396E">
              <w:rPr>
                <w:bCs/>
              </w:rPr>
              <w:t>QSE Activities</w:t>
            </w:r>
          </w:p>
        </w:tc>
        <w:tc>
          <w:tcPr>
            <w:tcW w:w="3826" w:type="dxa"/>
          </w:tcPr>
          <w:p w14:paraId="4621BBF1" w14:textId="77777777" w:rsidR="001F04FD" w:rsidRPr="0013396E" w:rsidRDefault="001F04FD" w:rsidP="00AC4DEE">
            <w:pPr>
              <w:pStyle w:val="TableHead"/>
              <w:rPr>
                <w:bCs/>
              </w:rPr>
            </w:pPr>
            <w:r w:rsidRPr="0013396E">
              <w:rPr>
                <w:bCs/>
              </w:rPr>
              <w:t>ERCOT Activities</w:t>
            </w:r>
          </w:p>
        </w:tc>
      </w:tr>
      <w:tr w:rsidR="001F04FD" w:rsidRPr="0013396E" w14:paraId="21DA5B99" w14:textId="77777777" w:rsidTr="005D68C2">
        <w:trPr>
          <w:trHeight w:val="576"/>
        </w:trPr>
        <w:tc>
          <w:tcPr>
            <w:tcW w:w="1820" w:type="dxa"/>
          </w:tcPr>
          <w:p w14:paraId="3FFA3AE5" w14:textId="77777777" w:rsidR="001F04FD" w:rsidRPr="0013396E" w:rsidRDefault="001F04FD" w:rsidP="00AC4DEE">
            <w:pPr>
              <w:pStyle w:val="TableBody"/>
            </w:pPr>
            <w:r w:rsidRPr="0013396E">
              <w:t>Time = From 1800 in the Day-Ahead  up to one hour before the start of the Operating Hour</w:t>
            </w:r>
          </w:p>
        </w:tc>
        <w:tc>
          <w:tcPr>
            <w:tcW w:w="3596" w:type="dxa"/>
          </w:tcPr>
          <w:p w14:paraId="7DB22965" w14:textId="77777777" w:rsidR="001F04FD" w:rsidRPr="0013396E" w:rsidRDefault="001F04FD" w:rsidP="00AC4DEE">
            <w:pPr>
              <w:pStyle w:val="TableBody"/>
              <w:spacing w:after="0"/>
            </w:pPr>
            <w:r w:rsidRPr="0013396E">
              <w:t xml:space="preserve">Submit and update Energy Trades, Capacity Trades, Self-Schedules, and Ancillary Service Trades </w:t>
            </w:r>
          </w:p>
          <w:p w14:paraId="36EB0F76" w14:textId="77777777" w:rsidR="001F04FD" w:rsidRPr="0013396E" w:rsidRDefault="001F04FD" w:rsidP="00AC4DEE">
            <w:pPr>
              <w:pStyle w:val="TableBody"/>
              <w:spacing w:after="0"/>
            </w:pPr>
          </w:p>
          <w:p w14:paraId="72BD00CC" w14:textId="77777777" w:rsidR="001F04FD" w:rsidRPr="0013396E" w:rsidRDefault="001F04FD" w:rsidP="00AC4DEE">
            <w:pPr>
              <w:pStyle w:val="TableBody"/>
              <w:spacing w:after="0"/>
            </w:pPr>
            <w:r w:rsidRPr="0013396E">
              <w:t>Submit and update Output Schedules</w:t>
            </w:r>
          </w:p>
          <w:p w14:paraId="11C9EFB5" w14:textId="496C011F" w:rsidR="001F04FD" w:rsidRPr="0013396E" w:rsidRDefault="001F04FD" w:rsidP="007A1E53">
            <w:pPr>
              <w:pStyle w:val="TableBody"/>
              <w:spacing w:after="0"/>
            </w:pPr>
          </w:p>
          <w:p w14:paraId="0DFBEDFE" w14:textId="43DCC591" w:rsidR="00EA1351" w:rsidRPr="0013396E" w:rsidRDefault="001F04FD" w:rsidP="004116AE">
            <w:pPr>
              <w:pStyle w:val="TableBody"/>
              <w:spacing w:after="240"/>
            </w:pPr>
            <w:r w:rsidRPr="0013396E">
              <w:t xml:space="preserve">Submit and update Energy Offer Curves and/or </w:t>
            </w:r>
            <w:r w:rsidR="00D5222B" w:rsidRPr="0013396E">
              <w:t>RTM Energy Bids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3370"/>
            </w:tblGrid>
            <w:tr w:rsidR="00D3410D" w:rsidRPr="0013396E" w14:paraId="4C58870B" w14:textId="77777777" w:rsidTr="00F5593C">
              <w:trPr>
                <w:trHeight w:val="206"/>
              </w:trPr>
              <w:tc>
                <w:tcPr>
                  <w:tcW w:w="9576" w:type="dxa"/>
                  <w:shd w:val="pct12" w:color="auto" w:fill="auto"/>
                </w:tcPr>
                <w:p w14:paraId="004FE607" w14:textId="77777777" w:rsidR="00D3410D" w:rsidRPr="0013396E" w:rsidRDefault="00D3410D" w:rsidP="00D3410D">
                  <w:pPr>
                    <w:spacing w:before="120" w:after="240"/>
                    <w:rPr>
                      <w:b/>
                      <w:i/>
                      <w:iCs/>
                    </w:rPr>
                  </w:pPr>
                  <w:r w:rsidRPr="0013396E">
                    <w:rPr>
                      <w:b/>
                      <w:i/>
                      <w:iCs/>
                    </w:rPr>
                    <w:t>[NPRR1188:  Replace the item above with the following upon system implementation:]</w:t>
                  </w:r>
                </w:p>
                <w:p w14:paraId="14383BBD" w14:textId="0FF3A526" w:rsidR="00D3410D" w:rsidRPr="0013396E" w:rsidRDefault="00D3410D" w:rsidP="00D3410D">
                  <w:pPr>
                    <w:rPr>
                      <w:iCs/>
                      <w:sz w:val="20"/>
                    </w:rPr>
                  </w:pPr>
                  <w:r w:rsidRPr="0013396E">
                    <w:rPr>
                      <w:iCs/>
                      <w:sz w:val="20"/>
                    </w:rPr>
                    <w:lastRenderedPageBreak/>
                    <w:t xml:space="preserve">Submit </w:t>
                  </w:r>
                  <w:r w:rsidR="004067E8" w:rsidRPr="0013396E">
                    <w:rPr>
                      <w:iCs/>
                      <w:sz w:val="20"/>
                    </w:rPr>
                    <w:t>and update Energy Offer Curves and/or Energy Bid Curves</w:t>
                  </w:r>
                </w:p>
              </w:tc>
            </w:tr>
          </w:tbl>
          <w:p w14:paraId="392445D9" w14:textId="5C848059" w:rsidR="00D5222B" w:rsidRPr="0013396E" w:rsidRDefault="001D4369" w:rsidP="007A1E53">
            <w:pPr>
              <w:pStyle w:val="TableBody"/>
              <w:spacing w:before="240" w:after="240"/>
            </w:pPr>
            <w:r w:rsidRPr="0013396E">
              <w:lastRenderedPageBreak/>
              <w:t>Submit Energy Bid/Offer Curves for Energy Storage Resources (ESRs)</w:t>
            </w:r>
          </w:p>
          <w:p w14:paraId="2C98662A" w14:textId="77777777" w:rsidR="001F04FD" w:rsidRPr="0013396E" w:rsidRDefault="001F04FD" w:rsidP="00AC4DEE">
            <w:pPr>
              <w:pStyle w:val="TableBody"/>
              <w:spacing w:after="0"/>
            </w:pPr>
            <w:r w:rsidRPr="0013396E">
              <w:t>Update Current Operating Plan (COP)</w:t>
            </w:r>
          </w:p>
          <w:p w14:paraId="670953D1" w14:textId="77777777" w:rsidR="001F04FD" w:rsidRPr="0013396E" w:rsidRDefault="001F04FD" w:rsidP="000B1D41">
            <w:pPr>
              <w:pStyle w:val="TableBody"/>
              <w:spacing w:before="240" w:after="0"/>
            </w:pPr>
            <w:r w:rsidRPr="0013396E">
              <w:t xml:space="preserve">Request Resource decommitments </w:t>
            </w:r>
          </w:p>
          <w:p w14:paraId="6BE15E4D" w14:textId="77777777" w:rsidR="001F04FD" w:rsidRPr="0013396E" w:rsidRDefault="001F04FD" w:rsidP="00AC4DEE">
            <w:pPr>
              <w:pStyle w:val="TableBody"/>
              <w:spacing w:after="0"/>
            </w:pPr>
          </w:p>
          <w:p w14:paraId="3FEBA6F6" w14:textId="77777777" w:rsidR="001F04FD" w:rsidRPr="0013396E" w:rsidRDefault="001F04FD" w:rsidP="00AC4DEE">
            <w:pPr>
              <w:pStyle w:val="TableBody"/>
              <w:spacing w:after="0"/>
            </w:pPr>
            <w:r w:rsidRPr="0013396E">
              <w:t>Submit Three-Part Supply Offers for Off-Line Generation Resources</w:t>
            </w:r>
          </w:p>
          <w:p w14:paraId="4E70EFED" w14:textId="77777777" w:rsidR="001F04FD" w:rsidRPr="0013396E" w:rsidRDefault="001F04FD" w:rsidP="00AC4DEE">
            <w:pPr>
              <w:pStyle w:val="TableBody"/>
              <w:spacing w:after="0"/>
            </w:pPr>
          </w:p>
          <w:p w14:paraId="5DB138A7" w14:textId="2F923D76" w:rsidR="001F04FD" w:rsidRPr="0013396E" w:rsidRDefault="001D4369" w:rsidP="000B1D41">
            <w:pPr>
              <w:pStyle w:val="TableBody"/>
              <w:spacing w:after="240"/>
            </w:pPr>
            <w:r w:rsidRPr="0013396E">
              <w:t>Submit and update Ancillary Service Offers</w:t>
            </w:r>
          </w:p>
          <w:p w14:paraId="4879C40D" w14:textId="77777777" w:rsidR="001F04FD" w:rsidRPr="0013396E" w:rsidRDefault="001F04FD" w:rsidP="00AC4DEE">
            <w:pPr>
              <w:pStyle w:val="TableBody"/>
              <w:spacing w:after="0"/>
            </w:pPr>
            <w:r w:rsidRPr="0013396E">
              <w:t>Communicate Resource Forced Outages</w:t>
            </w:r>
          </w:p>
          <w:p w14:paraId="0262F52D" w14:textId="77777777" w:rsidR="001F04FD" w:rsidRPr="0013396E" w:rsidRDefault="001F04FD" w:rsidP="00AC4DEE">
            <w:pPr>
              <w:pStyle w:val="TableBody"/>
            </w:pPr>
          </w:p>
          <w:p w14:paraId="296479A5" w14:textId="77777777" w:rsidR="001F04FD" w:rsidRPr="0013396E" w:rsidRDefault="001F04FD" w:rsidP="00AC4DEE">
            <w:pPr>
              <w:pStyle w:val="TableBody"/>
            </w:pPr>
          </w:p>
          <w:p w14:paraId="0E9B6E90" w14:textId="77777777" w:rsidR="001F04FD" w:rsidRPr="0013396E" w:rsidRDefault="001F04FD" w:rsidP="00AC4DEE">
            <w:pPr>
              <w:pStyle w:val="TableBody"/>
            </w:pPr>
          </w:p>
        </w:tc>
        <w:tc>
          <w:tcPr>
            <w:tcW w:w="3826" w:type="dxa"/>
          </w:tcPr>
          <w:p w14:paraId="7BED3697" w14:textId="77777777" w:rsidR="001F04FD" w:rsidRPr="0013396E" w:rsidRDefault="001F04FD" w:rsidP="00AC4DEE">
            <w:pPr>
              <w:pStyle w:val="TableBody"/>
              <w:spacing w:after="0"/>
            </w:pPr>
            <w:r w:rsidRPr="0013396E">
              <w:lastRenderedPageBreak/>
              <w:t>Post shift schedules on the Market Information System (MIS) Secure Area</w:t>
            </w:r>
          </w:p>
          <w:p w14:paraId="56544C78" w14:textId="77777777" w:rsidR="001F04FD" w:rsidRPr="0013396E" w:rsidRDefault="001F04FD" w:rsidP="00AC4DEE">
            <w:pPr>
              <w:pStyle w:val="TableBody"/>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3600"/>
            </w:tblGrid>
            <w:tr w:rsidR="00D779AB" w:rsidRPr="0013396E" w14:paraId="72239242" w14:textId="77777777" w:rsidTr="00AE5CE8">
              <w:trPr>
                <w:trHeight w:val="206"/>
              </w:trPr>
              <w:tc>
                <w:tcPr>
                  <w:tcW w:w="9576" w:type="dxa"/>
                  <w:shd w:val="pct12" w:color="auto" w:fill="auto"/>
                </w:tcPr>
                <w:p w14:paraId="17BE1475" w14:textId="3559607A" w:rsidR="00D779AB" w:rsidRPr="0013396E" w:rsidRDefault="00D779AB" w:rsidP="00D779AB">
                  <w:pPr>
                    <w:pStyle w:val="Instructions"/>
                    <w:spacing w:before="120"/>
                  </w:pPr>
                  <w:r w:rsidRPr="0013396E">
                    <w:t>[NPRR1240:  Delete the item above upon system implementation.]</w:t>
                  </w:r>
                </w:p>
              </w:tc>
            </w:tr>
          </w:tbl>
          <w:p w14:paraId="7B067D1E" w14:textId="77777777" w:rsidR="001F04FD" w:rsidRPr="0013396E" w:rsidRDefault="001F04FD" w:rsidP="00D779AB">
            <w:pPr>
              <w:pStyle w:val="TableBody"/>
              <w:spacing w:before="240" w:after="0"/>
            </w:pPr>
            <w:r w:rsidRPr="0013396E">
              <w:t>Validate Energy Trades, Capacity Trades, Self-Schedules, and Ancillary Service Trades and identify invalid or mismatched trades</w:t>
            </w:r>
          </w:p>
          <w:p w14:paraId="42FAECD2" w14:textId="77777777" w:rsidR="001F04FD" w:rsidRPr="0013396E" w:rsidRDefault="001F04FD" w:rsidP="00AC4DEE">
            <w:pPr>
              <w:pStyle w:val="TableBody"/>
              <w:spacing w:after="0"/>
            </w:pPr>
          </w:p>
          <w:p w14:paraId="2F5C171F" w14:textId="77777777" w:rsidR="001F04FD" w:rsidRPr="0013396E" w:rsidRDefault="001F04FD" w:rsidP="00AC4DEE">
            <w:pPr>
              <w:pStyle w:val="TableBody"/>
              <w:spacing w:after="0"/>
            </w:pPr>
            <w:r w:rsidRPr="0013396E">
              <w:t xml:space="preserve">Validate Output Schedules </w:t>
            </w:r>
          </w:p>
          <w:p w14:paraId="7AEFCA23" w14:textId="77777777" w:rsidR="001F04FD" w:rsidRPr="0013396E" w:rsidRDefault="001F04FD" w:rsidP="00AC4DEE">
            <w:pPr>
              <w:pStyle w:val="TableBody"/>
              <w:spacing w:after="0"/>
            </w:pPr>
          </w:p>
          <w:p w14:paraId="5C2AA4AA" w14:textId="77777777" w:rsidR="001F04FD" w:rsidRPr="0013396E" w:rsidRDefault="001F04FD" w:rsidP="00AC4DEE">
            <w:pPr>
              <w:pStyle w:val="TableBody"/>
              <w:spacing w:after="0"/>
            </w:pPr>
            <w:r w:rsidRPr="0013396E">
              <w:t xml:space="preserve">Validate Incremental and Decremental Energy Offer Curves </w:t>
            </w:r>
          </w:p>
          <w:p w14:paraId="6AFBE2A6" w14:textId="77777777" w:rsidR="001F04FD" w:rsidRPr="0013396E" w:rsidRDefault="001F04FD" w:rsidP="00AC4DEE">
            <w:pPr>
              <w:pStyle w:val="TableBody"/>
              <w:spacing w:after="0"/>
            </w:pPr>
          </w:p>
          <w:p w14:paraId="356CCD92" w14:textId="77777777" w:rsidR="00D3410D" w:rsidRPr="0013396E" w:rsidRDefault="001F04FD" w:rsidP="004116AE">
            <w:pPr>
              <w:pStyle w:val="TableBody"/>
              <w:spacing w:after="240"/>
            </w:pPr>
            <w:r w:rsidRPr="0013396E">
              <w:t>Validate Energy Offer Curves and/or RTM Energy Bids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3600"/>
            </w:tblGrid>
            <w:tr w:rsidR="00D3410D" w:rsidRPr="0013396E" w14:paraId="13B5F138" w14:textId="77777777" w:rsidTr="00F5593C">
              <w:trPr>
                <w:trHeight w:val="206"/>
              </w:trPr>
              <w:tc>
                <w:tcPr>
                  <w:tcW w:w="9576" w:type="dxa"/>
                  <w:shd w:val="pct12" w:color="auto" w:fill="auto"/>
                </w:tcPr>
                <w:p w14:paraId="2A172665" w14:textId="77777777" w:rsidR="00D3410D" w:rsidRPr="0013396E" w:rsidRDefault="00D3410D" w:rsidP="00D3410D">
                  <w:pPr>
                    <w:spacing w:before="120" w:after="240"/>
                    <w:rPr>
                      <w:b/>
                      <w:i/>
                      <w:iCs/>
                    </w:rPr>
                  </w:pPr>
                  <w:r w:rsidRPr="0013396E">
                    <w:rPr>
                      <w:b/>
                      <w:i/>
                      <w:iCs/>
                    </w:rPr>
                    <w:t>[NPRR1188:  Replace the item above with the following upon system implementation:]</w:t>
                  </w:r>
                </w:p>
                <w:p w14:paraId="5528A7B0" w14:textId="55EA9B92" w:rsidR="00D3410D" w:rsidRPr="0013396E" w:rsidRDefault="00D3410D" w:rsidP="00D3410D">
                  <w:pPr>
                    <w:rPr>
                      <w:iCs/>
                      <w:sz w:val="20"/>
                    </w:rPr>
                  </w:pPr>
                  <w:r w:rsidRPr="0013396E">
                    <w:rPr>
                      <w:iCs/>
                      <w:sz w:val="20"/>
                    </w:rPr>
                    <w:t>Validate Energy Offer Curves and/or Energy Bid Curves</w:t>
                  </w:r>
                </w:p>
              </w:tc>
            </w:tr>
          </w:tbl>
          <w:p w14:paraId="29990C38" w14:textId="1DF3CD00" w:rsidR="001F04FD" w:rsidRPr="0013396E" w:rsidRDefault="001D4369" w:rsidP="007A1E53">
            <w:pPr>
              <w:pStyle w:val="TableBody"/>
              <w:spacing w:before="240" w:after="240"/>
            </w:pPr>
            <w:r w:rsidRPr="0013396E">
              <w:t>Validate Energy Bid/Offer Curves</w:t>
            </w:r>
          </w:p>
          <w:p w14:paraId="6F769C34" w14:textId="77777777" w:rsidR="001F04FD" w:rsidRPr="0013396E" w:rsidRDefault="001F04FD" w:rsidP="007A1E53">
            <w:pPr>
              <w:pStyle w:val="TableBody"/>
              <w:spacing w:after="0"/>
            </w:pPr>
            <w:r w:rsidRPr="0013396E">
              <w:t>Validate COP including validation of the deliverability of Ancillary Services from Resources for the next Operating Period</w:t>
            </w:r>
          </w:p>
          <w:p w14:paraId="34536B41" w14:textId="77777777" w:rsidR="001F04FD" w:rsidRPr="0013396E" w:rsidRDefault="001F04FD" w:rsidP="00AC4DEE">
            <w:pPr>
              <w:pStyle w:val="TableBody"/>
              <w:spacing w:after="0"/>
            </w:pPr>
          </w:p>
          <w:p w14:paraId="7F4679E5" w14:textId="77777777" w:rsidR="001F04FD" w:rsidRPr="0013396E" w:rsidRDefault="001F04FD" w:rsidP="00AC4DEE">
            <w:pPr>
              <w:pStyle w:val="TableBody"/>
              <w:spacing w:after="0"/>
            </w:pPr>
            <w:r w:rsidRPr="0013396E">
              <w:t xml:space="preserve">Review and approve or reject Resource decommitments </w:t>
            </w:r>
          </w:p>
          <w:p w14:paraId="4DBF4BDD" w14:textId="77777777" w:rsidR="001F04FD" w:rsidRPr="0013396E" w:rsidRDefault="001F04FD" w:rsidP="00AC4DEE">
            <w:pPr>
              <w:pStyle w:val="TableBody"/>
              <w:spacing w:after="0"/>
            </w:pPr>
          </w:p>
          <w:p w14:paraId="3ECE38EC" w14:textId="77777777" w:rsidR="001F04FD" w:rsidRPr="0013396E" w:rsidRDefault="001F04FD" w:rsidP="00AC4DEE">
            <w:pPr>
              <w:pStyle w:val="TableBody"/>
              <w:spacing w:after="0"/>
            </w:pPr>
            <w:r w:rsidRPr="0013396E">
              <w:t xml:space="preserve">Validate Three-Part Supply Offers  </w:t>
            </w:r>
          </w:p>
          <w:p w14:paraId="086A9532" w14:textId="77777777" w:rsidR="001F04FD" w:rsidRPr="0013396E" w:rsidRDefault="001F04FD" w:rsidP="00AC4DEE">
            <w:pPr>
              <w:pStyle w:val="TableBody"/>
              <w:spacing w:after="0"/>
            </w:pPr>
          </w:p>
          <w:p w14:paraId="7BEA625F" w14:textId="59E144B8" w:rsidR="001F04FD" w:rsidRPr="0013396E" w:rsidRDefault="001D4369" w:rsidP="00AC4DEE">
            <w:pPr>
              <w:pStyle w:val="TableBody"/>
              <w:spacing w:after="0"/>
            </w:pPr>
            <w:r w:rsidRPr="0013396E">
              <w:t xml:space="preserve">Publish Notice of need to update the  Ancillary Service Plan if required and update the Ancillary Service Demand Curves (ASDCs) for the affected hours and Ancillary Services </w:t>
            </w:r>
          </w:p>
          <w:p w14:paraId="69CCD417" w14:textId="77777777" w:rsidR="001F04FD" w:rsidRPr="0013396E" w:rsidRDefault="001F04FD" w:rsidP="00AC4DEE">
            <w:pPr>
              <w:pStyle w:val="TableBody"/>
              <w:spacing w:after="0"/>
            </w:pPr>
          </w:p>
          <w:p w14:paraId="71F160AD" w14:textId="77777777" w:rsidR="001F04FD" w:rsidRPr="0013396E" w:rsidRDefault="001F04FD" w:rsidP="007A1E53">
            <w:pPr>
              <w:pStyle w:val="TableBody"/>
              <w:spacing w:after="0"/>
            </w:pPr>
            <w:r w:rsidRPr="0013396E">
              <w:t>Validate Ancillary Service Offers</w:t>
            </w:r>
          </w:p>
          <w:p w14:paraId="5416C362" w14:textId="77777777" w:rsidR="001F04FD" w:rsidRPr="0013396E" w:rsidRDefault="001F04FD" w:rsidP="00AC4DEE">
            <w:pPr>
              <w:pStyle w:val="TableBody"/>
              <w:spacing w:after="0"/>
            </w:pPr>
          </w:p>
          <w:p w14:paraId="08526E3B" w14:textId="77777777" w:rsidR="001F04FD" w:rsidRPr="0013396E" w:rsidRDefault="001F04FD" w:rsidP="00AC4DEE">
            <w:pPr>
              <w:pStyle w:val="TableBody"/>
              <w:spacing w:after="0"/>
            </w:pPr>
            <w:r w:rsidRPr="0013396E">
              <w:t>At the end of the Adjustment Period snap-shot the net capacity credits for Hourly Reliability Unit Commitment (HRUC) Settlement</w:t>
            </w:r>
          </w:p>
          <w:p w14:paraId="5D5B88ED" w14:textId="77777777" w:rsidR="001F04FD" w:rsidRPr="0013396E" w:rsidRDefault="001F04FD" w:rsidP="00AC4DEE">
            <w:pPr>
              <w:pStyle w:val="TableBody"/>
              <w:spacing w:after="0"/>
            </w:pPr>
          </w:p>
          <w:p w14:paraId="1BA0CE7B" w14:textId="77777777" w:rsidR="001F04FD" w:rsidRPr="0013396E" w:rsidRDefault="001F04FD" w:rsidP="00AC4DEE">
            <w:pPr>
              <w:pStyle w:val="TableBody"/>
              <w:spacing w:after="0"/>
            </w:pPr>
            <w:r w:rsidRPr="0013396E">
              <w:t>Update Short-Term Wind Power Forecast (STWPF)</w:t>
            </w:r>
          </w:p>
          <w:p w14:paraId="031E0B1F" w14:textId="77777777" w:rsidR="001F04FD" w:rsidRPr="0013396E" w:rsidRDefault="001F04FD" w:rsidP="00AC4DEE">
            <w:pPr>
              <w:pStyle w:val="TableBody"/>
              <w:spacing w:after="0"/>
            </w:pPr>
          </w:p>
          <w:p w14:paraId="329D4DD9" w14:textId="77777777" w:rsidR="001F04FD" w:rsidRPr="0013396E" w:rsidRDefault="001F04FD" w:rsidP="00AC4DEE">
            <w:pPr>
              <w:pStyle w:val="TableBody"/>
              <w:spacing w:after="0"/>
            </w:pPr>
            <w:r w:rsidRPr="0013396E">
              <w:t>Update Short-Term PhotoVoltaic Power Forecast (STPPF)</w:t>
            </w:r>
          </w:p>
          <w:p w14:paraId="57C05067" w14:textId="77777777" w:rsidR="001F04FD" w:rsidRPr="0013396E" w:rsidRDefault="001F04FD" w:rsidP="00AC4DEE">
            <w:pPr>
              <w:pStyle w:val="TableBody"/>
              <w:spacing w:after="0"/>
            </w:pPr>
          </w:p>
          <w:p w14:paraId="07D976B5" w14:textId="77777777" w:rsidR="001F04FD" w:rsidRPr="0013396E" w:rsidRDefault="001F04FD" w:rsidP="00AC4DEE">
            <w:pPr>
              <w:pStyle w:val="TableBody"/>
              <w:spacing w:after="0"/>
            </w:pPr>
            <w:r w:rsidRPr="0013396E">
              <w:t>Execute the Hour-Ahead Sequence</w:t>
            </w:r>
          </w:p>
          <w:p w14:paraId="3CABB7D3" w14:textId="77777777" w:rsidR="001F04FD" w:rsidRPr="0013396E" w:rsidRDefault="001F04FD" w:rsidP="00AC4DEE">
            <w:pPr>
              <w:pStyle w:val="TableBody"/>
              <w:spacing w:after="0"/>
            </w:pPr>
          </w:p>
          <w:p w14:paraId="13DFF0F9" w14:textId="77777777" w:rsidR="00D3410D" w:rsidRPr="0013396E" w:rsidRDefault="001F04FD" w:rsidP="000B1D41">
            <w:pPr>
              <w:pStyle w:val="TableBody"/>
              <w:spacing w:after="240"/>
            </w:pPr>
            <w:r w:rsidRPr="0013396E">
              <w:t xml:space="preserve">Notify the QSE via the MIS Certified Area that an Energy Offer Curve, RTM Energy Bid or Output Schedule has not yet been submitted for a Resource as a reminder that </w:t>
            </w:r>
            <w:r w:rsidRPr="0013396E">
              <w:lastRenderedPageBreak/>
              <w:t xml:space="preserve">one of the three must be submitted by the end of the Adjustment Period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3600"/>
            </w:tblGrid>
            <w:tr w:rsidR="00D3410D" w:rsidRPr="0013396E" w14:paraId="22B4C679" w14:textId="77777777" w:rsidTr="00F5593C">
              <w:trPr>
                <w:trHeight w:val="206"/>
              </w:trPr>
              <w:tc>
                <w:tcPr>
                  <w:tcW w:w="9576" w:type="dxa"/>
                  <w:shd w:val="pct12" w:color="auto" w:fill="auto"/>
                </w:tcPr>
                <w:p w14:paraId="112C446C" w14:textId="77777777" w:rsidR="00D3410D" w:rsidRPr="0013396E" w:rsidRDefault="00D3410D" w:rsidP="00D3410D">
                  <w:pPr>
                    <w:spacing w:before="120" w:after="240"/>
                    <w:rPr>
                      <w:b/>
                      <w:i/>
                      <w:iCs/>
                    </w:rPr>
                  </w:pPr>
                  <w:r w:rsidRPr="0013396E">
                    <w:rPr>
                      <w:b/>
                      <w:i/>
                      <w:iCs/>
                    </w:rPr>
                    <w:t>[NPRR1188:  Replace the item above with the following upon system implementation:]</w:t>
                  </w:r>
                </w:p>
                <w:p w14:paraId="6A498D0B" w14:textId="6DFEAC47" w:rsidR="00D3410D" w:rsidRPr="0013396E" w:rsidRDefault="00D3410D" w:rsidP="00D3410D">
                  <w:pPr>
                    <w:spacing w:after="240"/>
                    <w:rPr>
                      <w:iCs/>
                      <w:sz w:val="20"/>
                    </w:rPr>
                  </w:pPr>
                  <w:r w:rsidRPr="0013396E">
                    <w:rPr>
                      <w:iCs/>
                      <w:sz w:val="20"/>
                    </w:rPr>
                    <w:t>Notify the QSE via the MIS Certified Area that an Energy Offer Curve, Energy Bid Curve or Output Schedule has not yet been submitted for a Resource as a reminder that one of the three must be submitted by the end of the Adjustment Period</w:t>
                  </w:r>
                </w:p>
              </w:tc>
            </w:tr>
          </w:tbl>
          <w:p w14:paraId="1A15945A" w14:textId="77777777" w:rsidR="001D4369" w:rsidRPr="0013396E" w:rsidRDefault="001D4369" w:rsidP="007A1E53">
            <w:pPr>
              <w:spacing w:before="240"/>
              <w:rPr>
                <w:iCs/>
                <w:sz w:val="20"/>
              </w:rPr>
            </w:pPr>
            <w:r w:rsidRPr="0013396E">
              <w:rPr>
                <w:iCs/>
                <w:sz w:val="20"/>
              </w:rPr>
              <w:t>Notify the QSE via the MIS Certified Area that an Ancillary Service Offer has not yet been submitted for a Resource by the end of the Adjustment Period</w:t>
            </w:r>
          </w:p>
          <w:p w14:paraId="48E8F465" w14:textId="77777777" w:rsidR="001D4369" w:rsidRPr="0013396E" w:rsidRDefault="001D4369" w:rsidP="001D4369">
            <w:pPr>
              <w:rPr>
                <w:iCs/>
                <w:sz w:val="20"/>
              </w:rPr>
            </w:pPr>
          </w:p>
          <w:p w14:paraId="2D2B7E63" w14:textId="2BF4AD45" w:rsidR="00C61B40" w:rsidRPr="0013396E" w:rsidRDefault="001D4369" w:rsidP="007A1E53">
            <w:pPr>
              <w:pStyle w:val="TableBody"/>
              <w:spacing w:after="240"/>
            </w:pPr>
            <w:r w:rsidRPr="0013396E">
              <w:t>Notify the QSE via the MIS Certified Area that an Energy Bid/Offer Curve has not yet been submitted for an ESR by the end of the Adjustment Period</w:t>
            </w:r>
          </w:p>
          <w:p w14:paraId="04B4A995" w14:textId="77777777" w:rsidR="001F04FD" w:rsidRPr="0013396E" w:rsidRDefault="001F04FD" w:rsidP="00AC4DEE">
            <w:pPr>
              <w:pStyle w:val="TableBody"/>
              <w:spacing w:after="0"/>
            </w:pPr>
          </w:p>
        </w:tc>
      </w:tr>
    </w:tbl>
    <w:p w14:paraId="50F8C556" w14:textId="3F987956" w:rsidR="001F04FD" w:rsidRPr="0013396E" w:rsidRDefault="001F04FD" w:rsidP="001F04FD">
      <w:pPr>
        <w:pStyle w:val="H3"/>
        <w:spacing w:before="480"/>
      </w:pPr>
      <w:bookmarkStart w:id="73" w:name="_Toc397504910"/>
      <w:bookmarkStart w:id="74" w:name="_Toc402357038"/>
      <w:bookmarkStart w:id="75" w:name="_Toc422486418"/>
      <w:bookmarkStart w:id="76" w:name="_Toc433093270"/>
      <w:bookmarkStart w:id="77" w:name="_Toc433093428"/>
      <w:bookmarkStart w:id="78" w:name="_Toc440874658"/>
      <w:bookmarkStart w:id="79" w:name="_Toc448142213"/>
      <w:bookmarkStart w:id="80" w:name="_Toc448142370"/>
      <w:bookmarkStart w:id="81" w:name="_Toc458770206"/>
      <w:bookmarkStart w:id="82" w:name="_Toc459294174"/>
      <w:bookmarkStart w:id="83" w:name="_Toc463262667"/>
      <w:bookmarkStart w:id="84" w:name="_Toc468286739"/>
      <w:bookmarkStart w:id="85" w:name="_Toc481502785"/>
      <w:bookmarkStart w:id="86" w:name="_Toc496079955"/>
      <w:bookmarkStart w:id="87" w:name="_Toc214878860"/>
      <w:r w:rsidRPr="0013396E">
        <w:lastRenderedPageBreak/>
        <w:t>6.3.2</w:t>
      </w:r>
      <w:r w:rsidRPr="0013396E">
        <w:tab/>
        <w:t>Activities for Real-Time Operations</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p>
    <w:p w14:paraId="72B75C64" w14:textId="77777777" w:rsidR="001F04FD" w:rsidRPr="0013396E" w:rsidRDefault="001F04FD" w:rsidP="001F04FD">
      <w:pPr>
        <w:pStyle w:val="BodyTextNumbered"/>
      </w:pPr>
      <w:r w:rsidRPr="0013396E">
        <w:t>(1)</w:t>
      </w:r>
      <w:r w:rsidRPr="0013396E">
        <w:tab/>
        <w:t>Activities for Real-Time operations begin at the end of the Adjustment Period and conclude at the close of the Operating Hour.</w:t>
      </w:r>
    </w:p>
    <w:p w14:paraId="7F605499" w14:textId="77777777" w:rsidR="001F04FD" w:rsidRPr="0013396E" w:rsidRDefault="001F04FD" w:rsidP="001F04FD">
      <w:pPr>
        <w:pStyle w:val="BodyTextNumbered"/>
        <w:rPr>
          <w:iCs/>
        </w:rPr>
      </w:pPr>
      <w:r w:rsidRPr="0013396E">
        <w:rPr>
          <w:iCs/>
        </w:rPr>
        <w:t>(2)</w:t>
      </w:r>
      <w:r w:rsidRPr="0013396E">
        <w:rPr>
          <w:iCs/>
        </w:rPr>
        <w:tab/>
        <w:t>The following table summarizes the timeline for the Operating Period and the activities of QSEs and ERCOT during Real-Time operations where “T” represents any instant within the Operating Hour.  The table is intended to be only a general guide and not controlling language, and any conflict between this table and another section of the Protocols is controlled by the other section:</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6"/>
        <w:gridCol w:w="3477"/>
        <w:gridCol w:w="3823"/>
      </w:tblGrid>
      <w:tr w:rsidR="001F04FD" w:rsidRPr="0013396E" w14:paraId="0B8B4FAC" w14:textId="77777777" w:rsidTr="00AC4DEE">
        <w:trPr>
          <w:cantSplit/>
          <w:trHeight w:val="440"/>
          <w:tblHeader/>
        </w:trPr>
        <w:tc>
          <w:tcPr>
            <w:tcW w:w="2276" w:type="dxa"/>
          </w:tcPr>
          <w:p w14:paraId="2D9A5D8E" w14:textId="77777777" w:rsidR="001F04FD" w:rsidRPr="0013396E" w:rsidRDefault="001F04FD" w:rsidP="00AC4DEE">
            <w:pPr>
              <w:pStyle w:val="TableBody"/>
              <w:rPr>
                <w:b/>
              </w:rPr>
            </w:pPr>
            <w:r w:rsidRPr="0013396E">
              <w:rPr>
                <w:b/>
              </w:rPr>
              <w:lastRenderedPageBreak/>
              <w:t>Operating Period</w:t>
            </w:r>
          </w:p>
        </w:tc>
        <w:tc>
          <w:tcPr>
            <w:tcW w:w="3477" w:type="dxa"/>
          </w:tcPr>
          <w:p w14:paraId="1603E0B0" w14:textId="77777777" w:rsidR="001F04FD" w:rsidRPr="0013396E" w:rsidRDefault="001F04FD" w:rsidP="00AC4DEE">
            <w:pPr>
              <w:pStyle w:val="TableBody"/>
              <w:rPr>
                <w:b/>
                <w:bCs/>
              </w:rPr>
            </w:pPr>
            <w:r w:rsidRPr="0013396E">
              <w:rPr>
                <w:b/>
                <w:bCs/>
              </w:rPr>
              <w:t>QSE Activities</w:t>
            </w:r>
          </w:p>
        </w:tc>
        <w:tc>
          <w:tcPr>
            <w:tcW w:w="3823" w:type="dxa"/>
          </w:tcPr>
          <w:p w14:paraId="2DCF7A15" w14:textId="77777777" w:rsidR="001F04FD" w:rsidRPr="0013396E" w:rsidRDefault="001F04FD" w:rsidP="00AC4DEE">
            <w:pPr>
              <w:pStyle w:val="TableBody"/>
              <w:rPr>
                <w:b/>
                <w:bCs/>
              </w:rPr>
            </w:pPr>
            <w:r w:rsidRPr="0013396E">
              <w:rPr>
                <w:b/>
                <w:bCs/>
              </w:rPr>
              <w:t>ERCOT Activities</w:t>
            </w:r>
          </w:p>
        </w:tc>
      </w:tr>
      <w:tr w:rsidR="001F04FD" w:rsidRPr="0013396E" w14:paraId="0AE25BBA" w14:textId="77777777" w:rsidTr="00AC4DEE">
        <w:trPr>
          <w:cantSplit/>
          <w:trHeight w:val="576"/>
        </w:trPr>
        <w:tc>
          <w:tcPr>
            <w:tcW w:w="2276" w:type="dxa"/>
          </w:tcPr>
          <w:p w14:paraId="7A7C3D5E" w14:textId="77777777" w:rsidR="001F04FD" w:rsidRPr="0013396E" w:rsidRDefault="001F04FD" w:rsidP="00AC4DEE">
            <w:pPr>
              <w:pStyle w:val="TableBody"/>
            </w:pPr>
            <w:r w:rsidRPr="0013396E">
              <w:t xml:space="preserve">During the first hour of the Operating Period </w:t>
            </w:r>
          </w:p>
        </w:tc>
        <w:tc>
          <w:tcPr>
            <w:tcW w:w="3477" w:type="dxa"/>
          </w:tcPr>
          <w:p w14:paraId="0B4B2EB8" w14:textId="77777777" w:rsidR="001F04FD" w:rsidRPr="0013396E" w:rsidRDefault="001F04FD" w:rsidP="00AC4DEE">
            <w:pPr>
              <w:pStyle w:val="TableBody"/>
            </w:pPr>
          </w:p>
        </w:tc>
        <w:tc>
          <w:tcPr>
            <w:tcW w:w="3823" w:type="dxa"/>
          </w:tcPr>
          <w:p w14:paraId="5E4C0E27" w14:textId="77777777" w:rsidR="001F04FD" w:rsidRPr="0013396E" w:rsidRDefault="001F04FD" w:rsidP="00AC4DEE">
            <w:pPr>
              <w:pStyle w:val="TableBody"/>
              <w:spacing w:after="0"/>
            </w:pPr>
            <w:r w:rsidRPr="0013396E">
              <w:t>Execute the Hour-Ahead Sequence, including HRUC, beginning with the second hour of the Operating Period</w:t>
            </w:r>
          </w:p>
          <w:p w14:paraId="26C7C8AF" w14:textId="77777777" w:rsidR="001F04FD" w:rsidRPr="0013396E" w:rsidRDefault="001F04FD" w:rsidP="00AC4DEE">
            <w:pPr>
              <w:rPr>
                <w:iCs/>
                <w:sz w:val="20"/>
              </w:rPr>
            </w:pPr>
          </w:p>
          <w:p w14:paraId="596AA53C" w14:textId="77777777" w:rsidR="001F04FD" w:rsidRPr="0013396E" w:rsidRDefault="001F04FD" w:rsidP="00AC4DEE">
            <w:pPr>
              <w:rPr>
                <w:iCs/>
                <w:sz w:val="20"/>
              </w:rPr>
            </w:pPr>
            <w:r w:rsidRPr="0013396E">
              <w:rPr>
                <w:iCs/>
                <w:sz w:val="20"/>
              </w:rPr>
              <w:t>Review the list of Off-Line Available Resources with a start-up time of one hour or less</w:t>
            </w:r>
          </w:p>
          <w:p w14:paraId="6B51C975" w14:textId="77777777" w:rsidR="001F04FD" w:rsidRPr="0013396E" w:rsidRDefault="001F04FD" w:rsidP="00AC4DEE">
            <w:pPr>
              <w:rPr>
                <w:iCs/>
                <w:sz w:val="20"/>
              </w:rPr>
            </w:pPr>
          </w:p>
          <w:p w14:paraId="3BAA8577" w14:textId="77777777" w:rsidR="001F04FD" w:rsidRPr="0013396E" w:rsidRDefault="001F04FD" w:rsidP="00AC4DEE">
            <w:pPr>
              <w:pStyle w:val="TableBody"/>
              <w:spacing w:after="0"/>
            </w:pPr>
            <w:r w:rsidRPr="0013396E">
              <w:t>Review and communicate HRUC commitments and Direct Current Tie (DC Tie) Schedule curtailments</w:t>
            </w:r>
          </w:p>
          <w:p w14:paraId="17CEF8BB" w14:textId="77777777" w:rsidR="001F04FD" w:rsidRPr="0013396E" w:rsidRDefault="001F04FD" w:rsidP="00AC4DEE">
            <w:pPr>
              <w:pStyle w:val="TableBody"/>
              <w:spacing w:after="0"/>
            </w:pPr>
          </w:p>
          <w:p w14:paraId="7A28D0E2" w14:textId="58B00504" w:rsidR="001F04FD" w:rsidRPr="0013396E" w:rsidRDefault="001F04FD" w:rsidP="00AC4DEE">
            <w:pPr>
              <w:pStyle w:val="TableBody"/>
              <w:spacing w:after="0"/>
            </w:pPr>
            <w:r w:rsidRPr="0013396E">
              <w:t>Snapshot the Scheduled Power Consumption for Controllable Load Resources</w:t>
            </w:r>
            <w:r w:rsidR="00A15EAB">
              <w:t xml:space="preserve"> (CLRs)</w:t>
            </w:r>
          </w:p>
        </w:tc>
      </w:tr>
      <w:tr w:rsidR="001F04FD" w:rsidRPr="0013396E" w14:paraId="78B083DA" w14:textId="77777777" w:rsidTr="00AC4DEE">
        <w:trPr>
          <w:cantSplit/>
          <w:trHeight w:val="395"/>
        </w:trPr>
        <w:tc>
          <w:tcPr>
            <w:tcW w:w="2276" w:type="dxa"/>
          </w:tcPr>
          <w:p w14:paraId="3DF96C6F" w14:textId="77777777" w:rsidR="001F04FD" w:rsidRPr="0013396E" w:rsidRDefault="001F04FD" w:rsidP="00AC4DEE">
            <w:pPr>
              <w:pStyle w:val="TableBody"/>
            </w:pPr>
            <w:r w:rsidRPr="0013396E">
              <w:t>SCED run</w:t>
            </w:r>
          </w:p>
        </w:tc>
        <w:tc>
          <w:tcPr>
            <w:tcW w:w="3477" w:type="dxa"/>
          </w:tcPr>
          <w:p w14:paraId="24C1A0DD" w14:textId="77777777" w:rsidR="001F04FD" w:rsidRPr="0013396E" w:rsidRDefault="001F04FD" w:rsidP="00AC4DEE">
            <w:pPr>
              <w:pStyle w:val="TableBody"/>
            </w:pPr>
          </w:p>
        </w:tc>
        <w:tc>
          <w:tcPr>
            <w:tcW w:w="3823" w:type="dxa"/>
          </w:tcPr>
          <w:p w14:paraId="3344FD27" w14:textId="2603CA2A" w:rsidR="001F04FD" w:rsidRPr="0013396E" w:rsidRDefault="001F04FD" w:rsidP="00AC4DEE">
            <w:pPr>
              <w:pStyle w:val="TableBody"/>
            </w:pPr>
            <w:r w:rsidRPr="0013396E">
              <w:t>Execute SCED and pricing run to determine impact of reliability deployments on energy</w:t>
            </w:r>
            <w:r w:rsidR="00D373ED" w:rsidRPr="0013396E">
              <w:t xml:space="preserve"> and Ancillary Service</w:t>
            </w:r>
            <w:r w:rsidRPr="0013396E">
              <w:t xml:space="preserve"> prices</w:t>
            </w:r>
          </w:p>
        </w:tc>
      </w:tr>
      <w:tr w:rsidR="001F04FD" w:rsidRPr="0013396E" w14:paraId="7CB64DF3" w14:textId="77777777" w:rsidTr="00AC4DEE">
        <w:trPr>
          <w:trHeight w:val="576"/>
        </w:trPr>
        <w:tc>
          <w:tcPr>
            <w:tcW w:w="2276" w:type="dxa"/>
          </w:tcPr>
          <w:p w14:paraId="26BF355D" w14:textId="77777777" w:rsidR="001F04FD" w:rsidRPr="0013396E" w:rsidRDefault="001F04FD" w:rsidP="00AC4DEE">
            <w:pPr>
              <w:pStyle w:val="TableBody"/>
            </w:pPr>
            <w:r w:rsidRPr="0013396E">
              <w:t>During the Operating Hour</w:t>
            </w:r>
          </w:p>
        </w:tc>
        <w:tc>
          <w:tcPr>
            <w:tcW w:w="3477" w:type="dxa"/>
          </w:tcPr>
          <w:p w14:paraId="1F708304" w14:textId="512662D8" w:rsidR="00C23DEE" w:rsidRPr="0013396E" w:rsidRDefault="00C23DEE" w:rsidP="00AC4DEE">
            <w:pPr>
              <w:pStyle w:val="TableBody"/>
              <w:spacing w:after="0"/>
            </w:pPr>
            <w:r w:rsidRPr="0013396E">
              <w:t>Telemeter next Operating Hour Ancillary Service Resource Responsibility for an ESR</w:t>
            </w:r>
          </w:p>
          <w:p w14:paraId="36431E34" w14:textId="19703580" w:rsidR="001F04FD" w:rsidRPr="0013396E" w:rsidRDefault="001F04FD" w:rsidP="003D77E1">
            <w:pPr>
              <w:pStyle w:val="TableBody"/>
              <w:spacing w:before="240" w:after="0"/>
            </w:pPr>
            <w:r w:rsidRPr="0013396E">
              <w:t>Acknowledge receipt of Dispatch Instructions</w:t>
            </w:r>
          </w:p>
          <w:p w14:paraId="47EA7BF8" w14:textId="77777777" w:rsidR="001F04FD" w:rsidRPr="0013396E" w:rsidRDefault="001F04FD" w:rsidP="00AC4DEE">
            <w:pPr>
              <w:pStyle w:val="TableBody"/>
              <w:spacing w:after="0"/>
            </w:pPr>
          </w:p>
          <w:p w14:paraId="09A2B316" w14:textId="77777777" w:rsidR="001F04FD" w:rsidRPr="0013396E" w:rsidRDefault="001F04FD" w:rsidP="00AC4DEE">
            <w:pPr>
              <w:pStyle w:val="TableBody"/>
              <w:spacing w:after="0"/>
            </w:pPr>
            <w:r w:rsidRPr="0013396E">
              <w:t>Comply with Dispatch Instruction</w:t>
            </w:r>
          </w:p>
          <w:p w14:paraId="41BD0C3D" w14:textId="77777777" w:rsidR="001F04FD" w:rsidRPr="0013396E" w:rsidRDefault="001F04FD" w:rsidP="00AC4DEE">
            <w:pPr>
              <w:pStyle w:val="TableBody"/>
              <w:spacing w:after="0"/>
            </w:pPr>
            <w:r w:rsidRPr="0013396E">
              <w:t xml:space="preserve"> </w:t>
            </w:r>
          </w:p>
          <w:p w14:paraId="0C8B5150" w14:textId="77777777" w:rsidR="001F04FD" w:rsidRPr="0013396E" w:rsidRDefault="001F04FD" w:rsidP="00AC4DEE">
            <w:pPr>
              <w:pStyle w:val="TableBody"/>
              <w:spacing w:after="0"/>
            </w:pPr>
            <w:r w:rsidRPr="0013396E">
              <w:t>Review Resource Status to assure current state of the Resources is properly telemetered</w:t>
            </w:r>
          </w:p>
          <w:p w14:paraId="57BB12AC" w14:textId="77777777" w:rsidR="001F04FD" w:rsidRPr="0013396E" w:rsidRDefault="001F04FD" w:rsidP="00AC4DEE">
            <w:pPr>
              <w:pStyle w:val="TableBody"/>
              <w:spacing w:after="0"/>
            </w:pPr>
          </w:p>
          <w:p w14:paraId="3EC83B8F" w14:textId="1329E1B1" w:rsidR="001F04FD" w:rsidRPr="0013396E" w:rsidRDefault="001F04FD" w:rsidP="00AC4DEE">
            <w:pPr>
              <w:pStyle w:val="TableBody"/>
              <w:spacing w:after="0"/>
            </w:pPr>
            <w:r w:rsidRPr="0013396E">
              <w:t xml:space="preserve">Update COP </w:t>
            </w:r>
            <w:r w:rsidR="00D373ED" w:rsidRPr="0013396E">
              <w:t xml:space="preserve">and telemetry </w:t>
            </w:r>
            <w:r w:rsidRPr="0013396E">
              <w:t xml:space="preserve">with actual Resource Status and limits and Ancillary Service </w:t>
            </w:r>
            <w:r w:rsidR="00D373ED" w:rsidRPr="0013396E">
              <w:t>capabilities</w:t>
            </w:r>
            <w:r w:rsidRPr="0013396E">
              <w:t xml:space="preserve"> </w:t>
            </w:r>
          </w:p>
          <w:p w14:paraId="22A1A615" w14:textId="77777777" w:rsidR="001F04FD" w:rsidRPr="0013396E" w:rsidRDefault="001F04FD" w:rsidP="00AC4DEE">
            <w:pPr>
              <w:pStyle w:val="TableBody"/>
              <w:spacing w:after="0"/>
            </w:pPr>
          </w:p>
          <w:p w14:paraId="60894013" w14:textId="77777777" w:rsidR="00D373ED" w:rsidRPr="0013396E" w:rsidRDefault="00D373ED" w:rsidP="00D373ED">
            <w:pPr>
              <w:rPr>
                <w:iCs/>
                <w:sz w:val="20"/>
              </w:rPr>
            </w:pPr>
            <w:r w:rsidRPr="0013396E">
              <w:rPr>
                <w:iCs/>
                <w:sz w:val="20"/>
              </w:rPr>
              <w:t>Submit and update Ancillary Service Offers</w:t>
            </w:r>
          </w:p>
          <w:p w14:paraId="433FBB06" w14:textId="77777777" w:rsidR="00D373ED" w:rsidRPr="0013396E" w:rsidRDefault="00D373ED" w:rsidP="00AC4DEE">
            <w:pPr>
              <w:pStyle w:val="TableBody"/>
              <w:spacing w:after="0"/>
            </w:pPr>
          </w:p>
          <w:p w14:paraId="2E6D31E5" w14:textId="77777777" w:rsidR="001F04FD" w:rsidRPr="0013396E" w:rsidRDefault="001F04FD" w:rsidP="00AC4DEE">
            <w:pPr>
              <w:pStyle w:val="TableBody"/>
              <w:spacing w:after="0"/>
            </w:pPr>
            <w:r w:rsidRPr="0013396E">
              <w:t xml:space="preserve">Communicate Resource Forced Outages to ERCOT </w:t>
            </w:r>
          </w:p>
          <w:p w14:paraId="23E2A6B1" w14:textId="77777777" w:rsidR="0053020C" w:rsidRPr="0013396E" w:rsidRDefault="0053020C" w:rsidP="00AC4DEE">
            <w:pPr>
              <w:pStyle w:val="TableBody"/>
              <w:spacing w:after="0"/>
            </w:pPr>
          </w:p>
          <w:p w14:paraId="1B27C055" w14:textId="17E92FF5" w:rsidR="0053020C" w:rsidRPr="0013396E" w:rsidRDefault="0053020C" w:rsidP="0053020C">
            <w:pPr>
              <w:rPr>
                <w:iCs/>
                <w:sz w:val="20"/>
              </w:rPr>
            </w:pPr>
            <w:r w:rsidRPr="0013396E">
              <w:rPr>
                <w:iCs/>
                <w:sz w:val="20"/>
              </w:rPr>
              <w:t>Submit and update Energy Offer Curves and/or RTM Energy Bids</w:t>
            </w:r>
          </w:p>
        </w:tc>
        <w:tc>
          <w:tcPr>
            <w:tcW w:w="3823" w:type="dxa"/>
          </w:tcPr>
          <w:p w14:paraId="5F0A3453" w14:textId="2B0D68ED" w:rsidR="001F04FD" w:rsidRPr="0013396E" w:rsidRDefault="00DB6E87" w:rsidP="00826982">
            <w:pPr>
              <w:pStyle w:val="TableBody"/>
              <w:spacing w:after="240"/>
            </w:pPr>
            <w:r w:rsidRPr="0013396E">
              <w:t xml:space="preserve">Communicate all binding Base Points, </w:t>
            </w:r>
            <w:r w:rsidR="00D373ED" w:rsidRPr="0013396E">
              <w:t xml:space="preserve">Updated Desired Set Points (UDSPs), Ancillary Service awards, </w:t>
            </w:r>
            <w:r w:rsidRPr="0013396E">
              <w:t xml:space="preserve">Dispatch Instructions, and LMPs for energy and </w:t>
            </w:r>
            <w:r w:rsidR="00D373ED" w:rsidRPr="0013396E">
              <w:t xml:space="preserve">Real-Time MCPCs for </w:t>
            </w:r>
            <w:r w:rsidRPr="0013396E">
              <w:t xml:space="preserve">Ancillary Services, and for the pricing run </w:t>
            </w:r>
            <w:r w:rsidRPr="0013396E">
              <w:rPr>
                <w:iCs w:val="0"/>
              </w:rPr>
              <w:t>as described in Section 6.5.7.3.1, Determination of Real-Time Reliability Deployment Price Adder</w:t>
            </w:r>
            <w:r w:rsidR="00D373ED" w:rsidRPr="0013396E">
              <w:rPr>
                <w:iCs w:val="0"/>
              </w:rPr>
              <w:t>s</w:t>
            </w:r>
            <w:r w:rsidRPr="0013396E">
              <w:rPr>
                <w:iCs w:val="0"/>
              </w:rPr>
              <w:t xml:space="preserve">, </w:t>
            </w:r>
            <w:r w:rsidRPr="0013396E">
              <w:t>the total Reliability Unit Commitment (RUC)/Reliability Must-Run (RMR) MW relaxed, total Load Resource MW deployed that is added to the Demand, total Emergency Response Service (ERS) MW deployed that is added to the Demand, total emergency DC Tie MW that is added to or subtracted from the Demand, total Block Load Transfer (BLT) MW that is added to or subtracted from the Demand, Real-Time Reliability Deployment Price Adder</w:t>
            </w:r>
            <w:r w:rsidR="00D373ED" w:rsidRPr="0013396E">
              <w:t xml:space="preserve"> for Energy, and Real-Time Reliability Deployment Price Adders for Ancillary Service</w:t>
            </w:r>
            <w:r w:rsidRPr="0013396E">
              <w:t xml:space="preserve"> using Inter-Control Center Communications Protocol (ICCP) or Verbal Dispatch Instructions (VDIs)</w:t>
            </w:r>
            <w:r w:rsidR="00D373ED" w:rsidRPr="0013396E">
              <w:t>.  In communicating Ancillary Service awards, the awards shall be broken out by Ancillary Service sub-type, where applicable.</w:t>
            </w:r>
          </w:p>
          <w:p w14:paraId="7146FC8B" w14:textId="77777777" w:rsidR="001F04FD" w:rsidRPr="0013396E" w:rsidRDefault="001F04FD" w:rsidP="00F26F08">
            <w:pPr>
              <w:pStyle w:val="TableBody"/>
              <w:spacing w:before="240" w:after="0"/>
            </w:pPr>
            <w:r w:rsidRPr="0013396E">
              <w:t>Monitor Resource Status and identify discrepancies between COP and telemetered Resource Status</w:t>
            </w:r>
          </w:p>
          <w:p w14:paraId="4B53674B" w14:textId="77777777" w:rsidR="001F04FD" w:rsidRPr="0013396E" w:rsidRDefault="001F04FD" w:rsidP="00AC4DEE">
            <w:pPr>
              <w:pStyle w:val="TableBody"/>
              <w:spacing w:after="0"/>
            </w:pPr>
          </w:p>
          <w:p w14:paraId="59AE7964" w14:textId="77777777" w:rsidR="001F04FD" w:rsidRPr="0013396E" w:rsidRDefault="001F04FD" w:rsidP="00AC4DEE">
            <w:pPr>
              <w:pStyle w:val="TableBody"/>
              <w:spacing w:after="0"/>
            </w:pPr>
            <w:r w:rsidRPr="0013396E">
              <w:t>Restart Real-Time Sequence on major change of Resource or Transmission Element Status</w:t>
            </w:r>
          </w:p>
          <w:p w14:paraId="1573E6AB" w14:textId="77777777" w:rsidR="001F04FD" w:rsidRPr="0013396E" w:rsidRDefault="001F04FD" w:rsidP="00AC4DEE">
            <w:pPr>
              <w:pStyle w:val="TableBody"/>
              <w:spacing w:after="0"/>
            </w:pPr>
          </w:p>
          <w:p w14:paraId="1A64F2D5" w14:textId="77777777" w:rsidR="001F04FD" w:rsidRPr="0013396E" w:rsidRDefault="001F04FD" w:rsidP="00AC4DEE">
            <w:pPr>
              <w:pStyle w:val="TableBody"/>
              <w:spacing w:after="0"/>
              <w:rPr>
                <w:b/>
              </w:rPr>
            </w:pPr>
            <w:r w:rsidRPr="0013396E">
              <w:lastRenderedPageBreak/>
              <w:t>Monitor ERCOT total system capacity providing Ancillary Services</w:t>
            </w:r>
            <w:r w:rsidRPr="0013396E">
              <w:rPr>
                <w:b/>
              </w:rPr>
              <w:t xml:space="preserve"> </w:t>
            </w:r>
          </w:p>
          <w:p w14:paraId="495ACC0F" w14:textId="53CDF9A5" w:rsidR="00C23DEE" w:rsidRPr="0013396E" w:rsidRDefault="00C23DEE" w:rsidP="00745851">
            <w:pPr>
              <w:pStyle w:val="TableBody"/>
              <w:spacing w:before="240" w:after="240"/>
              <w:rPr>
                <w:b/>
              </w:rPr>
            </w:pPr>
            <w:r w:rsidRPr="0013396E">
              <w:t>Monitor ESR State of Charge (SOC) information to ensure Ancillary Service Resource Responsibilities can be met</w:t>
            </w:r>
          </w:p>
          <w:p w14:paraId="6B01C5DA" w14:textId="39D22908" w:rsidR="001F04FD" w:rsidRPr="0013396E" w:rsidRDefault="001F04FD" w:rsidP="00745851">
            <w:pPr>
              <w:pStyle w:val="TableBody"/>
              <w:spacing w:before="240" w:after="240"/>
            </w:pPr>
            <w:r w:rsidRPr="0013396E">
              <w:t>Validate COP information</w:t>
            </w:r>
          </w:p>
          <w:p w14:paraId="613DAFBD" w14:textId="762824E9" w:rsidR="00745851" w:rsidRPr="0013396E" w:rsidRDefault="00745851" w:rsidP="00745851">
            <w:pPr>
              <w:pStyle w:val="TableBody"/>
              <w:spacing w:before="240" w:after="240"/>
            </w:pPr>
            <w:r w:rsidRPr="0013396E">
              <w:t>Validate Ancillary Service Trades</w:t>
            </w:r>
          </w:p>
          <w:p w14:paraId="0F968AA1" w14:textId="77777777" w:rsidR="001F04FD" w:rsidRPr="0013396E" w:rsidRDefault="001F04FD" w:rsidP="00745851">
            <w:pPr>
              <w:pStyle w:val="TableBody"/>
              <w:spacing w:before="240" w:after="240"/>
            </w:pPr>
            <w:r w:rsidRPr="0013396E">
              <w:t>Monitor ERCOT control performance</w:t>
            </w:r>
          </w:p>
          <w:p w14:paraId="48A7D77E" w14:textId="57C4CA18" w:rsidR="001F04FD" w:rsidRPr="0013396E" w:rsidRDefault="00DB6E87" w:rsidP="00745851">
            <w:pPr>
              <w:pStyle w:val="TableBody"/>
              <w:spacing w:before="240" w:after="240"/>
            </w:pPr>
            <w:r w:rsidRPr="0013396E">
              <w:t xml:space="preserve">Distribute by ICCP, and post on the </w:t>
            </w:r>
            <w:r w:rsidR="00693D2A" w:rsidRPr="0013396E">
              <w:t>ERCOT website</w:t>
            </w:r>
            <w:r w:rsidRPr="0013396E">
              <w:t xml:space="preserve">, System Lambda and the LMPs for each Resource Node, Load Zone and Hub, </w:t>
            </w:r>
            <w:r w:rsidR="00D373ED" w:rsidRPr="0013396E">
              <w:t xml:space="preserve">Real-Time MCPCs for each Ancillary Service, </w:t>
            </w:r>
            <w:r w:rsidRPr="0013396E">
              <w:t xml:space="preserve">and for the pricing run </w:t>
            </w:r>
            <w:r w:rsidRPr="0013396E">
              <w:rPr>
                <w:iCs w:val="0"/>
              </w:rPr>
              <w:t xml:space="preserve">as described in Section 6.5.7.3.1 </w:t>
            </w:r>
            <w:r w:rsidRPr="0013396E">
              <w:t xml:space="preserve">the total RUC/RMR MW relaxed, total Load Resource MW deployed that is added to the Demand, total ERS MW deployed that is added to the Demand, total emergency DC Tie MW that is added to or subtracted from the Demand, total BLT MW that is added to or subtracted from the Demand, Real-Time Reliability Deployment Price Adder </w:t>
            </w:r>
            <w:r w:rsidR="00D373ED" w:rsidRPr="0013396E">
              <w:t xml:space="preserve">for Energy, and Real-Time Reliability Deployment Price Adders for Ancillary Service </w:t>
            </w:r>
            <w:r w:rsidRPr="0013396E">
              <w:t xml:space="preserve">created for each SCED process.  These prices shall be posted immediately subsequent to deployment of Base Points </w:t>
            </w:r>
            <w:r w:rsidR="00D373ED" w:rsidRPr="0013396E">
              <w:t xml:space="preserve">and Ancillary Service awards </w:t>
            </w:r>
            <w:r w:rsidRPr="0013396E">
              <w:t>from SCED with the time stamp the prices are effective</w:t>
            </w:r>
          </w:p>
          <w:p w14:paraId="144B52AC" w14:textId="2B8DE38D" w:rsidR="000E55F3" w:rsidRPr="0013396E" w:rsidRDefault="000E55F3" w:rsidP="000E55F3">
            <w:pPr>
              <w:spacing w:before="240"/>
              <w:rPr>
                <w:iCs/>
                <w:sz w:val="20"/>
              </w:rPr>
            </w:pPr>
            <w:r w:rsidRPr="0013396E">
              <w:rPr>
                <w:iCs/>
                <w:sz w:val="20"/>
              </w:rPr>
              <w:t>Post on the ERCOT website the nodal prices for Settlement Only Distribution Generators (SODGs) and Settlement Only Transmission Generator (SOTGs).  These prices shall include Real-Time Reliability Deployment Price Adders</w:t>
            </w:r>
            <w:r w:rsidR="007964D8" w:rsidRPr="0013396E">
              <w:rPr>
                <w:iCs/>
                <w:sz w:val="20"/>
              </w:rPr>
              <w:t xml:space="preserve"> for Energy</w:t>
            </w:r>
            <w:r w:rsidRPr="0013396E">
              <w:rPr>
                <w:iCs/>
                <w:sz w:val="20"/>
              </w:rPr>
              <w:t xml:space="preserve"> created for each SCED process.  These prices shall be posted immediately subsequent to deployment of Base Points from SCED with the time stamp the prices are effective</w:t>
            </w:r>
          </w:p>
          <w:p w14:paraId="70E9BA9C" w14:textId="4A25EE65" w:rsidR="001F04FD" w:rsidRPr="0013396E" w:rsidRDefault="001F04FD" w:rsidP="00E87687">
            <w:pPr>
              <w:pStyle w:val="TableBody"/>
              <w:spacing w:before="240" w:after="0"/>
            </w:pPr>
            <w:r w:rsidRPr="0013396E">
              <w:t xml:space="preserve">Post LMPs for each Electrical Bus on the </w:t>
            </w:r>
            <w:r w:rsidR="00693D2A" w:rsidRPr="0013396E">
              <w:t>ERCOT website</w:t>
            </w:r>
            <w:r w:rsidRPr="0013396E">
              <w:t>.  These prices shall be posted immediately subsequent to deployment of Base Points from each binding SCED with the time stamp the prices are effective</w:t>
            </w:r>
          </w:p>
          <w:p w14:paraId="0532DBC2" w14:textId="6C026C84" w:rsidR="001F04FD" w:rsidRPr="0013396E" w:rsidRDefault="00DB6E87" w:rsidP="00826982">
            <w:pPr>
              <w:pStyle w:val="TableBody"/>
              <w:spacing w:before="240" w:after="240"/>
            </w:pPr>
            <w:r w:rsidRPr="0013396E">
              <w:lastRenderedPageBreak/>
              <w:t xml:space="preserve">Post on the </w:t>
            </w:r>
            <w:r w:rsidR="00693D2A" w:rsidRPr="0013396E">
              <w:t>ERCOT website</w:t>
            </w:r>
            <w:r w:rsidRPr="0013396E">
              <w:t xml:space="preserve"> the projected non-binding LMPs </w:t>
            </w:r>
            <w:r w:rsidR="007964D8" w:rsidRPr="0013396E">
              <w:t xml:space="preserve">for each Resource Node, and Real-Time MCPCs for each Ancillary Service </w:t>
            </w:r>
            <w:r w:rsidRPr="0013396E">
              <w:t xml:space="preserve">created by each SCED process </w:t>
            </w:r>
            <w:r w:rsidRPr="0013396E">
              <w:rPr>
                <w:iCs w:val="0"/>
              </w:rPr>
              <w:t>and for the projected non-binding pricing runs as described in Section 6.5.7.3.1 the total RUC/RMR MW relaxed, total Load Resource MW deployed that is added to Demand,</w:t>
            </w:r>
            <w:r w:rsidRPr="0013396E">
              <w:t xml:space="preserve"> total emergency DC Tie MW that is added to or subtracted from the Demand, total BLT MW that is added to or subtracted from the Demand,</w:t>
            </w:r>
            <w:r w:rsidRPr="0013396E">
              <w:rPr>
                <w:iCs w:val="0"/>
              </w:rPr>
              <w:t xml:space="preserve"> total ERS MW deployed that is added to the Demand, Real-Time Reliability Deployment Price Adder </w:t>
            </w:r>
            <w:r w:rsidR="007964D8" w:rsidRPr="0013396E">
              <w:t xml:space="preserve">for Energy, Real-Time Reliability Deployment Price Adders for Ancillary Service, </w:t>
            </w:r>
            <w:r w:rsidRPr="0013396E">
              <w:rPr>
                <w:iCs w:val="0"/>
              </w:rPr>
              <w:t>and</w:t>
            </w:r>
            <w:r w:rsidRPr="0013396E">
              <w:t xml:space="preserve"> the projected Hub LMPs and Load Zone LMPs.  These projected prices shall be posted at a frequency of every five minutes from SCED for at least 15 minutes in the future with the time stamp of the SCED process that produced the projections</w:t>
            </w:r>
            <w:r w:rsidR="001F04FD" w:rsidRPr="0013396E">
              <w:t xml:space="preserve"> </w:t>
            </w:r>
          </w:p>
          <w:p w14:paraId="4060F503" w14:textId="0F4A8A85" w:rsidR="001F04FD" w:rsidRPr="0013396E" w:rsidRDefault="001F04FD" w:rsidP="00F26F08">
            <w:pPr>
              <w:pStyle w:val="TableBody"/>
              <w:spacing w:before="240" w:after="0"/>
            </w:pPr>
            <w:r w:rsidRPr="0013396E">
              <w:t xml:space="preserve">Post on the MIS Certified Area the projected non-binding Base Points </w:t>
            </w:r>
            <w:r w:rsidR="007964D8" w:rsidRPr="0013396E">
              <w:t xml:space="preserve">and Ancillary Service awards </w:t>
            </w:r>
            <w:r w:rsidRPr="0013396E">
              <w:t>for each Resource created by each SCED process.  These projected non-binding Base Points shall be posted at a frequency of every five minutes from SCED for at least 15 minutes in the future with the time stamp of the SCED process that produced the projections</w:t>
            </w:r>
            <w:r w:rsidR="007964D8" w:rsidRPr="0013396E">
              <w:t>.  In posting Ancillary Service awards, the awards shall be broken out by Ancillary Service sub-type, where applicable.</w:t>
            </w:r>
          </w:p>
          <w:p w14:paraId="62A4484F" w14:textId="77777777" w:rsidR="001F04FD" w:rsidRPr="0013396E" w:rsidRDefault="001F04FD" w:rsidP="00AC4DEE">
            <w:pPr>
              <w:pStyle w:val="TableBody"/>
              <w:spacing w:after="0"/>
            </w:pPr>
          </w:p>
          <w:p w14:paraId="5376DED5" w14:textId="49A797AD" w:rsidR="001F04FD" w:rsidRPr="0013396E" w:rsidRDefault="001F04FD" w:rsidP="00AC4DEE">
            <w:pPr>
              <w:pStyle w:val="TableBody"/>
              <w:spacing w:after="0"/>
            </w:pPr>
            <w:r w:rsidRPr="0013396E">
              <w:t xml:space="preserve">Post each hour on the </w:t>
            </w:r>
            <w:r w:rsidR="00693D2A" w:rsidRPr="0013396E">
              <w:t>ERCOT website</w:t>
            </w:r>
            <w:r w:rsidRPr="0013396E">
              <w:t xml:space="preserve"> binding SCED Shadow Prices and active binding transmission constraints by Transmission Element name (contingency /overloaded element pairs) </w:t>
            </w:r>
          </w:p>
          <w:p w14:paraId="124F6CF2" w14:textId="77777777" w:rsidR="001F04FD" w:rsidRPr="0013396E" w:rsidRDefault="001F04FD" w:rsidP="00AC4DEE">
            <w:pPr>
              <w:pStyle w:val="TableBody"/>
              <w:spacing w:after="0"/>
            </w:pPr>
          </w:p>
          <w:p w14:paraId="57739754" w14:textId="6E1BD293" w:rsidR="001F04FD" w:rsidRPr="0013396E" w:rsidRDefault="001F04FD" w:rsidP="00AC4DEE">
            <w:pPr>
              <w:pStyle w:val="TableBody"/>
              <w:spacing w:after="0"/>
            </w:pPr>
            <w:r w:rsidRPr="0013396E">
              <w:t xml:space="preserve">Post </w:t>
            </w:r>
            <w:r w:rsidR="00CE3A65" w:rsidRPr="0013396E">
              <w:t xml:space="preserve">on </w:t>
            </w:r>
            <w:r w:rsidRPr="0013396E">
              <w:t xml:space="preserve">the </w:t>
            </w:r>
            <w:r w:rsidR="000E55F3" w:rsidRPr="0013396E">
              <w:t xml:space="preserve">ERCOT website the </w:t>
            </w:r>
            <w:r w:rsidRPr="0013396E">
              <w:t>Settlement Point Prices for each Settlement Point</w:t>
            </w:r>
            <w:r w:rsidR="007964D8" w:rsidRPr="0013396E">
              <w:t>,</w:t>
            </w:r>
            <w:r w:rsidR="000E55F3" w:rsidRPr="0013396E">
              <w:rPr>
                <w:iCs w:val="0"/>
              </w:rPr>
              <w:t xml:space="preserve"> the Real-Time price for each SODG and SOTG</w:t>
            </w:r>
            <w:r w:rsidR="007964D8" w:rsidRPr="0013396E">
              <w:rPr>
                <w:iCs w:val="0"/>
              </w:rPr>
              <w:t>,</w:t>
            </w:r>
            <w:r w:rsidR="007964D8" w:rsidRPr="0013396E">
              <w:t xml:space="preserve"> and Settlement Interval MCPCs for Ancillary Services</w:t>
            </w:r>
            <w:r w:rsidR="000E55F3" w:rsidRPr="0013396E">
              <w:rPr>
                <w:iCs w:val="0"/>
              </w:rPr>
              <w:t xml:space="preserve"> </w:t>
            </w:r>
            <w:r w:rsidRPr="0013396E">
              <w:t>immediately following the end of each Settlement Interval</w:t>
            </w:r>
          </w:p>
          <w:p w14:paraId="34955C31" w14:textId="77777777" w:rsidR="007964D8" w:rsidRPr="0013396E" w:rsidRDefault="007964D8" w:rsidP="007964D8">
            <w:pPr>
              <w:tabs>
                <w:tab w:val="left" w:pos="1350"/>
              </w:tabs>
              <w:spacing w:before="240"/>
              <w:rPr>
                <w:iCs/>
                <w:sz w:val="20"/>
              </w:rPr>
            </w:pPr>
            <w:r w:rsidRPr="0013396E">
              <w:rPr>
                <w:iCs/>
                <w:sz w:val="20"/>
              </w:rPr>
              <w:t xml:space="preserve">By Settlement Interval, post the 15-minute Real-Time Reliability Deployment Price for Energy, and the 15-minute Real-Time </w:t>
            </w:r>
            <w:r w:rsidRPr="0013396E">
              <w:rPr>
                <w:iCs/>
                <w:sz w:val="20"/>
              </w:rPr>
              <w:lastRenderedPageBreak/>
              <w:t>Reliability Deployment Price for Ancillary Service for each of the Ancillary Services.</w:t>
            </w:r>
          </w:p>
          <w:p w14:paraId="334517FF" w14:textId="6B0D72A0" w:rsidR="001F04FD" w:rsidRPr="0013396E" w:rsidRDefault="001F04FD" w:rsidP="00693D2A">
            <w:pPr>
              <w:pStyle w:val="TableBody"/>
              <w:spacing w:after="0"/>
            </w:pPr>
          </w:p>
        </w:tc>
      </w:tr>
    </w:tbl>
    <w:p w14:paraId="3E37B558" w14:textId="77777777" w:rsidR="00C61B40" w:rsidRPr="0013396E" w:rsidRDefault="00C61B40" w:rsidP="00C61B40">
      <w:pPr>
        <w:pStyle w:val="BodyTextNumbered"/>
        <w:spacing w:after="0"/>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816"/>
      </w:tblGrid>
      <w:tr w:rsidR="00C61B40" w:rsidRPr="0013396E" w14:paraId="43CDACAF" w14:textId="77777777" w:rsidTr="00C61B40">
        <w:trPr>
          <w:trHeight w:val="206"/>
        </w:trPr>
        <w:tc>
          <w:tcPr>
            <w:tcW w:w="9625" w:type="dxa"/>
            <w:shd w:val="pct12" w:color="auto" w:fill="auto"/>
          </w:tcPr>
          <w:p w14:paraId="7A34CD5A" w14:textId="7F6CD4F1" w:rsidR="00C61B40" w:rsidRPr="0013396E" w:rsidRDefault="00C61B40" w:rsidP="0058150D">
            <w:pPr>
              <w:pStyle w:val="Instructions"/>
              <w:spacing w:before="120"/>
            </w:pPr>
            <w:r w:rsidRPr="0013396E">
              <w:t>[</w:t>
            </w:r>
            <w:r w:rsidR="008A5A12" w:rsidRPr="0013396E">
              <w:t xml:space="preserve">NPRR829, NPRR904, </w:t>
            </w:r>
            <w:r w:rsidR="00E21F4F" w:rsidRPr="0013396E">
              <w:t xml:space="preserve">NPRR995, </w:t>
            </w:r>
            <w:r w:rsidR="008A5A12" w:rsidRPr="0013396E">
              <w:t>NPRR1006</w:t>
            </w:r>
            <w:r w:rsidR="00853AD7" w:rsidRPr="0013396E">
              <w:t xml:space="preserve">, </w:t>
            </w:r>
            <w:r w:rsidR="004D1724" w:rsidRPr="0013396E">
              <w:t>NPRR1077</w:t>
            </w:r>
            <w:r w:rsidR="00AD58D8" w:rsidRPr="0013396E">
              <w:t xml:space="preserve">, </w:t>
            </w:r>
            <w:r w:rsidR="009C388E" w:rsidRPr="0013396E">
              <w:t xml:space="preserve">NPRR1226, </w:t>
            </w:r>
            <w:r w:rsidR="00AD58D8" w:rsidRPr="0013396E">
              <w:t>and NPRR1253</w:t>
            </w:r>
            <w:r w:rsidRPr="0013396E">
              <w:t>:  Replace applicable portions of paragraph (2) above with the following upon system implementation:]</w:t>
            </w:r>
          </w:p>
          <w:p w14:paraId="63429248" w14:textId="77777777" w:rsidR="008A5A12" w:rsidRPr="0013396E" w:rsidRDefault="008A5A12" w:rsidP="008A5A12">
            <w:pPr>
              <w:spacing w:after="240"/>
              <w:ind w:left="720" w:hanging="720"/>
              <w:rPr>
                <w:iCs/>
              </w:rPr>
            </w:pPr>
            <w:r w:rsidRPr="0013396E">
              <w:rPr>
                <w:iCs/>
              </w:rPr>
              <w:t>(2)</w:t>
            </w:r>
            <w:r w:rsidRPr="0013396E">
              <w:rPr>
                <w:iCs/>
              </w:rPr>
              <w:tab/>
              <w:t>The following table summarizes the timeline for the Operating Period and the activities of QSEs and ERCOT during Real-Time operations where “T” represents any instant within the Operating Hour.  The table is intended to be only a general guide and not controlling language, and any conflict between this table and another section of the Protocols is controlled by the other section:</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6"/>
              <w:gridCol w:w="3477"/>
              <w:gridCol w:w="3823"/>
            </w:tblGrid>
            <w:tr w:rsidR="008A5A12" w:rsidRPr="0013396E" w14:paraId="02ACDD09" w14:textId="77777777" w:rsidTr="0058150D">
              <w:trPr>
                <w:cantSplit/>
                <w:trHeight w:val="440"/>
                <w:tblHeader/>
              </w:trPr>
              <w:tc>
                <w:tcPr>
                  <w:tcW w:w="2276" w:type="dxa"/>
                </w:tcPr>
                <w:p w14:paraId="081FEB67" w14:textId="77777777" w:rsidR="008A5A12" w:rsidRPr="0013396E" w:rsidRDefault="008A5A12" w:rsidP="008A5A12">
                  <w:pPr>
                    <w:spacing w:after="60"/>
                    <w:rPr>
                      <w:b/>
                      <w:iCs/>
                      <w:sz w:val="20"/>
                    </w:rPr>
                  </w:pPr>
                  <w:r w:rsidRPr="0013396E">
                    <w:rPr>
                      <w:b/>
                      <w:iCs/>
                      <w:sz w:val="20"/>
                    </w:rPr>
                    <w:t>Operating Period</w:t>
                  </w:r>
                </w:p>
              </w:tc>
              <w:tc>
                <w:tcPr>
                  <w:tcW w:w="3477" w:type="dxa"/>
                </w:tcPr>
                <w:p w14:paraId="4B96796D" w14:textId="77777777" w:rsidR="008A5A12" w:rsidRPr="0013396E" w:rsidRDefault="008A5A12" w:rsidP="008A5A12">
                  <w:pPr>
                    <w:spacing w:after="60"/>
                    <w:rPr>
                      <w:b/>
                      <w:bCs/>
                      <w:iCs/>
                      <w:sz w:val="20"/>
                    </w:rPr>
                  </w:pPr>
                  <w:r w:rsidRPr="0013396E">
                    <w:rPr>
                      <w:b/>
                      <w:bCs/>
                      <w:iCs/>
                      <w:sz w:val="20"/>
                    </w:rPr>
                    <w:t>QSE Activities</w:t>
                  </w:r>
                </w:p>
              </w:tc>
              <w:tc>
                <w:tcPr>
                  <w:tcW w:w="3823" w:type="dxa"/>
                </w:tcPr>
                <w:p w14:paraId="66BD2E7A" w14:textId="77777777" w:rsidR="008A5A12" w:rsidRPr="0013396E" w:rsidRDefault="008A5A12" w:rsidP="008A5A12">
                  <w:pPr>
                    <w:spacing w:after="60"/>
                    <w:rPr>
                      <w:b/>
                      <w:bCs/>
                      <w:iCs/>
                      <w:sz w:val="20"/>
                    </w:rPr>
                  </w:pPr>
                  <w:r w:rsidRPr="0013396E">
                    <w:rPr>
                      <w:b/>
                      <w:bCs/>
                      <w:iCs/>
                      <w:sz w:val="20"/>
                    </w:rPr>
                    <w:t>ERCOT Activities</w:t>
                  </w:r>
                </w:p>
              </w:tc>
            </w:tr>
            <w:tr w:rsidR="008A5A12" w:rsidRPr="0013396E" w14:paraId="3326862F" w14:textId="77777777" w:rsidTr="0058150D">
              <w:trPr>
                <w:cantSplit/>
                <w:trHeight w:val="576"/>
              </w:trPr>
              <w:tc>
                <w:tcPr>
                  <w:tcW w:w="2276" w:type="dxa"/>
                </w:tcPr>
                <w:p w14:paraId="3CA84629" w14:textId="77777777" w:rsidR="008A5A12" w:rsidRPr="0013396E" w:rsidRDefault="008A5A12" w:rsidP="008A5A12">
                  <w:pPr>
                    <w:spacing w:after="60"/>
                    <w:rPr>
                      <w:iCs/>
                      <w:sz w:val="20"/>
                    </w:rPr>
                  </w:pPr>
                  <w:r w:rsidRPr="0013396E">
                    <w:rPr>
                      <w:iCs/>
                      <w:sz w:val="20"/>
                    </w:rPr>
                    <w:t xml:space="preserve">During the first hour of the Operating Period </w:t>
                  </w:r>
                </w:p>
              </w:tc>
              <w:tc>
                <w:tcPr>
                  <w:tcW w:w="3477" w:type="dxa"/>
                </w:tcPr>
                <w:p w14:paraId="1E986CF7" w14:textId="77777777" w:rsidR="008A5A12" w:rsidRPr="0013396E" w:rsidRDefault="008A5A12" w:rsidP="008A5A12">
                  <w:pPr>
                    <w:spacing w:after="60"/>
                    <w:rPr>
                      <w:iCs/>
                      <w:sz w:val="20"/>
                    </w:rPr>
                  </w:pPr>
                </w:p>
              </w:tc>
              <w:tc>
                <w:tcPr>
                  <w:tcW w:w="3823" w:type="dxa"/>
                </w:tcPr>
                <w:p w14:paraId="5898F095" w14:textId="77777777" w:rsidR="008A5A12" w:rsidRPr="0013396E" w:rsidRDefault="008A5A12" w:rsidP="008A5A12">
                  <w:pPr>
                    <w:rPr>
                      <w:iCs/>
                      <w:sz w:val="20"/>
                    </w:rPr>
                  </w:pPr>
                  <w:r w:rsidRPr="0013396E">
                    <w:rPr>
                      <w:iCs/>
                      <w:sz w:val="20"/>
                    </w:rPr>
                    <w:t>Execute the Hour-Ahead Sequence, including HRUC, beginning with the second hour of the Operating Period</w:t>
                  </w:r>
                </w:p>
                <w:p w14:paraId="7E526E73" w14:textId="77777777" w:rsidR="008A5A12" w:rsidRPr="0013396E" w:rsidRDefault="008A5A12" w:rsidP="008A5A12">
                  <w:pPr>
                    <w:rPr>
                      <w:iCs/>
                      <w:sz w:val="20"/>
                    </w:rPr>
                  </w:pPr>
                </w:p>
                <w:p w14:paraId="3B642851" w14:textId="77777777" w:rsidR="008A5A12" w:rsidRPr="0013396E" w:rsidRDefault="008A5A12" w:rsidP="008A5A12">
                  <w:pPr>
                    <w:rPr>
                      <w:iCs/>
                      <w:sz w:val="20"/>
                    </w:rPr>
                  </w:pPr>
                  <w:r w:rsidRPr="0013396E">
                    <w:rPr>
                      <w:iCs/>
                      <w:sz w:val="20"/>
                    </w:rPr>
                    <w:t>Review the list of Off-Line Available Resources with a start-up time of one hour or less</w:t>
                  </w:r>
                </w:p>
                <w:p w14:paraId="0C6B6CB1" w14:textId="77777777" w:rsidR="008A5A12" w:rsidRPr="0013396E" w:rsidRDefault="008A5A12" w:rsidP="008A5A12">
                  <w:pPr>
                    <w:rPr>
                      <w:iCs/>
                      <w:sz w:val="20"/>
                    </w:rPr>
                  </w:pPr>
                </w:p>
                <w:p w14:paraId="10357DCC" w14:textId="77777777" w:rsidR="008A5A12" w:rsidRPr="0013396E" w:rsidRDefault="008A5A12" w:rsidP="008A5A12">
                  <w:pPr>
                    <w:rPr>
                      <w:iCs/>
                      <w:sz w:val="20"/>
                    </w:rPr>
                  </w:pPr>
                  <w:r w:rsidRPr="0013396E">
                    <w:rPr>
                      <w:iCs/>
                      <w:sz w:val="20"/>
                    </w:rPr>
                    <w:t>Review and communicate HRUC commitments and Direct Current Tie (DC Tie) Schedule curtailments</w:t>
                  </w:r>
                </w:p>
                <w:p w14:paraId="6F27B720" w14:textId="77777777" w:rsidR="008A5A12" w:rsidRPr="0013396E" w:rsidRDefault="008A5A12" w:rsidP="008A5A12">
                  <w:pPr>
                    <w:rPr>
                      <w:iCs/>
                      <w:sz w:val="20"/>
                    </w:rPr>
                  </w:pPr>
                </w:p>
                <w:p w14:paraId="61A9336B" w14:textId="77777777" w:rsidR="008A5A12" w:rsidRPr="0013396E" w:rsidRDefault="008A5A12" w:rsidP="008A5A12">
                  <w:pPr>
                    <w:rPr>
                      <w:iCs/>
                      <w:sz w:val="20"/>
                    </w:rPr>
                  </w:pPr>
                  <w:r w:rsidRPr="0013396E">
                    <w:rPr>
                      <w:iCs/>
                      <w:sz w:val="20"/>
                    </w:rPr>
                    <w:t>Snapshot the Scheduled Power Consumption for Controllable Load Resources</w:t>
                  </w:r>
                </w:p>
              </w:tc>
            </w:tr>
            <w:tr w:rsidR="008A5A12" w:rsidRPr="0013396E" w14:paraId="68234648" w14:textId="77777777" w:rsidTr="0058150D">
              <w:trPr>
                <w:cantSplit/>
                <w:trHeight w:val="395"/>
              </w:trPr>
              <w:tc>
                <w:tcPr>
                  <w:tcW w:w="2276" w:type="dxa"/>
                </w:tcPr>
                <w:p w14:paraId="53464A10" w14:textId="77777777" w:rsidR="008A5A12" w:rsidRPr="0013396E" w:rsidRDefault="008A5A12" w:rsidP="008A5A12">
                  <w:pPr>
                    <w:spacing w:after="60"/>
                    <w:rPr>
                      <w:iCs/>
                      <w:sz w:val="20"/>
                    </w:rPr>
                  </w:pPr>
                  <w:r w:rsidRPr="0013396E">
                    <w:rPr>
                      <w:iCs/>
                      <w:sz w:val="20"/>
                    </w:rPr>
                    <w:t>SCED run</w:t>
                  </w:r>
                </w:p>
              </w:tc>
              <w:tc>
                <w:tcPr>
                  <w:tcW w:w="3477" w:type="dxa"/>
                </w:tcPr>
                <w:p w14:paraId="4A942DCA" w14:textId="77777777" w:rsidR="008A5A12" w:rsidRPr="0013396E" w:rsidRDefault="008A5A12" w:rsidP="008A5A12">
                  <w:pPr>
                    <w:spacing w:after="60"/>
                    <w:rPr>
                      <w:iCs/>
                      <w:sz w:val="20"/>
                    </w:rPr>
                  </w:pPr>
                </w:p>
              </w:tc>
              <w:tc>
                <w:tcPr>
                  <w:tcW w:w="3823" w:type="dxa"/>
                </w:tcPr>
                <w:p w14:paraId="31AD8064" w14:textId="77777777" w:rsidR="008A5A12" w:rsidRPr="0013396E" w:rsidRDefault="008A5A12" w:rsidP="008A5A12">
                  <w:pPr>
                    <w:spacing w:after="60"/>
                    <w:rPr>
                      <w:iCs/>
                      <w:sz w:val="20"/>
                    </w:rPr>
                  </w:pPr>
                  <w:r w:rsidRPr="0013396E">
                    <w:rPr>
                      <w:iCs/>
                      <w:sz w:val="20"/>
                    </w:rPr>
                    <w:t>Execute SCED and pricing run to determine impact of reliability deployments on energy and Ancillary Service prices</w:t>
                  </w:r>
                </w:p>
              </w:tc>
            </w:tr>
            <w:tr w:rsidR="008A5A12" w:rsidRPr="0013396E" w14:paraId="48579037" w14:textId="77777777" w:rsidTr="0058150D">
              <w:trPr>
                <w:trHeight w:val="576"/>
              </w:trPr>
              <w:tc>
                <w:tcPr>
                  <w:tcW w:w="2276" w:type="dxa"/>
                </w:tcPr>
                <w:p w14:paraId="2C4C1CB6" w14:textId="77777777" w:rsidR="008A5A12" w:rsidRPr="0013396E" w:rsidRDefault="008A5A12" w:rsidP="008A5A12">
                  <w:pPr>
                    <w:spacing w:after="60"/>
                    <w:rPr>
                      <w:iCs/>
                      <w:sz w:val="20"/>
                    </w:rPr>
                  </w:pPr>
                  <w:r w:rsidRPr="0013396E">
                    <w:rPr>
                      <w:iCs/>
                      <w:sz w:val="20"/>
                    </w:rPr>
                    <w:t>During the Operating Hour</w:t>
                  </w:r>
                </w:p>
              </w:tc>
              <w:tc>
                <w:tcPr>
                  <w:tcW w:w="3477" w:type="dxa"/>
                </w:tcPr>
                <w:p w14:paraId="486E1774" w14:textId="77777777" w:rsidR="008A5A12" w:rsidRPr="0013396E" w:rsidRDefault="008A5A12" w:rsidP="008A5A12">
                  <w:pPr>
                    <w:rPr>
                      <w:iCs/>
                      <w:sz w:val="20"/>
                    </w:rPr>
                  </w:pPr>
                  <w:r w:rsidRPr="0013396E">
                    <w:rPr>
                      <w:iCs/>
                      <w:sz w:val="20"/>
                    </w:rPr>
                    <w:t>Acknowledge receipt of Dispatch Instructions</w:t>
                  </w:r>
                </w:p>
                <w:p w14:paraId="42869A94" w14:textId="77777777" w:rsidR="008A5A12" w:rsidRPr="0013396E" w:rsidRDefault="008A5A12" w:rsidP="008A5A12">
                  <w:pPr>
                    <w:rPr>
                      <w:iCs/>
                      <w:sz w:val="20"/>
                    </w:rPr>
                  </w:pPr>
                </w:p>
                <w:p w14:paraId="40E4E6A6" w14:textId="77777777" w:rsidR="008A5A12" w:rsidRPr="0013396E" w:rsidRDefault="008A5A12" w:rsidP="008A5A12">
                  <w:pPr>
                    <w:rPr>
                      <w:iCs/>
                      <w:sz w:val="20"/>
                    </w:rPr>
                  </w:pPr>
                  <w:r w:rsidRPr="0013396E">
                    <w:rPr>
                      <w:iCs/>
                      <w:sz w:val="20"/>
                    </w:rPr>
                    <w:t>Comply with Dispatch Instruction</w:t>
                  </w:r>
                </w:p>
                <w:p w14:paraId="287141B4" w14:textId="77777777" w:rsidR="008A5A12" w:rsidRPr="0013396E" w:rsidRDefault="008A5A12" w:rsidP="008A5A12">
                  <w:pPr>
                    <w:rPr>
                      <w:iCs/>
                      <w:sz w:val="20"/>
                    </w:rPr>
                  </w:pPr>
                  <w:r w:rsidRPr="0013396E">
                    <w:rPr>
                      <w:iCs/>
                      <w:sz w:val="20"/>
                    </w:rPr>
                    <w:t xml:space="preserve"> </w:t>
                  </w:r>
                </w:p>
                <w:p w14:paraId="1BF2503D" w14:textId="77777777" w:rsidR="008A5A12" w:rsidRPr="0013396E" w:rsidRDefault="008A5A12" w:rsidP="008A5A12">
                  <w:pPr>
                    <w:rPr>
                      <w:iCs/>
                      <w:sz w:val="20"/>
                    </w:rPr>
                  </w:pPr>
                  <w:r w:rsidRPr="0013396E">
                    <w:rPr>
                      <w:iCs/>
                      <w:sz w:val="20"/>
                    </w:rPr>
                    <w:t>Review Resource Status to assure current state of the Resources is properly telemetered</w:t>
                  </w:r>
                </w:p>
                <w:p w14:paraId="39FCF054" w14:textId="77777777" w:rsidR="008A5A12" w:rsidRPr="0013396E" w:rsidRDefault="008A5A12" w:rsidP="008A5A12">
                  <w:pPr>
                    <w:rPr>
                      <w:iCs/>
                      <w:sz w:val="20"/>
                    </w:rPr>
                  </w:pPr>
                </w:p>
                <w:p w14:paraId="379C9AE3" w14:textId="77777777" w:rsidR="008A5A12" w:rsidRPr="0013396E" w:rsidRDefault="008A5A12" w:rsidP="008A5A12">
                  <w:pPr>
                    <w:rPr>
                      <w:iCs/>
                      <w:sz w:val="20"/>
                    </w:rPr>
                  </w:pPr>
                  <w:r w:rsidRPr="0013396E">
                    <w:rPr>
                      <w:iCs/>
                      <w:sz w:val="20"/>
                    </w:rPr>
                    <w:t>Update COP and telemetry with actual Resource Status and limits and Ancillary Service capabilities</w:t>
                  </w:r>
                </w:p>
                <w:p w14:paraId="0DEEBE2D" w14:textId="77777777" w:rsidR="008A5A12" w:rsidRPr="0013396E" w:rsidRDefault="008A5A12" w:rsidP="008A5A12">
                  <w:pPr>
                    <w:rPr>
                      <w:iCs/>
                      <w:sz w:val="20"/>
                    </w:rPr>
                  </w:pPr>
                </w:p>
                <w:p w14:paraId="1B02714F" w14:textId="77777777" w:rsidR="008A5A12" w:rsidRPr="0013396E" w:rsidRDefault="008A5A12" w:rsidP="008A5A12">
                  <w:pPr>
                    <w:rPr>
                      <w:iCs/>
                      <w:sz w:val="20"/>
                    </w:rPr>
                  </w:pPr>
                  <w:r w:rsidRPr="0013396E">
                    <w:rPr>
                      <w:iCs/>
                      <w:sz w:val="20"/>
                    </w:rPr>
                    <w:t>Submit and update Ancillary Service Offers</w:t>
                  </w:r>
                </w:p>
                <w:p w14:paraId="47C19693" w14:textId="77777777" w:rsidR="008A5A12" w:rsidRPr="0013396E" w:rsidRDefault="008A5A12" w:rsidP="008A5A12">
                  <w:pPr>
                    <w:rPr>
                      <w:iCs/>
                      <w:sz w:val="20"/>
                    </w:rPr>
                  </w:pPr>
                </w:p>
                <w:p w14:paraId="68BA6C0D" w14:textId="77777777" w:rsidR="008A5A12" w:rsidRPr="0013396E" w:rsidRDefault="008A5A12" w:rsidP="008A5A12">
                  <w:pPr>
                    <w:rPr>
                      <w:iCs/>
                      <w:sz w:val="20"/>
                    </w:rPr>
                  </w:pPr>
                  <w:r w:rsidRPr="0013396E">
                    <w:rPr>
                      <w:iCs/>
                      <w:sz w:val="20"/>
                    </w:rPr>
                    <w:lastRenderedPageBreak/>
                    <w:t xml:space="preserve">Communicate Resource Forced Outages to ERCOT </w:t>
                  </w:r>
                </w:p>
                <w:p w14:paraId="52D02914" w14:textId="77777777" w:rsidR="008A5A12" w:rsidRPr="0013396E" w:rsidRDefault="008A5A12" w:rsidP="008A5A12">
                  <w:pPr>
                    <w:rPr>
                      <w:iCs/>
                      <w:sz w:val="20"/>
                    </w:rPr>
                  </w:pPr>
                </w:p>
                <w:p w14:paraId="357172EC" w14:textId="086453A2" w:rsidR="00853AD7" w:rsidRPr="0013396E" w:rsidRDefault="00853AD7" w:rsidP="00853AD7">
                  <w:pPr>
                    <w:rPr>
                      <w:iCs/>
                      <w:sz w:val="20"/>
                    </w:rPr>
                  </w:pPr>
                  <w:r w:rsidRPr="0013396E">
                    <w:rPr>
                      <w:iCs/>
                      <w:sz w:val="20"/>
                    </w:rPr>
                    <w:t xml:space="preserve">Submit and update Energy Offer Curves and/or RTM Energy Bids </w:t>
                  </w:r>
                </w:p>
                <w:p w14:paraId="16C4D5DC" w14:textId="77777777" w:rsidR="008A5A12" w:rsidRPr="0013396E" w:rsidRDefault="008A5A12" w:rsidP="008A5A12">
                  <w:pPr>
                    <w:rPr>
                      <w:iCs/>
                      <w:sz w:val="20"/>
                    </w:rPr>
                  </w:pPr>
                </w:p>
              </w:tc>
              <w:tc>
                <w:tcPr>
                  <w:tcW w:w="3823" w:type="dxa"/>
                </w:tcPr>
                <w:p w14:paraId="184D1A7D" w14:textId="6F5833E7" w:rsidR="008A5A12" w:rsidRPr="0013396E" w:rsidRDefault="00C92338" w:rsidP="00985A9C">
                  <w:pPr>
                    <w:tabs>
                      <w:tab w:val="left" w:pos="2521"/>
                    </w:tabs>
                    <w:spacing w:after="240"/>
                    <w:rPr>
                      <w:iCs/>
                      <w:sz w:val="20"/>
                    </w:rPr>
                  </w:pPr>
                  <w:r w:rsidRPr="0013396E">
                    <w:rPr>
                      <w:iCs/>
                      <w:sz w:val="20"/>
                    </w:rPr>
                    <w:lastRenderedPageBreak/>
                    <w:t xml:space="preserve">Communicate all binding Base Points, Updated Desired Set Points (UDSPs), Ancillary Service awards, Dispatch Instructions, LMPs for energy, Real-Time MCPCs for Ancillary Services, and for the pricing run </w:t>
                  </w:r>
                  <w:r w:rsidRPr="0013396E">
                    <w:rPr>
                      <w:sz w:val="20"/>
                    </w:rPr>
                    <w:t xml:space="preserve">as described in Section 6.5.7.3.1, Determination of Real-Time Reliability Deployment Price Adders, </w:t>
                  </w:r>
                  <w:r w:rsidRPr="0013396E">
                    <w:rPr>
                      <w:iCs/>
                      <w:sz w:val="20"/>
                    </w:rPr>
                    <w:t>the total Reliability Unit Commitment (RUC)/Reliability Must-Run (RMR) MW relaxed, total Load Resource MW deployed that is added to the Demand</w:t>
                  </w:r>
                  <w:r w:rsidRPr="0013396E">
                    <w:rPr>
                      <w:sz w:val="20"/>
                    </w:rPr>
                    <w:t>, total Transmission and/or Distribution Service Provider (TDSP) standard offer Load management MW deployed that is added to the Demand,</w:t>
                  </w:r>
                  <w:r w:rsidRPr="0013396E">
                    <w:rPr>
                      <w:iCs/>
                      <w:sz w:val="20"/>
                    </w:rPr>
                    <w:t xml:space="preserve"> total Emergency Response Service (ERS) MW deployed that is added </w:t>
                  </w:r>
                  <w:r w:rsidRPr="0013396E">
                    <w:rPr>
                      <w:iCs/>
                      <w:sz w:val="20"/>
                    </w:rPr>
                    <w:lastRenderedPageBreak/>
                    <w:t>to the Demand, total ERCOT-directed DC Tie MW that is added to or subtracted from the Demand, total Block Load Transfer (BLT) MW that is added to or subtracted from the Demand Real-Time Reliability Deployment Price Adder for Energy, and Real-Time Reliability Deployment Price Adders for Ancillary Service using Inter-Control Center Communications Protocol (ICCP) or Verbal Dispatch Instructions (VDIs).  In communicating Ancillary Service awards, the awards shall be broken out by Ancillary Service sub-type, where applicable</w:t>
                  </w:r>
                </w:p>
                <w:p w14:paraId="2516A158" w14:textId="77777777" w:rsidR="008A5A12" w:rsidRPr="0013396E" w:rsidRDefault="008A5A12" w:rsidP="008A5A12">
                  <w:pPr>
                    <w:spacing w:before="240"/>
                    <w:rPr>
                      <w:iCs/>
                      <w:sz w:val="20"/>
                    </w:rPr>
                  </w:pPr>
                  <w:r w:rsidRPr="0013396E">
                    <w:rPr>
                      <w:iCs/>
                      <w:sz w:val="20"/>
                    </w:rPr>
                    <w:t>Monitor Resource Status and identify discrepancies between COP and telemetered Resource Status</w:t>
                  </w:r>
                </w:p>
                <w:p w14:paraId="703879EB" w14:textId="77777777" w:rsidR="008A5A12" w:rsidRPr="0013396E" w:rsidRDefault="008A5A12" w:rsidP="008A5A12">
                  <w:pPr>
                    <w:rPr>
                      <w:iCs/>
                      <w:sz w:val="20"/>
                    </w:rPr>
                  </w:pPr>
                </w:p>
                <w:p w14:paraId="41AA1B1E" w14:textId="77777777" w:rsidR="008A5A12" w:rsidRPr="0013396E" w:rsidRDefault="008A5A12" w:rsidP="008A5A12">
                  <w:pPr>
                    <w:rPr>
                      <w:iCs/>
                      <w:sz w:val="20"/>
                    </w:rPr>
                  </w:pPr>
                  <w:r w:rsidRPr="0013396E">
                    <w:rPr>
                      <w:iCs/>
                      <w:sz w:val="20"/>
                    </w:rPr>
                    <w:t>Restart Real-Time Sequence on major change of Resource or Transmission Element Status</w:t>
                  </w:r>
                </w:p>
                <w:p w14:paraId="35DF135C" w14:textId="77777777" w:rsidR="008A5A12" w:rsidRPr="0013396E" w:rsidRDefault="008A5A12" w:rsidP="008A5A12">
                  <w:pPr>
                    <w:rPr>
                      <w:iCs/>
                      <w:sz w:val="20"/>
                    </w:rPr>
                  </w:pPr>
                </w:p>
                <w:p w14:paraId="49F67282" w14:textId="77777777" w:rsidR="008A5A12" w:rsidRPr="0013396E" w:rsidRDefault="008A5A12" w:rsidP="008A5A12">
                  <w:pPr>
                    <w:rPr>
                      <w:b/>
                      <w:iCs/>
                      <w:sz w:val="20"/>
                    </w:rPr>
                  </w:pPr>
                  <w:r w:rsidRPr="0013396E">
                    <w:rPr>
                      <w:iCs/>
                      <w:sz w:val="20"/>
                    </w:rPr>
                    <w:t>Monitor ERCOT total system capacity providing Ancillary Services</w:t>
                  </w:r>
                  <w:r w:rsidRPr="0013396E">
                    <w:rPr>
                      <w:b/>
                      <w:iCs/>
                      <w:sz w:val="20"/>
                    </w:rPr>
                    <w:t xml:space="preserve"> </w:t>
                  </w:r>
                </w:p>
                <w:p w14:paraId="0E93C703" w14:textId="77777777" w:rsidR="008A5A12" w:rsidRPr="0013396E" w:rsidRDefault="008A5A12" w:rsidP="008A5A12">
                  <w:pPr>
                    <w:rPr>
                      <w:iCs/>
                      <w:sz w:val="20"/>
                    </w:rPr>
                  </w:pPr>
                </w:p>
                <w:p w14:paraId="56467323" w14:textId="21C35FE6" w:rsidR="008A5A12" w:rsidRPr="0013396E" w:rsidRDefault="008A5A12" w:rsidP="008A5A12">
                  <w:pPr>
                    <w:rPr>
                      <w:iCs/>
                      <w:sz w:val="20"/>
                    </w:rPr>
                  </w:pPr>
                  <w:r w:rsidRPr="0013396E">
                    <w:rPr>
                      <w:iCs/>
                      <w:sz w:val="20"/>
                    </w:rPr>
                    <w:t>Validate COP information</w:t>
                  </w:r>
                </w:p>
                <w:p w14:paraId="5F42B79F" w14:textId="77777777" w:rsidR="00070608" w:rsidRPr="0013396E" w:rsidRDefault="00070608" w:rsidP="008A5A12">
                  <w:pPr>
                    <w:rPr>
                      <w:iCs/>
                      <w:sz w:val="20"/>
                    </w:rPr>
                  </w:pPr>
                </w:p>
                <w:p w14:paraId="6104163E" w14:textId="74D62296" w:rsidR="00070608" w:rsidRPr="0013396E" w:rsidRDefault="00070608" w:rsidP="008A5A12">
                  <w:pPr>
                    <w:rPr>
                      <w:iCs/>
                      <w:sz w:val="20"/>
                    </w:rPr>
                  </w:pPr>
                  <w:r w:rsidRPr="0013396E">
                    <w:rPr>
                      <w:iCs/>
                      <w:sz w:val="20"/>
                    </w:rPr>
                    <w:t>Validate Ancillary Service Trades</w:t>
                  </w:r>
                </w:p>
                <w:p w14:paraId="67BBF6A1" w14:textId="77777777" w:rsidR="008A5A12" w:rsidRPr="0013396E" w:rsidRDefault="008A5A12" w:rsidP="008A5A12">
                  <w:pPr>
                    <w:rPr>
                      <w:iCs/>
                      <w:sz w:val="20"/>
                    </w:rPr>
                  </w:pPr>
                </w:p>
                <w:p w14:paraId="30F1746D" w14:textId="77777777" w:rsidR="008A5A12" w:rsidRPr="0013396E" w:rsidRDefault="008A5A12" w:rsidP="008A5A12">
                  <w:pPr>
                    <w:rPr>
                      <w:iCs/>
                      <w:sz w:val="20"/>
                    </w:rPr>
                  </w:pPr>
                  <w:r w:rsidRPr="0013396E">
                    <w:rPr>
                      <w:iCs/>
                      <w:sz w:val="20"/>
                    </w:rPr>
                    <w:t>Monitor ERCOT control performance</w:t>
                  </w:r>
                </w:p>
                <w:p w14:paraId="3A0C4FB1" w14:textId="77777777" w:rsidR="008A5A12" w:rsidRPr="0013396E" w:rsidRDefault="008A5A12" w:rsidP="008A5A12">
                  <w:pPr>
                    <w:rPr>
                      <w:iCs/>
                      <w:sz w:val="20"/>
                    </w:rPr>
                  </w:pPr>
                </w:p>
                <w:p w14:paraId="055A07D4" w14:textId="709110B8" w:rsidR="008A5A12" w:rsidRPr="0013396E" w:rsidRDefault="00C92338" w:rsidP="008A5A12">
                  <w:pPr>
                    <w:spacing w:after="240"/>
                    <w:rPr>
                      <w:iCs/>
                      <w:sz w:val="20"/>
                    </w:rPr>
                  </w:pPr>
                  <w:r w:rsidRPr="0013396E">
                    <w:rPr>
                      <w:iCs/>
                      <w:sz w:val="20"/>
                    </w:rPr>
                    <w:t xml:space="preserve">Distribute by ICCP, and post on the </w:t>
                  </w:r>
                  <w:r w:rsidR="0007207E" w:rsidRPr="0013396E">
                    <w:rPr>
                      <w:iCs/>
                      <w:sz w:val="20"/>
                    </w:rPr>
                    <w:t>ERCOT website</w:t>
                  </w:r>
                  <w:r w:rsidRPr="0013396E">
                    <w:rPr>
                      <w:iCs/>
                      <w:sz w:val="20"/>
                    </w:rPr>
                    <w:t xml:space="preserve">, System Lambda and the LMPs for each Resource Node, Load Zone and Hub, and Real-Time MCPCs for each Ancillary Service, and for the pricing run </w:t>
                  </w:r>
                  <w:r w:rsidRPr="0013396E">
                    <w:rPr>
                      <w:sz w:val="20"/>
                    </w:rPr>
                    <w:t xml:space="preserve">as described in Section 6.5.7.3.1 </w:t>
                  </w:r>
                  <w:r w:rsidRPr="0013396E">
                    <w:rPr>
                      <w:iCs/>
                      <w:sz w:val="20"/>
                    </w:rPr>
                    <w:t xml:space="preserve">the total RUC/RMR MW relaxed, total Load Resource MW deployed that is added to the Demand, total ERS MW deployed that is added to the Demand, </w:t>
                  </w:r>
                  <w:r w:rsidRPr="0013396E">
                    <w:rPr>
                      <w:sz w:val="20"/>
                    </w:rPr>
                    <w:t xml:space="preserve">total TDSP standard offer Load management MW deployed that is added to the Demand, </w:t>
                  </w:r>
                  <w:r w:rsidRPr="0013396E">
                    <w:rPr>
                      <w:iCs/>
                      <w:sz w:val="20"/>
                    </w:rPr>
                    <w:t>total ERCOT-directed DC Tie MW that is added to or subtracted from the Demand, total BLT MW that is added to or subtracted from the Demand, Real-Time Reliability Deployment Price Adder for Energy, and Real-Time Reliability Deployment Price Adders for Ancillary Service</w:t>
                  </w:r>
                  <w:r w:rsidR="00AD58D8" w:rsidRPr="0013396E">
                    <w:rPr>
                      <w:iCs/>
                      <w:sz w:val="20"/>
                    </w:rPr>
                    <w:t>, and ESR charging</w:t>
                  </w:r>
                  <w:r w:rsidRPr="0013396E">
                    <w:rPr>
                      <w:iCs/>
                      <w:sz w:val="20"/>
                    </w:rPr>
                    <w:t xml:space="preserve"> created for each SCED process</w:t>
                  </w:r>
                  <w:r w:rsidR="009C388E" w:rsidRPr="0013396E">
                    <w:rPr>
                      <w:iCs/>
                      <w:sz w:val="20"/>
                    </w:rPr>
                    <w:t>, and aggregated data from the estimated Demand response data process as described in Section 6.5.7.1.13</w:t>
                  </w:r>
                  <w:r w:rsidR="00973752" w:rsidRPr="0013396E">
                    <w:rPr>
                      <w:iCs/>
                      <w:sz w:val="20"/>
                    </w:rPr>
                    <w:t xml:space="preserve">, Data Inputs and Outputs for the Real-Time Sequence </w:t>
                  </w:r>
                  <w:r w:rsidR="00973752" w:rsidRPr="0013396E">
                    <w:rPr>
                      <w:iCs/>
                      <w:sz w:val="20"/>
                    </w:rPr>
                    <w:lastRenderedPageBreak/>
                    <w:t>and SCED</w:t>
                  </w:r>
                  <w:r w:rsidRPr="0013396E">
                    <w:rPr>
                      <w:iCs/>
                      <w:sz w:val="20"/>
                    </w:rPr>
                    <w:t xml:space="preserve">.  </w:t>
                  </w:r>
                  <w:r w:rsidR="00AD58D8" w:rsidRPr="0013396E">
                    <w:rPr>
                      <w:iCs/>
                      <w:sz w:val="20"/>
                    </w:rPr>
                    <w:t>This data</w:t>
                  </w:r>
                  <w:r w:rsidRPr="0013396E">
                    <w:rPr>
                      <w:iCs/>
                      <w:sz w:val="20"/>
                    </w:rPr>
                    <w:t xml:space="preserve"> shall be posted immediately subsequent to deployment of Base Points and Ancillary Service awards from SCED with the time stamp the </w:t>
                  </w:r>
                  <w:r w:rsidR="00AD58D8" w:rsidRPr="0013396E">
                    <w:rPr>
                      <w:iCs/>
                      <w:sz w:val="20"/>
                    </w:rPr>
                    <w:t>data</w:t>
                  </w:r>
                  <w:r w:rsidRPr="0013396E">
                    <w:rPr>
                      <w:iCs/>
                      <w:sz w:val="20"/>
                    </w:rPr>
                    <w:t xml:space="preserve"> are effective</w:t>
                  </w:r>
                  <w:r w:rsidR="008A5A12" w:rsidRPr="0013396E">
                    <w:rPr>
                      <w:iCs/>
                      <w:sz w:val="20"/>
                    </w:rPr>
                    <w:t xml:space="preserve"> </w:t>
                  </w:r>
                </w:p>
                <w:p w14:paraId="7B8F7553" w14:textId="25CC2978" w:rsidR="00C92338" w:rsidRPr="0013396E" w:rsidRDefault="00C92338" w:rsidP="008A5A12">
                  <w:pPr>
                    <w:spacing w:after="240"/>
                    <w:rPr>
                      <w:iCs/>
                      <w:sz w:val="20"/>
                    </w:rPr>
                  </w:pPr>
                  <w:r w:rsidRPr="0013396E">
                    <w:rPr>
                      <w:iCs/>
                      <w:sz w:val="20"/>
                    </w:rPr>
                    <w:t xml:space="preserve">Post on the </w:t>
                  </w:r>
                  <w:r w:rsidR="0007207E" w:rsidRPr="0013396E">
                    <w:rPr>
                      <w:iCs/>
                      <w:sz w:val="20"/>
                    </w:rPr>
                    <w:t>ERCOT website</w:t>
                  </w:r>
                  <w:r w:rsidRPr="0013396E">
                    <w:rPr>
                      <w:iCs/>
                      <w:sz w:val="20"/>
                    </w:rPr>
                    <w:t xml:space="preserve"> the nodal prices for Settlement Only Distribution Generators (SODGs)</w:t>
                  </w:r>
                  <w:r w:rsidR="00E21F4F" w:rsidRPr="0013396E">
                    <w:rPr>
                      <w:iCs/>
                      <w:sz w:val="20"/>
                    </w:rPr>
                    <w:t>, Settlement Only Distribution Energy Storage Systems (SODESSs),</w:t>
                  </w:r>
                  <w:r w:rsidRPr="0013396E">
                    <w:rPr>
                      <w:iCs/>
                      <w:sz w:val="20"/>
                    </w:rPr>
                    <w:t xml:space="preserve"> Settlement Only Transmission Generator</w:t>
                  </w:r>
                  <w:r w:rsidR="00525E33" w:rsidRPr="0013396E">
                    <w:rPr>
                      <w:iCs/>
                      <w:sz w:val="20"/>
                    </w:rPr>
                    <w:t>s</w:t>
                  </w:r>
                  <w:r w:rsidRPr="0013396E">
                    <w:rPr>
                      <w:iCs/>
                      <w:sz w:val="20"/>
                    </w:rPr>
                    <w:t xml:space="preserve"> (SOTGs)</w:t>
                  </w:r>
                  <w:r w:rsidR="00125072" w:rsidRPr="0013396E">
                    <w:rPr>
                      <w:iCs/>
                      <w:sz w:val="20"/>
                    </w:rPr>
                    <w:t>, and Settlement Only Transmission Energy Storage Systems (SOTESSs)</w:t>
                  </w:r>
                  <w:r w:rsidRPr="0013396E">
                    <w:rPr>
                      <w:iCs/>
                      <w:sz w:val="20"/>
                    </w:rPr>
                    <w:t>.  These prices shall include Real-Time Reliability Deployment Price Adders for Energy created for each SCED process.  These prices shall be posted immediately subsequent to deployment of Base Points from SCED with the time stamp the prices are effective</w:t>
                  </w:r>
                </w:p>
                <w:p w14:paraId="773079F5" w14:textId="007F3393" w:rsidR="008A5A12" w:rsidRPr="0013396E" w:rsidRDefault="008A5A12" w:rsidP="008A5A12">
                  <w:pPr>
                    <w:spacing w:before="240"/>
                    <w:rPr>
                      <w:iCs/>
                      <w:sz w:val="20"/>
                    </w:rPr>
                  </w:pPr>
                  <w:r w:rsidRPr="0013396E">
                    <w:rPr>
                      <w:iCs/>
                      <w:sz w:val="20"/>
                    </w:rPr>
                    <w:t xml:space="preserve">Post LMPs for each Electrical Bus on the </w:t>
                  </w:r>
                  <w:r w:rsidR="0007207E" w:rsidRPr="0013396E">
                    <w:rPr>
                      <w:iCs/>
                      <w:sz w:val="20"/>
                    </w:rPr>
                    <w:t>ERCOT website</w:t>
                  </w:r>
                  <w:r w:rsidRPr="0013396E">
                    <w:rPr>
                      <w:iCs/>
                      <w:sz w:val="20"/>
                    </w:rPr>
                    <w:t>.  These prices shall be posted immediately subsequent to deployment of Base Points from each binding SCED with the time stamp the prices are effective</w:t>
                  </w:r>
                </w:p>
                <w:p w14:paraId="07ACD4ED" w14:textId="7B2C45C9" w:rsidR="00C92338" w:rsidRPr="0013396E" w:rsidRDefault="00C92338" w:rsidP="008A5A12">
                  <w:pPr>
                    <w:spacing w:before="240"/>
                    <w:rPr>
                      <w:iCs/>
                      <w:sz w:val="20"/>
                    </w:rPr>
                  </w:pPr>
                  <w:r w:rsidRPr="0013396E">
                    <w:rPr>
                      <w:iCs/>
                      <w:sz w:val="20"/>
                    </w:rPr>
                    <w:t xml:space="preserve">Post every 15 minutes on the </w:t>
                  </w:r>
                  <w:r w:rsidR="0007207E" w:rsidRPr="0013396E">
                    <w:rPr>
                      <w:iCs/>
                      <w:sz w:val="20"/>
                    </w:rPr>
                    <w:t>ERCOT website</w:t>
                  </w:r>
                  <w:r w:rsidRPr="0013396E">
                    <w:rPr>
                      <w:iCs/>
                      <w:sz w:val="20"/>
                    </w:rPr>
                    <w:t xml:space="preserve"> the aggregate net injection from </w:t>
                  </w:r>
                  <w:r w:rsidRPr="0013396E">
                    <w:rPr>
                      <w:sz w:val="20"/>
                    </w:rPr>
                    <w:t>Settlement Only</w:t>
                  </w:r>
                  <w:r w:rsidRPr="0013396E">
                    <w:rPr>
                      <w:iCs/>
                      <w:sz w:val="20"/>
                    </w:rPr>
                    <w:t xml:space="preserve"> Generators (SOGs) </w:t>
                  </w:r>
                  <w:r w:rsidR="00125072" w:rsidRPr="0013396E">
                    <w:rPr>
                      <w:iCs/>
                      <w:sz w:val="20"/>
                    </w:rPr>
                    <w:t>and Settlement Only Energy Storage Systems (SOESSs)</w:t>
                  </w:r>
                </w:p>
                <w:p w14:paraId="4EF8EC43" w14:textId="5C3499B7" w:rsidR="008A5A12" w:rsidRPr="0013396E" w:rsidRDefault="00C92338" w:rsidP="008A5A12">
                  <w:pPr>
                    <w:spacing w:before="240" w:after="240"/>
                    <w:rPr>
                      <w:iCs/>
                      <w:sz w:val="20"/>
                    </w:rPr>
                  </w:pPr>
                  <w:r w:rsidRPr="0013396E">
                    <w:rPr>
                      <w:iCs/>
                      <w:sz w:val="20"/>
                    </w:rPr>
                    <w:t xml:space="preserve">Post on the </w:t>
                  </w:r>
                  <w:r w:rsidR="0007207E" w:rsidRPr="0013396E">
                    <w:rPr>
                      <w:iCs/>
                      <w:sz w:val="20"/>
                    </w:rPr>
                    <w:t>ERCOT website</w:t>
                  </w:r>
                  <w:r w:rsidRPr="0013396E">
                    <w:rPr>
                      <w:iCs/>
                      <w:sz w:val="20"/>
                    </w:rPr>
                    <w:t xml:space="preserve"> the projected non-binding LMPs for each Resource Node and Real-Time MCPCs for each Ancillary Service created by each SCED process </w:t>
                  </w:r>
                  <w:r w:rsidRPr="0013396E">
                    <w:rPr>
                      <w:sz w:val="20"/>
                    </w:rPr>
                    <w:t>and for the projected non-binding pricing runs as described in Section 6.5.7.3.1 the total RUC/RMR MW relaxed, total Load Resource MW deployed that is added to Demand,</w:t>
                  </w:r>
                  <w:r w:rsidRPr="0013396E">
                    <w:rPr>
                      <w:iCs/>
                      <w:sz w:val="20"/>
                    </w:rPr>
                    <w:t xml:space="preserve"> </w:t>
                  </w:r>
                  <w:r w:rsidRPr="0013396E">
                    <w:rPr>
                      <w:sz w:val="20"/>
                    </w:rPr>
                    <w:t>total TDSP standard offer Load management MW deployed that is added to the Demand,</w:t>
                  </w:r>
                  <w:r w:rsidRPr="0013396E">
                    <w:rPr>
                      <w:rFonts w:ascii="Calibri" w:hAnsi="Calibri" w:cs="Calibri"/>
                      <w:color w:val="1F497D"/>
                      <w:sz w:val="20"/>
                    </w:rPr>
                    <w:t xml:space="preserve"> </w:t>
                  </w:r>
                  <w:r w:rsidRPr="0013396E">
                    <w:rPr>
                      <w:iCs/>
                      <w:sz w:val="20"/>
                    </w:rPr>
                    <w:t>total ERCOT-directed DC Tie MW that is added to or subtracted from the Demand, total BLT MW that is added to or subtracted from the Demand,</w:t>
                  </w:r>
                  <w:r w:rsidRPr="0013396E">
                    <w:rPr>
                      <w:sz w:val="20"/>
                    </w:rPr>
                    <w:t xml:space="preserve"> total ERS MW deployed that are deployed that is added to the Demand, Real-Time Reliability Deployment Price Adder for Energy</w:t>
                  </w:r>
                  <w:r w:rsidRPr="0013396E">
                    <w:rPr>
                      <w:iCs/>
                      <w:sz w:val="20"/>
                    </w:rPr>
                    <w:t>, Real-Time On-Line Reliability Deployment Price Adders for Ancillary Service,</w:t>
                  </w:r>
                  <w:r w:rsidRPr="0013396E">
                    <w:rPr>
                      <w:sz w:val="20"/>
                    </w:rPr>
                    <w:t xml:space="preserve"> and</w:t>
                  </w:r>
                  <w:r w:rsidRPr="0013396E">
                    <w:rPr>
                      <w:iCs/>
                      <w:sz w:val="20"/>
                    </w:rPr>
                    <w:t xml:space="preserve"> the projected Hub LMPs and Load Zone LMPs.  These projected prices shall be posted at a </w:t>
                  </w:r>
                  <w:r w:rsidRPr="0013396E">
                    <w:rPr>
                      <w:iCs/>
                      <w:sz w:val="20"/>
                    </w:rPr>
                    <w:lastRenderedPageBreak/>
                    <w:t>frequency of every five minutes from SCED for at least 15 minutes in the future with the time stamp of the SCED process that produced the projections</w:t>
                  </w:r>
                </w:p>
                <w:p w14:paraId="6B027916" w14:textId="039D72BF" w:rsidR="008A5A12" w:rsidRPr="0013396E" w:rsidRDefault="008A5A12" w:rsidP="008A5A12">
                  <w:pPr>
                    <w:spacing w:before="240"/>
                    <w:rPr>
                      <w:iCs/>
                      <w:sz w:val="20"/>
                    </w:rPr>
                  </w:pPr>
                  <w:r w:rsidRPr="0013396E">
                    <w:rPr>
                      <w:iCs/>
                      <w:sz w:val="20"/>
                    </w:rPr>
                    <w:t>Post on the MIS Certified Area the projected non-binding Base Points and Ancillary Service awards for each Resource created by each SCED process.  These projected non-binding Base Points shall be posted at a frequency of every five minutes from SCED for at least 15 minutes in the future with the time stamp of the SCED process that produced the projections.  In posting Ancillary Service awards, the awards shall be broken out by Ancillary Service sub-type, where applicable</w:t>
                  </w:r>
                </w:p>
                <w:p w14:paraId="58EC3548" w14:textId="77777777" w:rsidR="008A5A12" w:rsidRPr="0013396E" w:rsidRDefault="008A5A12" w:rsidP="008A5A12">
                  <w:pPr>
                    <w:rPr>
                      <w:iCs/>
                      <w:sz w:val="20"/>
                    </w:rPr>
                  </w:pPr>
                </w:p>
                <w:p w14:paraId="78C4E165" w14:textId="1E654D31" w:rsidR="008A5A12" w:rsidRPr="0013396E" w:rsidRDefault="008A5A12" w:rsidP="008A5A12">
                  <w:pPr>
                    <w:rPr>
                      <w:iCs/>
                      <w:sz w:val="20"/>
                    </w:rPr>
                  </w:pPr>
                  <w:r w:rsidRPr="0013396E">
                    <w:rPr>
                      <w:iCs/>
                      <w:sz w:val="20"/>
                    </w:rPr>
                    <w:t xml:space="preserve">Post each hour on the </w:t>
                  </w:r>
                  <w:r w:rsidR="0007207E" w:rsidRPr="0013396E">
                    <w:rPr>
                      <w:iCs/>
                      <w:sz w:val="20"/>
                    </w:rPr>
                    <w:t>ERCOT website</w:t>
                  </w:r>
                  <w:r w:rsidRPr="0013396E">
                    <w:rPr>
                      <w:iCs/>
                      <w:sz w:val="20"/>
                    </w:rPr>
                    <w:t xml:space="preserve"> binding SCED Shadow Prices and active binding transmission constraints by Transmission Element name (contingency /overloaded element pairs) </w:t>
                  </w:r>
                </w:p>
                <w:p w14:paraId="3407E284" w14:textId="77777777" w:rsidR="008A5A12" w:rsidRPr="0013396E" w:rsidRDefault="008A5A12" w:rsidP="008A5A12">
                  <w:pPr>
                    <w:rPr>
                      <w:iCs/>
                      <w:sz w:val="20"/>
                    </w:rPr>
                  </w:pPr>
                </w:p>
                <w:p w14:paraId="18D0A298" w14:textId="4A47C2DB" w:rsidR="008A5A12" w:rsidRPr="0013396E" w:rsidRDefault="00C92338" w:rsidP="008A5A12">
                  <w:pPr>
                    <w:rPr>
                      <w:iCs/>
                      <w:sz w:val="20"/>
                    </w:rPr>
                  </w:pPr>
                  <w:r w:rsidRPr="0013396E">
                    <w:rPr>
                      <w:iCs/>
                      <w:sz w:val="20"/>
                    </w:rPr>
                    <w:t xml:space="preserve">Post on the </w:t>
                  </w:r>
                  <w:r w:rsidR="0007207E" w:rsidRPr="0013396E">
                    <w:rPr>
                      <w:iCs/>
                      <w:sz w:val="20"/>
                    </w:rPr>
                    <w:t>ERCOT website</w:t>
                  </w:r>
                  <w:r w:rsidRPr="0013396E">
                    <w:rPr>
                      <w:iCs/>
                      <w:sz w:val="20"/>
                    </w:rPr>
                    <w:t>, the Settlement Point Prices for each Settlement Point and the Real-Time price for each SODG</w:t>
                  </w:r>
                  <w:r w:rsidR="00125072" w:rsidRPr="0013396E">
                    <w:rPr>
                      <w:iCs/>
                      <w:sz w:val="20"/>
                    </w:rPr>
                    <w:t>, SODESS,</w:t>
                  </w:r>
                  <w:r w:rsidRPr="0013396E">
                    <w:rPr>
                      <w:iCs/>
                      <w:sz w:val="20"/>
                    </w:rPr>
                    <w:t xml:space="preserve"> SOTG</w:t>
                  </w:r>
                  <w:r w:rsidR="00125072" w:rsidRPr="0013396E">
                    <w:rPr>
                      <w:iCs/>
                      <w:sz w:val="20"/>
                    </w:rPr>
                    <w:t>, and SOTESS</w:t>
                  </w:r>
                  <w:r w:rsidRPr="0013396E">
                    <w:rPr>
                      <w:iCs/>
                      <w:sz w:val="20"/>
                    </w:rPr>
                    <w:t xml:space="preserve"> immediately following the end of each Settlement Interval  </w:t>
                  </w:r>
                </w:p>
                <w:p w14:paraId="591DC0D4" w14:textId="3E0B319D" w:rsidR="008A5A12" w:rsidRPr="0013396E" w:rsidRDefault="008A5A12" w:rsidP="008A5A12">
                  <w:pPr>
                    <w:tabs>
                      <w:tab w:val="left" w:pos="1350"/>
                    </w:tabs>
                    <w:spacing w:before="240"/>
                    <w:rPr>
                      <w:iCs/>
                      <w:sz w:val="20"/>
                    </w:rPr>
                  </w:pPr>
                  <w:r w:rsidRPr="0013396E">
                    <w:rPr>
                      <w:iCs/>
                      <w:sz w:val="20"/>
                    </w:rPr>
                    <w:t>By Settlement Interval, post the 15-minute Real-Time Reliability Deployment Price for Energy, and the 15-minute Real-Time Reliability Deployment Price for Ancillary Service for each of the Ancillary Services</w:t>
                  </w:r>
                </w:p>
                <w:p w14:paraId="657B5ACE" w14:textId="77777777" w:rsidR="008A5A12" w:rsidRPr="0013396E" w:rsidRDefault="008A5A12" w:rsidP="008A5A12">
                  <w:pPr>
                    <w:rPr>
                      <w:iCs/>
                      <w:sz w:val="20"/>
                    </w:rPr>
                  </w:pPr>
                </w:p>
              </w:tc>
            </w:tr>
          </w:tbl>
          <w:p w14:paraId="56B6F479" w14:textId="0EC7C26B" w:rsidR="00C61B40" w:rsidRPr="0013396E" w:rsidRDefault="00C61B40" w:rsidP="0058150D">
            <w:pPr>
              <w:rPr>
                <w:iCs/>
              </w:rPr>
            </w:pPr>
          </w:p>
        </w:tc>
      </w:tr>
    </w:tbl>
    <w:p w14:paraId="78D96BF2" w14:textId="72022AFC" w:rsidR="001F04FD" w:rsidRPr="0013396E" w:rsidRDefault="001F04FD" w:rsidP="001F04FD">
      <w:pPr>
        <w:pStyle w:val="BodyTextNumbered"/>
        <w:spacing w:before="240"/>
      </w:pPr>
      <w:r w:rsidRPr="0013396E">
        <w:lastRenderedPageBreak/>
        <w:t>(3)</w:t>
      </w:r>
      <w:r w:rsidRPr="0013396E">
        <w:tab/>
        <w:t xml:space="preserve">At the beginning of each hour, ERCOT shall post on the </w:t>
      </w:r>
      <w:r w:rsidR="0007207E" w:rsidRPr="0013396E">
        <w:t>ERCOT website</w:t>
      </w:r>
      <w:r w:rsidRPr="0013396E">
        <w:t xml:space="preserve"> the following information:</w:t>
      </w:r>
    </w:p>
    <w:p w14:paraId="480F08BE" w14:textId="77777777" w:rsidR="001F04FD" w:rsidRPr="0013396E" w:rsidRDefault="001F04FD" w:rsidP="001F04FD">
      <w:pPr>
        <w:pStyle w:val="List"/>
      </w:pPr>
      <w:r w:rsidRPr="0013396E">
        <w:t>(a)</w:t>
      </w:r>
      <w:r w:rsidRPr="0013396E">
        <w:tab/>
        <w:t>Changes in ERCOT System conditions that could affect the security and dynamic transmission limits of the ERCOT System, including:</w:t>
      </w:r>
    </w:p>
    <w:p w14:paraId="03CF352C" w14:textId="77777777" w:rsidR="001F04FD" w:rsidRPr="0013396E" w:rsidRDefault="001F04FD" w:rsidP="001F04FD">
      <w:pPr>
        <w:pStyle w:val="List2"/>
      </w:pPr>
      <w:r w:rsidRPr="0013396E">
        <w:t>(i)</w:t>
      </w:r>
      <w:r w:rsidRPr="0013396E">
        <w:tab/>
        <w:t>Changes or expected changes, in the status of Transmission Facilities as recorded in the Outage Scheduler for the remaining hours of the current Operating Day and all hours of the next Operating Day; and</w:t>
      </w:r>
    </w:p>
    <w:p w14:paraId="3F378BC9" w14:textId="77777777" w:rsidR="001F04FD" w:rsidRPr="0013396E" w:rsidRDefault="001F04FD" w:rsidP="001F04FD">
      <w:pPr>
        <w:pStyle w:val="List2"/>
      </w:pPr>
      <w:r w:rsidRPr="0013396E">
        <w:t>(ii)</w:t>
      </w:r>
      <w:r w:rsidRPr="0013396E">
        <w:tab/>
        <w:t>Any conditions such as adverse weather conditions as determined from the ERCOT-designated weather service;</w:t>
      </w:r>
    </w:p>
    <w:p w14:paraId="50FA7DB4" w14:textId="77777777" w:rsidR="001F04FD" w:rsidRPr="0013396E" w:rsidRDefault="001F04FD" w:rsidP="001F04FD">
      <w:pPr>
        <w:pStyle w:val="List"/>
      </w:pPr>
      <w:r w:rsidRPr="0013396E">
        <w:lastRenderedPageBreak/>
        <w:t>(b)</w:t>
      </w:r>
      <w:r w:rsidRPr="0013396E">
        <w:tab/>
      </w:r>
      <w:r w:rsidR="00DA5067" w:rsidRPr="0013396E">
        <w:t>Updated system-wide Mid-Term Load Forecasts (MTLFs) for all forecast models available to ERCOT Operations, as well as an indicator for which forecast was in use by ERCOT at the time of publication;</w:t>
      </w:r>
    </w:p>
    <w:p w14:paraId="34B53A82" w14:textId="77777777" w:rsidR="001F04FD" w:rsidRPr="0013396E" w:rsidRDefault="001F04FD" w:rsidP="00052E36">
      <w:pPr>
        <w:pStyle w:val="List"/>
      </w:pPr>
      <w:r w:rsidRPr="0013396E">
        <w:t>(c)</w:t>
      </w:r>
      <w:r w:rsidRPr="0013396E">
        <w:tab/>
        <w:t>The quantities of RMR Services deployed by ERCOT for each previous hour of the current Operating Day;</w:t>
      </w:r>
      <w:r w:rsidR="001F147F" w:rsidRPr="0013396E">
        <w:t xml:space="preserve"> and</w:t>
      </w:r>
    </w:p>
    <w:p w14:paraId="27925815" w14:textId="77777777" w:rsidR="001F04FD" w:rsidRPr="0013396E" w:rsidRDefault="001F04FD" w:rsidP="001F04FD">
      <w:pPr>
        <w:pStyle w:val="List"/>
        <w:rPr>
          <w:iCs/>
        </w:rPr>
      </w:pPr>
      <w:r w:rsidRPr="0013396E">
        <w:t>(d)</w:t>
      </w:r>
      <w:r w:rsidRPr="0013396E">
        <w:tab/>
        <w:t>Total ERCOT System Demand, from Real-Time operations, integrated over each Settlement Interval</w:t>
      </w:r>
      <w:r w:rsidR="001F147F" w:rsidRPr="0013396E">
        <w:t>.</w:t>
      </w:r>
      <w:bookmarkStart w:id="88" w:name="_Toc74137648"/>
    </w:p>
    <w:p w14:paraId="3449E2B7" w14:textId="58380500" w:rsidR="001F04FD" w:rsidRPr="0013396E" w:rsidRDefault="001F04FD" w:rsidP="00B67C64">
      <w:pPr>
        <w:pStyle w:val="List"/>
        <w:ind w:left="720"/>
      </w:pPr>
      <w:r w:rsidRPr="0013396E">
        <w:t>(4)</w:t>
      </w:r>
      <w:r w:rsidRPr="0013396E">
        <w:tab/>
      </w:r>
      <w:r w:rsidR="0018254B" w:rsidRPr="0013396E">
        <w:t xml:space="preserve">No later than 0600, ERCOT shall post on the </w:t>
      </w:r>
      <w:r w:rsidR="0007207E" w:rsidRPr="0013396E">
        <w:t>ERCOT website</w:t>
      </w:r>
      <w:r w:rsidR="0018254B" w:rsidRPr="0013396E">
        <w:t xml:space="preserve"> the actual system Load by Weather Zone, the actual system Load by Forecast Zone, and the actual system Load by Study Area for each hour of the previous Operating Day.</w:t>
      </w:r>
    </w:p>
    <w:p w14:paraId="118B4C18" w14:textId="7824A9C9" w:rsidR="004E0395" w:rsidRPr="0013396E" w:rsidRDefault="001F147F" w:rsidP="002F3F37">
      <w:pPr>
        <w:pStyle w:val="List"/>
        <w:ind w:left="720"/>
        <w:rPr>
          <w:iCs/>
        </w:rPr>
      </w:pPr>
      <w:r w:rsidRPr="0013396E">
        <w:t>(5)</w:t>
      </w:r>
      <w:r w:rsidRPr="0013396E">
        <w:tab/>
      </w:r>
      <w:r w:rsidR="00E62A42" w:rsidRPr="0013396E">
        <w:t xml:space="preserve">ERCOT shall provide notification to the market and post on the </w:t>
      </w:r>
      <w:r w:rsidR="0007207E" w:rsidRPr="0013396E">
        <w:t>ERCOT website</w:t>
      </w:r>
      <w:r w:rsidR="00E62A42" w:rsidRPr="0013396E">
        <w:t xml:space="preserve"> </w:t>
      </w:r>
      <w:r w:rsidR="00E62A42" w:rsidRPr="0013396E">
        <w:rPr>
          <w:iCs/>
        </w:rPr>
        <w:t>Electrical Bus Load distribution factors and other information necessary to forecast Electrical Bus Loads.  This report will be published when updates to the Load distribution factors are made.  Private Use Network net Load will be redacted from this posting.</w:t>
      </w:r>
    </w:p>
    <w:p w14:paraId="06C9735A" w14:textId="77777777" w:rsidR="001D4369" w:rsidRPr="0013396E" w:rsidRDefault="001D4369" w:rsidP="001D4369">
      <w:pPr>
        <w:spacing w:after="240"/>
        <w:ind w:left="720" w:hanging="720"/>
        <w:rPr>
          <w:iCs/>
        </w:rPr>
      </w:pPr>
      <w:r w:rsidRPr="0013396E">
        <w:rPr>
          <w:iCs/>
        </w:rPr>
        <w:t>(6)</w:t>
      </w:r>
      <w:r w:rsidRPr="0013396E">
        <w:rPr>
          <w:iCs/>
        </w:rPr>
        <w:tab/>
        <w:t>After every SCED run, ERCOT shall post to the ERCOT website the total capability of Resources available to provide the following Ancillary Service combinations, based on the Resource telemetry from the QSE and capped by the limits of the Resource</w:t>
      </w:r>
      <w:r w:rsidRPr="0013396E">
        <w:t xml:space="preserve"> and, for ESRs, further capped by Ancillary Service SCED duration requirements and current available State of Charge (SOC)</w:t>
      </w:r>
      <w:r w:rsidRPr="0013396E">
        <w:rPr>
          <w:iCs/>
        </w:rPr>
        <w:t>, for the most recent SCED execution:</w:t>
      </w:r>
    </w:p>
    <w:p w14:paraId="795AF2F9" w14:textId="77777777" w:rsidR="001D4369" w:rsidRPr="0013396E" w:rsidRDefault="001D4369" w:rsidP="001D4369">
      <w:pPr>
        <w:spacing w:after="240"/>
        <w:ind w:left="1440" w:hanging="720"/>
        <w:rPr>
          <w:color w:val="000000"/>
          <w:sz w:val="22"/>
          <w:szCs w:val="22"/>
        </w:rPr>
      </w:pPr>
      <w:r w:rsidRPr="0013396E">
        <w:rPr>
          <w:color w:val="000000"/>
        </w:rPr>
        <w:t>(a)</w:t>
      </w:r>
      <w:r w:rsidRPr="0013396E">
        <w:rPr>
          <w:color w:val="000000"/>
        </w:rPr>
        <w:tab/>
        <w:t>Capacity to provide Reg-Up, irrespective of whether it is capable of providing any other Ancillary Service;</w:t>
      </w:r>
    </w:p>
    <w:p w14:paraId="31282BE6" w14:textId="77777777" w:rsidR="001D4369" w:rsidRPr="0013396E" w:rsidRDefault="001D4369" w:rsidP="001D4369">
      <w:pPr>
        <w:spacing w:after="240"/>
        <w:ind w:left="1440" w:hanging="720"/>
        <w:rPr>
          <w:color w:val="000000"/>
        </w:rPr>
      </w:pPr>
      <w:r w:rsidRPr="0013396E">
        <w:rPr>
          <w:color w:val="000000"/>
        </w:rPr>
        <w:t>(b)</w:t>
      </w:r>
      <w:r w:rsidRPr="0013396E">
        <w:rPr>
          <w:color w:val="000000"/>
        </w:rPr>
        <w:tab/>
        <w:t>Capacity to provide RRS, irrespective of whether it is capable of providing any other Ancillary Service;</w:t>
      </w:r>
    </w:p>
    <w:p w14:paraId="6D28F0B1" w14:textId="77777777" w:rsidR="001D4369" w:rsidRPr="0013396E" w:rsidRDefault="001D4369" w:rsidP="001D4369">
      <w:pPr>
        <w:spacing w:after="240"/>
        <w:ind w:left="1440" w:hanging="720"/>
        <w:rPr>
          <w:color w:val="000000"/>
        </w:rPr>
      </w:pPr>
      <w:r w:rsidRPr="0013396E">
        <w:rPr>
          <w:color w:val="000000"/>
        </w:rPr>
        <w:t>(c)</w:t>
      </w:r>
      <w:r w:rsidRPr="0013396E">
        <w:rPr>
          <w:color w:val="000000"/>
        </w:rPr>
        <w:tab/>
        <w:t>Capacity to provide ECRS, irrespective of whether it is capable of providing any other Ancillary Service;</w:t>
      </w:r>
    </w:p>
    <w:p w14:paraId="56A6A3D8" w14:textId="77777777" w:rsidR="001D4369" w:rsidRPr="0013396E" w:rsidRDefault="001D4369" w:rsidP="001D4369">
      <w:pPr>
        <w:spacing w:after="240"/>
        <w:ind w:left="1440" w:hanging="720"/>
        <w:rPr>
          <w:color w:val="000000"/>
        </w:rPr>
      </w:pPr>
      <w:r w:rsidRPr="0013396E">
        <w:rPr>
          <w:color w:val="000000"/>
        </w:rPr>
        <w:t>(d)</w:t>
      </w:r>
      <w:r w:rsidRPr="0013396E">
        <w:rPr>
          <w:color w:val="000000"/>
        </w:rPr>
        <w:tab/>
        <w:t>Capacity to provide Non-Spin, irrespective of whether it is capable of providing any other Ancillary Service;</w:t>
      </w:r>
    </w:p>
    <w:p w14:paraId="51E884E3" w14:textId="77777777" w:rsidR="001D4369" w:rsidRPr="0013396E" w:rsidRDefault="001D4369" w:rsidP="001D4369">
      <w:pPr>
        <w:spacing w:after="240"/>
        <w:ind w:left="1440" w:hanging="720"/>
        <w:rPr>
          <w:color w:val="000000"/>
        </w:rPr>
      </w:pPr>
      <w:r w:rsidRPr="0013396E">
        <w:rPr>
          <w:color w:val="000000"/>
        </w:rPr>
        <w:t>(e)</w:t>
      </w:r>
      <w:r w:rsidRPr="0013396E">
        <w:rPr>
          <w:color w:val="000000"/>
        </w:rPr>
        <w:tab/>
        <w:t>Capacity to provide Reg-Up, RRS, or both, irrespective of whether it is capable of providing ECRS or Non-Spin;</w:t>
      </w:r>
    </w:p>
    <w:p w14:paraId="603ED620" w14:textId="77777777" w:rsidR="001D4369" w:rsidRPr="0013396E" w:rsidRDefault="001D4369" w:rsidP="001D4369">
      <w:pPr>
        <w:spacing w:after="240"/>
        <w:ind w:left="1440" w:hanging="720"/>
        <w:rPr>
          <w:color w:val="000000"/>
        </w:rPr>
      </w:pPr>
      <w:r w:rsidRPr="0013396E">
        <w:rPr>
          <w:color w:val="000000"/>
        </w:rPr>
        <w:t>(f)</w:t>
      </w:r>
      <w:r w:rsidRPr="0013396E">
        <w:rPr>
          <w:color w:val="000000"/>
        </w:rPr>
        <w:tab/>
        <w:t>Capacity to provide Reg-Up, RRS, ECRS, or any combination, irrespective of whether it is capable of providing Non-Spin;</w:t>
      </w:r>
    </w:p>
    <w:p w14:paraId="65A96569" w14:textId="77777777" w:rsidR="001D4369" w:rsidRPr="0013396E" w:rsidRDefault="001D4369" w:rsidP="001D4369">
      <w:pPr>
        <w:spacing w:after="240"/>
        <w:ind w:left="1440" w:hanging="720"/>
        <w:rPr>
          <w:color w:val="000000"/>
        </w:rPr>
      </w:pPr>
      <w:r w:rsidRPr="0013396E">
        <w:rPr>
          <w:color w:val="000000"/>
        </w:rPr>
        <w:t>(g)</w:t>
      </w:r>
      <w:r w:rsidRPr="0013396E">
        <w:rPr>
          <w:color w:val="000000"/>
        </w:rPr>
        <w:tab/>
        <w:t>Capacity to provide Reg-Up, RRS, ECRS, Non-Spin, or any combination; and</w:t>
      </w:r>
    </w:p>
    <w:p w14:paraId="2EA45A8B" w14:textId="77777777" w:rsidR="001D4369" w:rsidRPr="0013396E" w:rsidRDefault="001D4369" w:rsidP="001D4369">
      <w:pPr>
        <w:spacing w:after="240"/>
        <w:ind w:left="1440" w:hanging="720"/>
        <w:rPr>
          <w:iCs/>
        </w:rPr>
      </w:pPr>
      <w:r w:rsidRPr="0013396E">
        <w:rPr>
          <w:color w:val="000000"/>
        </w:rPr>
        <w:t>(h)</w:t>
      </w:r>
      <w:r w:rsidRPr="0013396E">
        <w:rPr>
          <w:color w:val="000000"/>
        </w:rPr>
        <w:tab/>
        <w:t>Capacity to provide Reg-Down</w:t>
      </w:r>
      <w:r w:rsidRPr="0013396E">
        <w:rPr>
          <w:iCs/>
        </w:rPr>
        <w:t>.</w:t>
      </w:r>
    </w:p>
    <w:p w14:paraId="343F548E" w14:textId="72324176" w:rsidR="001D4369" w:rsidRPr="0013396E" w:rsidRDefault="001D4369" w:rsidP="001D4369">
      <w:pPr>
        <w:pStyle w:val="List"/>
        <w:ind w:left="720"/>
        <w:rPr>
          <w:iCs/>
        </w:rPr>
      </w:pPr>
      <w:r w:rsidRPr="0013396E">
        <w:rPr>
          <w:iCs/>
        </w:rPr>
        <w:lastRenderedPageBreak/>
        <w:t>(7)</w:t>
      </w:r>
      <w:r w:rsidRPr="0013396E">
        <w:rPr>
          <w:iCs/>
        </w:rPr>
        <w:tab/>
        <w:t>Each week, ERCOT shall post on the ERCOT website the historical SCED-interval data described in paragraph (6) above.</w:t>
      </w:r>
    </w:p>
    <w:p w14:paraId="27F2DE61" w14:textId="23B3E80E" w:rsidR="001F04FD" w:rsidRPr="0013396E" w:rsidRDefault="001F04FD" w:rsidP="007A1E53">
      <w:pPr>
        <w:pStyle w:val="H3"/>
        <w:ind w:left="0" w:firstLine="0"/>
      </w:pPr>
      <w:bookmarkStart w:id="89" w:name="_Toc397504911"/>
      <w:bookmarkStart w:id="90" w:name="_Toc402357039"/>
      <w:bookmarkStart w:id="91" w:name="_Toc422486419"/>
      <w:bookmarkStart w:id="92" w:name="_Toc433093271"/>
      <w:bookmarkStart w:id="93" w:name="_Toc433093429"/>
      <w:bookmarkStart w:id="94" w:name="_Toc440874659"/>
      <w:bookmarkStart w:id="95" w:name="_Toc448142214"/>
      <w:bookmarkStart w:id="96" w:name="_Toc448142371"/>
      <w:bookmarkStart w:id="97" w:name="_Toc458770207"/>
      <w:bookmarkStart w:id="98" w:name="_Toc459294175"/>
      <w:bookmarkStart w:id="99" w:name="_Toc463262668"/>
      <w:bookmarkStart w:id="100" w:name="_Toc468286740"/>
      <w:bookmarkStart w:id="101" w:name="_Toc481502786"/>
      <w:bookmarkStart w:id="102" w:name="_Toc496079956"/>
      <w:bookmarkStart w:id="103" w:name="_Toc214878861"/>
      <w:r w:rsidRPr="0013396E">
        <w:t>6.3.3</w:t>
      </w:r>
      <w:r w:rsidRPr="0013396E">
        <w:tab/>
        <w:t>Real-Time Timeline Deviations</w: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p>
    <w:p w14:paraId="2B4A08C7" w14:textId="77777777" w:rsidR="001F04FD" w:rsidRPr="0013396E" w:rsidRDefault="001F04FD" w:rsidP="001F04FD">
      <w:pPr>
        <w:pStyle w:val="List"/>
        <w:spacing w:before="240"/>
        <w:ind w:left="720"/>
        <w:rPr>
          <w:iCs/>
        </w:rPr>
      </w:pPr>
      <w:r w:rsidRPr="0013396E">
        <w:t>(1)</w:t>
      </w:r>
      <w:r w:rsidRPr="0013396E">
        <w:tab/>
        <w:t xml:space="preserve">ERCOT may temporarily deviate from the Real-Time deadlines but only to the extent necessary to ensure the secure operation of the ERCOT System.  Temporary measures may include varying the timing requirements as specified below or omitting one or more procedures in the Real-Time Sequence.  </w:t>
      </w:r>
      <w:r w:rsidRPr="0013396E">
        <w:rPr>
          <w:iCs/>
        </w:rPr>
        <w:t>In such an event, ERCOT shall immediately issue a Watch and notify all QSEs of the following:</w:t>
      </w:r>
    </w:p>
    <w:p w14:paraId="523F9674" w14:textId="77777777" w:rsidR="001F04FD" w:rsidRPr="0013396E" w:rsidRDefault="001F04FD" w:rsidP="001F04FD">
      <w:pPr>
        <w:pStyle w:val="List"/>
      </w:pPr>
      <w:r w:rsidRPr="0013396E">
        <w:t>(a)</w:t>
      </w:r>
      <w:r w:rsidRPr="0013396E">
        <w:tab/>
        <w:t>Details of the affected timing requirements and procedures;</w:t>
      </w:r>
    </w:p>
    <w:p w14:paraId="6C7BCA03" w14:textId="77777777" w:rsidR="001F04FD" w:rsidRPr="0013396E" w:rsidRDefault="001F04FD" w:rsidP="001F04FD">
      <w:pPr>
        <w:pStyle w:val="List"/>
      </w:pPr>
      <w:r w:rsidRPr="0013396E">
        <w:t>(b)</w:t>
      </w:r>
      <w:r w:rsidRPr="0013396E">
        <w:tab/>
        <w:t>Details of any interim requirements;</w:t>
      </w:r>
    </w:p>
    <w:p w14:paraId="6401C82E" w14:textId="77777777" w:rsidR="001F04FD" w:rsidRPr="0013396E" w:rsidRDefault="001F04FD" w:rsidP="001F04FD">
      <w:pPr>
        <w:pStyle w:val="List"/>
      </w:pPr>
      <w:r w:rsidRPr="0013396E">
        <w:t>(c)</w:t>
      </w:r>
      <w:r w:rsidRPr="0013396E">
        <w:tab/>
        <w:t>An estimate of the period for which the interim requirements apply; and</w:t>
      </w:r>
    </w:p>
    <w:p w14:paraId="3369668D" w14:textId="77777777" w:rsidR="001F04FD" w:rsidRPr="0013396E" w:rsidRDefault="001F04FD" w:rsidP="001F04FD">
      <w:pPr>
        <w:pStyle w:val="List"/>
      </w:pPr>
      <w:r w:rsidRPr="0013396E">
        <w:t>(d)</w:t>
      </w:r>
      <w:r w:rsidRPr="0013396E">
        <w:tab/>
        <w:t>Reasons for the temporary variation.</w:t>
      </w:r>
    </w:p>
    <w:p w14:paraId="6D9000E4" w14:textId="77777777" w:rsidR="001F04FD" w:rsidRPr="0013396E" w:rsidRDefault="001F04FD" w:rsidP="001F04FD">
      <w:pPr>
        <w:pStyle w:val="H3"/>
        <w:spacing w:before="480"/>
      </w:pPr>
      <w:bookmarkStart w:id="104" w:name="_Toc397504912"/>
      <w:bookmarkStart w:id="105" w:name="_Toc402357040"/>
      <w:bookmarkStart w:id="106" w:name="_Toc422486420"/>
      <w:bookmarkStart w:id="107" w:name="_Toc433093272"/>
      <w:bookmarkStart w:id="108" w:name="_Toc433093430"/>
      <w:bookmarkStart w:id="109" w:name="_Toc440874660"/>
      <w:bookmarkStart w:id="110" w:name="_Toc448142215"/>
      <w:bookmarkStart w:id="111" w:name="_Toc448142372"/>
      <w:bookmarkStart w:id="112" w:name="_Toc458770208"/>
      <w:bookmarkStart w:id="113" w:name="_Toc459294176"/>
      <w:bookmarkStart w:id="114" w:name="_Toc463262669"/>
      <w:bookmarkStart w:id="115" w:name="_Toc468286741"/>
      <w:bookmarkStart w:id="116" w:name="_Toc481502787"/>
      <w:bookmarkStart w:id="117" w:name="_Toc496079957"/>
      <w:bookmarkStart w:id="118" w:name="_Toc214878862"/>
      <w:r w:rsidRPr="0013396E">
        <w:t>6.3.4</w:t>
      </w:r>
      <w:r w:rsidRPr="0013396E">
        <w:tab/>
        <w:t>ERCOT Notification of Validation Rules for Real-Time</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p>
    <w:p w14:paraId="487F2A95" w14:textId="77777777" w:rsidR="001F04FD" w:rsidRPr="0013396E" w:rsidRDefault="001F04FD" w:rsidP="001F04FD">
      <w:pPr>
        <w:pStyle w:val="List"/>
        <w:spacing w:before="240"/>
        <w:ind w:left="720"/>
      </w:pPr>
      <w:r w:rsidRPr="0013396E">
        <w:t>(1)</w:t>
      </w:r>
      <w:r w:rsidRPr="0013396E">
        <w:tab/>
        <w:t>ERCOT shall provide each QSE with the information necessary to pre-validate its data for Real-Time operations, including publishing validation rules for offers, bids, and trades.</w:t>
      </w:r>
    </w:p>
    <w:p w14:paraId="5191646E" w14:textId="77777777" w:rsidR="001F04FD" w:rsidRPr="0013396E" w:rsidRDefault="001F04FD" w:rsidP="001F04FD">
      <w:pPr>
        <w:pStyle w:val="H2"/>
        <w:spacing w:before="480"/>
        <w:ind w:left="907" w:hanging="907"/>
      </w:pPr>
      <w:bookmarkStart w:id="119" w:name="_Toc73215972"/>
      <w:bookmarkStart w:id="120" w:name="_Toc397504913"/>
      <w:bookmarkStart w:id="121" w:name="_Toc402357041"/>
      <w:bookmarkStart w:id="122" w:name="_Toc422486421"/>
      <w:bookmarkStart w:id="123" w:name="_Toc433093273"/>
      <w:bookmarkStart w:id="124" w:name="_Toc433093431"/>
      <w:bookmarkStart w:id="125" w:name="_Toc440874661"/>
      <w:bookmarkStart w:id="126" w:name="_Toc448142216"/>
      <w:bookmarkStart w:id="127" w:name="_Toc448142373"/>
      <w:bookmarkStart w:id="128" w:name="_Toc458770209"/>
      <w:bookmarkStart w:id="129" w:name="_Toc459294177"/>
      <w:bookmarkStart w:id="130" w:name="_Toc463262670"/>
      <w:bookmarkStart w:id="131" w:name="_Toc468286742"/>
      <w:bookmarkStart w:id="132" w:name="_Toc481502788"/>
      <w:bookmarkStart w:id="133" w:name="_Toc496079958"/>
      <w:bookmarkStart w:id="134" w:name="_Toc214878863"/>
      <w:r w:rsidRPr="0013396E">
        <w:t>6.4</w:t>
      </w:r>
      <w:r w:rsidRPr="0013396E">
        <w:tab/>
        <w:t>Adjustment Period</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p>
    <w:p w14:paraId="51C6A2AE" w14:textId="77777777" w:rsidR="001F04FD" w:rsidRPr="0013396E" w:rsidRDefault="001F04FD" w:rsidP="001F04FD">
      <w:pPr>
        <w:pStyle w:val="H3"/>
        <w:spacing w:before="480"/>
      </w:pPr>
      <w:bookmarkStart w:id="135" w:name="_Toc397504914"/>
      <w:bookmarkStart w:id="136" w:name="_Toc402357042"/>
      <w:bookmarkStart w:id="137" w:name="_Toc422486422"/>
      <w:bookmarkStart w:id="138" w:name="_Toc433093274"/>
      <w:bookmarkStart w:id="139" w:name="_Toc433093432"/>
      <w:bookmarkStart w:id="140" w:name="_Toc440874662"/>
      <w:bookmarkStart w:id="141" w:name="_Toc448142217"/>
      <w:bookmarkStart w:id="142" w:name="_Toc448142374"/>
      <w:bookmarkStart w:id="143" w:name="_Toc458770210"/>
      <w:bookmarkStart w:id="144" w:name="_Toc459294178"/>
      <w:bookmarkStart w:id="145" w:name="_Toc463262671"/>
      <w:bookmarkStart w:id="146" w:name="_Toc468286743"/>
      <w:bookmarkStart w:id="147" w:name="_Toc481502789"/>
      <w:bookmarkStart w:id="148" w:name="_Toc496079959"/>
      <w:bookmarkStart w:id="149" w:name="_Toc214878864"/>
      <w:bookmarkStart w:id="150" w:name="_Toc73215975"/>
      <w:r w:rsidRPr="0013396E">
        <w:t>6.4.1</w:t>
      </w:r>
      <w:r w:rsidRPr="0013396E">
        <w:tab/>
        <w:t>Capacity Trade, Energy Trade, Self-Schedule, and Ancillary Service Trades</w:t>
      </w:r>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r w:rsidRPr="0013396E">
        <w:t xml:space="preserve"> </w:t>
      </w:r>
      <w:bookmarkEnd w:id="150"/>
    </w:p>
    <w:p w14:paraId="4C5BDB6E" w14:textId="7B31A74A" w:rsidR="001F04FD" w:rsidRPr="0013396E" w:rsidRDefault="001F04FD" w:rsidP="001F04FD">
      <w:pPr>
        <w:pStyle w:val="BodyTextNumbered"/>
      </w:pPr>
      <w:r w:rsidRPr="0013396E">
        <w:t>(1)</w:t>
      </w:r>
      <w:r w:rsidRPr="0013396E">
        <w:tab/>
        <w:t xml:space="preserve">A detailed explanation of Capacity Trade criteria and validations performed by ERCOT is provided in Section 4.4.1, Capacity Trades. </w:t>
      </w:r>
      <w:r w:rsidR="000E6D97" w:rsidRPr="0013396E">
        <w:t xml:space="preserve"> </w:t>
      </w:r>
      <w:r w:rsidRPr="0013396E">
        <w:t xml:space="preserve">A </w:t>
      </w:r>
      <w:r w:rsidR="00C0502C" w:rsidRPr="0013396E">
        <w:t>Qualified Scheduling Entity (</w:t>
      </w:r>
      <w:r w:rsidRPr="0013396E">
        <w:t>QSE</w:t>
      </w:r>
      <w:r w:rsidR="00C0502C" w:rsidRPr="0013396E">
        <w:t>)</w:t>
      </w:r>
      <w:r w:rsidRPr="0013396E">
        <w:t xml:space="preserve"> may submit and update Capacity Trades during the Adjustment Period.</w:t>
      </w:r>
    </w:p>
    <w:p w14:paraId="7AFDEC37" w14:textId="77777777" w:rsidR="001F04FD" w:rsidRPr="0013396E" w:rsidRDefault="001F04FD" w:rsidP="001F04FD">
      <w:pPr>
        <w:pStyle w:val="BodyTextNumbered"/>
      </w:pPr>
      <w:r w:rsidRPr="0013396E">
        <w:t>(2)</w:t>
      </w:r>
      <w:r w:rsidRPr="0013396E">
        <w:tab/>
        <w:t>A detailed explanation of Energy Trade criteria and validations performed by ERCOT is provided in Section 4.4.2, Energy Trades.  A QSE may submit and update Energy Trades during the Adjustment Period and through 1430 on the day following the Operating Day for Settlement.</w:t>
      </w:r>
    </w:p>
    <w:p w14:paraId="7A5BF157" w14:textId="77777777" w:rsidR="001F04FD" w:rsidRPr="0013396E" w:rsidRDefault="001F04FD" w:rsidP="001F04FD">
      <w:pPr>
        <w:pStyle w:val="BodyTextNumbered"/>
      </w:pPr>
      <w:r w:rsidRPr="0013396E">
        <w:t>(3)</w:t>
      </w:r>
      <w:r w:rsidRPr="0013396E">
        <w:tab/>
        <w:t xml:space="preserve">A detailed explanation of Self-Schedule criteria and validations performed by ERCOT is provided in Section 4.4.3, Self-Schedules.  A QSE may submit and update Self-Schedules during the Adjustment Period. </w:t>
      </w:r>
    </w:p>
    <w:p w14:paraId="5E7EBF46" w14:textId="5B878EF5" w:rsidR="00070608" w:rsidRPr="0013396E" w:rsidRDefault="001F04FD" w:rsidP="001F04FD">
      <w:pPr>
        <w:pStyle w:val="BodyTextNumbered"/>
      </w:pPr>
      <w:r w:rsidRPr="0013396E">
        <w:t>(4)</w:t>
      </w:r>
      <w:r w:rsidRPr="0013396E">
        <w:tab/>
      </w:r>
      <w:r w:rsidR="002A38DB" w:rsidRPr="0013396E">
        <w:rPr>
          <w:iCs/>
        </w:rPr>
        <w:t>A detailed explanation of Ancillary Service Trade criteria and validations performed by ERCOT is provided in Section 4.4.7.3, Ancillary Service Trades.  A QSE may submit and update Ancillary Service Trades during the Adjustment Period.</w:t>
      </w:r>
    </w:p>
    <w:p w14:paraId="0F5FBFA0" w14:textId="77777777" w:rsidR="001F04FD" w:rsidRPr="0013396E" w:rsidRDefault="001F04FD" w:rsidP="007A1E53">
      <w:pPr>
        <w:pStyle w:val="H3"/>
      </w:pPr>
      <w:bookmarkStart w:id="151" w:name="_Toc73215976"/>
      <w:bookmarkStart w:id="152" w:name="_Toc397504915"/>
      <w:bookmarkStart w:id="153" w:name="_Toc402357043"/>
      <w:bookmarkStart w:id="154" w:name="_Toc422486423"/>
      <w:bookmarkStart w:id="155" w:name="_Toc433093275"/>
      <w:bookmarkStart w:id="156" w:name="_Toc433093433"/>
      <w:bookmarkStart w:id="157" w:name="_Toc440874663"/>
      <w:bookmarkStart w:id="158" w:name="_Toc448142218"/>
      <w:bookmarkStart w:id="159" w:name="_Toc448142375"/>
      <w:bookmarkStart w:id="160" w:name="_Toc458770211"/>
      <w:bookmarkStart w:id="161" w:name="_Toc459294179"/>
      <w:bookmarkStart w:id="162" w:name="_Toc463262672"/>
      <w:bookmarkStart w:id="163" w:name="_Toc468286744"/>
      <w:bookmarkStart w:id="164" w:name="_Toc481502790"/>
      <w:bookmarkStart w:id="165" w:name="_Toc496079960"/>
      <w:bookmarkStart w:id="166" w:name="_Toc119310185"/>
      <w:bookmarkStart w:id="167" w:name="_Toc214878865"/>
      <w:r w:rsidRPr="0013396E">
        <w:lastRenderedPageBreak/>
        <w:t>6.4.2</w:t>
      </w:r>
      <w:r w:rsidRPr="0013396E">
        <w:tab/>
        <w:t>Output Schedules</w:t>
      </w:r>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p w14:paraId="22933CA3" w14:textId="1562369D" w:rsidR="002A38DB" w:rsidRPr="0013396E" w:rsidRDefault="002A38DB" w:rsidP="002A38DB">
      <w:pPr>
        <w:spacing w:after="240"/>
        <w:ind w:left="720" w:hanging="720"/>
      </w:pPr>
      <w:r w:rsidRPr="0013396E">
        <w:t>(1)</w:t>
      </w:r>
      <w:r w:rsidRPr="0013396E">
        <w:tab/>
        <w:t xml:space="preserve">A QSE that represents a Resource, other than a </w:t>
      </w:r>
      <w:r w:rsidR="00414995">
        <w:t>Reliability Must-Run (</w:t>
      </w:r>
      <w:r w:rsidRPr="0013396E">
        <w:t>RMR</w:t>
      </w:r>
      <w:r w:rsidR="00414995">
        <w:t>)</w:t>
      </w:r>
      <w:r w:rsidRPr="0013396E">
        <w:t xml:space="preserve"> Unit, must submit and maintain an Energy Offer Curve, an Energy Bid/Offer Curve, or an Output Schedule for the Resource for all times when the Resource is On-Line.</w:t>
      </w:r>
    </w:p>
    <w:p w14:paraId="0589EAF9" w14:textId="77777777" w:rsidR="002A38DB" w:rsidRPr="0013396E" w:rsidRDefault="002A38DB" w:rsidP="002A38DB">
      <w:pPr>
        <w:spacing w:after="240"/>
        <w:ind w:left="720" w:hanging="720"/>
      </w:pPr>
      <w:r w:rsidRPr="0013396E">
        <w:t>(2)</w:t>
      </w:r>
      <w:r w:rsidRPr="0013396E">
        <w:tab/>
        <w:t>The entry of an Energy Offer Curve or Energy Bid/Offer Curve for a Resource automatically nullifies the Output Schedule for that Resource and prohibits entry of future Output Schedules for that Resource for the time during which the Energy Offer Curve or Energy Bid/Offer Curve is in effect.</w:t>
      </w:r>
    </w:p>
    <w:p w14:paraId="55F96721" w14:textId="0F32E09B" w:rsidR="001F04FD" w:rsidRPr="0013396E" w:rsidRDefault="002A38DB" w:rsidP="001F04FD">
      <w:pPr>
        <w:pStyle w:val="BodyTextNumbered"/>
      </w:pPr>
      <w:r w:rsidRPr="0013396E">
        <w:t>(3)</w:t>
      </w:r>
      <w:r w:rsidRPr="0013396E">
        <w:tab/>
        <w:t>For a Resource for which an Energy Offer Curve or Energy Bid/Offer Curve has not been submitted, the Security-Constrained Economic Dispatch (SCED) process uses the Output Schedule submitted for that Resource as desired Dispatch levels for the Resource.</w:t>
      </w:r>
    </w:p>
    <w:p w14:paraId="5BF62EE2" w14:textId="16914566" w:rsidR="001F04FD" w:rsidRPr="0013396E" w:rsidRDefault="001F04FD" w:rsidP="007A1E53">
      <w:pPr>
        <w:pStyle w:val="H4"/>
        <w:ind w:left="1267" w:hanging="1267"/>
      </w:pPr>
      <w:bookmarkStart w:id="168" w:name="_Toc93908289"/>
      <w:bookmarkStart w:id="169" w:name="_Toc397504916"/>
      <w:bookmarkStart w:id="170" w:name="_Toc402357044"/>
      <w:bookmarkStart w:id="171" w:name="_Toc422486424"/>
      <w:bookmarkStart w:id="172" w:name="_Toc433093276"/>
      <w:bookmarkStart w:id="173" w:name="_Toc433093434"/>
      <w:bookmarkStart w:id="174" w:name="_Toc440874664"/>
      <w:bookmarkStart w:id="175" w:name="_Toc448142219"/>
      <w:bookmarkStart w:id="176" w:name="_Toc448142376"/>
      <w:bookmarkStart w:id="177" w:name="_Toc458770212"/>
      <w:bookmarkStart w:id="178" w:name="_Toc459294180"/>
      <w:bookmarkStart w:id="179" w:name="_Toc463262673"/>
      <w:bookmarkStart w:id="180" w:name="_Toc468286745"/>
      <w:bookmarkStart w:id="181" w:name="_Toc481502791"/>
      <w:bookmarkStart w:id="182" w:name="_Toc496079961"/>
      <w:bookmarkStart w:id="183" w:name="_Toc214878866"/>
      <w:r w:rsidRPr="0013396E">
        <w:t>6.4.2.1</w:t>
      </w:r>
      <w:r w:rsidRPr="0013396E">
        <w:tab/>
        <w:t>Output Schedules for Resources</w:t>
      </w:r>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0BC526FB" w14:textId="77777777" w:rsidR="002A38DB" w:rsidRPr="0013396E" w:rsidRDefault="002A38DB" w:rsidP="002A38DB">
      <w:pPr>
        <w:spacing w:after="240"/>
        <w:ind w:left="720" w:hanging="720"/>
      </w:pPr>
      <w:r w:rsidRPr="0013396E">
        <w:t>(1)</w:t>
      </w:r>
      <w:r w:rsidRPr="0013396E">
        <w:tab/>
        <w:t xml:space="preserve">An Output Schedule for a Resource may be submitted and updated only during the Adjustment Period.  An Output Schedule for a Resource may be submitted and updated for each five-minute interval for each Operating Hour.  </w:t>
      </w:r>
    </w:p>
    <w:p w14:paraId="25752255" w14:textId="77777777" w:rsidR="002A38DB" w:rsidRPr="0013396E" w:rsidRDefault="002A38DB" w:rsidP="002A38DB">
      <w:pPr>
        <w:spacing w:after="240"/>
        <w:ind w:left="720" w:hanging="720"/>
      </w:pPr>
      <w:r w:rsidRPr="0013396E">
        <w:t>(2)</w:t>
      </w:r>
      <w:r w:rsidRPr="0013396E">
        <w:tab/>
        <w:t>For a Resource that is On-Line, the following provisions apply:</w:t>
      </w:r>
    </w:p>
    <w:p w14:paraId="19B2E4BB" w14:textId="77777777" w:rsidR="002A38DB" w:rsidRPr="0013396E" w:rsidRDefault="002A38DB" w:rsidP="002A38DB">
      <w:pPr>
        <w:spacing w:after="240"/>
        <w:ind w:left="1440" w:hanging="720"/>
      </w:pPr>
      <w:r w:rsidRPr="0013396E">
        <w:t>(a)</w:t>
      </w:r>
      <w:r w:rsidRPr="0013396E">
        <w:tab/>
        <w:t>The Output Schedule for a Qualifying Facility (QF) not submitting an Energy Offer Curve is considered to be equal to the telemetered output of the QF at the time that the SCED runs;</w:t>
      </w:r>
    </w:p>
    <w:p w14:paraId="7EFDA934" w14:textId="77777777" w:rsidR="002A38DB" w:rsidRPr="0013396E" w:rsidRDefault="002A38DB" w:rsidP="002A38DB">
      <w:pPr>
        <w:spacing w:after="240"/>
        <w:ind w:left="1440" w:hanging="720"/>
      </w:pPr>
      <w:r w:rsidRPr="0013396E">
        <w:t>(b)</w:t>
      </w:r>
      <w:r w:rsidRPr="0013396E">
        <w:tab/>
        <w:t>The Output Schedule for Intermittent Renewable Resources (IRR) not submitting Energy Offer Curves is considered to be equal to the telemetered output of the Resource at the time that the SCED runs; and</w:t>
      </w:r>
    </w:p>
    <w:p w14:paraId="6E50B32F" w14:textId="0409DAD8" w:rsidR="001F04FD" w:rsidRPr="0013396E" w:rsidRDefault="002A38DB" w:rsidP="001F04FD">
      <w:pPr>
        <w:pStyle w:val="List"/>
      </w:pPr>
      <w:r w:rsidRPr="0013396E">
        <w:t>(c)</w:t>
      </w:r>
      <w:r w:rsidRPr="0013396E">
        <w:tab/>
        <w:t>ERCOT shall create proxy Energy Offer Curves or proxy Energy Bid/Offer Curves for the Resource under paragraph (4)(a) of Section 6.5.7.3, Security Constrained Economic Dispatch.</w:t>
      </w:r>
    </w:p>
    <w:p w14:paraId="56B5810B" w14:textId="3D78D344" w:rsidR="001F04FD" w:rsidRPr="0013396E" w:rsidRDefault="001F04FD" w:rsidP="007A1E53">
      <w:pPr>
        <w:pStyle w:val="H4"/>
        <w:tabs>
          <w:tab w:val="center" w:pos="4680"/>
        </w:tabs>
        <w:ind w:left="1267" w:hanging="1267"/>
      </w:pPr>
      <w:bookmarkStart w:id="184" w:name="_Toc73215977"/>
      <w:bookmarkStart w:id="185" w:name="_Toc397504918"/>
      <w:bookmarkStart w:id="186" w:name="_Toc402357046"/>
      <w:bookmarkStart w:id="187" w:name="_Toc422486426"/>
      <w:bookmarkStart w:id="188" w:name="_Toc433093278"/>
      <w:bookmarkStart w:id="189" w:name="_Toc433093436"/>
      <w:bookmarkStart w:id="190" w:name="_Toc440874666"/>
      <w:bookmarkStart w:id="191" w:name="_Toc448142221"/>
      <w:bookmarkStart w:id="192" w:name="_Toc448142378"/>
      <w:bookmarkStart w:id="193" w:name="_Toc458770214"/>
      <w:bookmarkStart w:id="194" w:name="_Toc459294182"/>
      <w:bookmarkStart w:id="195" w:name="_Toc463262675"/>
      <w:bookmarkStart w:id="196" w:name="_Toc468286747"/>
      <w:bookmarkStart w:id="197" w:name="_Toc481502793"/>
      <w:bookmarkStart w:id="198" w:name="_Toc496079963"/>
      <w:bookmarkStart w:id="199" w:name="_Toc214878867"/>
      <w:r w:rsidRPr="0013396E">
        <w:t>6.4.2.</w:t>
      </w:r>
      <w:r w:rsidR="002A38DB" w:rsidRPr="0013396E">
        <w:t>2</w:t>
      </w:r>
      <w:r w:rsidRPr="0013396E">
        <w:tab/>
        <w:t>Output Schedule Criteria</w:t>
      </w:r>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p>
    <w:p w14:paraId="0C245F76" w14:textId="77777777" w:rsidR="001F04FD" w:rsidRPr="0013396E" w:rsidRDefault="001F04FD" w:rsidP="001F04FD">
      <w:pPr>
        <w:pStyle w:val="BodyTextNumbered"/>
      </w:pPr>
      <w:r w:rsidRPr="0013396E">
        <w:t>(1)</w:t>
      </w:r>
      <w:r w:rsidRPr="0013396E">
        <w:tab/>
        <w:t>An Output Schedule submitted by a QSE for a Resource must include the following:</w:t>
      </w:r>
    </w:p>
    <w:p w14:paraId="6A6EEAE3" w14:textId="77777777" w:rsidR="001F04FD" w:rsidRPr="0013396E" w:rsidRDefault="001F04FD" w:rsidP="001F04FD">
      <w:pPr>
        <w:pStyle w:val="List"/>
      </w:pPr>
      <w:r w:rsidRPr="0013396E">
        <w:t>(a)</w:t>
      </w:r>
      <w:r w:rsidRPr="0013396E">
        <w:tab/>
        <w:t>The name of the Entity submitting the Output Schedule for the Resource;</w:t>
      </w:r>
    </w:p>
    <w:p w14:paraId="3C35E912" w14:textId="77777777" w:rsidR="001F04FD" w:rsidRPr="0013396E" w:rsidRDefault="001F04FD" w:rsidP="001F04FD">
      <w:pPr>
        <w:pStyle w:val="List"/>
      </w:pPr>
      <w:r w:rsidRPr="0013396E">
        <w:t>(b)</w:t>
      </w:r>
      <w:r w:rsidRPr="0013396E">
        <w:tab/>
        <w:t>The name of the Resource;</w:t>
      </w:r>
    </w:p>
    <w:p w14:paraId="7B3B32E0" w14:textId="6E1DB179" w:rsidR="001F04FD" w:rsidRPr="0013396E" w:rsidRDefault="001F04FD" w:rsidP="001F04FD">
      <w:pPr>
        <w:pStyle w:val="List"/>
      </w:pPr>
      <w:r w:rsidRPr="0013396E">
        <w:t>(c)</w:t>
      </w:r>
      <w:r w:rsidRPr="0013396E">
        <w:tab/>
      </w:r>
      <w:r w:rsidR="002A38DB" w:rsidRPr="0013396E">
        <w:t>The desired MW output level for each five-minute interval for the Resource for all of the remaining five-minute intervals in the Operating Day for which an Energy Offer Curve or Energy Bid/Offer Curve has not been submitted.</w:t>
      </w:r>
    </w:p>
    <w:p w14:paraId="291BA553" w14:textId="05334EEA" w:rsidR="001F04FD" w:rsidRPr="0013396E" w:rsidRDefault="001F04FD" w:rsidP="007A1E53">
      <w:pPr>
        <w:pStyle w:val="BodyTextNumbered"/>
      </w:pPr>
      <w:r w:rsidRPr="0013396E">
        <w:lastRenderedPageBreak/>
        <w:t>(2)</w:t>
      </w:r>
      <w:r w:rsidRPr="0013396E">
        <w:tab/>
      </w:r>
      <w:r w:rsidR="002A38DB" w:rsidRPr="0013396E">
        <w:t>ERCOT must reject an Output Schedule for a Resource if an Energy Offer Curve or Energy Bid/Offer Curve corresponding to any period in the Output Schedule exists;</w:t>
      </w:r>
    </w:p>
    <w:p w14:paraId="7DD7FE4A" w14:textId="7E8809D3" w:rsidR="001F04FD" w:rsidRPr="0013396E" w:rsidRDefault="001F04FD" w:rsidP="007A1E53">
      <w:pPr>
        <w:pStyle w:val="BodyTextNumbered"/>
      </w:pPr>
      <w:r w:rsidRPr="0013396E">
        <w:t>(</w:t>
      </w:r>
      <w:r w:rsidR="002A38DB" w:rsidRPr="0013396E">
        <w:t>3</w:t>
      </w:r>
      <w:r w:rsidRPr="0013396E">
        <w:t>)</w:t>
      </w:r>
      <w:r w:rsidRPr="0013396E">
        <w:tab/>
      </w:r>
      <w:r w:rsidR="002A38DB" w:rsidRPr="0013396E">
        <w:t>The MW difference between Output Schedules for any two consecutive five-minute intervals must be less than ten times the Normal Ramp Rate up for schedules showing an increase from the prior period and the Normal Ramp Rate down for schedules showing a decrease from the prior period.</w:t>
      </w:r>
    </w:p>
    <w:p w14:paraId="62434D0C" w14:textId="6D5C66D1" w:rsidR="001F04FD" w:rsidRPr="0013396E" w:rsidRDefault="001F04FD" w:rsidP="007A1E53">
      <w:pPr>
        <w:pStyle w:val="BodyTextNumbered"/>
      </w:pPr>
      <w:r w:rsidRPr="0013396E">
        <w:t>(</w:t>
      </w:r>
      <w:r w:rsidR="002A38DB" w:rsidRPr="0013396E">
        <w:t>4</w:t>
      </w:r>
      <w:r w:rsidRPr="0013396E">
        <w:t>)</w:t>
      </w:r>
      <w:r w:rsidRPr="0013396E">
        <w:tab/>
        <w:t>The Output Schedule for each interval in the Operating Period must be less than or equal to the Resource’s High Sustained Limit (HSL) and must be greater than or equal to the Resource’s Low Sustained Limit (LSL) for the corresponding hour.</w:t>
      </w:r>
    </w:p>
    <w:p w14:paraId="4AEFC26A" w14:textId="68712D8F" w:rsidR="001F04FD" w:rsidRPr="0013396E" w:rsidRDefault="001F04FD" w:rsidP="001F04FD">
      <w:pPr>
        <w:pStyle w:val="H4"/>
        <w:spacing w:before="480"/>
        <w:ind w:left="1267" w:hanging="1267"/>
      </w:pPr>
      <w:bookmarkStart w:id="200" w:name="_Toc397504919"/>
      <w:bookmarkStart w:id="201" w:name="_Toc402357047"/>
      <w:bookmarkStart w:id="202" w:name="_Toc422486427"/>
      <w:bookmarkStart w:id="203" w:name="_Toc433093279"/>
      <w:bookmarkStart w:id="204" w:name="_Toc433093437"/>
      <w:bookmarkStart w:id="205" w:name="_Toc440874667"/>
      <w:bookmarkStart w:id="206" w:name="_Toc448142222"/>
      <w:bookmarkStart w:id="207" w:name="_Toc448142379"/>
      <w:bookmarkStart w:id="208" w:name="_Toc458770215"/>
      <w:bookmarkStart w:id="209" w:name="_Toc459294183"/>
      <w:bookmarkStart w:id="210" w:name="_Toc463262676"/>
      <w:bookmarkStart w:id="211" w:name="_Toc468286748"/>
      <w:bookmarkStart w:id="212" w:name="_Toc481502794"/>
      <w:bookmarkStart w:id="213" w:name="_Toc496079964"/>
      <w:bookmarkStart w:id="214" w:name="_Toc214878868"/>
      <w:r w:rsidRPr="0013396E">
        <w:t>6.4.2.</w:t>
      </w:r>
      <w:r w:rsidR="002A38DB" w:rsidRPr="0013396E">
        <w:t>3</w:t>
      </w:r>
      <w:r w:rsidRPr="0013396E">
        <w:tab/>
        <w:t>Output Schedule Validation</w:t>
      </w:r>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p>
    <w:p w14:paraId="6B023C6A" w14:textId="6B41A036" w:rsidR="001F04FD" w:rsidRPr="0013396E" w:rsidRDefault="001F04FD" w:rsidP="001F04FD">
      <w:pPr>
        <w:pStyle w:val="BodyTextNumbered"/>
      </w:pPr>
      <w:r w:rsidRPr="0013396E">
        <w:t>(1)</w:t>
      </w:r>
      <w:r w:rsidRPr="0013396E">
        <w:tab/>
        <w:t>A validated Output Schedule is a schedule that ERCOT has determined meets the criteria listed in Section 6.4.2.</w:t>
      </w:r>
      <w:r w:rsidR="00101759">
        <w:t>2</w:t>
      </w:r>
      <w:r w:rsidRPr="0013396E">
        <w:t>, Output Schedule Criteria.</w:t>
      </w:r>
    </w:p>
    <w:p w14:paraId="4FD49B87" w14:textId="77777777" w:rsidR="001F04FD" w:rsidRPr="0013396E" w:rsidRDefault="001F04FD" w:rsidP="001F04FD">
      <w:pPr>
        <w:pStyle w:val="BodyTextNumbered"/>
      </w:pPr>
      <w:r w:rsidRPr="0013396E">
        <w:t>(2)</w:t>
      </w:r>
      <w:r w:rsidRPr="0013396E">
        <w:tab/>
        <w:t>ERCOT shall notify the QSE submitting an Output Schedule by the Messaging System if the schedule was rejected or was considered invalid for any reason.  The QSE may then resubmit the schedule within the appropriate market timeline.</w:t>
      </w:r>
    </w:p>
    <w:p w14:paraId="2A5F6EF9" w14:textId="77777777" w:rsidR="001F04FD" w:rsidRPr="0013396E" w:rsidRDefault="001F04FD" w:rsidP="001F04FD">
      <w:pPr>
        <w:pStyle w:val="BodyTextNumbered"/>
      </w:pPr>
      <w:r w:rsidRPr="0013396E">
        <w:t>(3)</w:t>
      </w:r>
      <w:r w:rsidRPr="0013396E">
        <w:tab/>
        <w:t>ERCOT shall continuously validate Output Schedules and continuously display on the Market Information System (MIS) Certified Area information that allows any QSE to view its valid Output Schedule.</w:t>
      </w:r>
    </w:p>
    <w:p w14:paraId="37CB0B23" w14:textId="6FD832E0" w:rsidR="001F04FD" w:rsidRPr="0013396E" w:rsidRDefault="001F04FD" w:rsidP="007A1E53">
      <w:pPr>
        <w:spacing w:after="240"/>
        <w:ind w:left="720" w:hanging="720"/>
      </w:pPr>
      <w:r w:rsidRPr="0013396E">
        <w:t>(</w:t>
      </w:r>
      <w:r w:rsidR="00815042" w:rsidRPr="0013396E">
        <w:t>4</w:t>
      </w:r>
      <w:r w:rsidRPr="0013396E">
        <w:t>)</w:t>
      </w:r>
      <w:r w:rsidRPr="0013396E">
        <w:tab/>
      </w:r>
      <w:r w:rsidR="00815042" w:rsidRPr="0013396E">
        <w:t>For Generation Resources with a Resource Status other than ONTEST, STARTUP, or SHUTDOWN, if a valid Energy Offer Curve or an Output Schedule does not exist for a Resource that has a status of On-Line at the end of the Adjustment Period, then ERCOT shall notify the QSE and set the Output Schedule equal to the then current telemetered output of the Resource until an Output Schedule or Energy Offer Curve is submitted in a subsequent Adjustment Period.</w:t>
      </w:r>
    </w:p>
    <w:p w14:paraId="43488063" w14:textId="77777777" w:rsidR="001F04FD" w:rsidRPr="0013396E" w:rsidRDefault="001F04FD" w:rsidP="007A1E53">
      <w:pPr>
        <w:pStyle w:val="H3"/>
      </w:pPr>
      <w:bookmarkStart w:id="215" w:name="_Toc397504921"/>
      <w:bookmarkStart w:id="216" w:name="_Toc402357049"/>
      <w:bookmarkStart w:id="217" w:name="_Toc422486429"/>
      <w:bookmarkStart w:id="218" w:name="_Toc433093281"/>
      <w:bookmarkStart w:id="219" w:name="_Toc433093439"/>
      <w:bookmarkStart w:id="220" w:name="_Toc440874669"/>
      <w:bookmarkStart w:id="221" w:name="_Toc448142224"/>
      <w:bookmarkStart w:id="222" w:name="_Toc448142381"/>
      <w:bookmarkStart w:id="223" w:name="_Toc458770217"/>
      <w:bookmarkStart w:id="224" w:name="_Toc459294185"/>
      <w:bookmarkStart w:id="225" w:name="_Toc463262678"/>
      <w:bookmarkStart w:id="226" w:name="_Toc468286750"/>
      <w:bookmarkStart w:id="227" w:name="_Toc481502796"/>
      <w:bookmarkStart w:id="228" w:name="_Toc496079966"/>
      <w:bookmarkStart w:id="229" w:name="_Toc214878869"/>
      <w:r w:rsidRPr="0013396E">
        <w:t>6.4.3</w:t>
      </w:r>
      <w:r w:rsidRPr="0013396E">
        <w:tab/>
        <w:t>Real-Time Market (RTM) Energy Bids and Offers</w:t>
      </w:r>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D3410D" w:rsidRPr="0013396E" w14:paraId="4D478754" w14:textId="77777777" w:rsidTr="00F5593C">
        <w:trPr>
          <w:trHeight w:val="206"/>
        </w:trPr>
        <w:tc>
          <w:tcPr>
            <w:tcW w:w="9350" w:type="dxa"/>
            <w:shd w:val="pct12" w:color="auto" w:fill="auto"/>
          </w:tcPr>
          <w:p w14:paraId="3DE5AA58" w14:textId="52EDFEFD" w:rsidR="00D3410D" w:rsidRPr="0013396E" w:rsidRDefault="00D3410D" w:rsidP="00F5593C">
            <w:pPr>
              <w:pStyle w:val="Instructions"/>
              <w:spacing w:before="120"/>
            </w:pPr>
            <w:bookmarkStart w:id="230" w:name="_Toc397504922"/>
            <w:bookmarkStart w:id="231" w:name="_Toc402357050"/>
            <w:bookmarkStart w:id="232" w:name="_Toc422486430"/>
            <w:bookmarkStart w:id="233" w:name="_Toc433093282"/>
            <w:bookmarkStart w:id="234" w:name="_Toc433093440"/>
            <w:bookmarkStart w:id="235" w:name="_Toc440874670"/>
            <w:bookmarkStart w:id="236" w:name="_Toc448142225"/>
            <w:bookmarkStart w:id="237" w:name="_Toc448142382"/>
            <w:bookmarkStart w:id="238" w:name="_Toc458770218"/>
            <w:bookmarkStart w:id="239" w:name="_Toc459294186"/>
            <w:bookmarkStart w:id="240" w:name="_Toc463262679"/>
            <w:bookmarkStart w:id="241" w:name="_Toc468286751"/>
            <w:bookmarkStart w:id="242" w:name="_Toc481502797"/>
            <w:bookmarkStart w:id="243" w:name="_Toc496079967"/>
            <w:bookmarkStart w:id="244" w:name="_Hlk120515232"/>
            <w:bookmarkStart w:id="245" w:name="_Hlk174601017"/>
            <w:r w:rsidRPr="0013396E">
              <w:t>[NPRR1188:  Replace the title for Section 6.4.3 above with the following upon system implementation:]</w:t>
            </w:r>
          </w:p>
          <w:p w14:paraId="2EC4C1B2" w14:textId="2909E83F" w:rsidR="00D3410D" w:rsidRPr="0013396E" w:rsidRDefault="00D3410D" w:rsidP="00D3410D">
            <w:pPr>
              <w:pStyle w:val="H3"/>
              <w:spacing w:before="480"/>
            </w:pPr>
            <w:bookmarkStart w:id="246" w:name="_Toc214878870"/>
            <w:r w:rsidRPr="0013396E">
              <w:t>6.4.3</w:t>
            </w:r>
            <w:r w:rsidRPr="0013396E">
              <w:tab/>
              <w:t>[RESERVED]</w:t>
            </w:r>
            <w:bookmarkEnd w:id="246"/>
          </w:p>
        </w:tc>
      </w:tr>
    </w:tbl>
    <w:p w14:paraId="4F723D71" w14:textId="77777777" w:rsidR="001F04FD" w:rsidRPr="0013396E" w:rsidRDefault="001F04FD" w:rsidP="001F04FD">
      <w:pPr>
        <w:pStyle w:val="H4"/>
        <w:spacing w:before="480"/>
      </w:pPr>
      <w:bookmarkStart w:id="247" w:name="_Toc214878871"/>
      <w:r w:rsidRPr="00886E1B">
        <w:t>6.4.3.1</w:t>
      </w:r>
      <w:r w:rsidRPr="00886E1B">
        <w:tab/>
        <w:t>RTM Energy Bids</w:t>
      </w:r>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7"/>
    </w:p>
    <w:p w14:paraId="1A8873B8" w14:textId="667893EB" w:rsidR="001F04FD" w:rsidRPr="0013396E" w:rsidRDefault="001F04FD" w:rsidP="00F468C2">
      <w:pPr>
        <w:pStyle w:val="BodyTextNumbered"/>
      </w:pPr>
      <w:r w:rsidRPr="0013396E">
        <w:t>(</w:t>
      </w:r>
      <w:r w:rsidR="0053020C" w:rsidRPr="0013396E">
        <w:t>1</w:t>
      </w:r>
      <w:r w:rsidRPr="0013396E">
        <w:t>)</w:t>
      </w:r>
      <w:r w:rsidRPr="0013396E">
        <w:tab/>
      </w:r>
      <w:r w:rsidR="00492BE2" w:rsidRPr="0013396E">
        <w:t>An RTM Energy Bid represents the willingness to buy energy at or below a certain price, not to exceed the effective Value of Lost Load (VOLL), for the Demand response capability of a Controllable Load Resource</w:t>
      </w:r>
      <w:r w:rsidR="00A15EAB">
        <w:t xml:space="preserve"> (CLR)</w:t>
      </w:r>
      <w:r w:rsidR="00492BE2" w:rsidRPr="0013396E">
        <w:t xml:space="preserve"> in the RTM.</w:t>
      </w:r>
    </w:p>
    <w:p w14:paraId="782B79BA" w14:textId="09C4946E" w:rsidR="001F04FD" w:rsidRPr="0013396E" w:rsidRDefault="001F04FD" w:rsidP="007A1E53">
      <w:pPr>
        <w:pStyle w:val="List"/>
        <w:ind w:left="720"/>
      </w:pPr>
      <w:r w:rsidRPr="0013396E">
        <w:lastRenderedPageBreak/>
        <w:t>(</w:t>
      </w:r>
      <w:r w:rsidR="0053020C" w:rsidRPr="0013396E">
        <w:t>2</w:t>
      </w:r>
      <w:r w:rsidRPr="0013396E">
        <w:t>)</w:t>
      </w:r>
      <w:r w:rsidRPr="0013396E">
        <w:tab/>
      </w:r>
      <w:r w:rsidR="0053020C" w:rsidRPr="0013396E">
        <w:t>RTM Energy Bids remain active for the offered period until automatically inactivated at the offer expiration time specified in the RTM Energy Bid.</w:t>
      </w:r>
    </w:p>
    <w:p w14:paraId="03B0282F" w14:textId="3B286C02" w:rsidR="00B4018E" w:rsidRPr="0013396E" w:rsidRDefault="0053020C" w:rsidP="00F468C2">
      <w:pPr>
        <w:spacing w:after="240"/>
        <w:ind w:left="720" w:hanging="720"/>
      </w:pPr>
      <w:r w:rsidRPr="0013396E">
        <w:t>(3)</w:t>
      </w:r>
      <w:r w:rsidRPr="0013396E">
        <w:tab/>
      </w:r>
      <w:r w:rsidR="00492BE2" w:rsidRPr="0013396E">
        <w:t>For any Operating Hour, the QSE may submit or change an RTM Energy Bid in the Adjustment Period.  If, by the end of the Adjustment Period, the QSE has not submitted a valid RTM Energy Bid, ERCOT shall create a proxy RTM Energy Bid for the entire Demand response capability of that Load Resource with a not-to-exceed price at the effective VOLL.</w:t>
      </w:r>
    </w:p>
    <w:p w14:paraId="4061469C" w14:textId="4FEED8A8" w:rsidR="001F04FD" w:rsidRPr="0013396E" w:rsidRDefault="001F04FD" w:rsidP="007A1E53">
      <w:pPr>
        <w:pStyle w:val="BodyTextNumbered"/>
      </w:pPr>
      <w:r w:rsidRPr="0013396E">
        <w:t>(</w:t>
      </w:r>
      <w:r w:rsidR="00492BE2" w:rsidRPr="0013396E">
        <w:t>4</w:t>
      </w:r>
      <w:r w:rsidRPr="0013396E">
        <w:t>)</w:t>
      </w:r>
      <w:r w:rsidRPr="0013396E">
        <w:tab/>
        <w:t xml:space="preserve">The QSE may remove the </w:t>
      </w:r>
      <w:r w:rsidR="00A15EAB">
        <w:t>CLR</w:t>
      </w:r>
      <w:r w:rsidRPr="0013396E">
        <w:t xml:space="preserve"> from SCED Dispatch by changing the Load Resource’s telemetered Resource Status or ramp rates appropriately.  The QSE will update the COP Resource Status accordingly as soon as practicable.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D3410D" w:rsidRPr="0013396E" w14:paraId="415DCD0C" w14:textId="77777777" w:rsidTr="00F5593C">
        <w:trPr>
          <w:trHeight w:val="206"/>
        </w:trPr>
        <w:tc>
          <w:tcPr>
            <w:tcW w:w="9350" w:type="dxa"/>
            <w:shd w:val="pct12" w:color="auto" w:fill="auto"/>
          </w:tcPr>
          <w:p w14:paraId="74281941" w14:textId="344933E6" w:rsidR="00D3410D" w:rsidRPr="0013396E" w:rsidRDefault="00D3410D" w:rsidP="00F5593C">
            <w:pPr>
              <w:pStyle w:val="Instructions"/>
              <w:spacing w:before="120"/>
            </w:pPr>
            <w:bookmarkStart w:id="248" w:name="_Toc397504923"/>
            <w:bookmarkStart w:id="249" w:name="_Toc402357051"/>
            <w:bookmarkStart w:id="250" w:name="_Toc422486431"/>
            <w:bookmarkStart w:id="251" w:name="_Toc433093283"/>
            <w:bookmarkStart w:id="252" w:name="_Toc433093441"/>
            <w:bookmarkStart w:id="253" w:name="_Toc440874671"/>
            <w:bookmarkStart w:id="254" w:name="_Toc448142226"/>
            <w:bookmarkStart w:id="255" w:name="_Toc448142383"/>
            <w:bookmarkStart w:id="256" w:name="_Toc458770219"/>
            <w:bookmarkStart w:id="257" w:name="_Toc459294187"/>
            <w:bookmarkStart w:id="258" w:name="_Toc463262680"/>
            <w:bookmarkStart w:id="259" w:name="_Toc468286752"/>
            <w:bookmarkStart w:id="260" w:name="_Toc481502798"/>
            <w:bookmarkStart w:id="261" w:name="_Toc496079968"/>
            <w:bookmarkEnd w:id="244"/>
            <w:r w:rsidRPr="0013396E">
              <w:t>[NPRR1188:  Delete Section 6.4.3.1 above upon system implementation.]</w:t>
            </w:r>
          </w:p>
        </w:tc>
      </w:tr>
    </w:tbl>
    <w:p w14:paraId="6EDEA73C" w14:textId="77777777" w:rsidR="001F04FD" w:rsidRPr="0013396E" w:rsidRDefault="001F04FD" w:rsidP="004116AE">
      <w:pPr>
        <w:pStyle w:val="H5"/>
        <w:spacing w:before="480"/>
        <w:ind w:left="720" w:hanging="720"/>
      </w:pPr>
      <w:bookmarkStart w:id="262" w:name="_Toc214878872"/>
      <w:r w:rsidRPr="0013396E">
        <w:t>6.4.3.1.1</w:t>
      </w:r>
      <w:r w:rsidRPr="0013396E">
        <w:tab/>
        <w:t>RTM Energy Bid Criteria</w:t>
      </w:r>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p>
    <w:p w14:paraId="6EC29D75" w14:textId="77777777" w:rsidR="001F04FD" w:rsidRPr="0013396E" w:rsidRDefault="001F04FD" w:rsidP="001F04FD">
      <w:pPr>
        <w:pStyle w:val="BodyTextNumbered"/>
      </w:pPr>
      <w:r w:rsidRPr="0013396E">
        <w:t>(1)</w:t>
      </w:r>
      <w:r w:rsidRPr="0013396E">
        <w:tab/>
        <w:t>Each RTM Energy Bid submitted by a QSE must include the following information:</w:t>
      </w:r>
    </w:p>
    <w:p w14:paraId="3B1F8AAA" w14:textId="77777777" w:rsidR="001F04FD" w:rsidRPr="0013396E" w:rsidRDefault="001F04FD" w:rsidP="001F04FD">
      <w:pPr>
        <w:pStyle w:val="List"/>
      </w:pPr>
      <w:r w:rsidRPr="0013396E">
        <w:t>(a)</w:t>
      </w:r>
      <w:r w:rsidRPr="0013396E">
        <w:tab/>
        <w:t>The QSE;</w:t>
      </w:r>
    </w:p>
    <w:p w14:paraId="44176AA8" w14:textId="77777777" w:rsidR="001F04FD" w:rsidRPr="0013396E" w:rsidRDefault="001F04FD" w:rsidP="001F04FD">
      <w:pPr>
        <w:pStyle w:val="List"/>
      </w:pPr>
      <w:r w:rsidRPr="0013396E">
        <w:t>(b)</w:t>
      </w:r>
      <w:r w:rsidRPr="0013396E">
        <w:tab/>
        <w:t>The relevant Load Resource;</w:t>
      </w:r>
    </w:p>
    <w:p w14:paraId="51639322" w14:textId="77777777" w:rsidR="001F04FD" w:rsidRPr="0013396E" w:rsidRDefault="001F04FD" w:rsidP="001F04FD">
      <w:pPr>
        <w:pStyle w:val="List"/>
      </w:pPr>
      <w:r w:rsidRPr="0013396E">
        <w:t>(c)</w:t>
      </w:r>
      <w:r w:rsidRPr="0013396E">
        <w:tab/>
        <w:t>A bid curve with no more than ten price/quantity pairs with monotonically non-increasing not-to-exceed prices (in $/MWh) and with increasing quantities ranging from zero to the Load Resource’s maximum demand response capability (in MW) represented by the difference between the Load Resource’s telemetered Maximum Power Consumption (MPC) and Low Power Consumption (LPC);</w:t>
      </w:r>
    </w:p>
    <w:p w14:paraId="741072F7" w14:textId="77777777" w:rsidR="001F04FD" w:rsidRPr="0013396E" w:rsidRDefault="001F04FD" w:rsidP="001F04FD">
      <w:pPr>
        <w:pStyle w:val="List"/>
      </w:pPr>
      <w:r w:rsidRPr="0013396E">
        <w:t>(d)</w:t>
      </w:r>
      <w:r w:rsidRPr="0013396E">
        <w:tab/>
        <w:t>The first and last hour of the bid; and</w:t>
      </w:r>
    </w:p>
    <w:p w14:paraId="361751FC" w14:textId="77777777" w:rsidR="001F04FD" w:rsidRPr="0013396E" w:rsidRDefault="001F04FD" w:rsidP="001F04FD">
      <w:pPr>
        <w:pStyle w:val="List"/>
      </w:pPr>
      <w:r w:rsidRPr="0013396E">
        <w:t>(e)</w:t>
      </w:r>
      <w:r w:rsidRPr="0013396E">
        <w:tab/>
        <w:t>The expiration time and date of the bid.</w:t>
      </w:r>
    </w:p>
    <w:p w14:paraId="37B10BE3" w14:textId="77777777" w:rsidR="001F04FD" w:rsidRPr="0013396E" w:rsidRDefault="001F04FD" w:rsidP="001F04FD">
      <w:pPr>
        <w:pStyle w:val="BodyTextNumbered"/>
      </w:pPr>
      <w:r w:rsidRPr="0013396E">
        <w:t>(2)</w:t>
      </w:r>
      <w:r w:rsidRPr="0013396E">
        <w:tab/>
        <w:t>The software systems must be able to provide ERCOT with the ability to enter Resource-specific RTM Energy Bid floors and caps.</w:t>
      </w:r>
    </w:p>
    <w:p w14:paraId="1E21C70D" w14:textId="77777777" w:rsidR="001F04FD" w:rsidRPr="0013396E" w:rsidRDefault="001F04FD" w:rsidP="001F04FD">
      <w:pPr>
        <w:pStyle w:val="BodyTextNumbered"/>
      </w:pPr>
      <w:r w:rsidRPr="0013396E">
        <w:t>(3)</w:t>
      </w:r>
      <w:r w:rsidRPr="0013396E">
        <w:tab/>
        <w:t>The minimum amount per Load Resource for each RTM Energy Bid that may be submitted is one-tenth (0.1) MW.</w:t>
      </w:r>
    </w:p>
    <w:p w14:paraId="10DE116C" w14:textId="5764D23D" w:rsidR="001F04FD" w:rsidRPr="0013396E" w:rsidRDefault="001F04FD" w:rsidP="001F04FD">
      <w:pPr>
        <w:pStyle w:val="BodyTextNumbered"/>
      </w:pPr>
      <w:r w:rsidRPr="0013396E">
        <w:t>(4)</w:t>
      </w:r>
      <w:r w:rsidRPr="0013396E">
        <w:tab/>
      </w:r>
      <w:r w:rsidR="00492BE2" w:rsidRPr="0013396E">
        <w:t xml:space="preserve">If a </w:t>
      </w:r>
      <w:r w:rsidR="004874DF">
        <w:t>CLR</w:t>
      </w:r>
      <w:r w:rsidR="00492BE2" w:rsidRPr="0013396E">
        <w:t xml:space="preserve"> is offering to provide an Ancillary Service, its RTM Energy Bid must be priced no higher than the effective VOLL.</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D3410D" w:rsidRPr="0013396E" w14:paraId="50B4235A" w14:textId="77777777" w:rsidTr="00D3410D">
        <w:trPr>
          <w:trHeight w:val="206"/>
        </w:trPr>
        <w:tc>
          <w:tcPr>
            <w:tcW w:w="9350" w:type="dxa"/>
            <w:tcBorders>
              <w:top w:val="single" w:sz="4" w:space="0" w:color="auto"/>
              <w:left w:val="single" w:sz="4" w:space="0" w:color="auto"/>
              <w:bottom w:val="single" w:sz="4" w:space="0" w:color="auto"/>
              <w:right w:val="single" w:sz="4" w:space="0" w:color="auto"/>
            </w:tcBorders>
            <w:shd w:val="pct12" w:color="auto" w:fill="auto"/>
          </w:tcPr>
          <w:p w14:paraId="5E1E6FCE" w14:textId="5A4E3950" w:rsidR="00D3410D" w:rsidRPr="0013396E" w:rsidRDefault="00D3410D" w:rsidP="00F5593C">
            <w:pPr>
              <w:pStyle w:val="Instructions"/>
              <w:spacing w:before="120"/>
            </w:pPr>
            <w:bookmarkStart w:id="263" w:name="_Toc397504924"/>
            <w:bookmarkStart w:id="264" w:name="_Toc402357052"/>
            <w:bookmarkStart w:id="265" w:name="_Toc422486432"/>
            <w:bookmarkStart w:id="266" w:name="_Toc433093284"/>
            <w:bookmarkStart w:id="267" w:name="_Toc433093442"/>
            <w:bookmarkStart w:id="268" w:name="_Toc440874672"/>
            <w:bookmarkStart w:id="269" w:name="_Toc448142227"/>
            <w:bookmarkStart w:id="270" w:name="_Toc448142384"/>
            <w:bookmarkStart w:id="271" w:name="_Toc458770220"/>
            <w:bookmarkStart w:id="272" w:name="_Toc459294188"/>
            <w:bookmarkStart w:id="273" w:name="_Toc463262681"/>
            <w:bookmarkStart w:id="274" w:name="_Toc468286753"/>
            <w:bookmarkStart w:id="275" w:name="_Toc481502799"/>
            <w:bookmarkStart w:id="276" w:name="_Toc496079969"/>
            <w:r w:rsidRPr="0013396E">
              <w:t>[NPRR1188:  Delete Section 6.4.3.1.1 above upon system implementation.]</w:t>
            </w:r>
          </w:p>
        </w:tc>
      </w:tr>
    </w:tbl>
    <w:p w14:paraId="324F0B97" w14:textId="7EDC5929" w:rsidR="001F04FD" w:rsidRPr="0013396E" w:rsidRDefault="001F04FD" w:rsidP="00F468C2">
      <w:pPr>
        <w:pStyle w:val="H5"/>
        <w:tabs>
          <w:tab w:val="left" w:pos="5366"/>
        </w:tabs>
        <w:spacing w:before="480"/>
        <w:ind w:left="1627" w:hanging="1627"/>
      </w:pPr>
      <w:bookmarkStart w:id="277" w:name="_Toc214878873"/>
      <w:r w:rsidRPr="0013396E">
        <w:lastRenderedPageBreak/>
        <w:t>6.4.3.1.2</w:t>
      </w:r>
      <w:r w:rsidRPr="0013396E">
        <w:tab/>
        <w:t>RTM Energy Bid Validation</w:t>
      </w:r>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r w:rsidR="00C476E8" w:rsidRPr="0013396E">
        <w:tab/>
      </w:r>
    </w:p>
    <w:p w14:paraId="1D7C71E8" w14:textId="77777777" w:rsidR="001F04FD" w:rsidRPr="0013396E" w:rsidRDefault="001F04FD" w:rsidP="001F04FD">
      <w:pPr>
        <w:pStyle w:val="BodyTextNumbered"/>
      </w:pPr>
      <w:r w:rsidRPr="0013396E">
        <w:t>(1)</w:t>
      </w:r>
      <w:r w:rsidRPr="0013396E">
        <w:tab/>
        <w:t>A valid RTM Energy Bid is a bid that ERCOT has determined meets the criteria listed in Section 6.4.3.1.1, RTM Energy Bid Criteria.</w:t>
      </w:r>
    </w:p>
    <w:p w14:paraId="4A2A80C9" w14:textId="77777777" w:rsidR="001F04FD" w:rsidRPr="0013396E" w:rsidRDefault="001F04FD" w:rsidP="001F04FD">
      <w:pPr>
        <w:pStyle w:val="BodyTextNumbered"/>
      </w:pPr>
      <w:r w:rsidRPr="0013396E">
        <w:t>(2)</w:t>
      </w:r>
      <w:r w:rsidRPr="0013396E">
        <w:tab/>
        <w:t>ERCOT shall notify the QSE submitting an RTM Energy Bid by the Messaging System if the bid was rejected or was considered invalid for any reason.  The QSE may then resubmit the bid within the appropriate market timeline.</w:t>
      </w:r>
    </w:p>
    <w:p w14:paraId="5B9B7F00" w14:textId="77777777" w:rsidR="001F04FD" w:rsidRPr="0013396E" w:rsidRDefault="001F04FD" w:rsidP="001F04FD">
      <w:pPr>
        <w:pStyle w:val="BodyTextNumbered"/>
      </w:pPr>
      <w:r w:rsidRPr="0013396E">
        <w:t>(3)</w:t>
      </w:r>
      <w:r w:rsidRPr="0013396E">
        <w:tab/>
        <w:t>ERCOT shall continuously validate RTM Energy Bids and continuously display on the MIS Certified Area information that allows any QSE to view its valid RTM Energy Bids.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D3410D" w:rsidRPr="0013396E" w14:paraId="6362E997" w14:textId="77777777" w:rsidTr="00F5593C">
        <w:trPr>
          <w:trHeight w:val="206"/>
        </w:trPr>
        <w:tc>
          <w:tcPr>
            <w:tcW w:w="9350" w:type="dxa"/>
            <w:shd w:val="pct12" w:color="auto" w:fill="auto"/>
          </w:tcPr>
          <w:p w14:paraId="59BA83E6" w14:textId="48452E83" w:rsidR="00D3410D" w:rsidRPr="0013396E" w:rsidRDefault="00D3410D" w:rsidP="00F5593C">
            <w:pPr>
              <w:pStyle w:val="Instructions"/>
              <w:spacing w:before="120"/>
            </w:pPr>
            <w:bookmarkStart w:id="278" w:name="_Toc397504925"/>
            <w:bookmarkStart w:id="279" w:name="_Toc402357053"/>
            <w:bookmarkStart w:id="280" w:name="_Toc422486433"/>
            <w:bookmarkStart w:id="281" w:name="_Toc433093285"/>
            <w:bookmarkStart w:id="282" w:name="_Toc433093443"/>
            <w:bookmarkStart w:id="283" w:name="_Toc440874673"/>
            <w:bookmarkStart w:id="284" w:name="_Toc448142228"/>
            <w:bookmarkStart w:id="285" w:name="_Toc448142385"/>
            <w:bookmarkStart w:id="286" w:name="_Toc458770221"/>
            <w:bookmarkStart w:id="287" w:name="_Toc459294189"/>
            <w:bookmarkStart w:id="288" w:name="_Toc463262682"/>
            <w:bookmarkStart w:id="289" w:name="_Toc468286754"/>
            <w:bookmarkStart w:id="290" w:name="_Toc481502800"/>
            <w:bookmarkStart w:id="291" w:name="_Toc496079970"/>
            <w:r w:rsidRPr="0013396E">
              <w:t>[NPRR1188:  Delete Section 6.4.3.1.2 above upon system implementation.]</w:t>
            </w:r>
          </w:p>
        </w:tc>
      </w:tr>
    </w:tbl>
    <w:p w14:paraId="776416FC" w14:textId="558041CA" w:rsidR="001F04FD" w:rsidRPr="0013396E" w:rsidRDefault="001F04FD" w:rsidP="001F04FD">
      <w:pPr>
        <w:pStyle w:val="H3"/>
        <w:spacing w:before="480"/>
      </w:pPr>
      <w:bookmarkStart w:id="292" w:name="_Toc214878874"/>
      <w:r w:rsidRPr="0013396E">
        <w:t>6.4.4</w:t>
      </w:r>
      <w:r w:rsidRPr="0013396E">
        <w:tab/>
        <w:t>Energy Offer Curve</w:t>
      </w:r>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r w:rsidR="00393FFF" w:rsidRPr="0013396E">
        <w:t xml:space="preserve"> and Energy Bid/Offer Curve</w:t>
      </w:r>
      <w:bookmarkEnd w:id="292"/>
    </w:p>
    <w:p w14:paraId="248A558C" w14:textId="77777777" w:rsidR="00393FFF" w:rsidRPr="0013396E" w:rsidRDefault="00393FFF" w:rsidP="00393FFF">
      <w:pPr>
        <w:spacing w:after="240"/>
        <w:ind w:left="720" w:hanging="720"/>
      </w:pPr>
      <w:r w:rsidRPr="0013396E">
        <w:t>(1)</w:t>
      </w:r>
      <w:r w:rsidRPr="0013396E">
        <w:tab/>
        <w:t>A detailed description of Energy Offer Curve, Energy Bid/Offer Curve, and validations performed by ERCOT is in Section 4.4.9, Energy Offers and Bids.</w:t>
      </w:r>
    </w:p>
    <w:p w14:paraId="6A00A01E" w14:textId="77777777" w:rsidR="00393FFF" w:rsidRPr="0013396E" w:rsidRDefault="00393FFF" w:rsidP="00393FFF">
      <w:pPr>
        <w:spacing w:after="240"/>
        <w:ind w:left="720" w:hanging="720"/>
      </w:pPr>
      <w:r w:rsidRPr="0013396E">
        <w:t>(2)</w:t>
      </w:r>
      <w:r w:rsidRPr="0013396E">
        <w:tab/>
        <w:t>For an On-Line RMR Unit, ERCOT shall submit an Energy Offer Curve considering contractual constraints on the Resource and any other adverse effects on, or implications arising from, the RMR Agreement, that may occur as the result of the Dispatch of the RMR Unit.  The RMR Unit’s administratively-set Energy Offer Curve must price all energy at the effective VOLL in $/MWh.</w:t>
      </w:r>
    </w:p>
    <w:p w14:paraId="350B8AF2" w14:textId="77777777" w:rsidR="00393FFF" w:rsidRPr="0013396E" w:rsidRDefault="00393FFF" w:rsidP="00393FFF">
      <w:pPr>
        <w:spacing w:after="240"/>
        <w:ind w:left="720" w:hanging="720"/>
      </w:pPr>
      <w:r w:rsidRPr="0013396E">
        <w:t>(3)</w:t>
      </w:r>
      <w:r w:rsidRPr="0013396E">
        <w:tab/>
        <w:t>For Generation Resources with a Resource Status other than ONTEST, STARTUP, or SHUTDOWN, if a valid Energy Offer Curve or an Output Schedule does not exist for a Resource that has a status of On-Line at the end of the Adjustment Period, then ERCOT shall notify the QSE.  Except for IRRs and QF Resources, ERCOT shall create an Output Schedule equal to the then-current telemetered output of the Resource until an Output Schedule or Energy Offer Curve is submitted.</w:t>
      </w:r>
    </w:p>
    <w:p w14:paraId="40EA5A70" w14:textId="23AFDCC0" w:rsidR="001F04FD" w:rsidRPr="0013396E" w:rsidRDefault="00393FFF" w:rsidP="005A7D2B">
      <w:pPr>
        <w:pStyle w:val="BodyTextNumbered"/>
      </w:pPr>
      <w:r w:rsidRPr="0013396E">
        <w:t>(4)</w:t>
      </w:r>
      <w:r w:rsidRPr="0013396E">
        <w:tab/>
        <w:t xml:space="preserve">For ESRs with a Resource Status other than ONTEST or ONHOLD, if a valid Energy Bid/Offer Curve or an Output Schedule does not exist, then ERCOT shall notify the QSE and create a proxy Energy Bid/Offer Curve priced at -$250/MWh for the MW portion of the curve less than zero MW, and priced at the </w:t>
      </w:r>
      <w:r w:rsidR="00096737">
        <w:t>Real-Time System-Wide Offer Cap (</w:t>
      </w:r>
      <w:r w:rsidRPr="0013396E">
        <w:t>RTSWCAP</w:t>
      </w:r>
      <w:r w:rsidR="00096737">
        <w:t>)</w:t>
      </w:r>
      <w:r w:rsidRPr="0013396E">
        <w:t xml:space="preserve"> for the MW portion of the curve greater than zero MW.</w:t>
      </w:r>
      <w:r w:rsidRPr="0013396E" w:rsidDel="00393FFF">
        <w:t xml:space="preserve"> </w:t>
      </w:r>
    </w:p>
    <w:p w14:paraId="02BE171C" w14:textId="23F634F7" w:rsidR="00236104" w:rsidRPr="0013396E" w:rsidRDefault="00236104" w:rsidP="007A1E53">
      <w:pPr>
        <w:spacing w:before="240" w:after="240"/>
        <w:ind w:left="1080" w:hanging="1080"/>
        <w:outlineLvl w:val="3"/>
        <w:rPr>
          <w:b/>
        </w:rPr>
      </w:pPr>
      <w:bookmarkStart w:id="293" w:name="_Toc214878875"/>
      <w:bookmarkStart w:id="294" w:name="_Toc397504928"/>
      <w:bookmarkStart w:id="295" w:name="_Toc402357056"/>
      <w:bookmarkStart w:id="296" w:name="_Toc422486436"/>
      <w:bookmarkStart w:id="297" w:name="_Toc433093288"/>
      <w:bookmarkStart w:id="298" w:name="_Toc433093446"/>
      <w:bookmarkStart w:id="299" w:name="_Toc440874675"/>
      <w:bookmarkStart w:id="300" w:name="_Toc448142230"/>
      <w:bookmarkStart w:id="301" w:name="_Toc448142387"/>
      <w:bookmarkStart w:id="302" w:name="_Toc458770223"/>
      <w:bookmarkStart w:id="303" w:name="_Toc459294191"/>
      <w:bookmarkStart w:id="304" w:name="_Toc463262684"/>
      <w:bookmarkStart w:id="305" w:name="_Toc468286756"/>
      <w:bookmarkStart w:id="306" w:name="_Toc481502802"/>
      <w:bookmarkStart w:id="307" w:name="_Toc496079972"/>
      <w:r w:rsidRPr="0013396E">
        <w:rPr>
          <w:b/>
        </w:rPr>
        <w:t>6.4.4.</w:t>
      </w:r>
      <w:r w:rsidR="00DA3953" w:rsidRPr="0013396E">
        <w:rPr>
          <w:b/>
        </w:rPr>
        <w:t>1</w:t>
      </w:r>
      <w:r w:rsidRPr="0013396E">
        <w:rPr>
          <w:b/>
        </w:rPr>
        <w:tab/>
        <w:t>Energy Offer Curve for RUC-Committed Switchable Generation Resources</w:t>
      </w:r>
      <w:bookmarkEnd w:id="293"/>
    </w:p>
    <w:p w14:paraId="62C34E73" w14:textId="0E1FAD44" w:rsidR="00BD7CC8" w:rsidRPr="0013396E" w:rsidRDefault="00236104" w:rsidP="00236104">
      <w:pPr>
        <w:pStyle w:val="BodyTextNumbered"/>
        <w:rPr>
          <w:color w:val="000000"/>
        </w:rPr>
      </w:pPr>
      <w:r w:rsidRPr="0013396E">
        <w:rPr>
          <w:color w:val="000000"/>
        </w:rPr>
        <w:t>(1)</w:t>
      </w:r>
      <w:r w:rsidRPr="0013396E">
        <w:rPr>
          <w:color w:val="000000"/>
        </w:rPr>
        <w:tab/>
      </w:r>
      <w:r w:rsidR="00DA3953" w:rsidRPr="0013396E">
        <w:rPr>
          <w:color w:val="000000"/>
        </w:rPr>
        <w:t xml:space="preserve">Prior to the end of the Adjustment Period for an Operating Hour during which a </w:t>
      </w:r>
      <w:r w:rsidR="00DA3953" w:rsidRPr="0013396E">
        <w:t>Switchable</w:t>
      </w:r>
      <w:r w:rsidR="00DA3953" w:rsidRPr="0013396E">
        <w:rPr>
          <w:color w:val="000000"/>
        </w:rPr>
        <w:t xml:space="preserve"> Generation Resource (SWGR) has been committed by ERCOT as part of the Reliability Unit Commitment (RUC) process to address an actual or anticipated Energy Emergency Alert (EEA) event, ERCOT shall administratively set an Energy Offer Curve </w:t>
      </w:r>
      <w:r w:rsidR="00DA3953" w:rsidRPr="0013396E">
        <w:rPr>
          <w:color w:val="000000"/>
        </w:rPr>
        <w:lastRenderedPageBreak/>
        <w:t>that prices all energy from LSL to HSL at or above $4,500 per MWh, or at the effective VOLL, whichever is lower, for the Operating Hours in the RUC commitment period.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BB10B3" w:rsidRPr="0013396E" w14:paraId="3C39CAA4" w14:textId="77777777" w:rsidTr="00AC4758">
        <w:trPr>
          <w:trHeight w:val="206"/>
        </w:trPr>
        <w:tc>
          <w:tcPr>
            <w:tcW w:w="9350" w:type="dxa"/>
            <w:shd w:val="pct12" w:color="auto" w:fill="auto"/>
          </w:tcPr>
          <w:bookmarkEnd w:id="245"/>
          <w:p w14:paraId="39242F5D" w14:textId="057C7BA4" w:rsidR="00BB10B3" w:rsidRPr="0013396E" w:rsidRDefault="00BB10B3" w:rsidP="00BB10B3">
            <w:pPr>
              <w:pStyle w:val="Instructions"/>
              <w:spacing w:before="120"/>
            </w:pPr>
            <w:r w:rsidRPr="0013396E">
              <w:t>[NPRR1019:  Delete Section 6.4.4.</w:t>
            </w:r>
            <w:r w:rsidR="00DA3953" w:rsidRPr="0013396E">
              <w:t>1</w:t>
            </w:r>
            <w:r w:rsidRPr="0013396E">
              <w:t xml:space="preserve"> above upon system implementation.]</w:t>
            </w:r>
          </w:p>
        </w:tc>
      </w:tr>
    </w:tbl>
    <w:p w14:paraId="1AFD60E9" w14:textId="2A241966" w:rsidR="001F04FD" w:rsidRPr="0013396E" w:rsidRDefault="001F04FD" w:rsidP="00043D95">
      <w:pPr>
        <w:pStyle w:val="H3"/>
        <w:spacing w:before="480"/>
      </w:pPr>
      <w:bookmarkStart w:id="308" w:name="_Toc214878876"/>
      <w:r w:rsidRPr="0013396E">
        <w:t>6.4.5</w:t>
      </w:r>
      <w:r w:rsidRPr="0013396E">
        <w:tab/>
      </w:r>
      <w:r w:rsidR="0060225A" w:rsidRPr="0013396E">
        <w:rPr>
          <w:iCs/>
          <w:sz w:val="23"/>
          <w:szCs w:val="23"/>
        </w:rPr>
        <w:t>[RESERVED]</w:t>
      </w:r>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p>
    <w:p w14:paraId="6FFB01E7" w14:textId="77777777" w:rsidR="001F04FD" w:rsidRPr="0013396E" w:rsidRDefault="001F04FD" w:rsidP="007A1E53">
      <w:pPr>
        <w:pStyle w:val="H3"/>
      </w:pPr>
      <w:bookmarkStart w:id="309" w:name="_Toc397504929"/>
      <w:bookmarkStart w:id="310" w:name="_Toc402357057"/>
      <w:bookmarkStart w:id="311" w:name="_Toc422486437"/>
      <w:bookmarkStart w:id="312" w:name="_Toc433093289"/>
      <w:bookmarkStart w:id="313" w:name="_Toc433093447"/>
      <w:bookmarkStart w:id="314" w:name="_Toc440874676"/>
      <w:bookmarkStart w:id="315" w:name="_Toc448142231"/>
      <w:bookmarkStart w:id="316" w:name="_Toc448142388"/>
      <w:bookmarkStart w:id="317" w:name="_Toc458770224"/>
      <w:bookmarkStart w:id="318" w:name="_Toc459294192"/>
      <w:bookmarkStart w:id="319" w:name="_Toc463262685"/>
      <w:bookmarkStart w:id="320" w:name="_Toc468286757"/>
      <w:bookmarkStart w:id="321" w:name="_Toc481502803"/>
      <w:bookmarkStart w:id="322" w:name="_Toc496079973"/>
      <w:bookmarkStart w:id="323" w:name="_Toc214878877"/>
      <w:r w:rsidRPr="0013396E">
        <w:t>6.4.6</w:t>
      </w:r>
      <w:r w:rsidRPr="0013396E">
        <w:tab/>
        <w:t>Resource Status</w:t>
      </w:r>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r w:rsidRPr="0013396E">
        <w:t xml:space="preserve"> </w:t>
      </w:r>
    </w:p>
    <w:p w14:paraId="0B84E95E" w14:textId="1E64F19E" w:rsidR="001F04FD" w:rsidRPr="0013396E" w:rsidRDefault="001F04FD" w:rsidP="001F04FD">
      <w:pPr>
        <w:pStyle w:val="BodyTextNumbered"/>
      </w:pPr>
      <w:r w:rsidRPr="0013396E">
        <w:t>(1)</w:t>
      </w:r>
      <w:r w:rsidRPr="0013396E">
        <w:tab/>
      </w:r>
      <w:r w:rsidR="0060225A" w:rsidRPr="0013396E">
        <w:t>ERCOT shall use the telemetered Resource Status for all applications requiring status of Resources during the Operating Hour, including SCED and Load Frequency Control (LFC).  QSEs shall provide ERCOT with accurate telemetry of the current capability of each Resource including the Resource Status, Ancillary Service capability for each Ancillary Service, Ramp Rates, HSL, and LSL.</w:t>
      </w:r>
    </w:p>
    <w:p w14:paraId="04F964BD" w14:textId="39B9D709" w:rsidR="001F04FD" w:rsidRPr="0013396E" w:rsidRDefault="001F04FD" w:rsidP="007A1E53">
      <w:pPr>
        <w:pStyle w:val="BodyTextNumbered"/>
      </w:pPr>
      <w:r w:rsidRPr="0013396E">
        <w:t>(2)</w:t>
      </w:r>
      <w:r w:rsidRPr="0013396E">
        <w:tab/>
        <w:t>ERCOT shall perform the following validations during the Operating Period:</w:t>
      </w:r>
    </w:p>
    <w:p w14:paraId="6E9A52DE" w14:textId="77777777" w:rsidR="001F04FD" w:rsidRPr="0013396E" w:rsidRDefault="001F04FD" w:rsidP="001F04FD">
      <w:pPr>
        <w:pStyle w:val="List"/>
      </w:pPr>
      <w:r w:rsidRPr="0013396E">
        <w:t>(a)</w:t>
      </w:r>
      <w:r w:rsidRPr="0013396E">
        <w:tab/>
        <w:t>Each QSE shall provide the Real-Time operating status of each Resource to ERCOT by telemetry using the status codes in the COP for Real-Time as described in Section 3.9, Current Operating Plan (COP); and</w:t>
      </w:r>
    </w:p>
    <w:p w14:paraId="3169EEEF" w14:textId="77777777" w:rsidR="001F04FD" w:rsidRPr="0013396E" w:rsidRDefault="001F04FD" w:rsidP="001F04FD">
      <w:pPr>
        <w:pStyle w:val="List"/>
      </w:pPr>
      <w:r w:rsidRPr="0013396E">
        <w:t>(b)</w:t>
      </w:r>
      <w:r w:rsidRPr="0013396E">
        <w:tab/>
        <w:t>Five minutes before the end of each hour, ERCOT shall identify inconsistencies between the telemetered Resource Status and the Resource Status stated in the COP for that Resource in the next hour.  On detecting an inconsistency, ERCOT shall provide a notice of inconsistent Resource Status to the QSE using the Messaging System.</w:t>
      </w:r>
    </w:p>
    <w:p w14:paraId="48000A09" w14:textId="153242B4" w:rsidR="001F04FD" w:rsidRPr="0013396E" w:rsidRDefault="001F04FD" w:rsidP="001F04FD">
      <w:pPr>
        <w:pStyle w:val="H3"/>
        <w:spacing w:before="480"/>
      </w:pPr>
      <w:bookmarkStart w:id="324" w:name="_Toc397504930"/>
      <w:bookmarkStart w:id="325" w:name="_Toc402357058"/>
      <w:bookmarkStart w:id="326" w:name="_Toc422486438"/>
      <w:bookmarkStart w:id="327" w:name="_Toc433093290"/>
      <w:bookmarkStart w:id="328" w:name="_Toc433093448"/>
      <w:bookmarkStart w:id="329" w:name="_Toc440874677"/>
      <w:bookmarkStart w:id="330" w:name="_Toc448142232"/>
      <w:bookmarkStart w:id="331" w:name="_Toc448142389"/>
      <w:bookmarkStart w:id="332" w:name="_Toc458770225"/>
      <w:bookmarkStart w:id="333" w:name="_Toc459294193"/>
      <w:bookmarkStart w:id="334" w:name="_Toc463262686"/>
      <w:bookmarkStart w:id="335" w:name="_Toc468286758"/>
      <w:bookmarkStart w:id="336" w:name="_Toc481502804"/>
      <w:bookmarkStart w:id="337" w:name="_Toc496079974"/>
      <w:bookmarkStart w:id="338" w:name="_Toc214878878"/>
      <w:r w:rsidRPr="0013396E">
        <w:t>6.4.7</w:t>
      </w:r>
      <w:r w:rsidRPr="0013396E">
        <w:tab/>
        <w:t>QSE-Requested Decommitment of Resources</w:t>
      </w:r>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p>
    <w:p w14:paraId="51FFFD2C" w14:textId="77777777" w:rsidR="0060225A" w:rsidRPr="0013396E" w:rsidRDefault="0060225A" w:rsidP="0060225A">
      <w:pPr>
        <w:spacing w:after="240"/>
        <w:ind w:left="720" w:hanging="720"/>
      </w:pPr>
      <w:r w:rsidRPr="0013396E">
        <w:t>(1)</w:t>
      </w:r>
      <w:r w:rsidRPr="0013396E">
        <w:tab/>
        <w:t>A Resource must remain committed during any RUC-Committed Interval or RUC Buy-Back Hour unless the Resource has a Forced Outage.</w:t>
      </w:r>
    </w:p>
    <w:p w14:paraId="64A072A6" w14:textId="77777777" w:rsidR="0060225A" w:rsidRPr="0013396E" w:rsidRDefault="0060225A" w:rsidP="0060225A">
      <w:pPr>
        <w:spacing w:after="240"/>
        <w:ind w:left="720" w:hanging="720"/>
      </w:pPr>
      <w:r w:rsidRPr="0013396E">
        <w:t>(2)</w:t>
      </w:r>
      <w:r w:rsidRPr="0013396E">
        <w:tab/>
        <w:t>In the Operating Period, a QSE may request to decommit a Resource other than a Quick Start Generation Resource (QSGR) for any interval that is not a RUC-Committed Interval or RUC Buy-Back Hour by verbally requesting ERCOT to consider its request.</w:t>
      </w:r>
    </w:p>
    <w:p w14:paraId="7A5B3932" w14:textId="77777777" w:rsidR="0060225A" w:rsidRPr="0013396E" w:rsidRDefault="0060225A" w:rsidP="0060225A">
      <w:pPr>
        <w:spacing w:after="240"/>
        <w:ind w:left="720" w:hanging="720"/>
      </w:pPr>
      <w:r w:rsidRPr="0013396E">
        <w:t>(3)</w:t>
      </w:r>
      <w:r w:rsidRPr="0013396E">
        <w:tab/>
        <w:t xml:space="preserve">In the Operating Period, a QSE may decommit a QSGR without any request for any interval that is neither a RUC-Committed Interval, a RUC Buy-Back Hour, nor an interval in which a manual override by the ERCOT Operator has been given. </w:t>
      </w:r>
    </w:p>
    <w:p w14:paraId="4E895293" w14:textId="5CEF914A" w:rsidR="001F04FD" w:rsidRPr="0013396E" w:rsidRDefault="0060225A" w:rsidP="001F04FD">
      <w:pPr>
        <w:pStyle w:val="BodyTextNumbered"/>
      </w:pPr>
      <w:r w:rsidRPr="0013396E">
        <w:t>(4)</w:t>
      </w:r>
      <w:r w:rsidRPr="0013396E">
        <w:tab/>
        <w:t>In the Adjustment Period, a QSE may request to decommit a Resource for any interval that is not a RUC-Committed Interval or RUC Buy-Back Hour by indicating a change in unit status in the QSE’s COP</w:t>
      </w:r>
      <w:r w:rsidRPr="0013396E">
        <w:rPr>
          <w:iCs/>
        </w:rPr>
        <w:t xml:space="preserve">, unless the Resource received a Weekly Reliability Unit Commitment (WRUC) instruction for the hour.  A QSE may request to decommit a </w:t>
      </w:r>
      <w:r w:rsidRPr="0013396E">
        <w:rPr>
          <w:iCs/>
        </w:rPr>
        <w:lastRenderedPageBreak/>
        <w:t>Resource for any interval that is a WRUC-instructed Interval and that is not a RUC-Committed Interval or RUC Buy-Back Hour by verbally requesting ERCOT to consider its request</w:t>
      </w:r>
      <w:r w:rsidRPr="0013396E">
        <w:t>.</w:t>
      </w:r>
      <w:r w:rsidRPr="0013396E" w:rsidDel="0060225A">
        <w:t xml:space="preserve"> </w:t>
      </w:r>
    </w:p>
    <w:p w14:paraId="0531A866" w14:textId="77777777" w:rsidR="001F04FD" w:rsidRPr="0013396E" w:rsidRDefault="001F04FD" w:rsidP="007A1E53">
      <w:pPr>
        <w:pStyle w:val="H4"/>
        <w:ind w:left="1267" w:hanging="1267"/>
      </w:pPr>
      <w:bookmarkStart w:id="339" w:name="_Toc397504931"/>
      <w:bookmarkStart w:id="340" w:name="_Toc402357059"/>
      <w:bookmarkStart w:id="341" w:name="_Toc422486439"/>
      <w:bookmarkStart w:id="342" w:name="_Toc433093291"/>
      <w:bookmarkStart w:id="343" w:name="_Toc433093449"/>
      <w:bookmarkStart w:id="344" w:name="_Toc440874678"/>
      <w:bookmarkStart w:id="345" w:name="_Toc448142233"/>
      <w:bookmarkStart w:id="346" w:name="_Toc448142390"/>
      <w:bookmarkStart w:id="347" w:name="_Toc458770226"/>
      <w:bookmarkStart w:id="348" w:name="_Toc459294194"/>
      <w:bookmarkStart w:id="349" w:name="_Toc463262687"/>
      <w:bookmarkStart w:id="350" w:name="_Toc468286759"/>
      <w:bookmarkStart w:id="351" w:name="_Toc481502805"/>
      <w:bookmarkStart w:id="352" w:name="_Toc496079975"/>
      <w:bookmarkStart w:id="353" w:name="_Toc214878879"/>
      <w:r w:rsidRPr="0013396E">
        <w:t>6.4.7.1</w:t>
      </w:r>
      <w:r w:rsidRPr="0013396E">
        <w:tab/>
        <w:t>QSE Request to Decommit Resources in the Operating Period</w:t>
      </w:r>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p>
    <w:p w14:paraId="5D16001C" w14:textId="259A3A80" w:rsidR="001F04FD" w:rsidRPr="0013396E" w:rsidRDefault="001F04FD" w:rsidP="001F04FD">
      <w:pPr>
        <w:pStyle w:val="BodyTextNumbered"/>
      </w:pPr>
      <w:r w:rsidRPr="0013396E">
        <w:t>(1)</w:t>
      </w:r>
      <w:r w:rsidRPr="0013396E">
        <w:tab/>
      </w:r>
      <w:r w:rsidR="0060225A" w:rsidRPr="0013396E">
        <w:t>For a request made during the Operating Period to decommit a Resource, ERCOT may perform a study using Real-Time conditions to determine if ERCOT will remain n-1 secure with that Resource Off-Line.  ERCOT may grant the request provided the analysis indicates the Resource Outage contingency results in no additional active constraints for SCED.  ERCOT may only approve requests that do not have a reliability impact.</w:t>
      </w:r>
    </w:p>
    <w:p w14:paraId="300F0EB6" w14:textId="569AA2DD" w:rsidR="001F04FD" w:rsidRPr="0013396E" w:rsidRDefault="001F04FD" w:rsidP="007A1E53">
      <w:pPr>
        <w:pStyle w:val="BodyTextNumbered"/>
      </w:pPr>
      <w:r w:rsidRPr="0013396E">
        <w:t>(2)</w:t>
      </w:r>
      <w:r w:rsidRPr="0013396E">
        <w:tab/>
        <w:t>If more units are requesting decommitment than can be accommodated, ERCOT shall review the requests in order of receipt.</w:t>
      </w:r>
    </w:p>
    <w:p w14:paraId="4CB41C1B" w14:textId="77777777" w:rsidR="001F04FD" w:rsidRPr="0013396E" w:rsidRDefault="001F04FD" w:rsidP="001F04FD">
      <w:pPr>
        <w:pStyle w:val="H4"/>
        <w:spacing w:before="480"/>
        <w:ind w:left="1267" w:hanging="1267"/>
      </w:pPr>
      <w:bookmarkStart w:id="354" w:name="_Toc397504932"/>
      <w:bookmarkStart w:id="355" w:name="_Toc402357060"/>
      <w:bookmarkStart w:id="356" w:name="_Toc422486440"/>
      <w:bookmarkStart w:id="357" w:name="_Toc433093292"/>
      <w:bookmarkStart w:id="358" w:name="_Toc433093450"/>
      <w:bookmarkStart w:id="359" w:name="_Toc440874679"/>
      <w:bookmarkStart w:id="360" w:name="_Toc448142234"/>
      <w:bookmarkStart w:id="361" w:name="_Toc448142391"/>
      <w:bookmarkStart w:id="362" w:name="_Toc458770227"/>
      <w:bookmarkStart w:id="363" w:name="_Toc459294195"/>
      <w:bookmarkStart w:id="364" w:name="_Toc463262688"/>
      <w:bookmarkStart w:id="365" w:name="_Toc468286760"/>
      <w:bookmarkStart w:id="366" w:name="_Toc481502806"/>
      <w:bookmarkStart w:id="367" w:name="_Toc496079976"/>
      <w:bookmarkStart w:id="368" w:name="_Toc214878880"/>
      <w:r w:rsidRPr="0013396E">
        <w:t>6.4.7.2</w:t>
      </w:r>
      <w:r w:rsidRPr="0013396E">
        <w:tab/>
        <w:t>QSE Request to Decommit Resources in the Adjustment Period</w:t>
      </w:r>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p>
    <w:p w14:paraId="34A7164B" w14:textId="77777777" w:rsidR="001F04FD" w:rsidRPr="0013396E" w:rsidRDefault="001F04FD" w:rsidP="001F04FD">
      <w:pPr>
        <w:pStyle w:val="BodyTextNumbered"/>
      </w:pPr>
      <w:r w:rsidRPr="0013396E">
        <w:t>(1)</w:t>
      </w:r>
      <w:r w:rsidRPr="0013396E">
        <w:tab/>
        <w:t xml:space="preserve">To decommit an otherwise available Resource for hours other than the Operating Period, the QSE must update the COP indicating the change in Resource Status for each hour in the COP for the remaining hours in the Adjustment Period. On detection of a change from On-Line to Off-Line Available state in future hours for a Resource, ERCOT shall review all requests for decommitment using the next scheduled HRUC.  The Resource must be shown as available for HRUC commitment.  </w:t>
      </w:r>
      <w:r w:rsidRPr="0013396E">
        <w:rPr>
          <w:szCs w:val="24"/>
        </w:rPr>
        <w:t>ERCOT shall also review the list of Off-Line Available Resources with a start-up time of one hour or less</w:t>
      </w:r>
      <w:r w:rsidRPr="0013396E">
        <w:t>.  The next HRUC commitment must consider the Resource’s Minimum-Energy Offer excluding the Resource’s Startup Offer from the Three-Part Supply Offer.</w:t>
      </w:r>
    </w:p>
    <w:p w14:paraId="090F16F6" w14:textId="77777777" w:rsidR="001F04FD" w:rsidRPr="0013396E" w:rsidRDefault="001F04FD" w:rsidP="001F04FD">
      <w:pPr>
        <w:pStyle w:val="BodyTextNumbered"/>
      </w:pPr>
      <w:r w:rsidRPr="0013396E">
        <w:t>(2)</w:t>
      </w:r>
      <w:r w:rsidRPr="0013396E">
        <w:tab/>
        <w:t>If HRUC continues to require the Resource to be committed, ERCOT shall notify the QSE, using the process described in Section 5.5.3, Communication of RUC Commitments and Decommitments, that the decommitment has been denied, and the affected intervals become RUC-Committed Intervals instead of QSE-Committed Intervals for RUC Settlement purposes. The QSE must update its COP to denote the RUC-Committed Intervals.</w:t>
      </w:r>
    </w:p>
    <w:p w14:paraId="22F09B6F" w14:textId="77777777" w:rsidR="001F04FD" w:rsidRPr="0013396E" w:rsidRDefault="001F04FD" w:rsidP="001F04FD">
      <w:pPr>
        <w:pStyle w:val="H3"/>
        <w:spacing w:before="480"/>
      </w:pPr>
      <w:bookmarkStart w:id="369" w:name="_Toc72750554"/>
      <w:bookmarkStart w:id="370" w:name="_Toc73215986"/>
      <w:bookmarkStart w:id="371" w:name="_Toc397504933"/>
      <w:bookmarkStart w:id="372" w:name="_Toc402357061"/>
      <w:bookmarkStart w:id="373" w:name="_Toc422486441"/>
      <w:bookmarkStart w:id="374" w:name="_Toc433093293"/>
      <w:bookmarkStart w:id="375" w:name="_Toc433093451"/>
      <w:bookmarkStart w:id="376" w:name="_Toc440874680"/>
      <w:bookmarkStart w:id="377" w:name="_Toc448142235"/>
      <w:bookmarkStart w:id="378" w:name="_Toc448142392"/>
      <w:bookmarkStart w:id="379" w:name="_Toc458770228"/>
      <w:bookmarkStart w:id="380" w:name="_Toc459294196"/>
      <w:bookmarkStart w:id="381" w:name="_Toc463262689"/>
      <w:bookmarkStart w:id="382" w:name="_Toc468286761"/>
      <w:bookmarkStart w:id="383" w:name="_Toc481502807"/>
      <w:bookmarkStart w:id="384" w:name="_Toc496079977"/>
      <w:bookmarkStart w:id="385" w:name="_Toc214878881"/>
      <w:r w:rsidRPr="0013396E">
        <w:t>6.4.8</w:t>
      </w:r>
      <w:r w:rsidRPr="0013396E">
        <w:tab/>
        <w:t>Notification of Forced Outage of a Resource</w:t>
      </w:r>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p>
    <w:p w14:paraId="2BBC4819" w14:textId="77777777" w:rsidR="00DE555F" w:rsidRPr="0013396E" w:rsidRDefault="00DE555F" w:rsidP="00DE555F">
      <w:pPr>
        <w:pStyle w:val="BodyTextNumbered"/>
      </w:pPr>
      <w:r w:rsidRPr="0013396E">
        <w:t>(1)</w:t>
      </w:r>
      <w:r w:rsidRPr="0013396E">
        <w:tab/>
        <w:t>In the event of a Forced Outage of a Resource, the telemetered status of the Resource automatically notifies ERCOT of the event.  In the event of a Forced Outage, the telemetered Resource Status shall be changed to the appropriate Off-Line status as soon as practicable but no longer than 15 minutes after the Forced Outage occurs.</w:t>
      </w:r>
    </w:p>
    <w:p w14:paraId="7126BA53" w14:textId="77777777" w:rsidR="00DE555F" w:rsidRPr="0013396E" w:rsidRDefault="00DE555F" w:rsidP="00DE555F">
      <w:pPr>
        <w:pStyle w:val="BodyTextNumbered"/>
      </w:pPr>
      <w:r w:rsidRPr="0013396E">
        <w:t>(2)</w:t>
      </w:r>
      <w:r w:rsidRPr="0013396E">
        <w:tab/>
        <w:t>In the event of a Forced Outage or an impending Forced Outage, the Resource Entity or its designee shall inform ERCOT of the following in the Outage Scheduler:</w:t>
      </w:r>
    </w:p>
    <w:p w14:paraId="75C6FAC9" w14:textId="77777777" w:rsidR="00DE555F" w:rsidRPr="0013396E" w:rsidRDefault="00DE555F" w:rsidP="00DE555F">
      <w:pPr>
        <w:pStyle w:val="List"/>
      </w:pPr>
      <w:r w:rsidRPr="0013396E">
        <w:t>(a)</w:t>
      </w:r>
      <w:r w:rsidRPr="0013396E">
        <w:tab/>
        <w:t>Time of expected change in Resource Status or rating;</w:t>
      </w:r>
    </w:p>
    <w:p w14:paraId="6D8FDBF1" w14:textId="77777777" w:rsidR="00DE555F" w:rsidRPr="0013396E" w:rsidRDefault="00DE555F" w:rsidP="00DE555F">
      <w:pPr>
        <w:pStyle w:val="List"/>
      </w:pPr>
      <w:r w:rsidRPr="0013396E">
        <w:lastRenderedPageBreak/>
        <w:t>(b)</w:t>
      </w:r>
      <w:r w:rsidRPr="0013396E">
        <w:tab/>
        <w:t>Text message describing the nature of the Forced Outage or de-rating updated as new information becomes available; and</w:t>
      </w:r>
    </w:p>
    <w:p w14:paraId="42F58E2F" w14:textId="77777777" w:rsidR="00DE555F" w:rsidRPr="0013396E" w:rsidRDefault="00DE555F" w:rsidP="00DE555F">
      <w:pPr>
        <w:pStyle w:val="List"/>
      </w:pPr>
      <w:r w:rsidRPr="0013396E">
        <w:t>(c)</w:t>
      </w:r>
      <w:r w:rsidRPr="0013396E">
        <w:tab/>
        <w:t>The expected minimum and maximum duration of the Forced Outage or de-rating.</w:t>
      </w:r>
    </w:p>
    <w:p w14:paraId="615C6EA0" w14:textId="0535FB95" w:rsidR="00DE555F" w:rsidRPr="0013396E" w:rsidRDefault="00DE555F" w:rsidP="00DE555F">
      <w:pPr>
        <w:pStyle w:val="BodyTextNumbered"/>
      </w:pPr>
      <w:r w:rsidRPr="0013396E">
        <w:t>(3)</w:t>
      </w:r>
      <w:r w:rsidRPr="0013396E">
        <w:tab/>
        <w:t>In the event of a Forced Outage, the QSE must update the Resource’s COP as soon as practicable but no longer than 60 minutes after the Forced Outage occurs.</w:t>
      </w:r>
    </w:p>
    <w:p w14:paraId="518F7DE8" w14:textId="77777777" w:rsidR="00DE555F" w:rsidRPr="0013396E" w:rsidRDefault="00DE555F" w:rsidP="00DE555F">
      <w:pPr>
        <w:pStyle w:val="BodyTextNumbered"/>
      </w:pPr>
      <w:r w:rsidRPr="0013396E">
        <w:t>(4)</w:t>
      </w:r>
      <w:r w:rsidRPr="0013396E">
        <w:tab/>
        <w:t xml:space="preserve">Each QSE shall timely update the telemetered Resource Status and COP unless in the reasonable judgment of the QSE, such compliance would create an undue threat to safety, undue risk of bodily harm, or undue damage to equipment.  The QSE is excused from updating the telemetered Resource Status and/or COP only for so long as the undue threat to safety, undue risk of bodily harm, or undue damage to equipment exists.  </w:t>
      </w:r>
      <w:r w:rsidRPr="0013396E">
        <w:rPr>
          <w:color w:val="000000" w:themeColor="text1"/>
          <w:szCs w:val="24"/>
        </w:rPr>
        <w:t>The time for updating the telemetered Resource Status and/or COP begins once the undue threat to safety, undue risk of bodily harm, or undue damage to equipment no longer exists.</w:t>
      </w:r>
    </w:p>
    <w:p w14:paraId="50E2BB54" w14:textId="76AB3498" w:rsidR="001F04FD" w:rsidRPr="0013396E" w:rsidRDefault="001F04FD" w:rsidP="007A1E53">
      <w:pPr>
        <w:pStyle w:val="H3"/>
        <w:spacing w:before="480"/>
      </w:pPr>
      <w:bookmarkStart w:id="386" w:name="_Toc397504934"/>
      <w:bookmarkStart w:id="387" w:name="_Toc402357062"/>
      <w:bookmarkStart w:id="388" w:name="_Toc422486442"/>
      <w:bookmarkStart w:id="389" w:name="_Toc433093294"/>
      <w:bookmarkStart w:id="390" w:name="_Toc433093452"/>
      <w:bookmarkStart w:id="391" w:name="_Toc440874681"/>
      <w:bookmarkStart w:id="392" w:name="_Toc448142236"/>
      <w:bookmarkStart w:id="393" w:name="_Toc448142393"/>
      <w:bookmarkStart w:id="394" w:name="_Toc458770229"/>
      <w:bookmarkStart w:id="395" w:name="_Toc459294197"/>
      <w:bookmarkStart w:id="396" w:name="_Toc463262690"/>
      <w:bookmarkStart w:id="397" w:name="_Toc468286762"/>
      <w:bookmarkStart w:id="398" w:name="_Toc481502808"/>
      <w:bookmarkStart w:id="399" w:name="_Toc496079978"/>
      <w:bookmarkStart w:id="400" w:name="_Toc214878882"/>
      <w:bookmarkStart w:id="401" w:name="_Hlk214366169"/>
      <w:r w:rsidRPr="0013396E">
        <w:t>6.4.9</w:t>
      </w:r>
      <w:r w:rsidRPr="0013396E">
        <w:tab/>
      </w:r>
      <w:r w:rsidR="0060225A" w:rsidRPr="0013396E">
        <w:t>Real-Time Ancillary Service Offers and Awards</w:t>
      </w:r>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p>
    <w:p w14:paraId="25397529" w14:textId="5AF1EC2C" w:rsidR="001F04FD" w:rsidRPr="0013396E" w:rsidRDefault="001F04FD" w:rsidP="007A1E53">
      <w:pPr>
        <w:pStyle w:val="H4"/>
      </w:pPr>
      <w:bookmarkStart w:id="402" w:name="_Toc397504935"/>
      <w:bookmarkStart w:id="403" w:name="_Toc402357063"/>
      <w:bookmarkStart w:id="404" w:name="_Toc422486443"/>
      <w:bookmarkStart w:id="405" w:name="_Toc433093295"/>
      <w:bookmarkStart w:id="406" w:name="_Toc433093453"/>
      <w:bookmarkStart w:id="407" w:name="_Toc440874682"/>
      <w:bookmarkStart w:id="408" w:name="_Toc448142237"/>
      <w:bookmarkStart w:id="409" w:name="_Toc448142394"/>
      <w:bookmarkStart w:id="410" w:name="_Toc458770230"/>
      <w:bookmarkStart w:id="411" w:name="_Toc459294198"/>
      <w:bookmarkStart w:id="412" w:name="_Toc463262691"/>
      <w:bookmarkStart w:id="413" w:name="_Toc468286763"/>
      <w:bookmarkStart w:id="414" w:name="_Toc481502809"/>
      <w:bookmarkStart w:id="415" w:name="_Toc496079979"/>
      <w:bookmarkStart w:id="416" w:name="_Toc214878883"/>
      <w:r w:rsidRPr="0013396E">
        <w:t>6.4.9.1</w:t>
      </w:r>
      <w:r w:rsidRPr="0013396E">
        <w:tab/>
      </w:r>
      <w:r w:rsidR="00C67F7B" w:rsidRPr="0013396E">
        <w:t>Ancillary Service Offers</w:t>
      </w:r>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r w:rsidRPr="0013396E">
        <w:t xml:space="preserve"> </w:t>
      </w:r>
    </w:p>
    <w:p w14:paraId="683F6412" w14:textId="77777777" w:rsidR="00C67F7B" w:rsidRPr="0013396E" w:rsidRDefault="00C67F7B" w:rsidP="00C67F7B">
      <w:pPr>
        <w:spacing w:after="240"/>
        <w:ind w:left="720" w:hanging="720"/>
      </w:pPr>
      <w:r w:rsidRPr="0013396E">
        <w:t>(1)</w:t>
      </w:r>
      <w:r w:rsidRPr="0013396E">
        <w:tab/>
        <w:t>A detailed description of the Ancillary Service Offers and validations performed by ERCOT is in Section 4.4.7.2, Ancillary Service Offers.</w:t>
      </w:r>
    </w:p>
    <w:p w14:paraId="62CA74D2" w14:textId="2F0151C4" w:rsidR="001F04FD" w:rsidRPr="0013396E" w:rsidRDefault="00C67F7B" w:rsidP="001F04FD">
      <w:pPr>
        <w:pStyle w:val="BodyTextNumbered"/>
      </w:pPr>
      <w:r w:rsidRPr="0013396E">
        <w:t>(2)</w:t>
      </w:r>
      <w:r w:rsidRPr="0013396E">
        <w:tab/>
        <w:t>QSEs may update their Ancillary Service Offers in Real-Time.  SCED shall use the latest updated Ancillary Service Offers available to it at the time of the SCED execution.</w:t>
      </w:r>
      <w:r w:rsidRPr="0013396E" w:rsidDel="00C67F7B">
        <w:t xml:space="preserve"> </w:t>
      </w:r>
    </w:p>
    <w:p w14:paraId="0BF07947" w14:textId="38F88527" w:rsidR="001F04FD" w:rsidRPr="0013396E" w:rsidRDefault="001F04FD" w:rsidP="007A1E53">
      <w:pPr>
        <w:pStyle w:val="H5"/>
        <w:ind w:left="1627" w:hanging="1627"/>
      </w:pPr>
      <w:bookmarkStart w:id="417" w:name="_Toc397504936"/>
      <w:bookmarkStart w:id="418" w:name="_Toc402357064"/>
      <w:bookmarkStart w:id="419" w:name="_Toc422486444"/>
      <w:bookmarkStart w:id="420" w:name="_Toc433093296"/>
      <w:bookmarkStart w:id="421" w:name="_Toc433093454"/>
      <w:bookmarkStart w:id="422" w:name="_Toc440874683"/>
      <w:bookmarkStart w:id="423" w:name="_Toc448142238"/>
      <w:bookmarkStart w:id="424" w:name="_Toc448142395"/>
      <w:bookmarkStart w:id="425" w:name="_Toc458770231"/>
      <w:bookmarkStart w:id="426" w:name="_Toc459294199"/>
      <w:bookmarkStart w:id="427" w:name="_Toc463262692"/>
      <w:bookmarkStart w:id="428" w:name="_Toc468286764"/>
      <w:bookmarkStart w:id="429" w:name="_Toc481502810"/>
      <w:bookmarkStart w:id="430" w:name="_Toc496079980"/>
      <w:bookmarkStart w:id="431" w:name="_Toc214878884"/>
      <w:r w:rsidRPr="0013396E">
        <w:t>6.4.9.1.1</w:t>
      </w:r>
      <w:r w:rsidRPr="0013396E">
        <w:tab/>
      </w:r>
      <w:r w:rsidR="00C67F7B" w:rsidRPr="0013396E">
        <w:t>Ancillary Service Awards</w:t>
      </w:r>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p>
    <w:p w14:paraId="0F61C055" w14:textId="77777777" w:rsidR="00C67F7B" w:rsidRPr="0013396E" w:rsidRDefault="00C67F7B" w:rsidP="00C67F7B">
      <w:pPr>
        <w:spacing w:after="240"/>
        <w:ind w:left="720" w:hanging="720"/>
      </w:pPr>
      <w:r w:rsidRPr="0013396E">
        <w:t>(1)</w:t>
      </w:r>
      <w:r w:rsidRPr="0013396E">
        <w:tab/>
        <w:t xml:space="preserve">Ancillary Service awards will be based on Resource capability (qualification, operating limits, Ancillary Service limits, ramp rates, State of Charge (SOC), SOC limits, etc.) and Ancillary Service Demand Curves (ASDCs) regardless of the quantity of Ancillary Service under deployment.  </w:t>
      </w:r>
    </w:p>
    <w:p w14:paraId="341C300E" w14:textId="77777777" w:rsidR="00C67F7B" w:rsidRPr="0013396E" w:rsidRDefault="00C67F7B" w:rsidP="00C67F7B">
      <w:pPr>
        <w:spacing w:after="240"/>
        <w:ind w:left="720" w:hanging="720"/>
      </w:pPr>
      <w:r w:rsidRPr="0013396E">
        <w:t>(2)</w:t>
      </w:r>
      <w:r w:rsidRPr="0013396E">
        <w:tab/>
        <w:t>QSEs representing Resources that are qualified to provide an Ancillary Service must submit valid Ancillary Service Offers for use in Real-Time clearing.  QSEs shall submit Resource-specific telemetry indicating the Resource’s ability to provide Ancillary Service in Real-Time.</w:t>
      </w:r>
    </w:p>
    <w:p w14:paraId="386C6540" w14:textId="77777777" w:rsidR="00C67F7B" w:rsidRPr="0013396E" w:rsidRDefault="00C67F7B" w:rsidP="00C67F7B">
      <w:pPr>
        <w:spacing w:after="240"/>
        <w:ind w:left="720" w:hanging="720"/>
      </w:pPr>
      <w:r w:rsidRPr="0013396E">
        <w:t>(3)</w:t>
      </w:r>
      <w:r w:rsidRPr="0013396E">
        <w:tab/>
        <w:t xml:space="preserve">QSEs representing Load Resources providing Ancillary Service via high-set under-frequency relays may self-provide high-set under-frequency relay-controlled RRS and ECRS; the amount of self-provision shall be limited based on the QSE’s Day-Ahead Market (DAM) Ancillary Service awards and trades. </w:t>
      </w:r>
    </w:p>
    <w:p w14:paraId="31750BC3" w14:textId="77777777" w:rsidR="00C67F7B" w:rsidRPr="0013396E" w:rsidRDefault="00C67F7B" w:rsidP="00C67F7B">
      <w:pPr>
        <w:spacing w:after="240"/>
        <w:ind w:left="720" w:hanging="720"/>
      </w:pPr>
      <w:r w:rsidRPr="0013396E">
        <w:t>(4)</w:t>
      </w:r>
      <w:r w:rsidRPr="0013396E">
        <w:tab/>
        <w:t>A previously Off-Line Generation Resource in startup mode due to a manual deployment of Non-Spin by ERCOT will continue to be eligible for Non-Spin.  The eligible capacity shall be based on the telemetered HSL of the Resource minus its Base Point Dispatch Instruction by SCED interval.</w:t>
      </w:r>
    </w:p>
    <w:p w14:paraId="72510490" w14:textId="77777777" w:rsidR="00C67F7B" w:rsidRPr="0013396E" w:rsidRDefault="00C67F7B" w:rsidP="00C67F7B">
      <w:pPr>
        <w:spacing w:after="240"/>
        <w:ind w:left="720" w:hanging="720"/>
      </w:pPr>
      <w:r w:rsidRPr="0013396E">
        <w:lastRenderedPageBreak/>
        <w:t>(5)</w:t>
      </w:r>
      <w:r w:rsidRPr="0013396E">
        <w:tab/>
        <w:t>A Quick Start Generation Resource (QSGR) in startup mode due to an ERCOT Dispatch Instruction will continue to be eligible for ECRS and Non-Spin.  The eligible capacity shall be based on the telemetered HSL of the Resource minus its Base Point Dispatch Instruction by Security-Constrained Economic Dispatch (SCED) interval.</w:t>
      </w:r>
    </w:p>
    <w:p w14:paraId="29290884" w14:textId="1E574EB2" w:rsidR="00C67F7B" w:rsidRPr="0013396E" w:rsidRDefault="00C67F7B" w:rsidP="00C67F7B">
      <w:pPr>
        <w:spacing w:after="240"/>
        <w:ind w:left="720" w:hanging="720"/>
      </w:pPr>
      <w:r w:rsidRPr="0013396E">
        <w:t>(6)</w:t>
      </w:r>
      <w:r w:rsidRPr="0013396E">
        <w:tab/>
        <w:t>ERCOT may manually reduce the amount of Ancillary Service eligible to be awarded to a Resource that, if deployed, could violate a transmission constraint.  ERCOT shall notify the Resource’s QSE in Real-Time of any Ancillary Service capability that has been derated by ERCOT, including the Resource’s new Ancillary Service limit in MWs.  Should the deration impact payments the QSE would have received under Section 6.7.</w:t>
      </w:r>
      <w:r w:rsidR="00A12B52" w:rsidRPr="0013396E">
        <w:t>2</w:t>
      </w:r>
      <w:r w:rsidRPr="0013396E">
        <w:t>.1, Real-Time Ancillary Service Imbalance</w:t>
      </w:r>
      <w:r w:rsidR="00B55869">
        <w:t xml:space="preserve"> Payment or Charge</w:t>
      </w:r>
      <w:r w:rsidRPr="0013396E">
        <w:t>, the QSE will be eligible for consideration of a payment under Section 6.7.</w:t>
      </w:r>
      <w:r w:rsidR="00A12B52" w:rsidRPr="0013396E">
        <w:t>2</w:t>
      </w:r>
      <w:r w:rsidRPr="0013396E">
        <w:t xml:space="preserve">.7, Real-Time Derated Ancillary Service Capability Payment. </w:t>
      </w:r>
    </w:p>
    <w:p w14:paraId="263881B4" w14:textId="77777777" w:rsidR="00C67F7B" w:rsidRPr="0013396E" w:rsidRDefault="00C67F7B" w:rsidP="00C67F7B">
      <w:pPr>
        <w:spacing w:after="240"/>
        <w:ind w:left="720" w:hanging="720"/>
      </w:pPr>
      <w:r w:rsidRPr="0013396E">
        <w:t>(7)       Sixty days after the applicable Operating Day, ERCOT shall post to the ERCOT website the instances of ERCOT Operator reduction of Ancillary Services capability, including the name of the Resource, the type and reduced MW by Ancillary Service, and the reason for the reduction.</w:t>
      </w:r>
    </w:p>
    <w:p w14:paraId="61E17AC2" w14:textId="74A3FCE5" w:rsidR="001F04FD" w:rsidRPr="0013396E" w:rsidRDefault="00C67F7B" w:rsidP="001F04FD">
      <w:pPr>
        <w:pStyle w:val="BodyTextNumbered"/>
      </w:pPr>
      <w:r w:rsidRPr="0013396E">
        <w:t>(8)</w:t>
      </w:r>
      <w:r w:rsidRPr="0013396E">
        <w:tab/>
        <w:t xml:space="preserve">Ancillary Service awards and </w:t>
      </w:r>
      <w:r w:rsidR="00CE39AE">
        <w:t>R</w:t>
      </w:r>
      <w:r w:rsidR="00730774">
        <w:t xml:space="preserve">eal-Time </w:t>
      </w:r>
      <w:r w:rsidR="00CE39AE">
        <w:t>M</w:t>
      </w:r>
      <w:r w:rsidR="00730774">
        <w:t>arket</w:t>
      </w:r>
      <w:r w:rsidRPr="0013396E">
        <w:t xml:space="preserve"> Clearing Prices for Capacity (MCPCs) are immediately binding upon the completion of a SCED run.</w:t>
      </w:r>
    </w:p>
    <w:p w14:paraId="214391AF" w14:textId="77777777" w:rsidR="00C67F7B" w:rsidRPr="0013396E" w:rsidRDefault="00C67F7B" w:rsidP="00C67F7B">
      <w:pPr>
        <w:pStyle w:val="H5"/>
        <w:ind w:left="1627" w:hanging="1627"/>
        <w:rPr>
          <w:b w:val="0"/>
          <w:bCs w:val="0"/>
          <w:iCs w:val="0"/>
        </w:rPr>
      </w:pPr>
      <w:bookmarkStart w:id="432" w:name="_Toc214878885"/>
      <w:bookmarkStart w:id="433" w:name="_Toc397504939"/>
      <w:bookmarkStart w:id="434" w:name="_Toc402357067"/>
      <w:bookmarkStart w:id="435" w:name="_Toc422486447"/>
      <w:bookmarkStart w:id="436" w:name="_Toc433093299"/>
      <w:bookmarkStart w:id="437" w:name="_Toc433093457"/>
      <w:bookmarkStart w:id="438" w:name="_Toc440874686"/>
      <w:bookmarkStart w:id="439" w:name="_Toc448142241"/>
      <w:bookmarkStart w:id="440" w:name="_Toc448142398"/>
      <w:bookmarkStart w:id="441" w:name="_Toc458770234"/>
      <w:bookmarkStart w:id="442" w:name="_Toc459294202"/>
      <w:bookmarkStart w:id="443" w:name="_Toc463262695"/>
      <w:bookmarkStart w:id="444" w:name="_Toc468286769"/>
      <w:bookmarkStart w:id="445" w:name="_Toc481502815"/>
      <w:bookmarkStart w:id="446" w:name="_Toc496079983"/>
      <w:r w:rsidRPr="0013396E">
        <w:t>6.4.9.1.2</w:t>
      </w:r>
      <w:r w:rsidRPr="0013396E">
        <w:tab/>
        <w:t>Changes to Operating Day Ancillary Service Plan</w:t>
      </w:r>
      <w:bookmarkEnd w:id="432"/>
    </w:p>
    <w:p w14:paraId="6C5DCB00" w14:textId="3838B254" w:rsidR="00C67F7B" w:rsidRPr="0013396E" w:rsidRDefault="00C67F7B" w:rsidP="007A1E53">
      <w:pPr>
        <w:spacing w:after="240"/>
        <w:ind w:left="720" w:hanging="720"/>
      </w:pPr>
      <w:r w:rsidRPr="0013396E">
        <w:t>(1)</w:t>
      </w:r>
      <w:r w:rsidRPr="0013396E">
        <w:tab/>
        <w:t>Any time during the Adjustment Period or Operating Period, if ERCOT determines that the Ancillary Service Plan needs to be modified, ERCOT will notify Market Participants of ERCOT’s need to modify the Ancillary Service Plan and post the reliability reason for the modification in service requirements.  ERCOT will also update the Ancillary Service Plan, as described in Section 4.2.1, Ancillary Service Plan and Ancillary Service Obligation, and update and post ASDCs for each impacted Ancillary Service product, as described in Section 4.2.1.1, Ancillary Service Plan.</w:t>
      </w:r>
    </w:p>
    <w:p w14:paraId="11CFB20C" w14:textId="77777777" w:rsidR="001F04FD" w:rsidRPr="0013396E" w:rsidRDefault="001F04FD" w:rsidP="007A1E53">
      <w:pPr>
        <w:pStyle w:val="H2"/>
      </w:pPr>
      <w:bookmarkStart w:id="447" w:name="_Toc397504943"/>
      <w:bookmarkStart w:id="448" w:name="_Toc402357071"/>
      <w:bookmarkStart w:id="449" w:name="_Toc422486451"/>
      <w:bookmarkStart w:id="450" w:name="_Toc433093303"/>
      <w:bookmarkStart w:id="451" w:name="_Toc433093461"/>
      <w:bookmarkStart w:id="452" w:name="_Toc440874690"/>
      <w:bookmarkStart w:id="453" w:name="_Toc448142245"/>
      <w:bookmarkStart w:id="454" w:name="_Toc448142402"/>
      <w:bookmarkStart w:id="455" w:name="_Toc458770238"/>
      <w:bookmarkStart w:id="456" w:name="_Toc459294206"/>
      <w:bookmarkStart w:id="457" w:name="_Toc463262699"/>
      <w:bookmarkStart w:id="458" w:name="_Toc468286773"/>
      <w:bookmarkStart w:id="459" w:name="_Toc481502819"/>
      <w:bookmarkStart w:id="460" w:name="_Toc496079987"/>
      <w:bookmarkStart w:id="461" w:name="_Toc214878886"/>
      <w:bookmarkStart w:id="462" w:name="_Toc73216034"/>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01"/>
      <w:r w:rsidRPr="0013396E">
        <w:t>6.5</w:t>
      </w:r>
      <w:r w:rsidRPr="0013396E">
        <w:tab/>
        <w:t>Real-Time Energy Operations</w:t>
      </w:r>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r w:rsidRPr="0013396E">
        <w:t xml:space="preserve"> </w:t>
      </w:r>
    </w:p>
    <w:p w14:paraId="67EE3BE4" w14:textId="77777777" w:rsidR="001F04FD" w:rsidRPr="0013396E" w:rsidRDefault="001F04FD" w:rsidP="001F04FD">
      <w:pPr>
        <w:pStyle w:val="H3"/>
        <w:spacing w:before="480"/>
      </w:pPr>
      <w:bookmarkStart w:id="463" w:name="_Toc397504944"/>
      <w:bookmarkStart w:id="464" w:name="_Toc402357072"/>
      <w:bookmarkStart w:id="465" w:name="_Toc422486452"/>
      <w:bookmarkStart w:id="466" w:name="_Toc433093304"/>
      <w:bookmarkStart w:id="467" w:name="_Toc433093462"/>
      <w:bookmarkStart w:id="468" w:name="_Toc440874691"/>
      <w:bookmarkStart w:id="469" w:name="_Toc448142246"/>
      <w:bookmarkStart w:id="470" w:name="_Toc448142403"/>
      <w:bookmarkStart w:id="471" w:name="_Toc458770239"/>
      <w:bookmarkStart w:id="472" w:name="_Toc459294207"/>
      <w:bookmarkStart w:id="473" w:name="_Toc463262700"/>
      <w:bookmarkStart w:id="474" w:name="_Toc468286774"/>
      <w:bookmarkStart w:id="475" w:name="_Toc481502820"/>
      <w:bookmarkStart w:id="476" w:name="_Toc496079988"/>
      <w:bookmarkStart w:id="477" w:name="_Toc214878887"/>
      <w:r w:rsidRPr="0013396E">
        <w:t>6.5.1</w:t>
      </w:r>
      <w:r w:rsidRPr="0013396E">
        <w:tab/>
        <w:t>ERCOT Activities</w:t>
      </w:r>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p>
    <w:p w14:paraId="397C893F" w14:textId="77777777" w:rsidR="001F04FD" w:rsidRPr="0013396E" w:rsidRDefault="001F04FD" w:rsidP="001F04FD">
      <w:pPr>
        <w:pStyle w:val="BodyText"/>
        <w:ind w:left="720" w:hanging="720"/>
      </w:pPr>
      <w:r w:rsidRPr="0013396E">
        <w:t>(1)</w:t>
      </w:r>
      <w:r w:rsidRPr="0013396E">
        <w:tab/>
        <w:t>ERCOT activities during Real-Time operations are summarized in the table located in Section 6.3.2, Activities for Real-Time Operations.  That table is intended to be only a general guide and not controlling language, and any conflict between the table and another section of the Protocols is controlled by the other section.</w:t>
      </w:r>
    </w:p>
    <w:p w14:paraId="79AA138B" w14:textId="77777777" w:rsidR="001F04FD" w:rsidRPr="0013396E" w:rsidRDefault="001F04FD" w:rsidP="001F04FD">
      <w:pPr>
        <w:pStyle w:val="H4"/>
        <w:spacing w:before="480"/>
        <w:ind w:left="1267" w:hanging="1267"/>
      </w:pPr>
      <w:bookmarkStart w:id="478" w:name="_Toc397504945"/>
      <w:bookmarkStart w:id="479" w:name="_Toc402357073"/>
      <w:bookmarkStart w:id="480" w:name="_Toc422486453"/>
      <w:bookmarkStart w:id="481" w:name="_Toc433093305"/>
      <w:bookmarkStart w:id="482" w:name="_Toc433093463"/>
      <w:bookmarkStart w:id="483" w:name="_Toc440874692"/>
      <w:bookmarkStart w:id="484" w:name="_Toc448142247"/>
      <w:bookmarkStart w:id="485" w:name="_Toc448142404"/>
      <w:bookmarkStart w:id="486" w:name="_Toc458770240"/>
      <w:bookmarkStart w:id="487" w:name="_Toc459294208"/>
      <w:bookmarkStart w:id="488" w:name="_Toc463262701"/>
      <w:bookmarkStart w:id="489" w:name="_Toc468286775"/>
      <w:bookmarkStart w:id="490" w:name="_Toc481502821"/>
      <w:bookmarkStart w:id="491" w:name="_Toc496079989"/>
      <w:bookmarkStart w:id="492" w:name="_Toc214878888"/>
      <w:r w:rsidRPr="0013396E">
        <w:t>6.5.1.1</w:t>
      </w:r>
      <w:r w:rsidRPr="0013396E">
        <w:tab/>
        <w:t>ERCOT Control Area Authority</w:t>
      </w:r>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p>
    <w:p w14:paraId="0CBCBDA6" w14:textId="715ED106" w:rsidR="001F04FD" w:rsidRPr="0013396E" w:rsidRDefault="001F04FD" w:rsidP="001F04FD">
      <w:pPr>
        <w:pStyle w:val="BodyText"/>
        <w:ind w:left="720" w:hanging="720"/>
      </w:pPr>
      <w:r w:rsidRPr="0013396E">
        <w:t>(1)</w:t>
      </w:r>
      <w:r w:rsidRPr="0013396E">
        <w:tab/>
        <w:t xml:space="preserve">ERCOT, as Control Area Operator (CAO), is authorized to perform the following actions for the limited purpose of securely operating the ERCOT Transmission Grid under the </w:t>
      </w:r>
      <w:r w:rsidRPr="0013396E">
        <w:lastRenderedPageBreak/>
        <w:t xml:space="preserve">standards specified in North American Electric Reliability Corporation (NERC) Standards, the </w:t>
      </w:r>
      <w:r w:rsidR="0098177F" w:rsidRPr="0013396E">
        <w:t xml:space="preserve">Nodal </w:t>
      </w:r>
      <w:r w:rsidRPr="0013396E">
        <w:t>Operating Guides and these Protocols,</w:t>
      </w:r>
      <w:r w:rsidRPr="0013396E">
        <w:rPr>
          <w:b/>
        </w:rPr>
        <w:t xml:space="preserve"> </w:t>
      </w:r>
      <w:r w:rsidRPr="0013396E">
        <w:t>including:</w:t>
      </w:r>
    </w:p>
    <w:p w14:paraId="3FC45069" w14:textId="77777777" w:rsidR="001F04FD" w:rsidRPr="0013396E" w:rsidRDefault="001F04FD" w:rsidP="001F04FD">
      <w:pPr>
        <w:pStyle w:val="List"/>
      </w:pPr>
      <w:r w:rsidRPr="0013396E">
        <w:t>(a)</w:t>
      </w:r>
      <w:r w:rsidRPr="0013396E">
        <w:tab/>
        <w:t>Direct the physical operation of the ERCOT Transmission Grid, including circuit breakers, switches, voltage control equipment, and Load-shedding equipment;</w:t>
      </w:r>
    </w:p>
    <w:p w14:paraId="694DB471" w14:textId="6B46E53A" w:rsidR="001F04FD" w:rsidRPr="0013396E" w:rsidRDefault="001F04FD" w:rsidP="001F04FD">
      <w:pPr>
        <w:pStyle w:val="List"/>
      </w:pPr>
      <w:r w:rsidRPr="0013396E">
        <w:t>(b)</w:t>
      </w:r>
      <w:r w:rsidRPr="0013396E">
        <w:tab/>
      </w:r>
      <w:r w:rsidR="0066695B" w:rsidRPr="0013396E">
        <w:t>Dispatch Resources that have been awarded Ancillary Services;</w:t>
      </w:r>
    </w:p>
    <w:p w14:paraId="65104D42" w14:textId="0B4DE3B9" w:rsidR="001F04FD" w:rsidRPr="0013396E" w:rsidRDefault="001F04FD" w:rsidP="007A1E53">
      <w:pPr>
        <w:pStyle w:val="List"/>
      </w:pPr>
      <w:r w:rsidRPr="0013396E">
        <w:t>(c)</w:t>
      </w:r>
      <w:r w:rsidRPr="0013396E">
        <w:tab/>
        <w:t>Direct changes in the operation of voltage control equipment;</w:t>
      </w:r>
    </w:p>
    <w:p w14:paraId="3D70C0A2" w14:textId="77777777" w:rsidR="001F04FD" w:rsidRPr="0013396E" w:rsidRDefault="001F04FD" w:rsidP="001F04FD">
      <w:pPr>
        <w:pStyle w:val="List"/>
      </w:pPr>
      <w:r w:rsidRPr="0013396E">
        <w:t>(d)</w:t>
      </w:r>
      <w:r w:rsidRPr="0013396E">
        <w:tab/>
      </w:r>
      <w:r w:rsidR="004B6E53" w:rsidRPr="0013396E">
        <w:t>Direct the implementation of Reliability Must-Run (RMR) Service, Remedial Action Plans (RAPs), Automatic Mitigation Plans (AMPs), Remedial Action Schemes (RASs), and transmission switching to prevent the violation of ERCOT Transmission Grid security limits; and</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98177F" w:rsidRPr="0013396E" w14:paraId="32589B9E" w14:textId="77777777" w:rsidTr="007E7B7E">
        <w:trPr>
          <w:trHeight w:val="206"/>
        </w:trPr>
        <w:tc>
          <w:tcPr>
            <w:tcW w:w="9350" w:type="dxa"/>
            <w:shd w:val="pct12" w:color="auto" w:fill="auto"/>
          </w:tcPr>
          <w:p w14:paraId="4CCE8674" w14:textId="047A4199" w:rsidR="0098177F" w:rsidRPr="0013396E" w:rsidRDefault="0098177F" w:rsidP="007E7B7E">
            <w:pPr>
              <w:pStyle w:val="Instructions"/>
              <w:spacing w:before="120"/>
            </w:pPr>
            <w:r w:rsidRPr="0013396E">
              <w:t>[NPRR1198:  Replace paragraph (d) above with the following upon system implementation and renumber accordingly:]</w:t>
            </w:r>
          </w:p>
          <w:p w14:paraId="794F2A6D" w14:textId="77777777" w:rsidR="0098177F" w:rsidRPr="0013396E" w:rsidRDefault="0098177F" w:rsidP="0098177F">
            <w:pPr>
              <w:spacing w:after="240"/>
              <w:ind w:left="1440" w:hanging="720"/>
            </w:pPr>
            <w:r w:rsidRPr="0013396E">
              <w:t>(d)</w:t>
            </w:r>
            <w:r w:rsidRPr="0013396E">
              <w:tab/>
              <w:t>Direct the implementation of Reliability Must-Run (RMR) Service;</w:t>
            </w:r>
          </w:p>
          <w:p w14:paraId="2A08E57C" w14:textId="77356D32" w:rsidR="0098177F" w:rsidRPr="0013396E" w:rsidRDefault="0098177F" w:rsidP="0098177F">
            <w:pPr>
              <w:spacing w:after="240"/>
              <w:ind w:left="1440" w:hanging="720"/>
            </w:pPr>
            <w:r w:rsidRPr="0013396E">
              <w:t>(e)</w:t>
            </w:r>
            <w:r w:rsidRPr="0013396E">
              <w:tab/>
              <w:t>Direct the implementation, disabling, or reversal of implementation of Remedial Action Plans (RAPs), Automatic Mitigation Plans (AMPs), Remedial Action Schemes (RASs), Pre-Contingency Action Plans (PCAPs), Extended Action Plans (EAPs), and transmission switching to prevent the violation of ERCOT Transmission Grid security limits; and</w:t>
            </w:r>
          </w:p>
        </w:tc>
      </w:tr>
    </w:tbl>
    <w:p w14:paraId="299AD0A8" w14:textId="7A0053E3" w:rsidR="001F04FD" w:rsidRPr="0013396E" w:rsidRDefault="001F04FD" w:rsidP="00B07D39">
      <w:pPr>
        <w:pStyle w:val="List"/>
        <w:spacing w:before="240"/>
      </w:pPr>
      <w:r w:rsidRPr="0013396E">
        <w:t>(e)</w:t>
      </w:r>
      <w:r w:rsidRPr="0013396E">
        <w:tab/>
        <w:t>Perform additional actions required to prevent an imminent Emergency Condition or to restore the ERCOT Transmission Grid to a secure state in the event of an ERCOT Transmission Grid Emergency Condition.</w:t>
      </w:r>
    </w:p>
    <w:p w14:paraId="361CD841" w14:textId="77777777" w:rsidR="00DC3C3E" w:rsidRPr="0013396E" w:rsidRDefault="00DC3C3E" w:rsidP="00DC3C3E">
      <w:pPr>
        <w:spacing w:after="240"/>
        <w:ind w:left="720" w:hanging="720"/>
      </w:pPr>
      <w:r w:rsidRPr="0013396E">
        <w:t>(2)</w:t>
      </w:r>
      <w:r w:rsidRPr="0013396E">
        <w:tab/>
        <w:t>Unless the ERCOT Protocols or Other Binding Documents explicitly provide otherwise, ERCOT shall not model, monitor, direct operation of, or otherwise exercise any operational authority over any facility that operates on the low voltage side of the distribution transformer except as may be necessary for the following purposes:</w:t>
      </w:r>
    </w:p>
    <w:p w14:paraId="0BA115F9" w14:textId="4207CCFC" w:rsidR="00DC3C3E" w:rsidRPr="0013396E" w:rsidRDefault="00DC3C3E" w:rsidP="00DC3C3E">
      <w:pPr>
        <w:spacing w:after="240"/>
        <w:ind w:left="1440" w:hanging="720"/>
        <w:rPr>
          <w:szCs w:val="24"/>
        </w:rPr>
      </w:pPr>
      <w:r w:rsidRPr="0013396E">
        <w:rPr>
          <w:szCs w:val="24"/>
        </w:rPr>
        <w:t>(a)</w:t>
      </w:r>
      <w:r w:rsidRPr="0013396E">
        <w:rPr>
          <w:szCs w:val="24"/>
        </w:rPr>
        <w:tab/>
      </w:r>
      <w:r w:rsidR="0066695B" w:rsidRPr="0013396E">
        <w:rPr>
          <w:szCs w:val="24"/>
        </w:rPr>
        <w:t>To ensure the reliable interconnection, dispatch, operation, and Settlement of any Generation Resource, Energy Storage Resource (ESR), Load Resource, or Emergency Response Service (ERS) Resource that is, or is proposed to be, interconnected at distribution voltage, and to ensure the reliable operation and Settlement of any other ERCOT-registered generator;</w:t>
      </w:r>
    </w:p>
    <w:p w14:paraId="3DD4BB90" w14:textId="3DFD7B92" w:rsidR="00DC3C3E" w:rsidRPr="0013396E" w:rsidRDefault="00DC3C3E" w:rsidP="007A1E53">
      <w:pPr>
        <w:spacing w:after="240"/>
        <w:ind w:left="1440" w:hanging="720"/>
        <w:rPr>
          <w:szCs w:val="24"/>
        </w:rPr>
      </w:pPr>
      <w:r w:rsidRPr="0013396E">
        <w:rPr>
          <w:szCs w:val="24"/>
        </w:rPr>
        <w:t>(b)</w:t>
      </w:r>
      <w:r w:rsidRPr="0013396E">
        <w:rPr>
          <w:szCs w:val="24"/>
        </w:rPr>
        <w:tab/>
      </w:r>
      <w:r w:rsidR="0066695B" w:rsidRPr="0013396E">
        <w:rPr>
          <w:szCs w:val="24"/>
        </w:rPr>
        <w:t>To provide ERCOT information about all generators interconnected at distribution voltage as requested by ERCOT pursuant to these Protocols or Other Binding Documents for the purposes of ensuring accurate Settlement and operating and planning the ERCOT Transmission Grid; and</w:t>
      </w:r>
    </w:p>
    <w:p w14:paraId="252C4F71" w14:textId="757FD605" w:rsidR="00DC3C3E" w:rsidRPr="0013396E" w:rsidRDefault="00DC3C3E" w:rsidP="007A1E53">
      <w:pPr>
        <w:spacing w:after="240"/>
        <w:ind w:left="1440" w:hanging="720"/>
        <w:rPr>
          <w:szCs w:val="24"/>
        </w:rPr>
      </w:pPr>
      <w:r w:rsidRPr="0013396E">
        <w:rPr>
          <w:szCs w:val="24"/>
        </w:rPr>
        <w:lastRenderedPageBreak/>
        <w:t>(c)</w:t>
      </w:r>
      <w:r w:rsidRPr="0013396E">
        <w:rPr>
          <w:szCs w:val="24"/>
        </w:rPr>
        <w:tab/>
        <w:t>To effectuate automatic or manual Load-shedding as prescribed by these Protocols or Other Binding Documents.</w:t>
      </w:r>
    </w:p>
    <w:p w14:paraId="1A36746A" w14:textId="5581D7AE" w:rsidR="00DC3C3E" w:rsidRPr="0013396E" w:rsidRDefault="00DC3C3E" w:rsidP="00DC3C3E">
      <w:pPr>
        <w:pStyle w:val="List"/>
        <w:ind w:left="720"/>
      </w:pPr>
      <w:r w:rsidRPr="0013396E">
        <w:rPr>
          <w:szCs w:val="24"/>
        </w:rPr>
        <w:t>(3)</w:t>
      </w:r>
      <w:r w:rsidRPr="0013396E">
        <w:rPr>
          <w:szCs w:val="24"/>
        </w:rPr>
        <w:tab/>
        <w:t xml:space="preserve">Nothing in paragraph (2) above limits ERCOT’s authority to require that a Transmission Service Provider (TSP) or Transmission Operator (TO) disconnect any Facility operated at distribution voltage from the ERCOT System if </w:t>
      </w:r>
      <w:r w:rsidRPr="0013396E">
        <w:t>ERCOT</w:t>
      </w:r>
      <w:r w:rsidRPr="0013396E">
        <w:rPr>
          <w:szCs w:val="24"/>
        </w:rPr>
        <w:t xml:space="preserve"> determines such action is necessary to address a reliability concern on the ERCOT Transmission Grid.  Additionally, nothing in paragraph (2) above limits ERCOT’s authority to require appropriate modeling and telemetry of </w:t>
      </w:r>
      <w:r w:rsidR="00847E53" w:rsidRPr="0013396E">
        <w:rPr>
          <w:szCs w:val="24"/>
        </w:rPr>
        <w:t>t</w:t>
      </w:r>
      <w:r w:rsidRPr="0013396E">
        <w:rPr>
          <w:szCs w:val="24"/>
        </w:rPr>
        <w:t>ransmission Loads that may represent multiple distribution-level Loads, as provided in Section 3.10.7.2, Modeling of Resources and Transmission Loads.</w:t>
      </w:r>
    </w:p>
    <w:p w14:paraId="334393A6" w14:textId="7CFE0623" w:rsidR="001F04FD" w:rsidRPr="0013396E" w:rsidRDefault="001F04FD" w:rsidP="00F42848">
      <w:pPr>
        <w:pStyle w:val="List"/>
        <w:ind w:left="720"/>
      </w:pPr>
      <w:r w:rsidRPr="0013396E">
        <w:t>(</w:t>
      </w:r>
      <w:r w:rsidR="00DC3C3E" w:rsidRPr="0013396E">
        <w:t>4</w:t>
      </w:r>
      <w:r w:rsidRPr="0013396E">
        <w:t>)</w:t>
      </w:r>
      <w:r w:rsidRPr="0013396E">
        <w:tab/>
        <w:t xml:space="preserve">Consistent with paragraph (1)(e) above, if ERCOT seeks to exercise its authority to prevent an anticipated Emergency Condition relating to serving Load in the current or next Season by procuring existing capacity that may be used to maintain ERCOT System reliability in a manner not otherwise delineated in these Protocols and the </w:t>
      </w:r>
      <w:r w:rsidR="0098177F" w:rsidRPr="0013396E">
        <w:t xml:space="preserve">Nodal </w:t>
      </w:r>
      <w:r w:rsidRPr="0013396E">
        <w:t xml:space="preserve">Operating Guides, ERCOT shall take the following actions: </w:t>
      </w:r>
    </w:p>
    <w:p w14:paraId="4284203F" w14:textId="77777777" w:rsidR="001F04FD" w:rsidRPr="0013396E" w:rsidRDefault="001F04FD" w:rsidP="001F04FD">
      <w:pPr>
        <w:pStyle w:val="List"/>
      </w:pPr>
      <w:r w:rsidRPr="0013396E">
        <w:t>(a)</w:t>
      </w:r>
      <w:r w:rsidRPr="0013396E">
        <w:tab/>
        <w:t xml:space="preserve">Upon determination by ERCOT that additional capacity is needed to prevent an Emergency Condition and prior to any procurement activity associated with such additional capacity, ERCOT shall issue a Notice as soon as practicable with the following information: </w:t>
      </w:r>
    </w:p>
    <w:p w14:paraId="61D5DBAA" w14:textId="77777777" w:rsidR="001F04FD" w:rsidRPr="0013396E" w:rsidRDefault="001F04FD" w:rsidP="001F04FD">
      <w:pPr>
        <w:pStyle w:val="List"/>
        <w:ind w:left="2160"/>
      </w:pPr>
      <w:r w:rsidRPr="0013396E">
        <w:t>(i)</w:t>
      </w:r>
      <w:r w:rsidRPr="0013396E">
        <w:tab/>
        <w:t xml:space="preserve">A detailed </w:t>
      </w:r>
      <w:r w:rsidRPr="0013396E">
        <w:rPr>
          <w:szCs w:val="24"/>
        </w:rPr>
        <w:t>description</w:t>
      </w:r>
      <w:r w:rsidRPr="0013396E">
        <w:t xml:space="preserve"> of the reliability condition and need for additional capacity as determined by ERCOT and the timing of the proposed procurement;</w:t>
      </w:r>
    </w:p>
    <w:p w14:paraId="6458ED3C" w14:textId="77777777" w:rsidR="001F04FD" w:rsidRPr="0013396E" w:rsidRDefault="001F04FD" w:rsidP="001F04FD">
      <w:pPr>
        <w:pStyle w:val="List"/>
        <w:ind w:left="2160"/>
      </w:pPr>
      <w:r w:rsidRPr="0013396E">
        <w:t>(ii)</w:t>
      </w:r>
      <w:r w:rsidRPr="0013396E">
        <w:tab/>
        <w:t>Justification for the quantity of additional capacity to be requested;</w:t>
      </w:r>
    </w:p>
    <w:p w14:paraId="429206E4" w14:textId="0CF621FD" w:rsidR="001F04FD" w:rsidRPr="0013396E" w:rsidRDefault="001F04FD" w:rsidP="001F04FD">
      <w:pPr>
        <w:pStyle w:val="List"/>
        <w:ind w:left="2160"/>
      </w:pPr>
      <w:r w:rsidRPr="0013396E">
        <w:t>(iii)</w:t>
      </w:r>
      <w:r w:rsidRPr="0013396E">
        <w:tab/>
      </w:r>
      <w:r w:rsidR="0066695B" w:rsidRPr="0013396E">
        <w:t>Identification of potential Generation Resources, ESRs, or Load providing capacity considered by ERCOT to be acceptable for providing the additional capacity.  Load capacity may be provided by Entities who, at ERCOT’s direction, would interrupt consumption of electric power and remain interrupted until released by ERCOT; and</w:t>
      </w:r>
    </w:p>
    <w:p w14:paraId="771F2879" w14:textId="5AED003C" w:rsidR="001F04FD" w:rsidRPr="0013396E" w:rsidRDefault="001F04FD" w:rsidP="007A1E53">
      <w:pPr>
        <w:pStyle w:val="List"/>
        <w:ind w:left="2160"/>
      </w:pPr>
      <w:r w:rsidRPr="0013396E">
        <w:t>(iv)</w:t>
      </w:r>
      <w:r w:rsidRPr="0013396E">
        <w:tab/>
        <w:t>A schedule of activities associated with the proposed procurement.</w:t>
      </w:r>
    </w:p>
    <w:p w14:paraId="0160AD63" w14:textId="77777777" w:rsidR="001F04FD" w:rsidRPr="0013396E" w:rsidRDefault="001F04FD" w:rsidP="001F04FD">
      <w:pPr>
        <w:pStyle w:val="List"/>
      </w:pPr>
      <w:r w:rsidRPr="0013396E">
        <w:t>(b)</w:t>
      </w:r>
      <w:r w:rsidRPr="0013396E">
        <w:tab/>
        <w:t>If ERCOT identifies a specific Entity with which it will negotiate the terms for procurement of additional capacity, then ERCOT shall issue a Notice as soon as practicable that includes the Entity name and, as applicable, the Resource mnemonic, the Resource MW rating by Season, the name of the Resource Entity, and the potential duration of any contract, including anticipated start and end dates.</w:t>
      </w:r>
    </w:p>
    <w:p w14:paraId="74E85327" w14:textId="77777777" w:rsidR="001F04FD" w:rsidRPr="0013396E" w:rsidRDefault="001F04FD" w:rsidP="001F04FD">
      <w:pPr>
        <w:pStyle w:val="List"/>
      </w:pPr>
      <w:r w:rsidRPr="0013396E">
        <w:t>(c)</w:t>
      </w:r>
      <w:r w:rsidRPr="0013396E">
        <w:tab/>
        <w:t>ERCOT shall, to the fullest extent practicable, ensure that any actions taken to procure additional capacity meet the following criteria:</w:t>
      </w:r>
    </w:p>
    <w:p w14:paraId="0FCAF51C" w14:textId="77777777" w:rsidR="001F04FD" w:rsidRPr="0013396E" w:rsidRDefault="001F04FD" w:rsidP="001F04FD">
      <w:pPr>
        <w:pStyle w:val="List"/>
        <w:ind w:left="2160"/>
        <w:rPr>
          <w:color w:val="000000"/>
          <w:szCs w:val="24"/>
        </w:rPr>
      </w:pPr>
      <w:r w:rsidRPr="0013396E">
        <w:rPr>
          <w:color w:val="000000"/>
          <w:szCs w:val="24"/>
        </w:rPr>
        <w:lastRenderedPageBreak/>
        <w:t>(i)</w:t>
      </w:r>
      <w:r w:rsidRPr="0013396E">
        <w:rPr>
          <w:color w:val="000000"/>
          <w:szCs w:val="24"/>
        </w:rPr>
        <w:tab/>
        <w:t xml:space="preserve">Any capacity procured pursuant to this paragraph will be procured using an open process, and the terms of the </w:t>
      </w:r>
      <w:r w:rsidRPr="0013396E">
        <w:t>procurement</w:t>
      </w:r>
      <w:r w:rsidRPr="0013396E">
        <w:rPr>
          <w:color w:val="000000"/>
          <w:szCs w:val="24"/>
        </w:rPr>
        <w:t xml:space="preserve"> between ERCOT and the Entity will be memorialized in contracts that will be publicly available for inspection on the ERCOT website.  </w:t>
      </w:r>
    </w:p>
    <w:p w14:paraId="7829EE70" w14:textId="70B714CB" w:rsidR="001F04FD" w:rsidRPr="0013396E" w:rsidRDefault="001F04FD" w:rsidP="001F04FD">
      <w:pPr>
        <w:pStyle w:val="List"/>
        <w:ind w:left="2160"/>
        <w:rPr>
          <w:color w:val="000000"/>
          <w:szCs w:val="24"/>
        </w:rPr>
      </w:pPr>
      <w:r w:rsidRPr="0013396E">
        <w:rPr>
          <w:color w:val="000000"/>
          <w:szCs w:val="24"/>
        </w:rPr>
        <w:t>(ii)</w:t>
      </w:r>
      <w:r w:rsidRPr="0013396E">
        <w:rPr>
          <w:color w:val="000000"/>
          <w:szCs w:val="24"/>
        </w:rPr>
        <w:tab/>
      </w:r>
      <w:r w:rsidR="0066695B" w:rsidRPr="0013396E">
        <w:rPr>
          <w:color w:val="000000"/>
        </w:rPr>
        <w:t>Each contract will include specified financial terms and termination dates.  For purposes of Settlement, any contract associated with a Generation Resource or ESR will include substantially the same terms and conditions as an RMR Unit under a RMR Agreement, including the Eligible Cost budgeting process.</w:t>
      </w:r>
      <w:r w:rsidRPr="0013396E">
        <w:rPr>
          <w:color w:val="000000"/>
          <w:szCs w:val="24"/>
        </w:rPr>
        <w:t xml:space="preserve"> </w:t>
      </w:r>
    </w:p>
    <w:p w14:paraId="7BAD3286" w14:textId="6E7562AB" w:rsidR="001F04FD" w:rsidRPr="0013396E" w:rsidRDefault="001F04FD" w:rsidP="007A1E53">
      <w:pPr>
        <w:pStyle w:val="List"/>
        <w:ind w:left="2160"/>
        <w:rPr>
          <w:color w:val="000000"/>
          <w:szCs w:val="24"/>
        </w:rPr>
      </w:pPr>
      <w:r w:rsidRPr="0013396E">
        <w:rPr>
          <w:color w:val="000000"/>
          <w:szCs w:val="24"/>
        </w:rPr>
        <w:t>(iii)</w:t>
      </w:r>
      <w:r w:rsidRPr="0013396E">
        <w:rPr>
          <w:color w:val="000000"/>
          <w:szCs w:val="24"/>
        </w:rPr>
        <w:tab/>
        <w:t>ERCOT shall provide notice to the ERCOT Board, at the next ERCOT Board meeting after ERCOT has signed the contract, that the actions required prior to execution of the contract, pursuant to paragraphs (</w:t>
      </w:r>
      <w:r w:rsidR="00DC3C3E" w:rsidRPr="0013396E">
        <w:rPr>
          <w:color w:val="000000"/>
          <w:szCs w:val="24"/>
        </w:rPr>
        <w:t>4</w:t>
      </w:r>
      <w:r w:rsidRPr="0013396E">
        <w:rPr>
          <w:color w:val="000000"/>
          <w:szCs w:val="24"/>
        </w:rPr>
        <w:t xml:space="preserve">)(a) through (c) above, were completed by ERCOT before the contract was executed.  </w:t>
      </w:r>
    </w:p>
    <w:p w14:paraId="3E7837FD" w14:textId="77777777" w:rsidR="001F04FD" w:rsidRPr="0013396E" w:rsidRDefault="001F04FD" w:rsidP="001F04FD">
      <w:pPr>
        <w:pStyle w:val="List"/>
        <w:ind w:left="2160"/>
        <w:rPr>
          <w:color w:val="000000"/>
          <w:szCs w:val="24"/>
        </w:rPr>
      </w:pPr>
      <w:r w:rsidRPr="0013396E">
        <w:rPr>
          <w:color w:val="000000"/>
          <w:szCs w:val="24"/>
        </w:rPr>
        <w:t>(iv)</w:t>
      </w:r>
      <w:r w:rsidRPr="0013396E">
        <w:rPr>
          <w:color w:val="000000"/>
          <w:szCs w:val="24"/>
        </w:rPr>
        <w:tab/>
        <w:t>Any information submitted by the Entity to ERCOT through the procurement process may be designated as Protected Information and treated in accordance with the provisions of Section 1.3, Confidentiality, provided that final contract terms must be made available for public inspection.</w:t>
      </w:r>
    </w:p>
    <w:p w14:paraId="2508C1C0" w14:textId="5ACD872F" w:rsidR="001F04FD" w:rsidRPr="0013396E" w:rsidRDefault="001F04FD" w:rsidP="001F04FD">
      <w:pPr>
        <w:pStyle w:val="List"/>
      </w:pPr>
      <w:r w:rsidRPr="0013396E">
        <w:rPr>
          <w:color w:val="000000"/>
          <w:szCs w:val="24"/>
        </w:rPr>
        <w:t>(d)</w:t>
      </w:r>
      <w:r w:rsidRPr="0013396E">
        <w:rPr>
          <w:color w:val="000000"/>
          <w:szCs w:val="24"/>
        </w:rPr>
        <w:tab/>
      </w:r>
      <w:r w:rsidR="0066695B" w:rsidRPr="0013396E">
        <w:rPr>
          <w:color w:val="000000"/>
          <w:szCs w:val="24"/>
        </w:rPr>
        <w:t>A Generation Resource or ESR that has received capital contributions from ERCOT pursuant to a contract executed under this paragraph (4) may not participate in the energy or Ancillary Services markets until such capital contributions have been refunded to ERCOT.  For the purposes of this Section, capital contributions are defined as improvements with an asset life greater than one year under the applicable federal tax rules.  The Resource Entity’s refund of capital contributions shall be a lump sum payment calculated as follows:</w:t>
      </w:r>
    </w:p>
    <w:p w14:paraId="5BFD983F" w14:textId="21F6B81A" w:rsidR="001F04FD" w:rsidRPr="0013396E" w:rsidRDefault="001F04FD" w:rsidP="007A1E53">
      <w:pPr>
        <w:pStyle w:val="List"/>
        <w:ind w:left="2160"/>
        <w:rPr>
          <w:szCs w:val="24"/>
        </w:rPr>
      </w:pPr>
      <w:r w:rsidRPr="0013396E">
        <w:rPr>
          <w:color w:val="000000"/>
          <w:szCs w:val="24"/>
        </w:rPr>
        <w:t>(i)</w:t>
      </w:r>
      <w:r w:rsidRPr="0013396E">
        <w:rPr>
          <w:color w:val="000000"/>
          <w:szCs w:val="24"/>
        </w:rPr>
        <w:tab/>
      </w:r>
      <w:r w:rsidR="0066695B" w:rsidRPr="0013396E">
        <w:rPr>
          <w:color w:val="000000"/>
        </w:rPr>
        <w:t>If the Generation Resource or ESR chooses to participate in the energy or Ancillary Service markets after the termination date of the contract executed under this paragraph (4), the Qualified Scheduling Entity (QSE) representing the Resource Entity shall repay, in a lump sum payment,  100% of the book value of the capitalized equipment and all installation charges leading to turn key, one-time startup based on a linear depreciation over the estimated life of the capitalized component(s) in accordance with Generally Accepted Accounting Principles (GAAP) standards for electric utility equipment.  The estimated life shall be based on documentation provided by the manufacturer; if installing used equipment, the estimated life may be based on an approximation agreed to by the Resource Entity and ERCOT.</w:t>
      </w:r>
    </w:p>
    <w:p w14:paraId="2AC69D41" w14:textId="182AD0A0" w:rsidR="001F04FD" w:rsidRPr="0013396E" w:rsidRDefault="001F04FD" w:rsidP="007A1E53">
      <w:pPr>
        <w:pStyle w:val="List"/>
        <w:ind w:left="2160"/>
        <w:rPr>
          <w:color w:val="000000"/>
          <w:szCs w:val="24"/>
        </w:rPr>
      </w:pPr>
      <w:r w:rsidRPr="0013396E">
        <w:rPr>
          <w:color w:val="000000"/>
          <w:szCs w:val="24"/>
        </w:rPr>
        <w:t>(ii)</w:t>
      </w:r>
      <w:r w:rsidRPr="0013396E">
        <w:rPr>
          <w:color w:val="000000"/>
          <w:szCs w:val="24"/>
        </w:rPr>
        <w:tab/>
      </w:r>
      <w:r w:rsidR="0066695B" w:rsidRPr="0013396E">
        <w:rPr>
          <w:color w:val="000000"/>
        </w:rPr>
        <w:t xml:space="preserve">If the Generation Resource or ESR chooses to participate in the energy or Ancillary Services markets as contemplated in item (4)(d)(i) above, and its participation requires a lump sum payment of capital contributions, </w:t>
      </w:r>
      <w:r w:rsidR="0066695B" w:rsidRPr="0013396E">
        <w:rPr>
          <w:color w:val="000000"/>
        </w:rPr>
        <w:lastRenderedPageBreak/>
        <w:t>ERCOT will issue a notice to all registered Market Participants announcing the Generation Resource’s or ESR’s decision to participate in the market(s) and identifying the amount of the lump sum payment due pursuant to item (4)(d)(i) above.  ERCOT will also issue a notice to all registered Market Participants after completion of the collection and disbursement of the capital contributions, as described in item (4)(d)(iii) below, and after resolution of any disputes related to these capital contributions.</w:t>
      </w:r>
    </w:p>
    <w:p w14:paraId="208B7D77" w14:textId="1A075822" w:rsidR="001F04FD" w:rsidRPr="0013396E" w:rsidRDefault="001F04FD" w:rsidP="007A1E53">
      <w:pPr>
        <w:pStyle w:val="List"/>
        <w:ind w:left="2160"/>
      </w:pPr>
      <w:r w:rsidRPr="0013396E">
        <w:rPr>
          <w:color w:val="000000"/>
          <w:szCs w:val="24"/>
        </w:rPr>
        <w:t>(iii)</w:t>
      </w:r>
      <w:r w:rsidRPr="0013396E">
        <w:rPr>
          <w:color w:val="000000"/>
          <w:szCs w:val="24"/>
        </w:rPr>
        <w:tab/>
      </w:r>
      <w:r w:rsidR="0066695B" w:rsidRPr="0013396E">
        <w:t>After ERCOT receives a Notification of Change of Resource Designation (Section 22, Attachment H, Notification of Change of Resource Designation) changing the Resource designation to “operational” at a future date, ERCOT shall charge the QSE representing the Resource Entity for capital expenditures incurred and previously paid to the Resource Entity as a result of the Resource’s return to service pursuant to this Section.</w:t>
      </w:r>
    </w:p>
    <w:p w14:paraId="2258F036" w14:textId="42F2574F" w:rsidR="001F04FD" w:rsidRPr="0013396E" w:rsidRDefault="001F04FD" w:rsidP="00DD0A69">
      <w:pPr>
        <w:pStyle w:val="List"/>
        <w:spacing w:before="240"/>
        <w:ind w:left="2880"/>
      </w:pPr>
      <w:r w:rsidRPr="0013396E">
        <w:t>(A)</w:t>
      </w:r>
      <w:r w:rsidRPr="0013396E">
        <w:tab/>
        <w:t>For months in the contract term where notice is received more than five Business Days prior to True-Up Settlement of the first Operating Day of that month, ERCOT shall claw back any payments made for the capital expenditure associated with that month and subsequent months of the term, on the next practical Settlement but no later than the True-Up Settlement.</w:t>
      </w:r>
    </w:p>
    <w:p w14:paraId="49040103" w14:textId="77777777" w:rsidR="001F04FD" w:rsidRPr="0013396E" w:rsidRDefault="001F04FD" w:rsidP="001F04FD">
      <w:pPr>
        <w:pStyle w:val="List"/>
        <w:ind w:left="2880"/>
      </w:pPr>
      <w:r w:rsidRPr="0013396E">
        <w:rPr>
          <w:color w:val="000000"/>
          <w:szCs w:val="24"/>
        </w:rPr>
        <w:t>(B)</w:t>
      </w:r>
      <w:r w:rsidRPr="0013396E">
        <w:rPr>
          <w:color w:val="000000"/>
          <w:szCs w:val="24"/>
        </w:rPr>
        <w:tab/>
      </w:r>
      <w:r w:rsidRPr="0013396E">
        <w:t>For months in the contract term where notice is received five Business Days or less prior to True-Up Settlement of the first Operating Day of that month, ERCOT shall claw back any payments made for the capital expenditures</w:t>
      </w:r>
      <w:r w:rsidRPr="0013396E" w:rsidDel="000434B6">
        <w:t xml:space="preserve"> </w:t>
      </w:r>
      <w:r w:rsidRPr="0013396E">
        <w:t>within 45 days of receipt of the notice.</w:t>
      </w:r>
    </w:p>
    <w:p w14:paraId="39A7AF2D" w14:textId="77777777" w:rsidR="001F04FD" w:rsidRPr="0013396E" w:rsidRDefault="001F04FD" w:rsidP="001F04FD">
      <w:pPr>
        <w:pStyle w:val="List"/>
        <w:ind w:left="2880"/>
        <w:rPr>
          <w:color w:val="000000"/>
          <w:szCs w:val="24"/>
        </w:rPr>
      </w:pPr>
      <w:r w:rsidRPr="0013396E">
        <w:t>(C)</w:t>
      </w:r>
      <w:r w:rsidRPr="0013396E">
        <w:tab/>
        <w:t>ERCOT shall distribute the repayment to QSEs representing Load on the same basis used to collect the monthly capital expenditures, using a monthly Load Ratio Share (LRS).  A QSE’s monthly LRS shall be the QSE’s total Real-Time Adjusted Metered Load (AML) for the month divided by the total ERCOT Real-Time AML for the same month.</w:t>
      </w:r>
    </w:p>
    <w:p w14:paraId="70F81814" w14:textId="27A5177B" w:rsidR="001F04FD" w:rsidRPr="0013396E" w:rsidRDefault="001F04FD" w:rsidP="001F04FD">
      <w:pPr>
        <w:pStyle w:val="List"/>
        <w:rPr>
          <w:color w:val="000000"/>
          <w:szCs w:val="24"/>
        </w:rPr>
      </w:pPr>
      <w:r w:rsidRPr="0013396E">
        <w:rPr>
          <w:szCs w:val="24"/>
        </w:rPr>
        <w:t>(e)</w:t>
      </w:r>
      <w:r w:rsidRPr="0013396E">
        <w:rPr>
          <w:szCs w:val="24"/>
        </w:rPr>
        <w:tab/>
      </w:r>
      <w:r w:rsidR="0066695B" w:rsidRPr="0013396E">
        <w:t xml:space="preserve">ERCOT shall endeavor to minimize the deployment of capacity procured pursuant to this paragraph with the goal of reducing the potential distortion of markets.  Resources and Loads deployed to alleviate imminent Emergency Conditions </w:t>
      </w:r>
      <w:r w:rsidR="0066695B" w:rsidRPr="0013396E">
        <w:rPr>
          <w:color w:val="000000"/>
        </w:rPr>
        <w:t xml:space="preserve">will not be offered into the Day-Ahead Market (DAM).  Rather, ERCOT will determine whether to use the capacity as part of the Hourly Reliability Unit Commitment (HRUC) process based on system conditions and the ability to meet Demand.  In the event Generation Resources are committed and On-Line, ERCOT systems will generate a proxy offer for the Generation Resource at the Real-Time System-Wide Offer Cap (RTSWCAP).  The default offer will place the Generation Resources among the last for economic Dispatch, so as not to </w:t>
      </w:r>
      <w:r w:rsidR="0066695B" w:rsidRPr="0013396E">
        <w:rPr>
          <w:color w:val="000000"/>
        </w:rPr>
        <w:lastRenderedPageBreak/>
        <w:t>displace Generation Resources that are On-Line and offering into the market.  To the extent practicable, the capacity deployed to alleviate imminent Emergency Conditions will not be used solely for the purpose of reducing local congestion.</w:t>
      </w:r>
    </w:p>
    <w:p w14:paraId="78C0A316" w14:textId="53CF9CDE" w:rsidR="001F04FD" w:rsidRPr="0013396E" w:rsidRDefault="001F04FD" w:rsidP="007A1E53">
      <w:pPr>
        <w:pStyle w:val="List"/>
      </w:pPr>
      <w:r w:rsidRPr="0013396E">
        <w:rPr>
          <w:color w:val="000000"/>
          <w:szCs w:val="24"/>
        </w:rPr>
        <w:t>(f)</w:t>
      </w:r>
      <w:r w:rsidRPr="0013396E">
        <w:rPr>
          <w:color w:val="000000"/>
          <w:szCs w:val="24"/>
        </w:rPr>
        <w:tab/>
        <w:t>An Entity cannot be compelled to enter into a contract under this paragraph.</w:t>
      </w:r>
    </w:p>
    <w:p w14:paraId="113D6B85" w14:textId="77777777" w:rsidR="001F04FD" w:rsidRPr="0013396E" w:rsidRDefault="001F04FD" w:rsidP="001F04FD">
      <w:pPr>
        <w:pStyle w:val="H4"/>
        <w:spacing w:before="480"/>
        <w:ind w:left="1267" w:hanging="1267"/>
      </w:pPr>
      <w:bookmarkStart w:id="493" w:name="_Toc73216004"/>
      <w:bookmarkStart w:id="494" w:name="_Toc397504946"/>
      <w:bookmarkStart w:id="495" w:name="_Toc402357074"/>
      <w:bookmarkStart w:id="496" w:name="_Toc422486454"/>
      <w:bookmarkStart w:id="497" w:name="_Toc433093306"/>
      <w:bookmarkStart w:id="498" w:name="_Toc433093464"/>
      <w:bookmarkStart w:id="499" w:name="_Toc440874693"/>
      <w:bookmarkStart w:id="500" w:name="_Toc448142248"/>
      <w:bookmarkStart w:id="501" w:name="_Toc448142405"/>
      <w:bookmarkStart w:id="502" w:name="_Toc458770241"/>
      <w:bookmarkStart w:id="503" w:name="_Toc459294209"/>
      <w:bookmarkStart w:id="504" w:name="_Toc463262702"/>
      <w:bookmarkStart w:id="505" w:name="_Toc468286776"/>
      <w:bookmarkStart w:id="506" w:name="_Toc481502822"/>
      <w:bookmarkStart w:id="507" w:name="_Toc496079990"/>
      <w:bookmarkStart w:id="508" w:name="_Toc214878889"/>
      <w:r w:rsidRPr="0013396E">
        <w:t>6.5.1.2</w:t>
      </w:r>
      <w:r w:rsidRPr="0013396E">
        <w:tab/>
        <w:t>Centralized Dispatch</w:t>
      </w:r>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p>
    <w:p w14:paraId="7C528FC6" w14:textId="34DD4B43" w:rsidR="001F04FD" w:rsidRPr="0013396E" w:rsidRDefault="001F04FD" w:rsidP="001F04FD">
      <w:pPr>
        <w:pStyle w:val="BodyTextNumbered"/>
      </w:pPr>
      <w:r w:rsidRPr="0013396E">
        <w:t>(1)</w:t>
      </w:r>
      <w:r w:rsidRPr="0013396E">
        <w:tab/>
        <w:t xml:space="preserve">ERCOT shall centrally Dispatch Resources and Transmission Facilities under these Protocols, including deploying energy by establishing Base Points, and Emergency Base Points, and by deploying Regulation Service, </w:t>
      </w:r>
      <w:r w:rsidR="00A93ECE" w:rsidRPr="0013396E">
        <w:t>ERCOT Contingency Reserve Service (ECRS)</w:t>
      </w:r>
      <w:r w:rsidRPr="0013396E">
        <w:t>, and Non-Spinning Reserve (Non-Spin)</w:t>
      </w:r>
      <w:r w:rsidR="00DC6D12" w:rsidRPr="0013396E">
        <w:t xml:space="preserve"> </w:t>
      </w:r>
      <w:r w:rsidRPr="0013396E">
        <w:t>to ensure operational security.</w:t>
      </w:r>
      <w:r w:rsidR="00A93ECE" w:rsidRPr="0013396E">
        <w:t xml:space="preserve">  Responsive Reserve (RRS) shall be self-deployed in response to frequency deviations or as specified in Nodal Operating Guide Section 4.8, Responsive Reserve Service </w:t>
      </w:r>
      <w:r w:rsidR="00EB35AD">
        <w:t xml:space="preserve">and ERCOT Contingency Reserve Service </w:t>
      </w:r>
      <w:r w:rsidR="00A93ECE" w:rsidRPr="0013396E">
        <w:t>During Scarcity Conditions.</w:t>
      </w:r>
    </w:p>
    <w:p w14:paraId="7F77D775" w14:textId="2820CE48" w:rsidR="003235C1" w:rsidRPr="0013396E" w:rsidRDefault="001F04FD" w:rsidP="00F969DB">
      <w:pPr>
        <w:pStyle w:val="BodyTextNumbered"/>
      </w:pPr>
      <w:r w:rsidRPr="0013396E">
        <w:t>(2)</w:t>
      </w:r>
      <w:r w:rsidRPr="0013396E">
        <w:tab/>
      </w:r>
      <w:r w:rsidR="0066695B" w:rsidRPr="0013396E">
        <w:t>ERCOT shall verify that either an Energy Offer Curve or Energy Bid/Offer Curve providing prices for the Resource between its High Sustained Limit (HSL) and Low Sustained Limit (LSL) or an Output Schedule has been submitted for each On-Line Resource an hour before the end of the Adjustment Period for the upcoming Operating Hour.  ERCOT shall notify QSEs that have not submitted an Output Schedule or Energy Offer Curve or Energy Bid/Offer Curve through the Market Information System (MIS) Certified Area.</w:t>
      </w:r>
    </w:p>
    <w:p w14:paraId="26B370F6" w14:textId="77B5E9B4" w:rsidR="003235C1" w:rsidRPr="0013396E" w:rsidRDefault="0066695B" w:rsidP="007A1E53">
      <w:pPr>
        <w:pStyle w:val="BodyTextNumbered"/>
      </w:pPr>
      <w:r w:rsidRPr="0013396E">
        <w:t>(3)</w:t>
      </w:r>
      <w:r w:rsidRPr="0013396E">
        <w:tab/>
        <w:t>If a Resource is scheduled to be On-Line and available to provide an Ancillary Service, but does not have any Ancillary Service Offers for which the Resource is qualified to provide, then at the end of the Adjustment Period, ERCOT shall notify the Resource’s QSE through the MIS Certified Area.</w:t>
      </w:r>
    </w:p>
    <w:p w14:paraId="37C92AB5" w14:textId="066C9E07" w:rsidR="001F04FD" w:rsidRPr="0013396E" w:rsidRDefault="001F04FD" w:rsidP="007A1E53">
      <w:pPr>
        <w:pStyle w:val="BodyTextNumbered"/>
      </w:pPr>
      <w:r w:rsidRPr="0013396E">
        <w:t>(</w:t>
      </w:r>
      <w:r w:rsidR="0066695B" w:rsidRPr="0013396E">
        <w:t>4</w:t>
      </w:r>
      <w:r w:rsidRPr="0013396E">
        <w:t>)</w:t>
      </w:r>
      <w:r w:rsidRPr="0013396E">
        <w:tab/>
        <w:t>ERCOT may only issue Dispatch Instructions for the Real-Time operation of Transmission Facilities to a TSP, for the Real-Time operation of distribution facilities to a Distribution Service Provider (DSP), or for a Resource to the QSE that represents it.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B37C4B" w:rsidRPr="0013396E" w14:paraId="1835642C" w14:textId="77777777" w:rsidTr="0052684A">
        <w:trPr>
          <w:trHeight w:val="566"/>
        </w:trPr>
        <w:tc>
          <w:tcPr>
            <w:tcW w:w="9576" w:type="dxa"/>
            <w:shd w:val="pct12" w:color="auto" w:fill="auto"/>
          </w:tcPr>
          <w:p w14:paraId="3B783992" w14:textId="45B1E826" w:rsidR="00B37C4B" w:rsidRPr="0013396E" w:rsidRDefault="00B37C4B" w:rsidP="004510FA">
            <w:pPr>
              <w:pStyle w:val="Instructions"/>
              <w:spacing w:before="120"/>
            </w:pPr>
            <w:r w:rsidRPr="0013396E">
              <w:t>[NPRR857:  Replace paragraph (</w:t>
            </w:r>
            <w:r w:rsidR="0066695B" w:rsidRPr="0013396E">
              <w:t>4</w:t>
            </w:r>
            <w:r w:rsidRPr="0013396E">
              <w:t>) above with the following upon system implementation</w:t>
            </w:r>
            <w:r w:rsidR="004A5B0B" w:rsidRPr="0013396E">
              <w:t xml:space="preserve"> </w:t>
            </w:r>
            <w:r w:rsidR="004A5B0B" w:rsidRPr="0013396E">
              <w:rPr>
                <w:bCs/>
                <w:iCs w:val="0"/>
              </w:rPr>
              <w:t xml:space="preserve">and </w:t>
            </w:r>
            <w:r w:rsidR="004A5B0B" w:rsidRPr="0013396E">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sidRPr="0013396E">
              <w:t>:]</w:t>
            </w:r>
          </w:p>
          <w:p w14:paraId="0E456B63" w14:textId="67A92B1C" w:rsidR="00B37C4B" w:rsidRPr="0013396E" w:rsidRDefault="00B37C4B" w:rsidP="00B17C2D">
            <w:pPr>
              <w:spacing w:after="240"/>
              <w:ind w:left="720" w:hanging="720"/>
            </w:pPr>
            <w:r w:rsidRPr="0013396E">
              <w:t>(</w:t>
            </w:r>
            <w:r w:rsidR="0066695B" w:rsidRPr="0013396E">
              <w:t>4</w:t>
            </w:r>
            <w:r w:rsidRPr="0013396E">
              <w:t>)</w:t>
            </w:r>
            <w:r w:rsidRPr="0013396E">
              <w:tab/>
              <w:t>In Real-Time operations, ERCOT may only issue Dispatch Instructions for</w:t>
            </w:r>
            <w:r w:rsidR="00B17C2D" w:rsidRPr="0013396E">
              <w:t xml:space="preserve"> Direct Current Ties (DC Ties)</w:t>
            </w:r>
            <w:r w:rsidRPr="0013396E">
              <w:t xml:space="preserve"> to the appropriate Direct Current Tie Operator (DCTO), for Transmission Facilities to a Transmission Service Provider (TSP), for distribution </w:t>
            </w:r>
            <w:r w:rsidRPr="0013396E">
              <w:lastRenderedPageBreak/>
              <w:t>facilities to a Distribution Service Provider (DSP), or for a Resource to the QSE that represents it.</w:t>
            </w:r>
          </w:p>
        </w:tc>
      </w:tr>
    </w:tbl>
    <w:p w14:paraId="5350B018" w14:textId="7CDAB9F4" w:rsidR="001F04FD" w:rsidRPr="0013396E" w:rsidRDefault="001F04FD" w:rsidP="0099247E">
      <w:pPr>
        <w:pStyle w:val="BodyTextNumbered"/>
        <w:spacing w:before="240"/>
      </w:pPr>
      <w:r w:rsidRPr="0013396E">
        <w:lastRenderedPageBreak/>
        <w:t>(</w:t>
      </w:r>
      <w:r w:rsidR="0066695B" w:rsidRPr="0013396E">
        <w:t>5</w:t>
      </w:r>
      <w:r w:rsidRPr="0013396E">
        <w:t>)</w:t>
      </w:r>
      <w:r w:rsidRPr="0013396E">
        <w:tab/>
        <w:t>ERCOT shall post shift schedules on the MIS Secure Area.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D779AB" w:rsidRPr="0013396E" w14:paraId="66DB325F" w14:textId="77777777" w:rsidTr="00AE5CE8">
        <w:trPr>
          <w:trHeight w:val="206"/>
        </w:trPr>
        <w:tc>
          <w:tcPr>
            <w:tcW w:w="9576" w:type="dxa"/>
            <w:shd w:val="pct12" w:color="auto" w:fill="auto"/>
          </w:tcPr>
          <w:p w14:paraId="3A97A67F" w14:textId="540955AA" w:rsidR="00D779AB" w:rsidRPr="0013396E" w:rsidRDefault="00D779AB" w:rsidP="00D779AB">
            <w:pPr>
              <w:pStyle w:val="Instructions"/>
              <w:spacing w:before="120"/>
            </w:pPr>
            <w:bookmarkStart w:id="509" w:name="_Toc73216005"/>
            <w:bookmarkStart w:id="510" w:name="_Toc397504947"/>
            <w:bookmarkStart w:id="511" w:name="_Toc402357075"/>
            <w:bookmarkStart w:id="512" w:name="_Toc422486455"/>
            <w:bookmarkStart w:id="513" w:name="_Toc433093307"/>
            <w:bookmarkStart w:id="514" w:name="_Toc433093465"/>
            <w:bookmarkStart w:id="515" w:name="_Toc440874694"/>
            <w:bookmarkStart w:id="516" w:name="_Toc448142249"/>
            <w:bookmarkStart w:id="517" w:name="_Toc448142406"/>
            <w:bookmarkStart w:id="518" w:name="_Toc458770242"/>
            <w:bookmarkStart w:id="519" w:name="_Toc459294210"/>
            <w:bookmarkStart w:id="520" w:name="_Toc463262703"/>
            <w:bookmarkStart w:id="521" w:name="_Toc468286777"/>
            <w:bookmarkStart w:id="522" w:name="_Toc481502823"/>
            <w:bookmarkStart w:id="523" w:name="_Toc496079991"/>
            <w:r w:rsidRPr="0013396E">
              <w:t>[NPRR1240:  Delete paragraph (</w:t>
            </w:r>
            <w:r w:rsidR="0066695B" w:rsidRPr="0013396E">
              <w:t>5</w:t>
            </w:r>
            <w:r w:rsidRPr="0013396E">
              <w:t>) above upon system implementation.]</w:t>
            </w:r>
          </w:p>
        </w:tc>
      </w:tr>
    </w:tbl>
    <w:p w14:paraId="598066D4" w14:textId="77777777" w:rsidR="001F04FD" w:rsidRPr="0013396E" w:rsidRDefault="001F04FD" w:rsidP="001F04FD">
      <w:pPr>
        <w:pStyle w:val="H3"/>
        <w:spacing w:before="480"/>
      </w:pPr>
      <w:bookmarkStart w:id="524" w:name="_Toc214878890"/>
      <w:r w:rsidRPr="0013396E">
        <w:t>6.5.2</w:t>
      </w:r>
      <w:r w:rsidRPr="0013396E">
        <w:tab/>
        <w:t>Operating Standards</w:t>
      </w:r>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p>
    <w:p w14:paraId="2DF5B240" w14:textId="77777777" w:rsidR="001F04FD" w:rsidRPr="0013396E" w:rsidRDefault="001F04FD" w:rsidP="001F04FD">
      <w:pPr>
        <w:pStyle w:val="BodyTextNumbered"/>
      </w:pPr>
      <w:r w:rsidRPr="0013396E">
        <w:t>(1)</w:t>
      </w:r>
      <w:r w:rsidRPr="0013396E">
        <w:tab/>
        <w:t>ERCOT and each TSP shall operate the ERCOT Transmission Grid pursuant to NERC Reliability Standards, these Protocols, and Good Utility Practice.  The requirements of the NERC Reliability Standards shall prevail to the extent there are any inconsistencies with these Protocols or Good Utility Practice.  These Protocols control to the extent of any inconsistency between the Protocols and any of the following documents: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901DDE" w:rsidRPr="0013396E" w14:paraId="54FC427A" w14:textId="77777777" w:rsidTr="004510FA">
        <w:trPr>
          <w:trHeight w:val="1547"/>
        </w:trPr>
        <w:tc>
          <w:tcPr>
            <w:tcW w:w="9576" w:type="dxa"/>
            <w:shd w:val="pct12" w:color="auto" w:fill="auto"/>
          </w:tcPr>
          <w:p w14:paraId="45C415EB" w14:textId="2745D3A8" w:rsidR="00901DDE" w:rsidRPr="0013396E" w:rsidRDefault="00901DDE" w:rsidP="004510FA">
            <w:pPr>
              <w:pStyle w:val="Instructions"/>
              <w:spacing w:before="120"/>
            </w:pPr>
            <w:r w:rsidRPr="0013396E">
              <w:t>[NPRR857:  Replace paragraph (1) above with the following upon system implementation</w:t>
            </w:r>
            <w:r w:rsidR="004A5B0B" w:rsidRPr="0013396E">
              <w:t xml:space="preserve"> </w:t>
            </w:r>
            <w:r w:rsidR="004A5B0B" w:rsidRPr="0013396E">
              <w:rPr>
                <w:bCs/>
                <w:iCs w:val="0"/>
              </w:rPr>
              <w:t xml:space="preserve">and </w:t>
            </w:r>
            <w:r w:rsidR="004A5B0B" w:rsidRPr="0013396E">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sidRPr="0013396E">
              <w:t>:]</w:t>
            </w:r>
          </w:p>
          <w:p w14:paraId="0E89BBF4" w14:textId="77777777" w:rsidR="00901DDE" w:rsidRPr="0013396E" w:rsidRDefault="00901DDE" w:rsidP="00901DDE">
            <w:pPr>
              <w:spacing w:after="240"/>
              <w:ind w:left="720" w:hanging="720"/>
            </w:pPr>
            <w:r w:rsidRPr="0013396E">
              <w:t>(1)</w:t>
            </w:r>
            <w:r w:rsidRPr="0013396E">
              <w:tab/>
              <w:t>ERCOT and each TSP and DCTO shall operate the ERCOT Transmission Grid pursuant to NERC Reliability Standards, these Protocols, and Good Utility Practice.  The requirements of the NERC Reliability Standards shall prevail to the extent there are any inconsistencies with these Protocols or Good Utility Practice.  These Protocols control to the extent of any inconsistency between the Protocols and any of the following documents:</w:t>
            </w:r>
          </w:p>
        </w:tc>
      </w:tr>
    </w:tbl>
    <w:p w14:paraId="6C8F1D0E" w14:textId="77777777" w:rsidR="001F04FD" w:rsidRPr="0013396E" w:rsidRDefault="001F04FD" w:rsidP="0099247E">
      <w:pPr>
        <w:pStyle w:val="List"/>
        <w:spacing w:before="240"/>
      </w:pPr>
      <w:r w:rsidRPr="0013396E">
        <w:t>(a)</w:t>
      </w:r>
      <w:r w:rsidRPr="0013396E">
        <w:tab/>
        <w:t>The Operating Guides;</w:t>
      </w:r>
    </w:p>
    <w:p w14:paraId="495AA104" w14:textId="77777777" w:rsidR="001F04FD" w:rsidRPr="0013396E" w:rsidRDefault="001F04FD" w:rsidP="001F04FD">
      <w:pPr>
        <w:pStyle w:val="List"/>
      </w:pPr>
      <w:r w:rsidRPr="0013396E">
        <w:t>(b)</w:t>
      </w:r>
      <w:r w:rsidRPr="0013396E">
        <w:tab/>
        <w:t>ERCOT procedures manual for ERCOT Operators to use during normal and emergency operations of the ERCOT Transmission Grid;</w:t>
      </w:r>
    </w:p>
    <w:p w14:paraId="34DFE4E7" w14:textId="77777777" w:rsidR="001F04FD" w:rsidRPr="0013396E" w:rsidRDefault="001F04FD" w:rsidP="001F04FD">
      <w:pPr>
        <w:pStyle w:val="List"/>
      </w:pPr>
      <w:r w:rsidRPr="0013396E">
        <w:t>(c)</w:t>
      </w:r>
      <w:r w:rsidRPr="0013396E">
        <w:tab/>
        <w:t>Specific operating procedures and RAPs submitted to ERCOT by individual Transmission Facilities owners or operators to address operating problems on their respective grids that could affect operation of the ERCOT Transmission Grid; and</w:t>
      </w:r>
    </w:p>
    <w:p w14:paraId="0C5D5294" w14:textId="77777777" w:rsidR="001F04FD" w:rsidRPr="0013396E" w:rsidRDefault="001F04FD" w:rsidP="001F04FD">
      <w:pPr>
        <w:pStyle w:val="List"/>
      </w:pPr>
      <w:r w:rsidRPr="0013396E">
        <w:lastRenderedPageBreak/>
        <w:t>(d)</w:t>
      </w:r>
      <w:r w:rsidRPr="0013396E">
        <w:tab/>
        <w:t>Guidelines established by the ERCOT Board, which may be more stringent than those established by NERC for the secure operation of the ERCOT Transmission Grid.</w:t>
      </w:r>
    </w:p>
    <w:p w14:paraId="7335B760" w14:textId="77777777" w:rsidR="001F04FD" w:rsidRPr="0013396E" w:rsidRDefault="001F04FD" w:rsidP="001F04FD">
      <w:pPr>
        <w:pStyle w:val="H3"/>
        <w:spacing w:before="480"/>
      </w:pPr>
      <w:bookmarkStart w:id="525" w:name="_Toc73216006"/>
      <w:bookmarkStart w:id="526" w:name="_Toc397504948"/>
      <w:bookmarkStart w:id="527" w:name="_Toc402357076"/>
      <w:bookmarkStart w:id="528" w:name="_Toc422486456"/>
      <w:bookmarkStart w:id="529" w:name="_Toc433093308"/>
      <w:bookmarkStart w:id="530" w:name="_Toc433093466"/>
      <w:bookmarkStart w:id="531" w:name="_Toc440874695"/>
      <w:bookmarkStart w:id="532" w:name="_Toc448142250"/>
      <w:bookmarkStart w:id="533" w:name="_Toc448142407"/>
      <w:bookmarkStart w:id="534" w:name="_Toc458770243"/>
      <w:bookmarkStart w:id="535" w:name="_Toc459294211"/>
      <w:bookmarkStart w:id="536" w:name="_Toc463262704"/>
      <w:bookmarkStart w:id="537" w:name="_Toc468286778"/>
      <w:bookmarkStart w:id="538" w:name="_Toc481502824"/>
      <w:bookmarkStart w:id="539" w:name="_Toc496079992"/>
      <w:bookmarkStart w:id="540" w:name="_Toc214878891"/>
      <w:r w:rsidRPr="0013396E">
        <w:t>6.5.3</w:t>
      </w:r>
      <w:r w:rsidRPr="0013396E">
        <w:tab/>
        <w:t>Equipment Operating Ratings and Limits</w:t>
      </w:r>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p>
    <w:p w14:paraId="6EC8E63E" w14:textId="35C97827" w:rsidR="001F04FD" w:rsidRPr="0013396E" w:rsidRDefault="001F04FD" w:rsidP="001F04FD">
      <w:pPr>
        <w:pStyle w:val="BodyTextNumbered"/>
      </w:pPr>
      <w:r w:rsidRPr="0013396E">
        <w:t>(1)</w:t>
      </w:r>
      <w:r w:rsidRPr="0013396E">
        <w:tab/>
        <w:t xml:space="preserve">ERCOT shall consider all equipment operating limits when issuing Dispatch Instructions.  Except as stated in Section 6.5.9, Emergency Operations, if a Dispatch Instruction conflicts with a restriction that may be placed on equipment from time to time by a TSP, a DSP, or a </w:t>
      </w:r>
      <w:r w:rsidR="006F578F" w:rsidRPr="0013396E">
        <w:t xml:space="preserve">QSE representing a </w:t>
      </w:r>
      <w:r w:rsidRPr="0013396E">
        <w:t>Generation Resource</w:t>
      </w:r>
      <w:r w:rsidR="006F578F" w:rsidRPr="0013396E">
        <w:t xml:space="preserve"> or ESR</w:t>
      </w:r>
      <w:r w:rsidRPr="0013396E">
        <w:t xml:space="preserve"> to protect the integrity of equipment, ERCOT shall honor the restriction.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901DDE" w:rsidRPr="0013396E" w14:paraId="4F9637F6" w14:textId="77777777" w:rsidTr="004510FA">
        <w:trPr>
          <w:trHeight w:val="1547"/>
        </w:trPr>
        <w:tc>
          <w:tcPr>
            <w:tcW w:w="9576" w:type="dxa"/>
            <w:shd w:val="pct12" w:color="auto" w:fill="auto"/>
          </w:tcPr>
          <w:p w14:paraId="2C35C8D8" w14:textId="783B3937" w:rsidR="00901DDE" w:rsidRPr="0013396E" w:rsidRDefault="00901DDE" w:rsidP="004510FA">
            <w:pPr>
              <w:pStyle w:val="Instructions"/>
              <w:spacing w:before="120"/>
            </w:pPr>
            <w:r w:rsidRPr="0013396E">
              <w:t>[NPRR857:  Replace paragraph (1) above with the following upon system implementation</w:t>
            </w:r>
            <w:r w:rsidR="004A5B0B" w:rsidRPr="0013396E">
              <w:t xml:space="preserve"> </w:t>
            </w:r>
            <w:r w:rsidR="004A5B0B" w:rsidRPr="0013396E">
              <w:rPr>
                <w:bCs/>
                <w:iCs w:val="0"/>
              </w:rPr>
              <w:t xml:space="preserve">and </w:t>
            </w:r>
            <w:r w:rsidR="004A5B0B" w:rsidRPr="0013396E">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sidRPr="0013396E">
              <w:t>:]</w:t>
            </w:r>
          </w:p>
          <w:p w14:paraId="2666C4BC" w14:textId="5849F131" w:rsidR="00901DDE" w:rsidRPr="0013396E" w:rsidRDefault="00901DDE" w:rsidP="00901DDE">
            <w:pPr>
              <w:spacing w:after="240"/>
              <w:ind w:left="720" w:hanging="720"/>
            </w:pPr>
            <w:r w:rsidRPr="0013396E">
              <w:t>(1)</w:t>
            </w:r>
            <w:r w:rsidRPr="0013396E">
              <w:tab/>
              <w:t xml:space="preserve">ERCOT shall consider all equipment operating limits when issuing Dispatch Instructions.  Except as stated in Section 6.5.9, Emergency Operations, if a Dispatch Instruction conflicts with a restriction that may be placed on equipment from time to time by a TSP, a DSP, a DCTO, or a </w:t>
            </w:r>
            <w:r w:rsidR="00490BFE" w:rsidRPr="0013396E">
              <w:t xml:space="preserve">QSE representing a </w:t>
            </w:r>
            <w:r w:rsidRPr="0013396E">
              <w:t>Generation Resource</w:t>
            </w:r>
            <w:r w:rsidR="00490BFE" w:rsidRPr="0013396E">
              <w:t xml:space="preserve"> or ESR</w:t>
            </w:r>
            <w:r w:rsidRPr="0013396E">
              <w:t xml:space="preserve"> to protect the integrity of equipment, ERCOT shall honor the restriction.</w:t>
            </w:r>
          </w:p>
        </w:tc>
      </w:tr>
    </w:tbl>
    <w:p w14:paraId="50EDC623" w14:textId="77777777" w:rsidR="001F04FD" w:rsidRPr="0013396E" w:rsidRDefault="001F04FD" w:rsidP="0099247E">
      <w:pPr>
        <w:pStyle w:val="BodyTextNumbered"/>
        <w:spacing w:before="240"/>
      </w:pPr>
      <w:r w:rsidRPr="0013396E">
        <w:t>(2)</w:t>
      </w:r>
      <w:r w:rsidRPr="0013396E">
        <w:tab/>
        <w:t>Each TSP shall notify ERCOT of any limitations on the TSP’s system that may affect ERCOT Dispatch Instructions.  ERCOT shall continuously maintain a posting on the MIS Secure Area of any TSP limitations that may affect Dispatch Instructions.  Examples of such limitations may include: temporary changes to transmission or transformer ratings, temporary changes to range of automatic tap position capabilities on auto-transformers, fixing or blocking tap changer, changes to no-load tap positions or other limitations affecting the delivery of energy across the ERCOT Transmission Grid.  Any conflicts that cannot be satisfactorily resolved may be brought to ERCOT by any of the affected Entities for investigation and resolution.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901DDE" w:rsidRPr="0013396E" w14:paraId="69057492" w14:textId="77777777" w:rsidTr="004510FA">
        <w:trPr>
          <w:trHeight w:val="1547"/>
        </w:trPr>
        <w:tc>
          <w:tcPr>
            <w:tcW w:w="9576" w:type="dxa"/>
            <w:shd w:val="pct12" w:color="auto" w:fill="auto"/>
          </w:tcPr>
          <w:p w14:paraId="4CD70A86" w14:textId="0FB3A777" w:rsidR="00901DDE" w:rsidRPr="0013396E" w:rsidRDefault="00901DDE" w:rsidP="004510FA">
            <w:pPr>
              <w:pStyle w:val="Instructions"/>
              <w:spacing w:before="120"/>
            </w:pPr>
            <w:bookmarkStart w:id="541" w:name="_Toc73164254"/>
            <w:bookmarkStart w:id="542" w:name="_Toc73216007"/>
            <w:bookmarkStart w:id="543" w:name="_Toc397504949"/>
            <w:bookmarkStart w:id="544" w:name="_Toc402357077"/>
            <w:bookmarkStart w:id="545" w:name="_Toc422486457"/>
            <w:bookmarkStart w:id="546" w:name="_Toc433093309"/>
            <w:bookmarkStart w:id="547" w:name="_Toc433093467"/>
            <w:bookmarkStart w:id="548" w:name="_Toc440874696"/>
            <w:bookmarkStart w:id="549" w:name="_Toc448142251"/>
            <w:bookmarkStart w:id="550" w:name="_Toc448142408"/>
            <w:bookmarkStart w:id="551" w:name="_Toc458770244"/>
            <w:bookmarkStart w:id="552" w:name="_Toc459294212"/>
            <w:bookmarkStart w:id="553" w:name="_Toc463262705"/>
            <w:bookmarkStart w:id="554" w:name="_Toc468286779"/>
            <w:bookmarkStart w:id="555" w:name="_Toc481502825"/>
            <w:bookmarkStart w:id="556" w:name="_Toc496079993"/>
            <w:r w:rsidRPr="0013396E">
              <w:t>[NPRR857:  Replace paragraph (2) above with the following upon system implementation</w:t>
            </w:r>
            <w:r w:rsidR="004A5B0B" w:rsidRPr="0013396E">
              <w:t xml:space="preserve"> </w:t>
            </w:r>
            <w:r w:rsidR="004A5B0B" w:rsidRPr="0013396E">
              <w:rPr>
                <w:bCs/>
                <w:iCs w:val="0"/>
              </w:rPr>
              <w:t xml:space="preserve">and </w:t>
            </w:r>
            <w:r w:rsidR="004A5B0B" w:rsidRPr="0013396E">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sidRPr="0013396E">
              <w:t>:]</w:t>
            </w:r>
          </w:p>
          <w:p w14:paraId="70BBA067" w14:textId="77777777" w:rsidR="00901DDE" w:rsidRPr="0013396E" w:rsidRDefault="00901DDE" w:rsidP="00901DDE">
            <w:pPr>
              <w:spacing w:after="240"/>
              <w:ind w:left="720" w:hanging="720"/>
            </w:pPr>
            <w:r w:rsidRPr="0013396E">
              <w:lastRenderedPageBreak/>
              <w:t>(2)</w:t>
            </w:r>
            <w:r w:rsidRPr="0013396E">
              <w:tab/>
              <w:t>Each TSP or DCTO shall notify ERCOT of any limitations on the TSP’s or DCTO’s system that may affect ERCOT Dispatch Instructions.  ERCOT shall continuously maintain a posting on the MIS Secure Area of any TSP or DCTO limitations that may affect Dispatch Instructions.  Examples of such limitations may include: temporary changes to transmission or transformer ratings, temporary changes to range of automatic tap position capabilities on auto-transformers, fixing or blocking tap changer, changes to no-load tap positions or other limitations affecting the delivery of energy across the ERCOT Transmission Grid.  Any conflicts that cannot be satisfactorily resolved may be brought to ERCOT by any of the affected Entities for investigation and resolution.</w:t>
            </w:r>
          </w:p>
        </w:tc>
      </w:tr>
    </w:tbl>
    <w:p w14:paraId="1155E746" w14:textId="77777777" w:rsidR="001F04FD" w:rsidRPr="0013396E" w:rsidRDefault="001F04FD" w:rsidP="0099247E">
      <w:pPr>
        <w:pStyle w:val="H3"/>
        <w:spacing w:before="480"/>
      </w:pPr>
      <w:bookmarkStart w:id="557" w:name="_Toc214878892"/>
      <w:r w:rsidRPr="0013396E">
        <w:lastRenderedPageBreak/>
        <w:t>6.5.4</w:t>
      </w:r>
      <w:r w:rsidRPr="0013396E">
        <w:tab/>
        <w:t>Inadvertent Energy Account</w:t>
      </w:r>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p>
    <w:p w14:paraId="279620ED" w14:textId="77777777" w:rsidR="001F04FD" w:rsidRPr="0013396E" w:rsidRDefault="001F04FD" w:rsidP="001F04FD">
      <w:pPr>
        <w:pStyle w:val="BodyTextNumbered"/>
      </w:pPr>
      <w:r w:rsidRPr="0013396E">
        <w:t>(1)</w:t>
      </w:r>
      <w:r w:rsidRPr="0013396E">
        <w:tab/>
        <w:t>ERCOT shall track any differences between the scheduled energy and the actual metered value at each Direct Current Tie (DC Tie) in an “Inadvertent Energy Account” between ERCOT and each interconnected non-ERCOT Control Area.  ERCOT shall coordinate operation of each DC Tie with the DC Tie operator such that the Inadvertent Energy Account is maintained as close to zero as possible.  Corrections of inadvertent energy between ERCOT and the other NERC-interconnected non-ERCOT Control Areas must comply with the NERC scheduling protocols and the ERCOT Operating Guides.  ERCOT shall establish procedures to correct Inadvertent Energy Accounts with non-ERCOT Control Areas that are not subject to NERC scheduling protocols.</w:t>
      </w:r>
    </w:p>
    <w:p w14:paraId="4579FC4A" w14:textId="77777777" w:rsidR="001F04FD" w:rsidRPr="0013396E" w:rsidRDefault="001F04FD" w:rsidP="001F04FD">
      <w:pPr>
        <w:pStyle w:val="H3"/>
        <w:spacing w:before="480"/>
      </w:pPr>
      <w:bookmarkStart w:id="558" w:name="_Toc397504950"/>
      <w:bookmarkStart w:id="559" w:name="_Toc402357078"/>
      <w:bookmarkStart w:id="560" w:name="_Toc422486458"/>
      <w:bookmarkStart w:id="561" w:name="_Toc433093310"/>
      <w:bookmarkStart w:id="562" w:name="_Toc433093468"/>
      <w:bookmarkStart w:id="563" w:name="_Toc440874697"/>
      <w:bookmarkStart w:id="564" w:name="_Toc448142252"/>
      <w:bookmarkStart w:id="565" w:name="_Toc448142409"/>
      <w:bookmarkStart w:id="566" w:name="_Toc458770245"/>
      <w:bookmarkStart w:id="567" w:name="_Toc459294213"/>
      <w:bookmarkStart w:id="568" w:name="_Toc463262706"/>
      <w:bookmarkStart w:id="569" w:name="_Toc468286780"/>
      <w:bookmarkStart w:id="570" w:name="_Toc481502826"/>
      <w:bookmarkStart w:id="571" w:name="_Toc496079994"/>
      <w:bookmarkStart w:id="572" w:name="_Toc214878893"/>
      <w:r w:rsidRPr="0013396E">
        <w:t>6.5.5</w:t>
      </w:r>
      <w:r w:rsidRPr="0013396E">
        <w:tab/>
        <w:t>QSE Activities</w:t>
      </w:r>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p>
    <w:p w14:paraId="73D074B4" w14:textId="77777777" w:rsidR="001F04FD" w:rsidRPr="0013396E" w:rsidRDefault="001F04FD" w:rsidP="001F04FD">
      <w:pPr>
        <w:pStyle w:val="BodyTextNumbered"/>
      </w:pPr>
      <w:r w:rsidRPr="0013396E">
        <w:t>(1)</w:t>
      </w:r>
      <w:r w:rsidRPr="0013396E">
        <w:tab/>
        <w:t>QSE activities during Real-Time operations are summarized in the table located in Section 6.3.2, Activities for Real-Time Operations.  That table is intended to be only a general guide and not controlling language, and any conflict between the table and another section of the Protocols is controlled by the other section.</w:t>
      </w:r>
    </w:p>
    <w:p w14:paraId="1F1A04B8" w14:textId="77777777" w:rsidR="001F04FD" w:rsidRPr="0013396E" w:rsidRDefault="001F04FD" w:rsidP="001F04FD">
      <w:pPr>
        <w:pStyle w:val="H4"/>
        <w:spacing w:before="480"/>
        <w:ind w:left="1267" w:hanging="1267"/>
      </w:pPr>
      <w:bookmarkStart w:id="573" w:name="_Toc73216009"/>
      <w:bookmarkStart w:id="574" w:name="_Toc397504951"/>
      <w:bookmarkStart w:id="575" w:name="_Toc402357079"/>
      <w:bookmarkStart w:id="576" w:name="_Toc422486459"/>
      <w:bookmarkStart w:id="577" w:name="_Toc433093311"/>
      <w:bookmarkStart w:id="578" w:name="_Toc433093469"/>
      <w:bookmarkStart w:id="579" w:name="_Toc440874698"/>
      <w:bookmarkStart w:id="580" w:name="_Toc448142253"/>
      <w:bookmarkStart w:id="581" w:name="_Toc448142410"/>
      <w:bookmarkStart w:id="582" w:name="_Toc458770246"/>
      <w:bookmarkStart w:id="583" w:name="_Toc459294214"/>
      <w:bookmarkStart w:id="584" w:name="_Toc463262707"/>
      <w:bookmarkStart w:id="585" w:name="_Toc468286781"/>
      <w:bookmarkStart w:id="586" w:name="_Toc481502827"/>
      <w:bookmarkStart w:id="587" w:name="_Toc496079995"/>
      <w:bookmarkStart w:id="588" w:name="_Toc214878894"/>
      <w:bookmarkStart w:id="589" w:name="_Hlk135901057"/>
      <w:r w:rsidRPr="0013396E">
        <w:t>6.5.5.1</w:t>
      </w:r>
      <w:r w:rsidRPr="0013396E">
        <w:tab/>
        <w:t>Changes in Resource Status</w:t>
      </w:r>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p>
    <w:p w14:paraId="4433CCE7" w14:textId="77F004F2" w:rsidR="001F04FD" w:rsidRPr="0013396E" w:rsidRDefault="001F04FD" w:rsidP="001F04FD">
      <w:pPr>
        <w:pStyle w:val="BodyTextNumbered"/>
      </w:pPr>
      <w:bookmarkStart w:id="590" w:name="_Toc73216010"/>
      <w:r w:rsidRPr="0013396E">
        <w:t>(1)</w:t>
      </w:r>
      <w:r w:rsidRPr="0013396E">
        <w:tab/>
      </w:r>
      <w:r w:rsidR="00DE555F" w:rsidRPr="0013396E">
        <w:t>Each QSE shall notify ERCOT via telemetry of a change in Resource Status that is not related to a Forced Outage as soon as practicable but no longer than 15 minutes</w:t>
      </w:r>
      <w:r w:rsidR="00DE555F" w:rsidRPr="0013396E">
        <w:rPr>
          <w:iCs/>
        </w:rPr>
        <w:t xml:space="preserve"> after the change in status occurs</w:t>
      </w:r>
      <w:r w:rsidR="00DE555F" w:rsidRPr="0013396E">
        <w:t xml:space="preserve"> and through changes in the Current Operating Plan (COP) as soon as practicable but no longer than 60 minutes</w:t>
      </w:r>
      <w:r w:rsidR="00DE555F" w:rsidRPr="0013396E">
        <w:rPr>
          <w:iCs/>
        </w:rPr>
        <w:t xml:space="preserve"> after the change in status of the Resource occurs</w:t>
      </w:r>
      <w:r w:rsidRPr="0013396E">
        <w:t>.</w:t>
      </w:r>
    </w:p>
    <w:p w14:paraId="5FC9B193" w14:textId="5D28EA2E" w:rsidR="00A5535F" w:rsidRPr="0013396E" w:rsidRDefault="00DE555F" w:rsidP="00DE555F">
      <w:pPr>
        <w:pStyle w:val="BodyTextNumbered"/>
      </w:pPr>
      <w:r w:rsidRPr="0013396E">
        <w:t xml:space="preserve">(2) </w:t>
      </w:r>
      <w:r w:rsidRPr="0013396E">
        <w:tab/>
        <w:t xml:space="preserve">When an On-Line Resource is experiencing an event that may affect its availability and/or capability and that requires further actions to stabilize the Resource and/or determine the impact of the event, the QSE may change the Resource Status to ONHOLD within 15 minutes of experiencing an event.  Following this Resource Status change, the telemetered HSL and any other applicable telemetry of the Resource as specified in </w:t>
      </w:r>
      <w:r w:rsidRPr="0013396E">
        <w:lastRenderedPageBreak/>
        <w:t>paragraph (2) of Section 6.5.5.2, Operational Data Requirements, shall be updated as soon as practicable but no longer than 15 minutes after the change in Resource Status to ONHOLD.  After the QSE has determined the impact of the event, the QSE shall change the Resource Status to its updated status as soon as practicable but no longer than 60 consecutive minutes of being in the ONHOLD status.</w:t>
      </w:r>
    </w:p>
    <w:p w14:paraId="12488D64" w14:textId="41FA02D0" w:rsidR="001F04FD" w:rsidRPr="0013396E" w:rsidRDefault="001F04FD" w:rsidP="00F969DB">
      <w:pPr>
        <w:pStyle w:val="BodyTextNumbered"/>
      </w:pPr>
      <w:r w:rsidRPr="0013396E">
        <w:t>(</w:t>
      </w:r>
      <w:r w:rsidR="00DE555F" w:rsidRPr="0013396E">
        <w:t>3</w:t>
      </w:r>
      <w:r w:rsidRPr="0013396E">
        <w:t>)</w:t>
      </w:r>
      <w:r w:rsidRPr="0013396E">
        <w:tab/>
      </w:r>
      <w:r w:rsidR="00C06242" w:rsidRPr="0013396E">
        <w:t xml:space="preserve">Each QSE shall promptly inform ERCOT when the operating mode of the Automatic Voltage Regulator (AVR) or Power System Stabilizer (PSS) for the QSE’s Generation Resource or ESR is changed while the Resource is On-Line.  The QSE shall also provide the Resource’s AVR or PSS status logs to ERCOT upon request.  For each Generation Resource that is </w:t>
      </w:r>
      <w:r w:rsidR="00C06242" w:rsidRPr="0013396E">
        <w:rPr>
          <w:lang w:eastAsia="x-none"/>
        </w:rPr>
        <w:t>On-Line but not producing real power and is not capable of providing Reactive Power, each QSE must still telemeter its AVR status to ERCOT but is not required to provide verbal notifications of its AVR status changes to ERCOT during these operating conditions.</w:t>
      </w:r>
    </w:p>
    <w:p w14:paraId="0464F625" w14:textId="1E65A19C" w:rsidR="001F04FD" w:rsidRPr="0013396E" w:rsidRDefault="001F04FD" w:rsidP="007A1E53">
      <w:pPr>
        <w:pStyle w:val="BodyTextNumbered"/>
      </w:pPr>
      <w:r w:rsidRPr="0013396E">
        <w:t>(</w:t>
      </w:r>
      <w:r w:rsidR="00DE555F" w:rsidRPr="0013396E">
        <w:t>4</w:t>
      </w:r>
      <w:r w:rsidRPr="0013396E">
        <w:t>)</w:t>
      </w:r>
      <w:r w:rsidRPr="0013396E">
        <w:tab/>
      </w:r>
      <w:r w:rsidR="00C06242" w:rsidRPr="0013396E">
        <w:t>Each QSE shall immediately report to ERCOT and the TSP any inability of the QSE’s Generation Resource or ESR required to meet its reactive capability requirements in these Protocols.</w:t>
      </w:r>
    </w:p>
    <w:p w14:paraId="256E42E6" w14:textId="557C66A8" w:rsidR="00DE555F" w:rsidRPr="0013396E" w:rsidRDefault="00DE555F" w:rsidP="007A1E53">
      <w:pPr>
        <w:pStyle w:val="BodyTextNumbered"/>
      </w:pPr>
      <w:r w:rsidRPr="0013396E">
        <w:t>(5)</w:t>
      </w:r>
      <w:r w:rsidRPr="0013396E">
        <w:tab/>
        <w:t xml:space="preserve">Each QSE shall timely update the telemetered Resource Status unless in the reasonable judgment of the QSE, such compliance would create an undue threat to safety, undue risk of bodily harm, or undue damage to equipment.  The QSE is excused from updating the telemetered Resource Status only for so long as the undue threat to safety, undue risk of bodily harm, or undue damage to equipment exists.  </w:t>
      </w:r>
      <w:r w:rsidRPr="0013396E">
        <w:rPr>
          <w:color w:val="000000" w:themeColor="text1"/>
        </w:rPr>
        <w:t>The time for updating the telemetered Resource Status begins once the undue threat to safety, undue risk of bodily harm, or undue damage to equipment no longer exists.</w:t>
      </w:r>
    </w:p>
    <w:p w14:paraId="55982816" w14:textId="76F7BB23" w:rsidR="00ED74F0" w:rsidRPr="0013396E" w:rsidRDefault="00ED74F0" w:rsidP="00F969DB">
      <w:pPr>
        <w:spacing w:after="240"/>
        <w:ind w:left="720" w:hanging="720"/>
      </w:pPr>
      <w:bookmarkStart w:id="591" w:name="_Toc397504952"/>
      <w:bookmarkStart w:id="592" w:name="_Toc402357080"/>
      <w:bookmarkStart w:id="593" w:name="_Toc422486460"/>
      <w:bookmarkStart w:id="594" w:name="_Toc433093312"/>
      <w:bookmarkStart w:id="595" w:name="_Toc433093470"/>
      <w:bookmarkStart w:id="596" w:name="_Toc440874699"/>
      <w:bookmarkStart w:id="597" w:name="_Toc448142254"/>
      <w:bookmarkStart w:id="598" w:name="_Toc448142411"/>
      <w:bookmarkStart w:id="599" w:name="_Toc458770247"/>
      <w:bookmarkStart w:id="600" w:name="_Toc459294215"/>
      <w:bookmarkStart w:id="601" w:name="_Toc463262708"/>
      <w:bookmarkStart w:id="602" w:name="_Toc468286782"/>
      <w:bookmarkStart w:id="603" w:name="_Toc481502828"/>
      <w:bookmarkStart w:id="604" w:name="_Toc496079996"/>
      <w:r w:rsidRPr="0013396E">
        <w:t>(</w:t>
      </w:r>
      <w:r w:rsidR="00DE555F" w:rsidRPr="0013396E">
        <w:t>6</w:t>
      </w:r>
      <w:r w:rsidRPr="0013396E">
        <w:t>)</w:t>
      </w:r>
      <w:r w:rsidRPr="0013396E">
        <w:tab/>
        <w:t>A QSE or Resource Entity may use a Generation Resource or ESR to serve Customer Load as part of a Private Microgrid Island (PMI) in any circumstance in which the Customer Load and the Resource are both disconnected from the ERCOT System due to an Outage of the transmission and/or distribution system, provided that the configuration complies with the requirements of paragraph (7) of Section 10.3.2.3, Generation Netting for ERCOT-Polled Settlement Meters, and provided that the QSE or Resource Entity has notified the Transmission and/or Distribution Service Provider (TDSP) of the establishment of a PMI configuration.  The QSE shall ensure that the Load served by the Resource in the PMI configuration is de-energized at the time it is reconnected to the ERCOT System following the PMI configuration.  All operations in a PMI configuration and any reconnection of Load following a PMI configuration shall be coordinated with the TDSP.</w:t>
      </w:r>
    </w:p>
    <w:p w14:paraId="4946B014" w14:textId="5865FD79" w:rsidR="00ED74F0" w:rsidRPr="0013396E" w:rsidRDefault="00ED74F0" w:rsidP="00ED74F0">
      <w:pPr>
        <w:spacing w:after="240"/>
        <w:ind w:left="720" w:hanging="720"/>
      </w:pPr>
      <w:r w:rsidRPr="0013396E">
        <w:t>(</w:t>
      </w:r>
      <w:r w:rsidR="00DE555F" w:rsidRPr="0013396E">
        <w:t>7</w:t>
      </w:r>
      <w:r w:rsidRPr="0013396E">
        <w:t>)</w:t>
      </w:r>
      <w:r w:rsidRPr="0013396E">
        <w:tab/>
        <w:t>A TDSP shall not intentionally disconnect, or direct another TDSP to disconnect, a Generation Resource or ESR included in a PMI configuration from the ERCOT System except in the following circumstances:</w:t>
      </w:r>
    </w:p>
    <w:p w14:paraId="37DDD22C" w14:textId="77777777" w:rsidR="00ED74F0" w:rsidRPr="0013396E" w:rsidRDefault="00ED74F0" w:rsidP="00ED74F0">
      <w:pPr>
        <w:spacing w:after="240"/>
        <w:ind w:left="1440" w:hanging="720"/>
      </w:pPr>
      <w:r w:rsidRPr="0013396E">
        <w:t xml:space="preserve">(a) </w:t>
      </w:r>
      <w:r w:rsidRPr="0013396E">
        <w:tab/>
        <w:t>An approved or accepted Planned or Maintenance Outage of a Transmission Facility reasonably requires, or would otherwise result in, the disconnection of the Resource from the ERCOT System;</w:t>
      </w:r>
    </w:p>
    <w:p w14:paraId="53D4B2D5" w14:textId="1475F996" w:rsidR="00ED74F0" w:rsidRPr="0013396E" w:rsidRDefault="00ED74F0" w:rsidP="00ED74F0">
      <w:pPr>
        <w:spacing w:after="240"/>
        <w:ind w:left="1440" w:hanging="720"/>
      </w:pPr>
      <w:r w:rsidRPr="0013396E">
        <w:lastRenderedPageBreak/>
        <w:t>(b)</w:t>
      </w:r>
      <w:r w:rsidRPr="0013396E">
        <w:tab/>
        <w:t>The Resource is a Distribution Generation Resource or Distribution Energy Storage Resource (DESR), and disconnection of the Resource is required for Distribution System maintenance;</w:t>
      </w:r>
    </w:p>
    <w:p w14:paraId="21DD6ED8" w14:textId="77777777" w:rsidR="00ED74F0" w:rsidRPr="0013396E" w:rsidRDefault="00ED74F0" w:rsidP="00ED74F0">
      <w:pPr>
        <w:spacing w:after="240"/>
        <w:ind w:left="1440" w:hanging="720"/>
      </w:pPr>
      <w:r w:rsidRPr="0013396E">
        <w:t>(c)</w:t>
      </w:r>
      <w:r w:rsidRPr="0013396E">
        <w:tab/>
        <w:t xml:space="preserve">The TDSP’s disconnection of the Resource is necessary to maintain the security of the TDSP’s system or the ERCOT System; </w:t>
      </w:r>
    </w:p>
    <w:p w14:paraId="46F229AA" w14:textId="77777777" w:rsidR="00ED74F0" w:rsidRPr="0013396E" w:rsidRDefault="00ED74F0" w:rsidP="00ED74F0">
      <w:pPr>
        <w:spacing w:after="240"/>
        <w:ind w:left="1440" w:hanging="720"/>
      </w:pPr>
      <w:r w:rsidRPr="0013396E">
        <w:t>(d)</w:t>
      </w:r>
      <w:r w:rsidRPr="0013396E">
        <w:tab/>
        <w:t xml:space="preserve">The TDSP’s disconnection of the Resource is necessary to protect the public from a safety risk attributable to the operation of the Resource; or </w:t>
      </w:r>
    </w:p>
    <w:p w14:paraId="53352663" w14:textId="1CB9BD09" w:rsidR="00ED74F0" w:rsidRPr="0013396E" w:rsidRDefault="00ED74F0" w:rsidP="00ED74F0">
      <w:pPr>
        <w:spacing w:after="240"/>
        <w:ind w:left="1440" w:hanging="720"/>
      </w:pPr>
      <w:r w:rsidRPr="0013396E">
        <w:t>(e)</w:t>
      </w:r>
      <w:r w:rsidRPr="0013396E">
        <w:tab/>
        <w:t>ERCOT directs the disconnection of the Resource.</w:t>
      </w:r>
    </w:p>
    <w:p w14:paraId="1C95CD20" w14:textId="3881D33B" w:rsidR="000266C6" w:rsidRPr="0013396E" w:rsidRDefault="000266C6" w:rsidP="000266C6">
      <w:pPr>
        <w:pStyle w:val="BodyText"/>
        <w:ind w:left="720" w:hanging="720"/>
      </w:pPr>
      <w:r w:rsidRPr="0013396E">
        <w:t>(</w:t>
      </w:r>
      <w:r w:rsidR="00DE555F" w:rsidRPr="0013396E">
        <w:t>8</w:t>
      </w:r>
      <w:r w:rsidRPr="0013396E">
        <w:t>)</w:t>
      </w:r>
      <w:r w:rsidRPr="0013396E">
        <w:tab/>
        <w:t xml:space="preserve">For each Intermittent Renewable Resource (IRR) </w:t>
      </w:r>
      <w:r w:rsidRPr="0013396E">
        <w:rPr>
          <w:iCs w:val="0"/>
        </w:rPr>
        <w:t>synchronized to the ERCOT System</w:t>
      </w:r>
      <w:r w:rsidRPr="0013396E" w:rsidDel="009E3B3E">
        <w:t xml:space="preserve"> </w:t>
      </w:r>
      <w:r w:rsidRPr="0013396E">
        <w:t xml:space="preserve">and </w:t>
      </w:r>
      <w:r w:rsidRPr="0013396E">
        <w:rPr>
          <w:iCs w:val="0"/>
        </w:rPr>
        <w:t xml:space="preserve">not capable of providing real power due to a lack of fuel, the </w:t>
      </w:r>
      <w:r w:rsidRPr="0013396E">
        <w:t xml:space="preserve">Resource Entity and QSE shall </w:t>
      </w:r>
      <w:r w:rsidRPr="0013396E">
        <w:rPr>
          <w:iCs w:val="0"/>
        </w:rPr>
        <w:t>send ERCOT, via telemetry, a Real-Time On-Line status and HSL and LSL of 0.</w:t>
      </w:r>
    </w:p>
    <w:p w14:paraId="3043A17D" w14:textId="77777777" w:rsidR="001F04FD" w:rsidRPr="0013396E" w:rsidRDefault="001F04FD" w:rsidP="001F04FD">
      <w:pPr>
        <w:pStyle w:val="H4"/>
        <w:spacing w:before="480"/>
        <w:ind w:left="1267" w:hanging="1267"/>
      </w:pPr>
      <w:bookmarkStart w:id="605" w:name="_Toc214878895"/>
      <w:bookmarkEnd w:id="589"/>
      <w:r w:rsidRPr="0013396E">
        <w:t>6.5.5.2</w:t>
      </w:r>
      <w:r w:rsidRPr="0013396E">
        <w:tab/>
        <w:t>Operational Data Requirements</w:t>
      </w:r>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p>
    <w:p w14:paraId="2D970D28" w14:textId="77777777" w:rsidR="001F04FD" w:rsidRPr="0013396E" w:rsidRDefault="001F04FD" w:rsidP="001F04FD">
      <w:pPr>
        <w:pStyle w:val="BodyTextNumbered"/>
      </w:pPr>
      <w:r w:rsidRPr="0013396E">
        <w:t>(1)</w:t>
      </w:r>
      <w:r w:rsidRPr="0013396E">
        <w:tab/>
        <w:t>ERCOT shall use Operating Period data to monitor and control the reliability of the ERCOT Transmission Grid and shall use it in network analysis software to predict the short-term reliability of the ERCOT Transmission Grid.  Each TSP, at its own expense, may obtain that Operating Period data from ERCOT or directly from QSEs.</w:t>
      </w:r>
    </w:p>
    <w:p w14:paraId="3B7DE318" w14:textId="77777777" w:rsidR="008E27E0" w:rsidRPr="0013396E" w:rsidRDefault="008E27E0" w:rsidP="008E27E0">
      <w:pPr>
        <w:spacing w:after="240"/>
        <w:ind w:left="720" w:hanging="720"/>
      </w:pPr>
      <w:r w:rsidRPr="0013396E">
        <w:t>(2)</w:t>
      </w:r>
      <w:r w:rsidRPr="0013396E">
        <w:tab/>
        <w:t>A QSE representing a Generation Resource connected to Transmission Facilities or distribution facilities shall provide the following Real-Time telemetry data to ERCOT for each Generation Resource.  ERCOT shall make that data available, in accordance with ERCOT Protocols, NERC Reliability Standards, and Governmental Authority requirements, to requesting TSPs and DSPs operating within ERCOT.  Such data must be provided to the requesting TSP or DSP at the requesting TSP’s or DSP’s expense, including:</w:t>
      </w:r>
    </w:p>
    <w:p w14:paraId="677DE2F6" w14:textId="77777777" w:rsidR="008E27E0" w:rsidRPr="0013396E" w:rsidRDefault="008E27E0" w:rsidP="008E27E0">
      <w:pPr>
        <w:spacing w:after="240"/>
        <w:ind w:left="1440" w:hanging="720"/>
      </w:pPr>
      <w:r w:rsidRPr="0013396E">
        <w:t>(a)</w:t>
      </w:r>
      <w:r w:rsidRPr="0013396E">
        <w:tab/>
        <w:t>Net real power (in MW) as measured by installed power metering or as calculated in accordance with the Operating Guides based on metered gross real power and conversion constants determined by the Resource Entity and provided to ERCOT through the Resource Registration process.  Net real power represents the actual generation of a Resource for all real power dispatch purposes, including use in Security-Constrained Economic Dispatch (SCED), High Dispatch Limit (HDL), and Low Dispatch Limit (LDL), and is consistent with telemetered HSL, LSL, and Frequency Responsive Capacity (FRC);</w:t>
      </w:r>
    </w:p>
    <w:p w14:paraId="6378F000" w14:textId="77777777" w:rsidR="008E27E0" w:rsidRPr="0013396E" w:rsidRDefault="008E27E0" w:rsidP="008E27E0">
      <w:pPr>
        <w:spacing w:after="240"/>
        <w:ind w:left="1440" w:hanging="720"/>
      </w:pPr>
      <w:r w:rsidRPr="0013396E">
        <w:t>(b)</w:t>
      </w:r>
      <w:r w:rsidRPr="0013396E">
        <w:tab/>
        <w:t>Gross real power (in MW) as measured by installed power metering or as calculated in accordance with the Operating Guides based on metered real power, which may include Supervisory Control and Data Acquisition (SCADA) metering, and conversions constants determined by the Resource Entity and provided to ERCOT through the Resource Registration process;</w:t>
      </w:r>
    </w:p>
    <w:p w14:paraId="319C1AC6" w14:textId="77777777" w:rsidR="008E27E0" w:rsidRPr="0013396E" w:rsidRDefault="008E27E0" w:rsidP="008E27E0">
      <w:pPr>
        <w:spacing w:after="240"/>
        <w:ind w:left="1440" w:hanging="720"/>
      </w:pPr>
      <w:r w:rsidRPr="0013396E">
        <w:lastRenderedPageBreak/>
        <w:t>(c)</w:t>
      </w:r>
      <w:r w:rsidRPr="0013396E">
        <w:tab/>
        <w:t>Gross Reactive Power (in Megavolt-Amperes reactive (MVAr));</w:t>
      </w:r>
    </w:p>
    <w:p w14:paraId="4CBBF18D" w14:textId="77777777" w:rsidR="008E27E0" w:rsidRPr="0013396E" w:rsidRDefault="008E27E0" w:rsidP="008E27E0">
      <w:pPr>
        <w:spacing w:after="240"/>
        <w:ind w:left="1440" w:hanging="720"/>
      </w:pPr>
      <w:r w:rsidRPr="0013396E">
        <w:t>(d)</w:t>
      </w:r>
      <w:r w:rsidRPr="0013396E">
        <w:tab/>
        <w:t>Net Reactive Power (in MVAr);</w:t>
      </w:r>
    </w:p>
    <w:p w14:paraId="612E7CF8" w14:textId="77777777" w:rsidR="008E27E0" w:rsidRPr="0013396E" w:rsidRDefault="008E27E0" w:rsidP="008E27E0">
      <w:pPr>
        <w:spacing w:after="240"/>
        <w:ind w:left="1440" w:hanging="720"/>
      </w:pPr>
      <w:r w:rsidRPr="0013396E">
        <w:t>(e)</w:t>
      </w:r>
      <w:r w:rsidRPr="0013396E">
        <w:tab/>
        <w:t>Power to standby transformers serving plant auxiliary Load;</w:t>
      </w:r>
    </w:p>
    <w:p w14:paraId="4F7D32A0" w14:textId="77777777" w:rsidR="008E27E0" w:rsidRPr="0013396E" w:rsidRDefault="008E27E0" w:rsidP="008E27E0">
      <w:pPr>
        <w:spacing w:after="240"/>
        <w:ind w:left="1440" w:hanging="720"/>
      </w:pPr>
      <w:r w:rsidRPr="0013396E">
        <w:t>(f)</w:t>
      </w:r>
      <w:r w:rsidRPr="0013396E">
        <w:tab/>
        <w:t>Status of switching devices in the plant switchyard not monitored by the TSP or DSP affecting flows on the ERCOT Transmission Grid;</w:t>
      </w:r>
    </w:p>
    <w:p w14:paraId="110BF99F" w14:textId="77777777" w:rsidR="008E27E0" w:rsidRPr="0013396E" w:rsidRDefault="008E27E0" w:rsidP="008E27E0">
      <w:pPr>
        <w:spacing w:after="240"/>
        <w:ind w:left="1440" w:hanging="720"/>
      </w:pPr>
      <w:r w:rsidRPr="0013396E">
        <w:t>(g)</w:t>
      </w:r>
      <w:r w:rsidRPr="0013396E">
        <w:tab/>
        <w:t>Any data mutually agreed to by ERCOT and the QSE to adequately manage system reliability;</w:t>
      </w:r>
    </w:p>
    <w:p w14:paraId="137405E8" w14:textId="77777777" w:rsidR="008E27E0" w:rsidRPr="0013396E" w:rsidRDefault="008E27E0" w:rsidP="008E27E0">
      <w:pPr>
        <w:spacing w:after="240"/>
        <w:ind w:left="1440" w:hanging="720"/>
      </w:pPr>
      <w:r w:rsidRPr="0013396E">
        <w:t>(h)</w:t>
      </w:r>
      <w:r w:rsidRPr="0013396E">
        <w:tab/>
        <w:t>Generation Resource breaker and switch status;</w:t>
      </w:r>
    </w:p>
    <w:p w14:paraId="65135126" w14:textId="77777777" w:rsidR="008E27E0" w:rsidRPr="0013396E" w:rsidRDefault="008E27E0" w:rsidP="008E27E0">
      <w:pPr>
        <w:spacing w:after="240"/>
        <w:ind w:left="1440" w:hanging="720"/>
      </w:pPr>
      <w:r w:rsidRPr="0013396E">
        <w:t>(i)</w:t>
      </w:r>
      <w:r w:rsidRPr="0013396E">
        <w:tab/>
        <w:t xml:space="preserve">HSL (Combined Cycle Generation Resources) shall:  </w:t>
      </w:r>
    </w:p>
    <w:p w14:paraId="311CFDAA" w14:textId="77777777" w:rsidR="008E27E0" w:rsidRPr="0013396E" w:rsidRDefault="008E27E0" w:rsidP="008E27E0">
      <w:pPr>
        <w:spacing w:after="240"/>
        <w:ind w:left="2160" w:hanging="720"/>
      </w:pPr>
      <w:r w:rsidRPr="0013396E">
        <w:t>(i)</w:t>
      </w:r>
      <w:r w:rsidRPr="0013396E">
        <w:tab/>
        <w:t xml:space="preserve">Submit the HSL of the current operating configuration; and </w:t>
      </w:r>
    </w:p>
    <w:p w14:paraId="403C3AF3" w14:textId="77777777" w:rsidR="008E27E0" w:rsidRPr="0013396E" w:rsidRDefault="008E27E0" w:rsidP="008E27E0">
      <w:pPr>
        <w:spacing w:after="240"/>
        <w:ind w:left="2160" w:hanging="720"/>
      </w:pPr>
      <w:r w:rsidRPr="0013396E">
        <w:t>(ii)</w:t>
      </w:r>
      <w:r w:rsidRPr="0013396E">
        <w:tab/>
        <w:t>When providing ECRS, update the HSL as needed, to be consistent with Resource performance limitations of ECRS provision;</w:t>
      </w:r>
    </w:p>
    <w:p w14:paraId="61AE4E19" w14:textId="77777777" w:rsidR="008E27E0" w:rsidRPr="0013396E" w:rsidRDefault="008E27E0" w:rsidP="008E27E0">
      <w:pPr>
        <w:spacing w:after="240"/>
        <w:ind w:left="1440" w:hanging="720"/>
      </w:pPr>
      <w:r w:rsidRPr="0013396E">
        <w:t>(j)</w:t>
      </w:r>
      <w:r w:rsidRPr="0013396E">
        <w:tab/>
      </w:r>
      <w:r w:rsidRPr="0013396E">
        <w:rPr>
          <w:color w:val="000000"/>
        </w:rPr>
        <w:t>NFRC currently available (unloaded) and included in the HSL of the Generation Resource</w:t>
      </w:r>
      <w:r w:rsidRPr="0013396E">
        <w:t xml:space="preserve">; </w:t>
      </w:r>
    </w:p>
    <w:p w14:paraId="76F6FC68" w14:textId="77777777" w:rsidR="008E27E0" w:rsidRPr="0013396E" w:rsidRDefault="008E27E0" w:rsidP="008E27E0">
      <w:pPr>
        <w:spacing w:after="240"/>
        <w:ind w:left="1440" w:hanging="720"/>
      </w:pPr>
      <w:r w:rsidRPr="0013396E">
        <w:t>(k)</w:t>
      </w:r>
      <w:r w:rsidRPr="0013396E">
        <w:tab/>
        <w:t>High Emergency Limit (HEL), under Section 6.5.9.2, Failure of the SCED Process;</w:t>
      </w:r>
    </w:p>
    <w:p w14:paraId="7C3E0E20" w14:textId="77777777" w:rsidR="008E27E0" w:rsidRPr="0013396E" w:rsidRDefault="008E27E0" w:rsidP="008E27E0">
      <w:pPr>
        <w:spacing w:after="240"/>
        <w:ind w:left="1440" w:hanging="720"/>
      </w:pPr>
      <w:r w:rsidRPr="0013396E">
        <w:t>(l)</w:t>
      </w:r>
      <w:r w:rsidRPr="0013396E">
        <w:tab/>
        <w:t xml:space="preserve">Low Emergency Limit (LEL), under Section 6.5.9.2; </w:t>
      </w:r>
    </w:p>
    <w:p w14:paraId="73B0D4A3" w14:textId="77777777" w:rsidR="008E27E0" w:rsidRPr="0013396E" w:rsidRDefault="008E27E0" w:rsidP="008E27E0">
      <w:pPr>
        <w:spacing w:after="240"/>
        <w:ind w:left="1440" w:hanging="720"/>
      </w:pPr>
      <w:r w:rsidRPr="0013396E">
        <w:t>(m)</w:t>
      </w:r>
      <w:r w:rsidRPr="0013396E">
        <w:tab/>
        <w:t>LSL;</w:t>
      </w:r>
    </w:p>
    <w:p w14:paraId="61DA6A86" w14:textId="77777777" w:rsidR="008E27E0" w:rsidRPr="0013396E" w:rsidRDefault="008E27E0" w:rsidP="008E27E0">
      <w:pPr>
        <w:spacing w:after="240"/>
        <w:ind w:left="1440" w:hanging="720"/>
      </w:pPr>
      <w:r w:rsidRPr="0013396E">
        <w:t>(n)</w:t>
      </w:r>
      <w:r w:rsidRPr="0013396E">
        <w:tab/>
        <w:t>Configuration identification for Combined Cycle Generation Resources;</w:t>
      </w:r>
    </w:p>
    <w:p w14:paraId="13357385" w14:textId="3620E32F" w:rsidR="008E27E0" w:rsidRPr="0013396E" w:rsidRDefault="008E27E0" w:rsidP="008E27E0">
      <w:pPr>
        <w:spacing w:after="240"/>
        <w:ind w:left="1440" w:hanging="720"/>
      </w:pPr>
      <w:r w:rsidRPr="0013396E">
        <w:t>(o)</w:t>
      </w:r>
      <w:r w:rsidRPr="0013396E">
        <w:tab/>
        <w:t xml:space="preserve">For Resources with capacity that is not capable of providing </w:t>
      </w:r>
      <w:r w:rsidR="00CE5534">
        <w:t>Primary Frequency Response</w:t>
      </w:r>
      <w:r w:rsidRPr="0013396E">
        <w:t>, the high and low limits in MW of the Resource’s capacity that is frequency responsive</w:t>
      </w:r>
      <w:r w:rsidRPr="0013396E">
        <w:rPr>
          <w:color w:val="000000"/>
        </w:rPr>
        <w:t xml:space="preserve"> and the current FRC of the Resource</w:t>
      </w:r>
      <w:r w:rsidRPr="0013396E">
        <w:t>;</w:t>
      </w:r>
    </w:p>
    <w:p w14:paraId="049D6AD2" w14:textId="77777777" w:rsidR="008E27E0" w:rsidRPr="0013396E" w:rsidRDefault="008E27E0" w:rsidP="008E27E0">
      <w:pPr>
        <w:spacing w:after="240"/>
        <w:ind w:left="1440" w:hanging="720"/>
      </w:pPr>
      <w:r w:rsidRPr="0013396E">
        <w:t>(p)</w:t>
      </w:r>
      <w:r w:rsidRPr="0013396E">
        <w:tab/>
        <w:t>For RRS, including any sub-categories of RRS, the physical capability (in MW) of the Resource to provide RRS;</w:t>
      </w:r>
    </w:p>
    <w:p w14:paraId="2617A1EE" w14:textId="77777777" w:rsidR="008E27E0" w:rsidRPr="0013396E" w:rsidRDefault="008E27E0" w:rsidP="008E27E0">
      <w:pPr>
        <w:spacing w:after="240"/>
        <w:ind w:left="1440" w:hanging="720"/>
      </w:pPr>
      <w:r w:rsidRPr="0013396E">
        <w:t>(q)</w:t>
      </w:r>
      <w:r w:rsidRPr="0013396E">
        <w:tab/>
        <w:t>For Ancillary Services other than RRS, a blended Normal Ramp Rate (in MW/min) that reflects the physical capability of the Resource to provide that specific type of Ancillary Service;</w:t>
      </w:r>
    </w:p>
    <w:p w14:paraId="73ABDE4E" w14:textId="77777777" w:rsidR="008E27E0" w:rsidRPr="0013396E" w:rsidRDefault="008E27E0" w:rsidP="008E27E0">
      <w:pPr>
        <w:spacing w:after="240"/>
        <w:ind w:left="1440" w:hanging="720"/>
      </w:pPr>
      <w:r w:rsidRPr="0013396E">
        <w:t>(r)</w:t>
      </w:r>
      <w:r w:rsidRPr="0013396E">
        <w:tab/>
        <w:t>Five-minute blended Normal Ramp Rates (up and down);</w:t>
      </w:r>
    </w:p>
    <w:p w14:paraId="237C550B" w14:textId="77777777" w:rsidR="008E27E0" w:rsidRPr="0013396E" w:rsidRDefault="008E27E0" w:rsidP="008E27E0">
      <w:pPr>
        <w:spacing w:after="240"/>
        <w:ind w:left="1440" w:hanging="720"/>
      </w:pPr>
      <w:r w:rsidRPr="0013396E">
        <w:t>(s)</w:t>
      </w:r>
      <w:r w:rsidRPr="0013396E">
        <w:tab/>
        <w:t xml:space="preserve">The designated Master QSE of a Generation Resource that has been split to function as two or more Split Generation Resources shall provide Real-Time telemetry for items (a), (b), (c), (d), (e), (g), and (h) above, PSS and AVR status </w:t>
      </w:r>
      <w:r w:rsidRPr="0013396E">
        <w:lastRenderedPageBreak/>
        <w:t>for the total Generation Resource in addition to the Split Generation Resource the Master QSE represents; and</w:t>
      </w:r>
    </w:p>
    <w:p w14:paraId="43CFF817" w14:textId="753E8B88" w:rsidR="00C23DEE" w:rsidRPr="0013396E" w:rsidRDefault="008E27E0" w:rsidP="009942F9">
      <w:pPr>
        <w:spacing w:after="240"/>
        <w:ind w:left="1440" w:hanging="720"/>
      </w:pPr>
      <w:r w:rsidRPr="0013396E">
        <w:t>(t)</w:t>
      </w:r>
      <w:r w:rsidRPr="0013396E">
        <w:tab/>
        <w:t>The telemetered MW of power augmentation capacity that is not On-Line for Resources that have power augmentation capacity included in HSL.</w:t>
      </w:r>
      <w:r w:rsidRPr="0013396E">
        <w:rPr>
          <w:color w:val="000000"/>
        </w:rPr>
        <w:t xml:space="preserve">  When power augmentation capacity is On-Line, this value should be zero.</w:t>
      </w:r>
      <w:r w:rsidRPr="0013396E" w:rsidDel="008E27E0">
        <w:t xml:space="preserve"> </w:t>
      </w:r>
    </w:p>
    <w:p w14:paraId="60EC1AB3" w14:textId="5BA32673" w:rsidR="001F04FD" w:rsidRPr="0013396E" w:rsidRDefault="001F04FD" w:rsidP="008E27E0">
      <w:pPr>
        <w:pStyle w:val="List"/>
        <w:ind w:left="720"/>
      </w:pPr>
      <w:r w:rsidRPr="0013396E">
        <w:t>(3)</w:t>
      </w:r>
      <w:r w:rsidRPr="0013396E">
        <w:tab/>
        <w:t xml:space="preserve">For each </w:t>
      </w:r>
      <w:r w:rsidRPr="0013396E">
        <w:rPr>
          <w:iCs/>
        </w:rPr>
        <w:t>Intermittent Renewable Resource (IRR)</w:t>
      </w:r>
      <w:r w:rsidRPr="0013396E">
        <w:t>, the QSE shall set the HSL equal to the current net output capability of the facility.  The net output capability should consider the net real power of the IRR generation equipment, IRR generation equipment availability, weather conditions, and whether the IRR net output is being affected by compliance with a SCED Dispatch Instruction.</w:t>
      </w:r>
    </w:p>
    <w:p w14:paraId="1646C791" w14:textId="3301B26E" w:rsidR="008E27E0" w:rsidRPr="0013396E" w:rsidRDefault="008E27E0" w:rsidP="007A1E53">
      <w:pPr>
        <w:pStyle w:val="List"/>
        <w:ind w:left="720"/>
      </w:pPr>
      <w:r w:rsidRPr="0013396E">
        <w:t>(4)</w:t>
      </w:r>
      <w:r w:rsidRPr="0013396E">
        <w:tab/>
        <w:t xml:space="preserve">For each Resource, the QSE for the Resource shall consider the physical </w:t>
      </w:r>
      <w:r w:rsidRPr="0013396E">
        <w:rPr>
          <w:iCs/>
        </w:rPr>
        <w:t>capability</w:t>
      </w:r>
      <w:r w:rsidRPr="0013396E">
        <w:t xml:space="preserve"> to provide a specific type of Ancillary Service based on the operating conditions for that specific Ancillary Service, including equipment availability, weather conditions and ability to meet the Ancillary Service criteria specified in Section 8.1.1.3, Ancillary Service Capacity Compliance Criteria.  ERCOT may perform validation of the QSE’s submission to ensure these criteria are considered and adhered to.</w:t>
      </w:r>
    </w:p>
    <w:p w14:paraId="5CC930ED" w14:textId="5220E7A1" w:rsidR="001F04FD" w:rsidRPr="0013396E" w:rsidRDefault="001F04FD" w:rsidP="007A1E53">
      <w:pPr>
        <w:pStyle w:val="List"/>
        <w:ind w:left="720"/>
      </w:pPr>
      <w:r w:rsidRPr="0013396E">
        <w:rPr>
          <w:iCs/>
        </w:rPr>
        <w:t>(</w:t>
      </w:r>
      <w:r w:rsidR="008E27E0" w:rsidRPr="0013396E">
        <w:rPr>
          <w:iCs/>
        </w:rPr>
        <w:t>5</w:t>
      </w:r>
      <w:r w:rsidRPr="0013396E">
        <w:rPr>
          <w:iCs/>
        </w:rPr>
        <w:t>)</w:t>
      </w:r>
      <w:r w:rsidRPr="0013396E">
        <w:rPr>
          <w:iCs/>
        </w:rPr>
        <w:tab/>
        <w:t>For each Aggregate Generation Resource (AGR), the QSE shall telemeter the number of its generators online.</w:t>
      </w:r>
    </w:p>
    <w:p w14:paraId="7B8380AA" w14:textId="605A48AF" w:rsidR="008E27E0" w:rsidRPr="0013396E" w:rsidRDefault="008E27E0" w:rsidP="008E27E0">
      <w:pPr>
        <w:spacing w:after="240"/>
        <w:ind w:left="720" w:hanging="720"/>
      </w:pPr>
      <w:r w:rsidRPr="0013396E">
        <w:t>(6)</w:t>
      </w:r>
      <w:r w:rsidRPr="0013396E">
        <w:tab/>
        <w:t>A QSE representing a Load Resource connected to Transmission Facilities or distribution facilities shall provide the following Real-Time data to ERCOT for each Load Resource and ERCOT shall make the data available, in accordance with ERCOT Protocols, NERC standards and policies, and Governmental Authority requirements, to the Load Resource’s host TSP or DSP at the TSP’s or DSP’s expense.  The Load Resource’s net real power consumption, Low Power Consumption (LPC) and Maximum Power Consumption (MPC) shall be telemetered to ERCOT using a positive (+) sign convention:</w:t>
      </w:r>
      <w:r w:rsidRPr="0013396E">
        <w:rPr>
          <w:b/>
        </w:rPr>
        <w:t xml:space="preserve"> </w:t>
      </w:r>
    </w:p>
    <w:p w14:paraId="7EEBE6ED" w14:textId="77777777" w:rsidR="008E27E0" w:rsidRPr="0013396E" w:rsidRDefault="008E27E0" w:rsidP="008E27E0">
      <w:pPr>
        <w:spacing w:after="240"/>
        <w:ind w:left="1440" w:hanging="720"/>
      </w:pPr>
      <w:r w:rsidRPr="0013396E">
        <w:t>(a)</w:t>
      </w:r>
      <w:r w:rsidRPr="0013396E">
        <w:tab/>
        <w:t>Load Resource net real power consumption (in MW);</w:t>
      </w:r>
    </w:p>
    <w:p w14:paraId="3B0704F7" w14:textId="77777777" w:rsidR="008E27E0" w:rsidRPr="0013396E" w:rsidRDefault="008E27E0" w:rsidP="008E27E0">
      <w:pPr>
        <w:spacing w:after="240"/>
        <w:ind w:left="1440" w:hanging="720"/>
      </w:pPr>
      <w:r w:rsidRPr="0013396E">
        <w:t>(b)</w:t>
      </w:r>
      <w:r w:rsidRPr="0013396E">
        <w:tab/>
        <w:t>Any data mutually agreed to by ERCOT and the QSE to adequately manage system reliability;</w:t>
      </w:r>
    </w:p>
    <w:p w14:paraId="17563CBE" w14:textId="77777777" w:rsidR="008E27E0" w:rsidRPr="0013396E" w:rsidRDefault="008E27E0" w:rsidP="008E27E0">
      <w:pPr>
        <w:spacing w:after="240"/>
        <w:ind w:left="1440" w:hanging="720"/>
      </w:pPr>
      <w:r w:rsidRPr="0013396E">
        <w:t>(c)</w:t>
      </w:r>
      <w:r w:rsidRPr="0013396E">
        <w:tab/>
        <w:t>Load Resource breaker status, if applicable;</w:t>
      </w:r>
    </w:p>
    <w:p w14:paraId="626503A9" w14:textId="77777777" w:rsidR="008E27E0" w:rsidRPr="0013396E" w:rsidRDefault="008E27E0" w:rsidP="008E27E0">
      <w:pPr>
        <w:spacing w:after="240"/>
        <w:ind w:left="1440" w:hanging="720"/>
        <w:rPr>
          <w:lang w:val="it-IT"/>
        </w:rPr>
      </w:pPr>
      <w:r w:rsidRPr="0013396E">
        <w:rPr>
          <w:lang w:val="it-IT"/>
        </w:rPr>
        <w:t>(d)</w:t>
      </w:r>
      <w:r w:rsidRPr="0013396E">
        <w:rPr>
          <w:lang w:val="it-IT"/>
        </w:rPr>
        <w:tab/>
        <w:t>LPC (in MW);</w:t>
      </w:r>
    </w:p>
    <w:p w14:paraId="584A64E7" w14:textId="77777777" w:rsidR="008E27E0" w:rsidRPr="0013396E" w:rsidRDefault="008E27E0" w:rsidP="008E27E0">
      <w:pPr>
        <w:spacing w:after="240"/>
        <w:ind w:left="1440" w:hanging="720"/>
        <w:rPr>
          <w:lang w:val="it-IT"/>
        </w:rPr>
      </w:pPr>
      <w:r w:rsidRPr="0013396E">
        <w:rPr>
          <w:lang w:val="it-IT"/>
        </w:rPr>
        <w:t>(e)</w:t>
      </w:r>
      <w:r w:rsidRPr="0013396E">
        <w:rPr>
          <w:lang w:val="it-IT"/>
        </w:rPr>
        <w:tab/>
        <w:t>MPC (in MW);</w:t>
      </w:r>
    </w:p>
    <w:p w14:paraId="390DCB15" w14:textId="77777777" w:rsidR="008E27E0" w:rsidRPr="0013396E" w:rsidRDefault="008E27E0" w:rsidP="008E27E0">
      <w:pPr>
        <w:spacing w:after="240"/>
        <w:ind w:left="1440" w:hanging="720"/>
      </w:pPr>
      <w:r w:rsidRPr="0013396E">
        <w:t>(f)</w:t>
      </w:r>
      <w:r w:rsidRPr="0013396E">
        <w:tab/>
        <w:t>The Load Resource’s Ancillary Service self-provision (in MW) for RRS and/or ECRS provided via under-frequency relay;</w:t>
      </w:r>
    </w:p>
    <w:p w14:paraId="6134C450" w14:textId="77777777" w:rsidR="008E27E0" w:rsidRPr="0013396E" w:rsidRDefault="008E27E0" w:rsidP="008E27E0">
      <w:pPr>
        <w:spacing w:before="240" w:after="240"/>
        <w:ind w:left="1440" w:hanging="720"/>
      </w:pPr>
      <w:r w:rsidRPr="0013396E">
        <w:lastRenderedPageBreak/>
        <w:t>(g)</w:t>
      </w:r>
      <w:r w:rsidRPr="0013396E">
        <w:tab/>
        <w:t xml:space="preserve">The status of the high-set under-frequency relay, if required for qualification.  The under-frequency relay for a Load Resource providing Non-Spin shall be disabled and the status of that relay shall indicate it as disabled or unarmed; </w:t>
      </w:r>
    </w:p>
    <w:p w14:paraId="405C092E" w14:textId="77777777" w:rsidR="008E27E0" w:rsidRPr="0013396E" w:rsidRDefault="008E27E0" w:rsidP="008E27E0">
      <w:pPr>
        <w:spacing w:after="240"/>
        <w:ind w:left="1440" w:hanging="720"/>
      </w:pPr>
      <w:r w:rsidRPr="0013396E">
        <w:t>(h)</w:t>
      </w:r>
      <w:r w:rsidRPr="0013396E">
        <w:tab/>
        <w:t xml:space="preserve">For a Controllable Load Resource (CLR) providing Non-Spin, the Scheduled Power Consumption that represents zero Ancillary Service deployments; </w:t>
      </w:r>
    </w:p>
    <w:p w14:paraId="25D8F491" w14:textId="77777777" w:rsidR="008E27E0" w:rsidRPr="0013396E" w:rsidRDefault="008E27E0" w:rsidP="008E27E0">
      <w:pPr>
        <w:spacing w:after="240"/>
        <w:ind w:left="1440" w:hanging="720"/>
      </w:pPr>
      <w:r w:rsidRPr="0013396E">
        <w:t>(i)</w:t>
      </w:r>
      <w:r w:rsidRPr="0013396E">
        <w:tab/>
        <w:t>For a single-site CLR with registered maximum Demand response capacity of ten MW or greater, net Reactive Power (in MVAr);</w:t>
      </w:r>
    </w:p>
    <w:p w14:paraId="0F2B23C3" w14:textId="77777777" w:rsidR="008E27E0" w:rsidRPr="0013396E" w:rsidRDefault="008E27E0" w:rsidP="008E27E0">
      <w:pPr>
        <w:spacing w:after="240"/>
        <w:ind w:left="1440" w:hanging="720"/>
      </w:pPr>
      <w:r w:rsidRPr="0013396E">
        <w:t>(j)</w:t>
      </w:r>
      <w:r w:rsidRPr="0013396E">
        <w:tab/>
        <w:t xml:space="preserve">Resource Status; </w:t>
      </w:r>
    </w:p>
    <w:p w14:paraId="0507B574" w14:textId="77777777" w:rsidR="008E27E0" w:rsidRPr="0013396E" w:rsidRDefault="008E27E0" w:rsidP="008E27E0">
      <w:pPr>
        <w:spacing w:after="240"/>
        <w:ind w:left="1440" w:hanging="720"/>
      </w:pPr>
      <w:r w:rsidRPr="0013396E">
        <w:t>(k)</w:t>
      </w:r>
      <w:r w:rsidRPr="0013396E">
        <w:tab/>
        <w:t xml:space="preserve">For an Aggregate Load Resource (ALR) providing Non-Spin, the “Scheduled Power Consumption Plus Two Hours,” representing the QSE’s forecast of the CLR’s instantaneous power consumption for a point two hours in the future; </w:t>
      </w:r>
    </w:p>
    <w:p w14:paraId="13C8CCCE" w14:textId="77777777" w:rsidR="008E27E0" w:rsidRPr="0013396E" w:rsidRDefault="008E27E0" w:rsidP="008E27E0">
      <w:pPr>
        <w:spacing w:after="240"/>
        <w:ind w:left="1440" w:hanging="720"/>
      </w:pPr>
      <w:r w:rsidRPr="0013396E">
        <w:t>(l)</w:t>
      </w:r>
      <w:r w:rsidRPr="0013396E">
        <w:tab/>
        <w:t>For RRS, including any sub-categories of RRS, the current physical capability (in MW) of the Resource to provide RRS;</w:t>
      </w:r>
    </w:p>
    <w:p w14:paraId="1965AE04" w14:textId="77777777" w:rsidR="008E27E0" w:rsidRPr="0013396E" w:rsidRDefault="008E27E0" w:rsidP="008E27E0">
      <w:pPr>
        <w:spacing w:after="240"/>
        <w:ind w:left="1440" w:hanging="720"/>
      </w:pPr>
      <w:r w:rsidRPr="0013396E">
        <w:t>(m)</w:t>
      </w:r>
      <w:r w:rsidRPr="0013396E">
        <w:tab/>
        <w:t>For Ancillary Service products other than RRS, a blended Normal Ramp Rate (in MW/min) that reflects the current physical capability of the Resource’s ability to provide a particular Ancillary Service product; and</w:t>
      </w:r>
    </w:p>
    <w:p w14:paraId="6EECBD9D" w14:textId="7E4C539E" w:rsidR="00C23DEE" w:rsidRPr="0013396E" w:rsidRDefault="008E27E0" w:rsidP="001F04FD">
      <w:pPr>
        <w:pStyle w:val="List"/>
      </w:pPr>
      <w:r w:rsidRPr="0013396E">
        <w:t>(n)</w:t>
      </w:r>
      <w:r w:rsidRPr="0013396E">
        <w:tab/>
        <w:t>For a CLR, 5-minute blended Normal Ramp Rates (up and down).</w:t>
      </w:r>
      <w:r w:rsidRPr="0013396E" w:rsidDel="008E27E0">
        <w:t xml:space="preserve"> </w:t>
      </w:r>
    </w:p>
    <w:p w14:paraId="14B2D7B8" w14:textId="7FC2ED3F" w:rsidR="008E27E0" w:rsidRPr="0013396E" w:rsidRDefault="008E27E0" w:rsidP="008E27E0">
      <w:pPr>
        <w:spacing w:after="240"/>
        <w:ind w:left="720" w:hanging="720"/>
      </w:pPr>
      <w:r w:rsidRPr="0013396E">
        <w:t>(7)</w:t>
      </w:r>
      <w:r w:rsidRPr="0013396E">
        <w:tab/>
        <w:t>A QSE representing an ESR connected to Transmission Facilities or distribution facilities shall provide the following Real-Time telemetry data to ERCOT for each ESR.  ERCOT shall make that data available, in accordance with ERCOT Protocols, NERC Reliability Standards, and Governmental Authority requirements, to requesting TSPs and DSPs operating within ERCOT.  Such data must be provided to the requesting TSP or DSP at the requesting TSP’s or DSP’s expense, including:</w:t>
      </w:r>
    </w:p>
    <w:p w14:paraId="2C0A6CEF" w14:textId="27822C64" w:rsidR="008E27E0" w:rsidRPr="0013396E" w:rsidRDefault="008E27E0" w:rsidP="008E27E0">
      <w:pPr>
        <w:spacing w:after="240"/>
        <w:ind w:left="1440" w:hanging="720"/>
      </w:pPr>
      <w:r w:rsidRPr="0013396E">
        <w:t>(a)</w:t>
      </w:r>
      <w:r w:rsidRPr="0013396E">
        <w:tab/>
        <w:t>Net real power consumption or output (in MW) as measured by installed power metering or as calculated in accordance with the Operating Guides based on metered gross real power and conversion constants determined by the Resource Entity and provided to ERCOT through the Resource Registration process.  Net real power represents the actual generation or consumption of an ESR for all real power dispatch purposes, including use in SCED, in determination of HDL, and LDL and is consistent with telemetered HSL, LSL and FRC;</w:t>
      </w:r>
    </w:p>
    <w:p w14:paraId="2701E46B" w14:textId="77777777" w:rsidR="008E27E0" w:rsidRPr="0013396E" w:rsidRDefault="008E27E0" w:rsidP="008E27E0">
      <w:pPr>
        <w:spacing w:after="240"/>
        <w:ind w:left="1440" w:hanging="720"/>
      </w:pPr>
      <w:r w:rsidRPr="0013396E">
        <w:t>(b)</w:t>
      </w:r>
      <w:r w:rsidRPr="0013396E">
        <w:tab/>
        <w:t>Gross real power consumption or output (in MW) as measured by installed power metering or as calculated in accordance with the Operating Guides based on metered real power, which may include Supervisory Control and Data Acquisition (SCADA) metering, and conversion constants determined by the Resource Entity and provided to ERCOT through the Resource Registration process;</w:t>
      </w:r>
    </w:p>
    <w:p w14:paraId="0EA49D50" w14:textId="77777777" w:rsidR="008E27E0" w:rsidRPr="0013396E" w:rsidRDefault="008E27E0" w:rsidP="008E27E0">
      <w:pPr>
        <w:spacing w:after="240"/>
        <w:ind w:left="1440" w:hanging="720"/>
      </w:pPr>
      <w:r w:rsidRPr="0013396E">
        <w:t>(c)</w:t>
      </w:r>
      <w:r w:rsidRPr="0013396E">
        <w:tab/>
        <w:t>Gross Reactive Power (in Megavolt-Amperes reactive (MVAr));</w:t>
      </w:r>
    </w:p>
    <w:p w14:paraId="5C33C1A1" w14:textId="77777777" w:rsidR="008E27E0" w:rsidRPr="0013396E" w:rsidRDefault="008E27E0" w:rsidP="008E27E0">
      <w:pPr>
        <w:spacing w:after="240"/>
        <w:ind w:left="1440" w:hanging="720"/>
      </w:pPr>
      <w:r w:rsidRPr="0013396E">
        <w:lastRenderedPageBreak/>
        <w:t>(d)</w:t>
      </w:r>
      <w:r w:rsidRPr="0013396E">
        <w:tab/>
        <w:t>Net Reactive Power (in MVAr);</w:t>
      </w:r>
    </w:p>
    <w:p w14:paraId="489826D6" w14:textId="77777777" w:rsidR="008E27E0" w:rsidRPr="0013396E" w:rsidRDefault="008E27E0" w:rsidP="008E27E0">
      <w:pPr>
        <w:spacing w:after="240"/>
        <w:ind w:left="1440" w:hanging="720"/>
      </w:pPr>
      <w:r w:rsidRPr="0013396E">
        <w:t>(e)</w:t>
      </w:r>
      <w:r w:rsidRPr="0013396E">
        <w:tab/>
        <w:t>Power to standby transformers serving plant auxiliary Load;</w:t>
      </w:r>
    </w:p>
    <w:p w14:paraId="1016C86C" w14:textId="77777777" w:rsidR="008E27E0" w:rsidRPr="0013396E" w:rsidRDefault="008E27E0" w:rsidP="008E27E0">
      <w:pPr>
        <w:spacing w:after="240"/>
        <w:ind w:left="1440" w:hanging="720"/>
      </w:pPr>
      <w:r w:rsidRPr="0013396E">
        <w:t>(f)</w:t>
      </w:r>
      <w:r w:rsidRPr="0013396E">
        <w:tab/>
        <w:t>Status of switching devices in the plant switchyard not monitored by the TSP or DSP affecting flows on the ERCOT Transmission Grid;</w:t>
      </w:r>
    </w:p>
    <w:p w14:paraId="55138131" w14:textId="77777777" w:rsidR="008E27E0" w:rsidRPr="0013396E" w:rsidRDefault="008E27E0" w:rsidP="008E27E0">
      <w:pPr>
        <w:spacing w:after="240"/>
        <w:ind w:left="1440" w:hanging="720"/>
      </w:pPr>
      <w:r w:rsidRPr="0013396E">
        <w:t>(g)</w:t>
      </w:r>
      <w:r w:rsidRPr="0013396E">
        <w:tab/>
        <w:t>Any data mutually agreed to by ERCOT and the QSE to adequately manage system reliability;</w:t>
      </w:r>
    </w:p>
    <w:p w14:paraId="68502A36" w14:textId="77777777" w:rsidR="008E27E0" w:rsidRPr="0013396E" w:rsidRDefault="008E27E0" w:rsidP="008E27E0">
      <w:pPr>
        <w:spacing w:after="240"/>
        <w:ind w:left="1440" w:hanging="720"/>
      </w:pPr>
      <w:r w:rsidRPr="0013396E">
        <w:t>(h)</w:t>
      </w:r>
      <w:r w:rsidRPr="0013396E">
        <w:tab/>
        <w:t>ESR breaker and switch status;</w:t>
      </w:r>
    </w:p>
    <w:p w14:paraId="66704BA8" w14:textId="77777777" w:rsidR="008E27E0" w:rsidRPr="0013396E" w:rsidRDefault="008E27E0" w:rsidP="008E27E0">
      <w:pPr>
        <w:spacing w:after="240"/>
        <w:ind w:left="1440" w:hanging="720"/>
      </w:pPr>
      <w:r w:rsidRPr="0013396E">
        <w:t>(i)</w:t>
      </w:r>
      <w:r w:rsidRPr="0013396E">
        <w:tab/>
        <w:t xml:space="preserve">HSL;  </w:t>
      </w:r>
    </w:p>
    <w:p w14:paraId="7D135766" w14:textId="7A0C7406" w:rsidR="008E27E0" w:rsidRPr="0013396E" w:rsidRDefault="008E27E0" w:rsidP="008E27E0">
      <w:pPr>
        <w:spacing w:after="240"/>
        <w:ind w:left="1440" w:hanging="720"/>
      </w:pPr>
      <w:r w:rsidRPr="0013396E">
        <w:t>(j)</w:t>
      </w:r>
      <w:r w:rsidRPr="0013396E">
        <w:tab/>
        <w:t>HEL, under Section 6.5.9.2, Failure of the SCED Process;</w:t>
      </w:r>
    </w:p>
    <w:p w14:paraId="6A0CEF6B" w14:textId="12F06162" w:rsidR="008E27E0" w:rsidRPr="0013396E" w:rsidRDefault="008E27E0" w:rsidP="008E27E0">
      <w:pPr>
        <w:spacing w:after="240"/>
        <w:ind w:left="1440" w:hanging="720"/>
      </w:pPr>
      <w:r w:rsidRPr="0013396E">
        <w:t>(k)</w:t>
      </w:r>
      <w:r w:rsidRPr="0013396E">
        <w:tab/>
        <w:t xml:space="preserve">LEL, under Section 6.5.9.2; </w:t>
      </w:r>
    </w:p>
    <w:p w14:paraId="0D49D662" w14:textId="77777777" w:rsidR="008E27E0" w:rsidRPr="0013396E" w:rsidRDefault="008E27E0" w:rsidP="008E27E0">
      <w:pPr>
        <w:spacing w:after="240"/>
        <w:ind w:left="1440" w:hanging="720"/>
      </w:pPr>
      <w:r w:rsidRPr="0013396E">
        <w:t>(l)</w:t>
      </w:r>
      <w:r w:rsidRPr="0013396E">
        <w:tab/>
        <w:t>LSL;</w:t>
      </w:r>
    </w:p>
    <w:p w14:paraId="64B22067" w14:textId="77777777" w:rsidR="008E27E0" w:rsidRPr="0013396E" w:rsidRDefault="008E27E0" w:rsidP="008E27E0">
      <w:pPr>
        <w:spacing w:after="240"/>
        <w:ind w:left="1440" w:hanging="720"/>
      </w:pPr>
      <w:r w:rsidRPr="0013396E">
        <w:t>(m)</w:t>
      </w:r>
      <w:r w:rsidRPr="0013396E">
        <w:tab/>
        <w:t>For RRS, including any sub-category of RRS, the current physical capability (in MW) of the Resource to provide RRS;</w:t>
      </w:r>
    </w:p>
    <w:p w14:paraId="2091EF1B" w14:textId="77777777" w:rsidR="008E27E0" w:rsidRPr="0013396E" w:rsidRDefault="008E27E0" w:rsidP="008E27E0">
      <w:pPr>
        <w:spacing w:after="240"/>
        <w:ind w:left="1440" w:hanging="720"/>
      </w:pPr>
      <w:r w:rsidRPr="0013396E">
        <w:t>(n)</w:t>
      </w:r>
      <w:r w:rsidRPr="0013396E">
        <w:tab/>
        <w:t>For Ancillary Services other than RRS, a blended ramp rate (in MW/min) that reflects the current physical capability of the Resource to provide that specific type of Ancillary Service; and</w:t>
      </w:r>
    </w:p>
    <w:p w14:paraId="22F921D9" w14:textId="198E9090" w:rsidR="0053481C" w:rsidRPr="0013396E" w:rsidRDefault="008E27E0" w:rsidP="007A1E53">
      <w:pPr>
        <w:spacing w:after="240"/>
        <w:ind w:left="1440" w:hanging="720"/>
      </w:pPr>
      <w:r w:rsidRPr="0013396E">
        <w:t>(o)</w:t>
      </w:r>
      <w:r w:rsidRPr="0013396E">
        <w:tab/>
        <w:t>Five-minute blended normal up and down ramp rates;</w:t>
      </w:r>
    </w:p>
    <w:p w14:paraId="6B7A2921" w14:textId="737B932A" w:rsidR="001F04FD" w:rsidRPr="0013396E" w:rsidRDefault="001F04FD" w:rsidP="007A1E53">
      <w:pPr>
        <w:pStyle w:val="BodyTextNumbered"/>
      </w:pPr>
      <w:r w:rsidRPr="0013396E">
        <w:t>(</w:t>
      </w:r>
      <w:r w:rsidR="008E27E0" w:rsidRPr="0013396E">
        <w:t>8</w:t>
      </w:r>
      <w:r w:rsidRPr="0013396E">
        <w:t>)</w:t>
      </w:r>
      <w:r w:rsidRPr="0013396E">
        <w:tab/>
        <w:t>A QSE with Resources used in SCED shall provide communications equipment to receive ERCOT-telemetered control deployments.</w:t>
      </w:r>
    </w:p>
    <w:p w14:paraId="4888CC1A" w14:textId="3AAAD04E" w:rsidR="001F04FD" w:rsidRPr="0013396E" w:rsidRDefault="001F04FD" w:rsidP="001F04FD">
      <w:pPr>
        <w:pStyle w:val="BodyTextNumbered"/>
      </w:pPr>
      <w:r w:rsidRPr="0013396E">
        <w:t>(</w:t>
      </w:r>
      <w:r w:rsidR="008E27E0" w:rsidRPr="0013396E">
        <w:t>9</w:t>
      </w:r>
      <w:r w:rsidRPr="0013396E">
        <w:t>)</w:t>
      </w:r>
      <w:r w:rsidRPr="0013396E">
        <w:tab/>
        <w:t>A QSE providing any Regulation Service shall provide telemetry indicating the appropriate status of Resources providing Reg-Up or Reg-Down, including status indicating whether the Resource is temporarily blocked from receiving Reg-Up and/or Reg-Down deployments from the QSE.  This temporary blocking will be indicated by the enabling of the Raise Block Status and/or Lower Block Status telemetry points.</w:t>
      </w:r>
    </w:p>
    <w:p w14:paraId="430AD7B0" w14:textId="77777777" w:rsidR="001F04FD" w:rsidRPr="0013396E" w:rsidRDefault="001F04FD" w:rsidP="001F04FD">
      <w:pPr>
        <w:pStyle w:val="BodyTextNumbered"/>
        <w:ind w:left="1440"/>
      </w:pPr>
      <w:r w:rsidRPr="0013396E">
        <w:t>(a)</w:t>
      </w:r>
      <w:r w:rsidRPr="0013396E">
        <w:tab/>
      </w:r>
      <w:r w:rsidRPr="0013396E">
        <w:rPr>
          <w:iCs/>
        </w:rPr>
        <w:t xml:space="preserve">Raise Block Status and Lower Block Status are telemetry points used in </w:t>
      </w:r>
      <w:r w:rsidRPr="0013396E">
        <w:t>transient unit conditions to communicate to ERCOT that a Resource’s ability to adjust its output has been unexpectedly impaired.</w:t>
      </w:r>
    </w:p>
    <w:p w14:paraId="12015767" w14:textId="77777777" w:rsidR="001F04FD" w:rsidRPr="0013396E" w:rsidRDefault="001F04FD" w:rsidP="001F04FD">
      <w:pPr>
        <w:pStyle w:val="BodyTextNumbered"/>
        <w:ind w:left="1440"/>
      </w:pPr>
      <w:r w:rsidRPr="0013396E">
        <w:t>(b)</w:t>
      </w:r>
      <w:r w:rsidRPr="0013396E">
        <w:tab/>
        <w:t>When one or both of the telemetry points are enabled for a Resource, ERCOT will cease using the regulation capacity assigned to that Resource for Ancillary Service deployment.</w:t>
      </w:r>
    </w:p>
    <w:p w14:paraId="5882C370" w14:textId="5AF2B9D9" w:rsidR="001F04FD" w:rsidRPr="0013396E" w:rsidRDefault="008E27E0" w:rsidP="001F04FD">
      <w:pPr>
        <w:pStyle w:val="BodyTextNumbered"/>
        <w:ind w:left="1440"/>
      </w:pPr>
      <w:r w:rsidRPr="0013396E">
        <w:t>(c)</w:t>
      </w:r>
      <w:r w:rsidRPr="0013396E">
        <w:tab/>
        <w:t>This hiatus of deployment will not excuse the Resource’s obligation to provide the Ancillary Services for which it has been awarded.</w:t>
      </w:r>
      <w:r w:rsidRPr="0013396E" w:rsidDel="008E27E0">
        <w:t xml:space="preserve"> </w:t>
      </w:r>
    </w:p>
    <w:p w14:paraId="2B90824B" w14:textId="4CEB7ABF" w:rsidR="001F04FD" w:rsidRPr="0013396E" w:rsidRDefault="001F04FD" w:rsidP="007A1E53">
      <w:pPr>
        <w:pStyle w:val="BodyTextNumbered"/>
        <w:ind w:left="1440"/>
      </w:pPr>
      <w:r w:rsidRPr="0013396E">
        <w:lastRenderedPageBreak/>
        <w:t>(d)</w:t>
      </w:r>
      <w:r w:rsidRPr="0013396E">
        <w:tab/>
        <w:t>These telemetry points shall only be utilized during unforeseen transient unit conditions such as plant equipment failures.  Raise Block Status and Lower Block Status shall only be enabled until the Resource operator has time to update the Resource limits and Ancillary Service telemetry to reflect the problem.</w:t>
      </w:r>
    </w:p>
    <w:p w14:paraId="61E35295" w14:textId="77777777" w:rsidR="001F04FD" w:rsidRPr="0013396E" w:rsidRDefault="001F04FD" w:rsidP="001F04FD">
      <w:pPr>
        <w:pStyle w:val="BodyTextNumbered"/>
        <w:ind w:left="1440"/>
      </w:pPr>
      <w:r w:rsidRPr="0013396E">
        <w:t>(e)</w:t>
      </w:r>
      <w:r w:rsidRPr="0013396E">
        <w:tab/>
        <w:t xml:space="preserve">The Resource limits and Ancillary Service telemetry shall be updated as soon as practicable.  </w:t>
      </w:r>
      <w:r w:rsidRPr="0013396E">
        <w:rPr>
          <w:iCs/>
        </w:rPr>
        <w:t>Raise Block Status and Lower Block Status will then be disabled.</w:t>
      </w:r>
      <w:r w:rsidRPr="0013396E">
        <w:t xml:space="preserve"> </w:t>
      </w:r>
    </w:p>
    <w:p w14:paraId="68E40813" w14:textId="37B26D88" w:rsidR="001F04FD" w:rsidRPr="0013396E" w:rsidRDefault="001F04FD" w:rsidP="001F04FD">
      <w:pPr>
        <w:pStyle w:val="BodyTextNumbered"/>
      </w:pPr>
      <w:r w:rsidRPr="0013396E">
        <w:t>(</w:t>
      </w:r>
      <w:r w:rsidR="008E27E0" w:rsidRPr="0013396E">
        <w:t>10</w:t>
      </w:r>
      <w:r w:rsidRPr="0013396E">
        <w:t>)</w:t>
      </w:r>
      <w:r w:rsidRPr="0013396E">
        <w:tab/>
        <w:t>Real-Time data for reliability purposes must be accurate to within three percent.  This telemetry may be provided from relaying accuracy instrumentation transformers.</w:t>
      </w:r>
    </w:p>
    <w:p w14:paraId="0F16BAF7" w14:textId="7429EE17" w:rsidR="001F04FD" w:rsidRPr="0013396E" w:rsidRDefault="001F04FD" w:rsidP="001F04FD">
      <w:pPr>
        <w:pStyle w:val="BodyTextNumbered"/>
      </w:pPr>
      <w:r w:rsidRPr="0013396E">
        <w:t>(</w:t>
      </w:r>
      <w:r w:rsidR="008E27E0" w:rsidRPr="0013396E">
        <w:t>11</w:t>
      </w:r>
      <w:r w:rsidRPr="0013396E">
        <w:t>)</w:t>
      </w:r>
      <w:r w:rsidRPr="0013396E">
        <w:tab/>
      </w:r>
      <w:r w:rsidR="008E27E0" w:rsidRPr="0013396E">
        <w:t xml:space="preserve">Each QSE shall report the current configuration of combined-cycle Resources that it represents to ERCOT.  </w:t>
      </w:r>
      <w:r w:rsidR="008E27E0" w:rsidRPr="0013396E">
        <w:rPr>
          <w:iCs/>
        </w:rPr>
        <w:t>The telemetered Resource Status for a Combined Cycle Generation Resource may only be assigned a Resource Status of OFF if no generation units within that Combined Cycle Generation Resource are On-Line.</w:t>
      </w:r>
    </w:p>
    <w:p w14:paraId="760F4515" w14:textId="582697FF" w:rsidR="001F04FD" w:rsidRPr="0013396E" w:rsidRDefault="001F04FD" w:rsidP="007A1E53">
      <w:pPr>
        <w:pStyle w:val="BodyTextNumbered"/>
      </w:pPr>
      <w:r w:rsidRPr="0013396E">
        <w:t>(1</w:t>
      </w:r>
      <w:r w:rsidR="008E27E0" w:rsidRPr="0013396E">
        <w:t>2</w:t>
      </w:r>
      <w:r w:rsidRPr="0013396E">
        <w:t>)</w:t>
      </w:r>
      <w:r w:rsidRPr="0013396E">
        <w:tab/>
        <w:t>A QSE representing Combined Cycle Generation Resources shall provide ERCOT with the possible operating configurations for each power block with accompanying limits.  Combined Cycle Train power augmentation methods may be included as part of one or more of the registered Combined Cycle Generation Resource configurations.  Power augmentation methods may include:</w:t>
      </w:r>
    </w:p>
    <w:p w14:paraId="42DA2F0A" w14:textId="77777777" w:rsidR="001F04FD" w:rsidRPr="0013396E" w:rsidRDefault="001F04FD" w:rsidP="001F04FD">
      <w:pPr>
        <w:pStyle w:val="List"/>
      </w:pPr>
      <w:r w:rsidRPr="0013396E">
        <w:t>(a)</w:t>
      </w:r>
      <w:r w:rsidRPr="0013396E">
        <w:tab/>
        <w:t>Combustion turbine inlet air cooling methods;</w:t>
      </w:r>
    </w:p>
    <w:p w14:paraId="474B6893" w14:textId="77777777" w:rsidR="001F04FD" w:rsidRPr="0013396E" w:rsidRDefault="001F04FD" w:rsidP="001F04FD">
      <w:pPr>
        <w:pStyle w:val="List"/>
      </w:pPr>
      <w:r w:rsidRPr="0013396E">
        <w:t>(b)</w:t>
      </w:r>
      <w:r w:rsidRPr="0013396E">
        <w:tab/>
        <w:t xml:space="preserve">Duct firing; </w:t>
      </w:r>
    </w:p>
    <w:p w14:paraId="32F7B65B" w14:textId="77777777" w:rsidR="001F04FD" w:rsidRPr="0013396E" w:rsidRDefault="001F04FD" w:rsidP="001F04FD">
      <w:pPr>
        <w:pStyle w:val="List"/>
      </w:pPr>
      <w:r w:rsidRPr="0013396E">
        <w:t>(c)</w:t>
      </w:r>
      <w:r w:rsidRPr="0013396E">
        <w:tab/>
        <w:t>Other ways of temporarily increasing the output of Combined Cycle Generation Resources; and</w:t>
      </w:r>
    </w:p>
    <w:p w14:paraId="641B8A90" w14:textId="77777777" w:rsidR="001F04FD" w:rsidRPr="0013396E" w:rsidRDefault="001F04FD" w:rsidP="001F04FD">
      <w:pPr>
        <w:spacing w:after="240"/>
        <w:ind w:left="1440" w:hanging="720"/>
      </w:pPr>
      <w:r w:rsidRPr="0013396E">
        <w:t>(d)</w:t>
      </w:r>
      <w:r w:rsidRPr="0013396E">
        <w:tab/>
        <w:t xml:space="preserve">For Qualifying Facilities (QFs), an LSL that represents the minimum energy available for Dispatch by SCED, in MW, from the Combined Cycle Generation Resource based on the minimum stable steam delivery to the thermal host plus a justifiable reliability margin that accounts for changes in ambient conditions.  </w:t>
      </w:r>
      <w:bookmarkStart w:id="606" w:name="_Toc73216011"/>
    </w:p>
    <w:p w14:paraId="0F9F976C" w14:textId="33BF64D5" w:rsidR="001F04FD" w:rsidRPr="0013396E" w:rsidRDefault="001F04FD" w:rsidP="001F04FD">
      <w:pPr>
        <w:spacing w:after="240"/>
        <w:ind w:left="720" w:hanging="720"/>
      </w:pPr>
      <w:r w:rsidRPr="0013396E">
        <w:t>(1</w:t>
      </w:r>
      <w:r w:rsidR="008E27E0" w:rsidRPr="0013396E">
        <w:t>3</w:t>
      </w:r>
      <w:r w:rsidRPr="0013396E">
        <w:t>)</w:t>
      </w:r>
      <w:r w:rsidRPr="0013396E">
        <w:tab/>
      </w:r>
      <w:r w:rsidR="008E27E0" w:rsidRPr="0013396E">
        <w:t>A QSE representing a Generation Resource other than a Combined Cycle Generation Resource may provide FRC telemetry for the Generation Resource only if the QSE or Resource Entity associated with that Generation Resource has first requested and obtained ERCOT’s approval.</w:t>
      </w:r>
    </w:p>
    <w:p w14:paraId="4BEF11CC" w14:textId="55C7AF75" w:rsidR="006D3418" w:rsidRPr="0013396E" w:rsidRDefault="006D3418" w:rsidP="007A1E53">
      <w:pPr>
        <w:spacing w:after="240"/>
        <w:ind w:left="720" w:hanging="720"/>
      </w:pPr>
      <w:r w:rsidRPr="0013396E">
        <w:t>(1</w:t>
      </w:r>
      <w:r w:rsidR="00974BD1" w:rsidRPr="0013396E">
        <w:t>4</w:t>
      </w:r>
      <w:r w:rsidRPr="0013396E">
        <w:t>)</w:t>
      </w:r>
      <w:r w:rsidRPr="0013396E">
        <w:tab/>
        <w:t>A QSE representing an ESR shall provide the following Real-Time telemetry data to ERCOT for each ESR:</w:t>
      </w:r>
    </w:p>
    <w:p w14:paraId="2D8A9102" w14:textId="66B26B8A" w:rsidR="006D3418" w:rsidRPr="0013396E" w:rsidRDefault="006D3418" w:rsidP="006D3418">
      <w:pPr>
        <w:spacing w:after="240"/>
        <w:ind w:left="1440" w:hanging="720"/>
      </w:pPr>
      <w:r w:rsidRPr="0013396E">
        <w:t>(a)</w:t>
      </w:r>
      <w:r w:rsidRPr="0013396E">
        <w:tab/>
        <w:t>Maximum State of Charge</w:t>
      </w:r>
      <w:r w:rsidR="00C23DEE" w:rsidRPr="0013396E">
        <w:t xml:space="preserve"> (MaxSOC)</w:t>
      </w:r>
      <w:r w:rsidRPr="0013396E">
        <w:t>, in MWh;</w:t>
      </w:r>
    </w:p>
    <w:p w14:paraId="37E9C1A9" w14:textId="6FE4A4B5" w:rsidR="006D3418" w:rsidRPr="0013396E" w:rsidRDefault="006D3418" w:rsidP="006D3418">
      <w:pPr>
        <w:spacing w:after="240"/>
        <w:ind w:left="1440" w:hanging="720"/>
      </w:pPr>
      <w:r w:rsidRPr="0013396E">
        <w:t>(b)</w:t>
      </w:r>
      <w:r w:rsidRPr="0013396E">
        <w:tab/>
        <w:t>Minimum State of Charge</w:t>
      </w:r>
      <w:r w:rsidR="00C23DEE" w:rsidRPr="0013396E">
        <w:t xml:space="preserve"> (MinSOC)</w:t>
      </w:r>
      <w:r w:rsidRPr="0013396E">
        <w:t>, in MWh;</w:t>
      </w:r>
    </w:p>
    <w:p w14:paraId="1DB73242" w14:textId="3EC4C5C4" w:rsidR="006D3418" w:rsidRPr="0013396E" w:rsidRDefault="006D3418" w:rsidP="006D3418">
      <w:pPr>
        <w:spacing w:after="240"/>
        <w:ind w:left="1440" w:hanging="720"/>
      </w:pPr>
      <w:r w:rsidRPr="0013396E">
        <w:t>(c)</w:t>
      </w:r>
      <w:r w:rsidRPr="0013396E">
        <w:tab/>
        <w:t>State of Charge</w:t>
      </w:r>
      <w:r w:rsidR="00C23DEE" w:rsidRPr="0013396E">
        <w:t xml:space="preserve"> (SOC)</w:t>
      </w:r>
      <w:r w:rsidRPr="0013396E">
        <w:t>, in MWh;</w:t>
      </w:r>
    </w:p>
    <w:p w14:paraId="180FDADB" w14:textId="187F3826" w:rsidR="006D3418" w:rsidRPr="0013396E" w:rsidRDefault="006D3418" w:rsidP="006D3418">
      <w:pPr>
        <w:spacing w:after="240"/>
        <w:ind w:left="1440" w:hanging="720"/>
      </w:pPr>
      <w:r w:rsidRPr="0013396E">
        <w:lastRenderedPageBreak/>
        <w:t>(d)</w:t>
      </w:r>
      <w:r w:rsidRPr="0013396E">
        <w:tab/>
        <w:t>Maximum Operating Discharge Power Limit, in MW; and</w:t>
      </w:r>
    </w:p>
    <w:p w14:paraId="15EC4923" w14:textId="77777777" w:rsidR="00C23DEE" w:rsidRPr="0013396E" w:rsidRDefault="006D3418" w:rsidP="00C23DEE">
      <w:pPr>
        <w:spacing w:after="240"/>
        <w:ind w:left="1440" w:hanging="720"/>
      </w:pPr>
      <w:r w:rsidRPr="0013396E">
        <w:t>(e)</w:t>
      </w:r>
      <w:r w:rsidRPr="0013396E">
        <w:tab/>
        <w:t>Maximum Operating Charge Power Limit, in MW.</w:t>
      </w:r>
    </w:p>
    <w:p w14:paraId="184A15EC" w14:textId="236BDC58" w:rsidR="00C23DEE" w:rsidRPr="0013396E" w:rsidRDefault="00C23DEE" w:rsidP="00C23DEE">
      <w:pPr>
        <w:spacing w:after="240"/>
        <w:ind w:left="720" w:hanging="720"/>
      </w:pPr>
      <w:r w:rsidRPr="0013396E">
        <w:t>(1</w:t>
      </w:r>
      <w:r w:rsidR="00974BD1" w:rsidRPr="0013396E">
        <w:t>5</w:t>
      </w:r>
      <w:r w:rsidRPr="0013396E">
        <w:t>)</w:t>
      </w:r>
      <w:r w:rsidRPr="0013396E">
        <w:tab/>
        <w:t>The QSE shall ensure that the SOC is greater than or equal to the MinSOC and less than or equal to the MaxSOC.</w:t>
      </w:r>
    </w:p>
    <w:p w14:paraId="2E4D43D0" w14:textId="2BB0E691" w:rsidR="006D3418" w:rsidRPr="0013396E" w:rsidRDefault="006D3418" w:rsidP="007A1E53">
      <w:pPr>
        <w:spacing w:after="240"/>
        <w:ind w:left="720" w:hanging="720"/>
      </w:pPr>
      <w:r w:rsidRPr="0013396E">
        <w:t>(1</w:t>
      </w:r>
      <w:r w:rsidR="00974BD1" w:rsidRPr="0013396E">
        <w:t>6</w:t>
      </w:r>
      <w:r w:rsidRPr="0013396E">
        <w:t>)</w:t>
      </w:r>
      <w:r w:rsidRPr="0013396E">
        <w:tab/>
        <w:t>In accordance with ERCOT Protocols, NERC Reliability Standards, and Governmental Authority requirements, ERCOT shall make the data specified in paragraph (</w:t>
      </w:r>
      <w:r w:rsidR="000D0883">
        <w:t>14</w:t>
      </w:r>
      <w:r w:rsidRPr="0013396E">
        <w:t>) available to any requesting TSP or DSP at the requesting TSP’s or DSP’s expense.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8E2BE2" w:rsidRPr="0013396E" w14:paraId="30F8E82E" w14:textId="77777777" w:rsidTr="004D1724">
        <w:trPr>
          <w:trHeight w:val="566"/>
        </w:trPr>
        <w:tc>
          <w:tcPr>
            <w:tcW w:w="9350" w:type="dxa"/>
            <w:shd w:val="pct12" w:color="auto" w:fill="auto"/>
          </w:tcPr>
          <w:p w14:paraId="7880CD4B" w14:textId="0214919B" w:rsidR="008E2BE2" w:rsidRPr="0013396E" w:rsidRDefault="008E2BE2" w:rsidP="00044161">
            <w:pPr>
              <w:pStyle w:val="Instructions"/>
              <w:spacing w:before="60"/>
            </w:pPr>
            <w:bookmarkStart w:id="607" w:name="_Toc397504953"/>
            <w:bookmarkStart w:id="608" w:name="_Toc402357081"/>
            <w:bookmarkStart w:id="609" w:name="_Toc422486461"/>
            <w:bookmarkStart w:id="610" w:name="_Toc433093313"/>
            <w:bookmarkStart w:id="611" w:name="_Toc433093471"/>
            <w:bookmarkStart w:id="612" w:name="_Toc440874700"/>
            <w:bookmarkStart w:id="613" w:name="_Toc448142255"/>
            <w:bookmarkStart w:id="614" w:name="_Toc448142412"/>
            <w:bookmarkStart w:id="615" w:name="_Toc458770248"/>
            <w:bookmarkStart w:id="616" w:name="_Toc459294216"/>
            <w:bookmarkStart w:id="617" w:name="_Toc463262709"/>
            <w:bookmarkStart w:id="618" w:name="_Toc468286783"/>
            <w:bookmarkStart w:id="619" w:name="_Toc481502829"/>
            <w:r w:rsidRPr="0013396E">
              <w:t>[NPRR</w:t>
            </w:r>
            <w:r w:rsidR="004D1724" w:rsidRPr="0013396E">
              <w:t>1077</w:t>
            </w:r>
            <w:r w:rsidRPr="0013396E">
              <w:t>:  Insert paragraph</w:t>
            </w:r>
            <w:r w:rsidR="004D1724" w:rsidRPr="0013396E">
              <w:t>s</w:t>
            </w:r>
            <w:r w:rsidRPr="0013396E">
              <w:t xml:space="preserve"> (1</w:t>
            </w:r>
            <w:r w:rsidR="00974BD1" w:rsidRPr="0013396E">
              <w:t>7</w:t>
            </w:r>
            <w:r w:rsidRPr="0013396E">
              <w:t>)</w:t>
            </w:r>
            <w:r w:rsidR="004D1724" w:rsidRPr="0013396E">
              <w:t>-(1</w:t>
            </w:r>
            <w:r w:rsidR="00974BD1" w:rsidRPr="0013396E">
              <w:t>9</w:t>
            </w:r>
            <w:r w:rsidR="004D1724" w:rsidRPr="0013396E">
              <w:t>)</w:t>
            </w:r>
            <w:r w:rsidRPr="0013396E">
              <w:t xml:space="preserve"> below upon system implementation:]</w:t>
            </w:r>
          </w:p>
          <w:p w14:paraId="28CA20C2" w14:textId="3FBF3C2E" w:rsidR="004D1724" w:rsidRPr="0013396E" w:rsidRDefault="004D1724" w:rsidP="004D1724">
            <w:pPr>
              <w:spacing w:before="240" w:after="240"/>
              <w:ind w:left="720" w:hanging="720"/>
            </w:pPr>
            <w:r w:rsidRPr="0013396E">
              <w:t>(1</w:t>
            </w:r>
            <w:r w:rsidR="00974BD1" w:rsidRPr="0013396E">
              <w:t>7</w:t>
            </w:r>
            <w:r w:rsidRPr="0013396E">
              <w:t>)</w:t>
            </w:r>
            <w:r w:rsidRPr="0013396E">
              <w:tab/>
              <w:t>Except as provided in paragraph (1</w:t>
            </w:r>
            <w:r w:rsidR="00974BD1" w:rsidRPr="0013396E">
              <w:t>8</w:t>
            </w:r>
            <w:r w:rsidRPr="0013396E">
              <w:t>) below, a QSE representing a Settlement Only Generator (SOG) shall provide ERCOT the following Real-Time telemetry:</w:t>
            </w:r>
          </w:p>
          <w:p w14:paraId="6D5768F2" w14:textId="4E452B6E" w:rsidR="004D1724" w:rsidRPr="0013396E" w:rsidRDefault="004D1724" w:rsidP="004D1724">
            <w:pPr>
              <w:spacing w:after="240"/>
              <w:ind w:left="1440" w:hanging="720"/>
            </w:pPr>
            <w:r w:rsidRPr="0013396E">
              <w:t>(a)</w:t>
            </w:r>
            <w:r w:rsidRPr="0013396E">
              <w:tab/>
              <w:t>Net real power injection at the Point of Interconnection (POI) or Point of Common Coupling (POCC) for each site with one or more SOGs;</w:t>
            </w:r>
          </w:p>
          <w:p w14:paraId="4D620E24" w14:textId="4E9FEB6F" w:rsidR="004D1724" w:rsidRPr="0013396E" w:rsidRDefault="004D1724" w:rsidP="004D1724">
            <w:pPr>
              <w:spacing w:after="240"/>
              <w:ind w:left="1440" w:hanging="720"/>
            </w:pPr>
            <w:r w:rsidRPr="0013396E">
              <w:t>(b)</w:t>
            </w:r>
            <w:r w:rsidRPr="0013396E">
              <w:tab/>
              <w:t>For any site with one or more ESSs that are registered as an SOG, net real power withdrawal at the POI or POCC;</w:t>
            </w:r>
          </w:p>
          <w:p w14:paraId="45C5493A" w14:textId="77777777" w:rsidR="004D1724" w:rsidRPr="0013396E" w:rsidRDefault="004D1724" w:rsidP="004D1724">
            <w:pPr>
              <w:spacing w:after="240"/>
              <w:ind w:left="1440" w:hanging="720"/>
            </w:pPr>
            <w:r w:rsidRPr="0013396E">
              <w:t>(c)</w:t>
            </w:r>
            <w:r w:rsidRPr="0013396E">
              <w:tab/>
              <w:t>For each inverter at the site, gross real power output measured at the generator terminals for all SOGs that are located behind that inverter, separately aggregated by fuel type;</w:t>
            </w:r>
          </w:p>
          <w:p w14:paraId="3C972138" w14:textId="15350042" w:rsidR="004D1724" w:rsidRPr="0013396E" w:rsidRDefault="004D1724" w:rsidP="004D1724">
            <w:pPr>
              <w:spacing w:after="240"/>
              <w:ind w:left="1440" w:hanging="720"/>
            </w:pPr>
            <w:r w:rsidRPr="0013396E">
              <w:t>(d)</w:t>
            </w:r>
            <w:r w:rsidRPr="0013396E">
              <w:tab/>
              <w:t>For SOGs at the same site that are not located behind an inverter, gross real power output measured at the generator terminals for all SOGs, separately aggregated by fuel type;</w:t>
            </w:r>
          </w:p>
          <w:p w14:paraId="0CE23172" w14:textId="2D57944F" w:rsidR="004D1724" w:rsidRPr="0013396E" w:rsidRDefault="004D1724" w:rsidP="004D1724">
            <w:pPr>
              <w:spacing w:after="240"/>
              <w:ind w:left="1440" w:hanging="720"/>
            </w:pPr>
            <w:r w:rsidRPr="0013396E">
              <w:t>(e)</w:t>
            </w:r>
            <w:r w:rsidRPr="0013396E">
              <w:tab/>
              <w:t>For any site with one or more ESSs registered as an SOG, for each inverter, gross real power withdrawal by all such ESSs that are located behind that inverter, as measured at the generator terminals; and</w:t>
            </w:r>
          </w:p>
          <w:p w14:paraId="5C8F9C8F" w14:textId="13E1543F" w:rsidR="004D1724" w:rsidRPr="0013396E" w:rsidRDefault="004D1724" w:rsidP="004D1724">
            <w:pPr>
              <w:spacing w:after="240"/>
              <w:ind w:left="1440" w:hanging="720"/>
            </w:pPr>
            <w:r w:rsidRPr="0013396E">
              <w:t>(f)</w:t>
            </w:r>
            <w:r w:rsidRPr="0013396E">
              <w:tab/>
              <w:t>Generator breaker status.</w:t>
            </w:r>
          </w:p>
          <w:p w14:paraId="0C75F1FE" w14:textId="16862410" w:rsidR="004D1724" w:rsidRPr="0013396E" w:rsidRDefault="004D1724" w:rsidP="00847E53">
            <w:pPr>
              <w:spacing w:after="240"/>
              <w:ind w:left="720" w:hanging="720"/>
            </w:pPr>
            <w:r w:rsidRPr="0013396E">
              <w:t>(1</w:t>
            </w:r>
            <w:r w:rsidR="00974BD1" w:rsidRPr="0013396E">
              <w:t>8</w:t>
            </w:r>
            <w:r w:rsidRPr="0013396E">
              <w:t>)</w:t>
            </w:r>
            <w:r w:rsidRPr="0013396E">
              <w:tab/>
              <w:t>A QSE is not required to</w:t>
            </w:r>
            <w:r w:rsidR="00847E53" w:rsidRPr="0013396E">
              <w:t xml:space="preserve"> provide telemetry for a Settlement Only Distribution Generator (SODG) </w:t>
            </w:r>
            <w:r w:rsidRPr="0013396E">
              <w:t>if:</w:t>
            </w:r>
          </w:p>
          <w:p w14:paraId="23D16129" w14:textId="51346795" w:rsidR="004D1724" w:rsidRPr="0013396E" w:rsidRDefault="004D1724" w:rsidP="004D1724">
            <w:pPr>
              <w:spacing w:after="240"/>
              <w:ind w:left="1440" w:hanging="720"/>
            </w:pPr>
            <w:r w:rsidRPr="0013396E">
              <w:t>(a)</w:t>
            </w:r>
            <w:r w:rsidRPr="0013396E">
              <w:tab/>
            </w:r>
            <w:r w:rsidR="00847E53" w:rsidRPr="0013396E">
              <w:t>T</w:t>
            </w:r>
            <w:r w:rsidRPr="0013396E">
              <w:t xml:space="preserve">he site that includes the SODG has not exported more than 10 MWh in any calendar year, exclusive of any energy exported during any Settlement Interval in which an ERCOT-declared Energy Emergency Alert (EEA) is in effect; </w:t>
            </w:r>
          </w:p>
          <w:p w14:paraId="32892B1A" w14:textId="34F25F07" w:rsidR="004D1724" w:rsidRPr="0013396E" w:rsidRDefault="004D1724" w:rsidP="004D1724">
            <w:pPr>
              <w:spacing w:after="240"/>
              <w:ind w:left="1440" w:hanging="720"/>
            </w:pPr>
            <w:r w:rsidRPr="0013396E">
              <w:t>(b)</w:t>
            </w:r>
            <w:r w:rsidRPr="0013396E">
              <w:tab/>
            </w:r>
            <w:r w:rsidR="00847E53" w:rsidRPr="0013396E">
              <w:t>T</w:t>
            </w:r>
            <w:r w:rsidRPr="0013396E">
              <w:t>he QSE or Resource Entity for the SODG has submitted a written request to ERCOT seeking an exemption from the telemetry requirements under this paragraph; and</w:t>
            </w:r>
          </w:p>
          <w:p w14:paraId="534749AE" w14:textId="04C6EB29" w:rsidR="004D1724" w:rsidRPr="0013396E" w:rsidRDefault="004D1724" w:rsidP="004D1724">
            <w:pPr>
              <w:spacing w:after="240"/>
              <w:ind w:left="1440" w:hanging="720"/>
            </w:pPr>
            <w:r w:rsidRPr="0013396E">
              <w:lastRenderedPageBreak/>
              <w:t>(c)</w:t>
            </w:r>
            <w:r w:rsidRPr="0013396E">
              <w:tab/>
              <w:t xml:space="preserve">ERCOT has provided the QSE or Resource Entity written confirmation that the SODG is exempt from providing telemetry under this paragraph. </w:t>
            </w:r>
          </w:p>
          <w:p w14:paraId="0050A5E5" w14:textId="0AE780F5" w:rsidR="008E2BE2" w:rsidRPr="0013396E" w:rsidRDefault="004D1724" w:rsidP="00C23DEE">
            <w:pPr>
              <w:spacing w:after="240"/>
              <w:ind w:left="720" w:hanging="720"/>
            </w:pPr>
            <w:r w:rsidRPr="0013396E">
              <w:t>(1</w:t>
            </w:r>
            <w:r w:rsidR="00974BD1" w:rsidRPr="0013396E">
              <w:t>9</w:t>
            </w:r>
            <w:r w:rsidRPr="0013396E">
              <w:t>)</w:t>
            </w:r>
            <w:r w:rsidRPr="0013396E">
              <w:tab/>
              <w:t>If ERCOT determines that a site that includes an SODG has exported more than 10 MWh in a given calendar year, it shall notify the SODG’s QSE that the SODG is no longer eligible for the telemetry exemption.  Within 90 days of receiving this notification, the QSE for the SODG shall comply with the telemetry requirements of paragraph (1</w:t>
            </w:r>
            <w:r w:rsidR="00974BD1" w:rsidRPr="0013396E">
              <w:t>7</w:t>
            </w:r>
            <w:r w:rsidRPr="0013396E">
              <w:t>) above.</w:t>
            </w:r>
          </w:p>
        </w:tc>
      </w:tr>
    </w:tbl>
    <w:p w14:paraId="57F00A12" w14:textId="77777777" w:rsidR="005C6D56" w:rsidRPr="0013396E" w:rsidRDefault="005C6D56" w:rsidP="005C6D56">
      <w:pPr>
        <w:pStyle w:val="H3"/>
        <w:spacing w:before="0" w:after="0"/>
      </w:pPr>
      <w:bookmarkStart w:id="620" w:name="_Toc496079997"/>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60"/>
      </w:tblGrid>
      <w:tr w:rsidR="005C6D56" w:rsidRPr="0013396E" w14:paraId="6504A8E4" w14:textId="77777777" w:rsidTr="00847E53">
        <w:trPr>
          <w:trHeight w:val="206"/>
        </w:trPr>
        <w:tc>
          <w:tcPr>
            <w:tcW w:w="9360" w:type="dxa"/>
            <w:shd w:val="pct12" w:color="auto" w:fill="auto"/>
          </w:tcPr>
          <w:p w14:paraId="2EBF4934" w14:textId="408BFB62" w:rsidR="005C6D56" w:rsidRPr="0013396E" w:rsidRDefault="005C6D56" w:rsidP="00CE1011">
            <w:pPr>
              <w:pStyle w:val="Instructions"/>
              <w:spacing w:before="120"/>
            </w:pPr>
            <w:r w:rsidRPr="0013396E">
              <w:t>[NPRR885:  Insert paragraph (</w:t>
            </w:r>
            <w:r w:rsidR="00974BD1" w:rsidRPr="0013396E">
              <w:t>20</w:t>
            </w:r>
            <w:r w:rsidRPr="0013396E">
              <w:t>) below upon system implementation:]</w:t>
            </w:r>
          </w:p>
          <w:p w14:paraId="7B68229C" w14:textId="7E23FE1C" w:rsidR="005C6D56" w:rsidRPr="0013396E" w:rsidRDefault="005C6D56" w:rsidP="006D3418">
            <w:pPr>
              <w:spacing w:before="240" w:after="240"/>
              <w:ind w:left="720" w:hanging="720"/>
            </w:pPr>
            <w:r w:rsidRPr="0013396E">
              <w:t>(</w:t>
            </w:r>
            <w:r w:rsidR="00974BD1" w:rsidRPr="0013396E">
              <w:t>20</w:t>
            </w:r>
            <w:r w:rsidRPr="0013396E">
              <w:t>)</w:t>
            </w:r>
            <w:r w:rsidRPr="0013396E">
              <w:tab/>
              <w:t xml:space="preserve">A QSE representing </w:t>
            </w:r>
            <w:r w:rsidR="00DF66E2" w:rsidRPr="0013396E">
              <w:t xml:space="preserve">a Must-Run Alternative (MRA) </w:t>
            </w:r>
            <w:r w:rsidRPr="0013396E">
              <w:t>shall telemeter the MRA MW currently available (unloaded) and not included in the HSL.</w:t>
            </w:r>
          </w:p>
        </w:tc>
      </w:tr>
    </w:tbl>
    <w:p w14:paraId="30A9E465" w14:textId="77777777" w:rsidR="000C75ED" w:rsidRPr="0013396E" w:rsidRDefault="000C75E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0C75ED" w:rsidRPr="0013396E" w14:paraId="3F78EED4" w14:textId="77777777" w:rsidTr="000C75ED">
        <w:trPr>
          <w:trHeight w:val="206"/>
        </w:trPr>
        <w:tc>
          <w:tcPr>
            <w:tcW w:w="9350" w:type="dxa"/>
            <w:tcBorders>
              <w:top w:val="single" w:sz="4" w:space="0" w:color="auto"/>
              <w:left w:val="single" w:sz="4" w:space="0" w:color="auto"/>
              <w:bottom w:val="single" w:sz="4" w:space="0" w:color="auto"/>
              <w:right w:val="single" w:sz="4" w:space="0" w:color="auto"/>
            </w:tcBorders>
            <w:shd w:val="pct12" w:color="auto" w:fill="auto"/>
          </w:tcPr>
          <w:p w14:paraId="5C631850" w14:textId="3892C6AA" w:rsidR="000C75ED" w:rsidRPr="0013396E" w:rsidRDefault="000C75ED" w:rsidP="00C952ED">
            <w:pPr>
              <w:pStyle w:val="Instructions"/>
              <w:spacing w:before="120"/>
            </w:pPr>
            <w:r w:rsidRPr="0013396E">
              <w:t>[NPRR1029:  Insert paragraph (</w:t>
            </w:r>
            <w:r w:rsidR="00C23DEE" w:rsidRPr="0013396E">
              <w:t>2</w:t>
            </w:r>
            <w:r w:rsidR="00974BD1" w:rsidRPr="0013396E">
              <w:t>1</w:t>
            </w:r>
            <w:r w:rsidRPr="0013396E">
              <w:t>) below upon system implementation:]</w:t>
            </w:r>
          </w:p>
          <w:p w14:paraId="29B2A3C8" w14:textId="540A8693" w:rsidR="000C75ED" w:rsidRPr="0013396E" w:rsidRDefault="000C75ED" w:rsidP="000C75ED">
            <w:pPr>
              <w:spacing w:before="240" w:after="240"/>
              <w:ind w:left="720" w:hanging="720"/>
            </w:pPr>
            <w:r w:rsidRPr="0013396E">
              <w:t>(</w:t>
            </w:r>
            <w:r w:rsidR="00C23DEE" w:rsidRPr="0013396E">
              <w:t>2</w:t>
            </w:r>
            <w:r w:rsidR="00974BD1" w:rsidRPr="0013396E">
              <w:t>1</w:t>
            </w:r>
            <w:r w:rsidRPr="0013396E">
              <w:t>)</w:t>
            </w:r>
            <w:r w:rsidRPr="0013396E">
              <w:tab/>
              <w:t>A QSE representing a DC-Coupled Resource shall provide the following Real-Time telemetry data in addition to that required for other ESRs:</w:t>
            </w:r>
          </w:p>
          <w:p w14:paraId="45420899" w14:textId="5CE7A6B7" w:rsidR="000C75ED" w:rsidRPr="0013396E" w:rsidRDefault="000C75ED" w:rsidP="000C75ED">
            <w:pPr>
              <w:spacing w:after="240"/>
              <w:ind w:left="1440" w:hanging="720"/>
            </w:pPr>
            <w:r w:rsidRPr="0013396E">
              <w:t>(a)</w:t>
            </w:r>
            <w:r w:rsidRPr="0013396E">
              <w:tab/>
              <w:t>Gross AC MW production of the intermittent renewable generation component of the DC-Coupled Resource, which includes the portion of the intermittent renewable generation used to charge the ESS and/or serve auxiliary Load on the DC side of the inverter; and</w:t>
            </w:r>
          </w:p>
          <w:p w14:paraId="60A89C16" w14:textId="5D24CDE6" w:rsidR="000C75ED" w:rsidRPr="0013396E" w:rsidRDefault="000C75ED" w:rsidP="000C75ED">
            <w:pPr>
              <w:spacing w:after="240"/>
              <w:ind w:left="1440" w:hanging="720"/>
            </w:pPr>
            <w:r w:rsidRPr="0013396E">
              <w:t>(b)</w:t>
            </w:r>
            <w:r w:rsidRPr="0013396E">
              <w:tab/>
              <w:t>Gross AC MW capability of the intermittent renewable generation component of the DC-Coupled Resource, based on Real-Time conditions.</w:t>
            </w:r>
          </w:p>
        </w:tc>
      </w:tr>
    </w:tbl>
    <w:p w14:paraId="0C46DAA4" w14:textId="77777777" w:rsidR="00125072" w:rsidRPr="0013396E" w:rsidRDefault="00125072" w:rsidP="0012507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125072" w:rsidRPr="0013396E" w14:paraId="2D8F80D2" w14:textId="77777777" w:rsidTr="00425355">
        <w:trPr>
          <w:trHeight w:val="206"/>
        </w:trPr>
        <w:tc>
          <w:tcPr>
            <w:tcW w:w="9350" w:type="dxa"/>
            <w:tcBorders>
              <w:top w:val="single" w:sz="4" w:space="0" w:color="auto"/>
              <w:left w:val="single" w:sz="4" w:space="0" w:color="auto"/>
              <w:bottom w:val="single" w:sz="4" w:space="0" w:color="auto"/>
              <w:right w:val="single" w:sz="4" w:space="0" w:color="auto"/>
            </w:tcBorders>
            <w:shd w:val="pct12" w:color="auto" w:fill="auto"/>
          </w:tcPr>
          <w:p w14:paraId="153E87D1" w14:textId="3BFD801B" w:rsidR="00125072" w:rsidRPr="0013396E" w:rsidRDefault="00125072" w:rsidP="00425355">
            <w:pPr>
              <w:pStyle w:val="Instructions"/>
              <w:spacing w:before="120"/>
            </w:pPr>
            <w:r w:rsidRPr="0013396E">
              <w:t>[NPRR995:  Insert paragraph (</w:t>
            </w:r>
            <w:r w:rsidR="00C23DEE" w:rsidRPr="0013396E">
              <w:t>2</w:t>
            </w:r>
            <w:r w:rsidR="00974BD1" w:rsidRPr="0013396E">
              <w:t>2</w:t>
            </w:r>
            <w:r w:rsidRPr="0013396E">
              <w:t>) below upon system implementation:]</w:t>
            </w:r>
          </w:p>
          <w:p w14:paraId="073C40D3" w14:textId="6A2B6B1E" w:rsidR="00125072" w:rsidRPr="0013396E" w:rsidRDefault="00125072" w:rsidP="00125072">
            <w:pPr>
              <w:spacing w:before="240" w:after="240"/>
              <w:ind w:left="720" w:hanging="720"/>
              <w:rPr>
                <w:iCs/>
              </w:rPr>
            </w:pPr>
            <w:r w:rsidRPr="0013396E">
              <w:t>(</w:t>
            </w:r>
            <w:r w:rsidR="00C23DEE" w:rsidRPr="0013396E">
              <w:t>2</w:t>
            </w:r>
            <w:r w:rsidR="00974BD1" w:rsidRPr="0013396E">
              <w:t>2</w:t>
            </w:r>
            <w:r w:rsidRPr="0013396E">
              <w:t>)</w:t>
            </w:r>
            <w:r w:rsidRPr="0013396E">
              <w:tab/>
              <w:t>A QSE representing a Settlement Only Energy Storage System (SOESS) that elects to include the net generation and/or net withdrawals of the SOESS in the estimate of Real-Time Liability (RTL) shall provide ERCOT Real-Time telemetry of the net generation and/or net withdrawals of the SOESS.</w:t>
            </w:r>
          </w:p>
        </w:tc>
      </w:tr>
    </w:tbl>
    <w:p w14:paraId="7ED01428" w14:textId="77777777" w:rsidR="001F04FD" w:rsidRPr="0013396E" w:rsidRDefault="001F04FD" w:rsidP="001F04FD">
      <w:pPr>
        <w:pStyle w:val="H3"/>
        <w:spacing w:before="480"/>
      </w:pPr>
      <w:bookmarkStart w:id="621" w:name="_Toc214878896"/>
      <w:r w:rsidRPr="0013396E">
        <w:t>6.5.6</w:t>
      </w:r>
      <w:r w:rsidRPr="0013396E">
        <w:tab/>
        <w:t>TSP and DSP Responsibilities</w:t>
      </w:r>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p>
    <w:p w14:paraId="0FA240DD" w14:textId="77777777" w:rsidR="001F04FD" w:rsidRPr="0013396E" w:rsidRDefault="001F04FD" w:rsidP="001F04FD">
      <w:pPr>
        <w:pStyle w:val="BodyText"/>
        <w:ind w:left="720" w:hanging="720"/>
      </w:pPr>
      <w:bookmarkStart w:id="622" w:name="_Toc73216012"/>
      <w:r w:rsidRPr="0013396E">
        <w:t>(1)</w:t>
      </w:r>
      <w:r w:rsidRPr="0013396E">
        <w:tab/>
        <w:t>Each TSP shall notify ERCOT of any changes in status of Transmission Elements as provided in these Protocols and clarified in the ERCOT procedures.</w:t>
      </w:r>
    </w:p>
    <w:p w14:paraId="5E9F1B5A" w14:textId="77777777" w:rsidR="001F04FD" w:rsidRPr="0013396E" w:rsidRDefault="001F04FD" w:rsidP="001F04FD">
      <w:pPr>
        <w:pStyle w:val="BodyText"/>
        <w:ind w:left="720" w:hanging="720"/>
      </w:pPr>
      <w:r w:rsidRPr="0013396E">
        <w:lastRenderedPageBreak/>
        <w:t>(2)</w:t>
      </w:r>
      <w:r w:rsidRPr="0013396E">
        <w:tab/>
        <w:t>Each TSP shall as soon as practicable report to ERCOT any short-term inability to meet minimum TSP reactive requirements.</w:t>
      </w:r>
    </w:p>
    <w:p w14:paraId="18E926F6" w14:textId="77777777" w:rsidR="001F04FD" w:rsidRPr="0013396E" w:rsidRDefault="001F04FD" w:rsidP="001F04FD">
      <w:pPr>
        <w:pStyle w:val="BodyText"/>
        <w:ind w:left="720" w:hanging="720"/>
      </w:pPr>
      <w:r w:rsidRPr="0013396E">
        <w:t>(3)</w:t>
      </w:r>
      <w:r w:rsidRPr="0013396E">
        <w:tab/>
        <w:t>Each DSP shall as soon as practicable report to ERCOT any short-term inability to meet minimum DSP reactive requirements.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524281" w:rsidRPr="0013396E" w14:paraId="0EDDF042" w14:textId="77777777" w:rsidTr="00B37819">
        <w:trPr>
          <w:trHeight w:val="206"/>
        </w:trPr>
        <w:tc>
          <w:tcPr>
            <w:tcW w:w="9576" w:type="dxa"/>
            <w:shd w:val="pct12" w:color="auto" w:fill="auto"/>
          </w:tcPr>
          <w:p w14:paraId="3A390A5E" w14:textId="3E858A7F" w:rsidR="00524281" w:rsidRPr="0013396E" w:rsidRDefault="00524281" w:rsidP="00B37819">
            <w:pPr>
              <w:pStyle w:val="Instructions"/>
              <w:spacing w:before="120"/>
            </w:pPr>
            <w:bookmarkStart w:id="623" w:name="_Toc397504954"/>
            <w:bookmarkStart w:id="624" w:name="_Toc402357082"/>
            <w:bookmarkStart w:id="625" w:name="_Toc422486462"/>
            <w:bookmarkStart w:id="626" w:name="_Toc433093314"/>
            <w:bookmarkStart w:id="627" w:name="_Toc433093472"/>
            <w:bookmarkStart w:id="628" w:name="_Toc440874701"/>
            <w:bookmarkStart w:id="629" w:name="_Toc448142256"/>
            <w:bookmarkStart w:id="630" w:name="_Toc448142413"/>
            <w:bookmarkStart w:id="631" w:name="_Toc458770249"/>
            <w:bookmarkStart w:id="632" w:name="_Toc459294217"/>
            <w:bookmarkStart w:id="633" w:name="_Toc463262710"/>
            <w:bookmarkStart w:id="634" w:name="_Toc468286784"/>
            <w:bookmarkStart w:id="635" w:name="_Toc481502830"/>
            <w:bookmarkStart w:id="636" w:name="_Toc496079998"/>
            <w:bookmarkEnd w:id="622"/>
            <w:r w:rsidRPr="0013396E">
              <w:t xml:space="preserve">[NPRR1098:  </w:t>
            </w:r>
            <w:r w:rsidR="00135A7D" w:rsidRPr="0013396E">
              <w:t>Replace Section 6.5.6 above with the following upon system implementation and satisfying the following conditions:  (1) Southern Cross Transmission LLC (Southern Cross) provides ERCOT with funds to cover the entire estimated cost of the project; and (2) Southern Cross has signed an interconnection agreement with a Transmission Service Provider (TSP) and the TSP gives ERCOT written notice that Southern Cross has provided it with:  (a) Notice to proceed with the construction of the interconnection; and (b) The financial security required to fund the interconnection facilities</w:t>
            </w:r>
            <w:r w:rsidRPr="0013396E">
              <w:t>:]</w:t>
            </w:r>
          </w:p>
          <w:p w14:paraId="55ED5B47" w14:textId="77777777" w:rsidR="00524281" w:rsidRPr="0013396E" w:rsidRDefault="00524281" w:rsidP="00524281">
            <w:pPr>
              <w:pStyle w:val="H3"/>
              <w:spacing w:before="0"/>
            </w:pPr>
            <w:bookmarkStart w:id="637" w:name="_Toc108712443"/>
            <w:bookmarkStart w:id="638" w:name="_Toc112417563"/>
            <w:bookmarkStart w:id="639" w:name="_Toc119310232"/>
            <w:bookmarkStart w:id="640" w:name="_Toc125966166"/>
            <w:bookmarkStart w:id="641" w:name="_Toc135992264"/>
            <w:bookmarkStart w:id="642" w:name="_Toc170303460"/>
            <w:bookmarkStart w:id="643" w:name="_Toc175157364"/>
            <w:bookmarkStart w:id="644" w:name="_Toc214878897"/>
            <w:bookmarkStart w:id="645" w:name="_Toc65151690"/>
            <w:bookmarkStart w:id="646" w:name="_Toc65151658"/>
            <w:r w:rsidRPr="0013396E">
              <w:t>6.5.6</w:t>
            </w:r>
            <w:r w:rsidRPr="0013396E">
              <w:tab/>
              <w:t>TSP, TO, DCTO, and DSP Responsibilities</w:t>
            </w:r>
            <w:bookmarkEnd w:id="637"/>
            <w:bookmarkEnd w:id="638"/>
            <w:bookmarkEnd w:id="639"/>
            <w:bookmarkEnd w:id="640"/>
            <w:bookmarkEnd w:id="641"/>
            <w:bookmarkEnd w:id="642"/>
            <w:bookmarkEnd w:id="643"/>
            <w:bookmarkEnd w:id="644"/>
          </w:p>
          <w:p w14:paraId="0DD3915B" w14:textId="77777777" w:rsidR="00524281" w:rsidRPr="0013396E" w:rsidRDefault="00524281" w:rsidP="00524281">
            <w:pPr>
              <w:pStyle w:val="BodyText"/>
              <w:ind w:left="720" w:hanging="720"/>
            </w:pPr>
            <w:r w:rsidRPr="0013396E">
              <w:t>(1)</w:t>
            </w:r>
            <w:r w:rsidRPr="0013396E">
              <w:tab/>
              <w:t>Each TSP shall notify ERCOT of any changes in status of Transmission Elements as provided in these Protocols and clarified in the ERCOT procedures.</w:t>
            </w:r>
          </w:p>
          <w:p w14:paraId="087C0C61" w14:textId="77777777" w:rsidR="00524281" w:rsidRPr="0013396E" w:rsidRDefault="00524281" w:rsidP="00524281">
            <w:pPr>
              <w:pStyle w:val="BodyText"/>
              <w:ind w:left="720" w:hanging="720"/>
            </w:pPr>
            <w:r w:rsidRPr="0013396E">
              <w:t>(2)</w:t>
            </w:r>
            <w:r w:rsidRPr="0013396E">
              <w:tab/>
              <w:t>Each TSP shall as soon as practicable report to ERCOT any short-term inability to meet minimum TSP reactive requirements.</w:t>
            </w:r>
          </w:p>
          <w:p w14:paraId="19F3A12F" w14:textId="77777777" w:rsidR="00524281" w:rsidRPr="0013396E" w:rsidRDefault="00524281" w:rsidP="00524281">
            <w:pPr>
              <w:pStyle w:val="BodyText"/>
              <w:ind w:left="720" w:hanging="720"/>
            </w:pPr>
            <w:r w:rsidRPr="0013396E">
              <w:t>(3)</w:t>
            </w:r>
            <w:r w:rsidRPr="0013396E">
              <w:tab/>
              <w:t>Each DSP shall as soon as practicable report to ERCOT any short-term inability to meet minimum DSP reactive requirements.</w:t>
            </w:r>
          </w:p>
          <w:p w14:paraId="327B478A" w14:textId="77777777" w:rsidR="00524281" w:rsidRPr="0013396E" w:rsidRDefault="00524281" w:rsidP="00524281">
            <w:pPr>
              <w:pStyle w:val="BodyText"/>
              <w:ind w:left="720" w:hanging="720"/>
            </w:pPr>
            <w:r w:rsidRPr="0013396E">
              <w:t>(4)</w:t>
            </w:r>
            <w:r w:rsidRPr="0013396E">
              <w:tab/>
              <w:t>Each DCTO shall immediately notify its designated TO of any change that affects the reactive capability of any DC Tie Facility it operates, including any change to the operation mode of the DC Tie Facility’s voltage control system or any temporary transmission voltage limit changes.  Each TO designated by a DCTO shall immediately notify ERCOT when a DC Tie Facility experiences a change that affects its reactive capability, including any change to the operation mode of the DC Tie Facility’s voltage control system or any temporary transmission voltage limit changes.</w:t>
            </w:r>
            <w:bookmarkEnd w:id="645"/>
            <w:bookmarkEnd w:id="646"/>
          </w:p>
          <w:p w14:paraId="3E744D34" w14:textId="77777777" w:rsidR="00524281" w:rsidRPr="0013396E" w:rsidRDefault="00524281" w:rsidP="00524281">
            <w:pPr>
              <w:pStyle w:val="BodyText"/>
              <w:ind w:left="720" w:hanging="720"/>
              <w:rPr>
                <w:iCs w:val="0"/>
              </w:rPr>
            </w:pPr>
            <w:r w:rsidRPr="0013396E">
              <w:t>(5)</w:t>
            </w:r>
            <w:r w:rsidRPr="0013396E">
              <w:tab/>
              <w:t xml:space="preserve">Each TO designated by a DCTO operating a DC Tie meeting the applicability requirements of paragraph (1) of Section 3.15.4, Direct Current Tie Owner and Direct Current Tie Operator (DCTO) Responsibilities Related to Voltage Support, shall for each such DC Tie provide to ERCOT, via ICCP, the status of the DC Tie Facility’s voltage control system.  </w:t>
            </w:r>
            <w:r w:rsidRPr="0013396E">
              <w:rPr>
                <w:iCs w:val="0"/>
              </w:rPr>
              <w:t>An “On” status will indicate that the control system is on and set to regulate the voltage at the DC Tie’s POIB in automatic voltage control mode, and an “Off” status will indicate that the control system is off or in manual mode.</w:t>
            </w:r>
          </w:p>
          <w:p w14:paraId="2204026E" w14:textId="0EC29617" w:rsidR="00524281" w:rsidRPr="0013396E" w:rsidRDefault="00524281" w:rsidP="00524281">
            <w:pPr>
              <w:spacing w:after="240"/>
              <w:ind w:left="720" w:hanging="720"/>
            </w:pPr>
            <w:r w:rsidRPr="0013396E">
              <w:rPr>
                <w:iCs/>
              </w:rPr>
              <w:t>(6)</w:t>
            </w:r>
            <w:r w:rsidRPr="0013396E">
              <w:rPr>
                <w:iCs/>
              </w:rPr>
              <w:tab/>
            </w:r>
            <w:r w:rsidRPr="0013396E">
              <w:t>Each TO designated by a DCTO operating a DC Tie meeting the applicability requirements of paragraph (1) of Section 3.15.4 shall telemeter to ERCOT, via ICCP, the Real-Time target voltage at each DC Tie’s POIB.  Each TO shall modify the telemetered target voltage to match any verbal target voltage instruction issued as soon as practicable.</w:t>
            </w:r>
          </w:p>
        </w:tc>
      </w:tr>
    </w:tbl>
    <w:p w14:paraId="438867FC" w14:textId="5A657AFA" w:rsidR="001F04FD" w:rsidRPr="0013396E" w:rsidRDefault="001F04FD" w:rsidP="001F04FD">
      <w:pPr>
        <w:pStyle w:val="H3"/>
        <w:spacing w:before="480"/>
      </w:pPr>
      <w:bookmarkStart w:id="647" w:name="_Toc214878898"/>
      <w:r w:rsidRPr="0013396E">
        <w:lastRenderedPageBreak/>
        <w:t>6.5.7</w:t>
      </w:r>
      <w:r w:rsidRPr="0013396E">
        <w:tab/>
      </w:r>
      <w:r w:rsidR="00F3577E" w:rsidRPr="0013396E">
        <w:t>Real-Time Sequence Methodology</w:t>
      </w:r>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47"/>
    </w:p>
    <w:p w14:paraId="630A065C" w14:textId="4348B55A" w:rsidR="001F04FD" w:rsidRPr="0013396E" w:rsidRDefault="001F04FD" w:rsidP="001F04FD">
      <w:pPr>
        <w:pStyle w:val="BodyText"/>
        <w:ind w:left="720" w:hanging="720"/>
      </w:pPr>
      <w:r w:rsidRPr="0013396E">
        <w:t>(1)</w:t>
      </w:r>
      <w:r w:rsidRPr="0013396E">
        <w:tab/>
      </w:r>
      <w:r w:rsidR="00F3577E" w:rsidRPr="0013396E">
        <w:t>This Section outlines the programmatic and manual processes employed by ERCOT to simultaneously achieve power balance (minimizing the use of Regulation Service), determine Ancillary Service awards, and manage congestion while operating within the constraints of the system at economically optimized cost.  The Real-Time Sequence describes the key system components and inputs that are required to support the SCED process, which produces the Locational Marginal Prices (LMPs), Base Points, Real-Time MCPCs, and Ancillary Service awards while meeting transmission system constraints.  Section 6.5.7.3, Security Constrained Economic Dispatch, provides further details regarding additional components and inputs and ex-ante mitigation.</w:t>
      </w:r>
    </w:p>
    <w:p w14:paraId="12A2F322" w14:textId="77777777" w:rsidR="001F04FD" w:rsidRPr="0013396E" w:rsidRDefault="001F04FD" w:rsidP="007A1E53">
      <w:pPr>
        <w:pStyle w:val="H4"/>
        <w:ind w:left="1267" w:hanging="1267"/>
      </w:pPr>
      <w:bookmarkStart w:id="648" w:name="_Toc73216016"/>
      <w:bookmarkStart w:id="649" w:name="_Toc74137334"/>
      <w:bookmarkStart w:id="650" w:name="_Toc397504955"/>
      <w:bookmarkStart w:id="651" w:name="_Toc402357083"/>
      <w:bookmarkStart w:id="652" w:name="_Toc422486463"/>
      <w:bookmarkStart w:id="653" w:name="_Toc433093315"/>
      <w:bookmarkStart w:id="654" w:name="_Toc433093473"/>
      <w:bookmarkStart w:id="655" w:name="_Toc440874702"/>
      <w:bookmarkStart w:id="656" w:name="_Toc448142257"/>
      <w:bookmarkStart w:id="657" w:name="_Toc448142414"/>
      <w:bookmarkStart w:id="658" w:name="_Toc458770250"/>
      <w:bookmarkStart w:id="659" w:name="_Toc459294218"/>
      <w:bookmarkStart w:id="660" w:name="_Toc463262711"/>
      <w:bookmarkStart w:id="661" w:name="_Toc468286785"/>
      <w:bookmarkStart w:id="662" w:name="_Toc481502831"/>
      <w:bookmarkStart w:id="663" w:name="_Toc496079999"/>
      <w:bookmarkStart w:id="664" w:name="_Toc214878899"/>
      <w:r w:rsidRPr="0013396E">
        <w:t>6.5.7.1</w:t>
      </w:r>
      <w:r w:rsidRPr="0013396E">
        <w:tab/>
        <w:t>Real-Time Sequence</w:t>
      </w:r>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p>
    <w:p w14:paraId="10560E8F" w14:textId="77777777" w:rsidR="001F04FD" w:rsidRPr="0013396E" w:rsidRDefault="001F04FD" w:rsidP="001F04FD">
      <w:pPr>
        <w:pStyle w:val="BodyTextNumbered"/>
      </w:pPr>
      <w:r w:rsidRPr="0013396E">
        <w:t>(1)</w:t>
      </w:r>
      <w:r w:rsidRPr="0013396E">
        <w:tab/>
        <w:t>The Real-Time Sequence consists of multiple interdependent processes that are driven by telemetry data and the network topology.  This Section describes the core aspects of the Real-Time Sequence.</w:t>
      </w:r>
    </w:p>
    <w:p w14:paraId="5079480F" w14:textId="77777777" w:rsidR="001F04FD" w:rsidRPr="0013396E" w:rsidRDefault="001F04FD" w:rsidP="001F04FD">
      <w:pPr>
        <w:pStyle w:val="BodyTextNumbered"/>
      </w:pPr>
      <w:r w:rsidRPr="0013396E">
        <w:t>(2)</w:t>
      </w:r>
      <w:r w:rsidRPr="0013396E">
        <w:tab/>
        <w:t>The figure below highlights the key computational modules and processes that are used during the Real-Time Sequence:</w:t>
      </w:r>
    </w:p>
    <w:p w14:paraId="57CE458F" w14:textId="3275E7AC" w:rsidR="001F04FD" w:rsidRPr="0013396E" w:rsidRDefault="00A94020" w:rsidP="001F04FD">
      <w:pPr>
        <w:jc w:val="center"/>
      </w:pPr>
      <w:r w:rsidRPr="0013396E">
        <w:rPr>
          <w:noProof/>
        </w:rPr>
        <w:drawing>
          <wp:inline distT="0" distB="0" distL="0" distR="0" wp14:anchorId="69F4C069" wp14:editId="5ACE2BDF">
            <wp:extent cx="5219700" cy="3914775"/>
            <wp:effectExtent l="0" t="0" r="0" b="0"/>
            <wp:docPr id="2"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219700" cy="3914775"/>
                    </a:xfrm>
                    <a:prstGeom prst="rect">
                      <a:avLst/>
                    </a:prstGeom>
                    <a:noFill/>
                    <a:ln>
                      <a:noFill/>
                    </a:ln>
                  </pic:spPr>
                </pic:pic>
              </a:graphicData>
            </a:graphic>
          </wp:inline>
        </w:drawing>
      </w:r>
    </w:p>
    <w:p w14:paraId="1F4F5E2F" w14:textId="77777777" w:rsidR="001F04FD" w:rsidRPr="0013396E" w:rsidRDefault="001F04FD" w:rsidP="001F04FD">
      <w:pPr>
        <w:pStyle w:val="H5"/>
        <w:spacing w:before="480"/>
        <w:ind w:left="1627" w:hanging="1627"/>
      </w:pPr>
      <w:bookmarkStart w:id="665" w:name="_Toc397504956"/>
      <w:bookmarkStart w:id="666" w:name="_Toc402357084"/>
      <w:bookmarkStart w:id="667" w:name="_Toc422486464"/>
      <w:bookmarkStart w:id="668" w:name="_Toc433093316"/>
      <w:bookmarkStart w:id="669" w:name="_Toc433093474"/>
      <w:bookmarkStart w:id="670" w:name="_Toc440874703"/>
      <w:bookmarkStart w:id="671" w:name="_Toc448142258"/>
      <w:bookmarkStart w:id="672" w:name="_Toc448142415"/>
      <w:bookmarkStart w:id="673" w:name="_Toc458770251"/>
      <w:bookmarkStart w:id="674" w:name="_Toc459294219"/>
      <w:bookmarkStart w:id="675" w:name="_Toc463262712"/>
      <w:bookmarkStart w:id="676" w:name="_Toc468286786"/>
      <w:bookmarkStart w:id="677" w:name="_Toc481502832"/>
      <w:bookmarkStart w:id="678" w:name="_Toc496080000"/>
      <w:bookmarkStart w:id="679" w:name="_Toc214878900"/>
      <w:r w:rsidRPr="0013396E">
        <w:lastRenderedPageBreak/>
        <w:t>6.5.7.1.1</w:t>
      </w:r>
      <w:r w:rsidRPr="0013396E">
        <w:tab/>
        <w:t>SCADA Telemetry</w:t>
      </w:r>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p>
    <w:p w14:paraId="42DD05BE" w14:textId="77777777" w:rsidR="001F04FD" w:rsidRPr="0013396E" w:rsidRDefault="001F04FD" w:rsidP="001F04FD">
      <w:pPr>
        <w:pStyle w:val="BodyTextNumbered"/>
      </w:pPr>
      <w:r w:rsidRPr="0013396E">
        <w:t>(1)</w:t>
      </w:r>
      <w:r w:rsidRPr="0013396E">
        <w:tab/>
        <w:t>SCADA telemetry provides the actual Real-Time status and output of Resources and the status of observable Transmission Elements of the Network Operations Model.</w:t>
      </w:r>
    </w:p>
    <w:p w14:paraId="34322D9B" w14:textId="77777777" w:rsidR="001F04FD" w:rsidRPr="0013396E" w:rsidRDefault="001F04FD" w:rsidP="001F04FD">
      <w:pPr>
        <w:pStyle w:val="H5"/>
        <w:spacing w:before="480"/>
        <w:ind w:left="1627" w:hanging="1627"/>
      </w:pPr>
      <w:bookmarkStart w:id="680" w:name="_Toc74137336"/>
      <w:bookmarkStart w:id="681" w:name="_Toc397504957"/>
      <w:bookmarkStart w:id="682" w:name="_Toc402357085"/>
      <w:bookmarkStart w:id="683" w:name="_Toc422486465"/>
      <w:bookmarkStart w:id="684" w:name="_Toc433093317"/>
      <w:bookmarkStart w:id="685" w:name="_Toc433093475"/>
      <w:bookmarkStart w:id="686" w:name="_Toc440874704"/>
      <w:bookmarkStart w:id="687" w:name="_Toc448142259"/>
      <w:bookmarkStart w:id="688" w:name="_Toc448142416"/>
      <w:bookmarkStart w:id="689" w:name="_Toc458770252"/>
      <w:bookmarkStart w:id="690" w:name="_Toc459294220"/>
      <w:bookmarkStart w:id="691" w:name="_Toc463262713"/>
      <w:bookmarkStart w:id="692" w:name="_Toc468286787"/>
      <w:bookmarkStart w:id="693" w:name="_Toc481502833"/>
      <w:bookmarkStart w:id="694" w:name="_Toc496080001"/>
      <w:bookmarkStart w:id="695" w:name="_Toc214878901"/>
      <w:r w:rsidRPr="0013396E">
        <w:t>6.5.7.1.2</w:t>
      </w:r>
      <w:r w:rsidRPr="0013396E">
        <w:tab/>
        <w:t>Network Topology Builder</w:t>
      </w:r>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p>
    <w:p w14:paraId="040C5626" w14:textId="77777777" w:rsidR="001F04FD" w:rsidRPr="0013396E" w:rsidRDefault="001F04FD" w:rsidP="001F04FD">
      <w:pPr>
        <w:pStyle w:val="BodyTextNumbered"/>
      </w:pPr>
      <w:r w:rsidRPr="0013396E">
        <w:t>(1)</w:t>
      </w:r>
      <w:r w:rsidRPr="0013396E">
        <w:tab/>
        <w:t>The Network Topology Builder creates the Updated Network Model based on the observed topology of the ERCOT Transmission Grid.  The Updated Network Model is then used as the basis for the State Estimator solution.</w:t>
      </w:r>
    </w:p>
    <w:p w14:paraId="6851A42D" w14:textId="77777777" w:rsidR="001F04FD" w:rsidRPr="0013396E" w:rsidRDefault="001F04FD" w:rsidP="001F04FD">
      <w:pPr>
        <w:pStyle w:val="H5"/>
        <w:spacing w:before="480"/>
        <w:ind w:left="1627" w:hanging="1627"/>
      </w:pPr>
      <w:bookmarkStart w:id="696" w:name="_Toc397504958"/>
      <w:bookmarkStart w:id="697" w:name="_Toc402357086"/>
      <w:bookmarkStart w:id="698" w:name="_Toc422486466"/>
      <w:bookmarkStart w:id="699" w:name="_Toc433093318"/>
      <w:bookmarkStart w:id="700" w:name="_Toc433093476"/>
      <w:bookmarkStart w:id="701" w:name="_Toc440874705"/>
      <w:bookmarkStart w:id="702" w:name="_Toc448142260"/>
      <w:bookmarkStart w:id="703" w:name="_Toc448142417"/>
      <w:bookmarkStart w:id="704" w:name="_Toc458770253"/>
      <w:bookmarkStart w:id="705" w:name="_Toc459294221"/>
      <w:bookmarkStart w:id="706" w:name="_Toc463262714"/>
      <w:bookmarkStart w:id="707" w:name="_Toc468286788"/>
      <w:bookmarkStart w:id="708" w:name="_Toc481502834"/>
      <w:bookmarkStart w:id="709" w:name="_Toc496080002"/>
      <w:bookmarkStart w:id="710" w:name="_Toc214878902"/>
      <w:r w:rsidRPr="0013396E">
        <w:t>6.5.7.1.3</w:t>
      </w:r>
      <w:r w:rsidRPr="0013396E">
        <w:tab/>
        <w:t>Bus Load Forecast</w:t>
      </w:r>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p>
    <w:p w14:paraId="1F145147" w14:textId="77777777" w:rsidR="001F04FD" w:rsidRPr="0013396E" w:rsidRDefault="001F04FD" w:rsidP="001F04FD">
      <w:pPr>
        <w:pStyle w:val="BodyTextNumbered"/>
      </w:pPr>
      <w:r w:rsidRPr="0013396E">
        <w:t>(1)</w:t>
      </w:r>
      <w:r w:rsidRPr="0013396E">
        <w:tab/>
        <w:t>Once the Updated Network Model is created, the transmission Electrical Buses in the model will have a Bus Load Forecast applied.  The forecasted Load must be denoted with a low State Estimator measurement confidence factor.  The State Estimator must use the forecasted Load coupled with the remaining telemetry of line flows and voltages to estimate the actual Load on each Electrical Bus.</w:t>
      </w:r>
    </w:p>
    <w:p w14:paraId="697EDF17" w14:textId="77777777" w:rsidR="001F04FD" w:rsidRPr="0013396E" w:rsidRDefault="001F04FD" w:rsidP="001F04FD">
      <w:pPr>
        <w:pStyle w:val="H5"/>
        <w:spacing w:before="480"/>
        <w:ind w:left="1627" w:hanging="1627"/>
      </w:pPr>
      <w:bookmarkStart w:id="711" w:name="_Toc74137337"/>
      <w:bookmarkStart w:id="712" w:name="_Toc397504959"/>
      <w:bookmarkStart w:id="713" w:name="_Toc402357087"/>
      <w:bookmarkStart w:id="714" w:name="_Toc422486467"/>
      <w:bookmarkStart w:id="715" w:name="_Toc433093319"/>
      <w:bookmarkStart w:id="716" w:name="_Toc433093477"/>
      <w:bookmarkStart w:id="717" w:name="_Toc440874706"/>
      <w:bookmarkStart w:id="718" w:name="_Toc448142261"/>
      <w:bookmarkStart w:id="719" w:name="_Toc448142418"/>
      <w:bookmarkStart w:id="720" w:name="_Toc458770254"/>
      <w:bookmarkStart w:id="721" w:name="_Toc459294222"/>
      <w:bookmarkStart w:id="722" w:name="_Toc463262715"/>
      <w:bookmarkStart w:id="723" w:name="_Toc468286789"/>
      <w:bookmarkStart w:id="724" w:name="_Toc481502835"/>
      <w:bookmarkStart w:id="725" w:name="_Toc496080003"/>
      <w:bookmarkStart w:id="726" w:name="_Toc214878903"/>
      <w:r w:rsidRPr="0013396E">
        <w:t>6.5.7.1.4</w:t>
      </w:r>
      <w:r w:rsidRPr="0013396E">
        <w:tab/>
        <w:t>State Estimator</w:t>
      </w:r>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p>
    <w:p w14:paraId="43416E71" w14:textId="77777777" w:rsidR="001F04FD" w:rsidRPr="0013396E" w:rsidRDefault="001F04FD" w:rsidP="001F04FD">
      <w:pPr>
        <w:pStyle w:val="BodyTextNumbered"/>
      </w:pPr>
      <w:r w:rsidRPr="0013396E">
        <w:t>(1)</w:t>
      </w:r>
      <w:r w:rsidRPr="0013396E">
        <w:tab/>
        <w:t>The State Estimator must use the Bus Load Forecast and the remaining telemetry information of line flows and voltages to estimate all the transmission parameters needed to provide, on convergence, a mathematically consistent data set of constrained inputs to the Network Security Analysis (NSA) and the Topology Consistency Analyzer.</w:t>
      </w:r>
    </w:p>
    <w:p w14:paraId="4036ACE8" w14:textId="77777777" w:rsidR="001F04FD" w:rsidRPr="0013396E" w:rsidRDefault="001F04FD" w:rsidP="001F04FD">
      <w:pPr>
        <w:pStyle w:val="H5"/>
        <w:spacing w:before="480"/>
        <w:ind w:left="1627" w:hanging="1627"/>
      </w:pPr>
      <w:bookmarkStart w:id="727" w:name="_Toc397504960"/>
      <w:bookmarkStart w:id="728" w:name="_Toc402357088"/>
      <w:bookmarkStart w:id="729" w:name="_Toc422486468"/>
      <w:bookmarkStart w:id="730" w:name="_Toc433093320"/>
      <w:bookmarkStart w:id="731" w:name="_Toc433093478"/>
      <w:bookmarkStart w:id="732" w:name="_Toc440874707"/>
      <w:bookmarkStart w:id="733" w:name="_Toc448142262"/>
      <w:bookmarkStart w:id="734" w:name="_Toc448142419"/>
      <w:bookmarkStart w:id="735" w:name="_Toc458770255"/>
      <w:bookmarkStart w:id="736" w:name="_Toc459294223"/>
      <w:bookmarkStart w:id="737" w:name="_Toc463262716"/>
      <w:bookmarkStart w:id="738" w:name="_Toc468286790"/>
      <w:bookmarkStart w:id="739" w:name="_Toc481502836"/>
      <w:bookmarkStart w:id="740" w:name="_Toc496080004"/>
      <w:bookmarkStart w:id="741" w:name="_Toc214878904"/>
      <w:r w:rsidRPr="0013396E">
        <w:t>6.5.7.1.5</w:t>
      </w:r>
      <w:r w:rsidRPr="0013396E">
        <w:tab/>
        <w:t>Topology Consistency Analyzer</w:t>
      </w:r>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p>
    <w:p w14:paraId="0C94218B" w14:textId="77777777" w:rsidR="001F04FD" w:rsidRPr="0013396E" w:rsidRDefault="001F04FD" w:rsidP="001F04FD">
      <w:pPr>
        <w:pStyle w:val="BodyTextNumbered"/>
      </w:pPr>
      <w:r w:rsidRPr="0013396E">
        <w:t>(1)</w:t>
      </w:r>
      <w:r w:rsidRPr="0013396E">
        <w:tab/>
        <w:t>The Topology Consistency Analyzer identifies possibly erroneous breaker and switch status.  The Topology Consistency Analyzer must notify ERCOT of inconsistencies detected and must indicate the correct breaker and switch status(es) when the preponderance of redundant information from the telemetered database indicates true errors in status.  For example, such processing would detect flow on lines, flow on devices or network load, shown as disconnected from the transmission system and would indicate to ERCOT that there was a continuity error associated with the flow measurement or status indication.  ERCOT may override SCADA telemetry as required to correct erroneous breaker and switch status before that information is processed by the NSA for the next SCED interval.  ERCOT shall notify the TSP or QSE, who shall correct the status indications as soon as practicable.  The Topology Consistency Analyzer maintains a summary of all incorrect status indicators and provides that information to all TSPs and other Market Participants through the MIS Secure Area.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D5634A" w:rsidRPr="0013396E" w14:paraId="0B89FA48" w14:textId="77777777" w:rsidTr="004510FA">
        <w:trPr>
          <w:trHeight w:val="1547"/>
        </w:trPr>
        <w:tc>
          <w:tcPr>
            <w:tcW w:w="9576" w:type="dxa"/>
            <w:shd w:val="pct12" w:color="auto" w:fill="auto"/>
          </w:tcPr>
          <w:p w14:paraId="29D77C22" w14:textId="0E6945AD" w:rsidR="00D5634A" w:rsidRPr="0013396E" w:rsidRDefault="00D5634A" w:rsidP="004510FA">
            <w:pPr>
              <w:pStyle w:val="Instructions"/>
              <w:spacing w:before="120"/>
            </w:pPr>
            <w:bookmarkStart w:id="742" w:name="_Toc397504961"/>
            <w:bookmarkStart w:id="743" w:name="_Toc402357089"/>
            <w:bookmarkStart w:id="744" w:name="_Toc422486469"/>
            <w:bookmarkStart w:id="745" w:name="_Toc433093321"/>
            <w:bookmarkStart w:id="746" w:name="_Toc433093479"/>
            <w:bookmarkStart w:id="747" w:name="_Toc440874708"/>
            <w:bookmarkStart w:id="748" w:name="_Toc448142263"/>
            <w:bookmarkStart w:id="749" w:name="_Toc448142420"/>
            <w:bookmarkStart w:id="750" w:name="_Toc458770256"/>
            <w:bookmarkStart w:id="751" w:name="_Toc459294224"/>
            <w:bookmarkStart w:id="752" w:name="_Toc463262717"/>
            <w:bookmarkStart w:id="753" w:name="_Toc468286791"/>
            <w:bookmarkStart w:id="754" w:name="_Toc481502837"/>
            <w:bookmarkStart w:id="755" w:name="_Toc496080005"/>
            <w:r w:rsidRPr="0013396E">
              <w:lastRenderedPageBreak/>
              <w:t>[NPRR857:  Replace paragraph (1) above with the following upon system implementation</w:t>
            </w:r>
            <w:r w:rsidR="004A5B0B" w:rsidRPr="0013396E">
              <w:t xml:space="preserve"> </w:t>
            </w:r>
            <w:r w:rsidR="004A5B0B" w:rsidRPr="0013396E">
              <w:rPr>
                <w:bCs/>
                <w:iCs w:val="0"/>
              </w:rPr>
              <w:t xml:space="preserve">and </w:t>
            </w:r>
            <w:r w:rsidR="004A5B0B" w:rsidRPr="0013396E">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sidRPr="0013396E">
              <w:t>:]</w:t>
            </w:r>
          </w:p>
          <w:p w14:paraId="4AC1E564" w14:textId="77777777" w:rsidR="00D5634A" w:rsidRPr="0013396E" w:rsidRDefault="00D5634A" w:rsidP="00D5634A">
            <w:pPr>
              <w:spacing w:after="240"/>
              <w:ind w:left="720" w:hanging="720"/>
            </w:pPr>
            <w:r w:rsidRPr="0013396E">
              <w:t>(1)</w:t>
            </w:r>
            <w:r w:rsidRPr="0013396E">
              <w:tab/>
              <w:t>The Topology Consistency Analyzer identifies possibly erroneous breaker and switch status.  The Topology Consistency Analyzer must notify ERCOT of inconsistencies detected and must indicate the correct breaker and switch status(es) when the preponderance of redundant information from the telemetered database indicates true errors in status.  For example, such processing would detect flow on lines, flow on devices or network load, shown as disconnected from the transmission system and would indicate to ERCOT that there was a continuity error associated with the flow measurement or status indication.  ERCOT may override SCADA telemetry as required to correct erroneous breaker and switch status before that information is processed by the NSA for the next SCED interval.  ERCOT shall notify the TSP, DCTO, or QSE, who shall correct the status indications as soon as practicable.  The Topology Consistency Analyzer maintains a summary of all incorrect status indicators and provides that information to all TSPs, DCTOs, and other Market Participants through the MIS Secure Area.</w:t>
            </w:r>
          </w:p>
        </w:tc>
      </w:tr>
    </w:tbl>
    <w:p w14:paraId="47536489" w14:textId="77777777" w:rsidR="001F04FD" w:rsidRPr="0013396E" w:rsidRDefault="001F04FD" w:rsidP="001F04FD">
      <w:pPr>
        <w:pStyle w:val="H5"/>
        <w:tabs>
          <w:tab w:val="clear" w:pos="1620"/>
          <w:tab w:val="left" w:pos="1440"/>
        </w:tabs>
        <w:spacing w:before="480"/>
        <w:ind w:left="1440" w:hanging="1440"/>
      </w:pPr>
      <w:bookmarkStart w:id="756" w:name="_Toc214878905"/>
      <w:r w:rsidRPr="0013396E">
        <w:t>6.5.7.1.6</w:t>
      </w:r>
      <w:r w:rsidRPr="0013396E">
        <w:tab/>
        <w:t>Breakers/Switch Status Alarm Processor and Forced Outage Detection Processor</w:t>
      </w:r>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p>
    <w:p w14:paraId="6544C771" w14:textId="77777777" w:rsidR="001F04FD" w:rsidRPr="0013396E" w:rsidRDefault="001F04FD" w:rsidP="001F04FD">
      <w:pPr>
        <w:pStyle w:val="BodyTextNumbered"/>
      </w:pPr>
      <w:r w:rsidRPr="0013396E">
        <w:t>(1)</w:t>
      </w:r>
      <w:r w:rsidRPr="0013396E">
        <w:tab/>
        <w:t>The Real-Time Sequence includes processes that detect and provide alarms to the ERCOT Operator when the status of breakers and switches, Resources, transmission lines and transformers, and Load disconnected from the Updated Network Model changes.  Also, the ERCOT Operator must be able to determine if an Outage of Transmission Facilities had been scheduled in the Outage Scheduler or is a Forced Outage.</w:t>
      </w:r>
    </w:p>
    <w:p w14:paraId="1AA41491" w14:textId="77777777" w:rsidR="001F04FD" w:rsidRPr="0013396E" w:rsidRDefault="001F04FD" w:rsidP="001F04FD">
      <w:pPr>
        <w:pStyle w:val="H5"/>
        <w:spacing w:before="480"/>
        <w:ind w:left="1627" w:hanging="1627"/>
      </w:pPr>
      <w:bookmarkStart w:id="757" w:name="_Toc397504962"/>
      <w:bookmarkStart w:id="758" w:name="_Toc402357090"/>
      <w:bookmarkStart w:id="759" w:name="_Toc422486470"/>
      <w:bookmarkStart w:id="760" w:name="_Toc433093322"/>
      <w:bookmarkStart w:id="761" w:name="_Toc433093480"/>
      <w:bookmarkStart w:id="762" w:name="_Toc440874709"/>
      <w:bookmarkStart w:id="763" w:name="_Toc448142264"/>
      <w:bookmarkStart w:id="764" w:name="_Toc448142421"/>
      <w:bookmarkStart w:id="765" w:name="_Toc458770257"/>
      <w:bookmarkStart w:id="766" w:name="_Toc459294225"/>
      <w:bookmarkStart w:id="767" w:name="_Toc463262718"/>
      <w:bookmarkStart w:id="768" w:name="_Toc468286792"/>
      <w:bookmarkStart w:id="769" w:name="_Toc481502838"/>
      <w:bookmarkStart w:id="770" w:name="_Toc496080006"/>
      <w:bookmarkStart w:id="771" w:name="_Toc214878906"/>
      <w:r w:rsidRPr="0013396E">
        <w:t>6.5.7.1.7</w:t>
      </w:r>
      <w:r w:rsidRPr="0013396E">
        <w:tab/>
        <w:t>Real-Time Weather and Dynamic Rating Processor</w:t>
      </w:r>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p>
    <w:p w14:paraId="23B5C257" w14:textId="77777777" w:rsidR="001F04FD" w:rsidRPr="0013396E" w:rsidRDefault="001F04FD" w:rsidP="001F04FD">
      <w:pPr>
        <w:pStyle w:val="BodyTextNumbered"/>
      </w:pPr>
      <w:r w:rsidRPr="0013396E">
        <w:t>(1)</w:t>
      </w:r>
      <w:r w:rsidRPr="0013396E">
        <w:tab/>
        <w:t>The Dynamic Rating Processor provides Dynamic Ratings using the processes described in Section 3.10.8, Dynamic Ratings, for all transmission lines and transformer elements with Dynamic Ratings designated by the TSPs.  ERCOT shall obtain Real-Time weather data, where available, from multiple locations and provide it to the Dynamic Rating Processor.  Weather conditions must include ambient temperature and may include wind speed when available.  ERCOT shall post summaries of dynamically adjusted Transmission Element limits on the MIS Secure Area in a form that allows Market Participants to directly upload Real-Time data into the Common Information Model (CIM).</w:t>
      </w:r>
    </w:p>
    <w:p w14:paraId="0EED37E9" w14:textId="77777777" w:rsidR="001F04FD" w:rsidRPr="0013396E" w:rsidRDefault="001F04FD" w:rsidP="001F04FD">
      <w:pPr>
        <w:pStyle w:val="BodyTextNumbered"/>
      </w:pPr>
      <w:r w:rsidRPr="0013396E">
        <w:lastRenderedPageBreak/>
        <w:t>(2)</w:t>
      </w:r>
      <w:r w:rsidRPr="0013396E">
        <w:tab/>
        <w:t>On a monthly basis, ERCOT shall provide a summary report for each dynamically rated Transmission Element specifying the average change in Normal Rating in MVA that is gained on the element through use of a Dynamic Rating rather than the Normal Rating.  ERCOT shall post this report to the MIS Secure Area.</w:t>
      </w:r>
    </w:p>
    <w:p w14:paraId="3D8690E1" w14:textId="77777777" w:rsidR="001F04FD" w:rsidRPr="0013396E" w:rsidRDefault="001F04FD" w:rsidP="001F04FD">
      <w:pPr>
        <w:pStyle w:val="H5"/>
        <w:spacing w:before="480"/>
        <w:ind w:left="1627" w:hanging="1627"/>
      </w:pPr>
      <w:bookmarkStart w:id="772" w:name="_Toc397504963"/>
      <w:bookmarkStart w:id="773" w:name="_Toc402357091"/>
      <w:bookmarkStart w:id="774" w:name="_Toc422486471"/>
      <w:bookmarkStart w:id="775" w:name="_Toc433093323"/>
      <w:bookmarkStart w:id="776" w:name="_Toc433093481"/>
      <w:bookmarkStart w:id="777" w:name="_Toc440874710"/>
      <w:bookmarkStart w:id="778" w:name="_Toc448142265"/>
      <w:bookmarkStart w:id="779" w:name="_Toc448142422"/>
      <w:bookmarkStart w:id="780" w:name="_Toc458770258"/>
      <w:bookmarkStart w:id="781" w:name="_Toc459294226"/>
      <w:bookmarkStart w:id="782" w:name="_Toc463262719"/>
      <w:bookmarkStart w:id="783" w:name="_Toc468286793"/>
      <w:bookmarkStart w:id="784" w:name="_Toc481502839"/>
      <w:bookmarkStart w:id="785" w:name="_Toc496080007"/>
      <w:bookmarkStart w:id="786" w:name="_Toc214878907"/>
      <w:r w:rsidRPr="0013396E">
        <w:t>6.5.7.1.8</w:t>
      </w:r>
      <w:r w:rsidRPr="0013396E">
        <w:tab/>
        <w:t>Overload Alarm Processor</w:t>
      </w:r>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p>
    <w:p w14:paraId="6E70DA28" w14:textId="77777777" w:rsidR="001F04FD" w:rsidRPr="0013396E" w:rsidRDefault="001F04FD" w:rsidP="001F04FD">
      <w:pPr>
        <w:pStyle w:val="BodyTextNumbered"/>
      </w:pPr>
      <w:r w:rsidRPr="0013396E">
        <w:t>(1)</w:t>
      </w:r>
      <w:r w:rsidRPr="0013396E">
        <w:tab/>
        <w:t>Once transmission line and transformer Dynamic Ratings are retrieved, ERCOT shall compare the actual flow and state estimated flow calculation of MVA to the effective Transmission Element limit and, if an out-of-limit condition exists, ERCOT shall produce an overload notification.</w:t>
      </w:r>
    </w:p>
    <w:p w14:paraId="7A6E293D" w14:textId="77777777" w:rsidR="001F04FD" w:rsidRPr="0013396E" w:rsidRDefault="001F04FD" w:rsidP="001F04FD">
      <w:pPr>
        <w:pStyle w:val="H5"/>
        <w:spacing w:before="480"/>
        <w:ind w:left="1627" w:hanging="1627"/>
      </w:pPr>
      <w:bookmarkStart w:id="787" w:name="_Toc397504964"/>
      <w:bookmarkStart w:id="788" w:name="_Toc402357092"/>
      <w:bookmarkStart w:id="789" w:name="_Toc422486472"/>
      <w:bookmarkStart w:id="790" w:name="_Toc433093324"/>
      <w:bookmarkStart w:id="791" w:name="_Toc433093482"/>
      <w:bookmarkStart w:id="792" w:name="_Toc440874711"/>
      <w:bookmarkStart w:id="793" w:name="_Toc448142266"/>
      <w:bookmarkStart w:id="794" w:name="_Toc448142423"/>
      <w:bookmarkStart w:id="795" w:name="_Toc458770259"/>
      <w:bookmarkStart w:id="796" w:name="_Toc459294227"/>
      <w:bookmarkStart w:id="797" w:name="_Toc463262720"/>
      <w:bookmarkStart w:id="798" w:name="_Toc468286794"/>
      <w:bookmarkStart w:id="799" w:name="_Toc481502840"/>
      <w:bookmarkStart w:id="800" w:name="_Toc496080008"/>
      <w:bookmarkStart w:id="801" w:name="_Toc214878908"/>
      <w:r w:rsidRPr="0013396E">
        <w:t>6.5.7.1.9</w:t>
      </w:r>
      <w:r w:rsidRPr="0013396E">
        <w:tab/>
        <w:t>Contingency List and Contingency Screening</w:t>
      </w:r>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r w:rsidRPr="0013396E">
        <w:t xml:space="preserve"> </w:t>
      </w:r>
    </w:p>
    <w:p w14:paraId="6F30FAF9" w14:textId="77777777" w:rsidR="001F04FD" w:rsidRPr="0013396E" w:rsidRDefault="001F04FD" w:rsidP="001F04FD">
      <w:pPr>
        <w:pStyle w:val="BodyTextNumbered"/>
      </w:pPr>
      <w:r w:rsidRPr="0013396E">
        <w:t>(1)</w:t>
      </w:r>
      <w:r w:rsidRPr="0013396E">
        <w:tab/>
        <w:t>For the Real-Time Sequence, ERCOT may select relevant contingencies from a standard contingency list previously developed by ERCOT under Section 5.5.1, Security Sequence, that are likely to be active in Real-Time.  ERCOT may use the information provided by the hour-ahead or Day-Ahead NSA to assist in determining which contingencies are candidates for activation.</w:t>
      </w:r>
    </w:p>
    <w:p w14:paraId="45191F5D" w14:textId="77777777" w:rsidR="001F04FD" w:rsidRPr="0013396E" w:rsidRDefault="001F04FD" w:rsidP="001F04FD">
      <w:pPr>
        <w:pStyle w:val="H5"/>
        <w:spacing w:before="480"/>
        <w:ind w:left="1627" w:hanging="1627"/>
      </w:pPr>
      <w:bookmarkStart w:id="802" w:name="_Toc74137343"/>
      <w:bookmarkStart w:id="803" w:name="_Toc397504965"/>
      <w:bookmarkStart w:id="804" w:name="_Toc402357093"/>
      <w:bookmarkStart w:id="805" w:name="_Toc422486473"/>
      <w:bookmarkStart w:id="806" w:name="_Toc433093325"/>
      <w:bookmarkStart w:id="807" w:name="_Toc433093483"/>
      <w:bookmarkStart w:id="808" w:name="_Toc440874712"/>
      <w:bookmarkStart w:id="809" w:name="_Toc448142267"/>
      <w:bookmarkStart w:id="810" w:name="_Toc448142424"/>
      <w:bookmarkStart w:id="811" w:name="_Toc458770260"/>
      <w:bookmarkStart w:id="812" w:name="_Toc459294228"/>
      <w:bookmarkStart w:id="813" w:name="_Toc463262721"/>
      <w:bookmarkStart w:id="814" w:name="_Toc468286795"/>
      <w:bookmarkStart w:id="815" w:name="_Toc481502841"/>
      <w:bookmarkStart w:id="816" w:name="_Toc496080009"/>
      <w:bookmarkStart w:id="817" w:name="_Toc214878909"/>
      <w:r w:rsidRPr="0013396E">
        <w:t>6.5.7.1.10</w:t>
      </w:r>
      <w:r w:rsidRPr="0013396E">
        <w:tab/>
        <w:t>Network Security Analysis Processor</w:t>
      </w:r>
      <w:bookmarkEnd w:id="802"/>
      <w:r w:rsidRPr="0013396E">
        <w:t xml:space="preserve"> and Security Violation Alarm</w:t>
      </w:r>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p>
    <w:p w14:paraId="6FD504D4" w14:textId="77777777" w:rsidR="001F04FD" w:rsidRPr="0013396E" w:rsidRDefault="001F04FD" w:rsidP="001F04FD">
      <w:pPr>
        <w:pStyle w:val="BodyTextNumbered"/>
      </w:pPr>
      <w:r w:rsidRPr="0013396E">
        <w:t>(1)</w:t>
      </w:r>
      <w:r w:rsidRPr="0013396E">
        <w:tab/>
        <w:t xml:space="preserve">Using the input provided by the State Estimator, ERCOT shall use the NSA processor to perform analysis of all contingencies in the active list.  For each contingency, ERCOT shall use the NSA processor to monitor the elements for limit violations.  ERCOT shall use the NSA processor to verify Electrical Bus voltage limits to be within a percentage tolerance as outlined in the Operating Guides.  Contingency security violations for transmission lines and transformers occur if: </w:t>
      </w:r>
    </w:p>
    <w:p w14:paraId="5A27353F" w14:textId="77777777" w:rsidR="001F04FD" w:rsidRPr="0013396E" w:rsidRDefault="001F04FD" w:rsidP="001F04FD">
      <w:pPr>
        <w:pStyle w:val="BodyTextNumbered"/>
        <w:ind w:left="1440"/>
      </w:pPr>
      <w:r w:rsidRPr="0013396E">
        <w:t>(a)</w:t>
      </w:r>
      <w:r w:rsidRPr="0013396E">
        <w:tab/>
        <w:t xml:space="preserve">The predicted post-contingency MVA exceeds 100% of the Emergency Rating after consideration of Dynamic Ratings; and </w:t>
      </w:r>
    </w:p>
    <w:p w14:paraId="2D329205" w14:textId="77777777" w:rsidR="001F04FD" w:rsidRPr="0013396E" w:rsidRDefault="001F04FD" w:rsidP="006635FE">
      <w:pPr>
        <w:pStyle w:val="BodyTextNumbered"/>
        <w:ind w:left="1440"/>
      </w:pPr>
      <w:r w:rsidRPr="0013396E">
        <w:t>(b)</w:t>
      </w:r>
      <w:r w:rsidRPr="0013396E">
        <w:tab/>
      </w:r>
      <w:r w:rsidR="004B6E53" w:rsidRPr="0013396E">
        <w:t>A RAP, AMP or RAS is not defined allowing relief within the time allowed by the security criteria as defined in Operating Guide Section 2.2.2, Security Criteria.</w:t>
      </w:r>
      <w:r w:rsidRPr="0013396E">
        <w:t xml:space="preserve"> </w:t>
      </w:r>
    </w:p>
    <w:p w14:paraId="0818A562" w14:textId="77777777" w:rsidR="001F04FD" w:rsidRPr="0013396E" w:rsidRDefault="001F04FD" w:rsidP="006635FE">
      <w:pPr>
        <w:spacing w:after="240"/>
        <w:ind w:left="720" w:hanging="720"/>
        <w:rPr>
          <w:iCs/>
        </w:rPr>
      </w:pPr>
      <w:r w:rsidRPr="0013396E">
        <w:rPr>
          <w:iCs/>
        </w:rPr>
        <w:t>(2)</w:t>
      </w:r>
      <w:r w:rsidRPr="0013396E">
        <w:rPr>
          <w:iCs/>
        </w:rPr>
        <w:tab/>
        <w:t>When the NSA processor notifies ERCOT of a security violation, ERCOT shall immediately:</w:t>
      </w:r>
    </w:p>
    <w:p w14:paraId="348D52BB" w14:textId="77777777" w:rsidR="001F04FD" w:rsidRPr="0013396E" w:rsidRDefault="001F04FD" w:rsidP="001F04FD">
      <w:pPr>
        <w:spacing w:after="240"/>
        <w:ind w:left="1440" w:hanging="720"/>
        <w:rPr>
          <w:iCs/>
        </w:rPr>
      </w:pPr>
      <w:r w:rsidRPr="0013396E">
        <w:rPr>
          <w:iCs/>
        </w:rPr>
        <w:t>(a)</w:t>
      </w:r>
      <w:r w:rsidRPr="0013396E">
        <w:rPr>
          <w:iCs/>
        </w:rPr>
        <w:tab/>
        <w:t>Initiate the process described in Section 6.5.7.1.11, Transmission Network and Power Balance Constraint Management;</w:t>
      </w:r>
    </w:p>
    <w:p w14:paraId="2CAB9744" w14:textId="77777777" w:rsidR="001F04FD" w:rsidRPr="0013396E" w:rsidRDefault="001F04FD" w:rsidP="001F04FD">
      <w:pPr>
        <w:spacing w:after="240"/>
        <w:ind w:left="1440" w:hanging="720"/>
        <w:rPr>
          <w:iCs/>
        </w:rPr>
      </w:pPr>
      <w:r w:rsidRPr="0013396E">
        <w:rPr>
          <w:iCs/>
        </w:rPr>
        <w:t>(b)</w:t>
      </w:r>
      <w:r w:rsidRPr="0013396E">
        <w:rPr>
          <w:iCs/>
        </w:rPr>
        <w:tab/>
        <w:t>Seek to determine what unforeseen change in system condition has arisen that has resulted in the security violation, especially those that were 125% or greater of the Emergency Rating for a single SCED interval or greater than 100% of the Emergency Rating for a duration of 30 minutes or more; and</w:t>
      </w:r>
    </w:p>
    <w:p w14:paraId="4DD6E28B" w14:textId="77777777" w:rsidR="001F04FD" w:rsidRPr="0013396E" w:rsidRDefault="001F04FD" w:rsidP="001F04FD">
      <w:pPr>
        <w:pStyle w:val="BodyTextNumbered"/>
        <w:ind w:left="1440"/>
      </w:pPr>
      <w:r w:rsidRPr="0013396E">
        <w:rPr>
          <w:iCs/>
        </w:rPr>
        <w:lastRenderedPageBreak/>
        <w:t>(c)</w:t>
      </w:r>
      <w:r w:rsidRPr="0013396E">
        <w:rPr>
          <w:iCs/>
        </w:rPr>
        <w:tab/>
        <w:t>Where possible, seek to reverse the action (e.g. initiating a transmission clearance that the system was not properly pre-dispatched for) that has led to a security violation until further preventative action(s) can be taken.</w:t>
      </w:r>
    </w:p>
    <w:p w14:paraId="47BDDC57" w14:textId="77777777" w:rsidR="001F04FD" w:rsidRPr="0013396E" w:rsidRDefault="001F04FD" w:rsidP="001F04FD">
      <w:pPr>
        <w:pStyle w:val="BodyTextNumbered"/>
      </w:pPr>
      <w:r w:rsidRPr="0013396E">
        <w:t>(3)</w:t>
      </w:r>
      <w:r w:rsidRPr="0013396E">
        <w:tab/>
        <w:t>If SCED does not resolve a transmission security violation, ERCOT shall attempt to relieve the security violation by:</w:t>
      </w:r>
    </w:p>
    <w:p w14:paraId="59BADA62" w14:textId="77777777" w:rsidR="001F04FD" w:rsidRPr="0013396E" w:rsidRDefault="001F04FD" w:rsidP="001F04FD">
      <w:pPr>
        <w:pStyle w:val="List"/>
      </w:pPr>
      <w:r w:rsidRPr="0013396E">
        <w:t>(a)</w:t>
      </w:r>
      <w:r w:rsidRPr="0013396E">
        <w:tab/>
        <w:t>Confirming that pre-determined RAPs are properly modeled in the system;</w:t>
      </w:r>
    </w:p>
    <w:p w14:paraId="7058C734" w14:textId="77777777" w:rsidR="001F04FD" w:rsidRPr="0013396E" w:rsidRDefault="001F04FD" w:rsidP="001F04FD">
      <w:pPr>
        <w:pStyle w:val="List"/>
        <w:rPr>
          <w:szCs w:val="24"/>
        </w:rPr>
      </w:pPr>
      <w:r w:rsidRPr="0013396E">
        <w:t>(b)</w:t>
      </w:r>
      <w:r w:rsidRPr="0013396E">
        <w:rPr>
          <w:sz w:val="15"/>
          <w:szCs w:val="15"/>
        </w:rPr>
        <w:tab/>
      </w:r>
      <w:r w:rsidRPr="0013396E">
        <w:rPr>
          <w:szCs w:val="24"/>
        </w:rPr>
        <w:t xml:space="preserve">Instructing Resources to follow Base Points from SCED if those Resources are not already doing so; </w:t>
      </w:r>
    </w:p>
    <w:p w14:paraId="18DEFB6C" w14:textId="77777777" w:rsidR="001F04FD" w:rsidRPr="0013396E" w:rsidRDefault="001F04FD" w:rsidP="001F04FD">
      <w:pPr>
        <w:pStyle w:val="List"/>
      </w:pPr>
      <w:r w:rsidRPr="0013396E">
        <w:rPr>
          <w:szCs w:val="24"/>
        </w:rPr>
        <w:t>(c)</w:t>
      </w:r>
      <w:r w:rsidRPr="0013396E">
        <w:rPr>
          <w:szCs w:val="24"/>
        </w:rPr>
        <w:tab/>
      </w:r>
      <w:r w:rsidRPr="0013396E">
        <w:t xml:space="preserve">Instructing Resources to update the Resources Status in the COP from ONTEST to ON in order to provide more capacity to SCED; </w:t>
      </w:r>
    </w:p>
    <w:p w14:paraId="3D601682" w14:textId="77777777" w:rsidR="001F04FD" w:rsidRPr="0013396E" w:rsidRDefault="001F04FD" w:rsidP="001F04FD">
      <w:pPr>
        <w:pStyle w:val="List"/>
      </w:pPr>
      <w:r w:rsidRPr="0013396E">
        <w:t>(d)</w:t>
      </w:r>
      <w:r w:rsidRPr="0013396E">
        <w:tab/>
        <w:t>Deploying Resource-Specific Non-Spin;</w:t>
      </w:r>
    </w:p>
    <w:p w14:paraId="2A4C3C84" w14:textId="77777777" w:rsidR="001F04FD" w:rsidRPr="0013396E" w:rsidRDefault="001F04FD" w:rsidP="001F04FD">
      <w:pPr>
        <w:pStyle w:val="List"/>
      </w:pPr>
      <w:r w:rsidRPr="0013396E">
        <w:t>(e)</w:t>
      </w:r>
      <w:r w:rsidRPr="0013396E">
        <w:tab/>
        <w:t>Committing additional Generation Resources through the Reliability Unit Commitment (RUC) process;</w:t>
      </w:r>
    </w:p>
    <w:p w14:paraId="49BA4BC6" w14:textId="77777777" w:rsidR="001F04FD" w:rsidRPr="0013396E" w:rsidRDefault="001F04FD" w:rsidP="001F04FD">
      <w:pPr>
        <w:pStyle w:val="List"/>
      </w:pPr>
      <w:r w:rsidRPr="0013396E">
        <w:t>(f)</w:t>
      </w:r>
      <w:r w:rsidRPr="0013396E">
        <w:tab/>
        <w:t>Removing conflicting non-cascading constraints from the SCED process;</w:t>
      </w:r>
    </w:p>
    <w:p w14:paraId="0AF9D123" w14:textId="132473E2" w:rsidR="001F04FD" w:rsidRPr="0013396E" w:rsidRDefault="001F04FD" w:rsidP="001F04FD">
      <w:pPr>
        <w:pStyle w:val="List"/>
      </w:pPr>
      <w:r w:rsidRPr="0013396E">
        <w:t>(g)</w:t>
      </w:r>
      <w:r w:rsidRPr="0013396E">
        <w:tab/>
      </w:r>
      <w:r w:rsidR="00F3577E" w:rsidRPr="0013396E">
        <w:t>Re-Dispatching generation or, in the case of an ESR, its output or consumption, by over-riding HDLs and LDLs;</w:t>
      </w:r>
    </w:p>
    <w:p w14:paraId="2CD8D5E7" w14:textId="3D9DD529" w:rsidR="001F04FD" w:rsidRPr="0013396E" w:rsidRDefault="001F04FD" w:rsidP="007A1E53">
      <w:pPr>
        <w:pStyle w:val="List"/>
      </w:pPr>
      <w:r w:rsidRPr="0013396E">
        <w:t>(h)</w:t>
      </w:r>
      <w:r w:rsidRPr="0013396E">
        <w:tab/>
        <w:t>Instructing TSPs to utilize Reactive Power devices to manage voltage; and</w:t>
      </w:r>
    </w:p>
    <w:p w14:paraId="1592BC83" w14:textId="77777777" w:rsidR="001F04FD" w:rsidRPr="0013396E" w:rsidRDefault="001F04FD" w:rsidP="001F04FD">
      <w:pPr>
        <w:pStyle w:val="List"/>
      </w:pPr>
      <w:r w:rsidRPr="0013396E">
        <w:t>(i)</w:t>
      </w:r>
      <w:r w:rsidRPr="0013396E">
        <w:tab/>
        <w:t>If all other mechanisms have failed, ERCOT may authorize the expedited use of a Temporary Outage Action Plan (TOAP) or Mitigation Plan.</w:t>
      </w:r>
    </w:p>
    <w:p w14:paraId="3956ACE8" w14:textId="77777777" w:rsidR="001F04FD" w:rsidRPr="0013396E" w:rsidRDefault="001F04FD" w:rsidP="001F04FD">
      <w:pPr>
        <w:pStyle w:val="BodyTextNumbered"/>
      </w:pPr>
      <w:r w:rsidRPr="0013396E">
        <w:t>(4)</w:t>
      </w:r>
      <w:r w:rsidRPr="0013396E">
        <w:tab/>
      </w:r>
      <w:r w:rsidR="004B6E53" w:rsidRPr="0013396E">
        <w:t>NSA must be capable of analyzing contingencies, including the effects of RASs, AMPs and RAPs modeled in the Network Operations Model.  The NSA must fully integrate the evaluation and deployment of RASs, AMPs and RAPs and notify the ERCOT Operator of the application of these RASs, AMPs and RAPs to the solution.</w:t>
      </w:r>
    </w:p>
    <w:p w14:paraId="4D34066A" w14:textId="77777777" w:rsidR="001F04FD" w:rsidRPr="0013396E" w:rsidRDefault="001F04FD" w:rsidP="006635FE">
      <w:pPr>
        <w:pStyle w:val="BodyTextNumbered"/>
      </w:pPr>
      <w:r w:rsidRPr="0013396E">
        <w:t>(5)</w:t>
      </w:r>
      <w:r w:rsidRPr="0013396E">
        <w:tab/>
        <w:t>The Real-Time NSA may employ the use of appropriate ranking and other screening techniques to further reduce computation time by executing one or two iterations of the contingency study to gauge its impact and discard further study if the estimated result is inconsequential.</w:t>
      </w:r>
    </w:p>
    <w:p w14:paraId="5FE6EAF2" w14:textId="77777777" w:rsidR="00C57701" w:rsidRPr="0013396E" w:rsidRDefault="00C57701" w:rsidP="007E0C1D">
      <w:pPr>
        <w:pStyle w:val="BodyTextNumbered"/>
        <w:spacing w:before="240"/>
      </w:pPr>
      <w:r w:rsidRPr="0013396E">
        <w:t xml:space="preserve">(6) </w:t>
      </w:r>
      <w:r w:rsidRPr="0013396E">
        <w:tab/>
        <w:t>HDL or LDL overrides required to pre-posture for an expected Outage shall only be utilized until SCED is capable of managing the related constraint by economic dispatch.</w:t>
      </w:r>
    </w:p>
    <w:p w14:paraId="38D028F8" w14:textId="77777777" w:rsidR="001F04FD" w:rsidRPr="0013396E" w:rsidRDefault="001F04FD" w:rsidP="009E68BD">
      <w:pPr>
        <w:spacing w:after="240"/>
        <w:ind w:left="720" w:hanging="720"/>
        <w:rPr>
          <w:iCs/>
        </w:rPr>
      </w:pPr>
      <w:r w:rsidRPr="0013396E">
        <w:rPr>
          <w:iCs/>
        </w:rPr>
        <w:t>(</w:t>
      </w:r>
      <w:r w:rsidR="00C57701" w:rsidRPr="0013396E">
        <w:rPr>
          <w:iCs/>
        </w:rPr>
        <w:t>7</w:t>
      </w:r>
      <w:r w:rsidRPr="0013396E">
        <w:rPr>
          <w:iCs/>
        </w:rPr>
        <w:t>)</w:t>
      </w:r>
      <w:r w:rsidRPr="0013396E">
        <w:rPr>
          <w:iCs/>
        </w:rPr>
        <w:tab/>
        <w:t>ERCOT shall report monthly:</w:t>
      </w:r>
    </w:p>
    <w:p w14:paraId="24C090E1" w14:textId="77777777" w:rsidR="001F04FD" w:rsidRPr="0013396E" w:rsidRDefault="001F04FD" w:rsidP="001F04FD">
      <w:pPr>
        <w:spacing w:after="240"/>
        <w:ind w:left="1440" w:hanging="720"/>
      </w:pPr>
      <w:r w:rsidRPr="0013396E">
        <w:t>(a)</w:t>
      </w:r>
      <w:r w:rsidRPr="0013396E">
        <w:tab/>
        <w:t xml:space="preserve">All security violations that were 125% or greater of the Emergency Rating for a single SCED interval or greater than 100% of the Emergency Rating for a duration of 30 minutes or more during the prior reporting month and the number </w:t>
      </w:r>
      <w:r w:rsidRPr="0013396E">
        <w:lastRenderedPageBreak/>
        <w:t>of occurrences and congestion cost associated with each of the constraints causing the security violations on a rolling 12 month basis.</w:t>
      </w:r>
    </w:p>
    <w:p w14:paraId="0A82D8F7" w14:textId="77777777" w:rsidR="001F04FD" w:rsidRPr="0013396E" w:rsidRDefault="001F04FD" w:rsidP="001F04FD">
      <w:pPr>
        <w:pStyle w:val="BodyTextNumbered"/>
        <w:ind w:left="1440"/>
      </w:pPr>
      <w:r w:rsidRPr="0013396E">
        <w:t>(b)</w:t>
      </w:r>
      <w:r w:rsidRPr="0013396E">
        <w:tab/>
        <w:t>Operating conditions on the ERCOT System that contributed to each transmission security violation reported in paragraph (</w:t>
      </w:r>
      <w:r w:rsidR="00B55F80" w:rsidRPr="0013396E">
        <w:t>7</w:t>
      </w:r>
      <w:r w:rsidRPr="0013396E">
        <w:t>)(a) above.  Analysis should be made to understand the root cause and what steps could be taken to avoid a recurrence in the future.</w:t>
      </w:r>
      <w:r w:rsidRPr="0013396E">
        <w:rPr>
          <w:iCs/>
        </w:rPr>
        <w:t xml:space="preserve">  </w:t>
      </w:r>
    </w:p>
    <w:p w14:paraId="58CA2B4F" w14:textId="77777777" w:rsidR="001F04FD" w:rsidRPr="0013396E" w:rsidRDefault="001F04FD" w:rsidP="001F04FD">
      <w:pPr>
        <w:pStyle w:val="H5"/>
        <w:spacing w:before="480"/>
        <w:ind w:left="1627" w:hanging="1627"/>
      </w:pPr>
      <w:bookmarkStart w:id="818" w:name="_Toc397504966"/>
      <w:bookmarkStart w:id="819" w:name="_Toc402357094"/>
      <w:bookmarkStart w:id="820" w:name="_Toc422486474"/>
      <w:bookmarkStart w:id="821" w:name="_Toc433093326"/>
      <w:bookmarkStart w:id="822" w:name="_Toc433093484"/>
      <w:bookmarkStart w:id="823" w:name="_Toc440874713"/>
      <w:bookmarkStart w:id="824" w:name="_Toc448142268"/>
      <w:bookmarkStart w:id="825" w:name="_Toc448142425"/>
      <w:bookmarkStart w:id="826" w:name="_Toc458770261"/>
      <w:bookmarkStart w:id="827" w:name="_Toc459294229"/>
      <w:bookmarkStart w:id="828" w:name="_Toc463262722"/>
      <w:bookmarkStart w:id="829" w:name="_Toc468286796"/>
      <w:bookmarkStart w:id="830" w:name="_Toc481502842"/>
      <w:bookmarkStart w:id="831" w:name="_Toc496080010"/>
      <w:bookmarkStart w:id="832" w:name="_Toc214878910"/>
      <w:r w:rsidRPr="0013396E">
        <w:t>6.5.7.1.11</w:t>
      </w:r>
      <w:r w:rsidRPr="0013396E">
        <w:tab/>
        <w:t>Transmission Network and Power Balance Constraint Management</w:t>
      </w:r>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p>
    <w:p w14:paraId="5EEC5CA6" w14:textId="57AFC7F0" w:rsidR="001F04FD" w:rsidRPr="0013396E" w:rsidRDefault="001F04FD" w:rsidP="001F04FD">
      <w:pPr>
        <w:pStyle w:val="BodyTextNumbered"/>
      </w:pPr>
      <w:r w:rsidRPr="0013396E">
        <w:rPr>
          <w:iCs/>
        </w:rPr>
        <w:t>(1)</w:t>
      </w:r>
      <w:r w:rsidRPr="0013396E">
        <w:rPr>
          <w:iCs/>
        </w:rPr>
        <w:tab/>
      </w:r>
      <w:r w:rsidR="00196B38" w:rsidRPr="0013396E">
        <w:rPr>
          <w:iCs/>
        </w:rPr>
        <w:t>ERCOT may not allow any constraint (contingency and limiting Transmission Element pair) identified by NSA to be activated in SCED until it has verified that the contingency definition in NSA associated with the constraint is accurate and appropriate given the current operating state of the ERCOT Transmission Grid.  ERCOT shall continuously post to the MIS Secure Area all constraint contingencies in the NSA.  ERCOT shall provide relevant constraint information, including, but not limited to, the contingency name as provided in the standard contingency list, whether or not the constraint is active in SCED, the overloaded Transmission Element name, the Rating of the overloaded Transmission Element including Generic Transmission Limits (GTLs) expressed in MW and MVA, and pre-contingency or post-contingency flows expressed in MW and MVA.  For each Operating Day, ERCOT shall post to the MIS Secure Area within five days, a report listing all constraints with pre-contingency or post-contingency flows which exceeded the Rating of the overloaded Transmission Element for at least 15 minutes consecutively that were not activated in SCED and an explanation of why each constraint was not activated.</w:t>
      </w:r>
    </w:p>
    <w:p w14:paraId="6174FDEF" w14:textId="01E7EADD" w:rsidR="001F04FD" w:rsidRPr="0013396E" w:rsidRDefault="001F04FD" w:rsidP="00303EF0">
      <w:pPr>
        <w:pStyle w:val="BodyTextNumbered"/>
      </w:pPr>
      <w:r w:rsidRPr="0013396E">
        <w:t>(2)</w:t>
      </w:r>
      <w:r w:rsidRPr="0013396E">
        <w:tab/>
      </w:r>
      <w:r w:rsidR="005A1251" w:rsidRPr="0013396E">
        <w:t xml:space="preserve">Pursuant to </w:t>
      </w:r>
      <w:r w:rsidR="005A1251" w:rsidRPr="0013396E">
        <w:rPr>
          <w:szCs w:val="24"/>
        </w:rPr>
        <w:t xml:space="preserve">Section 22, Attachment P, Methodology for Setting Maximum Shadow Prices for Network and Power Balance Constraints, </w:t>
      </w:r>
      <w:r w:rsidRPr="0013396E">
        <w:t xml:space="preserve">ERCOT shall establish a maximum Shadow Price for each network constraint as part of the definition of contingencies.  The cost calculated by SCED to resolve an additional MW of congestion on the network constraint is limited to the maximum Shadow Price for the network constraint.  </w:t>
      </w:r>
    </w:p>
    <w:p w14:paraId="603EAC63" w14:textId="4FBC3670" w:rsidR="001F04FD" w:rsidRPr="0013396E" w:rsidRDefault="001F04FD" w:rsidP="001F04FD">
      <w:pPr>
        <w:pStyle w:val="BodyTextNumbered"/>
      </w:pPr>
      <w:r w:rsidRPr="0013396E">
        <w:t>(3)</w:t>
      </w:r>
      <w:r w:rsidRPr="0013396E">
        <w:tab/>
      </w:r>
      <w:r w:rsidR="005A1251" w:rsidRPr="0013396E">
        <w:t xml:space="preserve">Pursuant to </w:t>
      </w:r>
      <w:r w:rsidR="005A1251" w:rsidRPr="0013396E">
        <w:rPr>
          <w:szCs w:val="24"/>
        </w:rPr>
        <w:t xml:space="preserve">Section 22, Attachment P, </w:t>
      </w:r>
      <w:r w:rsidRPr="0013396E">
        <w:t xml:space="preserve">ERCOT shall establish a maximum Shadow Price for the power balance constraint.  The cost calculated by SCED to resolve either the addition or reduction of one MW of dispatched generation on the power balance constraint is limited to the maximum Shadow Price for the power balance constraint.  </w:t>
      </w:r>
    </w:p>
    <w:p w14:paraId="084050D6" w14:textId="5D11EA65" w:rsidR="001F04FD" w:rsidRPr="0013396E" w:rsidRDefault="001F04FD" w:rsidP="001F04FD">
      <w:pPr>
        <w:spacing w:after="240"/>
        <w:ind w:left="720" w:hanging="720"/>
      </w:pPr>
      <w:r w:rsidRPr="0013396E">
        <w:t>(</w:t>
      </w:r>
      <w:r w:rsidR="005A1251" w:rsidRPr="0013396E">
        <w:t>4</w:t>
      </w:r>
      <w:r w:rsidRPr="0013396E">
        <w:t>)</w:t>
      </w:r>
      <w:r w:rsidRPr="0013396E">
        <w:tab/>
        <w:t>If ERCOT determines that rating(s) in the Network Operations Model or configuration of the Transmission Facilities are not correct, then the TSP will provide the appropriate data submittals to ERCOT to correct the problem upon notification by ERCOT.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142463" w:rsidRPr="0013396E" w14:paraId="41FB46D1" w14:textId="77777777" w:rsidTr="004510FA">
        <w:trPr>
          <w:trHeight w:val="1547"/>
        </w:trPr>
        <w:tc>
          <w:tcPr>
            <w:tcW w:w="9576" w:type="dxa"/>
            <w:shd w:val="pct12" w:color="auto" w:fill="auto"/>
          </w:tcPr>
          <w:p w14:paraId="2669E242" w14:textId="63C7C925" w:rsidR="00142463" w:rsidRPr="0013396E" w:rsidRDefault="00142463" w:rsidP="004510FA">
            <w:pPr>
              <w:pStyle w:val="Instructions"/>
              <w:spacing w:before="120"/>
            </w:pPr>
            <w:bookmarkStart w:id="833" w:name="_Toc397504967"/>
            <w:bookmarkStart w:id="834" w:name="_Toc402357095"/>
            <w:bookmarkStart w:id="835" w:name="_Toc422486475"/>
            <w:bookmarkStart w:id="836" w:name="_Toc433093327"/>
            <w:bookmarkStart w:id="837" w:name="_Toc433093485"/>
            <w:bookmarkStart w:id="838" w:name="_Toc440874714"/>
            <w:bookmarkStart w:id="839" w:name="_Toc448142269"/>
            <w:bookmarkStart w:id="840" w:name="_Toc448142426"/>
            <w:bookmarkStart w:id="841" w:name="_Toc458770262"/>
            <w:bookmarkStart w:id="842" w:name="_Toc459294230"/>
            <w:bookmarkStart w:id="843" w:name="_Toc463262723"/>
            <w:bookmarkStart w:id="844" w:name="_Toc468286797"/>
            <w:bookmarkStart w:id="845" w:name="_Toc481502843"/>
            <w:bookmarkStart w:id="846" w:name="_Toc496080011"/>
            <w:r w:rsidRPr="0013396E">
              <w:lastRenderedPageBreak/>
              <w:t>[NPRR857:  Replace paragraph (</w:t>
            </w:r>
            <w:r w:rsidR="005A1251" w:rsidRPr="0013396E">
              <w:t>4</w:t>
            </w:r>
            <w:r w:rsidRPr="0013396E">
              <w:t>) above with the following upon system implementation</w:t>
            </w:r>
            <w:r w:rsidR="004A5B0B" w:rsidRPr="0013396E">
              <w:t xml:space="preserve"> </w:t>
            </w:r>
            <w:r w:rsidR="004A5B0B" w:rsidRPr="0013396E">
              <w:rPr>
                <w:bCs/>
                <w:iCs w:val="0"/>
              </w:rPr>
              <w:t xml:space="preserve">and </w:t>
            </w:r>
            <w:r w:rsidR="004A5B0B" w:rsidRPr="0013396E">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sidRPr="0013396E">
              <w:t>:]</w:t>
            </w:r>
          </w:p>
          <w:p w14:paraId="4719C083" w14:textId="49E93262" w:rsidR="00142463" w:rsidRPr="0013396E" w:rsidRDefault="00142463" w:rsidP="00142463">
            <w:pPr>
              <w:spacing w:after="240"/>
              <w:ind w:left="720" w:hanging="720"/>
            </w:pPr>
            <w:r w:rsidRPr="0013396E">
              <w:t>(</w:t>
            </w:r>
            <w:r w:rsidR="005A1251" w:rsidRPr="0013396E">
              <w:t>4</w:t>
            </w:r>
            <w:r w:rsidRPr="0013396E">
              <w:t>)</w:t>
            </w:r>
            <w:r w:rsidRPr="0013396E">
              <w:tab/>
              <w:t>If ERCOT determines that rating(s) in the Network Operations Model or configuration of the Transmission Facilities are not correct, then the TSP or DCTO will provide the appropriate data submittals to ERCOT to correct the problem upon notification by ERCOT.</w:t>
            </w:r>
          </w:p>
        </w:tc>
      </w:tr>
    </w:tbl>
    <w:p w14:paraId="5FD8A8F9" w14:textId="77777777" w:rsidR="001F04FD" w:rsidRPr="0013396E" w:rsidRDefault="001F04FD" w:rsidP="001F04FD">
      <w:pPr>
        <w:pStyle w:val="H5"/>
        <w:spacing w:before="480"/>
        <w:ind w:left="1627" w:hanging="1627"/>
      </w:pPr>
      <w:bookmarkStart w:id="847" w:name="_Toc214878911"/>
      <w:r w:rsidRPr="0013396E">
        <w:t>6.5.7.1.12</w:t>
      </w:r>
      <w:r w:rsidRPr="0013396E">
        <w:tab/>
        <w:t>Resource Limits</w:t>
      </w:r>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p>
    <w:p w14:paraId="1B29889A" w14:textId="77777777" w:rsidR="00F3577E" w:rsidRPr="0013396E" w:rsidRDefault="00F3577E" w:rsidP="00F3577E">
      <w:pPr>
        <w:spacing w:after="240"/>
        <w:ind w:left="720" w:hanging="720"/>
      </w:pPr>
      <w:r w:rsidRPr="0013396E">
        <w:t>(1)</w:t>
      </w:r>
      <w:r w:rsidRPr="0013396E">
        <w:tab/>
        <w:t>The following Generation Resource or ESR limits are calculated by ERCOT and used as inputs by the SCED process:</w:t>
      </w:r>
    </w:p>
    <w:p w14:paraId="236A321F" w14:textId="77777777" w:rsidR="00F3577E" w:rsidRPr="0013396E" w:rsidRDefault="00F3577E" w:rsidP="00F3577E">
      <w:pPr>
        <w:spacing w:after="240"/>
        <w:ind w:left="1440" w:hanging="720"/>
      </w:pPr>
      <w:r w:rsidRPr="0013396E">
        <w:t>(a)</w:t>
      </w:r>
      <w:r w:rsidRPr="0013396E">
        <w:tab/>
        <w:t>Normal Ramp Rate based on the values telemetered by the QSE to ERCOT, which represents the current ability of the Resource to follow a Base Point instruction;</w:t>
      </w:r>
    </w:p>
    <w:p w14:paraId="3C118F40" w14:textId="77777777" w:rsidR="00F3577E" w:rsidRPr="0013396E" w:rsidRDefault="00F3577E" w:rsidP="00F3577E">
      <w:pPr>
        <w:spacing w:after="240"/>
        <w:ind w:left="1440" w:hanging="720"/>
      </w:pPr>
      <w:r w:rsidRPr="0013396E">
        <w:t>(b)</w:t>
      </w:r>
      <w:r w:rsidRPr="0013396E">
        <w:tab/>
        <w:t>Emergency Ramp Rate based on the</w:t>
      </w:r>
      <w:r w:rsidRPr="0013396E">
        <w:fldChar w:fldCharType="begin"/>
      </w:r>
      <w:r w:rsidRPr="0013396E">
        <w:fldChar w:fldCharType="end"/>
      </w:r>
      <w:r w:rsidRPr="0013396E">
        <w:t xml:space="preserve"> values telemetered by the QSE to ERCOT;</w:t>
      </w:r>
    </w:p>
    <w:p w14:paraId="08B168BD" w14:textId="77777777" w:rsidR="00F3577E" w:rsidRPr="0013396E" w:rsidRDefault="00F3577E" w:rsidP="00F3577E">
      <w:pPr>
        <w:spacing w:after="240"/>
        <w:ind w:left="1440" w:hanging="720"/>
      </w:pPr>
      <w:r w:rsidRPr="0013396E">
        <w:t>(c)</w:t>
      </w:r>
      <w:r w:rsidRPr="0013396E">
        <w:tab/>
        <w:t>HDL, which represents a dynamically calculated MW upper limit on a Resource that describes the maximum capability of the Resource’s SCED dispatch and limits the amount of Reg-Up that can be awarded to the Resource for the next five minutes (the Resource’s Real-Time generation or, in the case of an ESR, its Real-Time output or consumption, plus the product of the Normal Ramp Rate, as telemetered by the QSE, multiplied by five), restricted by HSL; and</w:t>
      </w:r>
    </w:p>
    <w:p w14:paraId="190BD003" w14:textId="77777777" w:rsidR="00F3577E" w:rsidRPr="0013396E" w:rsidRDefault="00F3577E" w:rsidP="00F3577E">
      <w:pPr>
        <w:spacing w:after="240"/>
        <w:ind w:left="1440" w:hanging="720"/>
      </w:pPr>
      <w:r w:rsidRPr="0013396E">
        <w:t>(d)</w:t>
      </w:r>
      <w:r w:rsidRPr="0013396E">
        <w:tab/>
        <w:t>LDL, which represents a dynamically calculated MW lower limit on a Resource that describes the minimum capability of the Resource’s SCED dispatch and limits the amount of Reg-Down that can be awarded to the Resource for the next five minutes (the Resource’s Real-Time generation or, in the case of an ESR, its Real-Time output or consumption, minus the product of the Normal Ramp Rate, as telemetered by the QSE, multiplied by five), restricted by LSL.</w:t>
      </w:r>
    </w:p>
    <w:p w14:paraId="7537C327" w14:textId="77777777" w:rsidR="00F3577E" w:rsidRPr="0013396E" w:rsidRDefault="00F3577E" w:rsidP="00F3577E">
      <w:pPr>
        <w:spacing w:after="240"/>
        <w:ind w:left="720" w:hanging="720"/>
      </w:pPr>
      <w:r w:rsidRPr="0013396E">
        <w:t>(2)</w:t>
      </w:r>
      <w:r w:rsidRPr="0013396E">
        <w:tab/>
        <w:t>The following Load Resource limits are calculated by ERCOT for CLRs qualified to be dispatched by SCED and used in other calculations and as information for ERCOT Operators:</w:t>
      </w:r>
    </w:p>
    <w:p w14:paraId="7746949E" w14:textId="77777777" w:rsidR="00F3577E" w:rsidRPr="0013396E" w:rsidRDefault="00F3577E" w:rsidP="00F3577E">
      <w:pPr>
        <w:spacing w:after="240"/>
        <w:ind w:left="1440" w:hanging="720"/>
      </w:pPr>
      <w:r w:rsidRPr="0013396E">
        <w:t>(a)</w:t>
      </w:r>
      <w:r w:rsidRPr="0013396E">
        <w:tab/>
        <w:t>Normal Ramp Rate based on the values telemetered by the QSE to ERCOT, which represents the current ability of the Resource to follow a SCED Base Point instruction;</w:t>
      </w:r>
    </w:p>
    <w:p w14:paraId="69C06F80" w14:textId="77777777" w:rsidR="00F3577E" w:rsidRPr="0013396E" w:rsidRDefault="00F3577E" w:rsidP="00F3577E">
      <w:pPr>
        <w:spacing w:after="240"/>
        <w:ind w:left="1440" w:hanging="720"/>
      </w:pPr>
      <w:r w:rsidRPr="0013396E">
        <w:lastRenderedPageBreak/>
        <w:t>(b)</w:t>
      </w:r>
      <w:r w:rsidRPr="0013396E">
        <w:tab/>
        <w:t>Emergency Ramp Rate based on the values telemetered by the QSE to ERCOT;</w:t>
      </w:r>
    </w:p>
    <w:p w14:paraId="16827651" w14:textId="77777777" w:rsidR="00F3577E" w:rsidRPr="0013396E" w:rsidRDefault="00F3577E" w:rsidP="00F3577E">
      <w:pPr>
        <w:spacing w:after="240"/>
        <w:ind w:left="1440" w:hanging="720"/>
      </w:pPr>
      <w:r w:rsidRPr="0013396E">
        <w:t>(c)</w:t>
      </w:r>
      <w:r w:rsidRPr="0013396E">
        <w:tab/>
        <w:t>HDL, which represents a dynamically calculated MW upper limit on a Resource that describes the maximum capability of the Resource SCED dispatch and limits the amount of Reg-Down that can be awarded to the Resource for the next five minutes (the Resource’s Real-Time consumption plus the product of the Normal Ramp Rate, as telemetered by the QSE, multiplied by five), restricted by HSL; and</w:t>
      </w:r>
    </w:p>
    <w:p w14:paraId="2601BBB9" w14:textId="77777777" w:rsidR="00F3577E" w:rsidRPr="0013396E" w:rsidRDefault="00F3577E" w:rsidP="00F3577E">
      <w:pPr>
        <w:spacing w:after="240"/>
        <w:ind w:left="1440" w:hanging="720"/>
      </w:pPr>
      <w:r w:rsidRPr="0013396E">
        <w:t>(d)</w:t>
      </w:r>
      <w:r w:rsidRPr="0013396E">
        <w:tab/>
        <w:t>LDL, which represents a dynamically calculated MW lower limit on a Resource that describes the minimum capability of the Resource SCED dispatch and limits the amount of Reg-Up that can be awarded to the Resource for the next five minutes (the Resource’s Real-Time consumption minus the product of the Normal Ramp Rate, as telemetered by the QSE, multiplied by five), restricted by LSL.</w:t>
      </w:r>
    </w:p>
    <w:p w14:paraId="61B7F176" w14:textId="01349F2E" w:rsidR="001F04FD" w:rsidRPr="0013396E" w:rsidRDefault="00F3577E" w:rsidP="001F04FD">
      <w:pPr>
        <w:pStyle w:val="BodyTextNumbered"/>
      </w:pPr>
      <w:r w:rsidRPr="0013396E">
        <w:t>(3)</w:t>
      </w:r>
      <w:r w:rsidRPr="0013396E">
        <w:tab/>
        <w:t>For a more detailed explanation of all the Resource limits calculated by ERCOT, please reference Section 6.5.7.2, Resource Limit Calculator.</w:t>
      </w:r>
      <w:r w:rsidRPr="0013396E" w:rsidDel="00F3577E">
        <w:t xml:space="preserve"> </w:t>
      </w:r>
    </w:p>
    <w:p w14:paraId="68B71B1A" w14:textId="77777777" w:rsidR="001F04FD" w:rsidRPr="0013396E" w:rsidRDefault="001F04FD" w:rsidP="007A1E53">
      <w:pPr>
        <w:pStyle w:val="H5"/>
        <w:ind w:left="1627" w:hanging="1627"/>
      </w:pPr>
      <w:bookmarkStart w:id="848" w:name="_Toc397504968"/>
      <w:bookmarkStart w:id="849" w:name="_Toc402357096"/>
      <w:bookmarkStart w:id="850" w:name="_Toc422486476"/>
      <w:bookmarkStart w:id="851" w:name="_Toc433093328"/>
      <w:bookmarkStart w:id="852" w:name="_Toc433093486"/>
      <w:bookmarkStart w:id="853" w:name="_Toc440874715"/>
      <w:bookmarkStart w:id="854" w:name="_Toc448142270"/>
      <w:bookmarkStart w:id="855" w:name="_Toc448142427"/>
      <w:bookmarkStart w:id="856" w:name="_Toc458770263"/>
      <w:bookmarkStart w:id="857" w:name="_Toc459294231"/>
      <w:bookmarkStart w:id="858" w:name="_Toc463262724"/>
      <w:bookmarkStart w:id="859" w:name="_Toc468286798"/>
      <w:bookmarkStart w:id="860" w:name="_Toc481502844"/>
      <w:bookmarkStart w:id="861" w:name="_Toc496080012"/>
      <w:bookmarkStart w:id="862" w:name="_Toc214878912"/>
      <w:r w:rsidRPr="0013396E">
        <w:t>6.5.7.1.13</w:t>
      </w:r>
      <w:r w:rsidRPr="0013396E">
        <w:tab/>
        <w:t>Data Inputs and Outputs for the Real-Time Sequence and SCED</w:t>
      </w:r>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p>
    <w:p w14:paraId="53979494" w14:textId="77777777" w:rsidR="001F04FD" w:rsidRPr="0013396E" w:rsidRDefault="001F04FD" w:rsidP="001F04FD">
      <w:pPr>
        <w:pStyle w:val="BodyTextNumbered"/>
      </w:pPr>
      <w:r w:rsidRPr="0013396E">
        <w:t>(1)</w:t>
      </w:r>
      <w:r w:rsidRPr="0013396E">
        <w:tab/>
        <w:t>Inputs:  The following information must be provided as inputs to the Real-Time Sequence and SCED.  ERCOT may require additional information as required, including:</w:t>
      </w:r>
    </w:p>
    <w:p w14:paraId="792BCD53" w14:textId="77777777" w:rsidR="001F04FD" w:rsidRPr="0013396E" w:rsidRDefault="001F04FD" w:rsidP="001F04FD">
      <w:pPr>
        <w:pStyle w:val="List"/>
      </w:pPr>
      <w:r w:rsidRPr="0013396E">
        <w:t>(a)</w:t>
      </w:r>
      <w:r w:rsidRPr="0013396E">
        <w:tab/>
        <w:t>Real-Time data from TSPs including status indication for each point if that data element is stale for more than 20 seconds;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142463" w:rsidRPr="0013396E" w14:paraId="4BB86229" w14:textId="77777777" w:rsidTr="004510FA">
        <w:trPr>
          <w:trHeight w:val="1547"/>
        </w:trPr>
        <w:tc>
          <w:tcPr>
            <w:tcW w:w="9576" w:type="dxa"/>
            <w:shd w:val="pct12" w:color="auto" w:fill="auto"/>
          </w:tcPr>
          <w:p w14:paraId="2070E802" w14:textId="0D84B4F4" w:rsidR="00142463" w:rsidRPr="0013396E" w:rsidRDefault="00142463" w:rsidP="004510FA">
            <w:pPr>
              <w:pStyle w:val="Instructions"/>
              <w:spacing w:before="120"/>
            </w:pPr>
            <w:r w:rsidRPr="0013396E">
              <w:t>[NPRR857:  Replace paragraph (a) above with the following upon system implementation</w:t>
            </w:r>
            <w:r w:rsidR="004A5B0B" w:rsidRPr="0013396E">
              <w:t xml:space="preserve"> </w:t>
            </w:r>
            <w:r w:rsidR="004A5B0B" w:rsidRPr="0013396E">
              <w:rPr>
                <w:bCs/>
                <w:iCs w:val="0"/>
              </w:rPr>
              <w:t xml:space="preserve">and </w:t>
            </w:r>
            <w:r w:rsidR="004A5B0B" w:rsidRPr="0013396E">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sidRPr="0013396E">
              <w:t>:]</w:t>
            </w:r>
          </w:p>
          <w:p w14:paraId="26815C23" w14:textId="77777777" w:rsidR="00142463" w:rsidRPr="0013396E" w:rsidRDefault="00862975" w:rsidP="00862975">
            <w:pPr>
              <w:spacing w:after="240"/>
              <w:ind w:left="1440" w:hanging="720"/>
            </w:pPr>
            <w:r w:rsidRPr="0013396E">
              <w:t>(a)</w:t>
            </w:r>
            <w:r w:rsidRPr="0013396E">
              <w:tab/>
              <w:t>Real-Time data from TSPs and DCTOs including status indication for each point if that data element is stale for more than 20 seconds;</w:t>
            </w:r>
          </w:p>
        </w:tc>
      </w:tr>
    </w:tbl>
    <w:p w14:paraId="7B9AA89D" w14:textId="77777777" w:rsidR="001F04FD" w:rsidRPr="0013396E" w:rsidRDefault="001F04FD" w:rsidP="0099247E">
      <w:pPr>
        <w:pStyle w:val="List2"/>
        <w:spacing w:before="240"/>
      </w:pPr>
      <w:r w:rsidRPr="0013396E">
        <w:t>(i)</w:t>
      </w:r>
      <w:r w:rsidRPr="0013396E">
        <w:tab/>
        <w:t>Transmission Electrical Bus voltages;</w:t>
      </w:r>
    </w:p>
    <w:p w14:paraId="77439A8C" w14:textId="77777777" w:rsidR="001F04FD" w:rsidRPr="0013396E" w:rsidRDefault="001F04FD" w:rsidP="001F04FD">
      <w:pPr>
        <w:pStyle w:val="List2"/>
      </w:pPr>
      <w:r w:rsidRPr="0013396E">
        <w:t>(ii)</w:t>
      </w:r>
      <w:r w:rsidRPr="0013396E">
        <w:tab/>
        <w:t>MW and MVAr pairs for all transmission lines, transformers, and reactors;</w:t>
      </w:r>
    </w:p>
    <w:p w14:paraId="778CF573" w14:textId="77777777" w:rsidR="001F04FD" w:rsidRPr="0013396E" w:rsidRDefault="001F04FD" w:rsidP="001F04FD">
      <w:pPr>
        <w:pStyle w:val="List2"/>
      </w:pPr>
      <w:r w:rsidRPr="0013396E">
        <w:t>(iii)</w:t>
      </w:r>
      <w:r w:rsidRPr="0013396E">
        <w:tab/>
        <w:t>Actual breaker and switch status for all modeled devices; and</w:t>
      </w:r>
    </w:p>
    <w:p w14:paraId="75B14212" w14:textId="77777777" w:rsidR="001F04FD" w:rsidRPr="0013396E" w:rsidRDefault="001F04FD" w:rsidP="001F04FD">
      <w:pPr>
        <w:pStyle w:val="List2"/>
      </w:pPr>
      <w:r w:rsidRPr="0013396E">
        <w:t>(iv)</w:t>
      </w:r>
      <w:r w:rsidRPr="0013396E">
        <w:tab/>
        <w:t>Tap position for auto-transformers;</w:t>
      </w:r>
    </w:p>
    <w:p w14:paraId="2C40B223" w14:textId="77777777" w:rsidR="001F04FD" w:rsidRPr="0013396E" w:rsidRDefault="001F04FD" w:rsidP="001F04FD">
      <w:pPr>
        <w:pStyle w:val="List"/>
      </w:pPr>
      <w:r w:rsidRPr="0013396E">
        <w:lastRenderedPageBreak/>
        <w:t>(b)</w:t>
      </w:r>
      <w:r w:rsidRPr="0013396E">
        <w:tab/>
        <w:t>State Estimator results (MW and MVAr pairs and calculated MVA) for all modeled Transmission Elements;</w:t>
      </w:r>
    </w:p>
    <w:p w14:paraId="48FEBD75" w14:textId="77777777" w:rsidR="001F04FD" w:rsidRPr="0013396E" w:rsidRDefault="001F04FD" w:rsidP="001F04FD">
      <w:pPr>
        <w:pStyle w:val="List"/>
      </w:pPr>
      <w:r w:rsidRPr="0013396E">
        <w:t>(c)</w:t>
      </w:r>
      <w:r w:rsidRPr="0013396E">
        <w:tab/>
        <w:t>Transmission Element ratings from TSPs;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862975" w:rsidRPr="0013396E" w14:paraId="6DEAAAA8" w14:textId="77777777" w:rsidTr="00F3577E">
        <w:trPr>
          <w:trHeight w:val="476"/>
        </w:trPr>
        <w:tc>
          <w:tcPr>
            <w:tcW w:w="9576" w:type="dxa"/>
            <w:shd w:val="pct12" w:color="auto" w:fill="auto"/>
          </w:tcPr>
          <w:p w14:paraId="6FB71C0D" w14:textId="2DE51B6B" w:rsidR="00862975" w:rsidRPr="0013396E" w:rsidRDefault="00862975" w:rsidP="004510FA">
            <w:pPr>
              <w:pStyle w:val="Instructions"/>
              <w:spacing w:before="120"/>
            </w:pPr>
            <w:r w:rsidRPr="0013396E">
              <w:t>[NPRR857:  Replace paragraph (c) above with the following upon system implementation</w:t>
            </w:r>
            <w:r w:rsidR="004A5B0B" w:rsidRPr="0013396E">
              <w:t xml:space="preserve"> </w:t>
            </w:r>
            <w:r w:rsidR="004A5B0B" w:rsidRPr="0013396E">
              <w:rPr>
                <w:bCs/>
                <w:iCs w:val="0"/>
              </w:rPr>
              <w:t xml:space="preserve">and </w:t>
            </w:r>
            <w:r w:rsidR="004A5B0B" w:rsidRPr="0013396E">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sidRPr="0013396E">
              <w:t>:]</w:t>
            </w:r>
          </w:p>
          <w:p w14:paraId="5EBC03CD" w14:textId="77777777" w:rsidR="00862975" w:rsidRPr="0013396E" w:rsidRDefault="00862975" w:rsidP="00862975">
            <w:pPr>
              <w:spacing w:after="240"/>
              <w:ind w:left="1440" w:hanging="720"/>
            </w:pPr>
            <w:r w:rsidRPr="0013396E">
              <w:t>(c)</w:t>
            </w:r>
            <w:r w:rsidRPr="0013396E">
              <w:tab/>
              <w:t>Transmission Element ratings from TSPs and DCTOs;</w:t>
            </w:r>
          </w:p>
        </w:tc>
      </w:tr>
    </w:tbl>
    <w:p w14:paraId="5EA1F168" w14:textId="77777777" w:rsidR="001F04FD" w:rsidRPr="0013396E" w:rsidRDefault="001F04FD" w:rsidP="0099247E">
      <w:pPr>
        <w:pStyle w:val="List2"/>
        <w:spacing w:before="240"/>
      </w:pPr>
      <w:r w:rsidRPr="0013396E">
        <w:t>(i)</w:t>
      </w:r>
      <w:r w:rsidRPr="0013396E">
        <w:tab/>
        <w:t>Data from the Network Operations Model:</w:t>
      </w:r>
    </w:p>
    <w:p w14:paraId="05B6FEB9" w14:textId="77777777" w:rsidR="001F04FD" w:rsidRPr="0013396E" w:rsidRDefault="001F04FD" w:rsidP="001F04FD">
      <w:pPr>
        <w:pStyle w:val="List3"/>
      </w:pPr>
      <w:r w:rsidRPr="0013396E">
        <w:t>(A)</w:t>
      </w:r>
      <w:r w:rsidRPr="0013396E">
        <w:tab/>
        <w:t>Transmission lines – Normal, Emergency, and 15-Minute Ratings (MVA); and</w:t>
      </w:r>
    </w:p>
    <w:p w14:paraId="5856ADD0" w14:textId="77777777" w:rsidR="001F04FD" w:rsidRPr="0013396E" w:rsidRDefault="001F04FD" w:rsidP="001F04FD">
      <w:pPr>
        <w:pStyle w:val="List3"/>
      </w:pPr>
      <w:r w:rsidRPr="0013396E">
        <w:t>(B)</w:t>
      </w:r>
      <w:r w:rsidRPr="0013396E">
        <w:tab/>
        <w:t>Transformers and Auto-transformers – Normal, Emergency, and 15-Minute Ratings (MVA) and tap position limits;</w:t>
      </w:r>
    </w:p>
    <w:p w14:paraId="1056DDA8" w14:textId="77777777" w:rsidR="001F04FD" w:rsidRPr="0013396E" w:rsidRDefault="001F04FD" w:rsidP="001F04FD">
      <w:pPr>
        <w:pStyle w:val="List2"/>
      </w:pPr>
      <w:r w:rsidRPr="0013396E">
        <w:t>(ii)</w:t>
      </w:r>
      <w:r w:rsidRPr="0013396E">
        <w:tab/>
        <w:t>Data from QSEs:</w:t>
      </w:r>
    </w:p>
    <w:p w14:paraId="6F822861" w14:textId="77777777" w:rsidR="001F04FD" w:rsidRPr="0013396E" w:rsidRDefault="001F04FD" w:rsidP="001F04FD">
      <w:pPr>
        <w:pStyle w:val="List3"/>
      </w:pPr>
      <w:r w:rsidRPr="0013396E">
        <w:t>(A)</w:t>
      </w:r>
      <w:r w:rsidRPr="0013396E">
        <w:tab/>
        <w:t>Generator Step-Up (GSU) transformers tap position;</w:t>
      </w:r>
    </w:p>
    <w:p w14:paraId="6F5413D6" w14:textId="77777777" w:rsidR="001F04FD" w:rsidRPr="0013396E" w:rsidRDefault="001F04FD" w:rsidP="001F04FD">
      <w:pPr>
        <w:pStyle w:val="List3"/>
      </w:pPr>
      <w:r w:rsidRPr="0013396E">
        <w:t>(B)</w:t>
      </w:r>
      <w:r w:rsidRPr="0013396E">
        <w:tab/>
        <w:t>Resource HSL (from telemetry); and</w:t>
      </w:r>
    </w:p>
    <w:p w14:paraId="0789E9AA" w14:textId="77777777" w:rsidR="001F04FD" w:rsidRPr="0013396E" w:rsidRDefault="001F04FD" w:rsidP="001F04FD">
      <w:pPr>
        <w:pStyle w:val="List3"/>
      </w:pPr>
      <w:r w:rsidRPr="0013396E">
        <w:t>(C)</w:t>
      </w:r>
      <w:r w:rsidRPr="0013396E">
        <w:tab/>
        <w:t>Resource LSL (from telemetry); and</w:t>
      </w:r>
    </w:p>
    <w:p w14:paraId="50D5C80B" w14:textId="77777777" w:rsidR="001F04FD" w:rsidRPr="0013396E" w:rsidRDefault="001F04FD" w:rsidP="001F04FD">
      <w:pPr>
        <w:pStyle w:val="List"/>
      </w:pPr>
      <w:r w:rsidRPr="0013396E">
        <w:t>(d)</w:t>
      </w:r>
      <w:r w:rsidRPr="0013396E">
        <w:tab/>
        <w:t xml:space="preserve">Real-Time weather, from </w:t>
      </w:r>
      <w:r w:rsidR="00B17C2D" w:rsidRPr="0013396E">
        <w:t>Wind-powered Generation Resources (</w:t>
      </w:r>
      <w:r w:rsidRPr="0013396E">
        <w:t>WGRs</w:t>
      </w:r>
      <w:r w:rsidR="00B17C2D" w:rsidRPr="0013396E">
        <w:t>)</w:t>
      </w:r>
      <w:r w:rsidRPr="0013396E">
        <w:t>, and where available from TSPs or other sources.  ERCOT may elect to obtain other sources of weather data and may utilize such information to calculate the dynamic limit of any Transmission Element.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A004CF" w:rsidRPr="0013396E" w14:paraId="4D829B32" w14:textId="77777777" w:rsidTr="00F65784">
        <w:trPr>
          <w:trHeight w:val="926"/>
        </w:trPr>
        <w:tc>
          <w:tcPr>
            <w:tcW w:w="9350" w:type="dxa"/>
            <w:shd w:val="pct12" w:color="auto" w:fill="auto"/>
          </w:tcPr>
          <w:p w14:paraId="34682B0F" w14:textId="0D490FBB" w:rsidR="00A004CF" w:rsidRPr="0013396E" w:rsidRDefault="00A004CF" w:rsidP="004510FA">
            <w:pPr>
              <w:pStyle w:val="Instructions"/>
              <w:spacing w:before="120"/>
            </w:pPr>
            <w:r w:rsidRPr="0013396E">
              <w:t>[NPRR857:  Replace paragraph (d) above with the following upon system implementation</w:t>
            </w:r>
            <w:r w:rsidR="004A5B0B" w:rsidRPr="0013396E">
              <w:t xml:space="preserve"> </w:t>
            </w:r>
            <w:r w:rsidR="004A5B0B" w:rsidRPr="0013396E">
              <w:rPr>
                <w:bCs/>
                <w:iCs w:val="0"/>
              </w:rPr>
              <w:t xml:space="preserve">and </w:t>
            </w:r>
            <w:r w:rsidR="004A5B0B" w:rsidRPr="0013396E">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sidRPr="0013396E">
              <w:t>:]</w:t>
            </w:r>
          </w:p>
          <w:p w14:paraId="1B48A8DB" w14:textId="77777777" w:rsidR="00A004CF" w:rsidRPr="0013396E" w:rsidRDefault="00A004CF" w:rsidP="00B17C2D">
            <w:pPr>
              <w:spacing w:after="240"/>
              <w:ind w:left="1440" w:hanging="720"/>
            </w:pPr>
            <w:r w:rsidRPr="0013396E">
              <w:lastRenderedPageBreak/>
              <w:t>(d)</w:t>
            </w:r>
            <w:r w:rsidRPr="0013396E">
              <w:tab/>
              <w:t>Real-Time weather, from</w:t>
            </w:r>
            <w:r w:rsidR="00B17C2D" w:rsidRPr="0013396E">
              <w:t xml:space="preserve"> Wind-powered Generation Resources (WGRs), </w:t>
            </w:r>
            <w:r w:rsidRPr="0013396E">
              <w:t>and where available from TSPs, DCTOs, or other sources.  ERCOT may elect to obtain other sources of weather data and may utilize such information to calculate the dynamic limit of any Transmission Element.</w:t>
            </w:r>
          </w:p>
        </w:tc>
      </w:tr>
    </w:tbl>
    <w:p w14:paraId="510712C9" w14:textId="6001B6B1" w:rsidR="001F04FD" w:rsidRPr="0013396E" w:rsidRDefault="001F04FD" w:rsidP="000B1D41">
      <w:pPr>
        <w:pStyle w:val="BodyTextNumbered"/>
        <w:spacing w:before="240"/>
      </w:pPr>
      <w:r w:rsidRPr="0013396E">
        <w:lastRenderedPageBreak/>
        <w:t>(</w:t>
      </w:r>
      <w:r w:rsidR="00F3577E" w:rsidRPr="0013396E">
        <w:t>2</w:t>
      </w:r>
      <w:r w:rsidRPr="0013396E">
        <w:t>)</w:t>
      </w:r>
      <w:r w:rsidRPr="0013396E">
        <w:tab/>
        <w:t>Outputs for ERCOT Operator information and possible action include:</w:t>
      </w:r>
    </w:p>
    <w:p w14:paraId="176887A8" w14:textId="77777777" w:rsidR="001F04FD" w:rsidRPr="0013396E" w:rsidRDefault="001F04FD" w:rsidP="001F04FD">
      <w:pPr>
        <w:pStyle w:val="List"/>
      </w:pPr>
      <w:r w:rsidRPr="0013396E">
        <w:t>(a)</w:t>
      </w:r>
      <w:r w:rsidRPr="0013396E">
        <w:tab/>
        <w:t>Operator notification of any change in status of any breaker or switch;</w:t>
      </w:r>
    </w:p>
    <w:p w14:paraId="2028FB52" w14:textId="77777777" w:rsidR="001F04FD" w:rsidRPr="0013396E" w:rsidRDefault="001F04FD" w:rsidP="001F04FD">
      <w:pPr>
        <w:pStyle w:val="List"/>
      </w:pPr>
      <w:r w:rsidRPr="0013396E">
        <w:t>(b)</w:t>
      </w:r>
      <w:r w:rsidRPr="0013396E">
        <w:tab/>
        <w:t>Lists of all breakers and switches not in their normal position;</w:t>
      </w:r>
    </w:p>
    <w:p w14:paraId="5F3E309C" w14:textId="77777777" w:rsidR="001F04FD" w:rsidRPr="0013396E" w:rsidRDefault="001F04FD" w:rsidP="001F04FD">
      <w:pPr>
        <w:pStyle w:val="List"/>
      </w:pPr>
      <w:r w:rsidRPr="0013396E">
        <w:t>(c)</w:t>
      </w:r>
      <w:r w:rsidRPr="0013396E">
        <w:tab/>
        <w:t>Operator notification of all Transmission Element overloads detected from telemetered or State-Estimated data;</w:t>
      </w:r>
    </w:p>
    <w:p w14:paraId="6FDBB6DF" w14:textId="77777777" w:rsidR="001F04FD" w:rsidRPr="0013396E" w:rsidRDefault="001F04FD" w:rsidP="001F04FD">
      <w:pPr>
        <w:pStyle w:val="List"/>
      </w:pPr>
      <w:r w:rsidRPr="0013396E">
        <w:t>(d)</w:t>
      </w:r>
      <w:r w:rsidRPr="0013396E">
        <w:tab/>
        <w:t>Operator notification of all Transmission Element security violations; and</w:t>
      </w:r>
    </w:p>
    <w:p w14:paraId="5B037FEC" w14:textId="77777777" w:rsidR="001F04FD" w:rsidRPr="0013396E" w:rsidRDefault="001F04FD" w:rsidP="001F04FD">
      <w:pPr>
        <w:pStyle w:val="List"/>
      </w:pPr>
      <w:r w:rsidRPr="0013396E">
        <w:t>(e)</w:t>
      </w:r>
      <w:r w:rsidRPr="0013396E">
        <w:tab/>
        <w:t>Operator summary displays:</w:t>
      </w:r>
    </w:p>
    <w:p w14:paraId="304F64C4" w14:textId="77777777" w:rsidR="001F04FD" w:rsidRPr="0013396E" w:rsidRDefault="001F04FD" w:rsidP="001F04FD">
      <w:pPr>
        <w:pStyle w:val="List2"/>
      </w:pPr>
      <w:r w:rsidRPr="0013396E">
        <w:t>(i)</w:t>
      </w:r>
      <w:r w:rsidRPr="0013396E">
        <w:tab/>
        <w:t>Transmission system status changes;</w:t>
      </w:r>
    </w:p>
    <w:p w14:paraId="70D9797C" w14:textId="77777777" w:rsidR="001F04FD" w:rsidRPr="0013396E" w:rsidRDefault="001F04FD" w:rsidP="001F04FD">
      <w:pPr>
        <w:pStyle w:val="List2"/>
      </w:pPr>
      <w:r w:rsidRPr="0013396E">
        <w:t>(ii)</w:t>
      </w:r>
      <w:r w:rsidRPr="0013396E">
        <w:tab/>
        <w:t>Overloads;</w:t>
      </w:r>
    </w:p>
    <w:p w14:paraId="6216726C" w14:textId="77777777" w:rsidR="001F04FD" w:rsidRPr="0013396E" w:rsidRDefault="001F04FD" w:rsidP="001F04FD">
      <w:pPr>
        <w:pStyle w:val="List2"/>
      </w:pPr>
      <w:r w:rsidRPr="0013396E">
        <w:t>(iii)</w:t>
      </w:r>
      <w:r w:rsidRPr="0013396E">
        <w:tab/>
        <w:t>System security violations; and</w:t>
      </w:r>
    </w:p>
    <w:p w14:paraId="12307420" w14:textId="77777777" w:rsidR="001F04FD" w:rsidRPr="0013396E" w:rsidRDefault="001F04FD" w:rsidP="001F04FD">
      <w:pPr>
        <w:pStyle w:val="List2"/>
      </w:pPr>
      <w:r w:rsidRPr="0013396E">
        <w:t>(iv)</w:t>
      </w:r>
      <w:r w:rsidRPr="0013396E">
        <w:tab/>
        <w:t>Base Points.</w:t>
      </w:r>
    </w:p>
    <w:p w14:paraId="67E3AFC3" w14:textId="3497281C" w:rsidR="001F04FD" w:rsidRPr="0013396E" w:rsidRDefault="001F04FD" w:rsidP="001F04FD">
      <w:pPr>
        <w:pStyle w:val="BodyTextNumbered"/>
      </w:pPr>
      <w:r w:rsidRPr="0013396E">
        <w:t>(</w:t>
      </w:r>
      <w:r w:rsidR="00F3577E" w:rsidRPr="0013396E">
        <w:t>3</w:t>
      </w:r>
      <w:r w:rsidRPr="0013396E">
        <w:t>)</w:t>
      </w:r>
      <w:r w:rsidRPr="0013396E">
        <w:tab/>
        <w:t>Every hour, ERCOT shall post on the MIS Secure Area the following information:</w:t>
      </w:r>
    </w:p>
    <w:p w14:paraId="24DAB843" w14:textId="77777777" w:rsidR="001F04FD" w:rsidRPr="0013396E" w:rsidRDefault="001F04FD" w:rsidP="001F04FD">
      <w:pPr>
        <w:pStyle w:val="List"/>
      </w:pPr>
      <w:r w:rsidRPr="0013396E">
        <w:t>(a)</w:t>
      </w:r>
      <w:r w:rsidRPr="0013396E">
        <w:tab/>
        <w:t>Status of all breakers and switches used in the NSA except breakers and switches connecting Resources to the ERCOT Transmission Grid;</w:t>
      </w:r>
    </w:p>
    <w:p w14:paraId="75DBB5CF" w14:textId="77777777" w:rsidR="001F04FD" w:rsidRPr="0013396E" w:rsidRDefault="001F04FD" w:rsidP="001F04FD">
      <w:pPr>
        <w:pStyle w:val="List"/>
      </w:pPr>
      <w:r w:rsidRPr="0013396E">
        <w:t>(b)</w:t>
      </w:r>
      <w:r w:rsidRPr="0013396E">
        <w:tab/>
        <w:t>All binding transmission constraints and the contingency or overloaded element pairs that caused such constraint; and</w:t>
      </w:r>
    </w:p>
    <w:p w14:paraId="08DAAD61" w14:textId="77777777" w:rsidR="001F04FD" w:rsidRPr="0013396E" w:rsidRDefault="001F04FD" w:rsidP="001F04FD">
      <w:pPr>
        <w:pStyle w:val="List"/>
      </w:pPr>
      <w:r w:rsidRPr="0013396E">
        <w:t>(c)</w:t>
      </w:r>
      <w:r w:rsidRPr="0013396E">
        <w:tab/>
      </w:r>
      <w:r w:rsidR="00326E23" w:rsidRPr="0013396E">
        <w:t>Shift Factors, including Private Use Network Settlement Points, by Resource Node, Hub, Load Zone, and DC Tie.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70447C" w:rsidRPr="0013396E" w14:paraId="257F0985" w14:textId="77777777" w:rsidTr="00AE5CE8">
        <w:trPr>
          <w:trHeight w:val="206"/>
        </w:trPr>
        <w:tc>
          <w:tcPr>
            <w:tcW w:w="9576" w:type="dxa"/>
            <w:shd w:val="pct12" w:color="auto" w:fill="auto"/>
          </w:tcPr>
          <w:p w14:paraId="3516E39F" w14:textId="4AB8B094" w:rsidR="0070447C" w:rsidRPr="0013396E" w:rsidRDefault="0070447C" w:rsidP="00AE5CE8">
            <w:pPr>
              <w:pStyle w:val="Instructions"/>
              <w:spacing w:before="120"/>
            </w:pPr>
            <w:r w:rsidRPr="0013396E">
              <w:t>[NPRR1239</w:t>
            </w:r>
            <w:r w:rsidR="008015A9" w:rsidRPr="0013396E">
              <w:t xml:space="preserve"> and NPRR1249</w:t>
            </w:r>
            <w:r w:rsidRPr="0013396E">
              <w:t xml:space="preserve">:  Replace </w:t>
            </w:r>
            <w:r w:rsidR="008015A9" w:rsidRPr="0013396E">
              <w:t xml:space="preserve">applicable portions of </w:t>
            </w:r>
            <w:r w:rsidRPr="0013396E">
              <w:t>paragraph (</w:t>
            </w:r>
            <w:r w:rsidR="00F3577E" w:rsidRPr="0013396E">
              <w:t>3</w:t>
            </w:r>
            <w:r w:rsidRPr="0013396E">
              <w:t>) above with the following upon system implementation:]</w:t>
            </w:r>
          </w:p>
          <w:p w14:paraId="58532DD2" w14:textId="60BE7BBE" w:rsidR="0070447C" w:rsidRPr="0013396E" w:rsidRDefault="0070447C" w:rsidP="0070447C">
            <w:pPr>
              <w:spacing w:after="240"/>
              <w:ind w:left="720" w:hanging="720"/>
            </w:pPr>
            <w:r w:rsidRPr="0013396E">
              <w:t>(</w:t>
            </w:r>
            <w:r w:rsidR="00F3577E" w:rsidRPr="0013396E">
              <w:t>3</w:t>
            </w:r>
            <w:r w:rsidRPr="0013396E">
              <w:t>)</w:t>
            </w:r>
            <w:r w:rsidRPr="0013396E">
              <w:tab/>
              <w:t>Every hour, ERCOT shall post on the MIS Secure Area, except where otherwise stated in this paragraph (</w:t>
            </w:r>
            <w:r w:rsidR="00F3577E" w:rsidRPr="0013396E">
              <w:t>3</w:t>
            </w:r>
            <w:r w:rsidRPr="0013396E">
              <w:t>), the following information:</w:t>
            </w:r>
          </w:p>
          <w:p w14:paraId="0A11AB6E" w14:textId="77777777" w:rsidR="0070447C" w:rsidRPr="0013396E" w:rsidRDefault="0070447C" w:rsidP="0070447C">
            <w:pPr>
              <w:spacing w:after="240"/>
              <w:ind w:left="1440" w:hanging="720"/>
            </w:pPr>
            <w:r w:rsidRPr="0013396E">
              <w:t>(a)</w:t>
            </w:r>
            <w:r w:rsidRPr="0013396E">
              <w:tab/>
              <w:t>Status of all breakers and switches used in the NSA except breakers and switches connecting Resources to the ERCOT Transmission Grid;</w:t>
            </w:r>
          </w:p>
          <w:p w14:paraId="62EA6224" w14:textId="77777777" w:rsidR="0070447C" w:rsidRPr="0013396E" w:rsidRDefault="0070447C" w:rsidP="0070447C">
            <w:pPr>
              <w:spacing w:after="240"/>
              <w:ind w:left="1440" w:hanging="720"/>
            </w:pPr>
            <w:r w:rsidRPr="0013396E">
              <w:lastRenderedPageBreak/>
              <w:t>(b)</w:t>
            </w:r>
            <w:r w:rsidRPr="0013396E">
              <w:tab/>
              <w:t>All binding transmission constraints and the contingency or overloaded element pairs that caused such constraint; and</w:t>
            </w:r>
          </w:p>
          <w:p w14:paraId="37FDFA7B" w14:textId="66405A1A" w:rsidR="0070447C" w:rsidRPr="0013396E" w:rsidRDefault="0070447C" w:rsidP="0070447C">
            <w:pPr>
              <w:spacing w:after="240"/>
              <w:ind w:left="1440" w:hanging="720"/>
            </w:pPr>
            <w:r w:rsidRPr="0013396E">
              <w:t>(c)</w:t>
            </w:r>
            <w:r w:rsidRPr="0013396E">
              <w:tab/>
              <w:t>On the ERCOT website, Shift Factors</w:t>
            </w:r>
            <w:r w:rsidR="008015A9" w:rsidRPr="0013396E">
              <w:t xml:space="preserve"> for all active transmission constraints</w:t>
            </w:r>
            <w:r w:rsidRPr="0013396E">
              <w:t>, including Private Use Network Settlement Points, by Resource Node, Hub, Load Zone, and DC Tie.</w:t>
            </w:r>
          </w:p>
        </w:tc>
      </w:tr>
    </w:tbl>
    <w:p w14:paraId="483A1A5C" w14:textId="64BA472E" w:rsidR="001F04FD" w:rsidRPr="0013396E" w:rsidRDefault="001F04FD" w:rsidP="00952F33">
      <w:pPr>
        <w:pStyle w:val="List"/>
        <w:spacing w:before="240"/>
        <w:ind w:left="720"/>
      </w:pPr>
      <w:r w:rsidRPr="0013396E">
        <w:lastRenderedPageBreak/>
        <w:t>(</w:t>
      </w:r>
      <w:r w:rsidR="00F3577E" w:rsidRPr="0013396E">
        <w:t>4</w:t>
      </w:r>
      <w:r w:rsidRPr="0013396E">
        <w:t>)</w:t>
      </w:r>
      <w:r w:rsidRPr="0013396E">
        <w:tab/>
        <w:t>Sixty days after the applicable Operating Day, ERCOT shall post on the MIS Secure Area, the following information:</w:t>
      </w:r>
    </w:p>
    <w:p w14:paraId="78121722" w14:textId="77777777" w:rsidR="001F04FD" w:rsidRPr="0013396E" w:rsidRDefault="001F04FD" w:rsidP="001F04FD">
      <w:pPr>
        <w:pStyle w:val="List"/>
      </w:pPr>
      <w:r w:rsidRPr="0013396E">
        <w:t>(a)</w:t>
      </w:r>
      <w:r w:rsidRPr="0013396E">
        <w:tab/>
        <w:t>Hourly transmission line flows and voltages from the State Estimator, excluding transmission line flows and voltages for Private Use Networks; and</w:t>
      </w:r>
    </w:p>
    <w:p w14:paraId="690E59C7" w14:textId="77777777" w:rsidR="001F04FD" w:rsidRPr="0013396E" w:rsidRDefault="001F04FD" w:rsidP="001F04FD">
      <w:pPr>
        <w:pStyle w:val="List"/>
      </w:pPr>
      <w:r w:rsidRPr="0013396E">
        <w:t>(b)</w:t>
      </w:r>
      <w:r w:rsidRPr="0013396E">
        <w:tab/>
        <w:t>Hourly transformer flows, voltages and tap positions from the State Estimator, excluding transformer flows, voltages, and tap positions for Private Use Networks.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AC4DE5" w:rsidRPr="0013396E" w14:paraId="74A27BA5" w14:textId="77777777" w:rsidTr="00AE5CE8">
        <w:trPr>
          <w:trHeight w:val="206"/>
        </w:trPr>
        <w:tc>
          <w:tcPr>
            <w:tcW w:w="9576" w:type="dxa"/>
            <w:shd w:val="pct12" w:color="auto" w:fill="auto"/>
          </w:tcPr>
          <w:p w14:paraId="757EAE9D" w14:textId="603C059F" w:rsidR="00AC4DE5" w:rsidRPr="0013396E" w:rsidRDefault="00AC4DE5" w:rsidP="00AE5CE8">
            <w:pPr>
              <w:pStyle w:val="Instructions"/>
              <w:spacing w:before="120"/>
            </w:pPr>
            <w:r w:rsidRPr="0013396E">
              <w:t>[NPRR1239:  Replace paragraph (</w:t>
            </w:r>
            <w:r w:rsidR="00F3577E" w:rsidRPr="0013396E">
              <w:t>4</w:t>
            </w:r>
            <w:r w:rsidRPr="0013396E">
              <w:t>) above with the following upon system implementation:]</w:t>
            </w:r>
          </w:p>
          <w:p w14:paraId="35962E18" w14:textId="1F851CAC" w:rsidR="00AC4DE5" w:rsidRPr="0013396E" w:rsidRDefault="00AC4DE5" w:rsidP="00AC4DE5">
            <w:pPr>
              <w:spacing w:after="240"/>
              <w:ind w:left="720" w:hanging="720"/>
            </w:pPr>
            <w:r w:rsidRPr="0013396E">
              <w:t>(</w:t>
            </w:r>
            <w:r w:rsidR="00F3577E" w:rsidRPr="0013396E">
              <w:t>4</w:t>
            </w:r>
            <w:r w:rsidRPr="0013396E">
              <w:t>)</w:t>
            </w:r>
            <w:r w:rsidRPr="0013396E">
              <w:tab/>
              <w:t>Sixty days after the applicable Operating Day, ERCOT shall post on the ERCOT website, the following information:</w:t>
            </w:r>
          </w:p>
          <w:p w14:paraId="5D731693" w14:textId="77777777" w:rsidR="00AC4DE5" w:rsidRPr="0013396E" w:rsidRDefault="00AC4DE5" w:rsidP="00AC4DE5">
            <w:pPr>
              <w:spacing w:after="240"/>
              <w:ind w:left="1440" w:hanging="720"/>
            </w:pPr>
            <w:r w:rsidRPr="0013396E">
              <w:t>(a)</w:t>
            </w:r>
            <w:r w:rsidRPr="0013396E">
              <w:tab/>
              <w:t>Hourly transmission line flows and voltages from the State Estimator, excluding transmission line flows and voltages for Private Use Networks; and</w:t>
            </w:r>
          </w:p>
          <w:p w14:paraId="24DE0640" w14:textId="7FB51DE9" w:rsidR="00AC4DE5" w:rsidRPr="0013396E" w:rsidRDefault="00AC4DE5" w:rsidP="00AC4DE5">
            <w:pPr>
              <w:spacing w:after="240"/>
              <w:ind w:left="1440" w:hanging="720"/>
            </w:pPr>
            <w:r w:rsidRPr="0013396E">
              <w:t>(b)</w:t>
            </w:r>
            <w:r w:rsidRPr="0013396E">
              <w:tab/>
              <w:t>Hourly transformer flows, voltages and tap positions from the State Estimator, excluding transformer flows, voltages, and tap positions for Private Use Networks.</w:t>
            </w:r>
          </w:p>
        </w:tc>
      </w:tr>
    </w:tbl>
    <w:p w14:paraId="66970CD2" w14:textId="5B99A147" w:rsidR="001F04FD" w:rsidRPr="0013396E" w:rsidRDefault="001F04FD" w:rsidP="00952F33">
      <w:pPr>
        <w:spacing w:before="240" w:after="240"/>
        <w:ind w:left="720" w:hanging="720"/>
        <w:rPr>
          <w:iCs/>
        </w:rPr>
      </w:pPr>
      <w:r w:rsidRPr="0013396E">
        <w:rPr>
          <w:iCs/>
        </w:rPr>
        <w:t>(</w:t>
      </w:r>
      <w:r w:rsidR="00F3577E" w:rsidRPr="0013396E">
        <w:rPr>
          <w:iCs/>
        </w:rPr>
        <w:t>5</w:t>
      </w:r>
      <w:r w:rsidRPr="0013396E">
        <w:rPr>
          <w:iCs/>
        </w:rPr>
        <w:t>)</w:t>
      </w:r>
      <w:r w:rsidRPr="0013396E">
        <w:rPr>
          <w:iCs/>
        </w:rPr>
        <w:tab/>
        <w:t>Notwithstanding paragraph (</w:t>
      </w:r>
      <w:r w:rsidR="00F3577E" w:rsidRPr="0013396E">
        <w:rPr>
          <w:iCs/>
        </w:rPr>
        <w:t>4</w:t>
      </w:r>
      <w:r w:rsidRPr="0013396E">
        <w:rPr>
          <w:iCs/>
        </w:rPr>
        <w:t>) above, ERCOT, in its sole discretion, shall release relevant State Estimator data less than 60 days after the Operating Day if it determines the release is necessary to provide complete and timely explanation and analysis of unexpected market operations and results or system events including, but not limited to, pricing anomalies, recurring transmission congestion, and system disturbances.  ERCOT’s release of data under this paragraph shall be limited to intervals associated with the unexpected market or system event as determined by ERCOT.  The data release shall be made available simultaneously to all Market Participants.</w:t>
      </w:r>
    </w:p>
    <w:p w14:paraId="4BD3B2D9" w14:textId="6F409D89" w:rsidR="001F04FD" w:rsidRPr="0013396E" w:rsidRDefault="001F04FD" w:rsidP="001F04FD">
      <w:pPr>
        <w:pStyle w:val="List"/>
        <w:ind w:left="720"/>
        <w:rPr>
          <w:iCs/>
        </w:rPr>
      </w:pPr>
      <w:r w:rsidRPr="0013396E">
        <w:rPr>
          <w:iCs/>
        </w:rPr>
        <w:t>(</w:t>
      </w:r>
      <w:r w:rsidR="00F3577E" w:rsidRPr="0013396E">
        <w:rPr>
          <w:iCs/>
        </w:rPr>
        <w:t>6</w:t>
      </w:r>
      <w:r w:rsidRPr="0013396E">
        <w:rPr>
          <w:iCs/>
        </w:rPr>
        <w:t>)</w:t>
      </w:r>
      <w:r w:rsidRPr="0013396E">
        <w:rPr>
          <w:iCs/>
        </w:rPr>
        <w:tab/>
        <w:t xml:space="preserve">Every hour, ERCOT shall post on the </w:t>
      </w:r>
      <w:r w:rsidR="0007207E" w:rsidRPr="0013396E">
        <w:t>ERCOT website</w:t>
      </w:r>
      <w:r w:rsidRPr="0013396E">
        <w:rPr>
          <w:iCs/>
        </w:rPr>
        <w:t>, the sum of ERCOT generation, and flow on the DC Ties, all from the State Estimator.</w:t>
      </w:r>
    </w:p>
    <w:p w14:paraId="13811184" w14:textId="618AF624" w:rsidR="001F04FD" w:rsidRPr="0013396E" w:rsidRDefault="001F04FD" w:rsidP="001F04FD">
      <w:pPr>
        <w:spacing w:after="240"/>
        <w:ind w:left="720" w:hanging="720"/>
        <w:rPr>
          <w:iCs/>
        </w:rPr>
      </w:pPr>
      <w:r w:rsidRPr="0013396E">
        <w:rPr>
          <w:iCs/>
        </w:rPr>
        <w:t>(</w:t>
      </w:r>
      <w:r w:rsidR="00F3577E" w:rsidRPr="0013396E">
        <w:rPr>
          <w:iCs/>
        </w:rPr>
        <w:t>7</w:t>
      </w:r>
      <w:r w:rsidRPr="0013396E">
        <w:rPr>
          <w:iCs/>
        </w:rPr>
        <w:t>)</w:t>
      </w:r>
      <w:r w:rsidRPr="0013396E">
        <w:rPr>
          <w:iCs/>
        </w:rPr>
        <w:tab/>
      </w:r>
      <w:r w:rsidR="00F3577E" w:rsidRPr="0013396E">
        <w:rPr>
          <w:iCs/>
        </w:rPr>
        <w:t xml:space="preserve">After every SCED run, ERCOT shall post to the </w:t>
      </w:r>
      <w:r w:rsidR="00F3577E" w:rsidRPr="0013396E">
        <w:t>ERCOT website</w:t>
      </w:r>
      <w:r w:rsidR="00F3577E" w:rsidRPr="0013396E">
        <w:rPr>
          <w:iCs/>
        </w:rPr>
        <w:t xml:space="preserve"> the sum of the HDL and the sum of the LDL for all Generation Resources and ESRs On-Line and Dispatched by SCED.</w:t>
      </w:r>
      <w:r w:rsidRPr="0013396E">
        <w:rPr>
          <w:iCs/>
        </w:rPr>
        <w:t xml:space="preserve">   </w:t>
      </w:r>
    </w:p>
    <w:p w14:paraId="5989B0E5" w14:textId="16ADA3B3" w:rsidR="00C57701" w:rsidRPr="0013396E" w:rsidRDefault="00C57701" w:rsidP="007A1E53">
      <w:pPr>
        <w:spacing w:after="240"/>
        <w:ind w:left="720" w:hanging="720"/>
        <w:rPr>
          <w:iCs/>
        </w:rPr>
      </w:pPr>
      <w:r w:rsidRPr="0013396E">
        <w:rPr>
          <w:iCs/>
        </w:rPr>
        <w:lastRenderedPageBreak/>
        <w:t>(</w:t>
      </w:r>
      <w:r w:rsidR="00F3577E" w:rsidRPr="0013396E">
        <w:rPr>
          <w:iCs/>
        </w:rPr>
        <w:t>8</w:t>
      </w:r>
      <w:r w:rsidRPr="0013396E">
        <w:rPr>
          <w:iCs/>
        </w:rPr>
        <w:t>)</w:t>
      </w:r>
      <w:r w:rsidRPr="0013396E">
        <w:rPr>
          <w:iCs/>
        </w:rPr>
        <w:tab/>
      </w:r>
      <w:r w:rsidR="00F3577E" w:rsidRPr="0013396E">
        <w:rPr>
          <w:iCs/>
        </w:rPr>
        <w:t xml:space="preserve">Sixty days after the applicable Operating Day, ERCOT shall post to the </w:t>
      </w:r>
      <w:r w:rsidR="00F3577E" w:rsidRPr="0013396E">
        <w:t>ERCOT website</w:t>
      </w:r>
      <w:r w:rsidR="00F3577E" w:rsidRPr="0013396E">
        <w:rPr>
          <w:iCs/>
        </w:rPr>
        <w:t xml:space="preserve"> the summary LDL and HDL report from paragraph (</w:t>
      </w:r>
      <w:r w:rsidR="007A36C8">
        <w:rPr>
          <w:iCs/>
        </w:rPr>
        <w:t>7</w:t>
      </w:r>
      <w:r w:rsidR="00F3577E" w:rsidRPr="0013396E">
        <w:rPr>
          <w:iCs/>
        </w:rPr>
        <w:t>) above and include instances of manual overrides of HDL or LDL, including the name of the Generation Resource or ESR and the type of override.</w:t>
      </w:r>
    </w:p>
    <w:p w14:paraId="12542706" w14:textId="4CFD9FCE" w:rsidR="001F04FD" w:rsidRPr="0013396E" w:rsidRDefault="00C57701" w:rsidP="007A1E53">
      <w:pPr>
        <w:spacing w:after="240"/>
        <w:ind w:left="720" w:hanging="720"/>
        <w:rPr>
          <w:iCs/>
        </w:rPr>
      </w:pPr>
      <w:r w:rsidRPr="0013396E">
        <w:rPr>
          <w:iCs/>
        </w:rPr>
        <w:t>(</w:t>
      </w:r>
      <w:r w:rsidR="00F3577E" w:rsidRPr="0013396E">
        <w:rPr>
          <w:iCs/>
        </w:rPr>
        <w:t>9</w:t>
      </w:r>
      <w:r w:rsidRPr="0013396E">
        <w:rPr>
          <w:iCs/>
        </w:rPr>
        <w:t>)</w:t>
      </w:r>
      <w:r w:rsidRPr="0013396E">
        <w:rPr>
          <w:iCs/>
        </w:rPr>
        <w:tab/>
      </w:r>
      <w:r w:rsidR="00F3577E" w:rsidRPr="0013396E">
        <w:rPr>
          <w:iCs/>
        </w:rPr>
        <w:t>No sooner than sixty days after the applicable Operating Day, ERCOT shall provide to the appropriate Technical Advisory Committee (TAC) subcommittee instances of manual overrides of HDL or LDL, including the name of the Generation Resource or ESR, the reason for the override, and, as applicable, the cost as calculated in Section 6.6.3.6, Real-Time High Dispatch Limit Override Energy Payment.</w:t>
      </w:r>
    </w:p>
    <w:p w14:paraId="4169BEE3" w14:textId="1A9577D0" w:rsidR="001F04FD" w:rsidRPr="0013396E" w:rsidRDefault="001F04FD" w:rsidP="007A1E53">
      <w:pPr>
        <w:pStyle w:val="List"/>
        <w:ind w:left="720"/>
        <w:rPr>
          <w:iCs/>
        </w:rPr>
      </w:pPr>
      <w:r w:rsidRPr="0013396E">
        <w:t>(1</w:t>
      </w:r>
      <w:r w:rsidR="00F3577E" w:rsidRPr="0013396E">
        <w:t>0</w:t>
      </w:r>
      <w:r w:rsidRPr="0013396E">
        <w:t>)</w:t>
      </w:r>
      <w:r w:rsidRPr="0013396E">
        <w:tab/>
      </w:r>
      <w:r w:rsidR="00F3577E" w:rsidRPr="0013396E">
        <w:t>After every SCED run, ERCOT shall post to the MIS Certified Area, for any QSE, instances of a manual override of the HDL or LDL for a Generation Resource</w:t>
      </w:r>
      <w:r w:rsidR="00F3577E" w:rsidRPr="0013396E">
        <w:rPr>
          <w:iCs/>
        </w:rPr>
        <w:t xml:space="preserve"> or ESR</w:t>
      </w:r>
      <w:r w:rsidR="00F3577E" w:rsidRPr="0013396E">
        <w:t>, including the original and overridden HDL or LDL.</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9C388E" w:rsidRPr="0013396E" w14:paraId="08A8314A" w14:textId="77777777" w:rsidTr="009C388E">
        <w:trPr>
          <w:trHeight w:val="206"/>
        </w:trPr>
        <w:tc>
          <w:tcPr>
            <w:tcW w:w="9350" w:type="dxa"/>
            <w:tcBorders>
              <w:top w:val="single" w:sz="4" w:space="0" w:color="auto"/>
              <w:left w:val="single" w:sz="4" w:space="0" w:color="auto"/>
              <w:bottom w:val="single" w:sz="4" w:space="0" w:color="auto"/>
              <w:right w:val="single" w:sz="4" w:space="0" w:color="auto"/>
            </w:tcBorders>
            <w:shd w:val="pct12" w:color="auto" w:fill="auto"/>
          </w:tcPr>
          <w:p w14:paraId="23E001DB" w14:textId="621251FF" w:rsidR="009C388E" w:rsidRPr="0013396E" w:rsidRDefault="009C388E" w:rsidP="00E844EE">
            <w:pPr>
              <w:pStyle w:val="Instructions"/>
              <w:spacing w:before="120"/>
            </w:pPr>
            <w:bookmarkStart w:id="863" w:name="_Toc397504969"/>
            <w:bookmarkStart w:id="864" w:name="_Toc402357097"/>
            <w:bookmarkStart w:id="865" w:name="_Toc422486477"/>
            <w:bookmarkStart w:id="866" w:name="_Toc433093329"/>
            <w:bookmarkStart w:id="867" w:name="_Toc433093487"/>
            <w:bookmarkStart w:id="868" w:name="_Toc440874716"/>
            <w:bookmarkStart w:id="869" w:name="_Toc448142271"/>
            <w:bookmarkStart w:id="870" w:name="_Toc448142428"/>
            <w:bookmarkStart w:id="871" w:name="_Toc458770264"/>
            <w:bookmarkStart w:id="872" w:name="_Toc459294232"/>
            <w:bookmarkStart w:id="873" w:name="_Toc463262725"/>
            <w:bookmarkStart w:id="874" w:name="_Toc468286799"/>
            <w:bookmarkStart w:id="875" w:name="_Toc481502845"/>
            <w:bookmarkStart w:id="876" w:name="_Toc496080013"/>
            <w:bookmarkStart w:id="877" w:name="_Toc74137345"/>
            <w:bookmarkStart w:id="878" w:name="_Toc73216017"/>
            <w:r w:rsidRPr="0013396E">
              <w:t>[NPRR1226:  Insert paragraph (1</w:t>
            </w:r>
            <w:r w:rsidR="00F3577E" w:rsidRPr="0013396E">
              <w:t>1</w:t>
            </w:r>
            <w:r w:rsidRPr="0013396E">
              <w:t>) below upon system implementation:]</w:t>
            </w:r>
          </w:p>
          <w:p w14:paraId="63B3ED6C" w14:textId="5B63138A" w:rsidR="009C388E" w:rsidRPr="0013396E" w:rsidRDefault="009C388E" w:rsidP="009C388E">
            <w:pPr>
              <w:spacing w:after="240"/>
              <w:ind w:left="720" w:hanging="720"/>
            </w:pPr>
            <w:r w:rsidRPr="0013396E">
              <w:t>(1</w:t>
            </w:r>
            <w:r w:rsidR="00F3577E" w:rsidRPr="0013396E">
              <w:t>1</w:t>
            </w:r>
            <w:r w:rsidRPr="0013396E">
              <w:t>)</w:t>
            </w:r>
            <w:r w:rsidRPr="0013396E">
              <w:tab/>
              <w:t xml:space="preserve">After every SCED run, ERCOT shall prepare and publish estimated Demand response  data showing aggregated State Estimated Load (SEL) load points selected by ERCOT. </w:t>
            </w:r>
            <w:r w:rsidR="00A07A61" w:rsidRPr="0013396E">
              <w:t xml:space="preserve"> </w:t>
            </w:r>
            <w:r w:rsidRPr="0013396E">
              <w:t xml:space="preserve">The selection of Loads to be aggregated for the report will be based on periodically updated off-line analysis of the frequency and magnitude of reductions observed in historical State Estimator load data that is associated with market signals such as Locational Marginal Prices (LMPs), high levels of summer month ERCOT load, </w:t>
            </w:r>
            <w:r w:rsidRPr="0013396E">
              <w:rPr>
                <w:szCs w:val="24"/>
              </w:rPr>
              <w:t>ERCOT-wide appeal(s) through public voluntary energy appeal</w:t>
            </w:r>
            <w:r w:rsidRPr="0013396E">
              <w:t>, or other ERCOT actions.</w:t>
            </w:r>
          </w:p>
        </w:tc>
      </w:tr>
    </w:tbl>
    <w:p w14:paraId="10CCDCAA" w14:textId="77777777" w:rsidR="001F04FD" w:rsidRPr="0013396E" w:rsidRDefault="001F04FD" w:rsidP="005867E8">
      <w:pPr>
        <w:pStyle w:val="H4"/>
        <w:spacing w:before="480"/>
        <w:ind w:left="1267" w:hanging="1267"/>
      </w:pPr>
      <w:bookmarkStart w:id="879" w:name="_Toc214878913"/>
      <w:r w:rsidRPr="0013396E">
        <w:t>6.5.7.2</w:t>
      </w:r>
      <w:r w:rsidRPr="0013396E">
        <w:tab/>
        <w:t>Resource Limit Calculator</w:t>
      </w:r>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9"/>
    </w:p>
    <w:p w14:paraId="7D0E7957" w14:textId="77777777" w:rsidR="005D316E" w:rsidRPr="0013396E" w:rsidRDefault="005D316E" w:rsidP="005D316E">
      <w:pPr>
        <w:spacing w:after="240"/>
        <w:ind w:left="720" w:hanging="720"/>
      </w:pPr>
      <w:r w:rsidRPr="0013396E">
        <w:t>(1)</w:t>
      </w:r>
      <w:r w:rsidRPr="0013396E">
        <w:tab/>
        <w:t>ERCOT shall calculate the HDL and LDL within four seconds after a change of the Resource-specific attributes provided as part of the QSE’s SCADA telemetry under Section 6.5.5.2, Operational Data Requirements.  The formulas described below define which Resource-specific attributes must be used to calculate each Resource limit.  The Resource limits are used as inputs into both the SCED process and the Ancillary Service Capacity Monitor as described in Section 6.5.7.6, Load Frequency Control.  These Resource limits help ensure that the deployments produced by the SCED and Load Frequency Control (LFC) processes will respect individual Resource physical limitations.</w:t>
      </w:r>
    </w:p>
    <w:p w14:paraId="2F51F4FE" w14:textId="77777777" w:rsidR="005D316E" w:rsidRPr="0013396E" w:rsidRDefault="005D316E" w:rsidP="005D316E">
      <w:pPr>
        <w:spacing w:before="240" w:after="240"/>
        <w:ind w:left="720" w:hanging="720"/>
        <w:rPr>
          <w:iCs/>
        </w:rPr>
      </w:pPr>
      <w:r w:rsidRPr="0013396E">
        <w:rPr>
          <w:iCs/>
        </w:rPr>
        <w:t>(2)</w:t>
      </w:r>
      <w:r w:rsidRPr="0013396E">
        <w:rPr>
          <w:iCs/>
        </w:rPr>
        <w:tab/>
        <w:t xml:space="preserve">For </w:t>
      </w:r>
      <w:r w:rsidRPr="0013396E">
        <w:t xml:space="preserve">SCED-dispatchable </w:t>
      </w:r>
      <w:r w:rsidRPr="0013396E">
        <w:rPr>
          <w:iCs/>
        </w:rPr>
        <w:t>Generation Resources, HDL is calculated as follows:</w:t>
      </w:r>
    </w:p>
    <w:p w14:paraId="76308DCF" w14:textId="77777777" w:rsidR="005D316E" w:rsidRPr="0013396E" w:rsidRDefault="005D316E" w:rsidP="005D316E">
      <w:pPr>
        <w:spacing w:after="240"/>
        <w:ind w:left="1440" w:hanging="720"/>
        <w:rPr>
          <w:iCs/>
        </w:rPr>
      </w:pPr>
      <w:r w:rsidRPr="0013396E">
        <w:rPr>
          <w:iCs/>
        </w:rPr>
        <w:t>(a)</w:t>
      </w:r>
      <w:r w:rsidRPr="0013396E">
        <w:rPr>
          <w:iCs/>
        </w:rPr>
        <w:tab/>
        <w:t>If the telemetered Resource Status is SHUTDOWN, then</w:t>
      </w:r>
    </w:p>
    <w:p w14:paraId="3FBD40BA" w14:textId="77777777" w:rsidR="005D316E" w:rsidRPr="0013396E" w:rsidRDefault="005D316E" w:rsidP="005D316E">
      <w:pPr>
        <w:spacing w:after="240"/>
        <w:ind w:left="1440" w:hanging="720"/>
        <w:rPr>
          <w:b/>
          <w:iCs/>
        </w:rPr>
      </w:pPr>
      <w:r w:rsidRPr="0013396E">
        <w:rPr>
          <w:b/>
          <w:iCs/>
        </w:rPr>
        <w:t>HDL</w:t>
      </w:r>
      <w:r w:rsidRPr="0013396E">
        <w:rPr>
          <w:b/>
          <w:iCs/>
        </w:rPr>
        <w:tab/>
        <w:t>=</w:t>
      </w:r>
      <w:r w:rsidRPr="0013396E">
        <w:rPr>
          <w:b/>
          <w:iCs/>
        </w:rPr>
        <w:tab/>
        <w:t>POWERTELEM – (</w:t>
      </w:r>
      <w:r w:rsidRPr="0013396E">
        <w:rPr>
          <w:b/>
          <w:bCs/>
          <w:lang w:val="de-DE"/>
        </w:rPr>
        <w:t>NORMRAMPDN</w:t>
      </w:r>
      <w:r w:rsidRPr="0013396E">
        <w:rPr>
          <w:b/>
          <w:iCs/>
        </w:rPr>
        <w:t xml:space="preserve"> * 5)</w:t>
      </w:r>
    </w:p>
    <w:p w14:paraId="5A68E33B" w14:textId="77777777" w:rsidR="005D316E" w:rsidRPr="0013396E" w:rsidRDefault="005D316E" w:rsidP="005D316E">
      <w:pPr>
        <w:spacing w:after="240"/>
        <w:ind w:left="1440" w:hanging="720"/>
        <w:rPr>
          <w:iCs/>
        </w:rPr>
      </w:pPr>
      <w:r w:rsidRPr="0013396E">
        <w:rPr>
          <w:iCs/>
        </w:rPr>
        <w:lastRenderedPageBreak/>
        <w:t>(b)</w:t>
      </w:r>
      <w:r w:rsidRPr="0013396E">
        <w:rPr>
          <w:iCs/>
        </w:rPr>
        <w:tab/>
        <w:t>If the telemetered Resource Status is any status code specified in item (5)(b)(i) of Section 3.9.1, Current Operating Plan (COP) Criteria, other than SHUTDOWN, then</w:t>
      </w:r>
    </w:p>
    <w:p w14:paraId="04E2291A" w14:textId="77777777" w:rsidR="005D316E" w:rsidRPr="0013396E" w:rsidRDefault="005D316E" w:rsidP="005D316E">
      <w:pPr>
        <w:spacing w:after="240"/>
        <w:ind w:left="1440" w:hanging="720"/>
        <w:rPr>
          <w:b/>
        </w:rPr>
      </w:pPr>
      <w:r w:rsidRPr="0013396E">
        <w:rPr>
          <w:b/>
        </w:rPr>
        <w:t>HDL</w:t>
      </w:r>
      <w:r w:rsidRPr="0013396E">
        <w:rPr>
          <w:b/>
        </w:rPr>
        <w:tab/>
        <w:t>=</w:t>
      </w:r>
      <w:r w:rsidRPr="0013396E">
        <w:rPr>
          <w:b/>
        </w:rPr>
        <w:tab/>
        <w:t>Min (POWERTELEM + (</w:t>
      </w:r>
      <w:r w:rsidRPr="0013396E">
        <w:rPr>
          <w:b/>
          <w:bCs/>
          <w:lang w:val="de-DE"/>
        </w:rPr>
        <w:t xml:space="preserve">NORMRAMPUP </w:t>
      </w:r>
      <w:r w:rsidRPr="0013396E">
        <w:rPr>
          <w:b/>
        </w:rPr>
        <w:t>* 5), HSLTELEM)</w:t>
      </w: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657"/>
        <w:gridCol w:w="6199"/>
      </w:tblGrid>
      <w:tr w:rsidR="005D316E" w:rsidRPr="0013396E" w14:paraId="3C082733" w14:textId="77777777" w:rsidTr="005B61C1">
        <w:tc>
          <w:tcPr>
            <w:tcW w:w="1500" w:type="pct"/>
          </w:tcPr>
          <w:p w14:paraId="734F75AD" w14:textId="77777777" w:rsidR="005D316E" w:rsidRPr="0013396E" w:rsidRDefault="005D316E" w:rsidP="005B61C1">
            <w:pPr>
              <w:spacing w:after="120"/>
              <w:rPr>
                <w:b/>
                <w:iCs/>
                <w:sz w:val="20"/>
              </w:rPr>
            </w:pPr>
            <w:r w:rsidRPr="0013396E">
              <w:rPr>
                <w:b/>
                <w:iCs/>
                <w:sz w:val="20"/>
              </w:rPr>
              <w:t>Variable</w:t>
            </w:r>
          </w:p>
        </w:tc>
        <w:tc>
          <w:tcPr>
            <w:tcW w:w="3500" w:type="pct"/>
          </w:tcPr>
          <w:p w14:paraId="4A6266A2" w14:textId="77777777" w:rsidR="005D316E" w:rsidRPr="0013396E" w:rsidRDefault="005D316E" w:rsidP="005B61C1">
            <w:pPr>
              <w:spacing w:after="120"/>
              <w:rPr>
                <w:b/>
                <w:iCs/>
                <w:sz w:val="20"/>
              </w:rPr>
            </w:pPr>
            <w:r w:rsidRPr="0013396E">
              <w:rPr>
                <w:b/>
                <w:iCs/>
                <w:sz w:val="20"/>
              </w:rPr>
              <w:t>Description</w:t>
            </w:r>
          </w:p>
        </w:tc>
      </w:tr>
      <w:tr w:rsidR="005D316E" w:rsidRPr="0013396E" w14:paraId="64E418C7" w14:textId="77777777" w:rsidTr="005B61C1">
        <w:trPr>
          <w:cantSplit/>
        </w:trPr>
        <w:tc>
          <w:tcPr>
            <w:tcW w:w="1500" w:type="pct"/>
          </w:tcPr>
          <w:p w14:paraId="1FD49AE8" w14:textId="77777777" w:rsidR="005D316E" w:rsidRPr="0013396E" w:rsidRDefault="005D316E" w:rsidP="005B61C1">
            <w:pPr>
              <w:spacing w:after="60"/>
              <w:rPr>
                <w:iCs/>
                <w:sz w:val="20"/>
              </w:rPr>
            </w:pPr>
            <w:r w:rsidRPr="0013396E">
              <w:rPr>
                <w:iCs/>
                <w:sz w:val="20"/>
              </w:rPr>
              <w:t>HDL</w:t>
            </w:r>
          </w:p>
        </w:tc>
        <w:tc>
          <w:tcPr>
            <w:tcW w:w="3500" w:type="pct"/>
          </w:tcPr>
          <w:p w14:paraId="3A4785C8" w14:textId="77777777" w:rsidR="005D316E" w:rsidRPr="0013396E" w:rsidRDefault="005D316E" w:rsidP="005B61C1">
            <w:pPr>
              <w:spacing w:after="60"/>
              <w:rPr>
                <w:iCs/>
                <w:sz w:val="20"/>
              </w:rPr>
            </w:pPr>
            <w:r w:rsidRPr="0013396E">
              <w:rPr>
                <w:iCs/>
                <w:sz w:val="20"/>
              </w:rPr>
              <w:t>High Dispatch Limit.</w:t>
            </w:r>
          </w:p>
        </w:tc>
      </w:tr>
      <w:tr w:rsidR="005D316E" w:rsidRPr="0013396E" w14:paraId="68695815" w14:textId="77777777" w:rsidTr="005B61C1">
        <w:trPr>
          <w:cantSplit/>
        </w:trPr>
        <w:tc>
          <w:tcPr>
            <w:tcW w:w="1500" w:type="pct"/>
          </w:tcPr>
          <w:p w14:paraId="1D97834E" w14:textId="77777777" w:rsidR="005D316E" w:rsidRPr="0013396E" w:rsidRDefault="005D316E" w:rsidP="005B61C1">
            <w:pPr>
              <w:spacing w:after="60"/>
              <w:rPr>
                <w:iCs/>
                <w:sz w:val="20"/>
              </w:rPr>
            </w:pPr>
            <w:r w:rsidRPr="0013396E">
              <w:rPr>
                <w:iCs/>
                <w:sz w:val="20"/>
              </w:rPr>
              <w:t>POWERTELEM</w:t>
            </w:r>
          </w:p>
        </w:tc>
        <w:tc>
          <w:tcPr>
            <w:tcW w:w="3500" w:type="pct"/>
          </w:tcPr>
          <w:p w14:paraId="58950839" w14:textId="77777777" w:rsidR="005D316E" w:rsidRPr="0013396E" w:rsidRDefault="005D316E" w:rsidP="005B61C1">
            <w:pPr>
              <w:spacing w:after="60"/>
              <w:rPr>
                <w:iCs/>
                <w:sz w:val="20"/>
              </w:rPr>
            </w:pPr>
            <w:r w:rsidRPr="0013396E">
              <w:rPr>
                <w:iCs/>
                <w:sz w:val="20"/>
              </w:rPr>
              <w:t xml:space="preserve">Gross or net real power provided via telemetry. </w:t>
            </w:r>
          </w:p>
        </w:tc>
      </w:tr>
      <w:tr w:rsidR="005D316E" w:rsidRPr="0013396E" w14:paraId="4755598F" w14:textId="77777777" w:rsidTr="005B61C1">
        <w:trPr>
          <w:cantSplit/>
        </w:trPr>
        <w:tc>
          <w:tcPr>
            <w:tcW w:w="1500" w:type="pct"/>
          </w:tcPr>
          <w:p w14:paraId="2C65149E" w14:textId="77777777" w:rsidR="005D316E" w:rsidRPr="0013396E" w:rsidRDefault="005D316E" w:rsidP="005B61C1">
            <w:pPr>
              <w:spacing w:after="60"/>
              <w:rPr>
                <w:iCs/>
                <w:sz w:val="20"/>
              </w:rPr>
            </w:pPr>
            <w:r w:rsidRPr="0013396E">
              <w:rPr>
                <w:iCs/>
                <w:sz w:val="20"/>
              </w:rPr>
              <w:t>NORMRAMPDN</w:t>
            </w:r>
          </w:p>
        </w:tc>
        <w:tc>
          <w:tcPr>
            <w:tcW w:w="3500" w:type="pct"/>
          </w:tcPr>
          <w:p w14:paraId="3CD4B5F5" w14:textId="77777777" w:rsidR="005D316E" w:rsidRPr="0013396E" w:rsidRDefault="005D316E" w:rsidP="005B61C1">
            <w:pPr>
              <w:spacing w:after="60"/>
              <w:rPr>
                <w:iCs/>
                <w:sz w:val="20"/>
              </w:rPr>
            </w:pPr>
            <w:r w:rsidRPr="0013396E">
              <w:rPr>
                <w:iCs/>
                <w:sz w:val="20"/>
              </w:rPr>
              <w:t>5-minute blended Normal Ramp Rate down, as telemetered by the QSE.</w:t>
            </w:r>
          </w:p>
        </w:tc>
      </w:tr>
      <w:tr w:rsidR="005D316E" w:rsidRPr="0013396E" w14:paraId="4B84D9B4" w14:textId="77777777" w:rsidTr="005B61C1">
        <w:trPr>
          <w:cantSplit/>
        </w:trPr>
        <w:tc>
          <w:tcPr>
            <w:tcW w:w="1500" w:type="pct"/>
          </w:tcPr>
          <w:p w14:paraId="3059AFD2" w14:textId="77777777" w:rsidR="005D316E" w:rsidRPr="0013396E" w:rsidRDefault="005D316E" w:rsidP="005B61C1">
            <w:pPr>
              <w:spacing w:after="60"/>
              <w:rPr>
                <w:iCs/>
                <w:sz w:val="20"/>
              </w:rPr>
            </w:pPr>
            <w:r w:rsidRPr="0013396E">
              <w:rPr>
                <w:iCs/>
                <w:sz w:val="20"/>
              </w:rPr>
              <w:t>NORMRAMPUP</w:t>
            </w:r>
          </w:p>
        </w:tc>
        <w:tc>
          <w:tcPr>
            <w:tcW w:w="3500" w:type="pct"/>
          </w:tcPr>
          <w:p w14:paraId="7BBAE234" w14:textId="77777777" w:rsidR="005D316E" w:rsidRPr="0013396E" w:rsidRDefault="005D316E" w:rsidP="005B61C1">
            <w:pPr>
              <w:spacing w:after="60"/>
              <w:ind w:left="720" w:hanging="720"/>
              <w:rPr>
                <w:iCs/>
                <w:sz w:val="20"/>
              </w:rPr>
            </w:pPr>
            <w:r w:rsidRPr="0013396E">
              <w:rPr>
                <w:iCs/>
                <w:sz w:val="20"/>
              </w:rPr>
              <w:t>5-minute blended Normal Ramp Rate up, as telemetered by the QSE.</w:t>
            </w:r>
          </w:p>
        </w:tc>
      </w:tr>
      <w:tr w:rsidR="005D316E" w:rsidRPr="0013396E" w14:paraId="0E7F4024" w14:textId="77777777" w:rsidTr="005B61C1">
        <w:trPr>
          <w:cantSplit/>
        </w:trPr>
        <w:tc>
          <w:tcPr>
            <w:tcW w:w="1500" w:type="pct"/>
          </w:tcPr>
          <w:p w14:paraId="42A0AF20" w14:textId="77777777" w:rsidR="005D316E" w:rsidRPr="0013396E" w:rsidRDefault="005D316E" w:rsidP="005B61C1">
            <w:pPr>
              <w:spacing w:after="60"/>
              <w:rPr>
                <w:iCs/>
                <w:sz w:val="20"/>
              </w:rPr>
            </w:pPr>
            <w:r w:rsidRPr="0013396E">
              <w:rPr>
                <w:iCs/>
                <w:sz w:val="20"/>
              </w:rPr>
              <w:t>HSLTELEM</w:t>
            </w:r>
          </w:p>
        </w:tc>
        <w:tc>
          <w:tcPr>
            <w:tcW w:w="3500" w:type="pct"/>
          </w:tcPr>
          <w:p w14:paraId="296B2536" w14:textId="77777777" w:rsidR="005D316E" w:rsidRPr="0013396E" w:rsidRDefault="005D316E" w:rsidP="005B61C1">
            <w:pPr>
              <w:spacing w:after="60"/>
              <w:rPr>
                <w:iCs/>
                <w:sz w:val="20"/>
              </w:rPr>
            </w:pPr>
            <w:r w:rsidRPr="0013396E">
              <w:rPr>
                <w:iCs/>
                <w:sz w:val="20"/>
              </w:rPr>
              <w:t>For IRRs qualified to provide an Ancillary Service and telemetering a non-zero capability to provide that Ancillary Service, and all IRRs within an IRR Group where any IRR within the IRR Group is qualified to provide an Ancillary Service and telemetering a non-zero capability to provide that Ancillary Service, HSLTELEM shall be the five-minute intra-hour forecast for the Resource.  For all other Resources, HSLTELEM shall be the Resource’s HSL provided to ERCOT via telemetry, in accordance with Section 6.5.5.2.</w:t>
            </w:r>
          </w:p>
        </w:tc>
      </w:tr>
    </w:tbl>
    <w:p w14:paraId="42CC6F68" w14:textId="77777777" w:rsidR="005D316E" w:rsidRPr="0013396E" w:rsidRDefault="005D316E" w:rsidP="005D316E">
      <w:pPr>
        <w:spacing w:after="240"/>
        <w:rPr>
          <w:iCs/>
        </w:rPr>
      </w:pPr>
      <w:r w:rsidRPr="0013396E">
        <w:rPr>
          <w:iCs/>
        </w:rPr>
        <w:br/>
        <w:t>(3)</w:t>
      </w:r>
      <w:r w:rsidRPr="0013396E">
        <w:rPr>
          <w:iCs/>
        </w:rPr>
        <w:tab/>
        <w:t xml:space="preserve">For </w:t>
      </w:r>
      <w:r w:rsidRPr="0013396E">
        <w:t xml:space="preserve">SCED-dispatchable </w:t>
      </w:r>
      <w:r w:rsidRPr="0013396E">
        <w:rPr>
          <w:iCs/>
        </w:rPr>
        <w:t>Generation Resources, LDL is calculated as follows:</w:t>
      </w:r>
    </w:p>
    <w:p w14:paraId="37DAC9D0" w14:textId="77777777" w:rsidR="005D316E" w:rsidRPr="0013396E" w:rsidRDefault="005D316E" w:rsidP="005D316E">
      <w:pPr>
        <w:spacing w:after="240"/>
        <w:ind w:left="1440" w:hanging="720"/>
        <w:rPr>
          <w:iCs/>
        </w:rPr>
      </w:pPr>
      <w:r w:rsidRPr="0013396E">
        <w:rPr>
          <w:iCs/>
        </w:rPr>
        <w:t>(a)</w:t>
      </w:r>
      <w:r w:rsidRPr="0013396E">
        <w:rPr>
          <w:iCs/>
        </w:rPr>
        <w:tab/>
        <w:t>If the telemetered Resource Status is STARTUP, then</w:t>
      </w:r>
    </w:p>
    <w:p w14:paraId="5F7D1304" w14:textId="77777777" w:rsidR="005D316E" w:rsidRPr="0013396E" w:rsidRDefault="005D316E" w:rsidP="005D316E">
      <w:pPr>
        <w:spacing w:after="240"/>
        <w:ind w:left="1440" w:hanging="720"/>
        <w:rPr>
          <w:b/>
          <w:iCs/>
        </w:rPr>
      </w:pPr>
      <w:r w:rsidRPr="0013396E">
        <w:rPr>
          <w:b/>
          <w:iCs/>
        </w:rPr>
        <w:t>LDL</w:t>
      </w:r>
      <w:r w:rsidRPr="0013396E">
        <w:rPr>
          <w:b/>
          <w:iCs/>
        </w:rPr>
        <w:tab/>
        <w:t>=</w:t>
      </w:r>
      <w:r w:rsidRPr="0013396E">
        <w:rPr>
          <w:b/>
          <w:iCs/>
        </w:rPr>
        <w:tab/>
        <w:t>POWERTELEM + (</w:t>
      </w:r>
      <w:r w:rsidRPr="0013396E">
        <w:rPr>
          <w:b/>
          <w:bCs/>
          <w:lang w:val="de-DE"/>
        </w:rPr>
        <w:t xml:space="preserve">NORMRAMPUP </w:t>
      </w:r>
      <w:r w:rsidRPr="0013396E">
        <w:rPr>
          <w:b/>
          <w:iCs/>
        </w:rPr>
        <w:t>* 5)</w:t>
      </w:r>
    </w:p>
    <w:p w14:paraId="5C4F7437" w14:textId="77777777" w:rsidR="005D316E" w:rsidRPr="0013396E" w:rsidRDefault="005D316E" w:rsidP="005D316E">
      <w:pPr>
        <w:spacing w:after="240"/>
        <w:ind w:left="1440" w:hanging="720"/>
        <w:rPr>
          <w:iCs/>
        </w:rPr>
      </w:pPr>
      <w:r w:rsidRPr="0013396E">
        <w:rPr>
          <w:iCs/>
        </w:rPr>
        <w:t>(b)</w:t>
      </w:r>
      <w:r w:rsidRPr="0013396E">
        <w:rPr>
          <w:iCs/>
        </w:rPr>
        <w:tab/>
        <w:t>If the telemetered Resource Status is any status code specified in item (5)(b)(i) of Section 3.9.1 other than STARTUP, then</w:t>
      </w:r>
    </w:p>
    <w:p w14:paraId="6F2A542B" w14:textId="77777777" w:rsidR="005D316E" w:rsidRPr="0013396E" w:rsidRDefault="005D316E" w:rsidP="005D316E">
      <w:pPr>
        <w:ind w:left="1440" w:hanging="720"/>
        <w:rPr>
          <w:b/>
        </w:rPr>
      </w:pPr>
      <w:r w:rsidRPr="0013396E">
        <w:rPr>
          <w:b/>
        </w:rPr>
        <w:t>LDL</w:t>
      </w:r>
      <w:r w:rsidRPr="0013396E">
        <w:rPr>
          <w:b/>
        </w:rPr>
        <w:tab/>
        <w:t>=</w:t>
      </w:r>
      <w:r w:rsidRPr="0013396E">
        <w:rPr>
          <w:b/>
        </w:rPr>
        <w:tab/>
        <w:t>Max (POWERTELEM - (</w:t>
      </w:r>
      <w:r w:rsidRPr="0013396E">
        <w:rPr>
          <w:b/>
          <w:bCs/>
          <w:lang w:val="de-DE"/>
        </w:rPr>
        <w:t>NORMRAMPDN</w:t>
      </w:r>
      <w:r w:rsidRPr="0013396E" w:rsidDel="008E3707">
        <w:rPr>
          <w:b/>
        </w:rPr>
        <w:t xml:space="preserve"> </w:t>
      </w:r>
      <w:r w:rsidRPr="0013396E">
        <w:rPr>
          <w:b/>
        </w:rPr>
        <w:t>* 5), LSLTELEM)</w:t>
      </w:r>
      <w:r w:rsidRPr="0013396E">
        <w:rPr>
          <w:b/>
        </w:rPr>
        <w:br/>
      </w: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657"/>
        <w:gridCol w:w="6199"/>
      </w:tblGrid>
      <w:tr w:rsidR="005D316E" w:rsidRPr="0013396E" w14:paraId="56B72878" w14:textId="77777777" w:rsidTr="005B61C1">
        <w:tc>
          <w:tcPr>
            <w:tcW w:w="1500" w:type="pct"/>
          </w:tcPr>
          <w:p w14:paraId="45EBEEEE" w14:textId="77777777" w:rsidR="005D316E" w:rsidRPr="0013396E" w:rsidRDefault="005D316E" w:rsidP="005B61C1">
            <w:pPr>
              <w:spacing w:after="120"/>
              <w:rPr>
                <w:b/>
                <w:iCs/>
                <w:sz w:val="20"/>
              </w:rPr>
            </w:pPr>
            <w:r w:rsidRPr="0013396E">
              <w:rPr>
                <w:b/>
                <w:iCs/>
                <w:sz w:val="20"/>
              </w:rPr>
              <w:t>Variable</w:t>
            </w:r>
          </w:p>
        </w:tc>
        <w:tc>
          <w:tcPr>
            <w:tcW w:w="3500" w:type="pct"/>
          </w:tcPr>
          <w:p w14:paraId="0739FD4D" w14:textId="77777777" w:rsidR="005D316E" w:rsidRPr="0013396E" w:rsidRDefault="005D316E" w:rsidP="005B61C1">
            <w:pPr>
              <w:spacing w:after="120"/>
              <w:rPr>
                <w:b/>
                <w:iCs/>
                <w:sz w:val="20"/>
              </w:rPr>
            </w:pPr>
            <w:r w:rsidRPr="0013396E">
              <w:rPr>
                <w:b/>
                <w:iCs/>
                <w:sz w:val="20"/>
              </w:rPr>
              <w:t>Description</w:t>
            </w:r>
          </w:p>
        </w:tc>
      </w:tr>
      <w:tr w:rsidR="005D316E" w:rsidRPr="0013396E" w14:paraId="0BA04953" w14:textId="77777777" w:rsidTr="005B61C1">
        <w:trPr>
          <w:cantSplit/>
        </w:trPr>
        <w:tc>
          <w:tcPr>
            <w:tcW w:w="1500" w:type="pct"/>
          </w:tcPr>
          <w:p w14:paraId="4B9877F5" w14:textId="77777777" w:rsidR="005D316E" w:rsidRPr="0013396E" w:rsidRDefault="005D316E" w:rsidP="005B61C1">
            <w:pPr>
              <w:spacing w:after="60"/>
              <w:rPr>
                <w:iCs/>
                <w:sz w:val="20"/>
              </w:rPr>
            </w:pPr>
            <w:r w:rsidRPr="0013396E">
              <w:rPr>
                <w:iCs/>
                <w:sz w:val="20"/>
              </w:rPr>
              <w:t>LDL</w:t>
            </w:r>
          </w:p>
        </w:tc>
        <w:tc>
          <w:tcPr>
            <w:tcW w:w="3500" w:type="pct"/>
          </w:tcPr>
          <w:p w14:paraId="333ECF37" w14:textId="77777777" w:rsidR="005D316E" w:rsidRPr="0013396E" w:rsidRDefault="005D316E" w:rsidP="005B61C1">
            <w:pPr>
              <w:spacing w:after="60"/>
              <w:rPr>
                <w:iCs/>
                <w:sz w:val="20"/>
              </w:rPr>
            </w:pPr>
            <w:r w:rsidRPr="0013396E">
              <w:rPr>
                <w:iCs/>
                <w:sz w:val="20"/>
              </w:rPr>
              <w:t>Low Dispatch Limit.</w:t>
            </w:r>
          </w:p>
        </w:tc>
      </w:tr>
      <w:tr w:rsidR="005D316E" w:rsidRPr="0013396E" w14:paraId="0BE27DA6" w14:textId="77777777" w:rsidTr="005B61C1">
        <w:trPr>
          <w:cantSplit/>
        </w:trPr>
        <w:tc>
          <w:tcPr>
            <w:tcW w:w="1500" w:type="pct"/>
          </w:tcPr>
          <w:p w14:paraId="1F29AE8D" w14:textId="77777777" w:rsidR="005D316E" w:rsidRPr="0013396E" w:rsidRDefault="005D316E" w:rsidP="005B61C1">
            <w:pPr>
              <w:spacing w:after="60"/>
              <w:rPr>
                <w:iCs/>
                <w:sz w:val="20"/>
              </w:rPr>
            </w:pPr>
            <w:r w:rsidRPr="0013396E">
              <w:rPr>
                <w:iCs/>
                <w:sz w:val="20"/>
              </w:rPr>
              <w:t>POWERTELEM</w:t>
            </w:r>
          </w:p>
        </w:tc>
        <w:tc>
          <w:tcPr>
            <w:tcW w:w="3500" w:type="pct"/>
          </w:tcPr>
          <w:p w14:paraId="1D1A0FF2" w14:textId="77777777" w:rsidR="005D316E" w:rsidRPr="0013396E" w:rsidRDefault="005D316E" w:rsidP="005B61C1">
            <w:pPr>
              <w:spacing w:after="60"/>
              <w:rPr>
                <w:iCs/>
                <w:sz w:val="20"/>
              </w:rPr>
            </w:pPr>
            <w:r w:rsidRPr="0013396E">
              <w:rPr>
                <w:iCs/>
                <w:sz w:val="20"/>
              </w:rPr>
              <w:t>Gross or net real power provided via telemetry.</w:t>
            </w:r>
          </w:p>
        </w:tc>
      </w:tr>
      <w:tr w:rsidR="005D316E" w:rsidRPr="0013396E" w14:paraId="24BFF3AB" w14:textId="77777777" w:rsidTr="005B61C1">
        <w:trPr>
          <w:cantSplit/>
        </w:trPr>
        <w:tc>
          <w:tcPr>
            <w:tcW w:w="1500" w:type="pct"/>
          </w:tcPr>
          <w:p w14:paraId="0AFB0EC4" w14:textId="77777777" w:rsidR="005D316E" w:rsidRPr="0013396E" w:rsidRDefault="005D316E" w:rsidP="005B61C1">
            <w:pPr>
              <w:spacing w:after="60"/>
              <w:rPr>
                <w:iCs/>
                <w:sz w:val="20"/>
              </w:rPr>
            </w:pPr>
            <w:r w:rsidRPr="0013396E">
              <w:rPr>
                <w:iCs/>
                <w:sz w:val="20"/>
              </w:rPr>
              <w:t>LSLTELEM</w:t>
            </w:r>
          </w:p>
        </w:tc>
        <w:tc>
          <w:tcPr>
            <w:tcW w:w="3500" w:type="pct"/>
          </w:tcPr>
          <w:p w14:paraId="5C72374A" w14:textId="77777777" w:rsidR="005D316E" w:rsidRPr="0013396E" w:rsidRDefault="005D316E" w:rsidP="005B61C1">
            <w:pPr>
              <w:spacing w:after="60"/>
              <w:rPr>
                <w:iCs/>
                <w:sz w:val="20"/>
              </w:rPr>
            </w:pPr>
            <w:r w:rsidRPr="0013396E">
              <w:rPr>
                <w:iCs/>
                <w:sz w:val="20"/>
              </w:rPr>
              <w:t>Low Sustained Limit (LSL) provided via telemetry.</w:t>
            </w:r>
          </w:p>
        </w:tc>
      </w:tr>
      <w:tr w:rsidR="005D316E" w:rsidRPr="0013396E" w14:paraId="512993C8" w14:textId="77777777" w:rsidTr="005B61C1">
        <w:trPr>
          <w:cantSplit/>
        </w:trPr>
        <w:tc>
          <w:tcPr>
            <w:tcW w:w="1500" w:type="pct"/>
          </w:tcPr>
          <w:p w14:paraId="72F39C2B" w14:textId="77777777" w:rsidR="005D316E" w:rsidRPr="0013396E" w:rsidRDefault="005D316E" w:rsidP="005B61C1">
            <w:pPr>
              <w:spacing w:after="60"/>
              <w:rPr>
                <w:iCs/>
                <w:sz w:val="20"/>
              </w:rPr>
            </w:pPr>
            <w:r w:rsidRPr="0013396E">
              <w:rPr>
                <w:iCs/>
                <w:sz w:val="20"/>
              </w:rPr>
              <w:t>NORMRAMPDN</w:t>
            </w:r>
          </w:p>
        </w:tc>
        <w:tc>
          <w:tcPr>
            <w:tcW w:w="3500" w:type="pct"/>
          </w:tcPr>
          <w:p w14:paraId="06BB0E8B" w14:textId="77777777" w:rsidR="005D316E" w:rsidRPr="0013396E" w:rsidRDefault="005D316E" w:rsidP="005B61C1">
            <w:pPr>
              <w:spacing w:after="60"/>
              <w:rPr>
                <w:iCs/>
                <w:sz w:val="20"/>
              </w:rPr>
            </w:pPr>
            <w:r w:rsidRPr="0013396E">
              <w:rPr>
                <w:iCs/>
                <w:sz w:val="20"/>
              </w:rPr>
              <w:t>5-minute blended Normal Ramp Rate down, as telemetered by the QSE.</w:t>
            </w:r>
          </w:p>
        </w:tc>
      </w:tr>
      <w:tr w:rsidR="005D316E" w:rsidRPr="0013396E" w14:paraId="0F183DE4" w14:textId="77777777" w:rsidTr="005B61C1">
        <w:trPr>
          <w:cantSplit/>
        </w:trPr>
        <w:tc>
          <w:tcPr>
            <w:tcW w:w="1500" w:type="pct"/>
          </w:tcPr>
          <w:p w14:paraId="43173CB8" w14:textId="77777777" w:rsidR="005D316E" w:rsidRPr="0013396E" w:rsidRDefault="005D316E" w:rsidP="005B61C1">
            <w:pPr>
              <w:spacing w:after="60"/>
              <w:rPr>
                <w:iCs/>
                <w:sz w:val="20"/>
              </w:rPr>
            </w:pPr>
            <w:r w:rsidRPr="0013396E">
              <w:rPr>
                <w:iCs/>
                <w:sz w:val="20"/>
              </w:rPr>
              <w:t>NORMRAMPUP</w:t>
            </w:r>
          </w:p>
        </w:tc>
        <w:tc>
          <w:tcPr>
            <w:tcW w:w="3500" w:type="pct"/>
          </w:tcPr>
          <w:p w14:paraId="6D81293F" w14:textId="77777777" w:rsidR="005D316E" w:rsidRPr="0013396E" w:rsidRDefault="005D316E" w:rsidP="005B61C1">
            <w:pPr>
              <w:spacing w:after="60"/>
              <w:rPr>
                <w:iCs/>
                <w:sz w:val="20"/>
              </w:rPr>
            </w:pPr>
            <w:r w:rsidRPr="0013396E">
              <w:rPr>
                <w:iCs/>
                <w:sz w:val="20"/>
              </w:rPr>
              <w:t>5-minute blended Normal Ramp Rate up, as telemetered by the QSE.</w:t>
            </w:r>
          </w:p>
        </w:tc>
      </w:tr>
    </w:tbl>
    <w:p w14:paraId="300B0BCD" w14:textId="77777777" w:rsidR="005D316E" w:rsidRPr="0013396E" w:rsidRDefault="005D316E" w:rsidP="005D316E">
      <w:pPr>
        <w:spacing w:before="240" w:after="240"/>
        <w:ind w:left="720" w:hanging="720"/>
        <w:rPr>
          <w:iCs/>
        </w:rPr>
      </w:pPr>
      <w:r w:rsidRPr="0013396E">
        <w:rPr>
          <w:iCs/>
        </w:rPr>
        <w:t>(4)</w:t>
      </w:r>
      <w:r w:rsidRPr="0013396E">
        <w:rPr>
          <w:iCs/>
        </w:rPr>
        <w:tab/>
        <w:t>For ESRs, HDL is calculated as follows:</w:t>
      </w:r>
    </w:p>
    <w:p w14:paraId="32D08540" w14:textId="77777777" w:rsidR="005D316E" w:rsidRPr="0013396E" w:rsidRDefault="005D316E" w:rsidP="005D316E">
      <w:pPr>
        <w:spacing w:after="240"/>
        <w:ind w:left="1440" w:hanging="720"/>
        <w:rPr>
          <w:iCs/>
        </w:rPr>
      </w:pPr>
      <w:r w:rsidRPr="0013396E">
        <w:rPr>
          <w:iCs/>
        </w:rPr>
        <w:t>(a)</w:t>
      </w:r>
      <w:r w:rsidRPr="0013396E">
        <w:rPr>
          <w:iCs/>
        </w:rPr>
        <w:tab/>
        <w:t>If the telemetered Resource Status is ONHOLD, then</w:t>
      </w:r>
    </w:p>
    <w:p w14:paraId="0494B08F" w14:textId="77777777" w:rsidR="005D316E" w:rsidRPr="0013396E" w:rsidRDefault="005D316E" w:rsidP="005D316E">
      <w:pPr>
        <w:spacing w:after="240"/>
        <w:ind w:left="1440" w:hanging="720"/>
        <w:rPr>
          <w:b/>
          <w:iCs/>
        </w:rPr>
      </w:pPr>
      <w:r w:rsidRPr="0013396E">
        <w:rPr>
          <w:b/>
          <w:iCs/>
        </w:rPr>
        <w:t>HDL</w:t>
      </w:r>
      <w:r w:rsidRPr="0013396E">
        <w:rPr>
          <w:b/>
          <w:iCs/>
        </w:rPr>
        <w:tab/>
        <w:t>=</w:t>
      </w:r>
      <w:r w:rsidRPr="0013396E">
        <w:rPr>
          <w:b/>
          <w:iCs/>
        </w:rPr>
        <w:tab/>
        <w:t>0</w:t>
      </w:r>
    </w:p>
    <w:p w14:paraId="57461C4A" w14:textId="77777777" w:rsidR="005D316E" w:rsidRPr="0013396E" w:rsidRDefault="005D316E" w:rsidP="005D316E">
      <w:pPr>
        <w:spacing w:after="240"/>
        <w:ind w:left="1440" w:hanging="720"/>
        <w:rPr>
          <w:iCs/>
        </w:rPr>
      </w:pPr>
      <w:r w:rsidRPr="0013396E">
        <w:rPr>
          <w:iCs/>
        </w:rPr>
        <w:t>(b)</w:t>
      </w:r>
      <w:r w:rsidRPr="0013396E">
        <w:rPr>
          <w:iCs/>
        </w:rPr>
        <w:tab/>
        <w:t>If the telemetered Resource Status is ONTEST, then</w:t>
      </w:r>
    </w:p>
    <w:p w14:paraId="37B82185" w14:textId="77777777" w:rsidR="005D316E" w:rsidRPr="0013396E" w:rsidRDefault="005D316E" w:rsidP="005D316E">
      <w:pPr>
        <w:spacing w:after="240"/>
        <w:ind w:left="1440" w:hanging="720"/>
        <w:rPr>
          <w:iCs/>
        </w:rPr>
      </w:pPr>
      <w:r w:rsidRPr="0013396E">
        <w:rPr>
          <w:b/>
          <w:iCs/>
        </w:rPr>
        <w:t>HDL</w:t>
      </w:r>
      <w:r w:rsidRPr="0013396E">
        <w:rPr>
          <w:iCs/>
        </w:rPr>
        <w:tab/>
        <w:t>=</w:t>
      </w:r>
      <w:r w:rsidRPr="0013396E">
        <w:rPr>
          <w:iCs/>
        </w:rPr>
        <w:tab/>
      </w:r>
      <w:r w:rsidRPr="0013396E">
        <w:rPr>
          <w:b/>
          <w:iCs/>
        </w:rPr>
        <w:t>Max (</w:t>
      </w:r>
      <w:r w:rsidRPr="0013396E">
        <w:rPr>
          <w:b/>
        </w:rPr>
        <w:t>Min (POWERTELEM, HSLTELEM), LSLTELEM)</w:t>
      </w:r>
    </w:p>
    <w:p w14:paraId="2DEAAE9A" w14:textId="76F7E1B1" w:rsidR="005D316E" w:rsidRPr="0013396E" w:rsidRDefault="005D316E" w:rsidP="005D316E">
      <w:pPr>
        <w:spacing w:after="240"/>
        <w:ind w:left="1440" w:hanging="720"/>
        <w:rPr>
          <w:iCs/>
        </w:rPr>
      </w:pPr>
      <w:r w:rsidRPr="0013396E">
        <w:rPr>
          <w:iCs/>
        </w:rPr>
        <w:lastRenderedPageBreak/>
        <w:t>(c)</w:t>
      </w:r>
      <w:r w:rsidRPr="0013396E">
        <w:rPr>
          <w:iCs/>
        </w:rPr>
        <w:tab/>
        <w:t>If the telemetered Resource Status is any status code specified in item (5)(b)(iv) of Section 3.9.1 other than OUT, EMR, EMRSWGR, ONHOLD, or ONTEST, then</w:t>
      </w:r>
    </w:p>
    <w:p w14:paraId="1F392822" w14:textId="77777777" w:rsidR="005D316E" w:rsidRPr="0013396E" w:rsidRDefault="005D316E" w:rsidP="005D316E">
      <w:pPr>
        <w:spacing w:after="240"/>
        <w:ind w:left="1440" w:hanging="720"/>
        <w:rPr>
          <w:b/>
        </w:rPr>
      </w:pPr>
      <w:r w:rsidRPr="0013396E">
        <w:rPr>
          <w:b/>
        </w:rPr>
        <w:t>HDL</w:t>
      </w:r>
      <w:r w:rsidRPr="0013396E">
        <w:rPr>
          <w:b/>
        </w:rPr>
        <w:tab/>
        <w:t>=</w:t>
      </w:r>
      <w:r w:rsidRPr="0013396E">
        <w:rPr>
          <w:b/>
        </w:rPr>
        <w:tab/>
        <w:t>Min (POWERTELEM + (</w:t>
      </w:r>
      <w:r w:rsidRPr="0013396E">
        <w:rPr>
          <w:b/>
          <w:bCs/>
          <w:lang w:val="de-DE"/>
        </w:rPr>
        <w:t>NORMRAMPUP</w:t>
      </w:r>
      <w:r w:rsidRPr="0013396E">
        <w:rPr>
          <w:b/>
        </w:rPr>
        <w:t>* 5), HSLTELEM)</w:t>
      </w: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657"/>
        <w:gridCol w:w="6199"/>
      </w:tblGrid>
      <w:tr w:rsidR="005D316E" w:rsidRPr="0013396E" w14:paraId="4035225D" w14:textId="77777777" w:rsidTr="005B61C1">
        <w:tc>
          <w:tcPr>
            <w:tcW w:w="1500" w:type="pct"/>
            <w:tcBorders>
              <w:top w:val="single" w:sz="4" w:space="0" w:color="auto"/>
              <w:left w:val="single" w:sz="4" w:space="0" w:color="auto"/>
              <w:bottom w:val="single" w:sz="4" w:space="0" w:color="auto"/>
              <w:right w:val="single" w:sz="4" w:space="0" w:color="auto"/>
            </w:tcBorders>
            <w:hideMark/>
          </w:tcPr>
          <w:p w14:paraId="6EC56030" w14:textId="77777777" w:rsidR="005D316E" w:rsidRPr="0013396E" w:rsidRDefault="005D316E" w:rsidP="005B61C1">
            <w:pPr>
              <w:spacing w:after="120"/>
              <w:rPr>
                <w:b/>
                <w:iCs/>
                <w:sz w:val="20"/>
              </w:rPr>
            </w:pPr>
            <w:r w:rsidRPr="0013396E">
              <w:rPr>
                <w:b/>
                <w:iCs/>
                <w:sz w:val="20"/>
              </w:rPr>
              <w:t>Variable</w:t>
            </w:r>
          </w:p>
        </w:tc>
        <w:tc>
          <w:tcPr>
            <w:tcW w:w="3500" w:type="pct"/>
            <w:tcBorders>
              <w:top w:val="single" w:sz="4" w:space="0" w:color="auto"/>
              <w:left w:val="single" w:sz="4" w:space="0" w:color="auto"/>
              <w:bottom w:val="single" w:sz="4" w:space="0" w:color="auto"/>
              <w:right w:val="single" w:sz="4" w:space="0" w:color="auto"/>
            </w:tcBorders>
            <w:hideMark/>
          </w:tcPr>
          <w:p w14:paraId="2508085A" w14:textId="77777777" w:rsidR="005D316E" w:rsidRPr="0013396E" w:rsidRDefault="005D316E" w:rsidP="005B61C1">
            <w:pPr>
              <w:spacing w:after="120"/>
              <w:rPr>
                <w:b/>
                <w:iCs/>
                <w:sz w:val="20"/>
              </w:rPr>
            </w:pPr>
            <w:r w:rsidRPr="0013396E">
              <w:rPr>
                <w:b/>
                <w:iCs/>
                <w:sz w:val="20"/>
              </w:rPr>
              <w:t>Description</w:t>
            </w:r>
          </w:p>
        </w:tc>
      </w:tr>
      <w:tr w:rsidR="005D316E" w:rsidRPr="0013396E" w14:paraId="4EE7B009" w14:textId="77777777" w:rsidTr="005B61C1">
        <w:trPr>
          <w:cantSplit/>
        </w:trPr>
        <w:tc>
          <w:tcPr>
            <w:tcW w:w="1500" w:type="pct"/>
            <w:tcBorders>
              <w:top w:val="single" w:sz="4" w:space="0" w:color="auto"/>
              <w:left w:val="single" w:sz="4" w:space="0" w:color="auto"/>
              <w:bottom w:val="single" w:sz="4" w:space="0" w:color="auto"/>
              <w:right w:val="single" w:sz="4" w:space="0" w:color="auto"/>
            </w:tcBorders>
            <w:hideMark/>
          </w:tcPr>
          <w:p w14:paraId="51741011" w14:textId="77777777" w:rsidR="005D316E" w:rsidRPr="0013396E" w:rsidRDefault="005D316E" w:rsidP="005B61C1">
            <w:pPr>
              <w:spacing w:after="60"/>
              <w:rPr>
                <w:iCs/>
                <w:sz w:val="20"/>
              </w:rPr>
            </w:pPr>
            <w:r w:rsidRPr="0013396E">
              <w:rPr>
                <w:iCs/>
                <w:sz w:val="20"/>
              </w:rPr>
              <w:t>HDL</w:t>
            </w:r>
          </w:p>
        </w:tc>
        <w:tc>
          <w:tcPr>
            <w:tcW w:w="3500" w:type="pct"/>
            <w:tcBorders>
              <w:top w:val="single" w:sz="4" w:space="0" w:color="auto"/>
              <w:left w:val="single" w:sz="4" w:space="0" w:color="auto"/>
              <w:bottom w:val="single" w:sz="4" w:space="0" w:color="auto"/>
              <w:right w:val="single" w:sz="4" w:space="0" w:color="auto"/>
            </w:tcBorders>
            <w:hideMark/>
          </w:tcPr>
          <w:p w14:paraId="6C99448C" w14:textId="77777777" w:rsidR="005D316E" w:rsidRPr="0013396E" w:rsidRDefault="005D316E" w:rsidP="005B61C1">
            <w:pPr>
              <w:spacing w:after="60"/>
              <w:rPr>
                <w:iCs/>
                <w:sz w:val="20"/>
              </w:rPr>
            </w:pPr>
            <w:r w:rsidRPr="0013396E">
              <w:rPr>
                <w:iCs/>
                <w:sz w:val="20"/>
              </w:rPr>
              <w:t>High Dispatch Limit.</w:t>
            </w:r>
          </w:p>
        </w:tc>
      </w:tr>
      <w:tr w:rsidR="005D316E" w:rsidRPr="0013396E" w14:paraId="1688398D" w14:textId="77777777" w:rsidTr="005B61C1">
        <w:trPr>
          <w:cantSplit/>
        </w:trPr>
        <w:tc>
          <w:tcPr>
            <w:tcW w:w="1500" w:type="pct"/>
            <w:tcBorders>
              <w:top w:val="single" w:sz="4" w:space="0" w:color="auto"/>
              <w:left w:val="single" w:sz="4" w:space="0" w:color="auto"/>
              <w:bottom w:val="single" w:sz="4" w:space="0" w:color="auto"/>
              <w:right w:val="single" w:sz="4" w:space="0" w:color="auto"/>
            </w:tcBorders>
            <w:hideMark/>
          </w:tcPr>
          <w:p w14:paraId="295928CE" w14:textId="77777777" w:rsidR="005D316E" w:rsidRPr="0013396E" w:rsidRDefault="005D316E" w:rsidP="005B61C1">
            <w:pPr>
              <w:spacing w:after="60"/>
              <w:rPr>
                <w:iCs/>
                <w:sz w:val="20"/>
              </w:rPr>
            </w:pPr>
            <w:r w:rsidRPr="0013396E">
              <w:rPr>
                <w:iCs/>
                <w:sz w:val="20"/>
              </w:rPr>
              <w:t>POWERTELEM</w:t>
            </w:r>
          </w:p>
        </w:tc>
        <w:tc>
          <w:tcPr>
            <w:tcW w:w="3500" w:type="pct"/>
            <w:tcBorders>
              <w:top w:val="single" w:sz="4" w:space="0" w:color="auto"/>
              <w:left w:val="single" w:sz="4" w:space="0" w:color="auto"/>
              <w:bottom w:val="single" w:sz="4" w:space="0" w:color="auto"/>
              <w:right w:val="single" w:sz="4" w:space="0" w:color="auto"/>
            </w:tcBorders>
            <w:hideMark/>
          </w:tcPr>
          <w:p w14:paraId="5C7F3103" w14:textId="77777777" w:rsidR="005D316E" w:rsidRPr="0013396E" w:rsidRDefault="005D316E" w:rsidP="005B61C1">
            <w:pPr>
              <w:spacing w:after="60"/>
              <w:rPr>
                <w:iCs/>
                <w:sz w:val="20"/>
              </w:rPr>
            </w:pPr>
            <w:r w:rsidRPr="0013396E">
              <w:rPr>
                <w:iCs/>
                <w:sz w:val="20"/>
              </w:rPr>
              <w:t xml:space="preserve">Net real power provided via telemetry. </w:t>
            </w:r>
          </w:p>
        </w:tc>
      </w:tr>
      <w:tr w:rsidR="005D316E" w:rsidRPr="0013396E" w14:paraId="120DE2D2" w14:textId="77777777" w:rsidTr="005B61C1">
        <w:trPr>
          <w:cantSplit/>
        </w:trPr>
        <w:tc>
          <w:tcPr>
            <w:tcW w:w="1500" w:type="pct"/>
            <w:tcBorders>
              <w:top w:val="single" w:sz="4" w:space="0" w:color="auto"/>
              <w:left w:val="single" w:sz="4" w:space="0" w:color="auto"/>
              <w:bottom w:val="single" w:sz="4" w:space="0" w:color="auto"/>
              <w:right w:val="single" w:sz="4" w:space="0" w:color="auto"/>
            </w:tcBorders>
            <w:hideMark/>
          </w:tcPr>
          <w:p w14:paraId="03149A90" w14:textId="77777777" w:rsidR="005D316E" w:rsidRPr="0013396E" w:rsidRDefault="005D316E" w:rsidP="005B61C1">
            <w:pPr>
              <w:spacing w:after="60"/>
              <w:rPr>
                <w:iCs/>
                <w:sz w:val="20"/>
              </w:rPr>
            </w:pPr>
            <w:r w:rsidRPr="0013396E">
              <w:rPr>
                <w:iCs/>
                <w:sz w:val="20"/>
              </w:rPr>
              <w:t>NORMRAMPUP</w:t>
            </w:r>
          </w:p>
        </w:tc>
        <w:tc>
          <w:tcPr>
            <w:tcW w:w="3500" w:type="pct"/>
            <w:tcBorders>
              <w:top w:val="single" w:sz="4" w:space="0" w:color="auto"/>
              <w:left w:val="single" w:sz="4" w:space="0" w:color="auto"/>
              <w:bottom w:val="single" w:sz="4" w:space="0" w:color="auto"/>
              <w:right w:val="single" w:sz="4" w:space="0" w:color="auto"/>
            </w:tcBorders>
            <w:hideMark/>
          </w:tcPr>
          <w:p w14:paraId="487A2C9A" w14:textId="77777777" w:rsidR="005D316E" w:rsidRPr="0013396E" w:rsidRDefault="005D316E" w:rsidP="005B61C1">
            <w:pPr>
              <w:spacing w:after="60"/>
              <w:ind w:left="720" w:hanging="720"/>
              <w:rPr>
                <w:iCs/>
                <w:sz w:val="20"/>
              </w:rPr>
            </w:pPr>
            <w:r w:rsidRPr="0013396E">
              <w:rPr>
                <w:iCs/>
                <w:sz w:val="20"/>
              </w:rPr>
              <w:t>5-minute blended Normal Ramp Rate up, as telemetered by the QSE.</w:t>
            </w:r>
          </w:p>
        </w:tc>
      </w:tr>
      <w:tr w:rsidR="005D316E" w:rsidRPr="0013396E" w14:paraId="377AAE1A" w14:textId="77777777" w:rsidTr="005B61C1">
        <w:trPr>
          <w:cantSplit/>
        </w:trPr>
        <w:tc>
          <w:tcPr>
            <w:tcW w:w="1500" w:type="pct"/>
            <w:tcBorders>
              <w:top w:val="single" w:sz="4" w:space="0" w:color="auto"/>
              <w:left w:val="single" w:sz="4" w:space="0" w:color="auto"/>
              <w:bottom w:val="single" w:sz="4" w:space="0" w:color="auto"/>
              <w:right w:val="single" w:sz="4" w:space="0" w:color="auto"/>
            </w:tcBorders>
            <w:hideMark/>
          </w:tcPr>
          <w:p w14:paraId="39C358B9" w14:textId="77777777" w:rsidR="005D316E" w:rsidRPr="0013396E" w:rsidRDefault="005D316E" w:rsidP="005B61C1">
            <w:pPr>
              <w:spacing w:after="60"/>
              <w:rPr>
                <w:iCs/>
                <w:sz w:val="20"/>
              </w:rPr>
            </w:pPr>
            <w:r w:rsidRPr="0013396E">
              <w:rPr>
                <w:iCs/>
                <w:sz w:val="20"/>
              </w:rPr>
              <w:t>HSLTELEM</w:t>
            </w:r>
          </w:p>
        </w:tc>
        <w:tc>
          <w:tcPr>
            <w:tcW w:w="3500" w:type="pct"/>
            <w:tcBorders>
              <w:top w:val="single" w:sz="4" w:space="0" w:color="auto"/>
              <w:left w:val="single" w:sz="4" w:space="0" w:color="auto"/>
              <w:bottom w:val="single" w:sz="4" w:space="0" w:color="auto"/>
              <w:right w:val="single" w:sz="4" w:space="0" w:color="auto"/>
            </w:tcBorders>
            <w:hideMark/>
          </w:tcPr>
          <w:p w14:paraId="162F8129" w14:textId="77777777" w:rsidR="005D316E" w:rsidRPr="0013396E" w:rsidRDefault="005D316E" w:rsidP="005B61C1">
            <w:pPr>
              <w:spacing w:after="60"/>
              <w:ind w:left="720" w:hanging="720"/>
              <w:rPr>
                <w:iCs/>
                <w:sz w:val="20"/>
              </w:rPr>
            </w:pPr>
            <w:r w:rsidRPr="0013396E">
              <w:rPr>
                <w:iCs/>
                <w:sz w:val="20"/>
              </w:rPr>
              <w:t xml:space="preserve">High Sustained Limit (HSL) provided via telemetry – per Section 6.5.5.2. </w:t>
            </w:r>
          </w:p>
        </w:tc>
      </w:tr>
    </w:tbl>
    <w:p w14:paraId="7875FBBA" w14:textId="77777777" w:rsidR="005D316E" w:rsidRPr="0013396E" w:rsidRDefault="005D316E" w:rsidP="005D316E">
      <w:pPr>
        <w:spacing w:after="240"/>
        <w:rPr>
          <w:iCs/>
        </w:rPr>
      </w:pPr>
      <w:r w:rsidRPr="0013396E">
        <w:rPr>
          <w:iCs/>
        </w:rPr>
        <w:br/>
        <w:t>(5)</w:t>
      </w:r>
      <w:r w:rsidRPr="0013396E">
        <w:rPr>
          <w:iCs/>
        </w:rPr>
        <w:tab/>
        <w:t>For ESRs, LDL is calculated as follows:</w:t>
      </w:r>
    </w:p>
    <w:p w14:paraId="6146F811" w14:textId="77777777" w:rsidR="005D316E" w:rsidRPr="0013396E" w:rsidRDefault="005D316E" w:rsidP="005D316E">
      <w:pPr>
        <w:spacing w:after="240"/>
        <w:ind w:left="1440" w:hanging="720"/>
        <w:rPr>
          <w:iCs/>
        </w:rPr>
      </w:pPr>
      <w:r w:rsidRPr="0013396E">
        <w:rPr>
          <w:iCs/>
        </w:rPr>
        <w:t>(a)</w:t>
      </w:r>
      <w:r w:rsidRPr="0013396E">
        <w:rPr>
          <w:iCs/>
        </w:rPr>
        <w:tab/>
        <w:t>If the telemetered Resource Status is ONHOLD, then</w:t>
      </w:r>
    </w:p>
    <w:p w14:paraId="7AA79AC9" w14:textId="77777777" w:rsidR="005D316E" w:rsidRPr="0013396E" w:rsidRDefault="005D316E" w:rsidP="005D316E">
      <w:pPr>
        <w:spacing w:after="240"/>
        <w:ind w:left="1440" w:hanging="720"/>
        <w:rPr>
          <w:b/>
          <w:iCs/>
        </w:rPr>
      </w:pPr>
      <w:r w:rsidRPr="0013396E">
        <w:rPr>
          <w:b/>
          <w:iCs/>
        </w:rPr>
        <w:t>LDL</w:t>
      </w:r>
      <w:r w:rsidRPr="0013396E">
        <w:rPr>
          <w:b/>
          <w:iCs/>
        </w:rPr>
        <w:tab/>
        <w:t>=</w:t>
      </w:r>
      <w:r w:rsidRPr="0013396E">
        <w:rPr>
          <w:b/>
          <w:iCs/>
        </w:rPr>
        <w:tab/>
        <w:t>0</w:t>
      </w:r>
    </w:p>
    <w:p w14:paraId="0AE9FF78" w14:textId="77777777" w:rsidR="005D316E" w:rsidRPr="0013396E" w:rsidRDefault="005D316E" w:rsidP="005D316E">
      <w:pPr>
        <w:spacing w:after="240"/>
        <w:ind w:left="1440" w:hanging="720"/>
        <w:rPr>
          <w:iCs/>
        </w:rPr>
      </w:pPr>
      <w:r w:rsidRPr="0013396E">
        <w:rPr>
          <w:iCs/>
        </w:rPr>
        <w:t>(b)</w:t>
      </w:r>
      <w:r w:rsidRPr="0013396E">
        <w:rPr>
          <w:iCs/>
        </w:rPr>
        <w:tab/>
        <w:t>If the telemetered Resource Status is ONTEST, then</w:t>
      </w:r>
    </w:p>
    <w:p w14:paraId="4DFA482E" w14:textId="77777777" w:rsidR="005D316E" w:rsidRPr="0013396E" w:rsidRDefault="005D316E" w:rsidP="005D316E">
      <w:pPr>
        <w:spacing w:after="240"/>
        <w:ind w:left="1440" w:hanging="720"/>
        <w:rPr>
          <w:iCs/>
        </w:rPr>
      </w:pPr>
      <w:r w:rsidRPr="0013396E">
        <w:rPr>
          <w:b/>
          <w:iCs/>
        </w:rPr>
        <w:t>LDL</w:t>
      </w:r>
      <w:r w:rsidRPr="0013396E">
        <w:rPr>
          <w:iCs/>
        </w:rPr>
        <w:tab/>
        <w:t>=</w:t>
      </w:r>
      <w:r w:rsidRPr="0013396E">
        <w:rPr>
          <w:iCs/>
        </w:rPr>
        <w:tab/>
      </w:r>
      <w:r w:rsidRPr="0013396E">
        <w:rPr>
          <w:b/>
        </w:rPr>
        <w:t>Max (Min (POWERTELEM, HSLTELEM), LSLTELEM)</w:t>
      </w:r>
    </w:p>
    <w:p w14:paraId="15AFDF49" w14:textId="60737975" w:rsidR="005D316E" w:rsidRPr="0013396E" w:rsidRDefault="005D316E" w:rsidP="005D316E">
      <w:pPr>
        <w:spacing w:after="240"/>
        <w:ind w:left="1440" w:hanging="720"/>
        <w:rPr>
          <w:iCs/>
        </w:rPr>
      </w:pPr>
      <w:r w:rsidRPr="0013396E">
        <w:rPr>
          <w:iCs/>
        </w:rPr>
        <w:t>(c)</w:t>
      </w:r>
      <w:r w:rsidRPr="0013396E">
        <w:rPr>
          <w:iCs/>
        </w:rPr>
        <w:tab/>
        <w:t>If the telemetered Resource Status is any status code specified in item (5)(b)(iv) of Section 3.9.1</w:t>
      </w:r>
      <w:r w:rsidR="007A36C8">
        <w:rPr>
          <w:iCs/>
        </w:rPr>
        <w:t xml:space="preserve"> </w:t>
      </w:r>
      <w:r w:rsidRPr="0013396E">
        <w:rPr>
          <w:iCs/>
        </w:rPr>
        <w:t>other than OUT, or EMR, or EMRSWGR, or ONHOLD, or ONTEST, then</w:t>
      </w:r>
    </w:p>
    <w:p w14:paraId="1715AD71" w14:textId="77777777" w:rsidR="005D316E" w:rsidRPr="0013396E" w:rsidRDefault="005D316E" w:rsidP="005D316E">
      <w:pPr>
        <w:ind w:left="1440" w:hanging="720"/>
        <w:rPr>
          <w:b/>
        </w:rPr>
      </w:pPr>
      <w:r w:rsidRPr="0013396E">
        <w:rPr>
          <w:b/>
        </w:rPr>
        <w:t>LDL</w:t>
      </w:r>
      <w:r w:rsidRPr="0013396E">
        <w:rPr>
          <w:b/>
        </w:rPr>
        <w:tab/>
        <w:t>=</w:t>
      </w:r>
      <w:r w:rsidRPr="0013396E">
        <w:rPr>
          <w:b/>
        </w:rPr>
        <w:tab/>
        <w:t>Max (POWERTELEM - (</w:t>
      </w:r>
      <w:r w:rsidRPr="0013396E">
        <w:rPr>
          <w:b/>
          <w:bCs/>
          <w:lang w:val="de-DE"/>
        </w:rPr>
        <w:t>NORMRAMPDN</w:t>
      </w:r>
      <w:r w:rsidRPr="0013396E">
        <w:rPr>
          <w:b/>
          <w:lang w:val="de-DE"/>
        </w:rPr>
        <w:t xml:space="preserve"> </w:t>
      </w:r>
      <w:r w:rsidRPr="0013396E">
        <w:rPr>
          <w:b/>
        </w:rPr>
        <w:t>* 5), LSLTELEM)</w:t>
      </w:r>
      <w:r w:rsidRPr="0013396E">
        <w:rPr>
          <w:b/>
        </w:rPr>
        <w:br/>
      </w:r>
    </w:p>
    <w:tbl>
      <w:tblPr>
        <w:tblpPr w:leftFromText="180" w:rightFromText="180" w:bottomFromText="160" w:vertAnchor="text" w:tblpY="1"/>
        <w:tblOverlap w:val="neve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657"/>
        <w:gridCol w:w="6199"/>
      </w:tblGrid>
      <w:tr w:rsidR="005D316E" w:rsidRPr="0013396E" w14:paraId="67E0A804" w14:textId="77777777" w:rsidTr="005B61C1">
        <w:tc>
          <w:tcPr>
            <w:tcW w:w="1500" w:type="pct"/>
            <w:tcBorders>
              <w:top w:val="single" w:sz="4" w:space="0" w:color="auto"/>
              <w:left w:val="single" w:sz="4" w:space="0" w:color="auto"/>
              <w:bottom w:val="single" w:sz="4" w:space="0" w:color="auto"/>
              <w:right w:val="single" w:sz="4" w:space="0" w:color="auto"/>
            </w:tcBorders>
            <w:hideMark/>
          </w:tcPr>
          <w:p w14:paraId="35AB8B30" w14:textId="77777777" w:rsidR="005D316E" w:rsidRPr="0013396E" w:rsidRDefault="005D316E" w:rsidP="005B61C1">
            <w:pPr>
              <w:spacing w:after="120"/>
              <w:rPr>
                <w:b/>
                <w:iCs/>
                <w:sz w:val="20"/>
              </w:rPr>
            </w:pPr>
            <w:r w:rsidRPr="0013396E">
              <w:rPr>
                <w:b/>
                <w:iCs/>
                <w:sz w:val="20"/>
              </w:rPr>
              <w:t>Variable</w:t>
            </w:r>
          </w:p>
        </w:tc>
        <w:tc>
          <w:tcPr>
            <w:tcW w:w="3500" w:type="pct"/>
            <w:tcBorders>
              <w:top w:val="single" w:sz="4" w:space="0" w:color="auto"/>
              <w:left w:val="single" w:sz="4" w:space="0" w:color="auto"/>
              <w:bottom w:val="single" w:sz="4" w:space="0" w:color="auto"/>
              <w:right w:val="single" w:sz="4" w:space="0" w:color="auto"/>
            </w:tcBorders>
            <w:hideMark/>
          </w:tcPr>
          <w:p w14:paraId="110780B0" w14:textId="77777777" w:rsidR="005D316E" w:rsidRPr="0013396E" w:rsidRDefault="005D316E" w:rsidP="005B61C1">
            <w:pPr>
              <w:spacing w:after="120"/>
              <w:rPr>
                <w:b/>
                <w:iCs/>
                <w:sz w:val="20"/>
              </w:rPr>
            </w:pPr>
            <w:r w:rsidRPr="0013396E">
              <w:rPr>
                <w:b/>
                <w:iCs/>
                <w:sz w:val="20"/>
              </w:rPr>
              <w:t>Description</w:t>
            </w:r>
          </w:p>
        </w:tc>
      </w:tr>
      <w:tr w:rsidR="005D316E" w:rsidRPr="0013396E" w14:paraId="5413146E" w14:textId="77777777" w:rsidTr="005B61C1">
        <w:trPr>
          <w:cantSplit/>
        </w:trPr>
        <w:tc>
          <w:tcPr>
            <w:tcW w:w="1500" w:type="pct"/>
            <w:tcBorders>
              <w:top w:val="single" w:sz="4" w:space="0" w:color="auto"/>
              <w:left w:val="single" w:sz="4" w:space="0" w:color="auto"/>
              <w:bottom w:val="single" w:sz="4" w:space="0" w:color="auto"/>
              <w:right w:val="single" w:sz="4" w:space="0" w:color="auto"/>
            </w:tcBorders>
            <w:hideMark/>
          </w:tcPr>
          <w:p w14:paraId="309A979E" w14:textId="77777777" w:rsidR="005D316E" w:rsidRPr="0013396E" w:rsidRDefault="005D316E" w:rsidP="005B61C1">
            <w:pPr>
              <w:spacing w:after="60"/>
              <w:rPr>
                <w:iCs/>
                <w:sz w:val="20"/>
              </w:rPr>
            </w:pPr>
            <w:r w:rsidRPr="0013396E">
              <w:rPr>
                <w:iCs/>
                <w:sz w:val="20"/>
              </w:rPr>
              <w:t>LDL</w:t>
            </w:r>
          </w:p>
        </w:tc>
        <w:tc>
          <w:tcPr>
            <w:tcW w:w="3500" w:type="pct"/>
            <w:tcBorders>
              <w:top w:val="single" w:sz="4" w:space="0" w:color="auto"/>
              <w:left w:val="single" w:sz="4" w:space="0" w:color="auto"/>
              <w:bottom w:val="single" w:sz="4" w:space="0" w:color="auto"/>
              <w:right w:val="single" w:sz="4" w:space="0" w:color="auto"/>
            </w:tcBorders>
            <w:hideMark/>
          </w:tcPr>
          <w:p w14:paraId="35B74D09" w14:textId="77777777" w:rsidR="005D316E" w:rsidRPr="0013396E" w:rsidRDefault="005D316E" w:rsidP="005B61C1">
            <w:pPr>
              <w:spacing w:after="60"/>
              <w:rPr>
                <w:iCs/>
                <w:sz w:val="20"/>
              </w:rPr>
            </w:pPr>
            <w:r w:rsidRPr="0013396E">
              <w:rPr>
                <w:iCs/>
                <w:sz w:val="20"/>
              </w:rPr>
              <w:t>Low Dispatch Limit.</w:t>
            </w:r>
          </w:p>
        </w:tc>
      </w:tr>
      <w:tr w:rsidR="005D316E" w:rsidRPr="0013396E" w14:paraId="0DE3F827" w14:textId="77777777" w:rsidTr="005B61C1">
        <w:trPr>
          <w:cantSplit/>
        </w:trPr>
        <w:tc>
          <w:tcPr>
            <w:tcW w:w="1500" w:type="pct"/>
            <w:tcBorders>
              <w:top w:val="single" w:sz="4" w:space="0" w:color="auto"/>
              <w:left w:val="single" w:sz="4" w:space="0" w:color="auto"/>
              <w:bottom w:val="single" w:sz="4" w:space="0" w:color="auto"/>
              <w:right w:val="single" w:sz="4" w:space="0" w:color="auto"/>
            </w:tcBorders>
            <w:hideMark/>
          </w:tcPr>
          <w:p w14:paraId="7B03A8B5" w14:textId="77777777" w:rsidR="005D316E" w:rsidRPr="0013396E" w:rsidRDefault="005D316E" w:rsidP="005B61C1">
            <w:pPr>
              <w:spacing w:after="60"/>
              <w:rPr>
                <w:iCs/>
                <w:sz w:val="20"/>
              </w:rPr>
            </w:pPr>
            <w:r w:rsidRPr="0013396E">
              <w:rPr>
                <w:iCs/>
                <w:sz w:val="20"/>
              </w:rPr>
              <w:t>POWERTELEM</w:t>
            </w:r>
          </w:p>
        </w:tc>
        <w:tc>
          <w:tcPr>
            <w:tcW w:w="3500" w:type="pct"/>
            <w:tcBorders>
              <w:top w:val="single" w:sz="4" w:space="0" w:color="auto"/>
              <w:left w:val="single" w:sz="4" w:space="0" w:color="auto"/>
              <w:bottom w:val="single" w:sz="4" w:space="0" w:color="auto"/>
              <w:right w:val="single" w:sz="4" w:space="0" w:color="auto"/>
            </w:tcBorders>
            <w:hideMark/>
          </w:tcPr>
          <w:p w14:paraId="566C2568" w14:textId="77777777" w:rsidR="005D316E" w:rsidRPr="0013396E" w:rsidRDefault="005D316E" w:rsidP="005B61C1">
            <w:pPr>
              <w:spacing w:after="60"/>
              <w:rPr>
                <w:iCs/>
                <w:sz w:val="20"/>
              </w:rPr>
            </w:pPr>
            <w:r w:rsidRPr="0013396E">
              <w:rPr>
                <w:iCs/>
                <w:sz w:val="20"/>
              </w:rPr>
              <w:t>Net real power provided via telemetry.</w:t>
            </w:r>
          </w:p>
        </w:tc>
      </w:tr>
      <w:tr w:rsidR="005D316E" w:rsidRPr="0013396E" w14:paraId="45C43673" w14:textId="77777777" w:rsidTr="005B61C1">
        <w:trPr>
          <w:cantSplit/>
        </w:trPr>
        <w:tc>
          <w:tcPr>
            <w:tcW w:w="1500" w:type="pct"/>
            <w:tcBorders>
              <w:top w:val="single" w:sz="4" w:space="0" w:color="auto"/>
              <w:left w:val="single" w:sz="4" w:space="0" w:color="auto"/>
              <w:bottom w:val="single" w:sz="4" w:space="0" w:color="auto"/>
              <w:right w:val="single" w:sz="4" w:space="0" w:color="auto"/>
            </w:tcBorders>
            <w:hideMark/>
          </w:tcPr>
          <w:p w14:paraId="7DB39CD2" w14:textId="77777777" w:rsidR="005D316E" w:rsidRPr="0013396E" w:rsidRDefault="005D316E" w:rsidP="005B61C1">
            <w:pPr>
              <w:spacing w:after="60"/>
              <w:rPr>
                <w:iCs/>
                <w:sz w:val="20"/>
              </w:rPr>
            </w:pPr>
            <w:r w:rsidRPr="0013396E">
              <w:rPr>
                <w:iCs/>
                <w:sz w:val="20"/>
              </w:rPr>
              <w:t>LSLTELEM</w:t>
            </w:r>
          </w:p>
        </w:tc>
        <w:tc>
          <w:tcPr>
            <w:tcW w:w="3500" w:type="pct"/>
            <w:tcBorders>
              <w:top w:val="single" w:sz="4" w:space="0" w:color="auto"/>
              <w:left w:val="single" w:sz="4" w:space="0" w:color="auto"/>
              <w:bottom w:val="single" w:sz="4" w:space="0" w:color="auto"/>
              <w:right w:val="single" w:sz="4" w:space="0" w:color="auto"/>
            </w:tcBorders>
            <w:hideMark/>
          </w:tcPr>
          <w:p w14:paraId="6E942E61" w14:textId="77777777" w:rsidR="005D316E" w:rsidRPr="0013396E" w:rsidRDefault="005D316E" w:rsidP="005B61C1">
            <w:pPr>
              <w:spacing w:after="60"/>
              <w:rPr>
                <w:iCs/>
                <w:sz w:val="20"/>
              </w:rPr>
            </w:pPr>
            <w:r w:rsidRPr="0013396E">
              <w:rPr>
                <w:iCs/>
                <w:sz w:val="20"/>
              </w:rPr>
              <w:t>Low Sustained Limit provided via telemetry.</w:t>
            </w:r>
          </w:p>
        </w:tc>
      </w:tr>
      <w:tr w:rsidR="005D316E" w:rsidRPr="0013396E" w14:paraId="7D36925D" w14:textId="77777777" w:rsidTr="005B61C1">
        <w:trPr>
          <w:cantSplit/>
        </w:trPr>
        <w:tc>
          <w:tcPr>
            <w:tcW w:w="1500" w:type="pct"/>
            <w:tcBorders>
              <w:top w:val="single" w:sz="4" w:space="0" w:color="auto"/>
              <w:left w:val="single" w:sz="4" w:space="0" w:color="auto"/>
              <w:bottom w:val="single" w:sz="4" w:space="0" w:color="auto"/>
              <w:right w:val="single" w:sz="4" w:space="0" w:color="auto"/>
            </w:tcBorders>
            <w:hideMark/>
          </w:tcPr>
          <w:p w14:paraId="1369B352" w14:textId="77777777" w:rsidR="005D316E" w:rsidRPr="0013396E" w:rsidRDefault="005D316E" w:rsidP="005B61C1">
            <w:pPr>
              <w:spacing w:after="60"/>
              <w:rPr>
                <w:iCs/>
                <w:sz w:val="20"/>
              </w:rPr>
            </w:pPr>
            <w:r w:rsidRPr="0013396E">
              <w:rPr>
                <w:iCs/>
                <w:sz w:val="20"/>
              </w:rPr>
              <w:t>NORMRAMPDN</w:t>
            </w:r>
          </w:p>
        </w:tc>
        <w:tc>
          <w:tcPr>
            <w:tcW w:w="3500" w:type="pct"/>
            <w:tcBorders>
              <w:top w:val="single" w:sz="4" w:space="0" w:color="auto"/>
              <w:left w:val="single" w:sz="4" w:space="0" w:color="auto"/>
              <w:bottom w:val="single" w:sz="4" w:space="0" w:color="auto"/>
              <w:right w:val="single" w:sz="4" w:space="0" w:color="auto"/>
            </w:tcBorders>
            <w:hideMark/>
          </w:tcPr>
          <w:p w14:paraId="59110696" w14:textId="77777777" w:rsidR="005D316E" w:rsidRPr="0013396E" w:rsidRDefault="005D316E" w:rsidP="005B61C1">
            <w:pPr>
              <w:spacing w:after="60"/>
              <w:rPr>
                <w:iCs/>
                <w:sz w:val="20"/>
              </w:rPr>
            </w:pPr>
            <w:r w:rsidRPr="0013396E">
              <w:rPr>
                <w:iCs/>
                <w:sz w:val="20"/>
              </w:rPr>
              <w:t>5-minute blended Normal Ramp Rate down, as telemetered by the QSE.</w:t>
            </w:r>
          </w:p>
        </w:tc>
      </w:tr>
    </w:tbl>
    <w:p w14:paraId="3199ECE0" w14:textId="77777777" w:rsidR="005D316E" w:rsidRPr="0013396E" w:rsidRDefault="005D316E" w:rsidP="005D316E">
      <w:pPr>
        <w:spacing w:before="240" w:after="240"/>
        <w:ind w:left="720" w:hanging="720"/>
        <w:rPr>
          <w:b/>
          <w:i/>
          <w:iCs/>
        </w:rPr>
      </w:pPr>
      <w:r w:rsidRPr="0013396E">
        <w:rPr>
          <w:iCs/>
        </w:rPr>
        <w:t>(6)</w:t>
      </w:r>
      <w:r w:rsidRPr="0013396E">
        <w:rPr>
          <w:iCs/>
        </w:rPr>
        <w:tab/>
        <w:t>For SCED-dispatchable Load Resources, HDL is calculated as follows:</w:t>
      </w:r>
    </w:p>
    <w:p w14:paraId="79212736" w14:textId="77777777" w:rsidR="005D316E" w:rsidRPr="0013396E" w:rsidRDefault="005D316E" w:rsidP="005D316E">
      <w:pPr>
        <w:spacing w:after="240"/>
        <w:ind w:left="1440" w:hanging="720"/>
        <w:rPr>
          <w:b/>
        </w:rPr>
      </w:pPr>
      <w:r w:rsidRPr="0013396E">
        <w:rPr>
          <w:b/>
        </w:rPr>
        <w:t>HDL</w:t>
      </w:r>
      <w:r w:rsidRPr="0013396E">
        <w:rPr>
          <w:b/>
        </w:rPr>
        <w:tab/>
        <w:t>=</w:t>
      </w:r>
      <w:r w:rsidRPr="0013396E">
        <w:rPr>
          <w:b/>
        </w:rPr>
        <w:tab/>
        <w:t>Min (POWERTELEM + (</w:t>
      </w:r>
      <w:r w:rsidRPr="0013396E">
        <w:rPr>
          <w:b/>
          <w:lang w:val="de-DE"/>
        </w:rPr>
        <w:t>NORMRAMPDN</w:t>
      </w:r>
      <w:r w:rsidRPr="0013396E">
        <w:rPr>
          <w:b/>
        </w:rPr>
        <w:t xml:space="preserve"> * 5), HSLTELEM)</w:t>
      </w: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657"/>
        <w:gridCol w:w="6199"/>
      </w:tblGrid>
      <w:tr w:rsidR="005D316E" w:rsidRPr="0013396E" w14:paraId="00D0B76B" w14:textId="77777777" w:rsidTr="005B61C1">
        <w:tc>
          <w:tcPr>
            <w:tcW w:w="1500" w:type="pct"/>
          </w:tcPr>
          <w:p w14:paraId="07EA3AA8" w14:textId="77777777" w:rsidR="005D316E" w:rsidRPr="0013396E" w:rsidRDefault="005D316E" w:rsidP="005B61C1">
            <w:pPr>
              <w:spacing w:after="120"/>
              <w:rPr>
                <w:b/>
                <w:iCs/>
                <w:sz w:val="20"/>
              </w:rPr>
            </w:pPr>
            <w:r w:rsidRPr="0013396E">
              <w:rPr>
                <w:b/>
                <w:iCs/>
                <w:sz w:val="20"/>
              </w:rPr>
              <w:t>Variable</w:t>
            </w:r>
          </w:p>
        </w:tc>
        <w:tc>
          <w:tcPr>
            <w:tcW w:w="3500" w:type="pct"/>
          </w:tcPr>
          <w:p w14:paraId="3FD8F235" w14:textId="77777777" w:rsidR="005D316E" w:rsidRPr="0013396E" w:rsidRDefault="005D316E" w:rsidP="005B61C1">
            <w:pPr>
              <w:spacing w:after="120"/>
              <w:rPr>
                <w:b/>
                <w:iCs/>
                <w:sz w:val="20"/>
              </w:rPr>
            </w:pPr>
            <w:r w:rsidRPr="0013396E">
              <w:rPr>
                <w:b/>
                <w:iCs/>
                <w:sz w:val="20"/>
              </w:rPr>
              <w:t>Description</w:t>
            </w:r>
          </w:p>
        </w:tc>
      </w:tr>
      <w:tr w:rsidR="005D316E" w:rsidRPr="0013396E" w14:paraId="30C146D2" w14:textId="77777777" w:rsidTr="005B61C1">
        <w:trPr>
          <w:cantSplit/>
        </w:trPr>
        <w:tc>
          <w:tcPr>
            <w:tcW w:w="1500" w:type="pct"/>
          </w:tcPr>
          <w:p w14:paraId="62194761" w14:textId="77777777" w:rsidR="005D316E" w:rsidRPr="0013396E" w:rsidRDefault="005D316E" w:rsidP="005B61C1">
            <w:pPr>
              <w:spacing w:after="60"/>
              <w:rPr>
                <w:iCs/>
                <w:sz w:val="20"/>
              </w:rPr>
            </w:pPr>
            <w:r w:rsidRPr="0013396E">
              <w:rPr>
                <w:iCs/>
                <w:sz w:val="20"/>
              </w:rPr>
              <w:t>HDL</w:t>
            </w:r>
          </w:p>
        </w:tc>
        <w:tc>
          <w:tcPr>
            <w:tcW w:w="3500" w:type="pct"/>
          </w:tcPr>
          <w:p w14:paraId="7ED44753" w14:textId="77777777" w:rsidR="005D316E" w:rsidRPr="0013396E" w:rsidRDefault="005D316E" w:rsidP="005B61C1">
            <w:pPr>
              <w:spacing w:after="60"/>
              <w:rPr>
                <w:iCs/>
                <w:sz w:val="20"/>
              </w:rPr>
            </w:pPr>
            <w:r w:rsidRPr="0013396E">
              <w:rPr>
                <w:iCs/>
                <w:sz w:val="20"/>
              </w:rPr>
              <w:t>High Dispatch Limit.</w:t>
            </w:r>
          </w:p>
        </w:tc>
      </w:tr>
      <w:tr w:rsidR="005D316E" w:rsidRPr="0013396E" w14:paraId="68EF6B67" w14:textId="77777777" w:rsidTr="005B61C1">
        <w:trPr>
          <w:cantSplit/>
        </w:trPr>
        <w:tc>
          <w:tcPr>
            <w:tcW w:w="1500" w:type="pct"/>
          </w:tcPr>
          <w:p w14:paraId="01C6AFF3" w14:textId="77777777" w:rsidR="005D316E" w:rsidRPr="0013396E" w:rsidRDefault="005D316E" w:rsidP="005B61C1">
            <w:pPr>
              <w:spacing w:after="60"/>
              <w:rPr>
                <w:iCs/>
                <w:sz w:val="20"/>
              </w:rPr>
            </w:pPr>
            <w:r w:rsidRPr="0013396E">
              <w:rPr>
                <w:iCs/>
                <w:sz w:val="20"/>
              </w:rPr>
              <w:t>POWERTELEM</w:t>
            </w:r>
          </w:p>
        </w:tc>
        <w:tc>
          <w:tcPr>
            <w:tcW w:w="3500" w:type="pct"/>
          </w:tcPr>
          <w:p w14:paraId="3E589F98" w14:textId="77777777" w:rsidR="005D316E" w:rsidRPr="0013396E" w:rsidRDefault="005D316E" w:rsidP="005B61C1">
            <w:pPr>
              <w:spacing w:after="60"/>
              <w:rPr>
                <w:iCs/>
                <w:sz w:val="20"/>
              </w:rPr>
            </w:pPr>
            <w:r w:rsidRPr="0013396E">
              <w:rPr>
                <w:iCs/>
                <w:sz w:val="20"/>
              </w:rPr>
              <w:t xml:space="preserve">Net real power flow provided via telemetry. </w:t>
            </w:r>
          </w:p>
        </w:tc>
      </w:tr>
      <w:tr w:rsidR="005D316E" w:rsidRPr="0013396E" w14:paraId="170A9833" w14:textId="77777777" w:rsidTr="005B61C1">
        <w:trPr>
          <w:cantSplit/>
        </w:trPr>
        <w:tc>
          <w:tcPr>
            <w:tcW w:w="1500" w:type="pct"/>
          </w:tcPr>
          <w:p w14:paraId="43F82F73" w14:textId="77777777" w:rsidR="005D316E" w:rsidRPr="0013396E" w:rsidRDefault="005D316E" w:rsidP="005B61C1">
            <w:pPr>
              <w:spacing w:after="60"/>
              <w:rPr>
                <w:iCs/>
                <w:sz w:val="20"/>
              </w:rPr>
            </w:pPr>
            <w:r w:rsidRPr="0013396E">
              <w:rPr>
                <w:iCs/>
                <w:sz w:val="20"/>
              </w:rPr>
              <w:t>NORMRAMPDN</w:t>
            </w:r>
          </w:p>
        </w:tc>
        <w:tc>
          <w:tcPr>
            <w:tcW w:w="3500" w:type="pct"/>
          </w:tcPr>
          <w:p w14:paraId="2341313C" w14:textId="77777777" w:rsidR="005D316E" w:rsidRPr="0013396E" w:rsidRDefault="005D316E" w:rsidP="005B61C1">
            <w:pPr>
              <w:spacing w:after="60"/>
              <w:rPr>
                <w:iCs/>
                <w:sz w:val="20"/>
              </w:rPr>
            </w:pPr>
            <w:r w:rsidRPr="0013396E">
              <w:rPr>
                <w:iCs/>
                <w:sz w:val="20"/>
              </w:rPr>
              <w:t xml:space="preserve">Normal Ramp Rate down, as telemetered by the QSE. </w:t>
            </w:r>
          </w:p>
        </w:tc>
      </w:tr>
      <w:tr w:rsidR="005D316E" w:rsidRPr="0013396E" w14:paraId="4CDEC920" w14:textId="77777777" w:rsidTr="005B61C1">
        <w:trPr>
          <w:cantSplit/>
        </w:trPr>
        <w:tc>
          <w:tcPr>
            <w:tcW w:w="1500" w:type="pct"/>
          </w:tcPr>
          <w:p w14:paraId="0C7DA85C" w14:textId="77777777" w:rsidR="005D316E" w:rsidRPr="0013396E" w:rsidRDefault="005D316E" w:rsidP="005B61C1">
            <w:pPr>
              <w:spacing w:after="60"/>
              <w:rPr>
                <w:iCs/>
                <w:sz w:val="20"/>
              </w:rPr>
            </w:pPr>
            <w:r w:rsidRPr="0013396E">
              <w:rPr>
                <w:iCs/>
                <w:sz w:val="20"/>
              </w:rPr>
              <w:t>HSLTELEM</w:t>
            </w:r>
          </w:p>
        </w:tc>
        <w:tc>
          <w:tcPr>
            <w:tcW w:w="3500" w:type="pct"/>
          </w:tcPr>
          <w:p w14:paraId="4BB07E01" w14:textId="77777777" w:rsidR="005D316E" w:rsidRPr="0013396E" w:rsidRDefault="005D316E" w:rsidP="005B61C1">
            <w:pPr>
              <w:spacing w:after="60"/>
              <w:rPr>
                <w:iCs/>
                <w:sz w:val="20"/>
              </w:rPr>
            </w:pPr>
            <w:r w:rsidRPr="0013396E">
              <w:rPr>
                <w:iCs/>
                <w:sz w:val="20"/>
              </w:rPr>
              <w:t>HSL provided via telemetry.</w:t>
            </w:r>
          </w:p>
        </w:tc>
      </w:tr>
    </w:tbl>
    <w:p w14:paraId="19D6A585" w14:textId="77777777" w:rsidR="005D316E" w:rsidRPr="0013396E" w:rsidRDefault="005D316E" w:rsidP="005D316E">
      <w:pPr>
        <w:spacing w:before="240" w:after="240"/>
        <w:rPr>
          <w:b/>
          <w:i/>
          <w:iCs/>
        </w:rPr>
      </w:pPr>
      <w:r w:rsidRPr="0013396E">
        <w:rPr>
          <w:iCs/>
        </w:rPr>
        <w:t>(7)</w:t>
      </w:r>
      <w:r w:rsidRPr="0013396E">
        <w:rPr>
          <w:iCs/>
        </w:rPr>
        <w:tab/>
        <w:t>For SCED-dispatchable Load Resources, LDL is calculated as follows:</w:t>
      </w:r>
    </w:p>
    <w:p w14:paraId="5A98B170" w14:textId="77777777" w:rsidR="005D316E" w:rsidRPr="0013396E" w:rsidRDefault="005D316E" w:rsidP="005D316E">
      <w:pPr>
        <w:spacing w:after="240"/>
        <w:ind w:left="1440" w:hanging="720"/>
        <w:rPr>
          <w:b/>
        </w:rPr>
      </w:pPr>
      <w:r w:rsidRPr="0013396E">
        <w:rPr>
          <w:b/>
        </w:rPr>
        <w:lastRenderedPageBreak/>
        <w:t>LDL</w:t>
      </w:r>
      <w:r w:rsidRPr="0013396E">
        <w:rPr>
          <w:b/>
        </w:rPr>
        <w:tab/>
        <w:t>=</w:t>
      </w:r>
      <w:r w:rsidRPr="0013396E">
        <w:rPr>
          <w:b/>
        </w:rPr>
        <w:tab/>
        <w:t>Max (POWERTELEM - (</w:t>
      </w:r>
      <w:r w:rsidRPr="0013396E">
        <w:rPr>
          <w:b/>
          <w:lang w:val="de-DE"/>
        </w:rPr>
        <w:t>NORMRAMPUP</w:t>
      </w:r>
      <w:r w:rsidRPr="0013396E">
        <w:rPr>
          <w:b/>
        </w:rPr>
        <w:t xml:space="preserve"> * 5), LSLTELEM)</w:t>
      </w: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657"/>
        <w:gridCol w:w="6199"/>
      </w:tblGrid>
      <w:tr w:rsidR="005D316E" w:rsidRPr="0013396E" w14:paraId="1413D480" w14:textId="77777777" w:rsidTr="005B61C1">
        <w:tc>
          <w:tcPr>
            <w:tcW w:w="1500" w:type="pct"/>
          </w:tcPr>
          <w:p w14:paraId="2EDBF286" w14:textId="77777777" w:rsidR="005D316E" w:rsidRPr="0013396E" w:rsidRDefault="005D316E" w:rsidP="005B61C1">
            <w:pPr>
              <w:spacing w:after="120"/>
              <w:rPr>
                <w:b/>
                <w:iCs/>
                <w:sz w:val="20"/>
              </w:rPr>
            </w:pPr>
            <w:r w:rsidRPr="0013396E">
              <w:rPr>
                <w:b/>
                <w:iCs/>
                <w:sz w:val="20"/>
              </w:rPr>
              <w:t>Variable</w:t>
            </w:r>
          </w:p>
        </w:tc>
        <w:tc>
          <w:tcPr>
            <w:tcW w:w="3500" w:type="pct"/>
          </w:tcPr>
          <w:p w14:paraId="46F3DA8B" w14:textId="77777777" w:rsidR="005D316E" w:rsidRPr="0013396E" w:rsidRDefault="005D316E" w:rsidP="005B61C1">
            <w:pPr>
              <w:spacing w:after="120"/>
              <w:rPr>
                <w:b/>
                <w:iCs/>
                <w:sz w:val="20"/>
              </w:rPr>
            </w:pPr>
            <w:r w:rsidRPr="0013396E">
              <w:rPr>
                <w:b/>
                <w:iCs/>
                <w:sz w:val="20"/>
              </w:rPr>
              <w:t>Description</w:t>
            </w:r>
          </w:p>
        </w:tc>
      </w:tr>
      <w:tr w:rsidR="005D316E" w:rsidRPr="0013396E" w14:paraId="279C4D3F" w14:textId="77777777" w:rsidTr="005B61C1">
        <w:trPr>
          <w:cantSplit/>
        </w:trPr>
        <w:tc>
          <w:tcPr>
            <w:tcW w:w="1500" w:type="pct"/>
          </w:tcPr>
          <w:p w14:paraId="57CBE959" w14:textId="77777777" w:rsidR="005D316E" w:rsidRPr="0013396E" w:rsidRDefault="005D316E" w:rsidP="005B61C1">
            <w:pPr>
              <w:spacing w:after="60"/>
              <w:rPr>
                <w:iCs/>
                <w:sz w:val="20"/>
              </w:rPr>
            </w:pPr>
            <w:r w:rsidRPr="0013396E">
              <w:rPr>
                <w:iCs/>
                <w:sz w:val="20"/>
              </w:rPr>
              <w:t>LDL</w:t>
            </w:r>
          </w:p>
        </w:tc>
        <w:tc>
          <w:tcPr>
            <w:tcW w:w="3500" w:type="pct"/>
          </w:tcPr>
          <w:p w14:paraId="44C3D3AC" w14:textId="77777777" w:rsidR="005D316E" w:rsidRPr="0013396E" w:rsidRDefault="005D316E" w:rsidP="005B61C1">
            <w:pPr>
              <w:spacing w:after="60"/>
              <w:rPr>
                <w:iCs/>
                <w:sz w:val="20"/>
              </w:rPr>
            </w:pPr>
            <w:r w:rsidRPr="0013396E">
              <w:rPr>
                <w:iCs/>
                <w:sz w:val="20"/>
              </w:rPr>
              <w:t>Low Dispatch Limit.</w:t>
            </w:r>
          </w:p>
        </w:tc>
      </w:tr>
      <w:tr w:rsidR="005D316E" w:rsidRPr="0013396E" w14:paraId="65E9383D" w14:textId="77777777" w:rsidTr="005B61C1">
        <w:trPr>
          <w:cantSplit/>
        </w:trPr>
        <w:tc>
          <w:tcPr>
            <w:tcW w:w="1500" w:type="pct"/>
          </w:tcPr>
          <w:p w14:paraId="324C229C" w14:textId="77777777" w:rsidR="005D316E" w:rsidRPr="0013396E" w:rsidRDefault="005D316E" w:rsidP="005B61C1">
            <w:pPr>
              <w:spacing w:after="60"/>
              <w:rPr>
                <w:iCs/>
                <w:sz w:val="20"/>
              </w:rPr>
            </w:pPr>
            <w:r w:rsidRPr="0013396E">
              <w:rPr>
                <w:iCs/>
                <w:sz w:val="20"/>
              </w:rPr>
              <w:t>POWERTELEM</w:t>
            </w:r>
          </w:p>
        </w:tc>
        <w:tc>
          <w:tcPr>
            <w:tcW w:w="3500" w:type="pct"/>
          </w:tcPr>
          <w:p w14:paraId="2DD88168" w14:textId="77777777" w:rsidR="005D316E" w:rsidRPr="0013396E" w:rsidRDefault="005D316E" w:rsidP="005B61C1">
            <w:pPr>
              <w:spacing w:after="60"/>
              <w:rPr>
                <w:iCs/>
                <w:sz w:val="20"/>
              </w:rPr>
            </w:pPr>
            <w:r w:rsidRPr="0013396E">
              <w:rPr>
                <w:iCs/>
                <w:sz w:val="20"/>
              </w:rPr>
              <w:t xml:space="preserve">Net real power flow provided via telemetry. </w:t>
            </w:r>
          </w:p>
        </w:tc>
      </w:tr>
      <w:tr w:rsidR="005D316E" w:rsidRPr="0013396E" w14:paraId="318FBB8E" w14:textId="77777777" w:rsidTr="005B61C1">
        <w:trPr>
          <w:cantSplit/>
        </w:trPr>
        <w:tc>
          <w:tcPr>
            <w:tcW w:w="1500" w:type="pct"/>
          </w:tcPr>
          <w:p w14:paraId="3F1F649C" w14:textId="77777777" w:rsidR="005D316E" w:rsidRPr="0013396E" w:rsidRDefault="005D316E" w:rsidP="005B61C1">
            <w:pPr>
              <w:spacing w:after="60"/>
              <w:rPr>
                <w:iCs/>
                <w:sz w:val="20"/>
              </w:rPr>
            </w:pPr>
            <w:r w:rsidRPr="0013396E">
              <w:rPr>
                <w:iCs/>
                <w:sz w:val="20"/>
              </w:rPr>
              <w:t>NORMRAMPUP</w:t>
            </w:r>
          </w:p>
        </w:tc>
        <w:tc>
          <w:tcPr>
            <w:tcW w:w="3500" w:type="pct"/>
          </w:tcPr>
          <w:p w14:paraId="32639674" w14:textId="77777777" w:rsidR="005D316E" w:rsidRPr="0013396E" w:rsidRDefault="005D316E" w:rsidP="005B61C1">
            <w:pPr>
              <w:spacing w:after="60"/>
              <w:rPr>
                <w:iCs/>
                <w:sz w:val="20"/>
              </w:rPr>
            </w:pPr>
            <w:r w:rsidRPr="0013396E">
              <w:rPr>
                <w:iCs/>
                <w:sz w:val="20"/>
              </w:rPr>
              <w:t>Normal Ramp Rate up, as telemetered by the QSE.</w:t>
            </w:r>
          </w:p>
        </w:tc>
      </w:tr>
      <w:tr w:rsidR="005D316E" w:rsidRPr="0013396E" w14:paraId="6A6B89E8" w14:textId="77777777" w:rsidTr="005B61C1">
        <w:trPr>
          <w:cantSplit/>
        </w:trPr>
        <w:tc>
          <w:tcPr>
            <w:tcW w:w="1500" w:type="pct"/>
          </w:tcPr>
          <w:p w14:paraId="721B0123" w14:textId="77777777" w:rsidR="005D316E" w:rsidRPr="0013396E" w:rsidRDefault="005D316E" w:rsidP="005B61C1">
            <w:pPr>
              <w:spacing w:after="60"/>
              <w:rPr>
                <w:iCs/>
                <w:sz w:val="20"/>
              </w:rPr>
            </w:pPr>
            <w:r w:rsidRPr="0013396E">
              <w:rPr>
                <w:iCs/>
                <w:sz w:val="20"/>
              </w:rPr>
              <w:t>LSLTELEM</w:t>
            </w:r>
          </w:p>
        </w:tc>
        <w:tc>
          <w:tcPr>
            <w:tcW w:w="3500" w:type="pct"/>
          </w:tcPr>
          <w:p w14:paraId="110791A8" w14:textId="77777777" w:rsidR="005D316E" w:rsidRPr="0013396E" w:rsidRDefault="005D316E" w:rsidP="005B61C1">
            <w:pPr>
              <w:spacing w:after="60"/>
              <w:rPr>
                <w:iCs/>
                <w:sz w:val="20"/>
              </w:rPr>
            </w:pPr>
            <w:r w:rsidRPr="0013396E">
              <w:rPr>
                <w:iCs/>
                <w:sz w:val="20"/>
              </w:rPr>
              <w:t>LSL provided via telemetry.</w:t>
            </w:r>
          </w:p>
        </w:tc>
      </w:tr>
    </w:tbl>
    <w:p w14:paraId="5B9A4C4B" w14:textId="77777777" w:rsidR="00F65784" w:rsidRPr="0013396E" w:rsidRDefault="00F65784" w:rsidP="00F65784">
      <w:pPr>
        <w:pStyle w:val="BodyText"/>
        <w:spacing w:after="0"/>
      </w:pPr>
      <w:bookmarkStart w:id="880" w:name="_Toc397504970"/>
      <w:bookmarkStart w:id="881" w:name="_Toc402357098"/>
      <w:bookmarkStart w:id="882" w:name="_Toc422486478"/>
      <w:bookmarkStart w:id="883" w:name="_Toc433093330"/>
      <w:bookmarkStart w:id="884" w:name="_Toc433093488"/>
      <w:bookmarkStart w:id="885" w:name="_Toc440874717"/>
      <w:bookmarkStart w:id="886" w:name="_Toc448142272"/>
      <w:bookmarkStart w:id="887" w:name="_Toc448142429"/>
      <w:bookmarkStart w:id="888" w:name="_Toc458770265"/>
      <w:bookmarkStart w:id="889" w:name="_Toc459294233"/>
      <w:bookmarkStart w:id="890" w:name="_Toc463262726"/>
      <w:bookmarkStart w:id="891" w:name="_Toc468286800"/>
      <w:bookmarkStart w:id="892" w:name="_Toc481502846"/>
      <w:bookmarkStart w:id="893" w:name="_Toc496080014"/>
      <w:bookmarkEnd w:id="877"/>
    </w:p>
    <w:p w14:paraId="0AD10B00" w14:textId="76FD60FA" w:rsidR="001F04FD" w:rsidRPr="0013396E" w:rsidRDefault="001F04FD" w:rsidP="007A1E53">
      <w:pPr>
        <w:pStyle w:val="H4"/>
        <w:ind w:left="1267" w:hanging="1267"/>
      </w:pPr>
      <w:bookmarkStart w:id="894" w:name="_Toc214878914"/>
      <w:bookmarkStart w:id="895" w:name="_Hlk102562855"/>
      <w:r w:rsidRPr="00657137">
        <w:t>6.5.7.3</w:t>
      </w:r>
      <w:r w:rsidRPr="00657137">
        <w:tab/>
        <w:t>Security Constrained Economic Dispatch</w:t>
      </w:r>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p>
    <w:p w14:paraId="5E009C96" w14:textId="45247B7C" w:rsidR="00540BAB" w:rsidRPr="0013396E" w:rsidRDefault="00540BAB" w:rsidP="00540BAB">
      <w:pPr>
        <w:spacing w:after="240"/>
        <w:ind w:left="720" w:hanging="720"/>
      </w:pPr>
      <w:r w:rsidRPr="0013396E">
        <w:rPr>
          <w:iCs/>
        </w:rPr>
        <w:t>(1)</w:t>
      </w:r>
      <w:r w:rsidRPr="0013396E">
        <w:rPr>
          <w:iCs/>
        </w:rPr>
        <w:tab/>
        <w:t xml:space="preserve">The SCED process is designed to simultaneously manage energy, Ancillary Services, the system power balance and network congestion through Resource Base Points, Ancillary Service awards, and the calculation of LMPs and Real-Time MCPCs approximately every five minutes, or more frequently if necessary.  The SCED process uses a two-step methodology that applies mitigation to offers for energy prospectively to resolve Non-Competitive Constraints for the current Operating Hour.  The SCED process evaluates Energy Offer Curves, Energy Bid/Offer Curves, Ancillary Service Offers, Output Schedules, and </w:t>
      </w:r>
      <w:r w:rsidR="00890D72" w:rsidRPr="0013396E">
        <w:rPr>
          <w:iCs/>
        </w:rPr>
        <w:t xml:space="preserve">RTM </w:t>
      </w:r>
      <w:r w:rsidRPr="0013396E">
        <w:rPr>
          <w:iCs/>
        </w:rPr>
        <w:t xml:space="preserve">Energy Bids to determine Resource Dispatch Instructions and Ancillary Service awards by maximizing bid-based revenues minus offer-based costs, subject to power balance, Ancillary Service Demand Curves (ASDCs), and network constraints.  The SCED process uses the Resource Status provided by SCADA telemetry under Section 6.5.5.2, Operational Data Requirements, and validated by the Real-Time Sequence, instead of the Resource Status provided by the COP.  </w:t>
      </w:r>
      <w:r w:rsidRPr="0013396E">
        <w:t>In addition, the SCED process accounts for each ESR’s State of Charge (SOC) and SOC operating limits.  This is to ensure that the SCED process will issue ESR Base Points and Ancillary Services that are feasible taking into account SCED duration requirements for energy and Ancillary Services and also that do not violate the ESR’s Minimum State of Charge (MinSOC) and Maximum State of Charge (MaxSOC) limits.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890D72" w:rsidRPr="0013396E" w14:paraId="0ED519F2" w14:textId="77777777" w:rsidTr="005B61C1">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05EB3B6B" w14:textId="4E40DB4C" w:rsidR="00890D72" w:rsidRPr="0013396E" w:rsidRDefault="00890D72" w:rsidP="005B61C1">
            <w:pPr>
              <w:spacing w:before="120" w:after="240"/>
              <w:rPr>
                <w:b/>
                <w:i/>
                <w:iCs/>
                <w:szCs w:val="24"/>
              </w:rPr>
            </w:pPr>
            <w:r w:rsidRPr="0013396E">
              <w:rPr>
                <w:b/>
                <w:i/>
                <w:iCs/>
                <w:szCs w:val="24"/>
              </w:rPr>
              <w:t>[NPRR1188:  Replace paragraph (1) above with the following upon system implementation:]</w:t>
            </w:r>
          </w:p>
          <w:p w14:paraId="2C5332EB" w14:textId="1160457C" w:rsidR="00890D72" w:rsidRPr="0013396E" w:rsidRDefault="00890D72" w:rsidP="007A1E53">
            <w:pPr>
              <w:spacing w:after="240"/>
              <w:ind w:left="720" w:hanging="720"/>
            </w:pPr>
            <w:r w:rsidRPr="0013396E">
              <w:rPr>
                <w:iCs/>
              </w:rPr>
              <w:t>(1)</w:t>
            </w:r>
            <w:r w:rsidRPr="0013396E">
              <w:rPr>
                <w:iCs/>
              </w:rPr>
              <w:tab/>
              <w:t xml:space="preserve">The SCED process is designed to simultaneously manage energy, Ancillary Services, the system power balance and network congestion through Resource Base Points, Ancillary Service awards, and the calculation of LMPs and Real-Time MCPCs approximately every five minutes, or more frequently if necessary.  The SCED process uses a two-step methodology that applies mitigation to offers for energy prospectively to resolve Non-Competitive Constraints for the current Operating Hour.  The SCED process evaluates Energy Offer Curves, Energy Bid/Offer Curves, Ancillary Service Offers, Output Schedules, and Energy Bid Curves to determine Resource Dispatch Instructions and Ancillary Service awards by maximizing bid-based revenues minus offer-based costs, subject to power balance, Ancillary Service Demand Curves (ASDCs), and network constraints.  The SCED process uses the Resource Status provided by SCADA telemetry under Section 6.5.5.2, Operational Data Requirements, </w:t>
            </w:r>
            <w:r w:rsidRPr="0013396E">
              <w:rPr>
                <w:iCs/>
              </w:rPr>
              <w:lastRenderedPageBreak/>
              <w:t xml:space="preserve">and validated by the Real-Time Sequence, instead of the Resource Status provided by the COP.  </w:t>
            </w:r>
            <w:r w:rsidRPr="0013396E">
              <w:t>In addition, the SCED process accounts for each ESR’s State of Charge (SOC) and SOC operating limits.  This is to ensure that the SCED process will issue ESR Base Points and Ancillary Services that are feasible taking into account SCED duration requirements for energy and Ancillary Services and also that do not violate the ESR’s Minimum State of Charge (MinSOC) and Maximum State of Charge (MaxSOC) limits.</w:t>
            </w:r>
          </w:p>
        </w:tc>
      </w:tr>
    </w:tbl>
    <w:p w14:paraId="58840281" w14:textId="7B772DFA" w:rsidR="00540BAB" w:rsidRPr="0013396E" w:rsidRDefault="00540BAB" w:rsidP="007A1E53">
      <w:pPr>
        <w:spacing w:before="240" w:after="240"/>
        <w:ind w:left="720" w:hanging="720"/>
      </w:pPr>
      <w:r w:rsidRPr="0013396E">
        <w:lastRenderedPageBreak/>
        <w:t>(2)</w:t>
      </w:r>
      <w:r w:rsidRPr="0013396E">
        <w:tab/>
        <w:t>The SCED solution must monitor cumulative deployment of Regulation Services and ensure that Regulation Services deployment is minimized over time.</w:t>
      </w:r>
    </w:p>
    <w:p w14:paraId="5B60EACD" w14:textId="77777777" w:rsidR="00540BAB" w:rsidRPr="0013396E" w:rsidRDefault="00540BAB" w:rsidP="00540BAB">
      <w:pPr>
        <w:spacing w:before="240" w:after="240"/>
        <w:ind w:left="720" w:hanging="720"/>
      </w:pPr>
      <w:r w:rsidRPr="0013396E">
        <w:t>(3)</w:t>
      </w:r>
      <w:r w:rsidRPr="0013396E">
        <w:tab/>
        <w:t>In the Generation To Be Dispatched (GTBD) determined by LFC, ERCOT shall subtract the sum of the telemetered net real power consumption from all CLRs available to SCED.</w:t>
      </w:r>
    </w:p>
    <w:p w14:paraId="301C8F71" w14:textId="77777777" w:rsidR="00540BAB" w:rsidRPr="0013396E" w:rsidRDefault="00540BAB" w:rsidP="00540BAB">
      <w:pPr>
        <w:spacing w:before="240" w:after="240"/>
        <w:ind w:left="720" w:hanging="720"/>
      </w:pPr>
      <w:r w:rsidRPr="0013396E">
        <w:t>(4)</w:t>
      </w:r>
      <w:r w:rsidRPr="0013396E">
        <w:tab/>
        <w:t xml:space="preserve">For use as SCED inputs for determining energy dispatch and Ancillary Service awards, ERCOT shall use the available capacity of all committed Generation Resources by creating proxy Energy Offer Curves for certain Resources as follows: </w:t>
      </w:r>
    </w:p>
    <w:p w14:paraId="52B7BB24" w14:textId="77777777" w:rsidR="00540BAB" w:rsidRPr="0013396E" w:rsidRDefault="00540BAB" w:rsidP="00540BAB">
      <w:pPr>
        <w:spacing w:after="240"/>
        <w:ind w:left="1440" w:hanging="720"/>
      </w:pPr>
      <w:r w:rsidRPr="0013396E">
        <w:t>(a)</w:t>
      </w:r>
      <w:r w:rsidRPr="0013396E">
        <w:tab/>
        <w:t>Non-IRRs without Energy Offer Curves</w:t>
      </w:r>
    </w:p>
    <w:p w14:paraId="6D932CCA" w14:textId="77777777" w:rsidR="00540BAB" w:rsidRPr="0013396E" w:rsidRDefault="00540BAB" w:rsidP="00540BAB">
      <w:pPr>
        <w:spacing w:before="240" w:after="240"/>
        <w:ind w:left="2160" w:hanging="720"/>
      </w:pPr>
      <w:r w:rsidRPr="0013396E">
        <w:t>(i)</w:t>
      </w:r>
      <w:r w:rsidRPr="0013396E">
        <w:tab/>
        <w:t>ERCOT shall create a monotonically non-decreasing proxy Energy Offer Curve as described below for:</w:t>
      </w:r>
    </w:p>
    <w:p w14:paraId="422A43FC" w14:textId="77777777" w:rsidR="00540BAB" w:rsidRPr="0013396E" w:rsidRDefault="00540BAB" w:rsidP="00540BAB">
      <w:pPr>
        <w:spacing w:after="240"/>
        <w:ind w:left="2880" w:hanging="720"/>
      </w:pPr>
      <w:r w:rsidRPr="0013396E">
        <w:t>(A)</w:t>
      </w:r>
      <w:r w:rsidRPr="0013396E">
        <w:tab/>
        <w:t>Each non-IRR for which its QSE has submitted an Output Schedule instead of an Energy Offer Curve.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520"/>
      </w:tblGrid>
      <w:tr w:rsidR="00540BAB" w:rsidRPr="0013396E" w14:paraId="12B023E9" w14:textId="77777777" w:rsidTr="005B61C1">
        <w:trPr>
          <w:jc w:val="center"/>
        </w:trPr>
        <w:tc>
          <w:tcPr>
            <w:tcW w:w="3780" w:type="dxa"/>
          </w:tcPr>
          <w:p w14:paraId="6A7EE519" w14:textId="77777777" w:rsidR="00540BAB" w:rsidRPr="0013396E" w:rsidRDefault="00540BAB" w:rsidP="005B61C1">
            <w:pPr>
              <w:spacing w:after="120"/>
              <w:rPr>
                <w:b/>
                <w:iCs/>
                <w:sz w:val="20"/>
              </w:rPr>
            </w:pPr>
            <w:r w:rsidRPr="0013396E">
              <w:rPr>
                <w:b/>
                <w:iCs/>
                <w:sz w:val="20"/>
              </w:rPr>
              <w:t>MW</w:t>
            </w:r>
          </w:p>
        </w:tc>
        <w:tc>
          <w:tcPr>
            <w:tcW w:w="2520" w:type="dxa"/>
          </w:tcPr>
          <w:p w14:paraId="2127E605" w14:textId="77777777" w:rsidR="00540BAB" w:rsidRPr="0013396E" w:rsidRDefault="00540BAB" w:rsidP="005B61C1">
            <w:pPr>
              <w:spacing w:after="120"/>
              <w:rPr>
                <w:b/>
                <w:iCs/>
                <w:sz w:val="20"/>
              </w:rPr>
            </w:pPr>
            <w:r w:rsidRPr="0013396E">
              <w:rPr>
                <w:b/>
                <w:iCs/>
                <w:sz w:val="20"/>
              </w:rPr>
              <w:t>Price (per MWh)</w:t>
            </w:r>
          </w:p>
        </w:tc>
      </w:tr>
      <w:tr w:rsidR="00540BAB" w:rsidRPr="0013396E" w14:paraId="3D2997BE" w14:textId="77777777" w:rsidTr="005B61C1">
        <w:trPr>
          <w:jc w:val="center"/>
        </w:trPr>
        <w:tc>
          <w:tcPr>
            <w:tcW w:w="3780" w:type="dxa"/>
          </w:tcPr>
          <w:p w14:paraId="0A5E702C" w14:textId="77777777" w:rsidR="00540BAB" w:rsidRPr="0013396E" w:rsidRDefault="00540BAB" w:rsidP="005B61C1">
            <w:pPr>
              <w:spacing w:after="60"/>
              <w:rPr>
                <w:iCs/>
                <w:sz w:val="20"/>
              </w:rPr>
            </w:pPr>
            <w:r w:rsidRPr="0013396E">
              <w:rPr>
                <w:iCs/>
                <w:sz w:val="20"/>
              </w:rPr>
              <w:t>HSL</w:t>
            </w:r>
          </w:p>
        </w:tc>
        <w:tc>
          <w:tcPr>
            <w:tcW w:w="2520" w:type="dxa"/>
          </w:tcPr>
          <w:p w14:paraId="6402093F" w14:textId="77777777" w:rsidR="00540BAB" w:rsidRPr="0013396E" w:rsidRDefault="00540BAB" w:rsidP="005B61C1">
            <w:pPr>
              <w:spacing w:after="60"/>
              <w:rPr>
                <w:iCs/>
                <w:sz w:val="20"/>
              </w:rPr>
            </w:pPr>
            <w:r w:rsidRPr="0013396E">
              <w:rPr>
                <w:iCs/>
                <w:sz w:val="20"/>
              </w:rPr>
              <w:t>RTSWCAP</w:t>
            </w:r>
          </w:p>
        </w:tc>
      </w:tr>
      <w:tr w:rsidR="00540BAB" w:rsidRPr="0013396E" w14:paraId="0F79DFEF" w14:textId="77777777" w:rsidTr="005B61C1">
        <w:trPr>
          <w:jc w:val="center"/>
        </w:trPr>
        <w:tc>
          <w:tcPr>
            <w:tcW w:w="3780" w:type="dxa"/>
          </w:tcPr>
          <w:p w14:paraId="7FAF3667" w14:textId="77777777" w:rsidR="00540BAB" w:rsidRPr="0013396E" w:rsidRDefault="00540BAB" w:rsidP="005B61C1">
            <w:pPr>
              <w:spacing w:after="60"/>
              <w:rPr>
                <w:iCs/>
                <w:sz w:val="20"/>
              </w:rPr>
            </w:pPr>
            <w:r w:rsidRPr="0013396E">
              <w:rPr>
                <w:iCs/>
                <w:sz w:val="20"/>
              </w:rPr>
              <w:t>Output Schedule MW plus 1 MW</w:t>
            </w:r>
          </w:p>
        </w:tc>
        <w:tc>
          <w:tcPr>
            <w:tcW w:w="2520" w:type="dxa"/>
          </w:tcPr>
          <w:p w14:paraId="7FC6FA36" w14:textId="77777777" w:rsidR="00540BAB" w:rsidRPr="0013396E" w:rsidRDefault="00540BAB" w:rsidP="005B61C1">
            <w:pPr>
              <w:spacing w:after="60"/>
              <w:rPr>
                <w:iCs/>
                <w:sz w:val="20"/>
              </w:rPr>
            </w:pPr>
            <w:r w:rsidRPr="0013396E">
              <w:rPr>
                <w:iCs/>
                <w:sz w:val="20"/>
              </w:rPr>
              <w:t>RTSWCAP minus $0.01</w:t>
            </w:r>
          </w:p>
        </w:tc>
      </w:tr>
      <w:tr w:rsidR="00540BAB" w:rsidRPr="0013396E" w14:paraId="2D3DEBD4" w14:textId="77777777" w:rsidTr="005B61C1">
        <w:trPr>
          <w:jc w:val="center"/>
        </w:trPr>
        <w:tc>
          <w:tcPr>
            <w:tcW w:w="3780" w:type="dxa"/>
          </w:tcPr>
          <w:p w14:paraId="5190801B" w14:textId="77777777" w:rsidR="00540BAB" w:rsidRPr="0013396E" w:rsidRDefault="00540BAB" w:rsidP="005B61C1">
            <w:pPr>
              <w:spacing w:after="60"/>
              <w:rPr>
                <w:iCs/>
                <w:sz w:val="20"/>
              </w:rPr>
            </w:pPr>
            <w:r w:rsidRPr="0013396E">
              <w:rPr>
                <w:iCs/>
                <w:sz w:val="20"/>
              </w:rPr>
              <w:t>Output Schedule MW</w:t>
            </w:r>
          </w:p>
        </w:tc>
        <w:tc>
          <w:tcPr>
            <w:tcW w:w="2520" w:type="dxa"/>
          </w:tcPr>
          <w:p w14:paraId="2F8F7310" w14:textId="77777777" w:rsidR="00540BAB" w:rsidRPr="0013396E" w:rsidRDefault="00540BAB" w:rsidP="005B61C1">
            <w:pPr>
              <w:spacing w:after="60"/>
              <w:rPr>
                <w:iCs/>
                <w:sz w:val="20"/>
              </w:rPr>
            </w:pPr>
            <w:r w:rsidRPr="0013396E">
              <w:rPr>
                <w:iCs/>
                <w:sz w:val="20"/>
              </w:rPr>
              <w:t>-$249.99</w:t>
            </w:r>
          </w:p>
        </w:tc>
      </w:tr>
      <w:tr w:rsidR="00540BAB" w:rsidRPr="0013396E" w14:paraId="6082AC45" w14:textId="77777777" w:rsidTr="005B61C1">
        <w:trPr>
          <w:jc w:val="center"/>
        </w:trPr>
        <w:tc>
          <w:tcPr>
            <w:tcW w:w="3780" w:type="dxa"/>
          </w:tcPr>
          <w:p w14:paraId="3B8CF4A4" w14:textId="77777777" w:rsidR="00540BAB" w:rsidRPr="0013396E" w:rsidRDefault="00540BAB" w:rsidP="005B61C1">
            <w:pPr>
              <w:spacing w:after="60"/>
              <w:rPr>
                <w:iCs/>
                <w:sz w:val="20"/>
              </w:rPr>
            </w:pPr>
            <w:r w:rsidRPr="0013396E">
              <w:rPr>
                <w:iCs/>
                <w:sz w:val="20"/>
              </w:rPr>
              <w:t>LSL</w:t>
            </w:r>
          </w:p>
        </w:tc>
        <w:tc>
          <w:tcPr>
            <w:tcW w:w="2520" w:type="dxa"/>
          </w:tcPr>
          <w:p w14:paraId="2991FC24" w14:textId="77777777" w:rsidR="00540BAB" w:rsidRPr="0013396E" w:rsidRDefault="00540BAB" w:rsidP="005B61C1">
            <w:pPr>
              <w:spacing w:after="60"/>
              <w:rPr>
                <w:iCs/>
                <w:sz w:val="20"/>
              </w:rPr>
            </w:pPr>
            <w:r w:rsidRPr="0013396E">
              <w:rPr>
                <w:iCs/>
                <w:sz w:val="20"/>
              </w:rPr>
              <w:t>-$250.00</w:t>
            </w:r>
          </w:p>
        </w:tc>
      </w:tr>
    </w:tbl>
    <w:p w14:paraId="1017BFF1" w14:textId="77777777" w:rsidR="00540BAB" w:rsidRPr="0013396E" w:rsidRDefault="00540BAB" w:rsidP="00540BAB">
      <w:pPr>
        <w:spacing w:before="240" w:after="240"/>
        <w:ind w:left="1440" w:hanging="720"/>
      </w:pPr>
      <w:r w:rsidRPr="0013396E">
        <w:t>(b)</w:t>
      </w:r>
      <w:r w:rsidRPr="0013396E">
        <w:tab/>
        <w:t xml:space="preserve">Non-IRRs without full-range Energy Offer Curves </w:t>
      </w:r>
    </w:p>
    <w:p w14:paraId="7A2B311A" w14:textId="77777777" w:rsidR="00540BAB" w:rsidRPr="0013396E" w:rsidRDefault="00540BAB" w:rsidP="00540BAB">
      <w:pPr>
        <w:spacing w:after="240"/>
        <w:ind w:left="2160" w:hanging="720"/>
      </w:pPr>
      <w:r w:rsidRPr="0013396E">
        <w:t>(i)</w:t>
      </w:r>
      <w:r w:rsidRPr="0013396E">
        <w:tab/>
        <w:t>For each non-IRR for which its QSE has submitted an Energy Offer Curve that does not cover the full range of the Resource’s available capacity, ERCOT shall create a proxy Energy Offer Curve that extends the submitted Energy Offer Curve to use the entire available capacity of the Resource above the highest point on the Energy Offer Curve to the Resource’s HSL and the offer floor from the lowest point on the Energy Offer Curve to its LSL, using these points: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91"/>
        <w:gridCol w:w="2630"/>
      </w:tblGrid>
      <w:tr w:rsidR="00540BAB" w:rsidRPr="0013396E" w14:paraId="2ED25FB3" w14:textId="77777777" w:rsidTr="005B61C1">
        <w:trPr>
          <w:jc w:val="center"/>
        </w:trPr>
        <w:tc>
          <w:tcPr>
            <w:tcW w:w="3891" w:type="dxa"/>
          </w:tcPr>
          <w:p w14:paraId="6607A742" w14:textId="77777777" w:rsidR="00540BAB" w:rsidRPr="0013396E" w:rsidRDefault="00540BAB" w:rsidP="005B61C1">
            <w:pPr>
              <w:spacing w:after="120"/>
              <w:rPr>
                <w:b/>
                <w:iCs/>
                <w:sz w:val="20"/>
              </w:rPr>
            </w:pPr>
            <w:r w:rsidRPr="0013396E">
              <w:rPr>
                <w:b/>
                <w:iCs/>
                <w:sz w:val="20"/>
              </w:rPr>
              <w:t>MW</w:t>
            </w:r>
          </w:p>
        </w:tc>
        <w:tc>
          <w:tcPr>
            <w:tcW w:w="2630" w:type="dxa"/>
          </w:tcPr>
          <w:p w14:paraId="4EA86FB5" w14:textId="77777777" w:rsidR="00540BAB" w:rsidRPr="0013396E" w:rsidRDefault="00540BAB" w:rsidP="005B61C1">
            <w:pPr>
              <w:spacing w:after="120"/>
              <w:rPr>
                <w:b/>
                <w:iCs/>
                <w:sz w:val="20"/>
              </w:rPr>
            </w:pPr>
            <w:r w:rsidRPr="0013396E">
              <w:rPr>
                <w:b/>
                <w:iCs/>
                <w:sz w:val="20"/>
              </w:rPr>
              <w:t>Price (per MWh)</w:t>
            </w:r>
          </w:p>
        </w:tc>
      </w:tr>
      <w:tr w:rsidR="00540BAB" w:rsidRPr="0013396E" w14:paraId="166B5E47" w14:textId="77777777" w:rsidTr="005B61C1">
        <w:trPr>
          <w:jc w:val="center"/>
        </w:trPr>
        <w:tc>
          <w:tcPr>
            <w:tcW w:w="3891" w:type="dxa"/>
          </w:tcPr>
          <w:p w14:paraId="57AE33E9" w14:textId="77777777" w:rsidR="00540BAB" w:rsidRPr="0013396E" w:rsidRDefault="00540BAB" w:rsidP="005B61C1">
            <w:pPr>
              <w:spacing w:after="60"/>
              <w:rPr>
                <w:iCs/>
                <w:sz w:val="20"/>
              </w:rPr>
            </w:pPr>
            <w:r w:rsidRPr="0013396E">
              <w:rPr>
                <w:iCs/>
                <w:sz w:val="20"/>
              </w:rPr>
              <w:t>HSL (if more than highest MW in submitted Energy Offer Curve)</w:t>
            </w:r>
          </w:p>
        </w:tc>
        <w:tc>
          <w:tcPr>
            <w:tcW w:w="2630" w:type="dxa"/>
          </w:tcPr>
          <w:p w14:paraId="510A6256" w14:textId="77777777" w:rsidR="00540BAB" w:rsidRPr="0013396E" w:rsidRDefault="00540BAB" w:rsidP="005B61C1">
            <w:pPr>
              <w:spacing w:after="60"/>
              <w:rPr>
                <w:iCs/>
                <w:sz w:val="20"/>
              </w:rPr>
            </w:pPr>
            <w:r w:rsidRPr="0013396E">
              <w:rPr>
                <w:iCs/>
                <w:sz w:val="20"/>
              </w:rPr>
              <w:t>Price associated with highest MW in submitted Energy Offer Curve</w:t>
            </w:r>
          </w:p>
        </w:tc>
      </w:tr>
      <w:tr w:rsidR="00540BAB" w:rsidRPr="0013396E" w14:paraId="213B6A7A" w14:textId="77777777" w:rsidTr="005B61C1">
        <w:trPr>
          <w:jc w:val="center"/>
        </w:trPr>
        <w:tc>
          <w:tcPr>
            <w:tcW w:w="3891" w:type="dxa"/>
          </w:tcPr>
          <w:p w14:paraId="300C85E3" w14:textId="77777777" w:rsidR="00540BAB" w:rsidRPr="0013396E" w:rsidRDefault="00540BAB" w:rsidP="005B61C1">
            <w:pPr>
              <w:spacing w:after="60"/>
              <w:rPr>
                <w:iCs/>
                <w:sz w:val="20"/>
              </w:rPr>
            </w:pPr>
            <w:r w:rsidRPr="0013396E">
              <w:rPr>
                <w:iCs/>
                <w:sz w:val="20"/>
              </w:rPr>
              <w:lastRenderedPageBreak/>
              <w:t>Energy Offer Curve</w:t>
            </w:r>
          </w:p>
        </w:tc>
        <w:tc>
          <w:tcPr>
            <w:tcW w:w="2630" w:type="dxa"/>
          </w:tcPr>
          <w:p w14:paraId="6B7922DD" w14:textId="77777777" w:rsidR="00540BAB" w:rsidRPr="0013396E" w:rsidRDefault="00540BAB" w:rsidP="005B61C1">
            <w:pPr>
              <w:spacing w:after="60"/>
              <w:rPr>
                <w:iCs/>
                <w:sz w:val="20"/>
              </w:rPr>
            </w:pPr>
            <w:r w:rsidRPr="0013396E">
              <w:rPr>
                <w:iCs/>
                <w:sz w:val="20"/>
              </w:rPr>
              <w:t>Energy Offer Curve</w:t>
            </w:r>
          </w:p>
        </w:tc>
      </w:tr>
      <w:tr w:rsidR="00540BAB" w:rsidRPr="0013396E" w14:paraId="34C0A846" w14:textId="77777777" w:rsidTr="005B61C1">
        <w:trPr>
          <w:jc w:val="center"/>
        </w:trPr>
        <w:tc>
          <w:tcPr>
            <w:tcW w:w="3891" w:type="dxa"/>
          </w:tcPr>
          <w:p w14:paraId="7F709D43" w14:textId="77777777" w:rsidR="00540BAB" w:rsidRPr="0013396E" w:rsidRDefault="00540BAB" w:rsidP="005B61C1">
            <w:pPr>
              <w:spacing w:after="60"/>
              <w:rPr>
                <w:iCs/>
                <w:sz w:val="20"/>
              </w:rPr>
            </w:pPr>
            <w:r w:rsidRPr="0013396E">
              <w:rPr>
                <w:iCs/>
                <w:sz w:val="20"/>
              </w:rPr>
              <w:t>1 MW below lowest MW in Energy Offer Curve (if more than LSL)</w:t>
            </w:r>
          </w:p>
        </w:tc>
        <w:tc>
          <w:tcPr>
            <w:tcW w:w="2630" w:type="dxa"/>
          </w:tcPr>
          <w:p w14:paraId="1E4E1677" w14:textId="77777777" w:rsidR="00540BAB" w:rsidRPr="0013396E" w:rsidRDefault="00540BAB" w:rsidP="005B61C1">
            <w:pPr>
              <w:spacing w:after="60"/>
              <w:rPr>
                <w:iCs/>
                <w:sz w:val="20"/>
              </w:rPr>
            </w:pPr>
            <w:r w:rsidRPr="0013396E">
              <w:rPr>
                <w:iCs/>
                <w:sz w:val="20"/>
              </w:rPr>
              <w:t>-$249.99</w:t>
            </w:r>
          </w:p>
        </w:tc>
      </w:tr>
      <w:tr w:rsidR="00540BAB" w:rsidRPr="0013396E" w14:paraId="0FE89FFA" w14:textId="77777777" w:rsidTr="005B61C1">
        <w:trPr>
          <w:jc w:val="center"/>
        </w:trPr>
        <w:tc>
          <w:tcPr>
            <w:tcW w:w="3891" w:type="dxa"/>
          </w:tcPr>
          <w:p w14:paraId="5E04657C" w14:textId="77777777" w:rsidR="00540BAB" w:rsidRPr="0013396E" w:rsidRDefault="00540BAB" w:rsidP="005B61C1">
            <w:pPr>
              <w:spacing w:after="60"/>
              <w:rPr>
                <w:iCs/>
                <w:sz w:val="20"/>
              </w:rPr>
            </w:pPr>
            <w:r w:rsidRPr="0013396E">
              <w:rPr>
                <w:iCs/>
                <w:sz w:val="20"/>
              </w:rPr>
              <w:t>LSL (if less than lowest MW in Energy Offer Curve)</w:t>
            </w:r>
          </w:p>
        </w:tc>
        <w:tc>
          <w:tcPr>
            <w:tcW w:w="2630" w:type="dxa"/>
          </w:tcPr>
          <w:p w14:paraId="69B64101" w14:textId="77777777" w:rsidR="00540BAB" w:rsidRPr="0013396E" w:rsidRDefault="00540BAB" w:rsidP="005B61C1">
            <w:pPr>
              <w:spacing w:after="60"/>
              <w:rPr>
                <w:iCs/>
                <w:sz w:val="20"/>
              </w:rPr>
            </w:pPr>
            <w:r w:rsidRPr="0013396E">
              <w:rPr>
                <w:iCs/>
                <w:sz w:val="20"/>
              </w:rPr>
              <w:t>-$250.00</w:t>
            </w:r>
          </w:p>
        </w:tc>
      </w:tr>
    </w:tbl>
    <w:p w14:paraId="6A4E00C6" w14:textId="77777777" w:rsidR="00540BAB" w:rsidRPr="0013396E" w:rsidRDefault="00540BAB" w:rsidP="00540BAB">
      <w:pPr>
        <w:spacing w:before="240" w:after="240"/>
        <w:ind w:left="1440" w:hanging="720"/>
      </w:pPr>
      <w:r w:rsidRPr="0013396E">
        <w:t>(c)</w:t>
      </w:r>
      <w:r w:rsidRPr="0013396E">
        <w:tab/>
        <w:t>IRRs</w:t>
      </w:r>
    </w:p>
    <w:p w14:paraId="4D80ACA8" w14:textId="77777777" w:rsidR="00540BAB" w:rsidRPr="0013396E" w:rsidRDefault="00540BAB" w:rsidP="00540BAB">
      <w:pPr>
        <w:spacing w:after="240"/>
        <w:ind w:left="2160" w:hanging="720"/>
      </w:pPr>
      <w:r w:rsidRPr="0013396E">
        <w:t>(i)</w:t>
      </w:r>
      <w:r w:rsidRPr="0013396E">
        <w:tab/>
        <w:t>For each IRR that has not submitted an Energy Offer Curve, ERCOT shall create a monotonically non-decreasing proxy Energy Offer Curve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0"/>
        <w:gridCol w:w="2610"/>
      </w:tblGrid>
      <w:tr w:rsidR="00540BAB" w:rsidRPr="0013396E" w14:paraId="6F4759AE" w14:textId="77777777" w:rsidTr="005B61C1">
        <w:trPr>
          <w:jc w:val="center"/>
        </w:trPr>
        <w:tc>
          <w:tcPr>
            <w:tcW w:w="3870" w:type="dxa"/>
          </w:tcPr>
          <w:p w14:paraId="5C6C851E" w14:textId="77777777" w:rsidR="00540BAB" w:rsidRPr="0013396E" w:rsidRDefault="00540BAB" w:rsidP="005B61C1">
            <w:pPr>
              <w:spacing w:after="120"/>
              <w:rPr>
                <w:b/>
                <w:iCs/>
                <w:sz w:val="20"/>
              </w:rPr>
            </w:pPr>
            <w:r w:rsidRPr="0013396E">
              <w:rPr>
                <w:b/>
                <w:iCs/>
                <w:sz w:val="20"/>
              </w:rPr>
              <w:t>MW</w:t>
            </w:r>
          </w:p>
        </w:tc>
        <w:tc>
          <w:tcPr>
            <w:tcW w:w="2610" w:type="dxa"/>
          </w:tcPr>
          <w:p w14:paraId="4A3BB2CE" w14:textId="77777777" w:rsidR="00540BAB" w:rsidRPr="0013396E" w:rsidRDefault="00540BAB" w:rsidP="005B61C1">
            <w:pPr>
              <w:spacing w:after="120"/>
              <w:rPr>
                <w:b/>
                <w:iCs/>
                <w:sz w:val="20"/>
              </w:rPr>
            </w:pPr>
            <w:r w:rsidRPr="0013396E">
              <w:rPr>
                <w:b/>
                <w:iCs/>
                <w:sz w:val="20"/>
              </w:rPr>
              <w:t>Price (per MWh)</w:t>
            </w:r>
          </w:p>
        </w:tc>
      </w:tr>
      <w:tr w:rsidR="00540BAB" w:rsidRPr="0013396E" w14:paraId="2C807864" w14:textId="77777777" w:rsidTr="005B61C1">
        <w:trPr>
          <w:jc w:val="center"/>
        </w:trPr>
        <w:tc>
          <w:tcPr>
            <w:tcW w:w="3870" w:type="dxa"/>
          </w:tcPr>
          <w:p w14:paraId="1F48680A" w14:textId="77777777" w:rsidR="00540BAB" w:rsidRPr="0013396E" w:rsidRDefault="00540BAB" w:rsidP="005B61C1">
            <w:pPr>
              <w:spacing w:after="60"/>
              <w:rPr>
                <w:iCs/>
                <w:sz w:val="20"/>
              </w:rPr>
            </w:pPr>
            <w:r w:rsidRPr="0013396E">
              <w:rPr>
                <w:iCs/>
                <w:sz w:val="20"/>
              </w:rPr>
              <w:t>HSL</w:t>
            </w:r>
          </w:p>
        </w:tc>
        <w:tc>
          <w:tcPr>
            <w:tcW w:w="2610" w:type="dxa"/>
          </w:tcPr>
          <w:p w14:paraId="37CC1CFA" w14:textId="77777777" w:rsidR="00540BAB" w:rsidRPr="0013396E" w:rsidRDefault="00540BAB" w:rsidP="005B61C1">
            <w:pPr>
              <w:spacing w:after="60"/>
              <w:rPr>
                <w:iCs/>
                <w:sz w:val="20"/>
              </w:rPr>
            </w:pPr>
            <w:r w:rsidRPr="0013396E">
              <w:rPr>
                <w:iCs/>
                <w:sz w:val="20"/>
              </w:rPr>
              <w:t>$1,500</w:t>
            </w:r>
          </w:p>
        </w:tc>
      </w:tr>
      <w:tr w:rsidR="00540BAB" w:rsidRPr="0013396E" w14:paraId="0560D759" w14:textId="77777777" w:rsidTr="005B61C1">
        <w:trPr>
          <w:jc w:val="center"/>
        </w:trPr>
        <w:tc>
          <w:tcPr>
            <w:tcW w:w="3870" w:type="dxa"/>
          </w:tcPr>
          <w:p w14:paraId="57975870" w14:textId="77777777" w:rsidR="00540BAB" w:rsidRPr="0013396E" w:rsidRDefault="00540BAB" w:rsidP="005B61C1">
            <w:pPr>
              <w:spacing w:after="60"/>
              <w:rPr>
                <w:iCs/>
                <w:sz w:val="20"/>
              </w:rPr>
            </w:pPr>
            <w:r w:rsidRPr="0013396E">
              <w:rPr>
                <w:iCs/>
                <w:sz w:val="20"/>
              </w:rPr>
              <w:t>HSL minus 1 MW</w:t>
            </w:r>
          </w:p>
        </w:tc>
        <w:tc>
          <w:tcPr>
            <w:tcW w:w="2610" w:type="dxa"/>
          </w:tcPr>
          <w:p w14:paraId="64289ECC" w14:textId="77777777" w:rsidR="00540BAB" w:rsidRPr="0013396E" w:rsidRDefault="00540BAB" w:rsidP="005B61C1">
            <w:pPr>
              <w:spacing w:after="60"/>
              <w:rPr>
                <w:iCs/>
                <w:sz w:val="20"/>
              </w:rPr>
            </w:pPr>
            <w:r w:rsidRPr="0013396E">
              <w:rPr>
                <w:iCs/>
                <w:sz w:val="20"/>
              </w:rPr>
              <w:t>-$249.99</w:t>
            </w:r>
          </w:p>
        </w:tc>
      </w:tr>
      <w:tr w:rsidR="00540BAB" w:rsidRPr="0013396E" w14:paraId="71D6BC05" w14:textId="77777777" w:rsidTr="005B61C1">
        <w:trPr>
          <w:jc w:val="center"/>
        </w:trPr>
        <w:tc>
          <w:tcPr>
            <w:tcW w:w="3870" w:type="dxa"/>
          </w:tcPr>
          <w:p w14:paraId="6F321FA3" w14:textId="77777777" w:rsidR="00540BAB" w:rsidRPr="0013396E" w:rsidRDefault="00540BAB" w:rsidP="005B61C1">
            <w:pPr>
              <w:spacing w:after="60"/>
              <w:rPr>
                <w:iCs/>
                <w:sz w:val="20"/>
              </w:rPr>
            </w:pPr>
            <w:r w:rsidRPr="0013396E">
              <w:rPr>
                <w:iCs/>
                <w:sz w:val="20"/>
              </w:rPr>
              <w:t>LSL</w:t>
            </w:r>
          </w:p>
        </w:tc>
        <w:tc>
          <w:tcPr>
            <w:tcW w:w="2610" w:type="dxa"/>
          </w:tcPr>
          <w:p w14:paraId="70F493CB" w14:textId="77777777" w:rsidR="00540BAB" w:rsidRPr="0013396E" w:rsidRDefault="00540BAB" w:rsidP="005B61C1">
            <w:pPr>
              <w:spacing w:after="60"/>
              <w:rPr>
                <w:iCs/>
                <w:sz w:val="20"/>
              </w:rPr>
            </w:pPr>
            <w:r w:rsidRPr="0013396E">
              <w:rPr>
                <w:iCs/>
                <w:sz w:val="20"/>
              </w:rPr>
              <w:t>-$250.00</w:t>
            </w:r>
          </w:p>
        </w:tc>
      </w:tr>
    </w:tbl>
    <w:p w14:paraId="55F7ED99" w14:textId="77777777" w:rsidR="00540BAB" w:rsidRPr="0013396E" w:rsidRDefault="00540BAB" w:rsidP="00540BAB">
      <w:pPr>
        <w:spacing w:before="240" w:after="240"/>
        <w:ind w:left="2160" w:hanging="720"/>
      </w:pPr>
      <w:r w:rsidRPr="0013396E">
        <w:t>(ii)</w:t>
      </w:r>
      <w:r w:rsidRPr="0013396E">
        <w:tab/>
        <w:t>For each IRR for which its QSE has submitted an Energy Offer Curve that does not cover the full range of the IRR’s available capacity, ERCOT shall create a monotonically non-decreasing proxy Energy Offer Curve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745"/>
      </w:tblGrid>
      <w:tr w:rsidR="00540BAB" w:rsidRPr="0013396E" w14:paraId="24C79744" w14:textId="77777777" w:rsidTr="005B61C1">
        <w:trPr>
          <w:jc w:val="center"/>
        </w:trPr>
        <w:tc>
          <w:tcPr>
            <w:tcW w:w="3780" w:type="dxa"/>
          </w:tcPr>
          <w:p w14:paraId="2362E212" w14:textId="77777777" w:rsidR="00540BAB" w:rsidRPr="0013396E" w:rsidRDefault="00540BAB" w:rsidP="005B61C1">
            <w:pPr>
              <w:spacing w:after="120"/>
              <w:rPr>
                <w:b/>
                <w:iCs/>
                <w:sz w:val="20"/>
              </w:rPr>
            </w:pPr>
            <w:r w:rsidRPr="0013396E">
              <w:rPr>
                <w:b/>
                <w:iCs/>
                <w:sz w:val="20"/>
              </w:rPr>
              <w:t>MW</w:t>
            </w:r>
          </w:p>
        </w:tc>
        <w:tc>
          <w:tcPr>
            <w:tcW w:w="2745" w:type="dxa"/>
          </w:tcPr>
          <w:p w14:paraId="23879E10" w14:textId="77777777" w:rsidR="00540BAB" w:rsidRPr="0013396E" w:rsidRDefault="00540BAB" w:rsidP="005B61C1">
            <w:pPr>
              <w:spacing w:after="120"/>
              <w:rPr>
                <w:b/>
                <w:iCs/>
                <w:sz w:val="20"/>
              </w:rPr>
            </w:pPr>
            <w:r w:rsidRPr="0013396E">
              <w:rPr>
                <w:b/>
                <w:iCs/>
                <w:sz w:val="20"/>
              </w:rPr>
              <w:t>Price (per MWh)</w:t>
            </w:r>
          </w:p>
        </w:tc>
      </w:tr>
      <w:tr w:rsidR="00540BAB" w:rsidRPr="0013396E" w14:paraId="6AE6C8EE" w14:textId="77777777" w:rsidTr="005B61C1">
        <w:trPr>
          <w:jc w:val="center"/>
        </w:trPr>
        <w:tc>
          <w:tcPr>
            <w:tcW w:w="3780" w:type="dxa"/>
          </w:tcPr>
          <w:p w14:paraId="1802E22C" w14:textId="77777777" w:rsidR="00540BAB" w:rsidRPr="0013396E" w:rsidRDefault="00540BAB" w:rsidP="005B61C1">
            <w:pPr>
              <w:spacing w:after="60"/>
              <w:rPr>
                <w:iCs/>
                <w:sz w:val="20"/>
              </w:rPr>
            </w:pPr>
            <w:r w:rsidRPr="0013396E">
              <w:rPr>
                <w:iCs/>
                <w:sz w:val="20"/>
              </w:rPr>
              <w:t>HSL (if more than highest MW in submitted Energy Offer Curve)</w:t>
            </w:r>
          </w:p>
        </w:tc>
        <w:tc>
          <w:tcPr>
            <w:tcW w:w="2745" w:type="dxa"/>
          </w:tcPr>
          <w:p w14:paraId="41AB7CFD" w14:textId="77777777" w:rsidR="00540BAB" w:rsidRPr="0013396E" w:rsidRDefault="00540BAB" w:rsidP="005B61C1">
            <w:pPr>
              <w:spacing w:after="60"/>
              <w:rPr>
                <w:iCs/>
                <w:sz w:val="20"/>
              </w:rPr>
            </w:pPr>
            <w:r w:rsidRPr="0013396E">
              <w:rPr>
                <w:iCs/>
                <w:sz w:val="20"/>
              </w:rPr>
              <w:t>Price associated with the highest MW in submitted Energy Offer Curve</w:t>
            </w:r>
          </w:p>
        </w:tc>
      </w:tr>
      <w:tr w:rsidR="00540BAB" w:rsidRPr="0013396E" w14:paraId="4E1FA7C5" w14:textId="77777777" w:rsidTr="005B61C1">
        <w:trPr>
          <w:jc w:val="center"/>
        </w:trPr>
        <w:tc>
          <w:tcPr>
            <w:tcW w:w="3780" w:type="dxa"/>
          </w:tcPr>
          <w:p w14:paraId="32B73631" w14:textId="77777777" w:rsidR="00540BAB" w:rsidRPr="0013396E" w:rsidRDefault="00540BAB" w:rsidP="005B61C1">
            <w:pPr>
              <w:spacing w:after="60"/>
              <w:rPr>
                <w:iCs/>
                <w:sz w:val="20"/>
              </w:rPr>
            </w:pPr>
            <w:r w:rsidRPr="0013396E">
              <w:rPr>
                <w:iCs/>
                <w:sz w:val="20"/>
              </w:rPr>
              <w:t>Energy Offer Curve</w:t>
            </w:r>
          </w:p>
        </w:tc>
        <w:tc>
          <w:tcPr>
            <w:tcW w:w="2745" w:type="dxa"/>
          </w:tcPr>
          <w:p w14:paraId="39A6C6A6" w14:textId="77777777" w:rsidR="00540BAB" w:rsidRPr="0013396E" w:rsidRDefault="00540BAB" w:rsidP="005B61C1">
            <w:pPr>
              <w:spacing w:after="60"/>
              <w:rPr>
                <w:iCs/>
                <w:sz w:val="20"/>
              </w:rPr>
            </w:pPr>
            <w:r w:rsidRPr="0013396E">
              <w:rPr>
                <w:iCs/>
                <w:sz w:val="20"/>
              </w:rPr>
              <w:t>Energy Offer Curve</w:t>
            </w:r>
          </w:p>
        </w:tc>
      </w:tr>
      <w:tr w:rsidR="00540BAB" w:rsidRPr="0013396E" w14:paraId="5A29DB4F" w14:textId="77777777" w:rsidTr="005B61C1">
        <w:trPr>
          <w:jc w:val="center"/>
        </w:trPr>
        <w:tc>
          <w:tcPr>
            <w:tcW w:w="3780" w:type="dxa"/>
          </w:tcPr>
          <w:p w14:paraId="2F7405C3" w14:textId="77777777" w:rsidR="00540BAB" w:rsidRPr="0013396E" w:rsidRDefault="00540BAB" w:rsidP="005B61C1">
            <w:pPr>
              <w:spacing w:after="60"/>
              <w:rPr>
                <w:iCs/>
                <w:sz w:val="20"/>
              </w:rPr>
            </w:pPr>
            <w:r w:rsidRPr="0013396E">
              <w:rPr>
                <w:iCs/>
                <w:sz w:val="20"/>
              </w:rPr>
              <w:t>1 MW below lowest MW in Energy Offer Curve (if more than LSL)</w:t>
            </w:r>
          </w:p>
        </w:tc>
        <w:tc>
          <w:tcPr>
            <w:tcW w:w="2745" w:type="dxa"/>
          </w:tcPr>
          <w:p w14:paraId="110DD179" w14:textId="77777777" w:rsidR="00540BAB" w:rsidRPr="0013396E" w:rsidRDefault="00540BAB" w:rsidP="005B61C1">
            <w:pPr>
              <w:spacing w:after="60"/>
              <w:rPr>
                <w:iCs/>
                <w:sz w:val="20"/>
              </w:rPr>
            </w:pPr>
            <w:r w:rsidRPr="0013396E">
              <w:rPr>
                <w:iCs/>
                <w:sz w:val="20"/>
              </w:rPr>
              <w:t>-$249.99</w:t>
            </w:r>
          </w:p>
        </w:tc>
      </w:tr>
      <w:tr w:rsidR="00540BAB" w:rsidRPr="0013396E" w14:paraId="7559C315" w14:textId="77777777" w:rsidTr="005B61C1">
        <w:trPr>
          <w:jc w:val="center"/>
        </w:trPr>
        <w:tc>
          <w:tcPr>
            <w:tcW w:w="3780" w:type="dxa"/>
          </w:tcPr>
          <w:p w14:paraId="12CF4310" w14:textId="77777777" w:rsidR="00540BAB" w:rsidRPr="0013396E" w:rsidRDefault="00540BAB" w:rsidP="005B61C1">
            <w:pPr>
              <w:spacing w:after="60"/>
              <w:rPr>
                <w:iCs/>
                <w:sz w:val="20"/>
              </w:rPr>
            </w:pPr>
            <w:r w:rsidRPr="0013396E">
              <w:rPr>
                <w:iCs/>
                <w:sz w:val="20"/>
              </w:rPr>
              <w:t>LSL (if less than lowest MW in Energy Offer Curve)</w:t>
            </w:r>
          </w:p>
        </w:tc>
        <w:tc>
          <w:tcPr>
            <w:tcW w:w="2745" w:type="dxa"/>
          </w:tcPr>
          <w:p w14:paraId="344C7CBA" w14:textId="77777777" w:rsidR="00540BAB" w:rsidRPr="0013396E" w:rsidRDefault="00540BAB" w:rsidP="005B61C1">
            <w:pPr>
              <w:spacing w:after="60"/>
              <w:rPr>
                <w:iCs/>
                <w:sz w:val="20"/>
              </w:rPr>
            </w:pPr>
            <w:r w:rsidRPr="0013396E">
              <w:rPr>
                <w:iCs/>
                <w:sz w:val="20"/>
              </w:rPr>
              <w:t>-$250.00</w:t>
            </w:r>
          </w:p>
        </w:tc>
      </w:tr>
    </w:tbl>
    <w:p w14:paraId="0F9E02D4" w14:textId="77777777" w:rsidR="00540BAB" w:rsidRPr="0013396E" w:rsidRDefault="00540BAB" w:rsidP="00540BAB">
      <w:pPr>
        <w:spacing w:before="240" w:after="240"/>
        <w:ind w:left="1440" w:hanging="720"/>
      </w:pPr>
      <w:r w:rsidRPr="0013396E">
        <w:t>(d)</w:t>
      </w:r>
      <w:r w:rsidRPr="0013396E">
        <w:tab/>
        <w:t xml:space="preserve">RUC-committed Resources </w:t>
      </w:r>
    </w:p>
    <w:p w14:paraId="3BDF3EC8" w14:textId="77777777" w:rsidR="00540BAB" w:rsidRPr="0013396E" w:rsidRDefault="00540BAB" w:rsidP="00540BAB">
      <w:pPr>
        <w:spacing w:before="240" w:after="240"/>
        <w:ind w:left="2160" w:hanging="720"/>
      </w:pPr>
      <w:r w:rsidRPr="0013396E">
        <w:t>(i)        For each RUC-committed Resource that has not submitted an Energy Offer Curve, ERCOT shall create a proxy Energy Offer Curve as described below:</w:t>
      </w:r>
    </w:p>
    <w:tbl>
      <w:tblPr>
        <w:tblW w:w="6350"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0"/>
        <w:gridCol w:w="2810"/>
      </w:tblGrid>
      <w:tr w:rsidR="00540BAB" w:rsidRPr="0013396E" w14:paraId="03B90965" w14:textId="77777777" w:rsidTr="005B61C1">
        <w:trPr>
          <w:trHeight w:val="359"/>
        </w:trPr>
        <w:tc>
          <w:tcPr>
            <w:tcW w:w="3540" w:type="dxa"/>
          </w:tcPr>
          <w:p w14:paraId="7E78483B" w14:textId="77777777" w:rsidR="00540BAB" w:rsidRPr="0013396E" w:rsidRDefault="00540BAB" w:rsidP="005B61C1">
            <w:pPr>
              <w:spacing w:after="120"/>
              <w:rPr>
                <w:b/>
                <w:iCs/>
                <w:sz w:val="20"/>
              </w:rPr>
            </w:pPr>
            <w:r w:rsidRPr="0013396E">
              <w:rPr>
                <w:b/>
                <w:iCs/>
                <w:sz w:val="20"/>
              </w:rPr>
              <w:t>MW</w:t>
            </w:r>
          </w:p>
        </w:tc>
        <w:tc>
          <w:tcPr>
            <w:tcW w:w="2810" w:type="dxa"/>
          </w:tcPr>
          <w:p w14:paraId="67780DDF" w14:textId="77777777" w:rsidR="00540BAB" w:rsidRPr="0013396E" w:rsidRDefault="00540BAB" w:rsidP="005B61C1">
            <w:pPr>
              <w:spacing w:after="120"/>
              <w:rPr>
                <w:b/>
                <w:iCs/>
                <w:sz w:val="20"/>
              </w:rPr>
            </w:pPr>
            <w:r w:rsidRPr="0013396E">
              <w:rPr>
                <w:b/>
                <w:iCs/>
                <w:sz w:val="20"/>
              </w:rPr>
              <w:t>Price (per MWh)</w:t>
            </w:r>
          </w:p>
        </w:tc>
      </w:tr>
      <w:tr w:rsidR="00540BAB" w:rsidRPr="0013396E" w14:paraId="5DB2C028" w14:textId="77777777" w:rsidTr="005B61C1">
        <w:trPr>
          <w:trHeight w:val="364"/>
        </w:trPr>
        <w:tc>
          <w:tcPr>
            <w:tcW w:w="3540" w:type="dxa"/>
          </w:tcPr>
          <w:p w14:paraId="6CAA11F3" w14:textId="77777777" w:rsidR="00540BAB" w:rsidRPr="0013396E" w:rsidRDefault="00540BAB" w:rsidP="005B61C1">
            <w:pPr>
              <w:spacing w:after="60"/>
              <w:rPr>
                <w:iCs/>
                <w:sz w:val="20"/>
              </w:rPr>
            </w:pPr>
            <w:r w:rsidRPr="0013396E">
              <w:rPr>
                <w:iCs/>
                <w:sz w:val="20"/>
              </w:rPr>
              <w:t xml:space="preserve">HSL </w:t>
            </w:r>
          </w:p>
        </w:tc>
        <w:tc>
          <w:tcPr>
            <w:tcW w:w="2810" w:type="dxa"/>
          </w:tcPr>
          <w:p w14:paraId="537F8233" w14:textId="77777777" w:rsidR="00540BAB" w:rsidRPr="0013396E" w:rsidRDefault="00540BAB" w:rsidP="005B61C1">
            <w:pPr>
              <w:spacing w:after="60"/>
              <w:rPr>
                <w:iCs/>
                <w:sz w:val="20"/>
              </w:rPr>
            </w:pPr>
            <w:r w:rsidRPr="0013396E">
              <w:rPr>
                <w:iCs/>
                <w:sz w:val="20"/>
              </w:rPr>
              <w:t>$250</w:t>
            </w:r>
          </w:p>
        </w:tc>
      </w:tr>
      <w:tr w:rsidR="00540BAB" w:rsidRPr="0013396E" w14:paraId="7F2EDA85" w14:textId="77777777" w:rsidTr="005B61C1">
        <w:trPr>
          <w:trHeight w:val="377"/>
        </w:trPr>
        <w:tc>
          <w:tcPr>
            <w:tcW w:w="3540" w:type="dxa"/>
          </w:tcPr>
          <w:p w14:paraId="2D82B25F" w14:textId="77777777" w:rsidR="00540BAB" w:rsidRPr="0013396E" w:rsidRDefault="00540BAB" w:rsidP="005B61C1">
            <w:pPr>
              <w:spacing w:after="60"/>
              <w:rPr>
                <w:iCs/>
                <w:sz w:val="20"/>
              </w:rPr>
            </w:pPr>
            <w:r w:rsidRPr="0013396E">
              <w:rPr>
                <w:iCs/>
                <w:sz w:val="20"/>
              </w:rPr>
              <w:t>Zero</w:t>
            </w:r>
          </w:p>
        </w:tc>
        <w:tc>
          <w:tcPr>
            <w:tcW w:w="2810" w:type="dxa"/>
          </w:tcPr>
          <w:p w14:paraId="0A01B950" w14:textId="77777777" w:rsidR="00540BAB" w:rsidRPr="0013396E" w:rsidRDefault="00540BAB" w:rsidP="005B61C1">
            <w:pPr>
              <w:spacing w:after="60"/>
              <w:rPr>
                <w:iCs/>
                <w:sz w:val="20"/>
              </w:rPr>
            </w:pPr>
            <w:r w:rsidRPr="0013396E">
              <w:rPr>
                <w:iCs/>
                <w:sz w:val="20"/>
              </w:rPr>
              <w:t>$250</w:t>
            </w:r>
          </w:p>
        </w:tc>
      </w:tr>
    </w:tbl>
    <w:p w14:paraId="438223D1" w14:textId="77777777" w:rsidR="00540BAB" w:rsidRPr="0013396E" w:rsidRDefault="00540BAB" w:rsidP="00540BAB">
      <w:pPr>
        <w:spacing w:before="240" w:after="240"/>
        <w:ind w:left="2160" w:hanging="720"/>
      </w:pPr>
      <w:r w:rsidRPr="0013396E">
        <w:t>(ii)       For each RUC-committed Resource that has submitted an Energy Offer Curve, ERCOT shall create a monotonically non-decreasing proxy Energy Offer Curve as described below:</w:t>
      </w:r>
    </w:p>
    <w:tbl>
      <w:tblPr>
        <w:tblW w:w="6335"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1"/>
        <w:gridCol w:w="2804"/>
      </w:tblGrid>
      <w:tr w:rsidR="00540BAB" w:rsidRPr="0013396E" w14:paraId="5A22F929" w14:textId="77777777" w:rsidTr="005B61C1">
        <w:trPr>
          <w:trHeight w:val="350"/>
        </w:trPr>
        <w:tc>
          <w:tcPr>
            <w:tcW w:w="3531" w:type="dxa"/>
          </w:tcPr>
          <w:p w14:paraId="72A4DA5F" w14:textId="77777777" w:rsidR="00540BAB" w:rsidRPr="0013396E" w:rsidRDefault="00540BAB" w:rsidP="005B61C1">
            <w:pPr>
              <w:spacing w:after="120"/>
              <w:rPr>
                <w:b/>
                <w:iCs/>
                <w:sz w:val="20"/>
              </w:rPr>
            </w:pPr>
            <w:r w:rsidRPr="0013396E">
              <w:rPr>
                <w:b/>
                <w:iCs/>
                <w:sz w:val="20"/>
              </w:rPr>
              <w:lastRenderedPageBreak/>
              <w:t>MW</w:t>
            </w:r>
          </w:p>
        </w:tc>
        <w:tc>
          <w:tcPr>
            <w:tcW w:w="2804" w:type="dxa"/>
          </w:tcPr>
          <w:p w14:paraId="395A595C" w14:textId="77777777" w:rsidR="00540BAB" w:rsidRPr="0013396E" w:rsidRDefault="00540BAB" w:rsidP="005B61C1">
            <w:pPr>
              <w:spacing w:after="120"/>
              <w:rPr>
                <w:b/>
                <w:iCs/>
                <w:sz w:val="20"/>
              </w:rPr>
            </w:pPr>
            <w:r w:rsidRPr="0013396E">
              <w:rPr>
                <w:b/>
                <w:iCs/>
                <w:sz w:val="20"/>
              </w:rPr>
              <w:t>Price (per MWh)</w:t>
            </w:r>
          </w:p>
        </w:tc>
      </w:tr>
      <w:tr w:rsidR="00540BAB" w:rsidRPr="0013396E" w14:paraId="559D2F57" w14:textId="77777777" w:rsidTr="005B61C1">
        <w:trPr>
          <w:trHeight w:val="345"/>
        </w:trPr>
        <w:tc>
          <w:tcPr>
            <w:tcW w:w="3531" w:type="dxa"/>
          </w:tcPr>
          <w:p w14:paraId="0ABD7277" w14:textId="77777777" w:rsidR="00540BAB" w:rsidRPr="0013396E" w:rsidRDefault="00540BAB" w:rsidP="005B61C1">
            <w:pPr>
              <w:spacing w:after="60"/>
              <w:rPr>
                <w:iCs/>
                <w:sz w:val="20"/>
              </w:rPr>
            </w:pPr>
            <w:r w:rsidRPr="0013396E">
              <w:rPr>
                <w:iCs/>
                <w:sz w:val="20"/>
              </w:rPr>
              <w:t>HSL (if more than highest MW in Energy Offer Curve)</w:t>
            </w:r>
          </w:p>
        </w:tc>
        <w:tc>
          <w:tcPr>
            <w:tcW w:w="2804" w:type="dxa"/>
          </w:tcPr>
          <w:p w14:paraId="20DCE72B" w14:textId="77777777" w:rsidR="00540BAB" w:rsidRPr="0013396E" w:rsidRDefault="00540BAB" w:rsidP="005B61C1">
            <w:pPr>
              <w:spacing w:after="60"/>
              <w:rPr>
                <w:iCs/>
                <w:sz w:val="20"/>
              </w:rPr>
            </w:pPr>
            <w:r w:rsidRPr="0013396E">
              <w:rPr>
                <w:iCs/>
                <w:sz w:val="20"/>
              </w:rPr>
              <w:t>Greater of $250 or price associated with the highest MW in QSE submitted Energy Offer Curve</w:t>
            </w:r>
          </w:p>
        </w:tc>
      </w:tr>
      <w:tr w:rsidR="00540BAB" w:rsidRPr="0013396E" w14:paraId="06BBB8A5" w14:textId="77777777" w:rsidTr="005B61C1">
        <w:trPr>
          <w:trHeight w:val="615"/>
        </w:trPr>
        <w:tc>
          <w:tcPr>
            <w:tcW w:w="3531" w:type="dxa"/>
          </w:tcPr>
          <w:p w14:paraId="0A2E0AD4" w14:textId="77777777" w:rsidR="00540BAB" w:rsidRPr="0013396E" w:rsidRDefault="00540BAB" w:rsidP="005B61C1">
            <w:pPr>
              <w:spacing w:after="60"/>
              <w:rPr>
                <w:iCs/>
                <w:sz w:val="20"/>
              </w:rPr>
            </w:pPr>
            <w:r w:rsidRPr="0013396E">
              <w:rPr>
                <w:iCs/>
                <w:sz w:val="20"/>
              </w:rPr>
              <w:t>Energy Offer Curve</w:t>
            </w:r>
          </w:p>
        </w:tc>
        <w:tc>
          <w:tcPr>
            <w:tcW w:w="2804" w:type="dxa"/>
          </w:tcPr>
          <w:p w14:paraId="236221E9" w14:textId="77777777" w:rsidR="00540BAB" w:rsidRPr="0013396E" w:rsidRDefault="00540BAB" w:rsidP="005B61C1">
            <w:pPr>
              <w:spacing w:after="60"/>
              <w:rPr>
                <w:iCs/>
                <w:sz w:val="20"/>
              </w:rPr>
            </w:pPr>
            <w:r w:rsidRPr="0013396E">
              <w:rPr>
                <w:iCs/>
                <w:sz w:val="20"/>
              </w:rPr>
              <w:t>Greater of $250 or the QSE submitted Energy Offer Curve</w:t>
            </w:r>
          </w:p>
        </w:tc>
      </w:tr>
      <w:tr w:rsidR="00540BAB" w:rsidRPr="0013396E" w14:paraId="6B07EB18" w14:textId="77777777" w:rsidTr="005B61C1">
        <w:trPr>
          <w:trHeight w:val="916"/>
        </w:trPr>
        <w:tc>
          <w:tcPr>
            <w:tcW w:w="3531" w:type="dxa"/>
          </w:tcPr>
          <w:p w14:paraId="6AA752FA" w14:textId="77777777" w:rsidR="00540BAB" w:rsidRPr="0013396E" w:rsidRDefault="00540BAB" w:rsidP="005B61C1">
            <w:pPr>
              <w:spacing w:after="60"/>
              <w:rPr>
                <w:iCs/>
                <w:sz w:val="20"/>
              </w:rPr>
            </w:pPr>
            <w:r w:rsidRPr="0013396E">
              <w:rPr>
                <w:iCs/>
                <w:sz w:val="20"/>
              </w:rPr>
              <w:t>Zero</w:t>
            </w:r>
          </w:p>
        </w:tc>
        <w:tc>
          <w:tcPr>
            <w:tcW w:w="2804" w:type="dxa"/>
          </w:tcPr>
          <w:p w14:paraId="30273423" w14:textId="77777777" w:rsidR="00540BAB" w:rsidRPr="0013396E" w:rsidRDefault="00540BAB" w:rsidP="005B61C1">
            <w:pPr>
              <w:spacing w:after="60"/>
              <w:rPr>
                <w:iCs/>
                <w:sz w:val="20"/>
              </w:rPr>
            </w:pPr>
            <w:r w:rsidRPr="0013396E">
              <w:rPr>
                <w:iCs/>
                <w:sz w:val="20"/>
              </w:rPr>
              <w:t>Greater of $250 or the first price point of the QSE submitted Energy Offer Curve</w:t>
            </w:r>
          </w:p>
        </w:tc>
      </w:tr>
    </w:tbl>
    <w:p w14:paraId="2E6CDAE5" w14:textId="77777777" w:rsidR="008C3033" w:rsidRPr="0013396E" w:rsidRDefault="008C3033"/>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50"/>
      </w:tblGrid>
      <w:tr w:rsidR="008C3033" w:rsidRPr="0013396E" w14:paraId="05B23C11" w14:textId="77777777" w:rsidTr="008C3033">
        <w:tc>
          <w:tcPr>
            <w:tcW w:w="9350" w:type="dxa"/>
            <w:shd w:val="pct12" w:color="auto" w:fill="auto"/>
          </w:tcPr>
          <w:p w14:paraId="4CEECCB3" w14:textId="77777777" w:rsidR="008C3033" w:rsidRPr="0013396E" w:rsidRDefault="008C3033" w:rsidP="008C3033">
            <w:pPr>
              <w:spacing w:before="120" w:after="240"/>
              <w:rPr>
                <w:b/>
                <w:i/>
                <w:iCs/>
              </w:rPr>
            </w:pPr>
            <w:r w:rsidRPr="0013396E">
              <w:rPr>
                <w:b/>
                <w:i/>
                <w:iCs/>
              </w:rPr>
              <w:t>[NPRR930:  Insert paragraph (iii) below upon system implementation and renumber accordingly:]</w:t>
            </w:r>
          </w:p>
          <w:p w14:paraId="449A6AF3" w14:textId="77777777" w:rsidR="008C3033" w:rsidRPr="0013396E" w:rsidRDefault="008C3033" w:rsidP="008C3033">
            <w:pPr>
              <w:spacing w:before="240" w:after="240"/>
              <w:ind w:left="2160" w:hanging="720"/>
            </w:pPr>
            <w:r w:rsidRPr="0013396E">
              <w:t>(iii)</w:t>
            </w:r>
            <w:r w:rsidRPr="0013396E">
              <w:tab/>
              <w:t>For each RUC-committed Resource during the time period stated in the Advance Action Notice (AAN) if any Resource received an Outage Schedule Adjustment, ERCOT shall create a proxy Energy Offer Curve as described below:</w:t>
            </w:r>
          </w:p>
          <w:tbl>
            <w:tblPr>
              <w:tblW w:w="6335"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1"/>
              <w:gridCol w:w="2804"/>
            </w:tblGrid>
            <w:tr w:rsidR="008C3033" w:rsidRPr="0013396E" w14:paraId="05B98FA7" w14:textId="77777777" w:rsidTr="005B61C1">
              <w:trPr>
                <w:trHeight w:val="350"/>
              </w:trPr>
              <w:tc>
                <w:tcPr>
                  <w:tcW w:w="3531" w:type="dxa"/>
                </w:tcPr>
                <w:p w14:paraId="7305D732" w14:textId="77777777" w:rsidR="008C3033" w:rsidRPr="0013396E" w:rsidRDefault="008C3033" w:rsidP="008C3033">
                  <w:pPr>
                    <w:spacing w:after="120"/>
                    <w:rPr>
                      <w:b/>
                      <w:iCs/>
                      <w:sz w:val="20"/>
                    </w:rPr>
                  </w:pPr>
                  <w:r w:rsidRPr="0013396E">
                    <w:rPr>
                      <w:b/>
                      <w:iCs/>
                      <w:sz w:val="20"/>
                    </w:rPr>
                    <w:t>MW</w:t>
                  </w:r>
                </w:p>
              </w:tc>
              <w:tc>
                <w:tcPr>
                  <w:tcW w:w="2804" w:type="dxa"/>
                </w:tcPr>
                <w:p w14:paraId="421DA116" w14:textId="77777777" w:rsidR="008C3033" w:rsidRPr="0013396E" w:rsidRDefault="008C3033" w:rsidP="008C3033">
                  <w:pPr>
                    <w:spacing w:after="120"/>
                    <w:rPr>
                      <w:b/>
                      <w:iCs/>
                      <w:sz w:val="20"/>
                    </w:rPr>
                  </w:pPr>
                  <w:r w:rsidRPr="0013396E">
                    <w:rPr>
                      <w:b/>
                      <w:iCs/>
                      <w:sz w:val="20"/>
                    </w:rPr>
                    <w:t>Price (per MWh)</w:t>
                  </w:r>
                </w:p>
              </w:tc>
            </w:tr>
            <w:tr w:rsidR="008C3033" w:rsidRPr="0013396E" w14:paraId="5F429DDA" w14:textId="77777777" w:rsidTr="005B61C1">
              <w:trPr>
                <w:trHeight w:val="345"/>
              </w:trPr>
              <w:tc>
                <w:tcPr>
                  <w:tcW w:w="3531" w:type="dxa"/>
                </w:tcPr>
                <w:p w14:paraId="3AC8B829" w14:textId="77777777" w:rsidR="008C3033" w:rsidRPr="0013396E" w:rsidRDefault="008C3033" w:rsidP="008C3033">
                  <w:pPr>
                    <w:spacing w:after="60"/>
                    <w:rPr>
                      <w:iCs/>
                      <w:sz w:val="20"/>
                    </w:rPr>
                  </w:pPr>
                  <w:r w:rsidRPr="0013396E">
                    <w:rPr>
                      <w:sz w:val="20"/>
                    </w:rPr>
                    <w:t>HSL</w:t>
                  </w:r>
                </w:p>
              </w:tc>
              <w:tc>
                <w:tcPr>
                  <w:tcW w:w="2804" w:type="dxa"/>
                </w:tcPr>
                <w:p w14:paraId="414DC31A" w14:textId="77777777" w:rsidR="008C3033" w:rsidRPr="0013396E" w:rsidRDefault="008C3033" w:rsidP="008C3033">
                  <w:pPr>
                    <w:spacing w:after="60"/>
                    <w:rPr>
                      <w:iCs/>
                      <w:sz w:val="20"/>
                    </w:rPr>
                  </w:pPr>
                  <w:r w:rsidRPr="0013396E">
                    <w:rPr>
                      <w:sz w:val="20"/>
                    </w:rPr>
                    <w:t>$4,500 or the effective Value of Lost Load (VOLL), whichever is less.</w:t>
                  </w:r>
                </w:p>
              </w:tc>
            </w:tr>
            <w:tr w:rsidR="008C3033" w:rsidRPr="0013396E" w14:paraId="4F29D781" w14:textId="77777777" w:rsidTr="005B61C1">
              <w:trPr>
                <w:trHeight w:val="332"/>
              </w:trPr>
              <w:tc>
                <w:tcPr>
                  <w:tcW w:w="3531" w:type="dxa"/>
                </w:tcPr>
                <w:p w14:paraId="19AE9322" w14:textId="77777777" w:rsidR="008C3033" w:rsidRPr="0013396E" w:rsidRDefault="008C3033" w:rsidP="008C3033">
                  <w:pPr>
                    <w:spacing w:after="60"/>
                    <w:rPr>
                      <w:iCs/>
                      <w:sz w:val="20"/>
                    </w:rPr>
                  </w:pPr>
                  <w:r w:rsidRPr="0013396E">
                    <w:rPr>
                      <w:sz w:val="20"/>
                    </w:rPr>
                    <w:t>Zero</w:t>
                  </w:r>
                </w:p>
              </w:tc>
              <w:tc>
                <w:tcPr>
                  <w:tcW w:w="2804" w:type="dxa"/>
                </w:tcPr>
                <w:p w14:paraId="594F3825" w14:textId="77777777" w:rsidR="008C3033" w:rsidRPr="0013396E" w:rsidRDefault="008C3033" w:rsidP="008C3033">
                  <w:pPr>
                    <w:spacing w:after="60"/>
                    <w:rPr>
                      <w:iCs/>
                      <w:sz w:val="20"/>
                    </w:rPr>
                  </w:pPr>
                  <w:r w:rsidRPr="0013396E">
                    <w:rPr>
                      <w:sz w:val="20"/>
                    </w:rPr>
                    <w:t>$4,500 or the effective VOLL, whichever is less.</w:t>
                  </w:r>
                </w:p>
              </w:tc>
            </w:tr>
          </w:tbl>
          <w:p w14:paraId="22006F15" w14:textId="77777777" w:rsidR="008C3033" w:rsidRPr="0013396E" w:rsidRDefault="008C3033" w:rsidP="008C3033">
            <w:pPr>
              <w:spacing w:after="240"/>
              <w:ind w:left="2160" w:hanging="720"/>
            </w:pPr>
          </w:p>
        </w:tc>
      </w:tr>
    </w:tbl>
    <w:p w14:paraId="5E5A1014" w14:textId="1EB79A0E" w:rsidR="00540BAB" w:rsidRPr="0013396E" w:rsidRDefault="00540BAB" w:rsidP="00540BAB">
      <w:pPr>
        <w:spacing w:before="240" w:after="240"/>
        <w:ind w:left="2160" w:hanging="720"/>
      </w:pPr>
      <w:r w:rsidRPr="0013396E">
        <w:t>(i</w:t>
      </w:r>
      <w:r w:rsidR="008C3033" w:rsidRPr="0013396E">
        <w:t>ii</w:t>
      </w:r>
      <w:r w:rsidRPr="0013396E">
        <w:t xml:space="preserve">) </w:t>
      </w:r>
      <w:r w:rsidRPr="0013396E">
        <w:tab/>
        <w:t>For each Combined Cycle Generation Resource that was RUC-committed from one On-Line configuration in order to transition to a different configuration with additional capacity, as instructed by ERCOT, that has not submitted an Energy Offer Curve for the RUC-committed configuration, ERCOT shall create a proxy Energy Offer Curve as described below:</w:t>
      </w:r>
    </w:p>
    <w:tbl>
      <w:tblPr>
        <w:tblW w:w="6339"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9"/>
        <w:gridCol w:w="3600"/>
      </w:tblGrid>
      <w:tr w:rsidR="00540BAB" w:rsidRPr="0013396E" w14:paraId="7D39F08C" w14:textId="77777777" w:rsidTr="005B61C1">
        <w:trPr>
          <w:trHeight w:val="377"/>
        </w:trPr>
        <w:tc>
          <w:tcPr>
            <w:tcW w:w="2739" w:type="dxa"/>
            <w:tcBorders>
              <w:top w:val="single" w:sz="4" w:space="0" w:color="auto"/>
              <w:left w:val="single" w:sz="4" w:space="0" w:color="auto"/>
              <w:bottom w:val="single" w:sz="4" w:space="0" w:color="auto"/>
              <w:right w:val="single" w:sz="4" w:space="0" w:color="auto"/>
            </w:tcBorders>
          </w:tcPr>
          <w:p w14:paraId="4027BD56" w14:textId="77777777" w:rsidR="00540BAB" w:rsidRPr="0013396E" w:rsidRDefault="00540BAB" w:rsidP="005B61C1">
            <w:pPr>
              <w:spacing w:after="120"/>
              <w:rPr>
                <w:b/>
                <w:iCs/>
                <w:sz w:val="20"/>
              </w:rPr>
            </w:pPr>
            <w:r w:rsidRPr="0013396E">
              <w:rPr>
                <w:b/>
                <w:iCs/>
                <w:sz w:val="20"/>
              </w:rPr>
              <w:t>MW</w:t>
            </w:r>
          </w:p>
        </w:tc>
        <w:tc>
          <w:tcPr>
            <w:tcW w:w="3600" w:type="dxa"/>
            <w:tcBorders>
              <w:top w:val="single" w:sz="4" w:space="0" w:color="auto"/>
              <w:left w:val="single" w:sz="4" w:space="0" w:color="auto"/>
              <w:bottom w:val="single" w:sz="4" w:space="0" w:color="auto"/>
              <w:right w:val="single" w:sz="4" w:space="0" w:color="auto"/>
            </w:tcBorders>
          </w:tcPr>
          <w:p w14:paraId="4F975F90" w14:textId="77777777" w:rsidR="00540BAB" w:rsidRPr="0013396E" w:rsidRDefault="00540BAB" w:rsidP="005B61C1">
            <w:pPr>
              <w:spacing w:after="120"/>
              <w:rPr>
                <w:b/>
                <w:iCs/>
                <w:sz w:val="20"/>
              </w:rPr>
            </w:pPr>
            <w:r w:rsidRPr="0013396E">
              <w:rPr>
                <w:b/>
                <w:iCs/>
                <w:sz w:val="20"/>
              </w:rPr>
              <w:t>Price (per MWh)</w:t>
            </w:r>
          </w:p>
        </w:tc>
      </w:tr>
      <w:tr w:rsidR="00540BAB" w:rsidRPr="0013396E" w14:paraId="097DA77C" w14:textId="77777777" w:rsidTr="005B61C1">
        <w:trPr>
          <w:trHeight w:val="377"/>
        </w:trPr>
        <w:tc>
          <w:tcPr>
            <w:tcW w:w="2739" w:type="dxa"/>
            <w:tcBorders>
              <w:top w:val="single" w:sz="4" w:space="0" w:color="auto"/>
              <w:left w:val="single" w:sz="4" w:space="0" w:color="auto"/>
              <w:bottom w:val="single" w:sz="4" w:space="0" w:color="auto"/>
              <w:right w:val="single" w:sz="4" w:space="0" w:color="auto"/>
            </w:tcBorders>
          </w:tcPr>
          <w:p w14:paraId="32CE37E0" w14:textId="77777777" w:rsidR="00540BAB" w:rsidRPr="0013396E" w:rsidRDefault="00540BAB" w:rsidP="005B61C1">
            <w:pPr>
              <w:spacing w:after="120"/>
              <w:rPr>
                <w:iCs/>
                <w:sz w:val="20"/>
              </w:rPr>
            </w:pPr>
            <w:r w:rsidRPr="0013396E">
              <w:rPr>
                <w:iCs/>
                <w:sz w:val="20"/>
              </w:rPr>
              <w:t xml:space="preserve">HSL of RUC-committed configuration </w:t>
            </w:r>
          </w:p>
        </w:tc>
        <w:tc>
          <w:tcPr>
            <w:tcW w:w="3600" w:type="dxa"/>
            <w:tcBorders>
              <w:top w:val="single" w:sz="4" w:space="0" w:color="auto"/>
              <w:left w:val="single" w:sz="4" w:space="0" w:color="auto"/>
              <w:bottom w:val="single" w:sz="4" w:space="0" w:color="auto"/>
              <w:right w:val="single" w:sz="4" w:space="0" w:color="auto"/>
            </w:tcBorders>
          </w:tcPr>
          <w:p w14:paraId="2C426085" w14:textId="77777777" w:rsidR="00540BAB" w:rsidRPr="0013396E" w:rsidRDefault="00540BAB" w:rsidP="005B61C1">
            <w:pPr>
              <w:spacing w:after="120"/>
              <w:rPr>
                <w:iCs/>
                <w:sz w:val="20"/>
              </w:rPr>
            </w:pPr>
            <w:r w:rsidRPr="0013396E">
              <w:rPr>
                <w:iCs/>
                <w:sz w:val="20"/>
              </w:rPr>
              <w:t>$250</w:t>
            </w:r>
          </w:p>
        </w:tc>
      </w:tr>
      <w:tr w:rsidR="00540BAB" w:rsidRPr="0013396E" w14:paraId="0C49F28F" w14:textId="77777777" w:rsidTr="005B61C1">
        <w:trPr>
          <w:trHeight w:val="377"/>
        </w:trPr>
        <w:tc>
          <w:tcPr>
            <w:tcW w:w="2739" w:type="dxa"/>
            <w:tcBorders>
              <w:top w:val="single" w:sz="4" w:space="0" w:color="auto"/>
              <w:left w:val="single" w:sz="4" w:space="0" w:color="auto"/>
              <w:bottom w:val="single" w:sz="4" w:space="0" w:color="auto"/>
              <w:right w:val="single" w:sz="4" w:space="0" w:color="auto"/>
            </w:tcBorders>
          </w:tcPr>
          <w:p w14:paraId="348EF95E" w14:textId="77777777" w:rsidR="00540BAB" w:rsidRPr="0013396E" w:rsidRDefault="00540BAB" w:rsidP="005B61C1">
            <w:pPr>
              <w:spacing w:after="120"/>
              <w:rPr>
                <w:iCs/>
                <w:sz w:val="20"/>
              </w:rPr>
            </w:pPr>
            <w:r w:rsidRPr="0013396E">
              <w:rPr>
                <w:iCs/>
                <w:sz w:val="20"/>
              </w:rPr>
              <w:t>Zero</w:t>
            </w:r>
          </w:p>
        </w:tc>
        <w:tc>
          <w:tcPr>
            <w:tcW w:w="3600" w:type="dxa"/>
            <w:tcBorders>
              <w:top w:val="single" w:sz="4" w:space="0" w:color="auto"/>
              <w:left w:val="single" w:sz="4" w:space="0" w:color="auto"/>
              <w:bottom w:val="single" w:sz="4" w:space="0" w:color="auto"/>
              <w:right w:val="single" w:sz="4" w:space="0" w:color="auto"/>
            </w:tcBorders>
          </w:tcPr>
          <w:p w14:paraId="6C016343" w14:textId="77777777" w:rsidR="00540BAB" w:rsidRPr="0013396E" w:rsidRDefault="00540BAB" w:rsidP="005B61C1">
            <w:pPr>
              <w:spacing w:after="120"/>
              <w:rPr>
                <w:iCs/>
                <w:sz w:val="20"/>
              </w:rPr>
            </w:pPr>
            <w:r w:rsidRPr="0013396E">
              <w:rPr>
                <w:iCs/>
                <w:sz w:val="20"/>
              </w:rPr>
              <w:t>$250</w:t>
            </w:r>
          </w:p>
        </w:tc>
      </w:tr>
    </w:tbl>
    <w:p w14:paraId="0BEB1D1D" w14:textId="776B06DC" w:rsidR="00540BAB" w:rsidRPr="0013396E" w:rsidRDefault="00540BAB" w:rsidP="00540BAB">
      <w:pPr>
        <w:spacing w:before="240" w:after="240"/>
        <w:ind w:left="2160" w:hanging="720"/>
      </w:pPr>
      <w:r w:rsidRPr="0013396E">
        <w:t>(</w:t>
      </w:r>
      <w:r w:rsidR="008C3033" w:rsidRPr="0013396E">
        <w:t>i</w:t>
      </w:r>
      <w:r w:rsidRPr="0013396E">
        <w:t>v)</w:t>
      </w:r>
      <w:r w:rsidRPr="0013396E">
        <w:tab/>
        <w:t>For each Combined Cycle Generation Resource that was RUC-committed from one On-Line configuration in order to transition to a different configuration with additional capacity, as instructed by ERCOT, that has submitted an Energy Offer Curve for the RUC-committed configuration, ERCOT shall create a monotonically non-decreasing proxy Energy Offer Curve as described below:</w:t>
      </w:r>
    </w:p>
    <w:tbl>
      <w:tblPr>
        <w:tblW w:w="6339"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9"/>
        <w:gridCol w:w="3060"/>
      </w:tblGrid>
      <w:tr w:rsidR="00540BAB" w:rsidRPr="0013396E" w14:paraId="43E28C95" w14:textId="77777777" w:rsidTr="005B61C1">
        <w:trPr>
          <w:trHeight w:val="350"/>
        </w:trPr>
        <w:tc>
          <w:tcPr>
            <w:tcW w:w="3279" w:type="dxa"/>
          </w:tcPr>
          <w:p w14:paraId="55C887BF" w14:textId="77777777" w:rsidR="00540BAB" w:rsidRPr="0013396E" w:rsidRDefault="00540BAB" w:rsidP="005B61C1">
            <w:pPr>
              <w:spacing w:after="120"/>
              <w:rPr>
                <w:b/>
                <w:iCs/>
                <w:sz w:val="20"/>
              </w:rPr>
            </w:pPr>
            <w:r w:rsidRPr="0013396E">
              <w:rPr>
                <w:b/>
                <w:iCs/>
                <w:sz w:val="20"/>
              </w:rPr>
              <w:lastRenderedPageBreak/>
              <w:t>MW</w:t>
            </w:r>
          </w:p>
        </w:tc>
        <w:tc>
          <w:tcPr>
            <w:tcW w:w="3060" w:type="dxa"/>
          </w:tcPr>
          <w:p w14:paraId="090C9CA8" w14:textId="77777777" w:rsidR="00540BAB" w:rsidRPr="0013396E" w:rsidRDefault="00540BAB" w:rsidP="005B61C1">
            <w:pPr>
              <w:spacing w:after="120"/>
              <w:rPr>
                <w:b/>
                <w:iCs/>
                <w:sz w:val="20"/>
              </w:rPr>
            </w:pPr>
            <w:r w:rsidRPr="0013396E">
              <w:rPr>
                <w:b/>
                <w:iCs/>
                <w:sz w:val="20"/>
              </w:rPr>
              <w:t>Price (per MWh)</w:t>
            </w:r>
          </w:p>
        </w:tc>
      </w:tr>
      <w:tr w:rsidR="00540BAB" w:rsidRPr="0013396E" w14:paraId="11D1DA58" w14:textId="77777777" w:rsidTr="005B61C1">
        <w:trPr>
          <w:trHeight w:val="345"/>
        </w:trPr>
        <w:tc>
          <w:tcPr>
            <w:tcW w:w="3279" w:type="dxa"/>
          </w:tcPr>
          <w:p w14:paraId="653808C4" w14:textId="77777777" w:rsidR="00540BAB" w:rsidRPr="0013396E" w:rsidRDefault="00540BAB" w:rsidP="005B61C1">
            <w:pPr>
              <w:spacing w:after="60"/>
              <w:rPr>
                <w:iCs/>
                <w:sz w:val="20"/>
              </w:rPr>
            </w:pPr>
            <w:r w:rsidRPr="0013396E">
              <w:rPr>
                <w:iCs/>
                <w:sz w:val="20"/>
              </w:rPr>
              <w:t>HSL of RUC-committed configuration (if more than highest MW in Energy Offer Curve)</w:t>
            </w:r>
          </w:p>
        </w:tc>
        <w:tc>
          <w:tcPr>
            <w:tcW w:w="3060" w:type="dxa"/>
          </w:tcPr>
          <w:p w14:paraId="31B542D6" w14:textId="77777777" w:rsidR="00540BAB" w:rsidRPr="0013396E" w:rsidRDefault="00540BAB" w:rsidP="005B61C1">
            <w:pPr>
              <w:spacing w:after="60"/>
              <w:rPr>
                <w:iCs/>
                <w:sz w:val="20"/>
              </w:rPr>
            </w:pPr>
            <w:r w:rsidRPr="0013396E">
              <w:rPr>
                <w:iCs/>
                <w:sz w:val="20"/>
              </w:rPr>
              <w:t>Greater of $250 or price associated with the highest MW in QSE submitted Energy Offer Curve</w:t>
            </w:r>
          </w:p>
        </w:tc>
      </w:tr>
      <w:tr w:rsidR="00540BAB" w:rsidRPr="0013396E" w14:paraId="71BB2118" w14:textId="77777777" w:rsidTr="005B61C1">
        <w:trPr>
          <w:trHeight w:val="615"/>
        </w:trPr>
        <w:tc>
          <w:tcPr>
            <w:tcW w:w="3279" w:type="dxa"/>
          </w:tcPr>
          <w:p w14:paraId="3AB22A33" w14:textId="77777777" w:rsidR="00540BAB" w:rsidRPr="0013396E" w:rsidRDefault="00540BAB" w:rsidP="005B61C1">
            <w:pPr>
              <w:spacing w:after="60"/>
              <w:rPr>
                <w:iCs/>
                <w:sz w:val="20"/>
              </w:rPr>
            </w:pPr>
            <w:r w:rsidRPr="0013396E">
              <w:rPr>
                <w:iCs/>
                <w:sz w:val="20"/>
              </w:rPr>
              <w:t>Energy Offer Curve for MW at and above HSL of QSE-committed configuration</w:t>
            </w:r>
          </w:p>
        </w:tc>
        <w:tc>
          <w:tcPr>
            <w:tcW w:w="3060" w:type="dxa"/>
          </w:tcPr>
          <w:p w14:paraId="6009C443" w14:textId="77777777" w:rsidR="00540BAB" w:rsidRPr="0013396E" w:rsidRDefault="00540BAB" w:rsidP="005B61C1">
            <w:pPr>
              <w:spacing w:after="60"/>
              <w:rPr>
                <w:iCs/>
                <w:sz w:val="20"/>
              </w:rPr>
            </w:pPr>
            <w:r w:rsidRPr="0013396E">
              <w:rPr>
                <w:iCs/>
                <w:sz w:val="20"/>
              </w:rPr>
              <w:t>Greater of $250 or the QSE submitted Energy Offer Curve</w:t>
            </w:r>
          </w:p>
        </w:tc>
      </w:tr>
      <w:tr w:rsidR="00540BAB" w:rsidRPr="0013396E" w14:paraId="581ECC7F" w14:textId="77777777" w:rsidTr="005B61C1">
        <w:trPr>
          <w:trHeight w:val="615"/>
        </w:trPr>
        <w:tc>
          <w:tcPr>
            <w:tcW w:w="3279" w:type="dxa"/>
          </w:tcPr>
          <w:p w14:paraId="32F17EFE" w14:textId="77777777" w:rsidR="00540BAB" w:rsidRPr="0013396E" w:rsidRDefault="00540BAB" w:rsidP="005B61C1">
            <w:pPr>
              <w:spacing w:after="60"/>
              <w:rPr>
                <w:iCs/>
                <w:sz w:val="20"/>
              </w:rPr>
            </w:pPr>
            <w:r w:rsidRPr="0013396E">
              <w:rPr>
                <w:iCs/>
                <w:sz w:val="20"/>
              </w:rPr>
              <w:t>HSL of QSE-committed configuration (if more than highest MW in Energy Offer Curve and price associated with highest MW in Energy Offer Curve is less than $250)</w:t>
            </w:r>
          </w:p>
        </w:tc>
        <w:tc>
          <w:tcPr>
            <w:tcW w:w="3060" w:type="dxa"/>
          </w:tcPr>
          <w:p w14:paraId="75A1B80D" w14:textId="77777777" w:rsidR="00540BAB" w:rsidRPr="0013396E" w:rsidRDefault="00540BAB" w:rsidP="005B61C1">
            <w:pPr>
              <w:spacing w:after="60"/>
              <w:rPr>
                <w:iCs/>
                <w:sz w:val="20"/>
              </w:rPr>
            </w:pPr>
            <w:r w:rsidRPr="0013396E">
              <w:rPr>
                <w:iCs/>
                <w:sz w:val="20"/>
              </w:rPr>
              <w:t>$250</w:t>
            </w:r>
          </w:p>
        </w:tc>
      </w:tr>
      <w:tr w:rsidR="00540BAB" w:rsidRPr="0013396E" w14:paraId="3FE9EE7D" w14:textId="77777777" w:rsidTr="005B61C1">
        <w:trPr>
          <w:trHeight w:val="368"/>
        </w:trPr>
        <w:tc>
          <w:tcPr>
            <w:tcW w:w="3279" w:type="dxa"/>
          </w:tcPr>
          <w:p w14:paraId="3098150E" w14:textId="77777777" w:rsidR="00540BAB" w:rsidRPr="0013396E" w:rsidRDefault="00540BAB" w:rsidP="005B61C1">
            <w:pPr>
              <w:spacing w:after="60"/>
              <w:rPr>
                <w:iCs/>
                <w:sz w:val="20"/>
              </w:rPr>
            </w:pPr>
            <w:r w:rsidRPr="0013396E">
              <w:rPr>
                <w:iCs/>
                <w:sz w:val="20"/>
              </w:rPr>
              <w:t>HSL of QSE-committed configuration (if more than highest MW in Energy Offer Curve)</w:t>
            </w:r>
          </w:p>
        </w:tc>
        <w:tc>
          <w:tcPr>
            <w:tcW w:w="3060" w:type="dxa"/>
          </w:tcPr>
          <w:p w14:paraId="556C89A9" w14:textId="77777777" w:rsidR="00540BAB" w:rsidRPr="0013396E" w:rsidRDefault="00540BAB" w:rsidP="005B61C1">
            <w:pPr>
              <w:spacing w:after="60"/>
              <w:rPr>
                <w:iCs/>
                <w:sz w:val="20"/>
              </w:rPr>
            </w:pPr>
            <w:r w:rsidRPr="0013396E">
              <w:rPr>
                <w:iCs/>
                <w:sz w:val="20"/>
              </w:rPr>
              <w:t>Price associated with the highest MW in QSE submitted Energy Offer Curve</w:t>
            </w:r>
          </w:p>
        </w:tc>
      </w:tr>
      <w:tr w:rsidR="00540BAB" w:rsidRPr="0013396E" w14:paraId="2D8A2CA3" w14:textId="77777777" w:rsidTr="005B61C1">
        <w:trPr>
          <w:trHeight w:val="773"/>
        </w:trPr>
        <w:tc>
          <w:tcPr>
            <w:tcW w:w="3279" w:type="dxa"/>
          </w:tcPr>
          <w:p w14:paraId="0C6EFFF0" w14:textId="77777777" w:rsidR="00540BAB" w:rsidRPr="0013396E" w:rsidRDefault="00540BAB" w:rsidP="005B61C1">
            <w:pPr>
              <w:spacing w:after="60"/>
              <w:rPr>
                <w:iCs/>
                <w:sz w:val="20"/>
              </w:rPr>
            </w:pPr>
            <w:r w:rsidRPr="0013396E">
              <w:rPr>
                <w:iCs/>
                <w:sz w:val="20"/>
              </w:rPr>
              <w:t>Energy Offer Curve for MW at and below HSL of QSE-committed configuration</w:t>
            </w:r>
          </w:p>
        </w:tc>
        <w:tc>
          <w:tcPr>
            <w:tcW w:w="3060" w:type="dxa"/>
          </w:tcPr>
          <w:p w14:paraId="195D5B74" w14:textId="77777777" w:rsidR="00540BAB" w:rsidRPr="0013396E" w:rsidRDefault="00540BAB" w:rsidP="005B61C1">
            <w:pPr>
              <w:spacing w:after="60"/>
              <w:rPr>
                <w:iCs/>
                <w:sz w:val="20"/>
              </w:rPr>
            </w:pPr>
            <w:r w:rsidRPr="0013396E">
              <w:rPr>
                <w:iCs/>
                <w:sz w:val="20"/>
              </w:rPr>
              <w:t>The QSE submitted Energy Offer Curve</w:t>
            </w:r>
          </w:p>
        </w:tc>
      </w:tr>
      <w:tr w:rsidR="00540BAB" w:rsidRPr="0013396E" w14:paraId="1D9AE862" w14:textId="77777777" w:rsidTr="005B61C1">
        <w:trPr>
          <w:trHeight w:val="503"/>
        </w:trPr>
        <w:tc>
          <w:tcPr>
            <w:tcW w:w="3279" w:type="dxa"/>
          </w:tcPr>
          <w:p w14:paraId="28DF253C" w14:textId="77777777" w:rsidR="00540BAB" w:rsidRPr="0013396E" w:rsidRDefault="00540BAB" w:rsidP="005B61C1">
            <w:pPr>
              <w:spacing w:after="60"/>
              <w:rPr>
                <w:iCs/>
                <w:sz w:val="20"/>
              </w:rPr>
            </w:pPr>
            <w:r w:rsidRPr="0013396E">
              <w:rPr>
                <w:iCs/>
                <w:sz w:val="20"/>
              </w:rPr>
              <w:t>1 MW below lowest MW in Energy Offer Curve (if more than LSL)</w:t>
            </w:r>
          </w:p>
        </w:tc>
        <w:tc>
          <w:tcPr>
            <w:tcW w:w="3060" w:type="dxa"/>
          </w:tcPr>
          <w:p w14:paraId="13A4353C" w14:textId="77777777" w:rsidR="00540BAB" w:rsidRPr="0013396E" w:rsidRDefault="00540BAB" w:rsidP="005B61C1">
            <w:pPr>
              <w:spacing w:after="60"/>
              <w:rPr>
                <w:iCs/>
                <w:sz w:val="20"/>
              </w:rPr>
            </w:pPr>
            <w:r w:rsidRPr="0013396E">
              <w:rPr>
                <w:iCs/>
                <w:sz w:val="20"/>
              </w:rPr>
              <w:t>-$249.99</w:t>
            </w:r>
          </w:p>
        </w:tc>
      </w:tr>
      <w:tr w:rsidR="00540BAB" w:rsidRPr="0013396E" w14:paraId="3BD34C34" w14:textId="77777777" w:rsidTr="005B61C1">
        <w:trPr>
          <w:trHeight w:val="467"/>
        </w:trPr>
        <w:tc>
          <w:tcPr>
            <w:tcW w:w="3279" w:type="dxa"/>
          </w:tcPr>
          <w:p w14:paraId="5AD1CA2C" w14:textId="77777777" w:rsidR="00540BAB" w:rsidRPr="0013396E" w:rsidRDefault="00540BAB" w:rsidP="005B61C1">
            <w:pPr>
              <w:spacing w:after="60"/>
              <w:rPr>
                <w:iCs/>
                <w:sz w:val="20"/>
              </w:rPr>
            </w:pPr>
            <w:r w:rsidRPr="0013396E">
              <w:rPr>
                <w:iCs/>
                <w:sz w:val="20"/>
              </w:rPr>
              <w:t>LSL (if less than lowest MW in Energy Offer Curve)</w:t>
            </w:r>
          </w:p>
        </w:tc>
        <w:tc>
          <w:tcPr>
            <w:tcW w:w="3060" w:type="dxa"/>
          </w:tcPr>
          <w:p w14:paraId="3D45DA45" w14:textId="77777777" w:rsidR="00540BAB" w:rsidRPr="0013396E" w:rsidRDefault="00540BAB" w:rsidP="005B61C1">
            <w:pPr>
              <w:spacing w:after="60"/>
              <w:rPr>
                <w:iCs/>
                <w:sz w:val="20"/>
              </w:rPr>
            </w:pPr>
            <w:r w:rsidRPr="0013396E">
              <w:rPr>
                <w:iCs/>
                <w:sz w:val="20"/>
              </w:rPr>
              <w:t>-$250.00</w:t>
            </w:r>
          </w:p>
        </w:tc>
      </w:tr>
    </w:tbl>
    <w:p w14:paraId="2C29ACD7" w14:textId="77777777" w:rsidR="00890D72" w:rsidRPr="0013396E" w:rsidRDefault="00890D72" w:rsidP="00890D72">
      <w:pPr>
        <w:ind w:left="720" w:hanging="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50"/>
      </w:tblGrid>
      <w:tr w:rsidR="00890D72" w:rsidRPr="0013396E" w14:paraId="2CF11BE1" w14:textId="77777777" w:rsidTr="005B61C1">
        <w:tc>
          <w:tcPr>
            <w:tcW w:w="9350" w:type="dxa"/>
            <w:shd w:val="pct12" w:color="auto" w:fill="auto"/>
          </w:tcPr>
          <w:p w14:paraId="372A3D95" w14:textId="77777777" w:rsidR="00890D72" w:rsidRPr="0013396E" w:rsidRDefault="00890D72" w:rsidP="00890D72">
            <w:pPr>
              <w:spacing w:before="120" w:after="240"/>
              <w:rPr>
                <w:b/>
                <w:i/>
                <w:iCs/>
              </w:rPr>
            </w:pPr>
            <w:r w:rsidRPr="0013396E">
              <w:rPr>
                <w:b/>
                <w:i/>
                <w:iCs/>
              </w:rPr>
              <w:t>[NPRR1019:  Insert paragraphs (v)-(viii) below upon system implementation:]</w:t>
            </w:r>
          </w:p>
          <w:p w14:paraId="3655DC7E" w14:textId="77777777" w:rsidR="00890D72" w:rsidRPr="0013396E" w:rsidRDefault="00890D72" w:rsidP="00890D72">
            <w:pPr>
              <w:spacing w:before="240" w:after="240"/>
              <w:ind w:left="2160" w:hanging="720"/>
            </w:pPr>
            <w:r w:rsidRPr="0013396E">
              <w:t>(v)</w:t>
            </w:r>
            <w:r w:rsidRPr="0013396E">
              <w:tab/>
              <w:t>For each RUC-committed Switchable Generation Resource (SWGR) that is not part of a Combined Cycle Train already operating in ERCOT, that has not submitted an Energy Offer Curve, and that has a COP Resource Status of EMRSWGR for the instructed Operating Hour at the time of the RUC instruction, ERCOT shall create a proxy Energy Offer Curve as described below:</w:t>
            </w:r>
          </w:p>
          <w:tbl>
            <w:tblPr>
              <w:tblW w:w="6339"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9"/>
              <w:gridCol w:w="3600"/>
            </w:tblGrid>
            <w:tr w:rsidR="00890D72" w:rsidRPr="0013396E" w14:paraId="4331ED3D" w14:textId="77777777" w:rsidTr="005B61C1">
              <w:trPr>
                <w:trHeight w:val="377"/>
              </w:trPr>
              <w:tc>
                <w:tcPr>
                  <w:tcW w:w="2739" w:type="dxa"/>
                  <w:tcBorders>
                    <w:top w:val="single" w:sz="4" w:space="0" w:color="auto"/>
                    <w:left w:val="single" w:sz="4" w:space="0" w:color="auto"/>
                    <w:bottom w:val="single" w:sz="4" w:space="0" w:color="auto"/>
                    <w:right w:val="single" w:sz="4" w:space="0" w:color="auto"/>
                  </w:tcBorders>
                </w:tcPr>
                <w:p w14:paraId="16F8A6DE" w14:textId="77777777" w:rsidR="00890D72" w:rsidRPr="0013396E" w:rsidRDefault="00890D72" w:rsidP="00890D72">
                  <w:pPr>
                    <w:spacing w:after="120"/>
                    <w:rPr>
                      <w:b/>
                      <w:iCs/>
                      <w:sz w:val="20"/>
                    </w:rPr>
                  </w:pPr>
                  <w:r w:rsidRPr="0013396E">
                    <w:rPr>
                      <w:b/>
                      <w:iCs/>
                      <w:sz w:val="20"/>
                    </w:rPr>
                    <w:t>MW</w:t>
                  </w:r>
                </w:p>
              </w:tc>
              <w:tc>
                <w:tcPr>
                  <w:tcW w:w="3600" w:type="dxa"/>
                  <w:tcBorders>
                    <w:top w:val="single" w:sz="4" w:space="0" w:color="auto"/>
                    <w:left w:val="single" w:sz="4" w:space="0" w:color="auto"/>
                    <w:bottom w:val="single" w:sz="4" w:space="0" w:color="auto"/>
                    <w:right w:val="single" w:sz="4" w:space="0" w:color="auto"/>
                  </w:tcBorders>
                </w:tcPr>
                <w:p w14:paraId="5C264500" w14:textId="77777777" w:rsidR="00890D72" w:rsidRPr="0013396E" w:rsidRDefault="00890D72" w:rsidP="00890D72">
                  <w:pPr>
                    <w:spacing w:after="120"/>
                    <w:rPr>
                      <w:b/>
                      <w:iCs/>
                      <w:sz w:val="20"/>
                    </w:rPr>
                  </w:pPr>
                  <w:r w:rsidRPr="0013396E">
                    <w:rPr>
                      <w:b/>
                      <w:iCs/>
                      <w:sz w:val="20"/>
                    </w:rPr>
                    <w:t>Price (per MWh)</w:t>
                  </w:r>
                </w:p>
              </w:tc>
            </w:tr>
            <w:tr w:rsidR="00890D72" w:rsidRPr="0013396E" w14:paraId="325DD05D" w14:textId="77777777" w:rsidTr="005B61C1">
              <w:trPr>
                <w:trHeight w:val="377"/>
              </w:trPr>
              <w:tc>
                <w:tcPr>
                  <w:tcW w:w="2739" w:type="dxa"/>
                  <w:tcBorders>
                    <w:top w:val="single" w:sz="4" w:space="0" w:color="auto"/>
                    <w:left w:val="single" w:sz="4" w:space="0" w:color="auto"/>
                    <w:bottom w:val="single" w:sz="4" w:space="0" w:color="auto"/>
                    <w:right w:val="single" w:sz="4" w:space="0" w:color="auto"/>
                  </w:tcBorders>
                </w:tcPr>
                <w:p w14:paraId="6D6707A3" w14:textId="77777777" w:rsidR="00890D72" w:rsidRPr="0013396E" w:rsidRDefault="00890D72" w:rsidP="00890D72">
                  <w:pPr>
                    <w:spacing w:after="120"/>
                    <w:rPr>
                      <w:iCs/>
                      <w:sz w:val="20"/>
                    </w:rPr>
                  </w:pPr>
                  <w:r w:rsidRPr="0013396E">
                    <w:rPr>
                      <w:iCs/>
                      <w:sz w:val="20"/>
                    </w:rPr>
                    <w:t>HSL</w:t>
                  </w:r>
                </w:p>
              </w:tc>
              <w:tc>
                <w:tcPr>
                  <w:tcW w:w="3600" w:type="dxa"/>
                  <w:tcBorders>
                    <w:top w:val="single" w:sz="4" w:space="0" w:color="auto"/>
                    <w:left w:val="single" w:sz="4" w:space="0" w:color="auto"/>
                    <w:bottom w:val="single" w:sz="4" w:space="0" w:color="auto"/>
                    <w:right w:val="single" w:sz="4" w:space="0" w:color="auto"/>
                  </w:tcBorders>
                </w:tcPr>
                <w:p w14:paraId="249CE730" w14:textId="77777777" w:rsidR="00890D72" w:rsidRPr="0013396E" w:rsidRDefault="00890D72" w:rsidP="00890D72">
                  <w:pPr>
                    <w:spacing w:after="120"/>
                    <w:rPr>
                      <w:iCs/>
                      <w:sz w:val="20"/>
                    </w:rPr>
                  </w:pPr>
                  <w:r w:rsidRPr="0013396E">
                    <w:rPr>
                      <w:iCs/>
                      <w:sz w:val="20"/>
                    </w:rPr>
                    <w:t>$4,500</w:t>
                  </w:r>
                  <w:r w:rsidRPr="0013396E">
                    <w:rPr>
                      <w:sz w:val="20"/>
                    </w:rPr>
                    <w:t xml:space="preserve"> or the effective Value of Lost Load (VOLL), whichever is less</w:t>
                  </w:r>
                </w:p>
              </w:tc>
            </w:tr>
            <w:tr w:rsidR="00890D72" w:rsidRPr="0013396E" w14:paraId="0618FC64" w14:textId="77777777" w:rsidTr="005B61C1">
              <w:trPr>
                <w:trHeight w:val="377"/>
              </w:trPr>
              <w:tc>
                <w:tcPr>
                  <w:tcW w:w="2739" w:type="dxa"/>
                  <w:tcBorders>
                    <w:top w:val="single" w:sz="4" w:space="0" w:color="auto"/>
                    <w:left w:val="single" w:sz="4" w:space="0" w:color="auto"/>
                    <w:bottom w:val="single" w:sz="4" w:space="0" w:color="auto"/>
                    <w:right w:val="single" w:sz="4" w:space="0" w:color="auto"/>
                  </w:tcBorders>
                </w:tcPr>
                <w:p w14:paraId="540F54E7" w14:textId="77777777" w:rsidR="00890D72" w:rsidRPr="0013396E" w:rsidRDefault="00890D72" w:rsidP="00890D72">
                  <w:pPr>
                    <w:spacing w:after="120"/>
                    <w:rPr>
                      <w:iCs/>
                      <w:sz w:val="20"/>
                    </w:rPr>
                  </w:pPr>
                  <w:r w:rsidRPr="0013396E">
                    <w:rPr>
                      <w:iCs/>
                      <w:sz w:val="20"/>
                    </w:rPr>
                    <w:t>Zero</w:t>
                  </w:r>
                </w:p>
              </w:tc>
              <w:tc>
                <w:tcPr>
                  <w:tcW w:w="3600" w:type="dxa"/>
                  <w:tcBorders>
                    <w:top w:val="single" w:sz="4" w:space="0" w:color="auto"/>
                    <w:left w:val="single" w:sz="4" w:space="0" w:color="auto"/>
                    <w:bottom w:val="single" w:sz="4" w:space="0" w:color="auto"/>
                    <w:right w:val="single" w:sz="4" w:space="0" w:color="auto"/>
                  </w:tcBorders>
                </w:tcPr>
                <w:p w14:paraId="6B3908F1" w14:textId="77777777" w:rsidR="00890D72" w:rsidRPr="0013396E" w:rsidRDefault="00890D72" w:rsidP="00890D72">
                  <w:pPr>
                    <w:spacing w:after="120"/>
                    <w:rPr>
                      <w:iCs/>
                      <w:sz w:val="20"/>
                    </w:rPr>
                  </w:pPr>
                  <w:r w:rsidRPr="0013396E">
                    <w:rPr>
                      <w:iCs/>
                      <w:sz w:val="20"/>
                    </w:rPr>
                    <w:t>$4,500</w:t>
                  </w:r>
                  <w:r w:rsidRPr="0013396E">
                    <w:rPr>
                      <w:sz w:val="20"/>
                    </w:rPr>
                    <w:t xml:space="preserve"> or the effective VOLL, whichever is less</w:t>
                  </w:r>
                </w:p>
              </w:tc>
            </w:tr>
          </w:tbl>
          <w:p w14:paraId="07973F1B" w14:textId="77777777" w:rsidR="00890D72" w:rsidRPr="0013396E" w:rsidRDefault="00890D72" w:rsidP="00890D72">
            <w:pPr>
              <w:spacing w:before="240" w:after="240"/>
              <w:ind w:left="2160" w:hanging="720"/>
            </w:pPr>
            <w:r w:rsidRPr="0013396E">
              <w:t>(vi)</w:t>
            </w:r>
            <w:r w:rsidRPr="0013396E">
              <w:tab/>
              <w:t>For each RUC-committed SWGR that is not part of a Combined Cycle Train already operating in ERCOT, that has submitted an Energy Offer Curve, and that has a COP Resource Status of EMRSWGR for the instructed Operating Hour at the time of the RUC instruction, ERCOT shall create a proxy Energy Offer Curve as described below:</w:t>
            </w:r>
          </w:p>
          <w:tbl>
            <w:tblPr>
              <w:tblW w:w="6335"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1"/>
              <w:gridCol w:w="2804"/>
            </w:tblGrid>
            <w:tr w:rsidR="00890D72" w:rsidRPr="0013396E" w14:paraId="26C21F8C" w14:textId="77777777" w:rsidTr="005B61C1">
              <w:trPr>
                <w:trHeight w:val="350"/>
              </w:trPr>
              <w:tc>
                <w:tcPr>
                  <w:tcW w:w="3531" w:type="dxa"/>
                </w:tcPr>
                <w:p w14:paraId="505C99D1" w14:textId="77777777" w:rsidR="00890D72" w:rsidRPr="0013396E" w:rsidRDefault="00890D72" w:rsidP="00890D72">
                  <w:pPr>
                    <w:spacing w:after="120"/>
                    <w:rPr>
                      <w:b/>
                      <w:iCs/>
                      <w:sz w:val="20"/>
                    </w:rPr>
                  </w:pPr>
                  <w:r w:rsidRPr="0013396E">
                    <w:rPr>
                      <w:b/>
                      <w:iCs/>
                      <w:sz w:val="20"/>
                    </w:rPr>
                    <w:t>MW</w:t>
                  </w:r>
                </w:p>
              </w:tc>
              <w:tc>
                <w:tcPr>
                  <w:tcW w:w="2804" w:type="dxa"/>
                </w:tcPr>
                <w:p w14:paraId="0B85CACF" w14:textId="77777777" w:rsidR="00890D72" w:rsidRPr="0013396E" w:rsidRDefault="00890D72" w:rsidP="00890D72">
                  <w:pPr>
                    <w:spacing w:after="120"/>
                    <w:rPr>
                      <w:b/>
                      <w:iCs/>
                      <w:sz w:val="20"/>
                    </w:rPr>
                  </w:pPr>
                  <w:r w:rsidRPr="0013396E">
                    <w:rPr>
                      <w:b/>
                      <w:iCs/>
                      <w:sz w:val="20"/>
                    </w:rPr>
                    <w:t>Price (per MWh)</w:t>
                  </w:r>
                </w:p>
              </w:tc>
            </w:tr>
            <w:tr w:rsidR="00890D72" w:rsidRPr="0013396E" w14:paraId="2BC64629" w14:textId="77777777" w:rsidTr="005B61C1">
              <w:trPr>
                <w:trHeight w:val="345"/>
              </w:trPr>
              <w:tc>
                <w:tcPr>
                  <w:tcW w:w="3531" w:type="dxa"/>
                </w:tcPr>
                <w:p w14:paraId="0041081E" w14:textId="77777777" w:rsidR="00890D72" w:rsidRPr="0013396E" w:rsidRDefault="00890D72" w:rsidP="00890D72">
                  <w:pPr>
                    <w:spacing w:after="60"/>
                    <w:rPr>
                      <w:iCs/>
                      <w:sz w:val="20"/>
                    </w:rPr>
                  </w:pPr>
                  <w:r w:rsidRPr="0013396E">
                    <w:rPr>
                      <w:iCs/>
                      <w:sz w:val="20"/>
                    </w:rPr>
                    <w:t>HSL (if more than highest MW in Energy Offer Curve)</w:t>
                  </w:r>
                </w:p>
              </w:tc>
              <w:tc>
                <w:tcPr>
                  <w:tcW w:w="2804" w:type="dxa"/>
                </w:tcPr>
                <w:p w14:paraId="59E11A99" w14:textId="77777777" w:rsidR="00890D72" w:rsidRPr="0013396E" w:rsidRDefault="00890D72" w:rsidP="00890D72">
                  <w:pPr>
                    <w:spacing w:after="60"/>
                    <w:rPr>
                      <w:iCs/>
                      <w:sz w:val="20"/>
                    </w:rPr>
                  </w:pPr>
                  <w:r w:rsidRPr="0013396E">
                    <w:rPr>
                      <w:iCs/>
                      <w:sz w:val="20"/>
                    </w:rPr>
                    <w:t>Greater of: $4,500</w:t>
                  </w:r>
                  <w:r w:rsidRPr="0013396E">
                    <w:rPr>
                      <w:sz w:val="20"/>
                    </w:rPr>
                    <w:t xml:space="preserve"> or the effective VOLL, whichever is </w:t>
                  </w:r>
                  <w:r w:rsidRPr="0013396E">
                    <w:rPr>
                      <w:sz w:val="20"/>
                    </w:rPr>
                    <w:lastRenderedPageBreak/>
                    <w:t>less; and</w:t>
                  </w:r>
                  <w:r w:rsidRPr="0013396E">
                    <w:rPr>
                      <w:iCs/>
                      <w:sz w:val="20"/>
                    </w:rPr>
                    <w:t xml:space="preserve"> the price associated with the highest MW in QSE-submitted Energy Offer Curve</w:t>
                  </w:r>
                </w:p>
              </w:tc>
            </w:tr>
            <w:tr w:rsidR="00890D72" w:rsidRPr="0013396E" w14:paraId="57696843" w14:textId="77777777" w:rsidTr="005B61C1">
              <w:trPr>
                <w:trHeight w:val="615"/>
              </w:trPr>
              <w:tc>
                <w:tcPr>
                  <w:tcW w:w="3531" w:type="dxa"/>
                </w:tcPr>
                <w:p w14:paraId="707E6E4E" w14:textId="77777777" w:rsidR="00890D72" w:rsidRPr="0013396E" w:rsidRDefault="00890D72" w:rsidP="00890D72">
                  <w:pPr>
                    <w:spacing w:after="60"/>
                    <w:rPr>
                      <w:iCs/>
                      <w:sz w:val="20"/>
                    </w:rPr>
                  </w:pPr>
                  <w:r w:rsidRPr="0013396E">
                    <w:rPr>
                      <w:iCs/>
                      <w:sz w:val="20"/>
                    </w:rPr>
                    <w:lastRenderedPageBreak/>
                    <w:t>Energy Offer Curve</w:t>
                  </w:r>
                </w:p>
              </w:tc>
              <w:tc>
                <w:tcPr>
                  <w:tcW w:w="2804" w:type="dxa"/>
                </w:tcPr>
                <w:p w14:paraId="3D5A9741" w14:textId="77777777" w:rsidR="00890D72" w:rsidRPr="0013396E" w:rsidRDefault="00890D72" w:rsidP="00890D72">
                  <w:pPr>
                    <w:spacing w:after="60"/>
                    <w:rPr>
                      <w:iCs/>
                      <w:sz w:val="20"/>
                    </w:rPr>
                  </w:pPr>
                  <w:r w:rsidRPr="0013396E">
                    <w:rPr>
                      <w:iCs/>
                      <w:sz w:val="20"/>
                    </w:rPr>
                    <w:t>Greater of: $4,500</w:t>
                  </w:r>
                  <w:r w:rsidRPr="0013396E">
                    <w:rPr>
                      <w:sz w:val="20"/>
                    </w:rPr>
                    <w:t xml:space="preserve"> or the effective VOLL, whichever is less; and</w:t>
                  </w:r>
                  <w:r w:rsidRPr="0013396E">
                    <w:rPr>
                      <w:iCs/>
                      <w:sz w:val="20"/>
                    </w:rPr>
                    <w:t xml:space="preserve"> the QSE-submitted Energy Offer Curve</w:t>
                  </w:r>
                </w:p>
              </w:tc>
            </w:tr>
            <w:tr w:rsidR="00890D72" w:rsidRPr="0013396E" w14:paraId="71B87C4A" w14:textId="77777777" w:rsidTr="005B61C1">
              <w:trPr>
                <w:trHeight w:val="916"/>
              </w:trPr>
              <w:tc>
                <w:tcPr>
                  <w:tcW w:w="3531" w:type="dxa"/>
                </w:tcPr>
                <w:p w14:paraId="01D1AF68" w14:textId="77777777" w:rsidR="00890D72" w:rsidRPr="0013396E" w:rsidRDefault="00890D72" w:rsidP="00890D72">
                  <w:pPr>
                    <w:spacing w:after="60"/>
                    <w:rPr>
                      <w:iCs/>
                      <w:sz w:val="20"/>
                    </w:rPr>
                  </w:pPr>
                  <w:r w:rsidRPr="0013396E">
                    <w:rPr>
                      <w:iCs/>
                      <w:sz w:val="20"/>
                    </w:rPr>
                    <w:t>Zero</w:t>
                  </w:r>
                </w:p>
              </w:tc>
              <w:tc>
                <w:tcPr>
                  <w:tcW w:w="2804" w:type="dxa"/>
                </w:tcPr>
                <w:p w14:paraId="6442CCD2" w14:textId="77777777" w:rsidR="00890D72" w:rsidRPr="0013396E" w:rsidRDefault="00890D72" w:rsidP="00890D72">
                  <w:pPr>
                    <w:spacing w:after="60"/>
                    <w:rPr>
                      <w:iCs/>
                      <w:sz w:val="20"/>
                    </w:rPr>
                  </w:pPr>
                  <w:r w:rsidRPr="0013396E">
                    <w:rPr>
                      <w:iCs/>
                      <w:sz w:val="20"/>
                    </w:rPr>
                    <w:t>Greater of: $4,500</w:t>
                  </w:r>
                  <w:r w:rsidRPr="0013396E">
                    <w:rPr>
                      <w:sz w:val="20"/>
                    </w:rPr>
                    <w:t xml:space="preserve"> or the effective VOLL, whichever is less;</w:t>
                  </w:r>
                  <w:r w:rsidRPr="0013396E">
                    <w:rPr>
                      <w:iCs/>
                      <w:sz w:val="20"/>
                    </w:rPr>
                    <w:t xml:space="preserve"> and the first price point of the QSE-submitted Energy Offer Curve</w:t>
                  </w:r>
                </w:p>
              </w:tc>
            </w:tr>
          </w:tbl>
          <w:p w14:paraId="4D851838" w14:textId="77777777" w:rsidR="00890D72" w:rsidRPr="0013396E" w:rsidRDefault="00890D72" w:rsidP="00890D72">
            <w:pPr>
              <w:spacing w:before="240" w:after="240"/>
              <w:ind w:left="2160" w:hanging="720"/>
            </w:pPr>
            <w:r w:rsidRPr="0013396E">
              <w:t>(vii)</w:t>
            </w:r>
            <w:r w:rsidRPr="0013396E">
              <w:tab/>
              <w:t>For each Combined Cycle Train configuration that includes at least one SWGR that is operating in a non-ERCOT Control Area as part of a  configuration with a COP Resource Status of EMRSWGR for the instructed Operating Hour at the time of a RUC instruction requiring the switching of the SWGR into the ERCOT Control Area, if the QSE for the Combined Cycle Train has not submitted an Energy Offer Curve for the RUC-committed configuration, ERCOT shall create a proxy Energy Offer Curve as described below:</w:t>
            </w:r>
          </w:p>
          <w:tbl>
            <w:tblPr>
              <w:tblW w:w="6339"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9"/>
              <w:gridCol w:w="3600"/>
            </w:tblGrid>
            <w:tr w:rsidR="00890D72" w:rsidRPr="0013396E" w14:paraId="4EA58169" w14:textId="77777777" w:rsidTr="005B61C1">
              <w:trPr>
                <w:trHeight w:val="377"/>
              </w:trPr>
              <w:tc>
                <w:tcPr>
                  <w:tcW w:w="2739" w:type="dxa"/>
                  <w:tcBorders>
                    <w:top w:val="single" w:sz="4" w:space="0" w:color="auto"/>
                    <w:left w:val="single" w:sz="4" w:space="0" w:color="auto"/>
                    <w:bottom w:val="single" w:sz="4" w:space="0" w:color="auto"/>
                    <w:right w:val="single" w:sz="4" w:space="0" w:color="auto"/>
                  </w:tcBorders>
                </w:tcPr>
                <w:p w14:paraId="05FF0792" w14:textId="77777777" w:rsidR="00890D72" w:rsidRPr="0013396E" w:rsidRDefault="00890D72" w:rsidP="00890D72">
                  <w:pPr>
                    <w:spacing w:after="120"/>
                    <w:rPr>
                      <w:b/>
                      <w:iCs/>
                      <w:sz w:val="20"/>
                    </w:rPr>
                  </w:pPr>
                  <w:r w:rsidRPr="0013396E">
                    <w:rPr>
                      <w:b/>
                      <w:iCs/>
                      <w:sz w:val="20"/>
                    </w:rPr>
                    <w:t>MW</w:t>
                  </w:r>
                </w:p>
              </w:tc>
              <w:tc>
                <w:tcPr>
                  <w:tcW w:w="3600" w:type="dxa"/>
                  <w:tcBorders>
                    <w:top w:val="single" w:sz="4" w:space="0" w:color="auto"/>
                    <w:left w:val="single" w:sz="4" w:space="0" w:color="auto"/>
                    <w:bottom w:val="single" w:sz="4" w:space="0" w:color="auto"/>
                    <w:right w:val="single" w:sz="4" w:space="0" w:color="auto"/>
                  </w:tcBorders>
                </w:tcPr>
                <w:p w14:paraId="23D21CBF" w14:textId="77777777" w:rsidR="00890D72" w:rsidRPr="0013396E" w:rsidRDefault="00890D72" w:rsidP="00890D72">
                  <w:pPr>
                    <w:spacing w:after="120"/>
                    <w:rPr>
                      <w:b/>
                      <w:iCs/>
                      <w:sz w:val="20"/>
                    </w:rPr>
                  </w:pPr>
                  <w:r w:rsidRPr="0013396E">
                    <w:rPr>
                      <w:b/>
                      <w:iCs/>
                      <w:sz w:val="20"/>
                    </w:rPr>
                    <w:t>Price (per MWh)</w:t>
                  </w:r>
                </w:p>
              </w:tc>
            </w:tr>
            <w:tr w:rsidR="00890D72" w:rsidRPr="0013396E" w14:paraId="06CF04D0" w14:textId="77777777" w:rsidTr="005B61C1">
              <w:trPr>
                <w:trHeight w:val="377"/>
              </w:trPr>
              <w:tc>
                <w:tcPr>
                  <w:tcW w:w="2739" w:type="dxa"/>
                  <w:tcBorders>
                    <w:top w:val="single" w:sz="4" w:space="0" w:color="auto"/>
                    <w:left w:val="single" w:sz="4" w:space="0" w:color="auto"/>
                    <w:bottom w:val="single" w:sz="4" w:space="0" w:color="auto"/>
                    <w:right w:val="single" w:sz="4" w:space="0" w:color="auto"/>
                  </w:tcBorders>
                </w:tcPr>
                <w:p w14:paraId="3E62718F" w14:textId="77777777" w:rsidR="00890D72" w:rsidRPr="0013396E" w:rsidRDefault="00890D72" w:rsidP="00890D72">
                  <w:pPr>
                    <w:spacing w:after="120"/>
                    <w:rPr>
                      <w:iCs/>
                      <w:sz w:val="20"/>
                    </w:rPr>
                  </w:pPr>
                  <w:r w:rsidRPr="0013396E">
                    <w:rPr>
                      <w:iCs/>
                      <w:sz w:val="20"/>
                    </w:rPr>
                    <w:t xml:space="preserve">HSL of RUC-committed configuration </w:t>
                  </w:r>
                </w:p>
              </w:tc>
              <w:tc>
                <w:tcPr>
                  <w:tcW w:w="3600" w:type="dxa"/>
                  <w:tcBorders>
                    <w:top w:val="single" w:sz="4" w:space="0" w:color="auto"/>
                    <w:left w:val="single" w:sz="4" w:space="0" w:color="auto"/>
                    <w:bottom w:val="single" w:sz="4" w:space="0" w:color="auto"/>
                    <w:right w:val="single" w:sz="4" w:space="0" w:color="auto"/>
                  </w:tcBorders>
                </w:tcPr>
                <w:p w14:paraId="61AB61AD" w14:textId="77777777" w:rsidR="00890D72" w:rsidRPr="0013396E" w:rsidRDefault="00890D72" w:rsidP="00890D72">
                  <w:pPr>
                    <w:spacing w:after="120"/>
                    <w:rPr>
                      <w:iCs/>
                      <w:sz w:val="20"/>
                    </w:rPr>
                  </w:pPr>
                  <w:r w:rsidRPr="0013396E">
                    <w:rPr>
                      <w:iCs/>
                      <w:sz w:val="20"/>
                    </w:rPr>
                    <w:t>$4,500</w:t>
                  </w:r>
                  <w:r w:rsidRPr="0013396E">
                    <w:rPr>
                      <w:sz w:val="20"/>
                    </w:rPr>
                    <w:t xml:space="preserve"> or the effective VOLL, whichever is less</w:t>
                  </w:r>
                </w:p>
              </w:tc>
            </w:tr>
            <w:tr w:rsidR="00890D72" w:rsidRPr="0013396E" w14:paraId="2EA28115" w14:textId="77777777" w:rsidTr="005B61C1">
              <w:trPr>
                <w:trHeight w:val="377"/>
              </w:trPr>
              <w:tc>
                <w:tcPr>
                  <w:tcW w:w="2739" w:type="dxa"/>
                  <w:tcBorders>
                    <w:top w:val="single" w:sz="4" w:space="0" w:color="auto"/>
                    <w:left w:val="single" w:sz="4" w:space="0" w:color="auto"/>
                    <w:bottom w:val="single" w:sz="4" w:space="0" w:color="auto"/>
                    <w:right w:val="single" w:sz="4" w:space="0" w:color="auto"/>
                  </w:tcBorders>
                </w:tcPr>
                <w:p w14:paraId="4EF866AB" w14:textId="77777777" w:rsidR="00890D72" w:rsidRPr="0013396E" w:rsidRDefault="00890D72" w:rsidP="00890D72">
                  <w:pPr>
                    <w:spacing w:after="120"/>
                    <w:rPr>
                      <w:iCs/>
                      <w:sz w:val="20"/>
                    </w:rPr>
                  </w:pPr>
                  <w:r w:rsidRPr="0013396E">
                    <w:rPr>
                      <w:iCs/>
                      <w:sz w:val="20"/>
                    </w:rPr>
                    <w:t>Zero</w:t>
                  </w:r>
                </w:p>
              </w:tc>
              <w:tc>
                <w:tcPr>
                  <w:tcW w:w="3600" w:type="dxa"/>
                  <w:tcBorders>
                    <w:top w:val="single" w:sz="4" w:space="0" w:color="auto"/>
                    <w:left w:val="single" w:sz="4" w:space="0" w:color="auto"/>
                    <w:bottom w:val="single" w:sz="4" w:space="0" w:color="auto"/>
                    <w:right w:val="single" w:sz="4" w:space="0" w:color="auto"/>
                  </w:tcBorders>
                </w:tcPr>
                <w:p w14:paraId="2A87966C" w14:textId="77777777" w:rsidR="00890D72" w:rsidRPr="0013396E" w:rsidRDefault="00890D72" w:rsidP="00890D72">
                  <w:pPr>
                    <w:spacing w:after="120"/>
                    <w:rPr>
                      <w:iCs/>
                      <w:sz w:val="20"/>
                    </w:rPr>
                  </w:pPr>
                  <w:r w:rsidRPr="0013396E">
                    <w:rPr>
                      <w:iCs/>
                      <w:sz w:val="20"/>
                    </w:rPr>
                    <w:t>$4,500</w:t>
                  </w:r>
                  <w:r w:rsidRPr="0013396E">
                    <w:rPr>
                      <w:sz w:val="20"/>
                    </w:rPr>
                    <w:t xml:space="preserve"> or the effective VOLL, whichever is less</w:t>
                  </w:r>
                </w:p>
              </w:tc>
            </w:tr>
          </w:tbl>
          <w:p w14:paraId="2B3EBFEC" w14:textId="77777777" w:rsidR="00890D72" w:rsidRPr="0013396E" w:rsidRDefault="00890D72" w:rsidP="00890D72">
            <w:pPr>
              <w:spacing w:before="240" w:after="240"/>
              <w:ind w:left="2160" w:hanging="720"/>
            </w:pPr>
            <w:r w:rsidRPr="0013396E">
              <w:t>(viii)</w:t>
            </w:r>
            <w:r w:rsidRPr="0013396E">
              <w:tab/>
              <w:t>For each Combined Cycle Train configuration that includes at least one SWGR that is operating in a non-ERCOT Control Area as part of a configuration with a COP Resource Status of EMRSWGR for the instructed Operating Hour at the time of a RUC instruction requiring the switching of the SWGR into the ERCOT Control Area, if the QSE for the Combined Cycle Train has submitted an Energy Offer Curve for the RUC-committed configuration, ERCOT shall create a proxy Energy Offer Curve as described below:</w:t>
            </w:r>
          </w:p>
          <w:tbl>
            <w:tblPr>
              <w:tblW w:w="6339"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9"/>
              <w:gridCol w:w="3060"/>
            </w:tblGrid>
            <w:tr w:rsidR="00890D72" w:rsidRPr="0013396E" w14:paraId="38F9ECB1" w14:textId="77777777" w:rsidTr="005B61C1">
              <w:trPr>
                <w:trHeight w:val="350"/>
              </w:trPr>
              <w:tc>
                <w:tcPr>
                  <w:tcW w:w="3279" w:type="dxa"/>
                </w:tcPr>
                <w:p w14:paraId="21558A8A" w14:textId="77777777" w:rsidR="00890D72" w:rsidRPr="0013396E" w:rsidRDefault="00890D72" w:rsidP="00890D72">
                  <w:pPr>
                    <w:spacing w:after="120"/>
                    <w:rPr>
                      <w:b/>
                      <w:iCs/>
                      <w:sz w:val="20"/>
                    </w:rPr>
                  </w:pPr>
                  <w:r w:rsidRPr="0013396E">
                    <w:rPr>
                      <w:b/>
                      <w:iCs/>
                      <w:sz w:val="20"/>
                    </w:rPr>
                    <w:t>MW</w:t>
                  </w:r>
                </w:p>
              </w:tc>
              <w:tc>
                <w:tcPr>
                  <w:tcW w:w="3060" w:type="dxa"/>
                </w:tcPr>
                <w:p w14:paraId="69B0A6BF" w14:textId="77777777" w:rsidR="00890D72" w:rsidRPr="0013396E" w:rsidRDefault="00890D72" w:rsidP="00890D72">
                  <w:pPr>
                    <w:spacing w:after="120"/>
                    <w:rPr>
                      <w:b/>
                      <w:iCs/>
                      <w:sz w:val="20"/>
                    </w:rPr>
                  </w:pPr>
                  <w:r w:rsidRPr="0013396E">
                    <w:rPr>
                      <w:b/>
                      <w:iCs/>
                      <w:sz w:val="20"/>
                    </w:rPr>
                    <w:t>Price (per MWh)</w:t>
                  </w:r>
                </w:p>
              </w:tc>
            </w:tr>
            <w:tr w:rsidR="00890D72" w:rsidRPr="0013396E" w14:paraId="748E151D" w14:textId="77777777" w:rsidTr="005B61C1">
              <w:trPr>
                <w:trHeight w:val="345"/>
              </w:trPr>
              <w:tc>
                <w:tcPr>
                  <w:tcW w:w="3279" w:type="dxa"/>
                </w:tcPr>
                <w:p w14:paraId="66FA0D14" w14:textId="77777777" w:rsidR="00890D72" w:rsidRPr="0013396E" w:rsidRDefault="00890D72" w:rsidP="00890D72">
                  <w:pPr>
                    <w:spacing w:after="60"/>
                    <w:rPr>
                      <w:iCs/>
                      <w:sz w:val="20"/>
                    </w:rPr>
                  </w:pPr>
                  <w:r w:rsidRPr="0013396E">
                    <w:rPr>
                      <w:iCs/>
                      <w:sz w:val="20"/>
                    </w:rPr>
                    <w:t>HSL of RUC-committed configuration (if more than highest MW in Energy Offer Curve)</w:t>
                  </w:r>
                </w:p>
              </w:tc>
              <w:tc>
                <w:tcPr>
                  <w:tcW w:w="3060" w:type="dxa"/>
                </w:tcPr>
                <w:p w14:paraId="21D49CBF" w14:textId="77777777" w:rsidR="00890D72" w:rsidRPr="0013396E" w:rsidRDefault="00890D72" w:rsidP="00890D72">
                  <w:pPr>
                    <w:spacing w:after="60"/>
                    <w:rPr>
                      <w:iCs/>
                      <w:sz w:val="20"/>
                    </w:rPr>
                  </w:pPr>
                  <w:r w:rsidRPr="0013396E">
                    <w:rPr>
                      <w:iCs/>
                      <w:sz w:val="20"/>
                    </w:rPr>
                    <w:t>Greater of: $4,500</w:t>
                  </w:r>
                  <w:r w:rsidRPr="0013396E">
                    <w:rPr>
                      <w:sz w:val="20"/>
                    </w:rPr>
                    <w:t xml:space="preserve"> or the effective VOLL, whichever is less; and</w:t>
                  </w:r>
                  <w:r w:rsidRPr="0013396E">
                    <w:rPr>
                      <w:iCs/>
                      <w:sz w:val="20"/>
                    </w:rPr>
                    <w:t xml:space="preserve"> the price associated with the highest MW in QSE-submitted Energy Offer Curve</w:t>
                  </w:r>
                </w:p>
              </w:tc>
            </w:tr>
            <w:tr w:rsidR="00890D72" w:rsidRPr="0013396E" w14:paraId="4BC2CA02" w14:textId="77777777" w:rsidTr="005B61C1">
              <w:trPr>
                <w:trHeight w:val="615"/>
              </w:trPr>
              <w:tc>
                <w:tcPr>
                  <w:tcW w:w="3279" w:type="dxa"/>
                </w:tcPr>
                <w:p w14:paraId="09CCEF8D" w14:textId="77777777" w:rsidR="00890D72" w:rsidRPr="0013396E" w:rsidRDefault="00890D72" w:rsidP="00890D72">
                  <w:pPr>
                    <w:spacing w:after="60"/>
                    <w:rPr>
                      <w:iCs/>
                      <w:sz w:val="20"/>
                    </w:rPr>
                  </w:pPr>
                  <w:r w:rsidRPr="0013396E">
                    <w:rPr>
                      <w:iCs/>
                      <w:sz w:val="20"/>
                    </w:rPr>
                    <w:t>Energy Offer Curve for MW at and above HSL of QSE-committed configuration</w:t>
                  </w:r>
                </w:p>
              </w:tc>
              <w:tc>
                <w:tcPr>
                  <w:tcW w:w="3060" w:type="dxa"/>
                </w:tcPr>
                <w:p w14:paraId="160EAB00" w14:textId="77777777" w:rsidR="00890D72" w:rsidRPr="0013396E" w:rsidRDefault="00890D72" w:rsidP="00890D72">
                  <w:pPr>
                    <w:spacing w:after="60"/>
                    <w:rPr>
                      <w:iCs/>
                      <w:sz w:val="20"/>
                    </w:rPr>
                  </w:pPr>
                  <w:r w:rsidRPr="0013396E">
                    <w:rPr>
                      <w:iCs/>
                      <w:sz w:val="20"/>
                    </w:rPr>
                    <w:t>Greater of: $4,500</w:t>
                  </w:r>
                  <w:r w:rsidRPr="0013396E">
                    <w:rPr>
                      <w:sz w:val="20"/>
                    </w:rPr>
                    <w:t xml:space="preserve"> or the effective VOLL, whichever is less;</w:t>
                  </w:r>
                  <w:r w:rsidRPr="0013396E">
                    <w:rPr>
                      <w:iCs/>
                      <w:sz w:val="20"/>
                    </w:rPr>
                    <w:t xml:space="preserve"> and the QSE-submitted Energy Offer Curve</w:t>
                  </w:r>
                </w:p>
              </w:tc>
            </w:tr>
            <w:tr w:rsidR="00890D72" w:rsidRPr="0013396E" w14:paraId="43494112" w14:textId="77777777" w:rsidTr="005B61C1">
              <w:trPr>
                <w:trHeight w:val="615"/>
              </w:trPr>
              <w:tc>
                <w:tcPr>
                  <w:tcW w:w="3279" w:type="dxa"/>
                </w:tcPr>
                <w:p w14:paraId="0ACC929C" w14:textId="77777777" w:rsidR="00890D72" w:rsidRPr="0013396E" w:rsidRDefault="00890D72" w:rsidP="00890D72">
                  <w:pPr>
                    <w:spacing w:after="60"/>
                    <w:rPr>
                      <w:iCs/>
                      <w:sz w:val="20"/>
                    </w:rPr>
                  </w:pPr>
                  <w:r w:rsidRPr="0013396E">
                    <w:rPr>
                      <w:iCs/>
                      <w:sz w:val="20"/>
                    </w:rPr>
                    <w:lastRenderedPageBreak/>
                    <w:t>HSL of QSE-committed configuration (if more than highest MW in Energy Offer Curve and price associated with highest MW in Energy Offer Curve is less than $4,500)</w:t>
                  </w:r>
                </w:p>
              </w:tc>
              <w:tc>
                <w:tcPr>
                  <w:tcW w:w="3060" w:type="dxa"/>
                </w:tcPr>
                <w:p w14:paraId="65212304" w14:textId="77777777" w:rsidR="00890D72" w:rsidRPr="0013396E" w:rsidRDefault="00890D72" w:rsidP="00890D72">
                  <w:pPr>
                    <w:spacing w:after="60"/>
                    <w:rPr>
                      <w:iCs/>
                      <w:sz w:val="20"/>
                    </w:rPr>
                  </w:pPr>
                  <w:r w:rsidRPr="0013396E">
                    <w:rPr>
                      <w:iCs/>
                      <w:sz w:val="20"/>
                    </w:rPr>
                    <w:t>$4,500</w:t>
                  </w:r>
                  <w:r w:rsidRPr="0013396E">
                    <w:rPr>
                      <w:sz w:val="20"/>
                    </w:rPr>
                    <w:t xml:space="preserve"> or the effective VOLL, whichever is less</w:t>
                  </w:r>
                </w:p>
              </w:tc>
            </w:tr>
            <w:tr w:rsidR="00890D72" w:rsidRPr="0013396E" w14:paraId="1A15E4C9" w14:textId="77777777" w:rsidTr="005B61C1">
              <w:trPr>
                <w:trHeight w:val="368"/>
              </w:trPr>
              <w:tc>
                <w:tcPr>
                  <w:tcW w:w="3279" w:type="dxa"/>
                </w:tcPr>
                <w:p w14:paraId="6C52299A" w14:textId="77777777" w:rsidR="00890D72" w:rsidRPr="0013396E" w:rsidRDefault="00890D72" w:rsidP="00890D72">
                  <w:pPr>
                    <w:spacing w:after="60"/>
                    <w:rPr>
                      <w:iCs/>
                      <w:sz w:val="20"/>
                    </w:rPr>
                  </w:pPr>
                  <w:r w:rsidRPr="0013396E">
                    <w:rPr>
                      <w:iCs/>
                      <w:sz w:val="20"/>
                    </w:rPr>
                    <w:t>HSL of QSE-committed configuration (if more than highest MW in Energy Offer Curve)</w:t>
                  </w:r>
                </w:p>
              </w:tc>
              <w:tc>
                <w:tcPr>
                  <w:tcW w:w="3060" w:type="dxa"/>
                </w:tcPr>
                <w:p w14:paraId="2712DF86" w14:textId="77777777" w:rsidR="00890D72" w:rsidRPr="0013396E" w:rsidRDefault="00890D72" w:rsidP="00890D72">
                  <w:pPr>
                    <w:spacing w:after="60"/>
                    <w:rPr>
                      <w:iCs/>
                      <w:sz w:val="20"/>
                    </w:rPr>
                  </w:pPr>
                  <w:r w:rsidRPr="0013396E">
                    <w:rPr>
                      <w:iCs/>
                      <w:sz w:val="20"/>
                    </w:rPr>
                    <w:t>Price associated with the highest MW in QSE-submitted Energy Offer Curve</w:t>
                  </w:r>
                </w:p>
              </w:tc>
            </w:tr>
            <w:tr w:rsidR="00890D72" w:rsidRPr="0013396E" w14:paraId="193C98BB" w14:textId="77777777" w:rsidTr="005B61C1">
              <w:trPr>
                <w:trHeight w:val="773"/>
              </w:trPr>
              <w:tc>
                <w:tcPr>
                  <w:tcW w:w="3279" w:type="dxa"/>
                </w:tcPr>
                <w:p w14:paraId="54F6A2F9" w14:textId="77777777" w:rsidR="00890D72" w:rsidRPr="0013396E" w:rsidRDefault="00890D72" w:rsidP="00890D72">
                  <w:pPr>
                    <w:spacing w:after="60"/>
                    <w:rPr>
                      <w:iCs/>
                      <w:sz w:val="20"/>
                    </w:rPr>
                  </w:pPr>
                  <w:r w:rsidRPr="0013396E">
                    <w:rPr>
                      <w:iCs/>
                      <w:sz w:val="20"/>
                    </w:rPr>
                    <w:t>Energy Offer Curve for MW at and below HSL of QSE-committed configuration</w:t>
                  </w:r>
                </w:p>
              </w:tc>
              <w:tc>
                <w:tcPr>
                  <w:tcW w:w="3060" w:type="dxa"/>
                </w:tcPr>
                <w:p w14:paraId="14D70DE4" w14:textId="77777777" w:rsidR="00890D72" w:rsidRPr="0013396E" w:rsidRDefault="00890D72" w:rsidP="00890D72">
                  <w:pPr>
                    <w:spacing w:after="60"/>
                    <w:rPr>
                      <w:iCs/>
                      <w:sz w:val="20"/>
                    </w:rPr>
                  </w:pPr>
                  <w:r w:rsidRPr="0013396E">
                    <w:rPr>
                      <w:iCs/>
                      <w:sz w:val="20"/>
                    </w:rPr>
                    <w:t>The QSE-submitted Energy Offer Curve</w:t>
                  </w:r>
                </w:p>
              </w:tc>
            </w:tr>
            <w:tr w:rsidR="00890D72" w:rsidRPr="0013396E" w14:paraId="468513FA" w14:textId="77777777" w:rsidTr="005B61C1">
              <w:trPr>
                <w:trHeight w:val="503"/>
              </w:trPr>
              <w:tc>
                <w:tcPr>
                  <w:tcW w:w="3279" w:type="dxa"/>
                </w:tcPr>
                <w:p w14:paraId="44BBFA8D" w14:textId="77777777" w:rsidR="00890D72" w:rsidRPr="0013396E" w:rsidRDefault="00890D72" w:rsidP="00890D72">
                  <w:pPr>
                    <w:spacing w:after="60"/>
                    <w:rPr>
                      <w:iCs/>
                      <w:sz w:val="20"/>
                    </w:rPr>
                  </w:pPr>
                  <w:r w:rsidRPr="0013396E">
                    <w:rPr>
                      <w:iCs/>
                      <w:sz w:val="20"/>
                    </w:rPr>
                    <w:t>1 MW below lowest MW in Energy Offer Curve (if more than LSL)</w:t>
                  </w:r>
                </w:p>
              </w:tc>
              <w:tc>
                <w:tcPr>
                  <w:tcW w:w="3060" w:type="dxa"/>
                </w:tcPr>
                <w:p w14:paraId="7A87CB09" w14:textId="77777777" w:rsidR="00890D72" w:rsidRPr="0013396E" w:rsidRDefault="00890D72" w:rsidP="00890D72">
                  <w:pPr>
                    <w:spacing w:after="60"/>
                    <w:rPr>
                      <w:iCs/>
                      <w:sz w:val="20"/>
                    </w:rPr>
                  </w:pPr>
                  <w:r w:rsidRPr="0013396E">
                    <w:rPr>
                      <w:iCs/>
                      <w:sz w:val="20"/>
                    </w:rPr>
                    <w:t>-$249.99</w:t>
                  </w:r>
                </w:p>
              </w:tc>
            </w:tr>
            <w:tr w:rsidR="00890D72" w:rsidRPr="0013396E" w14:paraId="3203DBD7" w14:textId="77777777" w:rsidTr="005B61C1">
              <w:trPr>
                <w:trHeight w:val="467"/>
              </w:trPr>
              <w:tc>
                <w:tcPr>
                  <w:tcW w:w="3279" w:type="dxa"/>
                </w:tcPr>
                <w:p w14:paraId="7A5C3376" w14:textId="77777777" w:rsidR="00890D72" w:rsidRPr="0013396E" w:rsidRDefault="00890D72" w:rsidP="00890D72">
                  <w:pPr>
                    <w:spacing w:after="60"/>
                    <w:rPr>
                      <w:iCs/>
                      <w:sz w:val="20"/>
                    </w:rPr>
                  </w:pPr>
                  <w:r w:rsidRPr="0013396E">
                    <w:rPr>
                      <w:iCs/>
                      <w:sz w:val="20"/>
                    </w:rPr>
                    <w:t>LSL (if less than lowest MW in Energy Offer Curve)</w:t>
                  </w:r>
                </w:p>
              </w:tc>
              <w:tc>
                <w:tcPr>
                  <w:tcW w:w="3060" w:type="dxa"/>
                </w:tcPr>
                <w:p w14:paraId="3E2F274F" w14:textId="77777777" w:rsidR="00890D72" w:rsidRPr="0013396E" w:rsidRDefault="00890D72" w:rsidP="00890D72">
                  <w:pPr>
                    <w:spacing w:after="60"/>
                    <w:rPr>
                      <w:iCs/>
                      <w:sz w:val="20"/>
                    </w:rPr>
                  </w:pPr>
                  <w:r w:rsidRPr="0013396E">
                    <w:rPr>
                      <w:iCs/>
                      <w:sz w:val="20"/>
                    </w:rPr>
                    <w:t>-$250.00</w:t>
                  </w:r>
                </w:p>
              </w:tc>
            </w:tr>
          </w:tbl>
          <w:p w14:paraId="090C038E" w14:textId="77777777" w:rsidR="00890D72" w:rsidRPr="0013396E" w:rsidRDefault="00890D72" w:rsidP="00890D72">
            <w:pPr>
              <w:spacing w:after="240"/>
              <w:ind w:left="2160" w:hanging="720"/>
            </w:pPr>
          </w:p>
        </w:tc>
      </w:tr>
    </w:tbl>
    <w:p w14:paraId="193716A2" w14:textId="0AA934C7" w:rsidR="00540BAB" w:rsidRPr="0013396E" w:rsidRDefault="00540BAB" w:rsidP="00540BAB">
      <w:pPr>
        <w:spacing w:before="240" w:after="240"/>
        <w:ind w:left="720" w:hanging="720"/>
      </w:pPr>
      <w:r w:rsidRPr="0013396E">
        <w:lastRenderedPageBreak/>
        <w:t>(5)</w:t>
      </w:r>
      <w:r w:rsidRPr="0013396E">
        <w:tab/>
        <w:t>For use as SCED inputs for determining energy dispatch and Ancillary Service awards, ERCOT shall use the available Ancillary Service MW capacity of all Resources by creating a proxy Ancillary Service Offer for qualified Resources as follows:</w:t>
      </w:r>
    </w:p>
    <w:p w14:paraId="716BFFBE" w14:textId="77777777" w:rsidR="00540BAB" w:rsidRPr="0013396E" w:rsidRDefault="00540BAB" w:rsidP="00540BAB">
      <w:pPr>
        <w:spacing w:after="240"/>
        <w:ind w:left="1440" w:hanging="720"/>
      </w:pPr>
      <w:r w:rsidRPr="0013396E">
        <w:t>(a)</w:t>
      </w:r>
      <w:r w:rsidRPr="0013396E">
        <w:tab/>
        <w:t>The proxy Ancillary Service Offer shall be a linked Ancillary Service Offer across all Ancillary Service products for which a Resource is qualified to provide.  For Generation Resources, the proxy Ancillary Service Offer MW shall be equal to the Resource’s telemetered HSL.  For ESRs, the proxy Ancillary Service Offer MW shall be equal to the difference between the Resource’s telemetered HSL and LSL.  For Load Resources, the proxy Ancillary Service Offer MW shall be equal to the Resource’s telemetered Maximum Power Consumption (MPC).</w:t>
      </w:r>
    </w:p>
    <w:p w14:paraId="573F1362" w14:textId="77777777" w:rsidR="00540BAB" w:rsidRPr="0013396E" w:rsidRDefault="00540BAB" w:rsidP="00540BAB">
      <w:pPr>
        <w:spacing w:after="240"/>
        <w:ind w:left="1440" w:hanging="720"/>
      </w:pPr>
      <w:r w:rsidRPr="0013396E">
        <w:t>(b)</w:t>
      </w:r>
      <w:r w:rsidRPr="0013396E">
        <w:tab/>
        <w:t>For Resources that are not RUC-committed, the price in the proxy Ancillary Service Offer shall be set to:</w:t>
      </w:r>
    </w:p>
    <w:p w14:paraId="29D77E14" w14:textId="77777777" w:rsidR="00540BAB" w:rsidRPr="0013396E" w:rsidRDefault="00540BAB" w:rsidP="00540BAB">
      <w:pPr>
        <w:spacing w:after="240"/>
        <w:ind w:left="2160" w:hanging="720"/>
      </w:pPr>
      <w:r w:rsidRPr="0013396E">
        <w:t>(i)</w:t>
      </w:r>
      <w:r w:rsidRPr="0013396E">
        <w:tab/>
        <w:t>For Reg-Up and RRS, the maximum of:</w:t>
      </w:r>
    </w:p>
    <w:p w14:paraId="4B0C992F" w14:textId="77777777" w:rsidR="00540BAB" w:rsidRPr="0013396E" w:rsidRDefault="00540BAB" w:rsidP="00540BAB">
      <w:pPr>
        <w:spacing w:after="240"/>
        <w:ind w:left="2880" w:hanging="720"/>
      </w:pPr>
      <w:r w:rsidRPr="0013396E">
        <w:t>(A)</w:t>
      </w:r>
      <w:r w:rsidRPr="0013396E">
        <w:tab/>
        <w:t>The proxy Ancillary Service Offer price floor for Reg-Up or RRS, respectively;</w:t>
      </w:r>
    </w:p>
    <w:p w14:paraId="3D5D8AB3" w14:textId="77777777" w:rsidR="00540BAB" w:rsidRPr="0013396E" w:rsidRDefault="00540BAB" w:rsidP="00540BAB">
      <w:pPr>
        <w:spacing w:after="240"/>
        <w:ind w:left="2880" w:hanging="720"/>
      </w:pPr>
      <w:r w:rsidRPr="0013396E">
        <w:t>(B)</w:t>
      </w:r>
      <w:r w:rsidRPr="0013396E">
        <w:tab/>
        <w:t>The Resource’s highest submitted Ancillary Service Offer price for Reg-Up or RRS, respectively;</w:t>
      </w:r>
    </w:p>
    <w:p w14:paraId="489EBAB6" w14:textId="77777777" w:rsidR="00540BAB" w:rsidRPr="0013396E" w:rsidRDefault="00540BAB" w:rsidP="00540BAB">
      <w:pPr>
        <w:spacing w:after="240"/>
        <w:ind w:left="2880" w:hanging="720"/>
      </w:pPr>
      <w:r w:rsidRPr="0013396E">
        <w:t>(C)</w:t>
      </w:r>
      <w:r w:rsidRPr="0013396E">
        <w:tab/>
        <w:t>The Resource’s highest Ancillary Service Offer price for ECRS (submitted or proxy); or</w:t>
      </w:r>
    </w:p>
    <w:p w14:paraId="0C6DAF1D" w14:textId="77777777" w:rsidR="00540BAB" w:rsidRPr="0013396E" w:rsidRDefault="00540BAB" w:rsidP="00540BAB">
      <w:pPr>
        <w:spacing w:after="240"/>
        <w:ind w:left="2880" w:hanging="720"/>
      </w:pPr>
      <w:r w:rsidRPr="0013396E">
        <w:t>(D)</w:t>
      </w:r>
      <w:r w:rsidRPr="0013396E">
        <w:tab/>
        <w:t>The Resource’s highest Ancillary Service Offer price for Non-Spin (submitted or proxy).</w:t>
      </w:r>
    </w:p>
    <w:p w14:paraId="66E39A97" w14:textId="77777777" w:rsidR="00540BAB" w:rsidRPr="0013396E" w:rsidRDefault="00540BAB" w:rsidP="00540BAB">
      <w:pPr>
        <w:spacing w:after="240"/>
        <w:ind w:left="2160" w:hanging="720"/>
      </w:pPr>
      <w:r w:rsidRPr="0013396E">
        <w:t>(ii)</w:t>
      </w:r>
      <w:r w:rsidRPr="0013396E">
        <w:tab/>
        <w:t xml:space="preserve">For ECRS, the maximum of: </w:t>
      </w:r>
    </w:p>
    <w:p w14:paraId="44AE6F64" w14:textId="77777777" w:rsidR="00540BAB" w:rsidRPr="0013396E" w:rsidRDefault="00540BAB" w:rsidP="00540BAB">
      <w:pPr>
        <w:spacing w:after="240"/>
        <w:ind w:left="2880" w:hanging="720"/>
      </w:pPr>
      <w:r w:rsidRPr="0013396E">
        <w:t>(A)</w:t>
      </w:r>
      <w:r w:rsidRPr="0013396E">
        <w:tab/>
        <w:t xml:space="preserve">The proxy Ancillary Service Offer price floor for ECRS; </w:t>
      </w:r>
    </w:p>
    <w:p w14:paraId="72F435AD" w14:textId="77777777" w:rsidR="00540BAB" w:rsidRPr="0013396E" w:rsidRDefault="00540BAB" w:rsidP="00540BAB">
      <w:pPr>
        <w:spacing w:after="240"/>
        <w:ind w:left="2880" w:hanging="720"/>
      </w:pPr>
      <w:r w:rsidRPr="0013396E">
        <w:lastRenderedPageBreak/>
        <w:t>(B)</w:t>
      </w:r>
      <w:r w:rsidRPr="0013396E">
        <w:tab/>
        <w:t>The Resource’s highest submitted Ancillary Service Offer price for ECRS; or</w:t>
      </w:r>
    </w:p>
    <w:p w14:paraId="1DBC32B3" w14:textId="77777777" w:rsidR="00540BAB" w:rsidRPr="0013396E" w:rsidRDefault="00540BAB" w:rsidP="00540BAB">
      <w:pPr>
        <w:spacing w:after="240"/>
        <w:ind w:left="2880" w:hanging="720"/>
      </w:pPr>
      <w:r w:rsidRPr="0013396E">
        <w:t>(C)</w:t>
      </w:r>
      <w:r w:rsidRPr="0013396E">
        <w:tab/>
        <w:t>The Resource’s highest Ancillary Service Offer price for Non-Spin (submitted or proxy).</w:t>
      </w:r>
    </w:p>
    <w:p w14:paraId="57F1B273" w14:textId="77777777" w:rsidR="00540BAB" w:rsidRPr="0013396E" w:rsidRDefault="00540BAB" w:rsidP="00540BAB">
      <w:pPr>
        <w:spacing w:after="240"/>
        <w:ind w:left="2160" w:hanging="720"/>
      </w:pPr>
      <w:r w:rsidRPr="0013396E">
        <w:t>(iii)</w:t>
      </w:r>
      <w:r w:rsidRPr="0013396E">
        <w:tab/>
        <w:t xml:space="preserve">For Non-Spin, the maximum of: </w:t>
      </w:r>
    </w:p>
    <w:p w14:paraId="6E57D32C" w14:textId="77777777" w:rsidR="00540BAB" w:rsidRPr="0013396E" w:rsidRDefault="00540BAB" w:rsidP="00540BAB">
      <w:pPr>
        <w:spacing w:after="240"/>
        <w:ind w:left="2880" w:hanging="720"/>
      </w:pPr>
      <w:r w:rsidRPr="0013396E">
        <w:t>(A)</w:t>
      </w:r>
      <w:r w:rsidRPr="0013396E">
        <w:tab/>
        <w:t>The proxy Ancillary Service Offer price floor for Non-Spin; or</w:t>
      </w:r>
    </w:p>
    <w:p w14:paraId="3A4D2051" w14:textId="77777777" w:rsidR="00540BAB" w:rsidRPr="0013396E" w:rsidRDefault="00540BAB" w:rsidP="00540BAB">
      <w:pPr>
        <w:spacing w:after="240"/>
        <w:ind w:left="2880" w:hanging="720"/>
      </w:pPr>
      <w:r w:rsidRPr="0013396E">
        <w:t>(B)</w:t>
      </w:r>
      <w:r w:rsidRPr="0013396E">
        <w:tab/>
        <w:t>The Resource’s highest submitted Ancillary Service Offer price for Non-Spin.</w:t>
      </w:r>
    </w:p>
    <w:p w14:paraId="3BDD9B78" w14:textId="77777777" w:rsidR="00540BAB" w:rsidRPr="0013396E" w:rsidRDefault="00540BAB" w:rsidP="00540BAB">
      <w:pPr>
        <w:spacing w:after="240"/>
        <w:ind w:left="2160" w:hanging="720"/>
      </w:pPr>
      <w:r w:rsidRPr="0013396E">
        <w:t>(iv)</w:t>
      </w:r>
      <w:r w:rsidRPr="0013396E">
        <w:tab/>
        <w:t>For Reg-Down, the maximum of:</w:t>
      </w:r>
    </w:p>
    <w:p w14:paraId="3FA20E7B" w14:textId="77777777" w:rsidR="00540BAB" w:rsidRPr="0013396E" w:rsidRDefault="00540BAB" w:rsidP="00540BAB">
      <w:pPr>
        <w:spacing w:after="240"/>
        <w:ind w:left="2880" w:hanging="720"/>
      </w:pPr>
      <w:r w:rsidRPr="0013396E">
        <w:t>(A)</w:t>
      </w:r>
      <w:r w:rsidRPr="0013396E">
        <w:tab/>
        <w:t>The proxy Ancillary Service Offer price floor for Reg-Down; or</w:t>
      </w:r>
    </w:p>
    <w:p w14:paraId="47124DE3" w14:textId="77777777" w:rsidR="00540BAB" w:rsidRPr="0013396E" w:rsidRDefault="00540BAB" w:rsidP="00540BAB">
      <w:pPr>
        <w:spacing w:after="240"/>
        <w:ind w:left="2880" w:hanging="720"/>
      </w:pPr>
      <w:r w:rsidRPr="0013396E">
        <w:t>(B)</w:t>
      </w:r>
      <w:r w:rsidRPr="0013396E">
        <w:tab/>
        <w:t>The Resource’s highest submitted Ancillary Service Offer price for Reg-Down.</w:t>
      </w:r>
    </w:p>
    <w:p w14:paraId="2442E910" w14:textId="77777777" w:rsidR="00540BAB" w:rsidRPr="0013396E" w:rsidRDefault="00540BAB" w:rsidP="00540BAB">
      <w:pPr>
        <w:spacing w:after="240"/>
        <w:ind w:left="1440" w:hanging="720"/>
      </w:pPr>
      <w:r w:rsidRPr="0013396E">
        <w:t>(c)</w:t>
      </w:r>
      <w:r w:rsidRPr="0013396E">
        <w:tab/>
        <w:t>The proxy Ancillary Service Offer price floors for each SCED-interval shall be derived from the effective ASDCs and Ancillary Service Plan using the following logic:</w:t>
      </w:r>
    </w:p>
    <w:p w14:paraId="35F3DE5C" w14:textId="77777777" w:rsidR="00540BAB" w:rsidRPr="0013396E" w:rsidRDefault="00540BAB" w:rsidP="00540BAB">
      <w:pPr>
        <w:spacing w:after="240"/>
        <w:ind w:left="2144" w:hanging="720"/>
      </w:pPr>
      <w:r w:rsidRPr="0013396E">
        <w:t>(i)        The proxy Ancillary Service Offer price floor for Reg-Up is equal to the lesser of the values below minus $0.01 per MW per hour:</w:t>
      </w:r>
    </w:p>
    <w:p w14:paraId="67A63733" w14:textId="77777777" w:rsidR="00540BAB" w:rsidRPr="0013396E" w:rsidRDefault="00540BAB" w:rsidP="00540BAB">
      <w:pPr>
        <w:spacing w:after="240"/>
        <w:ind w:left="2864" w:hanging="720"/>
      </w:pPr>
      <w:r w:rsidRPr="0013396E">
        <w:t xml:space="preserve">(A)      $2,000 per MW per hour; or  </w:t>
      </w:r>
    </w:p>
    <w:p w14:paraId="6EA0A02D" w14:textId="77777777" w:rsidR="00540BAB" w:rsidRPr="0013396E" w:rsidRDefault="00540BAB" w:rsidP="00540BAB">
      <w:pPr>
        <w:spacing w:after="240"/>
        <w:ind w:left="2864" w:hanging="720"/>
      </w:pPr>
      <w:r w:rsidRPr="0013396E">
        <w:t>(B)      The point on the ASDC for Reg-Up that intersects with a quantity that is 95% of the Ancillary Service Plan for Reg-Up.</w:t>
      </w:r>
    </w:p>
    <w:p w14:paraId="232DD9D5" w14:textId="77777777" w:rsidR="00540BAB" w:rsidRPr="0013396E" w:rsidRDefault="00540BAB" w:rsidP="00540BAB">
      <w:pPr>
        <w:spacing w:after="240"/>
        <w:ind w:left="2144" w:hanging="720"/>
      </w:pPr>
      <w:r w:rsidRPr="0013396E">
        <w:t>(ii)       The proxy Ancillary Service Offer price floor for RRS is equal to the lesser of the values below minus $0.01 per MW per hour:</w:t>
      </w:r>
    </w:p>
    <w:p w14:paraId="310A810B" w14:textId="77777777" w:rsidR="00540BAB" w:rsidRPr="0013396E" w:rsidRDefault="00540BAB" w:rsidP="00540BAB">
      <w:pPr>
        <w:spacing w:after="240"/>
        <w:ind w:left="2864" w:hanging="720"/>
      </w:pPr>
      <w:r w:rsidRPr="0013396E">
        <w:t xml:space="preserve">(A)      $2,000 per MW per hour; or  </w:t>
      </w:r>
    </w:p>
    <w:p w14:paraId="7B055377" w14:textId="77777777" w:rsidR="00540BAB" w:rsidRPr="0013396E" w:rsidRDefault="00540BAB" w:rsidP="00540BAB">
      <w:pPr>
        <w:spacing w:after="240"/>
        <w:ind w:left="2864" w:hanging="720"/>
      </w:pPr>
      <w:r w:rsidRPr="0013396E">
        <w:t>(B)      The point on the ASDC for RRS that intersects with a quantity that is 95% of the Ancillary Service Plan for RRS.</w:t>
      </w:r>
    </w:p>
    <w:p w14:paraId="165FFF95" w14:textId="77777777" w:rsidR="00540BAB" w:rsidRPr="0013396E" w:rsidRDefault="00540BAB" w:rsidP="00540BAB">
      <w:pPr>
        <w:spacing w:after="240"/>
        <w:ind w:left="2144" w:hanging="720"/>
      </w:pPr>
      <w:r w:rsidRPr="0013396E">
        <w:t>(iii)      The proxy Ancillary Service Offer price floor for ECRS is equal to the lesser of the values below minus $0.01 per MW per hour:</w:t>
      </w:r>
    </w:p>
    <w:p w14:paraId="7BDCBAA3" w14:textId="77777777" w:rsidR="00540BAB" w:rsidRPr="0013396E" w:rsidRDefault="00540BAB" w:rsidP="00540BAB">
      <w:pPr>
        <w:spacing w:after="240"/>
        <w:ind w:left="2864" w:hanging="720"/>
      </w:pPr>
      <w:r w:rsidRPr="0013396E">
        <w:t xml:space="preserve">(A)      $2,000 per MW per hour; or  </w:t>
      </w:r>
    </w:p>
    <w:p w14:paraId="5DF0F24E" w14:textId="77777777" w:rsidR="00540BAB" w:rsidRPr="0013396E" w:rsidRDefault="00540BAB" w:rsidP="00540BAB">
      <w:pPr>
        <w:spacing w:after="240"/>
        <w:ind w:left="2864" w:hanging="720"/>
      </w:pPr>
      <w:r w:rsidRPr="0013396E">
        <w:t>(B)      The point on the ASDC for ECRS that intersects with a quantity that is 95% of the Ancillary Service Plan for ECRS.</w:t>
      </w:r>
    </w:p>
    <w:p w14:paraId="7F8C742C" w14:textId="77777777" w:rsidR="00540BAB" w:rsidRPr="0013396E" w:rsidRDefault="00540BAB" w:rsidP="00540BAB">
      <w:pPr>
        <w:spacing w:after="240"/>
        <w:ind w:left="2144" w:hanging="720"/>
      </w:pPr>
      <w:r w:rsidRPr="0013396E">
        <w:lastRenderedPageBreak/>
        <w:t>(iv)      The proxy Ancillary Service Offer price floor for Non-Spin is equal to the lesser of the values below minus $0.01 per MW per hour:</w:t>
      </w:r>
    </w:p>
    <w:p w14:paraId="4A51B405" w14:textId="77777777" w:rsidR="00540BAB" w:rsidRPr="0013396E" w:rsidRDefault="00540BAB" w:rsidP="00540BAB">
      <w:pPr>
        <w:spacing w:after="240"/>
        <w:ind w:left="2864" w:hanging="720"/>
      </w:pPr>
      <w:r w:rsidRPr="0013396E">
        <w:t xml:space="preserve">(A)      $2,000 per MW per hour; or  </w:t>
      </w:r>
    </w:p>
    <w:p w14:paraId="3B73FD5B" w14:textId="77777777" w:rsidR="00540BAB" w:rsidRPr="0013396E" w:rsidRDefault="00540BAB" w:rsidP="00540BAB">
      <w:pPr>
        <w:spacing w:after="240"/>
        <w:ind w:left="2864" w:hanging="720"/>
      </w:pPr>
      <w:r w:rsidRPr="0013396E">
        <w:t>(B)      The point on the ASDC for Non-Spin that intersects with a quantity that is 95% of the Ancillary Service Plan for Non-Spin.</w:t>
      </w:r>
    </w:p>
    <w:p w14:paraId="6BCB6838" w14:textId="77777777" w:rsidR="00540BAB" w:rsidRPr="0013396E" w:rsidRDefault="00540BAB" w:rsidP="00540BAB">
      <w:pPr>
        <w:spacing w:after="240"/>
        <w:ind w:left="2144" w:hanging="720"/>
      </w:pPr>
      <w:r w:rsidRPr="0013396E">
        <w:t>(v)       The proxy Ancillary Service Offer price floor for Reg-Down is equal to the lesser of the values below minus $0.01 per MW per hour:</w:t>
      </w:r>
    </w:p>
    <w:p w14:paraId="756A1637" w14:textId="77777777" w:rsidR="00540BAB" w:rsidRPr="0013396E" w:rsidRDefault="00540BAB" w:rsidP="00540BAB">
      <w:pPr>
        <w:spacing w:after="240"/>
        <w:ind w:left="2864" w:hanging="720"/>
      </w:pPr>
      <w:r w:rsidRPr="0013396E">
        <w:t xml:space="preserve">(A)      $2,000 per MW per hour; or  </w:t>
      </w:r>
    </w:p>
    <w:p w14:paraId="01E32F26" w14:textId="77777777" w:rsidR="00540BAB" w:rsidRPr="0013396E" w:rsidRDefault="00540BAB" w:rsidP="00540BAB">
      <w:pPr>
        <w:spacing w:after="240"/>
        <w:ind w:left="2864" w:hanging="720"/>
      </w:pPr>
      <w:r w:rsidRPr="0013396E">
        <w:t>(B)      The point on the ASDC for Reg-Down that intersects with a quantity that is 95% of the Ancillary Service Plan for Reg-Down.</w:t>
      </w:r>
    </w:p>
    <w:p w14:paraId="03947F54" w14:textId="77777777" w:rsidR="00540BAB" w:rsidRPr="0013396E" w:rsidRDefault="00540BAB" w:rsidP="00540BAB">
      <w:pPr>
        <w:spacing w:after="240"/>
        <w:ind w:left="1440" w:hanging="720"/>
      </w:pPr>
      <w:r w:rsidRPr="0013396E">
        <w:t>(d)</w:t>
      </w:r>
      <w:r w:rsidRPr="0013396E">
        <w:tab/>
        <w:t xml:space="preserve">ERCOT systems shall be designed to allow for proxy Ancillary Service Offer price floors to differ when the same Ancillary Service product can be provided by either On-Line or Off-Line Resources, and/or an Ancillary Service product has sub-types.  </w:t>
      </w:r>
    </w:p>
    <w:p w14:paraId="72E567AC" w14:textId="77777777" w:rsidR="00540BAB" w:rsidRPr="0013396E" w:rsidRDefault="00540BAB" w:rsidP="00540BAB">
      <w:pPr>
        <w:spacing w:after="240"/>
        <w:ind w:left="1440" w:hanging="720"/>
      </w:pPr>
      <w:r w:rsidRPr="0013396E">
        <w:t>(e)</w:t>
      </w:r>
      <w:r w:rsidRPr="0013396E">
        <w:tab/>
        <w:t>For RUC-committed Resources:</w:t>
      </w:r>
    </w:p>
    <w:p w14:paraId="65C71E1E" w14:textId="77777777" w:rsidR="00540BAB" w:rsidRPr="0013396E" w:rsidRDefault="00540BAB" w:rsidP="00540BAB">
      <w:pPr>
        <w:spacing w:after="240"/>
        <w:ind w:left="2160" w:hanging="720"/>
      </w:pPr>
      <w:r w:rsidRPr="0013396E">
        <w:t>(i)</w:t>
      </w:r>
      <w:r w:rsidRPr="0013396E">
        <w:tab/>
        <w:t>If a RUC-committed Resource does not have an Ancillary Service Offer for an Ancillary Service product that the Resource is qualified to provide, ERCOT shall create an Ancillary Service Offer for that Ancillary Service product at a value of $250 per MWh for the full operating range of the Resource up to its telemetered HSL.</w:t>
      </w:r>
    </w:p>
    <w:p w14:paraId="22DB6481" w14:textId="77777777" w:rsidR="00540BAB" w:rsidRPr="0013396E" w:rsidRDefault="00540BAB" w:rsidP="00540BAB">
      <w:pPr>
        <w:spacing w:after="240"/>
        <w:ind w:left="2160" w:hanging="720"/>
      </w:pPr>
      <w:r w:rsidRPr="0013396E">
        <w:t>(ii)</w:t>
      </w:r>
      <w:r w:rsidRPr="0013396E">
        <w:tab/>
        <w:t>For each Ancillary Service product for which a RUC-committed Resource has an Ancillary Service Offer, the Ancillary Service Offer used by SCED for that Ancillary Service product across the full operating range of the Resource</w:t>
      </w:r>
      <w:r w:rsidRPr="0013396E" w:rsidDel="00CE2E44">
        <w:t xml:space="preserve"> </w:t>
      </w:r>
      <w:r w:rsidRPr="0013396E">
        <w:t xml:space="preserve">up to its telemetered HSL shall be the maximum of: </w:t>
      </w:r>
    </w:p>
    <w:p w14:paraId="55AB6927" w14:textId="77777777" w:rsidR="00540BAB" w:rsidRPr="0013396E" w:rsidRDefault="00540BAB" w:rsidP="00540BAB">
      <w:pPr>
        <w:spacing w:after="240"/>
        <w:ind w:left="2880" w:hanging="720"/>
      </w:pPr>
      <w:r w:rsidRPr="0013396E">
        <w:t>(A)</w:t>
      </w:r>
      <w:r w:rsidRPr="0013396E">
        <w:tab/>
        <w:t xml:space="preserve">The Resource’s highest submitted Ancillary Service Offer price; or </w:t>
      </w:r>
    </w:p>
    <w:p w14:paraId="2BEDD12A" w14:textId="77777777" w:rsidR="00540BAB" w:rsidRPr="0013396E" w:rsidRDefault="00540BAB" w:rsidP="00540BAB">
      <w:pPr>
        <w:spacing w:after="240"/>
        <w:ind w:left="2880" w:hanging="720"/>
      </w:pPr>
      <w:r w:rsidRPr="0013396E">
        <w:t>(B)</w:t>
      </w:r>
      <w:r w:rsidRPr="0013396E">
        <w:tab/>
        <w:t>$250 per MWh.</w:t>
      </w:r>
    </w:p>
    <w:p w14:paraId="5D7E037C" w14:textId="77777777" w:rsidR="00540BAB" w:rsidRPr="0013396E" w:rsidRDefault="00540BAB" w:rsidP="00540BAB">
      <w:pPr>
        <w:spacing w:before="240" w:after="240"/>
        <w:ind w:left="720" w:hanging="720"/>
      </w:pPr>
      <w:r w:rsidRPr="0013396E">
        <w:t>(6)</w:t>
      </w:r>
      <w:r w:rsidRPr="0013396E">
        <w:tab/>
        <w:t xml:space="preserve">For use as SCED inputs for determining energy Dispatch and Ancillary Service awards, ERCOT shall use the available capacity of all On-Line ESRs by creating proxy Energy Bid/Offer Curves for certain Resources as follows: </w:t>
      </w:r>
    </w:p>
    <w:p w14:paraId="465893F9" w14:textId="77777777" w:rsidR="00540BAB" w:rsidRPr="0013396E" w:rsidRDefault="00540BAB" w:rsidP="00540BAB">
      <w:pPr>
        <w:spacing w:before="240" w:after="240"/>
        <w:ind w:left="1440" w:hanging="720"/>
      </w:pPr>
      <w:r w:rsidRPr="0013396E">
        <w:t>(a)</w:t>
      </w:r>
      <w:r w:rsidRPr="0013396E">
        <w:tab/>
        <w:t xml:space="preserve">For each ESR for which its QSE has submitted an Energy Bid/Offer Curve that does not cover the full offer range (LSL to HSL) of the Resource’s available capacity, ERCOT shall create a proxy Energy Bid/Offer Curve that extends the submitted Energy Bid/Offer Curve to use the entire available capacity of the Resource above the highest MW point on the Energy Bid/Offer Curve to the </w:t>
      </w:r>
      <w:r w:rsidRPr="0013396E">
        <w:lastRenderedPageBreak/>
        <w:t>Resource’s HSL and from the lowest MW point on the Energy Bid/Offer Curve to LSL, using these prices for the corresponding MW segments: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1"/>
        <w:gridCol w:w="2619"/>
        <w:gridCol w:w="2620"/>
      </w:tblGrid>
      <w:tr w:rsidR="00540BAB" w:rsidRPr="0013396E" w14:paraId="00761B66" w14:textId="77777777" w:rsidTr="005B61C1">
        <w:trPr>
          <w:jc w:val="center"/>
        </w:trPr>
        <w:tc>
          <w:tcPr>
            <w:tcW w:w="3871" w:type="dxa"/>
            <w:tcBorders>
              <w:top w:val="single" w:sz="4" w:space="0" w:color="auto"/>
              <w:left w:val="single" w:sz="4" w:space="0" w:color="auto"/>
              <w:bottom w:val="single" w:sz="4" w:space="0" w:color="auto"/>
              <w:right w:val="single" w:sz="4" w:space="0" w:color="auto"/>
            </w:tcBorders>
            <w:hideMark/>
          </w:tcPr>
          <w:p w14:paraId="4F318ED3" w14:textId="77777777" w:rsidR="00540BAB" w:rsidRPr="0013396E" w:rsidRDefault="00540BAB" w:rsidP="005B61C1">
            <w:pPr>
              <w:spacing w:after="120"/>
              <w:rPr>
                <w:b/>
                <w:iCs/>
                <w:sz w:val="20"/>
              </w:rPr>
            </w:pPr>
            <w:r w:rsidRPr="0013396E">
              <w:rPr>
                <w:b/>
                <w:iCs/>
                <w:sz w:val="20"/>
              </w:rPr>
              <w:t>Scenario</w:t>
            </w:r>
          </w:p>
        </w:tc>
        <w:tc>
          <w:tcPr>
            <w:tcW w:w="2619" w:type="dxa"/>
            <w:tcBorders>
              <w:top w:val="single" w:sz="4" w:space="0" w:color="auto"/>
              <w:left w:val="single" w:sz="4" w:space="0" w:color="auto"/>
              <w:bottom w:val="single" w:sz="4" w:space="0" w:color="auto"/>
              <w:right w:val="single" w:sz="4" w:space="0" w:color="auto"/>
            </w:tcBorders>
            <w:hideMark/>
          </w:tcPr>
          <w:p w14:paraId="3B41068D" w14:textId="77777777" w:rsidR="00540BAB" w:rsidRPr="0013396E" w:rsidRDefault="00540BAB" w:rsidP="005B61C1">
            <w:pPr>
              <w:spacing w:after="120"/>
              <w:rPr>
                <w:b/>
                <w:iCs/>
                <w:sz w:val="20"/>
              </w:rPr>
            </w:pPr>
            <w:r w:rsidRPr="0013396E">
              <w:rPr>
                <w:b/>
                <w:iCs/>
                <w:sz w:val="20"/>
              </w:rPr>
              <w:t>MW Segment</w:t>
            </w:r>
          </w:p>
        </w:tc>
        <w:tc>
          <w:tcPr>
            <w:tcW w:w="2620" w:type="dxa"/>
            <w:tcBorders>
              <w:top w:val="single" w:sz="4" w:space="0" w:color="auto"/>
              <w:left w:val="single" w:sz="4" w:space="0" w:color="auto"/>
              <w:bottom w:val="single" w:sz="4" w:space="0" w:color="auto"/>
              <w:right w:val="single" w:sz="4" w:space="0" w:color="auto"/>
            </w:tcBorders>
            <w:hideMark/>
          </w:tcPr>
          <w:p w14:paraId="48A51727" w14:textId="77777777" w:rsidR="00540BAB" w:rsidRPr="0013396E" w:rsidRDefault="00540BAB" w:rsidP="005B61C1">
            <w:pPr>
              <w:spacing w:after="120"/>
              <w:rPr>
                <w:b/>
                <w:iCs/>
                <w:sz w:val="20"/>
              </w:rPr>
            </w:pPr>
            <w:r w:rsidRPr="0013396E">
              <w:rPr>
                <w:b/>
                <w:iCs/>
                <w:sz w:val="20"/>
              </w:rPr>
              <w:t>Price (per MWh)</w:t>
            </w:r>
          </w:p>
        </w:tc>
      </w:tr>
      <w:tr w:rsidR="00540BAB" w:rsidRPr="0013396E" w14:paraId="66854543" w14:textId="77777777" w:rsidTr="005B61C1">
        <w:trPr>
          <w:jc w:val="center"/>
        </w:trPr>
        <w:tc>
          <w:tcPr>
            <w:tcW w:w="3871" w:type="dxa"/>
            <w:tcBorders>
              <w:top w:val="single" w:sz="4" w:space="0" w:color="auto"/>
              <w:left w:val="single" w:sz="4" w:space="0" w:color="auto"/>
              <w:bottom w:val="single" w:sz="4" w:space="0" w:color="auto"/>
              <w:right w:val="single" w:sz="4" w:space="0" w:color="auto"/>
            </w:tcBorders>
          </w:tcPr>
          <w:p w14:paraId="4E05BE91" w14:textId="77777777" w:rsidR="00540BAB" w:rsidRPr="0013396E" w:rsidRDefault="00540BAB" w:rsidP="005B61C1">
            <w:pPr>
              <w:spacing w:after="60"/>
              <w:rPr>
                <w:iCs/>
                <w:sz w:val="20"/>
              </w:rPr>
            </w:pPr>
            <w:r w:rsidRPr="0013396E">
              <w:rPr>
                <w:iCs/>
                <w:sz w:val="20"/>
              </w:rPr>
              <w:t xml:space="preserve">HSL MW and the highest MW point on the Energy Bid/Offer are both greater than or equal to zero, </w:t>
            </w:r>
          </w:p>
          <w:p w14:paraId="4D6CA874" w14:textId="77777777" w:rsidR="00540BAB" w:rsidRPr="0013396E" w:rsidRDefault="00540BAB" w:rsidP="005B61C1">
            <w:pPr>
              <w:spacing w:after="60"/>
              <w:rPr>
                <w:iCs/>
                <w:sz w:val="20"/>
              </w:rPr>
            </w:pPr>
            <w:r w:rsidRPr="0013396E">
              <w:rPr>
                <w:iCs/>
                <w:sz w:val="20"/>
              </w:rPr>
              <w:t>and,</w:t>
            </w:r>
          </w:p>
          <w:p w14:paraId="5C873F08" w14:textId="77777777" w:rsidR="00540BAB" w:rsidRPr="0013396E" w:rsidRDefault="00540BAB" w:rsidP="005B61C1">
            <w:pPr>
              <w:spacing w:after="60"/>
              <w:rPr>
                <w:iCs/>
                <w:sz w:val="20"/>
              </w:rPr>
            </w:pPr>
            <w:r w:rsidRPr="0013396E">
              <w:rPr>
                <w:iCs/>
                <w:sz w:val="20"/>
              </w:rPr>
              <w:t>HSL is greater than the highest MW in submitted Energy Bid/Offer Curve</w:t>
            </w:r>
          </w:p>
          <w:p w14:paraId="4B8A0E64" w14:textId="77777777" w:rsidR="00540BAB" w:rsidRPr="0013396E" w:rsidRDefault="00540BAB" w:rsidP="005B61C1">
            <w:pPr>
              <w:spacing w:after="60"/>
              <w:rPr>
                <w:iCs/>
                <w:sz w:val="20"/>
              </w:rPr>
            </w:pPr>
          </w:p>
        </w:tc>
        <w:tc>
          <w:tcPr>
            <w:tcW w:w="2619" w:type="dxa"/>
            <w:tcBorders>
              <w:top w:val="single" w:sz="4" w:space="0" w:color="auto"/>
              <w:left w:val="single" w:sz="4" w:space="0" w:color="auto"/>
              <w:bottom w:val="single" w:sz="4" w:space="0" w:color="auto"/>
              <w:right w:val="single" w:sz="4" w:space="0" w:color="auto"/>
            </w:tcBorders>
            <w:hideMark/>
          </w:tcPr>
          <w:p w14:paraId="0A56EF2B" w14:textId="77777777" w:rsidR="00540BAB" w:rsidRPr="0013396E" w:rsidRDefault="00540BAB" w:rsidP="005B61C1">
            <w:pPr>
              <w:spacing w:after="60"/>
              <w:rPr>
                <w:iCs/>
                <w:sz w:val="20"/>
              </w:rPr>
            </w:pPr>
            <w:r w:rsidRPr="0013396E">
              <w:rPr>
                <w:iCs/>
                <w:sz w:val="20"/>
              </w:rPr>
              <w:t>From highest MW point on submitted Energy Bid/Offer Curve to HSL MW</w:t>
            </w:r>
          </w:p>
        </w:tc>
        <w:tc>
          <w:tcPr>
            <w:tcW w:w="2620" w:type="dxa"/>
            <w:tcBorders>
              <w:top w:val="single" w:sz="4" w:space="0" w:color="auto"/>
              <w:left w:val="single" w:sz="4" w:space="0" w:color="auto"/>
              <w:bottom w:val="single" w:sz="4" w:space="0" w:color="auto"/>
              <w:right w:val="single" w:sz="4" w:space="0" w:color="auto"/>
            </w:tcBorders>
            <w:hideMark/>
          </w:tcPr>
          <w:p w14:paraId="4421FA1F" w14:textId="77777777" w:rsidR="00540BAB" w:rsidRPr="0013396E" w:rsidRDefault="00540BAB" w:rsidP="005B61C1">
            <w:pPr>
              <w:spacing w:after="60"/>
              <w:rPr>
                <w:iCs/>
                <w:sz w:val="20"/>
              </w:rPr>
            </w:pPr>
            <w:r w:rsidRPr="0013396E">
              <w:rPr>
                <w:iCs/>
                <w:sz w:val="20"/>
              </w:rPr>
              <w:t xml:space="preserve">RTSWCAP </w:t>
            </w:r>
          </w:p>
        </w:tc>
      </w:tr>
      <w:tr w:rsidR="00540BAB" w:rsidRPr="0013396E" w14:paraId="500729FB" w14:textId="77777777" w:rsidTr="005B61C1">
        <w:trPr>
          <w:trHeight w:val="387"/>
          <w:jc w:val="center"/>
        </w:trPr>
        <w:tc>
          <w:tcPr>
            <w:tcW w:w="3871" w:type="dxa"/>
            <w:tcBorders>
              <w:top w:val="single" w:sz="4" w:space="0" w:color="auto"/>
              <w:left w:val="single" w:sz="4" w:space="0" w:color="auto"/>
              <w:bottom w:val="single" w:sz="4" w:space="0" w:color="auto"/>
              <w:right w:val="single" w:sz="4" w:space="0" w:color="auto"/>
            </w:tcBorders>
          </w:tcPr>
          <w:p w14:paraId="21BEF88E" w14:textId="77777777" w:rsidR="00540BAB" w:rsidRPr="0013396E" w:rsidRDefault="00540BAB" w:rsidP="005B61C1">
            <w:pPr>
              <w:spacing w:after="60"/>
              <w:rPr>
                <w:iCs/>
                <w:sz w:val="20"/>
              </w:rPr>
            </w:pPr>
            <w:r w:rsidRPr="0013396E">
              <w:rPr>
                <w:iCs/>
                <w:sz w:val="20"/>
              </w:rPr>
              <w:t xml:space="preserve">HSL MW is greater than or equal to zero, </w:t>
            </w:r>
          </w:p>
          <w:p w14:paraId="36521190" w14:textId="77777777" w:rsidR="00540BAB" w:rsidRPr="0013396E" w:rsidRDefault="00540BAB" w:rsidP="005B61C1">
            <w:pPr>
              <w:spacing w:after="60"/>
              <w:rPr>
                <w:iCs/>
                <w:sz w:val="20"/>
              </w:rPr>
            </w:pPr>
            <w:r w:rsidRPr="0013396E">
              <w:rPr>
                <w:iCs/>
                <w:sz w:val="20"/>
              </w:rPr>
              <w:t>and,</w:t>
            </w:r>
          </w:p>
          <w:p w14:paraId="0578A113" w14:textId="77777777" w:rsidR="00540BAB" w:rsidRPr="0013396E" w:rsidRDefault="00540BAB" w:rsidP="005B61C1">
            <w:pPr>
              <w:spacing w:after="60"/>
              <w:rPr>
                <w:iCs/>
                <w:sz w:val="20"/>
              </w:rPr>
            </w:pPr>
            <w:r w:rsidRPr="0013396E">
              <w:rPr>
                <w:iCs/>
                <w:sz w:val="20"/>
              </w:rPr>
              <w:t>the highest MW point on the Energy Bid/Offer is less than zero</w:t>
            </w:r>
          </w:p>
          <w:p w14:paraId="7FC80E9F" w14:textId="77777777" w:rsidR="00540BAB" w:rsidRPr="0013396E" w:rsidRDefault="00540BAB" w:rsidP="005B61C1">
            <w:pPr>
              <w:spacing w:after="60"/>
              <w:rPr>
                <w:iCs/>
                <w:sz w:val="20"/>
              </w:rPr>
            </w:pPr>
          </w:p>
        </w:tc>
        <w:tc>
          <w:tcPr>
            <w:tcW w:w="2619" w:type="dxa"/>
            <w:tcBorders>
              <w:top w:val="single" w:sz="4" w:space="0" w:color="auto"/>
              <w:left w:val="single" w:sz="4" w:space="0" w:color="auto"/>
              <w:bottom w:val="single" w:sz="4" w:space="0" w:color="auto"/>
              <w:right w:val="single" w:sz="4" w:space="0" w:color="auto"/>
            </w:tcBorders>
            <w:hideMark/>
          </w:tcPr>
          <w:p w14:paraId="38E5D6DC" w14:textId="77777777" w:rsidR="00540BAB" w:rsidRPr="0013396E" w:rsidRDefault="00540BAB" w:rsidP="005B61C1">
            <w:pPr>
              <w:spacing w:after="60"/>
              <w:rPr>
                <w:iCs/>
                <w:sz w:val="20"/>
              </w:rPr>
            </w:pPr>
            <w:r w:rsidRPr="0013396E">
              <w:rPr>
                <w:iCs/>
                <w:sz w:val="20"/>
              </w:rPr>
              <w:t>From highest MW point on submitted Energy Bid/Offer Curve to 0 MW</w:t>
            </w:r>
          </w:p>
          <w:p w14:paraId="64707B61" w14:textId="77777777" w:rsidR="00540BAB" w:rsidRPr="0013396E" w:rsidRDefault="00540BAB" w:rsidP="005B61C1">
            <w:pPr>
              <w:spacing w:after="60"/>
              <w:rPr>
                <w:iCs/>
                <w:sz w:val="20"/>
              </w:rPr>
            </w:pPr>
          </w:p>
          <w:p w14:paraId="4A3A20B0" w14:textId="77777777" w:rsidR="00540BAB" w:rsidRPr="0013396E" w:rsidRDefault="00540BAB" w:rsidP="005B61C1">
            <w:pPr>
              <w:spacing w:after="60"/>
              <w:rPr>
                <w:iCs/>
                <w:sz w:val="20"/>
              </w:rPr>
            </w:pPr>
            <w:r w:rsidRPr="0013396E">
              <w:rPr>
                <w:iCs/>
                <w:sz w:val="20"/>
              </w:rPr>
              <w:t>From 0 MW to HSL</w:t>
            </w:r>
          </w:p>
        </w:tc>
        <w:tc>
          <w:tcPr>
            <w:tcW w:w="2620" w:type="dxa"/>
            <w:tcBorders>
              <w:top w:val="single" w:sz="4" w:space="0" w:color="auto"/>
              <w:left w:val="single" w:sz="4" w:space="0" w:color="auto"/>
              <w:bottom w:val="single" w:sz="4" w:space="0" w:color="auto"/>
              <w:right w:val="single" w:sz="4" w:space="0" w:color="auto"/>
            </w:tcBorders>
            <w:hideMark/>
          </w:tcPr>
          <w:p w14:paraId="3304E1B8" w14:textId="77777777" w:rsidR="00540BAB" w:rsidRPr="0013396E" w:rsidRDefault="00540BAB" w:rsidP="005B61C1">
            <w:pPr>
              <w:spacing w:after="60"/>
              <w:rPr>
                <w:iCs/>
                <w:sz w:val="20"/>
              </w:rPr>
            </w:pPr>
            <w:r w:rsidRPr="0013396E">
              <w:rPr>
                <w:iCs/>
                <w:sz w:val="20"/>
              </w:rPr>
              <w:t>Price associated with the highest MW in submitted Energy Bid/Offer Curve</w:t>
            </w:r>
          </w:p>
          <w:p w14:paraId="5D542B41" w14:textId="77777777" w:rsidR="00540BAB" w:rsidRPr="0013396E" w:rsidRDefault="00540BAB" w:rsidP="005B61C1">
            <w:pPr>
              <w:spacing w:after="60"/>
              <w:rPr>
                <w:iCs/>
                <w:sz w:val="20"/>
              </w:rPr>
            </w:pPr>
          </w:p>
          <w:p w14:paraId="010C4D89" w14:textId="77777777" w:rsidR="00540BAB" w:rsidRPr="0013396E" w:rsidRDefault="00540BAB" w:rsidP="005B61C1">
            <w:pPr>
              <w:spacing w:after="60"/>
              <w:rPr>
                <w:iCs/>
                <w:sz w:val="20"/>
              </w:rPr>
            </w:pPr>
            <w:r w:rsidRPr="0013396E">
              <w:rPr>
                <w:iCs/>
                <w:sz w:val="20"/>
              </w:rPr>
              <w:t>RTSWCAP</w:t>
            </w:r>
          </w:p>
        </w:tc>
      </w:tr>
      <w:tr w:rsidR="00540BAB" w:rsidRPr="0013396E" w14:paraId="479D56DA" w14:textId="77777777" w:rsidTr="005B61C1">
        <w:trPr>
          <w:jc w:val="center"/>
        </w:trPr>
        <w:tc>
          <w:tcPr>
            <w:tcW w:w="3871" w:type="dxa"/>
            <w:tcBorders>
              <w:top w:val="single" w:sz="4" w:space="0" w:color="auto"/>
              <w:left w:val="single" w:sz="4" w:space="0" w:color="auto"/>
              <w:bottom w:val="single" w:sz="4" w:space="0" w:color="auto"/>
              <w:right w:val="single" w:sz="4" w:space="0" w:color="auto"/>
            </w:tcBorders>
            <w:hideMark/>
          </w:tcPr>
          <w:p w14:paraId="3DE25847" w14:textId="77777777" w:rsidR="00540BAB" w:rsidRPr="0013396E" w:rsidRDefault="00540BAB" w:rsidP="005B61C1">
            <w:pPr>
              <w:spacing w:after="60"/>
              <w:rPr>
                <w:iCs/>
                <w:sz w:val="20"/>
              </w:rPr>
            </w:pPr>
            <w:r w:rsidRPr="0013396E">
              <w:rPr>
                <w:iCs/>
                <w:sz w:val="20"/>
              </w:rPr>
              <w:t>HSL is less than zero and is also greater than the highest MW in submitted Energy Bid/Offer Curve</w:t>
            </w:r>
          </w:p>
        </w:tc>
        <w:tc>
          <w:tcPr>
            <w:tcW w:w="2619" w:type="dxa"/>
            <w:tcBorders>
              <w:top w:val="single" w:sz="4" w:space="0" w:color="auto"/>
              <w:left w:val="single" w:sz="4" w:space="0" w:color="auto"/>
              <w:bottom w:val="single" w:sz="4" w:space="0" w:color="auto"/>
              <w:right w:val="single" w:sz="4" w:space="0" w:color="auto"/>
            </w:tcBorders>
            <w:hideMark/>
          </w:tcPr>
          <w:p w14:paraId="2F6175C8" w14:textId="77777777" w:rsidR="00540BAB" w:rsidRPr="0013396E" w:rsidRDefault="00540BAB" w:rsidP="005B61C1">
            <w:pPr>
              <w:spacing w:after="60"/>
              <w:rPr>
                <w:iCs/>
                <w:sz w:val="20"/>
              </w:rPr>
            </w:pPr>
            <w:r w:rsidRPr="0013396E">
              <w:rPr>
                <w:iCs/>
                <w:sz w:val="20"/>
              </w:rPr>
              <w:t>From highest MW point on submitted Energy Bid/Offer Curve to HSL MW</w:t>
            </w:r>
          </w:p>
        </w:tc>
        <w:tc>
          <w:tcPr>
            <w:tcW w:w="2620" w:type="dxa"/>
            <w:tcBorders>
              <w:top w:val="single" w:sz="4" w:space="0" w:color="auto"/>
              <w:left w:val="single" w:sz="4" w:space="0" w:color="auto"/>
              <w:bottom w:val="single" w:sz="4" w:space="0" w:color="auto"/>
              <w:right w:val="single" w:sz="4" w:space="0" w:color="auto"/>
            </w:tcBorders>
            <w:hideMark/>
          </w:tcPr>
          <w:p w14:paraId="48F05944" w14:textId="77777777" w:rsidR="00540BAB" w:rsidRPr="0013396E" w:rsidRDefault="00540BAB" w:rsidP="005B61C1">
            <w:pPr>
              <w:spacing w:after="60"/>
              <w:rPr>
                <w:iCs/>
                <w:sz w:val="20"/>
              </w:rPr>
            </w:pPr>
            <w:r w:rsidRPr="0013396E">
              <w:rPr>
                <w:iCs/>
                <w:sz w:val="20"/>
              </w:rPr>
              <w:t>Price associated with the highest MW in submitted Energy Bid/Offer Curve</w:t>
            </w:r>
          </w:p>
        </w:tc>
      </w:tr>
      <w:tr w:rsidR="00540BAB" w:rsidRPr="0013396E" w14:paraId="2741853F" w14:textId="77777777" w:rsidTr="005B61C1">
        <w:trPr>
          <w:jc w:val="center"/>
        </w:trPr>
        <w:tc>
          <w:tcPr>
            <w:tcW w:w="3871" w:type="dxa"/>
            <w:tcBorders>
              <w:top w:val="single" w:sz="4" w:space="0" w:color="auto"/>
              <w:left w:val="single" w:sz="4" w:space="0" w:color="auto"/>
              <w:bottom w:val="single" w:sz="4" w:space="0" w:color="auto"/>
              <w:right w:val="single" w:sz="4" w:space="0" w:color="auto"/>
            </w:tcBorders>
            <w:hideMark/>
          </w:tcPr>
          <w:p w14:paraId="7A19B82B" w14:textId="77777777" w:rsidR="00540BAB" w:rsidRPr="0013396E" w:rsidRDefault="00540BAB" w:rsidP="005B61C1">
            <w:pPr>
              <w:spacing w:after="60"/>
              <w:rPr>
                <w:iCs/>
                <w:sz w:val="20"/>
              </w:rPr>
            </w:pPr>
            <w:r w:rsidRPr="0013396E">
              <w:rPr>
                <w:iCs/>
                <w:sz w:val="20"/>
              </w:rPr>
              <w:t>Energy Bid/Offer Curve</w:t>
            </w:r>
          </w:p>
        </w:tc>
        <w:tc>
          <w:tcPr>
            <w:tcW w:w="2619" w:type="dxa"/>
            <w:tcBorders>
              <w:top w:val="single" w:sz="4" w:space="0" w:color="auto"/>
              <w:left w:val="single" w:sz="4" w:space="0" w:color="auto"/>
              <w:bottom w:val="single" w:sz="4" w:space="0" w:color="auto"/>
              <w:right w:val="single" w:sz="4" w:space="0" w:color="auto"/>
            </w:tcBorders>
          </w:tcPr>
          <w:p w14:paraId="47BB34B2" w14:textId="77777777" w:rsidR="00540BAB" w:rsidRPr="0013396E" w:rsidRDefault="00540BAB" w:rsidP="005B61C1">
            <w:pPr>
              <w:spacing w:after="60"/>
              <w:rPr>
                <w:iCs/>
                <w:sz w:val="20"/>
              </w:rPr>
            </w:pPr>
          </w:p>
        </w:tc>
        <w:tc>
          <w:tcPr>
            <w:tcW w:w="2620" w:type="dxa"/>
            <w:tcBorders>
              <w:top w:val="single" w:sz="4" w:space="0" w:color="auto"/>
              <w:left w:val="single" w:sz="4" w:space="0" w:color="auto"/>
              <w:bottom w:val="single" w:sz="4" w:space="0" w:color="auto"/>
              <w:right w:val="single" w:sz="4" w:space="0" w:color="auto"/>
            </w:tcBorders>
            <w:hideMark/>
          </w:tcPr>
          <w:p w14:paraId="73E159DE" w14:textId="77777777" w:rsidR="00540BAB" w:rsidRPr="0013396E" w:rsidRDefault="00540BAB" w:rsidP="005B61C1">
            <w:pPr>
              <w:spacing w:after="60"/>
              <w:rPr>
                <w:iCs/>
                <w:sz w:val="20"/>
              </w:rPr>
            </w:pPr>
            <w:r w:rsidRPr="0013396E">
              <w:rPr>
                <w:iCs/>
                <w:sz w:val="20"/>
              </w:rPr>
              <w:t>Energy Bid/Offer Curve</w:t>
            </w:r>
          </w:p>
        </w:tc>
      </w:tr>
      <w:tr w:rsidR="00540BAB" w:rsidRPr="0013396E" w14:paraId="05F55070" w14:textId="77777777" w:rsidTr="005B61C1">
        <w:trPr>
          <w:jc w:val="center"/>
        </w:trPr>
        <w:tc>
          <w:tcPr>
            <w:tcW w:w="3871" w:type="dxa"/>
            <w:tcBorders>
              <w:top w:val="single" w:sz="4" w:space="0" w:color="auto"/>
              <w:left w:val="single" w:sz="4" w:space="0" w:color="auto"/>
              <w:bottom w:val="single" w:sz="4" w:space="0" w:color="auto"/>
              <w:right w:val="single" w:sz="4" w:space="0" w:color="auto"/>
            </w:tcBorders>
          </w:tcPr>
          <w:p w14:paraId="17A1956F" w14:textId="77777777" w:rsidR="00540BAB" w:rsidRPr="0013396E" w:rsidRDefault="00540BAB" w:rsidP="005B61C1">
            <w:pPr>
              <w:spacing w:after="60"/>
              <w:rPr>
                <w:iCs/>
                <w:sz w:val="20"/>
              </w:rPr>
            </w:pPr>
            <w:r w:rsidRPr="0013396E">
              <w:rPr>
                <w:iCs/>
                <w:sz w:val="20"/>
              </w:rPr>
              <w:t xml:space="preserve">LSL MW and the lowest MW point on the Energy Bid/Offer Curve are both greater than or equal to zero, </w:t>
            </w:r>
          </w:p>
          <w:p w14:paraId="2CEE8B1B" w14:textId="77777777" w:rsidR="00540BAB" w:rsidRPr="0013396E" w:rsidRDefault="00540BAB" w:rsidP="005B61C1">
            <w:pPr>
              <w:spacing w:after="60"/>
              <w:rPr>
                <w:iCs/>
                <w:sz w:val="20"/>
              </w:rPr>
            </w:pPr>
            <w:r w:rsidRPr="0013396E">
              <w:rPr>
                <w:iCs/>
                <w:sz w:val="20"/>
              </w:rPr>
              <w:t>and,</w:t>
            </w:r>
          </w:p>
          <w:p w14:paraId="565B6519" w14:textId="77777777" w:rsidR="00540BAB" w:rsidRPr="0013396E" w:rsidRDefault="00540BAB" w:rsidP="005B61C1">
            <w:pPr>
              <w:spacing w:after="60"/>
              <w:rPr>
                <w:iCs/>
                <w:sz w:val="20"/>
              </w:rPr>
            </w:pPr>
            <w:r w:rsidRPr="0013396E">
              <w:rPr>
                <w:iCs/>
                <w:sz w:val="20"/>
              </w:rPr>
              <w:t>LSL is less than the lowest MW in submitted Energy Bid/Offer Curve</w:t>
            </w:r>
          </w:p>
          <w:p w14:paraId="0B424534" w14:textId="77777777" w:rsidR="00540BAB" w:rsidRPr="0013396E" w:rsidRDefault="00540BAB" w:rsidP="005B61C1">
            <w:pPr>
              <w:spacing w:after="60"/>
              <w:rPr>
                <w:iCs/>
                <w:sz w:val="20"/>
              </w:rPr>
            </w:pPr>
          </w:p>
        </w:tc>
        <w:tc>
          <w:tcPr>
            <w:tcW w:w="2619" w:type="dxa"/>
            <w:tcBorders>
              <w:top w:val="single" w:sz="4" w:space="0" w:color="auto"/>
              <w:left w:val="single" w:sz="4" w:space="0" w:color="auto"/>
              <w:bottom w:val="single" w:sz="4" w:space="0" w:color="auto"/>
              <w:right w:val="single" w:sz="4" w:space="0" w:color="auto"/>
            </w:tcBorders>
            <w:hideMark/>
          </w:tcPr>
          <w:p w14:paraId="08659C8F" w14:textId="77777777" w:rsidR="00540BAB" w:rsidRPr="0013396E" w:rsidRDefault="00540BAB" w:rsidP="005B61C1">
            <w:pPr>
              <w:spacing w:after="60"/>
              <w:rPr>
                <w:iCs/>
                <w:sz w:val="20"/>
              </w:rPr>
            </w:pPr>
            <w:r w:rsidRPr="0013396E">
              <w:rPr>
                <w:iCs/>
                <w:sz w:val="20"/>
              </w:rPr>
              <w:t>From LSL to lowest MW point on submitted Energy Bid/Offer Curve</w:t>
            </w:r>
          </w:p>
        </w:tc>
        <w:tc>
          <w:tcPr>
            <w:tcW w:w="2620" w:type="dxa"/>
            <w:tcBorders>
              <w:top w:val="single" w:sz="4" w:space="0" w:color="auto"/>
              <w:left w:val="single" w:sz="4" w:space="0" w:color="auto"/>
              <w:bottom w:val="single" w:sz="4" w:space="0" w:color="auto"/>
              <w:right w:val="single" w:sz="4" w:space="0" w:color="auto"/>
            </w:tcBorders>
            <w:hideMark/>
          </w:tcPr>
          <w:p w14:paraId="3D33C40F" w14:textId="77777777" w:rsidR="00540BAB" w:rsidRPr="0013396E" w:rsidRDefault="00540BAB" w:rsidP="005B61C1">
            <w:pPr>
              <w:spacing w:after="60"/>
              <w:rPr>
                <w:iCs/>
                <w:sz w:val="20"/>
              </w:rPr>
            </w:pPr>
            <w:r w:rsidRPr="0013396E">
              <w:rPr>
                <w:iCs/>
                <w:sz w:val="20"/>
              </w:rPr>
              <w:t>Price associated with the lowest MW in submitted Energy Bid/Offer Curve</w:t>
            </w:r>
          </w:p>
        </w:tc>
      </w:tr>
      <w:tr w:rsidR="00540BAB" w:rsidRPr="0013396E" w14:paraId="5EF9D672" w14:textId="77777777" w:rsidTr="005B61C1">
        <w:trPr>
          <w:trHeight w:val="304"/>
          <w:jc w:val="center"/>
        </w:trPr>
        <w:tc>
          <w:tcPr>
            <w:tcW w:w="3871" w:type="dxa"/>
            <w:tcBorders>
              <w:top w:val="single" w:sz="4" w:space="0" w:color="auto"/>
              <w:left w:val="single" w:sz="4" w:space="0" w:color="auto"/>
              <w:bottom w:val="single" w:sz="4" w:space="0" w:color="auto"/>
              <w:right w:val="single" w:sz="4" w:space="0" w:color="auto"/>
            </w:tcBorders>
            <w:hideMark/>
          </w:tcPr>
          <w:p w14:paraId="2F1B9C20" w14:textId="77777777" w:rsidR="00540BAB" w:rsidRPr="0013396E" w:rsidRDefault="00540BAB" w:rsidP="005B61C1">
            <w:pPr>
              <w:spacing w:after="60"/>
              <w:rPr>
                <w:iCs/>
                <w:sz w:val="20"/>
              </w:rPr>
            </w:pPr>
            <w:r w:rsidRPr="0013396E">
              <w:rPr>
                <w:iCs/>
                <w:sz w:val="20"/>
              </w:rPr>
              <w:t>LSL MW is less than zero,</w:t>
            </w:r>
          </w:p>
          <w:p w14:paraId="51413D62" w14:textId="77777777" w:rsidR="00540BAB" w:rsidRPr="0013396E" w:rsidRDefault="00540BAB" w:rsidP="005B61C1">
            <w:pPr>
              <w:spacing w:after="60"/>
              <w:rPr>
                <w:iCs/>
                <w:sz w:val="20"/>
              </w:rPr>
            </w:pPr>
            <w:r w:rsidRPr="0013396E">
              <w:rPr>
                <w:iCs/>
                <w:sz w:val="20"/>
              </w:rPr>
              <w:t>and,</w:t>
            </w:r>
          </w:p>
          <w:p w14:paraId="4EDCB690" w14:textId="77777777" w:rsidR="00540BAB" w:rsidRPr="0013396E" w:rsidRDefault="00540BAB" w:rsidP="005B61C1">
            <w:pPr>
              <w:spacing w:after="60"/>
              <w:rPr>
                <w:iCs/>
                <w:sz w:val="20"/>
              </w:rPr>
            </w:pPr>
            <w:r w:rsidRPr="0013396E">
              <w:rPr>
                <w:iCs/>
                <w:sz w:val="20"/>
              </w:rPr>
              <w:t>the lowest MW point on the Energy Bid/Offer Curve is greater than zero</w:t>
            </w:r>
          </w:p>
        </w:tc>
        <w:tc>
          <w:tcPr>
            <w:tcW w:w="2619" w:type="dxa"/>
            <w:tcBorders>
              <w:top w:val="single" w:sz="4" w:space="0" w:color="auto"/>
              <w:left w:val="single" w:sz="4" w:space="0" w:color="auto"/>
              <w:bottom w:val="single" w:sz="4" w:space="0" w:color="auto"/>
              <w:right w:val="single" w:sz="4" w:space="0" w:color="auto"/>
            </w:tcBorders>
            <w:hideMark/>
          </w:tcPr>
          <w:p w14:paraId="0454839D" w14:textId="77777777" w:rsidR="00540BAB" w:rsidRPr="0013396E" w:rsidRDefault="00540BAB" w:rsidP="005B61C1">
            <w:pPr>
              <w:spacing w:after="60"/>
              <w:rPr>
                <w:iCs/>
                <w:sz w:val="20"/>
              </w:rPr>
            </w:pPr>
            <w:r w:rsidRPr="0013396E">
              <w:rPr>
                <w:iCs/>
                <w:sz w:val="20"/>
              </w:rPr>
              <w:t>From LSL to 0 MW</w:t>
            </w:r>
          </w:p>
          <w:p w14:paraId="3949D495" w14:textId="77777777" w:rsidR="00540BAB" w:rsidRPr="0013396E" w:rsidRDefault="00540BAB" w:rsidP="005B61C1">
            <w:pPr>
              <w:spacing w:after="60"/>
              <w:rPr>
                <w:iCs/>
                <w:sz w:val="20"/>
              </w:rPr>
            </w:pPr>
          </w:p>
          <w:p w14:paraId="606D3AF5" w14:textId="77777777" w:rsidR="00540BAB" w:rsidRPr="0013396E" w:rsidRDefault="00540BAB" w:rsidP="005B61C1">
            <w:pPr>
              <w:spacing w:after="60"/>
              <w:rPr>
                <w:iCs/>
                <w:sz w:val="20"/>
              </w:rPr>
            </w:pPr>
            <w:r w:rsidRPr="0013396E">
              <w:rPr>
                <w:iCs/>
                <w:sz w:val="20"/>
              </w:rPr>
              <w:t>From 0 MW to lowest MW point on submitted Energy Bid/Offer Curve</w:t>
            </w:r>
          </w:p>
        </w:tc>
        <w:tc>
          <w:tcPr>
            <w:tcW w:w="2620" w:type="dxa"/>
            <w:tcBorders>
              <w:top w:val="single" w:sz="4" w:space="0" w:color="auto"/>
              <w:left w:val="single" w:sz="4" w:space="0" w:color="auto"/>
              <w:bottom w:val="single" w:sz="4" w:space="0" w:color="auto"/>
              <w:right w:val="single" w:sz="4" w:space="0" w:color="auto"/>
            </w:tcBorders>
            <w:hideMark/>
          </w:tcPr>
          <w:p w14:paraId="597BB93F" w14:textId="77777777" w:rsidR="00540BAB" w:rsidRPr="0013396E" w:rsidRDefault="00540BAB" w:rsidP="005B61C1">
            <w:pPr>
              <w:spacing w:after="60"/>
              <w:rPr>
                <w:iCs/>
                <w:sz w:val="20"/>
              </w:rPr>
            </w:pPr>
            <w:r w:rsidRPr="0013396E">
              <w:rPr>
                <w:iCs/>
                <w:sz w:val="20"/>
              </w:rPr>
              <w:t>-$250.00</w:t>
            </w:r>
          </w:p>
          <w:p w14:paraId="7A7E8378" w14:textId="77777777" w:rsidR="00540BAB" w:rsidRPr="0013396E" w:rsidRDefault="00540BAB" w:rsidP="005B61C1">
            <w:pPr>
              <w:spacing w:after="60"/>
              <w:rPr>
                <w:iCs/>
                <w:sz w:val="20"/>
              </w:rPr>
            </w:pPr>
          </w:p>
          <w:p w14:paraId="62868DC6" w14:textId="77777777" w:rsidR="00540BAB" w:rsidRPr="0013396E" w:rsidRDefault="00540BAB" w:rsidP="005B61C1">
            <w:pPr>
              <w:spacing w:after="60"/>
              <w:rPr>
                <w:iCs/>
                <w:sz w:val="20"/>
              </w:rPr>
            </w:pPr>
            <w:r w:rsidRPr="0013396E">
              <w:rPr>
                <w:iCs/>
                <w:sz w:val="20"/>
              </w:rPr>
              <w:t>Price associated with the lowest MW in submitted Energy Bid/Offer Curve</w:t>
            </w:r>
          </w:p>
        </w:tc>
      </w:tr>
      <w:tr w:rsidR="00540BAB" w:rsidRPr="0013396E" w14:paraId="4D251244" w14:textId="77777777" w:rsidTr="005B61C1">
        <w:trPr>
          <w:jc w:val="center"/>
        </w:trPr>
        <w:tc>
          <w:tcPr>
            <w:tcW w:w="3871" w:type="dxa"/>
            <w:tcBorders>
              <w:top w:val="single" w:sz="4" w:space="0" w:color="auto"/>
              <w:left w:val="single" w:sz="4" w:space="0" w:color="auto"/>
              <w:bottom w:val="single" w:sz="4" w:space="0" w:color="auto"/>
              <w:right w:val="single" w:sz="4" w:space="0" w:color="auto"/>
            </w:tcBorders>
          </w:tcPr>
          <w:p w14:paraId="31A4B45F" w14:textId="77777777" w:rsidR="00540BAB" w:rsidRPr="0013396E" w:rsidRDefault="00540BAB" w:rsidP="005B61C1">
            <w:pPr>
              <w:spacing w:after="60"/>
              <w:rPr>
                <w:iCs/>
                <w:sz w:val="20"/>
              </w:rPr>
            </w:pPr>
            <w:r w:rsidRPr="0013396E">
              <w:rPr>
                <w:iCs/>
                <w:sz w:val="20"/>
              </w:rPr>
              <w:t>LSL and the lowest MW point on the Energy Bid/Offer Curve are both less than or equal to zero,</w:t>
            </w:r>
          </w:p>
          <w:p w14:paraId="16A87C01" w14:textId="77777777" w:rsidR="00540BAB" w:rsidRPr="0013396E" w:rsidRDefault="00540BAB" w:rsidP="005B61C1">
            <w:pPr>
              <w:spacing w:after="60"/>
              <w:rPr>
                <w:iCs/>
                <w:sz w:val="20"/>
              </w:rPr>
            </w:pPr>
            <w:r w:rsidRPr="0013396E">
              <w:rPr>
                <w:iCs/>
                <w:sz w:val="20"/>
              </w:rPr>
              <w:t>and,</w:t>
            </w:r>
          </w:p>
          <w:p w14:paraId="58A9DD85" w14:textId="77777777" w:rsidR="00540BAB" w:rsidRPr="0013396E" w:rsidRDefault="00540BAB" w:rsidP="005B61C1">
            <w:pPr>
              <w:spacing w:after="60"/>
              <w:rPr>
                <w:iCs/>
                <w:sz w:val="20"/>
              </w:rPr>
            </w:pPr>
            <w:r w:rsidRPr="0013396E">
              <w:rPr>
                <w:iCs/>
                <w:sz w:val="20"/>
              </w:rPr>
              <w:t>LSL is less than the lowest MW point on the Energy Bid/Offer Curve</w:t>
            </w:r>
          </w:p>
          <w:p w14:paraId="07A42923" w14:textId="77777777" w:rsidR="00540BAB" w:rsidRPr="0013396E" w:rsidRDefault="00540BAB" w:rsidP="005B61C1">
            <w:pPr>
              <w:spacing w:after="60"/>
              <w:rPr>
                <w:iCs/>
                <w:sz w:val="20"/>
              </w:rPr>
            </w:pPr>
          </w:p>
        </w:tc>
        <w:tc>
          <w:tcPr>
            <w:tcW w:w="2619" w:type="dxa"/>
            <w:tcBorders>
              <w:top w:val="single" w:sz="4" w:space="0" w:color="auto"/>
              <w:left w:val="single" w:sz="4" w:space="0" w:color="auto"/>
              <w:bottom w:val="single" w:sz="4" w:space="0" w:color="auto"/>
              <w:right w:val="single" w:sz="4" w:space="0" w:color="auto"/>
            </w:tcBorders>
            <w:hideMark/>
          </w:tcPr>
          <w:p w14:paraId="3FCAD3D2" w14:textId="77777777" w:rsidR="00540BAB" w:rsidRPr="0013396E" w:rsidRDefault="00540BAB" w:rsidP="005B61C1">
            <w:pPr>
              <w:spacing w:after="60"/>
              <w:rPr>
                <w:iCs/>
                <w:sz w:val="20"/>
              </w:rPr>
            </w:pPr>
            <w:r w:rsidRPr="0013396E">
              <w:rPr>
                <w:iCs/>
                <w:sz w:val="20"/>
              </w:rPr>
              <w:t>From LSL to lowest MW point on submitted Energy Bid/Offer Curve</w:t>
            </w:r>
          </w:p>
        </w:tc>
        <w:tc>
          <w:tcPr>
            <w:tcW w:w="2620" w:type="dxa"/>
            <w:tcBorders>
              <w:top w:val="single" w:sz="4" w:space="0" w:color="auto"/>
              <w:left w:val="single" w:sz="4" w:space="0" w:color="auto"/>
              <w:bottom w:val="single" w:sz="4" w:space="0" w:color="auto"/>
              <w:right w:val="single" w:sz="4" w:space="0" w:color="auto"/>
            </w:tcBorders>
            <w:hideMark/>
          </w:tcPr>
          <w:p w14:paraId="632CEA4A" w14:textId="77777777" w:rsidR="00540BAB" w:rsidRPr="0013396E" w:rsidRDefault="00540BAB" w:rsidP="005B61C1">
            <w:pPr>
              <w:spacing w:after="60"/>
              <w:rPr>
                <w:iCs/>
                <w:sz w:val="20"/>
              </w:rPr>
            </w:pPr>
            <w:r w:rsidRPr="0013396E">
              <w:rPr>
                <w:iCs/>
                <w:sz w:val="20"/>
              </w:rPr>
              <w:t>-$250.00</w:t>
            </w:r>
          </w:p>
        </w:tc>
      </w:tr>
    </w:tbl>
    <w:p w14:paraId="223A9E6F" w14:textId="77777777" w:rsidR="00540BAB" w:rsidRPr="0013396E" w:rsidRDefault="00540BAB" w:rsidP="00540BAB">
      <w:pPr>
        <w:spacing w:before="240" w:after="240"/>
        <w:ind w:left="1440" w:hanging="720"/>
      </w:pPr>
      <w:r w:rsidRPr="0013396E">
        <w:t>(b)</w:t>
      </w:r>
      <w:r w:rsidRPr="0013396E">
        <w:tab/>
        <w:t>At the time of SCED execution, if a valid Energy Bid/Offer Curve or Output Schedule does not exist for an ESR that has a status of On-Line, then ERCOT shall notify the QSE and create a proxy Energy Bid/Offer Curve priced at -$250/MWh for the MW portion of the curve less than zero MW, and priced at the RTSWCAP for the MW portion of the curve greater than zero MW.</w:t>
      </w:r>
    </w:p>
    <w:p w14:paraId="3DDCD919" w14:textId="77777777" w:rsidR="00540BAB" w:rsidRPr="0013396E" w:rsidRDefault="00540BAB" w:rsidP="00540BAB">
      <w:pPr>
        <w:spacing w:before="240" w:after="240"/>
        <w:ind w:left="1440" w:hanging="720"/>
      </w:pPr>
      <w:r w:rsidRPr="0013396E">
        <w:t>(c)</w:t>
      </w:r>
      <w:r w:rsidRPr="0013396E">
        <w:tab/>
        <w:t xml:space="preserve">At the time of SCED execution, if a QSE representing an ESR has submitted an Output Schedule instead of an Energy Bid/Offer Curve, ERCOT shall create a </w:t>
      </w:r>
      <w:r w:rsidRPr="0013396E">
        <w:lastRenderedPageBreak/>
        <w:t>proxy Energy Bid/Offer Curve priced at -$250 per MWh for the MW portion of the curve from its LSL to the MW amount on the Output Schedule, and priced at the RTSWCAP for the MW portion of the curve from the MW amount on the Output Schedule to its HSL.</w:t>
      </w:r>
    </w:p>
    <w:p w14:paraId="5C816694" w14:textId="77777777" w:rsidR="00540BAB" w:rsidRPr="0013396E" w:rsidRDefault="00540BAB" w:rsidP="00540BAB">
      <w:pPr>
        <w:spacing w:before="240" w:after="240"/>
        <w:ind w:left="720" w:hanging="720"/>
      </w:pPr>
      <w:r w:rsidRPr="0013396E">
        <w:t>(7)</w:t>
      </w:r>
      <w:r w:rsidRPr="0013396E">
        <w:tab/>
        <w:t>The Entity with decision-making authority, as more fully described in Section 3.19.1, Constraint Competitiveness Test Definitions, over how a Resource or Split Generation Resource is offered or scheduled, shall be responsible for all offers associated with each Resource, including offers represented by a proxy Energy Offer Curve, proxy Energy Bid/Offer Curve, or proxy Ancillary Service Offer.</w:t>
      </w:r>
      <w:r w:rsidRPr="0013396E" w:rsidDel="00995694">
        <w:t xml:space="preserve"> </w:t>
      </w:r>
    </w:p>
    <w:p w14:paraId="6B491514" w14:textId="4AA6214F" w:rsidR="00540BAB" w:rsidRPr="0013396E" w:rsidRDefault="00540BAB" w:rsidP="00540BAB">
      <w:pPr>
        <w:spacing w:after="240"/>
        <w:ind w:left="720" w:hanging="720"/>
      </w:pPr>
      <w:r w:rsidRPr="0013396E">
        <w:t>(8)</w:t>
      </w:r>
      <w:r w:rsidRPr="0013396E">
        <w:tab/>
        <w:t>For a CLR whose QSE has submitted a</w:t>
      </w:r>
      <w:r w:rsidR="00890D72" w:rsidRPr="0013396E">
        <w:t>n RTM</w:t>
      </w:r>
      <w:r w:rsidRPr="0013396E">
        <w:t xml:space="preserve"> Energy Bid that does not cover the full range of the Resource’s available Demand response capability, consistent with the CLR’s telemetered quantities, ERCOT shall create a proxy energy bid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6"/>
        <w:gridCol w:w="2875"/>
      </w:tblGrid>
      <w:tr w:rsidR="00540BAB" w:rsidRPr="0013396E" w14:paraId="03296E28" w14:textId="77777777" w:rsidTr="00890D72">
        <w:trPr>
          <w:jc w:val="center"/>
        </w:trPr>
        <w:tc>
          <w:tcPr>
            <w:tcW w:w="3596" w:type="dxa"/>
          </w:tcPr>
          <w:p w14:paraId="6DBA8DE2" w14:textId="77777777" w:rsidR="00540BAB" w:rsidRPr="0013396E" w:rsidRDefault="00540BAB" w:rsidP="005B61C1">
            <w:pPr>
              <w:spacing w:after="120"/>
              <w:rPr>
                <w:b/>
                <w:iCs/>
                <w:sz w:val="20"/>
              </w:rPr>
            </w:pPr>
            <w:r w:rsidRPr="0013396E">
              <w:rPr>
                <w:b/>
                <w:iCs/>
                <w:sz w:val="20"/>
              </w:rPr>
              <w:t>MW</w:t>
            </w:r>
          </w:p>
        </w:tc>
        <w:tc>
          <w:tcPr>
            <w:tcW w:w="2875" w:type="dxa"/>
          </w:tcPr>
          <w:p w14:paraId="28E20D6A" w14:textId="77777777" w:rsidR="00540BAB" w:rsidRPr="0013396E" w:rsidRDefault="00540BAB" w:rsidP="005B61C1">
            <w:pPr>
              <w:spacing w:after="120"/>
              <w:rPr>
                <w:b/>
                <w:iCs/>
                <w:sz w:val="20"/>
              </w:rPr>
            </w:pPr>
            <w:r w:rsidRPr="0013396E">
              <w:rPr>
                <w:b/>
                <w:iCs/>
                <w:sz w:val="20"/>
              </w:rPr>
              <w:t>Price (per MWh)</w:t>
            </w:r>
          </w:p>
        </w:tc>
      </w:tr>
      <w:tr w:rsidR="00540BAB" w:rsidRPr="0013396E" w14:paraId="716711E0" w14:textId="77777777" w:rsidTr="00890D72">
        <w:trPr>
          <w:jc w:val="center"/>
        </w:trPr>
        <w:tc>
          <w:tcPr>
            <w:tcW w:w="3596" w:type="dxa"/>
          </w:tcPr>
          <w:p w14:paraId="6773B56B" w14:textId="01099709" w:rsidR="00540BAB" w:rsidRPr="0013396E" w:rsidRDefault="00540BAB" w:rsidP="005B61C1">
            <w:pPr>
              <w:spacing w:after="60"/>
              <w:rPr>
                <w:iCs/>
                <w:sz w:val="20"/>
              </w:rPr>
            </w:pPr>
            <w:r w:rsidRPr="0013396E">
              <w:rPr>
                <w:iCs/>
                <w:sz w:val="20"/>
              </w:rPr>
              <w:t xml:space="preserve">LPC to MPC minus maximum MW of </w:t>
            </w:r>
            <w:r w:rsidR="00890D72" w:rsidRPr="0013396E">
              <w:rPr>
                <w:iCs/>
                <w:sz w:val="20"/>
              </w:rPr>
              <w:t xml:space="preserve">RTM </w:t>
            </w:r>
            <w:r w:rsidRPr="0013396E">
              <w:rPr>
                <w:iCs/>
                <w:sz w:val="20"/>
              </w:rPr>
              <w:t>Energy Bid</w:t>
            </w:r>
          </w:p>
        </w:tc>
        <w:tc>
          <w:tcPr>
            <w:tcW w:w="2875" w:type="dxa"/>
          </w:tcPr>
          <w:p w14:paraId="5D03AF40" w14:textId="1545EEFC" w:rsidR="00540BAB" w:rsidRPr="0013396E" w:rsidRDefault="00540BAB" w:rsidP="005B61C1">
            <w:pPr>
              <w:spacing w:after="60"/>
              <w:rPr>
                <w:iCs/>
                <w:sz w:val="20"/>
              </w:rPr>
            </w:pPr>
            <w:r w:rsidRPr="0013396E">
              <w:rPr>
                <w:iCs/>
                <w:sz w:val="20"/>
              </w:rPr>
              <w:t xml:space="preserve">Price associated with the lowest MW in submitted </w:t>
            </w:r>
            <w:r w:rsidR="00890D72" w:rsidRPr="0013396E">
              <w:rPr>
                <w:iCs/>
                <w:sz w:val="20"/>
              </w:rPr>
              <w:t xml:space="preserve">RTM </w:t>
            </w:r>
            <w:r w:rsidRPr="0013396E">
              <w:rPr>
                <w:iCs/>
                <w:sz w:val="20"/>
              </w:rPr>
              <w:t xml:space="preserve">Energy Bid </w:t>
            </w:r>
            <w:r w:rsidR="00890D72" w:rsidRPr="0013396E">
              <w:rPr>
                <w:iCs/>
                <w:sz w:val="20"/>
              </w:rPr>
              <w:t>c</w:t>
            </w:r>
            <w:r w:rsidRPr="0013396E">
              <w:rPr>
                <w:iCs/>
                <w:sz w:val="20"/>
              </w:rPr>
              <w:t>urve</w:t>
            </w:r>
          </w:p>
        </w:tc>
      </w:tr>
      <w:tr w:rsidR="00540BAB" w:rsidRPr="0013396E" w14:paraId="5A36AD19" w14:textId="77777777" w:rsidTr="00890D72">
        <w:trPr>
          <w:jc w:val="center"/>
        </w:trPr>
        <w:tc>
          <w:tcPr>
            <w:tcW w:w="3596" w:type="dxa"/>
          </w:tcPr>
          <w:p w14:paraId="1A25A03C" w14:textId="097F16FD" w:rsidR="00540BAB" w:rsidRPr="0013396E" w:rsidRDefault="00540BAB" w:rsidP="005B61C1">
            <w:pPr>
              <w:spacing w:after="60"/>
              <w:rPr>
                <w:iCs/>
                <w:sz w:val="20"/>
              </w:rPr>
            </w:pPr>
            <w:r w:rsidRPr="0013396E">
              <w:rPr>
                <w:iCs/>
                <w:sz w:val="20"/>
              </w:rPr>
              <w:t xml:space="preserve">MPC minus maximum MW of </w:t>
            </w:r>
            <w:r w:rsidR="00890D72" w:rsidRPr="0013396E">
              <w:rPr>
                <w:iCs/>
                <w:sz w:val="20"/>
              </w:rPr>
              <w:t xml:space="preserve">RTM </w:t>
            </w:r>
            <w:r w:rsidRPr="0013396E">
              <w:rPr>
                <w:iCs/>
                <w:sz w:val="20"/>
              </w:rPr>
              <w:t>Energy Bid to MPC</w:t>
            </w:r>
          </w:p>
        </w:tc>
        <w:tc>
          <w:tcPr>
            <w:tcW w:w="2875" w:type="dxa"/>
          </w:tcPr>
          <w:p w14:paraId="3080D9F7" w14:textId="52345B3A" w:rsidR="00540BAB" w:rsidRPr="0013396E" w:rsidRDefault="00890D72" w:rsidP="005B61C1">
            <w:pPr>
              <w:spacing w:after="60"/>
              <w:rPr>
                <w:iCs/>
                <w:sz w:val="20"/>
              </w:rPr>
            </w:pPr>
            <w:r w:rsidRPr="0013396E">
              <w:rPr>
                <w:iCs/>
                <w:sz w:val="20"/>
              </w:rPr>
              <w:t xml:space="preserve">RTM </w:t>
            </w:r>
            <w:r w:rsidR="00540BAB" w:rsidRPr="0013396E">
              <w:rPr>
                <w:iCs/>
                <w:sz w:val="20"/>
              </w:rPr>
              <w:t xml:space="preserve">Energy Bid </w:t>
            </w:r>
            <w:r w:rsidRPr="0013396E">
              <w:rPr>
                <w:iCs/>
                <w:sz w:val="20"/>
              </w:rPr>
              <w:t>c</w:t>
            </w:r>
            <w:r w:rsidR="00540BAB" w:rsidRPr="0013396E">
              <w:rPr>
                <w:iCs/>
                <w:sz w:val="20"/>
              </w:rPr>
              <w:t>urve</w:t>
            </w:r>
          </w:p>
        </w:tc>
      </w:tr>
      <w:tr w:rsidR="00540BAB" w:rsidRPr="0013396E" w14:paraId="6A53E9A6" w14:textId="77777777" w:rsidTr="00890D72">
        <w:trPr>
          <w:jc w:val="center"/>
        </w:trPr>
        <w:tc>
          <w:tcPr>
            <w:tcW w:w="3596" w:type="dxa"/>
          </w:tcPr>
          <w:p w14:paraId="7E9B8626" w14:textId="77777777" w:rsidR="00540BAB" w:rsidRPr="0013396E" w:rsidRDefault="00540BAB" w:rsidP="005B61C1">
            <w:pPr>
              <w:spacing w:after="60"/>
              <w:rPr>
                <w:iCs/>
                <w:sz w:val="20"/>
              </w:rPr>
            </w:pPr>
            <w:r w:rsidRPr="0013396E">
              <w:rPr>
                <w:iCs/>
                <w:sz w:val="20"/>
              </w:rPr>
              <w:t>MPC</w:t>
            </w:r>
          </w:p>
        </w:tc>
        <w:tc>
          <w:tcPr>
            <w:tcW w:w="2875" w:type="dxa"/>
          </w:tcPr>
          <w:p w14:paraId="2F76597D" w14:textId="5A945472" w:rsidR="00540BAB" w:rsidRPr="0013396E" w:rsidRDefault="00540BAB" w:rsidP="005B61C1">
            <w:pPr>
              <w:spacing w:after="60"/>
              <w:rPr>
                <w:iCs/>
                <w:sz w:val="20"/>
              </w:rPr>
            </w:pPr>
            <w:r w:rsidRPr="0013396E">
              <w:rPr>
                <w:iCs/>
                <w:sz w:val="20"/>
              </w:rPr>
              <w:t xml:space="preserve">Right-most point (lowest price) on </w:t>
            </w:r>
            <w:r w:rsidR="00890D72" w:rsidRPr="0013396E">
              <w:rPr>
                <w:iCs/>
                <w:sz w:val="20"/>
              </w:rPr>
              <w:t xml:space="preserve">RTM </w:t>
            </w:r>
            <w:r w:rsidRPr="0013396E">
              <w:rPr>
                <w:iCs/>
                <w:sz w:val="20"/>
              </w:rPr>
              <w:t xml:space="preserve">Energy Bid </w:t>
            </w:r>
            <w:r w:rsidR="00890D72" w:rsidRPr="0013396E">
              <w:rPr>
                <w:iCs/>
                <w:sz w:val="20"/>
              </w:rPr>
              <w:t>c</w:t>
            </w:r>
            <w:r w:rsidRPr="0013396E">
              <w:rPr>
                <w:iCs/>
                <w:sz w:val="20"/>
              </w:rPr>
              <w:t>urve</w:t>
            </w:r>
          </w:p>
        </w:tc>
      </w:tr>
    </w:tbl>
    <w:p w14:paraId="6C1A0FC9" w14:textId="77777777" w:rsidR="00890D72" w:rsidRPr="0013396E" w:rsidRDefault="00890D7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890D72" w:rsidRPr="0013396E" w14:paraId="55AFDFD4" w14:textId="77777777" w:rsidTr="00890D72">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53782E12" w14:textId="482B1341" w:rsidR="00890D72" w:rsidRPr="0013396E" w:rsidRDefault="00890D72" w:rsidP="005B61C1">
            <w:pPr>
              <w:spacing w:before="120" w:after="240"/>
              <w:rPr>
                <w:b/>
                <w:i/>
                <w:iCs/>
                <w:szCs w:val="24"/>
              </w:rPr>
            </w:pPr>
            <w:r w:rsidRPr="0013396E">
              <w:rPr>
                <w:b/>
                <w:i/>
                <w:iCs/>
                <w:szCs w:val="24"/>
              </w:rPr>
              <w:t>[NPRR1188:  Replace paragraph (8) above with the following upon system implementation and renumber accordingly:]</w:t>
            </w:r>
          </w:p>
          <w:p w14:paraId="6CEDD5C8" w14:textId="77777777" w:rsidR="00890D72" w:rsidRPr="0013396E" w:rsidRDefault="00890D72" w:rsidP="00890D72">
            <w:pPr>
              <w:spacing w:after="240"/>
              <w:ind w:left="720" w:hanging="720"/>
            </w:pPr>
            <w:r w:rsidRPr="0013396E">
              <w:t>(8)</w:t>
            </w:r>
            <w:r w:rsidRPr="0013396E">
              <w:tab/>
              <w:t>For a CLR whose QSE has submitted an Energy Bid Curve that does not cover the full range of the Resource’s available Demand response capability, consistent with the CLR’s telemetered quantities, ERCOT shall create a proxy energy bid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6"/>
              <w:gridCol w:w="2875"/>
            </w:tblGrid>
            <w:tr w:rsidR="00890D72" w:rsidRPr="0013396E" w14:paraId="1C0C8A41" w14:textId="77777777" w:rsidTr="005B61C1">
              <w:trPr>
                <w:jc w:val="center"/>
              </w:trPr>
              <w:tc>
                <w:tcPr>
                  <w:tcW w:w="3596" w:type="dxa"/>
                </w:tcPr>
                <w:p w14:paraId="7B2F42DA" w14:textId="77777777" w:rsidR="00890D72" w:rsidRPr="0013396E" w:rsidRDefault="00890D72" w:rsidP="00890D72">
                  <w:pPr>
                    <w:spacing w:after="120"/>
                    <w:rPr>
                      <w:b/>
                      <w:iCs/>
                      <w:sz w:val="20"/>
                    </w:rPr>
                  </w:pPr>
                  <w:r w:rsidRPr="0013396E">
                    <w:rPr>
                      <w:b/>
                      <w:iCs/>
                      <w:sz w:val="20"/>
                    </w:rPr>
                    <w:t>MW</w:t>
                  </w:r>
                </w:p>
              </w:tc>
              <w:tc>
                <w:tcPr>
                  <w:tcW w:w="2875" w:type="dxa"/>
                </w:tcPr>
                <w:p w14:paraId="5F24A64C" w14:textId="77777777" w:rsidR="00890D72" w:rsidRPr="0013396E" w:rsidRDefault="00890D72" w:rsidP="00890D72">
                  <w:pPr>
                    <w:spacing w:after="120"/>
                    <w:rPr>
                      <w:b/>
                      <w:iCs/>
                      <w:sz w:val="20"/>
                    </w:rPr>
                  </w:pPr>
                  <w:r w:rsidRPr="0013396E">
                    <w:rPr>
                      <w:b/>
                      <w:iCs/>
                      <w:sz w:val="20"/>
                    </w:rPr>
                    <w:t>Price (per MWh)</w:t>
                  </w:r>
                </w:p>
              </w:tc>
            </w:tr>
            <w:tr w:rsidR="00890D72" w:rsidRPr="0013396E" w14:paraId="4E61C99A" w14:textId="77777777" w:rsidTr="005B61C1">
              <w:trPr>
                <w:jc w:val="center"/>
              </w:trPr>
              <w:tc>
                <w:tcPr>
                  <w:tcW w:w="3596" w:type="dxa"/>
                </w:tcPr>
                <w:p w14:paraId="28208E85" w14:textId="77777777" w:rsidR="00890D72" w:rsidRPr="0013396E" w:rsidRDefault="00890D72" w:rsidP="00890D72">
                  <w:pPr>
                    <w:spacing w:after="60"/>
                    <w:rPr>
                      <w:iCs/>
                      <w:sz w:val="20"/>
                    </w:rPr>
                  </w:pPr>
                  <w:r w:rsidRPr="0013396E">
                    <w:rPr>
                      <w:iCs/>
                      <w:sz w:val="20"/>
                    </w:rPr>
                    <w:t>LPC to MPC minus maximum MW of Energy Bid Curve</w:t>
                  </w:r>
                </w:p>
              </w:tc>
              <w:tc>
                <w:tcPr>
                  <w:tcW w:w="2875" w:type="dxa"/>
                </w:tcPr>
                <w:p w14:paraId="040852EC" w14:textId="77777777" w:rsidR="00890D72" w:rsidRPr="0013396E" w:rsidRDefault="00890D72" w:rsidP="00890D72">
                  <w:pPr>
                    <w:spacing w:after="60"/>
                    <w:rPr>
                      <w:iCs/>
                      <w:sz w:val="20"/>
                    </w:rPr>
                  </w:pPr>
                  <w:r w:rsidRPr="0013396E">
                    <w:rPr>
                      <w:iCs/>
                      <w:sz w:val="20"/>
                    </w:rPr>
                    <w:t>Price associated with the lowest MW in submitted Energy Bid Curve</w:t>
                  </w:r>
                </w:p>
              </w:tc>
            </w:tr>
            <w:tr w:rsidR="00890D72" w:rsidRPr="0013396E" w14:paraId="7FCD1400" w14:textId="77777777" w:rsidTr="005B61C1">
              <w:trPr>
                <w:jc w:val="center"/>
              </w:trPr>
              <w:tc>
                <w:tcPr>
                  <w:tcW w:w="3596" w:type="dxa"/>
                </w:tcPr>
                <w:p w14:paraId="187FF6AF" w14:textId="77777777" w:rsidR="00890D72" w:rsidRPr="0013396E" w:rsidRDefault="00890D72" w:rsidP="00890D72">
                  <w:pPr>
                    <w:spacing w:after="60"/>
                    <w:rPr>
                      <w:iCs/>
                      <w:sz w:val="20"/>
                    </w:rPr>
                  </w:pPr>
                  <w:r w:rsidRPr="0013396E">
                    <w:rPr>
                      <w:iCs/>
                      <w:sz w:val="20"/>
                    </w:rPr>
                    <w:t>MPC minus maximum MW of Energy Bid Curve to MPC</w:t>
                  </w:r>
                </w:p>
              </w:tc>
              <w:tc>
                <w:tcPr>
                  <w:tcW w:w="2875" w:type="dxa"/>
                </w:tcPr>
                <w:p w14:paraId="002753F8" w14:textId="77777777" w:rsidR="00890D72" w:rsidRPr="0013396E" w:rsidRDefault="00890D72" w:rsidP="00890D72">
                  <w:pPr>
                    <w:spacing w:after="60"/>
                    <w:rPr>
                      <w:iCs/>
                      <w:sz w:val="20"/>
                    </w:rPr>
                  </w:pPr>
                  <w:r w:rsidRPr="0013396E">
                    <w:rPr>
                      <w:iCs/>
                      <w:sz w:val="20"/>
                    </w:rPr>
                    <w:t>Energy Bid Curve</w:t>
                  </w:r>
                </w:p>
              </w:tc>
            </w:tr>
            <w:tr w:rsidR="00890D72" w:rsidRPr="0013396E" w14:paraId="46A6D377" w14:textId="77777777" w:rsidTr="005B61C1">
              <w:trPr>
                <w:jc w:val="center"/>
              </w:trPr>
              <w:tc>
                <w:tcPr>
                  <w:tcW w:w="3596" w:type="dxa"/>
                </w:tcPr>
                <w:p w14:paraId="79854C11" w14:textId="77777777" w:rsidR="00890D72" w:rsidRPr="0013396E" w:rsidRDefault="00890D72" w:rsidP="00890D72">
                  <w:pPr>
                    <w:spacing w:after="60"/>
                    <w:rPr>
                      <w:iCs/>
                      <w:sz w:val="20"/>
                    </w:rPr>
                  </w:pPr>
                  <w:r w:rsidRPr="0013396E">
                    <w:rPr>
                      <w:iCs/>
                      <w:sz w:val="20"/>
                    </w:rPr>
                    <w:t>MPC</w:t>
                  </w:r>
                </w:p>
              </w:tc>
              <w:tc>
                <w:tcPr>
                  <w:tcW w:w="2875" w:type="dxa"/>
                </w:tcPr>
                <w:p w14:paraId="09C43160" w14:textId="77777777" w:rsidR="00890D72" w:rsidRPr="0013396E" w:rsidRDefault="00890D72" w:rsidP="00890D72">
                  <w:pPr>
                    <w:spacing w:after="60"/>
                    <w:rPr>
                      <w:iCs/>
                      <w:sz w:val="20"/>
                    </w:rPr>
                  </w:pPr>
                  <w:r w:rsidRPr="0013396E">
                    <w:rPr>
                      <w:iCs/>
                      <w:sz w:val="20"/>
                    </w:rPr>
                    <w:t>Right-most point (lowest price) on Energy Bid Curve</w:t>
                  </w:r>
                </w:p>
              </w:tc>
            </w:tr>
          </w:tbl>
          <w:p w14:paraId="1529B548" w14:textId="77777777" w:rsidR="00890D72" w:rsidRPr="0013396E" w:rsidRDefault="00890D72" w:rsidP="00890D72">
            <w:pPr>
              <w:spacing w:before="240" w:after="240"/>
              <w:ind w:left="720" w:hanging="720"/>
            </w:pPr>
            <w:r w:rsidRPr="0013396E">
              <w:t>(9)</w:t>
            </w:r>
            <w:r w:rsidRPr="0013396E">
              <w:tab/>
              <w:t>For a CLR whose QSE has not submitted an Energy Bid Curve, consistent with the CLR’s telemetered quantities, ERCOT shall create a proxy Energy Bid Curve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6"/>
              <w:gridCol w:w="2875"/>
            </w:tblGrid>
            <w:tr w:rsidR="00890D72" w:rsidRPr="0013396E" w14:paraId="2E5E486B" w14:textId="77777777" w:rsidTr="005B61C1">
              <w:trPr>
                <w:jc w:val="center"/>
              </w:trPr>
              <w:tc>
                <w:tcPr>
                  <w:tcW w:w="3596" w:type="dxa"/>
                </w:tcPr>
                <w:p w14:paraId="7C1C43E0" w14:textId="77777777" w:rsidR="00890D72" w:rsidRPr="0013396E" w:rsidRDefault="00890D72" w:rsidP="00890D72">
                  <w:pPr>
                    <w:spacing w:after="240"/>
                    <w:rPr>
                      <w:b/>
                      <w:iCs/>
                      <w:sz w:val="20"/>
                    </w:rPr>
                  </w:pPr>
                  <w:r w:rsidRPr="0013396E">
                    <w:rPr>
                      <w:b/>
                      <w:iCs/>
                      <w:sz w:val="20"/>
                    </w:rPr>
                    <w:t>MW</w:t>
                  </w:r>
                </w:p>
              </w:tc>
              <w:tc>
                <w:tcPr>
                  <w:tcW w:w="2875" w:type="dxa"/>
                </w:tcPr>
                <w:p w14:paraId="6364D578" w14:textId="77777777" w:rsidR="00890D72" w:rsidRPr="0013396E" w:rsidRDefault="00890D72" w:rsidP="00890D72">
                  <w:pPr>
                    <w:spacing w:after="240"/>
                    <w:rPr>
                      <w:b/>
                      <w:iCs/>
                      <w:sz w:val="20"/>
                    </w:rPr>
                  </w:pPr>
                  <w:r w:rsidRPr="0013396E">
                    <w:rPr>
                      <w:b/>
                      <w:iCs/>
                      <w:sz w:val="20"/>
                    </w:rPr>
                    <w:t>Price (per MWh)</w:t>
                  </w:r>
                </w:p>
              </w:tc>
            </w:tr>
            <w:tr w:rsidR="00890D72" w:rsidRPr="0013396E" w14:paraId="01933483" w14:textId="77777777" w:rsidTr="005B61C1">
              <w:trPr>
                <w:jc w:val="center"/>
              </w:trPr>
              <w:tc>
                <w:tcPr>
                  <w:tcW w:w="3596" w:type="dxa"/>
                </w:tcPr>
                <w:p w14:paraId="720CF2F5" w14:textId="77777777" w:rsidR="00890D72" w:rsidRPr="0013396E" w:rsidRDefault="00890D72" w:rsidP="00890D72">
                  <w:pPr>
                    <w:spacing w:after="60"/>
                    <w:rPr>
                      <w:iCs/>
                      <w:sz w:val="20"/>
                    </w:rPr>
                  </w:pPr>
                  <w:r w:rsidRPr="0013396E">
                    <w:rPr>
                      <w:iCs/>
                      <w:sz w:val="20"/>
                    </w:rPr>
                    <w:lastRenderedPageBreak/>
                    <w:t xml:space="preserve">LPC to MPC </w:t>
                  </w:r>
                </w:p>
              </w:tc>
              <w:tc>
                <w:tcPr>
                  <w:tcW w:w="2875" w:type="dxa"/>
                </w:tcPr>
                <w:p w14:paraId="75D182C8" w14:textId="77777777" w:rsidR="00890D72" w:rsidRPr="0013396E" w:rsidRDefault="00890D72" w:rsidP="00890D72">
                  <w:pPr>
                    <w:spacing w:after="60"/>
                    <w:rPr>
                      <w:iCs/>
                      <w:sz w:val="20"/>
                    </w:rPr>
                  </w:pPr>
                  <w:r w:rsidRPr="0013396E">
                    <w:rPr>
                      <w:sz w:val="20"/>
                    </w:rPr>
                    <w:t>Effective</w:t>
                  </w:r>
                  <w:r w:rsidRPr="0013396E">
                    <w:rPr>
                      <w:iCs/>
                      <w:sz w:val="20"/>
                    </w:rPr>
                    <w:t xml:space="preserve"> Value of Lost Load (VOLL)</w:t>
                  </w:r>
                </w:p>
              </w:tc>
            </w:tr>
          </w:tbl>
          <w:p w14:paraId="448C4E97" w14:textId="4912AFC4" w:rsidR="00890D72" w:rsidRPr="0013396E" w:rsidRDefault="00890D72" w:rsidP="005B61C1">
            <w:pPr>
              <w:spacing w:after="240"/>
              <w:ind w:left="720" w:hanging="720"/>
            </w:pPr>
          </w:p>
        </w:tc>
      </w:tr>
    </w:tbl>
    <w:p w14:paraId="0B1C387F" w14:textId="028D1919" w:rsidR="00540BAB" w:rsidRPr="0013396E" w:rsidRDefault="00540BAB" w:rsidP="00540BAB">
      <w:pPr>
        <w:spacing w:before="240" w:after="240"/>
        <w:ind w:left="720" w:hanging="720"/>
      </w:pPr>
      <w:r w:rsidRPr="0013396E">
        <w:lastRenderedPageBreak/>
        <w:t>(</w:t>
      </w:r>
      <w:r w:rsidR="00890D72" w:rsidRPr="0013396E">
        <w:t>9</w:t>
      </w:r>
      <w:r w:rsidRPr="0013396E">
        <w:t>)</w:t>
      </w:r>
      <w:r w:rsidRPr="0013396E">
        <w:tab/>
        <w:t xml:space="preserve">ERCOT shall ensure that any </w:t>
      </w:r>
      <w:r w:rsidR="00890D72" w:rsidRPr="0013396E">
        <w:t xml:space="preserve">RTM </w:t>
      </w:r>
      <w:r w:rsidRPr="0013396E">
        <w:t xml:space="preserve">Energy Bid is monotonically non-increasing.  The QSE representing the CLR shall be responsible for all </w:t>
      </w:r>
      <w:r w:rsidR="00F36338" w:rsidRPr="0013396E">
        <w:t xml:space="preserve">RTM </w:t>
      </w:r>
      <w:r w:rsidRPr="0013396E">
        <w:t xml:space="preserve">Energy Bids, including </w:t>
      </w:r>
      <w:r w:rsidR="00F36338" w:rsidRPr="0013396E">
        <w:t>bids</w:t>
      </w:r>
      <w:r w:rsidRPr="0013396E">
        <w:t xml:space="preserve"> updated by ERCOT as described above.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890D72" w:rsidRPr="0013396E" w14:paraId="6F933DA7" w14:textId="77777777" w:rsidTr="005B61C1">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4906C0E0" w14:textId="0A9EDABA" w:rsidR="00890D72" w:rsidRPr="0013396E" w:rsidRDefault="00890D72" w:rsidP="005B61C1">
            <w:pPr>
              <w:spacing w:before="120" w:after="240"/>
              <w:rPr>
                <w:b/>
                <w:i/>
                <w:iCs/>
                <w:szCs w:val="24"/>
              </w:rPr>
            </w:pPr>
            <w:r w:rsidRPr="0013396E">
              <w:rPr>
                <w:b/>
                <w:i/>
                <w:iCs/>
                <w:szCs w:val="24"/>
              </w:rPr>
              <w:t>[NPRR1188:  Replace paragraph (9) above with the following upon system implementation:]</w:t>
            </w:r>
          </w:p>
          <w:p w14:paraId="23222286" w14:textId="306CC891" w:rsidR="00890D72" w:rsidRPr="0013396E" w:rsidRDefault="00890D72" w:rsidP="00890D72">
            <w:pPr>
              <w:spacing w:before="240" w:after="240"/>
              <w:ind w:left="720" w:hanging="720"/>
            </w:pPr>
            <w:r w:rsidRPr="0013396E">
              <w:t>(9)</w:t>
            </w:r>
            <w:r w:rsidRPr="0013396E">
              <w:tab/>
              <w:t>ERCOT shall ensure that any Energy Bid Curve is monotonically non-increasing.  The QSE representing the CLR shall be responsible for all Energy Bid Curves, including Energy Bid Curves updated by ERCOT as described above.</w:t>
            </w:r>
          </w:p>
        </w:tc>
      </w:tr>
    </w:tbl>
    <w:p w14:paraId="54B0297E" w14:textId="573A96AB" w:rsidR="00540BAB" w:rsidRPr="0013396E" w:rsidRDefault="00F36338" w:rsidP="007A1E53">
      <w:pPr>
        <w:spacing w:before="240" w:after="240"/>
        <w:ind w:left="720" w:hanging="720"/>
      </w:pPr>
      <w:r w:rsidRPr="0013396E">
        <w:t>(10)</w:t>
      </w:r>
      <w:r w:rsidRPr="0013396E">
        <w:tab/>
        <w:t>If a CLR telemeters a status of OUTL, it is not considered as dispatchable capacity by SCED.  A QSE may use this function to inform ERCOT of instances when the CLR is unable to follow SCED Dispatch Instructions.  Under all telemetered statuses, including OUTL, the remaining telemetry quantities submitted by the QSE shall represent the operating conditions of the CLR that can be verified by ERCOT.  A QSE representing a CLR with a telemetered status of OUTL is still obligated to provide any applicable Ancillary Services awarded to the Resource.  This paragraph does not apply to ESRs.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F36338" w:rsidRPr="0013396E" w14:paraId="7EC87766" w14:textId="77777777" w:rsidTr="005B61C1">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6A3372D2" w14:textId="1F53E57A" w:rsidR="00F36338" w:rsidRPr="0013396E" w:rsidRDefault="00F36338" w:rsidP="005B61C1">
            <w:pPr>
              <w:spacing w:before="120" w:after="240"/>
              <w:rPr>
                <w:b/>
                <w:i/>
                <w:iCs/>
                <w:szCs w:val="24"/>
              </w:rPr>
            </w:pPr>
            <w:r w:rsidRPr="00657137">
              <w:rPr>
                <w:b/>
                <w:i/>
                <w:iCs/>
                <w:szCs w:val="24"/>
              </w:rPr>
              <w:t>[NPRR1188:  Replace paragraph (10) above with the following upon system implementation:]</w:t>
            </w:r>
          </w:p>
          <w:p w14:paraId="52C8DCB9" w14:textId="65B3A075" w:rsidR="00F36338" w:rsidRPr="0013396E" w:rsidRDefault="00F36338" w:rsidP="00F36338">
            <w:pPr>
              <w:spacing w:after="240"/>
              <w:ind w:left="720" w:hanging="720"/>
            </w:pPr>
            <w:r w:rsidRPr="0013396E">
              <w:t>(10)</w:t>
            </w:r>
            <w:r w:rsidRPr="0013396E">
              <w:tab/>
            </w:r>
            <w:r w:rsidRPr="0013396E">
              <w:rPr>
                <w:iCs/>
              </w:rPr>
              <w:t xml:space="preserve">A CLR may consume energy only when dispatched by SCED to do so.  </w:t>
            </w:r>
            <w:r w:rsidRPr="0013396E">
              <w:t>A CLR may telemeter a status of OUTL only if the Resource is Off-Line and unavailable with its energy consumption at zero.  In instances when the CLR is unable to follow SCED Dispatch Instructions but still consumes energy, the CLR must submit a Resource Status of ONHOLD.  Under all telemetered statuses, including OUTL, the remaining telemetry quantities submitted by the QSE shall represent the operating conditions of the CLR that can be verified by ERCOT.  A QSE representing a CLR with a telemetered status of OUTL or ONHOLD is still obligated to provide any applicable Ancillary Services awarded to the Resource.  This paragraph does not apply to ESRs.</w:t>
            </w:r>
          </w:p>
        </w:tc>
      </w:tr>
    </w:tbl>
    <w:p w14:paraId="053499F3" w14:textId="2BBC271B" w:rsidR="00540BAB" w:rsidRPr="0013396E" w:rsidRDefault="00540BAB" w:rsidP="007A1E53">
      <w:pPr>
        <w:spacing w:before="240" w:after="240"/>
        <w:ind w:left="720" w:hanging="720"/>
      </w:pPr>
      <w:r w:rsidRPr="0013396E">
        <w:t>(1</w:t>
      </w:r>
      <w:r w:rsidR="00B73499">
        <w:t>1</w:t>
      </w:r>
      <w:r w:rsidRPr="0013396E">
        <w:t>)</w:t>
      </w:r>
      <w:r w:rsidRPr="0013396E">
        <w:tab/>
        <w:t>Energy Offer Curves that were constructed in whole or in part with proxy Energy Offer Curves shall be so marked in all ERCOT postings or references to the energy offer.</w:t>
      </w:r>
    </w:p>
    <w:p w14:paraId="4E02A437" w14:textId="41D2EFCB" w:rsidR="00540BAB" w:rsidRPr="0013396E" w:rsidRDefault="00540BAB" w:rsidP="00540BAB">
      <w:pPr>
        <w:spacing w:before="240" w:after="240"/>
        <w:ind w:left="720" w:hanging="720"/>
      </w:pPr>
      <w:r w:rsidRPr="0013396E">
        <w:t>(1</w:t>
      </w:r>
      <w:r w:rsidR="00B73499">
        <w:t>2</w:t>
      </w:r>
      <w:r w:rsidRPr="0013396E">
        <w:t>)</w:t>
      </w:r>
      <w:r w:rsidRPr="0013396E">
        <w:tab/>
        <w:t>SCED will enforce Resource-specific Ancillary Service constraints to ensure that Ancillary Service awards are aligned with a Resource’s qualifications and telemetered Ancillary Service capabilities.</w:t>
      </w:r>
    </w:p>
    <w:p w14:paraId="5662C0E0" w14:textId="77777777" w:rsidR="00540BAB" w:rsidRPr="0013396E" w:rsidRDefault="00540BAB" w:rsidP="00540BAB">
      <w:pPr>
        <w:spacing w:after="240"/>
        <w:ind w:left="1419" w:hanging="720"/>
      </w:pPr>
      <w:r w:rsidRPr="0013396E">
        <w:lastRenderedPageBreak/>
        <w:t>(a)</w:t>
      </w:r>
      <w:r w:rsidRPr="0013396E">
        <w:tab/>
        <w:t>A scaling factor of 5/7 shall be used for Reg-Up award when ensuring that the SCED Base Point plus the product of this scaling factor and the Reg-Up award does not exceed HDL.</w:t>
      </w:r>
    </w:p>
    <w:p w14:paraId="258E249F" w14:textId="77777777" w:rsidR="00540BAB" w:rsidRPr="0013396E" w:rsidRDefault="00540BAB" w:rsidP="00540BAB">
      <w:pPr>
        <w:spacing w:after="240"/>
        <w:ind w:left="1419" w:hanging="720"/>
      </w:pPr>
      <w:r w:rsidRPr="0013396E">
        <w:t>(b)</w:t>
      </w:r>
      <w:r w:rsidRPr="0013396E">
        <w:tab/>
        <w:t>A scaling factor of 5/7 shall be used for Reg-Down award when ensuring that the SCED Base Point minus the product of this scaling factor and the Reg-Down award does not go below LDL.</w:t>
      </w:r>
    </w:p>
    <w:p w14:paraId="591FBA08" w14:textId="7EAB3658" w:rsidR="00540BAB" w:rsidRPr="0013396E" w:rsidRDefault="00540BAB" w:rsidP="00540BAB">
      <w:pPr>
        <w:spacing w:before="240" w:after="240"/>
        <w:ind w:left="720" w:hanging="720"/>
      </w:pPr>
      <w:r w:rsidRPr="0013396E">
        <w:t>(1</w:t>
      </w:r>
      <w:r w:rsidR="00B73499">
        <w:t>3</w:t>
      </w:r>
      <w:r w:rsidRPr="0013396E">
        <w:t>)</w:t>
      </w:r>
      <w:r w:rsidRPr="0013396E">
        <w:tab/>
        <w:t>Energy Bid/Offer Curves that were constructed in whole or in part with proxy Energy Bid/Offer Curves shall be so marked in all ERCOT postings or references to the energy bid/offer.</w:t>
      </w:r>
    </w:p>
    <w:p w14:paraId="3130AFAE" w14:textId="2360D3A5" w:rsidR="00540BAB" w:rsidRPr="0013396E" w:rsidRDefault="00540BAB" w:rsidP="00540BAB">
      <w:pPr>
        <w:spacing w:before="240" w:after="240"/>
        <w:ind w:left="720" w:hanging="720"/>
      </w:pPr>
      <w:r w:rsidRPr="0013396E">
        <w:t>(1</w:t>
      </w:r>
      <w:r w:rsidR="00B73499">
        <w:t>4</w:t>
      </w:r>
      <w:r w:rsidRPr="0013396E">
        <w:t>)</w:t>
      </w:r>
      <w:r w:rsidRPr="0013396E">
        <w:tab/>
        <w:t>The two-step SCED methodology referenced in paragraph (1) above is:</w:t>
      </w:r>
    </w:p>
    <w:p w14:paraId="33D079D5" w14:textId="55685ED6" w:rsidR="00540BAB" w:rsidRPr="0013396E" w:rsidRDefault="00540BAB" w:rsidP="00540BAB">
      <w:pPr>
        <w:spacing w:after="240"/>
        <w:ind w:left="1440" w:hanging="720"/>
      </w:pPr>
      <w:r w:rsidRPr="0013396E">
        <w:t>(a)</w:t>
      </w:r>
      <w:r w:rsidRPr="0013396E">
        <w:tab/>
        <w:t xml:space="preserve">The first step is to execute the SCED process to determine Reference LMPs.  In this step, ERCOT executes SCED using the full Network Operations Model while only observing limits of Competitive Constraints in addition to power balance and Ancillary Service constraints.  Energy Offer Curves for all On-Line Generation Resources, Energy Bid/Offer Curves for all On-Line ESRs, and </w:t>
      </w:r>
      <w:r w:rsidR="00F36338" w:rsidRPr="0013396E">
        <w:t xml:space="preserve">RTM </w:t>
      </w:r>
      <w:r w:rsidRPr="0013396E">
        <w:t xml:space="preserve">Energy Bids from available CLRs, whether submitted by QSEs or created by ERCOT under this Section, are used in the SCED to determine “Reference LMPs.”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F36338" w:rsidRPr="0013396E" w14:paraId="4BE2699E" w14:textId="77777777" w:rsidTr="005B61C1">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57828FA3" w14:textId="41DA7A86" w:rsidR="00F36338" w:rsidRPr="0013396E" w:rsidRDefault="00F36338" w:rsidP="005B61C1">
            <w:pPr>
              <w:spacing w:before="120" w:after="240"/>
              <w:rPr>
                <w:b/>
                <w:i/>
                <w:iCs/>
                <w:szCs w:val="24"/>
              </w:rPr>
            </w:pPr>
            <w:r w:rsidRPr="0013396E">
              <w:rPr>
                <w:b/>
                <w:i/>
                <w:iCs/>
                <w:szCs w:val="24"/>
              </w:rPr>
              <w:t>[NPRR1188:  Replace paragraph (a) above with the following upon system implementation:]</w:t>
            </w:r>
          </w:p>
          <w:p w14:paraId="46CD4525" w14:textId="313914A1" w:rsidR="00F36338" w:rsidRPr="0013396E" w:rsidRDefault="00F36338" w:rsidP="00F36338">
            <w:pPr>
              <w:spacing w:after="240"/>
              <w:ind w:left="1440" w:hanging="720"/>
            </w:pPr>
            <w:r w:rsidRPr="0013396E">
              <w:t>(a)</w:t>
            </w:r>
            <w:r w:rsidRPr="0013396E">
              <w:tab/>
              <w:t>The first step is to execute the SCED process to determine Reference LMPs.  In this step, ERCOT executes SCED using the full Network Operations Model while only observing limits of Competitive Constraints in addition to power balance and Ancillary Service constraints.  Energy Offer Curves for all On-Line Generation Resources, Energy Bid/Offer Curves for all On-Line ESRs, and Energy Bid Curves from available CLRs, whether submitted by QSEs or created by ERCOT under this Section, are used in the SCED to determine “Reference LMPs.”</w:t>
            </w:r>
          </w:p>
        </w:tc>
      </w:tr>
    </w:tbl>
    <w:p w14:paraId="5FDEAF20" w14:textId="7536A13B" w:rsidR="00540BAB" w:rsidRPr="0013396E" w:rsidRDefault="00540BAB" w:rsidP="007A1E53">
      <w:pPr>
        <w:spacing w:before="240" w:after="240"/>
        <w:ind w:left="1440" w:hanging="720"/>
      </w:pPr>
      <w:r w:rsidRPr="0013396E">
        <w:t>(b)</w:t>
      </w:r>
      <w:r w:rsidRPr="0013396E">
        <w:tab/>
        <w:t>The second step is to execute the SCED process to produce Base Points, Ancillary Service awards, Shadow Prices, Real-Time MCPCs, and LMPs, subject to security constraints (including Competitive and Non-Competitive Constraints) and other Resource constraints.  The second step must:</w:t>
      </w:r>
    </w:p>
    <w:p w14:paraId="7CF15B27" w14:textId="77777777" w:rsidR="00540BAB" w:rsidRPr="0013396E" w:rsidRDefault="00540BAB" w:rsidP="00540BAB">
      <w:pPr>
        <w:spacing w:after="240"/>
        <w:ind w:left="2160" w:hanging="720"/>
      </w:pPr>
      <w:r w:rsidRPr="0013396E">
        <w:t>(i)</w:t>
      </w:r>
      <w:r w:rsidRPr="0013396E">
        <w:tab/>
        <w:t xml:space="preserve">Use Energy Offer Curves for all On-Line Generation Resources, whether submitted by QSEs or created by ERCOT.  Each Energy Offer Curve must be bounded at the lesser of the Reference LMP (from Step 1) or the appropriate Mitigated Offer Floor.  In addition, each Energy Offer Curve subject to mitigation under the criteria described in Section 3.19.4, Security-Constrained Economic Dispatch Constraint Competitiveness Test, must be capped at the greater of the Reference LMP (from Step 1) at </w:t>
      </w:r>
      <w:r w:rsidRPr="0013396E">
        <w:lastRenderedPageBreak/>
        <w:t xml:space="preserve">the Resource Node plus a variable not to exceed 0.01 multiplied by the value of the Resource’s Mitigated Offer Cap (MOC) curve at the LSL or the appropriate MOC; </w:t>
      </w:r>
    </w:p>
    <w:p w14:paraId="5242E306" w14:textId="77777777" w:rsidR="00540BAB" w:rsidRPr="0013396E" w:rsidRDefault="00540BAB" w:rsidP="00540BAB">
      <w:pPr>
        <w:spacing w:after="240"/>
        <w:ind w:left="2160" w:hanging="720"/>
      </w:pPr>
      <w:r w:rsidRPr="0013396E">
        <w:t>(ii)</w:t>
      </w:r>
      <w:r w:rsidRPr="0013396E">
        <w:tab/>
        <w:t xml:space="preserve">Use Energy Bid/Offer Curves for all On-Line ESRs, whether submitted by QSEs or created by ERCOT.  Each Energy Bid/Offer Curve must be bounded at the lesser of the Reference LMP (from Step 1) or the appropriate Mitigated Offer Floor.  The offer portion of each Energy Bid/Offer Curve subject to mitigation under the criteria described in Section 3.19.4, Security-Constrained Economic Dispatch Constraint Competitiveness Test, must be capped at the greater of the Reference LMP (from Step 1) at the Resource Node plus a variable not to exceed 0.01 multiplied by the value of the Resource’s MOC curve at the LSL or the appropriate MOC; </w:t>
      </w:r>
    </w:p>
    <w:p w14:paraId="6B0C40C2" w14:textId="4588BFAF" w:rsidR="00540BAB" w:rsidRPr="0013396E" w:rsidRDefault="00540BAB" w:rsidP="00540BAB">
      <w:pPr>
        <w:spacing w:after="240"/>
        <w:ind w:left="2160" w:hanging="720"/>
      </w:pPr>
      <w:r w:rsidRPr="0013396E">
        <w:t>(iii)</w:t>
      </w:r>
      <w:r w:rsidRPr="0013396E">
        <w:tab/>
        <w:t xml:space="preserve">Use </w:t>
      </w:r>
      <w:r w:rsidR="00F36338" w:rsidRPr="0013396E">
        <w:t xml:space="preserve">RTM </w:t>
      </w:r>
      <w:r w:rsidRPr="0013396E">
        <w:t xml:space="preserve">Energy Bids for all available CLRs, whether submitted by QSEs or created by ERCOT.  There is no mitigation of </w:t>
      </w:r>
      <w:r w:rsidR="00F36338" w:rsidRPr="0013396E">
        <w:t xml:space="preserve">RTM </w:t>
      </w:r>
      <w:r w:rsidRPr="0013396E">
        <w:t xml:space="preserve">Energy Bids.  </w:t>
      </w:r>
      <w:r w:rsidRPr="0013396E">
        <w:rPr>
          <w:iCs/>
        </w:rPr>
        <w:t xml:space="preserve">An </w:t>
      </w:r>
      <w:r w:rsidR="00F36338" w:rsidRPr="0013396E">
        <w:rPr>
          <w:iCs/>
        </w:rPr>
        <w:t xml:space="preserve">RTM </w:t>
      </w:r>
      <w:r w:rsidRPr="0013396E">
        <w:rPr>
          <w:iCs/>
        </w:rPr>
        <w:t>Energy Bid from a</w:t>
      </w:r>
      <w:r w:rsidR="00F36338" w:rsidRPr="0013396E">
        <w:rPr>
          <w:iCs/>
        </w:rPr>
        <w:t xml:space="preserve"> C</w:t>
      </w:r>
      <w:r w:rsidRPr="0013396E">
        <w:rPr>
          <w:iCs/>
        </w:rPr>
        <w:t xml:space="preserve">LR represents the bid for energy distributed across all nodes in the Load Zone in which the </w:t>
      </w:r>
      <w:r w:rsidR="00F36338" w:rsidRPr="0013396E">
        <w:rPr>
          <w:iCs/>
        </w:rPr>
        <w:t>CL</w:t>
      </w:r>
      <w:r w:rsidRPr="0013396E">
        <w:rPr>
          <w:iCs/>
        </w:rPr>
        <w:t xml:space="preserve">R is located.  For an ESR, an </w:t>
      </w:r>
      <w:r w:rsidR="00F36338" w:rsidRPr="0013396E">
        <w:rPr>
          <w:iCs/>
        </w:rPr>
        <w:t xml:space="preserve">RTM </w:t>
      </w:r>
      <w:r w:rsidRPr="0013396E">
        <w:rPr>
          <w:iCs/>
        </w:rPr>
        <w:t xml:space="preserve">Energy Bid represents a bid for energy at the </w:t>
      </w:r>
      <w:r w:rsidR="00F36338" w:rsidRPr="0013396E">
        <w:rPr>
          <w:iCs/>
        </w:rPr>
        <w:t>ESR’s</w:t>
      </w:r>
      <w:r w:rsidRPr="0013396E">
        <w:rPr>
          <w:iCs/>
        </w:rPr>
        <w:t xml:space="preserve"> Resource Node</w:t>
      </w:r>
      <w:r w:rsidRPr="0013396E">
        <w:t xml:space="preserve">;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F36338" w:rsidRPr="0013396E" w14:paraId="239983A0" w14:textId="77777777" w:rsidTr="005B61C1">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36675154" w14:textId="253D7705" w:rsidR="00F36338" w:rsidRPr="0013396E" w:rsidRDefault="00F36338" w:rsidP="005B61C1">
            <w:pPr>
              <w:spacing w:before="120" w:after="240"/>
              <w:rPr>
                <w:b/>
                <w:i/>
                <w:iCs/>
                <w:szCs w:val="24"/>
              </w:rPr>
            </w:pPr>
            <w:r w:rsidRPr="0013396E">
              <w:rPr>
                <w:b/>
                <w:i/>
                <w:iCs/>
                <w:szCs w:val="24"/>
              </w:rPr>
              <w:t>[NPRR1188:  Replace paragraph (iii) above with the following upon system implementation:]</w:t>
            </w:r>
          </w:p>
          <w:p w14:paraId="34A7C767" w14:textId="2ACB276B" w:rsidR="00F36338" w:rsidRPr="0013396E" w:rsidRDefault="00F36338" w:rsidP="00F36338">
            <w:pPr>
              <w:spacing w:after="240"/>
              <w:ind w:left="2160" w:hanging="720"/>
            </w:pPr>
            <w:r w:rsidRPr="0013396E">
              <w:t>(iii)</w:t>
            </w:r>
            <w:r w:rsidRPr="0013396E">
              <w:tab/>
              <w:t xml:space="preserve">Use Energy Bid Curves for all available CLRs, whether submitted by QSEs or created by ERCOT.  There is no mitigation of Energy Bid Curves.  </w:t>
            </w:r>
            <w:r w:rsidRPr="0013396E">
              <w:rPr>
                <w:iCs/>
              </w:rPr>
              <w:t>An Energy Bid Curve from an Aggregate Load Resource (ALR) represents the bid for energy distributed across all nodes in the Load Zone in which the ALR is located.  For an ESR or a CLR that is not an ALR, an Energy Bid Curve represents a bid for energy at the applicable Resource Node</w:t>
            </w:r>
            <w:r w:rsidRPr="0013396E">
              <w:t>;</w:t>
            </w:r>
          </w:p>
        </w:tc>
      </w:tr>
    </w:tbl>
    <w:p w14:paraId="501D3BAD" w14:textId="5EA9D224" w:rsidR="00540BAB" w:rsidRPr="0013396E" w:rsidRDefault="00540BAB" w:rsidP="00540BAB">
      <w:pPr>
        <w:spacing w:before="240" w:after="240"/>
        <w:ind w:left="2160" w:hanging="720"/>
      </w:pPr>
      <w:r w:rsidRPr="0013396E">
        <w:t>(iv)</w:t>
      </w:r>
      <w:r w:rsidRPr="0013396E">
        <w:tab/>
        <w:t>Observe all Competitive and Non-Competitive Constraints; and</w:t>
      </w:r>
    </w:p>
    <w:p w14:paraId="0C873697" w14:textId="77777777" w:rsidR="00540BAB" w:rsidRPr="0013396E" w:rsidRDefault="00540BAB" w:rsidP="00540BAB">
      <w:pPr>
        <w:spacing w:after="240"/>
        <w:ind w:left="2160" w:hanging="720"/>
      </w:pPr>
      <w:r w:rsidRPr="0013396E">
        <w:t>(v)</w:t>
      </w:r>
      <w:r w:rsidRPr="0013396E">
        <w:tab/>
        <w:t>Use Ancillary Service Offers to determine Ancillary Service awards.</w:t>
      </w:r>
    </w:p>
    <w:p w14:paraId="3A45F10F" w14:textId="77777777" w:rsidR="00540BAB" w:rsidRPr="0013396E" w:rsidRDefault="00540BAB" w:rsidP="00540BAB">
      <w:pPr>
        <w:spacing w:after="240"/>
        <w:ind w:left="1440" w:hanging="720"/>
      </w:pPr>
      <w:r w:rsidRPr="0013396E">
        <w:t>(c)</w:t>
      </w:r>
      <w:r w:rsidRPr="0013396E">
        <w:tab/>
        <w:t>ERCOT shall archive information and provide monthly summaries of security violations and any binding transmission constraints identified in Step 2 of the SCED process.  The summary must describe the limiting element (or identified operator-entered constraint with operator’s comments describing the reason and the Resource-specific impacts for any manual overrides).  ERCOT shall provide the summary to Market Participants on the MIS Secure Area and to the Independent Market Monitor (IMM).</w:t>
      </w:r>
    </w:p>
    <w:p w14:paraId="283D9AC0" w14:textId="3A405ED4" w:rsidR="00540BAB" w:rsidRPr="0013396E" w:rsidRDefault="00540BAB" w:rsidP="00540BAB">
      <w:pPr>
        <w:spacing w:after="240"/>
        <w:ind w:left="1440" w:hanging="720"/>
      </w:pPr>
      <w:r w:rsidRPr="0013396E">
        <w:lastRenderedPageBreak/>
        <w:t>(d)</w:t>
      </w:r>
      <w:r w:rsidRPr="0013396E">
        <w:tab/>
        <w:t xml:space="preserve">The System Lambda used to determine LMPs and the Real-Time MCPCs from SCED Step 2 shall be capped at the effective </w:t>
      </w:r>
      <w:r w:rsidR="00003B7A">
        <w:t>Value of Lost Load (</w:t>
      </w:r>
      <w:r w:rsidRPr="0013396E">
        <w:t>VOLL</w:t>
      </w:r>
      <w:r w:rsidR="00003B7A">
        <w:t>)</w:t>
      </w:r>
      <w:r w:rsidRPr="0013396E">
        <w:t>.  If the following conditions are met for a SCED interval in which the SCED Step 2 System Lambda was capped, a QSE may be eligible for compensation by submitting a Settlement and billing dispute pursuant to paragraph (5) of Section 6.6.9, Emergency Operations Settlement:</w:t>
      </w:r>
    </w:p>
    <w:p w14:paraId="5E668A78" w14:textId="596E832B" w:rsidR="00540BAB" w:rsidRPr="0013396E" w:rsidRDefault="00540BAB" w:rsidP="00540BAB">
      <w:pPr>
        <w:spacing w:after="240"/>
        <w:ind w:left="2142" w:hanging="720"/>
      </w:pPr>
      <w:r w:rsidRPr="0013396E">
        <w:t>(i)</w:t>
      </w:r>
      <w:r w:rsidRPr="0013396E">
        <w:rPr>
          <w:iCs/>
        </w:rPr>
        <w:t xml:space="preserve"> </w:t>
      </w:r>
      <w:r w:rsidRPr="0013396E">
        <w:rPr>
          <w:iCs/>
        </w:rPr>
        <w:tab/>
      </w:r>
      <w:r w:rsidRPr="0013396E">
        <w:t xml:space="preserve">A Generation Resource or </w:t>
      </w:r>
      <w:r w:rsidR="005D79F3">
        <w:t xml:space="preserve">ESR </w:t>
      </w:r>
      <w:r w:rsidRPr="0013396E">
        <w:t>for the QSE received a Base Point greater than the Resource’s LDL for that SCED interval; and</w:t>
      </w:r>
    </w:p>
    <w:p w14:paraId="1EDB0BD1" w14:textId="77777777" w:rsidR="00540BAB" w:rsidRPr="0013396E" w:rsidRDefault="00540BAB" w:rsidP="00540BAB">
      <w:pPr>
        <w:spacing w:after="240"/>
        <w:ind w:left="2142" w:hanging="720"/>
      </w:pPr>
      <w:r w:rsidRPr="0013396E">
        <w:t>(ii)</w:t>
      </w:r>
      <w:r w:rsidRPr="0013396E">
        <w:rPr>
          <w:iCs/>
        </w:rPr>
        <w:t xml:space="preserve"> </w:t>
      </w:r>
      <w:r w:rsidRPr="0013396E">
        <w:rPr>
          <w:iCs/>
        </w:rPr>
        <w:tab/>
      </w:r>
      <w:r w:rsidRPr="0013396E">
        <w:t>The LMP at the Resource is less than the price on the Resource’s Energy Offer Curve or Energy Bid/Offer Curve, as applicable, with any Resource’s Energy Offer Curve or Energy Bid/Offer Curve capped by the MOC.</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291467" w:rsidRPr="0013396E" w14:paraId="29EFB03B" w14:textId="77777777" w:rsidTr="005B61C1">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172A8987" w14:textId="1A5D2BEF" w:rsidR="00291467" w:rsidRPr="0013396E" w:rsidRDefault="00291467" w:rsidP="005B61C1">
            <w:pPr>
              <w:spacing w:before="120" w:after="240"/>
              <w:rPr>
                <w:b/>
                <w:i/>
                <w:iCs/>
                <w:szCs w:val="24"/>
              </w:rPr>
            </w:pPr>
            <w:r w:rsidRPr="0013396E">
              <w:rPr>
                <w:b/>
                <w:i/>
                <w:iCs/>
                <w:szCs w:val="24"/>
              </w:rPr>
              <w:t>[NPRR1290:  Replace paragraph (d) above with the following upon system implementation:]</w:t>
            </w:r>
          </w:p>
          <w:p w14:paraId="55EAC0B4" w14:textId="77777777" w:rsidR="00291467" w:rsidRPr="0013396E" w:rsidRDefault="00291467" w:rsidP="005B61C1">
            <w:pPr>
              <w:spacing w:after="240"/>
              <w:ind w:left="1440" w:hanging="720"/>
            </w:pPr>
            <w:r w:rsidRPr="0013396E">
              <w:t>(d)</w:t>
            </w:r>
            <w:r w:rsidRPr="0013396E">
              <w:tab/>
              <w:t>Any Electrical Bus LMP above the effective VOLL shall be set equal to the greater of the effective VOLL or the initial LMP minus the positive difference between System Lambda and the effective VOLL.  All other Electrical Bus LMPs below the effective VOLL remain unchanged.  These adjustments shall be applied to Electrical Bus LMPs prior to calculating Real-Time Settlement Point LMPs, Real-Time Settlement Point Prices, and Real-Time prices for energy metered.  The System Lambda from SCED Step 2 shall also be capped at the effective VOLL.  ERCOT shall post both the capped and uncapped Electrical Bus LMP and System Lambda values to the ERCOT website.</w:t>
            </w:r>
          </w:p>
        </w:tc>
      </w:tr>
    </w:tbl>
    <w:p w14:paraId="54610BD2" w14:textId="12C2B3CB" w:rsidR="00540BAB" w:rsidRPr="0013396E" w:rsidRDefault="00540BAB" w:rsidP="007A1E53">
      <w:pPr>
        <w:spacing w:before="240" w:after="240"/>
        <w:ind w:left="720" w:hanging="720"/>
        <w:rPr>
          <w:iCs/>
        </w:rPr>
      </w:pPr>
      <w:r w:rsidRPr="0013396E">
        <w:rPr>
          <w:iCs/>
        </w:rPr>
        <w:t>(1</w:t>
      </w:r>
      <w:r w:rsidR="00B73499">
        <w:rPr>
          <w:iCs/>
        </w:rPr>
        <w:t>5</w:t>
      </w:r>
      <w:r w:rsidRPr="0013396E">
        <w:rPr>
          <w:iCs/>
        </w:rPr>
        <w:t>)</w:t>
      </w:r>
      <w:r w:rsidRPr="0013396E">
        <w:rPr>
          <w:iCs/>
        </w:rPr>
        <w:tab/>
        <w:t>For each SCED process, in addition to the binding Base Points, Ancillary Service awards, Real-Time MCPCs, and LMPs, ERCOT shall calculate a non-binding projection of the Base Points, Ancillary Service awards, MCPCs, Resource Node LMPs, Real-Time Reliability Deployment Price Adders, Hub LMPs, and Load Zone LMPs at a frequency of every five minutes for at least 15 minutes into the future based on the same inputs to the SCED process as described in this Section, except that the Resource’s HDL and LDL and the total generation requirement will be as estimated at future intervals.  The Resource’s HDL and LDL will be calculated for each interval of the projection based on the ramp rate capability over the study period.  ERCOT shall estimate the projected total generation requirement by calculating a Load forecast for the study period.  In lieu of the steps described in Section 6.5.7.3.1,</w:t>
      </w:r>
      <w:r w:rsidRPr="0013396E">
        <w:t xml:space="preserve"> Determination of Real-Time Reliability Deployment Price Adders</w:t>
      </w:r>
      <w:r w:rsidRPr="0013396E">
        <w:rPr>
          <w:iCs/>
        </w:rPr>
        <w:t xml:space="preserve">, the non-binding projection of Real-Time Reliability Deployment Price Adders shall be estimated based on GTBD, </w:t>
      </w:r>
      <w:r w:rsidRPr="0013396E">
        <w:t>reliability deployments MWs, and</w:t>
      </w:r>
      <w:r w:rsidRPr="0013396E">
        <w:rPr>
          <w:iCs/>
        </w:rPr>
        <w:t xml:space="preserve"> aggregated offers.  The Energy Offer Curve and Energy Bid/Offer Curves from SCED Step 2, the virtual offers for Load Resources deployed and the power balance penalty price will be compared against the updated GTBD to get an estimate of the System Lambda from paragraph (2)(m) of Section 6.5.7.3.1.</w:t>
      </w:r>
      <w:r w:rsidRPr="0013396E">
        <w:t xml:space="preserve">  </w:t>
      </w:r>
      <w:r w:rsidRPr="0013396E">
        <w:rPr>
          <w:iCs/>
        </w:rPr>
        <w:t xml:space="preserve">ERCOT shall post the projected non-binding Base </w:t>
      </w:r>
      <w:r w:rsidRPr="0013396E">
        <w:rPr>
          <w:iCs/>
        </w:rPr>
        <w:lastRenderedPageBreak/>
        <w:t xml:space="preserve">Points and Ancillary Service awards for each Resource for each interval study period on the MIS Certified Area and the projected non-binding LMPs for Resource Nodes, Real-Time MCPCs, Real-Time Reliability Deployment Price Adders, Hub LMPs and Load Zone LMPs on the </w:t>
      </w:r>
      <w:r w:rsidRPr="0013396E">
        <w:t>ERCOT website</w:t>
      </w:r>
      <w:r w:rsidRPr="0013396E">
        <w:rPr>
          <w:iCs/>
        </w:rPr>
        <w:t xml:space="preserve"> pursuant to Section 6.3.2, Activities for Real-Time Operations.</w:t>
      </w:r>
    </w:p>
    <w:p w14:paraId="2A0F484A" w14:textId="12ED763E" w:rsidR="00540BAB" w:rsidRPr="0013396E" w:rsidRDefault="00540BAB" w:rsidP="00540BAB">
      <w:pPr>
        <w:spacing w:after="240"/>
        <w:ind w:left="720" w:hanging="720"/>
        <w:rPr>
          <w:iCs/>
        </w:rPr>
      </w:pPr>
      <w:r w:rsidRPr="0013396E">
        <w:rPr>
          <w:iCs/>
        </w:rPr>
        <w:t>(1</w:t>
      </w:r>
      <w:r w:rsidR="00B73499">
        <w:rPr>
          <w:iCs/>
        </w:rPr>
        <w:t>6</w:t>
      </w:r>
      <w:r w:rsidRPr="0013396E">
        <w:rPr>
          <w:iCs/>
        </w:rPr>
        <w:t>)</w:t>
      </w:r>
      <w:r w:rsidRPr="0013396E">
        <w:rPr>
          <w:iCs/>
        </w:rPr>
        <w:tab/>
        <w:t>ERCOT may override one or more of a CLR’s parameters in SCED if ERCOT determines that the CLR’s participation is having an adverse impact on the reliability of the ERCOT System.</w:t>
      </w:r>
    </w:p>
    <w:p w14:paraId="631199A6" w14:textId="57A4B29E" w:rsidR="002A0AD7" w:rsidRPr="0013396E" w:rsidRDefault="00540BAB" w:rsidP="007A1E53">
      <w:pPr>
        <w:pStyle w:val="List"/>
        <w:ind w:left="720"/>
      </w:pPr>
      <w:r w:rsidRPr="0013396E">
        <w:rPr>
          <w:iCs/>
        </w:rPr>
        <w:t>(1</w:t>
      </w:r>
      <w:r w:rsidR="00B73499">
        <w:rPr>
          <w:iCs/>
        </w:rPr>
        <w:t>7</w:t>
      </w:r>
      <w:r w:rsidRPr="0013396E">
        <w:rPr>
          <w:iCs/>
        </w:rPr>
        <w:t>)</w:t>
      </w:r>
      <w:r w:rsidRPr="0013396E">
        <w:rPr>
          <w:iCs/>
        </w:rPr>
        <w:tab/>
        <w:t xml:space="preserve">The QSE representing an ESR may withdraw energy from the ERCOT System only when dispatched by SCED to do so.  </w:t>
      </w:r>
      <w:r w:rsidRPr="0013396E">
        <w:t>An ESR may telemeter a status of OUT only if the ESR is in Outage status.</w:t>
      </w:r>
    </w:p>
    <w:p w14:paraId="67E5B3BB" w14:textId="45DD4208" w:rsidR="001F04FD" w:rsidRPr="0013396E" w:rsidRDefault="001F04FD" w:rsidP="007A1E53">
      <w:pPr>
        <w:pStyle w:val="H5"/>
      </w:pPr>
      <w:bookmarkStart w:id="896" w:name="_Toc422486479"/>
      <w:bookmarkStart w:id="897" w:name="_Toc433093331"/>
      <w:bookmarkStart w:id="898" w:name="_Toc433093489"/>
      <w:bookmarkStart w:id="899" w:name="_Toc440874718"/>
      <w:bookmarkStart w:id="900" w:name="_Toc448142273"/>
      <w:bookmarkStart w:id="901" w:name="_Toc448142430"/>
      <w:bookmarkStart w:id="902" w:name="_Toc458770266"/>
      <w:bookmarkStart w:id="903" w:name="_Toc459294234"/>
      <w:bookmarkStart w:id="904" w:name="_Toc463262727"/>
      <w:bookmarkStart w:id="905" w:name="_Toc468286801"/>
      <w:bookmarkStart w:id="906" w:name="_Toc481502847"/>
      <w:bookmarkStart w:id="907" w:name="_Toc496080015"/>
      <w:bookmarkStart w:id="908" w:name="_Toc214878915"/>
      <w:bookmarkEnd w:id="895"/>
      <w:r w:rsidRPr="0013396E">
        <w:rPr>
          <w:i w:val="0"/>
          <w:iCs w:val="0"/>
          <w:snapToGrid w:val="0"/>
          <w:szCs w:val="20"/>
        </w:rPr>
        <w:t>6.5.7.3.1</w:t>
      </w:r>
      <w:r w:rsidRPr="0013396E">
        <w:tab/>
      </w:r>
      <w:r w:rsidRPr="0013396E">
        <w:rPr>
          <w:i w:val="0"/>
          <w:iCs w:val="0"/>
          <w:snapToGrid w:val="0"/>
          <w:szCs w:val="20"/>
        </w:rPr>
        <w:t>Determination of Real-Time Reliability Deployment Price Adder</w:t>
      </w:r>
      <w:bookmarkEnd w:id="896"/>
      <w:bookmarkEnd w:id="897"/>
      <w:bookmarkEnd w:id="898"/>
      <w:bookmarkEnd w:id="899"/>
      <w:bookmarkEnd w:id="900"/>
      <w:bookmarkEnd w:id="901"/>
      <w:bookmarkEnd w:id="902"/>
      <w:bookmarkEnd w:id="903"/>
      <w:bookmarkEnd w:id="904"/>
      <w:bookmarkEnd w:id="905"/>
      <w:bookmarkEnd w:id="906"/>
      <w:bookmarkEnd w:id="907"/>
      <w:r w:rsidR="0013396E" w:rsidRPr="0013396E">
        <w:rPr>
          <w:i w:val="0"/>
          <w:iCs w:val="0"/>
          <w:snapToGrid w:val="0"/>
          <w:szCs w:val="20"/>
        </w:rPr>
        <w:t>s</w:t>
      </w:r>
      <w:bookmarkEnd w:id="908"/>
    </w:p>
    <w:p w14:paraId="426C3E69" w14:textId="77777777" w:rsidR="0013396E" w:rsidRPr="0013396E" w:rsidRDefault="0013396E" w:rsidP="0013396E">
      <w:pPr>
        <w:spacing w:after="240"/>
        <w:ind w:left="720" w:hanging="720"/>
      </w:pPr>
      <w:r w:rsidRPr="0013396E">
        <w:t>(1)</w:t>
      </w:r>
      <w:r w:rsidRPr="0013396E">
        <w:tab/>
        <w:t>The following categories of reliability deployments are considered in the determination of the Real-Time Reliability Deployment Price Adder for Energy, and the Real-Time Reliability Deployment Price Adders for Ancillary Services:</w:t>
      </w:r>
    </w:p>
    <w:p w14:paraId="4DA31F6E" w14:textId="77777777" w:rsidR="0013396E" w:rsidRPr="0013396E" w:rsidRDefault="0013396E" w:rsidP="0013396E">
      <w:pPr>
        <w:spacing w:after="240"/>
        <w:ind w:left="1440" w:hanging="720"/>
      </w:pPr>
      <w:r w:rsidRPr="0013396E">
        <w:t>(a)</w:t>
      </w:r>
      <w:r w:rsidRPr="0013396E">
        <w:tab/>
        <w:t>RUC-committed Resources, except for those whose QSEs have opted out of RUC Settlement in accordance with paragraph (14) of Section 5.5.2, Reliability Unit Commitment (RUC) Process;</w:t>
      </w:r>
    </w:p>
    <w:p w14:paraId="05F99E46" w14:textId="77777777" w:rsidR="0013396E" w:rsidRPr="0013396E" w:rsidRDefault="0013396E" w:rsidP="0013396E">
      <w:pPr>
        <w:spacing w:after="240"/>
        <w:ind w:left="1440" w:hanging="720"/>
      </w:pPr>
      <w:r w:rsidRPr="0013396E">
        <w:t>(b)</w:t>
      </w:r>
      <w:r w:rsidRPr="0013396E">
        <w:tab/>
        <w:t xml:space="preserve">RMR Resources that are On-Line, including capacity secured to prevent an Emergency Condition pursuant to paragraph (4) of Section 6.5.1.1, ERCOT Control Area Authority; </w:t>
      </w:r>
    </w:p>
    <w:p w14:paraId="543998B4" w14:textId="77777777" w:rsidR="0013396E" w:rsidRPr="0013396E" w:rsidRDefault="0013396E" w:rsidP="0013396E">
      <w:pPr>
        <w:spacing w:after="240"/>
        <w:ind w:left="1440" w:hanging="720"/>
      </w:pPr>
      <w:r w:rsidRPr="0013396E">
        <w:t>(c)</w:t>
      </w:r>
      <w:r w:rsidRPr="0013396E">
        <w:tab/>
        <w:t>Deployed Load Resources other than CLRs;</w:t>
      </w:r>
    </w:p>
    <w:p w14:paraId="40A410D9" w14:textId="77777777" w:rsidR="0013396E" w:rsidRPr="0013396E" w:rsidRDefault="0013396E" w:rsidP="0013396E">
      <w:pPr>
        <w:spacing w:after="240"/>
        <w:ind w:left="1440" w:hanging="720"/>
      </w:pPr>
      <w:r w:rsidRPr="0013396E">
        <w:t>(d)</w:t>
      </w:r>
      <w:r w:rsidRPr="0013396E">
        <w:tab/>
        <w:t>Deployed ERS;</w:t>
      </w:r>
    </w:p>
    <w:p w14:paraId="3CE2FC12" w14:textId="77777777" w:rsidR="0013396E" w:rsidRPr="0013396E" w:rsidRDefault="0013396E" w:rsidP="0013396E">
      <w:pPr>
        <w:spacing w:after="240"/>
        <w:ind w:left="1440" w:hanging="720"/>
      </w:pPr>
      <w:r w:rsidRPr="0013396E">
        <w:t>(e)</w:t>
      </w:r>
      <w:r w:rsidRPr="0013396E">
        <w:tab/>
        <w:t xml:space="preserve">Real-Time DC Tie imports during an EEA where the total adjustment shall not exceed 1,250 MW in a single interval; </w:t>
      </w:r>
    </w:p>
    <w:p w14:paraId="6AED1CA6" w14:textId="77777777" w:rsidR="0013396E" w:rsidRPr="0013396E" w:rsidRDefault="0013396E" w:rsidP="0013396E">
      <w:pPr>
        <w:spacing w:after="240"/>
        <w:ind w:left="1440" w:hanging="720"/>
      </w:pPr>
      <w:r w:rsidRPr="0013396E">
        <w:t>(f)</w:t>
      </w:r>
      <w:r w:rsidRPr="0013396E">
        <w:tab/>
        <w:t xml:space="preserve">Real-Time DC Tie exports to address emergency conditions in the receiving electric grid;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13396E" w:rsidRPr="0013396E" w14:paraId="08E5804C" w14:textId="77777777" w:rsidTr="0013396E">
        <w:trPr>
          <w:trHeight w:val="206"/>
        </w:trPr>
        <w:tc>
          <w:tcPr>
            <w:tcW w:w="9350" w:type="dxa"/>
            <w:shd w:val="pct12" w:color="auto" w:fill="auto"/>
          </w:tcPr>
          <w:p w14:paraId="2570EB8A" w14:textId="77777777" w:rsidR="0013396E" w:rsidRPr="0013396E" w:rsidRDefault="0013396E" w:rsidP="0013396E">
            <w:pPr>
              <w:spacing w:before="120" w:after="240"/>
              <w:rPr>
                <w:b/>
                <w:i/>
                <w:iCs/>
                <w:szCs w:val="24"/>
              </w:rPr>
            </w:pPr>
            <w:r w:rsidRPr="0013396E">
              <w:rPr>
                <w:b/>
                <w:i/>
                <w:iCs/>
                <w:szCs w:val="24"/>
              </w:rPr>
              <w:t>[NPRR904:  Replace items (e) and (f) above with the following upon system implementation and renumber accordingly:]</w:t>
            </w:r>
          </w:p>
          <w:p w14:paraId="7808E1E0" w14:textId="77777777" w:rsidR="0013396E" w:rsidRPr="0013396E" w:rsidRDefault="0013396E" w:rsidP="0013396E">
            <w:pPr>
              <w:spacing w:after="240"/>
              <w:ind w:left="1440" w:hanging="720"/>
            </w:pPr>
            <w:r w:rsidRPr="0013396E">
              <w:t>(e)</w:t>
            </w:r>
            <w:r w:rsidRPr="0013396E">
              <w:tab/>
              <w:t xml:space="preserve">ERCOT-directed DC Tie imports during an EEA or transmission emergency where the total adjustment shall not exceed 1,250 MW in a single interval; </w:t>
            </w:r>
          </w:p>
          <w:p w14:paraId="07CE38ED" w14:textId="77777777" w:rsidR="0013396E" w:rsidRPr="0013396E" w:rsidRDefault="0013396E" w:rsidP="0013396E">
            <w:pPr>
              <w:spacing w:after="240"/>
              <w:ind w:left="1440" w:hanging="720"/>
            </w:pPr>
            <w:r w:rsidRPr="0013396E">
              <w:t>(f)</w:t>
            </w:r>
            <w:r w:rsidRPr="0013396E">
              <w:tab/>
              <w:t xml:space="preserve">ERCOT-directed curtailment of DC Tie imports below the higher of DC Tie advisory import limit as of 0600 in the Day-Ahead or subsequent advisory </w:t>
            </w:r>
            <w:r w:rsidRPr="0013396E">
              <w:lastRenderedPageBreak/>
              <w:t>import limit to address local transmission system limitations where the total adjustment shall not exceed 1,250 MW in a single interval;</w:t>
            </w:r>
          </w:p>
          <w:p w14:paraId="0D6A9AF7" w14:textId="77777777" w:rsidR="0013396E" w:rsidRPr="0013396E" w:rsidRDefault="0013396E" w:rsidP="0013396E">
            <w:pPr>
              <w:spacing w:after="240"/>
              <w:ind w:left="1440" w:hanging="720"/>
            </w:pPr>
            <w:r w:rsidRPr="0013396E">
              <w:t>(g)</w:t>
            </w:r>
            <w:r w:rsidRPr="0013396E">
              <w:tab/>
              <w:t>ERCOT-directed curtailment of DC Tie imports below the higher of DC Tie advisory import limit as of 0600 in the Day-Ahead or subsequent advisory import limit due to an emergency action by a neighboring system operator during an emergency that is accommodated by ERCOT where the total adjustment shall not exceed 1,250 MW in a single interval;</w:t>
            </w:r>
          </w:p>
          <w:p w14:paraId="4DC7B86B" w14:textId="77777777" w:rsidR="0013396E" w:rsidRPr="0013396E" w:rsidRDefault="0013396E" w:rsidP="0013396E">
            <w:pPr>
              <w:spacing w:after="240"/>
              <w:ind w:left="1440" w:hanging="720"/>
            </w:pPr>
            <w:r w:rsidRPr="0013396E">
              <w:t>(h)</w:t>
            </w:r>
            <w:r w:rsidRPr="0013396E">
              <w:tab/>
              <w:t xml:space="preserve">ERCOT-directed DC Tie exports to address emergency conditions in the receiving electric grid where the total adjustment shall not exceed 1,250 MW in a single interval; </w:t>
            </w:r>
          </w:p>
          <w:p w14:paraId="01FAADAD" w14:textId="77777777" w:rsidR="0013396E" w:rsidRPr="0013396E" w:rsidRDefault="0013396E" w:rsidP="0013396E">
            <w:pPr>
              <w:spacing w:after="240"/>
              <w:ind w:left="1440" w:hanging="720"/>
              <w:rPr>
                <w:lang w:val="x-none" w:eastAsia="x-none"/>
              </w:rPr>
            </w:pPr>
            <w:r w:rsidRPr="0013396E">
              <w:rPr>
                <w:lang w:val="x-none" w:eastAsia="x-none"/>
              </w:rPr>
              <w:t>(i)</w:t>
            </w:r>
            <w:r w:rsidRPr="0013396E">
              <w:rPr>
                <w:lang w:val="x-none" w:eastAsia="x-none"/>
              </w:rPr>
              <w:tab/>
              <w:t xml:space="preserve">ERCOT-directed curtailment of DC Tie exports below the DC Tie advisory </w:t>
            </w:r>
            <w:r w:rsidRPr="0013396E">
              <w:rPr>
                <w:lang w:eastAsia="x-none"/>
              </w:rPr>
              <w:t>export</w:t>
            </w:r>
            <w:r w:rsidRPr="0013396E">
              <w:rPr>
                <w:lang w:val="x-none" w:eastAsia="x-none"/>
              </w:rPr>
              <w:t xml:space="preserve"> limit as of </w:t>
            </w:r>
            <w:r w:rsidRPr="0013396E">
              <w:rPr>
                <w:lang w:eastAsia="x-none"/>
              </w:rPr>
              <w:t>06</w:t>
            </w:r>
            <w:r w:rsidRPr="0013396E">
              <w:rPr>
                <w:lang w:val="x-none" w:eastAsia="x-none"/>
              </w:rPr>
              <w:t xml:space="preserve">00 in the Day-Ahead </w:t>
            </w:r>
            <w:r w:rsidRPr="0013396E">
              <w:rPr>
                <w:lang w:eastAsia="x-none"/>
              </w:rPr>
              <w:t xml:space="preserve">or subsequent advisory export limit </w:t>
            </w:r>
            <w:r w:rsidRPr="0013396E">
              <w:rPr>
                <w:lang w:val="x-none" w:eastAsia="x-none"/>
              </w:rPr>
              <w:t xml:space="preserve">during EEA, a transmission emergency, or to address local transmission system limitations where the total adjustment shall not exceed 1,250 MW in a single interval; </w:t>
            </w:r>
          </w:p>
        </w:tc>
      </w:tr>
    </w:tbl>
    <w:p w14:paraId="2DB35C98" w14:textId="180D3DE0" w:rsidR="0013396E" w:rsidRPr="0013396E" w:rsidRDefault="0013396E" w:rsidP="0013396E">
      <w:pPr>
        <w:spacing w:before="240" w:after="240"/>
        <w:ind w:left="1440" w:hanging="720"/>
      </w:pPr>
      <w:r w:rsidRPr="0013396E">
        <w:lastRenderedPageBreak/>
        <w:t>(</w:t>
      </w:r>
      <w:r>
        <w:t>g</w:t>
      </w:r>
      <w:r w:rsidRPr="0013396E">
        <w:t>)</w:t>
      </w:r>
      <w:r w:rsidRPr="0013396E">
        <w:tab/>
        <w:t>Energy delivered to ERCOT through registered Block Load Transfers (BLTs) during an EEA;</w:t>
      </w:r>
    </w:p>
    <w:p w14:paraId="54F3F77B" w14:textId="5FA8282B" w:rsidR="0013396E" w:rsidRPr="0013396E" w:rsidRDefault="0013396E" w:rsidP="0013396E">
      <w:pPr>
        <w:spacing w:after="240"/>
        <w:ind w:left="1440" w:hanging="720"/>
      </w:pPr>
      <w:r w:rsidRPr="0013396E">
        <w:t>(</w:t>
      </w:r>
      <w:r>
        <w:t>h</w:t>
      </w:r>
      <w:r w:rsidRPr="0013396E">
        <w:t>)</w:t>
      </w:r>
      <w:r w:rsidRPr="0013396E">
        <w:tab/>
        <w:t>Energy delivered from ERCOT to another power pool through registered BLTs during emergency conditions in the receiving electric grid;</w:t>
      </w:r>
      <w:r w:rsidR="006049CC">
        <w:t xml:space="preserve"> and</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13396E" w:rsidRPr="0013396E" w14:paraId="6E8951F1" w14:textId="77777777" w:rsidTr="00896851">
        <w:trPr>
          <w:trHeight w:val="206"/>
        </w:trPr>
        <w:tc>
          <w:tcPr>
            <w:tcW w:w="9350" w:type="dxa"/>
            <w:shd w:val="pct12" w:color="auto" w:fill="auto"/>
          </w:tcPr>
          <w:p w14:paraId="5C54CFCA" w14:textId="0AA6921F" w:rsidR="0013396E" w:rsidRPr="0013396E" w:rsidRDefault="0013396E" w:rsidP="0013396E">
            <w:pPr>
              <w:spacing w:before="120" w:after="240"/>
              <w:rPr>
                <w:b/>
                <w:i/>
                <w:iCs/>
                <w:szCs w:val="24"/>
              </w:rPr>
            </w:pPr>
            <w:r w:rsidRPr="0013396E">
              <w:rPr>
                <w:b/>
                <w:i/>
                <w:iCs/>
                <w:szCs w:val="24"/>
              </w:rPr>
              <w:t>[NPRR1006: Insert paragraph (i) below upon system implementation</w:t>
            </w:r>
            <w:r w:rsidR="00896851">
              <w:rPr>
                <w:b/>
                <w:i/>
                <w:iCs/>
                <w:szCs w:val="24"/>
              </w:rPr>
              <w:t xml:space="preserve"> and renumber accordingly</w:t>
            </w:r>
            <w:r w:rsidRPr="0013396E">
              <w:rPr>
                <w:b/>
                <w:i/>
                <w:iCs/>
                <w:szCs w:val="24"/>
              </w:rPr>
              <w:t>:]</w:t>
            </w:r>
          </w:p>
          <w:p w14:paraId="3CB45E10" w14:textId="093BE28C" w:rsidR="0013396E" w:rsidRPr="0013396E" w:rsidRDefault="0013396E" w:rsidP="0013396E">
            <w:pPr>
              <w:spacing w:after="240"/>
              <w:ind w:left="1440" w:hanging="720"/>
              <w:rPr>
                <w:iCs/>
              </w:rPr>
            </w:pPr>
            <w:r w:rsidRPr="0013396E">
              <w:rPr>
                <w:iCs/>
              </w:rPr>
              <w:t>(i)</w:t>
            </w:r>
            <w:r w:rsidRPr="0013396E">
              <w:rPr>
                <w:iCs/>
              </w:rPr>
              <w:tab/>
              <w:t>ERCOT-directed deployment of TDSP standard offer Load management programs.</w:t>
            </w:r>
          </w:p>
        </w:tc>
      </w:tr>
    </w:tbl>
    <w:p w14:paraId="32C9FC41" w14:textId="605DF2B8" w:rsidR="0013396E" w:rsidRDefault="0013396E" w:rsidP="00F24831">
      <w:pPr>
        <w:spacing w:line="256" w:lineRule="auto"/>
        <w:ind w:left="1440" w:hanging="720"/>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F24831" w:rsidRPr="0013396E" w14:paraId="47DFD46A" w14:textId="77777777" w:rsidTr="00F24831">
        <w:trPr>
          <w:trHeight w:val="206"/>
        </w:trPr>
        <w:tc>
          <w:tcPr>
            <w:tcW w:w="9350" w:type="dxa"/>
            <w:tcBorders>
              <w:top w:val="single" w:sz="4" w:space="0" w:color="auto"/>
              <w:left w:val="single" w:sz="4" w:space="0" w:color="auto"/>
              <w:bottom w:val="single" w:sz="4" w:space="0" w:color="auto"/>
              <w:right w:val="single" w:sz="4" w:space="0" w:color="auto"/>
            </w:tcBorders>
            <w:shd w:val="pct12" w:color="auto" w:fill="auto"/>
          </w:tcPr>
          <w:p w14:paraId="26DA22B4" w14:textId="2F60D9DA" w:rsidR="00F24831" w:rsidRPr="0013396E" w:rsidRDefault="00F24831" w:rsidP="0099759E">
            <w:pPr>
              <w:spacing w:before="120" w:after="240"/>
              <w:rPr>
                <w:b/>
                <w:i/>
                <w:iCs/>
                <w:szCs w:val="24"/>
              </w:rPr>
            </w:pPr>
            <w:r w:rsidRPr="0013396E">
              <w:rPr>
                <w:b/>
                <w:i/>
                <w:iCs/>
                <w:szCs w:val="24"/>
              </w:rPr>
              <w:t>[NPRR1</w:t>
            </w:r>
            <w:r>
              <w:rPr>
                <w:b/>
                <w:i/>
                <w:iCs/>
                <w:szCs w:val="24"/>
              </w:rPr>
              <w:t>105</w:t>
            </w:r>
            <w:r w:rsidRPr="0013396E">
              <w:rPr>
                <w:b/>
                <w:i/>
                <w:iCs/>
                <w:szCs w:val="24"/>
              </w:rPr>
              <w:t>: Insert paragraph (</w:t>
            </w:r>
            <w:r>
              <w:rPr>
                <w:b/>
                <w:i/>
                <w:iCs/>
                <w:szCs w:val="24"/>
              </w:rPr>
              <w:t>j</w:t>
            </w:r>
            <w:r w:rsidRPr="0013396E">
              <w:rPr>
                <w:b/>
                <w:i/>
                <w:iCs/>
                <w:szCs w:val="24"/>
              </w:rPr>
              <w:t>) below upon system implementation</w:t>
            </w:r>
            <w:r>
              <w:rPr>
                <w:b/>
                <w:i/>
                <w:iCs/>
                <w:szCs w:val="24"/>
              </w:rPr>
              <w:t xml:space="preserve"> and renumber accordingly</w:t>
            </w:r>
            <w:r w:rsidRPr="0013396E">
              <w:rPr>
                <w:b/>
                <w:i/>
                <w:iCs/>
                <w:szCs w:val="24"/>
              </w:rPr>
              <w:t>:]</w:t>
            </w:r>
          </w:p>
          <w:p w14:paraId="19721016" w14:textId="2E683340" w:rsidR="00F24831" w:rsidRPr="0013396E" w:rsidRDefault="00F24831" w:rsidP="00F24831">
            <w:pPr>
              <w:spacing w:after="240"/>
              <w:ind w:left="1440" w:hanging="720"/>
              <w:rPr>
                <w:b/>
                <w:i/>
                <w:iCs/>
                <w:szCs w:val="24"/>
              </w:rPr>
            </w:pPr>
            <w:r w:rsidRPr="0013396E">
              <w:t>(</w:t>
            </w:r>
            <w:r>
              <w:t>j</w:t>
            </w:r>
            <w:r w:rsidRPr="0013396E">
              <w:t>)</w:t>
            </w:r>
            <w:r w:rsidRPr="0013396E">
              <w:tab/>
              <w:t>ERCOT-</w:t>
            </w:r>
            <w:r w:rsidRPr="00F24831">
              <w:rPr>
                <w:iCs/>
              </w:rPr>
              <w:t>directed</w:t>
            </w:r>
            <w:r w:rsidRPr="0013396E">
              <w:t xml:space="preserve"> deployment of distribution voltage reduction measures;</w:t>
            </w:r>
          </w:p>
        </w:tc>
      </w:tr>
    </w:tbl>
    <w:p w14:paraId="253E258D" w14:textId="77777777" w:rsidR="00F24831" w:rsidRDefault="00F24831"/>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896851" w:rsidRPr="0013396E" w14:paraId="68897EF2" w14:textId="77777777" w:rsidTr="00896851">
        <w:trPr>
          <w:trHeight w:val="206"/>
        </w:trPr>
        <w:tc>
          <w:tcPr>
            <w:tcW w:w="9350" w:type="dxa"/>
            <w:shd w:val="pct12" w:color="auto" w:fill="auto"/>
          </w:tcPr>
          <w:p w14:paraId="06575615" w14:textId="1994CDD7" w:rsidR="00896851" w:rsidRPr="0013396E" w:rsidRDefault="00896851" w:rsidP="0099759E">
            <w:pPr>
              <w:spacing w:before="120" w:after="240"/>
              <w:rPr>
                <w:b/>
                <w:i/>
                <w:iCs/>
                <w:szCs w:val="24"/>
              </w:rPr>
            </w:pPr>
            <w:r w:rsidRPr="0013396E">
              <w:rPr>
                <w:b/>
                <w:i/>
                <w:iCs/>
                <w:szCs w:val="24"/>
              </w:rPr>
              <w:t>[NPRR10</w:t>
            </w:r>
            <w:r>
              <w:rPr>
                <w:b/>
                <w:i/>
                <w:iCs/>
                <w:szCs w:val="24"/>
              </w:rPr>
              <w:t>91</w:t>
            </w:r>
            <w:r w:rsidRPr="0013396E">
              <w:rPr>
                <w:b/>
                <w:i/>
                <w:iCs/>
                <w:szCs w:val="24"/>
              </w:rPr>
              <w:t>: Insert paragraph (</w:t>
            </w:r>
            <w:r w:rsidR="00F24831">
              <w:rPr>
                <w:b/>
                <w:i/>
                <w:iCs/>
                <w:szCs w:val="24"/>
              </w:rPr>
              <w:t>k</w:t>
            </w:r>
            <w:r w:rsidRPr="0013396E">
              <w:rPr>
                <w:b/>
                <w:i/>
                <w:iCs/>
                <w:szCs w:val="24"/>
              </w:rPr>
              <w:t>) below upon system implementation</w:t>
            </w:r>
            <w:r>
              <w:rPr>
                <w:b/>
                <w:i/>
                <w:iCs/>
                <w:szCs w:val="24"/>
              </w:rPr>
              <w:t xml:space="preserve"> and renumber accordingly</w:t>
            </w:r>
            <w:r w:rsidRPr="0013396E">
              <w:rPr>
                <w:b/>
                <w:i/>
                <w:iCs/>
                <w:szCs w:val="24"/>
              </w:rPr>
              <w:t>:]</w:t>
            </w:r>
          </w:p>
          <w:p w14:paraId="5F8E135B" w14:textId="16113D00" w:rsidR="00896851" w:rsidRPr="0013396E" w:rsidRDefault="00896851" w:rsidP="0099759E">
            <w:pPr>
              <w:spacing w:after="240"/>
              <w:ind w:left="1440" w:hanging="720"/>
              <w:rPr>
                <w:iCs/>
              </w:rPr>
            </w:pPr>
            <w:r w:rsidRPr="0013396E">
              <w:t>(</w:t>
            </w:r>
            <w:r w:rsidR="00F24831">
              <w:t>k</w:t>
            </w:r>
            <w:r w:rsidRPr="0013396E">
              <w:t>)</w:t>
            </w:r>
            <w:r w:rsidRPr="0013396E">
              <w:tab/>
              <w:t>ERCOT-directed deployment of Off-Line Non-Spin;</w:t>
            </w:r>
          </w:p>
        </w:tc>
      </w:tr>
    </w:tbl>
    <w:p w14:paraId="4C6098DA" w14:textId="7ED73587" w:rsidR="0013396E" w:rsidRPr="0013396E" w:rsidRDefault="0013396E" w:rsidP="00896851">
      <w:pPr>
        <w:spacing w:before="240" w:after="240"/>
        <w:ind w:left="1440" w:hanging="720"/>
        <w:rPr>
          <w:iCs/>
        </w:rPr>
      </w:pPr>
      <w:r w:rsidRPr="0013396E">
        <w:rPr>
          <w:iCs/>
        </w:rPr>
        <w:lastRenderedPageBreak/>
        <w:t>(</w:t>
      </w:r>
      <w:r w:rsidR="00F24831">
        <w:rPr>
          <w:iCs/>
        </w:rPr>
        <w:t>i</w:t>
      </w:r>
      <w:r w:rsidRPr="0013396E">
        <w:rPr>
          <w:iCs/>
        </w:rPr>
        <w:t>)</w:t>
      </w:r>
      <w:r w:rsidRPr="0013396E">
        <w:rPr>
          <w:iCs/>
        </w:rPr>
        <w:tab/>
        <w:t xml:space="preserve">ERCOT-directed firm Load shed during EEA Level 3, as described in paragraph (3) of Section 6.5.9.4.2, EEA Levels;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AE5D60" w:rsidRPr="0013396E" w14:paraId="7E634F9E" w14:textId="77777777" w:rsidTr="0099759E">
        <w:trPr>
          <w:trHeight w:val="206"/>
        </w:trPr>
        <w:tc>
          <w:tcPr>
            <w:tcW w:w="9350" w:type="dxa"/>
            <w:shd w:val="pct12" w:color="auto" w:fill="auto"/>
          </w:tcPr>
          <w:p w14:paraId="0E20C7C4" w14:textId="33AAA923" w:rsidR="00AE5D60" w:rsidRPr="0013396E" w:rsidRDefault="00AE5D60" w:rsidP="0099759E">
            <w:pPr>
              <w:spacing w:before="120" w:after="240"/>
              <w:rPr>
                <w:b/>
                <w:i/>
                <w:iCs/>
                <w:szCs w:val="24"/>
              </w:rPr>
            </w:pPr>
            <w:r w:rsidRPr="0013396E">
              <w:rPr>
                <w:b/>
                <w:i/>
                <w:iCs/>
                <w:szCs w:val="24"/>
              </w:rPr>
              <w:t>[NPRR1</w:t>
            </w:r>
            <w:r>
              <w:rPr>
                <w:b/>
                <w:i/>
                <w:iCs/>
                <w:szCs w:val="24"/>
              </w:rPr>
              <w:t>238</w:t>
            </w:r>
            <w:r w:rsidRPr="0013396E">
              <w:rPr>
                <w:b/>
                <w:i/>
                <w:iCs/>
                <w:szCs w:val="24"/>
              </w:rPr>
              <w:t>: Insert paragraph (</w:t>
            </w:r>
            <w:r>
              <w:rPr>
                <w:b/>
                <w:i/>
                <w:iCs/>
                <w:szCs w:val="24"/>
              </w:rPr>
              <w:t>j</w:t>
            </w:r>
            <w:r w:rsidRPr="0013396E">
              <w:rPr>
                <w:b/>
                <w:i/>
                <w:iCs/>
                <w:szCs w:val="24"/>
              </w:rPr>
              <w:t>) below upon system implementation:]</w:t>
            </w:r>
          </w:p>
          <w:p w14:paraId="1A9C6F37" w14:textId="7A4CDB20" w:rsidR="00AE5D60" w:rsidRPr="00AE5D60" w:rsidRDefault="00AE5D60" w:rsidP="00AE5D60">
            <w:pPr>
              <w:spacing w:after="240"/>
              <w:ind w:left="1440" w:hanging="720"/>
              <w:rPr>
                <w:szCs w:val="24"/>
              </w:rPr>
            </w:pPr>
            <w:r w:rsidRPr="0013396E">
              <w:t>(</w:t>
            </w:r>
            <w:r>
              <w:t>j</w:t>
            </w:r>
            <w:r w:rsidRPr="0013396E">
              <w:t>)</w:t>
            </w:r>
            <w:r w:rsidRPr="0013396E">
              <w:tab/>
            </w:r>
            <w:r w:rsidRPr="0013396E">
              <w:rPr>
                <w:szCs w:val="24"/>
              </w:rPr>
              <w:t xml:space="preserve">Deployed </w:t>
            </w:r>
            <w:r w:rsidRPr="0013396E">
              <w:rPr>
                <w:bCs/>
              </w:rPr>
              <w:t>Voluntary Early Curtailment Load</w:t>
            </w:r>
            <w:r w:rsidRPr="0013396E">
              <w:rPr>
                <w:szCs w:val="24"/>
              </w:rPr>
              <w:t xml:space="preserve"> (VECL) as described in Section 6.5.9.4.1, General Procedures Prior to EEA Operations.</w:t>
            </w:r>
          </w:p>
        </w:tc>
      </w:tr>
    </w:tbl>
    <w:p w14:paraId="6DB804AE" w14:textId="77777777" w:rsidR="0013396E" w:rsidRPr="0013396E" w:rsidRDefault="0013396E" w:rsidP="007A1E53">
      <w:pPr>
        <w:spacing w:before="240" w:after="240"/>
        <w:ind w:left="720" w:hanging="720"/>
      </w:pPr>
      <w:r w:rsidRPr="0013396E">
        <w:t>(2)</w:t>
      </w:r>
      <w:r w:rsidRPr="0013396E">
        <w:tab/>
        <w:t>The Real-Time Reliability Deployment Price Adder for Energy, and Real-Time Reliability Deployment Price Adders for Ancillary Services are estimations of the impact to energy prices and Real-Time MCPCs due to the above categories of reliability deployments.  For intervals where there are reliability deployments as described in paragraph (1) above, the Real-Time Reliability Deployment Price Adder for Energy and Real-Time Reliability Deployment Price Adders for Ancillary Services are determined as follows:</w:t>
      </w:r>
    </w:p>
    <w:p w14:paraId="47986D0A" w14:textId="69C06CD7" w:rsidR="0013396E" w:rsidRPr="0013396E" w:rsidRDefault="0013396E" w:rsidP="0013396E">
      <w:pPr>
        <w:spacing w:after="240"/>
        <w:ind w:left="1440" w:hanging="720"/>
      </w:pPr>
      <w:r w:rsidRPr="0013396E">
        <w:t>(a)</w:t>
      </w:r>
      <w:r w:rsidRPr="0013396E">
        <w:tab/>
        <w:t>For RUC-committed Resources with a telemetered Resource Status of ONRUC and for RMR Resources that are On-Line: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896851" w:rsidRPr="0013396E" w14:paraId="39000CBA" w14:textId="77777777" w:rsidTr="0099759E">
        <w:trPr>
          <w:trHeight w:val="206"/>
        </w:trPr>
        <w:tc>
          <w:tcPr>
            <w:tcW w:w="9350" w:type="dxa"/>
            <w:shd w:val="pct12" w:color="auto" w:fill="auto"/>
          </w:tcPr>
          <w:p w14:paraId="2A9DD56F" w14:textId="588089BA" w:rsidR="00896851" w:rsidRPr="0013396E" w:rsidRDefault="00896851" w:rsidP="0099759E">
            <w:pPr>
              <w:spacing w:before="120" w:after="240"/>
              <w:rPr>
                <w:b/>
                <w:i/>
                <w:iCs/>
                <w:szCs w:val="24"/>
              </w:rPr>
            </w:pPr>
            <w:r w:rsidRPr="0013396E">
              <w:rPr>
                <w:b/>
                <w:i/>
                <w:iCs/>
                <w:szCs w:val="24"/>
              </w:rPr>
              <w:t>[NPRR10</w:t>
            </w:r>
            <w:r>
              <w:rPr>
                <w:b/>
                <w:i/>
                <w:iCs/>
                <w:szCs w:val="24"/>
              </w:rPr>
              <w:t>91</w:t>
            </w:r>
            <w:r w:rsidRPr="0013396E">
              <w:rPr>
                <w:b/>
                <w:i/>
                <w:iCs/>
                <w:szCs w:val="24"/>
              </w:rPr>
              <w:t xml:space="preserve">: </w:t>
            </w:r>
            <w:r>
              <w:rPr>
                <w:b/>
                <w:i/>
                <w:iCs/>
                <w:szCs w:val="24"/>
              </w:rPr>
              <w:t>Replace</w:t>
            </w:r>
            <w:r w:rsidRPr="0013396E">
              <w:rPr>
                <w:b/>
                <w:i/>
                <w:iCs/>
                <w:szCs w:val="24"/>
              </w:rPr>
              <w:t xml:space="preserve"> paragraph (</w:t>
            </w:r>
            <w:r>
              <w:rPr>
                <w:b/>
                <w:i/>
                <w:iCs/>
                <w:szCs w:val="24"/>
              </w:rPr>
              <w:t>j</w:t>
            </w:r>
            <w:r w:rsidRPr="0013396E">
              <w:rPr>
                <w:b/>
                <w:i/>
                <w:iCs/>
                <w:szCs w:val="24"/>
              </w:rPr>
              <w:t xml:space="preserve">) </w:t>
            </w:r>
            <w:r>
              <w:rPr>
                <w:b/>
                <w:i/>
                <w:iCs/>
                <w:szCs w:val="24"/>
              </w:rPr>
              <w:t>above with the following</w:t>
            </w:r>
            <w:r w:rsidRPr="0013396E">
              <w:rPr>
                <w:b/>
                <w:i/>
                <w:iCs/>
                <w:szCs w:val="24"/>
              </w:rPr>
              <w:t xml:space="preserve"> upon system implementation:]</w:t>
            </w:r>
          </w:p>
          <w:p w14:paraId="0411C6B0" w14:textId="3435E94E" w:rsidR="00896851" w:rsidRPr="00896851" w:rsidRDefault="00896851" w:rsidP="00896851">
            <w:pPr>
              <w:spacing w:after="240"/>
              <w:ind w:left="1440" w:hanging="720"/>
            </w:pPr>
            <w:r w:rsidRPr="0013396E">
              <w:t>(a)</w:t>
            </w:r>
            <w:r w:rsidRPr="0013396E">
              <w:tab/>
              <w:t>For Off-Line Non-Spin Resources that are brought On-Line by ERCOT deployment instruction, RUC-committed Resources with a telemetered Resource Status of ONRUC and for RMR Resources that are On-Line:</w:t>
            </w:r>
          </w:p>
        </w:tc>
      </w:tr>
    </w:tbl>
    <w:p w14:paraId="3D9BECC7" w14:textId="156ECC33" w:rsidR="0013396E" w:rsidRPr="0013396E" w:rsidRDefault="0013396E" w:rsidP="007A1E53">
      <w:pPr>
        <w:spacing w:before="240" w:after="240"/>
        <w:ind w:left="2160" w:hanging="720"/>
      </w:pPr>
      <w:r w:rsidRPr="0013396E">
        <w:t>(i)</w:t>
      </w:r>
      <w:r w:rsidRPr="0013396E">
        <w:tab/>
        <w:t>Set the LSL and LDL to zero;</w:t>
      </w:r>
    </w:p>
    <w:p w14:paraId="21D76776" w14:textId="77777777" w:rsidR="0013396E" w:rsidRPr="0013396E" w:rsidRDefault="0013396E" w:rsidP="0013396E">
      <w:pPr>
        <w:spacing w:after="240"/>
        <w:ind w:left="2160" w:hanging="720"/>
      </w:pPr>
      <w:r w:rsidRPr="0013396E">
        <w:t>(ii)</w:t>
      </w:r>
      <w:r w:rsidRPr="0013396E">
        <w:tab/>
        <w:t>Remove all Ancillary Service Offers; and</w:t>
      </w:r>
    </w:p>
    <w:p w14:paraId="5FA8D330" w14:textId="77777777" w:rsidR="0013396E" w:rsidRPr="0013396E" w:rsidRDefault="0013396E" w:rsidP="0013396E">
      <w:pPr>
        <w:spacing w:after="240"/>
        <w:ind w:left="2160" w:hanging="720"/>
      </w:pPr>
      <w:r w:rsidRPr="0013396E">
        <w:t>(iii)</w:t>
      </w:r>
      <w:r w:rsidRPr="0013396E">
        <w:tab/>
        <w:t>For the first step of SCED, administratively set the Energy Offer Curve for the Resource at a value equal to the power balance penalty price for all capacity between 0 MW and the HSL of the Resource.</w:t>
      </w:r>
    </w:p>
    <w:p w14:paraId="6ABAB08D" w14:textId="77777777" w:rsidR="0013396E" w:rsidRPr="0013396E" w:rsidRDefault="0013396E" w:rsidP="0013396E">
      <w:pPr>
        <w:spacing w:after="240"/>
        <w:ind w:left="1440" w:hanging="720"/>
      </w:pPr>
      <w:r w:rsidRPr="0013396E">
        <w:t>(b)</w:t>
      </w:r>
      <w:r w:rsidRPr="0013396E">
        <w:tab/>
        <w:t>Notwithstanding item (a) above, for RUC-committed Combined Cycle Generation Resources with a telemetered Resource Status of ONRUC that were instructed by ERCOT to transition to a different configuration to provide additional capacity:</w:t>
      </w:r>
    </w:p>
    <w:p w14:paraId="17140271" w14:textId="77777777" w:rsidR="0013396E" w:rsidRPr="0013396E" w:rsidRDefault="0013396E" w:rsidP="0013396E">
      <w:pPr>
        <w:spacing w:after="240"/>
        <w:ind w:left="2160" w:hanging="720"/>
      </w:pPr>
      <w:r w:rsidRPr="0013396E">
        <w:t>(i)</w:t>
      </w:r>
      <w:r w:rsidRPr="0013396E">
        <w:tab/>
        <w:t>Set the LSL and LDL equal to the minimum of their current value and the COP HSL of the QSE-committed configuration for the RUC hour at the snapshot time of the RUC instruction;</w:t>
      </w:r>
    </w:p>
    <w:p w14:paraId="75AE6E22" w14:textId="77777777" w:rsidR="0013396E" w:rsidRPr="0013396E" w:rsidRDefault="0013396E" w:rsidP="0013396E">
      <w:pPr>
        <w:spacing w:after="240"/>
        <w:ind w:left="2160" w:hanging="720"/>
      </w:pPr>
      <w:r w:rsidRPr="0013396E">
        <w:t>(ii)</w:t>
      </w:r>
      <w:r w:rsidRPr="0013396E">
        <w:tab/>
        <w:t xml:space="preserve">Set the maximum Ancillary Service capabilities of the Resource equal to the minimum of their current value and COP Ancillary Service capabilities </w:t>
      </w:r>
      <w:r w:rsidRPr="0013396E">
        <w:lastRenderedPageBreak/>
        <w:t>of the QSE-committed configuration for the RUC hour at the snapshot time of the RUC instruction; and</w:t>
      </w:r>
    </w:p>
    <w:p w14:paraId="3FC3FA53" w14:textId="77777777" w:rsidR="0013396E" w:rsidRPr="0013396E" w:rsidRDefault="0013396E" w:rsidP="0013396E">
      <w:pPr>
        <w:spacing w:after="240"/>
        <w:ind w:left="2160" w:hanging="720"/>
      </w:pPr>
      <w:r w:rsidRPr="0013396E">
        <w:t>(iii)</w:t>
      </w:r>
      <w:r w:rsidRPr="0013396E">
        <w:tab/>
        <w:t xml:space="preserve">For the first step of SCED, administratively set the Energy Offer Curve for the Resource at a value equal to the power balance penalty price for the additional capacity of the Resource, defined as the positive difference between the Resource’s current telemetered HSL and the COP HSL of the QSE-committed configuration for the RUC hour at the snapshot time of the RUC instruction.  </w:t>
      </w:r>
    </w:p>
    <w:p w14:paraId="62A313E3" w14:textId="0FE381AE" w:rsidR="0013396E" w:rsidRPr="0013396E" w:rsidRDefault="0013396E" w:rsidP="0013396E">
      <w:pPr>
        <w:spacing w:after="240"/>
        <w:ind w:left="1440" w:hanging="720"/>
      </w:pPr>
      <w:r w:rsidRPr="0013396E">
        <w:t>(c)</w:t>
      </w:r>
      <w:r w:rsidRPr="0013396E">
        <w:tab/>
        <w:t>For all other Generation Resources excluding ones with a telemetered status of ONRUC, ONTEST, STARTUP, SHUTDOWN, and also excluding RMR Resources that are On-Line and excluding Generation Resources with a telemetered output less than 95% of LSL:</w:t>
      </w:r>
    </w:p>
    <w:p w14:paraId="253EC4A2" w14:textId="622F4982" w:rsidR="0013396E" w:rsidRPr="0013396E" w:rsidRDefault="0013396E" w:rsidP="0013396E">
      <w:pPr>
        <w:spacing w:after="240"/>
        <w:ind w:left="2160" w:hanging="720"/>
      </w:pPr>
      <w:r w:rsidRPr="0013396E">
        <w:t>(i)</w:t>
      </w:r>
      <w:r w:rsidRPr="0013396E">
        <w:tab/>
        <w:t>Set LDL to the greater of Aggregated Resource Output - (60 minutes * Normal Ramp Rate down), or LSL; and</w:t>
      </w:r>
    </w:p>
    <w:p w14:paraId="740A342B" w14:textId="6D197F60" w:rsidR="0013396E" w:rsidRPr="0013396E" w:rsidRDefault="0013396E" w:rsidP="0013396E">
      <w:pPr>
        <w:spacing w:after="240"/>
        <w:ind w:left="2160" w:hanging="720"/>
      </w:pPr>
      <w:r w:rsidRPr="0013396E">
        <w:t>(ii)       Set HDL to the lesser of Aggregated Resource Output + (60 minutes</w:t>
      </w:r>
      <w:r w:rsidR="00865280">
        <w:t xml:space="preserve"> </w:t>
      </w:r>
      <w:r w:rsidRPr="0013396E">
        <w:t>*</w:t>
      </w:r>
      <w:r w:rsidR="00865280">
        <w:t xml:space="preserve"> </w:t>
      </w:r>
      <w:r w:rsidRPr="0013396E">
        <w:t>Normal Ramp Rate up), or HSL.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13396E" w:rsidRPr="0013396E" w14:paraId="250EEB79" w14:textId="77777777" w:rsidTr="0013396E">
        <w:trPr>
          <w:trHeight w:val="206"/>
        </w:trPr>
        <w:tc>
          <w:tcPr>
            <w:tcW w:w="9350" w:type="dxa"/>
            <w:shd w:val="pct12" w:color="auto" w:fill="auto"/>
          </w:tcPr>
          <w:p w14:paraId="4680541A" w14:textId="77777777" w:rsidR="0013396E" w:rsidRPr="0013396E" w:rsidRDefault="0013396E" w:rsidP="0013396E">
            <w:pPr>
              <w:spacing w:before="120" w:after="240"/>
              <w:rPr>
                <w:b/>
                <w:i/>
                <w:iCs/>
                <w:szCs w:val="24"/>
              </w:rPr>
            </w:pPr>
            <w:r w:rsidRPr="0013396E">
              <w:rPr>
                <w:b/>
                <w:i/>
                <w:iCs/>
                <w:szCs w:val="24"/>
              </w:rPr>
              <w:t>[NPRR904:  Replace paragraph (c) above with the following upon system implementation:]</w:t>
            </w:r>
          </w:p>
          <w:p w14:paraId="4427344C" w14:textId="77777777" w:rsidR="0013396E" w:rsidRPr="0013396E" w:rsidRDefault="0013396E" w:rsidP="0013396E">
            <w:pPr>
              <w:spacing w:before="240" w:after="240"/>
              <w:ind w:left="1440" w:hanging="720"/>
              <w:rPr>
                <w:lang w:val="x-none" w:eastAsia="x-none"/>
              </w:rPr>
            </w:pPr>
            <w:r w:rsidRPr="0013396E">
              <w:rPr>
                <w:lang w:val="x-none" w:eastAsia="x-none"/>
              </w:rPr>
              <w:t>(</w:t>
            </w:r>
            <w:r w:rsidRPr="0013396E">
              <w:rPr>
                <w:lang w:eastAsia="x-none"/>
              </w:rPr>
              <w:t>c</w:t>
            </w:r>
            <w:r w:rsidRPr="0013396E">
              <w:rPr>
                <w:lang w:val="x-none" w:eastAsia="x-none"/>
              </w:rPr>
              <w:t xml:space="preserve">) </w:t>
            </w:r>
            <w:r w:rsidRPr="0013396E">
              <w:rPr>
                <w:lang w:val="x-none" w:eastAsia="x-none"/>
              </w:rPr>
              <w:tab/>
              <w:t>For all other Generation Resources excluding ones with a telemetered status of ONRUC, ONTEST, STARTUP, SHUTDOWN, and also excluding RMR Resources that are On-Line and excluding Generation Resources with a telemetered output less than 95% of LSL:</w:t>
            </w:r>
          </w:p>
          <w:p w14:paraId="2F0E330F" w14:textId="77777777" w:rsidR="0013396E" w:rsidRPr="0013396E" w:rsidRDefault="0013396E" w:rsidP="0013396E">
            <w:pPr>
              <w:spacing w:after="240"/>
              <w:ind w:left="2160" w:hanging="720"/>
            </w:pPr>
            <w:r w:rsidRPr="0013396E">
              <w:t>(i)</w:t>
            </w:r>
            <w:r w:rsidRPr="0013396E">
              <w:tab/>
              <w:t>If the Generation Resource SCED Base Point is not at LDL, set LDL to the greater of Aggregated Resource Output - (60 minutes * Normal Ramp Rate down), or LSL; and</w:t>
            </w:r>
          </w:p>
          <w:p w14:paraId="4EC98C0F" w14:textId="77777777" w:rsidR="0013396E" w:rsidRPr="0013396E" w:rsidRDefault="0013396E" w:rsidP="0013396E">
            <w:pPr>
              <w:spacing w:after="240"/>
              <w:ind w:left="2160" w:hanging="720"/>
            </w:pPr>
            <w:r w:rsidRPr="0013396E">
              <w:t xml:space="preserve">(ii) </w:t>
            </w:r>
            <w:r w:rsidRPr="0013396E">
              <w:tab/>
              <w:t>If the Generation Resource SCED Base Point is not at HDL, set HDL to the lesser of Aggregated Resource Output + (60 minutes * Normal Ramp Rate up), or HSL.</w:t>
            </w:r>
          </w:p>
        </w:tc>
      </w:tr>
    </w:tbl>
    <w:p w14:paraId="1835C1C1" w14:textId="77777777" w:rsidR="001E14CB" w:rsidRPr="0013396E" w:rsidRDefault="001E14CB" w:rsidP="00873D04">
      <w:pPr>
        <w:spacing w:before="240" w:after="240"/>
        <w:ind w:left="1440" w:hanging="720"/>
      </w:pPr>
      <w:r w:rsidRPr="0013396E">
        <w:t>(d)</w:t>
      </w:r>
      <w:r w:rsidRPr="0013396E">
        <w:tab/>
        <w:t>For all On-Line ESRs excluding those with a telemetered status of ONTEST or ONHOLD:</w:t>
      </w:r>
    </w:p>
    <w:p w14:paraId="6156D16B" w14:textId="77777777" w:rsidR="001E14CB" w:rsidRPr="0013396E" w:rsidRDefault="001E14CB" w:rsidP="00873D04">
      <w:pPr>
        <w:spacing w:after="240"/>
        <w:ind w:left="2160" w:hanging="720"/>
      </w:pPr>
      <w:r w:rsidRPr="0013396E">
        <w:t>(i)</w:t>
      </w:r>
      <w:r w:rsidRPr="0013396E">
        <w:tab/>
        <w:t>If the ESR SCED Base Point is not at LDL, set LDL to the greater of Aggregated Resource Output - (60 minutes * Normal Ramp Rate down), or LSL; and</w:t>
      </w:r>
    </w:p>
    <w:p w14:paraId="5AACDA93" w14:textId="77777777" w:rsidR="001E14CB" w:rsidRPr="0013396E" w:rsidRDefault="001E14CB" w:rsidP="001E14CB">
      <w:pPr>
        <w:spacing w:after="240"/>
        <w:ind w:left="2160" w:hanging="720"/>
      </w:pPr>
      <w:r w:rsidRPr="0013396E">
        <w:t>(ii)</w:t>
      </w:r>
      <w:r w:rsidRPr="0013396E">
        <w:tab/>
        <w:t>If the ESR SCED Base Point is not at HDL, set HDL to the lesser of Aggregated Resource Output + (60 minutes * Normal Ramp Rate up), or HSL.</w:t>
      </w:r>
    </w:p>
    <w:p w14:paraId="4E6774F3" w14:textId="77777777" w:rsidR="00AE5D60" w:rsidRPr="00AE5D60" w:rsidRDefault="00AE5D60" w:rsidP="003A0CA0">
      <w:pPr>
        <w:spacing w:after="240"/>
        <w:ind w:left="1440" w:hanging="720"/>
      </w:pPr>
      <w:r w:rsidRPr="00AE5D60">
        <w:lastRenderedPageBreak/>
        <w:t>(e)</w:t>
      </w:r>
      <w:r w:rsidRPr="00AE5D60">
        <w:tab/>
        <w:t>For all CLRs excluding ones with a telemetered status of OUTL:</w:t>
      </w:r>
    </w:p>
    <w:p w14:paraId="71FE7C45" w14:textId="421C4550" w:rsidR="00AE5D60" w:rsidRPr="00AE5D60" w:rsidRDefault="00AE5D60" w:rsidP="00AE5D60">
      <w:pPr>
        <w:spacing w:after="240"/>
        <w:ind w:left="2160" w:hanging="720"/>
      </w:pPr>
      <w:r w:rsidRPr="00AE5D60">
        <w:t>(i)</w:t>
      </w:r>
      <w:r w:rsidRPr="00AE5D60">
        <w:tab/>
      </w:r>
      <w:r w:rsidR="001E14CB">
        <w:t>Set</w:t>
      </w:r>
      <w:r w:rsidRPr="00AE5D60">
        <w:t xml:space="preserve"> LDL to the greater of Aggregated Resource Output - (60 minutes * Normal Ramp Rate), or LSL; and</w:t>
      </w:r>
    </w:p>
    <w:p w14:paraId="4AF255C8" w14:textId="212FA8A0" w:rsidR="00AE5D60" w:rsidRPr="00AE5D60" w:rsidRDefault="00AE5D60" w:rsidP="00AE5D60">
      <w:pPr>
        <w:spacing w:after="240"/>
        <w:ind w:left="2160" w:hanging="720"/>
      </w:pPr>
      <w:r w:rsidRPr="00AE5D60">
        <w:t>(ii)</w:t>
      </w:r>
      <w:r w:rsidRPr="00AE5D60">
        <w:tab/>
      </w:r>
      <w:r w:rsidR="001E14CB">
        <w:t>Set</w:t>
      </w:r>
      <w:r w:rsidRPr="00AE5D60">
        <w:t xml:space="preserve"> HDL to the lesser of Aggregated Resource Output + (60 minutes * Normal Ramp Rate), or HSL.</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11126C" w:rsidRPr="0013396E" w14:paraId="242D8B13" w14:textId="77777777" w:rsidTr="0099759E">
        <w:trPr>
          <w:trHeight w:val="206"/>
        </w:trPr>
        <w:tc>
          <w:tcPr>
            <w:tcW w:w="9350" w:type="dxa"/>
            <w:shd w:val="pct12" w:color="auto" w:fill="auto"/>
          </w:tcPr>
          <w:p w14:paraId="186B6A64" w14:textId="36238149" w:rsidR="0011126C" w:rsidRPr="0013396E" w:rsidRDefault="0011126C" w:rsidP="0099759E">
            <w:pPr>
              <w:spacing w:before="120" w:after="240"/>
              <w:rPr>
                <w:b/>
                <w:i/>
                <w:iCs/>
                <w:szCs w:val="24"/>
              </w:rPr>
            </w:pPr>
            <w:r w:rsidRPr="0013396E">
              <w:rPr>
                <w:b/>
                <w:i/>
                <w:iCs/>
                <w:szCs w:val="24"/>
              </w:rPr>
              <w:t>[NPRR</w:t>
            </w:r>
            <w:r w:rsidR="001E14CB">
              <w:rPr>
                <w:b/>
                <w:i/>
                <w:iCs/>
                <w:szCs w:val="24"/>
              </w:rPr>
              <w:t xml:space="preserve">904 and </w:t>
            </w:r>
            <w:r w:rsidRPr="0013396E">
              <w:rPr>
                <w:b/>
                <w:i/>
                <w:iCs/>
                <w:szCs w:val="24"/>
              </w:rPr>
              <w:t>1</w:t>
            </w:r>
            <w:r>
              <w:rPr>
                <w:b/>
                <w:i/>
                <w:iCs/>
                <w:szCs w:val="24"/>
              </w:rPr>
              <w:t>188</w:t>
            </w:r>
            <w:r w:rsidRPr="0013396E">
              <w:rPr>
                <w:b/>
                <w:i/>
                <w:iCs/>
                <w:szCs w:val="24"/>
              </w:rPr>
              <w:t xml:space="preserve">: </w:t>
            </w:r>
            <w:r>
              <w:rPr>
                <w:b/>
                <w:i/>
                <w:iCs/>
                <w:szCs w:val="24"/>
              </w:rPr>
              <w:t>Replace</w:t>
            </w:r>
            <w:r w:rsidRPr="0013396E">
              <w:rPr>
                <w:b/>
                <w:i/>
                <w:iCs/>
                <w:szCs w:val="24"/>
              </w:rPr>
              <w:t xml:space="preserve"> </w:t>
            </w:r>
            <w:r w:rsidR="001E14CB">
              <w:rPr>
                <w:b/>
                <w:i/>
                <w:iCs/>
                <w:szCs w:val="24"/>
              </w:rPr>
              <w:t xml:space="preserve">applicable portions of </w:t>
            </w:r>
            <w:r w:rsidRPr="0013396E">
              <w:rPr>
                <w:b/>
                <w:i/>
                <w:iCs/>
                <w:szCs w:val="24"/>
              </w:rPr>
              <w:t>paragraph (</w:t>
            </w:r>
            <w:r w:rsidR="00AE5D60">
              <w:rPr>
                <w:b/>
                <w:i/>
                <w:iCs/>
                <w:szCs w:val="24"/>
              </w:rPr>
              <w:t>e</w:t>
            </w:r>
            <w:r w:rsidRPr="0013396E">
              <w:rPr>
                <w:b/>
                <w:i/>
                <w:iCs/>
                <w:szCs w:val="24"/>
              </w:rPr>
              <w:t xml:space="preserve">) </w:t>
            </w:r>
            <w:r>
              <w:rPr>
                <w:b/>
                <w:i/>
                <w:iCs/>
                <w:szCs w:val="24"/>
              </w:rPr>
              <w:t>above with the following</w:t>
            </w:r>
            <w:r w:rsidRPr="0013396E">
              <w:rPr>
                <w:b/>
                <w:i/>
                <w:iCs/>
                <w:szCs w:val="24"/>
              </w:rPr>
              <w:t xml:space="preserve"> upon system implementation:]</w:t>
            </w:r>
          </w:p>
          <w:p w14:paraId="46E62FCB" w14:textId="77777777" w:rsidR="00AE5D60" w:rsidRPr="0013396E" w:rsidRDefault="00AE5D60" w:rsidP="005A7D8E">
            <w:pPr>
              <w:spacing w:after="240"/>
              <w:ind w:left="1440" w:hanging="720"/>
            </w:pPr>
            <w:r w:rsidRPr="0013396E">
              <w:t>(e)</w:t>
            </w:r>
            <w:r w:rsidRPr="0013396E">
              <w:tab/>
              <w:t>For all CLRs excluding ones with a telemetered status of OUTL, ONTEST, or ONHOLD:</w:t>
            </w:r>
          </w:p>
          <w:p w14:paraId="07C46819" w14:textId="77777777" w:rsidR="00AE5D60" w:rsidRPr="0013396E" w:rsidRDefault="00AE5D60" w:rsidP="00AE5D60">
            <w:pPr>
              <w:spacing w:after="240"/>
              <w:ind w:left="2160" w:hanging="720"/>
            </w:pPr>
            <w:r w:rsidRPr="0013396E">
              <w:t>(i)</w:t>
            </w:r>
            <w:r w:rsidRPr="0013396E">
              <w:tab/>
              <w:t>If the CLR SCED Base Point is not at LDL, set LDL to the greater of Aggregated Resource Output - (60 minutes * Normal Ramp Rate up), or LSL; and</w:t>
            </w:r>
          </w:p>
          <w:p w14:paraId="6BDD4F06" w14:textId="477F2E5A" w:rsidR="0011126C" w:rsidRPr="00896851" w:rsidRDefault="00AE5D60" w:rsidP="005A7D8E">
            <w:pPr>
              <w:spacing w:after="240"/>
              <w:ind w:left="2160" w:hanging="720"/>
            </w:pPr>
            <w:r w:rsidRPr="0013396E">
              <w:t>(ii)</w:t>
            </w:r>
            <w:r w:rsidRPr="0013396E">
              <w:tab/>
              <w:t>If the CLR SCED Base Point is not at HDL, set HDL to the lesser of Aggregated Resource Output + (60 minutes * Normal Ramp Rate down), or HSL.</w:t>
            </w:r>
          </w:p>
        </w:tc>
      </w:tr>
    </w:tbl>
    <w:p w14:paraId="1B8A78BC" w14:textId="0C03481A" w:rsidR="0013396E" w:rsidRPr="0013396E" w:rsidRDefault="0013396E" w:rsidP="0013396E">
      <w:pPr>
        <w:spacing w:before="240" w:after="240"/>
        <w:ind w:left="1440" w:hanging="720"/>
      </w:pPr>
      <w:r w:rsidRPr="0013396E">
        <w:t>(f)</w:t>
      </w:r>
      <w:r w:rsidRPr="0013396E">
        <w:tab/>
        <w:t xml:space="preserve">Add the deployed MW from Load Resources that are not CLRs and that are providing RRS or ECRS to GTBD linearly ramped over the ten-minute ramp period and add the deployed MW from Load Resources that are not CLRs providing Non-Spin to GTBD linearly ramped over the 30-minute ramp period.  The amount of deployed MW is calculated from the Resource telemetry and from applicable deployment instructions in Extensible Markup Language (XML) messages.  ERCOT shall generate a linear bid curve defined by a price/quantity pair of $300/MWh for the first MW of Load Resources deployed and a price/quantity pair of $700/MWh for the last MW of Load Resources deployed in each SCED execution.  After recall instruction, the restoration period length and amount of MW added to GTBD during the restoration period will be determined by validated telemetry and the type of Ancillary Service deployed from the Resource.  The TAC shall review the validity of the prices for the bid curve at least annually.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AE5D60" w:rsidRPr="0013396E" w14:paraId="1A45EBF2" w14:textId="77777777" w:rsidTr="0099759E">
        <w:trPr>
          <w:trHeight w:val="206"/>
        </w:trPr>
        <w:tc>
          <w:tcPr>
            <w:tcW w:w="9350" w:type="dxa"/>
            <w:shd w:val="pct12" w:color="auto" w:fill="auto"/>
          </w:tcPr>
          <w:p w14:paraId="5B650561" w14:textId="421EA5D3" w:rsidR="00AE5D60" w:rsidRPr="0013396E" w:rsidRDefault="00AE5D60" w:rsidP="0099759E">
            <w:pPr>
              <w:spacing w:before="120" w:after="240"/>
              <w:rPr>
                <w:b/>
                <w:i/>
                <w:iCs/>
                <w:szCs w:val="24"/>
              </w:rPr>
            </w:pPr>
            <w:r w:rsidRPr="0013396E">
              <w:rPr>
                <w:b/>
                <w:i/>
                <w:iCs/>
                <w:szCs w:val="24"/>
              </w:rPr>
              <w:t>[NPRR1</w:t>
            </w:r>
            <w:r>
              <w:rPr>
                <w:b/>
                <w:i/>
                <w:iCs/>
                <w:szCs w:val="24"/>
              </w:rPr>
              <w:t>238</w:t>
            </w:r>
            <w:r w:rsidRPr="0013396E">
              <w:rPr>
                <w:b/>
                <w:i/>
                <w:iCs/>
                <w:szCs w:val="24"/>
              </w:rPr>
              <w:t>: Insert paragraph (</w:t>
            </w:r>
            <w:r>
              <w:rPr>
                <w:b/>
                <w:i/>
                <w:iCs/>
                <w:szCs w:val="24"/>
              </w:rPr>
              <w:t>g</w:t>
            </w:r>
            <w:r w:rsidRPr="0013396E">
              <w:rPr>
                <w:b/>
                <w:i/>
                <w:iCs/>
                <w:szCs w:val="24"/>
              </w:rPr>
              <w:t>) below upon system implementation</w:t>
            </w:r>
            <w:r>
              <w:rPr>
                <w:b/>
                <w:i/>
                <w:iCs/>
                <w:szCs w:val="24"/>
              </w:rPr>
              <w:t xml:space="preserve"> and renumber accordingly</w:t>
            </w:r>
            <w:r w:rsidRPr="0013396E">
              <w:rPr>
                <w:b/>
                <w:i/>
                <w:iCs/>
                <w:szCs w:val="24"/>
              </w:rPr>
              <w:t>:]</w:t>
            </w:r>
          </w:p>
          <w:p w14:paraId="4D8C4BD4" w14:textId="1D8279AD" w:rsidR="00AE5D60" w:rsidRPr="00AE5D60" w:rsidRDefault="00AE5D60" w:rsidP="0099759E">
            <w:pPr>
              <w:spacing w:after="240"/>
              <w:ind w:left="1440" w:hanging="720"/>
              <w:rPr>
                <w:szCs w:val="24"/>
              </w:rPr>
            </w:pPr>
            <w:r w:rsidRPr="0013396E">
              <w:rPr>
                <w:szCs w:val="24"/>
              </w:rPr>
              <w:t>(g)</w:t>
            </w:r>
            <w:r w:rsidRPr="0013396E">
              <w:tab/>
            </w:r>
            <w:r w:rsidRPr="0013396E">
              <w:rPr>
                <w:szCs w:val="24"/>
              </w:rPr>
              <w:t>Add the deployed MW from VECL</w:t>
            </w:r>
            <w:r w:rsidRPr="0013396E">
              <w:rPr>
                <w:bCs/>
              </w:rPr>
              <w:t xml:space="preserve"> </w:t>
            </w:r>
            <w:r w:rsidRPr="0013396E">
              <w:rPr>
                <w:szCs w:val="24"/>
              </w:rPr>
              <w:t xml:space="preserve">to GTBD linearly ramped over a 30-minute ramp period.  The amount of deployed MW is calculated from the applicable deployment instructions in XML messages.  ERCOT shall generate a linear bid curve defined by a price/quantity pair of $300/MWh for the first MW of </w:t>
            </w:r>
            <w:r w:rsidRPr="0013396E">
              <w:rPr>
                <w:bCs/>
              </w:rPr>
              <w:t>VECL</w:t>
            </w:r>
            <w:r w:rsidRPr="0013396E">
              <w:rPr>
                <w:szCs w:val="24"/>
              </w:rPr>
              <w:t xml:space="preserve"> deployed and a price/quantity pair of $700/MWh for the last MW of </w:t>
            </w:r>
            <w:r w:rsidRPr="0013396E">
              <w:rPr>
                <w:bCs/>
              </w:rPr>
              <w:t xml:space="preserve">VECL </w:t>
            </w:r>
            <w:r w:rsidRPr="0013396E">
              <w:rPr>
                <w:szCs w:val="24"/>
              </w:rPr>
              <w:lastRenderedPageBreak/>
              <w:t>deployed in each SCED execution.  After recall instruction, GTBD shall be adjusted to reflect restoration on a linear curve over a one-hour restoration period.</w:t>
            </w:r>
          </w:p>
        </w:tc>
      </w:tr>
    </w:tbl>
    <w:p w14:paraId="6F53573C" w14:textId="07440A5A" w:rsidR="0013396E" w:rsidRPr="0013396E" w:rsidRDefault="0013396E" w:rsidP="005A7D8E">
      <w:pPr>
        <w:pStyle w:val="BodyTextNumbered"/>
        <w:spacing w:before="240"/>
        <w:ind w:left="1440"/>
      </w:pPr>
      <w:r w:rsidRPr="0013396E">
        <w:lastRenderedPageBreak/>
        <w:t>(</w:t>
      </w:r>
      <w:r w:rsidR="00AE5D60">
        <w:t>g</w:t>
      </w:r>
      <w:r w:rsidRPr="0013396E">
        <w:t>)</w:t>
      </w:r>
      <w:r w:rsidRPr="0013396E">
        <w:tab/>
        <w:t>Add the deployed MW from ERS to GTBD.  The amount of deployed MW is determined from the XML messages and ERS contracted capacities for the ERS Time Periods when ERS is deployed.  After recall, an approximation of the amount of un-restored ERS shall be used.  After ERCOT recalls each group, GTBD shall be adjusted to reflect restoration on a linear curve over the assumed restoration period (“RHours”).</w:t>
      </w:r>
    </w:p>
    <w:p w14:paraId="6B467D20" w14:textId="77777777" w:rsidR="0013396E" w:rsidRPr="0013396E" w:rsidRDefault="0013396E" w:rsidP="0013396E">
      <w:pPr>
        <w:rPr>
          <w:iCs/>
        </w:rPr>
      </w:pPr>
      <w:r w:rsidRPr="0013396E">
        <w:rPr>
          <w:iCs/>
        </w:rPr>
        <w:t>The above parameter is defined as follows:</w:t>
      </w:r>
    </w:p>
    <w:tbl>
      <w:tblPr>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48"/>
        <w:gridCol w:w="1702"/>
        <w:gridCol w:w="6120"/>
      </w:tblGrid>
      <w:tr w:rsidR="0013396E" w:rsidRPr="0013396E" w14:paraId="0C5FFC87" w14:textId="77777777" w:rsidTr="0099759E">
        <w:trPr>
          <w:trHeight w:val="351"/>
          <w:tblHeader/>
        </w:trPr>
        <w:tc>
          <w:tcPr>
            <w:tcW w:w="1448" w:type="dxa"/>
          </w:tcPr>
          <w:p w14:paraId="0A3B16DC" w14:textId="77777777" w:rsidR="0013396E" w:rsidRPr="0013396E" w:rsidRDefault="0013396E" w:rsidP="0099759E">
            <w:pPr>
              <w:pStyle w:val="TableHead"/>
            </w:pPr>
            <w:r w:rsidRPr="0013396E">
              <w:t>Parameter</w:t>
            </w:r>
          </w:p>
        </w:tc>
        <w:tc>
          <w:tcPr>
            <w:tcW w:w="1702" w:type="dxa"/>
          </w:tcPr>
          <w:p w14:paraId="17E8AE7F" w14:textId="77777777" w:rsidR="0013396E" w:rsidRPr="0013396E" w:rsidRDefault="0013396E" w:rsidP="0099759E">
            <w:pPr>
              <w:pStyle w:val="TableHead"/>
            </w:pPr>
            <w:r w:rsidRPr="0013396E">
              <w:t>Unit</w:t>
            </w:r>
          </w:p>
        </w:tc>
        <w:tc>
          <w:tcPr>
            <w:tcW w:w="6120" w:type="dxa"/>
          </w:tcPr>
          <w:p w14:paraId="547AF6EE" w14:textId="77777777" w:rsidR="0013396E" w:rsidRPr="0013396E" w:rsidRDefault="0013396E" w:rsidP="0099759E">
            <w:pPr>
              <w:pStyle w:val="TableHead"/>
            </w:pPr>
            <w:r w:rsidRPr="0013396E">
              <w:t>Current Value*</w:t>
            </w:r>
          </w:p>
        </w:tc>
      </w:tr>
      <w:tr w:rsidR="0013396E" w:rsidRPr="0013396E" w14:paraId="06AF7DDD" w14:textId="77777777" w:rsidTr="0099759E">
        <w:trPr>
          <w:trHeight w:val="519"/>
        </w:trPr>
        <w:tc>
          <w:tcPr>
            <w:tcW w:w="1448" w:type="dxa"/>
          </w:tcPr>
          <w:p w14:paraId="59678861" w14:textId="77777777" w:rsidR="0013396E" w:rsidRPr="0013396E" w:rsidRDefault="0013396E" w:rsidP="0099759E">
            <w:pPr>
              <w:pStyle w:val="TableBody"/>
            </w:pPr>
            <w:r w:rsidRPr="0013396E">
              <w:t>RHours</w:t>
            </w:r>
          </w:p>
        </w:tc>
        <w:tc>
          <w:tcPr>
            <w:tcW w:w="1702" w:type="dxa"/>
          </w:tcPr>
          <w:p w14:paraId="73E7DA0F" w14:textId="77777777" w:rsidR="0013396E" w:rsidRPr="0013396E" w:rsidRDefault="0013396E" w:rsidP="0099759E">
            <w:pPr>
              <w:pStyle w:val="TableBody"/>
            </w:pPr>
            <w:r w:rsidRPr="0013396E">
              <w:t>Hours</w:t>
            </w:r>
          </w:p>
        </w:tc>
        <w:tc>
          <w:tcPr>
            <w:tcW w:w="6120" w:type="dxa"/>
          </w:tcPr>
          <w:p w14:paraId="20A57613" w14:textId="77777777" w:rsidR="0013396E" w:rsidRPr="0013396E" w:rsidRDefault="0013396E" w:rsidP="0099759E">
            <w:pPr>
              <w:pStyle w:val="TableBody"/>
            </w:pPr>
            <w:r w:rsidRPr="0013396E">
              <w:t>4.5</w:t>
            </w:r>
          </w:p>
        </w:tc>
      </w:tr>
      <w:tr w:rsidR="0013396E" w:rsidRPr="0013396E" w14:paraId="59FB3B9B" w14:textId="77777777" w:rsidTr="0099759E">
        <w:trPr>
          <w:trHeight w:val="519"/>
        </w:trPr>
        <w:tc>
          <w:tcPr>
            <w:tcW w:w="9270" w:type="dxa"/>
            <w:gridSpan w:val="3"/>
          </w:tcPr>
          <w:p w14:paraId="157C3B4A" w14:textId="77777777" w:rsidR="0013396E" w:rsidRPr="0013396E" w:rsidRDefault="0013396E" w:rsidP="0099759E">
            <w:pPr>
              <w:pStyle w:val="TableBody"/>
            </w:pPr>
            <w:r w:rsidRPr="0013396E">
              <w:t xml:space="preserve">* Changes to the current value of the parameter(s) referenced in this table above may be recommended by TAC and the ERCOT Board and approved by the Public Utility Commission of Texas (PUCT).  ERCOT shall update parameter values on the first day of the month following PUCT approval unless otherwise directed.  ERCOT shall provide a Market Notice prior to implementation of a revised parameter value.    </w:t>
            </w:r>
          </w:p>
        </w:tc>
      </w:tr>
    </w:tbl>
    <w:p w14:paraId="0B389165" w14:textId="00BC502B" w:rsidR="0013396E" w:rsidRPr="0013396E" w:rsidRDefault="0013396E" w:rsidP="0013396E">
      <w:pPr>
        <w:spacing w:before="240" w:after="240"/>
        <w:ind w:left="1440" w:hanging="720"/>
      </w:pPr>
      <w:r w:rsidRPr="0013396E">
        <w:t>(</w:t>
      </w:r>
      <w:r w:rsidR="00AE5D60">
        <w:t>h</w:t>
      </w:r>
      <w:r w:rsidRPr="0013396E">
        <w:t>)</w:t>
      </w:r>
      <w:r w:rsidRPr="0013396E">
        <w:tab/>
        <w:t>Add the MW from Real-Time DC Tie imports during an EEA to GTBD.  The amount of MW is determined from the Dispatch Instruction and should continue over the duration of time specified by the ERCOT Operator.</w:t>
      </w:r>
    </w:p>
    <w:p w14:paraId="142E8711" w14:textId="3853C963" w:rsidR="0013396E" w:rsidRPr="0013396E" w:rsidRDefault="0013396E" w:rsidP="0013396E">
      <w:pPr>
        <w:spacing w:after="240"/>
        <w:ind w:left="1440" w:hanging="720"/>
      </w:pPr>
      <w:r w:rsidRPr="0013396E">
        <w:t>(</w:t>
      </w:r>
      <w:r w:rsidR="00AE5D60">
        <w:t>i</w:t>
      </w:r>
      <w:r w:rsidRPr="0013396E">
        <w:t>)</w:t>
      </w:r>
      <w:r w:rsidRPr="0013396E">
        <w:tab/>
        <w:t xml:space="preserve">Subtract the MW from Real-Time DC Tie exports to address emergency conditions in the receiving electric grid from GTBD.  The amount of MW is determined from the Dispatch Instruction and should continue over the duration of time specified by the receiving grid operator.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13396E" w:rsidRPr="0013396E" w14:paraId="587ECF7A" w14:textId="77777777" w:rsidTr="0099759E">
        <w:trPr>
          <w:trHeight w:val="206"/>
        </w:trPr>
        <w:tc>
          <w:tcPr>
            <w:tcW w:w="9576" w:type="dxa"/>
            <w:shd w:val="pct12" w:color="auto" w:fill="auto"/>
          </w:tcPr>
          <w:p w14:paraId="58005391" w14:textId="7D18A112" w:rsidR="0013396E" w:rsidRPr="0013396E" w:rsidRDefault="0013396E" w:rsidP="0013396E">
            <w:pPr>
              <w:spacing w:before="120" w:after="240"/>
              <w:rPr>
                <w:b/>
                <w:i/>
                <w:iCs/>
                <w:szCs w:val="24"/>
              </w:rPr>
            </w:pPr>
            <w:r w:rsidRPr="0013396E">
              <w:rPr>
                <w:b/>
                <w:i/>
                <w:iCs/>
                <w:szCs w:val="24"/>
              </w:rPr>
              <w:t>[NPRR904:  Replace paragraphs (</w:t>
            </w:r>
            <w:r w:rsidR="00AE5D60">
              <w:rPr>
                <w:b/>
                <w:i/>
                <w:iCs/>
                <w:szCs w:val="24"/>
              </w:rPr>
              <w:t>h</w:t>
            </w:r>
            <w:r w:rsidRPr="0013396E">
              <w:rPr>
                <w:b/>
                <w:i/>
                <w:iCs/>
                <w:szCs w:val="24"/>
              </w:rPr>
              <w:t>) and (</w:t>
            </w:r>
            <w:r w:rsidR="00AE5D60">
              <w:rPr>
                <w:b/>
                <w:i/>
                <w:iCs/>
                <w:szCs w:val="24"/>
              </w:rPr>
              <w:t>i</w:t>
            </w:r>
            <w:r w:rsidRPr="0013396E">
              <w:rPr>
                <w:b/>
                <w:i/>
                <w:iCs/>
                <w:szCs w:val="24"/>
              </w:rPr>
              <w:t>) above with the following upon system implementation and renumber accordingly:]</w:t>
            </w:r>
          </w:p>
          <w:p w14:paraId="1F92CAF4" w14:textId="58733797" w:rsidR="0013396E" w:rsidRPr="0013396E" w:rsidRDefault="0013396E" w:rsidP="0013396E">
            <w:pPr>
              <w:spacing w:after="240"/>
              <w:ind w:left="1440" w:hanging="720"/>
            </w:pPr>
            <w:r w:rsidRPr="0013396E">
              <w:t>(</w:t>
            </w:r>
            <w:r w:rsidR="00AE5D60">
              <w:t>h</w:t>
            </w:r>
            <w:r w:rsidRPr="0013396E">
              <w:t>)</w:t>
            </w:r>
            <w:r w:rsidRPr="0013396E">
              <w:tab/>
              <w:t>Add the MW from DC Tie imports during an EEA or transmission emergency, to address local transmission system limitations, or due to an emergency action by a neighboring system operator during an emergency that is accommodated by ERCOT to GTBD.  The amount of MW is determined from the Dispatch Instruction and should continue over the duration of time specified by the ERCOT Operator.</w:t>
            </w:r>
          </w:p>
          <w:p w14:paraId="5D80ADFB" w14:textId="209C2D10" w:rsidR="0013396E" w:rsidRPr="0013396E" w:rsidRDefault="0013396E" w:rsidP="0013396E">
            <w:pPr>
              <w:spacing w:after="240"/>
              <w:ind w:left="1440" w:hanging="720"/>
              <w:rPr>
                <w:lang w:eastAsia="x-none"/>
              </w:rPr>
            </w:pPr>
            <w:r w:rsidRPr="0013396E">
              <w:rPr>
                <w:lang w:val="x-none" w:eastAsia="x-none"/>
              </w:rPr>
              <w:t>(</w:t>
            </w:r>
            <w:r w:rsidR="00AE5D60">
              <w:rPr>
                <w:lang w:val="x-none" w:eastAsia="x-none"/>
              </w:rPr>
              <w:t>i</w:t>
            </w:r>
            <w:r w:rsidRPr="0013396E">
              <w:rPr>
                <w:lang w:val="x-none" w:eastAsia="x-none"/>
              </w:rPr>
              <w:t>)</w:t>
            </w:r>
            <w:r w:rsidRPr="0013396E">
              <w:rPr>
                <w:lang w:val="x-none" w:eastAsia="x-none"/>
              </w:rPr>
              <w:tab/>
              <w:t>Add the MW from DC Tie export curtailments during an EEA or transmission emergency, to address local transmission system limitations, or due to an emergency action by a neighboring system operator during an emergency that is accommodated by ERCOT to GTBD.  The amount of MW is determined from the Dispatch Instruction and should continue over the duration of time specified by the ERCOT Operator.</w:t>
            </w:r>
            <w:r w:rsidRPr="0013396E">
              <w:rPr>
                <w:lang w:eastAsia="x-none"/>
              </w:rPr>
              <w:t xml:space="preserve">  The MW added to GTBD associated with </w:t>
            </w:r>
            <w:r w:rsidRPr="0013396E">
              <w:rPr>
                <w:lang w:eastAsia="x-none"/>
              </w:rPr>
              <w:lastRenderedPageBreak/>
              <w:t>any individual DC Tie shall not exceed the higher of DC Tie advisory limit for exports on that tie as of 06</w:t>
            </w:r>
            <w:r w:rsidRPr="0013396E">
              <w:rPr>
                <w:lang w:val="x-none" w:eastAsia="x-none"/>
              </w:rPr>
              <w:t>00 in the Day-Ahead</w:t>
            </w:r>
            <w:r w:rsidRPr="0013396E">
              <w:rPr>
                <w:lang w:eastAsia="x-none"/>
              </w:rPr>
              <w:t xml:space="preserve"> or subsequent advisory export limit minus the aggregate export on the DC Tie that remained scheduled following the Dispatch Instruction from the ERCOT Operator.</w:t>
            </w:r>
          </w:p>
          <w:p w14:paraId="2C9F70FE" w14:textId="565CF307" w:rsidR="0013396E" w:rsidRPr="0013396E" w:rsidRDefault="0013396E" w:rsidP="0013396E">
            <w:pPr>
              <w:spacing w:after="240"/>
              <w:ind w:left="1440" w:hanging="720"/>
            </w:pPr>
            <w:r w:rsidRPr="0013396E">
              <w:t>(</w:t>
            </w:r>
            <w:r w:rsidR="00AE5D60">
              <w:t>j</w:t>
            </w:r>
            <w:r w:rsidRPr="0013396E">
              <w:t>)</w:t>
            </w:r>
            <w:r w:rsidRPr="0013396E">
              <w:tab/>
              <w:t xml:space="preserve">Subtract the MW from DC Tie exports to address emergency conditions in the receiving electric grid from GTBD.  The amount of MW is determined from the Dispatch Instruction and should continue over the duration of time specified by the receiving grid operator.   </w:t>
            </w:r>
          </w:p>
          <w:p w14:paraId="7BBE8EF2" w14:textId="5CAFA509" w:rsidR="0013396E" w:rsidRPr="0013396E" w:rsidRDefault="0013396E" w:rsidP="0013396E">
            <w:pPr>
              <w:spacing w:after="240"/>
              <w:ind w:left="1440" w:hanging="720"/>
            </w:pPr>
            <w:r w:rsidRPr="0013396E">
              <w:t>(</w:t>
            </w:r>
            <w:r w:rsidR="00AE5D60">
              <w:t>k</w:t>
            </w:r>
            <w:r w:rsidRPr="0013396E">
              <w:t>)</w:t>
            </w:r>
            <w:r w:rsidRPr="0013396E">
              <w:tab/>
              <w:t>Subtract the MW from DC Tie import curtailments to address local transmission system limitations or emergency conditions in the receiving electric grid from GTBD.  The amount of MW is determined from the Dispatch Instruction and should continue over the duration of time specified by the receiving grid operator.  The MW subtracted from GTBD associated with any individual DC Tie shall not exceed the higher of DC Tie advisory limit for imports on that tie as of 0600 in the Day-Ahead or subsequent advisory import limit minus the aggregate import on the DC Tie that remained scheduled following the Dispatch Instruction from the ERCOT Operator.</w:t>
            </w:r>
          </w:p>
        </w:tc>
      </w:tr>
    </w:tbl>
    <w:p w14:paraId="7D99361C" w14:textId="59C65A5B" w:rsidR="0013396E" w:rsidRPr="0013396E" w:rsidRDefault="0013396E" w:rsidP="0013396E">
      <w:pPr>
        <w:spacing w:before="240" w:after="240"/>
        <w:ind w:left="1440" w:hanging="720"/>
      </w:pPr>
      <w:r w:rsidRPr="0013396E">
        <w:lastRenderedPageBreak/>
        <w:t>(</w:t>
      </w:r>
      <w:r w:rsidR="00AE5D60">
        <w:t>j</w:t>
      </w:r>
      <w:r w:rsidRPr="0013396E">
        <w:t>)</w:t>
      </w:r>
      <w:r w:rsidRPr="0013396E">
        <w:tab/>
        <w:t>Add the MW from energy delivered to ERCOT through registered BLTs during an EEA to GTBD.  The amount of MW is determined from the Dispatch Instruction and should continue over the duration of time specified by the ERCOT Operator.</w:t>
      </w:r>
    </w:p>
    <w:p w14:paraId="79BDBACB" w14:textId="058F6665" w:rsidR="0013396E" w:rsidRPr="0013396E" w:rsidRDefault="0013396E" w:rsidP="0013396E">
      <w:pPr>
        <w:spacing w:after="240"/>
        <w:ind w:left="1440" w:hanging="720"/>
      </w:pPr>
      <w:r w:rsidRPr="0013396E">
        <w:t>(</w:t>
      </w:r>
      <w:r w:rsidR="00AE5D60">
        <w:t>k</w:t>
      </w:r>
      <w:r w:rsidRPr="0013396E">
        <w:t>)</w:t>
      </w:r>
      <w:r w:rsidRPr="0013396E">
        <w:tab/>
        <w:t>Subtract the MW from energy delivered from ERCOT to another power pool through registered BLTs during emergency conditions in the receiving electric grid from GTBD.  The amount of MW is determined from the Dispatch Instruction and should continue over the duration of time specified by the receiving grid operator.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13396E" w:rsidRPr="0013396E" w14:paraId="5A5671B6" w14:textId="77777777" w:rsidTr="0099759E">
        <w:trPr>
          <w:trHeight w:val="206"/>
        </w:trPr>
        <w:tc>
          <w:tcPr>
            <w:tcW w:w="9576" w:type="dxa"/>
            <w:shd w:val="pct12" w:color="auto" w:fill="auto"/>
          </w:tcPr>
          <w:p w14:paraId="6B6C2CC7" w14:textId="4EA7C6B1" w:rsidR="0013396E" w:rsidRPr="0013396E" w:rsidRDefault="0013396E" w:rsidP="0013396E">
            <w:pPr>
              <w:spacing w:before="120" w:after="240"/>
              <w:rPr>
                <w:b/>
                <w:i/>
                <w:iCs/>
                <w:szCs w:val="24"/>
              </w:rPr>
            </w:pPr>
            <w:r w:rsidRPr="0013396E">
              <w:rPr>
                <w:b/>
                <w:i/>
                <w:iCs/>
                <w:szCs w:val="24"/>
              </w:rPr>
              <w:t>[NPRR1006: Insert paragraph (</w:t>
            </w:r>
            <w:r w:rsidR="00AE5D60">
              <w:rPr>
                <w:b/>
                <w:i/>
                <w:iCs/>
                <w:szCs w:val="24"/>
              </w:rPr>
              <w:t>l</w:t>
            </w:r>
            <w:r w:rsidRPr="0013396E">
              <w:rPr>
                <w:b/>
                <w:i/>
                <w:iCs/>
                <w:szCs w:val="24"/>
              </w:rPr>
              <w:t>) below upon system implementation and renumber accordingly:]</w:t>
            </w:r>
          </w:p>
          <w:p w14:paraId="2FFEBAF1" w14:textId="2027BB30" w:rsidR="0013396E" w:rsidRPr="0013396E" w:rsidRDefault="0013396E" w:rsidP="0013396E">
            <w:pPr>
              <w:spacing w:after="240"/>
              <w:ind w:left="1440" w:hanging="720"/>
              <w:rPr>
                <w:iCs/>
              </w:rPr>
            </w:pPr>
            <w:r w:rsidRPr="0013396E">
              <w:rPr>
                <w:iCs/>
              </w:rPr>
              <w:t>(</w:t>
            </w:r>
            <w:r w:rsidR="00AE5D60">
              <w:rPr>
                <w:iCs/>
              </w:rPr>
              <w:t>l</w:t>
            </w:r>
            <w:r w:rsidRPr="0013396E">
              <w:rPr>
                <w:iCs/>
              </w:rPr>
              <w:t>)</w:t>
            </w:r>
            <w:r w:rsidRPr="0013396E">
              <w:rPr>
                <w:iCs/>
              </w:rPr>
              <w:tab/>
              <w:t xml:space="preserve">Add the deployed MWs from </w:t>
            </w:r>
            <w:bookmarkStart w:id="909" w:name="_Hlk34211615"/>
            <w:r w:rsidRPr="0013396E">
              <w:rPr>
                <w:iCs/>
              </w:rPr>
              <w:t xml:space="preserve">TDSP standard offer Load management programs </w:t>
            </w:r>
            <w:bookmarkEnd w:id="909"/>
            <w:r w:rsidRPr="0013396E">
              <w:rPr>
                <w:iCs/>
              </w:rPr>
              <w:t xml:space="preserve">to GTBD, if ERCOT instructs TDSPs to deploy their standard offer Load management programs.  The amount of deployed MW is the value ERCOT provided for all TDSP standard offer Load management programs in the most current May Report on Capacity, Demand and Reserves in the ERCOT Region, unless modified as specified in this paragraph.  If ERCOT is informed that all or a portion of a TDSP’s standard offer Load management program has been fully exhausted, or has been expanded as the result of a Public Utility Commission of Texas (PUCT) proceeding, ERCOT will remove the associated MW value of any exhausted capacity from the amount of deployed MW or, in the case of an expansion, ERCOT will request an updated MW value from the </w:t>
            </w:r>
            <w:r w:rsidRPr="0013396E">
              <w:rPr>
                <w:iCs/>
              </w:rPr>
              <w:lastRenderedPageBreak/>
              <w:t>relevant TDSPs to use in place of the May Report on Capacity, Demand and Reserves in the ERCOT Region</w:t>
            </w:r>
            <w:r w:rsidR="006049CC">
              <w:rPr>
                <w:iCs/>
              </w:rPr>
              <w:t xml:space="preserve"> (CDR)</w:t>
            </w:r>
            <w:r w:rsidRPr="0013396E">
              <w:rPr>
                <w:iCs/>
              </w:rPr>
              <w:t xml:space="preserve"> value for that year.  The initial value ERCOT will use for deployed MW under this paragraph for each calendar year, as well as any subsequent changes to this value, will be communicated to Market Participants in a Market Notice.  After recall, an approximation of the amount of un-restored TDSP standard offer Load management programs shall be used.  GTBD shall be adjusted to reflect restoration on a linear curve over the assumed restoration period (“RHours”) defined by item (</w:t>
            </w:r>
            <w:r w:rsidR="006049CC">
              <w:rPr>
                <w:iCs/>
              </w:rPr>
              <w:t>g</w:t>
            </w:r>
            <w:r w:rsidRPr="0013396E">
              <w:rPr>
                <w:iCs/>
              </w:rPr>
              <w:t>) above.</w:t>
            </w:r>
          </w:p>
        </w:tc>
      </w:tr>
    </w:tbl>
    <w:p w14:paraId="571FC7AF" w14:textId="426E5AC4" w:rsidR="0013396E" w:rsidRPr="0013396E" w:rsidRDefault="0013396E" w:rsidP="0013396E">
      <w:pPr>
        <w:spacing w:before="240" w:after="240"/>
        <w:ind w:left="1440" w:hanging="720"/>
      </w:pPr>
      <w:r w:rsidRPr="0013396E">
        <w:lastRenderedPageBreak/>
        <w:t>(</w:t>
      </w:r>
      <w:r w:rsidR="00AE5D60">
        <w:t>l</w:t>
      </w:r>
      <w:r w:rsidRPr="0013396E">
        <w:t>)</w:t>
      </w:r>
      <w:r w:rsidRPr="0013396E">
        <w:tab/>
        <w:t>Perform a SCED with changes to the inputs in items (a) through (</w:t>
      </w:r>
      <w:r w:rsidR="00AE5D60">
        <w:t>k</w:t>
      </w:r>
      <w:r w:rsidRPr="0013396E">
        <w:t>) above, considering only Competitive Constraints and the non-mitigated Energy Offer Curves.</w:t>
      </w:r>
    </w:p>
    <w:p w14:paraId="793C5CE9" w14:textId="03DC06E2" w:rsidR="0013396E" w:rsidRPr="0013396E" w:rsidRDefault="0013396E" w:rsidP="0013396E">
      <w:pPr>
        <w:spacing w:after="240"/>
        <w:ind w:left="1440" w:hanging="720"/>
      </w:pPr>
      <w:r w:rsidRPr="0013396E">
        <w:t>(</w:t>
      </w:r>
      <w:r w:rsidR="00AE5D60">
        <w:t>m</w:t>
      </w:r>
      <w:r w:rsidRPr="0013396E">
        <w:t>)</w:t>
      </w:r>
      <w:r w:rsidRPr="0013396E">
        <w:tab/>
        <w:t>Perform mitigation on the submitted Energy Offer Curves using the LMPs from the previous step as the reference LMP.</w:t>
      </w:r>
    </w:p>
    <w:p w14:paraId="1BC55CC5" w14:textId="191079F5" w:rsidR="0013396E" w:rsidRPr="0013396E" w:rsidRDefault="0013396E" w:rsidP="0013396E">
      <w:pPr>
        <w:spacing w:after="240"/>
        <w:ind w:left="1440" w:hanging="720"/>
      </w:pPr>
      <w:r w:rsidRPr="0013396E">
        <w:t>(</w:t>
      </w:r>
      <w:r w:rsidR="00AE5D60">
        <w:t>n</w:t>
      </w:r>
      <w:r w:rsidRPr="0013396E">
        <w:t>)</w:t>
      </w:r>
      <w:r w:rsidRPr="0013396E">
        <w:tab/>
        <w:t>Perform a SCED with the changes to the inputs in items (a) through (</w:t>
      </w:r>
      <w:r w:rsidR="00AE5D60">
        <w:t>k</w:t>
      </w:r>
      <w:r w:rsidRPr="0013396E">
        <w:t>) above, considering both Competitive and Non-Competitive Constraints and the mitigated Energy Offer Curves.</w:t>
      </w:r>
    </w:p>
    <w:p w14:paraId="7D84AA6F" w14:textId="2510A909" w:rsidR="0013396E" w:rsidRPr="0013396E" w:rsidRDefault="0013396E" w:rsidP="0013396E">
      <w:pPr>
        <w:spacing w:before="240" w:after="240"/>
        <w:ind w:left="1440" w:hanging="720"/>
      </w:pPr>
      <w:r w:rsidRPr="0013396E">
        <w:t>(</w:t>
      </w:r>
      <w:r w:rsidR="00AE5D60">
        <w:t>o</w:t>
      </w:r>
      <w:r w:rsidRPr="0013396E">
        <w:t>)</w:t>
      </w:r>
      <w:r w:rsidRPr="0013396E">
        <w:tab/>
        <w:t>The Real-Time Reliability Deployment Price Adder for Energy is equal to the positive difference between the System Lambda from item (</w:t>
      </w:r>
      <w:r w:rsidR="00AE5D60">
        <w:t>n</w:t>
      </w:r>
      <w:r w:rsidRPr="0013396E">
        <w:t>) above and the System Lambda of the second step in the two-step SCED process described in paragraph (1</w:t>
      </w:r>
      <w:r w:rsidR="00BB04FE">
        <w:t>4</w:t>
      </w:r>
      <w:r w:rsidRPr="0013396E">
        <w:t>)(b) of Section 6.5.7.3, Security Constrained Economic Dispatch, except when ERCOT is directing firm Load shed during EEA Level 3.  When ERCOT is directing firm Load shed during EEA Level 3 to either maintain sufficient PRC or stabilize grid frequency, as described in paragraph (3) of Section 6.5.9.4.2, the Real-Time Reliability Deployment Price Adder for Energy is the VOLL used to determine the ASDCs for the RTM minus the System Lambda of the second step in the two-step SCED process described in paragraph (1</w:t>
      </w:r>
      <w:r w:rsidR="00BB04FE">
        <w:t>4</w:t>
      </w:r>
      <w:r w:rsidRPr="0013396E">
        <w:t>)(b) of Section 6.5.7.3.</w:t>
      </w:r>
    </w:p>
    <w:p w14:paraId="6CDAAEE9" w14:textId="087AA427" w:rsidR="001F04FD" w:rsidRPr="0013396E" w:rsidRDefault="0013396E" w:rsidP="005A7D8E">
      <w:pPr>
        <w:pStyle w:val="BodyTextNumbered"/>
        <w:ind w:left="1440"/>
        <w:rPr>
          <w:iCs/>
        </w:rPr>
      </w:pPr>
      <w:r w:rsidRPr="0013396E">
        <w:t>(</w:t>
      </w:r>
      <w:r w:rsidR="00AE5D60">
        <w:t>p</w:t>
      </w:r>
      <w:r w:rsidRPr="0013396E">
        <w:t>)</w:t>
      </w:r>
      <w:r w:rsidRPr="0013396E">
        <w:tab/>
        <w:t>For each individual Ancillary Service, the Real-Time Reliability Deployment Price Adder for Ancillary Service is equal to the positive difference between the MCPC for that Ancillary Service from item (</w:t>
      </w:r>
      <w:r w:rsidR="00AE5D60">
        <w:t>n</w:t>
      </w:r>
      <w:r w:rsidRPr="0013396E">
        <w:t xml:space="preserve">) above and the MCPC for that Ancillary Service, except when ERCOT is directing firm Load shed during EEA Level 3.  When ERCOT is directing firm Load shed during EEA Level 3 to either maintain sufficient PRC or stabilize grid frequency, as described in paragraph (3) of Section 6.5.9.4.2, the Real-Time Reliability Deployment Price Adder for Ancillary Service is the </w:t>
      </w:r>
      <w:r w:rsidR="005A052E">
        <w:t>VOLL used to determine</w:t>
      </w:r>
      <w:r w:rsidRPr="0013396E">
        <w:t xml:space="preserve"> the ASDC</w:t>
      </w:r>
      <w:r w:rsidR="005A052E">
        <w:t>s</w:t>
      </w:r>
      <w:r w:rsidRPr="0013396E">
        <w:t xml:space="preserve"> minus the MCPC for that Ancillary Service.</w:t>
      </w:r>
      <w:bookmarkStart w:id="910" w:name="_Hlk214376348"/>
    </w:p>
    <w:p w14:paraId="1C75184F" w14:textId="77777777" w:rsidR="001F04FD" w:rsidRPr="0013396E" w:rsidRDefault="001F04FD" w:rsidP="00343E89">
      <w:pPr>
        <w:pStyle w:val="H4"/>
        <w:spacing w:before="480"/>
        <w:ind w:left="1267" w:hanging="1267"/>
      </w:pPr>
      <w:bookmarkStart w:id="911" w:name="_Toc397504972"/>
      <w:bookmarkStart w:id="912" w:name="_Toc402357100"/>
      <w:bookmarkStart w:id="913" w:name="_Toc422486480"/>
      <w:bookmarkStart w:id="914" w:name="_Toc433093332"/>
      <w:bookmarkStart w:id="915" w:name="_Toc433093490"/>
      <w:bookmarkStart w:id="916" w:name="_Toc440874719"/>
      <w:bookmarkStart w:id="917" w:name="_Toc448142274"/>
      <w:bookmarkStart w:id="918" w:name="_Toc448142431"/>
      <w:bookmarkStart w:id="919" w:name="_Toc458770267"/>
      <w:bookmarkStart w:id="920" w:name="_Toc459294235"/>
      <w:bookmarkStart w:id="921" w:name="_Toc463262728"/>
      <w:bookmarkStart w:id="922" w:name="_Toc468286802"/>
      <w:bookmarkStart w:id="923" w:name="_Toc481502848"/>
      <w:bookmarkStart w:id="924" w:name="_Toc496080016"/>
      <w:bookmarkStart w:id="925" w:name="_Toc214878916"/>
      <w:bookmarkEnd w:id="910"/>
      <w:r w:rsidRPr="00B874F1">
        <w:lastRenderedPageBreak/>
        <w:t>6.5.7.4</w:t>
      </w:r>
      <w:r w:rsidRPr="00B874F1">
        <w:tab/>
        <w:t>Base Points</w:t>
      </w:r>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p>
    <w:p w14:paraId="53324552" w14:textId="1F703741" w:rsidR="001F04FD" w:rsidRPr="0013396E" w:rsidRDefault="001F04FD" w:rsidP="001F04FD">
      <w:pPr>
        <w:pStyle w:val="BodyTextNumbered"/>
      </w:pPr>
      <w:r w:rsidRPr="0013396E">
        <w:t>(1)</w:t>
      </w:r>
      <w:r w:rsidRPr="0013396E">
        <w:tab/>
      </w:r>
      <w:r w:rsidR="00AE5D60" w:rsidRPr="0013396E">
        <w:t>ERCOT shall issue a Base Point for each On-Line Generation Resource, each On-Line ESR, and each On-Line CLR on completion of each SCED execution.  The Base Point set by SCED must observe a Resource’s HDL and LDL.  Base Points are automatically superseded on receipt of a new Base Point from ERCOT regardless of the status of any current ramping activity of a Resource.  ERCOT shall provide each Base Point using Dispatch Instructions issued over Inter-Control Center Communications Protocol (ICCP) data link to the QSE representing each Resource that include the following information:</w:t>
      </w:r>
    </w:p>
    <w:p w14:paraId="4A9A4496" w14:textId="08A73DC9" w:rsidR="001F04FD" w:rsidRPr="0013396E" w:rsidRDefault="001F04FD" w:rsidP="005A7D8E">
      <w:pPr>
        <w:pStyle w:val="List"/>
      </w:pPr>
      <w:r w:rsidRPr="0013396E">
        <w:t>(a)</w:t>
      </w:r>
      <w:r w:rsidRPr="0013396E">
        <w:tab/>
        <w:t>Resource identifier that is the subject of the Dispatch Instruction;</w:t>
      </w:r>
    </w:p>
    <w:p w14:paraId="1B461A9E" w14:textId="7DF83168" w:rsidR="001F04FD" w:rsidRPr="0013396E" w:rsidRDefault="001F04FD" w:rsidP="001F04FD">
      <w:pPr>
        <w:pStyle w:val="List"/>
      </w:pPr>
      <w:r w:rsidRPr="0013396E">
        <w:t>(b)</w:t>
      </w:r>
      <w:r w:rsidRPr="0013396E">
        <w:tab/>
      </w:r>
      <w:r w:rsidR="00AE5D60" w:rsidRPr="0013396E">
        <w:t>MW output for Generation Resource, MW output or MW consumption for ESR, and MW consumption for CLR;</w:t>
      </w:r>
    </w:p>
    <w:p w14:paraId="6B77D6FE" w14:textId="2B0D766E" w:rsidR="001F04FD" w:rsidRPr="0013396E" w:rsidRDefault="001F04FD" w:rsidP="005A7D8E">
      <w:pPr>
        <w:pStyle w:val="List"/>
      </w:pPr>
      <w:r w:rsidRPr="0013396E">
        <w:t>(c)</w:t>
      </w:r>
      <w:r w:rsidRPr="0013396E">
        <w:tab/>
        <w:t xml:space="preserve">Time of the Dispatch Instruction; </w:t>
      </w:r>
    </w:p>
    <w:p w14:paraId="23BCF93A" w14:textId="01F6C36B" w:rsidR="00C4333E" w:rsidRPr="0013396E" w:rsidRDefault="001F04FD" w:rsidP="001F04FD">
      <w:pPr>
        <w:pStyle w:val="List"/>
      </w:pPr>
      <w:r w:rsidRPr="0013396E">
        <w:t>(d)</w:t>
      </w:r>
      <w:r w:rsidRPr="0013396E">
        <w:tab/>
      </w:r>
      <w:r w:rsidR="00AE5D60" w:rsidRPr="0013396E">
        <w:t>Flag indicating SCED has dispatched a Generation Resource, ESR, or CLR below HDL used by SCED or an IRR has been instructed not to exceed its Base Point;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1F04FD" w:rsidRPr="0013396E" w14:paraId="39D726A1" w14:textId="77777777" w:rsidTr="00075DEB">
        <w:trPr>
          <w:trHeight w:val="206"/>
        </w:trPr>
        <w:tc>
          <w:tcPr>
            <w:tcW w:w="9350" w:type="dxa"/>
            <w:shd w:val="pct12" w:color="auto" w:fill="auto"/>
          </w:tcPr>
          <w:p w14:paraId="13D93ED0" w14:textId="1ECDCE3B" w:rsidR="001F04FD" w:rsidRPr="0013396E" w:rsidRDefault="001F04FD" w:rsidP="00AC4DEE">
            <w:pPr>
              <w:pStyle w:val="Instructions"/>
              <w:spacing w:before="120"/>
            </w:pPr>
            <w:r w:rsidRPr="0013396E">
              <w:t xml:space="preserve">[NPRR285: </w:t>
            </w:r>
            <w:r w:rsidR="00C4333E" w:rsidRPr="0013396E">
              <w:t xml:space="preserve"> </w:t>
            </w:r>
            <w:r w:rsidRPr="0013396E">
              <w:t xml:space="preserve">Insert </w:t>
            </w:r>
            <w:r w:rsidR="00B80E54" w:rsidRPr="0013396E">
              <w:t xml:space="preserve">applicable portions of </w:t>
            </w:r>
            <w:r w:rsidRPr="0013396E">
              <w:t>paragraph (e) below upon system implementation:]</w:t>
            </w:r>
          </w:p>
          <w:p w14:paraId="104B7513" w14:textId="64EB721F" w:rsidR="001F04FD" w:rsidRPr="0013396E" w:rsidRDefault="001F04FD" w:rsidP="00AC4DEE">
            <w:pPr>
              <w:pStyle w:val="List"/>
              <w:rPr>
                <w:b/>
                <w:i/>
              </w:rPr>
            </w:pPr>
            <w:r w:rsidRPr="0013396E">
              <w:t>(e)</w:t>
            </w:r>
            <w:r w:rsidRPr="0013396E">
              <w:tab/>
              <w:t xml:space="preserve">Flag indicating SCED has dispatched a Generation Resource </w:t>
            </w:r>
            <w:r w:rsidR="00B80E54" w:rsidRPr="0013396E">
              <w:t xml:space="preserve">or ESR </w:t>
            </w:r>
            <w:r w:rsidRPr="0013396E">
              <w:t>away from the Output Schedule submitted for that Resource;</w:t>
            </w:r>
          </w:p>
        </w:tc>
      </w:tr>
    </w:tbl>
    <w:p w14:paraId="0DF1C855" w14:textId="21A1C666" w:rsidR="001F04FD" w:rsidRPr="0013396E" w:rsidRDefault="001F04FD" w:rsidP="001F04FD">
      <w:pPr>
        <w:pStyle w:val="List"/>
        <w:spacing w:before="240"/>
      </w:pPr>
      <w:r w:rsidRPr="0013396E">
        <w:t>(e)</w:t>
      </w:r>
      <w:r w:rsidRPr="0013396E">
        <w:tab/>
        <w:t>Flag indicating that the Resource is identified for mitigation pursuant to paragraph (7) of Section 3.19.4, Security-Constrained Economic Dispatch Constraint Competitiveness Test, and paragraph (1</w:t>
      </w:r>
      <w:r w:rsidR="00BB04FE">
        <w:t>4</w:t>
      </w:r>
      <w:r w:rsidRPr="0013396E">
        <w:t>) of Section 6.5.7.3, Security Constrained Economic Dispatch; and</w:t>
      </w:r>
    </w:p>
    <w:p w14:paraId="0C3EB4A6" w14:textId="77777777" w:rsidR="00192EFF" w:rsidRPr="0013396E" w:rsidRDefault="001F04FD" w:rsidP="001F04FD">
      <w:pPr>
        <w:pStyle w:val="List"/>
      </w:pPr>
      <w:r w:rsidRPr="0013396E">
        <w:t>(f)</w:t>
      </w:r>
      <w:r w:rsidRPr="0013396E">
        <w:tab/>
        <w:t>Other information relevant to that Dispatch Instruction.</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192EFF" w:rsidRPr="0013396E" w14:paraId="3E15217C" w14:textId="77777777" w:rsidTr="00F5593C">
        <w:trPr>
          <w:trHeight w:val="206"/>
        </w:trPr>
        <w:tc>
          <w:tcPr>
            <w:tcW w:w="9350" w:type="dxa"/>
            <w:shd w:val="pct12" w:color="auto" w:fill="auto"/>
          </w:tcPr>
          <w:p w14:paraId="5CA4F8C1" w14:textId="177C2304" w:rsidR="00192EFF" w:rsidRPr="0013396E" w:rsidRDefault="00192EFF" w:rsidP="00F5593C">
            <w:pPr>
              <w:pStyle w:val="Instructions"/>
              <w:spacing w:before="120"/>
            </w:pPr>
            <w:r w:rsidRPr="0013396E">
              <w:t>[NPRR1188:  Insert paragraph (2) below upon system implementation:]</w:t>
            </w:r>
          </w:p>
          <w:p w14:paraId="3FE7E3A6" w14:textId="3BC8E08D" w:rsidR="00192EFF" w:rsidRPr="0013396E" w:rsidRDefault="00192EFF" w:rsidP="00192EFF">
            <w:pPr>
              <w:spacing w:after="240"/>
              <w:ind w:left="720" w:hanging="720"/>
            </w:pPr>
            <w:r w:rsidRPr="0013396E">
              <w:t>(2)</w:t>
            </w:r>
            <w:r w:rsidRPr="0013396E">
              <w:tab/>
              <w:t>Each Generation Resource</w:t>
            </w:r>
            <w:r w:rsidR="00B80E54" w:rsidRPr="0013396E">
              <w:t>, ESR,</w:t>
            </w:r>
            <w:r w:rsidRPr="0013396E">
              <w:t xml:space="preserve"> and CLR shall follow ERCOT-issued Updated Desired </w:t>
            </w:r>
            <w:r w:rsidR="0013383A">
              <w:t>Set</w:t>
            </w:r>
            <w:r w:rsidR="0013383A" w:rsidRPr="0013396E">
              <w:t xml:space="preserve"> </w:t>
            </w:r>
            <w:r w:rsidRPr="0013396E">
              <w:t xml:space="preserve">Points plus any Regulation Service deployments, unless otherwise instructed by ERCOT.  ERCOT-issued Updated Desired </w:t>
            </w:r>
            <w:r w:rsidR="0013383A">
              <w:t>Set</w:t>
            </w:r>
            <w:r w:rsidR="0013383A" w:rsidRPr="0013396E">
              <w:t xml:space="preserve"> </w:t>
            </w:r>
            <w:r w:rsidRPr="0013396E">
              <w:t>Points shall not include deployed Regulation Service or expected Primary Frequency Response.</w:t>
            </w:r>
          </w:p>
        </w:tc>
      </w:tr>
    </w:tbl>
    <w:p w14:paraId="1DEF72A2" w14:textId="77777777" w:rsidR="00AE5D60" w:rsidRPr="0013396E" w:rsidRDefault="00AE5D60" w:rsidP="00B874F1">
      <w:pPr>
        <w:pStyle w:val="H5"/>
        <w:spacing w:before="480"/>
        <w:ind w:left="1627" w:hanging="1627"/>
        <w:rPr>
          <w:snapToGrid w:val="0"/>
        </w:rPr>
      </w:pPr>
      <w:bookmarkStart w:id="926" w:name="_Toc214878917"/>
      <w:r w:rsidRPr="0013396E">
        <w:rPr>
          <w:snapToGrid w:val="0"/>
        </w:rPr>
        <w:lastRenderedPageBreak/>
        <w:t>6.5.7.4.1</w:t>
      </w:r>
      <w:r w:rsidRPr="0013396E">
        <w:rPr>
          <w:snapToGrid w:val="0"/>
        </w:rPr>
        <w:tab/>
        <w:t>Updated Desired Set Points</w:t>
      </w:r>
      <w:bookmarkEnd w:id="926"/>
    </w:p>
    <w:p w14:paraId="060D64EE" w14:textId="77777777" w:rsidR="00AE5D60" w:rsidRPr="0013396E" w:rsidRDefault="00AE5D60" w:rsidP="00AE5D60">
      <w:pPr>
        <w:spacing w:after="240"/>
        <w:ind w:left="720" w:hanging="720"/>
      </w:pPr>
      <w:r w:rsidRPr="0013396E">
        <w:t>(1)</w:t>
      </w:r>
      <w:r w:rsidRPr="0013396E">
        <w:tab/>
        <w:t>Each Resource shall follow ERCOT-issued Updated Desired Set Points (UDSPs), unless otherwise instructed by ERCOT.  ERCOT-issued UDSPs shall not include expected Primary Frequency Response.</w:t>
      </w:r>
    </w:p>
    <w:p w14:paraId="4AE5BB27" w14:textId="77777777" w:rsidR="00AE5D60" w:rsidRPr="0013396E" w:rsidRDefault="00AE5D60" w:rsidP="00AE5D60">
      <w:pPr>
        <w:spacing w:after="240"/>
        <w:ind w:left="720" w:hanging="720"/>
      </w:pPr>
      <w:r w:rsidRPr="0013396E">
        <w:t>(2)</w:t>
      </w:r>
      <w:r w:rsidRPr="0013396E">
        <w:tab/>
        <w:t xml:space="preserve">A UDSP is the sum of a calculated MW value representing the expected MW output (positive or negative) of a Resource ramping to a SCED Base Point and the Resource-specific Regulation Service instruction from ERCOT. </w:t>
      </w:r>
    </w:p>
    <w:p w14:paraId="6A49A5F3" w14:textId="77777777" w:rsidR="00AE5D60" w:rsidRPr="0013396E" w:rsidRDefault="00AE5D60" w:rsidP="00AE5D60">
      <w:pPr>
        <w:spacing w:after="240"/>
        <w:ind w:left="720" w:hanging="720"/>
      </w:pPr>
      <w:r w:rsidRPr="0013396E">
        <w:t>(3)</w:t>
      </w:r>
      <w:r w:rsidRPr="0013396E">
        <w:tab/>
        <w:t>LFC shall send Resource-specific UDSP to QSEs every four seconds.</w:t>
      </w:r>
    </w:p>
    <w:p w14:paraId="267052DD" w14:textId="77777777" w:rsidR="00AE5D60" w:rsidRPr="0013396E" w:rsidRDefault="00AE5D60" w:rsidP="00AE5D60">
      <w:pPr>
        <w:spacing w:after="240"/>
        <w:ind w:left="720" w:hanging="720"/>
      </w:pPr>
      <w:r w:rsidRPr="0013396E">
        <w:t>(4)</w:t>
      </w:r>
      <w:r w:rsidRPr="0013396E">
        <w:tab/>
        <w:t>Resources, excluding non-CLRs, that have been awarded RRS as FFR-capable Resources or are telemetering a Resource Status of ONSC, will all have manual deployment instructions and expected deployments triggered automatically by frequency deviations included in the UDSP value provided to the QSE for the Resource.  These deployment components of UDSP will reflect the latest Ancillary Service awards and are separate from the ramping component of UDSP.</w:t>
      </w:r>
    </w:p>
    <w:p w14:paraId="75F62917" w14:textId="3E27BE3A" w:rsidR="00192EFF" w:rsidRPr="0013396E" w:rsidRDefault="00AE5D60" w:rsidP="00AE5D60">
      <w:pPr>
        <w:spacing w:after="240"/>
        <w:ind w:left="720" w:hanging="720"/>
      </w:pPr>
      <w:r w:rsidRPr="0013396E">
        <w:t>(5)</w:t>
      </w:r>
      <w:r w:rsidRPr="0013396E">
        <w:tab/>
        <w:t>When ERCOT System frequency experiences a 0.05 Hz or greater deviation from scheduled frequency, and a Resource is ramping to a SCED Base Point in a manner directionally opposite to system frequency, the ramping component of the Resource’s UDSP will be temporarily held constant and flagged accordingly.</w:t>
      </w:r>
    </w:p>
    <w:p w14:paraId="643CDAD3" w14:textId="77777777" w:rsidR="001F04FD" w:rsidRPr="0013396E" w:rsidRDefault="001F04FD" w:rsidP="00C25143">
      <w:pPr>
        <w:pStyle w:val="H4"/>
        <w:spacing w:before="480"/>
        <w:ind w:left="1267" w:hanging="1267"/>
      </w:pPr>
      <w:bookmarkStart w:id="927" w:name="_Toc397504973"/>
      <w:bookmarkStart w:id="928" w:name="_Toc402357101"/>
      <w:bookmarkStart w:id="929" w:name="_Toc422486481"/>
      <w:bookmarkStart w:id="930" w:name="_Toc433093333"/>
      <w:bookmarkStart w:id="931" w:name="_Toc433093491"/>
      <w:bookmarkStart w:id="932" w:name="_Toc440874720"/>
      <w:bookmarkStart w:id="933" w:name="_Toc448142275"/>
      <w:bookmarkStart w:id="934" w:name="_Toc448142432"/>
      <w:bookmarkStart w:id="935" w:name="_Toc458770268"/>
      <w:bookmarkStart w:id="936" w:name="_Toc459294236"/>
      <w:bookmarkStart w:id="937" w:name="_Toc463262729"/>
      <w:bookmarkStart w:id="938" w:name="_Toc468286803"/>
      <w:bookmarkStart w:id="939" w:name="_Toc481502849"/>
      <w:bookmarkStart w:id="940" w:name="_Toc496080017"/>
      <w:bookmarkStart w:id="941" w:name="_Toc214878918"/>
      <w:bookmarkStart w:id="942" w:name="_Hlk135901819"/>
      <w:bookmarkStart w:id="943" w:name="_Toc74137328"/>
      <w:bookmarkEnd w:id="878"/>
      <w:r w:rsidRPr="0013396E">
        <w:t>6.5.7.5</w:t>
      </w:r>
      <w:r w:rsidRPr="0013396E">
        <w:tab/>
        <w:t>Ancillary Services Capacity Monitor</w:t>
      </w:r>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p>
    <w:p w14:paraId="1F2B72EA" w14:textId="77777777" w:rsidR="00422B96" w:rsidRPr="0013396E" w:rsidRDefault="00422B96" w:rsidP="00422B96">
      <w:pPr>
        <w:spacing w:after="240"/>
        <w:ind w:left="720" w:hanging="720"/>
      </w:pPr>
      <w:r w:rsidRPr="0013396E">
        <w:t>(1)</w:t>
      </w:r>
      <w:r w:rsidRPr="0013396E">
        <w:tab/>
        <w:t>Every ten seconds, ERCOT shall calculate the following and provide Real-Time summaries to ERCOT Operators and all Market Participants using ICCP and postings on the ERCOT website showing the Real-Time total system amount of:</w:t>
      </w:r>
    </w:p>
    <w:p w14:paraId="60E43F1E" w14:textId="77777777" w:rsidR="00422B96" w:rsidRPr="0013396E" w:rsidRDefault="00422B96" w:rsidP="00422B96">
      <w:pPr>
        <w:spacing w:after="240"/>
        <w:ind w:left="1440" w:hanging="720"/>
      </w:pPr>
      <w:r w:rsidRPr="0013396E">
        <w:t>(a)</w:t>
      </w:r>
      <w:r w:rsidRPr="0013396E">
        <w:tab/>
        <w:t xml:space="preserve">RRS capability from: </w:t>
      </w:r>
    </w:p>
    <w:p w14:paraId="2F564002" w14:textId="77777777" w:rsidR="00422B96" w:rsidRPr="0013396E" w:rsidRDefault="00422B96" w:rsidP="00422B96">
      <w:pPr>
        <w:spacing w:after="240"/>
        <w:ind w:left="2160" w:hanging="720"/>
      </w:pPr>
      <w:r w:rsidRPr="0013396E">
        <w:t>(i)</w:t>
      </w:r>
      <w:r w:rsidRPr="0013396E">
        <w:tab/>
        <w:t>Generation Resources and ESRs in the form of PFR that can be sustained for the SCED duration requirements of PFR;</w:t>
      </w:r>
    </w:p>
    <w:p w14:paraId="1AE26BF7" w14:textId="77777777" w:rsidR="00422B96" w:rsidRPr="0013396E" w:rsidRDefault="00422B96" w:rsidP="00422B96">
      <w:pPr>
        <w:spacing w:after="240"/>
        <w:ind w:left="2160" w:hanging="720"/>
      </w:pPr>
      <w:r w:rsidRPr="0013396E">
        <w:t>(ii)</w:t>
      </w:r>
      <w:r w:rsidRPr="0013396E">
        <w:tab/>
        <w:t>Load Resources, excluding CLRs, capable of responding via under-frequency relay;</w:t>
      </w:r>
    </w:p>
    <w:p w14:paraId="7B549108" w14:textId="77777777" w:rsidR="00422B96" w:rsidRPr="0013396E" w:rsidRDefault="00422B96" w:rsidP="00422B96">
      <w:pPr>
        <w:spacing w:after="240"/>
        <w:ind w:left="2160" w:hanging="720"/>
      </w:pPr>
      <w:r w:rsidRPr="0013396E">
        <w:t>(iii)</w:t>
      </w:r>
      <w:r w:rsidRPr="0013396E">
        <w:tab/>
        <w:t>CLRs in the form of PFR;</w:t>
      </w:r>
    </w:p>
    <w:p w14:paraId="764CE9D9" w14:textId="77777777" w:rsidR="00422B96" w:rsidRPr="0013396E" w:rsidRDefault="00422B96" w:rsidP="00422B96">
      <w:pPr>
        <w:spacing w:after="240"/>
        <w:ind w:left="2160" w:hanging="720"/>
      </w:pPr>
      <w:r w:rsidRPr="0013396E">
        <w:t>(iv)</w:t>
      </w:r>
      <w:r w:rsidRPr="0013396E">
        <w:tab/>
        <w:t>Resources, other than ESRs, capable of Fast Frequency Response (FFR); and</w:t>
      </w:r>
    </w:p>
    <w:p w14:paraId="7FB4131A" w14:textId="77777777" w:rsidR="00422B96" w:rsidRPr="0013396E" w:rsidRDefault="00422B96" w:rsidP="00422B96">
      <w:pPr>
        <w:spacing w:after="240"/>
        <w:ind w:left="2160" w:hanging="720"/>
      </w:pPr>
      <w:r w:rsidRPr="0013396E">
        <w:t>(v)</w:t>
      </w:r>
      <w:r w:rsidRPr="0013396E">
        <w:tab/>
        <w:t>ESRs, in the form of FFR, that can be sustained for the SCED duration requirements of FFR;</w:t>
      </w:r>
    </w:p>
    <w:p w14:paraId="3A4DD497" w14:textId="77777777" w:rsidR="00422B96" w:rsidRPr="0013396E" w:rsidRDefault="00422B96" w:rsidP="00422B96">
      <w:pPr>
        <w:spacing w:before="240" w:after="240"/>
        <w:ind w:left="1440" w:hanging="720"/>
      </w:pPr>
      <w:r w:rsidRPr="0013396E">
        <w:t>(b)</w:t>
      </w:r>
      <w:r w:rsidRPr="0013396E">
        <w:tab/>
        <w:t xml:space="preserve">Ancillary Service Resource awards for RRS to: </w:t>
      </w:r>
    </w:p>
    <w:p w14:paraId="56E18058" w14:textId="77777777" w:rsidR="00422B96" w:rsidRPr="0013396E" w:rsidRDefault="00422B96" w:rsidP="00422B96">
      <w:pPr>
        <w:spacing w:after="240"/>
        <w:ind w:left="2160" w:hanging="720"/>
      </w:pPr>
      <w:r w:rsidRPr="0013396E">
        <w:lastRenderedPageBreak/>
        <w:t>(i)</w:t>
      </w:r>
      <w:r w:rsidRPr="0013396E">
        <w:tab/>
        <w:t>Generation Resources and ESRs in the form of PFR;</w:t>
      </w:r>
    </w:p>
    <w:p w14:paraId="2405817E" w14:textId="77777777" w:rsidR="00422B96" w:rsidRPr="0013396E" w:rsidRDefault="00422B96" w:rsidP="00422B96">
      <w:pPr>
        <w:spacing w:after="240"/>
        <w:ind w:left="2160" w:hanging="720"/>
      </w:pPr>
      <w:r w:rsidRPr="0013396E">
        <w:t>(ii)</w:t>
      </w:r>
      <w:r w:rsidRPr="0013396E">
        <w:tab/>
        <w:t>Load Resources, excluding CLRs, capable of responding by under-frequency relay;</w:t>
      </w:r>
    </w:p>
    <w:p w14:paraId="02458A3B" w14:textId="77777777" w:rsidR="00422B96" w:rsidRPr="0013396E" w:rsidRDefault="00422B96" w:rsidP="00422B96">
      <w:pPr>
        <w:spacing w:after="240"/>
        <w:ind w:left="2160" w:hanging="720"/>
      </w:pPr>
      <w:r w:rsidRPr="0013396E">
        <w:t>(iii)</w:t>
      </w:r>
      <w:r w:rsidRPr="0013396E">
        <w:tab/>
        <w:t>CLRs in the form of PFR; and</w:t>
      </w:r>
    </w:p>
    <w:p w14:paraId="40D4A98A" w14:textId="77777777" w:rsidR="00422B96" w:rsidRPr="0013396E" w:rsidRDefault="00422B96" w:rsidP="00422B96">
      <w:pPr>
        <w:spacing w:after="240"/>
        <w:ind w:left="2160" w:hanging="720"/>
      </w:pPr>
      <w:r w:rsidRPr="0013396E">
        <w:t>(iv)</w:t>
      </w:r>
      <w:r w:rsidRPr="0013396E">
        <w:tab/>
        <w:t>Resources providing FFR;</w:t>
      </w:r>
    </w:p>
    <w:p w14:paraId="3978DE24" w14:textId="77777777" w:rsidR="00422B96" w:rsidRPr="0013396E" w:rsidRDefault="00422B96" w:rsidP="00422B96">
      <w:pPr>
        <w:spacing w:after="240"/>
        <w:ind w:left="1440" w:hanging="720"/>
      </w:pPr>
      <w:r w:rsidRPr="0013396E">
        <w:t>(c)</w:t>
      </w:r>
      <w:r w:rsidRPr="0013396E">
        <w:tab/>
        <w:t xml:space="preserve">ECRS capability from: </w:t>
      </w:r>
    </w:p>
    <w:p w14:paraId="6CEECEBC" w14:textId="77777777" w:rsidR="00422B96" w:rsidRPr="0013396E" w:rsidRDefault="00422B96" w:rsidP="00422B96">
      <w:pPr>
        <w:spacing w:after="240"/>
        <w:ind w:left="2160" w:hanging="720"/>
      </w:pPr>
      <w:r w:rsidRPr="0013396E">
        <w:t>(i)</w:t>
      </w:r>
      <w:r w:rsidRPr="0013396E">
        <w:tab/>
        <w:t>Generation Resources;</w:t>
      </w:r>
    </w:p>
    <w:p w14:paraId="207E0353" w14:textId="77777777" w:rsidR="00422B96" w:rsidRPr="0013396E" w:rsidRDefault="00422B96" w:rsidP="00422B96">
      <w:pPr>
        <w:spacing w:after="240"/>
        <w:ind w:left="2160" w:hanging="720"/>
      </w:pPr>
      <w:r w:rsidRPr="0013396E">
        <w:t>(ii)</w:t>
      </w:r>
      <w:r w:rsidRPr="0013396E">
        <w:tab/>
        <w:t xml:space="preserve">Load Resources excluding CLRs; </w:t>
      </w:r>
    </w:p>
    <w:p w14:paraId="1D5258E7" w14:textId="77777777" w:rsidR="00422B96" w:rsidRPr="0013396E" w:rsidRDefault="00422B96" w:rsidP="00422B96">
      <w:pPr>
        <w:spacing w:after="240"/>
        <w:ind w:left="2160" w:hanging="720"/>
      </w:pPr>
      <w:r w:rsidRPr="0013396E">
        <w:t>(iii)</w:t>
      </w:r>
      <w:r w:rsidRPr="0013396E">
        <w:tab/>
        <w:t>CLRs;</w:t>
      </w:r>
    </w:p>
    <w:p w14:paraId="7B294FE9" w14:textId="77777777" w:rsidR="00422B96" w:rsidRPr="0013396E" w:rsidRDefault="00422B96" w:rsidP="00422B96">
      <w:pPr>
        <w:spacing w:after="240"/>
        <w:ind w:left="2160" w:hanging="720"/>
      </w:pPr>
      <w:r w:rsidRPr="0013396E">
        <w:t>(iv)</w:t>
      </w:r>
      <w:r w:rsidRPr="0013396E">
        <w:tab/>
        <w:t>Quick Start Generation Resources (QSGRs); and</w:t>
      </w:r>
    </w:p>
    <w:p w14:paraId="7AEB8E1C" w14:textId="77777777" w:rsidR="00422B96" w:rsidRPr="0013396E" w:rsidRDefault="00422B96" w:rsidP="00422B96">
      <w:pPr>
        <w:spacing w:after="240"/>
        <w:ind w:left="2160" w:hanging="720"/>
      </w:pPr>
      <w:r w:rsidRPr="0013396E">
        <w:t xml:space="preserve">(v) </w:t>
      </w:r>
      <w:r w:rsidRPr="0013396E">
        <w:tab/>
        <w:t>ESRs that can be sustained for the SCED duration requirements of ECRS.</w:t>
      </w:r>
    </w:p>
    <w:p w14:paraId="39B7BABD" w14:textId="77777777" w:rsidR="00422B96" w:rsidRPr="0013396E" w:rsidRDefault="00422B96" w:rsidP="00422B96">
      <w:pPr>
        <w:spacing w:after="240"/>
        <w:ind w:left="1440" w:hanging="720"/>
      </w:pPr>
      <w:r w:rsidRPr="0013396E">
        <w:t>(d)</w:t>
      </w:r>
      <w:r w:rsidRPr="0013396E">
        <w:tab/>
        <w:t xml:space="preserve">Ancillary Service Resource awards for ECRS to: </w:t>
      </w:r>
    </w:p>
    <w:p w14:paraId="5883B428" w14:textId="77777777" w:rsidR="00422B96" w:rsidRPr="0013396E" w:rsidRDefault="00422B96" w:rsidP="00422B96">
      <w:pPr>
        <w:spacing w:after="240"/>
        <w:ind w:left="2160" w:hanging="720"/>
      </w:pPr>
      <w:r w:rsidRPr="0013396E">
        <w:t>(i)</w:t>
      </w:r>
      <w:r w:rsidRPr="0013396E">
        <w:tab/>
        <w:t>Generation Resources;</w:t>
      </w:r>
    </w:p>
    <w:p w14:paraId="4FA35805" w14:textId="37DD7712" w:rsidR="00422B96" w:rsidRPr="0013396E" w:rsidRDefault="00422B96" w:rsidP="00422B96">
      <w:pPr>
        <w:spacing w:after="240"/>
        <w:ind w:left="2160" w:hanging="720"/>
      </w:pPr>
      <w:r w:rsidRPr="0013396E">
        <w:t>(ii)</w:t>
      </w:r>
      <w:r w:rsidRPr="0013396E">
        <w:tab/>
        <w:t>Load Resources excluding CLRs;</w:t>
      </w:r>
    </w:p>
    <w:p w14:paraId="48748A76" w14:textId="77777777" w:rsidR="00422B96" w:rsidRPr="0013396E" w:rsidRDefault="00422B96" w:rsidP="00422B96">
      <w:pPr>
        <w:spacing w:after="240"/>
        <w:ind w:left="2160" w:hanging="720"/>
      </w:pPr>
      <w:r w:rsidRPr="0013396E">
        <w:t>(iii)</w:t>
      </w:r>
      <w:r w:rsidRPr="0013396E">
        <w:tab/>
        <w:t>CLRs;</w:t>
      </w:r>
    </w:p>
    <w:p w14:paraId="39F0B81E" w14:textId="77777777" w:rsidR="00422B96" w:rsidRPr="0013396E" w:rsidRDefault="00422B96" w:rsidP="00422B96">
      <w:pPr>
        <w:spacing w:after="240"/>
        <w:ind w:left="2160" w:hanging="720"/>
      </w:pPr>
      <w:r w:rsidRPr="0013396E">
        <w:t>(iv)</w:t>
      </w:r>
      <w:r w:rsidRPr="0013396E">
        <w:tab/>
        <w:t>QSGRs; and</w:t>
      </w:r>
    </w:p>
    <w:p w14:paraId="62D43C46" w14:textId="77777777" w:rsidR="00422B96" w:rsidRPr="0013396E" w:rsidRDefault="00422B96" w:rsidP="00422B96">
      <w:pPr>
        <w:spacing w:after="240"/>
        <w:ind w:left="2160" w:hanging="720"/>
      </w:pPr>
      <w:r w:rsidRPr="0013396E">
        <w:t xml:space="preserve">(v) </w:t>
      </w:r>
      <w:r w:rsidRPr="0013396E">
        <w:tab/>
        <w:t>ESRs.</w:t>
      </w:r>
    </w:p>
    <w:p w14:paraId="0319406B" w14:textId="77777777" w:rsidR="00422B96" w:rsidRPr="0013396E" w:rsidRDefault="00422B96" w:rsidP="00422B96">
      <w:pPr>
        <w:spacing w:before="240" w:after="240"/>
        <w:ind w:left="1440" w:hanging="720"/>
      </w:pPr>
      <w:r w:rsidRPr="0013396E">
        <w:t>(e)</w:t>
      </w:r>
      <w:r w:rsidRPr="0013396E">
        <w:tab/>
        <w:t xml:space="preserve">ECRS manually deployed by Resources with a Resource Status of ONSC; </w:t>
      </w:r>
    </w:p>
    <w:p w14:paraId="7AC90D6D" w14:textId="77777777" w:rsidR="00422B96" w:rsidRPr="0013396E" w:rsidRDefault="00422B96" w:rsidP="00422B96">
      <w:pPr>
        <w:spacing w:before="240" w:after="240"/>
        <w:ind w:left="1440" w:hanging="720"/>
      </w:pPr>
      <w:r w:rsidRPr="0013396E">
        <w:t>(f)</w:t>
      </w:r>
      <w:r w:rsidRPr="0013396E">
        <w:tab/>
        <w:t xml:space="preserve">Non-Spin available from: </w:t>
      </w:r>
    </w:p>
    <w:p w14:paraId="0E151686" w14:textId="77777777" w:rsidR="00422B96" w:rsidRPr="0013396E" w:rsidRDefault="00422B96" w:rsidP="00422B96">
      <w:pPr>
        <w:spacing w:after="240"/>
        <w:ind w:left="2160" w:hanging="720"/>
      </w:pPr>
      <w:r w:rsidRPr="0013396E">
        <w:t>(i)</w:t>
      </w:r>
      <w:r w:rsidRPr="0013396E">
        <w:tab/>
        <w:t>On-Line Generation Resources with Energy Offer Curves;</w:t>
      </w:r>
    </w:p>
    <w:p w14:paraId="5A0DC9E7" w14:textId="77777777" w:rsidR="00422B96" w:rsidRPr="0013396E" w:rsidRDefault="00422B96" w:rsidP="00422B96">
      <w:pPr>
        <w:spacing w:after="240"/>
        <w:ind w:left="2160" w:hanging="720"/>
      </w:pPr>
      <w:r w:rsidRPr="0013396E">
        <w:t>(ii)</w:t>
      </w:r>
      <w:r w:rsidRPr="0013396E">
        <w:tab/>
        <w:t xml:space="preserve">Undeployed Load Resources; </w:t>
      </w:r>
    </w:p>
    <w:p w14:paraId="5E0777BC" w14:textId="77777777" w:rsidR="00422B96" w:rsidRPr="0013396E" w:rsidRDefault="00422B96" w:rsidP="00422B96">
      <w:pPr>
        <w:spacing w:after="240"/>
        <w:ind w:left="2160" w:hanging="720"/>
      </w:pPr>
      <w:r w:rsidRPr="0013396E">
        <w:t>(iii)</w:t>
      </w:r>
      <w:r w:rsidRPr="0013396E">
        <w:tab/>
        <w:t>Off-Line Generation Resources and On-Line Generation Resources with power augmentation;</w:t>
      </w:r>
    </w:p>
    <w:p w14:paraId="5F8958D0" w14:textId="77777777" w:rsidR="00422B96" w:rsidRPr="0013396E" w:rsidRDefault="00422B96" w:rsidP="00422B96">
      <w:pPr>
        <w:spacing w:after="240"/>
        <w:ind w:left="2160" w:hanging="720"/>
      </w:pPr>
      <w:r w:rsidRPr="0013396E">
        <w:t>(iv)</w:t>
      </w:r>
      <w:r w:rsidRPr="0013396E">
        <w:tab/>
        <w:t>Resources with Output Schedules; and</w:t>
      </w:r>
    </w:p>
    <w:p w14:paraId="33210485" w14:textId="77777777" w:rsidR="00422B96" w:rsidRPr="0013396E" w:rsidRDefault="00422B96" w:rsidP="00422B96">
      <w:pPr>
        <w:spacing w:after="240"/>
        <w:ind w:left="2160" w:hanging="720"/>
      </w:pPr>
      <w:r w:rsidRPr="0013396E">
        <w:t xml:space="preserve">(v) </w:t>
      </w:r>
      <w:r w:rsidRPr="0013396E">
        <w:tab/>
        <w:t>ESRs that can be sustained for the SCED duration requirements of Non-Spin.</w:t>
      </w:r>
    </w:p>
    <w:p w14:paraId="14B73DCF" w14:textId="77777777" w:rsidR="00422B96" w:rsidRPr="0013396E" w:rsidRDefault="00422B96" w:rsidP="00422B96">
      <w:pPr>
        <w:spacing w:after="240"/>
        <w:ind w:left="1440" w:hanging="720"/>
      </w:pPr>
      <w:r w:rsidRPr="0013396E">
        <w:lastRenderedPageBreak/>
        <w:t>(g)</w:t>
      </w:r>
      <w:r w:rsidRPr="0013396E">
        <w:tab/>
        <w:t>Ancillary Service Resource awards for Non-Spin to:</w:t>
      </w:r>
    </w:p>
    <w:p w14:paraId="54CAD95B" w14:textId="77777777" w:rsidR="00422B96" w:rsidRPr="0013396E" w:rsidRDefault="00422B96" w:rsidP="00422B96">
      <w:pPr>
        <w:spacing w:after="240"/>
        <w:ind w:left="2160" w:hanging="720"/>
      </w:pPr>
      <w:r w:rsidRPr="0013396E">
        <w:t>(i)</w:t>
      </w:r>
      <w:r w:rsidRPr="0013396E">
        <w:tab/>
        <w:t>On-Line Generation Resources with Energy Offer Curves;</w:t>
      </w:r>
    </w:p>
    <w:p w14:paraId="050169E1" w14:textId="77777777" w:rsidR="00422B96" w:rsidRPr="0013396E" w:rsidRDefault="00422B96" w:rsidP="00422B96">
      <w:pPr>
        <w:spacing w:after="240"/>
        <w:ind w:left="2160" w:hanging="720"/>
      </w:pPr>
      <w:r w:rsidRPr="0013396E">
        <w:t>(ii)</w:t>
      </w:r>
      <w:r w:rsidRPr="0013396E">
        <w:tab/>
        <w:t>On-Line Generation Resources with Output Schedules;</w:t>
      </w:r>
    </w:p>
    <w:p w14:paraId="22478CD8" w14:textId="77777777" w:rsidR="00422B96" w:rsidRPr="0013396E" w:rsidRDefault="00422B96" w:rsidP="00422B96">
      <w:pPr>
        <w:spacing w:after="240"/>
        <w:ind w:left="2160" w:hanging="720"/>
      </w:pPr>
      <w:r w:rsidRPr="0013396E">
        <w:t>(iii)</w:t>
      </w:r>
      <w:r w:rsidRPr="0013396E">
        <w:tab/>
        <w:t xml:space="preserve">Load Resources; </w:t>
      </w:r>
    </w:p>
    <w:p w14:paraId="2DF30579" w14:textId="77777777" w:rsidR="00422B96" w:rsidRPr="0013396E" w:rsidRDefault="00422B96" w:rsidP="00422B96">
      <w:pPr>
        <w:spacing w:after="240"/>
        <w:ind w:left="2160" w:hanging="720"/>
      </w:pPr>
      <w:r w:rsidRPr="0013396E">
        <w:t>(iv)</w:t>
      </w:r>
      <w:r w:rsidRPr="0013396E">
        <w:tab/>
        <w:t>Off-Line Generation Resources excluding Quick Start Generation Resources (QSGRs), including Non-Spin awards on power augmentation capacity that is not active on On-Line Generation Resources;</w:t>
      </w:r>
    </w:p>
    <w:p w14:paraId="5F25C5FA" w14:textId="77777777" w:rsidR="00422B96" w:rsidRPr="0013396E" w:rsidRDefault="00422B96" w:rsidP="00422B96">
      <w:pPr>
        <w:spacing w:after="240"/>
        <w:ind w:left="2160" w:hanging="720"/>
      </w:pPr>
      <w:r w:rsidRPr="0013396E">
        <w:t>(v)</w:t>
      </w:r>
      <w:r w:rsidRPr="0013396E">
        <w:tab/>
        <w:t>QSGRs; and</w:t>
      </w:r>
    </w:p>
    <w:p w14:paraId="4728EB8D" w14:textId="77777777" w:rsidR="00422B96" w:rsidRPr="0013396E" w:rsidRDefault="00422B96" w:rsidP="00422B96">
      <w:pPr>
        <w:spacing w:after="240"/>
        <w:ind w:left="2160" w:hanging="720"/>
      </w:pPr>
      <w:r w:rsidRPr="0013396E">
        <w:t>(vi)</w:t>
      </w:r>
      <w:r w:rsidRPr="0013396E">
        <w:tab/>
        <w:t>ESRs.</w:t>
      </w:r>
    </w:p>
    <w:p w14:paraId="07E15100" w14:textId="77777777" w:rsidR="00422B96" w:rsidRPr="0013396E" w:rsidRDefault="00422B96" w:rsidP="00422B96">
      <w:pPr>
        <w:spacing w:after="240"/>
        <w:ind w:left="1440" w:hanging="720"/>
      </w:pPr>
      <w:r w:rsidRPr="0013396E">
        <w:t>(h)</w:t>
      </w:r>
      <w:r w:rsidRPr="0013396E">
        <w:tab/>
        <w:t>Reg-Up and Reg-Down capability (for ESRs, the SCED duration requirements of Reg-Up and Reg-Down are considered);</w:t>
      </w:r>
    </w:p>
    <w:p w14:paraId="69ED1921" w14:textId="77777777" w:rsidR="00422B96" w:rsidRPr="0013396E" w:rsidRDefault="00422B96" w:rsidP="00422B96">
      <w:pPr>
        <w:spacing w:after="240"/>
        <w:ind w:left="1440" w:hanging="720"/>
      </w:pPr>
      <w:r w:rsidRPr="0013396E">
        <w:t>(i)</w:t>
      </w:r>
      <w:r w:rsidRPr="0013396E">
        <w:tab/>
        <w:t>Undeployed Reg-Up and Reg-Down;</w:t>
      </w:r>
    </w:p>
    <w:p w14:paraId="47EA06AA" w14:textId="77777777" w:rsidR="00422B96" w:rsidRPr="0013396E" w:rsidRDefault="00422B96" w:rsidP="00422B96">
      <w:pPr>
        <w:spacing w:after="240"/>
        <w:ind w:left="1440" w:hanging="720"/>
      </w:pPr>
      <w:r w:rsidRPr="0013396E">
        <w:t>(j)</w:t>
      </w:r>
      <w:r w:rsidRPr="0013396E">
        <w:tab/>
        <w:t>Ancillary Service Resource awards for Reg-Up and Reg-Down;</w:t>
      </w:r>
    </w:p>
    <w:p w14:paraId="780E9560" w14:textId="77777777" w:rsidR="00422B96" w:rsidRPr="0013396E" w:rsidRDefault="00422B96" w:rsidP="00422B96">
      <w:pPr>
        <w:spacing w:after="240"/>
        <w:ind w:left="1440" w:hanging="720"/>
      </w:pPr>
      <w:r w:rsidRPr="0013396E">
        <w:t>(k)</w:t>
      </w:r>
      <w:r w:rsidRPr="0013396E">
        <w:tab/>
        <w:t>Deployed Reg-Up and Reg-Down;</w:t>
      </w:r>
    </w:p>
    <w:p w14:paraId="62857A1C" w14:textId="77777777" w:rsidR="00422B96" w:rsidRPr="0013396E" w:rsidRDefault="00422B96" w:rsidP="00422B96">
      <w:pPr>
        <w:spacing w:after="240"/>
        <w:ind w:left="1440" w:hanging="720"/>
      </w:pPr>
      <w:r w:rsidRPr="0013396E">
        <w:t>(l)</w:t>
      </w:r>
      <w:r w:rsidRPr="0013396E">
        <w:tab/>
        <w:t>Available capacity:</w:t>
      </w:r>
    </w:p>
    <w:p w14:paraId="35AA764A" w14:textId="77777777" w:rsidR="00422B96" w:rsidRPr="0013396E" w:rsidRDefault="00422B96" w:rsidP="00422B96">
      <w:pPr>
        <w:spacing w:after="240"/>
        <w:ind w:left="2160" w:hanging="720"/>
      </w:pPr>
      <w:r w:rsidRPr="0013396E">
        <w:t>(i)</w:t>
      </w:r>
      <w:r w:rsidRPr="0013396E">
        <w:tab/>
        <w:t>With Energy Offer Curves in the ERCOT System that can be used to increase Generation Resource Base Points in SCED;</w:t>
      </w:r>
    </w:p>
    <w:p w14:paraId="6788C0DC" w14:textId="77777777" w:rsidR="00422B96" w:rsidRPr="0013396E" w:rsidRDefault="00422B96" w:rsidP="00422B96">
      <w:pPr>
        <w:spacing w:after="240"/>
        <w:ind w:left="2160" w:hanging="720"/>
      </w:pPr>
      <w:r w:rsidRPr="0013396E">
        <w:t>(ii)</w:t>
      </w:r>
      <w:r w:rsidRPr="0013396E">
        <w:tab/>
        <w:t xml:space="preserve">With Energy Offer Curves in the ERCOT System that can be used to decrease Generation Resource Base Points in SCED; </w:t>
      </w:r>
    </w:p>
    <w:p w14:paraId="045B98CF" w14:textId="77777777" w:rsidR="00422B96" w:rsidRPr="0013396E" w:rsidRDefault="00422B96" w:rsidP="00422B96">
      <w:pPr>
        <w:spacing w:after="240"/>
        <w:ind w:left="2160" w:hanging="720"/>
      </w:pPr>
      <w:r w:rsidRPr="0013396E">
        <w:t>(iii)</w:t>
      </w:r>
      <w:r w:rsidRPr="0013396E">
        <w:tab/>
        <w:t xml:space="preserve">Without Energy Offer Curves in the ERCOT System that can be used to increase Generation Resource Base Points in SCED; </w:t>
      </w:r>
    </w:p>
    <w:p w14:paraId="4901EB5B" w14:textId="77777777" w:rsidR="00422B96" w:rsidRPr="0013396E" w:rsidRDefault="00422B96" w:rsidP="00422B96">
      <w:pPr>
        <w:spacing w:after="240"/>
        <w:ind w:left="2160" w:hanging="720"/>
      </w:pPr>
      <w:r w:rsidRPr="0013396E">
        <w:t>(iv)</w:t>
      </w:r>
      <w:r w:rsidRPr="0013396E">
        <w:tab/>
        <w:t xml:space="preserve">Without Energy Offer Curves in the ERCOT System that can be used to decrease Generation Resource Base Points in SCED; </w:t>
      </w:r>
    </w:p>
    <w:p w14:paraId="69AED7B3" w14:textId="6B961162" w:rsidR="00422B96" w:rsidRPr="0013396E" w:rsidRDefault="00422B96" w:rsidP="00422B96">
      <w:pPr>
        <w:spacing w:after="240"/>
        <w:ind w:left="2160" w:hanging="720"/>
      </w:pPr>
      <w:r w:rsidRPr="0013396E">
        <w:t>(v)</w:t>
      </w:r>
      <w:r w:rsidRPr="0013396E">
        <w:tab/>
        <w:t xml:space="preserve">With </w:t>
      </w:r>
      <w:r w:rsidR="00236E90">
        <w:t xml:space="preserve">RTM </w:t>
      </w:r>
      <w:r w:rsidRPr="0013396E">
        <w:t xml:space="preserve">Energy Bid </w:t>
      </w:r>
      <w:r w:rsidR="00236E90">
        <w:t>c</w:t>
      </w:r>
      <w:r w:rsidRPr="0013396E">
        <w:t>urves from available CLRs in the ERCOT System that can be used to decrease Base Points (energy consumption) in SCED;</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236E90" w:rsidRPr="0013396E" w14:paraId="24BA1624" w14:textId="77777777" w:rsidTr="0099759E">
        <w:trPr>
          <w:trHeight w:val="206"/>
        </w:trPr>
        <w:tc>
          <w:tcPr>
            <w:tcW w:w="9350" w:type="dxa"/>
            <w:shd w:val="pct12" w:color="auto" w:fill="auto"/>
          </w:tcPr>
          <w:p w14:paraId="743B2EAA" w14:textId="77C45127" w:rsidR="00236E90" w:rsidRPr="0013396E" w:rsidRDefault="00236E90" w:rsidP="0099759E">
            <w:pPr>
              <w:spacing w:before="120" w:after="240"/>
              <w:rPr>
                <w:b/>
                <w:i/>
                <w:iCs/>
                <w:szCs w:val="24"/>
              </w:rPr>
            </w:pPr>
            <w:r w:rsidRPr="0013396E">
              <w:rPr>
                <w:b/>
                <w:i/>
                <w:iCs/>
                <w:szCs w:val="24"/>
              </w:rPr>
              <w:t>[NPRR1</w:t>
            </w:r>
            <w:r>
              <w:rPr>
                <w:b/>
                <w:i/>
                <w:iCs/>
                <w:szCs w:val="24"/>
              </w:rPr>
              <w:t>188</w:t>
            </w:r>
            <w:r w:rsidRPr="0013396E">
              <w:rPr>
                <w:b/>
                <w:i/>
                <w:iCs/>
                <w:szCs w:val="24"/>
              </w:rPr>
              <w:t xml:space="preserve">: </w:t>
            </w:r>
            <w:r>
              <w:rPr>
                <w:b/>
                <w:i/>
                <w:iCs/>
                <w:szCs w:val="24"/>
              </w:rPr>
              <w:t>Replace</w:t>
            </w:r>
            <w:r w:rsidRPr="0013396E">
              <w:rPr>
                <w:b/>
                <w:i/>
                <w:iCs/>
                <w:szCs w:val="24"/>
              </w:rPr>
              <w:t xml:space="preserve"> paragraph (</w:t>
            </w:r>
            <w:r>
              <w:rPr>
                <w:b/>
                <w:i/>
                <w:iCs/>
                <w:szCs w:val="24"/>
              </w:rPr>
              <w:t>v</w:t>
            </w:r>
            <w:r w:rsidRPr="0013396E">
              <w:rPr>
                <w:b/>
                <w:i/>
                <w:iCs/>
                <w:szCs w:val="24"/>
              </w:rPr>
              <w:t xml:space="preserve">) </w:t>
            </w:r>
            <w:r>
              <w:rPr>
                <w:b/>
                <w:i/>
                <w:iCs/>
                <w:szCs w:val="24"/>
              </w:rPr>
              <w:t>above with the following</w:t>
            </w:r>
            <w:r w:rsidRPr="0013396E">
              <w:rPr>
                <w:b/>
                <w:i/>
                <w:iCs/>
                <w:szCs w:val="24"/>
              </w:rPr>
              <w:t xml:space="preserve"> upon system implementation:]</w:t>
            </w:r>
          </w:p>
          <w:p w14:paraId="4571403C" w14:textId="7BAB7EBD" w:rsidR="00236E90" w:rsidRPr="00896851" w:rsidRDefault="00236E90" w:rsidP="00236E90">
            <w:pPr>
              <w:spacing w:after="240"/>
              <w:ind w:left="2160" w:hanging="720"/>
            </w:pPr>
            <w:r w:rsidRPr="0013396E">
              <w:t>(v)</w:t>
            </w:r>
            <w:r w:rsidRPr="0013396E">
              <w:tab/>
              <w:t>With Energy Bid Curves from available CLRs in the ERCOT System that can be used to decrease Base Points (energy consumption) in SCED;</w:t>
            </w:r>
          </w:p>
        </w:tc>
      </w:tr>
    </w:tbl>
    <w:p w14:paraId="7395DF77" w14:textId="4ED6F802" w:rsidR="00422B96" w:rsidRPr="0013396E" w:rsidRDefault="00422B96" w:rsidP="00236E90">
      <w:pPr>
        <w:spacing w:before="240" w:after="240"/>
        <w:ind w:left="2160" w:hanging="720"/>
      </w:pPr>
      <w:r w:rsidRPr="0013396E">
        <w:lastRenderedPageBreak/>
        <w:t>(vi)</w:t>
      </w:r>
      <w:r w:rsidRPr="0013396E">
        <w:tab/>
        <w:t xml:space="preserve">With </w:t>
      </w:r>
      <w:r w:rsidR="00236E90">
        <w:t xml:space="preserve">RTM </w:t>
      </w:r>
      <w:r w:rsidRPr="0013396E">
        <w:t xml:space="preserve">Energy Bid </w:t>
      </w:r>
      <w:r w:rsidR="00236E90">
        <w:t>c</w:t>
      </w:r>
      <w:r w:rsidRPr="0013396E">
        <w:t xml:space="preserve">urves from available CLRs in the ERCOT System that can be used to increase Base Points (energy consumption) in SCED;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236E90" w:rsidRPr="0013396E" w14:paraId="10EFE393" w14:textId="77777777" w:rsidTr="0099759E">
        <w:trPr>
          <w:trHeight w:val="206"/>
        </w:trPr>
        <w:tc>
          <w:tcPr>
            <w:tcW w:w="9350" w:type="dxa"/>
            <w:shd w:val="pct12" w:color="auto" w:fill="auto"/>
          </w:tcPr>
          <w:p w14:paraId="096B14EF" w14:textId="26301A1C" w:rsidR="00236E90" w:rsidRPr="0013396E" w:rsidRDefault="00236E90" w:rsidP="0099759E">
            <w:pPr>
              <w:spacing w:before="120" w:after="240"/>
              <w:rPr>
                <w:b/>
                <w:i/>
                <w:iCs/>
                <w:szCs w:val="24"/>
              </w:rPr>
            </w:pPr>
            <w:r w:rsidRPr="0013396E">
              <w:rPr>
                <w:b/>
                <w:i/>
                <w:iCs/>
                <w:szCs w:val="24"/>
              </w:rPr>
              <w:t>[NPRR1</w:t>
            </w:r>
            <w:r>
              <w:rPr>
                <w:b/>
                <w:i/>
                <w:iCs/>
                <w:szCs w:val="24"/>
              </w:rPr>
              <w:t>188</w:t>
            </w:r>
            <w:r w:rsidRPr="0013396E">
              <w:rPr>
                <w:b/>
                <w:i/>
                <w:iCs/>
                <w:szCs w:val="24"/>
              </w:rPr>
              <w:t xml:space="preserve">: </w:t>
            </w:r>
            <w:r>
              <w:rPr>
                <w:b/>
                <w:i/>
                <w:iCs/>
                <w:szCs w:val="24"/>
              </w:rPr>
              <w:t>Replace</w:t>
            </w:r>
            <w:r w:rsidRPr="0013396E">
              <w:rPr>
                <w:b/>
                <w:i/>
                <w:iCs/>
                <w:szCs w:val="24"/>
              </w:rPr>
              <w:t xml:space="preserve"> paragraph (</w:t>
            </w:r>
            <w:r>
              <w:rPr>
                <w:b/>
                <w:i/>
                <w:iCs/>
                <w:szCs w:val="24"/>
              </w:rPr>
              <w:t>vi</w:t>
            </w:r>
            <w:r w:rsidRPr="0013396E">
              <w:rPr>
                <w:b/>
                <w:i/>
                <w:iCs/>
                <w:szCs w:val="24"/>
              </w:rPr>
              <w:t xml:space="preserve">) </w:t>
            </w:r>
            <w:r>
              <w:rPr>
                <w:b/>
                <w:i/>
                <w:iCs/>
                <w:szCs w:val="24"/>
              </w:rPr>
              <w:t>above with the following</w:t>
            </w:r>
            <w:r w:rsidRPr="0013396E">
              <w:rPr>
                <w:b/>
                <w:i/>
                <w:iCs/>
                <w:szCs w:val="24"/>
              </w:rPr>
              <w:t xml:space="preserve"> upon system implementation:]</w:t>
            </w:r>
          </w:p>
          <w:p w14:paraId="6C0EDAE1" w14:textId="433E6890" w:rsidR="00236E90" w:rsidRPr="00896851" w:rsidRDefault="00236E90" w:rsidP="00236E90">
            <w:pPr>
              <w:spacing w:before="240" w:after="240"/>
              <w:ind w:left="2160" w:hanging="720"/>
            </w:pPr>
            <w:r w:rsidRPr="0013396E">
              <w:t>(vi)</w:t>
            </w:r>
            <w:r w:rsidRPr="0013396E">
              <w:tab/>
              <w:t>With Energy Bid Curves from available CLRs in the ERCOT System that can be used to increase Base Points (energy consumption) in SCED;</w:t>
            </w:r>
          </w:p>
        </w:tc>
      </w:tr>
    </w:tbl>
    <w:p w14:paraId="57AAD895" w14:textId="348F8F5D" w:rsidR="00422B96" w:rsidRPr="0013396E" w:rsidRDefault="00422B96" w:rsidP="00236E90">
      <w:pPr>
        <w:spacing w:before="240" w:after="240"/>
        <w:ind w:left="2160" w:hanging="720"/>
      </w:pPr>
      <w:r w:rsidRPr="0013396E">
        <w:t>(vii)</w:t>
      </w:r>
      <w:r w:rsidRPr="0013396E">
        <w:tab/>
        <w:t xml:space="preserve">From Resources participating in SCED plus the Reg-Up, RRS, and ECRS from Load Resources </w:t>
      </w:r>
      <w:r w:rsidRPr="0013396E">
        <w:rPr>
          <w:bCs/>
        </w:rPr>
        <w:t>and the Net Power Consumption minus the Low Power Consumption from Load Resources with a validated Real-Time RRS and ECRS awards</w:t>
      </w:r>
      <w:r w:rsidRPr="0013396E">
        <w:t>;</w:t>
      </w:r>
    </w:p>
    <w:p w14:paraId="5043ABD0" w14:textId="77777777" w:rsidR="00422B96" w:rsidRPr="0013396E" w:rsidRDefault="00422B96" w:rsidP="00422B96">
      <w:pPr>
        <w:spacing w:after="240"/>
        <w:ind w:left="2160" w:hanging="720"/>
      </w:pPr>
      <w:r w:rsidRPr="0013396E">
        <w:t>(viii)</w:t>
      </w:r>
      <w:r w:rsidRPr="0013396E">
        <w:tab/>
        <w:t>With Energy Bid/Offer Curves for ESRs in the ERCOT System that can be used to increase ESR Base Points in SCED while respecting SCED duration requirements for ESR Base Points in SCED;</w:t>
      </w:r>
    </w:p>
    <w:p w14:paraId="4F2322AD" w14:textId="77777777" w:rsidR="00422B96" w:rsidRPr="0013396E" w:rsidRDefault="00422B96" w:rsidP="00422B96">
      <w:pPr>
        <w:spacing w:after="240"/>
        <w:ind w:left="2160" w:hanging="720"/>
      </w:pPr>
      <w:r w:rsidRPr="0013396E">
        <w:t>(ix)</w:t>
      </w:r>
      <w:r w:rsidRPr="0013396E">
        <w:tab/>
        <w:t xml:space="preserve">With Energy Bid/Offer Curves for ESRs in the ERCOT System that can be used to decrease ESR Base Points in SCED while respecting SCED duration requirements for ESR Base Points in SCED; </w:t>
      </w:r>
    </w:p>
    <w:p w14:paraId="11F63811" w14:textId="77777777" w:rsidR="00422B96" w:rsidRPr="0013396E" w:rsidRDefault="00422B96" w:rsidP="00422B96">
      <w:pPr>
        <w:spacing w:after="240"/>
        <w:ind w:left="2160" w:hanging="720"/>
      </w:pPr>
      <w:r w:rsidRPr="0013396E">
        <w:t>(x)</w:t>
      </w:r>
      <w:r w:rsidRPr="0013396E">
        <w:tab/>
        <w:t xml:space="preserve">Without Energy Bid/Offer Curves for ESRs in the ERCOT System that can be used to increase ESR Base Points in SCED while respecting SCED duration requirements for ESR Base Points in SCED; </w:t>
      </w:r>
    </w:p>
    <w:p w14:paraId="2DD1A943" w14:textId="77777777" w:rsidR="00422B96" w:rsidRPr="0013396E" w:rsidRDefault="00422B96" w:rsidP="00422B96">
      <w:pPr>
        <w:spacing w:after="240"/>
        <w:ind w:left="2160" w:hanging="720"/>
      </w:pPr>
      <w:r w:rsidRPr="0013396E">
        <w:t>(xi)</w:t>
      </w:r>
      <w:r w:rsidRPr="0013396E">
        <w:tab/>
        <w:t xml:space="preserve">Without Energy Bid/Offer Curves for ESRs in the ERCOT System that can be used to decrease ESR Base Points in SCED while respecting SCED duration requirements for ESR Base Points in SCED; </w:t>
      </w:r>
    </w:p>
    <w:p w14:paraId="5F5734F2" w14:textId="77777777" w:rsidR="00422B96" w:rsidRPr="0013396E" w:rsidRDefault="00422B96" w:rsidP="00422B96">
      <w:pPr>
        <w:spacing w:after="240"/>
        <w:ind w:left="2160" w:hanging="720"/>
      </w:pPr>
      <w:r w:rsidRPr="0013396E">
        <w:t>(xii)</w:t>
      </w:r>
      <w:r w:rsidRPr="0013396E">
        <w:tab/>
        <w:t>From Resources included in item (vii) above plus reserves from Resources that could be made available to SCED in 30 minutes;</w:t>
      </w:r>
    </w:p>
    <w:p w14:paraId="2F971E4D" w14:textId="77777777" w:rsidR="00422B96" w:rsidRPr="0013396E" w:rsidRDefault="00422B96" w:rsidP="00422B96">
      <w:pPr>
        <w:spacing w:after="240"/>
        <w:ind w:left="2160" w:hanging="720"/>
      </w:pPr>
      <w:r w:rsidRPr="0013396E">
        <w:t xml:space="preserve">(xiii) </w:t>
      </w:r>
      <w:r w:rsidRPr="0013396E">
        <w:tab/>
        <w:t>In the ERCOT System that can be used to increase Generation Resource Base Points in the next five minutes in SCED; and</w:t>
      </w:r>
    </w:p>
    <w:p w14:paraId="53724983" w14:textId="77777777" w:rsidR="00422B96" w:rsidRPr="0013396E" w:rsidRDefault="00422B96" w:rsidP="00422B96">
      <w:pPr>
        <w:spacing w:after="240"/>
        <w:ind w:left="2160" w:hanging="720"/>
      </w:pPr>
      <w:r w:rsidRPr="0013396E">
        <w:t>(xiv)</w:t>
      </w:r>
      <w:r w:rsidRPr="0013396E">
        <w:tab/>
        <w:t>In the ERCOT System that can be used to decrease Generation Resource Base Points in the next five minutes in SCED;</w:t>
      </w:r>
    </w:p>
    <w:p w14:paraId="627B02C0" w14:textId="77777777" w:rsidR="00422B96" w:rsidRPr="0013396E" w:rsidRDefault="00422B96" w:rsidP="00422B96">
      <w:pPr>
        <w:spacing w:after="240"/>
        <w:ind w:left="2160" w:hanging="720"/>
      </w:pPr>
      <w:r w:rsidRPr="0013396E">
        <w:t>(xv)</w:t>
      </w:r>
      <w:r w:rsidRPr="0013396E">
        <w:tab/>
        <w:t>The total capability of Resources available to provide the following combinations of Ancillary Services, based on the Resource telemetry from the QSE and capped by the limits of the Resource:</w:t>
      </w:r>
    </w:p>
    <w:p w14:paraId="242569A0" w14:textId="77777777" w:rsidR="00422B96" w:rsidRPr="0013396E" w:rsidRDefault="00422B96" w:rsidP="00422B96">
      <w:pPr>
        <w:spacing w:after="240"/>
        <w:ind w:left="2880" w:hanging="720"/>
      </w:pPr>
      <w:r w:rsidRPr="0013396E">
        <w:t>(A)</w:t>
      </w:r>
      <w:r w:rsidRPr="0013396E">
        <w:tab/>
        <w:t>Capacity to provide Reg-Up, RRS, or both, irrespective of whether it is capable of providing ECRS or Non-Spin;</w:t>
      </w:r>
    </w:p>
    <w:p w14:paraId="4A51EBDA" w14:textId="77777777" w:rsidR="00422B96" w:rsidRPr="0013396E" w:rsidRDefault="00422B96" w:rsidP="00422B96">
      <w:pPr>
        <w:spacing w:after="240"/>
        <w:ind w:left="2880" w:hanging="720"/>
      </w:pPr>
      <w:r w:rsidRPr="0013396E">
        <w:lastRenderedPageBreak/>
        <w:t>(B)</w:t>
      </w:r>
      <w:r w:rsidRPr="0013396E">
        <w:tab/>
        <w:t>Capacity to provide Reg-Up, RRS, ECRS, or any combination, irrespective of whether it is capable of providing Non-Spin; and</w:t>
      </w:r>
    </w:p>
    <w:p w14:paraId="43D1E409" w14:textId="77777777" w:rsidR="00422B96" w:rsidRPr="0013396E" w:rsidRDefault="00422B96" w:rsidP="00422B96">
      <w:pPr>
        <w:spacing w:after="240"/>
        <w:ind w:left="2880" w:hanging="720"/>
      </w:pPr>
      <w:r w:rsidRPr="0013396E">
        <w:t>(C)</w:t>
      </w:r>
      <w:r w:rsidRPr="0013396E">
        <w:tab/>
      </w:r>
      <w:r w:rsidRPr="0013396E">
        <w:rPr>
          <w:color w:val="000000"/>
        </w:rPr>
        <w:t>Capacity to provide Reg-Up, RRS, ECRS, or Non-Spin, in any combination</w:t>
      </w:r>
      <w:r w:rsidRPr="0013396E">
        <w:t>;</w:t>
      </w:r>
    </w:p>
    <w:p w14:paraId="6625FEF0" w14:textId="77777777" w:rsidR="00422B96" w:rsidRPr="0013396E" w:rsidRDefault="00422B96" w:rsidP="00422B96">
      <w:pPr>
        <w:spacing w:after="240"/>
        <w:ind w:left="1440" w:hanging="720"/>
      </w:pPr>
      <w:r w:rsidRPr="0013396E">
        <w:t>(m)</w:t>
      </w:r>
      <w:r w:rsidRPr="0013396E">
        <w:tab/>
        <w:t>Aggregate telemetered HSL capacity for Resources with a telemetered Resource Status of EMR;</w:t>
      </w:r>
    </w:p>
    <w:p w14:paraId="5AB23CF0" w14:textId="77777777" w:rsidR="00422B96" w:rsidRPr="0013396E" w:rsidRDefault="00422B96" w:rsidP="00422B96">
      <w:pPr>
        <w:spacing w:after="240"/>
        <w:ind w:left="1440" w:hanging="720"/>
      </w:pPr>
      <w:r w:rsidRPr="0013396E">
        <w:t>(n)</w:t>
      </w:r>
      <w:r w:rsidRPr="0013396E">
        <w:tab/>
        <w:t>Aggregate telemetered HSL capacity for Resources with a telemetered Resource Status of OUT;</w:t>
      </w:r>
    </w:p>
    <w:p w14:paraId="02D8B7C8" w14:textId="77777777" w:rsidR="00422B96" w:rsidRPr="0013396E" w:rsidRDefault="00422B96" w:rsidP="00422B96">
      <w:pPr>
        <w:spacing w:after="240"/>
        <w:ind w:left="1440" w:hanging="720"/>
      </w:pPr>
      <w:r w:rsidRPr="0013396E">
        <w:t>(o)</w:t>
      </w:r>
      <w:r w:rsidRPr="0013396E">
        <w:tab/>
        <w:t>Aggregate net telemetered consumption for Resources with a telemetered Resource Status of OUTL; and</w:t>
      </w:r>
    </w:p>
    <w:p w14:paraId="4F0F190B" w14:textId="77777777" w:rsidR="00422B96" w:rsidRPr="0013396E" w:rsidRDefault="00422B96" w:rsidP="00422B96">
      <w:pPr>
        <w:spacing w:after="240"/>
        <w:ind w:left="1440" w:hanging="720"/>
      </w:pPr>
      <w:r w:rsidRPr="0013396E">
        <w:t>(p)</w:t>
      </w:r>
      <w:r w:rsidRPr="0013396E">
        <w:tab/>
        <w:t>The ERCOT-wide PRC calculated as follows:</w:t>
      </w:r>
    </w:p>
    <w:p w14:paraId="3380290F" w14:textId="77777777" w:rsidR="003B27D9" w:rsidRDefault="003B27D9" w:rsidP="00422B96">
      <w:pPr>
        <w:spacing w:after="240"/>
        <w:rPr>
          <w:b/>
          <w:position w:val="30"/>
          <w:sz w:val="20"/>
        </w:rPr>
      </w:pPr>
    </w:p>
    <w:p w14:paraId="28792171" w14:textId="3D099404" w:rsidR="00422B96" w:rsidRPr="0013396E" w:rsidRDefault="00343E89" w:rsidP="00422B96">
      <w:pPr>
        <w:spacing w:after="240"/>
        <w:rPr>
          <w:b/>
          <w:position w:val="30"/>
          <w:sz w:val="20"/>
        </w:rPr>
      </w:pPr>
      <w:r>
        <w:rPr>
          <w:b/>
          <w:noProof/>
          <w:position w:val="30"/>
          <w:sz w:val="20"/>
        </w:rPr>
        <w:object w:dxaOrig="1440" w:dyaOrig="1440" w14:anchorId="4CED4F3B">
          <v:shape id="_x0000_s5554" type="#_x0000_t75" style="position:absolute;margin-left:33.75pt;margin-top:-42.55pt;width:67.75pt;height:109.9pt;z-index:251699200" fillcolor="red" strokecolor="red">
            <v:fill opacity="13107f" color2="fill darken(118)" o:opacity2="13107f" rotate="t" method="linear sigma" focus="100%" type="gradient"/>
            <v:imagedata r:id="rId15" o:title=""/>
          </v:shape>
          <o:OLEObject Type="Embed" ProgID="Equation.3" ShapeID="_x0000_s5554" DrawAspect="Content" ObjectID="_1836311571" r:id="rId16"/>
        </w:object>
      </w:r>
      <w:r w:rsidR="00422B96" w:rsidRPr="0013396E">
        <w:rPr>
          <w:b/>
          <w:position w:val="30"/>
          <w:sz w:val="20"/>
        </w:rPr>
        <w:t>PRC</w:t>
      </w:r>
      <w:r w:rsidR="00422B96" w:rsidRPr="0013396E">
        <w:rPr>
          <w:b/>
          <w:position w:val="30"/>
          <w:sz w:val="20"/>
          <w:vertAlign w:val="subscript"/>
        </w:rPr>
        <w:t>1</w:t>
      </w:r>
      <w:r w:rsidR="00422B96" w:rsidRPr="0013396E">
        <w:rPr>
          <w:b/>
          <w:position w:val="30"/>
          <w:sz w:val="20"/>
        </w:rPr>
        <w:t xml:space="preserve"> =</w:t>
      </w:r>
      <w:r w:rsidR="00422B96" w:rsidRPr="0013396E">
        <w:rPr>
          <w:b/>
          <w:position w:val="30"/>
          <w:sz w:val="20"/>
        </w:rPr>
        <w:tab/>
      </w:r>
      <w:r w:rsidR="00422B96" w:rsidRPr="0013396E">
        <w:rPr>
          <w:b/>
          <w:position w:val="30"/>
          <w:sz w:val="20"/>
        </w:rPr>
        <w:tab/>
      </w:r>
      <w:r w:rsidR="00422B96" w:rsidRPr="0013396E">
        <w:rPr>
          <w:b/>
          <w:position w:val="30"/>
          <w:sz w:val="20"/>
        </w:rPr>
        <w:tab/>
        <w:t>Min(Max((RDF*FRCHL – FRCO)</w:t>
      </w:r>
      <w:r w:rsidR="00422B96" w:rsidRPr="0013396E">
        <w:rPr>
          <w:b/>
          <w:position w:val="30"/>
          <w:sz w:val="20"/>
          <w:vertAlign w:val="subscript"/>
        </w:rPr>
        <w:t>i</w:t>
      </w:r>
      <w:r w:rsidR="00422B96" w:rsidRPr="0013396E">
        <w:rPr>
          <w:b/>
          <w:position w:val="30"/>
          <w:sz w:val="20"/>
        </w:rPr>
        <w:t xml:space="preserve"> , 0.0) , 0.2*RDF*FRCHL</w:t>
      </w:r>
      <w:r w:rsidR="00422B96" w:rsidRPr="0013396E">
        <w:rPr>
          <w:b/>
          <w:position w:val="30"/>
          <w:sz w:val="20"/>
          <w:vertAlign w:val="subscript"/>
        </w:rPr>
        <w:t>i</w:t>
      </w:r>
      <w:r w:rsidR="00422B96" w:rsidRPr="0013396E">
        <w:rPr>
          <w:b/>
          <w:position w:val="30"/>
          <w:sz w:val="20"/>
        </w:rPr>
        <w:t>),</w:t>
      </w:r>
    </w:p>
    <w:p w14:paraId="4A04C298" w14:textId="77777777" w:rsidR="00422B96" w:rsidRPr="0013396E" w:rsidRDefault="00422B96" w:rsidP="00422B96">
      <w:pPr>
        <w:ind w:right="-1080"/>
      </w:pPr>
    </w:p>
    <w:p w14:paraId="33AA1331" w14:textId="77777777" w:rsidR="00422B96" w:rsidRPr="0013396E" w:rsidRDefault="00422B96" w:rsidP="00422B96">
      <w:pPr>
        <w:ind w:right="-1080"/>
      </w:pPr>
    </w:p>
    <w:p w14:paraId="1EAF0DB4" w14:textId="77777777" w:rsidR="00422B96" w:rsidRPr="0013396E" w:rsidRDefault="00422B96" w:rsidP="00422B96">
      <w:pPr>
        <w:ind w:right="-1080"/>
      </w:pPr>
      <w:r w:rsidRPr="0013396E">
        <w:t>where the included On-Line Generation Resources do not include WGRs, nuclear Generation</w:t>
      </w:r>
    </w:p>
    <w:p w14:paraId="3CAD7022" w14:textId="77777777" w:rsidR="00422B96" w:rsidRPr="0013396E" w:rsidRDefault="00422B96" w:rsidP="00422B96">
      <w:pPr>
        <w:ind w:right="-1080"/>
      </w:pPr>
      <w:r w:rsidRPr="0013396E">
        <w:t xml:space="preserve">Resources, or Generation Resources with an output less than or equal to 95% of telemetered LSL or </w:t>
      </w:r>
    </w:p>
    <w:p w14:paraId="64B3959A" w14:textId="77777777" w:rsidR="00422B96" w:rsidRPr="0013396E" w:rsidRDefault="00422B96" w:rsidP="00422B96">
      <w:pPr>
        <w:ind w:right="-1080"/>
      </w:pPr>
      <w:r w:rsidRPr="0013396E">
        <w:t>with a telemetered status of ONTEST, ONHOLD, STARTUP, or SHUTDOWN.</w:t>
      </w:r>
    </w:p>
    <w:p w14:paraId="587F1933" w14:textId="77777777" w:rsidR="00422B96" w:rsidRPr="0013396E" w:rsidRDefault="00422B96" w:rsidP="00422B96">
      <w:pPr>
        <w:ind w:right="-1080"/>
        <w:rPr>
          <w:b/>
          <w:position w:val="30"/>
          <w:sz w:val="20"/>
        </w:rPr>
      </w:pPr>
      <w:r w:rsidRPr="0013396E">
        <w:rPr>
          <w:noProof/>
        </w:rPr>
        <mc:AlternateContent>
          <mc:Choice Requires="wpc">
            <w:drawing>
              <wp:anchor distT="0" distB="0" distL="114300" distR="114300" simplePos="0" relativeHeight="251704320" behindDoc="0" locked="0" layoutInCell="1" allowOverlap="1" wp14:anchorId="6C1CE4F3" wp14:editId="2B883CAF">
                <wp:simplePos x="0" y="0"/>
                <wp:positionH relativeFrom="column">
                  <wp:posOffset>478047</wp:posOffset>
                </wp:positionH>
                <wp:positionV relativeFrom="paragraph">
                  <wp:posOffset>-71240</wp:posOffset>
                </wp:positionV>
                <wp:extent cx="761365" cy="1394460"/>
                <wp:effectExtent l="1270" t="0" r="0" b="0"/>
                <wp:wrapNone/>
                <wp:docPr id="1702447396" name="Canvas 11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2423204" name="Rectangle 107"/>
                        <wps:cNvSpPr>
                          <a:spLocks noChangeArrowheads="1"/>
                        </wps:cNvSpPr>
                        <wps:spPr bwMode="auto">
                          <a:xfrm>
                            <a:off x="142212" y="501622"/>
                            <a:ext cx="135912" cy="340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8CB613" w14:textId="77777777" w:rsidR="00422B96" w:rsidRDefault="00422B96" w:rsidP="00422B96">
                              <w:r>
                                <w:rPr>
                                  <w:rFonts w:ascii="Symbol" w:hAnsi="Symbol" w:cs="Symbol"/>
                                  <w:color w:val="000000"/>
                                  <w:sz w:val="32"/>
                                  <w:szCs w:val="32"/>
                                </w:rPr>
                                <w:t></w:t>
                              </w:r>
                            </w:p>
                          </w:txbxContent>
                        </wps:txbx>
                        <wps:bodyPr rot="0" vert="horz" wrap="square" lIns="0" tIns="0" rIns="0" bIns="0" anchor="t" anchorCtr="0" upright="1">
                          <a:noAutofit/>
                        </wps:bodyPr>
                      </wps:wsp>
                      <wps:wsp>
                        <wps:cNvPr id="1034286089" name="Rectangle 108"/>
                        <wps:cNvSpPr>
                          <a:spLocks noChangeArrowheads="1"/>
                        </wps:cNvSpPr>
                        <wps:spPr bwMode="auto">
                          <a:xfrm>
                            <a:off x="90108" y="842036"/>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1C1AF5" w14:textId="77777777" w:rsidR="00422B96" w:rsidRDefault="00422B96" w:rsidP="00422B96">
                              <w:r>
                                <w:rPr>
                                  <w:rFonts w:ascii="Symbol" w:hAnsi="Symbol" w:cs="Symbol"/>
                                  <w:color w:val="000000"/>
                                </w:rPr>
                                <w:t></w:t>
                              </w:r>
                            </w:p>
                          </w:txbxContent>
                        </wps:txbx>
                        <wps:bodyPr rot="0" vert="horz" wrap="none" lIns="0" tIns="0" rIns="0" bIns="0" anchor="t" anchorCtr="0" upright="1">
                          <a:spAutoFit/>
                        </wps:bodyPr>
                      </wps:wsp>
                      <wps:wsp>
                        <wps:cNvPr id="1944728209" name="Rectangle 109"/>
                        <wps:cNvSpPr>
                          <a:spLocks noChangeArrowheads="1"/>
                        </wps:cNvSpPr>
                        <wps:spPr bwMode="auto">
                          <a:xfrm>
                            <a:off x="40603" y="326414"/>
                            <a:ext cx="4070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3C1EE8" w14:textId="77777777" w:rsidR="00422B96" w:rsidRDefault="00422B96" w:rsidP="00422B96">
                              <w:r>
                                <w:rPr>
                                  <w:b/>
                                  <w:bCs/>
                                  <w:i/>
                                  <w:iCs/>
                                  <w:color w:val="000000"/>
                                </w:rPr>
                                <w:t>WGRs</w:t>
                              </w:r>
                            </w:p>
                          </w:txbxContent>
                        </wps:txbx>
                        <wps:bodyPr rot="0" vert="horz" wrap="none" lIns="0" tIns="0" rIns="0" bIns="0" anchor="t" anchorCtr="0" upright="1">
                          <a:spAutoFit/>
                        </wps:bodyPr>
                      </wps:wsp>
                      <wps:wsp>
                        <wps:cNvPr id="184126805" name="Rectangle 110"/>
                        <wps:cNvSpPr>
                          <a:spLocks noChangeArrowheads="1"/>
                        </wps:cNvSpPr>
                        <wps:spPr bwMode="auto">
                          <a:xfrm>
                            <a:off x="29202" y="171407"/>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D3717" w14:textId="77777777" w:rsidR="00422B96" w:rsidRDefault="00422B96" w:rsidP="00422B96">
                              <w:r>
                                <w:rPr>
                                  <w:b/>
                                  <w:bCs/>
                                  <w:i/>
                                  <w:iCs/>
                                  <w:color w:val="000000"/>
                                </w:rPr>
                                <w:t>online</w:t>
                              </w:r>
                            </w:p>
                          </w:txbxContent>
                        </wps:txbx>
                        <wps:bodyPr rot="0" vert="horz" wrap="none" lIns="0" tIns="0" rIns="0" bIns="0" anchor="t" anchorCtr="0" upright="1">
                          <a:spAutoFit/>
                        </wps:bodyPr>
                      </wps:wsp>
                      <wps:wsp>
                        <wps:cNvPr id="890943873" name="Rectangle 111"/>
                        <wps:cNvSpPr>
                          <a:spLocks noChangeArrowheads="1"/>
                        </wps:cNvSpPr>
                        <wps:spPr bwMode="auto">
                          <a:xfrm>
                            <a:off x="74306" y="16501"/>
                            <a:ext cx="1866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519525" w14:textId="77777777" w:rsidR="00422B96" w:rsidRDefault="00422B96" w:rsidP="00422B96">
                              <w:r>
                                <w:rPr>
                                  <w:b/>
                                  <w:bCs/>
                                  <w:i/>
                                  <w:iCs/>
                                  <w:color w:val="000000"/>
                                </w:rPr>
                                <w:t>All</w:t>
                              </w:r>
                            </w:p>
                          </w:txbxContent>
                        </wps:txbx>
                        <wps:bodyPr rot="0" vert="horz" wrap="none" lIns="0" tIns="0" rIns="0" bIns="0" anchor="t" anchorCtr="0" upright="1">
                          <a:spAutoFit/>
                        </wps:bodyPr>
                      </wps:wsp>
                      <wps:wsp>
                        <wps:cNvPr id="619301151" name="Rectangle 112"/>
                        <wps:cNvSpPr>
                          <a:spLocks noChangeArrowheads="1"/>
                        </wps:cNvSpPr>
                        <wps:spPr bwMode="auto">
                          <a:xfrm>
                            <a:off x="40603" y="1014744"/>
                            <a:ext cx="34861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547880" w14:textId="77777777" w:rsidR="00422B96" w:rsidRDefault="00422B96" w:rsidP="00422B96">
                              <w:r>
                                <w:rPr>
                                  <w:b/>
                                  <w:bCs/>
                                  <w:i/>
                                  <w:iCs/>
                                  <w:color w:val="000000"/>
                                </w:rPr>
                                <w:t>WGR</w:t>
                              </w:r>
                            </w:p>
                          </w:txbxContent>
                        </wps:txbx>
                        <wps:bodyPr rot="0" vert="horz" wrap="none" lIns="0" tIns="0" rIns="0" bIns="0" anchor="t" anchorCtr="0" upright="1">
                          <a:spAutoFit/>
                        </wps:bodyPr>
                      </wps:wsp>
                      <wps:wsp>
                        <wps:cNvPr id="1350270204" name="Rectangle 113"/>
                        <wps:cNvSpPr>
                          <a:spLocks noChangeArrowheads="1"/>
                        </wps:cNvSpPr>
                        <wps:spPr bwMode="auto">
                          <a:xfrm>
                            <a:off x="179115" y="859837"/>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81162E" w14:textId="77777777" w:rsidR="00422B96" w:rsidRDefault="00422B96" w:rsidP="00422B96">
                              <w:r>
                                <w:rPr>
                                  <w:b/>
                                  <w:bCs/>
                                  <w:i/>
                                  <w:iCs/>
                                  <w:color w:val="000000"/>
                                </w:rPr>
                                <w:t>online</w:t>
                              </w:r>
                            </w:p>
                          </w:txbxContent>
                        </wps:txbx>
                        <wps:bodyPr rot="0" vert="horz" wrap="none" lIns="0" tIns="0" rIns="0" bIns="0" anchor="t" anchorCtr="0" upright="1">
                          <a:spAutoFit/>
                        </wps:bodyPr>
                      </wps:wsp>
                      <wps:wsp>
                        <wps:cNvPr id="1848902331" name="Rectangle 114"/>
                        <wps:cNvSpPr>
                          <a:spLocks noChangeArrowheads="1"/>
                        </wps:cNvSpPr>
                        <wps:spPr bwMode="auto">
                          <a:xfrm>
                            <a:off x="31703" y="859837"/>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432B20" w14:textId="77777777" w:rsidR="00422B96" w:rsidRDefault="00422B96" w:rsidP="00422B96">
                              <w:r>
                                <w:rPr>
                                  <w:b/>
                                  <w:bCs/>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6C1CE4F3" id="Canvas 111" o:spid="_x0000_s1119" editas="canvas" style="position:absolute;margin-left:37.65pt;margin-top:-5.6pt;width:59.95pt;height:109.8pt;z-index:251704320" coordsize="7613,139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">
                <v:shape id="_x0000_s1120" type="#_x0000_t75" style="position:absolute;width:7613;height:13944;visibility:visible;mso-wrap-style:square">
                  <v:fill o:detectmouseclick="t"/>
                  <v:path o:connecttype="none"/>
                </v:shape>
                <v:rect id="Rectangle 107" o:spid="_x0000_s1121" style="position:absolute;left:1422;top:5016;width:1359;height:3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" filled="f" stroked="f">
                  <v:textbox inset="0,0,0,0">
                    <w:txbxContent>
                      <w:p w14:paraId="498CB613" w14:textId="77777777" w:rsidR="00422B96" w:rsidRDefault="00422B96" w:rsidP="00422B96">
                        <w:r>
                          <w:rPr>
                            <w:rFonts w:ascii="Symbol" w:hAnsi="Symbol" w:cs="Symbol"/>
                            <w:color w:val="000000"/>
                            <w:sz w:val="32"/>
                            <w:szCs w:val="32"/>
                          </w:rPr>
                          <w:t></w:t>
                        </w:r>
                      </w:p>
                    </w:txbxContent>
                  </v:textbox>
                </v:rect>
                <v:rect id="Rectangle 108" o:spid="_x0000_s1122" style="position:absolute;left:901;top:8420;width:83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" filled="f" stroked="f">
                  <v:textbox style="mso-fit-shape-to-text:t" inset="0,0,0,0">
                    <w:txbxContent>
                      <w:p w14:paraId="301C1AF5" w14:textId="77777777" w:rsidR="00422B96" w:rsidRDefault="00422B96" w:rsidP="00422B96">
                        <w:r>
                          <w:rPr>
                            <w:rFonts w:ascii="Symbol" w:hAnsi="Symbol" w:cs="Symbol"/>
                            <w:color w:val="000000"/>
                          </w:rPr>
                          <w:t></w:t>
                        </w:r>
                      </w:p>
                    </w:txbxContent>
                  </v:textbox>
                </v:rect>
                <v:rect id="Rectangle 109" o:spid="_x0000_s1123" style="position:absolute;left:406;top:3264;width:4070;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" filled="f" stroked="f">
                  <v:textbox style="mso-fit-shape-to-text:t" inset="0,0,0,0">
                    <w:txbxContent>
                      <w:p w14:paraId="3E3C1EE8" w14:textId="77777777" w:rsidR="00422B96" w:rsidRDefault="00422B96" w:rsidP="00422B96">
                        <w:r>
                          <w:rPr>
                            <w:b/>
                            <w:bCs/>
                            <w:i/>
                            <w:iCs/>
                            <w:color w:val="000000"/>
                          </w:rPr>
                          <w:t>WGRs</w:t>
                        </w:r>
                      </w:p>
                    </w:txbxContent>
                  </v:textbox>
                </v:rect>
                <v:rect id="Rectangle 110" o:spid="_x0000_s1124" style="position:absolute;left:292;top:1714;width:398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" filled="f" stroked="f">
                  <v:textbox style="mso-fit-shape-to-text:t" inset="0,0,0,0">
                    <w:txbxContent>
                      <w:p w14:paraId="2D1D3717" w14:textId="77777777" w:rsidR="00422B96" w:rsidRDefault="00422B96" w:rsidP="00422B96">
                        <w:r>
                          <w:rPr>
                            <w:b/>
                            <w:bCs/>
                            <w:i/>
                            <w:iCs/>
                            <w:color w:val="000000"/>
                          </w:rPr>
                          <w:t>online</w:t>
                        </w:r>
                      </w:p>
                    </w:txbxContent>
                  </v:textbox>
                </v:rect>
                <v:rect id="Rectangle 111" o:spid="_x0000_s1125" style="position:absolute;left:743;top:165;width:1866;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" filled="f" stroked="f">
                  <v:textbox style="mso-fit-shape-to-text:t" inset="0,0,0,0">
                    <w:txbxContent>
                      <w:p w14:paraId="62519525" w14:textId="77777777" w:rsidR="00422B96" w:rsidRDefault="00422B96" w:rsidP="00422B96">
                        <w:r>
                          <w:rPr>
                            <w:b/>
                            <w:bCs/>
                            <w:i/>
                            <w:iCs/>
                            <w:color w:val="000000"/>
                          </w:rPr>
                          <w:t>All</w:t>
                        </w:r>
                      </w:p>
                    </w:txbxContent>
                  </v:textbox>
                </v:rect>
                <v:rect id="Rectangle 112" o:spid="_x0000_s1126" style="position:absolute;left:406;top:10147;width:3486;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" filled="f" stroked="f">
                  <v:textbox style="mso-fit-shape-to-text:t" inset="0,0,0,0">
                    <w:txbxContent>
                      <w:p w14:paraId="45547880" w14:textId="77777777" w:rsidR="00422B96" w:rsidRDefault="00422B96" w:rsidP="00422B96">
                        <w:r>
                          <w:rPr>
                            <w:b/>
                            <w:bCs/>
                            <w:i/>
                            <w:iCs/>
                            <w:color w:val="000000"/>
                          </w:rPr>
                          <w:t>WGR</w:t>
                        </w:r>
                      </w:p>
                    </w:txbxContent>
                  </v:textbox>
                </v:rect>
                <v:rect id="Rectangle 113" o:spid="_x0000_s1127" style="position:absolute;left:1791;top:8598;width:398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" filled="f" stroked="f">
                  <v:textbox style="mso-fit-shape-to-text:t" inset="0,0,0,0">
                    <w:txbxContent>
                      <w:p w14:paraId="0881162E" w14:textId="77777777" w:rsidR="00422B96" w:rsidRDefault="00422B96" w:rsidP="00422B96">
                        <w:r>
                          <w:rPr>
                            <w:b/>
                            <w:bCs/>
                            <w:i/>
                            <w:iCs/>
                            <w:color w:val="000000"/>
                          </w:rPr>
                          <w:t>online</w:t>
                        </w:r>
                      </w:p>
                    </w:txbxContent>
                  </v:textbox>
                </v:rect>
                <v:rect id="Rectangle 114" o:spid="_x0000_s1128" style="position:absolute;left:317;top:8598;width:425;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" filled="f" stroked="f">
                  <v:textbox style="mso-fit-shape-to-text:t" inset="0,0,0,0">
                    <w:txbxContent>
                      <w:p w14:paraId="40432B20" w14:textId="77777777" w:rsidR="00422B96" w:rsidRDefault="00422B96" w:rsidP="00422B96">
                        <w:r>
                          <w:rPr>
                            <w:b/>
                            <w:bCs/>
                            <w:i/>
                            <w:iCs/>
                            <w:color w:val="000000"/>
                          </w:rPr>
                          <w:t>i</w:t>
                        </w:r>
                      </w:p>
                    </w:txbxContent>
                  </v:textbox>
                </v:rect>
              </v:group>
            </w:pict>
          </mc:Fallback>
        </mc:AlternateContent>
      </w:r>
    </w:p>
    <w:p w14:paraId="1EF694B8" w14:textId="77777777" w:rsidR="00422B96" w:rsidRPr="0013396E" w:rsidRDefault="00422B96" w:rsidP="00422B96">
      <w:pPr>
        <w:rPr>
          <w:b/>
          <w:position w:val="30"/>
          <w:sz w:val="20"/>
        </w:rPr>
      </w:pPr>
      <w:r w:rsidRPr="0013396E">
        <w:rPr>
          <w:b/>
          <w:position w:val="30"/>
          <w:sz w:val="20"/>
        </w:rPr>
        <w:t>PRC</w:t>
      </w:r>
      <w:r w:rsidRPr="0013396E">
        <w:rPr>
          <w:b/>
          <w:position w:val="30"/>
          <w:sz w:val="20"/>
          <w:vertAlign w:val="subscript"/>
        </w:rPr>
        <w:t>2</w:t>
      </w:r>
      <w:r w:rsidRPr="0013396E">
        <w:rPr>
          <w:b/>
          <w:position w:val="30"/>
          <w:sz w:val="20"/>
        </w:rPr>
        <w:t xml:space="preserve"> =</w:t>
      </w:r>
      <w:r w:rsidRPr="0013396E">
        <w:rPr>
          <w:b/>
          <w:position w:val="30"/>
          <w:sz w:val="20"/>
        </w:rPr>
        <w:tab/>
      </w:r>
      <w:r w:rsidRPr="0013396E">
        <w:rPr>
          <w:b/>
          <w:position w:val="30"/>
          <w:sz w:val="20"/>
        </w:rPr>
        <w:tab/>
      </w:r>
      <w:r w:rsidRPr="0013396E">
        <w:rPr>
          <w:b/>
          <w:position w:val="30"/>
          <w:sz w:val="20"/>
        </w:rPr>
        <w:tab/>
        <w:t>Min(Max((RDF</w:t>
      </w:r>
      <w:r w:rsidRPr="0013396E">
        <w:rPr>
          <w:b/>
          <w:position w:val="30"/>
          <w:sz w:val="20"/>
          <w:vertAlign w:val="subscript"/>
        </w:rPr>
        <w:t>W</w:t>
      </w:r>
      <w:r w:rsidRPr="0013396E">
        <w:rPr>
          <w:b/>
          <w:position w:val="30"/>
          <w:sz w:val="20"/>
        </w:rPr>
        <w:t>*HSL – Actual Net Telemetered Output)</w:t>
      </w:r>
      <w:r w:rsidRPr="0013396E">
        <w:rPr>
          <w:b/>
          <w:position w:val="30"/>
          <w:sz w:val="20"/>
          <w:vertAlign w:val="subscript"/>
        </w:rPr>
        <w:t>i</w:t>
      </w:r>
      <w:r w:rsidRPr="0013396E">
        <w:rPr>
          <w:b/>
          <w:position w:val="30"/>
          <w:sz w:val="20"/>
        </w:rPr>
        <w:t xml:space="preserve"> , 0.0) , </w:t>
      </w:r>
      <w:r w:rsidRPr="0013396E">
        <w:rPr>
          <w:b/>
          <w:position w:val="30"/>
          <w:sz w:val="20"/>
        </w:rPr>
        <w:tab/>
      </w:r>
      <w:r w:rsidRPr="0013396E">
        <w:rPr>
          <w:b/>
          <w:position w:val="30"/>
          <w:sz w:val="20"/>
        </w:rPr>
        <w:tab/>
      </w:r>
      <w:r w:rsidRPr="0013396E">
        <w:rPr>
          <w:b/>
          <w:position w:val="30"/>
          <w:sz w:val="20"/>
        </w:rPr>
        <w:tab/>
      </w:r>
      <w:r w:rsidRPr="0013396E">
        <w:rPr>
          <w:b/>
          <w:position w:val="30"/>
          <w:sz w:val="20"/>
        </w:rPr>
        <w:tab/>
      </w:r>
      <w:r w:rsidRPr="0013396E">
        <w:rPr>
          <w:b/>
          <w:position w:val="30"/>
          <w:sz w:val="20"/>
        </w:rPr>
        <w:tab/>
        <w:t>0.2*RDF</w:t>
      </w:r>
      <w:r w:rsidRPr="0013396E">
        <w:rPr>
          <w:b/>
          <w:position w:val="30"/>
          <w:sz w:val="20"/>
          <w:vertAlign w:val="subscript"/>
        </w:rPr>
        <w:t>W</w:t>
      </w:r>
      <w:r w:rsidRPr="0013396E">
        <w:rPr>
          <w:b/>
          <w:position w:val="30"/>
          <w:sz w:val="20"/>
        </w:rPr>
        <w:t>*HSL</w:t>
      </w:r>
      <w:r w:rsidRPr="0013396E">
        <w:rPr>
          <w:b/>
          <w:position w:val="30"/>
          <w:sz w:val="20"/>
          <w:vertAlign w:val="subscript"/>
        </w:rPr>
        <w:t>i</w:t>
      </w:r>
      <w:r w:rsidRPr="0013396E">
        <w:rPr>
          <w:b/>
          <w:position w:val="30"/>
          <w:sz w:val="20"/>
        </w:rPr>
        <w:t>),</w:t>
      </w:r>
    </w:p>
    <w:p w14:paraId="74B40C7D" w14:textId="77777777" w:rsidR="00422B96" w:rsidRPr="0013396E" w:rsidRDefault="00422B96" w:rsidP="00422B96">
      <w:pPr>
        <w:ind w:right="-1080" w:hanging="1080"/>
        <w:rPr>
          <w:b/>
          <w:position w:val="30"/>
        </w:rPr>
      </w:pPr>
    </w:p>
    <w:p w14:paraId="3A5019B6" w14:textId="77777777" w:rsidR="00422B96" w:rsidRPr="0013396E" w:rsidRDefault="00422B96" w:rsidP="00422B96">
      <w:pPr>
        <w:spacing w:before="120"/>
      </w:pPr>
      <w:r w:rsidRPr="0013396E">
        <w:t>where the included On-Line WGRs only include WGRs that are Primary Frequency Response-capable.</w:t>
      </w:r>
    </w:p>
    <w:p w14:paraId="2DF7302A" w14:textId="77777777" w:rsidR="00422B96" w:rsidRPr="0013396E" w:rsidRDefault="00343E89" w:rsidP="00422B96">
      <w:pPr>
        <w:ind w:left="2160" w:hanging="2160"/>
        <w:rPr>
          <w:b/>
          <w:position w:val="30"/>
          <w:sz w:val="20"/>
        </w:rPr>
      </w:pPr>
      <w:r>
        <w:rPr>
          <w:b/>
          <w:noProof/>
          <w:position w:val="30"/>
          <w:sz w:val="20"/>
        </w:rPr>
        <w:object w:dxaOrig="1440" w:dyaOrig="1440" w14:anchorId="47056D1D">
          <v:shape id="_x0000_s5555" type="#_x0000_t75" style="position:absolute;left:0;text-align:left;margin-left:34.1pt;margin-top:-1.7pt;width:67.85pt;height:110.1pt;z-index:251700224" fillcolor="red" strokecolor="red">
            <v:fill opacity="13107f" color2="fill darken(118)" o:opacity2="13107f" rotate="t" method="linear sigma" focus="100%" type="gradient"/>
            <v:imagedata r:id="rId15" o:title=""/>
          </v:shape>
          <o:OLEObject Type="Embed" ProgID="Equation.3" ShapeID="_x0000_s5555" DrawAspect="Content" ObjectID="_1836311572" r:id="rId17"/>
        </w:object>
      </w:r>
      <w:r w:rsidR="00422B96" w:rsidRPr="0013396E">
        <w:rPr>
          <w:b/>
          <w:position w:val="30"/>
          <w:sz w:val="20"/>
        </w:rPr>
        <w:t>PRC</w:t>
      </w:r>
      <w:r w:rsidR="00422B96" w:rsidRPr="0013396E">
        <w:rPr>
          <w:b/>
          <w:position w:val="30"/>
          <w:sz w:val="20"/>
          <w:vertAlign w:val="subscript"/>
        </w:rPr>
        <w:t>3</w:t>
      </w:r>
      <w:r w:rsidR="00422B96" w:rsidRPr="0013396E">
        <w:rPr>
          <w:b/>
          <w:position w:val="30"/>
          <w:sz w:val="20"/>
        </w:rPr>
        <w:t xml:space="preserve"> =</w:t>
      </w:r>
      <w:r w:rsidR="00422B96" w:rsidRPr="0013396E">
        <w:rPr>
          <w:b/>
          <w:position w:val="30"/>
          <w:sz w:val="20"/>
        </w:rPr>
        <w:tab/>
        <w:t>((Synchronous condenser output)</w:t>
      </w:r>
      <w:r w:rsidR="00422B96" w:rsidRPr="0013396E">
        <w:rPr>
          <w:b/>
          <w:position w:val="30"/>
          <w:sz w:val="20"/>
          <w:vertAlign w:val="subscript"/>
        </w:rPr>
        <w:t>i</w:t>
      </w:r>
      <w:r w:rsidR="00422B96" w:rsidRPr="0013396E">
        <w:rPr>
          <w:b/>
          <w:position w:val="30"/>
          <w:sz w:val="20"/>
        </w:rPr>
        <w:t xml:space="preserve"> as qualified by item (8) of Operating Guide Section 2.3.1.2, Additional Operational Details for Responsive Reserve and ERCOT Contingency Reserve Service Providers))</w:t>
      </w:r>
    </w:p>
    <w:p w14:paraId="7EFF74F3" w14:textId="77777777" w:rsidR="00422B96" w:rsidRPr="0013396E" w:rsidRDefault="00422B96" w:rsidP="00422B96">
      <w:pPr>
        <w:tabs>
          <w:tab w:val="left" w:pos="2160"/>
        </w:tabs>
        <w:spacing w:before="480"/>
        <w:ind w:left="2160" w:hanging="2160"/>
        <w:rPr>
          <w:b/>
          <w:position w:val="30"/>
          <w:sz w:val="20"/>
        </w:rPr>
      </w:pPr>
    </w:p>
    <w:p w14:paraId="2936893D" w14:textId="77777777" w:rsidR="00422B96" w:rsidRPr="0013396E" w:rsidRDefault="00422B96" w:rsidP="00422B96">
      <w:pPr>
        <w:tabs>
          <w:tab w:val="left" w:pos="2160"/>
        </w:tabs>
        <w:spacing w:before="480"/>
        <w:ind w:left="2160" w:hanging="2160"/>
        <w:rPr>
          <w:b/>
          <w:position w:val="30"/>
          <w:sz w:val="20"/>
          <w:vertAlign w:val="subscript"/>
        </w:rPr>
      </w:pPr>
      <w:r w:rsidRPr="0013396E">
        <w:rPr>
          <w:noProof/>
        </w:rPr>
        <w:lastRenderedPageBreak/>
        <mc:AlternateContent>
          <mc:Choice Requires="wpc">
            <w:drawing>
              <wp:anchor distT="0" distB="0" distL="114300" distR="114300" simplePos="0" relativeHeight="251701248" behindDoc="0" locked="0" layoutInCell="1" allowOverlap="1" wp14:anchorId="248CC989" wp14:editId="481C5CF1">
                <wp:simplePos x="0" y="0"/>
                <wp:positionH relativeFrom="column">
                  <wp:posOffset>483870</wp:posOffset>
                </wp:positionH>
                <wp:positionV relativeFrom="paragraph">
                  <wp:posOffset>43815</wp:posOffset>
                </wp:positionV>
                <wp:extent cx="721360" cy="1369060"/>
                <wp:effectExtent l="0" t="0" r="4445" b="0"/>
                <wp:wrapNone/>
                <wp:docPr id="1951743020" name="Canvas 10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638480806" name="Rectangle 71"/>
                        <wps:cNvSpPr>
                          <a:spLocks noChangeArrowheads="1"/>
                        </wps:cNvSpPr>
                        <wps:spPr bwMode="auto">
                          <a:xfrm>
                            <a:off x="174615" y="609582"/>
                            <a:ext cx="145415"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EEED02" w14:textId="77777777" w:rsidR="00422B96" w:rsidRPr="00B074A0" w:rsidRDefault="00422B96" w:rsidP="00422B96">
                              <w:pPr>
                                <w:rPr>
                                  <w:sz w:val="32"/>
                                  <w:szCs w:val="32"/>
                                </w:rPr>
                              </w:pPr>
                              <w:r w:rsidRPr="00B074A0">
                                <w:rPr>
                                  <w:rFonts w:ascii="Symbol" w:hAnsi="Symbol" w:cs="Symbol"/>
                                  <w:color w:val="000000"/>
                                  <w:sz w:val="32"/>
                                  <w:szCs w:val="32"/>
                                </w:rPr>
                                <w:t></w:t>
                              </w:r>
                            </w:p>
                          </w:txbxContent>
                        </wps:txbx>
                        <wps:bodyPr rot="0" vert="horz" wrap="none" lIns="0" tIns="0" rIns="0" bIns="0" anchor="t" anchorCtr="0" upright="1">
                          <a:spAutoFit/>
                        </wps:bodyPr>
                      </wps:wsp>
                      <wps:wsp>
                        <wps:cNvPr id="1402923827" name="Rectangle 72"/>
                        <wps:cNvSpPr>
                          <a:spLocks noChangeArrowheads="1"/>
                        </wps:cNvSpPr>
                        <wps:spPr bwMode="auto">
                          <a:xfrm>
                            <a:off x="101608" y="871175"/>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4C6D48" w14:textId="77777777" w:rsidR="00422B96" w:rsidRDefault="00422B96" w:rsidP="00422B96">
                              <w:r>
                                <w:rPr>
                                  <w:rFonts w:ascii="Symbol" w:hAnsi="Symbol" w:cs="Symbol"/>
                                  <w:color w:val="000000"/>
                                </w:rPr>
                                <w:t></w:t>
                              </w:r>
                            </w:p>
                          </w:txbxContent>
                        </wps:txbx>
                        <wps:bodyPr rot="0" vert="horz" wrap="none" lIns="0" tIns="0" rIns="0" bIns="0" anchor="t" anchorCtr="0" upright="1">
                          <a:spAutoFit/>
                        </wps:bodyPr>
                      </wps:wsp>
                      <wps:wsp>
                        <wps:cNvPr id="363731153" name="Rectangle 73"/>
                        <wps:cNvSpPr>
                          <a:spLocks noChangeArrowheads="1"/>
                        </wps:cNvSpPr>
                        <wps:spPr bwMode="auto">
                          <a:xfrm>
                            <a:off x="35603" y="424188"/>
                            <a:ext cx="6013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42C4AE" w14:textId="77777777" w:rsidR="00422B96" w:rsidRPr="00B34B0A" w:rsidRDefault="00422B96" w:rsidP="00422B96">
                              <w:pPr>
                                <w:rPr>
                                  <w:b/>
                                </w:rPr>
                              </w:pPr>
                              <w:r w:rsidRPr="00B34B0A">
                                <w:rPr>
                                  <w:b/>
                                  <w:i/>
                                  <w:iCs/>
                                  <w:color w:val="000000"/>
                                </w:rPr>
                                <w:t>resources</w:t>
                              </w:r>
                            </w:p>
                          </w:txbxContent>
                        </wps:txbx>
                        <wps:bodyPr rot="0" vert="horz" wrap="none" lIns="0" tIns="0" rIns="0" bIns="0" anchor="t" anchorCtr="0" upright="1">
                          <a:spAutoFit/>
                        </wps:bodyPr>
                      </wps:wsp>
                      <wps:wsp>
                        <wps:cNvPr id="151755300" name="Rectangle 74"/>
                        <wps:cNvSpPr>
                          <a:spLocks noChangeArrowheads="1"/>
                        </wps:cNvSpPr>
                        <wps:spPr bwMode="auto">
                          <a:xfrm>
                            <a:off x="31703" y="290192"/>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B278BF" w14:textId="77777777" w:rsidR="00422B96" w:rsidRPr="00B34B0A" w:rsidRDefault="00422B96" w:rsidP="00422B96">
                              <w:pPr>
                                <w:rPr>
                                  <w:b/>
                                </w:rPr>
                              </w:pPr>
                              <w:r w:rsidRPr="00B34B0A">
                                <w:rPr>
                                  <w:b/>
                                  <w:i/>
                                  <w:iCs/>
                                  <w:color w:val="000000"/>
                                </w:rPr>
                                <w:t>load</w:t>
                              </w:r>
                            </w:p>
                          </w:txbxContent>
                        </wps:txbx>
                        <wps:bodyPr rot="0" vert="horz" wrap="none" lIns="0" tIns="0" rIns="0" bIns="0" anchor="t" anchorCtr="0" upright="1">
                          <a:spAutoFit/>
                        </wps:bodyPr>
                      </wps:wsp>
                      <wps:wsp>
                        <wps:cNvPr id="1308623711" name="Rectangle 75"/>
                        <wps:cNvSpPr>
                          <a:spLocks noChangeArrowheads="1"/>
                        </wps:cNvSpPr>
                        <wps:spPr bwMode="auto">
                          <a:xfrm>
                            <a:off x="33703" y="156195"/>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A0F212" w14:textId="77777777" w:rsidR="00422B96" w:rsidRPr="00B34B0A" w:rsidRDefault="00422B96" w:rsidP="00422B96">
                              <w:pPr>
                                <w:rPr>
                                  <w:b/>
                                </w:rPr>
                              </w:pPr>
                              <w:r w:rsidRPr="00B34B0A">
                                <w:rPr>
                                  <w:b/>
                                  <w:i/>
                                  <w:iCs/>
                                  <w:color w:val="000000"/>
                                </w:rPr>
                                <w:t>online</w:t>
                              </w:r>
                            </w:p>
                          </w:txbxContent>
                        </wps:txbx>
                        <wps:bodyPr rot="0" vert="horz" wrap="none" lIns="0" tIns="0" rIns="0" bIns="0" anchor="t" anchorCtr="0" upright="1">
                          <a:spAutoFit/>
                        </wps:bodyPr>
                      </wps:wsp>
                      <wps:wsp>
                        <wps:cNvPr id="1175252101" name="Rectangle 76"/>
                        <wps:cNvSpPr>
                          <a:spLocks noChangeArrowheads="1"/>
                        </wps:cNvSpPr>
                        <wps:spPr bwMode="auto">
                          <a:xfrm>
                            <a:off x="45704" y="22199"/>
                            <a:ext cx="217818" cy="175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1E3E16" w14:textId="77777777" w:rsidR="00422B96" w:rsidRPr="00B34B0A" w:rsidRDefault="00422B96" w:rsidP="00422B96">
                              <w:pPr>
                                <w:rPr>
                                  <w:b/>
                                </w:rPr>
                              </w:pPr>
                              <w:r w:rsidRPr="00B34B0A">
                                <w:rPr>
                                  <w:b/>
                                  <w:i/>
                                  <w:iCs/>
                                  <w:color w:val="000000"/>
                                </w:rPr>
                                <w:t>All</w:t>
                              </w:r>
                            </w:p>
                          </w:txbxContent>
                        </wps:txbx>
                        <wps:bodyPr rot="0" vert="horz" wrap="square" lIns="0" tIns="0" rIns="0" bIns="0" anchor="t" anchorCtr="0" upright="1">
                          <a:spAutoFit/>
                        </wps:bodyPr>
                      </wps:wsp>
                      <wps:wsp>
                        <wps:cNvPr id="1561473625" name="Rectangle 77"/>
                        <wps:cNvSpPr>
                          <a:spLocks noChangeArrowheads="1"/>
                        </wps:cNvSpPr>
                        <wps:spPr bwMode="auto">
                          <a:xfrm>
                            <a:off x="62905" y="1153766"/>
                            <a:ext cx="5422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F0CB62" w14:textId="77777777" w:rsidR="00422B96" w:rsidRPr="00B34B0A" w:rsidRDefault="00422B96" w:rsidP="00422B96">
                              <w:pPr>
                                <w:rPr>
                                  <w:b/>
                                </w:rPr>
                              </w:pPr>
                              <w:r w:rsidRPr="00B34B0A">
                                <w:rPr>
                                  <w:b/>
                                  <w:i/>
                                  <w:iCs/>
                                  <w:color w:val="000000"/>
                                </w:rPr>
                                <w:t>resource</w:t>
                              </w:r>
                            </w:p>
                          </w:txbxContent>
                        </wps:txbx>
                        <wps:bodyPr rot="0" vert="horz" wrap="none" lIns="0" tIns="0" rIns="0" bIns="0" anchor="t" anchorCtr="0" upright="1">
                          <a:spAutoFit/>
                        </wps:bodyPr>
                      </wps:wsp>
                      <wps:wsp>
                        <wps:cNvPr id="1542182213" name="Rectangle 78"/>
                        <wps:cNvSpPr>
                          <a:spLocks noChangeArrowheads="1"/>
                        </wps:cNvSpPr>
                        <wps:spPr bwMode="auto">
                          <a:xfrm>
                            <a:off x="58405" y="1019770"/>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23548D" w14:textId="77777777" w:rsidR="00422B96" w:rsidRPr="00B34B0A" w:rsidRDefault="00422B96" w:rsidP="00422B96">
                              <w:pPr>
                                <w:rPr>
                                  <w:b/>
                                </w:rPr>
                              </w:pPr>
                              <w:r w:rsidRPr="00B34B0A">
                                <w:rPr>
                                  <w:b/>
                                  <w:i/>
                                  <w:iCs/>
                                  <w:color w:val="000000"/>
                                </w:rPr>
                                <w:t>load</w:t>
                              </w:r>
                            </w:p>
                          </w:txbxContent>
                        </wps:txbx>
                        <wps:bodyPr rot="0" vert="horz" wrap="none" lIns="0" tIns="0" rIns="0" bIns="0" anchor="t" anchorCtr="0" upright="1">
                          <a:spAutoFit/>
                        </wps:bodyPr>
                      </wps:wsp>
                      <wps:wsp>
                        <wps:cNvPr id="1788771919" name="Rectangle 79"/>
                        <wps:cNvSpPr>
                          <a:spLocks noChangeArrowheads="1"/>
                        </wps:cNvSpPr>
                        <wps:spPr bwMode="auto">
                          <a:xfrm>
                            <a:off x="174615" y="885874"/>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FDCD70" w14:textId="77777777" w:rsidR="00422B96" w:rsidRPr="00B34B0A" w:rsidRDefault="00422B96" w:rsidP="00422B96">
                              <w:pPr>
                                <w:rPr>
                                  <w:b/>
                                </w:rPr>
                              </w:pPr>
                              <w:r w:rsidRPr="00B34B0A">
                                <w:rPr>
                                  <w:b/>
                                  <w:i/>
                                  <w:iCs/>
                                  <w:color w:val="000000"/>
                                </w:rPr>
                                <w:t>online</w:t>
                              </w:r>
                            </w:p>
                          </w:txbxContent>
                        </wps:txbx>
                        <wps:bodyPr rot="0" vert="horz" wrap="none" lIns="0" tIns="0" rIns="0" bIns="0" anchor="t" anchorCtr="0" upright="1">
                          <a:spAutoFit/>
                        </wps:bodyPr>
                      </wps:wsp>
                      <wps:wsp>
                        <wps:cNvPr id="392032421" name="Rectangle 80"/>
                        <wps:cNvSpPr>
                          <a:spLocks noChangeArrowheads="1"/>
                        </wps:cNvSpPr>
                        <wps:spPr bwMode="auto">
                          <a:xfrm>
                            <a:off x="58405" y="885874"/>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5BC707" w14:textId="77777777" w:rsidR="00422B96" w:rsidRPr="00B34B0A" w:rsidRDefault="00422B96" w:rsidP="00422B96">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248CC989" id="Canvas 102" o:spid="_x0000_s1129" editas="canvas" style="position:absolute;left:0;text-align:left;margin-left:38.1pt;margin-top:3.45pt;width:56.8pt;height:107.8pt;z-index:251701248" coordsize="7213,13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">
                <v:shape id="_x0000_s1130" type="#_x0000_t75" style="position:absolute;width:7213;height:13690;visibility:visible;mso-wrap-style:square">
                  <v:fill o:detectmouseclick="t"/>
                  <v:path o:connecttype="none"/>
                </v:shape>
                <v:rect id="Rectangle 71" o:spid="_x0000_s1131" style="position:absolute;left:1746;top:6095;width:1454;height:24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" filled="f" stroked="f">
                  <v:textbox style="mso-fit-shape-to-text:t" inset="0,0,0,0">
                    <w:txbxContent>
                      <w:p w14:paraId="2DEEED02" w14:textId="77777777" w:rsidR="00422B96" w:rsidRPr="00B074A0" w:rsidRDefault="00422B96" w:rsidP="00422B96">
                        <w:pPr>
                          <w:rPr>
                            <w:sz w:val="32"/>
                            <w:szCs w:val="32"/>
                          </w:rPr>
                        </w:pPr>
                        <w:r w:rsidRPr="00B074A0">
                          <w:rPr>
                            <w:rFonts w:ascii="Symbol" w:hAnsi="Symbol" w:cs="Symbol"/>
                            <w:color w:val="000000"/>
                            <w:sz w:val="32"/>
                            <w:szCs w:val="32"/>
                          </w:rPr>
                          <w:t></w:t>
                        </w:r>
                      </w:p>
                    </w:txbxContent>
                  </v:textbox>
                </v:rect>
                <v:rect id="Rectangle 72" o:spid="_x0000_s1132" style="position:absolute;left:1016;top:8711;width:83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" filled="f" stroked="f">
                  <v:textbox style="mso-fit-shape-to-text:t" inset="0,0,0,0">
                    <w:txbxContent>
                      <w:p w14:paraId="2B4C6D48" w14:textId="77777777" w:rsidR="00422B96" w:rsidRDefault="00422B96" w:rsidP="00422B96">
                        <w:r>
                          <w:rPr>
                            <w:rFonts w:ascii="Symbol" w:hAnsi="Symbol" w:cs="Symbol"/>
                            <w:color w:val="000000"/>
                          </w:rPr>
                          <w:t></w:t>
                        </w:r>
                      </w:p>
                    </w:txbxContent>
                  </v:textbox>
                </v:rect>
                <v:rect id="Rectangle 73" o:spid="_x0000_s1133" style="position:absolute;left:356;top:4241;width:6013;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" filled="f" stroked="f">
                  <v:textbox style="mso-fit-shape-to-text:t" inset="0,0,0,0">
                    <w:txbxContent>
                      <w:p w14:paraId="2F42C4AE" w14:textId="77777777" w:rsidR="00422B96" w:rsidRPr="00B34B0A" w:rsidRDefault="00422B96" w:rsidP="00422B96">
                        <w:pPr>
                          <w:rPr>
                            <w:b/>
                          </w:rPr>
                        </w:pPr>
                        <w:r w:rsidRPr="00B34B0A">
                          <w:rPr>
                            <w:b/>
                            <w:i/>
                            <w:iCs/>
                            <w:color w:val="000000"/>
                          </w:rPr>
                          <w:t>resources</w:t>
                        </w:r>
                      </w:p>
                    </w:txbxContent>
                  </v:textbox>
                </v:rect>
                <v:rect id="Rectangle 74" o:spid="_x0000_s1134" style="position:absolute;left:317;top:2901;width:271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" filled="f" stroked="f">
                  <v:textbox style="mso-fit-shape-to-text:t" inset="0,0,0,0">
                    <w:txbxContent>
                      <w:p w14:paraId="5CB278BF" w14:textId="77777777" w:rsidR="00422B96" w:rsidRPr="00B34B0A" w:rsidRDefault="00422B96" w:rsidP="00422B96">
                        <w:pPr>
                          <w:rPr>
                            <w:b/>
                          </w:rPr>
                        </w:pPr>
                        <w:r w:rsidRPr="00B34B0A">
                          <w:rPr>
                            <w:b/>
                            <w:i/>
                            <w:iCs/>
                            <w:color w:val="000000"/>
                          </w:rPr>
                          <w:t>load</w:t>
                        </w:r>
                      </w:p>
                    </w:txbxContent>
                  </v:textbox>
                </v:rect>
                <v:rect id="Rectangle 75" o:spid="_x0000_s1135" style="position:absolute;left:337;top:1561;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" filled="f" stroked="f">
                  <v:textbox style="mso-fit-shape-to-text:t" inset="0,0,0,0">
                    <w:txbxContent>
                      <w:p w14:paraId="33A0F212" w14:textId="77777777" w:rsidR="00422B96" w:rsidRPr="00B34B0A" w:rsidRDefault="00422B96" w:rsidP="00422B96">
                        <w:pPr>
                          <w:rPr>
                            <w:b/>
                          </w:rPr>
                        </w:pPr>
                        <w:r w:rsidRPr="00B34B0A">
                          <w:rPr>
                            <w:b/>
                            <w:i/>
                            <w:iCs/>
                            <w:color w:val="000000"/>
                          </w:rPr>
                          <w:t>online</w:t>
                        </w:r>
                      </w:p>
                    </w:txbxContent>
                  </v:textbox>
                </v:rect>
                <v:rect id="Rectangle 76" o:spid="_x0000_s1136" style="position:absolute;left:457;top:221;width:2178;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" filled="f" stroked="f">
                  <v:textbox style="mso-fit-shape-to-text:t" inset="0,0,0,0">
                    <w:txbxContent>
                      <w:p w14:paraId="281E3E16" w14:textId="77777777" w:rsidR="00422B96" w:rsidRPr="00B34B0A" w:rsidRDefault="00422B96" w:rsidP="00422B96">
                        <w:pPr>
                          <w:rPr>
                            <w:b/>
                          </w:rPr>
                        </w:pPr>
                        <w:r w:rsidRPr="00B34B0A">
                          <w:rPr>
                            <w:b/>
                            <w:i/>
                            <w:iCs/>
                            <w:color w:val="000000"/>
                          </w:rPr>
                          <w:t>All</w:t>
                        </w:r>
                      </w:p>
                    </w:txbxContent>
                  </v:textbox>
                </v:rect>
                <v:rect id="Rectangle 77" o:spid="_x0000_s1137" style="position:absolute;left:629;top:11537;width:542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" filled="f" stroked="f">
                  <v:textbox style="mso-fit-shape-to-text:t" inset="0,0,0,0">
                    <w:txbxContent>
                      <w:p w14:paraId="66F0CB62" w14:textId="77777777" w:rsidR="00422B96" w:rsidRPr="00B34B0A" w:rsidRDefault="00422B96" w:rsidP="00422B96">
                        <w:pPr>
                          <w:rPr>
                            <w:b/>
                          </w:rPr>
                        </w:pPr>
                        <w:r w:rsidRPr="00B34B0A">
                          <w:rPr>
                            <w:b/>
                            <w:i/>
                            <w:iCs/>
                            <w:color w:val="000000"/>
                          </w:rPr>
                          <w:t>resource</w:t>
                        </w:r>
                      </w:p>
                    </w:txbxContent>
                  </v:textbox>
                </v:rect>
                <v:rect id="Rectangle 78" o:spid="_x0000_s1138" style="position:absolute;left:584;top:10197;width:271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" filled="f" stroked="f">
                  <v:textbox style="mso-fit-shape-to-text:t" inset="0,0,0,0">
                    <w:txbxContent>
                      <w:p w14:paraId="1A23548D" w14:textId="77777777" w:rsidR="00422B96" w:rsidRPr="00B34B0A" w:rsidRDefault="00422B96" w:rsidP="00422B96">
                        <w:pPr>
                          <w:rPr>
                            <w:b/>
                          </w:rPr>
                        </w:pPr>
                        <w:r w:rsidRPr="00B34B0A">
                          <w:rPr>
                            <w:b/>
                            <w:i/>
                            <w:iCs/>
                            <w:color w:val="000000"/>
                          </w:rPr>
                          <w:t>load</w:t>
                        </w:r>
                      </w:p>
                    </w:txbxContent>
                  </v:textbox>
                </v:rect>
                <v:rect id="Rectangle 79" o:spid="_x0000_s1139" style="position:absolute;left:1746;top:8858;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" filled="f" stroked="f">
                  <v:textbox style="mso-fit-shape-to-text:t" inset="0,0,0,0">
                    <w:txbxContent>
                      <w:p w14:paraId="43FDCD70" w14:textId="77777777" w:rsidR="00422B96" w:rsidRPr="00B34B0A" w:rsidRDefault="00422B96" w:rsidP="00422B96">
                        <w:pPr>
                          <w:rPr>
                            <w:b/>
                          </w:rPr>
                        </w:pPr>
                        <w:r w:rsidRPr="00B34B0A">
                          <w:rPr>
                            <w:b/>
                            <w:i/>
                            <w:iCs/>
                            <w:color w:val="000000"/>
                          </w:rPr>
                          <w:t>online</w:t>
                        </w:r>
                      </w:p>
                    </w:txbxContent>
                  </v:textbox>
                </v:rect>
                <v:rect id="Rectangle 80" o:spid="_x0000_s1140" style="position:absolute;left:584;top:8858;width:42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" filled="f" stroked="f">
                  <v:textbox style="mso-fit-shape-to-text:t" inset="0,0,0,0">
                    <w:txbxContent>
                      <w:p w14:paraId="125BC707" w14:textId="77777777" w:rsidR="00422B96" w:rsidRPr="00B34B0A" w:rsidRDefault="00422B96" w:rsidP="00422B96">
                        <w:pPr>
                          <w:rPr>
                            <w:b/>
                          </w:rPr>
                        </w:pPr>
                        <w:r w:rsidRPr="00B34B0A">
                          <w:rPr>
                            <w:b/>
                            <w:i/>
                            <w:iCs/>
                            <w:color w:val="000000"/>
                          </w:rPr>
                          <w:t>i</w:t>
                        </w:r>
                      </w:p>
                    </w:txbxContent>
                  </v:textbox>
                </v:rect>
              </v:group>
            </w:pict>
          </mc:Fallback>
        </mc:AlternateContent>
      </w:r>
      <w:r w:rsidRPr="0013396E">
        <w:rPr>
          <w:b/>
          <w:position w:val="30"/>
          <w:sz w:val="20"/>
        </w:rPr>
        <w:t>PRC</w:t>
      </w:r>
      <w:r w:rsidRPr="0013396E">
        <w:rPr>
          <w:b/>
          <w:position w:val="30"/>
          <w:sz w:val="20"/>
          <w:vertAlign w:val="subscript"/>
        </w:rPr>
        <w:t>4</w:t>
      </w:r>
      <w:r w:rsidRPr="0013396E">
        <w:rPr>
          <w:b/>
          <w:position w:val="30"/>
          <w:sz w:val="20"/>
        </w:rPr>
        <w:t xml:space="preserve"> =</w:t>
      </w:r>
      <w:r w:rsidRPr="0013396E">
        <w:rPr>
          <w:b/>
          <w:position w:val="30"/>
          <w:sz w:val="20"/>
        </w:rPr>
        <w:tab/>
        <w:t>(Min(Max((Actual Net Telemetered Consumption – LPC), 0.0), ECRS and RRS Ancillary Service Resource award * 1.5) from all Load Resources controlled by high-set under-frequency relays with an ECRS and/or RRS Ancillary Service Resource award)</w:t>
      </w:r>
      <w:r w:rsidRPr="0013396E">
        <w:rPr>
          <w:b/>
          <w:position w:val="30"/>
          <w:sz w:val="20"/>
          <w:vertAlign w:val="subscript"/>
        </w:rPr>
        <w:t>i</w:t>
      </w:r>
    </w:p>
    <w:p w14:paraId="2C3B9F7C" w14:textId="735DF8A6" w:rsidR="00422B96" w:rsidRPr="0013396E" w:rsidRDefault="00422B96" w:rsidP="00422B96">
      <w:pPr>
        <w:tabs>
          <w:tab w:val="left" w:pos="2160"/>
        </w:tabs>
        <w:spacing w:before="480"/>
        <w:ind w:left="2160" w:hanging="2160"/>
        <w:rPr>
          <w:b/>
          <w:position w:val="30"/>
          <w:sz w:val="20"/>
        </w:rPr>
      </w:pPr>
      <w:r w:rsidRPr="0013396E">
        <w:rPr>
          <w:noProof/>
        </w:rPr>
        <mc:AlternateContent>
          <mc:Choice Requires="wpc">
            <w:drawing>
              <wp:anchor distT="0" distB="0" distL="114300" distR="114300" simplePos="0" relativeHeight="251702272" behindDoc="0" locked="0" layoutInCell="1" allowOverlap="1" wp14:anchorId="03267108" wp14:editId="74CAED76">
                <wp:simplePos x="0" y="0"/>
                <wp:positionH relativeFrom="column">
                  <wp:posOffset>494072</wp:posOffset>
                </wp:positionH>
                <wp:positionV relativeFrom="paragraph">
                  <wp:posOffset>31363</wp:posOffset>
                </wp:positionV>
                <wp:extent cx="737235" cy="1360805"/>
                <wp:effectExtent l="0" t="0" r="0" b="1270"/>
                <wp:wrapNone/>
                <wp:docPr id="913524605" name="Canvas 9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719178592" name="Rectangle 83"/>
                        <wps:cNvSpPr>
                          <a:spLocks noChangeArrowheads="1"/>
                        </wps:cNvSpPr>
                        <wps:spPr bwMode="auto">
                          <a:xfrm>
                            <a:off x="171408" y="636902"/>
                            <a:ext cx="145415"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671D6C" w14:textId="77777777" w:rsidR="00422B96" w:rsidRPr="00B074A0" w:rsidRDefault="00422B96" w:rsidP="00422B96">
                              <w:pPr>
                                <w:rPr>
                                  <w:sz w:val="32"/>
                                  <w:szCs w:val="32"/>
                                </w:rPr>
                              </w:pPr>
                              <w:r w:rsidRPr="00B074A0">
                                <w:rPr>
                                  <w:rFonts w:ascii="Symbol" w:hAnsi="Symbol" w:cs="Symbol"/>
                                  <w:color w:val="000000"/>
                                  <w:sz w:val="32"/>
                                  <w:szCs w:val="32"/>
                                </w:rPr>
                                <w:t></w:t>
                              </w:r>
                            </w:p>
                          </w:txbxContent>
                        </wps:txbx>
                        <wps:bodyPr rot="0" vert="horz" wrap="none" lIns="0" tIns="0" rIns="0" bIns="0" anchor="t" anchorCtr="0" upright="1">
                          <a:spAutoFit/>
                        </wps:bodyPr>
                      </wps:wsp>
                      <wps:wsp>
                        <wps:cNvPr id="44626886" name="Rectangle 84"/>
                        <wps:cNvSpPr>
                          <a:spLocks noChangeArrowheads="1"/>
                        </wps:cNvSpPr>
                        <wps:spPr bwMode="auto">
                          <a:xfrm>
                            <a:off x="101605" y="871203"/>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C4066C" w14:textId="77777777" w:rsidR="00422B96" w:rsidRDefault="00422B96" w:rsidP="00422B96">
                              <w:r>
                                <w:rPr>
                                  <w:rFonts w:ascii="Symbol" w:hAnsi="Symbol" w:cs="Symbol"/>
                                  <w:color w:val="000000"/>
                                </w:rPr>
                                <w:t></w:t>
                              </w:r>
                            </w:p>
                          </w:txbxContent>
                        </wps:txbx>
                        <wps:bodyPr rot="0" vert="horz" wrap="none" lIns="0" tIns="0" rIns="0" bIns="0" anchor="t" anchorCtr="0" upright="1">
                          <a:spAutoFit/>
                        </wps:bodyPr>
                      </wps:wsp>
                      <wps:wsp>
                        <wps:cNvPr id="428656824" name="Rectangle 85"/>
                        <wps:cNvSpPr>
                          <a:spLocks noChangeArrowheads="1"/>
                        </wps:cNvSpPr>
                        <wps:spPr bwMode="auto">
                          <a:xfrm>
                            <a:off x="35602" y="424202"/>
                            <a:ext cx="6013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34B1FD" w14:textId="77777777" w:rsidR="00422B96" w:rsidRPr="00B34B0A" w:rsidRDefault="00422B96" w:rsidP="00422B96">
                              <w:pPr>
                                <w:rPr>
                                  <w:b/>
                                </w:rPr>
                              </w:pPr>
                              <w:r w:rsidRPr="00B34B0A">
                                <w:rPr>
                                  <w:b/>
                                  <w:i/>
                                  <w:iCs/>
                                  <w:color w:val="000000"/>
                                </w:rPr>
                                <w:t>resources</w:t>
                              </w:r>
                            </w:p>
                          </w:txbxContent>
                        </wps:txbx>
                        <wps:bodyPr rot="0" vert="horz" wrap="none" lIns="0" tIns="0" rIns="0" bIns="0" anchor="t" anchorCtr="0" upright="1">
                          <a:spAutoFit/>
                        </wps:bodyPr>
                      </wps:wsp>
                      <wps:wsp>
                        <wps:cNvPr id="974015477" name="Rectangle 86"/>
                        <wps:cNvSpPr>
                          <a:spLocks noChangeArrowheads="1"/>
                        </wps:cNvSpPr>
                        <wps:spPr bwMode="auto">
                          <a:xfrm>
                            <a:off x="31702" y="290201"/>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531381" w14:textId="77777777" w:rsidR="00422B96" w:rsidRPr="00B34B0A" w:rsidRDefault="00422B96" w:rsidP="00422B96">
                              <w:pPr>
                                <w:rPr>
                                  <w:b/>
                                </w:rPr>
                              </w:pPr>
                              <w:r w:rsidRPr="00B34B0A">
                                <w:rPr>
                                  <w:b/>
                                  <w:i/>
                                  <w:iCs/>
                                  <w:color w:val="000000"/>
                                </w:rPr>
                                <w:t>load</w:t>
                              </w:r>
                            </w:p>
                          </w:txbxContent>
                        </wps:txbx>
                        <wps:bodyPr rot="0" vert="horz" wrap="none" lIns="0" tIns="0" rIns="0" bIns="0" anchor="t" anchorCtr="0" upright="1">
                          <a:spAutoFit/>
                        </wps:bodyPr>
                      </wps:wsp>
                      <wps:wsp>
                        <wps:cNvPr id="562542409" name="Rectangle 87"/>
                        <wps:cNvSpPr>
                          <a:spLocks noChangeArrowheads="1"/>
                        </wps:cNvSpPr>
                        <wps:spPr bwMode="auto">
                          <a:xfrm>
                            <a:off x="33702" y="156201"/>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7CCEA7" w14:textId="77777777" w:rsidR="00422B96" w:rsidRPr="00B34B0A" w:rsidRDefault="00422B96" w:rsidP="00422B96">
                              <w:pPr>
                                <w:rPr>
                                  <w:b/>
                                </w:rPr>
                              </w:pPr>
                              <w:r w:rsidRPr="00B34B0A">
                                <w:rPr>
                                  <w:b/>
                                  <w:i/>
                                  <w:iCs/>
                                  <w:color w:val="000000"/>
                                </w:rPr>
                                <w:t>online</w:t>
                              </w:r>
                            </w:p>
                          </w:txbxContent>
                        </wps:txbx>
                        <wps:bodyPr rot="0" vert="horz" wrap="none" lIns="0" tIns="0" rIns="0" bIns="0" anchor="t" anchorCtr="0" upright="1">
                          <a:spAutoFit/>
                        </wps:bodyPr>
                      </wps:wsp>
                      <wps:wsp>
                        <wps:cNvPr id="1941510312" name="Rectangle 88"/>
                        <wps:cNvSpPr>
                          <a:spLocks noChangeArrowheads="1"/>
                        </wps:cNvSpPr>
                        <wps:spPr bwMode="auto">
                          <a:xfrm>
                            <a:off x="45702" y="22200"/>
                            <a:ext cx="217810" cy="175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5C203C" w14:textId="77777777" w:rsidR="00422B96" w:rsidRPr="00B34B0A" w:rsidRDefault="00422B96" w:rsidP="00422B96">
                              <w:pPr>
                                <w:rPr>
                                  <w:b/>
                                </w:rPr>
                              </w:pPr>
                              <w:r w:rsidRPr="00B34B0A">
                                <w:rPr>
                                  <w:b/>
                                  <w:i/>
                                  <w:iCs/>
                                  <w:color w:val="000000"/>
                                </w:rPr>
                                <w:t>All</w:t>
                              </w:r>
                            </w:p>
                          </w:txbxContent>
                        </wps:txbx>
                        <wps:bodyPr rot="0" vert="horz" wrap="square" lIns="0" tIns="0" rIns="0" bIns="0" anchor="t" anchorCtr="0" upright="1">
                          <a:spAutoFit/>
                        </wps:bodyPr>
                      </wps:wsp>
                      <wps:wsp>
                        <wps:cNvPr id="1412072242" name="Rectangle 89"/>
                        <wps:cNvSpPr>
                          <a:spLocks noChangeArrowheads="1"/>
                        </wps:cNvSpPr>
                        <wps:spPr bwMode="auto">
                          <a:xfrm>
                            <a:off x="62903" y="1153804"/>
                            <a:ext cx="5422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0CAAAF" w14:textId="77777777" w:rsidR="00422B96" w:rsidRPr="00B34B0A" w:rsidRDefault="00422B96" w:rsidP="00422B96">
                              <w:pPr>
                                <w:rPr>
                                  <w:b/>
                                </w:rPr>
                              </w:pPr>
                              <w:r w:rsidRPr="00B34B0A">
                                <w:rPr>
                                  <w:b/>
                                  <w:i/>
                                  <w:iCs/>
                                  <w:color w:val="000000"/>
                                </w:rPr>
                                <w:t>resource</w:t>
                              </w:r>
                            </w:p>
                          </w:txbxContent>
                        </wps:txbx>
                        <wps:bodyPr rot="0" vert="horz" wrap="none" lIns="0" tIns="0" rIns="0" bIns="0" anchor="t" anchorCtr="0" upright="1">
                          <a:spAutoFit/>
                        </wps:bodyPr>
                      </wps:wsp>
                      <wps:wsp>
                        <wps:cNvPr id="1539749912" name="Rectangle 90"/>
                        <wps:cNvSpPr>
                          <a:spLocks noChangeArrowheads="1"/>
                        </wps:cNvSpPr>
                        <wps:spPr bwMode="auto">
                          <a:xfrm>
                            <a:off x="58403" y="1019804"/>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4F43CB" w14:textId="77777777" w:rsidR="00422B96" w:rsidRPr="00B34B0A" w:rsidRDefault="00422B96" w:rsidP="00422B96">
                              <w:pPr>
                                <w:rPr>
                                  <w:b/>
                                </w:rPr>
                              </w:pPr>
                              <w:r w:rsidRPr="00B34B0A">
                                <w:rPr>
                                  <w:b/>
                                  <w:i/>
                                  <w:iCs/>
                                  <w:color w:val="000000"/>
                                </w:rPr>
                                <w:t>load</w:t>
                              </w:r>
                            </w:p>
                          </w:txbxContent>
                        </wps:txbx>
                        <wps:bodyPr rot="0" vert="horz" wrap="none" lIns="0" tIns="0" rIns="0" bIns="0" anchor="t" anchorCtr="0" upright="1">
                          <a:spAutoFit/>
                        </wps:bodyPr>
                      </wps:wsp>
                      <wps:wsp>
                        <wps:cNvPr id="339075041" name="Rectangle 91"/>
                        <wps:cNvSpPr>
                          <a:spLocks noChangeArrowheads="1"/>
                        </wps:cNvSpPr>
                        <wps:spPr bwMode="auto">
                          <a:xfrm>
                            <a:off x="174608" y="885803"/>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86CFC2" w14:textId="77777777" w:rsidR="00422B96" w:rsidRPr="00B34B0A" w:rsidRDefault="00422B96" w:rsidP="00422B96">
                              <w:pPr>
                                <w:rPr>
                                  <w:b/>
                                </w:rPr>
                              </w:pPr>
                              <w:r w:rsidRPr="00B34B0A">
                                <w:rPr>
                                  <w:b/>
                                  <w:i/>
                                  <w:iCs/>
                                  <w:color w:val="000000"/>
                                </w:rPr>
                                <w:t>online</w:t>
                              </w:r>
                            </w:p>
                          </w:txbxContent>
                        </wps:txbx>
                        <wps:bodyPr rot="0" vert="horz" wrap="none" lIns="0" tIns="0" rIns="0" bIns="0" anchor="t" anchorCtr="0" upright="1">
                          <a:spAutoFit/>
                        </wps:bodyPr>
                      </wps:wsp>
                      <wps:wsp>
                        <wps:cNvPr id="1672351106" name="Rectangle 92"/>
                        <wps:cNvSpPr>
                          <a:spLocks noChangeArrowheads="1"/>
                        </wps:cNvSpPr>
                        <wps:spPr bwMode="auto">
                          <a:xfrm>
                            <a:off x="58403" y="885803"/>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0FD7B7" w14:textId="77777777" w:rsidR="00422B96" w:rsidRPr="00B34B0A" w:rsidRDefault="00422B96" w:rsidP="00422B96">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03267108" id="Canvas 91" o:spid="_x0000_s1141" editas="canvas" style="position:absolute;left:0;text-align:left;margin-left:38.9pt;margin-top:2.45pt;width:58.05pt;height:107.15pt;z-index:251702272" coordsize="7372,136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">
                <v:shape id="_x0000_s1142" type="#_x0000_t75" style="position:absolute;width:7372;height:13608;visibility:visible;mso-wrap-style:square">
                  <v:fill o:detectmouseclick="t"/>
                  <v:path o:connecttype="none"/>
                </v:shape>
                <v:rect id="Rectangle 83" o:spid="_x0000_s1143" style="position:absolute;left:1714;top:6369;width:1454;height:24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" filled="f" stroked="f">
                  <v:textbox style="mso-fit-shape-to-text:t" inset="0,0,0,0">
                    <w:txbxContent>
                      <w:p w14:paraId="1D671D6C" w14:textId="77777777" w:rsidR="00422B96" w:rsidRPr="00B074A0" w:rsidRDefault="00422B96" w:rsidP="00422B96">
                        <w:pPr>
                          <w:rPr>
                            <w:sz w:val="32"/>
                            <w:szCs w:val="32"/>
                          </w:rPr>
                        </w:pPr>
                        <w:r w:rsidRPr="00B074A0">
                          <w:rPr>
                            <w:rFonts w:ascii="Symbol" w:hAnsi="Symbol" w:cs="Symbol"/>
                            <w:color w:val="000000"/>
                            <w:sz w:val="32"/>
                            <w:szCs w:val="32"/>
                          </w:rPr>
                          <w:t></w:t>
                        </w:r>
                      </w:p>
                    </w:txbxContent>
                  </v:textbox>
                </v:rect>
                <v:rect id="Rectangle 84" o:spid="_x0000_s1144" style="position:absolute;left:1016;top:8712;width:838;height:186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" filled="f" stroked="f">
                  <v:textbox style="mso-fit-shape-to-text:t" inset="0,0,0,0">
                    <w:txbxContent>
                      <w:p w14:paraId="1BC4066C" w14:textId="77777777" w:rsidR="00422B96" w:rsidRDefault="00422B96" w:rsidP="00422B96">
                        <w:r>
                          <w:rPr>
                            <w:rFonts w:ascii="Symbol" w:hAnsi="Symbol" w:cs="Symbol"/>
                            <w:color w:val="000000"/>
                          </w:rPr>
                          <w:t></w:t>
                        </w:r>
                      </w:p>
                    </w:txbxContent>
                  </v:textbox>
                </v:rect>
                <v:rect id="Rectangle 85" o:spid="_x0000_s1145" style="position:absolute;left:356;top:4242;width:6013;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" filled="f" stroked="f">
                  <v:textbox style="mso-fit-shape-to-text:t" inset="0,0,0,0">
                    <w:txbxContent>
                      <w:p w14:paraId="4234B1FD" w14:textId="77777777" w:rsidR="00422B96" w:rsidRPr="00B34B0A" w:rsidRDefault="00422B96" w:rsidP="00422B96">
                        <w:pPr>
                          <w:rPr>
                            <w:b/>
                          </w:rPr>
                        </w:pPr>
                        <w:r w:rsidRPr="00B34B0A">
                          <w:rPr>
                            <w:b/>
                            <w:i/>
                            <w:iCs/>
                            <w:color w:val="000000"/>
                          </w:rPr>
                          <w:t>resources</w:t>
                        </w:r>
                      </w:p>
                    </w:txbxContent>
                  </v:textbox>
                </v:rect>
                <v:rect id="Rectangle 86" o:spid="_x0000_s1146" style="position:absolute;left:317;top:2902;width:271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" filled="f" stroked="f">
                  <v:textbox style="mso-fit-shape-to-text:t" inset="0,0,0,0">
                    <w:txbxContent>
                      <w:p w14:paraId="78531381" w14:textId="77777777" w:rsidR="00422B96" w:rsidRPr="00B34B0A" w:rsidRDefault="00422B96" w:rsidP="00422B96">
                        <w:pPr>
                          <w:rPr>
                            <w:b/>
                          </w:rPr>
                        </w:pPr>
                        <w:r w:rsidRPr="00B34B0A">
                          <w:rPr>
                            <w:b/>
                            <w:i/>
                            <w:iCs/>
                            <w:color w:val="000000"/>
                          </w:rPr>
                          <w:t>load</w:t>
                        </w:r>
                      </w:p>
                    </w:txbxContent>
                  </v:textbox>
                </v:rect>
                <v:rect id="Rectangle 87" o:spid="_x0000_s1147" style="position:absolute;left:337;top:1562;width:398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" filled="f" stroked="f">
                  <v:textbox style="mso-fit-shape-to-text:t" inset="0,0,0,0">
                    <w:txbxContent>
                      <w:p w14:paraId="3A7CCEA7" w14:textId="77777777" w:rsidR="00422B96" w:rsidRPr="00B34B0A" w:rsidRDefault="00422B96" w:rsidP="00422B96">
                        <w:pPr>
                          <w:rPr>
                            <w:b/>
                          </w:rPr>
                        </w:pPr>
                        <w:r w:rsidRPr="00B34B0A">
                          <w:rPr>
                            <w:b/>
                            <w:i/>
                            <w:iCs/>
                            <w:color w:val="000000"/>
                          </w:rPr>
                          <w:t>online</w:t>
                        </w:r>
                      </w:p>
                    </w:txbxContent>
                  </v:textbox>
                </v:rect>
                <v:rect id="Rectangle 88" o:spid="_x0000_s1148" style="position:absolute;left:457;top:222;width:2178;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" filled="f" stroked="f">
                  <v:textbox style="mso-fit-shape-to-text:t" inset="0,0,0,0">
                    <w:txbxContent>
                      <w:p w14:paraId="575C203C" w14:textId="77777777" w:rsidR="00422B96" w:rsidRPr="00B34B0A" w:rsidRDefault="00422B96" w:rsidP="00422B96">
                        <w:pPr>
                          <w:rPr>
                            <w:b/>
                          </w:rPr>
                        </w:pPr>
                        <w:r w:rsidRPr="00B34B0A">
                          <w:rPr>
                            <w:b/>
                            <w:i/>
                            <w:iCs/>
                            <w:color w:val="000000"/>
                          </w:rPr>
                          <w:t>All</w:t>
                        </w:r>
                      </w:p>
                    </w:txbxContent>
                  </v:textbox>
                </v:rect>
                <v:rect id="Rectangle 89" o:spid="_x0000_s1149" style="position:absolute;left:629;top:11538;width:5422;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" filled="f" stroked="f">
                  <v:textbox style="mso-fit-shape-to-text:t" inset="0,0,0,0">
                    <w:txbxContent>
                      <w:p w14:paraId="2F0CAAAF" w14:textId="77777777" w:rsidR="00422B96" w:rsidRPr="00B34B0A" w:rsidRDefault="00422B96" w:rsidP="00422B96">
                        <w:pPr>
                          <w:rPr>
                            <w:b/>
                          </w:rPr>
                        </w:pPr>
                        <w:r w:rsidRPr="00B34B0A">
                          <w:rPr>
                            <w:b/>
                            <w:i/>
                            <w:iCs/>
                            <w:color w:val="000000"/>
                          </w:rPr>
                          <w:t>resource</w:t>
                        </w:r>
                      </w:p>
                    </w:txbxContent>
                  </v:textbox>
                </v:rect>
                <v:rect id="Rectangle 90" o:spid="_x0000_s1150" style="position:absolute;left:584;top:10198;width:271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" filled="f" stroked="f">
                  <v:textbox style="mso-fit-shape-to-text:t" inset="0,0,0,0">
                    <w:txbxContent>
                      <w:p w14:paraId="644F43CB" w14:textId="77777777" w:rsidR="00422B96" w:rsidRPr="00B34B0A" w:rsidRDefault="00422B96" w:rsidP="00422B96">
                        <w:pPr>
                          <w:rPr>
                            <w:b/>
                          </w:rPr>
                        </w:pPr>
                        <w:r w:rsidRPr="00B34B0A">
                          <w:rPr>
                            <w:b/>
                            <w:i/>
                            <w:iCs/>
                            <w:color w:val="000000"/>
                          </w:rPr>
                          <w:t>load</w:t>
                        </w:r>
                      </w:p>
                    </w:txbxContent>
                  </v:textbox>
                </v:rect>
                <v:rect id="Rectangle 91" o:spid="_x0000_s1151" style="position:absolute;left:1746;top:8858;width:398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" filled="f" stroked="f">
                  <v:textbox style="mso-fit-shape-to-text:t" inset="0,0,0,0">
                    <w:txbxContent>
                      <w:p w14:paraId="2A86CFC2" w14:textId="77777777" w:rsidR="00422B96" w:rsidRPr="00B34B0A" w:rsidRDefault="00422B96" w:rsidP="00422B96">
                        <w:pPr>
                          <w:rPr>
                            <w:b/>
                          </w:rPr>
                        </w:pPr>
                        <w:r w:rsidRPr="00B34B0A">
                          <w:rPr>
                            <w:b/>
                            <w:i/>
                            <w:iCs/>
                            <w:color w:val="000000"/>
                          </w:rPr>
                          <w:t>online</w:t>
                        </w:r>
                      </w:p>
                    </w:txbxContent>
                  </v:textbox>
                </v:rect>
                <v:rect id="Rectangle 92" o:spid="_x0000_s1152" style="position:absolute;left:584;top:8858;width:425;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" filled="f" stroked="f">
                  <v:textbox style="mso-fit-shape-to-text:t" inset="0,0,0,0">
                    <w:txbxContent>
                      <w:p w14:paraId="0E0FD7B7" w14:textId="77777777" w:rsidR="00422B96" w:rsidRPr="00B34B0A" w:rsidRDefault="00422B96" w:rsidP="00422B96">
                        <w:pPr>
                          <w:rPr>
                            <w:b/>
                          </w:rPr>
                        </w:pPr>
                        <w:r w:rsidRPr="00B34B0A">
                          <w:rPr>
                            <w:b/>
                            <w:i/>
                            <w:iCs/>
                            <w:color w:val="000000"/>
                          </w:rPr>
                          <w:t>i</w:t>
                        </w:r>
                      </w:p>
                    </w:txbxContent>
                  </v:textbox>
                </v:rect>
              </v:group>
            </w:pict>
          </mc:Fallback>
        </mc:AlternateContent>
      </w:r>
      <w:r w:rsidRPr="0013396E">
        <w:rPr>
          <w:b/>
          <w:position w:val="30"/>
          <w:sz w:val="20"/>
        </w:rPr>
        <w:t>PRC</w:t>
      </w:r>
      <w:r w:rsidRPr="0013396E">
        <w:rPr>
          <w:b/>
          <w:position w:val="30"/>
          <w:sz w:val="20"/>
          <w:vertAlign w:val="subscript"/>
        </w:rPr>
        <w:t>5</w:t>
      </w:r>
      <w:r w:rsidRPr="0013396E">
        <w:rPr>
          <w:b/>
          <w:position w:val="30"/>
          <w:sz w:val="20"/>
        </w:rPr>
        <w:t xml:space="preserve"> =</w:t>
      </w:r>
      <w:r w:rsidRPr="0013396E">
        <w:rPr>
          <w:b/>
          <w:position w:val="30"/>
          <w:sz w:val="20"/>
        </w:rPr>
        <w:tab/>
        <w:t>Min(Max((LRDF_1*Actual Net Telemetered Consumption – LPC)</w:t>
      </w:r>
      <w:r w:rsidRPr="0013396E">
        <w:rPr>
          <w:b/>
          <w:position w:val="30"/>
          <w:sz w:val="20"/>
          <w:vertAlign w:val="subscript"/>
        </w:rPr>
        <w:t>i</w:t>
      </w:r>
      <w:r w:rsidRPr="0013396E">
        <w:rPr>
          <w:b/>
          <w:position w:val="30"/>
          <w:sz w:val="20"/>
        </w:rPr>
        <w:t>, 0.0), (0.2 * LRDF_1 * Actual Net Telemetered Consumption)) from all CLRs active in SCED with an Ancillary Service Resource award</w:t>
      </w:r>
    </w:p>
    <w:p w14:paraId="066225FA" w14:textId="77777777" w:rsidR="00422B96" w:rsidRPr="0013396E" w:rsidRDefault="00422B96" w:rsidP="00422B96">
      <w:pPr>
        <w:tabs>
          <w:tab w:val="left" w:pos="2160"/>
        </w:tabs>
        <w:ind w:left="2160" w:hanging="2160"/>
        <w:rPr>
          <w:b/>
          <w:position w:val="3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1B6149" w:rsidRPr="0013396E" w14:paraId="0E7A473D" w14:textId="77777777" w:rsidTr="0099759E">
        <w:trPr>
          <w:trHeight w:val="206"/>
        </w:trPr>
        <w:tc>
          <w:tcPr>
            <w:tcW w:w="9350" w:type="dxa"/>
            <w:shd w:val="pct12" w:color="auto" w:fill="auto"/>
          </w:tcPr>
          <w:p w14:paraId="213FC59F" w14:textId="288A5F58" w:rsidR="001B6149" w:rsidRPr="0013396E" w:rsidRDefault="001B6149" w:rsidP="0099759E">
            <w:pPr>
              <w:spacing w:before="120" w:after="240"/>
              <w:rPr>
                <w:b/>
                <w:i/>
                <w:iCs/>
                <w:szCs w:val="24"/>
              </w:rPr>
            </w:pPr>
            <w:r w:rsidRPr="0013396E">
              <w:rPr>
                <w:b/>
                <w:i/>
                <w:iCs/>
                <w:szCs w:val="24"/>
              </w:rPr>
              <w:t>[NPRR</w:t>
            </w:r>
            <w:r>
              <w:rPr>
                <w:b/>
                <w:i/>
                <w:iCs/>
                <w:szCs w:val="24"/>
              </w:rPr>
              <w:t>1244</w:t>
            </w:r>
            <w:r w:rsidRPr="0013396E">
              <w:rPr>
                <w:b/>
                <w:i/>
                <w:iCs/>
                <w:szCs w:val="24"/>
              </w:rPr>
              <w:t xml:space="preserve">:  Replace </w:t>
            </w:r>
            <w:r>
              <w:rPr>
                <w:b/>
                <w:i/>
                <w:iCs/>
                <w:szCs w:val="24"/>
              </w:rPr>
              <w:t>the formula “PRC</w:t>
            </w:r>
            <w:r w:rsidRPr="001B6149">
              <w:rPr>
                <w:b/>
                <w:i/>
                <w:iCs/>
                <w:szCs w:val="24"/>
                <w:vertAlign w:val="subscript"/>
              </w:rPr>
              <w:t>5</w:t>
            </w:r>
            <w:r>
              <w:rPr>
                <w:b/>
                <w:i/>
                <w:iCs/>
                <w:szCs w:val="24"/>
              </w:rPr>
              <w:t xml:space="preserve">” </w:t>
            </w:r>
            <w:r w:rsidRPr="0013396E">
              <w:rPr>
                <w:b/>
                <w:i/>
                <w:iCs/>
                <w:szCs w:val="24"/>
              </w:rPr>
              <w:t>above with the following upon system implementation:]</w:t>
            </w:r>
          </w:p>
          <w:p w14:paraId="45386F5A" w14:textId="77777777" w:rsidR="001B6149" w:rsidRPr="0013396E" w:rsidRDefault="001B6149" w:rsidP="001B6149">
            <w:pPr>
              <w:tabs>
                <w:tab w:val="left" w:pos="2160"/>
              </w:tabs>
              <w:spacing w:before="480"/>
              <w:ind w:left="2160" w:hanging="2160"/>
              <w:rPr>
                <w:b/>
                <w:position w:val="30"/>
                <w:sz w:val="20"/>
              </w:rPr>
            </w:pPr>
            <w:r w:rsidRPr="0013396E">
              <w:rPr>
                <w:noProof/>
              </w:rPr>
              <mc:AlternateContent>
                <mc:Choice Requires="wpc">
                  <w:drawing>
                    <wp:anchor distT="0" distB="0" distL="114300" distR="114300" simplePos="0" relativeHeight="251709440" behindDoc="0" locked="0" layoutInCell="1" allowOverlap="1" wp14:anchorId="2114BB38" wp14:editId="335F1FEC">
                      <wp:simplePos x="0" y="0"/>
                      <wp:positionH relativeFrom="column">
                        <wp:posOffset>494072</wp:posOffset>
                      </wp:positionH>
                      <wp:positionV relativeFrom="paragraph">
                        <wp:posOffset>31363</wp:posOffset>
                      </wp:positionV>
                      <wp:extent cx="737235" cy="1360805"/>
                      <wp:effectExtent l="0" t="0" r="0" b="1270"/>
                      <wp:wrapNone/>
                      <wp:docPr id="560736362" name="Canvas 9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042480450" name="Rectangle 83"/>
                              <wps:cNvSpPr>
                                <a:spLocks noChangeArrowheads="1"/>
                              </wps:cNvSpPr>
                              <wps:spPr bwMode="auto">
                                <a:xfrm>
                                  <a:off x="171408" y="636902"/>
                                  <a:ext cx="145415"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2BCB7E" w14:textId="77777777" w:rsidR="001B6149" w:rsidRPr="00B074A0" w:rsidRDefault="001B6149" w:rsidP="001B6149">
                                    <w:pPr>
                                      <w:rPr>
                                        <w:sz w:val="32"/>
                                        <w:szCs w:val="32"/>
                                      </w:rPr>
                                    </w:pPr>
                                    <w:r w:rsidRPr="00B074A0">
                                      <w:rPr>
                                        <w:rFonts w:ascii="Symbol" w:hAnsi="Symbol" w:cs="Symbol"/>
                                        <w:color w:val="000000"/>
                                        <w:sz w:val="32"/>
                                        <w:szCs w:val="32"/>
                                      </w:rPr>
                                      <w:t></w:t>
                                    </w:r>
                                  </w:p>
                                </w:txbxContent>
                              </wps:txbx>
                              <wps:bodyPr rot="0" vert="horz" wrap="none" lIns="0" tIns="0" rIns="0" bIns="0" anchor="t" anchorCtr="0" upright="1">
                                <a:spAutoFit/>
                              </wps:bodyPr>
                            </wps:wsp>
                            <wps:wsp>
                              <wps:cNvPr id="866256102" name="Rectangle 84"/>
                              <wps:cNvSpPr>
                                <a:spLocks noChangeArrowheads="1"/>
                              </wps:cNvSpPr>
                              <wps:spPr bwMode="auto">
                                <a:xfrm>
                                  <a:off x="101605" y="871203"/>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B4ECFA" w14:textId="77777777" w:rsidR="001B6149" w:rsidRDefault="001B6149" w:rsidP="001B6149">
                                    <w:r>
                                      <w:rPr>
                                        <w:rFonts w:ascii="Symbol" w:hAnsi="Symbol" w:cs="Symbol"/>
                                        <w:color w:val="000000"/>
                                      </w:rPr>
                                      <w:t></w:t>
                                    </w:r>
                                  </w:p>
                                </w:txbxContent>
                              </wps:txbx>
                              <wps:bodyPr rot="0" vert="horz" wrap="none" lIns="0" tIns="0" rIns="0" bIns="0" anchor="t" anchorCtr="0" upright="1">
                                <a:spAutoFit/>
                              </wps:bodyPr>
                            </wps:wsp>
                            <wps:wsp>
                              <wps:cNvPr id="1319248498" name="Rectangle 85"/>
                              <wps:cNvSpPr>
                                <a:spLocks noChangeArrowheads="1"/>
                              </wps:cNvSpPr>
                              <wps:spPr bwMode="auto">
                                <a:xfrm>
                                  <a:off x="35602" y="424202"/>
                                  <a:ext cx="6013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3442EE" w14:textId="77777777" w:rsidR="001B6149" w:rsidRPr="00B34B0A" w:rsidRDefault="001B6149" w:rsidP="001B6149">
                                    <w:pPr>
                                      <w:rPr>
                                        <w:b/>
                                      </w:rPr>
                                    </w:pPr>
                                    <w:r w:rsidRPr="00B34B0A">
                                      <w:rPr>
                                        <w:b/>
                                        <w:i/>
                                        <w:iCs/>
                                        <w:color w:val="000000"/>
                                      </w:rPr>
                                      <w:t>resources</w:t>
                                    </w:r>
                                  </w:p>
                                </w:txbxContent>
                              </wps:txbx>
                              <wps:bodyPr rot="0" vert="horz" wrap="none" lIns="0" tIns="0" rIns="0" bIns="0" anchor="t" anchorCtr="0" upright="1">
                                <a:spAutoFit/>
                              </wps:bodyPr>
                            </wps:wsp>
                            <wps:wsp>
                              <wps:cNvPr id="958497326" name="Rectangle 86"/>
                              <wps:cNvSpPr>
                                <a:spLocks noChangeArrowheads="1"/>
                              </wps:cNvSpPr>
                              <wps:spPr bwMode="auto">
                                <a:xfrm>
                                  <a:off x="31702" y="290201"/>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958225" w14:textId="77777777" w:rsidR="001B6149" w:rsidRPr="00B34B0A" w:rsidRDefault="001B6149" w:rsidP="001B6149">
                                    <w:pPr>
                                      <w:rPr>
                                        <w:b/>
                                      </w:rPr>
                                    </w:pPr>
                                    <w:r w:rsidRPr="00B34B0A">
                                      <w:rPr>
                                        <w:b/>
                                        <w:i/>
                                        <w:iCs/>
                                        <w:color w:val="000000"/>
                                      </w:rPr>
                                      <w:t>load</w:t>
                                    </w:r>
                                  </w:p>
                                </w:txbxContent>
                              </wps:txbx>
                              <wps:bodyPr rot="0" vert="horz" wrap="none" lIns="0" tIns="0" rIns="0" bIns="0" anchor="t" anchorCtr="0" upright="1">
                                <a:spAutoFit/>
                              </wps:bodyPr>
                            </wps:wsp>
                            <wps:wsp>
                              <wps:cNvPr id="2045452430" name="Rectangle 87"/>
                              <wps:cNvSpPr>
                                <a:spLocks noChangeArrowheads="1"/>
                              </wps:cNvSpPr>
                              <wps:spPr bwMode="auto">
                                <a:xfrm>
                                  <a:off x="33702" y="156201"/>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88AEAA" w14:textId="77777777" w:rsidR="001B6149" w:rsidRPr="00B34B0A" w:rsidRDefault="001B6149" w:rsidP="001B6149">
                                    <w:pPr>
                                      <w:rPr>
                                        <w:b/>
                                      </w:rPr>
                                    </w:pPr>
                                    <w:r w:rsidRPr="00B34B0A">
                                      <w:rPr>
                                        <w:b/>
                                        <w:i/>
                                        <w:iCs/>
                                        <w:color w:val="000000"/>
                                      </w:rPr>
                                      <w:t>online</w:t>
                                    </w:r>
                                  </w:p>
                                </w:txbxContent>
                              </wps:txbx>
                              <wps:bodyPr rot="0" vert="horz" wrap="none" lIns="0" tIns="0" rIns="0" bIns="0" anchor="t" anchorCtr="0" upright="1">
                                <a:spAutoFit/>
                              </wps:bodyPr>
                            </wps:wsp>
                            <wps:wsp>
                              <wps:cNvPr id="2016559631" name="Rectangle 88"/>
                              <wps:cNvSpPr>
                                <a:spLocks noChangeArrowheads="1"/>
                              </wps:cNvSpPr>
                              <wps:spPr bwMode="auto">
                                <a:xfrm>
                                  <a:off x="45702" y="22200"/>
                                  <a:ext cx="217810" cy="175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A4A138" w14:textId="77777777" w:rsidR="001B6149" w:rsidRPr="00B34B0A" w:rsidRDefault="001B6149" w:rsidP="001B6149">
                                    <w:pPr>
                                      <w:rPr>
                                        <w:b/>
                                      </w:rPr>
                                    </w:pPr>
                                    <w:r w:rsidRPr="00B34B0A">
                                      <w:rPr>
                                        <w:b/>
                                        <w:i/>
                                        <w:iCs/>
                                        <w:color w:val="000000"/>
                                      </w:rPr>
                                      <w:t>All</w:t>
                                    </w:r>
                                  </w:p>
                                </w:txbxContent>
                              </wps:txbx>
                              <wps:bodyPr rot="0" vert="horz" wrap="square" lIns="0" tIns="0" rIns="0" bIns="0" anchor="t" anchorCtr="0" upright="1">
                                <a:spAutoFit/>
                              </wps:bodyPr>
                            </wps:wsp>
                            <wps:wsp>
                              <wps:cNvPr id="2026791654" name="Rectangle 89"/>
                              <wps:cNvSpPr>
                                <a:spLocks noChangeArrowheads="1"/>
                              </wps:cNvSpPr>
                              <wps:spPr bwMode="auto">
                                <a:xfrm>
                                  <a:off x="62903" y="1153804"/>
                                  <a:ext cx="5422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29463F" w14:textId="77777777" w:rsidR="001B6149" w:rsidRPr="00B34B0A" w:rsidRDefault="001B6149" w:rsidP="001B6149">
                                    <w:pPr>
                                      <w:rPr>
                                        <w:b/>
                                      </w:rPr>
                                    </w:pPr>
                                    <w:r w:rsidRPr="00B34B0A">
                                      <w:rPr>
                                        <w:b/>
                                        <w:i/>
                                        <w:iCs/>
                                        <w:color w:val="000000"/>
                                      </w:rPr>
                                      <w:t>resource</w:t>
                                    </w:r>
                                  </w:p>
                                </w:txbxContent>
                              </wps:txbx>
                              <wps:bodyPr rot="0" vert="horz" wrap="none" lIns="0" tIns="0" rIns="0" bIns="0" anchor="t" anchorCtr="0" upright="1">
                                <a:spAutoFit/>
                              </wps:bodyPr>
                            </wps:wsp>
                            <wps:wsp>
                              <wps:cNvPr id="1114909253" name="Rectangle 90"/>
                              <wps:cNvSpPr>
                                <a:spLocks noChangeArrowheads="1"/>
                              </wps:cNvSpPr>
                              <wps:spPr bwMode="auto">
                                <a:xfrm>
                                  <a:off x="58403" y="1019804"/>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BEA980" w14:textId="77777777" w:rsidR="001B6149" w:rsidRPr="00B34B0A" w:rsidRDefault="001B6149" w:rsidP="001B6149">
                                    <w:pPr>
                                      <w:rPr>
                                        <w:b/>
                                      </w:rPr>
                                    </w:pPr>
                                    <w:r w:rsidRPr="00B34B0A">
                                      <w:rPr>
                                        <w:b/>
                                        <w:i/>
                                        <w:iCs/>
                                        <w:color w:val="000000"/>
                                      </w:rPr>
                                      <w:t>load</w:t>
                                    </w:r>
                                  </w:p>
                                </w:txbxContent>
                              </wps:txbx>
                              <wps:bodyPr rot="0" vert="horz" wrap="none" lIns="0" tIns="0" rIns="0" bIns="0" anchor="t" anchorCtr="0" upright="1">
                                <a:spAutoFit/>
                              </wps:bodyPr>
                            </wps:wsp>
                            <wps:wsp>
                              <wps:cNvPr id="153431425" name="Rectangle 91"/>
                              <wps:cNvSpPr>
                                <a:spLocks noChangeArrowheads="1"/>
                              </wps:cNvSpPr>
                              <wps:spPr bwMode="auto">
                                <a:xfrm>
                                  <a:off x="174608" y="885803"/>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8132FC" w14:textId="77777777" w:rsidR="001B6149" w:rsidRPr="00B34B0A" w:rsidRDefault="001B6149" w:rsidP="001B6149">
                                    <w:pPr>
                                      <w:rPr>
                                        <w:b/>
                                      </w:rPr>
                                    </w:pPr>
                                    <w:r w:rsidRPr="00B34B0A">
                                      <w:rPr>
                                        <w:b/>
                                        <w:i/>
                                        <w:iCs/>
                                        <w:color w:val="000000"/>
                                      </w:rPr>
                                      <w:t>online</w:t>
                                    </w:r>
                                  </w:p>
                                </w:txbxContent>
                              </wps:txbx>
                              <wps:bodyPr rot="0" vert="horz" wrap="none" lIns="0" tIns="0" rIns="0" bIns="0" anchor="t" anchorCtr="0" upright="1">
                                <a:spAutoFit/>
                              </wps:bodyPr>
                            </wps:wsp>
                            <wps:wsp>
                              <wps:cNvPr id="349211296" name="Rectangle 92"/>
                              <wps:cNvSpPr>
                                <a:spLocks noChangeArrowheads="1"/>
                              </wps:cNvSpPr>
                              <wps:spPr bwMode="auto">
                                <a:xfrm>
                                  <a:off x="58403" y="885803"/>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A87854" w14:textId="77777777" w:rsidR="001B6149" w:rsidRPr="00B34B0A" w:rsidRDefault="001B6149" w:rsidP="001B6149">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2114BB38" id="_x0000_s1153" editas="canvas" style="position:absolute;left:0;text-align:left;margin-left:38.9pt;margin-top:2.45pt;width:58.05pt;height:107.15pt;z-index:251709440" coordsize="7372,136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">
                      <v:shape id="_x0000_s1154" type="#_x0000_t75" style="position:absolute;width:7372;height:13608;visibility:visible;mso-wrap-style:square">
                        <v:fill o:detectmouseclick="t"/>
                        <v:path o:connecttype="none"/>
                      </v:shape>
                      <v:rect id="Rectangle 83" o:spid="_x0000_s1155" style="position:absolute;left:1714;top:6369;width:1454;height:24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" filled="f" stroked="f">
                        <v:textbox style="mso-fit-shape-to-text:t" inset="0,0,0,0">
                          <w:txbxContent>
                            <w:p w14:paraId="392BCB7E" w14:textId="77777777" w:rsidR="001B6149" w:rsidRPr="00B074A0" w:rsidRDefault="001B6149" w:rsidP="001B6149">
                              <w:pPr>
                                <w:rPr>
                                  <w:sz w:val="32"/>
                                  <w:szCs w:val="32"/>
                                </w:rPr>
                              </w:pPr>
                              <w:r w:rsidRPr="00B074A0">
                                <w:rPr>
                                  <w:rFonts w:ascii="Symbol" w:hAnsi="Symbol" w:cs="Symbol"/>
                                  <w:color w:val="000000"/>
                                  <w:sz w:val="32"/>
                                  <w:szCs w:val="32"/>
                                </w:rPr>
                                <w:t></w:t>
                              </w:r>
                            </w:p>
                          </w:txbxContent>
                        </v:textbox>
                      </v:rect>
                      <v:rect id="Rectangle 84" o:spid="_x0000_s1156" style="position:absolute;left:1016;top:8712;width:838;height:186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" filled="f" stroked="f">
                        <v:textbox style="mso-fit-shape-to-text:t" inset="0,0,0,0">
                          <w:txbxContent>
                            <w:p w14:paraId="55B4ECFA" w14:textId="77777777" w:rsidR="001B6149" w:rsidRDefault="001B6149" w:rsidP="001B6149">
                              <w:r>
                                <w:rPr>
                                  <w:rFonts w:ascii="Symbol" w:hAnsi="Symbol" w:cs="Symbol"/>
                                  <w:color w:val="000000"/>
                                </w:rPr>
                                <w:t></w:t>
                              </w:r>
                            </w:p>
                          </w:txbxContent>
                        </v:textbox>
                      </v:rect>
                      <v:rect id="Rectangle 85" o:spid="_x0000_s1157" style="position:absolute;left:356;top:4242;width:6013;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" filled="f" stroked="f">
                        <v:textbox style="mso-fit-shape-to-text:t" inset="0,0,0,0">
                          <w:txbxContent>
                            <w:p w14:paraId="683442EE" w14:textId="77777777" w:rsidR="001B6149" w:rsidRPr="00B34B0A" w:rsidRDefault="001B6149" w:rsidP="001B6149">
                              <w:pPr>
                                <w:rPr>
                                  <w:b/>
                                </w:rPr>
                              </w:pPr>
                              <w:r w:rsidRPr="00B34B0A">
                                <w:rPr>
                                  <w:b/>
                                  <w:i/>
                                  <w:iCs/>
                                  <w:color w:val="000000"/>
                                </w:rPr>
                                <w:t>resources</w:t>
                              </w:r>
                            </w:p>
                          </w:txbxContent>
                        </v:textbox>
                      </v:rect>
                      <v:rect id="Rectangle 86" o:spid="_x0000_s1158" style="position:absolute;left:317;top:2902;width:271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" filled="f" stroked="f">
                        <v:textbox style="mso-fit-shape-to-text:t" inset="0,0,0,0">
                          <w:txbxContent>
                            <w:p w14:paraId="58958225" w14:textId="77777777" w:rsidR="001B6149" w:rsidRPr="00B34B0A" w:rsidRDefault="001B6149" w:rsidP="001B6149">
                              <w:pPr>
                                <w:rPr>
                                  <w:b/>
                                </w:rPr>
                              </w:pPr>
                              <w:r w:rsidRPr="00B34B0A">
                                <w:rPr>
                                  <w:b/>
                                  <w:i/>
                                  <w:iCs/>
                                  <w:color w:val="000000"/>
                                </w:rPr>
                                <w:t>load</w:t>
                              </w:r>
                            </w:p>
                          </w:txbxContent>
                        </v:textbox>
                      </v:rect>
                      <v:rect id="Rectangle 87" o:spid="_x0000_s1159" style="position:absolute;left:337;top:1562;width:398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" filled="f" stroked="f">
                        <v:textbox style="mso-fit-shape-to-text:t" inset="0,0,0,0">
                          <w:txbxContent>
                            <w:p w14:paraId="1988AEAA" w14:textId="77777777" w:rsidR="001B6149" w:rsidRPr="00B34B0A" w:rsidRDefault="001B6149" w:rsidP="001B6149">
                              <w:pPr>
                                <w:rPr>
                                  <w:b/>
                                </w:rPr>
                              </w:pPr>
                              <w:r w:rsidRPr="00B34B0A">
                                <w:rPr>
                                  <w:b/>
                                  <w:i/>
                                  <w:iCs/>
                                  <w:color w:val="000000"/>
                                </w:rPr>
                                <w:t>online</w:t>
                              </w:r>
                            </w:p>
                          </w:txbxContent>
                        </v:textbox>
                      </v:rect>
                      <v:rect id="Rectangle 88" o:spid="_x0000_s1160" style="position:absolute;left:457;top:222;width:2178;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" filled="f" stroked="f">
                        <v:textbox style="mso-fit-shape-to-text:t" inset="0,0,0,0">
                          <w:txbxContent>
                            <w:p w14:paraId="6CA4A138" w14:textId="77777777" w:rsidR="001B6149" w:rsidRPr="00B34B0A" w:rsidRDefault="001B6149" w:rsidP="001B6149">
                              <w:pPr>
                                <w:rPr>
                                  <w:b/>
                                </w:rPr>
                              </w:pPr>
                              <w:r w:rsidRPr="00B34B0A">
                                <w:rPr>
                                  <w:b/>
                                  <w:i/>
                                  <w:iCs/>
                                  <w:color w:val="000000"/>
                                </w:rPr>
                                <w:t>All</w:t>
                              </w:r>
                            </w:p>
                          </w:txbxContent>
                        </v:textbox>
                      </v:rect>
                      <v:rect id="Rectangle 89" o:spid="_x0000_s1161" style="position:absolute;left:629;top:11538;width:5422;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" filled="f" stroked="f">
                        <v:textbox style="mso-fit-shape-to-text:t" inset="0,0,0,0">
                          <w:txbxContent>
                            <w:p w14:paraId="1629463F" w14:textId="77777777" w:rsidR="001B6149" w:rsidRPr="00B34B0A" w:rsidRDefault="001B6149" w:rsidP="001B6149">
                              <w:pPr>
                                <w:rPr>
                                  <w:b/>
                                </w:rPr>
                              </w:pPr>
                              <w:r w:rsidRPr="00B34B0A">
                                <w:rPr>
                                  <w:b/>
                                  <w:i/>
                                  <w:iCs/>
                                  <w:color w:val="000000"/>
                                </w:rPr>
                                <w:t>resource</w:t>
                              </w:r>
                            </w:p>
                          </w:txbxContent>
                        </v:textbox>
                      </v:rect>
                      <v:rect id="Rectangle 90" o:spid="_x0000_s1162" style="position:absolute;left:584;top:10198;width:271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" filled="f" stroked="f">
                        <v:textbox style="mso-fit-shape-to-text:t" inset="0,0,0,0">
                          <w:txbxContent>
                            <w:p w14:paraId="56BEA980" w14:textId="77777777" w:rsidR="001B6149" w:rsidRPr="00B34B0A" w:rsidRDefault="001B6149" w:rsidP="001B6149">
                              <w:pPr>
                                <w:rPr>
                                  <w:b/>
                                </w:rPr>
                              </w:pPr>
                              <w:r w:rsidRPr="00B34B0A">
                                <w:rPr>
                                  <w:b/>
                                  <w:i/>
                                  <w:iCs/>
                                  <w:color w:val="000000"/>
                                </w:rPr>
                                <w:t>load</w:t>
                              </w:r>
                            </w:p>
                          </w:txbxContent>
                        </v:textbox>
                      </v:rect>
                      <v:rect id="Rectangle 91" o:spid="_x0000_s1163" style="position:absolute;left:1746;top:8858;width:398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" filled="f" stroked="f">
                        <v:textbox style="mso-fit-shape-to-text:t" inset="0,0,0,0">
                          <w:txbxContent>
                            <w:p w14:paraId="2C8132FC" w14:textId="77777777" w:rsidR="001B6149" w:rsidRPr="00B34B0A" w:rsidRDefault="001B6149" w:rsidP="001B6149">
                              <w:pPr>
                                <w:rPr>
                                  <w:b/>
                                </w:rPr>
                              </w:pPr>
                              <w:r w:rsidRPr="00B34B0A">
                                <w:rPr>
                                  <w:b/>
                                  <w:i/>
                                  <w:iCs/>
                                  <w:color w:val="000000"/>
                                </w:rPr>
                                <w:t>online</w:t>
                              </w:r>
                            </w:p>
                          </w:txbxContent>
                        </v:textbox>
                      </v:rect>
                      <v:rect id="Rectangle 92" o:spid="_x0000_s1164" style="position:absolute;left:584;top:8858;width:425;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" filled="f" stroked="f">
                        <v:textbox style="mso-fit-shape-to-text:t" inset="0,0,0,0">
                          <w:txbxContent>
                            <w:p w14:paraId="20A87854" w14:textId="77777777" w:rsidR="001B6149" w:rsidRPr="00B34B0A" w:rsidRDefault="001B6149" w:rsidP="001B6149">
                              <w:pPr>
                                <w:rPr>
                                  <w:b/>
                                </w:rPr>
                              </w:pPr>
                              <w:r w:rsidRPr="00B34B0A">
                                <w:rPr>
                                  <w:b/>
                                  <w:i/>
                                  <w:iCs/>
                                  <w:color w:val="000000"/>
                                </w:rPr>
                                <w:t>i</w:t>
                              </w:r>
                            </w:p>
                          </w:txbxContent>
                        </v:textbox>
                      </v:rect>
                    </v:group>
                  </w:pict>
                </mc:Fallback>
              </mc:AlternateContent>
            </w:r>
            <w:r w:rsidRPr="0013396E">
              <w:rPr>
                <w:b/>
                <w:position w:val="30"/>
                <w:sz w:val="20"/>
              </w:rPr>
              <w:t>PRC</w:t>
            </w:r>
            <w:r w:rsidRPr="0013396E">
              <w:rPr>
                <w:b/>
                <w:position w:val="30"/>
                <w:sz w:val="20"/>
                <w:vertAlign w:val="subscript"/>
              </w:rPr>
              <w:t>5</w:t>
            </w:r>
            <w:r w:rsidRPr="0013396E">
              <w:rPr>
                <w:b/>
                <w:position w:val="30"/>
                <w:sz w:val="20"/>
              </w:rPr>
              <w:t xml:space="preserve"> =</w:t>
            </w:r>
            <w:r w:rsidRPr="0013396E">
              <w:rPr>
                <w:b/>
                <w:position w:val="30"/>
                <w:sz w:val="20"/>
              </w:rPr>
              <w:tab/>
              <w:t>Min(Max((LRDF_1*Actual Net Telemetered Consumption – LPC)</w:t>
            </w:r>
            <w:r w:rsidRPr="0013396E">
              <w:rPr>
                <w:b/>
                <w:position w:val="30"/>
                <w:sz w:val="20"/>
                <w:vertAlign w:val="subscript"/>
              </w:rPr>
              <w:t>i</w:t>
            </w:r>
            <w:r w:rsidRPr="0013396E">
              <w:rPr>
                <w:b/>
                <w:position w:val="30"/>
                <w:sz w:val="20"/>
              </w:rPr>
              <w:t>, 0.0), (0.2 * LRDF_1 * Actual Net Telemetered Consumption)) from all CLRs active in SCED and qualified for Regulation Service and/or RRS with an Ancillary Service Resource award</w:t>
            </w:r>
          </w:p>
          <w:p w14:paraId="268D1C10" w14:textId="25729E33" w:rsidR="001B6149" w:rsidRPr="001B6149" w:rsidRDefault="001B6149" w:rsidP="0099759E">
            <w:pPr>
              <w:tabs>
                <w:tab w:val="left" w:pos="1080"/>
              </w:tabs>
              <w:spacing w:after="60"/>
              <w:rPr>
                <w:iCs/>
                <w:sz w:val="20"/>
              </w:rPr>
            </w:pPr>
          </w:p>
        </w:tc>
      </w:tr>
    </w:tbl>
    <w:p w14:paraId="76978A48" w14:textId="77777777" w:rsidR="001B6149" w:rsidRDefault="001B6149" w:rsidP="00422B96">
      <w:pPr>
        <w:tabs>
          <w:tab w:val="left" w:pos="2160"/>
        </w:tabs>
        <w:ind w:left="2160" w:hanging="2160"/>
        <w:rPr>
          <w:b/>
          <w:position w:val="30"/>
          <w:sz w:val="20"/>
        </w:rPr>
      </w:pPr>
    </w:p>
    <w:p w14:paraId="7E5797B2" w14:textId="2B30B2C2" w:rsidR="00422B96" w:rsidRPr="0013396E" w:rsidRDefault="00422B96" w:rsidP="00422B96">
      <w:pPr>
        <w:tabs>
          <w:tab w:val="left" w:pos="2160"/>
        </w:tabs>
        <w:ind w:left="2160" w:hanging="2160"/>
        <w:rPr>
          <w:b/>
          <w:position w:val="30"/>
          <w:sz w:val="20"/>
        </w:rPr>
      </w:pPr>
      <w:r w:rsidRPr="0013396E">
        <w:rPr>
          <w:noProof/>
        </w:rPr>
        <mc:AlternateContent>
          <mc:Choice Requires="wpc">
            <w:drawing>
              <wp:anchor distT="0" distB="0" distL="114300" distR="114300" simplePos="0" relativeHeight="251703296" behindDoc="0" locked="0" layoutInCell="1" allowOverlap="1" wp14:anchorId="2804B27F" wp14:editId="57406875">
                <wp:simplePos x="0" y="0"/>
                <wp:positionH relativeFrom="column">
                  <wp:posOffset>520526</wp:posOffset>
                </wp:positionH>
                <wp:positionV relativeFrom="paragraph">
                  <wp:posOffset>-95885</wp:posOffset>
                </wp:positionV>
                <wp:extent cx="737870" cy="1338580"/>
                <wp:effectExtent l="0" t="2540" r="0" b="1905"/>
                <wp:wrapNone/>
                <wp:docPr id="1854076132" name="Canvas 8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380402722" name="Rectangle 95"/>
                        <wps:cNvSpPr>
                          <a:spLocks noChangeArrowheads="1"/>
                        </wps:cNvSpPr>
                        <wps:spPr bwMode="auto">
                          <a:xfrm>
                            <a:off x="180340" y="600075"/>
                            <a:ext cx="145415"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9E10CB" w14:textId="77777777" w:rsidR="00422B96" w:rsidRPr="00B074A0" w:rsidRDefault="00422B96" w:rsidP="00422B96">
                              <w:pPr>
                                <w:rPr>
                                  <w:sz w:val="32"/>
                                  <w:szCs w:val="32"/>
                                </w:rPr>
                              </w:pPr>
                              <w:r w:rsidRPr="00B074A0">
                                <w:rPr>
                                  <w:rFonts w:ascii="Symbol" w:hAnsi="Symbol" w:cs="Symbol"/>
                                  <w:color w:val="000000"/>
                                  <w:sz w:val="32"/>
                                  <w:szCs w:val="32"/>
                                </w:rPr>
                                <w:t></w:t>
                              </w:r>
                            </w:p>
                          </w:txbxContent>
                        </wps:txbx>
                        <wps:bodyPr rot="0" vert="horz" wrap="none" lIns="0" tIns="0" rIns="0" bIns="0" anchor="t" anchorCtr="0" upright="1">
                          <a:spAutoFit/>
                        </wps:bodyPr>
                      </wps:wsp>
                      <wps:wsp>
                        <wps:cNvPr id="1621258976" name="Rectangle 96"/>
                        <wps:cNvSpPr>
                          <a:spLocks noChangeArrowheads="1"/>
                        </wps:cNvSpPr>
                        <wps:spPr bwMode="auto">
                          <a:xfrm>
                            <a:off x="102235" y="848995"/>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5237B7" w14:textId="77777777" w:rsidR="00422B96" w:rsidRDefault="00422B96" w:rsidP="00422B96">
                              <w:r>
                                <w:rPr>
                                  <w:rFonts w:ascii="Symbol" w:hAnsi="Symbol" w:cs="Symbol"/>
                                  <w:color w:val="000000"/>
                                </w:rPr>
                                <w:t></w:t>
                              </w:r>
                            </w:p>
                          </w:txbxContent>
                        </wps:txbx>
                        <wps:bodyPr rot="0" vert="horz" wrap="none" lIns="0" tIns="0" rIns="0" bIns="0" anchor="t" anchorCtr="0" upright="1">
                          <a:spAutoFit/>
                        </wps:bodyPr>
                      </wps:wsp>
                      <wps:wsp>
                        <wps:cNvPr id="1631298105" name="Rectangle 97"/>
                        <wps:cNvSpPr>
                          <a:spLocks noChangeArrowheads="1"/>
                        </wps:cNvSpPr>
                        <wps:spPr bwMode="auto">
                          <a:xfrm>
                            <a:off x="36195" y="401955"/>
                            <a:ext cx="6013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6CC4D1" w14:textId="77777777" w:rsidR="00422B96" w:rsidRPr="00B34B0A" w:rsidRDefault="00422B96" w:rsidP="00422B96">
                              <w:pPr>
                                <w:rPr>
                                  <w:b/>
                                </w:rPr>
                              </w:pPr>
                              <w:r w:rsidRPr="00B34B0A">
                                <w:rPr>
                                  <w:b/>
                                  <w:i/>
                                  <w:iCs/>
                                  <w:color w:val="000000"/>
                                </w:rPr>
                                <w:t>resources</w:t>
                              </w:r>
                            </w:p>
                          </w:txbxContent>
                        </wps:txbx>
                        <wps:bodyPr rot="0" vert="horz" wrap="none" lIns="0" tIns="0" rIns="0" bIns="0" anchor="t" anchorCtr="0" upright="1">
                          <a:spAutoFit/>
                        </wps:bodyPr>
                      </wps:wsp>
                      <wps:wsp>
                        <wps:cNvPr id="905548542" name="Rectangle 98"/>
                        <wps:cNvSpPr>
                          <a:spLocks noChangeArrowheads="1"/>
                        </wps:cNvSpPr>
                        <wps:spPr bwMode="auto">
                          <a:xfrm>
                            <a:off x="32385" y="267970"/>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7D1CCD" w14:textId="77777777" w:rsidR="00422B96" w:rsidRPr="00B34B0A" w:rsidRDefault="00422B96" w:rsidP="00422B96">
                              <w:pPr>
                                <w:rPr>
                                  <w:b/>
                                </w:rPr>
                              </w:pPr>
                              <w:r w:rsidRPr="00B34B0A">
                                <w:rPr>
                                  <w:b/>
                                  <w:i/>
                                  <w:iCs/>
                                  <w:color w:val="000000"/>
                                </w:rPr>
                                <w:t>load</w:t>
                              </w:r>
                            </w:p>
                          </w:txbxContent>
                        </wps:txbx>
                        <wps:bodyPr rot="0" vert="horz" wrap="none" lIns="0" tIns="0" rIns="0" bIns="0" anchor="t" anchorCtr="0" upright="1">
                          <a:spAutoFit/>
                        </wps:bodyPr>
                      </wps:wsp>
                      <wps:wsp>
                        <wps:cNvPr id="499252107" name="Rectangle 99"/>
                        <wps:cNvSpPr>
                          <a:spLocks noChangeArrowheads="1"/>
                        </wps:cNvSpPr>
                        <wps:spPr bwMode="auto">
                          <a:xfrm>
                            <a:off x="34290" y="133985"/>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45D4F2" w14:textId="77777777" w:rsidR="00422B96" w:rsidRPr="00B34B0A" w:rsidRDefault="00422B96" w:rsidP="00422B96">
                              <w:pPr>
                                <w:rPr>
                                  <w:b/>
                                </w:rPr>
                              </w:pPr>
                              <w:r w:rsidRPr="00B34B0A">
                                <w:rPr>
                                  <w:b/>
                                  <w:i/>
                                  <w:iCs/>
                                  <w:color w:val="000000"/>
                                </w:rPr>
                                <w:t>online</w:t>
                              </w:r>
                            </w:p>
                          </w:txbxContent>
                        </wps:txbx>
                        <wps:bodyPr rot="0" vert="horz" wrap="none" lIns="0" tIns="0" rIns="0" bIns="0" anchor="t" anchorCtr="0" upright="1">
                          <a:spAutoFit/>
                        </wps:bodyPr>
                      </wps:wsp>
                      <wps:wsp>
                        <wps:cNvPr id="1839487233" name="Rectangle 100"/>
                        <wps:cNvSpPr>
                          <a:spLocks noChangeArrowheads="1"/>
                        </wps:cNvSpPr>
                        <wps:spPr bwMode="auto">
                          <a:xfrm>
                            <a:off x="46355" y="0"/>
                            <a:ext cx="21780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DBA906" w14:textId="77777777" w:rsidR="00422B96" w:rsidRPr="00B34B0A" w:rsidRDefault="00422B96" w:rsidP="00422B96">
                              <w:pPr>
                                <w:rPr>
                                  <w:b/>
                                </w:rPr>
                              </w:pPr>
                              <w:r w:rsidRPr="00B34B0A">
                                <w:rPr>
                                  <w:b/>
                                  <w:i/>
                                  <w:iCs/>
                                  <w:color w:val="000000"/>
                                </w:rPr>
                                <w:t>All</w:t>
                              </w:r>
                            </w:p>
                          </w:txbxContent>
                        </wps:txbx>
                        <wps:bodyPr rot="0" vert="horz" wrap="square" lIns="0" tIns="0" rIns="0" bIns="0" anchor="t" anchorCtr="0" upright="1">
                          <a:spAutoFit/>
                        </wps:bodyPr>
                      </wps:wsp>
                      <wps:wsp>
                        <wps:cNvPr id="1902218529" name="Rectangle 101"/>
                        <wps:cNvSpPr>
                          <a:spLocks noChangeArrowheads="1"/>
                        </wps:cNvSpPr>
                        <wps:spPr bwMode="auto">
                          <a:xfrm>
                            <a:off x="63500" y="1131570"/>
                            <a:ext cx="5422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6921B2" w14:textId="77777777" w:rsidR="00422B96" w:rsidRPr="00B34B0A" w:rsidRDefault="00422B96" w:rsidP="00422B96">
                              <w:pPr>
                                <w:rPr>
                                  <w:b/>
                                </w:rPr>
                              </w:pPr>
                              <w:r w:rsidRPr="00B34B0A">
                                <w:rPr>
                                  <w:b/>
                                  <w:i/>
                                  <w:iCs/>
                                  <w:color w:val="000000"/>
                                </w:rPr>
                                <w:t>resource</w:t>
                              </w:r>
                            </w:p>
                          </w:txbxContent>
                        </wps:txbx>
                        <wps:bodyPr rot="0" vert="horz" wrap="none" lIns="0" tIns="0" rIns="0" bIns="0" anchor="t" anchorCtr="0" upright="1">
                          <a:spAutoFit/>
                        </wps:bodyPr>
                      </wps:wsp>
                      <wps:wsp>
                        <wps:cNvPr id="1001645410" name="Rectangle 102"/>
                        <wps:cNvSpPr>
                          <a:spLocks noChangeArrowheads="1"/>
                        </wps:cNvSpPr>
                        <wps:spPr bwMode="auto">
                          <a:xfrm>
                            <a:off x="59055" y="997585"/>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41D249" w14:textId="77777777" w:rsidR="00422B96" w:rsidRPr="00B34B0A" w:rsidRDefault="00422B96" w:rsidP="00422B96">
                              <w:pPr>
                                <w:rPr>
                                  <w:b/>
                                </w:rPr>
                              </w:pPr>
                              <w:r w:rsidRPr="00B34B0A">
                                <w:rPr>
                                  <w:b/>
                                  <w:i/>
                                  <w:iCs/>
                                  <w:color w:val="000000"/>
                                </w:rPr>
                                <w:t>load</w:t>
                              </w:r>
                            </w:p>
                          </w:txbxContent>
                        </wps:txbx>
                        <wps:bodyPr rot="0" vert="horz" wrap="none" lIns="0" tIns="0" rIns="0" bIns="0" anchor="t" anchorCtr="0" upright="1">
                          <a:spAutoFit/>
                        </wps:bodyPr>
                      </wps:wsp>
                      <wps:wsp>
                        <wps:cNvPr id="676622" name="Rectangle 103"/>
                        <wps:cNvSpPr>
                          <a:spLocks noChangeArrowheads="1"/>
                        </wps:cNvSpPr>
                        <wps:spPr bwMode="auto">
                          <a:xfrm>
                            <a:off x="175260" y="863600"/>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64D6C3" w14:textId="77777777" w:rsidR="00422B96" w:rsidRPr="00B34B0A" w:rsidRDefault="00422B96" w:rsidP="00422B96">
                              <w:pPr>
                                <w:rPr>
                                  <w:b/>
                                </w:rPr>
                              </w:pPr>
                              <w:r w:rsidRPr="00B34B0A">
                                <w:rPr>
                                  <w:b/>
                                  <w:i/>
                                  <w:iCs/>
                                  <w:color w:val="000000"/>
                                </w:rPr>
                                <w:t>online</w:t>
                              </w:r>
                            </w:p>
                          </w:txbxContent>
                        </wps:txbx>
                        <wps:bodyPr rot="0" vert="horz" wrap="none" lIns="0" tIns="0" rIns="0" bIns="0" anchor="t" anchorCtr="0" upright="1">
                          <a:spAutoFit/>
                        </wps:bodyPr>
                      </wps:wsp>
                      <wps:wsp>
                        <wps:cNvPr id="1065061133" name="Rectangle 104"/>
                        <wps:cNvSpPr>
                          <a:spLocks noChangeArrowheads="1"/>
                        </wps:cNvSpPr>
                        <wps:spPr bwMode="auto">
                          <a:xfrm>
                            <a:off x="59055" y="863600"/>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3D2C4B" w14:textId="77777777" w:rsidR="00422B96" w:rsidRPr="00B34B0A" w:rsidRDefault="00422B96" w:rsidP="00422B96">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2804B27F" id="Canvas 80" o:spid="_x0000_s1165" editas="canvas" style="position:absolute;left:0;text-align:left;margin-left:41pt;margin-top:-7.55pt;width:58.1pt;height:105.4pt;z-index:251703296" coordsize="7378,13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">
                <v:shape id="_x0000_s1166" type="#_x0000_t75" style="position:absolute;width:7378;height:13385;visibility:visible;mso-wrap-style:square">
                  <v:fill o:detectmouseclick="t"/>
                  <v:path o:connecttype="none"/>
                </v:shape>
                <v:rect id="Rectangle 95" o:spid="_x0000_s1167" style="position:absolute;left:1803;top:6000;width:1454;height:24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" filled="f" stroked="f">
                  <v:textbox style="mso-fit-shape-to-text:t" inset="0,0,0,0">
                    <w:txbxContent>
                      <w:p w14:paraId="109E10CB" w14:textId="77777777" w:rsidR="00422B96" w:rsidRPr="00B074A0" w:rsidRDefault="00422B96" w:rsidP="00422B96">
                        <w:pPr>
                          <w:rPr>
                            <w:sz w:val="32"/>
                            <w:szCs w:val="32"/>
                          </w:rPr>
                        </w:pPr>
                        <w:r w:rsidRPr="00B074A0">
                          <w:rPr>
                            <w:rFonts w:ascii="Symbol" w:hAnsi="Symbol" w:cs="Symbol"/>
                            <w:color w:val="000000"/>
                            <w:sz w:val="32"/>
                            <w:szCs w:val="32"/>
                          </w:rPr>
                          <w:t></w:t>
                        </w:r>
                      </w:p>
                    </w:txbxContent>
                  </v:textbox>
                </v:rect>
                <v:rect id="Rectangle 96" o:spid="_x0000_s1168" style="position:absolute;left:1022;top:8489;width:83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" filled="f" stroked="f">
                  <v:textbox style="mso-fit-shape-to-text:t" inset="0,0,0,0">
                    <w:txbxContent>
                      <w:p w14:paraId="105237B7" w14:textId="77777777" w:rsidR="00422B96" w:rsidRDefault="00422B96" w:rsidP="00422B96">
                        <w:r>
                          <w:rPr>
                            <w:rFonts w:ascii="Symbol" w:hAnsi="Symbol" w:cs="Symbol"/>
                            <w:color w:val="000000"/>
                          </w:rPr>
                          <w:t></w:t>
                        </w:r>
                      </w:p>
                    </w:txbxContent>
                  </v:textbox>
                </v:rect>
                <v:rect id="Rectangle 97" o:spid="_x0000_s1169" style="position:absolute;left:361;top:4019;width:6014;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" filled="f" stroked="f">
                  <v:textbox style="mso-fit-shape-to-text:t" inset="0,0,0,0">
                    <w:txbxContent>
                      <w:p w14:paraId="7B6CC4D1" w14:textId="77777777" w:rsidR="00422B96" w:rsidRPr="00B34B0A" w:rsidRDefault="00422B96" w:rsidP="00422B96">
                        <w:pPr>
                          <w:rPr>
                            <w:b/>
                          </w:rPr>
                        </w:pPr>
                        <w:r w:rsidRPr="00B34B0A">
                          <w:rPr>
                            <w:b/>
                            <w:i/>
                            <w:iCs/>
                            <w:color w:val="000000"/>
                          </w:rPr>
                          <w:t>resources</w:t>
                        </w:r>
                      </w:p>
                    </w:txbxContent>
                  </v:textbox>
                </v:rect>
                <v:rect id="Rectangle 98" o:spid="_x0000_s1170" style="position:absolute;left:323;top:2679;width:271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" filled="f" stroked="f">
                  <v:textbox style="mso-fit-shape-to-text:t" inset="0,0,0,0">
                    <w:txbxContent>
                      <w:p w14:paraId="7E7D1CCD" w14:textId="77777777" w:rsidR="00422B96" w:rsidRPr="00B34B0A" w:rsidRDefault="00422B96" w:rsidP="00422B96">
                        <w:pPr>
                          <w:rPr>
                            <w:b/>
                          </w:rPr>
                        </w:pPr>
                        <w:r w:rsidRPr="00B34B0A">
                          <w:rPr>
                            <w:b/>
                            <w:i/>
                            <w:iCs/>
                            <w:color w:val="000000"/>
                          </w:rPr>
                          <w:t>load</w:t>
                        </w:r>
                      </w:p>
                    </w:txbxContent>
                  </v:textbox>
                </v:rect>
                <v:rect id="Rectangle 99" o:spid="_x0000_s1171" style="position:absolute;left:342;top:1339;width:398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" filled="f" stroked="f">
                  <v:textbox style="mso-fit-shape-to-text:t" inset="0,0,0,0">
                    <w:txbxContent>
                      <w:p w14:paraId="0645D4F2" w14:textId="77777777" w:rsidR="00422B96" w:rsidRPr="00B34B0A" w:rsidRDefault="00422B96" w:rsidP="00422B96">
                        <w:pPr>
                          <w:rPr>
                            <w:b/>
                          </w:rPr>
                        </w:pPr>
                        <w:r w:rsidRPr="00B34B0A">
                          <w:rPr>
                            <w:b/>
                            <w:i/>
                            <w:iCs/>
                            <w:color w:val="000000"/>
                          </w:rPr>
                          <w:t>online</w:t>
                        </w:r>
                      </w:p>
                    </w:txbxContent>
                  </v:textbox>
                </v:rect>
                <v:rect id="Rectangle 100" o:spid="_x0000_s1172" style="position:absolute;left:463;width:2178;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" filled="f" stroked="f">
                  <v:textbox style="mso-fit-shape-to-text:t" inset="0,0,0,0">
                    <w:txbxContent>
                      <w:p w14:paraId="65DBA906" w14:textId="77777777" w:rsidR="00422B96" w:rsidRPr="00B34B0A" w:rsidRDefault="00422B96" w:rsidP="00422B96">
                        <w:pPr>
                          <w:rPr>
                            <w:b/>
                          </w:rPr>
                        </w:pPr>
                        <w:r w:rsidRPr="00B34B0A">
                          <w:rPr>
                            <w:b/>
                            <w:i/>
                            <w:iCs/>
                            <w:color w:val="000000"/>
                          </w:rPr>
                          <w:t>All</w:t>
                        </w:r>
                      </w:p>
                    </w:txbxContent>
                  </v:textbox>
                </v:rect>
                <v:rect id="Rectangle 101" o:spid="_x0000_s1173" style="position:absolute;left:635;top:11315;width:542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" filled="f" stroked="f">
                  <v:textbox style="mso-fit-shape-to-text:t" inset="0,0,0,0">
                    <w:txbxContent>
                      <w:p w14:paraId="3B6921B2" w14:textId="77777777" w:rsidR="00422B96" w:rsidRPr="00B34B0A" w:rsidRDefault="00422B96" w:rsidP="00422B96">
                        <w:pPr>
                          <w:rPr>
                            <w:b/>
                          </w:rPr>
                        </w:pPr>
                        <w:r w:rsidRPr="00B34B0A">
                          <w:rPr>
                            <w:b/>
                            <w:i/>
                            <w:iCs/>
                            <w:color w:val="000000"/>
                          </w:rPr>
                          <w:t>resource</w:t>
                        </w:r>
                      </w:p>
                    </w:txbxContent>
                  </v:textbox>
                </v:rect>
                <v:rect id="Rectangle 102" o:spid="_x0000_s1174" style="position:absolute;left:590;top:9975;width:271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" filled="f" stroked="f">
                  <v:textbox style="mso-fit-shape-to-text:t" inset="0,0,0,0">
                    <w:txbxContent>
                      <w:p w14:paraId="3941D249" w14:textId="77777777" w:rsidR="00422B96" w:rsidRPr="00B34B0A" w:rsidRDefault="00422B96" w:rsidP="00422B96">
                        <w:pPr>
                          <w:rPr>
                            <w:b/>
                          </w:rPr>
                        </w:pPr>
                        <w:r w:rsidRPr="00B34B0A">
                          <w:rPr>
                            <w:b/>
                            <w:i/>
                            <w:iCs/>
                            <w:color w:val="000000"/>
                          </w:rPr>
                          <w:t>load</w:t>
                        </w:r>
                      </w:p>
                    </w:txbxContent>
                  </v:textbox>
                </v:rect>
                <v:rect id="Rectangle 103" o:spid="_x0000_s1175" style="position:absolute;left:1752;top:8636;width:3982;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" filled="f" stroked="f">
                  <v:textbox style="mso-fit-shape-to-text:t" inset="0,0,0,0">
                    <w:txbxContent>
                      <w:p w14:paraId="3364D6C3" w14:textId="77777777" w:rsidR="00422B96" w:rsidRPr="00B34B0A" w:rsidRDefault="00422B96" w:rsidP="00422B96">
                        <w:pPr>
                          <w:rPr>
                            <w:b/>
                          </w:rPr>
                        </w:pPr>
                        <w:r w:rsidRPr="00B34B0A">
                          <w:rPr>
                            <w:b/>
                            <w:i/>
                            <w:iCs/>
                            <w:color w:val="000000"/>
                          </w:rPr>
                          <w:t>online</w:t>
                        </w:r>
                      </w:p>
                    </w:txbxContent>
                  </v:textbox>
                </v:rect>
                <v:rect id="Rectangle 104" o:spid="_x0000_s1176" style="position:absolute;left:590;top:8636;width:426;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" filled="f" stroked="f">
                  <v:textbox style="mso-fit-shape-to-text:t" inset="0,0,0,0">
                    <w:txbxContent>
                      <w:p w14:paraId="2C3D2C4B" w14:textId="77777777" w:rsidR="00422B96" w:rsidRPr="00B34B0A" w:rsidRDefault="00422B96" w:rsidP="00422B96">
                        <w:pPr>
                          <w:rPr>
                            <w:b/>
                          </w:rPr>
                        </w:pPr>
                        <w:r w:rsidRPr="00B34B0A">
                          <w:rPr>
                            <w:b/>
                            <w:i/>
                            <w:iCs/>
                            <w:color w:val="000000"/>
                          </w:rPr>
                          <w:t>i</w:t>
                        </w:r>
                      </w:p>
                    </w:txbxContent>
                  </v:textbox>
                </v:rect>
              </v:group>
            </w:pict>
          </mc:Fallback>
        </mc:AlternateContent>
      </w:r>
      <w:r w:rsidRPr="0013396E">
        <w:rPr>
          <w:b/>
          <w:position w:val="30"/>
          <w:sz w:val="20"/>
        </w:rPr>
        <w:t>PRC</w:t>
      </w:r>
      <w:r w:rsidRPr="0013396E">
        <w:rPr>
          <w:b/>
          <w:position w:val="30"/>
          <w:sz w:val="20"/>
          <w:vertAlign w:val="subscript"/>
        </w:rPr>
        <w:t>6</w:t>
      </w:r>
      <w:r w:rsidRPr="0013396E">
        <w:rPr>
          <w:b/>
          <w:position w:val="30"/>
          <w:sz w:val="20"/>
        </w:rPr>
        <w:t xml:space="preserve"> =</w:t>
      </w:r>
      <w:r w:rsidRPr="0013396E">
        <w:rPr>
          <w:b/>
          <w:position w:val="30"/>
          <w:sz w:val="20"/>
        </w:rPr>
        <w:tab/>
        <w:t>Min(Max((LRDF_2 * Actual Net Telemetered Consumption – LPC)</w:t>
      </w:r>
      <w:r w:rsidRPr="0013396E">
        <w:rPr>
          <w:b/>
          <w:position w:val="30"/>
          <w:sz w:val="20"/>
          <w:vertAlign w:val="subscript"/>
        </w:rPr>
        <w:t>i</w:t>
      </w:r>
      <w:r w:rsidRPr="0013396E">
        <w:rPr>
          <w:b/>
          <w:position w:val="30"/>
          <w:sz w:val="20"/>
        </w:rPr>
        <w:t>, 0.0), (0.2 * LRDF_2 * Actual Net Telemetered Consumption)) from all CLRs active in SCED without an Ancillary Service Resource award</w:t>
      </w:r>
    </w:p>
    <w:p w14:paraId="01638A7E" w14:textId="77777777" w:rsidR="00422B96" w:rsidRPr="0013396E" w:rsidRDefault="00422B96" w:rsidP="00422B96">
      <w:pPr>
        <w:tabs>
          <w:tab w:val="left" w:pos="2160"/>
        </w:tabs>
        <w:ind w:left="2160" w:hanging="2160"/>
        <w:rPr>
          <w:b/>
          <w:position w:val="3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1B6149" w:rsidRPr="0013396E" w14:paraId="6C8D6C98" w14:textId="77777777" w:rsidTr="0099759E">
        <w:trPr>
          <w:trHeight w:val="206"/>
        </w:trPr>
        <w:tc>
          <w:tcPr>
            <w:tcW w:w="9350" w:type="dxa"/>
            <w:shd w:val="pct12" w:color="auto" w:fill="auto"/>
          </w:tcPr>
          <w:p w14:paraId="6CB0F5B3" w14:textId="58BFC55F" w:rsidR="001B6149" w:rsidRPr="0013396E" w:rsidRDefault="001B6149" w:rsidP="0099759E">
            <w:pPr>
              <w:spacing w:before="120" w:after="240"/>
              <w:rPr>
                <w:b/>
                <w:i/>
                <w:iCs/>
                <w:szCs w:val="24"/>
              </w:rPr>
            </w:pPr>
            <w:r w:rsidRPr="0013396E">
              <w:rPr>
                <w:b/>
                <w:i/>
                <w:iCs/>
                <w:szCs w:val="24"/>
              </w:rPr>
              <w:t>[NPRR</w:t>
            </w:r>
            <w:r>
              <w:rPr>
                <w:b/>
                <w:i/>
                <w:iCs/>
                <w:szCs w:val="24"/>
              </w:rPr>
              <w:t>1244</w:t>
            </w:r>
            <w:r w:rsidRPr="0013396E">
              <w:rPr>
                <w:b/>
                <w:i/>
                <w:iCs/>
                <w:szCs w:val="24"/>
              </w:rPr>
              <w:t xml:space="preserve">:  Replace </w:t>
            </w:r>
            <w:r>
              <w:rPr>
                <w:b/>
                <w:i/>
                <w:iCs/>
                <w:szCs w:val="24"/>
              </w:rPr>
              <w:t>the formula “PRC</w:t>
            </w:r>
            <w:r w:rsidRPr="001B6149">
              <w:rPr>
                <w:b/>
                <w:i/>
                <w:iCs/>
                <w:szCs w:val="24"/>
                <w:vertAlign w:val="subscript"/>
              </w:rPr>
              <w:t>6</w:t>
            </w:r>
            <w:r>
              <w:rPr>
                <w:b/>
                <w:i/>
                <w:iCs/>
                <w:szCs w:val="24"/>
              </w:rPr>
              <w:t xml:space="preserve">” </w:t>
            </w:r>
            <w:r w:rsidRPr="0013396E">
              <w:rPr>
                <w:b/>
                <w:i/>
                <w:iCs/>
                <w:szCs w:val="24"/>
              </w:rPr>
              <w:t>above with the following upon system implementation:]</w:t>
            </w:r>
          </w:p>
          <w:p w14:paraId="23B186CF" w14:textId="27F4AF44" w:rsidR="001B6149" w:rsidRPr="001B6149" w:rsidRDefault="001B6149" w:rsidP="001B6149">
            <w:pPr>
              <w:tabs>
                <w:tab w:val="left" w:pos="2160"/>
              </w:tabs>
              <w:ind w:left="2160" w:hanging="2160"/>
              <w:rPr>
                <w:b/>
                <w:position w:val="30"/>
                <w:sz w:val="20"/>
              </w:rPr>
            </w:pPr>
            <w:r w:rsidRPr="0013396E">
              <w:rPr>
                <w:noProof/>
              </w:rPr>
              <mc:AlternateContent>
                <mc:Choice Requires="wpc">
                  <w:drawing>
                    <wp:anchor distT="0" distB="0" distL="114300" distR="114300" simplePos="0" relativeHeight="251711488" behindDoc="0" locked="0" layoutInCell="1" allowOverlap="1" wp14:anchorId="585B490B" wp14:editId="410DFDDE">
                      <wp:simplePos x="0" y="0"/>
                      <wp:positionH relativeFrom="column">
                        <wp:posOffset>520526</wp:posOffset>
                      </wp:positionH>
                      <wp:positionV relativeFrom="paragraph">
                        <wp:posOffset>-95885</wp:posOffset>
                      </wp:positionV>
                      <wp:extent cx="737870" cy="1338580"/>
                      <wp:effectExtent l="0" t="2540" r="0" b="1905"/>
                      <wp:wrapNone/>
                      <wp:docPr id="1207316463" name="Canvas 8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376957888" name="Rectangle 95"/>
                              <wps:cNvSpPr>
                                <a:spLocks noChangeArrowheads="1"/>
                              </wps:cNvSpPr>
                              <wps:spPr bwMode="auto">
                                <a:xfrm>
                                  <a:off x="180340" y="600075"/>
                                  <a:ext cx="145415"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74A3A6" w14:textId="77777777" w:rsidR="001B6149" w:rsidRPr="00B074A0" w:rsidRDefault="001B6149" w:rsidP="001B6149">
                                    <w:pPr>
                                      <w:rPr>
                                        <w:sz w:val="32"/>
                                        <w:szCs w:val="32"/>
                                      </w:rPr>
                                    </w:pPr>
                                    <w:r w:rsidRPr="00B074A0">
                                      <w:rPr>
                                        <w:rFonts w:ascii="Symbol" w:hAnsi="Symbol" w:cs="Symbol"/>
                                        <w:color w:val="000000"/>
                                        <w:sz w:val="32"/>
                                        <w:szCs w:val="32"/>
                                      </w:rPr>
                                      <w:t></w:t>
                                    </w:r>
                                  </w:p>
                                </w:txbxContent>
                              </wps:txbx>
                              <wps:bodyPr rot="0" vert="horz" wrap="none" lIns="0" tIns="0" rIns="0" bIns="0" anchor="t" anchorCtr="0" upright="1">
                                <a:spAutoFit/>
                              </wps:bodyPr>
                            </wps:wsp>
                            <wps:wsp>
                              <wps:cNvPr id="934221520" name="Rectangle 96"/>
                              <wps:cNvSpPr>
                                <a:spLocks noChangeArrowheads="1"/>
                              </wps:cNvSpPr>
                              <wps:spPr bwMode="auto">
                                <a:xfrm>
                                  <a:off x="102235" y="848995"/>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B6D13A" w14:textId="77777777" w:rsidR="001B6149" w:rsidRDefault="001B6149" w:rsidP="001B6149">
                                    <w:r>
                                      <w:rPr>
                                        <w:rFonts w:ascii="Symbol" w:hAnsi="Symbol" w:cs="Symbol"/>
                                        <w:color w:val="000000"/>
                                      </w:rPr>
                                      <w:t></w:t>
                                    </w:r>
                                  </w:p>
                                </w:txbxContent>
                              </wps:txbx>
                              <wps:bodyPr rot="0" vert="horz" wrap="none" lIns="0" tIns="0" rIns="0" bIns="0" anchor="t" anchorCtr="0" upright="1">
                                <a:spAutoFit/>
                              </wps:bodyPr>
                            </wps:wsp>
                            <wps:wsp>
                              <wps:cNvPr id="259781581" name="Rectangle 97"/>
                              <wps:cNvSpPr>
                                <a:spLocks noChangeArrowheads="1"/>
                              </wps:cNvSpPr>
                              <wps:spPr bwMode="auto">
                                <a:xfrm>
                                  <a:off x="36195" y="401955"/>
                                  <a:ext cx="6013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856134" w14:textId="77777777" w:rsidR="001B6149" w:rsidRPr="00B34B0A" w:rsidRDefault="001B6149" w:rsidP="001B6149">
                                    <w:pPr>
                                      <w:rPr>
                                        <w:b/>
                                      </w:rPr>
                                    </w:pPr>
                                    <w:r w:rsidRPr="00B34B0A">
                                      <w:rPr>
                                        <w:b/>
                                        <w:i/>
                                        <w:iCs/>
                                        <w:color w:val="000000"/>
                                      </w:rPr>
                                      <w:t>resources</w:t>
                                    </w:r>
                                  </w:p>
                                </w:txbxContent>
                              </wps:txbx>
                              <wps:bodyPr rot="0" vert="horz" wrap="none" lIns="0" tIns="0" rIns="0" bIns="0" anchor="t" anchorCtr="0" upright="1">
                                <a:spAutoFit/>
                              </wps:bodyPr>
                            </wps:wsp>
                            <wps:wsp>
                              <wps:cNvPr id="719879981" name="Rectangle 98"/>
                              <wps:cNvSpPr>
                                <a:spLocks noChangeArrowheads="1"/>
                              </wps:cNvSpPr>
                              <wps:spPr bwMode="auto">
                                <a:xfrm>
                                  <a:off x="32385" y="267970"/>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EEFE82" w14:textId="77777777" w:rsidR="001B6149" w:rsidRPr="00B34B0A" w:rsidRDefault="001B6149" w:rsidP="001B6149">
                                    <w:pPr>
                                      <w:rPr>
                                        <w:b/>
                                      </w:rPr>
                                    </w:pPr>
                                    <w:r w:rsidRPr="00B34B0A">
                                      <w:rPr>
                                        <w:b/>
                                        <w:i/>
                                        <w:iCs/>
                                        <w:color w:val="000000"/>
                                      </w:rPr>
                                      <w:t>load</w:t>
                                    </w:r>
                                  </w:p>
                                </w:txbxContent>
                              </wps:txbx>
                              <wps:bodyPr rot="0" vert="horz" wrap="none" lIns="0" tIns="0" rIns="0" bIns="0" anchor="t" anchorCtr="0" upright="1">
                                <a:spAutoFit/>
                              </wps:bodyPr>
                            </wps:wsp>
                            <wps:wsp>
                              <wps:cNvPr id="1086772443" name="Rectangle 99"/>
                              <wps:cNvSpPr>
                                <a:spLocks noChangeArrowheads="1"/>
                              </wps:cNvSpPr>
                              <wps:spPr bwMode="auto">
                                <a:xfrm>
                                  <a:off x="34290" y="133985"/>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A662F2" w14:textId="77777777" w:rsidR="001B6149" w:rsidRPr="00B34B0A" w:rsidRDefault="001B6149" w:rsidP="001B6149">
                                    <w:pPr>
                                      <w:rPr>
                                        <w:b/>
                                      </w:rPr>
                                    </w:pPr>
                                    <w:r w:rsidRPr="00B34B0A">
                                      <w:rPr>
                                        <w:b/>
                                        <w:i/>
                                        <w:iCs/>
                                        <w:color w:val="000000"/>
                                      </w:rPr>
                                      <w:t>online</w:t>
                                    </w:r>
                                  </w:p>
                                </w:txbxContent>
                              </wps:txbx>
                              <wps:bodyPr rot="0" vert="horz" wrap="none" lIns="0" tIns="0" rIns="0" bIns="0" anchor="t" anchorCtr="0" upright="1">
                                <a:spAutoFit/>
                              </wps:bodyPr>
                            </wps:wsp>
                            <wps:wsp>
                              <wps:cNvPr id="1567043220" name="Rectangle 100"/>
                              <wps:cNvSpPr>
                                <a:spLocks noChangeArrowheads="1"/>
                              </wps:cNvSpPr>
                              <wps:spPr bwMode="auto">
                                <a:xfrm>
                                  <a:off x="46355" y="0"/>
                                  <a:ext cx="21780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2EADB6" w14:textId="77777777" w:rsidR="001B6149" w:rsidRPr="00B34B0A" w:rsidRDefault="001B6149" w:rsidP="001B6149">
                                    <w:pPr>
                                      <w:rPr>
                                        <w:b/>
                                      </w:rPr>
                                    </w:pPr>
                                    <w:r w:rsidRPr="00B34B0A">
                                      <w:rPr>
                                        <w:b/>
                                        <w:i/>
                                        <w:iCs/>
                                        <w:color w:val="000000"/>
                                      </w:rPr>
                                      <w:t>All</w:t>
                                    </w:r>
                                  </w:p>
                                </w:txbxContent>
                              </wps:txbx>
                              <wps:bodyPr rot="0" vert="horz" wrap="square" lIns="0" tIns="0" rIns="0" bIns="0" anchor="t" anchorCtr="0" upright="1">
                                <a:spAutoFit/>
                              </wps:bodyPr>
                            </wps:wsp>
                            <wps:wsp>
                              <wps:cNvPr id="1027879790" name="Rectangle 101"/>
                              <wps:cNvSpPr>
                                <a:spLocks noChangeArrowheads="1"/>
                              </wps:cNvSpPr>
                              <wps:spPr bwMode="auto">
                                <a:xfrm>
                                  <a:off x="63500" y="1131570"/>
                                  <a:ext cx="5422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CB211E" w14:textId="77777777" w:rsidR="001B6149" w:rsidRPr="00B34B0A" w:rsidRDefault="001B6149" w:rsidP="001B6149">
                                    <w:pPr>
                                      <w:rPr>
                                        <w:b/>
                                      </w:rPr>
                                    </w:pPr>
                                    <w:r w:rsidRPr="00B34B0A">
                                      <w:rPr>
                                        <w:b/>
                                        <w:i/>
                                        <w:iCs/>
                                        <w:color w:val="000000"/>
                                      </w:rPr>
                                      <w:t>resource</w:t>
                                    </w:r>
                                  </w:p>
                                </w:txbxContent>
                              </wps:txbx>
                              <wps:bodyPr rot="0" vert="horz" wrap="none" lIns="0" tIns="0" rIns="0" bIns="0" anchor="t" anchorCtr="0" upright="1">
                                <a:spAutoFit/>
                              </wps:bodyPr>
                            </wps:wsp>
                            <wps:wsp>
                              <wps:cNvPr id="1835690747" name="Rectangle 102"/>
                              <wps:cNvSpPr>
                                <a:spLocks noChangeArrowheads="1"/>
                              </wps:cNvSpPr>
                              <wps:spPr bwMode="auto">
                                <a:xfrm>
                                  <a:off x="59055" y="997585"/>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C25B6F" w14:textId="77777777" w:rsidR="001B6149" w:rsidRPr="00B34B0A" w:rsidRDefault="001B6149" w:rsidP="001B6149">
                                    <w:pPr>
                                      <w:rPr>
                                        <w:b/>
                                      </w:rPr>
                                    </w:pPr>
                                    <w:r w:rsidRPr="00B34B0A">
                                      <w:rPr>
                                        <w:b/>
                                        <w:i/>
                                        <w:iCs/>
                                        <w:color w:val="000000"/>
                                      </w:rPr>
                                      <w:t>load</w:t>
                                    </w:r>
                                  </w:p>
                                </w:txbxContent>
                              </wps:txbx>
                              <wps:bodyPr rot="0" vert="horz" wrap="none" lIns="0" tIns="0" rIns="0" bIns="0" anchor="t" anchorCtr="0" upright="1">
                                <a:spAutoFit/>
                              </wps:bodyPr>
                            </wps:wsp>
                            <wps:wsp>
                              <wps:cNvPr id="1814052275" name="Rectangle 103"/>
                              <wps:cNvSpPr>
                                <a:spLocks noChangeArrowheads="1"/>
                              </wps:cNvSpPr>
                              <wps:spPr bwMode="auto">
                                <a:xfrm>
                                  <a:off x="175260" y="863600"/>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3A7B81" w14:textId="77777777" w:rsidR="001B6149" w:rsidRPr="00B34B0A" w:rsidRDefault="001B6149" w:rsidP="001B6149">
                                    <w:pPr>
                                      <w:rPr>
                                        <w:b/>
                                      </w:rPr>
                                    </w:pPr>
                                    <w:r w:rsidRPr="00B34B0A">
                                      <w:rPr>
                                        <w:b/>
                                        <w:i/>
                                        <w:iCs/>
                                        <w:color w:val="000000"/>
                                      </w:rPr>
                                      <w:t>online</w:t>
                                    </w:r>
                                  </w:p>
                                </w:txbxContent>
                              </wps:txbx>
                              <wps:bodyPr rot="0" vert="horz" wrap="none" lIns="0" tIns="0" rIns="0" bIns="0" anchor="t" anchorCtr="0" upright="1">
                                <a:spAutoFit/>
                              </wps:bodyPr>
                            </wps:wsp>
                            <wps:wsp>
                              <wps:cNvPr id="72178211" name="Rectangle 104"/>
                              <wps:cNvSpPr>
                                <a:spLocks noChangeArrowheads="1"/>
                              </wps:cNvSpPr>
                              <wps:spPr bwMode="auto">
                                <a:xfrm>
                                  <a:off x="59055" y="863600"/>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A0D6F5" w14:textId="77777777" w:rsidR="001B6149" w:rsidRPr="00B34B0A" w:rsidRDefault="001B6149" w:rsidP="001B6149">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585B490B" id="_x0000_s1177" editas="canvas" style="position:absolute;left:0;text-align:left;margin-left:41pt;margin-top:-7.55pt;width:58.1pt;height:105.4pt;z-index:251711488" coordsize="7378,13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">
                      <v:shape id="_x0000_s1178" type="#_x0000_t75" style="position:absolute;width:7378;height:13385;visibility:visible;mso-wrap-style:square">
                        <v:fill o:detectmouseclick="t"/>
                        <v:path o:connecttype="none"/>
                      </v:shape>
                      <v:rect id="Rectangle 95" o:spid="_x0000_s1179" style="position:absolute;left:1803;top:6000;width:1454;height:24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" filled="f" stroked="f">
                        <v:textbox style="mso-fit-shape-to-text:t" inset="0,0,0,0">
                          <w:txbxContent>
                            <w:p w14:paraId="1674A3A6" w14:textId="77777777" w:rsidR="001B6149" w:rsidRPr="00B074A0" w:rsidRDefault="001B6149" w:rsidP="001B6149">
                              <w:pPr>
                                <w:rPr>
                                  <w:sz w:val="32"/>
                                  <w:szCs w:val="32"/>
                                </w:rPr>
                              </w:pPr>
                              <w:r w:rsidRPr="00B074A0">
                                <w:rPr>
                                  <w:rFonts w:ascii="Symbol" w:hAnsi="Symbol" w:cs="Symbol"/>
                                  <w:color w:val="000000"/>
                                  <w:sz w:val="32"/>
                                  <w:szCs w:val="32"/>
                                </w:rPr>
                                <w:t></w:t>
                              </w:r>
                            </w:p>
                          </w:txbxContent>
                        </v:textbox>
                      </v:rect>
                      <v:rect id="Rectangle 96" o:spid="_x0000_s1180" style="position:absolute;left:1022;top:8489;width:83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" filled="f" stroked="f">
                        <v:textbox style="mso-fit-shape-to-text:t" inset="0,0,0,0">
                          <w:txbxContent>
                            <w:p w14:paraId="13B6D13A" w14:textId="77777777" w:rsidR="001B6149" w:rsidRDefault="001B6149" w:rsidP="001B6149">
                              <w:r>
                                <w:rPr>
                                  <w:rFonts w:ascii="Symbol" w:hAnsi="Symbol" w:cs="Symbol"/>
                                  <w:color w:val="000000"/>
                                </w:rPr>
                                <w:t></w:t>
                              </w:r>
                            </w:p>
                          </w:txbxContent>
                        </v:textbox>
                      </v:rect>
                      <v:rect id="Rectangle 97" o:spid="_x0000_s1181" style="position:absolute;left:361;top:4019;width:6014;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" filled="f" stroked="f">
                        <v:textbox style="mso-fit-shape-to-text:t" inset="0,0,0,0">
                          <w:txbxContent>
                            <w:p w14:paraId="67856134" w14:textId="77777777" w:rsidR="001B6149" w:rsidRPr="00B34B0A" w:rsidRDefault="001B6149" w:rsidP="001B6149">
                              <w:pPr>
                                <w:rPr>
                                  <w:b/>
                                </w:rPr>
                              </w:pPr>
                              <w:r w:rsidRPr="00B34B0A">
                                <w:rPr>
                                  <w:b/>
                                  <w:i/>
                                  <w:iCs/>
                                  <w:color w:val="000000"/>
                                </w:rPr>
                                <w:t>resources</w:t>
                              </w:r>
                            </w:p>
                          </w:txbxContent>
                        </v:textbox>
                      </v:rect>
                      <v:rect id="Rectangle 98" o:spid="_x0000_s1182" style="position:absolute;left:323;top:2679;width:271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" filled="f" stroked="f">
                        <v:textbox style="mso-fit-shape-to-text:t" inset="0,0,0,0">
                          <w:txbxContent>
                            <w:p w14:paraId="02EEFE82" w14:textId="77777777" w:rsidR="001B6149" w:rsidRPr="00B34B0A" w:rsidRDefault="001B6149" w:rsidP="001B6149">
                              <w:pPr>
                                <w:rPr>
                                  <w:b/>
                                </w:rPr>
                              </w:pPr>
                              <w:r w:rsidRPr="00B34B0A">
                                <w:rPr>
                                  <w:b/>
                                  <w:i/>
                                  <w:iCs/>
                                  <w:color w:val="000000"/>
                                </w:rPr>
                                <w:t>load</w:t>
                              </w:r>
                            </w:p>
                          </w:txbxContent>
                        </v:textbox>
                      </v:rect>
                      <v:rect id="Rectangle 99" o:spid="_x0000_s1183" style="position:absolute;left:342;top:1339;width:398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" filled="f" stroked="f">
                        <v:textbox style="mso-fit-shape-to-text:t" inset="0,0,0,0">
                          <w:txbxContent>
                            <w:p w14:paraId="25A662F2" w14:textId="77777777" w:rsidR="001B6149" w:rsidRPr="00B34B0A" w:rsidRDefault="001B6149" w:rsidP="001B6149">
                              <w:pPr>
                                <w:rPr>
                                  <w:b/>
                                </w:rPr>
                              </w:pPr>
                              <w:r w:rsidRPr="00B34B0A">
                                <w:rPr>
                                  <w:b/>
                                  <w:i/>
                                  <w:iCs/>
                                  <w:color w:val="000000"/>
                                </w:rPr>
                                <w:t>online</w:t>
                              </w:r>
                            </w:p>
                          </w:txbxContent>
                        </v:textbox>
                      </v:rect>
                      <v:rect id="Rectangle 100" o:spid="_x0000_s1184" style="position:absolute;left:463;width:2178;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" filled="f" stroked="f">
                        <v:textbox style="mso-fit-shape-to-text:t" inset="0,0,0,0">
                          <w:txbxContent>
                            <w:p w14:paraId="7B2EADB6" w14:textId="77777777" w:rsidR="001B6149" w:rsidRPr="00B34B0A" w:rsidRDefault="001B6149" w:rsidP="001B6149">
                              <w:pPr>
                                <w:rPr>
                                  <w:b/>
                                </w:rPr>
                              </w:pPr>
                              <w:r w:rsidRPr="00B34B0A">
                                <w:rPr>
                                  <w:b/>
                                  <w:i/>
                                  <w:iCs/>
                                  <w:color w:val="000000"/>
                                </w:rPr>
                                <w:t>All</w:t>
                              </w:r>
                            </w:p>
                          </w:txbxContent>
                        </v:textbox>
                      </v:rect>
                      <v:rect id="Rectangle 101" o:spid="_x0000_s1185" style="position:absolute;left:635;top:11315;width:542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" filled="f" stroked="f">
                        <v:textbox style="mso-fit-shape-to-text:t" inset="0,0,0,0">
                          <w:txbxContent>
                            <w:p w14:paraId="48CB211E" w14:textId="77777777" w:rsidR="001B6149" w:rsidRPr="00B34B0A" w:rsidRDefault="001B6149" w:rsidP="001B6149">
                              <w:pPr>
                                <w:rPr>
                                  <w:b/>
                                </w:rPr>
                              </w:pPr>
                              <w:r w:rsidRPr="00B34B0A">
                                <w:rPr>
                                  <w:b/>
                                  <w:i/>
                                  <w:iCs/>
                                  <w:color w:val="000000"/>
                                </w:rPr>
                                <w:t>resource</w:t>
                              </w:r>
                            </w:p>
                          </w:txbxContent>
                        </v:textbox>
                      </v:rect>
                      <v:rect id="Rectangle 102" o:spid="_x0000_s1186" style="position:absolute;left:590;top:9975;width:271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" filled="f" stroked="f">
                        <v:textbox style="mso-fit-shape-to-text:t" inset="0,0,0,0">
                          <w:txbxContent>
                            <w:p w14:paraId="33C25B6F" w14:textId="77777777" w:rsidR="001B6149" w:rsidRPr="00B34B0A" w:rsidRDefault="001B6149" w:rsidP="001B6149">
                              <w:pPr>
                                <w:rPr>
                                  <w:b/>
                                </w:rPr>
                              </w:pPr>
                              <w:r w:rsidRPr="00B34B0A">
                                <w:rPr>
                                  <w:b/>
                                  <w:i/>
                                  <w:iCs/>
                                  <w:color w:val="000000"/>
                                </w:rPr>
                                <w:t>load</w:t>
                              </w:r>
                            </w:p>
                          </w:txbxContent>
                        </v:textbox>
                      </v:rect>
                      <v:rect id="Rectangle 103" o:spid="_x0000_s1187" style="position:absolute;left:1752;top:8636;width:3982;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" filled="f" stroked="f">
                        <v:textbox style="mso-fit-shape-to-text:t" inset="0,0,0,0">
                          <w:txbxContent>
                            <w:p w14:paraId="423A7B81" w14:textId="77777777" w:rsidR="001B6149" w:rsidRPr="00B34B0A" w:rsidRDefault="001B6149" w:rsidP="001B6149">
                              <w:pPr>
                                <w:rPr>
                                  <w:b/>
                                </w:rPr>
                              </w:pPr>
                              <w:r w:rsidRPr="00B34B0A">
                                <w:rPr>
                                  <w:b/>
                                  <w:i/>
                                  <w:iCs/>
                                  <w:color w:val="000000"/>
                                </w:rPr>
                                <w:t>online</w:t>
                              </w:r>
                            </w:p>
                          </w:txbxContent>
                        </v:textbox>
                      </v:rect>
                      <v:rect id="Rectangle 104" o:spid="_x0000_s1188" style="position:absolute;left:590;top:8636;width:426;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" filled="f" stroked="f">
                        <v:textbox style="mso-fit-shape-to-text:t" inset="0,0,0,0">
                          <w:txbxContent>
                            <w:p w14:paraId="58A0D6F5" w14:textId="77777777" w:rsidR="001B6149" w:rsidRPr="00B34B0A" w:rsidRDefault="001B6149" w:rsidP="001B6149">
                              <w:pPr>
                                <w:rPr>
                                  <w:b/>
                                </w:rPr>
                              </w:pPr>
                              <w:r w:rsidRPr="00B34B0A">
                                <w:rPr>
                                  <w:b/>
                                  <w:i/>
                                  <w:iCs/>
                                  <w:color w:val="000000"/>
                                </w:rPr>
                                <w:t>i</w:t>
                              </w:r>
                            </w:p>
                          </w:txbxContent>
                        </v:textbox>
                      </v:rect>
                    </v:group>
                  </w:pict>
                </mc:Fallback>
              </mc:AlternateContent>
            </w:r>
            <w:r w:rsidRPr="0013396E">
              <w:rPr>
                <w:b/>
                <w:position w:val="30"/>
                <w:sz w:val="20"/>
              </w:rPr>
              <w:t>PRC</w:t>
            </w:r>
            <w:r w:rsidRPr="0013396E">
              <w:rPr>
                <w:b/>
                <w:position w:val="30"/>
                <w:sz w:val="20"/>
                <w:vertAlign w:val="subscript"/>
              </w:rPr>
              <w:t>6</w:t>
            </w:r>
            <w:r w:rsidRPr="0013396E">
              <w:rPr>
                <w:b/>
                <w:position w:val="30"/>
                <w:sz w:val="20"/>
              </w:rPr>
              <w:t xml:space="preserve"> =</w:t>
            </w:r>
            <w:r w:rsidRPr="0013396E">
              <w:rPr>
                <w:b/>
                <w:position w:val="30"/>
                <w:sz w:val="20"/>
              </w:rPr>
              <w:tab/>
              <w:t>Min(Max((LRDF_2 * Actual Net Telemetered Consumption – LPC)</w:t>
            </w:r>
            <w:r w:rsidRPr="0013396E">
              <w:rPr>
                <w:b/>
                <w:position w:val="30"/>
                <w:sz w:val="20"/>
                <w:vertAlign w:val="subscript"/>
              </w:rPr>
              <w:t>i</w:t>
            </w:r>
            <w:r w:rsidRPr="0013396E">
              <w:rPr>
                <w:b/>
                <w:position w:val="30"/>
                <w:sz w:val="20"/>
              </w:rPr>
              <w:t xml:space="preserve">, 0.0), (0.2 * LRDF_2 * Actual Net Telemetered Consumption)) from all CLRs active in SCED </w:t>
            </w:r>
            <w:r w:rsidRPr="0013396E">
              <w:rPr>
                <w:b/>
                <w:position w:val="30"/>
                <w:sz w:val="20"/>
              </w:rPr>
              <w:lastRenderedPageBreak/>
              <w:t>and qualified for Regulation Service and/or RRS without an Ancillary Service Resource award</w:t>
            </w:r>
          </w:p>
        </w:tc>
      </w:tr>
    </w:tbl>
    <w:p w14:paraId="02453B9B" w14:textId="77777777" w:rsidR="001B6149" w:rsidRPr="0013396E" w:rsidRDefault="001B6149" w:rsidP="00422B96">
      <w:pPr>
        <w:tabs>
          <w:tab w:val="left" w:pos="2160"/>
        </w:tabs>
        <w:ind w:left="2160" w:hanging="2160"/>
        <w:rPr>
          <w:b/>
          <w:position w:val="30"/>
          <w:sz w:val="20"/>
        </w:rPr>
      </w:pPr>
    </w:p>
    <w:p w14:paraId="30915A18" w14:textId="77777777" w:rsidR="00422B96" w:rsidRPr="0013396E" w:rsidRDefault="00422B96" w:rsidP="00422B96">
      <w:pPr>
        <w:tabs>
          <w:tab w:val="left" w:pos="2160"/>
        </w:tabs>
        <w:ind w:left="2160" w:hanging="2160"/>
        <w:rPr>
          <w:b/>
          <w:position w:val="30"/>
          <w:sz w:val="20"/>
          <w:vertAlign w:val="subscript"/>
        </w:rPr>
      </w:pPr>
      <w:r w:rsidRPr="0013396E">
        <w:rPr>
          <w:noProof/>
        </w:rPr>
        <mc:AlternateContent>
          <mc:Choice Requires="wpg">
            <w:drawing>
              <wp:anchor distT="0" distB="0" distL="114300" distR="114300" simplePos="0" relativeHeight="251705344" behindDoc="0" locked="0" layoutInCell="1" allowOverlap="1" wp14:anchorId="5CF444CB" wp14:editId="21FFF5FE">
                <wp:simplePos x="0" y="0"/>
                <wp:positionH relativeFrom="column">
                  <wp:posOffset>556895</wp:posOffset>
                </wp:positionH>
                <wp:positionV relativeFrom="paragraph">
                  <wp:posOffset>-265430</wp:posOffset>
                </wp:positionV>
                <wp:extent cx="2176193" cy="9305290"/>
                <wp:effectExtent l="0" t="0" r="0" b="0"/>
                <wp:wrapNone/>
                <wp:docPr id="1091906159" name="Group 1091906159"/>
                <wp:cNvGraphicFramePr/>
                <a:graphic xmlns:a="http://schemas.openxmlformats.org/drawingml/2006/main">
                  <a:graphicData uri="http://schemas.microsoft.com/office/word/2010/wordprocessingGroup">
                    <wpg:wgp>
                      <wpg:cNvGrpSpPr/>
                      <wpg:grpSpPr>
                        <a:xfrm>
                          <a:off x="0" y="0"/>
                          <a:ext cx="2176193" cy="9305290"/>
                          <a:chOff x="0" y="0"/>
                          <a:chExt cx="2176193" cy="9305290"/>
                        </a:xfrm>
                      </wpg:grpSpPr>
                      <wps:wsp>
                        <wps:cNvPr id="1523999613" name="Rectangle 1523999613"/>
                        <wps:cNvSpPr/>
                        <wps:spPr>
                          <a:xfrm>
                            <a:off x="1438958" y="7966710"/>
                            <a:ext cx="737235" cy="1338580"/>
                          </a:xfrm>
                          <a:prstGeom prst="rect">
                            <a:avLst/>
                          </a:prstGeom>
                          <a:noFill/>
                        </wps:spPr>
                        <wps:bodyPr/>
                      </wps:wsp>
                      <wps:wsp>
                        <wps:cNvPr id="110618679" name="Rectangle 110618679"/>
                        <wps:cNvSpPr>
                          <a:spLocks noChangeArrowheads="1"/>
                        </wps:cNvSpPr>
                        <wps:spPr bwMode="auto">
                          <a:xfrm>
                            <a:off x="139688" y="469893"/>
                            <a:ext cx="244475" cy="420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798A4C" w14:textId="77777777" w:rsidR="00422B96" w:rsidRDefault="00422B96" w:rsidP="00422B96">
                              <w:r>
                                <w:rPr>
                                  <w:rFonts w:ascii="Symbol" w:hAnsi="Symbol" w:cs="Symbol"/>
                                  <w:color w:val="000000"/>
                                  <w:sz w:val="54"/>
                                  <w:szCs w:val="54"/>
                                </w:rPr>
                                <w:t></w:t>
                              </w:r>
                            </w:p>
                          </w:txbxContent>
                        </wps:txbx>
                        <wps:bodyPr rot="0" vert="horz" wrap="none" lIns="0" tIns="0" rIns="0" bIns="0" anchor="t" anchorCtr="0" upright="1">
                          <a:spAutoFit/>
                        </wps:bodyPr>
                      </wps:wsp>
                      <wps:wsp>
                        <wps:cNvPr id="199809170" name="Rectangle 199809170"/>
                        <wps:cNvSpPr>
                          <a:spLocks noChangeArrowheads="1"/>
                        </wps:cNvSpPr>
                        <wps:spPr bwMode="auto">
                          <a:xfrm>
                            <a:off x="69891" y="848987"/>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B6A007" w14:textId="77777777" w:rsidR="00422B96" w:rsidRDefault="00422B96" w:rsidP="00422B96">
                              <w:r>
                                <w:rPr>
                                  <w:rFonts w:ascii="Symbol" w:hAnsi="Symbol" w:cs="Symbol"/>
                                  <w:color w:val="000000"/>
                                </w:rPr>
                                <w:t></w:t>
                              </w:r>
                            </w:p>
                          </w:txbxContent>
                        </wps:txbx>
                        <wps:bodyPr rot="0" vert="horz" wrap="none" lIns="0" tIns="0" rIns="0" bIns="0" anchor="t" anchorCtr="0" upright="1">
                          <a:spAutoFit/>
                        </wps:bodyPr>
                      </wps:wsp>
                      <wps:wsp>
                        <wps:cNvPr id="1555491498" name="Rectangle 1555491498"/>
                        <wps:cNvSpPr>
                          <a:spLocks noChangeArrowheads="1"/>
                        </wps:cNvSpPr>
                        <wps:spPr bwMode="auto">
                          <a:xfrm>
                            <a:off x="3900" y="401994"/>
                            <a:ext cx="6013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0CBA9A" w14:textId="77777777" w:rsidR="00422B96" w:rsidRDefault="00422B96" w:rsidP="00422B96">
                              <w:pPr>
                                <w:rPr>
                                  <w:b/>
                                </w:rPr>
                              </w:pPr>
                              <w:r>
                                <w:rPr>
                                  <w:b/>
                                  <w:i/>
                                  <w:iCs/>
                                  <w:color w:val="000000"/>
                                </w:rPr>
                                <w:t>resources</w:t>
                              </w:r>
                            </w:p>
                          </w:txbxContent>
                        </wps:txbx>
                        <wps:bodyPr rot="0" vert="horz" wrap="none" lIns="0" tIns="0" rIns="0" bIns="0" anchor="t" anchorCtr="0" upright="1">
                          <a:spAutoFit/>
                        </wps:bodyPr>
                      </wps:wsp>
                      <wps:wsp>
                        <wps:cNvPr id="451405393" name="Rectangle 451405393"/>
                        <wps:cNvSpPr>
                          <a:spLocks noChangeArrowheads="1"/>
                        </wps:cNvSpPr>
                        <wps:spPr bwMode="auto">
                          <a:xfrm>
                            <a:off x="0" y="267996"/>
                            <a:ext cx="30670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D0F796" w14:textId="77777777" w:rsidR="00422B96" w:rsidRDefault="00422B96" w:rsidP="00422B96">
                              <w:pPr>
                                <w:rPr>
                                  <w:b/>
                                </w:rPr>
                              </w:pPr>
                              <w:r>
                                <w:rPr>
                                  <w:b/>
                                  <w:i/>
                                  <w:iCs/>
                                  <w:color w:val="000000"/>
                                </w:rPr>
                                <w:t>FFR</w:t>
                              </w:r>
                            </w:p>
                          </w:txbxContent>
                        </wps:txbx>
                        <wps:bodyPr rot="0" vert="horz" wrap="none" lIns="0" tIns="0" rIns="0" bIns="0" anchor="t" anchorCtr="0" upright="1">
                          <a:spAutoFit/>
                        </wps:bodyPr>
                      </wps:wsp>
                      <wps:wsp>
                        <wps:cNvPr id="592910009" name="Rectangle 592910009"/>
                        <wps:cNvSpPr>
                          <a:spLocks noChangeArrowheads="1"/>
                        </wps:cNvSpPr>
                        <wps:spPr bwMode="auto">
                          <a:xfrm>
                            <a:off x="2000" y="133998"/>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162890" w14:textId="77777777" w:rsidR="00422B96" w:rsidRDefault="00422B96" w:rsidP="00422B96">
                              <w:pPr>
                                <w:rPr>
                                  <w:b/>
                                </w:rPr>
                              </w:pPr>
                              <w:r>
                                <w:rPr>
                                  <w:b/>
                                  <w:i/>
                                  <w:iCs/>
                                  <w:color w:val="000000"/>
                                </w:rPr>
                                <w:t>online</w:t>
                              </w:r>
                            </w:p>
                          </w:txbxContent>
                        </wps:txbx>
                        <wps:bodyPr rot="0" vert="horz" wrap="none" lIns="0" tIns="0" rIns="0" bIns="0" anchor="t" anchorCtr="0" upright="1">
                          <a:spAutoFit/>
                        </wps:bodyPr>
                      </wps:wsp>
                      <wps:wsp>
                        <wps:cNvPr id="1125926189" name="Rectangle 1125926189"/>
                        <wps:cNvSpPr>
                          <a:spLocks noChangeArrowheads="1"/>
                        </wps:cNvSpPr>
                        <wps:spPr bwMode="auto">
                          <a:xfrm>
                            <a:off x="14000" y="0"/>
                            <a:ext cx="217810" cy="1751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4C9094" w14:textId="77777777" w:rsidR="00422B96" w:rsidRDefault="00422B96" w:rsidP="00422B96">
                              <w:pPr>
                                <w:rPr>
                                  <w:b/>
                                </w:rPr>
                              </w:pPr>
                              <w:r>
                                <w:rPr>
                                  <w:b/>
                                  <w:i/>
                                  <w:iCs/>
                                  <w:color w:val="000000"/>
                                </w:rPr>
                                <w:t>All</w:t>
                              </w:r>
                            </w:p>
                          </w:txbxContent>
                        </wps:txbx>
                        <wps:bodyPr rot="0" vert="horz" wrap="square" lIns="0" tIns="0" rIns="0" bIns="0" anchor="t" anchorCtr="0" upright="1">
                          <a:spAutoFit/>
                        </wps:bodyPr>
                      </wps:wsp>
                      <wps:wsp>
                        <wps:cNvPr id="1513354785" name="Rectangle 1513354785"/>
                        <wps:cNvSpPr>
                          <a:spLocks noChangeArrowheads="1"/>
                        </wps:cNvSpPr>
                        <wps:spPr bwMode="auto">
                          <a:xfrm>
                            <a:off x="31182" y="1131583"/>
                            <a:ext cx="5422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62DAD3" w14:textId="77777777" w:rsidR="00422B96" w:rsidRDefault="00422B96" w:rsidP="00422B96">
                              <w:pPr>
                                <w:rPr>
                                  <w:b/>
                                </w:rPr>
                              </w:pPr>
                              <w:r>
                                <w:rPr>
                                  <w:b/>
                                  <w:i/>
                                  <w:iCs/>
                                  <w:color w:val="000000"/>
                                </w:rPr>
                                <w:t>resource</w:t>
                              </w:r>
                            </w:p>
                          </w:txbxContent>
                        </wps:txbx>
                        <wps:bodyPr rot="0" vert="horz" wrap="none" lIns="0" tIns="0" rIns="0" bIns="0" anchor="t" anchorCtr="0" upright="1">
                          <a:spAutoFit/>
                        </wps:bodyPr>
                      </wps:wsp>
                      <wps:wsp>
                        <wps:cNvPr id="1768462538" name="Rectangle 1768462538"/>
                        <wps:cNvSpPr>
                          <a:spLocks noChangeArrowheads="1"/>
                        </wps:cNvSpPr>
                        <wps:spPr bwMode="auto">
                          <a:xfrm>
                            <a:off x="26682" y="997585"/>
                            <a:ext cx="30670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057CB1" w14:textId="77777777" w:rsidR="00422B96" w:rsidRDefault="00422B96" w:rsidP="00422B96">
                              <w:pPr>
                                <w:rPr>
                                  <w:b/>
                                </w:rPr>
                              </w:pPr>
                              <w:r>
                                <w:rPr>
                                  <w:b/>
                                  <w:i/>
                                  <w:iCs/>
                                  <w:color w:val="000000"/>
                                </w:rPr>
                                <w:t>FFR</w:t>
                              </w:r>
                            </w:p>
                          </w:txbxContent>
                        </wps:txbx>
                        <wps:bodyPr rot="0" vert="horz" wrap="none" lIns="0" tIns="0" rIns="0" bIns="0" anchor="t" anchorCtr="0" upright="1">
                          <a:spAutoFit/>
                        </wps:bodyPr>
                      </wps:wsp>
                      <wps:wsp>
                        <wps:cNvPr id="890523991" name="Rectangle 890523991"/>
                        <wps:cNvSpPr>
                          <a:spLocks noChangeArrowheads="1"/>
                        </wps:cNvSpPr>
                        <wps:spPr bwMode="auto">
                          <a:xfrm>
                            <a:off x="142849" y="863587"/>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C074B6" w14:textId="77777777" w:rsidR="00422B96" w:rsidRDefault="00422B96" w:rsidP="00422B96">
                              <w:pPr>
                                <w:rPr>
                                  <w:b/>
                                </w:rPr>
                              </w:pPr>
                              <w:r>
                                <w:rPr>
                                  <w:b/>
                                  <w:i/>
                                  <w:iCs/>
                                  <w:color w:val="000000"/>
                                </w:rPr>
                                <w:t>online</w:t>
                              </w:r>
                            </w:p>
                          </w:txbxContent>
                        </wps:txbx>
                        <wps:bodyPr rot="0" vert="horz" wrap="none" lIns="0" tIns="0" rIns="0" bIns="0" anchor="t" anchorCtr="0" upright="1">
                          <a:spAutoFit/>
                        </wps:bodyPr>
                      </wps:wsp>
                      <wps:wsp>
                        <wps:cNvPr id="159795743" name="Rectangle 159795743"/>
                        <wps:cNvSpPr>
                          <a:spLocks noChangeArrowheads="1"/>
                        </wps:cNvSpPr>
                        <wps:spPr bwMode="auto">
                          <a:xfrm>
                            <a:off x="26682" y="863587"/>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10B0E5" w14:textId="77777777" w:rsidR="00422B96" w:rsidRDefault="00422B96" w:rsidP="00422B96">
                              <w:pPr>
                                <w:rPr>
                                  <w:b/>
                                </w:rPr>
                              </w:pPr>
                              <w:r>
                                <w:rPr>
                                  <w:b/>
                                  <w:i/>
                                  <w:iCs/>
                                  <w:color w:val="000000"/>
                                </w:rPr>
                                <w:t>i</w:t>
                              </w:r>
                            </w:p>
                          </w:txbxContent>
                        </wps:txbx>
                        <wps:bodyPr rot="0" vert="horz" wrap="none" lIns="0" tIns="0" rIns="0" bIns="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5CF444CB" id="Group 1091906159" o:spid="_x0000_s1189" style="position:absolute;left:0;text-align:left;margin-left:43.85pt;margin-top:-20.9pt;width:171.35pt;height:732.7pt;z-index:251705344" coordsize="21761,93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">
                <v:rect id="Rectangle 1523999613" o:spid="_x0000_s1190" style="position:absolute;left:14389;top:79667;width:7372;height:13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" filled="f" stroked="f"/>
                <v:rect id="Rectangle 110618679" o:spid="_x0000_s1191" style="position:absolute;left:1396;top:4698;width:2445;height:42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" filled="f" stroked="f">
                  <v:textbox style="mso-fit-shape-to-text:t" inset="0,0,0,0">
                    <w:txbxContent>
                      <w:p w14:paraId="3C798A4C" w14:textId="77777777" w:rsidR="00422B96" w:rsidRDefault="00422B96" w:rsidP="00422B96">
                        <w:r>
                          <w:rPr>
                            <w:rFonts w:ascii="Symbol" w:hAnsi="Symbol" w:cs="Symbol"/>
                            <w:color w:val="000000"/>
                            <w:sz w:val="54"/>
                            <w:szCs w:val="54"/>
                          </w:rPr>
                          <w:t></w:t>
                        </w:r>
                      </w:p>
                    </w:txbxContent>
                  </v:textbox>
                </v:rect>
                <v:rect id="Rectangle 199809170" o:spid="_x0000_s1192" style="position:absolute;left:698;top:8489;width:839;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" filled="f" stroked="f">
                  <v:textbox style="mso-fit-shape-to-text:t" inset="0,0,0,0">
                    <w:txbxContent>
                      <w:p w14:paraId="39B6A007" w14:textId="77777777" w:rsidR="00422B96" w:rsidRDefault="00422B96" w:rsidP="00422B96">
                        <w:r>
                          <w:rPr>
                            <w:rFonts w:ascii="Symbol" w:hAnsi="Symbol" w:cs="Symbol"/>
                            <w:color w:val="000000"/>
                          </w:rPr>
                          <w:t></w:t>
                        </w:r>
                      </w:p>
                    </w:txbxContent>
                  </v:textbox>
                </v:rect>
                <v:rect id="Rectangle 1555491498" o:spid="_x0000_s1193" style="position:absolute;left:39;top:4019;width:6013;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" filled="f" stroked="f">
                  <v:textbox style="mso-fit-shape-to-text:t" inset="0,0,0,0">
                    <w:txbxContent>
                      <w:p w14:paraId="000CBA9A" w14:textId="77777777" w:rsidR="00422B96" w:rsidRDefault="00422B96" w:rsidP="00422B96">
                        <w:pPr>
                          <w:rPr>
                            <w:b/>
                          </w:rPr>
                        </w:pPr>
                        <w:r>
                          <w:rPr>
                            <w:b/>
                            <w:i/>
                            <w:iCs/>
                            <w:color w:val="000000"/>
                          </w:rPr>
                          <w:t>resources</w:t>
                        </w:r>
                      </w:p>
                    </w:txbxContent>
                  </v:textbox>
                </v:rect>
                <v:rect id="Rectangle 451405393" o:spid="_x0000_s1194" style="position:absolute;top:2679;width:3067;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" filled="f" stroked="f">
                  <v:textbox style="mso-fit-shape-to-text:t" inset="0,0,0,0">
                    <w:txbxContent>
                      <w:p w14:paraId="7BD0F796" w14:textId="77777777" w:rsidR="00422B96" w:rsidRDefault="00422B96" w:rsidP="00422B96">
                        <w:pPr>
                          <w:rPr>
                            <w:b/>
                          </w:rPr>
                        </w:pPr>
                        <w:r>
                          <w:rPr>
                            <w:b/>
                            <w:i/>
                            <w:iCs/>
                            <w:color w:val="000000"/>
                          </w:rPr>
                          <w:t>FFR</w:t>
                        </w:r>
                      </w:p>
                    </w:txbxContent>
                  </v:textbox>
                </v:rect>
                <v:rect id="Rectangle 592910009" o:spid="_x0000_s1195" style="position:absolute;left:20;top:1339;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" filled="f" stroked="f">
                  <v:textbox style="mso-fit-shape-to-text:t" inset="0,0,0,0">
                    <w:txbxContent>
                      <w:p w14:paraId="00162890" w14:textId="77777777" w:rsidR="00422B96" w:rsidRDefault="00422B96" w:rsidP="00422B96">
                        <w:pPr>
                          <w:rPr>
                            <w:b/>
                          </w:rPr>
                        </w:pPr>
                        <w:r>
                          <w:rPr>
                            <w:b/>
                            <w:i/>
                            <w:iCs/>
                            <w:color w:val="000000"/>
                          </w:rPr>
                          <w:t>online</w:t>
                        </w:r>
                      </w:p>
                    </w:txbxContent>
                  </v:textbox>
                </v:rect>
                <v:rect id="Rectangle 1125926189" o:spid="_x0000_s1196" style="position:absolute;left:140;width:2178;height:17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" filled="f" stroked="f">
                  <v:textbox style="mso-fit-shape-to-text:t" inset="0,0,0,0">
                    <w:txbxContent>
                      <w:p w14:paraId="544C9094" w14:textId="77777777" w:rsidR="00422B96" w:rsidRDefault="00422B96" w:rsidP="00422B96">
                        <w:pPr>
                          <w:rPr>
                            <w:b/>
                          </w:rPr>
                        </w:pPr>
                        <w:r>
                          <w:rPr>
                            <w:b/>
                            <w:i/>
                            <w:iCs/>
                            <w:color w:val="000000"/>
                          </w:rPr>
                          <w:t>All</w:t>
                        </w:r>
                      </w:p>
                    </w:txbxContent>
                  </v:textbox>
                </v:rect>
                <v:rect id="Rectangle 1513354785" o:spid="_x0000_s1197" style="position:absolute;left:311;top:11315;width:5423;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" filled="f" stroked="f">
                  <v:textbox style="mso-fit-shape-to-text:t" inset="0,0,0,0">
                    <w:txbxContent>
                      <w:p w14:paraId="5162DAD3" w14:textId="77777777" w:rsidR="00422B96" w:rsidRDefault="00422B96" w:rsidP="00422B96">
                        <w:pPr>
                          <w:rPr>
                            <w:b/>
                          </w:rPr>
                        </w:pPr>
                        <w:r>
                          <w:rPr>
                            <w:b/>
                            <w:i/>
                            <w:iCs/>
                            <w:color w:val="000000"/>
                          </w:rPr>
                          <w:t>resource</w:t>
                        </w:r>
                      </w:p>
                    </w:txbxContent>
                  </v:textbox>
                </v:rect>
                <v:rect id="Rectangle 1768462538" o:spid="_x0000_s1198" style="position:absolute;left:266;top:9975;width:3067;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" filled="f" stroked="f">
                  <v:textbox style="mso-fit-shape-to-text:t" inset="0,0,0,0">
                    <w:txbxContent>
                      <w:p w14:paraId="1B057CB1" w14:textId="77777777" w:rsidR="00422B96" w:rsidRDefault="00422B96" w:rsidP="00422B96">
                        <w:pPr>
                          <w:rPr>
                            <w:b/>
                          </w:rPr>
                        </w:pPr>
                        <w:r>
                          <w:rPr>
                            <w:b/>
                            <w:i/>
                            <w:iCs/>
                            <w:color w:val="000000"/>
                          </w:rPr>
                          <w:t>FFR</w:t>
                        </w:r>
                      </w:p>
                    </w:txbxContent>
                  </v:textbox>
                </v:rect>
                <v:rect id="Rectangle 890523991" o:spid="_x0000_s1199" style="position:absolute;left:1428;top:8635;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" filled="f" stroked="f">
                  <v:textbox style="mso-fit-shape-to-text:t" inset="0,0,0,0">
                    <w:txbxContent>
                      <w:p w14:paraId="12C074B6" w14:textId="77777777" w:rsidR="00422B96" w:rsidRDefault="00422B96" w:rsidP="00422B96">
                        <w:pPr>
                          <w:rPr>
                            <w:b/>
                          </w:rPr>
                        </w:pPr>
                        <w:r>
                          <w:rPr>
                            <w:b/>
                            <w:i/>
                            <w:iCs/>
                            <w:color w:val="000000"/>
                          </w:rPr>
                          <w:t>online</w:t>
                        </w:r>
                      </w:p>
                    </w:txbxContent>
                  </v:textbox>
                </v:rect>
                <v:rect id="Rectangle 159795743" o:spid="_x0000_s1200" style="position:absolute;left:266;top:8635;width:426;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" filled="f" stroked="f">
                  <v:textbox style="mso-fit-shape-to-text:t" inset="0,0,0,0">
                    <w:txbxContent>
                      <w:p w14:paraId="4110B0E5" w14:textId="77777777" w:rsidR="00422B96" w:rsidRDefault="00422B96" w:rsidP="00422B96">
                        <w:pPr>
                          <w:rPr>
                            <w:b/>
                          </w:rPr>
                        </w:pPr>
                        <w:r>
                          <w:rPr>
                            <w:b/>
                            <w:i/>
                            <w:iCs/>
                            <w:color w:val="000000"/>
                          </w:rPr>
                          <w:t>i</w:t>
                        </w:r>
                      </w:p>
                    </w:txbxContent>
                  </v:textbox>
                </v:rect>
              </v:group>
            </w:pict>
          </mc:Fallback>
        </mc:AlternateContent>
      </w:r>
      <w:r w:rsidRPr="0013396E">
        <w:rPr>
          <w:b/>
          <w:position w:val="30"/>
          <w:sz w:val="20"/>
        </w:rPr>
        <w:t>PRC</w:t>
      </w:r>
      <w:r w:rsidRPr="0013396E">
        <w:rPr>
          <w:b/>
          <w:position w:val="30"/>
          <w:sz w:val="20"/>
          <w:vertAlign w:val="subscript"/>
        </w:rPr>
        <w:t>7</w:t>
      </w:r>
      <w:r w:rsidRPr="0013396E">
        <w:rPr>
          <w:b/>
          <w:position w:val="30"/>
          <w:sz w:val="20"/>
        </w:rPr>
        <w:t xml:space="preserve"> =</w:t>
      </w:r>
      <w:r w:rsidRPr="0013396E">
        <w:rPr>
          <w:b/>
          <w:position w:val="30"/>
          <w:sz w:val="20"/>
        </w:rPr>
        <w:tab/>
        <w:t>(Capacity from Resources capable of providing FFR)</w:t>
      </w:r>
      <w:r w:rsidRPr="0013396E">
        <w:rPr>
          <w:b/>
          <w:position w:val="30"/>
          <w:sz w:val="20"/>
          <w:vertAlign w:val="subscript"/>
        </w:rPr>
        <w:t>i</w:t>
      </w:r>
    </w:p>
    <w:p w14:paraId="533A2947" w14:textId="77777777" w:rsidR="00422B96" w:rsidRPr="0013396E" w:rsidRDefault="00422B96" w:rsidP="00422B96">
      <w:pPr>
        <w:spacing w:before="480"/>
        <w:ind w:left="720" w:hanging="720"/>
        <w:rPr>
          <w:b/>
          <w:position w:val="30"/>
          <w:sz w:val="20"/>
        </w:rPr>
      </w:pPr>
    </w:p>
    <w:p w14:paraId="794E6B78" w14:textId="77777777" w:rsidR="00422B96" w:rsidRPr="0013396E" w:rsidRDefault="00422B96" w:rsidP="00422B96">
      <w:pPr>
        <w:ind w:left="720" w:hanging="720"/>
        <w:rPr>
          <w:b/>
          <w:position w:val="30"/>
          <w:sz w:val="20"/>
        </w:rPr>
      </w:pPr>
    </w:p>
    <w:p w14:paraId="507DE343" w14:textId="77777777" w:rsidR="00422B96" w:rsidRPr="0013396E" w:rsidRDefault="00422B96" w:rsidP="00422B96">
      <w:pPr>
        <w:tabs>
          <w:tab w:val="left" w:pos="2160"/>
        </w:tabs>
        <w:spacing w:before="480"/>
        <w:ind w:left="2160" w:hanging="2160"/>
        <w:rPr>
          <w:b/>
          <w:position w:val="30"/>
          <w:sz w:val="20"/>
        </w:rPr>
      </w:pPr>
      <w:r w:rsidRPr="0013396E">
        <w:rPr>
          <w:noProof/>
        </w:rPr>
        <mc:AlternateContent>
          <mc:Choice Requires="wpc">
            <w:drawing>
              <wp:anchor distT="0" distB="0" distL="114300" distR="114300" simplePos="0" relativeHeight="251706368" behindDoc="0" locked="0" layoutInCell="1" allowOverlap="1" wp14:anchorId="738CC75E" wp14:editId="7AC966E4">
                <wp:simplePos x="0" y="0"/>
                <wp:positionH relativeFrom="column">
                  <wp:posOffset>483870</wp:posOffset>
                </wp:positionH>
                <wp:positionV relativeFrom="paragraph">
                  <wp:posOffset>43815</wp:posOffset>
                </wp:positionV>
                <wp:extent cx="960755" cy="1369060"/>
                <wp:effectExtent l="0" t="0" r="10795" b="2540"/>
                <wp:wrapNone/>
                <wp:docPr id="1940639163" name="Canvas 10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098048388" name="Rectangle 71"/>
                        <wps:cNvSpPr>
                          <a:spLocks noChangeArrowheads="1"/>
                        </wps:cNvSpPr>
                        <wps:spPr bwMode="auto">
                          <a:xfrm>
                            <a:off x="141991" y="564542"/>
                            <a:ext cx="177800"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77F7CA" w14:textId="77777777" w:rsidR="00422B96" w:rsidRPr="00B074A0" w:rsidRDefault="00422B96" w:rsidP="00422B96">
                              <w:pPr>
                                <w:rPr>
                                  <w:sz w:val="32"/>
                                  <w:szCs w:val="32"/>
                                </w:rPr>
                              </w:pPr>
                              <w:r w:rsidRPr="00B074A0">
                                <w:rPr>
                                  <w:rFonts w:ascii="Symbol" w:hAnsi="Symbol" w:cs="Symbol"/>
                                  <w:color w:val="000000"/>
                                  <w:sz w:val="32"/>
                                  <w:szCs w:val="32"/>
                                </w:rPr>
                                <w:t></w:t>
                              </w:r>
                            </w:p>
                          </w:txbxContent>
                        </wps:txbx>
                        <wps:bodyPr rot="0" vert="horz" wrap="square" lIns="0" tIns="0" rIns="0" bIns="0" anchor="t" anchorCtr="0" upright="1">
                          <a:spAutoFit/>
                        </wps:bodyPr>
                      </wps:wsp>
                      <wps:wsp>
                        <wps:cNvPr id="778211942" name="Rectangle 72"/>
                        <wps:cNvSpPr>
                          <a:spLocks noChangeArrowheads="1"/>
                        </wps:cNvSpPr>
                        <wps:spPr bwMode="auto">
                          <a:xfrm>
                            <a:off x="101606" y="871175"/>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4749FB" w14:textId="77777777" w:rsidR="00422B96" w:rsidRDefault="00422B96" w:rsidP="00422B96">
                              <w:r>
                                <w:rPr>
                                  <w:rFonts w:ascii="Symbol" w:hAnsi="Symbol" w:cs="Symbol"/>
                                  <w:color w:val="000000"/>
                                </w:rPr>
                                <w:t></w:t>
                              </w:r>
                            </w:p>
                          </w:txbxContent>
                        </wps:txbx>
                        <wps:bodyPr rot="0" vert="horz" wrap="none" lIns="0" tIns="0" rIns="0" bIns="0" anchor="t" anchorCtr="0" upright="1">
                          <a:spAutoFit/>
                        </wps:bodyPr>
                      </wps:wsp>
                      <wps:wsp>
                        <wps:cNvPr id="1782246985" name="Rectangle 73"/>
                        <wps:cNvSpPr>
                          <a:spLocks noChangeArrowheads="1"/>
                        </wps:cNvSpPr>
                        <wps:spPr bwMode="auto">
                          <a:xfrm>
                            <a:off x="35602" y="372754"/>
                            <a:ext cx="925153" cy="175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D8AD9C" w14:textId="77777777" w:rsidR="00422B96" w:rsidRPr="00B34B0A" w:rsidRDefault="00422B96" w:rsidP="00422B96">
                              <w:pPr>
                                <w:rPr>
                                  <w:b/>
                                </w:rPr>
                              </w:pPr>
                              <w:r>
                                <w:rPr>
                                  <w:b/>
                                  <w:i/>
                                  <w:iCs/>
                                  <w:color w:val="000000"/>
                                </w:rPr>
                                <w:t>ESR</w:t>
                              </w:r>
                            </w:p>
                          </w:txbxContent>
                        </wps:txbx>
                        <wps:bodyPr rot="0" vert="horz" wrap="square" lIns="0" tIns="0" rIns="0" bIns="0" anchor="t" anchorCtr="0" upright="1">
                          <a:spAutoFit/>
                        </wps:bodyPr>
                      </wps:wsp>
                      <wps:wsp>
                        <wps:cNvPr id="2008437581" name="Rectangle 74"/>
                        <wps:cNvSpPr>
                          <a:spLocks noChangeArrowheads="1"/>
                        </wps:cNvSpPr>
                        <wps:spPr bwMode="auto">
                          <a:xfrm>
                            <a:off x="31702" y="290192"/>
                            <a:ext cx="8255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EFBA99" w14:textId="77777777" w:rsidR="00422B96" w:rsidRPr="00B34B0A" w:rsidRDefault="00422B96" w:rsidP="00422B96">
                              <w:pPr>
                                <w:rPr>
                                  <w:b/>
                                </w:rPr>
                              </w:pPr>
                            </w:p>
                          </w:txbxContent>
                        </wps:txbx>
                        <wps:bodyPr rot="0" vert="horz" wrap="none" lIns="0" tIns="0" rIns="0" bIns="0" anchor="t" anchorCtr="0" upright="1">
                          <a:spAutoFit/>
                        </wps:bodyPr>
                      </wps:wsp>
                      <wps:wsp>
                        <wps:cNvPr id="1722027894" name="Rectangle 75"/>
                        <wps:cNvSpPr>
                          <a:spLocks noChangeArrowheads="1"/>
                        </wps:cNvSpPr>
                        <wps:spPr bwMode="auto">
                          <a:xfrm>
                            <a:off x="25518" y="197459"/>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8BA278" w14:textId="77777777" w:rsidR="00422B96" w:rsidRPr="00B34B0A" w:rsidRDefault="00422B96" w:rsidP="00422B96">
                              <w:pPr>
                                <w:rPr>
                                  <w:b/>
                                </w:rPr>
                              </w:pPr>
                              <w:r w:rsidRPr="00B34B0A">
                                <w:rPr>
                                  <w:b/>
                                  <w:i/>
                                  <w:iCs/>
                                  <w:color w:val="000000"/>
                                </w:rPr>
                                <w:t>online</w:t>
                              </w:r>
                            </w:p>
                          </w:txbxContent>
                        </wps:txbx>
                        <wps:bodyPr rot="0" vert="horz" wrap="none" lIns="0" tIns="0" rIns="0" bIns="0" anchor="t" anchorCtr="0" upright="1">
                          <a:spAutoFit/>
                        </wps:bodyPr>
                      </wps:wsp>
                      <wps:wsp>
                        <wps:cNvPr id="1335982124" name="Rectangle 76"/>
                        <wps:cNvSpPr>
                          <a:spLocks noChangeArrowheads="1"/>
                        </wps:cNvSpPr>
                        <wps:spPr bwMode="auto">
                          <a:xfrm>
                            <a:off x="45703" y="22199"/>
                            <a:ext cx="21780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C3E2AC" w14:textId="77777777" w:rsidR="00422B96" w:rsidRPr="00B34B0A" w:rsidRDefault="00422B96" w:rsidP="00422B96">
                              <w:pPr>
                                <w:rPr>
                                  <w:b/>
                                </w:rPr>
                              </w:pPr>
                              <w:r w:rsidRPr="00B34B0A">
                                <w:rPr>
                                  <w:b/>
                                  <w:i/>
                                  <w:iCs/>
                                  <w:color w:val="000000"/>
                                </w:rPr>
                                <w:t>All</w:t>
                              </w:r>
                            </w:p>
                          </w:txbxContent>
                        </wps:txbx>
                        <wps:bodyPr rot="0" vert="horz" wrap="square" lIns="0" tIns="0" rIns="0" bIns="0" anchor="t" anchorCtr="0" upright="1">
                          <a:spAutoFit/>
                        </wps:bodyPr>
                      </wps:wsp>
                      <wps:wsp>
                        <wps:cNvPr id="1085762482" name="Rectangle 77"/>
                        <wps:cNvSpPr>
                          <a:spLocks noChangeArrowheads="1"/>
                        </wps:cNvSpPr>
                        <wps:spPr bwMode="auto">
                          <a:xfrm>
                            <a:off x="62904" y="1153766"/>
                            <a:ext cx="8255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655560" w14:textId="77777777" w:rsidR="00422B96" w:rsidRPr="00B34B0A" w:rsidRDefault="00422B96" w:rsidP="00422B96">
                              <w:pPr>
                                <w:rPr>
                                  <w:b/>
                                </w:rPr>
                              </w:pPr>
                            </w:p>
                          </w:txbxContent>
                        </wps:txbx>
                        <wps:bodyPr rot="0" vert="horz" wrap="none" lIns="0" tIns="0" rIns="0" bIns="0" anchor="t" anchorCtr="0" upright="1">
                          <a:spAutoFit/>
                        </wps:bodyPr>
                      </wps:wsp>
                      <wps:wsp>
                        <wps:cNvPr id="1340337191" name="Rectangle 78"/>
                        <wps:cNvSpPr>
                          <a:spLocks noChangeArrowheads="1"/>
                        </wps:cNvSpPr>
                        <wps:spPr bwMode="auto">
                          <a:xfrm>
                            <a:off x="58403" y="1019770"/>
                            <a:ext cx="28956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DDF4CA" w14:textId="77777777" w:rsidR="00422B96" w:rsidRPr="00B34B0A" w:rsidRDefault="00422B96" w:rsidP="00422B96">
                              <w:pPr>
                                <w:rPr>
                                  <w:b/>
                                </w:rPr>
                              </w:pPr>
                              <w:r>
                                <w:rPr>
                                  <w:b/>
                                  <w:i/>
                                  <w:iCs/>
                                  <w:color w:val="000000"/>
                                </w:rPr>
                                <w:t>ESR</w:t>
                              </w:r>
                            </w:p>
                          </w:txbxContent>
                        </wps:txbx>
                        <wps:bodyPr rot="0" vert="horz" wrap="none" lIns="0" tIns="0" rIns="0" bIns="0" anchor="t" anchorCtr="0" upright="1">
                          <a:spAutoFit/>
                        </wps:bodyPr>
                      </wps:wsp>
                      <wps:wsp>
                        <wps:cNvPr id="597245290" name="Rectangle 79"/>
                        <wps:cNvSpPr>
                          <a:spLocks noChangeArrowheads="1"/>
                        </wps:cNvSpPr>
                        <wps:spPr bwMode="auto">
                          <a:xfrm>
                            <a:off x="174610" y="885874"/>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3B44F7" w14:textId="77777777" w:rsidR="00422B96" w:rsidRPr="00B34B0A" w:rsidRDefault="00422B96" w:rsidP="00422B96">
                              <w:pPr>
                                <w:rPr>
                                  <w:b/>
                                </w:rPr>
                              </w:pPr>
                              <w:r w:rsidRPr="00B34B0A">
                                <w:rPr>
                                  <w:b/>
                                  <w:i/>
                                  <w:iCs/>
                                  <w:color w:val="000000"/>
                                </w:rPr>
                                <w:t>online</w:t>
                              </w:r>
                            </w:p>
                          </w:txbxContent>
                        </wps:txbx>
                        <wps:bodyPr rot="0" vert="horz" wrap="none" lIns="0" tIns="0" rIns="0" bIns="0" anchor="t" anchorCtr="0" upright="1">
                          <a:spAutoFit/>
                        </wps:bodyPr>
                      </wps:wsp>
                      <wps:wsp>
                        <wps:cNvPr id="487611558" name="Rectangle 80"/>
                        <wps:cNvSpPr>
                          <a:spLocks noChangeArrowheads="1"/>
                        </wps:cNvSpPr>
                        <wps:spPr bwMode="auto">
                          <a:xfrm>
                            <a:off x="58403" y="885874"/>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3FB7E1" w14:textId="77777777" w:rsidR="00422B96" w:rsidRPr="00B34B0A" w:rsidRDefault="00422B96" w:rsidP="00422B96">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738CC75E" id="_x0000_s1201" editas="canvas" style="position:absolute;left:0;text-align:left;margin-left:38.1pt;margin-top:3.45pt;width:75.65pt;height:107.8pt;z-index:251706368" coordsize="9607,13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">
                <v:shape id="_x0000_s1202" type="#_x0000_t75" style="position:absolute;width:9607;height:13690;visibility:visible;mso-wrap-style:square">
                  <v:fill o:detectmouseclick="t"/>
                  <v:path o:connecttype="none"/>
                </v:shape>
                <v:rect id="Rectangle 71" o:spid="_x0000_s1203" style="position:absolute;left:1419;top:5645;width:1778;height:2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" filled="f" stroked="f">
                  <v:textbox style="mso-fit-shape-to-text:t" inset="0,0,0,0">
                    <w:txbxContent>
                      <w:p w14:paraId="3077F7CA" w14:textId="77777777" w:rsidR="00422B96" w:rsidRPr="00B074A0" w:rsidRDefault="00422B96" w:rsidP="00422B96">
                        <w:pPr>
                          <w:rPr>
                            <w:sz w:val="32"/>
                            <w:szCs w:val="32"/>
                          </w:rPr>
                        </w:pPr>
                        <w:r w:rsidRPr="00B074A0">
                          <w:rPr>
                            <w:rFonts w:ascii="Symbol" w:hAnsi="Symbol" w:cs="Symbol"/>
                            <w:color w:val="000000"/>
                            <w:sz w:val="32"/>
                            <w:szCs w:val="32"/>
                          </w:rPr>
                          <w:t></w:t>
                        </w:r>
                      </w:p>
                    </w:txbxContent>
                  </v:textbox>
                </v:rect>
                <v:rect id="Rectangle 72" o:spid="_x0000_s1204" style="position:absolute;left:1016;top:8711;width:83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" filled="f" stroked="f">
                  <v:textbox style="mso-fit-shape-to-text:t" inset="0,0,0,0">
                    <w:txbxContent>
                      <w:p w14:paraId="494749FB" w14:textId="77777777" w:rsidR="00422B96" w:rsidRDefault="00422B96" w:rsidP="00422B96">
                        <w:r>
                          <w:rPr>
                            <w:rFonts w:ascii="Symbol" w:hAnsi="Symbol" w:cs="Symbol"/>
                            <w:color w:val="000000"/>
                          </w:rPr>
                          <w:t></w:t>
                        </w:r>
                      </w:p>
                    </w:txbxContent>
                  </v:textbox>
                </v:rect>
                <v:rect id="Rectangle 73" o:spid="_x0000_s1205" style="position:absolute;left:356;top:3727;width:9251;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" filled="f" stroked="f">
                  <v:textbox style="mso-fit-shape-to-text:t" inset="0,0,0,0">
                    <w:txbxContent>
                      <w:p w14:paraId="1CD8AD9C" w14:textId="77777777" w:rsidR="00422B96" w:rsidRPr="00B34B0A" w:rsidRDefault="00422B96" w:rsidP="00422B96">
                        <w:pPr>
                          <w:rPr>
                            <w:b/>
                          </w:rPr>
                        </w:pPr>
                        <w:r>
                          <w:rPr>
                            <w:b/>
                            <w:i/>
                            <w:iCs/>
                            <w:color w:val="000000"/>
                          </w:rPr>
                          <w:t>ESR</w:t>
                        </w:r>
                      </w:p>
                    </w:txbxContent>
                  </v:textbox>
                </v:rect>
                <v:rect id="Rectangle 74" o:spid="_x0000_s1206" style="position:absolute;left:317;top:2901;width:82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" filled="f" stroked="f">
                  <v:textbox style="mso-fit-shape-to-text:t" inset="0,0,0,0">
                    <w:txbxContent>
                      <w:p w14:paraId="05EFBA99" w14:textId="77777777" w:rsidR="00422B96" w:rsidRPr="00B34B0A" w:rsidRDefault="00422B96" w:rsidP="00422B96">
                        <w:pPr>
                          <w:rPr>
                            <w:b/>
                          </w:rPr>
                        </w:pPr>
                      </w:p>
                    </w:txbxContent>
                  </v:textbox>
                </v:rect>
                <v:rect id="Rectangle 75" o:spid="_x0000_s1207" style="position:absolute;left:255;top:1974;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" filled="f" stroked="f">
                  <v:textbox style="mso-fit-shape-to-text:t" inset="0,0,0,0">
                    <w:txbxContent>
                      <w:p w14:paraId="2B8BA278" w14:textId="77777777" w:rsidR="00422B96" w:rsidRPr="00B34B0A" w:rsidRDefault="00422B96" w:rsidP="00422B96">
                        <w:pPr>
                          <w:rPr>
                            <w:b/>
                          </w:rPr>
                        </w:pPr>
                        <w:r w:rsidRPr="00B34B0A">
                          <w:rPr>
                            <w:b/>
                            <w:i/>
                            <w:iCs/>
                            <w:color w:val="000000"/>
                          </w:rPr>
                          <w:t>online</w:t>
                        </w:r>
                      </w:p>
                    </w:txbxContent>
                  </v:textbox>
                </v:rect>
                <v:rect id="Rectangle 76" o:spid="_x0000_s1208" style="position:absolute;left:457;top:221;width:2178;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" filled="f" stroked="f">
                  <v:textbox style="mso-fit-shape-to-text:t" inset="0,0,0,0">
                    <w:txbxContent>
                      <w:p w14:paraId="2BC3E2AC" w14:textId="77777777" w:rsidR="00422B96" w:rsidRPr="00B34B0A" w:rsidRDefault="00422B96" w:rsidP="00422B96">
                        <w:pPr>
                          <w:rPr>
                            <w:b/>
                          </w:rPr>
                        </w:pPr>
                        <w:r w:rsidRPr="00B34B0A">
                          <w:rPr>
                            <w:b/>
                            <w:i/>
                            <w:iCs/>
                            <w:color w:val="000000"/>
                          </w:rPr>
                          <w:t>All</w:t>
                        </w:r>
                      </w:p>
                    </w:txbxContent>
                  </v:textbox>
                </v:rect>
                <v:rect id="Rectangle 77" o:spid="_x0000_s1209" style="position:absolute;left:629;top:11537;width:82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" filled="f" stroked="f">
                  <v:textbox style="mso-fit-shape-to-text:t" inset="0,0,0,0">
                    <w:txbxContent>
                      <w:p w14:paraId="4C655560" w14:textId="77777777" w:rsidR="00422B96" w:rsidRPr="00B34B0A" w:rsidRDefault="00422B96" w:rsidP="00422B96">
                        <w:pPr>
                          <w:rPr>
                            <w:b/>
                          </w:rPr>
                        </w:pPr>
                      </w:p>
                    </w:txbxContent>
                  </v:textbox>
                </v:rect>
                <v:rect id="Rectangle 78" o:spid="_x0000_s1210" style="position:absolute;left:584;top:10197;width:289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" filled="f" stroked="f">
                  <v:textbox style="mso-fit-shape-to-text:t" inset="0,0,0,0">
                    <w:txbxContent>
                      <w:p w14:paraId="36DDF4CA" w14:textId="77777777" w:rsidR="00422B96" w:rsidRPr="00B34B0A" w:rsidRDefault="00422B96" w:rsidP="00422B96">
                        <w:pPr>
                          <w:rPr>
                            <w:b/>
                          </w:rPr>
                        </w:pPr>
                        <w:r>
                          <w:rPr>
                            <w:b/>
                            <w:i/>
                            <w:iCs/>
                            <w:color w:val="000000"/>
                          </w:rPr>
                          <w:t>ESR</w:t>
                        </w:r>
                      </w:p>
                    </w:txbxContent>
                  </v:textbox>
                </v:rect>
                <v:rect id="Rectangle 79" o:spid="_x0000_s1211" style="position:absolute;left:1746;top:8858;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" filled="f" stroked="f">
                  <v:textbox style="mso-fit-shape-to-text:t" inset="0,0,0,0">
                    <w:txbxContent>
                      <w:p w14:paraId="5C3B44F7" w14:textId="77777777" w:rsidR="00422B96" w:rsidRPr="00B34B0A" w:rsidRDefault="00422B96" w:rsidP="00422B96">
                        <w:pPr>
                          <w:rPr>
                            <w:b/>
                          </w:rPr>
                        </w:pPr>
                        <w:r w:rsidRPr="00B34B0A">
                          <w:rPr>
                            <w:b/>
                            <w:i/>
                            <w:iCs/>
                            <w:color w:val="000000"/>
                          </w:rPr>
                          <w:t>online</w:t>
                        </w:r>
                      </w:p>
                    </w:txbxContent>
                  </v:textbox>
                </v:rect>
                <v:rect id="Rectangle 80" o:spid="_x0000_s1212" style="position:absolute;left:584;top:8858;width:42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" filled="f" stroked="f">
                  <v:textbox style="mso-fit-shape-to-text:t" inset="0,0,0,0">
                    <w:txbxContent>
                      <w:p w14:paraId="4E3FB7E1" w14:textId="77777777" w:rsidR="00422B96" w:rsidRPr="00B34B0A" w:rsidRDefault="00422B96" w:rsidP="00422B96">
                        <w:pPr>
                          <w:rPr>
                            <w:b/>
                          </w:rPr>
                        </w:pPr>
                        <w:r w:rsidRPr="00B34B0A">
                          <w:rPr>
                            <w:b/>
                            <w:i/>
                            <w:iCs/>
                            <w:color w:val="000000"/>
                          </w:rPr>
                          <w:t>i</w:t>
                        </w:r>
                      </w:p>
                    </w:txbxContent>
                  </v:textbox>
                </v:rect>
              </v:group>
            </w:pict>
          </mc:Fallback>
        </mc:AlternateContent>
      </w:r>
      <w:r w:rsidRPr="0013396E">
        <w:rPr>
          <w:b/>
          <w:position w:val="30"/>
          <w:sz w:val="20"/>
        </w:rPr>
        <w:t>PRC</w:t>
      </w:r>
      <w:r w:rsidRPr="0013396E">
        <w:rPr>
          <w:b/>
          <w:position w:val="30"/>
          <w:sz w:val="20"/>
          <w:vertAlign w:val="subscript"/>
        </w:rPr>
        <w:t>8</w:t>
      </w:r>
      <w:r w:rsidRPr="0013396E">
        <w:rPr>
          <w:b/>
          <w:position w:val="30"/>
          <w:sz w:val="20"/>
        </w:rPr>
        <w:t xml:space="preserve"> =</w:t>
      </w:r>
      <w:r w:rsidRPr="0013396E">
        <w:rPr>
          <w:b/>
          <w:position w:val="30"/>
          <w:sz w:val="20"/>
        </w:rPr>
        <w:tab/>
        <w:t xml:space="preserve">Min(X% of MDRR, HSL-Net MW, the capacity that can be sustained for 45 minutes per the State of Charge </w:t>
      </w:r>
    </w:p>
    <w:p w14:paraId="1C3AE229" w14:textId="77777777" w:rsidR="00236E90" w:rsidRDefault="00236E90" w:rsidP="00422B96">
      <w:pPr>
        <w:ind w:left="720" w:hanging="720"/>
        <w:rPr>
          <w:b/>
          <w:position w:val="30"/>
          <w:sz w:val="20"/>
        </w:rPr>
      </w:pPr>
    </w:p>
    <w:p w14:paraId="16654880" w14:textId="1B99CAB1" w:rsidR="00422B96" w:rsidRPr="0013396E" w:rsidRDefault="00422B96" w:rsidP="006039B1">
      <w:pPr>
        <w:ind w:left="720" w:hanging="720"/>
        <w:rPr>
          <w:b/>
          <w:position w:val="30"/>
          <w:sz w:val="20"/>
        </w:rPr>
      </w:pPr>
      <w:r w:rsidRPr="0013396E">
        <w:rPr>
          <w:b/>
          <w:position w:val="30"/>
          <w:sz w:val="20"/>
        </w:rPr>
        <w:t xml:space="preserve">Excludes ESR capacity used to provide FFR. </w:t>
      </w:r>
      <w:r w:rsidR="006039B1">
        <w:rPr>
          <w:b/>
          <w:position w:val="30"/>
          <w:sz w:val="20"/>
        </w:rPr>
        <w:tab/>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6039B1" w:rsidRPr="0013396E" w14:paraId="0FFB959B" w14:textId="77777777" w:rsidTr="00E97C39">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2A372FEB" w14:textId="6AAD26C6" w:rsidR="006039B1" w:rsidRPr="0013396E" w:rsidRDefault="006039B1" w:rsidP="00E97C39">
            <w:pPr>
              <w:spacing w:before="120" w:after="240"/>
              <w:rPr>
                <w:b/>
                <w:i/>
                <w:iCs/>
                <w:szCs w:val="24"/>
              </w:rPr>
            </w:pPr>
            <w:r w:rsidRPr="0013396E">
              <w:rPr>
                <w:b/>
                <w:i/>
                <w:iCs/>
                <w:szCs w:val="24"/>
              </w:rPr>
              <w:t>[</w:t>
            </w:r>
            <w:r>
              <w:rPr>
                <w:b/>
                <w:i/>
                <w:iCs/>
                <w:szCs w:val="24"/>
              </w:rPr>
              <w:t>NPRR1029</w:t>
            </w:r>
            <w:r w:rsidRPr="0013396E">
              <w:rPr>
                <w:b/>
                <w:i/>
                <w:iCs/>
                <w:szCs w:val="24"/>
              </w:rPr>
              <w:t xml:space="preserve">:  </w:t>
            </w:r>
            <w:r>
              <w:rPr>
                <w:b/>
                <w:i/>
                <w:iCs/>
                <w:szCs w:val="24"/>
              </w:rPr>
              <w:t>Insert</w:t>
            </w:r>
            <w:r w:rsidRPr="0013396E">
              <w:rPr>
                <w:b/>
                <w:i/>
                <w:iCs/>
                <w:szCs w:val="24"/>
              </w:rPr>
              <w:t xml:space="preserve"> </w:t>
            </w:r>
            <w:r>
              <w:rPr>
                <w:b/>
                <w:i/>
                <w:iCs/>
                <w:szCs w:val="24"/>
              </w:rPr>
              <w:t>the formula “PRC</w:t>
            </w:r>
            <w:r w:rsidRPr="006039B1">
              <w:rPr>
                <w:b/>
                <w:i/>
                <w:iCs/>
                <w:szCs w:val="24"/>
                <w:vertAlign w:val="subscript"/>
              </w:rPr>
              <w:t>9</w:t>
            </w:r>
            <w:r>
              <w:rPr>
                <w:b/>
                <w:i/>
                <w:iCs/>
                <w:szCs w:val="24"/>
              </w:rPr>
              <w:t>”</w:t>
            </w:r>
            <w:r w:rsidRPr="0013396E">
              <w:rPr>
                <w:b/>
                <w:i/>
                <w:iCs/>
                <w:szCs w:val="24"/>
              </w:rPr>
              <w:t xml:space="preserve"> </w:t>
            </w:r>
            <w:r>
              <w:rPr>
                <w:b/>
                <w:i/>
                <w:iCs/>
                <w:szCs w:val="24"/>
              </w:rPr>
              <w:t>below</w:t>
            </w:r>
            <w:r w:rsidRPr="0013396E">
              <w:rPr>
                <w:b/>
                <w:i/>
                <w:iCs/>
                <w:szCs w:val="24"/>
              </w:rPr>
              <w:t xml:space="preserve"> upon system implementation:]</w:t>
            </w:r>
          </w:p>
          <w:p w14:paraId="4799479E" w14:textId="4E7A2D4E" w:rsidR="006039B1" w:rsidRDefault="006039B1" w:rsidP="006039B1">
            <w:pPr>
              <w:tabs>
                <w:tab w:val="left" w:pos="2160"/>
              </w:tabs>
              <w:spacing w:before="480"/>
              <w:ind w:left="2160" w:hanging="2160"/>
              <w:rPr>
                <w:b/>
                <w:position w:val="30"/>
                <w:sz w:val="20"/>
              </w:rPr>
            </w:pPr>
            <w:r w:rsidRPr="0013396E">
              <w:rPr>
                <w:noProof/>
              </w:rPr>
              <mc:AlternateContent>
                <mc:Choice Requires="wpc">
                  <w:drawing>
                    <wp:anchor distT="0" distB="0" distL="114300" distR="114300" simplePos="0" relativeHeight="251713536" behindDoc="0" locked="0" layoutInCell="1" allowOverlap="1" wp14:anchorId="3CC1447D" wp14:editId="5D6D43B4">
                      <wp:simplePos x="0" y="0"/>
                      <wp:positionH relativeFrom="column">
                        <wp:posOffset>437183</wp:posOffset>
                      </wp:positionH>
                      <wp:positionV relativeFrom="paragraph">
                        <wp:posOffset>63389</wp:posOffset>
                      </wp:positionV>
                      <wp:extent cx="960755" cy="1369060"/>
                      <wp:effectExtent l="0" t="0" r="10795" b="2540"/>
                      <wp:wrapNone/>
                      <wp:docPr id="192098412" name="Canvas 10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916368317" name="Rectangle 71"/>
                              <wps:cNvSpPr>
                                <a:spLocks noChangeArrowheads="1"/>
                              </wps:cNvSpPr>
                              <wps:spPr bwMode="auto">
                                <a:xfrm>
                                  <a:off x="136182" y="675861"/>
                                  <a:ext cx="178435"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6F1AC6" w14:textId="77777777" w:rsidR="006039B1" w:rsidRPr="00B074A0" w:rsidRDefault="006039B1" w:rsidP="006039B1">
                                    <w:pPr>
                                      <w:rPr>
                                        <w:sz w:val="32"/>
                                        <w:szCs w:val="32"/>
                                      </w:rPr>
                                    </w:pPr>
                                    <w:r w:rsidRPr="00B074A0">
                                      <w:rPr>
                                        <w:rFonts w:ascii="Symbol" w:hAnsi="Symbol" w:cs="Symbol"/>
                                        <w:color w:val="000000"/>
                                        <w:sz w:val="32"/>
                                        <w:szCs w:val="32"/>
                                      </w:rPr>
                                      <w:t></w:t>
                                    </w:r>
                                  </w:p>
                                </w:txbxContent>
                              </wps:txbx>
                              <wps:bodyPr rot="0" vert="horz" wrap="square" lIns="0" tIns="0" rIns="0" bIns="0" anchor="t" anchorCtr="0" upright="1">
                                <a:spAutoFit/>
                              </wps:bodyPr>
                            </wps:wsp>
                            <wps:wsp>
                              <wps:cNvPr id="1332234520" name="Rectangle 72"/>
                              <wps:cNvSpPr>
                                <a:spLocks noChangeArrowheads="1"/>
                              </wps:cNvSpPr>
                              <wps:spPr bwMode="auto">
                                <a:xfrm>
                                  <a:off x="101606" y="871175"/>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62ED95" w14:textId="77777777" w:rsidR="006039B1" w:rsidRDefault="006039B1" w:rsidP="006039B1">
                                    <w:r>
                                      <w:rPr>
                                        <w:rFonts w:ascii="Symbol" w:hAnsi="Symbol" w:cs="Symbol"/>
                                        <w:color w:val="000000"/>
                                      </w:rPr>
                                      <w:t></w:t>
                                    </w:r>
                                  </w:p>
                                </w:txbxContent>
                              </wps:txbx>
                              <wps:bodyPr rot="0" vert="horz" wrap="none" lIns="0" tIns="0" rIns="0" bIns="0" anchor="t" anchorCtr="0" upright="1">
                                <a:spAutoFit/>
                              </wps:bodyPr>
                            </wps:wsp>
                            <wps:wsp>
                              <wps:cNvPr id="1074912514" name="Rectangle 73"/>
                              <wps:cNvSpPr>
                                <a:spLocks noChangeArrowheads="1"/>
                              </wps:cNvSpPr>
                              <wps:spPr bwMode="auto">
                                <a:xfrm>
                                  <a:off x="35596" y="372754"/>
                                  <a:ext cx="925195" cy="350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4123D5" w14:textId="77777777" w:rsidR="006039B1" w:rsidRPr="00B34B0A" w:rsidRDefault="006039B1" w:rsidP="006039B1">
                                    <w:pPr>
                                      <w:rPr>
                                        <w:b/>
                                      </w:rPr>
                                    </w:pPr>
                                    <w:r>
                                      <w:rPr>
                                        <w:b/>
                                        <w:i/>
                                        <w:iCs/>
                                        <w:color w:val="000000"/>
                                      </w:rPr>
                                      <w:t>DC-Coupled Resources</w:t>
                                    </w:r>
                                  </w:p>
                                </w:txbxContent>
                              </wps:txbx>
                              <wps:bodyPr rot="0" vert="horz" wrap="square" lIns="0" tIns="0" rIns="0" bIns="0" anchor="t" anchorCtr="0" upright="1">
                                <a:spAutoFit/>
                              </wps:bodyPr>
                            </wps:wsp>
                            <wps:wsp>
                              <wps:cNvPr id="1785642166" name="Rectangle 74"/>
                              <wps:cNvSpPr>
                                <a:spLocks noChangeArrowheads="1"/>
                              </wps:cNvSpPr>
                              <wps:spPr bwMode="auto">
                                <a:xfrm>
                                  <a:off x="31702" y="290192"/>
                                  <a:ext cx="8255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08466B" w14:textId="77777777" w:rsidR="006039B1" w:rsidRPr="00B34B0A" w:rsidRDefault="006039B1" w:rsidP="006039B1">
                                    <w:pPr>
                                      <w:rPr>
                                        <w:b/>
                                      </w:rPr>
                                    </w:pPr>
                                  </w:p>
                                </w:txbxContent>
                              </wps:txbx>
                              <wps:bodyPr rot="0" vert="horz" wrap="none" lIns="0" tIns="0" rIns="0" bIns="0" anchor="t" anchorCtr="0" upright="1">
                                <a:spAutoFit/>
                              </wps:bodyPr>
                            </wps:wsp>
                            <wps:wsp>
                              <wps:cNvPr id="648508052" name="Rectangle 75"/>
                              <wps:cNvSpPr>
                                <a:spLocks noChangeArrowheads="1"/>
                              </wps:cNvSpPr>
                              <wps:spPr bwMode="auto">
                                <a:xfrm>
                                  <a:off x="25518" y="197459"/>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825EE0" w14:textId="77777777" w:rsidR="006039B1" w:rsidRPr="00B34B0A" w:rsidRDefault="006039B1" w:rsidP="006039B1">
                                    <w:pPr>
                                      <w:rPr>
                                        <w:b/>
                                      </w:rPr>
                                    </w:pPr>
                                    <w:r w:rsidRPr="00B34B0A">
                                      <w:rPr>
                                        <w:b/>
                                        <w:i/>
                                        <w:iCs/>
                                        <w:color w:val="000000"/>
                                      </w:rPr>
                                      <w:t>online</w:t>
                                    </w:r>
                                  </w:p>
                                </w:txbxContent>
                              </wps:txbx>
                              <wps:bodyPr rot="0" vert="horz" wrap="none" lIns="0" tIns="0" rIns="0" bIns="0" anchor="t" anchorCtr="0" upright="1">
                                <a:spAutoFit/>
                              </wps:bodyPr>
                            </wps:wsp>
                            <wps:wsp>
                              <wps:cNvPr id="446295736" name="Rectangle 76"/>
                              <wps:cNvSpPr>
                                <a:spLocks noChangeArrowheads="1"/>
                              </wps:cNvSpPr>
                              <wps:spPr bwMode="auto">
                                <a:xfrm>
                                  <a:off x="45703" y="22199"/>
                                  <a:ext cx="21780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7E6F58" w14:textId="77777777" w:rsidR="006039B1" w:rsidRPr="00B34B0A" w:rsidRDefault="006039B1" w:rsidP="006039B1">
                                    <w:pPr>
                                      <w:rPr>
                                        <w:b/>
                                      </w:rPr>
                                    </w:pPr>
                                    <w:r w:rsidRPr="00B34B0A">
                                      <w:rPr>
                                        <w:b/>
                                        <w:i/>
                                        <w:iCs/>
                                        <w:color w:val="000000"/>
                                      </w:rPr>
                                      <w:t>All</w:t>
                                    </w:r>
                                  </w:p>
                                </w:txbxContent>
                              </wps:txbx>
                              <wps:bodyPr rot="0" vert="horz" wrap="square" lIns="0" tIns="0" rIns="0" bIns="0" anchor="t" anchorCtr="0" upright="1">
                                <a:spAutoFit/>
                              </wps:bodyPr>
                            </wps:wsp>
                            <wps:wsp>
                              <wps:cNvPr id="1806846340" name="Rectangle 77"/>
                              <wps:cNvSpPr>
                                <a:spLocks noChangeArrowheads="1"/>
                              </wps:cNvSpPr>
                              <wps:spPr bwMode="auto">
                                <a:xfrm>
                                  <a:off x="62904" y="1153766"/>
                                  <a:ext cx="8255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82771B" w14:textId="77777777" w:rsidR="006039B1" w:rsidRPr="00B34B0A" w:rsidRDefault="006039B1" w:rsidP="006039B1">
                                    <w:pPr>
                                      <w:rPr>
                                        <w:b/>
                                      </w:rPr>
                                    </w:pPr>
                                  </w:p>
                                </w:txbxContent>
                              </wps:txbx>
                              <wps:bodyPr rot="0" vert="horz" wrap="none" lIns="0" tIns="0" rIns="0" bIns="0" anchor="t" anchorCtr="0" upright="1">
                                <a:spAutoFit/>
                              </wps:bodyPr>
                            </wps:wsp>
                            <wps:wsp>
                              <wps:cNvPr id="1068853319" name="Rectangle 78"/>
                              <wps:cNvSpPr>
                                <a:spLocks noChangeArrowheads="1"/>
                              </wps:cNvSpPr>
                              <wps:spPr bwMode="auto">
                                <a:xfrm>
                                  <a:off x="58403" y="1019770"/>
                                  <a:ext cx="28956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2035A0" w14:textId="77777777" w:rsidR="006039B1" w:rsidRPr="00B34B0A" w:rsidRDefault="006039B1" w:rsidP="006039B1">
                                    <w:pPr>
                                      <w:rPr>
                                        <w:b/>
                                      </w:rPr>
                                    </w:pPr>
                                    <w:r>
                                      <w:rPr>
                                        <w:b/>
                                        <w:i/>
                                        <w:iCs/>
                                        <w:color w:val="000000"/>
                                      </w:rPr>
                                      <w:t>ESR</w:t>
                                    </w:r>
                                  </w:p>
                                </w:txbxContent>
                              </wps:txbx>
                              <wps:bodyPr rot="0" vert="horz" wrap="none" lIns="0" tIns="0" rIns="0" bIns="0" anchor="t" anchorCtr="0" upright="1">
                                <a:spAutoFit/>
                              </wps:bodyPr>
                            </wps:wsp>
                            <wps:wsp>
                              <wps:cNvPr id="1854430452" name="Rectangle 79"/>
                              <wps:cNvSpPr>
                                <a:spLocks noChangeArrowheads="1"/>
                              </wps:cNvSpPr>
                              <wps:spPr bwMode="auto">
                                <a:xfrm>
                                  <a:off x="174610" y="885874"/>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B62DC4" w14:textId="77777777" w:rsidR="006039B1" w:rsidRPr="00B34B0A" w:rsidRDefault="006039B1" w:rsidP="006039B1">
                                    <w:pPr>
                                      <w:rPr>
                                        <w:b/>
                                      </w:rPr>
                                    </w:pPr>
                                    <w:r w:rsidRPr="00B34B0A">
                                      <w:rPr>
                                        <w:b/>
                                        <w:i/>
                                        <w:iCs/>
                                        <w:color w:val="000000"/>
                                      </w:rPr>
                                      <w:t>online</w:t>
                                    </w:r>
                                  </w:p>
                                </w:txbxContent>
                              </wps:txbx>
                              <wps:bodyPr rot="0" vert="horz" wrap="none" lIns="0" tIns="0" rIns="0" bIns="0" anchor="t" anchorCtr="0" upright="1">
                                <a:spAutoFit/>
                              </wps:bodyPr>
                            </wps:wsp>
                            <wps:wsp>
                              <wps:cNvPr id="657501395" name="Rectangle 80"/>
                              <wps:cNvSpPr>
                                <a:spLocks noChangeArrowheads="1"/>
                              </wps:cNvSpPr>
                              <wps:spPr bwMode="auto">
                                <a:xfrm>
                                  <a:off x="58403" y="885874"/>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068E98" w14:textId="77777777" w:rsidR="006039B1" w:rsidRPr="00B34B0A" w:rsidRDefault="006039B1" w:rsidP="006039B1">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3CC1447D" id="_x0000_s1213" editas="canvas" style="position:absolute;left:0;text-align:left;margin-left:34.4pt;margin-top:5pt;width:75.65pt;height:107.8pt;z-index:251713536" coordsize="9607,13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">
                      <v:shape id="_x0000_s1214" type="#_x0000_t75" style="position:absolute;width:9607;height:13690;visibility:visible;mso-wrap-style:square">
                        <v:fill o:detectmouseclick="t"/>
                        <v:path o:connecttype="none"/>
                      </v:shape>
                      <v:rect id="Rectangle 71" o:spid="_x0000_s1215" style="position:absolute;left:1361;top:6758;width:1785;height:2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" filled="f" stroked="f">
                        <v:textbox style="mso-fit-shape-to-text:t" inset="0,0,0,0">
                          <w:txbxContent>
                            <w:p w14:paraId="316F1AC6" w14:textId="77777777" w:rsidR="006039B1" w:rsidRPr="00B074A0" w:rsidRDefault="006039B1" w:rsidP="006039B1">
                              <w:pPr>
                                <w:rPr>
                                  <w:sz w:val="32"/>
                                  <w:szCs w:val="32"/>
                                </w:rPr>
                              </w:pPr>
                              <w:r w:rsidRPr="00B074A0">
                                <w:rPr>
                                  <w:rFonts w:ascii="Symbol" w:hAnsi="Symbol" w:cs="Symbol"/>
                                  <w:color w:val="000000"/>
                                  <w:sz w:val="32"/>
                                  <w:szCs w:val="32"/>
                                </w:rPr>
                                <w:t></w:t>
                              </w:r>
                            </w:p>
                          </w:txbxContent>
                        </v:textbox>
                      </v:rect>
                      <v:rect id="Rectangle 72" o:spid="_x0000_s1216" style="position:absolute;left:1016;top:8711;width:83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" filled="f" stroked="f">
                        <v:textbox style="mso-fit-shape-to-text:t" inset="0,0,0,0">
                          <w:txbxContent>
                            <w:p w14:paraId="0E62ED95" w14:textId="77777777" w:rsidR="006039B1" w:rsidRDefault="006039B1" w:rsidP="006039B1">
                              <w:r>
                                <w:rPr>
                                  <w:rFonts w:ascii="Symbol" w:hAnsi="Symbol" w:cs="Symbol"/>
                                  <w:color w:val="000000"/>
                                </w:rPr>
                                <w:t></w:t>
                              </w:r>
                            </w:p>
                          </w:txbxContent>
                        </v:textbox>
                      </v:rect>
                      <v:rect id="Rectangle 73" o:spid="_x0000_s1217" style="position:absolute;left:355;top:3727;width:9252;height:3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" filled="f" stroked="f">
                        <v:textbox style="mso-fit-shape-to-text:t" inset="0,0,0,0">
                          <w:txbxContent>
                            <w:p w14:paraId="044123D5" w14:textId="77777777" w:rsidR="006039B1" w:rsidRPr="00B34B0A" w:rsidRDefault="006039B1" w:rsidP="006039B1">
                              <w:pPr>
                                <w:rPr>
                                  <w:b/>
                                </w:rPr>
                              </w:pPr>
                              <w:r>
                                <w:rPr>
                                  <w:b/>
                                  <w:i/>
                                  <w:iCs/>
                                  <w:color w:val="000000"/>
                                </w:rPr>
                                <w:t>DC-Coupled Resources</w:t>
                              </w:r>
                            </w:p>
                          </w:txbxContent>
                        </v:textbox>
                      </v:rect>
                      <v:rect id="Rectangle 74" o:spid="_x0000_s1218" style="position:absolute;left:317;top:2901;width:82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" filled="f" stroked="f">
                        <v:textbox style="mso-fit-shape-to-text:t" inset="0,0,0,0">
                          <w:txbxContent>
                            <w:p w14:paraId="5208466B" w14:textId="77777777" w:rsidR="006039B1" w:rsidRPr="00B34B0A" w:rsidRDefault="006039B1" w:rsidP="006039B1">
                              <w:pPr>
                                <w:rPr>
                                  <w:b/>
                                </w:rPr>
                              </w:pPr>
                            </w:p>
                          </w:txbxContent>
                        </v:textbox>
                      </v:rect>
                      <v:rect id="Rectangle 75" o:spid="_x0000_s1219" style="position:absolute;left:255;top:1974;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" filled="f" stroked="f">
                        <v:textbox style="mso-fit-shape-to-text:t" inset="0,0,0,0">
                          <w:txbxContent>
                            <w:p w14:paraId="22825EE0" w14:textId="77777777" w:rsidR="006039B1" w:rsidRPr="00B34B0A" w:rsidRDefault="006039B1" w:rsidP="006039B1">
                              <w:pPr>
                                <w:rPr>
                                  <w:b/>
                                </w:rPr>
                              </w:pPr>
                              <w:r w:rsidRPr="00B34B0A">
                                <w:rPr>
                                  <w:b/>
                                  <w:i/>
                                  <w:iCs/>
                                  <w:color w:val="000000"/>
                                </w:rPr>
                                <w:t>online</w:t>
                              </w:r>
                            </w:p>
                          </w:txbxContent>
                        </v:textbox>
                      </v:rect>
                      <v:rect id="Rectangle 76" o:spid="_x0000_s1220" style="position:absolute;left:457;top:221;width:2178;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" filled="f" stroked="f">
                        <v:textbox style="mso-fit-shape-to-text:t" inset="0,0,0,0">
                          <w:txbxContent>
                            <w:p w14:paraId="7E7E6F58" w14:textId="77777777" w:rsidR="006039B1" w:rsidRPr="00B34B0A" w:rsidRDefault="006039B1" w:rsidP="006039B1">
                              <w:pPr>
                                <w:rPr>
                                  <w:b/>
                                </w:rPr>
                              </w:pPr>
                              <w:r w:rsidRPr="00B34B0A">
                                <w:rPr>
                                  <w:b/>
                                  <w:i/>
                                  <w:iCs/>
                                  <w:color w:val="000000"/>
                                </w:rPr>
                                <w:t>All</w:t>
                              </w:r>
                            </w:p>
                          </w:txbxContent>
                        </v:textbox>
                      </v:rect>
                      <v:rect id="Rectangle 77" o:spid="_x0000_s1221" style="position:absolute;left:629;top:11537;width:82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" filled="f" stroked="f">
                        <v:textbox style="mso-fit-shape-to-text:t" inset="0,0,0,0">
                          <w:txbxContent>
                            <w:p w14:paraId="5382771B" w14:textId="77777777" w:rsidR="006039B1" w:rsidRPr="00B34B0A" w:rsidRDefault="006039B1" w:rsidP="006039B1">
                              <w:pPr>
                                <w:rPr>
                                  <w:b/>
                                </w:rPr>
                              </w:pPr>
                            </w:p>
                          </w:txbxContent>
                        </v:textbox>
                      </v:rect>
                      <v:rect id="Rectangle 78" o:spid="_x0000_s1222" style="position:absolute;left:584;top:10197;width:289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" filled="f" stroked="f">
                        <v:textbox style="mso-fit-shape-to-text:t" inset="0,0,0,0">
                          <w:txbxContent>
                            <w:p w14:paraId="4F2035A0" w14:textId="77777777" w:rsidR="006039B1" w:rsidRPr="00B34B0A" w:rsidRDefault="006039B1" w:rsidP="006039B1">
                              <w:pPr>
                                <w:rPr>
                                  <w:b/>
                                </w:rPr>
                              </w:pPr>
                              <w:r>
                                <w:rPr>
                                  <w:b/>
                                  <w:i/>
                                  <w:iCs/>
                                  <w:color w:val="000000"/>
                                </w:rPr>
                                <w:t>ESR</w:t>
                              </w:r>
                            </w:p>
                          </w:txbxContent>
                        </v:textbox>
                      </v:rect>
                      <v:rect id="Rectangle 79" o:spid="_x0000_s1223" style="position:absolute;left:1746;top:8858;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" filled="f" stroked="f">
                        <v:textbox style="mso-fit-shape-to-text:t" inset="0,0,0,0">
                          <w:txbxContent>
                            <w:p w14:paraId="21B62DC4" w14:textId="77777777" w:rsidR="006039B1" w:rsidRPr="00B34B0A" w:rsidRDefault="006039B1" w:rsidP="006039B1">
                              <w:pPr>
                                <w:rPr>
                                  <w:b/>
                                </w:rPr>
                              </w:pPr>
                              <w:r w:rsidRPr="00B34B0A">
                                <w:rPr>
                                  <w:b/>
                                  <w:i/>
                                  <w:iCs/>
                                  <w:color w:val="000000"/>
                                </w:rPr>
                                <w:t>online</w:t>
                              </w:r>
                            </w:p>
                          </w:txbxContent>
                        </v:textbox>
                      </v:rect>
                      <v:rect id="Rectangle 80" o:spid="_x0000_s1224" style="position:absolute;left:584;top:8858;width:42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" filled="f" stroked="f">
                        <v:textbox style="mso-fit-shape-to-text:t" inset="0,0,0,0">
                          <w:txbxContent>
                            <w:p w14:paraId="65068E98" w14:textId="77777777" w:rsidR="006039B1" w:rsidRPr="00B34B0A" w:rsidRDefault="006039B1" w:rsidP="006039B1">
                              <w:pPr>
                                <w:rPr>
                                  <w:b/>
                                </w:rPr>
                              </w:pPr>
                              <w:r w:rsidRPr="00B34B0A">
                                <w:rPr>
                                  <w:b/>
                                  <w:i/>
                                  <w:iCs/>
                                  <w:color w:val="000000"/>
                                </w:rPr>
                                <w:t>i</w:t>
                              </w:r>
                            </w:p>
                          </w:txbxContent>
                        </v:textbox>
                      </v:rect>
                    </v:group>
                  </w:pict>
                </mc:Fallback>
              </mc:AlternateContent>
            </w:r>
            <w:r w:rsidRPr="0013396E">
              <w:rPr>
                <w:b/>
                <w:position w:val="30"/>
                <w:sz w:val="20"/>
              </w:rPr>
              <w:t>PRC</w:t>
            </w:r>
            <w:r w:rsidRPr="0013396E">
              <w:rPr>
                <w:rFonts w:ascii="Times New Roman Bold" w:hAnsi="Times New Roman Bold"/>
                <w:b/>
                <w:position w:val="30"/>
                <w:sz w:val="20"/>
                <w:vertAlign w:val="subscript"/>
              </w:rPr>
              <w:t>9</w:t>
            </w:r>
            <w:r w:rsidRPr="0013396E">
              <w:rPr>
                <w:b/>
                <w:position w:val="30"/>
                <w:sz w:val="20"/>
              </w:rPr>
              <w:t xml:space="preserve"> =</w:t>
            </w:r>
            <w:r w:rsidRPr="0013396E">
              <w:rPr>
                <w:b/>
                <w:position w:val="30"/>
                <w:sz w:val="20"/>
              </w:rPr>
              <w:tab/>
              <w:t>Min(X% of MDRR, HSL-Net MW, the sum of the MW headroom available from the intermittent renewable generation component and the MW capacity that can be sustained for 45 minutes per the ESS State of Charge</w:t>
            </w:r>
            <w:r w:rsidR="00016609">
              <w:rPr>
                <w:b/>
                <w:position w:val="30"/>
                <w:sz w:val="20"/>
              </w:rPr>
              <w:t>)</w:t>
            </w:r>
          </w:p>
          <w:p w14:paraId="3C879AA5" w14:textId="77777777" w:rsidR="006039B1" w:rsidRDefault="006039B1" w:rsidP="006039B1">
            <w:pPr>
              <w:ind w:left="720" w:hanging="720"/>
              <w:rPr>
                <w:b/>
                <w:position w:val="30"/>
                <w:sz w:val="20"/>
              </w:rPr>
            </w:pPr>
          </w:p>
          <w:p w14:paraId="22361620" w14:textId="763A7AD8" w:rsidR="006039B1" w:rsidRPr="006039B1" w:rsidRDefault="006039B1" w:rsidP="006039B1">
            <w:pPr>
              <w:ind w:left="720" w:hanging="720"/>
              <w:rPr>
                <w:b/>
                <w:position w:val="30"/>
                <w:sz w:val="20"/>
              </w:rPr>
            </w:pPr>
            <w:r w:rsidRPr="0013396E">
              <w:rPr>
                <w:b/>
                <w:position w:val="30"/>
                <w:sz w:val="20"/>
              </w:rPr>
              <w:t>Excludes DC-Coupled Resource capacity used to provide FFR.</w:t>
            </w:r>
          </w:p>
        </w:tc>
      </w:tr>
    </w:tbl>
    <w:p w14:paraId="469B13F1" w14:textId="1C2EDE01" w:rsidR="00422B96" w:rsidRPr="0013396E" w:rsidRDefault="00422B96" w:rsidP="006039B1">
      <w:pPr>
        <w:spacing w:before="240"/>
        <w:ind w:left="720" w:hanging="720"/>
        <w:rPr>
          <w:b/>
          <w:position w:val="30"/>
          <w:sz w:val="20"/>
        </w:rPr>
      </w:pPr>
      <w:r w:rsidRPr="0013396E">
        <w:rPr>
          <w:b/>
          <w:position w:val="30"/>
          <w:sz w:val="20"/>
        </w:rPr>
        <w:t>PRC =</w:t>
      </w:r>
      <w:r w:rsidRPr="0013396E">
        <w:rPr>
          <w:b/>
          <w:position w:val="30"/>
          <w:sz w:val="20"/>
        </w:rPr>
        <w:tab/>
        <w:t>PRC</w:t>
      </w:r>
      <w:r w:rsidRPr="0013396E">
        <w:rPr>
          <w:b/>
          <w:position w:val="30"/>
          <w:sz w:val="20"/>
          <w:vertAlign w:val="subscript"/>
        </w:rPr>
        <w:t>1</w:t>
      </w:r>
      <w:r w:rsidRPr="0013396E">
        <w:rPr>
          <w:b/>
          <w:position w:val="30"/>
          <w:sz w:val="20"/>
        </w:rPr>
        <w:t xml:space="preserve"> + PRC</w:t>
      </w:r>
      <w:r w:rsidRPr="0013396E">
        <w:rPr>
          <w:b/>
          <w:position w:val="30"/>
          <w:sz w:val="20"/>
          <w:vertAlign w:val="subscript"/>
        </w:rPr>
        <w:t>2</w:t>
      </w:r>
      <w:r w:rsidRPr="0013396E">
        <w:rPr>
          <w:b/>
          <w:position w:val="30"/>
          <w:sz w:val="20"/>
        </w:rPr>
        <w:t xml:space="preserve"> + PRC</w:t>
      </w:r>
      <w:r w:rsidRPr="0013396E">
        <w:rPr>
          <w:b/>
          <w:position w:val="30"/>
          <w:sz w:val="20"/>
          <w:vertAlign w:val="subscript"/>
        </w:rPr>
        <w:t>3</w:t>
      </w:r>
      <w:r w:rsidRPr="0013396E">
        <w:rPr>
          <w:b/>
          <w:position w:val="30"/>
          <w:sz w:val="20"/>
        </w:rPr>
        <w:t>+ PRC</w:t>
      </w:r>
      <w:r w:rsidRPr="0013396E">
        <w:rPr>
          <w:b/>
          <w:position w:val="30"/>
          <w:sz w:val="20"/>
          <w:vertAlign w:val="subscript"/>
        </w:rPr>
        <w:t>4</w:t>
      </w:r>
      <w:r w:rsidRPr="0013396E">
        <w:rPr>
          <w:b/>
          <w:position w:val="30"/>
          <w:sz w:val="20"/>
        </w:rPr>
        <w:t xml:space="preserve"> + PRC</w:t>
      </w:r>
      <w:r w:rsidRPr="0013396E">
        <w:rPr>
          <w:b/>
          <w:position w:val="30"/>
          <w:sz w:val="20"/>
          <w:vertAlign w:val="subscript"/>
        </w:rPr>
        <w:t>5</w:t>
      </w:r>
      <w:r w:rsidRPr="0013396E">
        <w:rPr>
          <w:b/>
          <w:position w:val="30"/>
          <w:sz w:val="20"/>
        </w:rPr>
        <w:t xml:space="preserve"> + PRC</w:t>
      </w:r>
      <w:r w:rsidRPr="0013396E">
        <w:rPr>
          <w:b/>
          <w:position w:val="30"/>
          <w:sz w:val="20"/>
          <w:vertAlign w:val="subscript"/>
        </w:rPr>
        <w:t>6</w:t>
      </w:r>
      <w:r w:rsidRPr="0013396E">
        <w:rPr>
          <w:b/>
          <w:position w:val="30"/>
          <w:sz w:val="20"/>
        </w:rPr>
        <w:t xml:space="preserve"> + PRC</w:t>
      </w:r>
      <w:r w:rsidRPr="0013396E">
        <w:rPr>
          <w:b/>
          <w:position w:val="30"/>
          <w:sz w:val="20"/>
          <w:vertAlign w:val="subscript"/>
        </w:rPr>
        <w:t>7</w:t>
      </w:r>
      <w:r w:rsidRPr="0013396E">
        <w:rPr>
          <w:b/>
          <w:position w:val="30"/>
          <w:sz w:val="20"/>
        </w:rPr>
        <w:t xml:space="preserve"> + PRC</w:t>
      </w:r>
      <w:r w:rsidRPr="0013396E">
        <w:rPr>
          <w:b/>
          <w:position w:val="30"/>
          <w:sz w:val="20"/>
          <w:vertAlign w:val="subscript"/>
        </w:rPr>
        <w:t>8</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6039B1" w:rsidRPr="0013396E" w14:paraId="4E434413" w14:textId="77777777" w:rsidTr="00E97C39">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10FBEC12" w14:textId="6F62CE51" w:rsidR="006039B1" w:rsidRPr="0013396E" w:rsidRDefault="006039B1" w:rsidP="00E97C39">
            <w:pPr>
              <w:spacing w:before="120" w:after="240"/>
              <w:rPr>
                <w:b/>
                <w:i/>
                <w:iCs/>
                <w:szCs w:val="24"/>
              </w:rPr>
            </w:pPr>
            <w:r w:rsidRPr="0013396E">
              <w:rPr>
                <w:b/>
                <w:i/>
                <w:iCs/>
                <w:szCs w:val="24"/>
              </w:rPr>
              <w:t>[</w:t>
            </w:r>
            <w:r>
              <w:rPr>
                <w:b/>
                <w:i/>
                <w:iCs/>
                <w:szCs w:val="24"/>
              </w:rPr>
              <w:t>NPRR1029</w:t>
            </w:r>
            <w:r w:rsidRPr="0013396E">
              <w:rPr>
                <w:b/>
                <w:i/>
                <w:iCs/>
                <w:szCs w:val="24"/>
              </w:rPr>
              <w:t xml:space="preserve">:  Replace </w:t>
            </w:r>
            <w:r>
              <w:rPr>
                <w:b/>
                <w:i/>
                <w:iCs/>
                <w:szCs w:val="24"/>
              </w:rPr>
              <w:t>the formula “PRC”</w:t>
            </w:r>
            <w:r w:rsidRPr="0013396E">
              <w:rPr>
                <w:b/>
                <w:i/>
                <w:iCs/>
                <w:szCs w:val="24"/>
              </w:rPr>
              <w:t xml:space="preserve"> above with the following upon system implementation:]</w:t>
            </w:r>
          </w:p>
          <w:p w14:paraId="630B9440" w14:textId="46D9C47E" w:rsidR="006039B1" w:rsidRPr="006039B1" w:rsidRDefault="006039B1" w:rsidP="006039B1">
            <w:pPr>
              <w:ind w:left="720" w:hanging="720"/>
              <w:rPr>
                <w:b/>
                <w:position w:val="30"/>
                <w:sz w:val="20"/>
              </w:rPr>
            </w:pPr>
            <w:r w:rsidRPr="0013396E">
              <w:rPr>
                <w:b/>
                <w:position w:val="30"/>
                <w:sz w:val="20"/>
              </w:rPr>
              <w:t>PRC =</w:t>
            </w:r>
            <w:r w:rsidRPr="0013396E">
              <w:rPr>
                <w:b/>
                <w:position w:val="30"/>
                <w:sz w:val="20"/>
              </w:rPr>
              <w:tab/>
              <w:t>PRC</w:t>
            </w:r>
            <w:r w:rsidRPr="0013396E">
              <w:rPr>
                <w:b/>
                <w:position w:val="30"/>
                <w:sz w:val="20"/>
                <w:vertAlign w:val="subscript"/>
              </w:rPr>
              <w:t>1</w:t>
            </w:r>
            <w:r w:rsidRPr="0013396E">
              <w:rPr>
                <w:b/>
                <w:position w:val="30"/>
                <w:sz w:val="20"/>
              </w:rPr>
              <w:t xml:space="preserve"> + PRC</w:t>
            </w:r>
            <w:r w:rsidRPr="0013396E">
              <w:rPr>
                <w:b/>
                <w:position w:val="30"/>
                <w:sz w:val="20"/>
                <w:vertAlign w:val="subscript"/>
              </w:rPr>
              <w:t>2</w:t>
            </w:r>
            <w:r w:rsidRPr="0013396E">
              <w:rPr>
                <w:b/>
                <w:position w:val="30"/>
                <w:sz w:val="20"/>
              </w:rPr>
              <w:t xml:space="preserve"> + PRC</w:t>
            </w:r>
            <w:r w:rsidRPr="0013396E">
              <w:rPr>
                <w:b/>
                <w:position w:val="30"/>
                <w:sz w:val="20"/>
                <w:vertAlign w:val="subscript"/>
              </w:rPr>
              <w:t>3</w:t>
            </w:r>
            <w:r w:rsidRPr="0013396E">
              <w:rPr>
                <w:b/>
                <w:position w:val="30"/>
                <w:sz w:val="20"/>
              </w:rPr>
              <w:t>+ PRC</w:t>
            </w:r>
            <w:r w:rsidRPr="0013396E">
              <w:rPr>
                <w:b/>
                <w:position w:val="30"/>
                <w:sz w:val="20"/>
                <w:vertAlign w:val="subscript"/>
              </w:rPr>
              <w:t>4</w:t>
            </w:r>
            <w:r w:rsidRPr="0013396E">
              <w:rPr>
                <w:b/>
                <w:position w:val="30"/>
                <w:sz w:val="20"/>
              </w:rPr>
              <w:t xml:space="preserve"> + PRC</w:t>
            </w:r>
            <w:r w:rsidRPr="0013396E">
              <w:rPr>
                <w:b/>
                <w:position w:val="30"/>
                <w:sz w:val="20"/>
                <w:vertAlign w:val="subscript"/>
              </w:rPr>
              <w:t>5</w:t>
            </w:r>
            <w:r w:rsidRPr="0013396E">
              <w:rPr>
                <w:b/>
                <w:position w:val="30"/>
                <w:sz w:val="20"/>
              </w:rPr>
              <w:t xml:space="preserve"> + PRC</w:t>
            </w:r>
            <w:r w:rsidRPr="0013396E">
              <w:rPr>
                <w:b/>
                <w:position w:val="30"/>
                <w:sz w:val="20"/>
                <w:vertAlign w:val="subscript"/>
              </w:rPr>
              <w:t>6</w:t>
            </w:r>
            <w:r w:rsidRPr="0013396E">
              <w:rPr>
                <w:b/>
                <w:position w:val="30"/>
                <w:sz w:val="20"/>
              </w:rPr>
              <w:t xml:space="preserve"> + PRC</w:t>
            </w:r>
            <w:r w:rsidRPr="0013396E">
              <w:rPr>
                <w:b/>
                <w:position w:val="30"/>
                <w:sz w:val="20"/>
                <w:vertAlign w:val="subscript"/>
              </w:rPr>
              <w:t>7</w:t>
            </w:r>
            <w:r w:rsidRPr="0013396E">
              <w:rPr>
                <w:b/>
                <w:position w:val="30"/>
                <w:sz w:val="20"/>
              </w:rPr>
              <w:t xml:space="preserve"> + PRC</w:t>
            </w:r>
            <w:r w:rsidRPr="0013396E">
              <w:rPr>
                <w:b/>
                <w:position w:val="30"/>
                <w:sz w:val="20"/>
                <w:vertAlign w:val="subscript"/>
              </w:rPr>
              <w:t>8</w:t>
            </w:r>
            <w:r w:rsidRPr="0013396E">
              <w:rPr>
                <w:b/>
                <w:position w:val="30"/>
                <w:sz w:val="20"/>
              </w:rPr>
              <w:t xml:space="preserve"> + PRC</w:t>
            </w:r>
            <w:r w:rsidRPr="0013396E">
              <w:rPr>
                <w:b/>
                <w:position w:val="30"/>
                <w:sz w:val="20"/>
                <w:vertAlign w:val="subscript"/>
              </w:rPr>
              <w:t>9</w:t>
            </w:r>
          </w:p>
        </w:tc>
      </w:tr>
    </w:tbl>
    <w:p w14:paraId="4658DC4B" w14:textId="77777777" w:rsidR="00422B96" w:rsidRPr="0013396E" w:rsidRDefault="00422B96" w:rsidP="006039B1">
      <w:pPr>
        <w:spacing w:before="240"/>
      </w:pPr>
      <w:r w:rsidRPr="0013396E">
        <w:t xml:space="preserve">The above variables are defined as follows: </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168"/>
        <w:gridCol w:w="1830"/>
        <w:gridCol w:w="5352"/>
      </w:tblGrid>
      <w:tr w:rsidR="00422B96" w:rsidRPr="0013396E" w14:paraId="75448C01" w14:textId="77777777" w:rsidTr="006039B1">
        <w:tc>
          <w:tcPr>
            <w:tcW w:w="2133" w:type="dxa"/>
          </w:tcPr>
          <w:p w14:paraId="5A07F79F" w14:textId="77777777" w:rsidR="00422B96" w:rsidRPr="0013396E" w:rsidRDefault="00422B96" w:rsidP="0099759E">
            <w:pPr>
              <w:spacing w:after="120"/>
              <w:rPr>
                <w:b/>
                <w:iCs/>
                <w:sz w:val="20"/>
              </w:rPr>
            </w:pPr>
            <w:r w:rsidRPr="0013396E">
              <w:rPr>
                <w:b/>
                <w:iCs/>
                <w:sz w:val="20"/>
              </w:rPr>
              <w:t>Variable</w:t>
            </w:r>
          </w:p>
        </w:tc>
        <w:tc>
          <w:tcPr>
            <w:tcW w:w="1565" w:type="dxa"/>
          </w:tcPr>
          <w:p w14:paraId="7EB36873" w14:textId="77777777" w:rsidR="00422B96" w:rsidRPr="0013396E" w:rsidRDefault="00422B96" w:rsidP="0099759E">
            <w:pPr>
              <w:spacing w:after="120"/>
              <w:rPr>
                <w:b/>
                <w:iCs/>
                <w:sz w:val="20"/>
              </w:rPr>
            </w:pPr>
            <w:r w:rsidRPr="0013396E">
              <w:rPr>
                <w:b/>
                <w:iCs/>
                <w:sz w:val="20"/>
              </w:rPr>
              <w:t>Unit</w:t>
            </w:r>
          </w:p>
        </w:tc>
        <w:tc>
          <w:tcPr>
            <w:tcW w:w="5652" w:type="dxa"/>
          </w:tcPr>
          <w:p w14:paraId="43BAEDE0" w14:textId="77777777" w:rsidR="00422B96" w:rsidRPr="0013396E" w:rsidRDefault="00422B96" w:rsidP="0099759E">
            <w:pPr>
              <w:spacing w:after="120"/>
              <w:rPr>
                <w:b/>
                <w:iCs/>
                <w:sz w:val="20"/>
              </w:rPr>
            </w:pPr>
            <w:r w:rsidRPr="0013396E">
              <w:rPr>
                <w:b/>
                <w:iCs/>
                <w:sz w:val="20"/>
              </w:rPr>
              <w:t>Description</w:t>
            </w:r>
          </w:p>
        </w:tc>
      </w:tr>
      <w:tr w:rsidR="00422B96" w:rsidRPr="0013396E" w14:paraId="46BAB2C2" w14:textId="77777777" w:rsidTr="006039B1">
        <w:tc>
          <w:tcPr>
            <w:tcW w:w="2133" w:type="dxa"/>
          </w:tcPr>
          <w:p w14:paraId="61BBF633" w14:textId="77777777" w:rsidR="00422B96" w:rsidRPr="0013396E" w:rsidRDefault="00422B96" w:rsidP="0099759E">
            <w:pPr>
              <w:spacing w:after="60"/>
              <w:rPr>
                <w:iCs/>
                <w:sz w:val="20"/>
              </w:rPr>
            </w:pPr>
            <w:r w:rsidRPr="0013396E">
              <w:rPr>
                <w:iCs/>
                <w:sz w:val="20"/>
              </w:rPr>
              <w:t>PRC</w:t>
            </w:r>
            <w:r w:rsidRPr="0013396E">
              <w:rPr>
                <w:iCs/>
                <w:sz w:val="20"/>
                <w:vertAlign w:val="subscript"/>
              </w:rPr>
              <w:t>1</w:t>
            </w:r>
          </w:p>
        </w:tc>
        <w:tc>
          <w:tcPr>
            <w:tcW w:w="1565" w:type="dxa"/>
          </w:tcPr>
          <w:p w14:paraId="02E0FBD7" w14:textId="77777777" w:rsidR="00422B96" w:rsidRPr="0013396E" w:rsidRDefault="00422B96" w:rsidP="0099759E">
            <w:pPr>
              <w:spacing w:after="60"/>
              <w:rPr>
                <w:iCs/>
                <w:sz w:val="20"/>
              </w:rPr>
            </w:pPr>
            <w:r w:rsidRPr="0013396E">
              <w:rPr>
                <w:iCs/>
                <w:sz w:val="20"/>
              </w:rPr>
              <w:t>MW</w:t>
            </w:r>
          </w:p>
        </w:tc>
        <w:tc>
          <w:tcPr>
            <w:tcW w:w="5652" w:type="dxa"/>
          </w:tcPr>
          <w:p w14:paraId="0C2A1D82" w14:textId="77777777" w:rsidR="00422B96" w:rsidRPr="0013396E" w:rsidRDefault="00422B96" w:rsidP="0099759E">
            <w:pPr>
              <w:spacing w:after="60"/>
              <w:rPr>
                <w:iCs/>
                <w:sz w:val="20"/>
              </w:rPr>
            </w:pPr>
            <w:r w:rsidRPr="0013396E">
              <w:rPr>
                <w:iCs/>
                <w:sz w:val="20"/>
              </w:rPr>
              <w:t>Generation On-Line greater than 0 MW</w:t>
            </w:r>
          </w:p>
        </w:tc>
      </w:tr>
      <w:tr w:rsidR="00422B96" w:rsidRPr="0013396E" w14:paraId="74766ACF" w14:textId="77777777" w:rsidTr="006039B1">
        <w:tc>
          <w:tcPr>
            <w:tcW w:w="2133" w:type="dxa"/>
          </w:tcPr>
          <w:p w14:paraId="0368A598" w14:textId="77777777" w:rsidR="00422B96" w:rsidRPr="0013396E" w:rsidRDefault="00422B96" w:rsidP="0099759E">
            <w:pPr>
              <w:spacing w:after="60"/>
              <w:rPr>
                <w:iCs/>
                <w:sz w:val="20"/>
              </w:rPr>
            </w:pPr>
            <w:r w:rsidRPr="0013396E">
              <w:rPr>
                <w:iCs/>
                <w:sz w:val="20"/>
              </w:rPr>
              <w:lastRenderedPageBreak/>
              <w:t>PRC</w:t>
            </w:r>
            <w:r w:rsidRPr="0013396E">
              <w:rPr>
                <w:iCs/>
                <w:sz w:val="20"/>
                <w:vertAlign w:val="subscript"/>
              </w:rPr>
              <w:t>2</w:t>
            </w:r>
          </w:p>
        </w:tc>
        <w:tc>
          <w:tcPr>
            <w:tcW w:w="1565" w:type="dxa"/>
          </w:tcPr>
          <w:p w14:paraId="60A57CB4" w14:textId="77777777" w:rsidR="00422B96" w:rsidRPr="0013396E" w:rsidRDefault="00422B96" w:rsidP="0099759E">
            <w:pPr>
              <w:spacing w:after="60"/>
              <w:rPr>
                <w:iCs/>
                <w:sz w:val="20"/>
              </w:rPr>
            </w:pPr>
            <w:r w:rsidRPr="0013396E">
              <w:rPr>
                <w:iCs/>
                <w:sz w:val="20"/>
              </w:rPr>
              <w:t>MW</w:t>
            </w:r>
          </w:p>
        </w:tc>
        <w:tc>
          <w:tcPr>
            <w:tcW w:w="5652" w:type="dxa"/>
          </w:tcPr>
          <w:p w14:paraId="47ADDFFB" w14:textId="77777777" w:rsidR="00422B96" w:rsidRPr="0013396E" w:rsidRDefault="00422B96" w:rsidP="0099759E">
            <w:pPr>
              <w:spacing w:after="60"/>
              <w:rPr>
                <w:iCs/>
                <w:sz w:val="20"/>
              </w:rPr>
            </w:pPr>
            <w:r w:rsidRPr="0013396E">
              <w:rPr>
                <w:iCs/>
                <w:sz w:val="20"/>
              </w:rPr>
              <w:t>WGRs On-Line greater than 0 MW</w:t>
            </w:r>
          </w:p>
        </w:tc>
      </w:tr>
      <w:tr w:rsidR="00422B96" w:rsidRPr="0013396E" w14:paraId="60A4D986" w14:textId="77777777" w:rsidTr="006039B1">
        <w:tc>
          <w:tcPr>
            <w:tcW w:w="2133" w:type="dxa"/>
          </w:tcPr>
          <w:p w14:paraId="7DEC841A" w14:textId="77777777" w:rsidR="00422B96" w:rsidRPr="0013396E" w:rsidRDefault="00422B96" w:rsidP="0099759E">
            <w:pPr>
              <w:spacing w:after="60"/>
              <w:rPr>
                <w:iCs/>
                <w:sz w:val="20"/>
              </w:rPr>
            </w:pPr>
            <w:r w:rsidRPr="0013396E">
              <w:rPr>
                <w:iCs/>
                <w:sz w:val="20"/>
              </w:rPr>
              <w:t>PRC</w:t>
            </w:r>
            <w:r w:rsidRPr="0013396E">
              <w:rPr>
                <w:iCs/>
                <w:sz w:val="20"/>
                <w:vertAlign w:val="subscript"/>
              </w:rPr>
              <w:t>3</w:t>
            </w:r>
          </w:p>
        </w:tc>
        <w:tc>
          <w:tcPr>
            <w:tcW w:w="1565" w:type="dxa"/>
          </w:tcPr>
          <w:p w14:paraId="7594D1DA" w14:textId="77777777" w:rsidR="00422B96" w:rsidRPr="0013396E" w:rsidRDefault="00422B96" w:rsidP="0099759E">
            <w:pPr>
              <w:spacing w:after="60"/>
              <w:rPr>
                <w:iCs/>
                <w:sz w:val="20"/>
              </w:rPr>
            </w:pPr>
            <w:r w:rsidRPr="0013396E">
              <w:rPr>
                <w:iCs/>
                <w:sz w:val="20"/>
              </w:rPr>
              <w:t>MW</w:t>
            </w:r>
          </w:p>
        </w:tc>
        <w:tc>
          <w:tcPr>
            <w:tcW w:w="5652" w:type="dxa"/>
          </w:tcPr>
          <w:p w14:paraId="69439480" w14:textId="77777777" w:rsidR="00422B96" w:rsidRPr="0013396E" w:rsidRDefault="00422B96" w:rsidP="0099759E">
            <w:pPr>
              <w:spacing w:after="60"/>
              <w:rPr>
                <w:iCs/>
                <w:sz w:val="20"/>
              </w:rPr>
            </w:pPr>
            <w:r w:rsidRPr="0013396E">
              <w:rPr>
                <w:iCs/>
                <w:sz w:val="20"/>
              </w:rPr>
              <w:t>Synchronous condenser output</w:t>
            </w:r>
          </w:p>
        </w:tc>
      </w:tr>
      <w:tr w:rsidR="00422B96" w:rsidRPr="0013396E" w14:paraId="420A33AB" w14:textId="77777777" w:rsidTr="006039B1">
        <w:tc>
          <w:tcPr>
            <w:tcW w:w="2133" w:type="dxa"/>
          </w:tcPr>
          <w:p w14:paraId="2F39E084" w14:textId="77777777" w:rsidR="00422B96" w:rsidRPr="0013396E" w:rsidRDefault="00422B96" w:rsidP="0099759E">
            <w:pPr>
              <w:spacing w:after="60"/>
              <w:rPr>
                <w:iCs/>
                <w:sz w:val="20"/>
              </w:rPr>
            </w:pPr>
            <w:r w:rsidRPr="0013396E">
              <w:rPr>
                <w:iCs/>
                <w:sz w:val="20"/>
              </w:rPr>
              <w:t>PRC</w:t>
            </w:r>
            <w:r w:rsidRPr="0013396E">
              <w:rPr>
                <w:iCs/>
                <w:sz w:val="20"/>
                <w:vertAlign w:val="subscript"/>
              </w:rPr>
              <w:t>4</w:t>
            </w:r>
          </w:p>
        </w:tc>
        <w:tc>
          <w:tcPr>
            <w:tcW w:w="1565" w:type="dxa"/>
          </w:tcPr>
          <w:p w14:paraId="5A6704F0" w14:textId="77777777" w:rsidR="00422B96" w:rsidRPr="0013396E" w:rsidRDefault="00422B96" w:rsidP="0099759E">
            <w:pPr>
              <w:spacing w:after="60"/>
              <w:rPr>
                <w:iCs/>
                <w:sz w:val="20"/>
              </w:rPr>
            </w:pPr>
            <w:r w:rsidRPr="0013396E">
              <w:rPr>
                <w:iCs/>
                <w:sz w:val="20"/>
              </w:rPr>
              <w:t>MW</w:t>
            </w:r>
          </w:p>
        </w:tc>
        <w:tc>
          <w:tcPr>
            <w:tcW w:w="5652" w:type="dxa"/>
          </w:tcPr>
          <w:p w14:paraId="3D3554FD" w14:textId="77777777" w:rsidR="00422B96" w:rsidRPr="0013396E" w:rsidRDefault="00422B96" w:rsidP="0099759E">
            <w:pPr>
              <w:tabs>
                <w:tab w:val="left" w:pos="1080"/>
              </w:tabs>
              <w:spacing w:after="60"/>
              <w:rPr>
                <w:iCs/>
                <w:sz w:val="20"/>
              </w:rPr>
            </w:pPr>
            <w:r w:rsidRPr="0013396E">
              <w:rPr>
                <w:sz w:val="20"/>
              </w:rPr>
              <w:t>Capacity from Load Resources with an ECRS Ancillary Service Resource award</w:t>
            </w:r>
          </w:p>
        </w:tc>
      </w:tr>
      <w:tr w:rsidR="00422B96" w:rsidRPr="0013396E" w14:paraId="1535AB8F" w14:textId="77777777" w:rsidTr="006039B1">
        <w:tc>
          <w:tcPr>
            <w:tcW w:w="2133" w:type="dxa"/>
          </w:tcPr>
          <w:p w14:paraId="1C6D0515" w14:textId="77777777" w:rsidR="00422B96" w:rsidRPr="0013396E" w:rsidRDefault="00422B96" w:rsidP="0099759E">
            <w:pPr>
              <w:spacing w:after="60"/>
              <w:rPr>
                <w:iCs/>
                <w:sz w:val="20"/>
              </w:rPr>
            </w:pPr>
            <w:r w:rsidRPr="0013396E">
              <w:rPr>
                <w:iCs/>
                <w:sz w:val="20"/>
              </w:rPr>
              <w:t>PRC</w:t>
            </w:r>
            <w:r w:rsidRPr="0013396E">
              <w:rPr>
                <w:iCs/>
                <w:sz w:val="20"/>
                <w:vertAlign w:val="subscript"/>
              </w:rPr>
              <w:t>5</w:t>
            </w:r>
          </w:p>
        </w:tc>
        <w:tc>
          <w:tcPr>
            <w:tcW w:w="1565" w:type="dxa"/>
          </w:tcPr>
          <w:p w14:paraId="1D68C7EE" w14:textId="77777777" w:rsidR="00422B96" w:rsidRPr="0013396E" w:rsidRDefault="00422B96" w:rsidP="0099759E">
            <w:pPr>
              <w:spacing w:after="60"/>
              <w:rPr>
                <w:iCs/>
                <w:sz w:val="20"/>
              </w:rPr>
            </w:pPr>
            <w:r w:rsidRPr="0013396E">
              <w:rPr>
                <w:iCs/>
                <w:sz w:val="20"/>
              </w:rPr>
              <w:t>MW</w:t>
            </w:r>
          </w:p>
        </w:tc>
        <w:tc>
          <w:tcPr>
            <w:tcW w:w="5652" w:type="dxa"/>
          </w:tcPr>
          <w:p w14:paraId="79CEAE4A" w14:textId="00BFAB62" w:rsidR="001B6149" w:rsidRPr="0013396E" w:rsidRDefault="00422B96" w:rsidP="0099759E">
            <w:pPr>
              <w:tabs>
                <w:tab w:val="left" w:pos="1080"/>
              </w:tabs>
              <w:spacing w:after="60"/>
              <w:rPr>
                <w:iCs/>
                <w:sz w:val="20"/>
              </w:rPr>
            </w:pPr>
            <w:r w:rsidRPr="0013396E">
              <w:rPr>
                <w:iCs/>
                <w:sz w:val="20"/>
              </w:rPr>
              <w:t>Capacity from CLRs active in SCED with an Ancillary Service Resource award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5112"/>
            </w:tblGrid>
            <w:tr w:rsidR="001B6149" w:rsidRPr="0013396E" w14:paraId="0755F837" w14:textId="77777777" w:rsidTr="0099759E">
              <w:trPr>
                <w:trHeight w:val="206"/>
              </w:trPr>
              <w:tc>
                <w:tcPr>
                  <w:tcW w:w="9350" w:type="dxa"/>
                  <w:shd w:val="pct12" w:color="auto" w:fill="auto"/>
                </w:tcPr>
                <w:p w14:paraId="09013B08" w14:textId="7B98E0AA" w:rsidR="001B6149" w:rsidRPr="0013396E" w:rsidRDefault="001B6149" w:rsidP="001B6149">
                  <w:pPr>
                    <w:spacing w:before="120" w:after="240"/>
                    <w:rPr>
                      <w:b/>
                      <w:i/>
                      <w:iCs/>
                      <w:szCs w:val="24"/>
                    </w:rPr>
                  </w:pPr>
                  <w:r w:rsidRPr="0013396E">
                    <w:rPr>
                      <w:b/>
                      <w:i/>
                      <w:iCs/>
                      <w:szCs w:val="24"/>
                    </w:rPr>
                    <w:t>[NPRR</w:t>
                  </w:r>
                  <w:r>
                    <w:rPr>
                      <w:b/>
                      <w:i/>
                      <w:iCs/>
                      <w:szCs w:val="24"/>
                    </w:rPr>
                    <w:t>1244</w:t>
                  </w:r>
                  <w:r w:rsidRPr="0013396E">
                    <w:rPr>
                      <w:b/>
                      <w:i/>
                      <w:iCs/>
                      <w:szCs w:val="24"/>
                    </w:rPr>
                    <w:t xml:space="preserve">:  Replace </w:t>
                  </w:r>
                  <w:r>
                    <w:rPr>
                      <w:b/>
                      <w:i/>
                      <w:iCs/>
                      <w:szCs w:val="24"/>
                    </w:rPr>
                    <w:t>the description</w:t>
                  </w:r>
                  <w:r w:rsidRPr="0013396E">
                    <w:rPr>
                      <w:b/>
                      <w:i/>
                      <w:iCs/>
                      <w:szCs w:val="24"/>
                    </w:rPr>
                    <w:t xml:space="preserve"> above with the following upon system implementation:]</w:t>
                  </w:r>
                </w:p>
                <w:p w14:paraId="5A443FF1" w14:textId="0DE336EB" w:rsidR="001B6149" w:rsidRPr="001B6149" w:rsidRDefault="001B6149" w:rsidP="001B6149">
                  <w:pPr>
                    <w:tabs>
                      <w:tab w:val="left" w:pos="1080"/>
                    </w:tabs>
                    <w:spacing w:after="60"/>
                    <w:rPr>
                      <w:iCs/>
                      <w:sz w:val="20"/>
                    </w:rPr>
                  </w:pPr>
                  <w:r w:rsidRPr="0013396E">
                    <w:rPr>
                      <w:iCs/>
                      <w:sz w:val="20"/>
                    </w:rPr>
                    <w:t>Capacity from CLRs active in SCED and qualified for Regulation Service and/or RRS with an Ancillary Service Resource award</w:t>
                  </w:r>
                </w:p>
              </w:tc>
            </w:tr>
          </w:tbl>
          <w:p w14:paraId="57CAAC02" w14:textId="383C3BCB" w:rsidR="00422B96" w:rsidRPr="0013396E" w:rsidRDefault="00422B96" w:rsidP="0099759E">
            <w:pPr>
              <w:tabs>
                <w:tab w:val="left" w:pos="1080"/>
              </w:tabs>
              <w:spacing w:after="60"/>
              <w:rPr>
                <w:iCs/>
                <w:sz w:val="20"/>
              </w:rPr>
            </w:pPr>
          </w:p>
        </w:tc>
      </w:tr>
      <w:tr w:rsidR="00422B96" w:rsidRPr="0013396E" w14:paraId="538B525B" w14:textId="77777777" w:rsidTr="006039B1">
        <w:tc>
          <w:tcPr>
            <w:tcW w:w="2133" w:type="dxa"/>
          </w:tcPr>
          <w:p w14:paraId="470356D4" w14:textId="77777777" w:rsidR="00422B96" w:rsidRPr="0013396E" w:rsidRDefault="00422B96" w:rsidP="0099759E">
            <w:pPr>
              <w:spacing w:after="60"/>
              <w:rPr>
                <w:iCs/>
                <w:sz w:val="20"/>
              </w:rPr>
            </w:pPr>
            <w:r w:rsidRPr="0013396E">
              <w:rPr>
                <w:iCs/>
                <w:sz w:val="20"/>
              </w:rPr>
              <w:t>PRC</w:t>
            </w:r>
            <w:r w:rsidRPr="0013396E">
              <w:rPr>
                <w:iCs/>
                <w:sz w:val="20"/>
                <w:vertAlign w:val="subscript"/>
              </w:rPr>
              <w:t>6</w:t>
            </w:r>
          </w:p>
        </w:tc>
        <w:tc>
          <w:tcPr>
            <w:tcW w:w="1565" w:type="dxa"/>
          </w:tcPr>
          <w:p w14:paraId="6626E099" w14:textId="77777777" w:rsidR="00422B96" w:rsidRPr="0013396E" w:rsidRDefault="00422B96" w:rsidP="0099759E">
            <w:pPr>
              <w:spacing w:after="60"/>
              <w:rPr>
                <w:iCs/>
                <w:sz w:val="20"/>
              </w:rPr>
            </w:pPr>
            <w:r w:rsidRPr="0013396E">
              <w:rPr>
                <w:iCs/>
                <w:sz w:val="20"/>
              </w:rPr>
              <w:t>MW</w:t>
            </w:r>
          </w:p>
        </w:tc>
        <w:tc>
          <w:tcPr>
            <w:tcW w:w="5652" w:type="dxa"/>
          </w:tcPr>
          <w:p w14:paraId="1437C028" w14:textId="69A6F9A3" w:rsidR="001B6149" w:rsidRPr="0013396E" w:rsidRDefault="00422B96" w:rsidP="0099759E">
            <w:pPr>
              <w:tabs>
                <w:tab w:val="left" w:pos="1080"/>
              </w:tabs>
              <w:spacing w:after="60"/>
              <w:rPr>
                <w:iCs/>
                <w:sz w:val="20"/>
              </w:rPr>
            </w:pPr>
            <w:r w:rsidRPr="0013396E">
              <w:rPr>
                <w:iCs/>
                <w:sz w:val="20"/>
              </w:rPr>
              <w:t>Capacity from CLRs active in SCED without an Ancillary Service Resource award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5112"/>
            </w:tblGrid>
            <w:tr w:rsidR="001B6149" w:rsidRPr="0013396E" w14:paraId="2020D4D6" w14:textId="77777777" w:rsidTr="0099759E">
              <w:trPr>
                <w:trHeight w:val="206"/>
              </w:trPr>
              <w:tc>
                <w:tcPr>
                  <w:tcW w:w="9350" w:type="dxa"/>
                  <w:shd w:val="pct12" w:color="auto" w:fill="auto"/>
                </w:tcPr>
                <w:p w14:paraId="39D38BC8" w14:textId="77777777" w:rsidR="001B6149" w:rsidRPr="0013396E" w:rsidRDefault="001B6149" w:rsidP="001B6149">
                  <w:pPr>
                    <w:spacing w:before="120" w:after="240"/>
                    <w:rPr>
                      <w:b/>
                      <w:i/>
                      <w:iCs/>
                      <w:szCs w:val="24"/>
                    </w:rPr>
                  </w:pPr>
                  <w:r w:rsidRPr="0013396E">
                    <w:rPr>
                      <w:b/>
                      <w:i/>
                      <w:iCs/>
                      <w:szCs w:val="24"/>
                    </w:rPr>
                    <w:t>[NPRR</w:t>
                  </w:r>
                  <w:r>
                    <w:rPr>
                      <w:b/>
                      <w:i/>
                      <w:iCs/>
                      <w:szCs w:val="24"/>
                    </w:rPr>
                    <w:t>1244</w:t>
                  </w:r>
                  <w:r w:rsidRPr="0013396E">
                    <w:rPr>
                      <w:b/>
                      <w:i/>
                      <w:iCs/>
                      <w:szCs w:val="24"/>
                    </w:rPr>
                    <w:t xml:space="preserve">:  Replace </w:t>
                  </w:r>
                  <w:r>
                    <w:rPr>
                      <w:b/>
                      <w:i/>
                      <w:iCs/>
                      <w:szCs w:val="24"/>
                    </w:rPr>
                    <w:t>the description</w:t>
                  </w:r>
                  <w:r w:rsidRPr="0013396E">
                    <w:rPr>
                      <w:b/>
                      <w:i/>
                      <w:iCs/>
                      <w:szCs w:val="24"/>
                    </w:rPr>
                    <w:t xml:space="preserve"> above with the following upon system implementation:]</w:t>
                  </w:r>
                </w:p>
                <w:p w14:paraId="03A65BEA" w14:textId="40053BF0" w:rsidR="001B6149" w:rsidRPr="001B6149" w:rsidRDefault="001B6149" w:rsidP="001B6149">
                  <w:pPr>
                    <w:tabs>
                      <w:tab w:val="left" w:pos="1080"/>
                    </w:tabs>
                    <w:spacing w:after="60"/>
                    <w:rPr>
                      <w:iCs/>
                      <w:sz w:val="20"/>
                    </w:rPr>
                  </w:pPr>
                  <w:r w:rsidRPr="0013396E">
                    <w:rPr>
                      <w:iCs/>
                      <w:sz w:val="20"/>
                    </w:rPr>
                    <w:t>Capacity from CLRs active in SCED and qualified for Regulation Service and/or RRS without an Ancillary Service Resource award</w:t>
                  </w:r>
                </w:p>
              </w:tc>
            </w:tr>
          </w:tbl>
          <w:p w14:paraId="7C8348C3" w14:textId="713EE082" w:rsidR="00422B96" w:rsidRPr="0013396E" w:rsidRDefault="00422B96" w:rsidP="0099759E">
            <w:pPr>
              <w:tabs>
                <w:tab w:val="left" w:pos="1080"/>
              </w:tabs>
              <w:spacing w:after="60"/>
              <w:rPr>
                <w:iCs/>
                <w:sz w:val="20"/>
              </w:rPr>
            </w:pPr>
          </w:p>
        </w:tc>
      </w:tr>
      <w:tr w:rsidR="00422B96" w:rsidRPr="0013396E" w14:paraId="08316190" w14:textId="77777777" w:rsidTr="006039B1">
        <w:tc>
          <w:tcPr>
            <w:tcW w:w="2133" w:type="dxa"/>
          </w:tcPr>
          <w:p w14:paraId="22E34E18" w14:textId="77777777" w:rsidR="00422B96" w:rsidRPr="0013396E" w:rsidRDefault="00422B96" w:rsidP="0099759E">
            <w:pPr>
              <w:spacing w:after="60"/>
              <w:rPr>
                <w:iCs/>
                <w:sz w:val="20"/>
              </w:rPr>
            </w:pPr>
            <w:r w:rsidRPr="0013396E">
              <w:rPr>
                <w:iCs/>
                <w:sz w:val="20"/>
              </w:rPr>
              <w:t>PRC</w:t>
            </w:r>
            <w:r w:rsidRPr="0013396E">
              <w:rPr>
                <w:iCs/>
                <w:sz w:val="20"/>
                <w:vertAlign w:val="subscript"/>
              </w:rPr>
              <w:t>7</w:t>
            </w:r>
          </w:p>
        </w:tc>
        <w:tc>
          <w:tcPr>
            <w:tcW w:w="1565" w:type="dxa"/>
          </w:tcPr>
          <w:p w14:paraId="0537AAD1" w14:textId="77777777" w:rsidR="00422B96" w:rsidRPr="0013396E" w:rsidRDefault="00422B96" w:rsidP="0099759E">
            <w:pPr>
              <w:spacing w:after="60"/>
              <w:rPr>
                <w:iCs/>
                <w:sz w:val="20"/>
              </w:rPr>
            </w:pPr>
            <w:r w:rsidRPr="0013396E">
              <w:rPr>
                <w:iCs/>
                <w:sz w:val="20"/>
              </w:rPr>
              <w:t>MW</w:t>
            </w:r>
          </w:p>
        </w:tc>
        <w:tc>
          <w:tcPr>
            <w:tcW w:w="5652" w:type="dxa"/>
          </w:tcPr>
          <w:p w14:paraId="43A0BAF7" w14:textId="77777777" w:rsidR="00422B96" w:rsidRPr="0013396E" w:rsidRDefault="00422B96" w:rsidP="0099759E">
            <w:pPr>
              <w:tabs>
                <w:tab w:val="left" w:pos="1080"/>
              </w:tabs>
              <w:spacing w:after="60"/>
              <w:rPr>
                <w:iCs/>
                <w:sz w:val="20"/>
              </w:rPr>
            </w:pPr>
            <w:r w:rsidRPr="0013396E">
              <w:rPr>
                <w:iCs/>
                <w:sz w:val="20"/>
              </w:rPr>
              <w:t>Capacity from Resources capable of providing FFR</w:t>
            </w:r>
          </w:p>
        </w:tc>
      </w:tr>
      <w:tr w:rsidR="00422B96" w:rsidRPr="0013396E" w14:paraId="4856D0E4" w14:textId="77777777" w:rsidTr="006039B1">
        <w:tc>
          <w:tcPr>
            <w:tcW w:w="2133" w:type="dxa"/>
          </w:tcPr>
          <w:p w14:paraId="69787DE5" w14:textId="77777777" w:rsidR="00422B96" w:rsidRPr="0013396E" w:rsidRDefault="00422B96" w:rsidP="0099759E">
            <w:pPr>
              <w:spacing w:after="60"/>
              <w:rPr>
                <w:iCs/>
                <w:sz w:val="20"/>
              </w:rPr>
            </w:pPr>
            <w:r w:rsidRPr="0013396E">
              <w:rPr>
                <w:sz w:val="20"/>
              </w:rPr>
              <w:t>PRC</w:t>
            </w:r>
            <w:r w:rsidRPr="0013396E">
              <w:rPr>
                <w:sz w:val="20"/>
                <w:vertAlign w:val="subscript"/>
              </w:rPr>
              <w:t>8</w:t>
            </w:r>
          </w:p>
        </w:tc>
        <w:tc>
          <w:tcPr>
            <w:tcW w:w="1565" w:type="dxa"/>
          </w:tcPr>
          <w:p w14:paraId="4E8296F4" w14:textId="77777777" w:rsidR="00422B96" w:rsidRPr="0013396E" w:rsidRDefault="00422B96" w:rsidP="0099759E">
            <w:pPr>
              <w:spacing w:after="60"/>
              <w:rPr>
                <w:iCs/>
                <w:sz w:val="20"/>
              </w:rPr>
            </w:pPr>
            <w:r w:rsidRPr="0013396E">
              <w:rPr>
                <w:sz w:val="20"/>
              </w:rPr>
              <w:t>MW</w:t>
            </w:r>
          </w:p>
        </w:tc>
        <w:tc>
          <w:tcPr>
            <w:tcW w:w="5652" w:type="dxa"/>
          </w:tcPr>
          <w:p w14:paraId="02E5E38A" w14:textId="77777777" w:rsidR="00422B96" w:rsidRPr="0013396E" w:rsidRDefault="00422B96" w:rsidP="0099759E">
            <w:pPr>
              <w:tabs>
                <w:tab w:val="left" w:pos="1080"/>
              </w:tabs>
              <w:spacing w:after="60"/>
              <w:rPr>
                <w:iCs/>
                <w:sz w:val="20"/>
              </w:rPr>
            </w:pPr>
            <w:r w:rsidRPr="0013396E">
              <w:rPr>
                <w:sz w:val="20"/>
              </w:rPr>
              <w:t>ESR capacity capable of providing Primary Frequency Response</w:t>
            </w:r>
          </w:p>
        </w:tc>
      </w:tr>
      <w:tr w:rsidR="006039B1" w:rsidRPr="0013396E" w14:paraId="789ECEE4" w14:textId="77777777" w:rsidTr="006039B1">
        <w:tc>
          <w:tcPr>
            <w:tcW w:w="9350" w:type="dxa"/>
            <w:gridSpan w:val="3"/>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110"/>
            </w:tblGrid>
            <w:tr w:rsidR="006039B1" w:rsidRPr="0013396E" w14:paraId="28CCEC89" w14:textId="77777777" w:rsidTr="00E97C39">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1F1520F3" w14:textId="0F5BDC28" w:rsidR="006039B1" w:rsidRPr="0013396E" w:rsidRDefault="006039B1" w:rsidP="006039B1">
                  <w:pPr>
                    <w:spacing w:before="120" w:after="240"/>
                    <w:rPr>
                      <w:b/>
                      <w:i/>
                      <w:iCs/>
                      <w:szCs w:val="24"/>
                    </w:rPr>
                  </w:pPr>
                  <w:r w:rsidRPr="0013396E">
                    <w:rPr>
                      <w:b/>
                      <w:i/>
                      <w:iCs/>
                      <w:szCs w:val="24"/>
                    </w:rPr>
                    <w:t>[</w:t>
                  </w:r>
                  <w:r>
                    <w:rPr>
                      <w:b/>
                      <w:i/>
                      <w:iCs/>
                      <w:szCs w:val="24"/>
                    </w:rPr>
                    <w:t>NPRR1029</w:t>
                  </w:r>
                  <w:r w:rsidRPr="0013396E">
                    <w:rPr>
                      <w:b/>
                      <w:i/>
                      <w:iCs/>
                      <w:szCs w:val="24"/>
                    </w:rPr>
                    <w:t xml:space="preserve">:  </w:t>
                  </w:r>
                  <w:r>
                    <w:rPr>
                      <w:b/>
                      <w:i/>
                      <w:iCs/>
                      <w:szCs w:val="24"/>
                    </w:rPr>
                    <w:t>Insert the variable “PRC</w:t>
                  </w:r>
                  <w:r w:rsidRPr="006039B1">
                    <w:rPr>
                      <w:b/>
                      <w:i/>
                      <w:iCs/>
                      <w:szCs w:val="24"/>
                      <w:vertAlign w:val="subscript"/>
                    </w:rPr>
                    <w:t>9</w:t>
                  </w:r>
                  <w:r>
                    <w:rPr>
                      <w:b/>
                      <w:i/>
                      <w:iCs/>
                      <w:szCs w:val="24"/>
                    </w:rPr>
                    <w:t>”</w:t>
                  </w:r>
                  <w:r w:rsidRPr="0013396E">
                    <w:rPr>
                      <w:b/>
                      <w:i/>
                      <w:iCs/>
                      <w:szCs w:val="24"/>
                    </w:rPr>
                    <w:t xml:space="preserve"> </w:t>
                  </w:r>
                  <w:r>
                    <w:rPr>
                      <w:b/>
                      <w:i/>
                      <w:iCs/>
                      <w:szCs w:val="24"/>
                    </w:rPr>
                    <w:t>below</w:t>
                  </w:r>
                  <w:r w:rsidRPr="0013396E">
                    <w:rPr>
                      <w:b/>
                      <w:i/>
                      <w:iCs/>
                      <w:szCs w:val="24"/>
                    </w:rPr>
                    <w:t xml:space="preserve"> upon system implementation:]</w:t>
                  </w:r>
                </w:p>
                <w:tbl>
                  <w:tblPr>
                    <w:tblW w:w="9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050"/>
                    <w:gridCol w:w="1151"/>
                    <w:gridCol w:w="6004"/>
                  </w:tblGrid>
                  <w:tr w:rsidR="006039B1" w:rsidRPr="0013396E" w14:paraId="7A287B8A" w14:textId="77777777" w:rsidTr="00E97C39">
                    <w:tc>
                      <w:tcPr>
                        <w:tcW w:w="2050" w:type="dxa"/>
                      </w:tcPr>
                      <w:p w14:paraId="52D2C71E" w14:textId="77777777" w:rsidR="006039B1" w:rsidRPr="0013396E" w:rsidRDefault="006039B1" w:rsidP="006039B1">
                        <w:pPr>
                          <w:spacing w:after="60"/>
                          <w:rPr>
                            <w:iCs/>
                            <w:sz w:val="20"/>
                          </w:rPr>
                        </w:pPr>
                        <w:r w:rsidRPr="0013396E">
                          <w:rPr>
                            <w:sz w:val="20"/>
                          </w:rPr>
                          <w:t>PRC</w:t>
                        </w:r>
                        <w:r w:rsidRPr="0013396E">
                          <w:rPr>
                            <w:sz w:val="20"/>
                            <w:vertAlign w:val="subscript"/>
                          </w:rPr>
                          <w:t>9</w:t>
                        </w:r>
                      </w:p>
                    </w:tc>
                    <w:tc>
                      <w:tcPr>
                        <w:tcW w:w="1151" w:type="dxa"/>
                      </w:tcPr>
                      <w:p w14:paraId="7B2D9F8A" w14:textId="77777777" w:rsidR="006039B1" w:rsidRPr="0013396E" w:rsidRDefault="006039B1" w:rsidP="006039B1">
                        <w:pPr>
                          <w:spacing w:after="60"/>
                          <w:rPr>
                            <w:iCs/>
                            <w:sz w:val="20"/>
                          </w:rPr>
                        </w:pPr>
                        <w:r w:rsidRPr="0013396E">
                          <w:rPr>
                            <w:sz w:val="20"/>
                          </w:rPr>
                          <w:t>MW</w:t>
                        </w:r>
                      </w:p>
                    </w:tc>
                    <w:tc>
                      <w:tcPr>
                        <w:tcW w:w="6004" w:type="dxa"/>
                      </w:tcPr>
                      <w:p w14:paraId="204E6294" w14:textId="77777777" w:rsidR="006039B1" w:rsidRPr="0013396E" w:rsidRDefault="006039B1" w:rsidP="006039B1">
                        <w:pPr>
                          <w:tabs>
                            <w:tab w:val="left" w:pos="1080"/>
                          </w:tabs>
                          <w:spacing w:after="60"/>
                          <w:rPr>
                            <w:iCs/>
                            <w:sz w:val="20"/>
                          </w:rPr>
                        </w:pPr>
                        <w:r w:rsidRPr="0013396E">
                          <w:rPr>
                            <w:sz w:val="20"/>
                          </w:rPr>
                          <w:t>Capacity from DC-Coupled Resources capable of providing Primary Frequency Response</w:t>
                        </w:r>
                      </w:p>
                    </w:tc>
                  </w:tr>
                </w:tbl>
                <w:p w14:paraId="089DCCF8" w14:textId="41BAC9D3" w:rsidR="006039B1" w:rsidRPr="006039B1" w:rsidRDefault="006039B1" w:rsidP="006039B1">
                  <w:pPr>
                    <w:ind w:left="720" w:hanging="720"/>
                    <w:rPr>
                      <w:b/>
                      <w:position w:val="30"/>
                      <w:sz w:val="20"/>
                    </w:rPr>
                  </w:pPr>
                </w:p>
              </w:tc>
            </w:tr>
          </w:tbl>
          <w:p w14:paraId="29889A93" w14:textId="77777777" w:rsidR="006039B1" w:rsidRPr="0013396E" w:rsidRDefault="006039B1" w:rsidP="0099759E">
            <w:pPr>
              <w:tabs>
                <w:tab w:val="left" w:pos="1080"/>
              </w:tabs>
              <w:spacing w:after="60"/>
              <w:rPr>
                <w:iCs/>
                <w:sz w:val="20"/>
              </w:rPr>
            </w:pPr>
          </w:p>
        </w:tc>
      </w:tr>
      <w:tr w:rsidR="00422B96" w:rsidRPr="0013396E" w14:paraId="322A98C7" w14:textId="77777777" w:rsidTr="006039B1">
        <w:tc>
          <w:tcPr>
            <w:tcW w:w="2133" w:type="dxa"/>
          </w:tcPr>
          <w:p w14:paraId="463C5050" w14:textId="77777777" w:rsidR="00422B96" w:rsidRPr="0013396E" w:rsidRDefault="00422B96" w:rsidP="0099759E">
            <w:pPr>
              <w:spacing w:after="60"/>
              <w:rPr>
                <w:iCs/>
                <w:sz w:val="20"/>
              </w:rPr>
            </w:pPr>
            <w:r w:rsidRPr="0013396E">
              <w:rPr>
                <w:iCs/>
                <w:sz w:val="20"/>
              </w:rPr>
              <w:t>PRC</w:t>
            </w:r>
          </w:p>
        </w:tc>
        <w:tc>
          <w:tcPr>
            <w:tcW w:w="1565" w:type="dxa"/>
          </w:tcPr>
          <w:p w14:paraId="12E1E5DB" w14:textId="77777777" w:rsidR="00422B96" w:rsidRPr="0013396E" w:rsidRDefault="00422B96" w:rsidP="0099759E">
            <w:pPr>
              <w:spacing w:after="60"/>
              <w:rPr>
                <w:iCs/>
                <w:sz w:val="20"/>
              </w:rPr>
            </w:pPr>
            <w:r w:rsidRPr="0013396E">
              <w:rPr>
                <w:iCs/>
                <w:sz w:val="20"/>
              </w:rPr>
              <w:t>MW</w:t>
            </w:r>
          </w:p>
        </w:tc>
        <w:tc>
          <w:tcPr>
            <w:tcW w:w="5652" w:type="dxa"/>
          </w:tcPr>
          <w:p w14:paraId="7F3BBF66" w14:textId="77777777" w:rsidR="00422B96" w:rsidRPr="0013396E" w:rsidRDefault="00422B96" w:rsidP="0099759E">
            <w:pPr>
              <w:tabs>
                <w:tab w:val="left" w:pos="1080"/>
              </w:tabs>
              <w:spacing w:after="60"/>
              <w:rPr>
                <w:iCs/>
                <w:sz w:val="20"/>
              </w:rPr>
            </w:pPr>
            <w:r w:rsidRPr="0013396E">
              <w:rPr>
                <w:iCs/>
                <w:sz w:val="20"/>
              </w:rPr>
              <w:t>Physical Responsive Capability</w:t>
            </w:r>
          </w:p>
        </w:tc>
      </w:tr>
      <w:tr w:rsidR="00422B96" w:rsidRPr="0013396E" w14:paraId="61AB12D8" w14:textId="77777777" w:rsidTr="006039B1">
        <w:tc>
          <w:tcPr>
            <w:tcW w:w="2133" w:type="dxa"/>
          </w:tcPr>
          <w:p w14:paraId="2733D35A" w14:textId="77777777" w:rsidR="00422B96" w:rsidRPr="0013396E" w:rsidRDefault="00422B96" w:rsidP="0099759E">
            <w:pPr>
              <w:spacing w:after="60"/>
              <w:rPr>
                <w:iCs/>
                <w:sz w:val="20"/>
              </w:rPr>
            </w:pPr>
            <w:r w:rsidRPr="0013396E">
              <w:rPr>
                <w:sz w:val="20"/>
              </w:rPr>
              <w:t>X</w:t>
            </w:r>
          </w:p>
        </w:tc>
        <w:tc>
          <w:tcPr>
            <w:tcW w:w="1565" w:type="dxa"/>
          </w:tcPr>
          <w:p w14:paraId="0A3FDAFF" w14:textId="77777777" w:rsidR="00422B96" w:rsidRPr="0013396E" w:rsidRDefault="00422B96" w:rsidP="0099759E">
            <w:pPr>
              <w:spacing w:after="60"/>
              <w:rPr>
                <w:iCs/>
                <w:sz w:val="20"/>
              </w:rPr>
            </w:pPr>
            <w:r w:rsidRPr="0013396E">
              <w:rPr>
                <w:sz w:val="20"/>
              </w:rPr>
              <w:t>Percentage</w:t>
            </w:r>
          </w:p>
        </w:tc>
        <w:tc>
          <w:tcPr>
            <w:tcW w:w="5652" w:type="dxa"/>
          </w:tcPr>
          <w:p w14:paraId="4EC11E0F" w14:textId="77777777" w:rsidR="00422B96" w:rsidRPr="0013396E" w:rsidRDefault="00422B96" w:rsidP="0099759E">
            <w:pPr>
              <w:spacing w:after="60"/>
              <w:rPr>
                <w:iCs/>
                <w:sz w:val="20"/>
              </w:rPr>
            </w:pPr>
            <w:r w:rsidRPr="0013396E">
              <w:rPr>
                <w:sz w:val="20"/>
              </w:rPr>
              <w:t>Percent threshold based on the Governor droop setting of ESRs</w:t>
            </w:r>
          </w:p>
        </w:tc>
      </w:tr>
      <w:tr w:rsidR="00422B96" w:rsidRPr="0013396E" w14:paraId="69E6D329" w14:textId="77777777" w:rsidTr="006039B1">
        <w:tc>
          <w:tcPr>
            <w:tcW w:w="2133" w:type="dxa"/>
          </w:tcPr>
          <w:p w14:paraId="7AFEC9CC" w14:textId="77777777" w:rsidR="00422B96" w:rsidRPr="0013396E" w:rsidRDefault="00422B96" w:rsidP="0099759E">
            <w:pPr>
              <w:spacing w:after="60"/>
              <w:rPr>
                <w:iCs/>
                <w:sz w:val="20"/>
              </w:rPr>
            </w:pPr>
            <w:r w:rsidRPr="0013396E">
              <w:rPr>
                <w:iCs/>
                <w:sz w:val="20"/>
              </w:rPr>
              <w:t>RDF</w:t>
            </w:r>
          </w:p>
        </w:tc>
        <w:tc>
          <w:tcPr>
            <w:tcW w:w="1565" w:type="dxa"/>
          </w:tcPr>
          <w:p w14:paraId="1B909571" w14:textId="77777777" w:rsidR="00422B96" w:rsidRPr="0013396E" w:rsidRDefault="00422B96" w:rsidP="0099759E">
            <w:pPr>
              <w:spacing w:after="60"/>
              <w:rPr>
                <w:iCs/>
                <w:sz w:val="20"/>
              </w:rPr>
            </w:pPr>
          </w:p>
        </w:tc>
        <w:tc>
          <w:tcPr>
            <w:tcW w:w="5652" w:type="dxa"/>
          </w:tcPr>
          <w:p w14:paraId="14C1CD1F" w14:textId="77777777" w:rsidR="00422B96" w:rsidRPr="0013396E" w:rsidRDefault="00422B96" w:rsidP="0099759E">
            <w:pPr>
              <w:spacing w:after="60"/>
              <w:rPr>
                <w:iCs/>
                <w:sz w:val="20"/>
              </w:rPr>
            </w:pPr>
            <w:r w:rsidRPr="0013396E">
              <w:rPr>
                <w:iCs/>
                <w:sz w:val="20"/>
              </w:rPr>
              <w:t>The currently approved</w:t>
            </w:r>
            <w:r w:rsidRPr="0013396E">
              <w:rPr>
                <w:rFonts w:ascii="Times New Roman Bold" w:hAnsi="Times New Roman Bold"/>
                <w:iCs/>
                <w:sz w:val="20"/>
              </w:rPr>
              <w:t xml:space="preserve"> </w:t>
            </w:r>
            <w:r w:rsidRPr="0013396E">
              <w:rPr>
                <w:iCs/>
                <w:sz w:val="20"/>
              </w:rPr>
              <w:t>Reserve Discount Factor</w:t>
            </w:r>
            <w:r w:rsidRPr="0013396E">
              <w:rPr>
                <w:iCs/>
                <w:sz w:val="20"/>
              </w:rPr>
              <w:tab/>
            </w:r>
          </w:p>
        </w:tc>
      </w:tr>
      <w:tr w:rsidR="00422B96" w:rsidRPr="0013396E" w14:paraId="40389103" w14:textId="77777777" w:rsidTr="006039B1">
        <w:tc>
          <w:tcPr>
            <w:tcW w:w="2133" w:type="dxa"/>
          </w:tcPr>
          <w:p w14:paraId="573FAEE0" w14:textId="77777777" w:rsidR="00422B96" w:rsidRPr="0013396E" w:rsidRDefault="00422B96" w:rsidP="0099759E">
            <w:pPr>
              <w:spacing w:after="60"/>
              <w:rPr>
                <w:iCs/>
                <w:sz w:val="20"/>
              </w:rPr>
            </w:pPr>
            <w:r w:rsidRPr="0013396E">
              <w:rPr>
                <w:iCs/>
                <w:sz w:val="20"/>
              </w:rPr>
              <w:t>RDF</w:t>
            </w:r>
            <w:r w:rsidRPr="0013396E">
              <w:rPr>
                <w:iCs/>
                <w:sz w:val="20"/>
                <w:vertAlign w:val="subscript"/>
              </w:rPr>
              <w:t>W</w:t>
            </w:r>
          </w:p>
        </w:tc>
        <w:tc>
          <w:tcPr>
            <w:tcW w:w="1565" w:type="dxa"/>
          </w:tcPr>
          <w:p w14:paraId="41249F31" w14:textId="77777777" w:rsidR="00422B96" w:rsidRPr="0013396E" w:rsidRDefault="00422B96" w:rsidP="0099759E">
            <w:pPr>
              <w:spacing w:after="60"/>
              <w:rPr>
                <w:iCs/>
                <w:sz w:val="20"/>
              </w:rPr>
            </w:pPr>
          </w:p>
        </w:tc>
        <w:tc>
          <w:tcPr>
            <w:tcW w:w="5652" w:type="dxa"/>
          </w:tcPr>
          <w:p w14:paraId="34FBF025" w14:textId="77777777" w:rsidR="00422B96" w:rsidRPr="0013396E" w:rsidRDefault="00422B96" w:rsidP="0099759E">
            <w:pPr>
              <w:spacing w:after="60"/>
              <w:rPr>
                <w:iCs/>
                <w:sz w:val="20"/>
              </w:rPr>
            </w:pPr>
            <w:r w:rsidRPr="0013396E">
              <w:rPr>
                <w:iCs/>
                <w:sz w:val="20"/>
              </w:rPr>
              <w:t>The currently approved Reserve Discount Factor for WGRs</w:t>
            </w:r>
          </w:p>
        </w:tc>
      </w:tr>
      <w:tr w:rsidR="00422B96" w:rsidRPr="0013396E" w14:paraId="65C63272" w14:textId="77777777" w:rsidTr="006039B1">
        <w:tc>
          <w:tcPr>
            <w:tcW w:w="2133" w:type="dxa"/>
          </w:tcPr>
          <w:p w14:paraId="551FE433" w14:textId="77777777" w:rsidR="00422B96" w:rsidRPr="0013396E" w:rsidRDefault="00422B96" w:rsidP="0099759E">
            <w:pPr>
              <w:spacing w:after="60"/>
              <w:rPr>
                <w:iCs/>
                <w:sz w:val="20"/>
              </w:rPr>
            </w:pPr>
            <w:r w:rsidRPr="0013396E">
              <w:rPr>
                <w:iCs/>
                <w:sz w:val="20"/>
              </w:rPr>
              <w:t>LRDF_1</w:t>
            </w:r>
          </w:p>
        </w:tc>
        <w:tc>
          <w:tcPr>
            <w:tcW w:w="1565" w:type="dxa"/>
          </w:tcPr>
          <w:p w14:paraId="438256A3" w14:textId="77777777" w:rsidR="00422B96" w:rsidRPr="0013396E" w:rsidRDefault="00422B96" w:rsidP="0099759E">
            <w:pPr>
              <w:spacing w:after="60"/>
              <w:rPr>
                <w:iCs/>
                <w:sz w:val="20"/>
              </w:rPr>
            </w:pPr>
          </w:p>
        </w:tc>
        <w:tc>
          <w:tcPr>
            <w:tcW w:w="5652" w:type="dxa"/>
          </w:tcPr>
          <w:p w14:paraId="7A428A72" w14:textId="77777777" w:rsidR="00422B96" w:rsidRPr="0013396E" w:rsidRDefault="00422B96" w:rsidP="0099759E">
            <w:pPr>
              <w:spacing w:after="60"/>
              <w:rPr>
                <w:iCs/>
                <w:sz w:val="20"/>
              </w:rPr>
            </w:pPr>
            <w:r w:rsidRPr="0013396E">
              <w:rPr>
                <w:iCs/>
                <w:sz w:val="20"/>
              </w:rPr>
              <w:t>The currently approved Load Resource</w:t>
            </w:r>
            <w:r w:rsidRPr="0013396E">
              <w:rPr>
                <w:rFonts w:ascii="Times New Roman Bold" w:hAnsi="Times New Roman Bold"/>
                <w:iCs/>
                <w:sz w:val="20"/>
              </w:rPr>
              <w:t xml:space="preserve"> </w:t>
            </w:r>
            <w:r w:rsidRPr="0013396E">
              <w:rPr>
                <w:iCs/>
                <w:sz w:val="20"/>
              </w:rPr>
              <w:t>Reserve Discount Factor for CLRs awarded an Ancillary Service Resource award</w:t>
            </w:r>
          </w:p>
        </w:tc>
      </w:tr>
      <w:tr w:rsidR="00422B96" w:rsidRPr="0013396E" w14:paraId="478C9C73" w14:textId="77777777" w:rsidTr="006039B1">
        <w:tc>
          <w:tcPr>
            <w:tcW w:w="2133" w:type="dxa"/>
          </w:tcPr>
          <w:p w14:paraId="7F8A2324" w14:textId="77777777" w:rsidR="00422B96" w:rsidRPr="0013396E" w:rsidRDefault="00422B96" w:rsidP="0099759E">
            <w:pPr>
              <w:spacing w:after="60"/>
              <w:rPr>
                <w:iCs/>
                <w:sz w:val="20"/>
              </w:rPr>
            </w:pPr>
            <w:r w:rsidRPr="0013396E">
              <w:rPr>
                <w:iCs/>
                <w:sz w:val="20"/>
              </w:rPr>
              <w:t>LRDF_2</w:t>
            </w:r>
          </w:p>
        </w:tc>
        <w:tc>
          <w:tcPr>
            <w:tcW w:w="1565" w:type="dxa"/>
          </w:tcPr>
          <w:p w14:paraId="71731336" w14:textId="77777777" w:rsidR="00422B96" w:rsidRPr="0013396E" w:rsidRDefault="00422B96" w:rsidP="0099759E">
            <w:pPr>
              <w:spacing w:after="60"/>
              <w:rPr>
                <w:iCs/>
                <w:sz w:val="20"/>
              </w:rPr>
            </w:pPr>
          </w:p>
        </w:tc>
        <w:tc>
          <w:tcPr>
            <w:tcW w:w="5652" w:type="dxa"/>
          </w:tcPr>
          <w:p w14:paraId="66B4F7A0" w14:textId="77777777" w:rsidR="00422B96" w:rsidRPr="0013396E" w:rsidRDefault="00422B96" w:rsidP="0099759E">
            <w:pPr>
              <w:spacing w:after="60"/>
              <w:rPr>
                <w:iCs/>
                <w:sz w:val="20"/>
              </w:rPr>
            </w:pPr>
            <w:r w:rsidRPr="0013396E">
              <w:rPr>
                <w:iCs/>
                <w:sz w:val="20"/>
              </w:rPr>
              <w:t>The currently approved Load Resource</w:t>
            </w:r>
            <w:r w:rsidRPr="0013396E">
              <w:rPr>
                <w:rFonts w:ascii="Times New Roman Bold" w:hAnsi="Times New Roman Bold"/>
                <w:iCs/>
                <w:sz w:val="20"/>
              </w:rPr>
              <w:t xml:space="preserve"> </w:t>
            </w:r>
            <w:r w:rsidRPr="0013396E">
              <w:rPr>
                <w:iCs/>
                <w:sz w:val="20"/>
              </w:rPr>
              <w:t>Reserve Discount Factor for CLRs not awarded an Ancillary Service Resource award</w:t>
            </w:r>
          </w:p>
        </w:tc>
      </w:tr>
      <w:tr w:rsidR="00422B96" w:rsidRPr="0013396E" w14:paraId="4314B5A4" w14:textId="77777777" w:rsidTr="006039B1">
        <w:tc>
          <w:tcPr>
            <w:tcW w:w="2133" w:type="dxa"/>
          </w:tcPr>
          <w:p w14:paraId="785AD41F" w14:textId="77777777" w:rsidR="00422B96" w:rsidRPr="0013396E" w:rsidRDefault="00422B96" w:rsidP="0099759E">
            <w:pPr>
              <w:spacing w:after="60"/>
              <w:rPr>
                <w:iCs/>
                <w:sz w:val="20"/>
              </w:rPr>
            </w:pPr>
            <w:r w:rsidRPr="0013396E">
              <w:rPr>
                <w:iCs/>
                <w:sz w:val="20"/>
              </w:rPr>
              <w:t>FRCHL</w:t>
            </w:r>
          </w:p>
        </w:tc>
        <w:tc>
          <w:tcPr>
            <w:tcW w:w="1565" w:type="dxa"/>
          </w:tcPr>
          <w:p w14:paraId="4F889C20" w14:textId="77777777" w:rsidR="00422B96" w:rsidRPr="0013396E" w:rsidRDefault="00422B96" w:rsidP="0099759E">
            <w:pPr>
              <w:spacing w:after="60"/>
              <w:rPr>
                <w:iCs/>
                <w:sz w:val="20"/>
              </w:rPr>
            </w:pPr>
            <w:r w:rsidRPr="0013396E">
              <w:rPr>
                <w:iCs/>
                <w:sz w:val="20"/>
              </w:rPr>
              <w:t>MW</w:t>
            </w:r>
          </w:p>
        </w:tc>
        <w:tc>
          <w:tcPr>
            <w:tcW w:w="5652" w:type="dxa"/>
          </w:tcPr>
          <w:p w14:paraId="46DA62FF" w14:textId="77777777" w:rsidR="00422B96" w:rsidRPr="0013396E" w:rsidRDefault="00422B96" w:rsidP="0099759E">
            <w:pPr>
              <w:spacing w:after="60"/>
              <w:rPr>
                <w:iCs/>
                <w:sz w:val="20"/>
              </w:rPr>
            </w:pPr>
            <w:r w:rsidRPr="0013396E">
              <w:rPr>
                <w:iCs/>
                <w:sz w:val="20"/>
              </w:rPr>
              <w:t>Telemetered High limit of the FRC for the Resource</w:t>
            </w:r>
          </w:p>
        </w:tc>
      </w:tr>
      <w:tr w:rsidR="00422B96" w:rsidRPr="0013396E" w14:paraId="0CA7EC48" w14:textId="77777777" w:rsidTr="006039B1">
        <w:tc>
          <w:tcPr>
            <w:tcW w:w="2133" w:type="dxa"/>
          </w:tcPr>
          <w:p w14:paraId="0C8928BA" w14:textId="77777777" w:rsidR="00422B96" w:rsidRPr="0013396E" w:rsidDel="001616A9" w:rsidRDefault="00422B96" w:rsidP="0099759E">
            <w:pPr>
              <w:spacing w:after="60"/>
              <w:rPr>
                <w:iCs/>
                <w:sz w:val="20"/>
              </w:rPr>
            </w:pPr>
            <w:r w:rsidRPr="0013396E">
              <w:rPr>
                <w:iCs/>
                <w:sz w:val="20"/>
              </w:rPr>
              <w:t>FRCO</w:t>
            </w:r>
          </w:p>
        </w:tc>
        <w:tc>
          <w:tcPr>
            <w:tcW w:w="1565" w:type="dxa"/>
          </w:tcPr>
          <w:p w14:paraId="04EC1A60" w14:textId="77777777" w:rsidR="00422B96" w:rsidRPr="0013396E" w:rsidRDefault="00422B96" w:rsidP="0099759E">
            <w:pPr>
              <w:spacing w:after="60"/>
              <w:rPr>
                <w:iCs/>
                <w:sz w:val="20"/>
              </w:rPr>
            </w:pPr>
            <w:r w:rsidRPr="0013396E">
              <w:rPr>
                <w:iCs/>
                <w:sz w:val="20"/>
              </w:rPr>
              <w:t>MW</w:t>
            </w:r>
          </w:p>
        </w:tc>
        <w:tc>
          <w:tcPr>
            <w:tcW w:w="5652" w:type="dxa"/>
          </w:tcPr>
          <w:p w14:paraId="70BC8E31" w14:textId="77777777" w:rsidR="00422B96" w:rsidRPr="0013396E" w:rsidRDefault="00422B96" w:rsidP="0099759E">
            <w:pPr>
              <w:spacing w:after="60"/>
              <w:rPr>
                <w:iCs/>
                <w:sz w:val="20"/>
              </w:rPr>
            </w:pPr>
            <w:r w:rsidRPr="0013396E">
              <w:rPr>
                <w:iCs/>
                <w:sz w:val="20"/>
              </w:rPr>
              <w:t>Telemetered output of FRC portion of the Resource</w:t>
            </w:r>
          </w:p>
        </w:tc>
      </w:tr>
    </w:tbl>
    <w:p w14:paraId="21205103" w14:textId="77777777" w:rsidR="00422B96" w:rsidRPr="0013396E" w:rsidRDefault="00422B96" w:rsidP="00422B96">
      <w:pPr>
        <w:spacing w:before="240" w:after="240"/>
        <w:ind w:left="720" w:hanging="720"/>
      </w:pPr>
      <w:r w:rsidRPr="0013396E">
        <w:t>(2)</w:t>
      </w:r>
      <w:r w:rsidRPr="0013396E">
        <w:tab/>
        <w:t>The Load Resource</w:t>
      </w:r>
      <w:r w:rsidRPr="0013396E">
        <w:rPr>
          <w:rFonts w:ascii="Times New Roman Bold" w:hAnsi="Times New Roman Bold"/>
        </w:rPr>
        <w:t xml:space="preserve"> </w:t>
      </w:r>
      <w:r w:rsidRPr="0013396E">
        <w:t>Reserve Discount Factors (RDFs) for CLRs (LRDF_1 and LRDF_2) shall be subject to review and approval by TAC.</w:t>
      </w:r>
    </w:p>
    <w:p w14:paraId="6FD0A52C" w14:textId="77777777" w:rsidR="00422B96" w:rsidRPr="0013396E" w:rsidRDefault="00422B96" w:rsidP="00422B96">
      <w:pPr>
        <w:ind w:left="720" w:hanging="720"/>
      </w:pPr>
      <w:r w:rsidRPr="0013396E">
        <w:t xml:space="preserve">(3) </w:t>
      </w:r>
      <w:r w:rsidRPr="0013396E">
        <w:tab/>
        <w:t>The RDFs used in the PRC calculation shall be posted to the ERCOT website no later than three Business Days after approval.</w:t>
      </w:r>
    </w:p>
    <w:p w14:paraId="325D74F5" w14:textId="77777777" w:rsidR="00422B96" w:rsidRPr="0013396E" w:rsidRDefault="00422B96" w:rsidP="00422B96">
      <w:pPr>
        <w:ind w:left="720" w:hanging="720"/>
      </w:pPr>
    </w:p>
    <w:p w14:paraId="7DA6377B" w14:textId="48AB600A" w:rsidR="001F04FD" w:rsidRPr="0013396E" w:rsidRDefault="00422B96" w:rsidP="005A7D8E">
      <w:pPr>
        <w:pStyle w:val="BodyTextNumbered"/>
      </w:pPr>
      <w:r w:rsidRPr="0013396E">
        <w:t>(4)</w:t>
      </w:r>
      <w:r w:rsidRPr="0013396E">
        <w:tab/>
        <w:t>ERCOT shall display on the ERCOT website and update every ten seconds a rolling view of the ERCOT-wide PRC, as defined in paragraph (1)(p) above, for the current Operating Day.</w:t>
      </w:r>
    </w:p>
    <w:p w14:paraId="6CAB6EAE" w14:textId="77777777" w:rsidR="001F04FD" w:rsidRPr="0013396E" w:rsidRDefault="001F04FD" w:rsidP="005A7D8E">
      <w:pPr>
        <w:pStyle w:val="H4"/>
        <w:ind w:left="1267" w:hanging="1267"/>
      </w:pPr>
      <w:bookmarkStart w:id="944" w:name="_Toc397504974"/>
      <w:bookmarkStart w:id="945" w:name="_Toc402357102"/>
      <w:bookmarkStart w:id="946" w:name="_Toc422486482"/>
      <w:bookmarkStart w:id="947" w:name="_Toc433093334"/>
      <w:bookmarkStart w:id="948" w:name="_Toc433093492"/>
      <w:bookmarkStart w:id="949" w:name="_Toc440874721"/>
      <w:bookmarkStart w:id="950" w:name="_Toc448142276"/>
      <w:bookmarkStart w:id="951" w:name="_Toc448142433"/>
      <w:bookmarkStart w:id="952" w:name="_Toc458770269"/>
      <w:bookmarkStart w:id="953" w:name="_Toc459294237"/>
      <w:bookmarkStart w:id="954" w:name="_Toc463262730"/>
      <w:bookmarkStart w:id="955" w:name="_Toc468286804"/>
      <w:bookmarkStart w:id="956" w:name="_Toc481502850"/>
      <w:bookmarkStart w:id="957" w:name="_Toc496080018"/>
      <w:bookmarkStart w:id="958" w:name="_Toc214878919"/>
      <w:bookmarkEnd w:id="942"/>
      <w:r w:rsidRPr="0013396E">
        <w:t>6.5.7.6</w:t>
      </w:r>
      <w:r w:rsidRPr="0013396E">
        <w:tab/>
        <w:t>Load Frequency Control</w:t>
      </w:r>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p>
    <w:p w14:paraId="07C1F2F0" w14:textId="37C89DE6" w:rsidR="001F04FD" w:rsidRPr="0013396E" w:rsidRDefault="001F04FD" w:rsidP="001F04FD">
      <w:pPr>
        <w:pStyle w:val="BodyTextNumbered"/>
      </w:pPr>
      <w:bookmarkStart w:id="959" w:name="_Hlk135902426"/>
      <w:r w:rsidRPr="0013396E">
        <w:t>(1)</w:t>
      </w:r>
      <w:r w:rsidRPr="0013396E">
        <w:tab/>
        <w:t>The function of LFC is to maintain system frequency without a cost optimization function.  ERCOT shall execute LFC every four seconds to reduce system frequency deviations from scheduled frequency by providing a control signal to each QSE that represents Resources providing Regulation Service</w:t>
      </w:r>
      <w:r w:rsidR="00397A7F" w:rsidRPr="0013396E">
        <w:t>,</w:t>
      </w:r>
      <w:r w:rsidRPr="0013396E">
        <w:t xml:space="preserve"> RRS</w:t>
      </w:r>
      <w:r w:rsidR="00397A7F" w:rsidRPr="0013396E">
        <w:t>, and ECRS</w:t>
      </w:r>
      <w:r w:rsidRPr="0013396E">
        <w:t>.</w:t>
      </w:r>
    </w:p>
    <w:p w14:paraId="189791BE" w14:textId="77777777" w:rsidR="001F04FD" w:rsidRPr="0013396E" w:rsidRDefault="001F04FD" w:rsidP="005A7D8E">
      <w:pPr>
        <w:pStyle w:val="H5"/>
        <w:spacing w:before="480"/>
        <w:ind w:left="1627" w:hanging="1627"/>
      </w:pPr>
      <w:bookmarkStart w:id="960" w:name="_Toc73216013"/>
      <w:bookmarkStart w:id="961" w:name="_Toc397504975"/>
      <w:bookmarkStart w:id="962" w:name="_Toc402357103"/>
      <w:bookmarkStart w:id="963" w:name="_Toc422486483"/>
      <w:bookmarkStart w:id="964" w:name="_Toc433093335"/>
      <w:bookmarkStart w:id="965" w:name="_Toc433093493"/>
      <w:bookmarkStart w:id="966" w:name="_Toc440874722"/>
      <w:bookmarkStart w:id="967" w:name="_Toc448142277"/>
      <w:bookmarkStart w:id="968" w:name="_Toc448142434"/>
      <w:bookmarkStart w:id="969" w:name="_Toc458770270"/>
      <w:bookmarkStart w:id="970" w:name="_Toc459294238"/>
      <w:bookmarkStart w:id="971" w:name="_Toc463262731"/>
      <w:bookmarkStart w:id="972" w:name="_Toc468286805"/>
      <w:bookmarkStart w:id="973" w:name="_Toc481502851"/>
      <w:bookmarkStart w:id="974" w:name="_Toc496080019"/>
      <w:bookmarkStart w:id="975" w:name="_Toc214878920"/>
      <w:bookmarkStart w:id="976" w:name="_Toc73216014"/>
      <w:bookmarkEnd w:id="959"/>
      <w:r w:rsidRPr="0013396E">
        <w:t>6.5.7.6.1</w:t>
      </w:r>
      <w:r w:rsidRPr="0013396E">
        <w:tab/>
        <w:t>LFC Process Description</w:t>
      </w:r>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p>
    <w:p w14:paraId="6B3EECD4" w14:textId="77777777" w:rsidR="009C679A" w:rsidRPr="0013396E" w:rsidRDefault="009C679A" w:rsidP="009C679A">
      <w:pPr>
        <w:spacing w:after="240"/>
        <w:ind w:left="720" w:hanging="720"/>
      </w:pPr>
      <w:r w:rsidRPr="0013396E">
        <w:t>(1)</w:t>
      </w:r>
      <w:r w:rsidRPr="0013396E">
        <w:tab/>
        <w:t>The LFC system corrects system frequency based on the Area Control Error (ACE) algorithm and Good Utility Practice.</w:t>
      </w:r>
    </w:p>
    <w:p w14:paraId="68106737" w14:textId="27B8B073" w:rsidR="009C679A" w:rsidRPr="0013396E" w:rsidRDefault="009C679A" w:rsidP="009C679A">
      <w:pPr>
        <w:spacing w:after="240"/>
        <w:ind w:left="720" w:hanging="720"/>
      </w:pPr>
      <w:r w:rsidRPr="0013396E">
        <w:t>(2)</w:t>
      </w:r>
      <w:r w:rsidRPr="0013396E">
        <w:tab/>
        <w:t xml:space="preserve">The ACE algorithm subtracts the actual frequency in Hz from the scheduled system frequency (normally 60 Hz), and multiplies the result by the frequency bias constant of MW/0.1 Hz.  The ACE algorithm then takes that product and subtracts a configurable portion of the sum of the difference between the UDSP and Real-Time net MW output as appropriate.  LFC shall ensure that the total reduction will not exceed the system-wide regulation requirement.  This calculation produces an ACE value, which is a MW-equivalent correction needed to control the actual system frequency to the scheduled system frequency value.  </w:t>
      </w:r>
    </w:p>
    <w:p w14:paraId="58549FE4" w14:textId="77777777" w:rsidR="009C679A" w:rsidRPr="0013396E" w:rsidRDefault="009C679A" w:rsidP="009C679A">
      <w:pPr>
        <w:spacing w:after="240"/>
        <w:ind w:left="720" w:hanging="720"/>
      </w:pPr>
      <w:r w:rsidRPr="0013396E">
        <w:t>(3)</w:t>
      </w:r>
      <w:r w:rsidRPr="0013396E">
        <w:tab/>
        <w:t>The LFC module receives inputs from Real-Time telemetry that includes Resource output and actual system frequency.  The LFC uses actual Resource information calculated from SCADA to determine available Resource capacity providing Regulation Service, RRS, and ECRS.</w:t>
      </w:r>
    </w:p>
    <w:p w14:paraId="4186D1C8" w14:textId="77777777" w:rsidR="009C679A" w:rsidRPr="0013396E" w:rsidRDefault="009C679A" w:rsidP="009C679A">
      <w:pPr>
        <w:spacing w:after="240"/>
        <w:ind w:left="720" w:hanging="720"/>
      </w:pPr>
      <w:r w:rsidRPr="0013396E">
        <w:t>(4)</w:t>
      </w:r>
      <w:r w:rsidRPr="0013396E">
        <w:tab/>
        <w:t xml:space="preserve">Based on the ACE MW correction, the LFC issues a set of control signals every four seconds for each Resource providing Regulation and, if required, each Resource providing RRS or ECRS.  Control signals to each Resource are provided to the QSE using the ICCP data link.  QSEs shall receive a UDSP updated every four seconds by LFC.  ERCOT will provide an operations notice of any methodology change to the determination of the UDSP within 60 minutes of the change.  </w:t>
      </w:r>
    </w:p>
    <w:p w14:paraId="6C2ACB55" w14:textId="77777777" w:rsidR="009C679A" w:rsidRPr="0013396E" w:rsidRDefault="009C679A" w:rsidP="009C679A">
      <w:pPr>
        <w:spacing w:after="240"/>
        <w:ind w:left="720" w:hanging="720"/>
      </w:pPr>
      <w:r w:rsidRPr="0013396E">
        <w:t>(5)</w:t>
      </w:r>
      <w:r w:rsidRPr="0013396E">
        <w:tab/>
        <w:t>If all Reg-Up capacity has been deployed, ERCOT shall run off-cycle SCED executions or use the LFC system to deploy ECRS on Resources providing FFR or with an ONSC Resource Status.  Such ECRS deployments by ERCOT must be deployed as specified in Section 6.5.7.6.2.4, Deployment and Recall of ERCOT Contingency Reserve Service.</w:t>
      </w:r>
    </w:p>
    <w:p w14:paraId="40C76860" w14:textId="77777777" w:rsidR="009C679A" w:rsidRPr="0013396E" w:rsidRDefault="009C679A" w:rsidP="009C679A">
      <w:pPr>
        <w:spacing w:after="240"/>
        <w:ind w:left="720" w:hanging="720"/>
      </w:pPr>
      <w:r w:rsidRPr="0013396E">
        <w:t>(6)</w:t>
      </w:r>
      <w:r w:rsidRPr="0013396E">
        <w:tab/>
        <w:t xml:space="preserve">ERCOT shall settle energy that results from LFC deployment at the Settlement Point Price for the point of injection.  When a QSE deploys RRS or ECRS, the QSE shall deploy units consistent with the performance criteria in Sections 8.1.1.3.2, Responsive Reserve Capacity Monitoring Criteria, Section 8.1.1.3.4, ERCOT Contingency Reserve </w:t>
      </w:r>
      <w:r w:rsidRPr="0013396E">
        <w:lastRenderedPageBreak/>
        <w:t>Service Capacity Monitoring Criteria, 8.1.1.4.2, Responsive Reserve Energy Deployment Criteria, and 8.1.1.4.4, ERCOT Contingency Reserve Service Energy Deployment Criteria.</w:t>
      </w:r>
    </w:p>
    <w:p w14:paraId="3CFC0550" w14:textId="77777777" w:rsidR="009C679A" w:rsidRPr="0013396E" w:rsidRDefault="009C679A" w:rsidP="009C679A">
      <w:pPr>
        <w:spacing w:after="240"/>
        <w:ind w:left="720" w:hanging="720"/>
      </w:pPr>
      <w:r w:rsidRPr="0013396E">
        <w:t>(7)</w:t>
      </w:r>
      <w:r w:rsidRPr="0013396E">
        <w:tab/>
        <w:t>The inputs for LFC include:</w:t>
      </w:r>
    </w:p>
    <w:p w14:paraId="2B64B11F" w14:textId="77777777" w:rsidR="009C679A" w:rsidRPr="0013396E" w:rsidRDefault="009C679A" w:rsidP="009C679A">
      <w:pPr>
        <w:spacing w:after="240"/>
        <w:ind w:left="1440" w:hanging="720"/>
      </w:pPr>
      <w:r w:rsidRPr="0013396E">
        <w:t>(a)</w:t>
      </w:r>
      <w:r w:rsidRPr="0013396E">
        <w:tab/>
        <w:t>Actual system frequency;</w:t>
      </w:r>
    </w:p>
    <w:p w14:paraId="50EBAAAF" w14:textId="77777777" w:rsidR="009C679A" w:rsidRPr="0013396E" w:rsidRDefault="009C679A" w:rsidP="009C679A">
      <w:pPr>
        <w:spacing w:after="240"/>
        <w:ind w:left="1440" w:hanging="720"/>
      </w:pPr>
      <w:r w:rsidRPr="0013396E">
        <w:t>(b)</w:t>
      </w:r>
      <w:r w:rsidRPr="0013396E">
        <w:tab/>
        <w:t>Scheduled system frequency;</w:t>
      </w:r>
    </w:p>
    <w:p w14:paraId="7BFFCCCB" w14:textId="77777777" w:rsidR="009C679A" w:rsidRPr="0013396E" w:rsidRDefault="009C679A" w:rsidP="009C679A">
      <w:pPr>
        <w:spacing w:after="240"/>
        <w:ind w:left="1440" w:hanging="720"/>
      </w:pPr>
      <w:r w:rsidRPr="0013396E">
        <w:t>(c)</w:t>
      </w:r>
      <w:r w:rsidRPr="0013396E">
        <w:tab/>
        <w:t>Capacity awarded for Regulation Service to Resources;</w:t>
      </w:r>
    </w:p>
    <w:p w14:paraId="1F60840E" w14:textId="77777777" w:rsidR="009C679A" w:rsidRPr="0013396E" w:rsidRDefault="009C679A" w:rsidP="009C679A">
      <w:pPr>
        <w:spacing w:after="240"/>
        <w:ind w:left="1440" w:hanging="720"/>
      </w:pPr>
      <w:r w:rsidRPr="0013396E">
        <w:t>(d)</w:t>
      </w:r>
      <w:r w:rsidRPr="0013396E">
        <w:tab/>
        <w:t>For Resources awarded Regulation Service, telemetered HSL or MPC, and LSL or LPC;</w:t>
      </w:r>
    </w:p>
    <w:p w14:paraId="54B6CDC0" w14:textId="77777777" w:rsidR="009C679A" w:rsidRPr="0013396E" w:rsidRDefault="009C679A" w:rsidP="009C679A">
      <w:pPr>
        <w:spacing w:after="240"/>
        <w:ind w:left="1440" w:hanging="720"/>
      </w:pPr>
      <w:r w:rsidRPr="0013396E">
        <w:t>(e)</w:t>
      </w:r>
      <w:r w:rsidRPr="0013396E">
        <w:tab/>
        <w:t>Resource limits calculated by ERCOT as described in Section 6.5.7.2, Resource Limit Calculator;</w:t>
      </w:r>
    </w:p>
    <w:p w14:paraId="04000F3A" w14:textId="77777777" w:rsidR="009C679A" w:rsidRPr="0013396E" w:rsidRDefault="009C679A" w:rsidP="009C679A">
      <w:pPr>
        <w:spacing w:after="240"/>
        <w:ind w:left="1440" w:hanging="720"/>
      </w:pPr>
      <w:r w:rsidRPr="0013396E">
        <w:t>(f)</w:t>
      </w:r>
      <w:r w:rsidRPr="0013396E">
        <w:tab/>
        <w:t>Capacity awarded for RRS and ECRS to Resources;</w:t>
      </w:r>
    </w:p>
    <w:p w14:paraId="1154DAB2" w14:textId="77777777" w:rsidR="009C679A" w:rsidRPr="0013396E" w:rsidRDefault="009C679A" w:rsidP="009C679A">
      <w:pPr>
        <w:spacing w:before="240" w:after="240"/>
        <w:ind w:left="1440" w:hanging="720"/>
      </w:pPr>
      <w:r w:rsidRPr="0013396E">
        <w:t>(g)</w:t>
      </w:r>
      <w:r w:rsidRPr="0013396E">
        <w:tab/>
        <w:t>ERCOT System frequency bias; and</w:t>
      </w:r>
    </w:p>
    <w:p w14:paraId="0F8B855F" w14:textId="161AC82C" w:rsidR="001F04FD" w:rsidRPr="0013396E" w:rsidRDefault="009C679A" w:rsidP="005A7D8E">
      <w:pPr>
        <w:spacing w:before="240" w:after="240"/>
        <w:ind w:left="1440" w:hanging="720"/>
      </w:pPr>
      <w:r w:rsidRPr="0013396E">
        <w:t>(h)</w:t>
      </w:r>
      <w:r w:rsidRPr="0013396E">
        <w:tab/>
        <w:t>Telemetered Resource output.</w:t>
      </w:r>
    </w:p>
    <w:p w14:paraId="76884422" w14:textId="77777777" w:rsidR="001F04FD" w:rsidRPr="0013396E" w:rsidRDefault="001F04FD" w:rsidP="005A7D8E">
      <w:pPr>
        <w:pStyle w:val="H5"/>
        <w:ind w:left="1627" w:hanging="1627"/>
      </w:pPr>
      <w:bookmarkStart w:id="977" w:name="_Toc397504976"/>
      <w:bookmarkStart w:id="978" w:name="_Toc402357104"/>
      <w:bookmarkStart w:id="979" w:name="_Toc422486484"/>
      <w:bookmarkStart w:id="980" w:name="_Toc433093336"/>
      <w:bookmarkStart w:id="981" w:name="_Toc433093494"/>
      <w:bookmarkStart w:id="982" w:name="_Toc440874723"/>
      <w:bookmarkStart w:id="983" w:name="_Toc448142278"/>
      <w:bookmarkStart w:id="984" w:name="_Toc448142435"/>
      <w:bookmarkStart w:id="985" w:name="_Toc458770271"/>
      <w:bookmarkStart w:id="986" w:name="_Toc459294239"/>
      <w:bookmarkStart w:id="987" w:name="_Toc463262732"/>
      <w:bookmarkStart w:id="988" w:name="_Toc468286806"/>
      <w:bookmarkStart w:id="989" w:name="_Toc481502852"/>
      <w:bookmarkStart w:id="990" w:name="_Toc496080020"/>
      <w:bookmarkStart w:id="991" w:name="_Toc214878921"/>
      <w:r w:rsidRPr="0013396E">
        <w:t>6.5.7.6.2</w:t>
      </w:r>
      <w:r w:rsidRPr="0013396E">
        <w:tab/>
        <w:t>LFC Deployment</w:t>
      </w:r>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p>
    <w:p w14:paraId="64AAB626" w14:textId="59BB107D" w:rsidR="001F04FD" w:rsidRDefault="001F04FD" w:rsidP="001F04FD">
      <w:pPr>
        <w:pStyle w:val="BodyTextNumbered"/>
      </w:pPr>
      <w:r w:rsidRPr="0013396E">
        <w:t>(1)</w:t>
      </w:r>
      <w:r w:rsidRPr="0013396E">
        <w:tab/>
        <w:t>ERCOT may deploy Regulation</w:t>
      </w:r>
      <w:r w:rsidR="00F47949" w:rsidRPr="0013396E">
        <w:t xml:space="preserve"> Service</w:t>
      </w:r>
      <w:r w:rsidRPr="0013396E">
        <w:t xml:space="preserve">, </w:t>
      </w:r>
      <w:r w:rsidR="005755D9" w:rsidRPr="0013396E">
        <w:t>RRS</w:t>
      </w:r>
      <w:r w:rsidRPr="0013396E">
        <w:t>,</w:t>
      </w:r>
      <w:r w:rsidR="000E20D3" w:rsidRPr="0013396E">
        <w:t xml:space="preserve"> ECRS,</w:t>
      </w:r>
      <w:r w:rsidRPr="0013396E">
        <w:t xml:space="preserve"> and Non-Spin only as prescribed by their respective specific functions to maintain frequency and system security.  ERCOT may not substitute one Ancillary Service for another.</w:t>
      </w:r>
    </w:p>
    <w:p w14:paraId="7926B557" w14:textId="5BD3730E" w:rsidR="009C679A" w:rsidRPr="0013396E" w:rsidRDefault="009C679A" w:rsidP="001F04FD">
      <w:pPr>
        <w:pStyle w:val="BodyTextNumbered"/>
      </w:pPr>
      <w:r w:rsidRPr="0013396E">
        <w:t>(2)</w:t>
      </w:r>
      <w:r w:rsidRPr="0013396E">
        <w:tab/>
        <w:t>LFC will send UDSP deployment signals for each Resource, as specified in Section 6.5.7.4.1, Updated Desired Set Points.</w:t>
      </w:r>
    </w:p>
    <w:p w14:paraId="72F6E54C" w14:textId="77777777" w:rsidR="001F04FD" w:rsidRPr="0013396E" w:rsidRDefault="001F04FD" w:rsidP="005A7D8E">
      <w:pPr>
        <w:pStyle w:val="H6"/>
      </w:pPr>
      <w:r w:rsidRPr="0013396E">
        <w:t>6.5.7.6.2.1</w:t>
      </w:r>
      <w:r w:rsidRPr="0013396E">
        <w:tab/>
        <w:t>Deployment of Regulation Service</w:t>
      </w:r>
    </w:p>
    <w:p w14:paraId="04C77772" w14:textId="77777777" w:rsidR="001F04FD" w:rsidRPr="0013396E" w:rsidRDefault="001F04FD" w:rsidP="001F04FD">
      <w:pPr>
        <w:pStyle w:val="BodyTextNumbered"/>
      </w:pPr>
      <w:r w:rsidRPr="0013396E">
        <w:t>(1)</w:t>
      </w:r>
      <w:r w:rsidRPr="0013396E">
        <w:tab/>
        <w:t>ERCOT shall deploy Reg-Up and Reg-Down necessary to maintain ERCOT System frequency to meet NERC Control Area and other Control Area performance criteria as specified in these Protocols and the Operating Guides.</w:t>
      </w:r>
    </w:p>
    <w:p w14:paraId="733DF401" w14:textId="77777777" w:rsidR="001F04FD" w:rsidRPr="0013396E" w:rsidRDefault="001F04FD" w:rsidP="001F04FD">
      <w:pPr>
        <w:pStyle w:val="BodyTextNumbered"/>
      </w:pPr>
      <w:r w:rsidRPr="0013396E">
        <w:t>(2)</w:t>
      </w:r>
      <w:r w:rsidRPr="0013396E">
        <w:tab/>
        <w:t>Reg-Up is a deployment or recall of a deployment referenced to the Resource’s Base Point in response to a change (up or down) in ERCOT System frequency to maintain the target ERCOT System frequency within predetermined limits according to the Operating Guides.</w:t>
      </w:r>
    </w:p>
    <w:p w14:paraId="2AC6AEEB" w14:textId="77777777" w:rsidR="001F04FD" w:rsidRPr="0013396E" w:rsidRDefault="001F04FD" w:rsidP="001F04FD">
      <w:pPr>
        <w:pStyle w:val="BodyTextNumbered"/>
      </w:pPr>
      <w:r w:rsidRPr="0013396E">
        <w:t>(3)</w:t>
      </w:r>
      <w:r w:rsidRPr="0013396E">
        <w:tab/>
        <w:t>Reg-Down is a deployment or recall of a deployment referenced to the Resource’s Base Point in response to a change (up or down) in ERCOT System frequency to maintain the target ERCOT System frequency within predetermined limits according to the Operating Guides.</w:t>
      </w:r>
    </w:p>
    <w:p w14:paraId="23313E39" w14:textId="77777777" w:rsidR="001F04FD" w:rsidRPr="0013396E" w:rsidRDefault="001F04FD" w:rsidP="001F04FD">
      <w:pPr>
        <w:pStyle w:val="BodyTextNumbered"/>
      </w:pPr>
      <w:r w:rsidRPr="0013396E">
        <w:lastRenderedPageBreak/>
        <w:t>(4)</w:t>
      </w:r>
      <w:r w:rsidRPr="0013396E">
        <w:tab/>
        <w:t>These requirements also apply to the deployment or recall of a deployment of Reg-Up and Reg-Down:</w:t>
      </w:r>
    </w:p>
    <w:p w14:paraId="332CC3CF" w14:textId="77777777" w:rsidR="001F04FD" w:rsidRPr="0013396E" w:rsidRDefault="001F04FD" w:rsidP="001F04FD">
      <w:pPr>
        <w:pStyle w:val="List"/>
      </w:pPr>
      <w:r w:rsidRPr="0013396E">
        <w:t>(a)</w:t>
      </w:r>
      <w:r w:rsidRPr="0013396E">
        <w:tab/>
        <w:t>Deployment or recall of a deployment must be accomplished through use of an automatic signal from ERCOT to each QSE provider of Reg-Up and Reg-Down.</w:t>
      </w:r>
    </w:p>
    <w:p w14:paraId="5760B164" w14:textId="77777777" w:rsidR="001F04FD" w:rsidRPr="0013396E" w:rsidRDefault="001F04FD" w:rsidP="001F04FD">
      <w:pPr>
        <w:pStyle w:val="List"/>
      </w:pPr>
      <w:r w:rsidRPr="0013396E">
        <w:t>(b)</w:t>
      </w:r>
      <w:r w:rsidRPr="0013396E">
        <w:tab/>
        <w:t xml:space="preserve">ERCOT shall minimize Reg-Up and Reg-Down energy as much as practicable in each SCED cycle.  </w:t>
      </w:r>
    </w:p>
    <w:p w14:paraId="33823753" w14:textId="77777777" w:rsidR="001F04FD" w:rsidRPr="0013396E" w:rsidRDefault="001F04FD" w:rsidP="001F04FD">
      <w:pPr>
        <w:pStyle w:val="List"/>
      </w:pPr>
      <w:r w:rsidRPr="0013396E">
        <w:t>(c)</w:t>
      </w:r>
      <w:r w:rsidRPr="0013396E">
        <w:tab/>
        <w:t>ERCOT shall settle energy provided by Reg-Up and Reg-Down at the Resource’s Settlement Point Price.</w:t>
      </w:r>
    </w:p>
    <w:p w14:paraId="25913782" w14:textId="77777777" w:rsidR="001F04FD" w:rsidRPr="0013396E" w:rsidRDefault="001F04FD" w:rsidP="001F04FD">
      <w:pPr>
        <w:pStyle w:val="List"/>
      </w:pPr>
      <w:r w:rsidRPr="0013396E">
        <w:t>(d)</w:t>
      </w:r>
      <w:r w:rsidRPr="0013396E">
        <w:tab/>
        <w:t>ERCOT shall integrate the control signal sent to providers of Reg-Up and shall calculate the amount of energy deployed by Reg-Up in each Settlement Interval.</w:t>
      </w:r>
    </w:p>
    <w:p w14:paraId="4F0B2D39" w14:textId="77777777" w:rsidR="001F04FD" w:rsidRPr="0013396E" w:rsidRDefault="001F04FD" w:rsidP="001F04FD">
      <w:pPr>
        <w:pStyle w:val="List"/>
      </w:pPr>
      <w:r w:rsidRPr="0013396E">
        <w:t>(e)</w:t>
      </w:r>
      <w:r w:rsidRPr="0013396E">
        <w:tab/>
        <w:t>ERCOT shall integrate the control signal sent to providers of Reg-Down and shall calculate the amount of energy deployed by Reg-Down in each Settlement Interval.</w:t>
      </w:r>
    </w:p>
    <w:p w14:paraId="7AD2C9FB" w14:textId="77777777" w:rsidR="001F04FD" w:rsidRPr="0013396E" w:rsidRDefault="001F04FD" w:rsidP="001F04FD">
      <w:pPr>
        <w:pStyle w:val="List"/>
        <w:rPr>
          <w:color w:val="000000"/>
        </w:rPr>
      </w:pPr>
      <w:r w:rsidRPr="0013396E">
        <w:rPr>
          <w:color w:val="000000"/>
        </w:rPr>
        <w:t>(f)</w:t>
      </w:r>
      <w:r w:rsidRPr="0013396E">
        <w:rPr>
          <w:color w:val="000000"/>
        </w:rPr>
        <w:tab/>
        <w:t>ERCOT shall calculate for each LFC cycle the amount of regulation that each Resource is expected to provide at that instant in time.  The expected amount must be averaged over each SCED interval.  The actual generation from telemetry must also be averaged over each SCED interval.</w:t>
      </w:r>
    </w:p>
    <w:p w14:paraId="039BA011" w14:textId="77777777" w:rsidR="001F04FD" w:rsidRPr="0013396E" w:rsidRDefault="001F04FD" w:rsidP="001F04FD">
      <w:pPr>
        <w:pStyle w:val="BodyTextNumbered"/>
      </w:pPr>
      <w:r w:rsidRPr="0013396E">
        <w:t>(5)</w:t>
      </w:r>
      <w:r w:rsidRPr="0013396E">
        <w:tab/>
        <w:t>Every day, ERCOT shall post to the MIS Secure Area the total amount of deployed Reg-Up and Reg-Down energy in each Settlement Interval of the previous day.</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445"/>
      </w:tblGrid>
      <w:tr w:rsidR="00AC4DE5" w:rsidRPr="0013396E" w14:paraId="2BEBE2A2" w14:textId="77777777" w:rsidTr="00AC4DE5">
        <w:trPr>
          <w:trHeight w:val="206"/>
        </w:trPr>
        <w:tc>
          <w:tcPr>
            <w:tcW w:w="9445" w:type="dxa"/>
            <w:shd w:val="pct12" w:color="auto" w:fill="auto"/>
          </w:tcPr>
          <w:p w14:paraId="6A808C3A" w14:textId="77777777" w:rsidR="00AC4DE5" w:rsidRPr="0013396E" w:rsidRDefault="00AC4DE5" w:rsidP="00AE5CE8">
            <w:pPr>
              <w:pStyle w:val="Instructions"/>
              <w:spacing w:before="120"/>
            </w:pPr>
            <w:r w:rsidRPr="0013396E">
              <w:t>[NPRR1239:  Replace paragraph (5) above with the following upon system implementation:]</w:t>
            </w:r>
          </w:p>
          <w:p w14:paraId="0D2DAA53" w14:textId="604AC793" w:rsidR="00AC4DE5" w:rsidRPr="0013396E" w:rsidRDefault="00AC4DE5" w:rsidP="00AC4DE5">
            <w:pPr>
              <w:spacing w:after="240"/>
              <w:ind w:left="720" w:hanging="720"/>
            </w:pPr>
            <w:r w:rsidRPr="0013396E">
              <w:t>(5)</w:t>
            </w:r>
            <w:r w:rsidRPr="0013396E">
              <w:tab/>
              <w:t>Every day, ERCOT shall post to the ERCOT website the total amount of deployed Reg-Up and Reg-Down energy in each Settlement Interval of the previous day.</w:t>
            </w:r>
          </w:p>
        </w:tc>
      </w:tr>
    </w:tbl>
    <w:p w14:paraId="045865A6" w14:textId="655A583C" w:rsidR="001F04FD" w:rsidRPr="0013396E" w:rsidRDefault="001F04FD" w:rsidP="00952F33">
      <w:pPr>
        <w:pStyle w:val="BodyTextNumbered"/>
        <w:spacing w:before="240"/>
      </w:pPr>
      <w:r w:rsidRPr="0013396E">
        <w:t>(6)</w:t>
      </w:r>
      <w:r w:rsidRPr="0013396E">
        <w:tab/>
        <w:t>For each Resource providing Reg-Up or Reg-Down, the implied ramp rate in MW per minute is the total amount of Regulation Service awarded divided by five.</w:t>
      </w:r>
    </w:p>
    <w:p w14:paraId="4E4050FE" w14:textId="77777777" w:rsidR="001F04FD" w:rsidRPr="0013396E" w:rsidRDefault="001F04FD" w:rsidP="001F04FD">
      <w:pPr>
        <w:pStyle w:val="BodyTextNumbered"/>
      </w:pPr>
      <w:r w:rsidRPr="0013396E">
        <w:t>(7)</w:t>
      </w:r>
      <w:r w:rsidRPr="0013396E">
        <w:tab/>
        <w:t>Each QSE providing Reg-Up or Reg-Down and ERCOT shall meet the deployment performance requirements specified in Section 8, Performance Monitoring.</w:t>
      </w:r>
    </w:p>
    <w:p w14:paraId="7D18A9BF" w14:textId="09E5F0B2" w:rsidR="009C679A" w:rsidRPr="0013396E" w:rsidRDefault="001F04FD" w:rsidP="009C679A">
      <w:pPr>
        <w:spacing w:after="240"/>
        <w:ind w:left="720" w:hanging="720"/>
      </w:pPr>
      <w:r w:rsidRPr="0013396E">
        <w:t>(8)</w:t>
      </w:r>
      <w:r w:rsidRPr="0013396E">
        <w:tab/>
      </w:r>
      <w:r w:rsidR="009C679A" w:rsidRPr="0013396E">
        <w:t xml:space="preserve">ERCOT shall issue Reg-Up and Reg-Down deployment Dispatch Instructions over ICCP.  Those Dispatch Instructions must contain the change in MW output requested of the Resource.  </w:t>
      </w:r>
    </w:p>
    <w:p w14:paraId="3634F60E" w14:textId="77777777" w:rsidR="009C679A" w:rsidRPr="0013396E" w:rsidRDefault="009C679A" w:rsidP="009C679A">
      <w:pPr>
        <w:spacing w:after="240"/>
        <w:ind w:left="720" w:hanging="720"/>
      </w:pPr>
      <w:r w:rsidRPr="0013396E">
        <w:t>(9)</w:t>
      </w:r>
      <w:r w:rsidRPr="0013396E">
        <w:tab/>
        <w:t xml:space="preserve">Reg-Up and Reg-Down Dispatch Instructions shall be included as a component of a Resource’s UDSP. </w:t>
      </w:r>
    </w:p>
    <w:p w14:paraId="14700940" w14:textId="0D1AD998" w:rsidR="001F04FD" w:rsidRPr="0013396E" w:rsidRDefault="009C679A" w:rsidP="009C679A">
      <w:pPr>
        <w:pStyle w:val="BodyTextNumbered"/>
      </w:pPr>
      <w:r w:rsidRPr="0013396E">
        <w:lastRenderedPageBreak/>
        <w:t>(10)</w:t>
      </w:r>
      <w:r w:rsidRPr="0013396E">
        <w:tab/>
        <w:t>Upon the receipt of new Base Points and Ancillary Service awards from SCED, LFC will reset Regulation Service instructions to zero</w:t>
      </w:r>
      <w:r>
        <w:t>.</w:t>
      </w:r>
    </w:p>
    <w:p w14:paraId="291FA216" w14:textId="77777777" w:rsidR="001F04FD" w:rsidRPr="0013396E" w:rsidRDefault="001F04FD" w:rsidP="005A7D8E">
      <w:pPr>
        <w:pStyle w:val="H6"/>
      </w:pPr>
      <w:bookmarkStart w:id="992" w:name="_Hlk135902803"/>
      <w:r w:rsidRPr="0013396E">
        <w:t>6.5.7.6.2.2</w:t>
      </w:r>
      <w:r w:rsidRPr="0013396E">
        <w:tab/>
        <w:t xml:space="preserve">Deployment of Responsive Reserve </w:t>
      </w:r>
      <w:r w:rsidR="00A2264F" w:rsidRPr="0013396E">
        <w:t>(RRS)</w:t>
      </w:r>
    </w:p>
    <w:p w14:paraId="6B242600" w14:textId="77777777" w:rsidR="009C679A" w:rsidRPr="0013396E" w:rsidRDefault="009C679A" w:rsidP="009C679A">
      <w:pPr>
        <w:spacing w:after="240"/>
        <w:ind w:left="720" w:hanging="720"/>
      </w:pPr>
      <w:r w:rsidRPr="0013396E">
        <w:t>(1)</w:t>
      </w:r>
      <w:r w:rsidRPr="0013396E">
        <w:tab/>
        <w:t>RRS is intended to:</w:t>
      </w:r>
    </w:p>
    <w:p w14:paraId="64D2B660" w14:textId="77777777" w:rsidR="009C679A" w:rsidRPr="0013396E" w:rsidRDefault="009C679A" w:rsidP="009C679A">
      <w:pPr>
        <w:spacing w:after="240"/>
        <w:ind w:left="1440" w:hanging="720"/>
      </w:pPr>
      <w:r w:rsidRPr="0013396E">
        <w:t>(a)</w:t>
      </w:r>
      <w:r w:rsidRPr="0013396E">
        <w:tab/>
        <w:t>Help restore the frequency within the first few seconds of a significant frequency deviation of the interconnected transmission system; and</w:t>
      </w:r>
    </w:p>
    <w:p w14:paraId="02AB5BC4" w14:textId="77777777" w:rsidR="009C679A" w:rsidRPr="0013396E" w:rsidRDefault="009C679A" w:rsidP="009C679A">
      <w:pPr>
        <w:spacing w:after="240"/>
        <w:ind w:left="1440" w:hanging="720"/>
      </w:pPr>
      <w:r w:rsidRPr="0013396E">
        <w:t>(b)</w:t>
      </w:r>
      <w:r w:rsidRPr="0013396E">
        <w:tab/>
        <w:t>Provide energy during the implementation of an EEA.</w:t>
      </w:r>
    </w:p>
    <w:p w14:paraId="02EC2E59" w14:textId="77777777" w:rsidR="009C679A" w:rsidRPr="0013396E" w:rsidRDefault="009C679A" w:rsidP="009C679A">
      <w:pPr>
        <w:spacing w:before="240" w:after="240"/>
        <w:ind w:left="720" w:hanging="720"/>
      </w:pPr>
      <w:r w:rsidRPr="0013396E">
        <w:t>(2)</w:t>
      </w:r>
      <w:r w:rsidRPr="0013396E">
        <w:tab/>
        <w:t>ERCOT shall deploy RRS to meet NERC Control Performance Standards and other performance criteria as specified in these Protocols and the Operating Guides, by one or more of the following:</w:t>
      </w:r>
    </w:p>
    <w:p w14:paraId="39BAAC08" w14:textId="77777777" w:rsidR="009C679A" w:rsidRPr="0013396E" w:rsidRDefault="009C679A" w:rsidP="009C679A">
      <w:pPr>
        <w:spacing w:after="240"/>
        <w:ind w:left="1440" w:hanging="720"/>
      </w:pPr>
      <w:r w:rsidRPr="0013396E">
        <w:t>(a)</w:t>
      </w:r>
      <w:r w:rsidRPr="0013396E">
        <w:tab/>
        <w:t>RRS energy deployment by automatic Governor response as a result of frequency deviation;</w:t>
      </w:r>
    </w:p>
    <w:p w14:paraId="49667303" w14:textId="77777777" w:rsidR="009C679A" w:rsidRPr="0013396E" w:rsidRDefault="009C679A" w:rsidP="009C679A">
      <w:pPr>
        <w:spacing w:before="240" w:after="240"/>
        <w:ind w:left="1440" w:hanging="720"/>
      </w:pPr>
      <w:r w:rsidRPr="0013396E">
        <w:t>(b)</w:t>
      </w:r>
      <w:r w:rsidRPr="0013396E">
        <w:tab/>
        <w:t>By Dispatch Instruction for deployment of RRS energy from a Load Resource, excluding CLRs, by an electronic Messaging System;</w:t>
      </w:r>
    </w:p>
    <w:p w14:paraId="7A57108E" w14:textId="77777777" w:rsidR="009C679A" w:rsidRPr="0013396E" w:rsidRDefault="009C679A" w:rsidP="009C679A">
      <w:pPr>
        <w:spacing w:after="240"/>
        <w:ind w:left="1440" w:hanging="720"/>
      </w:pPr>
      <w:r w:rsidRPr="0013396E">
        <w:t>(c)</w:t>
      </w:r>
      <w:r w:rsidRPr="0013396E">
        <w:tab/>
        <w:t>RRS energy deployment by automatic action of high-set under-frequency relays as a result of a significant frequency deviation; and</w:t>
      </w:r>
    </w:p>
    <w:p w14:paraId="792308F3" w14:textId="77777777" w:rsidR="009C679A" w:rsidRPr="0013396E" w:rsidRDefault="009C679A" w:rsidP="009C679A">
      <w:pPr>
        <w:spacing w:after="240"/>
        <w:ind w:left="1440" w:hanging="720"/>
      </w:pPr>
      <w:r w:rsidRPr="0013396E">
        <w:t>(d)</w:t>
      </w:r>
      <w:r w:rsidRPr="0013396E">
        <w:tab/>
        <w:t>By Dispatch Instruction for deployment of RRS from Resources with a Resource Status of ONSC or Resources providing FFR.</w:t>
      </w:r>
    </w:p>
    <w:p w14:paraId="501B4BBC" w14:textId="77777777" w:rsidR="009C679A" w:rsidRPr="0013396E" w:rsidRDefault="009C679A" w:rsidP="009C679A">
      <w:pPr>
        <w:spacing w:after="240"/>
        <w:ind w:left="720" w:hanging="720"/>
      </w:pPr>
      <w:r w:rsidRPr="0013396E">
        <w:t>(3)</w:t>
      </w:r>
      <w:r w:rsidRPr="0013396E">
        <w:tab/>
        <w:t>ERCOT shall deploy RRS to respond to a frequency deviation when the power requirement to restore frequency to normal ACE in ten minutes exceeds the Reg-Up ramping capability.  Deployment of RRS on Load Resources, excluding CLRs, must be as described in Section 6.5.9.4, Energy Emergency Alert.</w:t>
      </w:r>
    </w:p>
    <w:p w14:paraId="42355612" w14:textId="77777777" w:rsidR="009C679A" w:rsidRPr="0013396E" w:rsidRDefault="009C679A" w:rsidP="009C679A">
      <w:pPr>
        <w:spacing w:after="240"/>
        <w:ind w:left="720" w:hanging="720"/>
      </w:pPr>
      <w:r w:rsidRPr="0013396E">
        <w:t>(4)</w:t>
      </w:r>
      <w:r w:rsidRPr="0013396E">
        <w:tab/>
        <w:t>Energy from RRS Resources may also be deployed by ERCOT under Section 6.5.9, Emergency Operations.</w:t>
      </w:r>
    </w:p>
    <w:p w14:paraId="1333C429" w14:textId="77777777" w:rsidR="009C679A" w:rsidRPr="0013396E" w:rsidRDefault="009C679A" w:rsidP="009C679A">
      <w:pPr>
        <w:spacing w:after="240"/>
        <w:ind w:left="720" w:hanging="720"/>
      </w:pPr>
      <w:r w:rsidRPr="0013396E">
        <w:t>(5)</w:t>
      </w:r>
      <w:r w:rsidRPr="0013396E">
        <w:tab/>
        <w:t xml:space="preserve">For Resources providing RRS with a Resource Status of ONSC, ERCOT shall deploy RRS as described in Section 6.5.9.4.2, EEA Levels, and Nodal Operating Guide Section 2.3.1.2, Additional Operational Details for Responsive Reserve Providers.  </w:t>
      </w:r>
    </w:p>
    <w:p w14:paraId="43F927A5" w14:textId="77777777" w:rsidR="009C679A" w:rsidRPr="0013396E" w:rsidRDefault="009C679A" w:rsidP="009C679A">
      <w:pPr>
        <w:spacing w:after="240"/>
        <w:ind w:left="720" w:hanging="720"/>
      </w:pPr>
      <w:r w:rsidRPr="0013396E">
        <w:t>(6)</w:t>
      </w:r>
      <w:r w:rsidRPr="0013396E">
        <w:tab/>
        <w:t>For Resources providing RRS with FFR, ERCOT may manually deploy the FFR RRS in an attempt to recover frequency to meet NERC Performance Control Standards after utilizing Reg-Up and the SCED process which includes off-cycle SCED executions.</w:t>
      </w:r>
    </w:p>
    <w:p w14:paraId="4872BB1C" w14:textId="77777777" w:rsidR="009C679A" w:rsidRPr="0013396E" w:rsidRDefault="009C679A" w:rsidP="009C679A">
      <w:pPr>
        <w:spacing w:after="240"/>
        <w:ind w:left="720" w:hanging="720"/>
      </w:pPr>
      <w:r w:rsidRPr="0013396E">
        <w:t>(7)</w:t>
      </w:r>
      <w:r w:rsidRPr="0013396E">
        <w:tab/>
        <w:t>ERCOT shall use the SCED, ECRS, and Non-Spin as soon as practicable to minimize the prolonged use of RRS energy.</w:t>
      </w:r>
    </w:p>
    <w:p w14:paraId="7480F6AA" w14:textId="77777777" w:rsidR="009C679A" w:rsidRPr="0013396E" w:rsidRDefault="009C679A" w:rsidP="009C679A">
      <w:pPr>
        <w:spacing w:after="240"/>
        <w:ind w:left="720" w:hanging="720"/>
      </w:pPr>
      <w:r w:rsidRPr="0013396E">
        <w:lastRenderedPageBreak/>
        <w:t>(8)</w:t>
      </w:r>
      <w:r w:rsidRPr="0013396E">
        <w:tab/>
        <w:t xml:space="preserve">Once RRS is manually deployed on Load Resources controlled by under-frequency relays or Resources telemetering a Resource Status of ONSC, the Resource’s obligation to deliver RRS remains in effect until recalled by ERCOT.  </w:t>
      </w:r>
    </w:p>
    <w:p w14:paraId="1283BB44" w14:textId="77777777" w:rsidR="009C679A" w:rsidRPr="0013396E" w:rsidRDefault="009C679A" w:rsidP="009C679A">
      <w:pPr>
        <w:spacing w:after="240"/>
        <w:ind w:left="720" w:hanging="720"/>
      </w:pPr>
      <w:r w:rsidRPr="0013396E">
        <w:t>(9)</w:t>
      </w:r>
      <w:r w:rsidRPr="0013396E">
        <w:tab/>
        <w:t>Resources providing RRS and ERCOT shall meet the deployment performance requirements specified in Section 8, Performance Monitoring.</w:t>
      </w:r>
    </w:p>
    <w:p w14:paraId="62B3DB92" w14:textId="77777777" w:rsidR="009C679A" w:rsidRPr="0013396E" w:rsidRDefault="009C679A" w:rsidP="009C679A">
      <w:pPr>
        <w:spacing w:after="240"/>
        <w:ind w:left="720" w:hanging="720"/>
      </w:pPr>
      <w:r w:rsidRPr="0013396E">
        <w:t>(10)</w:t>
      </w:r>
      <w:r w:rsidRPr="0013396E">
        <w:tab/>
        <w:t>ERCOT shall issue RRS deployment Dispatch Instructions over ICCP for Generation Resources awarded RRS with a Resource Status of ONSC, and SCED-dispatchable Resources providing FFR.  Dispatch Instructions must contain the MW output requested.  UDSPs for those Resources includes RRS energy deployments as well as any other energy dispatched by SCED.</w:t>
      </w:r>
    </w:p>
    <w:p w14:paraId="28FB4EE6" w14:textId="77777777" w:rsidR="009C679A" w:rsidRPr="0013396E" w:rsidRDefault="009C679A" w:rsidP="009C679A">
      <w:pPr>
        <w:spacing w:after="240"/>
        <w:ind w:left="720" w:hanging="720"/>
      </w:pPr>
      <w:r w:rsidRPr="0013396E">
        <w:t>(11)</w:t>
      </w:r>
      <w:r w:rsidRPr="0013396E">
        <w:tab/>
        <w:t>ERCOT shall issue RRS deployment Dispatch Instructions, specifying the required MW output, through Extensible Markup Language (XML) for non-CLRs.</w:t>
      </w:r>
    </w:p>
    <w:p w14:paraId="4C0EA5BF" w14:textId="77777777" w:rsidR="009C679A" w:rsidRPr="0013396E" w:rsidRDefault="009C679A" w:rsidP="009C679A">
      <w:pPr>
        <w:spacing w:before="240" w:after="240"/>
        <w:ind w:left="720" w:hanging="720"/>
      </w:pPr>
      <w:r w:rsidRPr="0013396E">
        <w:t xml:space="preserve">(12) </w:t>
      </w:r>
      <w:r w:rsidRPr="0013396E">
        <w:tab/>
        <w:t>To the extent that ERCOT deploys a Load Resource that is not a CLR and that has chosen a block deployment option, ERCOT shall either deploy the entire award or, if only partial deployment is needed, skip the Load Resource with the block deployment option and proceed to deploy the next available Resource.</w:t>
      </w:r>
    </w:p>
    <w:p w14:paraId="68F96235" w14:textId="77777777" w:rsidR="009C679A" w:rsidRPr="0013396E" w:rsidRDefault="009C679A" w:rsidP="009C679A">
      <w:pPr>
        <w:spacing w:after="240"/>
        <w:ind w:left="720" w:hanging="720"/>
      </w:pPr>
      <w:r w:rsidRPr="0013396E">
        <w:t>(13)</w:t>
      </w:r>
      <w:r w:rsidRPr="0013396E">
        <w:tab/>
        <w:t>RRS provided from a Generation Resource or ESR shall be responsive to frequency deviations as defined in Section 8.5.1.1, Governor in Service.  Generation Resources and ESRs providing RRS must have a Governor droop setting that is not greater than 5.0%.</w:t>
      </w:r>
    </w:p>
    <w:p w14:paraId="42397295" w14:textId="77777777" w:rsidR="009C679A" w:rsidRPr="0013396E" w:rsidRDefault="009C679A" w:rsidP="009C679A">
      <w:pPr>
        <w:spacing w:after="240"/>
        <w:ind w:left="720" w:hanging="720"/>
      </w:pPr>
      <w:r w:rsidRPr="0013396E">
        <w:t>(14)</w:t>
      </w:r>
      <w:r w:rsidRPr="0013396E">
        <w:tab/>
        <w:t>RRS provided from a Resource capable of FFR shall self-deploy their obligated response within 15 cycles after frequency drops below 59.85 Hz and must continue to provide a response until the frequency increases above that level.  Resources which require recharging may do so once the frequency increases above 59.990 Hz.</w:t>
      </w:r>
    </w:p>
    <w:p w14:paraId="30ED841D" w14:textId="77777777" w:rsidR="009C679A" w:rsidRPr="0013396E" w:rsidRDefault="009C679A" w:rsidP="009C679A">
      <w:pPr>
        <w:spacing w:after="240"/>
        <w:ind w:left="720" w:hanging="720"/>
      </w:pPr>
      <w:r w:rsidRPr="0013396E">
        <w:t>(15)</w:t>
      </w:r>
      <w:r w:rsidRPr="0013396E">
        <w:tab/>
        <w:t>RRS provided by interruptible Load shall have automatic under-frequency relay setting set at no lower than 59.70 Hz.</w:t>
      </w:r>
    </w:p>
    <w:p w14:paraId="22F2190A" w14:textId="77777777" w:rsidR="009C679A" w:rsidRPr="0013396E" w:rsidRDefault="009C679A" w:rsidP="009C679A">
      <w:pPr>
        <w:spacing w:after="240"/>
        <w:ind w:left="720" w:hanging="720"/>
      </w:pPr>
      <w:r w:rsidRPr="0013396E">
        <w:t xml:space="preserve">(16) </w:t>
      </w:r>
      <w:r w:rsidRPr="0013396E">
        <w:tab/>
        <w:t>ERCOT shall deploy RRS to meet NERC Control Performance Standards and other performance criteria as specified in these Protocols and the Operating Guides by one or more of the following:</w:t>
      </w:r>
    </w:p>
    <w:p w14:paraId="3CB75991" w14:textId="77777777" w:rsidR="009C679A" w:rsidRPr="0013396E" w:rsidRDefault="009C679A" w:rsidP="009C679A">
      <w:pPr>
        <w:spacing w:after="240"/>
        <w:ind w:left="1440" w:hanging="720"/>
        <w:rPr>
          <w:iCs/>
        </w:rPr>
      </w:pPr>
      <w:r w:rsidRPr="0013396E">
        <w:rPr>
          <w:iCs/>
        </w:rPr>
        <w:t>(a)</w:t>
      </w:r>
      <w:r w:rsidRPr="0013396E">
        <w:rPr>
          <w:iCs/>
        </w:rPr>
        <w:tab/>
        <w:t xml:space="preserve">RRS energy deployment during an EEA; </w:t>
      </w:r>
    </w:p>
    <w:p w14:paraId="60F3EDB6" w14:textId="77777777" w:rsidR="009C679A" w:rsidRPr="0013396E" w:rsidRDefault="009C679A" w:rsidP="009C679A">
      <w:pPr>
        <w:spacing w:after="240"/>
        <w:ind w:left="1440" w:hanging="720"/>
        <w:rPr>
          <w:iCs/>
        </w:rPr>
      </w:pPr>
      <w:r w:rsidRPr="0013396E">
        <w:rPr>
          <w:iCs/>
        </w:rPr>
        <w:t>(b)</w:t>
      </w:r>
      <w:r w:rsidRPr="0013396E">
        <w:rPr>
          <w:iCs/>
        </w:rPr>
        <w:tab/>
        <w:t>By Dispatch Instructions for deployment of RRS energy from a Load Resource, excluding CLRs, by an electronic Messaging System; and</w:t>
      </w:r>
    </w:p>
    <w:p w14:paraId="57E3BD0C" w14:textId="30EBCC37" w:rsidR="00832D19" w:rsidRPr="0013396E" w:rsidRDefault="009C679A" w:rsidP="00832D19">
      <w:pPr>
        <w:spacing w:after="240"/>
        <w:ind w:left="1440" w:hanging="720"/>
      </w:pPr>
      <w:r w:rsidRPr="0013396E">
        <w:rPr>
          <w:iCs/>
        </w:rPr>
        <w:t>(c)</w:t>
      </w:r>
      <w:r w:rsidRPr="0013396E">
        <w:rPr>
          <w:iCs/>
        </w:rPr>
        <w:tab/>
        <w:t>RRS energy deployment from Load Resources and Generation Resources operating in synchronous condenser fast-response mode by automatic action of high-set under-frequency relays as a result of a significant frequency deviation.</w:t>
      </w:r>
    </w:p>
    <w:p w14:paraId="0EE60624" w14:textId="77777777" w:rsidR="001F04FD" w:rsidRPr="0013396E" w:rsidRDefault="001F04FD" w:rsidP="005A7D8E">
      <w:pPr>
        <w:pStyle w:val="H6"/>
      </w:pPr>
      <w:bookmarkStart w:id="993" w:name="_Toc85611621"/>
      <w:bookmarkStart w:id="994" w:name="_Hlk174605232"/>
      <w:bookmarkEnd w:id="992"/>
      <w:r w:rsidRPr="0013396E">
        <w:lastRenderedPageBreak/>
        <w:t>6.5.7.6.2.3</w:t>
      </w:r>
      <w:r w:rsidRPr="0013396E">
        <w:tab/>
        <w:t>Non-Spinning Reserve Service Deployment</w:t>
      </w:r>
      <w:bookmarkEnd w:id="993"/>
      <w:r w:rsidRPr="0013396E">
        <w:t xml:space="preserve"> </w:t>
      </w:r>
    </w:p>
    <w:p w14:paraId="32FFB702" w14:textId="77777777" w:rsidR="009C679A" w:rsidRPr="0013396E" w:rsidRDefault="009C679A" w:rsidP="009C679A">
      <w:pPr>
        <w:spacing w:after="240"/>
        <w:ind w:left="720" w:hanging="720"/>
      </w:pPr>
      <w:r w:rsidRPr="0013396E">
        <w:t>(1)</w:t>
      </w:r>
      <w:r w:rsidRPr="0013396E">
        <w:tab/>
        <w:t>ERCOT shall deploy Non-Spin Service by operator Dispatch Instruction for the portion of On-Line Generation Resources that is only available through power augmentation and participating as Off-Line Non-Spin and Off-Line Generation Resources.  ERCOT shall develop a procedure approved by TAC to deploy Resources providing Non-Spin Service.  ERCOT Operators shall implement the deployment procedure when a specified threshold(s) in MW of capability available to SCED to increase generation is reached.  ERCOT Operators may implement the deployment procedure to recover deployed RRS, ECRS, or when other Emergency Conditions exist.  The deployment of Non-Spin must always be 100% of that awarded on an individual Resource.</w:t>
      </w:r>
    </w:p>
    <w:p w14:paraId="171C859F" w14:textId="77777777" w:rsidR="009C679A" w:rsidRPr="0013396E" w:rsidRDefault="009C679A" w:rsidP="009C679A">
      <w:pPr>
        <w:spacing w:after="240"/>
        <w:ind w:left="720" w:hanging="720"/>
      </w:pPr>
      <w:r w:rsidRPr="0013396E">
        <w:t>(2)</w:t>
      </w:r>
      <w:r w:rsidRPr="0013396E">
        <w:tab/>
        <w:t>Once Non-Spin capacity from Off-Line Generation Resources awarded Non-Spin is deployed and the Generation Resources are On-Line, ERCOT shall use SCED to determine the amount of energy to be dispatched from those Resources.</w:t>
      </w:r>
    </w:p>
    <w:p w14:paraId="3C3ED996" w14:textId="77777777" w:rsidR="009C679A" w:rsidRPr="0013396E" w:rsidRDefault="009C679A" w:rsidP="009C679A">
      <w:pPr>
        <w:spacing w:after="240"/>
        <w:ind w:left="720" w:hanging="720"/>
      </w:pPr>
      <w:r w:rsidRPr="0013396E">
        <w:t>(3)</w:t>
      </w:r>
      <w:r w:rsidRPr="0013396E">
        <w:tab/>
        <w:t xml:space="preserve">Off-Line Generation Resources offering to provide Non-Spin must provide an Energy Offer Curve for use by SCED. </w:t>
      </w:r>
    </w:p>
    <w:p w14:paraId="522E2B81" w14:textId="77777777" w:rsidR="009C679A" w:rsidRPr="0013396E" w:rsidRDefault="009C679A" w:rsidP="009C679A">
      <w:pPr>
        <w:spacing w:after="240"/>
        <w:ind w:left="720" w:hanging="720"/>
        <w:rPr>
          <w:iCs/>
        </w:rPr>
      </w:pPr>
      <w:r w:rsidRPr="0013396E">
        <w:rPr>
          <w:iCs/>
        </w:rPr>
        <w:t>(4)</w:t>
      </w:r>
      <w:r w:rsidRPr="0013396E">
        <w:rPr>
          <w:iCs/>
        </w:rPr>
        <w:tab/>
        <w:t>Non-Spin can be provided by CLRs that are SCED qualified or by Load Resources that are not CLRs but do not have an under-frequency relay or the under-frequency relay is unarmed.</w:t>
      </w:r>
    </w:p>
    <w:p w14:paraId="5047CFCD" w14:textId="461B0BFF" w:rsidR="009C679A" w:rsidRPr="0013396E" w:rsidRDefault="009C679A" w:rsidP="009C679A">
      <w:pPr>
        <w:spacing w:after="240"/>
        <w:ind w:left="1415" w:hanging="720"/>
        <w:rPr>
          <w:iCs/>
        </w:rPr>
      </w:pPr>
      <w:r w:rsidRPr="0013396E">
        <w:rPr>
          <w:iCs/>
        </w:rPr>
        <w:t>(a)</w:t>
      </w:r>
      <w:r w:rsidRPr="0013396E">
        <w:tab/>
        <w:t>CLRs</w:t>
      </w:r>
      <w:r w:rsidRPr="0013396E">
        <w:rPr>
          <w:iCs/>
        </w:rPr>
        <w:t xml:space="preserve"> awarded Non-Spin shall have an </w:t>
      </w:r>
      <w:r>
        <w:rPr>
          <w:iCs/>
        </w:rPr>
        <w:t xml:space="preserve">RTM </w:t>
      </w:r>
      <w:r w:rsidRPr="0013396E">
        <w:rPr>
          <w:iCs/>
        </w:rPr>
        <w:t>Energy Bi</w:t>
      </w:r>
      <w:r>
        <w:rPr>
          <w:iCs/>
        </w:rPr>
        <w:t>d</w:t>
      </w:r>
      <w:r w:rsidRPr="0013396E">
        <w:rPr>
          <w:iCs/>
        </w:rPr>
        <w:t xml:space="preserve"> for SCED and shall be capable of being Dispatched to its Non-Spin Ancillary Service award within 30 minutes, using the Resource’s Normal Ramp Rate curve.  An Aggregate Load Resource (ALR) must comply with all requirements in </w:t>
      </w:r>
      <w:r w:rsidRPr="0013396E">
        <w:rPr>
          <w:szCs w:val="24"/>
        </w:rPr>
        <w:t>Section 22, Attachment O,</w:t>
      </w:r>
      <w:r w:rsidRPr="0013396E">
        <w:rPr>
          <w:iCs/>
        </w:rPr>
        <w:t xml:space="preserve"> Requirements for Aggregate Load Resource Participation in the ERCOT Markets.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9C679A" w:rsidRPr="0013396E" w14:paraId="5337C9CE" w14:textId="77777777" w:rsidTr="0099759E">
        <w:trPr>
          <w:trHeight w:val="206"/>
        </w:trPr>
        <w:tc>
          <w:tcPr>
            <w:tcW w:w="9350" w:type="dxa"/>
            <w:shd w:val="pct12" w:color="auto" w:fill="auto"/>
          </w:tcPr>
          <w:p w14:paraId="0CDBE62B" w14:textId="17670639" w:rsidR="009C679A" w:rsidRPr="0013396E" w:rsidRDefault="009C679A" w:rsidP="0099759E">
            <w:pPr>
              <w:spacing w:before="120" w:after="240"/>
              <w:rPr>
                <w:b/>
                <w:i/>
                <w:iCs/>
                <w:szCs w:val="24"/>
              </w:rPr>
            </w:pPr>
            <w:r w:rsidRPr="0013396E">
              <w:rPr>
                <w:b/>
                <w:i/>
                <w:iCs/>
                <w:szCs w:val="24"/>
              </w:rPr>
              <w:t>[NPRR1</w:t>
            </w:r>
            <w:r>
              <w:rPr>
                <w:b/>
                <w:i/>
                <w:iCs/>
                <w:szCs w:val="24"/>
              </w:rPr>
              <w:t>188</w:t>
            </w:r>
            <w:r w:rsidRPr="0013396E">
              <w:rPr>
                <w:b/>
                <w:i/>
                <w:iCs/>
                <w:szCs w:val="24"/>
              </w:rPr>
              <w:t xml:space="preserve">: </w:t>
            </w:r>
            <w:r>
              <w:rPr>
                <w:b/>
                <w:i/>
                <w:iCs/>
                <w:szCs w:val="24"/>
              </w:rPr>
              <w:t>Replace</w:t>
            </w:r>
            <w:r w:rsidRPr="0013396E">
              <w:rPr>
                <w:b/>
                <w:i/>
                <w:iCs/>
                <w:szCs w:val="24"/>
              </w:rPr>
              <w:t xml:space="preserve"> paragraph (</w:t>
            </w:r>
            <w:r>
              <w:rPr>
                <w:b/>
                <w:i/>
                <w:iCs/>
                <w:szCs w:val="24"/>
              </w:rPr>
              <w:t>a</w:t>
            </w:r>
            <w:r w:rsidRPr="0013396E">
              <w:rPr>
                <w:b/>
                <w:i/>
                <w:iCs/>
                <w:szCs w:val="24"/>
              </w:rPr>
              <w:t xml:space="preserve">) </w:t>
            </w:r>
            <w:r>
              <w:rPr>
                <w:b/>
                <w:i/>
                <w:iCs/>
                <w:szCs w:val="24"/>
              </w:rPr>
              <w:t>above with the following</w:t>
            </w:r>
            <w:r w:rsidRPr="0013396E">
              <w:rPr>
                <w:b/>
                <w:i/>
                <w:iCs/>
                <w:szCs w:val="24"/>
              </w:rPr>
              <w:t xml:space="preserve"> upon system implementation:]</w:t>
            </w:r>
          </w:p>
          <w:p w14:paraId="6B19AE12" w14:textId="0E254C1D" w:rsidR="009C679A" w:rsidRPr="009C679A" w:rsidRDefault="009C679A" w:rsidP="009C679A">
            <w:pPr>
              <w:spacing w:after="240"/>
              <w:ind w:left="1415" w:hanging="720"/>
              <w:rPr>
                <w:iCs/>
              </w:rPr>
            </w:pPr>
            <w:r w:rsidRPr="0013396E">
              <w:rPr>
                <w:iCs/>
              </w:rPr>
              <w:t>(a)</w:t>
            </w:r>
            <w:r w:rsidRPr="0013396E">
              <w:tab/>
              <w:t>CLRs</w:t>
            </w:r>
            <w:r w:rsidRPr="0013396E">
              <w:rPr>
                <w:iCs/>
              </w:rPr>
              <w:t xml:space="preserve"> awarded Non-Spin shall have an Energy Bid Curve for SCED and shall be capable of being Dispatched to its Non-Spin Ancillary Service award within 30 minutes, using the Resource’s Normal Ramp Rate curve.  An Aggregate Load Resource (ALR) must comply with all requirements in </w:t>
            </w:r>
            <w:r w:rsidRPr="0013396E">
              <w:rPr>
                <w:szCs w:val="24"/>
              </w:rPr>
              <w:t>Section 22, Attachment O,</w:t>
            </w:r>
            <w:r w:rsidRPr="0013396E">
              <w:rPr>
                <w:iCs/>
              </w:rPr>
              <w:t xml:space="preserve"> Requirements for Aggregate Load Resource Participation in the ERCOT Markets.</w:t>
            </w:r>
          </w:p>
        </w:tc>
      </w:tr>
    </w:tbl>
    <w:p w14:paraId="6DFBC070" w14:textId="4BECBC10" w:rsidR="009C679A" w:rsidRPr="0013396E" w:rsidRDefault="009C679A" w:rsidP="005A7D8E">
      <w:pPr>
        <w:spacing w:before="240" w:after="240"/>
        <w:ind w:left="1410" w:hanging="720"/>
        <w:rPr>
          <w:iCs/>
        </w:rPr>
      </w:pPr>
      <w:r w:rsidRPr="0013396E">
        <w:rPr>
          <w:iCs/>
        </w:rPr>
        <w:t>(b)</w:t>
      </w:r>
      <w:r w:rsidRPr="0013396E">
        <w:tab/>
      </w:r>
      <w:r w:rsidRPr="0013396E">
        <w:rPr>
          <w:iCs/>
        </w:rPr>
        <w:t>A Load Resource that is not a CLR shall be capable of being Dispatched to its Non-Spin Ancillary Service Resource Responsibility within 30 minutes of a deployment instruction for capacity.</w:t>
      </w:r>
    </w:p>
    <w:p w14:paraId="6E128823" w14:textId="77777777" w:rsidR="009C679A" w:rsidRPr="0013396E" w:rsidRDefault="009C679A" w:rsidP="009C679A">
      <w:pPr>
        <w:spacing w:after="240"/>
        <w:ind w:left="720" w:hanging="720"/>
      </w:pPr>
      <w:r w:rsidRPr="0013396E">
        <w:rPr>
          <w:iCs/>
        </w:rPr>
        <w:t>(5)</w:t>
      </w:r>
      <w:r w:rsidRPr="0013396E">
        <w:rPr>
          <w:iCs/>
        </w:rPr>
        <w:tab/>
        <w:t xml:space="preserve">Off-Line Generation Resources awarded Non-Spin, while Off-Line and before the receipt of any deployment instruction, shall be capable of being dispatched to their Non-Spin award within 30 minutes of a Dispatch Instruction.  On-Line Generation Resources </w:t>
      </w:r>
      <w:r w:rsidRPr="0013396E">
        <w:rPr>
          <w:iCs/>
        </w:rPr>
        <w:lastRenderedPageBreak/>
        <w:t>awarded Non-Spin on the power augmentation capacity shall be capable of being dispatched to their Non-Spin award within 30 minutes of a Dispatch Instruction.</w:t>
      </w:r>
    </w:p>
    <w:p w14:paraId="57FDA5DE" w14:textId="77777777" w:rsidR="009C679A" w:rsidRPr="0013396E" w:rsidRDefault="009C679A" w:rsidP="009C679A">
      <w:pPr>
        <w:spacing w:after="240"/>
        <w:ind w:left="720" w:hanging="720"/>
      </w:pPr>
      <w:r w:rsidRPr="0013396E">
        <w:t>(6)</w:t>
      </w:r>
      <w:r w:rsidRPr="0013396E">
        <w:tab/>
        <w:t>ERCOT may deploy Non-Spin at any time in a Settlement Interval.</w:t>
      </w:r>
    </w:p>
    <w:p w14:paraId="38D118EE" w14:textId="77777777" w:rsidR="009C679A" w:rsidRPr="0013396E" w:rsidRDefault="009C679A" w:rsidP="009C679A">
      <w:pPr>
        <w:pStyle w:val="BodyTextNumbered"/>
      </w:pPr>
      <w:r w:rsidRPr="0013396E">
        <w:t xml:space="preserve">(7) </w:t>
      </w:r>
      <w:r w:rsidRPr="0013396E">
        <w:tab/>
        <w:t>ERCOT shall develop a process to deploy Non-Spin awarded to Off-Line Generation Resources, Load Resources that are not CLRs, and On-Line Generation Resources participating in Off-Line Non-Spin using power augmentation based on a random sampling of Resources.  ERCOT at its discretion may deploy Non-Spin partially or fully as necessary.  If Non-Spin is deployed partially, it shall be deployed in increments of 100% of each Resource’s Non-Spin award.  ERCOT shall issue notification of the deployment on a Resource-specific basis via XML message.</w:t>
      </w:r>
    </w:p>
    <w:p w14:paraId="48B62FC9" w14:textId="77777777" w:rsidR="009C679A" w:rsidRPr="0013396E" w:rsidRDefault="009C679A" w:rsidP="009C679A">
      <w:pPr>
        <w:spacing w:after="240"/>
        <w:ind w:left="720" w:hanging="720"/>
      </w:pPr>
      <w:r w:rsidRPr="0013396E">
        <w:t>(8)</w:t>
      </w:r>
      <w:r w:rsidRPr="0013396E">
        <w:tab/>
        <w:t>ERCOT’s Non-Spin deployment Dispatch Instructions must include:</w:t>
      </w:r>
    </w:p>
    <w:p w14:paraId="10541D3F" w14:textId="77777777" w:rsidR="009C679A" w:rsidRPr="0013396E" w:rsidRDefault="009C679A" w:rsidP="009C679A">
      <w:pPr>
        <w:spacing w:after="240"/>
        <w:ind w:left="1440" w:hanging="720"/>
      </w:pPr>
      <w:r w:rsidRPr="0013396E">
        <w:t>(a)</w:t>
      </w:r>
      <w:r w:rsidRPr="0013396E">
        <w:tab/>
        <w:t>The Resource name;</w:t>
      </w:r>
    </w:p>
    <w:p w14:paraId="05F2AA98" w14:textId="77777777" w:rsidR="009C679A" w:rsidRPr="0013396E" w:rsidRDefault="009C679A" w:rsidP="009C679A">
      <w:pPr>
        <w:spacing w:after="240"/>
        <w:ind w:left="1440" w:hanging="720"/>
      </w:pPr>
      <w:r w:rsidRPr="0013396E">
        <w:t>(b)</w:t>
      </w:r>
      <w:r w:rsidRPr="0013396E">
        <w:tab/>
        <w:t>A MW level of capacity deployment for Generation Resources with Energy Offer Curve, a MW level for ESRs with Energy Bid/Offer Curve, and a MW level of energy for Generation Resources with Output Schedules and a Dispatch Instruction for Load Resources, excluding CLRs, at a minimum equal to their awarded Non-Spin Ancillary Service amount; and</w:t>
      </w:r>
    </w:p>
    <w:p w14:paraId="49873F3E" w14:textId="77777777" w:rsidR="009C679A" w:rsidRPr="0013396E" w:rsidRDefault="009C679A" w:rsidP="009C679A">
      <w:pPr>
        <w:spacing w:after="240"/>
        <w:ind w:left="1440" w:hanging="720"/>
      </w:pPr>
      <w:r w:rsidRPr="0013396E">
        <w:t>(c)</w:t>
      </w:r>
      <w:r w:rsidRPr="0013396E">
        <w:tab/>
        <w:t>The anticipated duration of deployment.</w:t>
      </w:r>
    </w:p>
    <w:p w14:paraId="649205F0" w14:textId="77777777" w:rsidR="009C679A" w:rsidRPr="0013396E" w:rsidRDefault="009C679A" w:rsidP="009C679A">
      <w:pPr>
        <w:spacing w:after="240"/>
        <w:ind w:left="720" w:hanging="720"/>
      </w:pPr>
      <w:r w:rsidRPr="0013396E">
        <w:rPr>
          <w:iCs/>
        </w:rPr>
        <w:t>(9)</w:t>
      </w:r>
      <w:r w:rsidRPr="0013396E">
        <w:rPr>
          <w:iCs/>
        </w:rPr>
        <w:tab/>
        <w:t>ERCOT shall provide a signal via ICCP to the QSE of a deployed Resource indicating that its Non-Spin capacity has been deployed.</w:t>
      </w:r>
    </w:p>
    <w:p w14:paraId="50FAAEEA" w14:textId="77777777" w:rsidR="009C679A" w:rsidRPr="0013396E" w:rsidRDefault="009C679A" w:rsidP="009C679A">
      <w:pPr>
        <w:spacing w:after="240"/>
        <w:ind w:left="720" w:hanging="720"/>
      </w:pPr>
      <w:r w:rsidRPr="0013396E">
        <w:t>(10)</w:t>
      </w:r>
      <w:r w:rsidRPr="0013396E">
        <w:tab/>
        <w:t>ERCOT shall, as part of its TAC-approved Non-Spin deployment procedure, provide for the recall of Non-Spin from On-Line Resources that were previously Off-Line Resources providing Non-Spin capacity and from On-Line Resources providing Non-Spin through power augmentation.</w:t>
      </w:r>
    </w:p>
    <w:p w14:paraId="3D98AC5C" w14:textId="791B2FC2" w:rsidR="00F61076" w:rsidRPr="0013396E" w:rsidRDefault="009C679A" w:rsidP="001F04FD">
      <w:pPr>
        <w:pStyle w:val="BodyTextNumbered"/>
        <w:rPr>
          <w:iCs/>
        </w:rPr>
      </w:pPr>
      <w:r w:rsidRPr="0013396E">
        <w:rPr>
          <w:iCs/>
        </w:rPr>
        <w:t>(11)</w:t>
      </w:r>
      <w:r w:rsidRPr="0013396E">
        <w:rPr>
          <w:iCs/>
        </w:rPr>
        <w:tab/>
        <w:t xml:space="preserve">ERCOT shall provide a notification to all QSEs via the </w:t>
      </w:r>
      <w:r w:rsidRPr="0013396E">
        <w:t>ERCOT website</w:t>
      </w:r>
      <w:r w:rsidRPr="0013396E">
        <w:rPr>
          <w:iCs/>
        </w:rPr>
        <w:t xml:space="preserve"> when any Non-Spin capacity is deployed on the ERCOT System showing the time, MW quantity and the anticipated duration of the deployment.</w:t>
      </w:r>
    </w:p>
    <w:p w14:paraId="35AC8A24" w14:textId="77777777" w:rsidR="008611B7" w:rsidRPr="0013396E" w:rsidRDefault="008611B7" w:rsidP="005A7D8E">
      <w:pPr>
        <w:pStyle w:val="H6"/>
      </w:pPr>
      <w:bookmarkStart w:id="995" w:name="_Hlk135903085"/>
      <w:bookmarkEnd w:id="994"/>
      <w:r w:rsidRPr="0013396E">
        <w:t>6.5.7.6.2.4</w:t>
      </w:r>
      <w:r w:rsidRPr="0013396E">
        <w:tab/>
        <w:t>Deployment and Recall of ERCOT Contingency Reserve Service</w:t>
      </w:r>
    </w:p>
    <w:p w14:paraId="3435ECF2" w14:textId="77777777" w:rsidR="009C679A" w:rsidRPr="0013396E" w:rsidRDefault="009C679A" w:rsidP="009C679A">
      <w:pPr>
        <w:spacing w:after="240"/>
        <w:ind w:left="720" w:hanging="720"/>
      </w:pPr>
      <w:r w:rsidRPr="0013396E">
        <w:t>(1)</w:t>
      </w:r>
      <w:r w:rsidRPr="0013396E">
        <w:tab/>
        <w:t>ECRS is intended to:</w:t>
      </w:r>
    </w:p>
    <w:p w14:paraId="13CFE12D" w14:textId="77777777" w:rsidR="009C679A" w:rsidRPr="0013396E" w:rsidRDefault="009C679A" w:rsidP="009C679A">
      <w:pPr>
        <w:spacing w:after="240"/>
        <w:ind w:left="1440" w:hanging="720"/>
      </w:pPr>
      <w:r w:rsidRPr="0013396E">
        <w:t>(a)</w:t>
      </w:r>
      <w:r w:rsidRPr="0013396E">
        <w:tab/>
        <w:t>Help restore the frequency to 60 Hz within ten minutes of a significant frequency deviation;</w:t>
      </w:r>
    </w:p>
    <w:p w14:paraId="28FE25FC" w14:textId="77777777" w:rsidR="009C679A" w:rsidRPr="0013396E" w:rsidRDefault="009C679A" w:rsidP="009C679A">
      <w:pPr>
        <w:spacing w:after="240"/>
        <w:ind w:left="1440" w:hanging="720"/>
      </w:pPr>
      <w:r w:rsidRPr="0013396E">
        <w:t>(b)</w:t>
      </w:r>
      <w:r w:rsidRPr="0013396E">
        <w:tab/>
        <w:t>Provide energy to avoid, or during the implementation of, an EEA;</w:t>
      </w:r>
    </w:p>
    <w:p w14:paraId="3903F596" w14:textId="77777777" w:rsidR="009C679A" w:rsidRPr="0013396E" w:rsidRDefault="009C679A" w:rsidP="009C679A">
      <w:pPr>
        <w:spacing w:after="240"/>
        <w:ind w:left="1440" w:hanging="720"/>
      </w:pPr>
      <w:r w:rsidRPr="0013396E">
        <w:t>(c)</w:t>
      </w:r>
      <w:r w:rsidRPr="0013396E">
        <w:tab/>
        <w:t>Provide backup to Reg-Up; and</w:t>
      </w:r>
    </w:p>
    <w:p w14:paraId="67F14871" w14:textId="77777777" w:rsidR="009C679A" w:rsidRPr="0013396E" w:rsidRDefault="009C679A" w:rsidP="009C679A">
      <w:pPr>
        <w:spacing w:after="240"/>
        <w:ind w:left="1440" w:hanging="720"/>
      </w:pPr>
      <w:r w:rsidRPr="0013396E">
        <w:lastRenderedPageBreak/>
        <w:t>(d)</w:t>
      </w:r>
      <w:r w:rsidRPr="0013396E">
        <w:tab/>
        <w:t>Provide energy upon detection of insufficient available capacity for net load    ramps.</w:t>
      </w:r>
    </w:p>
    <w:p w14:paraId="2E7505CC" w14:textId="77777777" w:rsidR="009C679A" w:rsidRPr="0013396E" w:rsidRDefault="009C679A" w:rsidP="009C679A">
      <w:pPr>
        <w:spacing w:after="240"/>
        <w:ind w:left="720" w:hanging="720"/>
      </w:pPr>
      <w:r w:rsidRPr="0013396E">
        <w:t>(2)</w:t>
      </w:r>
      <w:r w:rsidRPr="0013396E">
        <w:tab/>
        <w:t>ERCOT shall deploy ECRS to meet NERC Standards and other performance criteria as specified in these Protocols and the Operating Guides by taking one or more of the following actions:</w:t>
      </w:r>
    </w:p>
    <w:p w14:paraId="5A6C286B" w14:textId="77777777" w:rsidR="009C679A" w:rsidRPr="0013396E" w:rsidRDefault="009C679A" w:rsidP="009C679A">
      <w:pPr>
        <w:spacing w:after="240"/>
        <w:ind w:left="1440" w:hanging="720"/>
      </w:pPr>
      <w:r w:rsidRPr="0013396E">
        <w:t>(a)</w:t>
      </w:r>
      <w:r w:rsidRPr="0013396E">
        <w:tab/>
        <w:t>ERCOT shall issue ECRS deployment Dispatch Instructions, specifying the required MW output, over ICCP for Resources awarded ECRS with a Resource Status of ONSC.</w:t>
      </w:r>
    </w:p>
    <w:p w14:paraId="02576B63" w14:textId="77777777" w:rsidR="009C679A" w:rsidRPr="0013396E" w:rsidRDefault="009C679A" w:rsidP="009C679A">
      <w:pPr>
        <w:spacing w:after="240"/>
        <w:ind w:left="1440" w:hanging="720"/>
      </w:pPr>
      <w:r w:rsidRPr="0013396E">
        <w:t>(b)</w:t>
      </w:r>
      <w:r w:rsidRPr="0013396E">
        <w:tab/>
        <w:t>Dispatch Instruction for deployment of energy from Load Resources via electronic Messaging System.</w:t>
      </w:r>
    </w:p>
    <w:p w14:paraId="6EBF789F" w14:textId="77777777" w:rsidR="009C679A" w:rsidRPr="0013396E" w:rsidRDefault="009C679A" w:rsidP="009C679A">
      <w:pPr>
        <w:spacing w:after="240"/>
        <w:ind w:left="720" w:hanging="720"/>
      </w:pPr>
      <w:r w:rsidRPr="0013396E">
        <w:t>(3)</w:t>
      </w:r>
      <w:r w:rsidRPr="0013396E">
        <w:tab/>
        <w:t>Energy from Resources providing ECRS may also be manually deployed by ERCOT pursuant to Section 6.5.9, Emergency Operations.</w:t>
      </w:r>
    </w:p>
    <w:p w14:paraId="42836CCA" w14:textId="77777777" w:rsidR="009C679A" w:rsidRPr="0013396E" w:rsidRDefault="009C679A" w:rsidP="009C679A">
      <w:pPr>
        <w:spacing w:after="240"/>
        <w:ind w:left="720" w:hanging="720"/>
      </w:pPr>
      <w:r w:rsidRPr="0013396E">
        <w:t>(4)</w:t>
      </w:r>
      <w:r w:rsidRPr="0013396E">
        <w:tab/>
        <w:t>ERCOT shall use SCED and Non-Spin as soon as practicable to recover ECRS reserves.</w:t>
      </w:r>
    </w:p>
    <w:p w14:paraId="46F16A0F" w14:textId="77777777" w:rsidR="009C679A" w:rsidRPr="0013396E" w:rsidRDefault="009C679A" w:rsidP="009C679A">
      <w:pPr>
        <w:spacing w:after="240"/>
        <w:ind w:left="720" w:hanging="720"/>
      </w:pPr>
      <w:r w:rsidRPr="0013396E">
        <w:t>(5)</w:t>
      </w:r>
      <w:r w:rsidRPr="0013396E">
        <w:tab/>
        <w:t>Following a manual ECRS deployment to Load Resources, excluding CLRs, or Resources telemetering a Resource Status of ONSC, the QSE’s obligation to deliver ECRS remains in effect until ERCOT issues a recall instruction</w:t>
      </w:r>
      <w:r w:rsidRPr="0013396E">
        <w:rPr>
          <w:szCs w:val="24"/>
        </w:rPr>
        <w:t>.</w:t>
      </w:r>
    </w:p>
    <w:p w14:paraId="367E91C6" w14:textId="77777777" w:rsidR="009C679A" w:rsidRPr="0013396E" w:rsidRDefault="009C679A" w:rsidP="009C679A">
      <w:pPr>
        <w:spacing w:after="240"/>
        <w:ind w:left="720" w:hanging="720"/>
      </w:pPr>
      <w:r w:rsidRPr="0013396E">
        <w:t>(6)</w:t>
      </w:r>
      <w:r w:rsidRPr="0013396E">
        <w:tab/>
        <w:t xml:space="preserve">For Generation Resources, ESRs, and CLRs providing ECRS, Base Points include ECRS energy as well as any other energy dispatched by SCED.  A Resource must be able to be fully dispatched by SCED to its ECRS Ancillary Service award within the ten-minute time frame according to its telemetered ramp rate that reflects the Resource’s capability of providing ECRS. </w:t>
      </w:r>
    </w:p>
    <w:p w14:paraId="30AB27FB" w14:textId="77777777" w:rsidR="009C679A" w:rsidRPr="0013396E" w:rsidRDefault="009C679A" w:rsidP="009C679A">
      <w:pPr>
        <w:spacing w:after="240"/>
        <w:ind w:left="720" w:hanging="720"/>
      </w:pPr>
      <w:r w:rsidRPr="0013396E">
        <w:t>(7)</w:t>
      </w:r>
      <w:r w:rsidRPr="0013396E">
        <w:tab/>
        <w:t>Each Resource providing ECRS shall meet the deployment performance requirements specified in Section 8.1.1.4.2, Responsive Reserve Energy Deployment Criteria.</w:t>
      </w:r>
    </w:p>
    <w:p w14:paraId="312993DD" w14:textId="77777777" w:rsidR="009C679A" w:rsidRPr="0013396E" w:rsidRDefault="009C679A" w:rsidP="009C679A">
      <w:pPr>
        <w:spacing w:after="240"/>
        <w:ind w:left="720" w:hanging="720"/>
      </w:pPr>
      <w:r w:rsidRPr="0013396E">
        <w:t>(8)</w:t>
      </w:r>
      <w:r w:rsidRPr="0013396E">
        <w:tab/>
        <w:t xml:space="preserve">ERCOT shall issue deployment instructions for Load Resources providing ECRS via XML.  Such instructions shall contain the MW requested.  </w:t>
      </w:r>
    </w:p>
    <w:p w14:paraId="231A4A4C" w14:textId="77777777" w:rsidR="009C679A" w:rsidRPr="0013396E" w:rsidRDefault="009C679A" w:rsidP="009C679A">
      <w:pPr>
        <w:spacing w:after="240"/>
        <w:ind w:left="720" w:hanging="720"/>
      </w:pPr>
      <w:r w:rsidRPr="0013396E">
        <w:t xml:space="preserve">(9) </w:t>
      </w:r>
      <w:r w:rsidRPr="0013396E">
        <w:tab/>
        <w:t>To the extent that ERCOT deploys a Load Resource that is not a CLR and that has chosen a block deployment option, ERCOT shall either deploy the entire Ancillary Service award or, if only partial deployment is possible, skip the Load Resource with the block deployment option and proceed to deploy the next available Resource.</w:t>
      </w:r>
    </w:p>
    <w:p w14:paraId="42A10440" w14:textId="77777777" w:rsidR="009C679A" w:rsidRPr="0013396E" w:rsidRDefault="009C679A" w:rsidP="009C679A">
      <w:pPr>
        <w:spacing w:after="240"/>
        <w:ind w:left="720" w:hanging="720"/>
      </w:pPr>
      <w:r w:rsidRPr="0013396E">
        <w:t>(10)</w:t>
      </w:r>
      <w:r w:rsidRPr="0013396E">
        <w:tab/>
        <w:t xml:space="preserve">ERCOT shall recall deployed ECRS capacity provided from Resource telemetering Resource Status of ONSC once system frequency recovers above 59.98 Hz. </w:t>
      </w:r>
    </w:p>
    <w:p w14:paraId="5F2144E8" w14:textId="2E48C34C" w:rsidR="00F61076" w:rsidRPr="0013396E" w:rsidRDefault="009C679A" w:rsidP="008611B7">
      <w:pPr>
        <w:pStyle w:val="BodyTextNumbered"/>
      </w:pPr>
      <w:r w:rsidRPr="0013396E">
        <w:t>(11)</w:t>
      </w:r>
      <w:r w:rsidRPr="0013396E">
        <w:tab/>
        <w:t>ERCOT shall recall ECRS deployment provided from a Load Resource that is not a CLR once PRC is above a pre-defined threshold, as described in the Operating Guides.</w:t>
      </w:r>
    </w:p>
    <w:p w14:paraId="3F0C299C" w14:textId="77777777" w:rsidR="001F04FD" w:rsidRPr="0013396E" w:rsidRDefault="001F04FD" w:rsidP="005A7D8E">
      <w:pPr>
        <w:pStyle w:val="H4"/>
        <w:ind w:left="1267" w:hanging="1267"/>
      </w:pPr>
      <w:bookmarkStart w:id="996" w:name="_Toc397504977"/>
      <w:bookmarkStart w:id="997" w:name="_Toc402357105"/>
      <w:bookmarkStart w:id="998" w:name="_Toc422486485"/>
      <w:bookmarkStart w:id="999" w:name="_Toc433093337"/>
      <w:bookmarkStart w:id="1000" w:name="_Toc433093495"/>
      <w:bookmarkStart w:id="1001" w:name="_Toc440874724"/>
      <w:bookmarkStart w:id="1002" w:name="_Toc448142279"/>
      <w:bookmarkStart w:id="1003" w:name="_Toc448142436"/>
      <w:bookmarkStart w:id="1004" w:name="_Toc458770272"/>
      <w:bookmarkStart w:id="1005" w:name="_Toc459294240"/>
      <w:bookmarkStart w:id="1006" w:name="_Toc463262733"/>
      <w:bookmarkStart w:id="1007" w:name="_Toc468286807"/>
      <w:bookmarkStart w:id="1008" w:name="_Toc481502853"/>
      <w:bookmarkStart w:id="1009" w:name="_Toc496080021"/>
      <w:bookmarkStart w:id="1010" w:name="_Toc214878922"/>
      <w:bookmarkEnd w:id="995"/>
      <w:r w:rsidRPr="0013396E">
        <w:lastRenderedPageBreak/>
        <w:t>6.5.7.7</w:t>
      </w:r>
      <w:r w:rsidRPr="0013396E">
        <w:tab/>
        <w:t>Voltage Support Service</w:t>
      </w:r>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p>
    <w:p w14:paraId="50A50E20" w14:textId="77777777" w:rsidR="00A02B41" w:rsidRPr="0013396E" w:rsidRDefault="00A02B41" w:rsidP="00A02B41">
      <w:pPr>
        <w:pStyle w:val="BodyTextNumbered"/>
      </w:pPr>
      <w:r w:rsidRPr="0013396E">
        <w:t>(1)</w:t>
      </w:r>
      <w:r w:rsidRPr="0013396E">
        <w:tab/>
        <w:t>ERCOT shall coordinate with TSPs the creation and maintenance of Voltage Profiles as described in Section 3.15, Voltage Support.</w:t>
      </w:r>
    </w:p>
    <w:p w14:paraId="671BD443" w14:textId="710CA58B" w:rsidR="00A02B41" w:rsidRPr="0013396E" w:rsidRDefault="00A02B41" w:rsidP="00A02B41">
      <w:pPr>
        <w:pStyle w:val="BodyTextNumbered"/>
      </w:pPr>
      <w:r w:rsidRPr="0013396E">
        <w:t>(2)</w:t>
      </w:r>
      <w:r w:rsidRPr="0013396E">
        <w:tab/>
      </w:r>
      <w:r w:rsidR="008D0217" w:rsidRPr="0013396E">
        <w:t xml:space="preserve">ERCOT shall instruct </w:t>
      </w:r>
      <w:r w:rsidR="008D0217" w:rsidRPr="0013396E">
        <w:rPr>
          <w:color w:val="000000"/>
        </w:rPr>
        <w:t>the interconnecting TSP, or the TSP’s agent,</w:t>
      </w:r>
      <w:r w:rsidR="008D0217" w:rsidRPr="0013396E">
        <w:t xml:space="preserve"> to make Voltage Set Point adjustments, as necessary, within the Generation Resource’s or ESR’s Corrected Unit Reactive Limit (CURL) provided to ERCOT.  </w:t>
      </w:r>
      <w:r w:rsidR="008D0217" w:rsidRPr="0013396E">
        <w:rPr>
          <w:color w:val="000000"/>
        </w:rPr>
        <w:t xml:space="preserve">The interconnecting TSP, or the TSP’s agent, shall instruct any QSE or Resource Entity representing a Generation Resource </w:t>
      </w:r>
      <w:r w:rsidR="008D0217" w:rsidRPr="0013396E">
        <w:t>or ESR</w:t>
      </w:r>
      <w:r w:rsidR="008D0217" w:rsidRPr="0013396E">
        <w:rPr>
          <w:color w:val="000000"/>
        </w:rPr>
        <w:t xml:space="preserve"> to make the Voltage Set Point adjustments instructed by ERCOT, or as the TSP determines to be necessary.  </w:t>
      </w:r>
      <w:r w:rsidR="008D0217" w:rsidRPr="0013396E">
        <w:t>If ERCOT determines that a Generation Resource or ESR should be instructed to provide additional MVAr beyond its URL or that a Generation Resource’s or ESR’s real power output should be decreased to allow the Generation Resource or ESR to provide additional Reactive Power beyond the URL, ERCOT shall issue a Resource-specific Dispatch Instruction requiring any change in Reactive Power and/or real power output, except that ERCOT may not require a Generation Resource or ESR to exceed its operational limits.</w:t>
      </w:r>
    </w:p>
    <w:p w14:paraId="31AB0B19" w14:textId="083FED90" w:rsidR="00A02B41" w:rsidRPr="0013396E" w:rsidRDefault="00A02B41" w:rsidP="001E4447">
      <w:pPr>
        <w:pStyle w:val="BodyTextNumbered"/>
      </w:pPr>
      <w:r w:rsidRPr="0013396E">
        <w:t>(3)</w:t>
      </w:r>
      <w:r w:rsidRPr="0013396E">
        <w:tab/>
      </w:r>
      <w:r w:rsidR="008D0217" w:rsidRPr="0013396E">
        <w:t>ERCOT and TSPs shall develop procedures for the operation of transmission-controlled reactive equipment in order to minimize the dependence on Reactive Power supplied by Generation Resources and ESRs.  For Generation Resources and ESRs required to provide Voltage Support Service (VSS), GSU transformer tap settings must be managed to maximize the use of the ERCOT System for all Market Participants while maintaining adequate reliability.</w:t>
      </w:r>
    </w:p>
    <w:p w14:paraId="09D5821F" w14:textId="3D75DF54" w:rsidR="00A02B41" w:rsidRPr="0013396E" w:rsidRDefault="00A02B41" w:rsidP="001E4447">
      <w:pPr>
        <w:pStyle w:val="BodyTextNumbered"/>
      </w:pPr>
      <w:r w:rsidRPr="0013396E">
        <w:t>(4)</w:t>
      </w:r>
      <w:r w:rsidRPr="0013396E">
        <w:tab/>
      </w:r>
      <w:r w:rsidR="008D0217" w:rsidRPr="0013396E">
        <w:t>Each TSP, under ERCOT’s direction, is responsible for monitoring and ensuring that all Generation Resources and ESRs required to provide VSS have their dynamic reactive capability deployed in approximate proportion to their respective capability requirements.</w:t>
      </w:r>
    </w:p>
    <w:p w14:paraId="5EED900A" w14:textId="1FDA41A6" w:rsidR="001F04FD" w:rsidRPr="0013396E" w:rsidRDefault="00A02B41" w:rsidP="001E4447">
      <w:pPr>
        <w:pStyle w:val="BodyTextNumbered"/>
      </w:pPr>
      <w:r w:rsidRPr="0013396E">
        <w:t>(5)</w:t>
      </w:r>
      <w:r w:rsidRPr="0013396E">
        <w:tab/>
      </w:r>
      <w:r w:rsidR="008D0217" w:rsidRPr="0013396E">
        <w:t>Each Generation Resource and ESR required to provide VSS shall follow its Voltage Set Point as directed by ERCOT,</w:t>
      </w:r>
      <w:r w:rsidR="008D0217" w:rsidRPr="0013396E">
        <w:rPr>
          <w:iCs/>
        </w:rPr>
        <w:t xml:space="preserve"> the interconnecting TSP, or the TSP’s agent</w:t>
      </w:r>
      <w:r w:rsidR="008D0217" w:rsidRPr="0013396E">
        <w:t>, within the operating Reactive Power capability of the Generation Resource or ESR.</w:t>
      </w:r>
    </w:p>
    <w:p w14:paraId="5ABBB2FD" w14:textId="25D6D0FB" w:rsidR="00DE310B" w:rsidRPr="0013396E" w:rsidRDefault="00DE310B" w:rsidP="001E4447">
      <w:pPr>
        <w:pStyle w:val="BodyTextNumbered"/>
      </w:pPr>
      <w:r w:rsidRPr="0013396E">
        <w:rPr>
          <w:color w:val="000000"/>
        </w:rPr>
        <w:t>(6)</w:t>
      </w:r>
      <w:r w:rsidRPr="0013396E">
        <w:tab/>
      </w:r>
      <w:r w:rsidR="008D0217" w:rsidRPr="0013396E">
        <w:rPr>
          <w:color w:val="000000"/>
        </w:rPr>
        <w:t xml:space="preserve">Each interconnecting TSP, or the TSP’s agent, shall telemeter via ICCP the Real-Time Voltage Set Point to ERCOT at the Point of Interconnection Bus (POIB) for each Generation Resource </w:t>
      </w:r>
      <w:r w:rsidR="008D0217" w:rsidRPr="0013396E">
        <w:t>and ESRs</w:t>
      </w:r>
      <w:r w:rsidR="008D0217" w:rsidRPr="0013396E">
        <w:rPr>
          <w:color w:val="000000"/>
        </w:rPr>
        <w:t xml:space="preserve"> interconnected to the TSP’s system required to provide VSS.  Each interconnecting TSP, or the TSP’s agent shall modify the telemetered Voltage Set Point to match any verbal Voltage Set Point instructions as soon as practicable.  ERCOT shall telemeter the Real-Time desired Voltage Set Point and the TSP-designated POIB kV measurement via ICCP to each QSE representing a Generation Resource</w:t>
      </w:r>
      <w:r w:rsidR="008D0217" w:rsidRPr="0013396E">
        <w:t xml:space="preserve"> or an ESR</w:t>
      </w:r>
      <w:r w:rsidR="008D0217" w:rsidRPr="0013396E">
        <w:rPr>
          <w:color w:val="000000"/>
        </w:rPr>
        <w:t xml:space="preserve">.  Each QSE representing a Generation Resource </w:t>
      </w:r>
      <w:r w:rsidR="008D0217" w:rsidRPr="0013396E">
        <w:t xml:space="preserve">or an ESR </w:t>
      </w:r>
      <w:r w:rsidR="008D0217" w:rsidRPr="0013396E">
        <w:rPr>
          <w:color w:val="000000"/>
        </w:rPr>
        <w:t xml:space="preserve">shall provide in Real-Time the desired Voltage Set Point and the associated POIB kV measurement provided by ERCOT to the Resource Entity for that Generation Resource </w:t>
      </w:r>
      <w:r w:rsidR="008D0217" w:rsidRPr="0013396E">
        <w:t>or ESR</w:t>
      </w:r>
      <w:r w:rsidR="008D0217" w:rsidRPr="0013396E">
        <w:rPr>
          <w:color w:val="000000"/>
        </w:rPr>
        <w:t>.</w:t>
      </w:r>
    </w:p>
    <w:p w14:paraId="6DCE6834" w14:textId="77777777" w:rsidR="001F04FD" w:rsidRPr="0013396E" w:rsidRDefault="001F04FD" w:rsidP="001E4447">
      <w:pPr>
        <w:pStyle w:val="H4"/>
        <w:ind w:left="1267" w:hanging="1267"/>
      </w:pPr>
      <w:bookmarkStart w:id="1011" w:name="_Toc73216018"/>
      <w:bookmarkStart w:id="1012" w:name="_Toc397504978"/>
      <w:bookmarkStart w:id="1013" w:name="_Toc402357106"/>
      <w:bookmarkStart w:id="1014" w:name="_Toc422486486"/>
      <w:bookmarkStart w:id="1015" w:name="_Toc433093338"/>
      <w:bookmarkStart w:id="1016" w:name="_Toc433093496"/>
      <w:bookmarkStart w:id="1017" w:name="_Toc440874725"/>
      <w:bookmarkStart w:id="1018" w:name="_Toc448142280"/>
      <w:bookmarkStart w:id="1019" w:name="_Toc448142437"/>
      <w:bookmarkStart w:id="1020" w:name="_Toc458770274"/>
      <w:bookmarkStart w:id="1021" w:name="_Toc459294242"/>
      <w:bookmarkStart w:id="1022" w:name="_Toc463262735"/>
      <w:bookmarkStart w:id="1023" w:name="_Toc468286808"/>
      <w:bookmarkStart w:id="1024" w:name="_Toc481502854"/>
      <w:bookmarkStart w:id="1025" w:name="_Toc496080022"/>
      <w:bookmarkStart w:id="1026" w:name="_Toc214878923"/>
      <w:r w:rsidRPr="0013396E">
        <w:lastRenderedPageBreak/>
        <w:t>6.5.7.8</w:t>
      </w:r>
      <w:r w:rsidRPr="0013396E">
        <w:tab/>
        <w:t>Dispatch Procedures</w:t>
      </w:r>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p>
    <w:p w14:paraId="228079FE" w14:textId="457D0F14" w:rsidR="001F04FD" w:rsidRPr="0013396E" w:rsidRDefault="001F04FD" w:rsidP="001F04FD">
      <w:pPr>
        <w:pStyle w:val="BodyTextNumbered"/>
        <w:rPr>
          <w:iCs/>
        </w:rPr>
      </w:pPr>
      <w:r w:rsidRPr="0013396E">
        <w:rPr>
          <w:iCs/>
        </w:rPr>
        <w:t>(1)</w:t>
      </w:r>
      <w:r w:rsidRPr="0013396E">
        <w:rPr>
          <w:iCs/>
        </w:rPr>
        <w:tab/>
      </w:r>
      <w:r w:rsidR="009C679A" w:rsidRPr="0013396E">
        <w:rPr>
          <w:iCs/>
        </w:rPr>
        <w:t xml:space="preserve">ERCOT shall issue all Resource Dispatch Instructions to the QSE that represents the affected Resource.  ERCOT and QSEs are responsible for complying with Dispatch Instructions as prescribed in the Nodal Operating Guides.  </w:t>
      </w:r>
      <w:r w:rsidR="009C679A" w:rsidRPr="0013396E">
        <w:t xml:space="preserve">A QSE may provide a Resource Status of ONTEST for a Generation Resource or ESR not providing Ancillary Services to indicate that the Resource is currently undergoing unit testing and is blocked from SCED Dispatch.  A QSE may provide a Resource Status of STARTUP for a Generation Resource or ESR not providing Ancillary Services to indicate that the Resource is currently undergoing a start-up sequence which requires manual control below or above its telemetered LSL to stabilize the Resource prior to its availability for SCED Dispatch.  Generation Resources and ESRs with a Resource Status of ONTEST will be provided a Base Point equal to the net real power telemetry at the time of the SCED execution.  </w:t>
      </w:r>
      <w:r w:rsidR="009C679A" w:rsidRPr="0013396E">
        <w:rPr>
          <w:iCs/>
        </w:rPr>
        <w:t xml:space="preserve">ERCOT may not issue Dispatch Instructions to the QSE for Generation Resources </w:t>
      </w:r>
      <w:r w:rsidR="009C679A" w:rsidRPr="0013396E">
        <w:t>or ESRs</w:t>
      </w:r>
      <w:r w:rsidR="009C679A" w:rsidRPr="0013396E">
        <w:rPr>
          <w:iCs/>
        </w:rPr>
        <w:t xml:space="preserve"> with a Resource Status of ONTEST except:</w:t>
      </w:r>
    </w:p>
    <w:p w14:paraId="35D4DCB7" w14:textId="650695FC" w:rsidR="001F04FD" w:rsidRPr="0013396E" w:rsidRDefault="001F04FD" w:rsidP="005A7D8E">
      <w:pPr>
        <w:pStyle w:val="List"/>
      </w:pPr>
      <w:r w:rsidRPr="0013396E">
        <w:t>(a)</w:t>
      </w:r>
      <w:r w:rsidRPr="0013396E">
        <w:tab/>
        <w:t>For Dispatch Instructions that are a part of testing; or</w:t>
      </w:r>
    </w:p>
    <w:p w14:paraId="42243158" w14:textId="77777777" w:rsidR="001F04FD" w:rsidRPr="0013396E" w:rsidRDefault="001F04FD" w:rsidP="001F04FD">
      <w:pPr>
        <w:pStyle w:val="List"/>
      </w:pPr>
      <w:r w:rsidRPr="0013396E">
        <w:t>(b)</w:t>
      </w:r>
      <w:r w:rsidRPr="0013396E">
        <w:tab/>
        <w:t>During conditions when the Resource is the only alternative for solving a transmission constraint; or</w:t>
      </w:r>
    </w:p>
    <w:p w14:paraId="0185E725" w14:textId="77777777" w:rsidR="001F04FD" w:rsidRPr="0013396E" w:rsidRDefault="001F04FD" w:rsidP="001F04FD">
      <w:pPr>
        <w:pStyle w:val="List"/>
      </w:pPr>
      <w:r w:rsidRPr="0013396E">
        <w:t>(c)</w:t>
      </w:r>
      <w:r w:rsidRPr="0013396E">
        <w:tab/>
        <w:t>During Force Majeure Events that threaten the reliability of the ERCOT System.</w:t>
      </w:r>
    </w:p>
    <w:p w14:paraId="090138AF" w14:textId="77777777" w:rsidR="001F04FD" w:rsidRPr="0013396E" w:rsidRDefault="001F04FD" w:rsidP="001F04FD">
      <w:pPr>
        <w:pStyle w:val="BodyTextNumbered"/>
      </w:pPr>
      <w:r w:rsidRPr="0013396E">
        <w:t>(2)</w:t>
      </w:r>
      <w:r w:rsidRPr="0013396E">
        <w:tab/>
        <w:t>Each QSE shall immediately forward any valid Dispatch Instruction to the appropriate Resource or group of Resources or identify a reason for non-compliance with the Dispatch Instruction to ERCOT in accordance with Section 6.5.7.9, Compliance with Dispatch Instructions.</w:t>
      </w:r>
    </w:p>
    <w:p w14:paraId="0EE83492" w14:textId="77777777" w:rsidR="001F04FD" w:rsidRPr="0013396E" w:rsidRDefault="001F04FD" w:rsidP="001F04FD">
      <w:pPr>
        <w:pStyle w:val="BodyTextNumbered"/>
      </w:pPr>
      <w:r w:rsidRPr="0013396E">
        <w:t>(3)</w:t>
      </w:r>
      <w:r w:rsidRPr="0013396E">
        <w:tab/>
        <w:t>If ERCOT believes that a Resource has inadequately responded to a Dispatch Instruction, ERCOT shall notify the QSE representing the Resource as soon as practicable.</w:t>
      </w:r>
    </w:p>
    <w:p w14:paraId="7D357D58" w14:textId="77777777" w:rsidR="001F04FD" w:rsidRPr="0013396E" w:rsidRDefault="001F04FD" w:rsidP="001F04FD">
      <w:pPr>
        <w:pStyle w:val="BodyTextNumbered"/>
      </w:pPr>
      <w:r w:rsidRPr="0013396E">
        <w:t>(4)</w:t>
      </w:r>
      <w:r w:rsidRPr="0013396E">
        <w:tab/>
        <w:t>ERCOT shall record all voice conversations that occur in the communication of Verbal Dispatch Instructions (VDIs).</w:t>
      </w:r>
    </w:p>
    <w:p w14:paraId="0816994A" w14:textId="14C844B6" w:rsidR="001F04FD" w:rsidRPr="0013396E" w:rsidRDefault="001F04FD" w:rsidP="001F04FD">
      <w:pPr>
        <w:pStyle w:val="BodyTextNumbered"/>
      </w:pPr>
      <w:r w:rsidRPr="0013396E">
        <w:t>(5)</w:t>
      </w:r>
      <w:r w:rsidRPr="0013396E">
        <w:tab/>
        <w:t xml:space="preserve">By mutual agreement of the TSP and ERCOT, Dispatch Instructions to the TSP may be provided to the TSP’s </w:t>
      </w:r>
      <w:r w:rsidR="00E4388D" w:rsidRPr="0013396E">
        <w:t>TO</w:t>
      </w:r>
      <w:r w:rsidRPr="0013396E">
        <w:t xml:space="preserve">.  In that case, issuance of the Dispatch Instruction to the </w:t>
      </w:r>
      <w:r w:rsidR="00E4388D" w:rsidRPr="0013396E">
        <w:t>TO</w:t>
      </w:r>
      <w:r w:rsidRPr="0013396E">
        <w:t xml:space="preserve"> is considered issuance to the TSP, and the TSP must comply with the Dispatch Instruction exactly as if it had been issued directly to the TSP, whether or not the </w:t>
      </w:r>
      <w:r w:rsidR="00E4388D" w:rsidRPr="0013396E">
        <w:t>TO</w:t>
      </w:r>
      <w:r w:rsidRPr="0013396E">
        <w:t xml:space="preserve"> accurately conveys the Dispatch Instruction to the TSP.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094CCC" w:rsidRPr="0013396E" w14:paraId="5FE8B099" w14:textId="77777777" w:rsidTr="004510FA">
        <w:trPr>
          <w:trHeight w:val="926"/>
        </w:trPr>
        <w:tc>
          <w:tcPr>
            <w:tcW w:w="9576" w:type="dxa"/>
            <w:shd w:val="pct12" w:color="auto" w:fill="auto"/>
          </w:tcPr>
          <w:p w14:paraId="66034E93" w14:textId="11CDE0D7" w:rsidR="00094CCC" w:rsidRPr="0013396E" w:rsidRDefault="00094CCC" w:rsidP="004510FA">
            <w:pPr>
              <w:pStyle w:val="Instructions"/>
              <w:spacing w:before="120"/>
            </w:pPr>
            <w:r w:rsidRPr="0013396E">
              <w:t>[NPRR857:  Replace paragraph (5) above with the following upon system implementation</w:t>
            </w:r>
            <w:r w:rsidR="004A5B0B" w:rsidRPr="0013396E">
              <w:t xml:space="preserve"> </w:t>
            </w:r>
            <w:r w:rsidR="004A5B0B" w:rsidRPr="0013396E">
              <w:rPr>
                <w:bCs/>
                <w:iCs w:val="0"/>
              </w:rPr>
              <w:t xml:space="preserve">and </w:t>
            </w:r>
            <w:r w:rsidR="004A5B0B" w:rsidRPr="0013396E">
              <w:t xml:space="preserve">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w:t>
            </w:r>
            <w:r w:rsidR="004A5B0B" w:rsidRPr="0013396E">
              <w:lastRenderedPageBreak/>
              <w:t>interconnection; and (b) The financial security required to fund the interconnection facilities</w:t>
            </w:r>
            <w:r w:rsidRPr="0013396E">
              <w:t>:]</w:t>
            </w:r>
          </w:p>
          <w:p w14:paraId="27EA3B11" w14:textId="5A2F0BF2" w:rsidR="00094CCC" w:rsidRPr="0013396E" w:rsidRDefault="00094CCC" w:rsidP="00E4388D">
            <w:pPr>
              <w:spacing w:after="240"/>
              <w:ind w:left="720" w:hanging="720"/>
            </w:pPr>
            <w:r w:rsidRPr="0013396E">
              <w:t>(5)</w:t>
            </w:r>
            <w:r w:rsidRPr="0013396E">
              <w:tab/>
              <w:t xml:space="preserve">By mutual agreement of the TSP, DCTO, and ERCOT, Dispatch Instructions to the TSP or DCTO may be provided to the TSP’s or DCTO’s </w:t>
            </w:r>
            <w:r w:rsidR="00E4388D" w:rsidRPr="0013396E">
              <w:t>Transmission Operator (TO)</w:t>
            </w:r>
            <w:r w:rsidRPr="0013396E">
              <w:t xml:space="preserve">.  In that case, issuance of the Dispatch Instruction to the </w:t>
            </w:r>
            <w:r w:rsidR="00E4388D" w:rsidRPr="0013396E">
              <w:t>TO</w:t>
            </w:r>
            <w:r w:rsidRPr="0013396E">
              <w:t xml:space="preserve"> is considered issuance to the TSP or DCTO, and the TSP or DCTO must comply with the Dispatch Instruction exactly as if it had been issued directly to the TSP or DCTO, whether or not the </w:t>
            </w:r>
            <w:r w:rsidR="00E4388D" w:rsidRPr="0013396E">
              <w:t>TO</w:t>
            </w:r>
            <w:r w:rsidRPr="0013396E">
              <w:t xml:space="preserve"> accurately conveys the Dispatch Instruction to the TSP or DCTO.</w:t>
            </w:r>
          </w:p>
        </w:tc>
      </w:tr>
    </w:tbl>
    <w:p w14:paraId="7CCBCAF9" w14:textId="77777777" w:rsidR="001F04FD" w:rsidRPr="0013396E" w:rsidRDefault="001F04FD" w:rsidP="0099247E">
      <w:pPr>
        <w:pStyle w:val="BodyTextNumbered"/>
        <w:spacing w:before="240"/>
      </w:pPr>
      <w:r w:rsidRPr="0013396E">
        <w:rPr>
          <w:iCs/>
        </w:rPr>
        <w:lastRenderedPageBreak/>
        <w:t>(6)</w:t>
      </w:r>
      <w:r w:rsidRPr="0013396E">
        <w:rPr>
          <w:iCs/>
        </w:rPr>
        <w:tab/>
        <w:t>ERCOT shall direct VDIs to the Master QSE of a Generation Resource that has been split to function as two or more Split Generation Resources as deemed necessary by ERCOT to effectuate actions for the total Generation Resource for instances in which electronic instructions are not feasible.</w:t>
      </w:r>
    </w:p>
    <w:p w14:paraId="3136BA27" w14:textId="77777777" w:rsidR="001F04FD" w:rsidRPr="0013396E" w:rsidRDefault="001F04FD" w:rsidP="001F04FD">
      <w:pPr>
        <w:pStyle w:val="H4"/>
        <w:spacing w:before="480"/>
        <w:ind w:left="1267" w:hanging="1267"/>
      </w:pPr>
      <w:bookmarkStart w:id="1027" w:name="_Toc73216019"/>
      <w:bookmarkStart w:id="1028" w:name="_Toc397504979"/>
      <w:bookmarkStart w:id="1029" w:name="_Toc402357107"/>
      <w:bookmarkStart w:id="1030" w:name="_Toc422486487"/>
      <w:bookmarkStart w:id="1031" w:name="_Toc433093339"/>
      <w:bookmarkStart w:id="1032" w:name="_Toc433093497"/>
      <w:bookmarkStart w:id="1033" w:name="_Toc440874726"/>
      <w:bookmarkStart w:id="1034" w:name="_Toc448142281"/>
      <w:bookmarkStart w:id="1035" w:name="_Toc448142438"/>
      <w:bookmarkStart w:id="1036" w:name="_Toc458770275"/>
      <w:bookmarkStart w:id="1037" w:name="_Toc459294243"/>
      <w:bookmarkStart w:id="1038" w:name="_Toc463262736"/>
      <w:bookmarkStart w:id="1039" w:name="_Toc468286809"/>
      <w:bookmarkStart w:id="1040" w:name="_Toc481502855"/>
      <w:bookmarkStart w:id="1041" w:name="_Toc496080023"/>
      <w:bookmarkStart w:id="1042" w:name="_Toc214878924"/>
      <w:r w:rsidRPr="0013396E">
        <w:t>6.5.7.9</w:t>
      </w:r>
      <w:r w:rsidRPr="0013396E">
        <w:tab/>
        <w:t>Compliance with Dispatch Instructions</w:t>
      </w:r>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p>
    <w:p w14:paraId="1B904236" w14:textId="77777777" w:rsidR="001F04FD" w:rsidRPr="0013396E" w:rsidRDefault="001F04FD" w:rsidP="001F04FD">
      <w:pPr>
        <w:pStyle w:val="BodyTextNumbered"/>
      </w:pPr>
      <w:r w:rsidRPr="0013396E">
        <w:t>(1)</w:t>
      </w:r>
      <w:r w:rsidRPr="0013396E">
        <w:tab/>
        <w:t>Except as otherwise specified in this Section, each TSP and each QSE shall comply fully and promptly with a Dispatch Instruction issued to it, unless in the sole and reasonable judgment of the TSP or QSE, such compliance would create an undue threat to safety, undue risk of bodily harm or undue damage to equipment, or the Dispatch Instruction is otherwise not in compliance with these Protocols.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094CCC" w:rsidRPr="0013396E" w14:paraId="6B9E9AC5" w14:textId="77777777" w:rsidTr="004510FA">
        <w:trPr>
          <w:trHeight w:val="926"/>
        </w:trPr>
        <w:tc>
          <w:tcPr>
            <w:tcW w:w="9576" w:type="dxa"/>
            <w:shd w:val="pct12" w:color="auto" w:fill="auto"/>
          </w:tcPr>
          <w:p w14:paraId="0848D582" w14:textId="18B28DEA" w:rsidR="00094CCC" w:rsidRPr="0013396E" w:rsidRDefault="00094CCC" w:rsidP="004510FA">
            <w:pPr>
              <w:pStyle w:val="Instructions"/>
              <w:spacing w:before="120"/>
            </w:pPr>
            <w:r w:rsidRPr="0013396E">
              <w:t>[NPRR857:  Replace paragraph (1) above with the following upon system implementation</w:t>
            </w:r>
            <w:r w:rsidR="004A5B0B" w:rsidRPr="0013396E">
              <w:t xml:space="preserve"> </w:t>
            </w:r>
            <w:r w:rsidR="004A5B0B" w:rsidRPr="0013396E">
              <w:rPr>
                <w:bCs/>
                <w:iCs w:val="0"/>
              </w:rPr>
              <w:t xml:space="preserve">and </w:t>
            </w:r>
            <w:r w:rsidR="004A5B0B" w:rsidRPr="0013396E">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sidRPr="0013396E">
              <w:t>:]</w:t>
            </w:r>
          </w:p>
          <w:p w14:paraId="6D337F11" w14:textId="77777777" w:rsidR="00094CCC" w:rsidRPr="0013396E" w:rsidRDefault="00094CCC" w:rsidP="00094CCC">
            <w:pPr>
              <w:spacing w:after="240"/>
              <w:ind w:left="720" w:hanging="720"/>
            </w:pPr>
            <w:r w:rsidRPr="0013396E">
              <w:t>(1)</w:t>
            </w:r>
            <w:r w:rsidRPr="0013396E">
              <w:tab/>
              <w:t>Except as otherwise specified in this Section, each TSP, DCTO, and QSE shall comply fully and promptly with a Dispatch Instruction issued to it, unless in the sole and reasonable judgment of the TSP, DCTO, or QSE, such compliance would create an undue threat to safety, undue risk of bodily harm or undue damage to equipment, or the Dispatch Instruction is otherwise not in compliance with these Protocols.</w:t>
            </w:r>
          </w:p>
        </w:tc>
      </w:tr>
    </w:tbl>
    <w:p w14:paraId="3EA4717A" w14:textId="77777777" w:rsidR="001F04FD" w:rsidRPr="0013396E" w:rsidRDefault="001F04FD" w:rsidP="0099247E">
      <w:pPr>
        <w:pStyle w:val="BodyTextNumbered"/>
        <w:spacing w:before="240"/>
      </w:pPr>
      <w:r w:rsidRPr="0013396E">
        <w:t>(2)</w:t>
      </w:r>
      <w:r w:rsidRPr="0013396E">
        <w:tab/>
        <w:t>If the recipient of a Dispatch Instruction does not comply because in the sole and reasonable judgment of the TSP or QSE, such compliance would create an undue threat to safety, undue risk of bodily harm, or undue damage to equipment, then the TSP or QSE must immediately notify ERCOT and provide the reason for non-compliance.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094CCC" w:rsidRPr="0013396E" w14:paraId="5990934E" w14:textId="77777777" w:rsidTr="004510FA">
        <w:trPr>
          <w:trHeight w:val="926"/>
        </w:trPr>
        <w:tc>
          <w:tcPr>
            <w:tcW w:w="9576" w:type="dxa"/>
            <w:shd w:val="pct12" w:color="auto" w:fill="auto"/>
          </w:tcPr>
          <w:p w14:paraId="45A21D2D" w14:textId="7D20211A" w:rsidR="00094CCC" w:rsidRPr="0013396E" w:rsidRDefault="00094CCC" w:rsidP="004510FA">
            <w:pPr>
              <w:pStyle w:val="Instructions"/>
              <w:spacing w:before="120"/>
            </w:pPr>
            <w:r w:rsidRPr="0013396E">
              <w:lastRenderedPageBreak/>
              <w:t>[NPRR857:  Replace paragraph (2) above with the following upon system implementation</w:t>
            </w:r>
            <w:r w:rsidR="004A5B0B" w:rsidRPr="0013396E">
              <w:t xml:space="preserve"> </w:t>
            </w:r>
            <w:r w:rsidR="004A5B0B" w:rsidRPr="0013396E">
              <w:rPr>
                <w:bCs/>
                <w:iCs w:val="0"/>
              </w:rPr>
              <w:t xml:space="preserve">and </w:t>
            </w:r>
            <w:r w:rsidR="004A5B0B" w:rsidRPr="0013396E">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sidRPr="0013396E">
              <w:t>:]</w:t>
            </w:r>
          </w:p>
          <w:p w14:paraId="7746289A" w14:textId="77777777" w:rsidR="00094CCC" w:rsidRPr="0013396E" w:rsidRDefault="00094CCC" w:rsidP="00094CCC">
            <w:pPr>
              <w:spacing w:after="240"/>
              <w:ind w:left="720" w:hanging="720"/>
            </w:pPr>
            <w:r w:rsidRPr="0013396E">
              <w:t>(2)</w:t>
            </w:r>
            <w:r w:rsidRPr="0013396E">
              <w:tab/>
              <w:t>If the recipient of a Dispatch Instruction does not comply because in the sole and reasonable judgment of the TSP, DCTO, or QSE, such compliance would create an undue threat to safety, undue risk of bodily harm, or undue damage to equipment, then the TSP, DCTO, or QSE must immediately notify ERCOT and provide the reason for non-compliance.</w:t>
            </w:r>
          </w:p>
        </w:tc>
      </w:tr>
    </w:tbl>
    <w:p w14:paraId="1A6FFED1" w14:textId="77777777" w:rsidR="001F04FD" w:rsidRPr="0013396E" w:rsidRDefault="001F04FD" w:rsidP="0099247E">
      <w:pPr>
        <w:pStyle w:val="BodyTextNumbered"/>
        <w:spacing w:before="240"/>
      </w:pPr>
      <w:r w:rsidRPr="0013396E">
        <w:t>(3)</w:t>
      </w:r>
      <w:r w:rsidRPr="0013396E">
        <w:tab/>
        <w:t>If the recipient of a Dispatch Instruction recognizes that the Dispatch Instruction conflicts with other valid instructions or is invalid, the recipient shall immediately notify ERCOT of the conflict and request resolution.  ERCOT shall resolve the conflict by issuing another Dispatch Instruction.</w:t>
      </w:r>
    </w:p>
    <w:p w14:paraId="558F457B" w14:textId="77777777" w:rsidR="001F04FD" w:rsidRPr="0013396E" w:rsidRDefault="001F04FD" w:rsidP="001F04FD">
      <w:pPr>
        <w:pStyle w:val="BodyTextNumbered"/>
      </w:pPr>
      <w:r w:rsidRPr="0013396E">
        <w:t>(4)</w:t>
      </w:r>
      <w:r w:rsidRPr="0013396E">
        <w:tab/>
        <w:t>ERCOT’s final Dispatch Instruction to a QSE in effect applies for all Protocol-related processes.  If the QSE does not comply after receiving the final Dispatch Instruction, the QSE remains liable for failure to meet its obligations under the Protocols and remains liable for any charges resulting from such failure.</w:t>
      </w:r>
    </w:p>
    <w:p w14:paraId="74696A4E" w14:textId="77777777" w:rsidR="001F04FD" w:rsidRPr="0013396E" w:rsidRDefault="001F04FD" w:rsidP="001F04FD">
      <w:pPr>
        <w:pStyle w:val="BodyTextNumbered"/>
      </w:pPr>
      <w:r w:rsidRPr="0013396E">
        <w:t>(5)</w:t>
      </w:r>
      <w:r w:rsidRPr="0013396E">
        <w:tab/>
        <w:t>ERCOT’s final Dispatch Instruction to a TSP in effect applies for all Protocol-related processes.  If the TSP does not comply after receiving the final Dispatch Instruction, the TSP remains liable for such failure under these Protocols under the TSP’s Agreement with ERCOT.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094CCC" w:rsidRPr="0013396E" w14:paraId="5E6A9860" w14:textId="77777777" w:rsidTr="004510FA">
        <w:trPr>
          <w:trHeight w:val="926"/>
        </w:trPr>
        <w:tc>
          <w:tcPr>
            <w:tcW w:w="9576" w:type="dxa"/>
            <w:shd w:val="pct12" w:color="auto" w:fill="auto"/>
          </w:tcPr>
          <w:p w14:paraId="0B201E63" w14:textId="07007617" w:rsidR="00094CCC" w:rsidRPr="0013396E" w:rsidRDefault="00094CCC" w:rsidP="004510FA">
            <w:pPr>
              <w:pStyle w:val="Instructions"/>
              <w:spacing w:before="120"/>
            </w:pPr>
            <w:r w:rsidRPr="0013396E">
              <w:t>[NPRR857:  Replace paragraph (5) above with the following upon system implementation</w:t>
            </w:r>
            <w:r w:rsidR="004A5B0B" w:rsidRPr="0013396E">
              <w:t xml:space="preserve"> </w:t>
            </w:r>
            <w:r w:rsidR="004A5B0B" w:rsidRPr="0013396E">
              <w:rPr>
                <w:bCs/>
                <w:iCs w:val="0"/>
              </w:rPr>
              <w:t xml:space="preserve">and </w:t>
            </w:r>
            <w:r w:rsidR="004A5B0B" w:rsidRPr="0013396E">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sidRPr="0013396E">
              <w:t>:]</w:t>
            </w:r>
          </w:p>
          <w:p w14:paraId="6A3A6CBE" w14:textId="77777777" w:rsidR="00094CCC" w:rsidRPr="0013396E" w:rsidRDefault="00094CCC" w:rsidP="00094CCC">
            <w:pPr>
              <w:spacing w:after="240"/>
              <w:ind w:left="720" w:hanging="720"/>
            </w:pPr>
            <w:r w:rsidRPr="0013396E">
              <w:t>(5)</w:t>
            </w:r>
            <w:r w:rsidRPr="0013396E">
              <w:tab/>
              <w:t>ERCOT’s final Dispatch Instruction to a TSP or DCTO in effect applies for all Protocol-related processes.  If the TSP or DCTO does not comply after receiving the final Dispatch Instruction, the TSP or DCTO remains liable for such failure under these Protocols under the TSP’s or DCTO’s Agreement with ERCOT.</w:t>
            </w:r>
          </w:p>
        </w:tc>
      </w:tr>
    </w:tbl>
    <w:p w14:paraId="3A649589" w14:textId="2ACCF0A2" w:rsidR="001F04FD" w:rsidRPr="0013396E" w:rsidRDefault="001F04FD" w:rsidP="0099247E">
      <w:pPr>
        <w:pStyle w:val="BodyTextNumbered"/>
        <w:spacing w:before="240"/>
      </w:pPr>
      <w:r w:rsidRPr="0013396E">
        <w:t>(6)</w:t>
      </w:r>
      <w:r w:rsidRPr="0013396E">
        <w:tab/>
        <w:t xml:space="preserve">In all cases in which compliance with a Dispatch Instruction is disputed, both ERCOT and the QSE or TSP shall document their communications, agreements, disagreements, </w:t>
      </w:r>
      <w:r w:rsidRPr="0013396E">
        <w:lastRenderedPageBreak/>
        <w:t>and reasons for their actions, to enable resolution of the dispute through the Alternative Dispute Resolution (ADR) process in Section 20, Alternative Dispute Resolution Procedure</w:t>
      </w:r>
      <w:r w:rsidR="00992E7F" w:rsidRPr="0013396E">
        <w:t xml:space="preserve"> and Procedure for Return of Settlement Funds</w:t>
      </w:r>
      <w:r w:rsidRPr="0013396E">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094CCC" w:rsidRPr="0013396E" w14:paraId="60B8B3FC" w14:textId="77777777" w:rsidTr="00094CCC">
        <w:trPr>
          <w:trHeight w:val="206"/>
        </w:trPr>
        <w:tc>
          <w:tcPr>
            <w:tcW w:w="9576" w:type="dxa"/>
            <w:shd w:val="pct12" w:color="auto" w:fill="auto"/>
          </w:tcPr>
          <w:p w14:paraId="3FC96982" w14:textId="33D80D03" w:rsidR="00094CCC" w:rsidRPr="0013396E" w:rsidRDefault="00094CCC" w:rsidP="004510FA">
            <w:pPr>
              <w:pStyle w:val="Instructions"/>
              <w:spacing w:before="120"/>
            </w:pPr>
            <w:r w:rsidRPr="0013396E">
              <w:t>[NPRR857:  Replace paragraph (6) above with the following upon system implementation</w:t>
            </w:r>
            <w:r w:rsidR="004A5B0B" w:rsidRPr="0013396E">
              <w:t xml:space="preserve"> </w:t>
            </w:r>
            <w:r w:rsidR="004A5B0B" w:rsidRPr="0013396E">
              <w:rPr>
                <w:bCs/>
                <w:iCs w:val="0"/>
              </w:rPr>
              <w:t xml:space="preserve">and </w:t>
            </w:r>
            <w:r w:rsidR="004A5B0B" w:rsidRPr="0013396E">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sidRPr="0013396E">
              <w:t>:]</w:t>
            </w:r>
          </w:p>
          <w:p w14:paraId="2CE177AB" w14:textId="3CFF64C9" w:rsidR="00094CCC" w:rsidRPr="0013396E" w:rsidRDefault="00094CCC" w:rsidP="00B17C2D">
            <w:pPr>
              <w:spacing w:after="240"/>
              <w:ind w:left="720" w:hanging="720"/>
            </w:pPr>
            <w:r w:rsidRPr="0013396E">
              <w:t>(6)</w:t>
            </w:r>
            <w:r w:rsidRPr="0013396E">
              <w:tab/>
              <w:t>In all cases in which compliance with a Dispatch Instruction is disputed, both ERCOT and the QSE, TSP, or DCTO shall document their communications, agreements, disagreements, and reasons for their actions, to enable resolution of the dispute through the Alternative Dispute Resolution (ADR) process in Section 20, Alternative Dispute Resolution Procedure</w:t>
            </w:r>
            <w:r w:rsidR="00992E7F" w:rsidRPr="0013396E">
              <w:t xml:space="preserve"> and Procedure for Return of Settlement Funds</w:t>
            </w:r>
            <w:r w:rsidRPr="0013396E">
              <w:t>.</w:t>
            </w:r>
          </w:p>
        </w:tc>
      </w:tr>
    </w:tbl>
    <w:p w14:paraId="28DDB4B9" w14:textId="0CA841F0" w:rsidR="001F04FD" w:rsidRPr="0013396E" w:rsidRDefault="001F04FD" w:rsidP="0099247E">
      <w:pPr>
        <w:pStyle w:val="BodyTextNumbered"/>
        <w:spacing w:before="240"/>
      </w:pPr>
      <w:r w:rsidRPr="0013396E">
        <w:rPr>
          <w:iCs/>
        </w:rPr>
        <w:t>(7)</w:t>
      </w:r>
      <w:r w:rsidRPr="0013396E">
        <w:rPr>
          <w:iCs/>
        </w:rPr>
        <w:tab/>
        <w:t>An Intermittent Renewable Resource (IRR) must comply with Dispatch Instructions when receiving a flag signifying that the IRR has received a Base Point below the HDL used by SCED</w:t>
      </w:r>
      <w:r w:rsidR="0030702F" w:rsidRPr="0013396E">
        <w:t xml:space="preserve"> or the IRR has been instructed not to exceed its Base Point</w:t>
      </w:r>
      <w:r w:rsidRPr="0013396E">
        <w:rPr>
          <w:iCs/>
        </w:rPr>
        <w:t>.</w:t>
      </w:r>
    </w:p>
    <w:p w14:paraId="5C6ADF71" w14:textId="77777777" w:rsidR="001F04FD" w:rsidRPr="0013396E" w:rsidRDefault="001F04FD" w:rsidP="005A7D8E">
      <w:pPr>
        <w:pStyle w:val="H4"/>
        <w:spacing w:before="480"/>
        <w:ind w:left="1267" w:hanging="1267"/>
        <w:rPr>
          <w:bCs w:val="0"/>
        </w:rPr>
      </w:pPr>
      <w:bookmarkStart w:id="1043" w:name="_Toc397504980"/>
      <w:bookmarkStart w:id="1044" w:name="_Toc402357108"/>
      <w:bookmarkStart w:id="1045" w:name="_Toc422486488"/>
      <w:bookmarkStart w:id="1046" w:name="_Toc433093340"/>
      <w:bookmarkStart w:id="1047" w:name="_Toc433093498"/>
      <w:bookmarkStart w:id="1048" w:name="_Toc440874727"/>
      <w:bookmarkStart w:id="1049" w:name="_Toc448142282"/>
      <w:bookmarkStart w:id="1050" w:name="_Toc448142439"/>
      <w:bookmarkStart w:id="1051" w:name="_Toc458770276"/>
      <w:bookmarkStart w:id="1052" w:name="_Toc459294244"/>
      <w:bookmarkStart w:id="1053" w:name="_Toc463262737"/>
      <w:bookmarkStart w:id="1054" w:name="_Toc468286810"/>
      <w:bookmarkStart w:id="1055" w:name="_Toc481502856"/>
      <w:bookmarkStart w:id="1056" w:name="_Toc496080024"/>
      <w:bookmarkStart w:id="1057" w:name="_Toc214878925"/>
      <w:r w:rsidRPr="0013396E">
        <w:rPr>
          <w:bCs w:val="0"/>
        </w:rPr>
        <w:t>6.5.7.10</w:t>
      </w:r>
      <w:r w:rsidRPr="0013396E">
        <w:rPr>
          <w:bCs w:val="0"/>
        </w:rPr>
        <w:tab/>
        <w:t>IRR Ramp Rate Limitations</w:t>
      </w:r>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p>
    <w:p w14:paraId="0B0AE1C6" w14:textId="77777777" w:rsidR="001F04FD" w:rsidRPr="0013396E" w:rsidRDefault="001F04FD" w:rsidP="001F04FD">
      <w:pPr>
        <w:spacing w:after="240"/>
        <w:ind w:left="720" w:hanging="720"/>
        <w:rPr>
          <w:iCs/>
        </w:rPr>
      </w:pPr>
      <w:r w:rsidRPr="0013396E">
        <w:rPr>
          <w:iCs/>
        </w:rPr>
        <w:t>(1)</w:t>
      </w:r>
      <w:r w:rsidRPr="0013396E">
        <w:rPr>
          <w:iCs/>
        </w:rPr>
        <w:tab/>
        <w:t xml:space="preserve">Each IRR that is part of a Standard Generation Interconnection Agreement (SGIA) signed on or after January 1, 2009 shall limit its ramp rate to 20% per minute of its nameplate rating (MWs) as registered with ERCOT when responding to or released from an ERCOT deployment.  </w:t>
      </w:r>
    </w:p>
    <w:p w14:paraId="3B8415BD" w14:textId="77777777" w:rsidR="001F04FD" w:rsidRPr="0013396E" w:rsidRDefault="001F04FD" w:rsidP="001F04FD">
      <w:pPr>
        <w:spacing w:after="240"/>
        <w:ind w:left="720" w:hanging="720"/>
        <w:rPr>
          <w:iCs/>
        </w:rPr>
      </w:pPr>
      <w:r w:rsidRPr="0013396E">
        <w:rPr>
          <w:iCs/>
        </w:rPr>
        <w:t>(2)</w:t>
      </w:r>
      <w:r w:rsidRPr="0013396E">
        <w:rPr>
          <w:iCs/>
        </w:rPr>
        <w:tab/>
        <w:t>The requirement of paragraph (1) above does not apply during a Force Majeure Event or during intervals in which a decremental deployment instruction coincides with a demonstrated decrease in the available IRR.</w:t>
      </w:r>
    </w:p>
    <w:p w14:paraId="5542BEF6" w14:textId="77777777" w:rsidR="001F04FD" w:rsidRPr="0013396E" w:rsidRDefault="001F04FD" w:rsidP="001F04FD">
      <w:pPr>
        <w:spacing w:after="240"/>
        <w:ind w:left="720" w:hanging="720"/>
        <w:rPr>
          <w:iCs/>
        </w:rPr>
      </w:pPr>
      <w:r w:rsidRPr="0013396E">
        <w:rPr>
          <w:iCs/>
        </w:rPr>
        <w:t>(3)</w:t>
      </w:r>
      <w:r w:rsidRPr="0013396E">
        <w:rPr>
          <w:iCs/>
        </w:rPr>
        <w:tab/>
        <w:t>Each IRR that is part of an SGIA signed on or before December 31, 2008 and that controls power output by means other than turbine stoppage shall limit its ramp rate to 20% per minute of its nameplate rating (MWs) as registered with ERCOT when responding to or released from an ERCOT deployment.</w:t>
      </w:r>
    </w:p>
    <w:p w14:paraId="7CA4D242" w14:textId="77777777" w:rsidR="001F04FD" w:rsidRPr="0013396E" w:rsidRDefault="001F04FD" w:rsidP="001F04FD">
      <w:pPr>
        <w:spacing w:after="240"/>
        <w:ind w:left="720" w:hanging="720"/>
        <w:rPr>
          <w:iCs/>
        </w:rPr>
      </w:pPr>
      <w:r w:rsidRPr="0013396E">
        <w:rPr>
          <w:iCs/>
        </w:rPr>
        <w:t>(4)</w:t>
      </w:r>
      <w:r w:rsidRPr="0013396E">
        <w:rPr>
          <w:iCs/>
        </w:rPr>
        <w:tab/>
        <w:t>The requirement of paragraph (3) above does not apply during a Force Majeure Event, during intervals in which a decremental deployment instruction coincides with a demonstrated decrease in the available IRR, or during unit start up and shut down mode.</w:t>
      </w:r>
    </w:p>
    <w:p w14:paraId="5A232795" w14:textId="77777777" w:rsidR="001F04FD" w:rsidRPr="0013396E" w:rsidRDefault="001F04FD" w:rsidP="001F04FD">
      <w:pPr>
        <w:spacing w:after="240"/>
        <w:ind w:left="720" w:hanging="720"/>
        <w:rPr>
          <w:iCs/>
        </w:rPr>
      </w:pPr>
      <w:r w:rsidRPr="0013396E">
        <w:rPr>
          <w:iCs/>
        </w:rPr>
        <w:t>(5)</w:t>
      </w:r>
      <w:r w:rsidRPr="0013396E">
        <w:rPr>
          <w:iCs/>
        </w:rPr>
        <w:tab/>
        <w:t>The ramp rate requirement of paragraph (3) above shall not apply to an IRR during a limited compliance transition period if the IRR:</w:t>
      </w:r>
    </w:p>
    <w:p w14:paraId="11B277D7" w14:textId="77777777" w:rsidR="001F04FD" w:rsidRPr="0013396E" w:rsidRDefault="001F04FD" w:rsidP="001F04FD">
      <w:pPr>
        <w:pStyle w:val="List"/>
        <w:rPr>
          <w:iCs/>
        </w:rPr>
      </w:pPr>
      <w:r w:rsidRPr="0013396E">
        <w:rPr>
          <w:iCs/>
        </w:rPr>
        <w:lastRenderedPageBreak/>
        <w:t>(a)</w:t>
      </w:r>
      <w:r w:rsidRPr="0013396E">
        <w:rPr>
          <w:iCs/>
        </w:rPr>
        <w:tab/>
        <w:t>Meets the technical specifications of paragraph (3) above but does not comply with the ramp rate requirement; and</w:t>
      </w:r>
    </w:p>
    <w:p w14:paraId="06AC3E7D" w14:textId="77777777" w:rsidR="001F04FD" w:rsidRPr="0013396E" w:rsidRDefault="001F04FD" w:rsidP="001F04FD">
      <w:pPr>
        <w:pStyle w:val="List"/>
        <w:rPr>
          <w:iCs/>
        </w:rPr>
      </w:pPr>
      <w:r w:rsidRPr="0013396E">
        <w:rPr>
          <w:iCs/>
        </w:rPr>
        <w:t>(b)</w:t>
      </w:r>
      <w:r w:rsidRPr="0013396E">
        <w:rPr>
          <w:iCs/>
        </w:rPr>
        <w:tab/>
        <w:t>Submitted a compliance plan to ERCOT on or before June 1, 2009 that details the technical limitations leading to non-compliance, a work plan to achieve compliance by a reasonable date, and a ramp rate mitigation plan describing the IRR’s best efforts to adhere to the IRR ramp rate limitation during the applicable compliance transition period.</w:t>
      </w:r>
    </w:p>
    <w:p w14:paraId="18E5EA8C" w14:textId="77777777" w:rsidR="001F04FD" w:rsidRPr="0013396E" w:rsidRDefault="001F04FD" w:rsidP="001F04FD">
      <w:pPr>
        <w:spacing w:after="240"/>
        <w:ind w:left="720" w:hanging="720"/>
        <w:rPr>
          <w:iCs/>
        </w:rPr>
      </w:pPr>
      <w:r w:rsidRPr="0013396E">
        <w:rPr>
          <w:iCs/>
        </w:rPr>
        <w:t>(6)</w:t>
      </w:r>
      <w:r w:rsidRPr="0013396E">
        <w:rPr>
          <w:iCs/>
        </w:rPr>
        <w:tab/>
        <w:t>The ramp rate requirement of paragraph (3) above shall not apply to an IRR that:</w:t>
      </w:r>
    </w:p>
    <w:p w14:paraId="4763CBFC" w14:textId="77777777" w:rsidR="001F04FD" w:rsidRPr="0013396E" w:rsidRDefault="001F04FD" w:rsidP="001F04FD">
      <w:pPr>
        <w:pStyle w:val="List"/>
        <w:rPr>
          <w:iCs/>
        </w:rPr>
      </w:pPr>
      <w:r w:rsidRPr="0013396E">
        <w:rPr>
          <w:iCs/>
        </w:rPr>
        <w:t>(a)</w:t>
      </w:r>
      <w:r w:rsidRPr="0013396E">
        <w:rPr>
          <w:iCs/>
        </w:rPr>
        <w:tab/>
        <w:t>Does not meet the technical specifications of paragraph (3) above; and</w:t>
      </w:r>
    </w:p>
    <w:p w14:paraId="5A955531" w14:textId="77777777" w:rsidR="001F04FD" w:rsidRPr="0013396E" w:rsidRDefault="001F04FD" w:rsidP="001F04FD">
      <w:pPr>
        <w:pStyle w:val="List"/>
        <w:rPr>
          <w:iCs/>
        </w:rPr>
      </w:pPr>
      <w:r w:rsidRPr="0013396E">
        <w:rPr>
          <w:iCs/>
        </w:rPr>
        <w:t>(b)</w:t>
      </w:r>
      <w:r w:rsidRPr="0013396E">
        <w:rPr>
          <w:iCs/>
        </w:rPr>
        <w:tab/>
        <w:t>Submitted an operations plan to ERCOT on or before June 1, 2009 describing the IRR’s best efforts to adhere to the IRR ramp rate limitation.</w:t>
      </w:r>
    </w:p>
    <w:p w14:paraId="2DF2200E" w14:textId="77777777" w:rsidR="001F04FD" w:rsidRPr="0013396E" w:rsidRDefault="001F04FD" w:rsidP="001F04FD">
      <w:pPr>
        <w:spacing w:after="240"/>
        <w:ind w:left="720" w:hanging="720"/>
        <w:rPr>
          <w:iCs/>
        </w:rPr>
      </w:pPr>
      <w:r w:rsidRPr="0013396E">
        <w:rPr>
          <w:iCs/>
        </w:rPr>
        <w:t>(7)</w:t>
      </w:r>
      <w:r w:rsidRPr="0013396E">
        <w:rPr>
          <w:iCs/>
        </w:rPr>
        <w:tab/>
        <w:t>IRRs subject to the ramp rate limitations of paragraphs (1) and (3) above are exempt from the requirements of the applicable paragraph upon receipt of a valid Dispatch Instruction from ERCOT to exceed the applicable ramp rate limitation when necessary to protect ERCOT System reliability.</w:t>
      </w:r>
    </w:p>
    <w:p w14:paraId="3CC4781A" w14:textId="77777777" w:rsidR="001F04FD" w:rsidRPr="0013396E" w:rsidRDefault="001F04FD" w:rsidP="001F04FD">
      <w:pPr>
        <w:spacing w:after="240"/>
        <w:ind w:left="720" w:hanging="720"/>
        <w:rPr>
          <w:iCs/>
        </w:rPr>
      </w:pPr>
      <w:r w:rsidRPr="0013396E">
        <w:rPr>
          <w:iCs/>
        </w:rPr>
        <w:t>(8)</w:t>
      </w:r>
      <w:r w:rsidRPr="0013396E">
        <w:rPr>
          <w:iCs/>
        </w:rPr>
        <w:tab/>
      </w:r>
      <w:r w:rsidR="004B6E53" w:rsidRPr="0013396E">
        <w:rPr>
          <w:iCs/>
        </w:rPr>
        <w:t>IRRs that operate under a RAS are exempt from the ramp rate limitations of paragraphs (1) and (3) above when decreasing unit output to avoid RAS activation.</w:t>
      </w:r>
    </w:p>
    <w:p w14:paraId="58404E11" w14:textId="77777777" w:rsidR="001F04FD" w:rsidRPr="0013396E" w:rsidRDefault="001F04FD" w:rsidP="006635FE">
      <w:pPr>
        <w:pStyle w:val="BodyTextNumbered"/>
      </w:pPr>
      <w:r w:rsidRPr="0013396E">
        <w:rPr>
          <w:iCs/>
        </w:rPr>
        <w:t>(9)</w:t>
      </w:r>
      <w:r w:rsidRPr="0013396E">
        <w:rPr>
          <w:iCs/>
        </w:rPr>
        <w:tab/>
        <w:t xml:space="preserve">IRRs that meet the requirements of paragraphs (1) and (3) above are compliant with the ramp rate limitation requirements when the number of eligible one-minute intervals with an average ramp rate of 25% or less of nameplate capacity is equal to or greater than 90% of the eligible one-minute intervals in any one of three consecutive months.  Intervals where paragraphs (2), (4), (7) or (8) above apply shall be excluded as eligible intervals for this performance metric.  ERCOT shall initiate a review process with the IRR where the IRR’s score is less than 90%.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C952ED" w:rsidRPr="0013396E" w14:paraId="0008010D" w14:textId="77777777" w:rsidTr="00C952ED">
        <w:trPr>
          <w:trHeight w:val="206"/>
        </w:trPr>
        <w:tc>
          <w:tcPr>
            <w:tcW w:w="9350" w:type="dxa"/>
            <w:shd w:val="pct12" w:color="auto" w:fill="auto"/>
          </w:tcPr>
          <w:p w14:paraId="65AD4502" w14:textId="33A5E408" w:rsidR="00C952ED" w:rsidRPr="0013396E" w:rsidRDefault="00C952ED" w:rsidP="00C952ED">
            <w:pPr>
              <w:pStyle w:val="Instructions"/>
              <w:spacing w:before="120"/>
            </w:pPr>
            <w:bookmarkStart w:id="1058" w:name="_Toc73216020"/>
            <w:bookmarkStart w:id="1059" w:name="_Toc397504982"/>
            <w:bookmarkStart w:id="1060" w:name="_Toc402357110"/>
            <w:bookmarkStart w:id="1061" w:name="_Toc422486490"/>
            <w:bookmarkStart w:id="1062" w:name="_Toc433093342"/>
            <w:bookmarkStart w:id="1063" w:name="_Toc433093500"/>
            <w:bookmarkStart w:id="1064" w:name="_Toc440874728"/>
            <w:bookmarkStart w:id="1065" w:name="_Toc448142283"/>
            <w:bookmarkStart w:id="1066" w:name="_Toc448142440"/>
            <w:bookmarkStart w:id="1067" w:name="_Toc458770277"/>
            <w:bookmarkStart w:id="1068" w:name="_Toc459294245"/>
            <w:bookmarkStart w:id="1069" w:name="_Toc463262738"/>
            <w:bookmarkStart w:id="1070" w:name="_Toc468286811"/>
            <w:bookmarkStart w:id="1071" w:name="_Toc481502857"/>
            <w:bookmarkStart w:id="1072" w:name="_Toc496080025"/>
            <w:r w:rsidRPr="0013396E">
              <w:t>[NPRR1029:  Insert Section 6.5.7.11 below upon system implementation:]</w:t>
            </w:r>
          </w:p>
          <w:p w14:paraId="7E0F1510" w14:textId="77777777" w:rsidR="00C952ED" w:rsidRPr="0013396E" w:rsidRDefault="00C952ED" w:rsidP="00C952ED">
            <w:pPr>
              <w:keepNext/>
              <w:widowControl w:val="0"/>
              <w:tabs>
                <w:tab w:val="left" w:pos="1260"/>
              </w:tabs>
              <w:spacing w:before="240" w:after="240"/>
              <w:ind w:left="1267" w:hanging="1267"/>
              <w:outlineLvl w:val="3"/>
              <w:rPr>
                <w:b/>
                <w:snapToGrid w:val="0"/>
              </w:rPr>
            </w:pPr>
            <w:bookmarkStart w:id="1073" w:name="_Toc214878926"/>
            <w:r w:rsidRPr="0013396E">
              <w:rPr>
                <w:b/>
                <w:snapToGrid w:val="0"/>
              </w:rPr>
              <w:t>6.5.7.11</w:t>
            </w:r>
            <w:r w:rsidRPr="0013396E">
              <w:rPr>
                <w:b/>
                <w:snapToGrid w:val="0"/>
              </w:rPr>
              <w:tab/>
              <w:t>DC-Coupled Resource Ramp Rate Limitations</w:t>
            </w:r>
            <w:bookmarkEnd w:id="1073"/>
          </w:p>
          <w:p w14:paraId="0911842A" w14:textId="7D815475" w:rsidR="00C952ED" w:rsidRPr="0013396E" w:rsidRDefault="00C952ED" w:rsidP="00C952ED">
            <w:pPr>
              <w:spacing w:after="240"/>
              <w:ind w:left="720" w:hanging="720"/>
              <w:rPr>
                <w:snapToGrid w:val="0"/>
              </w:rPr>
            </w:pPr>
            <w:r w:rsidRPr="0013396E">
              <w:rPr>
                <w:iCs/>
              </w:rPr>
              <w:t>(1)</w:t>
            </w:r>
            <w:r w:rsidRPr="0013396E">
              <w:rPr>
                <w:iCs/>
              </w:rPr>
              <w:tab/>
              <w:t>A DC-Coupled Resource that does not meet any of the conditions in paragraph (1) of Section 3.8.7, DC-Coupled Resources,</w:t>
            </w:r>
            <w:r w:rsidRPr="0013396E">
              <w:rPr>
                <w:snapToGrid w:val="0"/>
              </w:rPr>
              <w:t xml:space="preserve"> shall adhere to the ramp rate restrictions established in Section 6.5.7.10, IRR Ramp Rate Limitations.</w:t>
            </w:r>
          </w:p>
        </w:tc>
      </w:tr>
    </w:tbl>
    <w:p w14:paraId="35FFCD19" w14:textId="77777777" w:rsidR="001F04FD" w:rsidRPr="0013396E" w:rsidRDefault="001F04FD" w:rsidP="001F04FD">
      <w:pPr>
        <w:pStyle w:val="H3"/>
        <w:spacing w:before="480"/>
      </w:pPr>
      <w:bookmarkStart w:id="1074" w:name="_Toc214878927"/>
      <w:r w:rsidRPr="0013396E">
        <w:t>6.5.8</w:t>
      </w:r>
      <w:r w:rsidRPr="0013396E">
        <w:tab/>
      </w:r>
      <w:bookmarkEnd w:id="1058"/>
      <w:r w:rsidRPr="0013396E">
        <w:t>Verbal Dispatch Instruction</w:t>
      </w:r>
      <w:bookmarkEnd w:id="1059"/>
      <w:bookmarkEnd w:id="1060"/>
      <w:bookmarkEnd w:id="1061"/>
      <w:bookmarkEnd w:id="1062"/>
      <w:bookmarkEnd w:id="1063"/>
      <w:bookmarkEnd w:id="1064"/>
      <w:bookmarkEnd w:id="1065"/>
      <w:bookmarkEnd w:id="1066"/>
      <w:r w:rsidRPr="0013396E">
        <w:t xml:space="preserve"> Confirmation</w:t>
      </w:r>
      <w:bookmarkEnd w:id="1067"/>
      <w:bookmarkEnd w:id="1068"/>
      <w:bookmarkEnd w:id="1069"/>
      <w:bookmarkEnd w:id="1070"/>
      <w:bookmarkEnd w:id="1071"/>
      <w:bookmarkEnd w:id="1072"/>
      <w:bookmarkEnd w:id="1074"/>
    </w:p>
    <w:p w14:paraId="316C19A4" w14:textId="4642F51D" w:rsidR="001F04FD" w:rsidRPr="0013396E" w:rsidRDefault="001F04FD" w:rsidP="001F04FD">
      <w:pPr>
        <w:spacing w:after="240"/>
        <w:ind w:left="720" w:hanging="720"/>
      </w:pPr>
      <w:r w:rsidRPr="0013396E">
        <w:t>(1)</w:t>
      </w:r>
      <w:r w:rsidRPr="0013396E">
        <w:tab/>
      </w:r>
      <w:r w:rsidR="009C679A" w:rsidRPr="0013396E">
        <w:t>Following the issuance of a VDI by ERCOT to a QSE for a Generation Resource or ESR, ERCOT will provide the QSE with an electronic confirmation of the VDI for Settlement purposes.</w:t>
      </w:r>
    </w:p>
    <w:p w14:paraId="1B206F17" w14:textId="280FA71D" w:rsidR="001F04FD" w:rsidRPr="0013396E" w:rsidRDefault="001F04FD" w:rsidP="005A7D8E">
      <w:pPr>
        <w:pStyle w:val="BodyText"/>
      </w:pPr>
      <w:r w:rsidRPr="0013396E">
        <w:lastRenderedPageBreak/>
        <w:t>(2)</w:t>
      </w:r>
      <w:r w:rsidRPr="0013396E">
        <w:tab/>
        <w:t>A VDI confirmation shall contain the following information:</w:t>
      </w:r>
    </w:p>
    <w:p w14:paraId="465275E9" w14:textId="77777777" w:rsidR="001F04FD" w:rsidRPr="0013396E" w:rsidRDefault="001F04FD" w:rsidP="001F04FD">
      <w:pPr>
        <w:tabs>
          <w:tab w:val="left" w:pos="720"/>
        </w:tabs>
        <w:spacing w:after="240"/>
        <w:ind w:left="1440" w:hanging="720"/>
      </w:pPr>
      <w:r w:rsidRPr="0013396E">
        <w:t>(a)</w:t>
      </w:r>
      <w:r w:rsidRPr="0013396E">
        <w:tab/>
        <w:t>Operating Day and time ERCOT issued the VDI;</w:t>
      </w:r>
    </w:p>
    <w:p w14:paraId="64823A18" w14:textId="77777777" w:rsidR="001F04FD" w:rsidRPr="0013396E" w:rsidRDefault="001F04FD" w:rsidP="001F04FD">
      <w:pPr>
        <w:pStyle w:val="List"/>
        <w:tabs>
          <w:tab w:val="left" w:pos="720"/>
        </w:tabs>
      </w:pPr>
      <w:r w:rsidRPr="0013396E">
        <w:t>(b)</w:t>
      </w:r>
      <w:r w:rsidRPr="0013396E">
        <w:tab/>
        <w:t xml:space="preserve">Identification of the QSE for the Resource(s) subject to the VDI, and instructing authority (including the names of the ERCOT Operator and individual that received the VDI); </w:t>
      </w:r>
    </w:p>
    <w:p w14:paraId="72FB8B60" w14:textId="77777777" w:rsidR="001F04FD" w:rsidRPr="0013396E" w:rsidRDefault="001F04FD" w:rsidP="001F04FD">
      <w:pPr>
        <w:pStyle w:val="List"/>
        <w:tabs>
          <w:tab w:val="left" w:pos="720"/>
        </w:tabs>
      </w:pPr>
      <w:r w:rsidRPr="0013396E">
        <w:t>(c)</w:t>
      </w:r>
      <w:r w:rsidRPr="0013396E">
        <w:tab/>
        <w:t>Identification of the specific Resource(s) subject to the VDI;</w:t>
      </w:r>
    </w:p>
    <w:p w14:paraId="371EC7DA" w14:textId="77777777" w:rsidR="001F04FD" w:rsidRPr="0013396E" w:rsidRDefault="001F04FD" w:rsidP="001F04FD">
      <w:pPr>
        <w:pStyle w:val="List"/>
        <w:tabs>
          <w:tab w:val="left" w:pos="720"/>
        </w:tabs>
      </w:pPr>
      <w:r w:rsidRPr="0013396E">
        <w:t>(d)</w:t>
      </w:r>
      <w:r w:rsidRPr="0013396E">
        <w:tab/>
        <w:t>Specific actions required of the Resource(s);</w:t>
      </w:r>
    </w:p>
    <w:p w14:paraId="32E5D847" w14:textId="77777777" w:rsidR="001F04FD" w:rsidRPr="0013396E" w:rsidRDefault="001F04FD" w:rsidP="001F04FD">
      <w:pPr>
        <w:pStyle w:val="List"/>
        <w:tabs>
          <w:tab w:val="left" w:pos="720"/>
        </w:tabs>
      </w:pPr>
      <w:r w:rsidRPr="0013396E">
        <w:t>(e)</w:t>
      </w:r>
      <w:r w:rsidRPr="0013396E">
        <w:tab/>
        <w:t>Beginning operating level or state of the Resource(s);</w:t>
      </w:r>
    </w:p>
    <w:p w14:paraId="36A6ECB7" w14:textId="77777777" w:rsidR="001F04FD" w:rsidRPr="0013396E" w:rsidRDefault="001F04FD" w:rsidP="001F04FD">
      <w:pPr>
        <w:pStyle w:val="List"/>
        <w:tabs>
          <w:tab w:val="left" w:pos="720"/>
        </w:tabs>
      </w:pPr>
      <w:r w:rsidRPr="0013396E">
        <w:t>(f)</w:t>
      </w:r>
      <w:r w:rsidRPr="0013396E">
        <w:tab/>
        <w:t>Instructed operating level or state of the Resource(s);</w:t>
      </w:r>
    </w:p>
    <w:p w14:paraId="3CD408EA" w14:textId="77777777" w:rsidR="001F04FD" w:rsidRPr="0013396E" w:rsidRDefault="001F04FD" w:rsidP="001F04FD">
      <w:pPr>
        <w:pStyle w:val="List"/>
        <w:tabs>
          <w:tab w:val="left" w:pos="720"/>
        </w:tabs>
      </w:pPr>
      <w:r w:rsidRPr="0013396E">
        <w:t>(g)</w:t>
      </w:r>
      <w:r w:rsidRPr="0013396E">
        <w:tab/>
        <w:t>Time at which the Resource(s) was required to initiate actions;</w:t>
      </w:r>
    </w:p>
    <w:p w14:paraId="2D66CA15" w14:textId="77777777" w:rsidR="001F04FD" w:rsidRPr="0013396E" w:rsidRDefault="001F04FD" w:rsidP="001F04FD">
      <w:pPr>
        <w:pStyle w:val="List"/>
        <w:tabs>
          <w:tab w:val="left" w:pos="720"/>
        </w:tabs>
      </w:pPr>
      <w:r w:rsidRPr="0013396E">
        <w:t>(h)</w:t>
      </w:r>
      <w:r w:rsidRPr="0013396E">
        <w:tab/>
        <w:t>Time by which the Resource(s) was required to complete actions; and</w:t>
      </w:r>
    </w:p>
    <w:p w14:paraId="5B634FA2" w14:textId="77777777" w:rsidR="001F04FD" w:rsidRPr="0013396E" w:rsidRDefault="001F04FD" w:rsidP="001F04FD">
      <w:pPr>
        <w:pStyle w:val="List"/>
        <w:tabs>
          <w:tab w:val="left" w:pos="720"/>
        </w:tabs>
      </w:pPr>
      <w:r w:rsidRPr="0013396E">
        <w:t>(i)</w:t>
      </w:r>
      <w:r w:rsidRPr="0013396E">
        <w:tab/>
        <w:t>Other information relevant to that Dispatch Instruction.</w:t>
      </w:r>
    </w:p>
    <w:p w14:paraId="0BF2E90C" w14:textId="77777777" w:rsidR="001F04FD" w:rsidRPr="0013396E" w:rsidRDefault="001F04FD" w:rsidP="001F04FD">
      <w:pPr>
        <w:spacing w:after="240"/>
        <w:ind w:left="720" w:hanging="720"/>
        <w:rPr>
          <w:b/>
          <w:bCs/>
          <w:i/>
        </w:rPr>
      </w:pPr>
      <w:bookmarkStart w:id="1075" w:name="_Toc73216023"/>
      <w:bookmarkStart w:id="1076" w:name="_Toc397504983"/>
      <w:bookmarkStart w:id="1077" w:name="_Toc402357111"/>
      <w:bookmarkStart w:id="1078" w:name="_Toc422486491"/>
      <w:bookmarkStart w:id="1079" w:name="_Toc433093343"/>
      <w:bookmarkStart w:id="1080" w:name="_Toc433093501"/>
      <w:bookmarkStart w:id="1081" w:name="_Toc440874729"/>
      <w:bookmarkStart w:id="1082" w:name="_Toc448142284"/>
      <w:bookmarkStart w:id="1083" w:name="_Toc448142441"/>
      <w:r w:rsidRPr="0013396E">
        <w:t>(3)</w:t>
      </w:r>
      <w:r w:rsidRPr="0013396E">
        <w:tab/>
        <w:t>Following receipt by the QSE of the VDI confirmation issued by ERCOT, the QSE shall provide ERCOT with electronic acknowledgement of the VDI confirmation.</w:t>
      </w:r>
    </w:p>
    <w:p w14:paraId="00E33A1E" w14:textId="77777777" w:rsidR="001F04FD" w:rsidRPr="0013396E" w:rsidRDefault="001F04FD" w:rsidP="001F04FD">
      <w:pPr>
        <w:pStyle w:val="H3"/>
        <w:spacing w:before="480"/>
      </w:pPr>
      <w:bookmarkStart w:id="1084" w:name="_Toc458770278"/>
      <w:bookmarkStart w:id="1085" w:name="_Toc459294246"/>
      <w:bookmarkStart w:id="1086" w:name="_Toc463262739"/>
      <w:bookmarkStart w:id="1087" w:name="_Toc468286812"/>
      <w:bookmarkStart w:id="1088" w:name="_Toc481502858"/>
      <w:bookmarkStart w:id="1089" w:name="_Toc496080026"/>
      <w:bookmarkStart w:id="1090" w:name="_Toc214878928"/>
      <w:r w:rsidRPr="0013396E">
        <w:t>6.5.9</w:t>
      </w:r>
      <w:r w:rsidRPr="0013396E">
        <w:tab/>
        <w:t>Emergency Operations</w:t>
      </w:r>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p>
    <w:p w14:paraId="283952B0" w14:textId="77777777" w:rsidR="001F04FD" w:rsidRPr="0013396E" w:rsidRDefault="001F04FD" w:rsidP="001F04FD">
      <w:pPr>
        <w:pStyle w:val="BodyTextNumbered"/>
      </w:pPr>
      <w:r w:rsidRPr="0013396E">
        <w:t>(1)</w:t>
      </w:r>
      <w:r w:rsidRPr="0013396E">
        <w:tab/>
        <w:t xml:space="preserve">ERCOT, based on ERCOT System reliability needs, may issue a Dispatch Instruction requiring a Resource to move to a specific output level (“Emergency Base Point”).  </w:t>
      </w:r>
    </w:p>
    <w:p w14:paraId="3A25EFD9" w14:textId="77777777" w:rsidR="001F04FD" w:rsidRPr="0013396E" w:rsidRDefault="001F04FD" w:rsidP="001F04FD">
      <w:pPr>
        <w:pStyle w:val="BodyTextNumbered"/>
      </w:pPr>
      <w:r w:rsidRPr="0013396E">
        <w:t>(2)</w:t>
      </w:r>
      <w:r w:rsidRPr="0013396E">
        <w:tab/>
        <w:t>A QF may only be ordered Off-Line in the case of an ERCOT-declared Emergency Condition with imminent threat to the reliability of the ERCOT System.  ERCOT may only Dispatch a QF below its LSL when ERCOT has declared an Emergency Condition and the QF is the only Resource that can provide the necessary relief.</w:t>
      </w:r>
    </w:p>
    <w:p w14:paraId="5C6F28DE" w14:textId="77777777" w:rsidR="001F04FD" w:rsidRPr="0013396E" w:rsidRDefault="001F04FD" w:rsidP="001F04FD">
      <w:pPr>
        <w:pStyle w:val="BodyTextNumbered"/>
      </w:pPr>
      <w:r w:rsidRPr="0013396E">
        <w:t>(3)</w:t>
      </w:r>
      <w:r w:rsidRPr="0013396E">
        <w:tab/>
        <w:t xml:space="preserve">ERCOT shall honor all Resource operating parameters in Dispatch Instructions under normal conditions and Emergency Conditions.  During Emergency Conditions, ERCOT may verbally request QSEs to operate its Resources outside normal operating parameters.  If such request is received by a QSE, the QSE shall discuss the request with ERCOT in good faith and may choose to comply with the request.  </w:t>
      </w:r>
    </w:p>
    <w:p w14:paraId="2F7FA451" w14:textId="77777777" w:rsidR="001F04FD" w:rsidRPr="0013396E" w:rsidRDefault="001F04FD" w:rsidP="001F04FD">
      <w:pPr>
        <w:pStyle w:val="BodyTextNumbered"/>
      </w:pPr>
      <w:r w:rsidRPr="0013396E">
        <w:t>(4)</w:t>
      </w:r>
      <w:r w:rsidRPr="0013396E">
        <w:tab/>
        <w:t>A QSE may not self-arrange for Ancillary Services procured in response to Emergency Conditions.</w:t>
      </w:r>
    </w:p>
    <w:p w14:paraId="4ECF7ED5" w14:textId="77777777" w:rsidR="001F04FD" w:rsidRPr="0013396E" w:rsidRDefault="001F04FD" w:rsidP="001F04FD">
      <w:pPr>
        <w:pStyle w:val="H4"/>
        <w:spacing w:before="480"/>
        <w:ind w:left="1267" w:hanging="1267"/>
      </w:pPr>
      <w:bookmarkStart w:id="1091" w:name="_Toc73216024"/>
      <w:bookmarkStart w:id="1092" w:name="_Toc397504984"/>
      <w:bookmarkStart w:id="1093" w:name="_Toc402357112"/>
      <w:bookmarkStart w:id="1094" w:name="_Toc422486492"/>
      <w:bookmarkStart w:id="1095" w:name="_Toc433093344"/>
      <w:bookmarkStart w:id="1096" w:name="_Toc433093502"/>
      <w:bookmarkStart w:id="1097" w:name="_Toc440874730"/>
      <w:bookmarkStart w:id="1098" w:name="_Toc448142285"/>
      <w:bookmarkStart w:id="1099" w:name="_Toc448142442"/>
      <w:bookmarkStart w:id="1100" w:name="_Toc458770279"/>
      <w:bookmarkStart w:id="1101" w:name="_Toc459294247"/>
      <w:bookmarkStart w:id="1102" w:name="_Toc463262740"/>
      <w:bookmarkStart w:id="1103" w:name="_Toc468286813"/>
      <w:bookmarkStart w:id="1104" w:name="_Toc481502859"/>
      <w:bookmarkStart w:id="1105" w:name="_Toc496080027"/>
      <w:bookmarkStart w:id="1106" w:name="_Toc214878929"/>
      <w:r w:rsidRPr="0013396E">
        <w:lastRenderedPageBreak/>
        <w:t>6.5.9.1</w:t>
      </w:r>
      <w:r w:rsidRPr="0013396E">
        <w:tab/>
        <w:t>Emergency and Short Supply Operation</w:t>
      </w:r>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p>
    <w:p w14:paraId="09418F31" w14:textId="42256625" w:rsidR="001F04FD" w:rsidRPr="0013396E" w:rsidRDefault="001F04FD" w:rsidP="001F04FD">
      <w:pPr>
        <w:pStyle w:val="BodyTextNumbered"/>
      </w:pPr>
      <w:r w:rsidRPr="0013396E">
        <w:t>(1)</w:t>
      </w:r>
      <w:r w:rsidRPr="0013396E">
        <w:tab/>
        <w:t>ERCOT is responsible for maintaining reliability in normal and Emergency Conditions.  The Operating Guides are intended to ensure that minimum standards for reliability are maintained.  Minimum standards for reliability are defined by the Operating Guides and the NERC Reliability Standards and include, but are not limited to:</w:t>
      </w:r>
    </w:p>
    <w:p w14:paraId="331F0E2A" w14:textId="77777777" w:rsidR="001F04FD" w:rsidRPr="0013396E" w:rsidRDefault="001F04FD" w:rsidP="001F04FD">
      <w:pPr>
        <w:pStyle w:val="List"/>
      </w:pPr>
      <w:r w:rsidRPr="0013396E">
        <w:t>(a)</w:t>
      </w:r>
      <w:r w:rsidRPr="0013396E">
        <w:tab/>
        <w:t>Minimum operating reserve levels;</w:t>
      </w:r>
    </w:p>
    <w:p w14:paraId="496F200C" w14:textId="77777777" w:rsidR="001F04FD" w:rsidRPr="0013396E" w:rsidRDefault="001F04FD" w:rsidP="001F04FD">
      <w:pPr>
        <w:pStyle w:val="List"/>
      </w:pPr>
      <w:r w:rsidRPr="0013396E">
        <w:t>(b)</w:t>
      </w:r>
      <w:r w:rsidRPr="0013396E">
        <w:tab/>
        <w:t>Criteria for determining acceptable operation of the frequency control system;</w:t>
      </w:r>
    </w:p>
    <w:p w14:paraId="472D4E71" w14:textId="77777777" w:rsidR="001F04FD" w:rsidRPr="0013396E" w:rsidRDefault="001F04FD" w:rsidP="001F04FD">
      <w:pPr>
        <w:pStyle w:val="List"/>
      </w:pPr>
      <w:r w:rsidRPr="0013396E">
        <w:t>(c)</w:t>
      </w:r>
      <w:r w:rsidRPr="0013396E">
        <w:tab/>
        <w:t>Criteria for determining and maintaining system voltages within acceptable limits;</w:t>
      </w:r>
    </w:p>
    <w:p w14:paraId="302715FA" w14:textId="77777777" w:rsidR="001F04FD" w:rsidRPr="0013396E" w:rsidRDefault="001F04FD" w:rsidP="001F04FD">
      <w:pPr>
        <w:pStyle w:val="List"/>
      </w:pPr>
      <w:r w:rsidRPr="0013396E">
        <w:t>(d)</w:t>
      </w:r>
      <w:r w:rsidRPr="0013396E">
        <w:tab/>
        <w:t>Criteria for maximum acceptable transmission equipment loading levels; and</w:t>
      </w:r>
    </w:p>
    <w:p w14:paraId="6682D1E3" w14:textId="77777777" w:rsidR="001F04FD" w:rsidRPr="0013396E" w:rsidRDefault="001F04FD" w:rsidP="001F04FD">
      <w:pPr>
        <w:pStyle w:val="List"/>
      </w:pPr>
      <w:r w:rsidRPr="0013396E">
        <w:t>(e)</w:t>
      </w:r>
      <w:r w:rsidRPr="0013396E">
        <w:tab/>
        <w:t>Criteria for determining when ERCOT is subject to unacceptable risk of widespread cascading Outages.</w:t>
      </w:r>
    </w:p>
    <w:p w14:paraId="43BAE8E7" w14:textId="77777777" w:rsidR="001F04FD" w:rsidRPr="0013396E" w:rsidRDefault="001F04FD" w:rsidP="001F04FD">
      <w:pPr>
        <w:pStyle w:val="BodyTextNumbered"/>
      </w:pPr>
      <w:r w:rsidRPr="0013396E">
        <w:t>(2)</w:t>
      </w:r>
      <w:r w:rsidRPr="0013396E">
        <w:tab/>
        <w:t>ERCOT shall, to the fullest extent practicable, utilize the Day-Ahead process, the Adjustment Period process, and the Real-Time process before ordering Resources to specific output levels with Emergency Base Point instructions.  It is anticipated that, with effective and timely communication, the market-based tools available to ERCOT will avert most threats to the reliability of the ERCOT System.  However, these Protocols do not preclude ERCOT from taking any action to preserve the integrity of the ERCOT System.</w:t>
      </w:r>
    </w:p>
    <w:p w14:paraId="7485ADEC" w14:textId="77777777" w:rsidR="001F04FD" w:rsidRPr="0013396E" w:rsidRDefault="001F04FD" w:rsidP="001F04FD">
      <w:pPr>
        <w:pStyle w:val="H4"/>
        <w:spacing w:before="480"/>
        <w:ind w:left="1267" w:hanging="1267"/>
      </w:pPr>
      <w:bookmarkStart w:id="1107" w:name="_Toc73216025"/>
      <w:bookmarkStart w:id="1108" w:name="_Toc397504985"/>
      <w:bookmarkStart w:id="1109" w:name="_Toc402357113"/>
      <w:bookmarkStart w:id="1110" w:name="_Toc422486493"/>
      <w:bookmarkStart w:id="1111" w:name="_Toc433093345"/>
      <w:bookmarkStart w:id="1112" w:name="_Toc433093503"/>
      <w:bookmarkStart w:id="1113" w:name="_Toc440874731"/>
      <w:bookmarkStart w:id="1114" w:name="_Toc448142286"/>
      <w:bookmarkStart w:id="1115" w:name="_Toc448142443"/>
      <w:bookmarkStart w:id="1116" w:name="_Toc458770280"/>
      <w:bookmarkStart w:id="1117" w:name="_Toc459294248"/>
      <w:bookmarkStart w:id="1118" w:name="_Toc463262741"/>
      <w:bookmarkStart w:id="1119" w:name="_Toc468286814"/>
      <w:bookmarkStart w:id="1120" w:name="_Toc481502860"/>
      <w:bookmarkStart w:id="1121" w:name="_Toc496080028"/>
      <w:bookmarkStart w:id="1122" w:name="_Toc214878930"/>
      <w:r w:rsidRPr="0013396E">
        <w:t>6.5.9.2</w:t>
      </w:r>
      <w:r w:rsidRPr="0013396E">
        <w:tab/>
        <w:t>Failure of the SCED Process</w:t>
      </w:r>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p>
    <w:p w14:paraId="476E25EE" w14:textId="77777777" w:rsidR="001F04FD" w:rsidRPr="0013396E" w:rsidRDefault="001F04FD" w:rsidP="001F04FD">
      <w:pPr>
        <w:pStyle w:val="BodyTextNumbered"/>
      </w:pPr>
      <w:r w:rsidRPr="0013396E">
        <w:t>(1)</w:t>
      </w:r>
      <w:r w:rsidRPr="0013396E">
        <w:tab/>
        <w:t>When the SCED process is not able to reach a solution, ERCOT shall issue a Watch.</w:t>
      </w:r>
    </w:p>
    <w:p w14:paraId="67B1E437" w14:textId="596B9DAB" w:rsidR="001F04FD" w:rsidRPr="0013396E" w:rsidRDefault="001F04FD" w:rsidP="001F04FD">
      <w:pPr>
        <w:pStyle w:val="BodyTextNumbered"/>
      </w:pPr>
      <w:r w:rsidRPr="0013396E">
        <w:t>(2)</w:t>
      </w:r>
      <w:r w:rsidRPr="0013396E">
        <w:tab/>
      </w:r>
      <w:r w:rsidR="009C679A" w:rsidRPr="0013396E">
        <w:t>For intervals that the SCED process fails to reach a solution, then the LMPs, Real-Time MCPCs, Real-Time Reliability Deployment Price Adders for Energy, and Real-Time Reliability Deployment Price Adders for Ancillary Service for the interval for which no solution was reached are equal to the LMPs, Real-Time MCPCs, Real-Time Reliability Deployment Price Adders for Energy, and Real-Time Reliability Deployment Price Adders for Ancillary Service</w:t>
      </w:r>
      <w:r w:rsidR="009C679A" w:rsidRPr="0013396E" w:rsidDel="00235893">
        <w:t xml:space="preserve"> </w:t>
      </w:r>
      <w:r w:rsidR="009C679A" w:rsidRPr="0013396E">
        <w:t>in the most recently solved interval.  For Settlement Intervals that the Real-Time Settlement Point Prices are identified as erroneous, and ERCOT sets the SCED intervals as failed in accordance with Section 6.3, Adjustment Period and Real-Time Operations Timeline, then the LMPs, Real-Time MCPCs, Real-Time Reliability Deployment Price Adders for Energy, and Real-Time Reliability Deployment Price Adders</w:t>
      </w:r>
      <w:r w:rsidR="009C679A" w:rsidRPr="0013396E" w:rsidDel="00235893">
        <w:t xml:space="preserve"> </w:t>
      </w:r>
      <w:r w:rsidR="009C679A" w:rsidRPr="0013396E">
        <w:t>for Ancillary Service,</w:t>
      </w:r>
      <w:r w:rsidR="009C679A" w:rsidRPr="0013396E" w:rsidDel="00235893">
        <w:t xml:space="preserve"> </w:t>
      </w:r>
      <w:r w:rsidR="009C679A" w:rsidRPr="0013396E">
        <w:t xml:space="preserve">for the failed SCED intervals are equal to the LMPs, Real-Time MCPCs, Real-Time Reliability Deployment Price Adders for Energy, and Real-Time Reliability Deployment Price Adders for Ancillary Service, in the most recently solved SCED interval that is not set as failed.  ERCOT shall notify the market of the failure by posting on the ERCOT website.  For intervals covering the first 15 minutes of SCED process execution following a failure, ERCOT shall set the LMPs, Real-Time MCPCs, Real-Time Reliability Deployment Price Adders for Energy, and </w:t>
      </w:r>
      <w:r w:rsidR="009C679A" w:rsidRPr="0013396E">
        <w:lastRenderedPageBreak/>
        <w:t>Real-Time Reliability Deployment Price Adders for Ancillary Service, equal to the LMPs, Real-Time MCPCs, Real-Time Reliability Deployment Price Adders for Energy, and Real-Time Reliability Deployment Price Adders for Ancillary Service, in the most recently solved SCED interval prior to the SCED process failure.  ERCOT shall notify the market of this price correction by posting on the ERCOT website.</w:t>
      </w:r>
    </w:p>
    <w:p w14:paraId="2E8CFA22" w14:textId="02A356E1" w:rsidR="00882A2C" w:rsidRPr="0013396E" w:rsidRDefault="00882A2C" w:rsidP="005A7D8E">
      <w:pPr>
        <w:spacing w:after="240"/>
        <w:ind w:left="720" w:hanging="720"/>
      </w:pPr>
      <w:r w:rsidRPr="0013396E">
        <w:t>(3)</w:t>
      </w:r>
      <w:r w:rsidRPr="0013396E">
        <w:tab/>
        <w:t>In the event that a Market Suspension is declared in accordance with Section 25, Market Suspension and Restart, upon the effective date and time of the Market Suspension, the Market Suspension Settlement methodology set forth in Section 25.5, Market Suspension and Market Restart Settlement, will supersede the provisions set forth in paragraph (2) above.</w:t>
      </w:r>
    </w:p>
    <w:p w14:paraId="7164B042" w14:textId="77777777" w:rsidR="001F04FD" w:rsidRPr="0013396E" w:rsidRDefault="001F04FD" w:rsidP="00882A2C">
      <w:pPr>
        <w:pStyle w:val="BodyTextNumbered"/>
      </w:pPr>
      <w:r w:rsidRPr="0013396E">
        <w:t>(</w:t>
      </w:r>
      <w:r w:rsidR="00882A2C" w:rsidRPr="0013396E">
        <w:t>4</w:t>
      </w:r>
      <w:r w:rsidRPr="0013396E">
        <w:t>)</w:t>
      </w:r>
      <w:r w:rsidRPr="0013396E">
        <w:tab/>
        <w:t>Once ERCOT issues a Watch for a SCED process failure, ERCOT may use any of the following measures:</w:t>
      </w:r>
    </w:p>
    <w:p w14:paraId="3ECABFE0" w14:textId="12D7EB41" w:rsidR="001F04FD" w:rsidRPr="0013396E" w:rsidRDefault="001F04FD" w:rsidP="001F04FD">
      <w:pPr>
        <w:pStyle w:val="List"/>
      </w:pPr>
      <w:r w:rsidRPr="0013396E">
        <w:t>(a)</w:t>
      </w:r>
      <w:r w:rsidRPr="0013396E">
        <w:tab/>
      </w:r>
      <w:r w:rsidR="009C679A" w:rsidRPr="0013396E">
        <w:t>ERCOT may direct the SCED process to relax the active transmission constraints;</w:t>
      </w:r>
    </w:p>
    <w:p w14:paraId="032FBD6F" w14:textId="6BF5DA7C" w:rsidR="001F04FD" w:rsidRPr="0013396E" w:rsidRDefault="001F04FD" w:rsidP="005A7D8E">
      <w:pPr>
        <w:pStyle w:val="List"/>
      </w:pPr>
      <w:r w:rsidRPr="0013396E">
        <w:t>(b)</w:t>
      </w:r>
      <w:r w:rsidRPr="0013396E">
        <w:tab/>
        <w:t>ERCOT may issue Emergency Base Points for Resources;</w:t>
      </w:r>
    </w:p>
    <w:p w14:paraId="5983029F" w14:textId="77777777" w:rsidR="001F04FD" w:rsidRPr="0013396E" w:rsidRDefault="001F04FD" w:rsidP="001F04FD">
      <w:pPr>
        <w:pStyle w:val="List"/>
      </w:pPr>
      <w:r w:rsidRPr="0013396E">
        <w:t>(c)</w:t>
      </w:r>
      <w:r w:rsidRPr="0013396E">
        <w:tab/>
        <w:t>ERCOT may manually issue Emergency Base Points for a Resource and must communicate the Resource name, MW output requested, and start time and duration of the Dispatch Instruction to the QSE representing the Resource;</w:t>
      </w:r>
    </w:p>
    <w:p w14:paraId="1208698E" w14:textId="77777777" w:rsidR="001F04FD" w:rsidRPr="0013396E" w:rsidRDefault="001F04FD" w:rsidP="001F04FD">
      <w:pPr>
        <w:pStyle w:val="List"/>
      </w:pPr>
      <w:r w:rsidRPr="0013396E">
        <w:t>(d)</w:t>
      </w:r>
      <w:r w:rsidRPr="0013396E">
        <w:tab/>
        <w:t>ERCOT may issue an instruction to hold the previous interval; and</w:t>
      </w:r>
    </w:p>
    <w:p w14:paraId="67C62441" w14:textId="77777777" w:rsidR="001F04FD" w:rsidRPr="0013396E" w:rsidRDefault="001F04FD" w:rsidP="001F04FD">
      <w:pPr>
        <w:pStyle w:val="List"/>
      </w:pPr>
      <w:r w:rsidRPr="0013396E">
        <w:t>(e)</w:t>
      </w:r>
      <w:r w:rsidRPr="0013396E">
        <w:tab/>
        <w:t>A QF, a hydro Generation Resource, or a nuclear-powered Resource may be instructed by ERCOT to operate below its LSL only after all other Resource options have been exhausted.</w:t>
      </w:r>
    </w:p>
    <w:p w14:paraId="3769D03E" w14:textId="77777777" w:rsidR="001F04FD" w:rsidRPr="0013396E" w:rsidRDefault="001F04FD" w:rsidP="001F04FD">
      <w:pPr>
        <w:pStyle w:val="BodyTextNumbered"/>
      </w:pPr>
      <w:r w:rsidRPr="0013396E">
        <w:t>(</w:t>
      </w:r>
      <w:r w:rsidR="00882A2C" w:rsidRPr="0013396E">
        <w:t>5</w:t>
      </w:r>
      <w:r w:rsidRPr="0013396E">
        <w:t>)</w:t>
      </w:r>
      <w:r w:rsidRPr="0013396E">
        <w:tab/>
        <w:t>The Watch continues until the SCED process can reach a solution without using the measures in paragraph (</w:t>
      </w:r>
      <w:r w:rsidR="00882A2C" w:rsidRPr="0013396E">
        <w:t>4</w:t>
      </w:r>
      <w:r w:rsidRPr="0013396E">
        <w:t>) above.</w:t>
      </w:r>
    </w:p>
    <w:p w14:paraId="7166B350" w14:textId="6A11BE2D" w:rsidR="001F04FD" w:rsidRPr="0013396E" w:rsidRDefault="001F04FD" w:rsidP="001F04FD">
      <w:pPr>
        <w:pStyle w:val="H4"/>
        <w:spacing w:before="480"/>
        <w:ind w:left="1267" w:hanging="1267"/>
      </w:pPr>
      <w:bookmarkStart w:id="1123" w:name="_Toc73216029"/>
      <w:bookmarkStart w:id="1124" w:name="_Toc397504986"/>
      <w:bookmarkStart w:id="1125" w:name="_Toc402357114"/>
      <w:bookmarkStart w:id="1126" w:name="_Toc422486494"/>
      <w:bookmarkStart w:id="1127" w:name="_Toc433093346"/>
      <w:bookmarkStart w:id="1128" w:name="_Toc433093504"/>
      <w:bookmarkStart w:id="1129" w:name="_Toc440874732"/>
      <w:bookmarkStart w:id="1130" w:name="_Toc448142287"/>
      <w:bookmarkStart w:id="1131" w:name="_Toc448142444"/>
      <w:bookmarkStart w:id="1132" w:name="_Toc458770281"/>
      <w:bookmarkStart w:id="1133" w:name="_Toc459294249"/>
      <w:bookmarkStart w:id="1134" w:name="_Toc463262742"/>
      <w:bookmarkStart w:id="1135" w:name="_Toc468286815"/>
      <w:bookmarkStart w:id="1136" w:name="_Toc481502861"/>
      <w:bookmarkStart w:id="1137" w:name="_Toc496080029"/>
      <w:bookmarkStart w:id="1138" w:name="_Toc214878931"/>
      <w:r w:rsidRPr="0013396E">
        <w:t>6.5.9.3</w:t>
      </w:r>
      <w:r w:rsidRPr="0013396E">
        <w:tab/>
        <w:t xml:space="preserve">Communication </w:t>
      </w:r>
      <w:r w:rsidR="002D28ED" w:rsidRPr="0013396E">
        <w:t>Prior to and During</w:t>
      </w:r>
      <w:r w:rsidRPr="0013396E">
        <w:t xml:space="preserve"> Emergency Conditions</w:t>
      </w:r>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p>
    <w:p w14:paraId="0BF9E745" w14:textId="77777777" w:rsidR="001F04FD" w:rsidRPr="0013396E" w:rsidRDefault="001F04FD" w:rsidP="001F04FD">
      <w:pPr>
        <w:pStyle w:val="BodyTextNumbered"/>
      </w:pPr>
      <w:r w:rsidRPr="0013396E">
        <w:t>(1)</w:t>
      </w:r>
      <w:r w:rsidRPr="0013396E">
        <w:tab/>
        <w:t>Effective, accurate, and timely communication between ERCOT, TSPs, and QSEs is essential.  Each QSE must be provided adequate information to make informed decisions and must receive the information with sufficient advance notice to facilitate Resource and Load responses.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094CCC" w:rsidRPr="0013396E" w14:paraId="1D133276" w14:textId="77777777" w:rsidTr="004510FA">
        <w:trPr>
          <w:trHeight w:val="206"/>
        </w:trPr>
        <w:tc>
          <w:tcPr>
            <w:tcW w:w="9576" w:type="dxa"/>
            <w:shd w:val="pct12" w:color="auto" w:fill="auto"/>
          </w:tcPr>
          <w:p w14:paraId="0D2A086D" w14:textId="4FED3FA0" w:rsidR="00094CCC" w:rsidRPr="0013396E" w:rsidRDefault="00094CCC" w:rsidP="004510FA">
            <w:pPr>
              <w:pStyle w:val="Instructions"/>
              <w:spacing w:before="120"/>
            </w:pPr>
            <w:r w:rsidRPr="0013396E">
              <w:t>[NPRR857:  Replace paragraph (1) above with the following upon system implementation</w:t>
            </w:r>
            <w:r w:rsidR="004A5B0B" w:rsidRPr="0013396E">
              <w:t xml:space="preserve"> </w:t>
            </w:r>
            <w:r w:rsidR="004A5B0B" w:rsidRPr="0013396E">
              <w:rPr>
                <w:bCs/>
                <w:iCs w:val="0"/>
              </w:rPr>
              <w:t xml:space="preserve">and </w:t>
            </w:r>
            <w:r w:rsidR="004A5B0B" w:rsidRPr="0013396E">
              <w:t xml:space="preserve">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w:t>
            </w:r>
            <w:r w:rsidR="004A5B0B" w:rsidRPr="0013396E">
              <w:lastRenderedPageBreak/>
              <w:t>interconnection; and (b) The financial security required to fund the interconnection facilities</w:t>
            </w:r>
            <w:r w:rsidRPr="0013396E">
              <w:t>:]</w:t>
            </w:r>
          </w:p>
          <w:p w14:paraId="20920694" w14:textId="77777777" w:rsidR="00094CCC" w:rsidRPr="0013396E" w:rsidRDefault="00094CCC" w:rsidP="00094CCC">
            <w:pPr>
              <w:spacing w:after="240"/>
              <w:ind w:left="720" w:hanging="720"/>
            </w:pPr>
            <w:r w:rsidRPr="0013396E">
              <w:t>(1)</w:t>
            </w:r>
            <w:r w:rsidRPr="0013396E">
              <w:tab/>
              <w:t>Effective, accurate, and timely communication between ERCOT, TSPs, DCTOs, and QSEs is essential.  Each QSE must be provided adequate information to make informed decisions and must receive the information with sufficient advance notice to facilitate Resource and Load responses.</w:t>
            </w:r>
          </w:p>
        </w:tc>
      </w:tr>
    </w:tbl>
    <w:p w14:paraId="0483926B" w14:textId="77777777" w:rsidR="001F04FD" w:rsidRPr="0013396E" w:rsidRDefault="001F04FD" w:rsidP="0099247E">
      <w:pPr>
        <w:pStyle w:val="BodyTextNumbered"/>
        <w:spacing w:before="240"/>
      </w:pPr>
      <w:r w:rsidRPr="0013396E">
        <w:lastRenderedPageBreak/>
        <w:t>(2)</w:t>
      </w:r>
      <w:r w:rsidRPr="0013396E">
        <w:tab/>
        <w:t>The type of communication ERCOT issues is determined primarily on the basis of the time available for the market to respond before an Emergency Condition occurs.  The timing of these communications could range from days in advance to immediate.  If there is insufficient time to allow the market to react, ERCOT may bypass one or more of the communication steps.</w:t>
      </w:r>
    </w:p>
    <w:p w14:paraId="4694B32A" w14:textId="45B9B185" w:rsidR="001F04FD" w:rsidRPr="0013396E" w:rsidRDefault="001F04FD" w:rsidP="001F04FD">
      <w:pPr>
        <w:pStyle w:val="BodyTextNumbered"/>
      </w:pPr>
      <w:r w:rsidRPr="0013396E">
        <w:t>(3)</w:t>
      </w:r>
      <w:r w:rsidRPr="0013396E">
        <w:tab/>
        <w:t xml:space="preserve">ERCOT shall consider the severity of the potential Emergency Condition as it determines which of the communications </w:t>
      </w:r>
      <w:r w:rsidR="002D28ED" w:rsidRPr="0013396E">
        <w:t xml:space="preserve">to use as </w:t>
      </w:r>
      <w:r w:rsidRPr="0013396E">
        <w:t xml:space="preserve">set forth in </w:t>
      </w:r>
      <w:r w:rsidR="002D28ED" w:rsidRPr="0013396E">
        <w:t>the following subsections</w:t>
      </w:r>
      <w:r w:rsidRPr="0013396E">
        <w:t xml:space="preserve">.  The severity of the Emergency Condition could be limited to an isolated local area, or the condition might cover large areas affecting several </w:t>
      </w:r>
      <w:r w:rsidRPr="0013396E">
        <w:rPr>
          <w:iCs/>
        </w:rPr>
        <w:t>entities</w:t>
      </w:r>
      <w:r w:rsidRPr="0013396E">
        <w:t>, or the condition might be an ERCOT-wide condition potentially affecting the entire ERCOT System.</w:t>
      </w:r>
    </w:p>
    <w:p w14:paraId="51AA371C" w14:textId="77777777" w:rsidR="001F04FD" w:rsidRPr="0013396E" w:rsidRDefault="001F04FD" w:rsidP="001F04FD">
      <w:pPr>
        <w:pStyle w:val="BodyTextNumbered"/>
      </w:pPr>
      <w:r w:rsidRPr="0013396E">
        <w:t>(4)</w:t>
      </w:r>
      <w:r w:rsidRPr="0013396E">
        <w:tab/>
        <w:t>The following Sections describe the types of communications that will be issued by ERCOT to inform all QSEs and TSPs of the operating situation.  These communications may relate to transmission, distribution, or Generation or Load Resources.  The communications must specify the severity of the situation, the area affected, the areas potentially affected, and the anticipated duration of the Emergency Condition.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98659C" w:rsidRPr="0013396E" w14:paraId="4A60ADE5" w14:textId="77777777" w:rsidTr="0098659C">
        <w:trPr>
          <w:trHeight w:val="296"/>
        </w:trPr>
        <w:tc>
          <w:tcPr>
            <w:tcW w:w="9576" w:type="dxa"/>
            <w:shd w:val="pct12" w:color="auto" w:fill="auto"/>
          </w:tcPr>
          <w:p w14:paraId="0A1119BF" w14:textId="5AB09341" w:rsidR="0098659C" w:rsidRPr="0013396E" w:rsidRDefault="0098659C" w:rsidP="004510FA">
            <w:pPr>
              <w:pStyle w:val="Instructions"/>
              <w:spacing w:before="120"/>
            </w:pPr>
            <w:bookmarkStart w:id="1139" w:name="_Toc482720113"/>
            <w:bookmarkStart w:id="1140" w:name="_Toc74137360"/>
            <w:bookmarkStart w:id="1141" w:name="_Toc397504987"/>
            <w:bookmarkStart w:id="1142" w:name="_Toc402357115"/>
            <w:bookmarkStart w:id="1143" w:name="_Toc422486495"/>
            <w:bookmarkStart w:id="1144" w:name="_Toc433093347"/>
            <w:bookmarkStart w:id="1145" w:name="_Toc433093505"/>
            <w:bookmarkStart w:id="1146" w:name="_Toc440874733"/>
            <w:bookmarkStart w:id="1147" w:name="_Toc448142288"/>
            <w:bookmarkStart w:id="1148" w:name="_Toc448142445"/>
            <w:bookmarkStart w:id="1149" w:name="_Toc458770282"/>
            <w:bookmarkStart w:id="1150" w:name="_Toc459294250"/>
            <w:bookmarkStart w:id="1151" w:name="_Toc463262743"/>
            <w:bookmarkStart w:id="1152" w:name="_Toc468286816"/>
            <w:bookmarkStart w:id="1153" w:name="_Toc481502862"/>
            <w:bookmarkStart w:id="1154" w:name="_Toc496080030"/>
            <w:r w:rsidRPr="0013396E">
              <w:t>[NPRR857:  Replace paragraph (4) above with the following upon system implementation</w:t>
            </w:r>
            <w:r w:rsidR="004A5B0B" w:rsidRPr="0013396E">
              <w:t xml:space="preserve"> </w:t>
            </w:r>
            <w:r w:rsidR="004A5B0B" w:rsidRPr="0013396E">
              <w:rPr>
                <w:bCs/>
                <w:iCs w:val="0"/>
              </w:rPr>
              <w:t xml:space="preserve">and </w:t>
            </w:r>
            <w:r w:rsidR="004A5B0B" w:rsidRPr="0013396E">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sidRPr="0013396E">
              <w:t>:]</w:t>
            </w:r>
          </w:p>
          <w:p w14:paraId="4D156F6E" w14:textId="77777777" w:rsidR="0098659C" w:rsidRPr="0013396E" w:rsidRDefault="0098659C" w:rsidP="0098659C">
            <w:pPr>
              <w:spacing w:after="240"/>
              <w:ind w:left="720" w:hanging="720"/>
            </w:pPr>
            <w:r w:rsidRPr="0013396E">
              <w:t>(4)</w:t>
            </w:r>
            <w:r w:rsidRPr="0013396E">
              <w:tab/>
              <w:t>The following Sections describe the types of communications that will be issued by ERCOT to inform all QSEs, TSPs, and DCTOs of the operating situation.  These communications may relate to transmission, distribution, or Generation or Load Resources.  The communications must specify the severity of the situation, the area affected, the areas potentially affected, and the anticipated duration of the Emergency Condition.</w:t>
            </w:r>
          </w:p>
        </w:tc>
      </w:tr>
    </w:tbl>
    <w:p w14:paraId="79FC0959" w14:textId="77777777" w:rsidR="001F04FD" w:rsidRPr="0013396E" w:rsidRDefault="001F04FD" w:rsidP="001F04FD">
      <w:pPr>
        <w:pStyle w:val="H5"/>
        <w:spacing w:before="480"/>
        <w:ind w:left="1627" w:hanging="1627"/>
      </w:pPr>
      <w:bookmarkStart w:id="1155" w:name="_Toc214878932"/>
      <w:r w:rsidRPr="0013396E">
        <w:lastRenderedPageBreak/>
        <w:t>6.5.9.3.1</w:t>
      </w:r>
      <w:r w:rsidRPr="0013396E">
        <w:tab/>
      </w:r>
      <w:bookmarkEnd w:id="1139"/>
      <w:bookmarkEnd w:id="1140"/>
      <w:r w:rsidRPr="0013396E">
        <w:t>Operating Condition Notice</w:t>
      </w:r>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p>
    <w:p w14:paraId="54FF8F65" w14:textId="6F833910" w:rsidR="001F04FD" w:rsidRPr="0013396E" w:rsidRDefault="001F04FD" w:rsidP="001F04FD">
      <w:pPr>
        <w:pStyle w:val="BodyTextNumbered"/>
      </w:pPr>
      <w:r w:rsidRPr="0013396E">
        <w:t>(1)</w:t>
      </w:r>
      <w:r w:rsidRPr="0013396E">
        <w:tab/>
        <w:t xml:space="preserve">ERCOT will issue an Operating Condition Notice (OCN) to inform </w:t>
      </w:r>
      <w:r w:rsidR="001C0FEC" w:rsidRPr="0013396E">
        <w:t>Market Participants</w:t>
      </w:r>
      <w:r w:rsidRPr="0013396E">
        <w:t xml:space="preserve"> of a possible future need for more Resources due to conditions that could affect ERCOT System reliability.  OCNs are for informational purposes only, and ERCOT exercises no additional operational authority with the issuance of this type of notice, but may solicit additional information from QSEs in order to determine whether the issuance of an Advisory, Watch, or Emergency Notice is warranted.  The OCN is the first of </w:t>
      </w:r>
      <w:r w:rsidR="002D28ED" w:rsidRPr="0013396E">
        <w:t>three</w:t>
      </w:r>
      <w:r w:rsidRPr="0013396E">
        <w:t xml:space="preserve"> levels of communication issued by ERCOT in anticipation of a possible Emergency Condition. </w:t>
      </w:r>
    </w:p>
    <w:p w14:paraId="6B2CFD77" w14:textId="18310703" w:rsidR="001F04FD" w:rsidRPr="0013396E" w:rsidRDefault="001F04FD" w:rsidP="001F04FD">
      <w:pPr>
        <w:pStyle w:val="BodyTextNumbered"/>
      </w:pPr>
      <w:r w:rsidRPr="0013396E">
        <w:t>(2)</w:t>
      </w:r>
      <w:r w:rsidRPr="0013396E">
        <w:tab/>
        <w:t xml:space="preserve">When time permits, ERCOT will issue an OCN before issuing an Advisory, Watch, or Emergency Notice.  However, issuance of an OCN may not require action on the part of any Market Participant, but rather serves as a </w:t>
      </w:r>
      <w:r w:rsidR="001C0FEC" w:rsidRPr="0013396E">
        <w:t>notice to Market Participants</w:t>
      </w:r>
      <w:r w:rsidRPr="0013396E">
        <w:t xml:space="preserve"> that some attention to the changing conditions may be warranted.  OCNs serve to communicate to QSEs the need to take extra precautions to be prepared to serve the Load during times when contingencies are most likely to arise.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98659C" w:rsidRPr="0013396E" w14:paraId="3BBA6EF9" w14:textId="77777777" w:rsidTr="004510FA">
        <w:trPr>
          <w:trHeight w:val="296"/>
        </w:trPr>
        <w:tc>
          <w:tcPr>
            <w:tcW w:w="9576" w:type="dxa"/>
            <w:shd w:val="pct12" w:color="auto" w:fill="auto"/>
          </w:tcPr>
          <w:p w14:paraId="3804AE06" w14:textId="0DE9D728" w:rsidR="0098659C" w:rsidRPr="0013396E" w:rsidRDefault="0098659C" w:rsidP="004510FA">
            <w:pPr>
              <w:pStyle w:val="Instructions"/>
              <w:spacing w:before="120"/>
            </w:pPr>
            <w:r w:rsidRPr="0013396E">
              <w:t>[NPRR857:  Replace paragraph (2) above with the following upon system implementation</w:t>
            </w:r>
            <w:r w:rsidR="004A5B0B" w:rsidRPr="0013396E">
              <w:t xml:space="preserve"> </w:t>
            </w:r>
            <w:r w:rsidR="004A5B0B" w:rsidRPr="0013396E">
              <w:rPr>
                <w:bCs/>
                <w:iCs w:val="0"/>
              </w:rPr>
              <w:t xml:space="preserve">and </w:t>
            </w:r>
            <w:r w:rsidR="004A5B0B" w:rsidRPr="0013396E">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sidRPr="0013396E">
              <w:t>:]</w:t>
            </w:r>
          </w:p>
          <w:p w14:paraId="2694F652" w14:textId="4DE04635" w:rsidR="0098659C" w:rsidRPr="0013396E" w:rsidRDefault="0098659C" w:rsidP="0098659C">
            <w:pPr>
              <w:spacing w:after="240"/>
              <w:ind w:left="720" w:hanging="720"/>
            </w:pPr>
            <w:r w:rsidRPr="0013396E">
              <w:t>(2)</w:t>
            </w:r>
            <w:r w:rsidRPr="0013396E">
              <w:tab/>
              <w:t xml:space="preserve">When time permits, ERCOT will issue an OCN before issuing an Advisory, Watch, or Emergency Notice.  However, issuance of an OCN may not require action on the part of any Market Participant, but rather serves as </w:t>
            </w:r>
            <w:r w:rsidR="001C0FEC" w:rsidRPr="0013396E">
              <w:t>notice to Market Participants</w:t>
            </w:r>
            <w:r w:rsidRPr="0013396E">
              <w:t xml:space="preserve"> that some attention to the changing conditions may be warranted.  OCNs serve to communicate to QSEs the need to take extra precautions to be prepared to serve the Load during times when contingencies are most likely to arise.</w:t>
            </w:r>
          </w:p>
        </w:tc>
      </w:tr>
    </w:tbl>
    <w:p w14:paraId="7A400F5C" w14:textId="12921AA9" w:rsidR="001F04FD" w:rsidRPr="0013396E" w:rsidRDefault="001F04FD" w:rsidP="0099247E">
      <w:pPr>
        <w:pStyle w:val="BodyTextNumbered"/>
        <w:spacing w:before="240"/>
      </w:pPr>
      <w:r w:rsidRPr="0013396E">
        <w:t>(3)</w:t>
      </w:r>
      <w:r w:rsidRPr="0013396E">
        <w:tab/>
        <w:t xml:space="preserve">Reasons for OCNs include, but are not limited to, unplanned transmission Outages, </w:t>
      </w:r>
      <w:r w:rsidR="002D28ED" w:rsidRPr="0013396E">
        <w:t xml:space="preserve">insufficient Resources to meet forecasted conditions, </w:t>
      </w:r>
      <w:r w:rsidRPr="0013396E">
        <w:t>and weather-related concerns such as anticipated freezing temperatures, hurricanes, wet weather, and ice storms.</w:t>
      </w:r>
    </w:p>
    <w:p w14:paraId="069A3283" w14:textId="77777777" w:rsidR="001F04FD" w:rsidRPr="0013396E" w:rsidRDefault="001F04FD" w:rsidP="001F04FD">
      <w:pPr>
        <w:pStyle w:val="BodyTextNumbered"/>
      </w:pPr>
      <w:r w:rsidRPr="0013396E">
        <w:t>(4)</w:t>
      </w:r>
      <w:r w:rsidRPr="0013396E">
        <w:tab/>
        <w:t xml:space="preserve">ERCOT will monitor actual and forecasted weather for the ERCOT Region and adjacent NERC regions.  When adverse weather conditions are expected, ERCOT may confer with TSPs and QSEs regarding the potential for adverse reliability impacts and contingency preparedness.  Based on its assessment of the potential for adverse conditions, ERCOT may require information from QSEs representing Resources regarding the Resources’ fuel capabilities.  Requests for this type of information shall be for a time period of no more than seven days from the date of the request.  The specific information that may be requested shall be defined in the Operating Guides.  QSEs representing Resources shall </w:t>
      </w:r>
      <w:r w:rsidRPr="0013396E">
        <w:lastRenderedPageBreak/>
        <w:t>provide the requested information in a timely manner, as defined by ERCOT at the time of the request.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98659C" w:rsidRPr="0013396E" w14:paraId="312F1F5A" w14:textId="77777777" w:rsidTr="004510FA">
        <w:trPr>
          <w:trHeight w:val="296"/>
        </w:trPr>
        <w:tc>
          <w:tcPr>
            <w:tcW w:w="9576" w:type="dxa"/>
            <w:shd w:val="pct12" w:color="auto" w:fill="auto"/>
          </w:tcPr>
          <w:p w14:paraId="64908941" w14:textId="31BDCA35" w:rsidR="0098659C" w:rsidRPr="0013396E" w:rsidRDefault="0098659C" w:rsidP="004510FA">
            <w:pPr>
              <w:pStyle w:val="Instructions"/>
              <w:spacing w:before="120"/>
            </w:pPr>
            <w:r w:rsidRPr="0013396E">
              <w:t>[NPRR857:  Replace paragraph (4) above with the following upon system implementation</w:t>
            </w:r>
            <w:r w:rsidR="004A5B0B" w:rsidRPr="0013396E">
              <w:t xml:space="preserve"> </w:t>
            </w:r>
            <w:r w:rsidR="004A5B0B" w:rsidRPr="0013396E">
              <w:rPr>
                <w:bCs/>
                <w:iCs w:val="0"/>
              </w:rPr>
              <w:t xml:space="preserve">and </w:t>
            </w:r>
            <w:r w:rsidR="004A5B0B" w:rsidRPr="0013396E">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sidRPr="0013396E">
              <w:t>:]</w:t>
            </w:r>
          </w:p>
          <w:p w14:paraId="17EE6F43" w14:textId="77777777" w:rsidR="0098659C" w:rsidRPr="0013396E" w:rsidRDefault="0098659C" w:rsidP="0098659C">
            <w:pPr>
              <w:spacing w:after="240"/>
              <w:ind w:left="720" w:hanging="720"/>
            </w:pPr>
            <w:r w:rsidRPr="0013396E">
              <w:t>(4)</w:t>
            </w:r>
            <w:r w:rsidRPr="0013396E">
              <w:tab/>
              <w:t>ERCOT will monitor actual and forecasted weather for the ERCOT Region and adjacent NERC regions.  When adverse weather conditions are expected, ERCOT may confer with TSPs, DCTOs, and QSEs regarding the potential for adverse reliability impacts and contingency preparedness.  Based on its assessment of the potential for adverse conditions, ERCOT may require information from QSEs representing Resources regarding the Resources’ fuel capabilities.  Requests for this type of information shall be for a time period of no more than seven days from the date of the request.  The specific information that may be requested shall be defined in the Operating Guides.  QSEs representing Resources shall provide the requested information in a timely manner, as defined by ERCOT at the time of the request.</w:t>
            </w:r>
          </w:p>
        </w:tc>
      </w:tr>
    </w:tbl>
    <w:p w14:paraId="77D29A81" w14:textId="77777777" w:rsidR="001F04FD" w:rsidRPr="0013396E" w:rsidRDefault="001F04FD" w:rsidP="0099247E">
      <w:pPr>
        <w:pStyle w:val="BodyTextNumbered"/>
        <w:spacing w:before="240"/>
      </w:pPr>
      <w:r w:rsidRPr="0013396E">
        <w:t>(5)</w:t>
      </w:r>
      <w:r w:rsidRPr="0013396E">
        <w:tab/>
        <w:t>QSEs and TSPs are expected to establish and maintain internal procedures for monitoring actual and forecasted weather and for implementing appropriate measures when the potential for adverse weather or other conditions (which could threaten ERCOT System reliability) arise.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98659C" w:rsidRPr="0013396E" w14:paraId="580B35C8" w14:textId="77777777" w:rsidTr="00FB1DA3">
        <w:trPr>
          <w:trHeight w:val="296"/>
        </w:trPr>
        <w:tc>
          <w:tcPr>
            <w:tcW w:w="9350" w:type="dxa"/>
            <w:shd w:val="pct12" w:color="auto" w:fill="auto"/>
          </w:tcPr>
          <w:p w14:paraId="657E4CC2" w14:textId="6A13C152" w:rsidR="0098659C" w:rsidRPr="0013396E" w:rsidRDefault="0098659C" w:rsidP="004510FA">
            <w:pPr>
              <w:pStyle w:val="Instructions"/>
              <w:spacing w:before="120"/>
            </w:pPr>
            <w:bookmarkStart w:id="1156" w:name="_Toc397504988"/>
            <w:bookmarkStart w:id="1157" w:name="_Toc402357116"/>
            <w:bookmarkStart w:id="1158" w:name="_Toc422486496"/>
            <w:bookmarkStart w:id="1159" w:name="_Toc433093348"/>
            <w:bookmarkStart w:id="1160" w:name="_Toc433093506"/>
            <w:bookmarkStart w:id="1161" w:name="_Toc440874734"/>
            <w:bookmarkStart w:id="1162" w:name="_Toc448142289"/>
            <w:bookmarkStart w:id="1163" w:name="_Toc448142446"/>
            <w:bookmarkStart w:id="1164" w:name="_Toc458770283"/>
            <w:bookmarkStart w:id="1165" w:name="_Toc459294251"/>
            <w:bookmarkStart w:id="1166" w:name="_Toc463262744"/>
            <w:bookmarkStart w:id="1167" w:name="_Toc468286817"/>
            <w:bookmarkStart w:id="1168" w:name="_Toc481502863"/>
            <w:bookmarkStart w:id="1169" w:name="_Toc496080031"/>
            <w:r w:rsidRPr="0013396E">
              <w:t>[NPRR857:  Replace paragraph (5) above with the following upon system implementation</w:t>
            </w:r>
            <w:r w:rsidR="004A5B0B" w:rsidRPr="0013396E">
              <w:t xml:space="preserve"> </w:t>
            </w:r>
            <w:r w:rsidR="004A5B0B" w:rsidRPr="0013396E">
              <w:rPr>
                <w:bCs/>
                <w:iCs w:val="0"/>
              </w:rPr>
              <w:t xml:space="preserve">and </w:t>
            </w:r>
            <w:r w:rsidR="004A5B0B" w:rsidRPr="0013396E">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sidRPr="0013396E">
              <w:t>:]</w:t>
            </w:r>
          </w:p>
          <w:p w14:paraId="39539F18" w14:textId="77777777" w:rsidR="0098659C" w:rsidRPr="0013396E" w:rsidRDefault="0098659C" w:rsidP="0098659C">
            <w:pPr>
              <w:spacing w:after="240"/>
              <w:ind w:left="720" w:hanging="720"/>
            </w:pPr>
            <w:r w:rsidRPr="0013396E">
              <w:t>(5)</w:t>
            </w:r>
            <w:r w:rsidRPr="0013396E">
              <w:tab/>
              <w:t>QSEs, TSPs, and DCTOs are expected to establish and maintain internal procedures for monitoring actual and forecasted weather and for implementing appropriate measures when the potential for adverse weather or other conditions (which could threaten ERCOT System reliability) arise.</w:t>
            </w:r>
          </w:p>
        </w:tc>
      </w:tr>
    </w:tbl>
    <w:p w14:paraId="0E8BB6CB" w14:textId="77777777" w:rsidR="00FB1DA3" w:rsidRPr="0013396E" w:rsidRDefault="00FB1DA3" w:rsidP="00FB1DA3">
      <w:pPr>
        <w:pStyle w:val="H4"/>
        <w:tabs>
          <w:tab w:val="clear" w:pos="1260"/>
          <w:tab w:val="left" w:pos="1620"/>
        </w:tabs>
        <w:spacing w:before="480"/>
        <w:ind w:left="1627" w:hanging="1627"/>
        <w:outlineLvl w:val="4"/>
        <w:rPr>
          <w:b w:val="0"/>
          <w:bCs w:val="0"/>
          <w:iCs/>
        </w:rPr>
      </w:pPr>
      <w:bookmarkStart w:id="1170" w:name="_Toc214878933"/>
      <w:r w:rsidRPr="0013396E">
        <w:rPr>
          <w:iCs/>
        </w:rPr>
        <w:lastRenderedPageBreak/>
        <w:t>6.5.9.3.1.1</w:t>
      </w:r>
      <w:r w:rsidRPr="0013396E">
        <w:rPr>
          <w:iCs/>
        </w:rPr>
        <w:tab/>
        <w:t>Advance Action Notice</w:t>
      </w:r>
      <w:bookmarkEnd w:id="1170"/>
    </w:p>
    <w:p w14:paraId="20F04EFB" w14:textId="77777777" w:rsidR="00FB1DA3" w:rsidRPr="0013396E" w:rsidRDefault="00FB1DA3" w:rsidP="00FB1DA3">
      <w:pPr>
        <w:pStyle w:val="BodyTextNumbered"/>
      </w:pPr>
      <w:r w:rsidRPr="0013396E">
        <w:t xml:space="preserve">(1) </w:t>
      </w:r>
      <w:r w:rsidRPr="0013396E">
        <w:tab/>
        <w:t>ERCOT may issue an AAN in anticipation of a possible Emergency Condition.  Any AAN will identify actions ERCOT expects to take to address the possible Emergency Condition unless the need for ERCOT action is alleviated by QSE and/or TSP actions taken, or by other system developments that occur, before a time stated in the AAN.</w:t>
      </w:r>
    </w:p>
    <w:p w14:paraId="3E12C6BB" w14:textId="77777777" w:rsidR="00FB1DA3" w:rsidRPr="0013396E" w:rsidRDefault="00FB1DA3" w:rsidP="00FB1DA3">
      <w:pPr>
        <w:pStyle w:val="BodyTextNumbered"/>
      </w:pPr>
      <w:r w:rsidRPr="0013396E">
        <w:t>(2)</w:t>
      </w:r>
      <w:r w:rsidRPr="0013396E">
        <w:tab/>
        <w:t xml:space="preserve">An AAN may not require action on the part of any Market Participant but may include additional information so that Market Participants can modify their plans in such a way that mitigates the need for ERCOT to take additional actions.  </w:t>
      </w:r>
    </w:p>
    <w:p w14:paraId="411B203C" w14:textId="715EBBB6" w:rsidR="009676E9" w:rsidRPr="0013396E" w:rsidRDefault="00FB1DA3" w:rsidP="00FB1DA3">
      <w:pPr>
        <w:pStyle w:val="BodyTextNumbered"/>
      </w:pPr>
      <w:r w:rsidRPr="0013396E">
        <w:t xml:space="preserve">(3) </w:t>
      </w:r>
      <w:r w:rsidRPr="0013396E">
        <w:tab/>
        <w:t>An AAN will be canceled if ERCOT determines that the possible Emergency Condition has been alleviated by QSE or TSP action, by ERCOT action, or by other system developments.</w:t>
      </w:r>
    </w:p>
    <w:p w14:paraId="695C36A4" w14:textId="77777777" w:rsidR="001F04FD" w:rsidRPr="0013396E" w:rsidRDefault="001F04FD" w:rsidP="001B11AD">
      <w:pPr>
        <w:pStyle w:val="H5"/>
        <w:ind w:left="1627" w:hanging="1627"/>
      </w:pPr>
      <w:bookmarkStart w:id="1171" w:name="_Toc214878934"/>
      <w:r w:rsidRPr="0013396E">
        <w:t>6.5.9.3.2</w:t>
      </w:r>
      <w:r w:rsidRPr="0013396E">
        <w:tab/>
        <w:t>Advisory</w:t>
      </w:r>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1"/>
    </w:p>
    <w:p w14:paraId="11A91922" w14:textId="3721E85A" w:rsidR="001F04FD" w:rsidRPr="0013396E" w:rsidRDefault="001F04FD" w:rsidP="001F04FD">
      <w:pPr>
        <w:pStyle w:val="BodyTextNumbered"/>
      </w:pPr>
      <w:r w:rsidRPr="0013396E">
        <w:t>(1)</w:t>
      </w:r>
      <w:r w:rsidRPr="0013396E">
        <w:tab/>
        <w:t xml:space="preserve">An Advisory is the second of </w:t>
      </w:r>
      <w:r w:rsidR="002D28ED" w:rsidRPr="0013396E">
        <w:t>three</w:t>
      </w:r>
      <w:r w:rsidRPr="0013396E">
        <w:t xml:space="preserve"> levels of communication issued by ERCOT in anticipation of a possible Emergency Condition. </w:t>
      </w:r>
    </w:p>
    <w:p w14:paraId="1F35E1E1" w14:textId="77777777" w:rsidR="001F04FD" w:rsidRPr="0013396E" w:rsidRDefault="001F04FD" w:rsidP="001F04FD">
      <w:pPr>
        <w:pStyle w:val="BodyTextNumbered"/>
      </w:pPr>
      <w:r w:rsidRPr="0013396E">
        <w:t>(2)</w:t>
      </w:r>
      <w:r w:rsidRPr="0013396E">
        <w:tab/>
        <w:t>ERCOT shall issue an Advisory for reasons such as, but not limited to, the following:</w:t>
      </w:r>
    </w:p>
    <w:p w14:paraId="712734E0" w14:textId="77777777" w:rsidR="001F04FD" w:rsidRPr="0013396E" w:rsidRDefault="001F04FD" w:rsidP="001F04FD">
      <w:pPr>
        <w:pStyle w:val="List"/>
      </w:pPr>
      <w:r w:rsidRPr="0013396E">
        <w:t>(a)</w:t>
      </w:r>
      <w:r w:rsidRPr="0013396E">
        <w:tab/>
        <w:t>When it recognizes that conditions are developing or have changed and more Ancillary Services will be needed to maintain current or near-term operating reliability;</w:t>
      </w:r>
    </w:p>
    <w:p w14:paraId="082461CD" w14:textId="77777777" w:rsidR="001F04FD" w:rsidRPr="0013396E" w:rsidRDefault="001F04FD" w:rsidP="001F04FD">
      <w:pPr>
        <w:pStyle w:val="List"/>
      </w:pPr>
      <w:r w:rsidRPr="0013396E">
        <w:t>(b)</w:t>
      </w:r>
      <w:r w:rsidRPr="0013396E">
        <w:tab/>
        <w:t>When weather or ERCOT System conditions require more lead-time than the normal DAM allows;</w:t>
      </w:r>
    </w:p>
    <w:p w14:paraId="76C8A2A7" w14:textId="77777777" w:rsidR="001F04FD" w:rsidRPr="0013396E" w:rsidRDefault="001F04FD" w:rsidP="001F04FD">
      <w:pPr>
        <w:pStyle w:val="List"/>
      </w:pPr>
      <w:r w:rsidRPr="0013396E">
        <w:t>(c)</w:t>
      </w:r>
      <w:r w:rsidRPr="0013396E">
        <w:tab/>
        <w:t>When communications or other controls are significantly limited; or</w:t>
      </w:r>
    </w:p>
    <w:p w14:paraId="0A14CED1" w14:textId="77777777" w:rsidR="001F04FD" w:rsidRPr="0013396E" w:rsidRDefault="001F04FD" w:rsidP="001F04FD">
      <w:pPr>
        <w:pStyle w:val="List"/>
      </w:pPr>
      <w:r w:rsidRPr="0013396E">
        <w:t>(d)</w:t>
      </w:r>
      <w:r w:rsidRPr="0013396E">
        <w:tab/>
        <w:t>When ERCOT Transmission Grid conditions are such that operations within security criteria as defined in the Operating Guides are not likely or possible because of Forced Outages or other conditions unless a Constraint Management Plan (CMP) exists.</w:t>
      </w:r>
    </w:p>
    <w:p w14:paraId="5B4EDC00" w14:textId="77777777" w:rsidR="001F04FD" w:rsidRPr="0013396E" w:rsidRDefault="001F04FD" w:rsidP="001F04FD">
      <w:pPr>
        <w:pStyle w:val="BodyTextNumbered"/>
      </w:pPr>
      <w:r w:rsidRPr="0013396E">
        <w:t>(3)</w:t>
      </w:r>
      <w:r w:rsidRPr="0013396E">
        <w:tab/>
        <w:t>The Advisory must communicate existing constraints.  ERCOT shall notify TSPs and QSEs of the Advisory, and QSEs shall notify appropriate Resources and Load Serving Entities (LSEs).  ERCOT shall communicate with TSPs as needed to confirm their understanding of the condition and to determine the availability of Transmission Facilities.  For the purposes of verifying submitted information, ERCOT may communicate with QSEs.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634C84" w:rsidRPr="0013396E" w14:paraId="7E677E4E" w14:textId="77777777" w:rsidTr="004510FA">
        <w:trPr>
          <w:trHeight w:val="296"/>
        </w:trPr>
        <w:tc>
          <w:tcPr>
            <w:tcW w:w="9576" w:type="dxa"/>
            <w:shd w:val="pct12" w:color="auto" w:fill="auto"/>
          </w:tcPr>
          <w:p w14:paraId="7B5ACF0D" w14:textId="0E04E051" w:rsidR="00634C84" w:rsidRPr="0013396E" w:rsidRDefault="00634C84" w:rsidP="004510FA">
            <w:pPr>
              <w:pStyle w:val="Instructions"/>
              <w:spacing w:before="120"/>
            </w:pPr>
            <w:r w:rsidRPr="0013396E">
              <w:t>[NPRR857:  Replace paragraph (3) above with the following upon system implementation</w:t>
            </w:r>
            <w:r w:rsidR="004A5B0B" w:rsidRPr="0013396E">
              <w:t xml:space="preserve"> </w:t>
            </w:r>
            <w:r w:rsidR="004A5B0B" w:rsidRPr="0013396E">
              <w:rPr>
                <w:bCs/>
                <w:iCs w:val="0"/>
              </w:rPr>
              <w:t xml:space="preserve">and </w:t>
            </w:r>
            <w:r w:rsidR="004A5B0B" w:rsidRPr="0013396E">
              <w:t xml:space="preserve">satisfying the following conditions: (1) Southern Cross provides ERCOT with funds to cover the entire estimated cost of the project; and (2) Southern Cross has signed an interconnection agreement with a TSP and the TSP gives ERCOT written notice that </w:t>
            </w:r>
            <w:r w:rsidR="004A5B0B" w:rsidRPr="0013396E">
              <w:lastRenderedPageBreak/>
              <w:t>Southern Cross has provided it with:  (a) Notice to proceed with the construction of the interconnection; and (b) The financial security required to fund the interconnection facilities</w:t>
            </w:r>
            <w:r w:rsidRPr="0013396E">
              <w:t>:]</w:t>
            </w:r>
          </w:p>
          <w:p w14:paraId="65C62ADE" w14:textId="77777777" w:rsidR="00634C84" w:rsidRPr="0013396E" w:rsidRDefault="00634C84" w:rsidP="00634C84">
            <w:pPr>
              <w:spacing w:after="240"/>
              <w:ind w:left="720" w:hanging="720"/>
            </w:pPr>
            <w:r w:rsidRPr="0013396E">
              <w:t>(3)</w:t>
            </w:r>
            <w:r w:rsidRPr="0013396E">
              <w:tab/>
              <w:t>The Advisory must communicate existing constraints.  ERCOT shall notify TSPs, DCTOs, and QSEs of the Advisory, and QSEs shall notify appropriate Resources and Load Serving Entities (LSEs).  ERCOT shall communicate with TSPs and DCTOs as needed to confirm their understanding of the condition and to determine the availability of Transmission Facilities.  For the purposes of verifying submitted information, ERCOT may communicate with QSEs.</w:t>
            </w:r>
          </w:p>
        </w:tc>
      </w:tr>
    </w:tbl>
    <w:p w14:paraId="6365799C" w14:textId="77777777" w:rsidR="001F04FD" w:rsidRPr="0013396E" w:rsidRDefault="001F04FD" w:rsidP="0099247E">
      <w:pPr>
        <w:pStyle w:val="BodyTextNumbered"/>
        <w:spacing w:before="240"/>
      </w:pPr>
      <w:r w:rsidRPr="0013396E">
        <w:lastRenderedPageBreak/>
        <w:t>(4)</w:t>
      </w:r>
      <w:r w:rsidRPr="0013396E">
        <w:tab/>
        <w:t>Although an Advisory is for information purposes, ERCOT may exercise its authority, in such circumstances, to increase Ancillary Service requirements above the quantities originally specified in the Day-Ahead in accordance with procedures.  ERCOT may require information from QSEs representing Resources regarding the Resources’ fuel capabilities.  Requests for this type of information shall be for a time period of no more than seven days from the date of the request.  The specific information that may be requested shall be defined in the Operating Guide.  QSEs representing Resources shall provide the requested information in a timely manner, as defined by ERCOT at the time of the request.</w:t>
      </w:r>
    </w:p>
    <w:p w14:paraId="084B6BC5" w14:textId="77777777" w:rsidR="001F04FD" w:rsidRPr="0013396E" w:rsidRDefault="001F04FD" w:rsidP="001F04FD">
      <w:pPr>
        <w:pStyle w:val="H5"/>
        <w:spacing w:before="480"/>
        <w:ind w:left="1627" w:hanging="1627"/>
      </w:pPr>
      <w:bookmarkStart w:id="1172" w:name="_Toc397504989"/>
      <w:bookmarkStart w:id="1173" w:name="_Toc402357117"/>
      <w:bookmarkStart w:id="1174" w:name="_Toc422486497"/>
      <w:bookmarkStart w:id="1175" w:name="_Toc433093349"/>
      <w:bookmarkStart w:id="1176" w:name="_Toc433093507"/>
      <w:bookmarkStart w:id="1177" w:name="_Toc440874735"/>
      <w:bookmarkStart w:id="1178" w:name="_Toc448142290"/>
      <w:bookmarkStart w:id="1179" w:name="_Toc448142447"/>
      <w:bookmarkStart w:id="1180" w:name="_Toc458770284"/>
      <w:bookmarkStart w:id="1181" w:name="_Toc459294252"/>
      <w:bookmarkStart w:id="1182" w:name="_Toc463262745"/>
      <w:bookmarkStart w:id="1183" w:name="_Toc468286818"/>
      <w:bookmarkStart w:id="1184" w:name="_Toc481502864"/>
      <w:bookmarkStart w:id="1185" w:name="_Toc496080032"/>
      <w:bookmarkStart w:id="1186" w:name="_Toc214878935"/>
      <w:r w:rsidRPr="0013396E">
        <w:t>6.5.9.3.3</w:t>
      </w:r>
      <w:r w:rsidRPr="0013396E">
        <w:tab/>
        <w:t>Watch</w:t>
      </w:r>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p>
    <w:p w14:paraId="507214BF" w14:textId="2ADBA6EE" w:rsidR="001F04FD" w:rsidRPr="0013396E" w:rsidRDefault="001F04FD" w:rsidP="001F04FD">
      <w:pPr>
        <w:pStyle w:val="BodyTextNumbered"/>
      </w:pPr>
      <w:r w:rsidRPr="0013396E">
        <w:t>(1)</w:t>
      </w:r>
      <w:r w:rsidRPr="0013396E">
        <w:tab/>
        <w:t xml:space="preserve">A Watch is the third of </w:t>
      </w:r>
      <w:r w:rsidR="002D28ED" w:rsidRPr="0013396E">
        <w:t>three</w:t>
      </w:r>
      <w:r w:rsidRPr="0013396E">
        <w:t xml:space="preserve"> levels of communication issued by ERCOT in anticipation of a possible Emergency Condition. </w:t>
      </w:r>
    </w:p>
    <w:p w14:paraId="4392B55C" w14:textId="77777777" w:rsidR="001F04FD" w:rsidRPr="0013396E" w:rsidRDefault="001F04FD" w:rsidP="001F04FD">
      <w:pPr>
        <w:pStyle w:val="BodyTextNumbered"/>
      </w:pPr>
      <w:r w:rsidRPr="0013396E">
        <w:t>(2)</w:t>
      </w:r>
      <w:r w:rsidRPr="0013396E">
        <w:tab/>
        <w:t>ERCOT shall issue a Watch when ERCOT determines that:</w:t>
      </w:r>
    </w:p>
    <w:p w14:paraId="20615872" w14:textId="232911C6" w:rsidR="001F04FD" w:rsidRPr="0013396E" w:rsidRDefault="001F04FD" w:rsidP="005A7D8E">
      <w:pPr>
        <w:pStyle w:val="List"/>
      </w:pPr>
      <w:r w:rsidRPr="0013396E">
        <w:t>(</w:t>
      </w:r>
      <w:r w:rsidR="009C679A">
        <w:t>a</w:t>
      </w:r>
      <w:r w:rsidRPr="0013396E">
        <w:t>)</w:t>
      </w:r>
      <w:r w:rsidRPr="0013396E">
        <w:tab/>
        <w:t>Market-based congestion management techniques embedded in SCED as specified in these Protocols will not be adequate to resolve transmission security violations;</w:t>
      </w:r>
    </w:p>
    <w:p w14:paraId="518ACB4E" w14:textId="1A7C8271" w:rsidR="001F04FD" w:rsidRPr="0013396E" w:rsidRDefault="001F04FD" w:rsidP="001F04FD">
      <w:pPr>
        <w:pStyle w:val="List"/>
      </w:pPr>
      <w:r w:rsidRPr="0013396E">
        <w:t>(</w:t>
      </w:r>
      <w:r w:rsidR="009C679A">
        <w:t>b</w:t>
      </w:r>
      <w:r w:rsidRPr="0013396E">
        <w:t>)</w:t>
      </w:r>
      <w:r w:rsidRPr="0013396E">
        <w:tab/>
        <w:t>Forced Outages or other abnormal operating conditions have occurred, or may occur that require operations with active violations of security criteria as defined in the Operating Guides unless a CMP exists;</w:t>
      </w:r>
    </w:p>
    <w:p w14:paraId="54A64A86" w14:textId="540F16A9" w:rsidR="001F04FD" w:rsidRPr="0013396E" w:rsidRDefault="001F04FD" w:rsidP="001F04FD">
      <w:pPr>
        <w:spacing w:after="240"/>
        <w:ind w:left="1440" w:hanging="720"/>
      </w:pPr>
      <w:r w:rsidRPr="0013396E">
        <w:t>(</w:t>
      </w:r>
      <w:r w:rsidR="009C679A">
        <w:t>c</w:t>
      </w:r>
      <w:r w:rsidRPr="0013396E">
        <w:t>)</w:t>
      </w:r>
      <w:r w:rsidRPr="0013396E">
        <w:tab/>
        <w:t>ERCOT varies from timing requirements or omits one or more Day-Ahead or Adjustment Period and Real-Time procedures;</w:t>
      </w:r>
    </w:p>
    <w:p w14:paraId="0A85D2B2" w14:textId="7ED96F43" w:rsidR="001F04FD" w:rsidRPr="0013396E" w:rsidRDefault="001F04FD" w:rsidP="001F04FD">
      <w:pPr>
        <w:spacing w:after="240"/>
        <w:ind w:left="1440" w:hanging="720"/>
      </w:pPr>
      <w:r w:rsidRPr="0013396E">
        <w:t>(</w:t>
      </w:r>
      <w:r w:rsidR="009C679A">
        <w:t>d</w:t>
      </w:r>
      <w:r w:rsidRPr="0013396E">
        <w:t>)</w:t>
      </w:r>
      <w:r w:rsidRPr="0013396E">
        <w:tab/>
        <w:t>ERCOT varies from timing requirements or omits one or more scheduling procedures in the Real-Time process; or</w:t>
      </w:r>
    </w:p>
    <w:p w14:paraId="4AF0AC3D" w14:textId="4FDFF160" w:rsidR="001F04FD" w:rsidRPr="0013396E" w:rsidRDefault="001F04FD" w:rsidP="001F04FD">
      <w:pPr>
        <w:pStyle w:val="List"/>
      </w:pPr>
      <w:r w:rsidRPr="0013396E">
        <w:t>(</w:t>
      </w:r>
      <w:r w:rsidR="009C679A">
        <w:t>e</w:t>
      </w:r>
      <w:r w:rsidRPr="0013396E">
        <w:t>)</w:t>
      </w:r>
      <w:r w:rsidRPr="0013396E">
        <w:tab/>
        <w:t>The SCED process fails to reach a solution, whether or not ERCOT is using one of the measures specified in paragraph (</w:t>
      </w:r>
      <w:r w:rsidR="00882A2C" w:rsidRPr="0013396E">
        <w:t>4</w:t>
      </w:r>
      <w:r w:rsidRPr="0013396E">
        <w:t>) of Section 6.5.9.2, Failure of the SCED Process.</w:t>
      </w:r>
    </w:p>
    <w:p w14:paraId="4EBABCE5" w14:textId="3257A328" w:rsidR="001F04FD" w:rsidRPr="0013396E" w:rsidRDefault="00F97FFD" w:rsidP="005A7D8E">
      <w:pPr>
        <w:pStyle w:val="BodyTextNumbered"/>
      </w:pPr>
      <w:r w:rsidRPr="0013396E">
        <w:lastRenderedPageBreak/>
        <w:t>(</w:t>
      </w:r>
      <w:r w:rsidR="009C679A">
        <w:t>3</w:t>
      </w:r>
      <w:r w:rsidRPr="0013396E">
        <w:t>)</w:t>
      </w:r>
      <w:r w:rsidRPr="0013396E">
        <w:tab/>
      </w:r>
      <w:r w:rsidR="001F04FD" w:rsidRPr="0013396E">
        <w:t xml:space="preserve">ERCOT shall post the Watch message electronically to the </w:t>
      </w:r>
      <w:r w:rsidR="0007207E" w:rsidRPr="0013396E">
        <w:t>ERCOT website</w:t>
      </w:r>
      <w:r w:rsidR="001F04FD" w:rsidRPr="0013396E">
        <w:t xml:space="preserve"> and shall provide verbal notice via the </w:t>
      </w:r>
      <w:r w:rsidR="001C0FEC" w:rsidRPr="0013396E">
        <w:t xml:space="preserve">TO </w:t>
      </w:r>
      <w:r w:rsidR="001F04FD" w:rsidRPr="0013396E">
        <w:t>Hotline</w:t>
      </w:r>
      <w:r w:rsidR="001C0FEC" w:rsidRPr="0013396E">
        <w:t xml:space="preserve"> and the QSE Hotline</w:t>
      </w:r>
      <w:r w:rsidR="001F04FD" w:rsidRPr="0013396E">
        <w:t>.  Corrective actions identified by ERCOT must be communicated through Dispatch Instructions to all TSPs, DSPs and QSEs required to implement the corrective action.  Each QSE shall immediately notify the Market Participants that it represents of the Watch.  To minimize the effects on the ERCOT System, each TSP or DSP shall identify and prepare to implement actions, including restoration of transmission lines as appropriate and preparing for Load shedding.  ERCOT may instruct TSPs or DSPs to reconfigure ERCOT System elements as necessary to improve the reliability of the ERCOT System.  On notice of a Watch, each QSE, TSP, and DSP shall prepare for an Emergency Condition in case conditions worsen.  ERCOT may require information from QSEs representing Resources regarding the Resources’ fuel capabilities.  Requests for this type of information shall be for a time period of no more than seven days from the date of the request.  The specific information that may be requested shall be defined in the Operating Guides.  QSEs representing Resources shall provide the requested information in a timely manner, as defined by ERCOT at the time of the request.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3302D0" w:rsidRPr="0013396E" w14:paraId="00EAF84E" w14:textId="77777777" w:rsidTr="004510FA">
        <w:trPr>
          <w:trHeight w:val="296"/>
        </w:trPr>
        <w:tc>
          <w:tcPr>
            <w:tcW w:w="9576" w:type="dxa"/>
            <w:shd w:val="pct12" w:color="auto" w:fill="auto"/>
          </w:tcPr>
          <w:p w14:paraId="6CED6D70" w14:textId="3E97BD95" w:rsidR="003302D0" w:rsidRPr="0013396E" w:rsidRDefault="003302D0" w:rsidP="004510FA">
            <w:pPr>
              <w:pStyle w:val="Instructions"/>
              <w:spacing w:before="120"/>
            </w:pPr>
            <w:bookmarkStart w:id="1187" w:name="_Toc397504990"/>
            <w:bookmarkStart w:id="1188" w:name="_Toc402357118"/>
            <w:bookmarkStart w:id="1189" w:name="_Toc422486498"/>
            <w:bookmarkStart w:id="1190" w:name="_Toc433093350"/>
            <w:bookmarkStart w:id="1191" w:name="_Toc433093508"/>
            <w:bookmarkStart w:id="1192" w:name="_Toc440874736"/>
            <w:bookmarkStart w:id="1193" w:name="_Toc448142291"/>
            <w:bookmarkStart w:id="1194" w:name="_Toc448142448"/>
            <w:bookmarkStart w:id="1195" w:name="_Toc458770285"/>
            <w:bookmarkStart w:id="1196" w:name="_Toc459294253"/>
            <w:bookmarkStart w:id="1197" w:name="_Toc463262746"/>
            <w:bookmarkStart w:id="1198" w:name="_Toc468286819"/>
            <w:bookmarkStart w:id="1199" w:name="_Toc481502865"/>
            <w:bookmarkStart w:id="1200" w:name="_Toc496080033"/>
            <w:r w:rsidRPr="0013396E">
              <w:t>[NPRR857:  Replace paragraph (</w:t>
            </w:r>
            <w:r w:rsidR="009C679A">
              <w:t>3</w:t>
            </w:r>
            <w:r w:rsidRPr="0013396E">
              <w:t>) above with the following upon system implementation</w:t>
            </w:r>
            <w:r w:rsidR="004A5B0B" w:rsidRPr="0013396E">
              <w:t xml:space="preserve"> </w:t>
            </w:r>
            <w:r w:rsidR="004A5B0B" w:rsidRPr="0013396E">
              <w:rPr>
                <w:bCs/>
                <w:iCs w:val="0"/>
              </w:rPr>
              <w:t xml:space="preserve">and </w:t>
            </w:r>
            <w:r w:rsidR="004A5B0B" w:rsidRPr="0013396E">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sidRPr="0013396E">
              <w:t>:]</w:t>
            </w:r>
          </w:p>
          <w:p w14:paraId="6B8C5021" w14:textId="3EB7BCA2" w:rsidR="003302D0" w:rsidRPr="0013396E" w:rsidRDefault="003302D0" w:rsidP="0007207E">
            <w:pPr>
              <w:spacing w:before="240" w:after="240"/>
              <w:ind w:left="720" w:hanging="720"/>
            </w:pPr>
            <w:r w:rsidRPr="0013396E">
              <w:t>(</w:t>
            </w:r>
            <w:r w:rsidR="009C679A">
              <w:t>3</w:t>
            </w:r>
            <w:r w:rsidRPr="0013396E">
              <w:t>)</w:t>
            </w:r>
            <w:r w:rsidRPr="0013396E">
              <w:tab/>
              <w:t xml:space="preserve">ERCOT shall post the Watch message electronically to the </w:t>
            </w:r>
            <w:r w:rsidR="0007207E" w:rsidRPr="0013396E">
              <w:t>ERCOT website</w:t>
            </w:r>
            <w:r w:rsidRPr="0013396E">
              <w:t xml:space="preserve"> and shall provide verbal notice via the </w:t>
            </w:r>
            <w:r w:rsidR="001C0FEC" w:rsidRPr="0013396E">
              <w:t xml:space="preserve">TO </w:t>
            </w:r>
            <w:r w:rsidRPr="0013396E">
              <w:t>Hotline</w:t>
            </w:r>
            <w:r w:rsidR="001C0FEC" w:rsidRPr="0013396E">
              <w:t xml:space="preserve"> and the QSE Hotline</w:t>
            </w:r>
            <w:r w:rsidRPr="0013396E">
              <w:t>.  Corrective actions identified by ERCOT must be communicated through Dispatch Instructions to all TSPs, DCTOs, DSPs and QSEs required to implement the corrective action.  Each QSE shall immediately notify the Market Participants that it represents of the Watch.  To minimize the effects on the ERCOT System, each TSP or DSP shall identify and prepare to implement actions, including restoration of transmission lines as appropriate and preparing for Load shedding.  ERCOT may instruct DCTOs, TSPs or DSPs to reconfigure ERCOT System elements as necessary to improve the reliability of the ERCOT System.  On notice of a Watch, each QSE, DCTO, TSP, and DSP shall prepare for an Emergency Condition in case conditions worsen.  ERCOT may require information from QSEs representing Resources regarding the Resources’ fuel capabilities.  Requests for this type of information shall be for a time period of no more than seven days from the date of the request.  The specific information that may be requested shall be defined in the Operating Guides.  QSEs representing Resources shall provide the requested information in a timely manner, as defined by ERCOT at the time of the request.</w:t>
            </w:r>
          </w:p>
        </w:tc>
      </w:tr>
    </w:tbl>
    <w:p w14:paraId="5144749E" w14:textId="77777777" w:rsidR="001F04FD" w:rsidRPr="0013396E" w:rsidRDefault="001F04FD" w:rsidP="001F04FD">
      <w:pPr>
        <w:pStyle w:val="H5"/>
        <w:spacing w:before="480"/>
        <w:ind w:left="1627" w:hanging="1627"/>
      </w:pPr>
      <w:bookmarkStart w:id="1201" w:name="_Toc214878936"/>
      <w:r w:rsidRPr="0013396E">
        <w:lastRenderedPageBreak/>
        <w:t>6.5.9.3.4</w:t>
      </w:r>
      <w:r w:rsidRPr="0013396E">
        <w:tab/>
        <w:t>Emergency Notice</w:t>
      </w:r>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p>
    <w:p w14:paraId="4A3AB8A7" w14:textId="48A072FC" w:rsidR="001F04FD" w:rsidRPr="0013396E" w:rsidRDefault="001F04FD" w:rsidP="001F04FD">
      <w:pPr>
        <w:pStyle w:val="BodyTextNumbered"/>
      </w:pPr>
      <w:bookmarkStart w:id="1202" w:name="_Toc73216031"/>
      <w:r w:rsidRPr="0013396E">
        <w:t>(1)</w:t>
      </w:r>
      <w:r w:rsidRPr="0013396E">
        <w:tab/>
        <w:t>Emergency Notice is the communication issued by ERCOT when operating in an Emergency Condition.</w:t>
      </w:r>
    </w:p>
    <w:p w14:paraId="49CAA925" w14:textId="77777777" w:rsidR="001F04FD" w:rsidRPr="0013396E" w:rsidRDefault="001F04FD" w:rsidP="001F04FD">
      <w:pPr>
        <w:pStyle w:val="BodyTextNumbered"/>
      </w:pPr>
      <w:r w:rsidRPr="0013396E">
        <w:t>(2)</w:t>
      </w:r>
      <w:r w:rsidRPr="0013396E">
        <w:tab/>
        <w:t>ERCOT shall issue an Emergency Notice for one or both of the following reasons:</w:t>
      </w:r>
    </w:p>
    <w:p w14:paraId="7EC7DF68" w14:textId="77777777" w:rsidR="001F04FD" w:rsidRPr="0013396E" w:rsidRDefault="001F04FD" w:rsidP="001F04FD">
      <w:pPr>
        <w:pStyle w:val="List"/>
      </w:pPr>
      <w:r w:rsidRPr="0013396E">
        <w:t>(a)</w:t>
      </w:r>
      <w:r w:rsidRPr="0013396E">
        <w:tab/>
        <w:t>ERCOT cannot maintain minimum reliability standards (for reasons including fuel shortages) during the Operating Period using every Resource practicably obtainable from the market; or</w:t>
      </w:r>
    </w:p>
    <w:p w14:paraId="54D2995B" w14:textId="77777777" w:rsidR="001F04FD" w:rsidRPr="0013396E" w:rsidRDefault="001F04FD" w:rsidP="001F04FD">
      <w:pPr>
        <w:pStyle w:val="List"/>
      </w:pPr>
      <w:r w:rsidRPr="0013396E">
        <w:t>(b)</w:t>
      </w:r>
      <w:r w:rsidRPr="0013396E">
        <w:tab/>
        <w:t>Immediate action cannot be taken to avoid or relieve a Transmission Element operating above its Emergency Rating.</w:t>
      </w:r>
    </w:p>
    <w:p w14:paraId="2E522C93" w14:textId="77777777" w:rsidR="001F04FD" w:rsidRPr="0013396E" w:rsidRDefault="001F04FD" w:rsidP="001F04FD">
      <w:pPr>
        <w:pStyle w:val="BodyTextNumbered"/>
      </w:pPr>
      <w:r w:rsidRPr="0013396E">
        <w:t>(3)</w:t>
      </w:r>
      <w:r w:rsidRPr="0013396E">
        <w:tab/>
        <w:t>The actions ERCOT takes during an Emergency Condition depend on the nature and severity of the situation.</w:t>
      </w:r>
    </w:p>
    <w:p w14:paraId="2184C830" w14:textId="77777777" w:rsidR="001F04FD" w:rsidRPr="0013396E" w:rsidRDefault="001F04FD" w:rsidP="001F04FD">
      <w:pPr>
        <w:pStyle w:val="BodyTextNumbered"/>
      </w:pPr>
      <w:r w:rsidRPr="0013396E">
        <w:t>(4)</w:t>
      </w:r>
      <w:r w:rsidRPr="0013396E">
        <w:tab/>
        <w:t>ERCOT is considered to be in an Emergency Condition whenever ERCOT Transmission Grid status is such that a violation of security criteria, as defined in the Operating Guides, presents the threat of uncontrolled separation or cascading Outages and/or large-scale service disruption to Load (other than Load being served from a radial transmission line) and/or overload of a Transmission Element, and no timely solution is obtainable through SCED or CMPs.</w:t>
      </w:r>
    </w:p>
    <w:p w14:paraId="7E00A988" w14:textId="28DE8F45" w:rsidR="001F04FD" w:rsidRPr="0013396E" w:rsidRDefault="001F04FD" w:rsidP="001F04FD">
      <w:pPr>
        <w:pStyle w:val="BodyTextNumbered"/>
      </w:pPr>
      <w:r w:rsidRPr="0013396E">
        <w:t>(5)</w:t>
      </w:r>
      <w:r w:rsidRPr="0013396E">
        <w:tab/>
      </w:r>
      <w:r w:rsidR="00C43DEB" w:rsidRPr="0013396E">
        <w:t xml:space="preserve">If the Emergency Condition is the result of a transmission problem, ERCOT shall act immediately to return the ERCOT System to a reliable condition, including instructing </w:t>
      </w:r>
      <w:r w:rsidR="00C52BB8" w:rsidRPr="0013396E">
        <w:t xml:space="preserve">any QSE representing a </w:t>
      </w:r>
      <w:r w:rsidR="00C43DEB" w:rsidRPr="0013396E">
        <w:t xml:space="preserve">Resource to change </w:t>
      </w:r>
      <w:r w:rsidR="00C52BB8" w:rsidRPr="0013396E">
        <w:t xml:space="preserve">the Resource’s </w:t>
      </w:r>
      <w:r w:rsidR="00C43DEB" w:rsidRPr="0013396E">
        <w:t>output, curtailing any remaining DC Tie Load, and instructing TSPs or DSPs to drop Load.</w:t>
      </w:r>
      <w:r w:rsidR="00C52BB8" w:rsidRPr="0013396E">
        <w:t xml:space="preserve">  In addition, ERCOT may instruct any QSE representing an ESR to suspend ESR charging if ERCOT determines that a Load reduction by the ESR is capable of mitigating the transmission problem.  An ESR co-located behind a Point of Interconnection (POI) with onsite generation that is incapable of exporting additional power to the ERCOT System may continue to charge as long as maximum output to the ERCOT System is maintained.</w:t>
      </w:r>
    </w:p>
    <w:p w14:paraId="7145225C" w14:textId="720C962E" w:rsidR="00EE372C" w:rsidRPr="0013396E" w:rsidRDefault="00F22728" w:rsidP="008658D0">
      <w:pPr>
        <w:pStyle w:val="BodyTextNumbered"/>
      </w:pPr>
      <w:r w:rsidRPr="0013396E">
        <w:t>(6)</w:t>
      </w:r>
      <w:r w:rsidRPr="0013396E">
        <w:tab/>
        <w:t>In the event that Load is curtailed or Load Resource(s) or ERS Resource(s) are deployed due to a transmission problem as described in paragraph (5) above, ERCOT shall post within one day an operations message to the ERCOT website listing the event’s date, start and end time, MW quantity of Load curtailment or deployment instruction, and the substation(s) or geographic area in which the event occurred.</w:t>
      </w:r>
    </w:p>
    <w:p w14:paraId="6DF3F4D5" w14:textId="77777777" w:rsidR="001F04FD" w:rsidRPr="0013396E" w:rsidRDefault="001F04FD" w:rsidP="005A7D8E">
      <w:pPr>
        <w:pStyle w:val="H4"/>
        <w:ind w:left="1267" w:hanging="1267"/>
      </w:pPr>
      <w:bookmarkStart w:id="1203" w:name="_Toc397504991"/>
      <w:bookmarkStart w:id="1204" w:name="_Toc402357119"/>
      <w:bookmarkStart w:id="1205" w:name="_Toc422486499"/>
      <w:bookmarkStart w:id="1206" w:name="_Toc433093351"/>
      <w:bookmarkStart w:id="1207" w:name="_Toc433093509"/>
      <w:bookmarkStart w:id="1208" w:name="_Toc440874737"/>
      <w:bookmarkStart w:id="1209" w:name="_Toc448142292"/>
      <w:bookmarkStart w:id="1210" w:name="_Toc448142449"/>
      <w:bookmarkStart w:id="1211" w:name="_Toc458770286"/>
      <w:bookmarkStart w:id="1212" w:name="_Toc459294254"/>
      <w:bookmarkStart w:id="1213" w:name="_Toc463262747"/>
      <w:bookmarkStart w:id="1214" w:name="_Toc468286820"/>
      <w:bookmarkStart w:id="1215" w:name="_Toc481502866"/>
      <w:bookmarkStart w:id="1216" w:name="_Toc496080034"/>
      <w:bookmarkStart w:id="1217" w:name="_Toc214878937"/>
      <w:r w:rsidRPr="0013396E">
        <w:t>6.5.9.4</w:t>
      </w:r>
      <w:r w:rsidRPr="0013396E">
        <w:tab/>
        <w:t>Energy Emergency Alert</w:t>
      </w:r>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p>
    <w:p w14:paraId="430479B4" w14:textId="77777777" w:rsidR="001F04FD" w:rsidRPr="0013396E" w:rsidRDefault="001F04FD" w:rsidP="001F04FD">
      <w:pPr>
        <w:pStyle w:val="BodyTextNumbered"/>
      </w:pPr>
      <w:r w:rsidRPr="0013396E">
        <w:t>(1)</w:t>
      </w:r>
      <w:r w:rsidRPr="0013396E">
        <w:tab/>
        <w:t xml:space="preserve">At times it may be necessary to reduce ERCOT System Demand because of a temporary decrease in available electricity supply.  To provide orderly, predetermined procedures for curtailing Demand during such emergencies, ERCOT shall initiate and coordinate the implementation of the EEA following the steps set forth below in Section 6.5.9.4.2, EEA Levels.   </w:t>
      </w:r>
    </w:p>
    <w:p w14:paraId="1DBDBEA4" w14:textId="77777777" w:rsidR="001F04FD" w:rsidRPr="0013396E" w:rsidRDefault="001F04FD" w:rsidP="001F04FD">
      <w:pPr>
        <w:pStyle w:val="BodyTextNumbered"/>
      </w:pPr>
      <w:r w:rsidRPr="0013396E">
        <w:lastRenderedPageBreak/>
        <w:t>(2)</w:t>
      </w:r>
      <w:r w:rsidRPr="0013396E">
        <w:tab/>
        <w:t>The goal of the EEA is to provide for maximum possible continuity of service while maintaining the integrity of the ERCOT System to reduce the chance of cascading Outages.</w:t>
      </w:r>
    </w:p>
    <w:p w14:paraId="134761AA" w14:textId="77777777" w:rsidR="001F04FD" w:rsidRPr="0013396E" w:rsidRDefault="001F04FD" w:rsidP="001F04FD">
      <w:pPr>
        <w:pStyle w:val="BodyTextNumbered"/>
      </w:pPr>
      <w:r w:rsidRPr="0013396E">
        <w:t>(3)</w:t>
      </w:r>
      <w:r w:rsidRPr="0013396E">
        <w:tab/>
        <w:t xml:space="preserve">ERCOT’s operating procedures must meet the following goals: </w:t>
      </w:r>
    </w:p>
    <w:p w14:paraId="347A6032" w14:textId="77777777" w:rsidR="001F04FD" w:rsidRPr="0013396E" w:rsidRDefault="001F04FD" w:rsidP="001F04FD">
      <w:pPr>
        <w:pStyle w:val="List"/>
      </w:pPr>
      <w:r w:rsidRPr="0013396E">
        <w:t>(a)</w:t>
      </w:r>
      <w:r w:rsidRPr="0013396E">
        <w:tab/>
        <w:t>Use of market processes to the fullest extent practicable without jeopardizing the reliability of the ERCOT System;</w:t>
      </w:r>
    </w:p>
    <w:p w14:paraId="55C922CC" w14:textId="0F94CA77" w:rsidR="001F04FD" w:rsidRPr="0013396E" w:rsidRDefault="001F04FD" w:rsidP="001F04FD">
      <w:pPr>
        <w:pStyle w:val="List"/>
      </w:pPr>
      <w:r w:rsidRPr="0013396E">
        <w:t>(b)</w:t>
      </w:r>
      <w:r w:rsidRPr="0013396E">
        <w:tab/>
        <w:t xml:space="preserve">Use of RRS, </w:t>
      </w:r>
      <w:r w:rsidR="008611B7" w:rsidRPr="0013396E">
        <w:t xml:space="preserve">ECRS, </w:t>
      </w:r>
      <w:r w:rsidRPr="0013396E">
        <w:t>other Ancillary Services, and ERS to the extent permitted by ERCOT System conditions;</w:t>
      </w:r>
    </w:p>
    <w:p w14:paraId="63F55916" w14:textId="77777777" w:rsidR="001F04FD" w:rsidRPr="0013396E" w:rsidRDefault="001F04FD" w:rsidP="00F969DB">
      <w:pPr>
        <w:pStyle w:val="List"/>
      </w:pPr>
      <w:r w:rsidRPr="0013396E">
        <w:t>(c)</w:t>
      </w:r>
      <w:r w:rsidRPr="0013396E">
        <w:tab/>
        <w:t>Maximum use of ERCOT System capability;</w:t>
      </w:r>
    </w:p>
    <w:p w14:paraId="56679368" w14:textId="77777777" w:rsidR="001F04FD" w:rsidRPr="0013396E" w:rsidRDefault="001F04FD" w:rsidP="001F04FD">
      <w:pPr>
        <w:pStyle w:val="List"/>
      </w:pPr>
      <w:r w:rsidRPr="0013396E">
        <w:t>(d)</w:t>
      </w:r>
      <w:r w:rsidRPr="0013396E">
        <w:tab/>
        <w:t>Maintenance of station service for nuclear-powered Generation Resources;</w:t>
      </w:r>
    </w:p>
    <w:p w14:paraId="5E8EE4A1" w14:textId="77777777" w:rsidR="001F04FD" w:rsidRPr="0013396E" w:rsidRDefault="001F04FD" w:rsidP="001F04FD">
      <w:pPr>
        <w:pStyle w:val="List"/>
      </w:pPr>
      <w:r w:rsidRPr="0013396E">
        <w:t>(e)</w:t>
      </w:r>
      <w:r w:rsidRPr="0013396E">
        <w:tab/>
        <w:t>Securing startup power for Generation Resources;</w:t>
      </w:r>
    </w:p>
    <w:p w14:paraId="2AE5EB40" w14:textId="374B43C2" w:rsidR="001F04FD" w:rsidRPr="0013396E" w:rsidRDefault="001F04FD" w:rsidP="001F04FD">
      <w:pPr>
        <w:pStyle w:val="List"/>
      </w:pPr>
      <w:r w:rsidRPr="0013396E">
        <w:t>(f)</w:t>
      </w:r>
      <w:r w:rsidRPr="0013396E">
        <w:tab/>
      </w:r>
      <w:r w:rsidR="00636C61" w:rsidRPr="0013396E">
        <w:t>Operation of Generation Resources and ESRs during loss of communication with ERCOT;</w:t>
      </w:r>
    </w:p>
    <w:p w14:paraId="517ECC44" w14:textId="14C53AF7" w:rsidR="001F04FD" w:rsidRPr="0013396E" w:rsidRDefault="001F04FD" w:rsidP="005A7D8E">
      <w:pPr>
        <w:pStyle w:val="List"/>
      </w:pPr>
      <w:r w:rsidRPr="0013396E">
        <w:t>(g)</w:t>
      </w:r>
      <w:r w:rsidRPr="0013396E">
        <w:tab/>
        <w:t>Restoration of service to Loads in the manner defined in the Operating Guides; and</w:t>
      </w:r>
    </w:p>
    <w:p w14:paraId="086F3AA0" w14:textId="77777777" w:rsidR="001F04FD" w:rsidRPr="0013396E" w:rsidRDefault="001F04FD" w:rsidP="001F04FD">
      <w:pPr>
        <w:pStyle w:val="List"/>
      </w:pPr>
      <w:r w:rsidRPr="0013396E">
        <w:t>(h)</w:t>
      </w:r>
      <w:r w:rsidRPr="0013396E">
        <w:tab/>
        <w:t>Management of Interconnection Reliability Operating Limits (IROLs) shall not change.</w:t>
      </w:r>
    </w:p>
    <w:p w14:paraId="2E28D183" w14:textId="30B91FB0" w:rsidR="001F04FD" w:rsidRPr="0013396E" w:rsidRDefault="001F04FD" w:rsidP="001F04FD">
      <w:pPr>
        <w:pStyle w:val="BodyTextNumbered"/>
      </w:pPr>
      <w:r w:rsidRPr="0013396E">
        <w:t>(4)</w:t>
      </w:r>
      <w:r w:rsidRPr="0013396E">
        <w:tab/>
        <w:t xml:space="preserve">ERCOT is responsible for coordinating with QSEs, TSPs, and DSPs to monitor ERCOT System conditions, initiating the EEA levels, notifying </w:t>
      </w:r>
      <w:r w:rsidR="001C0FEC" w:rsidRPr="0013396E">
        <w:t>Market Participants</w:t>
      </w:r>
      <w:r w:rsidRPr="0013396E">
        <w:t>, and coordinating the implementation of the EEA levels while maintaining transmission security limits.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D31A31" w:rsidRPr="0013396E" w14:paraId="4AD62A12" w14:textId="77777777" w:rsidTr="00D326C6">
        <w:trPr>
          <w:trHeight w:val="296"/>
        </w:trPr>
        <w:tc>
          <w:tcPr>
            <w:tcW w:w="9350" w:type="dxa"/>
            <w:shd w:val="pct12" w:color="auto" w:fill="auto"/>
          </w:tcPr>
          <w:p w14:paraId="6EFA49B5" w14:textId="0A04EE96" w:rsidR="00D31A31" w:rsidRPr="0013396E" w:rsidRDefault="00D31A31" w:rsidP="004510FA">
            <w:pPr>
              <w:pStyle w:val="Instructions"/>
              <w:spacing w:before="120"/>
            </w:pPr>
            <w:r w:rsidRPr="0013396E">
              <w:t>[NPRR857:  Replace paragraph (4) above with the following upon system implementation</w:t>
            </w:r>
            <w:r w:rsidR="004A5B0B" w:rsidRPr="0013396E">
              <w:t xml:space="preserve"> </w:t>
            </w:r>
            <w:r w:rsidR="004A5B0B" w:rsidRPr="0013396E">
              <w:rPr>
                <w:bCs/>
                <w:iCs w:val="0"/>
              </w:rPr>
              <w:t xml:space="preserve">and </w:t>
            </w:r>
            <w:r w:rsidR="004A5B0B" w:rsidRPr="0013396E">
              <w:t xml:space="preserve">satisfying the following conditions: </w:t>
            </w:r>
            <w:r w:rsidR="00874902" w:rsidRPr="0013396E">
              <w:t xml:space="preserve"> </w:t>
            </w:r>
            <w:r w:rsidR="004A5B0B" w:rsidRPr="0013396E">
              <w:t>(1)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sidRPr="0013396E">
              <w:t>:]</w:t>
            </w:r>
          </w:p>
          <w:p w14:paraId="12EA8AA9" w14:textId="49018279" w:rsidR="00D31A31" w:rsidRPr="0013396E" w:rsidRDefault="00D31A31" w:rsidP="00D31A31">
            <w:pPr>
              <w:spacing w:after="240"/>
              <w:ind w:left="720" w:hanging="720"/>
            </w:pPr>
            <w:r w:rsidRPr="0013396E">
              <w:t>(4)</w:t>
            </w:r>
            <w:r w:rsidRPr="0013396E">
              <w:tab/>
              <w:t xml:space="preserve">ERCOT is responsible for coordinating with QSEs, DCTOs, TSPs, and DSPs to monitor ERCOT System conditions, initiating the EEA levels, notifying </w:t>
            </w:r>
            <w:r w:rsidR="001C0FEC" w:rsidRPr="0013396E">
              <w:t>Market Participants</w:t>
            </w:r>
            <w:r w:rsidRPr="0013396E">
              <w:t>, and coordinating the implementation of the EEA levels while maintaining transmission security limits.</w:t>
            </w:r>
          </w:p>
        </w:tc>
      </w:tr>
    </w:tbl>
    <w:p w14:paraId="1518C29E" w14:textId="77777777" w:rsidR="001F04FD" w:rsidRPr="0013396E" w:rsidRDefault="001F04FD" w:rsidP="0099247E">
      <w:pPr>
        <w:pStyle w:val="BodyTextNumbered"/>
        <w:spacing w:before="240"/>
      </w:pPr>
      <w:r w:rsidRPr="0013396E">
        <w:lastRenderedPageBreak/>
        <w:t>(5)</w:t>
      </w:r>
      <w:r w:rsidRPr="0013396E">
        <w:tab/>
        <w:t>ERCOT, at management’s discretion, may at any time issue an ERCOT-wide appeal through the public news media for voluntary energy conservation.</w:t>
      </w:r>
    </w:p>
    <w:p w14:paraId="71EEE536" w14:textId="43576EAB" w:rsidR="001F04FD" w:rsidRPr="0013396E" w:rsidRDefault="001F04FD" w:rsidP="001F04FD">
      <w:pPr>
        <w:pStyle w:val="BodyTextNumbered"/>
      </w:pPr>
      <w:r w:rsidRPr="0013396E">
        <w:t>(6)</w:t>
      </w:r>
      <w:r w:rsidRPr="0013396E">
        <w:tab/>
        <w:t xml:space="preserve">During the EEA, ERCOT has the authority to obtain energy from non-ERCOT Control Areas using the DC Ties or by using BLTs to move load to non-ERCOT Control Areas.  ERCOT maintains the authority to curtail energy schedules flowing into or out of the ERCOT System across the DC Ties in accordance with NERC scheduling guidelines.   </w:t>
      </w:r>
    </w:p>
    <w:p w14:paraId="74DC4332" w14:textId="23F57E49" w:rsidR="001F04FD" w:rsidRPr="0013396E" w:rsidRDefault="001F04FD" w:rsidP="001F04FD">
      <w:pPr>
        <w:pStyle w:val="BodyTextNumbered"/>
      </w:pPr>
      <w:r w:rsidRPr="0013396E">
        <w:t>(7)</w:t>
      </w:r>
      <w:r w:rsidRPr="0013396E">
        <w:tab/>
      </w:r>
      <w:r w:rsidR="00636C61" w:rsidRPr="0013396E">
        <w:t>Some of the EEA steps are not applicable if transmission security violations exist.  There may be insufficient time to implement all EEA levels in sequence, however, to the extent practicable, ERCOT shall use Ancillary Service capabilities of Resources in the market to maintain or restore reliability.</w:t>
      </w:r>
    </w:p>
    <w:p w14:paraId="410ADBA9" w14:textId="75BECB4A" w:rsidR="001F04FD" w:rsidRPr="0013396E" w:rsidRDefault="001F04FD" w:rsidP="005A7D8E">
      <w:pPr>
        <w:pStyle w:val="BodyTextNumbered"/>
      </w:pPr>
      <w:r w:rsidRPr="0013396E">
        <w:t>(8)</w:t>
      </w:r>
      <w:r w:rsidRPr="0013396E">
        <w:tab/>
      </w:r>
      <w:r w:rsidR="008C7E79" w:rsidRPr="0013396E">
        <w:t xml:space="preserve">ERCOT may immediately implement EEA Level 2 when clock-minute average system frequency falls below 59.91 Hz for 15 consecutive minutes.  </w:t>
      </w:r>
      <w:r w:rsidRPr="0013396E">
        <w:t xml:space="preserve">ERCOT may immediately implement EEA Level 3 any time the </w:t>
      </w:r>
      <w:r w:rsidR="00D67C9C" w:rsidRPr="0013396E">
        <w:rPr>
          <w:iCs/>
        </w:rPr>
        <w:t>clock-minute average</w:t>
      </w:r>
      <w:r w:rsidRPr="0013396E">
        <w:t xml:space="preserve"> system frequency </w:t>
      </w:r>
      <w:r w:rsidR="00D67C9C" w:rsidRPr="0013396E">
        <w:t>falls</w:t>
      </w:r>
      <w:r w:rsidRPr="0013396E">
        <w:t xml:space="preserve"> below 59.</w:t>
      </w:r>
      <w:r w:rsidR="00D67C9C" w:rsidRPr="0013396E">
        <w:t>91</w:t>
      </w:r>
      <w:r w:rsidRPr="0013396E">
        <w:t xml:space="preserve"> Hz </w:t>
      </w:r>
      <w:r w:rsidR="00D67C9C" w:rsidRPr="0013396E">
        <w:t xml:space="preserve">for 20 consecutive minutes </w:t>
      </w:r>
      <w:r w:rsidR="008C7E79" w:rsidRPr="0013396E">
        <w:t>or when steady-state frequency falls below 59.8 Hz for any duration of time.</w:t>
      </w:r>
      <w:r w:rsidRPr="0013396E">
        <w:t xml:space="preserve"> </w:t>
      </w:r>
      <w:r w:rsidR="008C7E79" w:rsidRPr="0013396E">
        <w:t xml:space="preserve"> ERCOT </w:t>
      </w:r>
      <w:r w:rsidRPr="0013396E">
        <w:t>shall immediately implement EEA Level 3 any time the steady-state frequency is below 59.5 Hz</w:t>
      </w:r>
      <w:r w:rsidR="00D67C9C" w:rsidRPr="0013396E">
        <w:t xml:space="preserve"> for any duration</w:t>
      </w:r>
      <w:r w:rsidRPr="0013396E">
        <w:t>.</w:t>
      </w:r>
    </w:p>
    <w:p w14:paraId="5899BE08" w14:textId="77777777" w:rsidR="001F04FD" w:rsidRPr="0013396E" w:rsidRDefault="001F04FD" w:rsidP="001F04FD">
      <w:pPr>
        <w:pStyle w:val="BodyTextNumbered"/>
      </w:pPr>
      <w:r w:rsidRPr="0013396E">
        <w:t>(9)</w:t>
      </w:r>
      <w:r w:rsidRPr="0013396E">
        <w:tab/>
        <w:t>Percentages for EEA Level 3 Load shedding will be based on the previous year’s TSP peak Loads, as reported to ERCOT, and must be reviewed by ERCOT and modified annually as required.</w:t>
      </w:r>
    </w:p>
    <w:p w14:paraId="1D1C185E" w14:textId="20DFC645" w:rsidR="001F04FD" w:rsidRPr="0013396E" w:rsidRDefault="001F04FD" w:rsidP="001F04FD">
      <w:pPr>
        <w:spacing w:after="240"/>
        <w:ind w:left="720" w:hanging="720"/>
      </w:pPr>
      <w:r w:rsidRPr="0013396E">
        <w:t>(10)</w:t>
      </w:r>
      <w:r w:rsidRPr="0013396E">
        <w:tab/>
        <w:t>During EEA Level 2 or 3, for those constraints that meet the criteria identified in paragraph (</w:t>
      </w:r>
      <w:r w:rsidR="008C7E79" w:rsidRPr="0013396E">
        <w:t>3</w:t>
      </w:r>
      <w:r w:rsidRPr="0013396E">
        <w:t>)(a) of Section 6.5.9.</w:t>
      </w:r>
      <w:r w:rsidR="008C7E79" w:rsidRPr="0013396E">
        <w:t>4</w:t>
      </w:r>
      <w:r w:rsidRPr="0013396E">
        <w:t>.</w:t>
      </w:r>
      <w:r w:rsidR="008C7E79" w:rsidRPr="0013396E">
        <w:t>1</w:t>
      </w:r>
      <w:r w:rsidRPr="0013396E">
        <w:t xml:space="preserve">, </w:t>
      </w:r>
      <w:r w:rsidR="008C7E79" w:rsidRPr="0013396E">
        <w:t>General Procedures Prior to EEA Operations</w:t>
      </w:r>
      <w:r w:rsidRPr="0013396E">
        <w:t xml:space="preserve">, ERCOT may control the post-contingency flow to within the 15-Minute Rating in SCED.   After PRC is restored to at least 3,000 MW or the </w:t>
      </w:r>
      <w:r w:rsidR="002D28ED" w:rsidRPr="0013396E">
        <w:t>E</w:t>
      </w:r>
      <w:r w:rsidRPr="0013396E">
        <w:t xml:space="preserve">mergency </w:t>
      </w:r>
      <w:r w:rsidR="002D28ED" w:rsidRPr="0013396E">
        <w:t>C</w:t>
      </w:r>
      <w:r w:rsidRPr="0013396E">
        <w:t xml:space="preserve">ondition has ended, whichever is later, and ERCOT has determined that system conditions have improved such that the chance of re-entering into an EEA Level 2 or 3 is low, ERCOT shall restore control to the post-contingency flow to within the Emergency Rating for these constraints that utilized the 15-Minute Rating in SCED.  </w:t>
      </w:r>
    </w:p>
    <w:p w14:paraId="59DF915C" w14:textId="79A312B2" w:rsidR="001F04FD" w:rsidRPr="0013396E" w:rsidRDefault="001F04FD" w:rsidP="001F04FD">
      <w:pPr>
        <w:spacing w:after="240"/>
        <w:ind w:left="720" w:hanging="720"/>
      </w:pPr>
      <w:r w:rsidRPr="0013396E">
        <w:t>(11)</w:t>
      </w:r>
      <w:r w:rsidRPr="0013396E">
        <w:tab/>
        <w:t>During EEA Level 2 or 3, for those constraints that meet the criteria identified in paragraph (</w:t>
      </w:r>
      <w:r w:rsidR="008C7E79" w:rsidRPr="0013396E">
        <w:t>3</w:t>
      </w:r>
      <w:r w:rsidRPr="0013396E">
        <w:t>)(b) of Section 6.5.9.</w:t>
      </w:r>
      <w:r w:rsidR="008C7E79" w:rsidRPr="0013396E">
        <w:t>4</w:t>
      </w:r>
      <w:r w:rsidRPr="0013396E">
        <w:t>.</w:t>
      </w:r>
      <w:r w:rsidR="008C7E79" w:rsidRPr="0013396E">
        <w:t>1</w:t>
      </w:r>
      <w:r w:rsidRPr="0013396E">
        <w:t>, ERCOT shall continue to enforce constraints associated with double-circuit contingencies throughout an EEA if the double-circuit failures are determined to be at high risk of occurring, due to system conditions.  For all other double-circuit contingencies identified in paragraph (</w:t>
      </w:r>
      <w:r w:rsidR="008C7E79" w:rsidRPr="0013396E">
        <w:t>3</w:t>
      </w:r>
      <w:r w:rsidRPr="0013396E">
        <w:t>)(b) of Section 6.5.9.</w:t>
      </w:r>
      <w:r w:rsidR="008C7E79" w:rsidRPr="0013396E">
        <w:t>4</w:t>
      </w:r>
      <w:r w:rsidRPr="0013396E">
        <w:t>.</w:t>
      </w:r>
      <w:r w:rsidR="008C7E79" w:rsidRPr="0013396E">
        <w:t>1</w:t>
      </w:r>
      <w:r w:rsidRPr="0013396E">
        <w:t>, ERCOT will enforce only the associated single-circuit contingencies during EEA Level 2 or 3.  ERCOT shall resume enforcing such constraints as a double-circuit contingency after PRC is restored to at least 3,000 MW or the Emergency Condition has ended, whichever is later, and ERCOT has determined that system conditions have improved such that the chance of re-entering into an EEA Level 2 or 3 is low.  For constraints related to stability limits that are not IROLs, ERCOT may elect not to enforce double-circuit contingencies during EEA Level 3 only.</w:t>
      </w:r>
    </w:p>
    <w:p w14:paraId="70D84DA3" w14:textId="77777777" w:rsidR="001F04FD" w:rsidRPr="0013396E" w:rsidRDefault="001F04FD" w:rsidP="001F04FD">
      <w:pPr>
        <w:pStyle w:val="H5"/>
        <w:spacing w:before="480"/>
        <w:ind w:left="1627" w:hanging="1627"/>
      </w:pPr>
      <w:bookmarkStart w:id="1218" w:name="_Toc397504992"/>
      <w:bookmarkStart w:id="1219" w:name="_Toc402357120"/>
      <w:bookmarkStart w:id="1220" w:name="_Toc422486500"/>
      <w:bookmarkStart w:id="1221" w:name="_Toc433093352"/>
      <w:bookmarkStart w:id="1222" w:name="_Toc433093510"/>
      <w:bookmarkStart w:id="1223" w:name="_Toc440874738"/>
      <w:bookmarkStart w:id="1224" w:name="_Toc448142293"/>
      <w:bookmarkStart w:id="1225" w:name="_Toc448142450"/>
      <w:bookmarkStart w:id="1226" w:name="_Toc458770287"/>
      <w:bookmarkStart w:id="1227" w:name="_Toc459294255"/>
      <w:bookmarkStart w:id="1228" w:name="_Toc463262748"/>
      <w:bookmarkStart w:id="1229" w:name="_Toc468286821"/>
      <w:bookmarkStart w:id="1230" w:name="_Toc481502867"/>
      <w:bookmarkStart w:id="1231" w:name="_Toc496080035"/>
      <w:bookmarkStart w:id="1232" w:name="_Toc214878938"/>
      <w:bookmarkStart w:id="1233" w:name="_Toc87951781"/>
      <w:bookmarkEnd w:id="462"/>
      <w:r w:rsidRPr="0013396E">
        <w:lastRenderedPageBreak/>
        <w:t>6.5.9.4.1</w:t>
      </w:r>
      <w:r w:rsidRPr="0013396E">
        <w:tab/>
        <w:t>General Procedures Prior to EEA Operations</w:t>
      </w:r>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r w:rsidRPr="0013396E">
        <w:t xml:space="preserve"> </w:t>
      </w:r>
    </w:p>
    <w:p w14:paraId="3527508A" w14:textId="77777777" w:rsidR="001F04FD" w:rsidRPr="0013396E" w:rsidRDefault="001F04FD" w:rsidP="001F04FD">
      <w:pPr>
        <w:pStyle w:val="BodyTextNumbered"/>
      </w:pPr>
      <w:r w:rsidRPr="0013396E">
        <w:t>(1)</w:t>
      </w:r>
      <w:r w:rsidRPr="0013396E">
        <w:tab/>
        <w:t>Prior to declaring EEA Level 1 detailed in Section 6.5.9.4.2, EEA Levels, ERCOT may perform the following operations consistent with Good Utility Practice:</w:t>
      </w:r>
    </w:p>
    <w:p w14:paraId="40498E62" w14:textId="09B1A78F" w:rsidR="001F04FD" w:rsidRPr="0013396E" w:rsidRDefault="001F04FD" w:rsidP="001F04FD">
      <w:pPr>
        <w:pStyle w:val="List"/>
      </w:pPr>
      <w:r w:rsidRPr="0013396E">
        <w:t>(a)</w:t>
      </w:r>
      <w:r w:rsidRPr="0013396E">
        <w:tab/>
      </w:r>
      <w:r w:rsidR="00832D19" w:rsidRPr="0013396E">
        <w:t>Provide Dispatch Instructions to QSEs for specific Resources to operate at an Emergency Base Point to maximize Resource deployment so as to increase PRC levels on other Resources</w:t>
      </w:r>
      <w:r w:rsidRPr="0013396E">
        <w:t>;</w:t>
      </w:r>
    </w:p>
    <w:p w14:paraId="3BC2E0C1" w14:textId="77777777" w:rsidR="001F04FD" w:rsidRPr="0013396E" w:rsidRDefault="001F04FD" w:rsidP="00BA3F0D">
      <w:pPr>
        <w:pStyle w:val="List"/>
      </w:pPr>
      <w:r w:rsidRPr="0013396E">
        <w:t>(b)</w:t>
      </w:r>
      <w:r w:rsidRPr="0013396E">
        <w:tab/>
        <w:t>Commit specific available Resources as necessary that can respond in the timeframe of the emergency.  Such commitments will be settled using the HRUC process;</w:t>
      </w:r>
    </w:p>
    <w:p w14:paraId="3E350E80" w14:textId="77777777" w:rsidR="001F04FD" w:rsidRPr="0013396E" w:rsidRDefault="001F04FD" w:rsidP="001F04FD">
      <w:pPr>
        <w:pStyle w:val="List"/>
      </w:pPr>
      <w:r w:rsidRPr="0013396E">
        <w:t>(c)</w:t>
      </w:r>
      <w:r w:rsidRPr="0013396E">
        <w:tab/>
        <w:t>Start RMR Units available in the time frame of the emergency.  RMR Units should be loaded to full capability;</w:t>
      </w:r>
    </w:p>
    <w:p w14:paraId="147A1BCB" w14:textId="5CDD946E" w:rsidR="001F04FD" w:rsidRPr="0013396E" w:rsidRDefault="001F04FD" w:rsidP="001F04FD">
      <w:pPr>
        <w:pStyle w:val="List"/>
      </w:pPr>
      <w:r w:rsidRPr="0013396E">
        <w:t>(d)</w:t>
      </w:r>
      <w:r w:rsidRPr="0013396E">
        <w:tab/>
        <w:t xml:space="preserve">Utilize available Resources providing </w:t>
      </w:r>
      <w:r w:rsidR="00832D19" w:rsidRPr="0013396E">
        <w:t>RRS</w:t>
      </w:r>
      <w:r w:rsidR="008611B7" w:rsidRPr="0013396E">
        <w:t>, ECRS,</w:t>
      </w:r>
      <w:r w:rsidR="00832D19" w:rsidRPr="0013396E">
        <w:t xml:space="preserve"> and </w:t>
      </w:r>
      <w:r w:rsidRPr="0013396E">
        <w:t>Non-Spin services as required;</w:t>
      </w:r>
    </w:p>
    <w:p w14:paraId="189AB732" w14:textId="77777777" w:rsidR="0064112F" w:rsidRPr="0013396E" w:rsidRDefault="0064112F" w:rsidP="00F969DB">
      <w:pPr>
        <w:pStyle w:val="List"/>
      </w:pPr>
      <w:r w:rsidRPr="0013396E">
        <w:t>(e)</w:t>
      </w:r>
      <w:r w:rsidRPr="0013396E">
        <w:tab/>
        <w:t xml:space="preserve">Instruct TSPs and DSPs or their agents to reduce Customer Load by using existing, in-service distribution voltage reduction measures if ERCOT determines that the implementation of these measures could help avoid entering into EEA and ERCOT does not expect to need to use these measures to reduce the amount of Load shedding that may be needed in EEA Level 3.  A TSP, DSP, or their agent shall implement these instructions if distribution voltage reduction measures are available and already installed.  If the TSP, DSP, or their agent determines in their sole discretion that the distribution voltage reduction would adversely affect reliability, the voltage reduction measure may be reduced, modified, or otherwise changed from maximum performance to a level of exercise that has no negative impact to reliability; and </w:t>
      </w:r>
    </w:p>
    <w:p w14:paraId="444F9F7E" w14:textId="46CEEC61" w:rsidR="00A3515A" w:rsidRPr="0013396E" w:rsidRDefault="001F04FD" w:rsidP="00A3515A">
      <w:pPr>
        <w:pStyle w:val="List"/>
        <w:spacing w:before="240"/>
      </w:pPr>
      <w:r w:rsidRPr="0013396E">
        <w:t>(</w:t>
      </w:r>
      <w:r w:rsidR="0064112F" w:rsidRPr="0013396E">
        <w:t>f</w:t>
      </w:r>
      <w:r w:rsidRPr="0013396E">
        <w:t>)</w:t>
      </w:r>
      <w:r w:rsidRPr="0013396E">
        <w:tab/>
        <w:t xml:space="preserve">ERCOT shall use the PRC </w:t>
      </w:r>
      <w:r w:rsidR="00D67C9C" w:rsidRPr="0013396E">
        <w:t xml:space="preserve">and system frequency </w:t>
      </w:r>
      <w:r w:rsidRPr="0013396E">
        <w:t xml:space="preserve">to determine the appropriate Emergency Notice and EEA levels.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5F63FE" w:rsidRPr="0013396E" w:rsidDel="00004772" w14:paraId="5A33444F" w14:textId="77777777" w:rsidTr="00E844EE">
        <w:trPr>
          <w:trHeight w:val="296"/>
        </w:trPr>
        <w:tc>
          <w:tcPr>
            <w:tcW w:w="9576" w:type="dxa"/>
            <w:shd w:val="pct12" w:color="auto" w:fill="auto"/>
          </w:tcPr>
          <w:p w14:paraId="04F99F79" w14:textId="14A48E49" w:rsidR="005F63FE" w:rsidRPr="0013396E" w:rsidDel="00004772" w:rsidRDefault="005F63FE" w:rsidP="00E844EE">
            <w:pPr>
              <w:pStyle w:val="Instructions"/>
              <w:spacing w:before="120"/>
            </w:pPr>
            <w:r w:rsidRPr="0013396E" w:rsidDel="00004772">
              <w:t>[NPRR</w:t>
            </w:r>
            <w:r w:rsidR="00687F9C" w:rsidRPr="0013396E">
              <w:t>1238</w:t>
            </w:r>
            <w:r w:rsidRPr="0013396E" w:rsidDel="00004772">
              <w:t xml:space="preserve">:  </w:t>
            </w:r>
            <w:r w:rsidRPr="0013396E">
              <w:t>Insert</w:t>
            </w:r>
            <w:r w:rsidRPr="0013396E" w:rsidDel="00004772">
              <w:t xml:space="preserve"> paragraph (</w:t>
            </w:r>
            <w:r w:rsidRPr="0013396E">
              <w:t>2</w:t>
            </w:r>
            <w:r w:rsidRPr="0013396E" w:rsidDel="00004772">
              <w:t xml:space="preserve">) </w:t>
            </w:r>
            <w:r w:rsidRPr="0013396E">
              <w:t>below</w:t>
            </w:r>
            <w:r w:rsidRPr="0013396E" w:rsidDel="00004772">
              <w:t xml:space="preserve"> upon system implementation</w:t>
            </w:r>
            <w:r w:rsidRPr="0013396E">
              <w:t xml:space="preserve"> and renumber accordingly</w:t>
            </w:r>
            <w:r w:rsidRPr="0013396E" w:rsidDel="00004772">
              <w:t>:]</w:t>
            </w:r>
          </w:p>
          <w:p w14:paraId="56648632" w14:textId="5D3CCD04" w:rsidR="005F63FE" w:rsidRPr="0013396E" w:rsidRDefault="005F63FE" w:rsidP="005F63FE">
            <w:pPr>
              <w:spacing w:before="240" w:after="240"/>
              <w:ind w:left="720" w:hanging="720"/>
            </w:pPr>
            <w:r w:rsidRPr="0013396E">
              <w:t>(2)</w:t>
            </w:r>
            <w:r w:rsidRPr="0013396E">
              <w:tab/>
              <w:t xml:space="preserve">When PRC falls below 3,100 MW and is not projected to be recovered above 3,100 MW within 30 minutes following the deployment of Non-Spin, ERCOT may deploy some or all Voluntary Early Curtailment Loads (VECLs) via an Extensible Markup Language (XML) message, as described in Nodal Operating Guide Section 4.5.3.4, Qualified Scheduling Entity VECL Load </w:t>
            </w:r>
            <w:r w:rsidR="00C74DE0" w:rsidRPr="0013396E">
              <w:t>R</w:t>
            </w:r>
            <w:r w:rsidRPr="0013396E">
              <w:t xml:space="preserve">eduction Obligation, in order to maintain or restore 3,100 MW of PRC to the greatest extent possible.  </w:t>
            </w:r>
          </w:p>
          <w:p w14:paraId="697D0088" w14:textId="77777777" w:rsidR="005F63FE" w:rsidRPr="0013396E" w:rsidRDefault="005F63FE" w:rsidP="005F63FE">
            <w:pPr>
              <w:spacing w:before="240" w:after="240"/>
              <w:ind w:left="1440" w:hanging="720"/>
            </w:pPr>
            <w:r w:rsidRPr="0013396E">
              <w:t>(a)</w:t>
            </w:r>
            <w:r w:rsidRPr="0013396E">
              <w:tab/>
              <w:t>VECLs may be deployed at any time in a Settlement Interval at the discretion of ERCOT operators.</w:t>
            </w:r>
          </w:p>
          <w:p w14:paraId="7B8A4F79" w14:textId="77777777" w:rsidR="005F63FE" w:rsidRPr="0013396E" w:rsidRDefault="005F63FE" w:rsidP="005F63FE">
            <w:pPr>
              <w:spacing w:before="240" w:after="240"/>
              <w:ind w:left="1440" w:hanging="720"/>
            </w:pPr>
            <w:r w:rsidRPr="0013396E">
              <w:lastRenderedPageBreak/>
              <w:t>(b)</w:t>
            </w:r>
            <w:r w:rsidRPr="0013396E">
              <w:tab/>
              <w:t>Upon deployment of any amount of VECLs, ERCOT shall notify all Market Participants via an operations message that such deployment has been made and shall specify the MW capacity of VECL deployed.</w:t>
            </w:r>
          </w:p>
          <w:p w14:paraId="0417CEA5" w14:textId="77777777" w:rsidR="005F63FE" w:rsidRPr="0013396E" w:rsidRDefault="005F63FE" w:rsidP="005F63FE">
            <w:pPr>
              <w:spacing w:before="240" w:after="240"/>
              <w:ind w:left="1440" w:hanging="720"/>
            </w:pPr>
            <w:r w:rsidRPr="0013396E">
              <w:t>(c)</w:t>
            </w:r>
            <w:r w:rsidRPr="0013396E">
              <w:tab/>
              <w:t>ERCOT shall notify QSEs of the VECLs deployment via an XML message.  The deployment time within the ERCOT XML deployment message shall initiate the VECL deployment and the VECL ramp period.</w:t>
            </w:r>
          </w:p>
          <w:p w14:paraId="205F42D2" w14:textId="77777777" w:rsidR="005F63FE" w:rsidRPr="0013396E" w:rsidRDefault="005F63FE" w:rsidP="005F63FE">
            <w:pPr>
              <w:spacing w:before="240" w:after="240"/>
              <w:ind w:left="1440" w:hanging="720"/>
            </w:pPr>
            <w:r w:rsidRPr="0013396E">
              <w:t>(d)</w:t>
            </w:r>
            <w:r w:rsidRPr="0013396E">
              <w:tab/>
              <w:t xml:space="preserve">Upon receipt of a VECL deployment, QSEs shall instruct their VECLs to reduce consumption without delay in a time period not to exceed 30 minutes from the start of the VECL ramp period, and the deployed VECLs shall comply with those instructions.  </w:t>
            </w:r>
          </w:p>
          <w:p w14:paraId="01933295" w14:textId="77777777" w:rsidR="005F63FE" w:rsidRPr="0013396E" w:rsidRDefault="005F63FE" w:rsidP="005F63FE">
            <w:pPr>
              <w:spacing w:before="240" w:after="240"/>
              <w:ind w:left="1440" w:hanging="720"/>
            </w:pPr>
            <w:r w:rsidRPr="0013396E">
              <w:t>(e)</w:t>
            </w:r>
            <w:r w:rsidRPr="0013396E">
              <w:tab/>
              <w:t>If a VECL fails to comply with a deployment instruction, ERCOT may instruct the applicable TO to remotely disconnect the VECL.  If a VECL that fails to comply with a deployment instruction is co-located with an ERCOT Resource, ERCOT may instruct the Customer’s QSE to remotely disconnect the VECL, in which case the QSE shall ensure that the VECL is promptly disconnected from the ERCOT System.</w:t>
            </w:r>
            <w:r w:rsidRPr="0013396E" w:rsidDel="00585907">
              <w:t xml:space="preserve"> </w:t>
            </w:r>
          </w:p>
          <w:p w14:paraId="07082BC4" w14:textId="77777777" w:rsidR="005F63FE" w:rsidRPr="0013396E" w:rsidRDefault="005F63FE" w:rsidP="005F63FE">
            <w:pPr>
              <w:spacing w:before="240" w:after="240"/>
              <w:ind w:left="1440" w:hanging="720"/>
            </w:pPr>
            <w:r w:rsidRPr="0013396E">
              <w:t>(f)</w:t>
            </w:r>
            <w:r w:rsidRPr="0013396E">
              <w:tab/>
              <w:t>ERCOT shall notify QSEs of the termination of the VECLs deployment via an XML recall message.  The ERCOT XML recall message shall represent the official notice of the VECLs recall.</w:t>
            </w:r>
          </w:p>
          <w:p w14:paraId="5F83A311" w14:textId="77777777" w:rsidR="005F63FE" w:rsidRPr="0013396E" w:rsidRDefault="005F63FE" w:rsidP="005F63FE">
            <w:pPr>
              <w:spacing w:before="240" w:after="240"/>
              <w:ind w:left="2160" w:hanging="720"/>
            </w:pPr>
            <w:r w:rsidRPr="0013396E">
              <w:t>(i)</w:t>
            </w:r>
            <w:r w:rsidRPr="0013396E">
              <w:tab/>
              <w:t>If ERCOT has instructed the interconnecting TO to disconnect a VECL for failure to comply with a deployment instruction, ERCOT will also notify the TO once the VECL deployment has been terminated, so that the VECL can be reconnected.</w:t>
            </w:r>
          </w:p>
          <w:p w14:paraId="5813B69A" w14:textId="77777777" w:rsidR="005F63FE" w:rsidRPr="0013396E" w:rsidRDefault="005F63FE" w:rsidP="005F63FE">
            <w:pPr>
              <w:spacing w:before="240" w:after="240"/>
              <w:ind w:left="1440" w:hanging="720"/>
            </w:pPr>
            <w:r w:rsidRPr="0013396E">
              <w:t>(g)</w:t>
            </w:r>
            <w:r w:rsidRPr="0013396E">
              <w:tab/>
              <w:t>Upon termination of the VECLs deployment, any VECL shall not increase consumption at a rate exceeding 20% per minute.</w:t>
            </w:r>
          </w:p>
          <w:p w14:paraId="77678A58" w14:textId="35CE990E" w:rsidR="005F63FE" w:rsidRPr="0013396E" w:rsidDel="00004772" w:rsidRDefault="005F63FE" w:rsidP="005F63FE">
            <w:pPr>
              <w:spacing w:before="240" w:after="240"/>
              <w:ind w:left="1440" w:hanging="720"/>
            </w:pPr>
            <w:r w:rsidRPr="0013396E">
              <w:t>(h)</w:t>
            </w:r>
            <w:r w:rsidRPr="0013396E">
              <w:tab/>
              <w:t>Upon termination of VECLs deployment, ERCOT shall notify all Market Participants via an operations message that such deployment has been terminated and shall specify the MW capacity of VECLs recalled.</w:t>
            </w:r>
          </w:p>
        </w:tc>
      </w:tr>
    </w:tbl>
    <w:p w14:paraId="0080865D" w14:textId="26A311E1" w:rsidR="00A3515A" w:rsidRPr="0013396E" w:rsidRDefault="00A3515A" w:rsidP="00A3515A">
      <w:pPr>
        <w:spacing w:before="240" w:after="240"/>
        <w:ind w:left="720" w:hanging="720"/>
      </w:pPr>
      <w:r w:rsidRPr="0013396E">
        <w:lastRenderedPageBreak/>
        <w:t>(2)</w:t>
      </w:r>
      <w:r w:rsidRPr="0013396E">
        <w:tab/>
        <w:t xml:space="preserve">When PRC falls below 3,000 MW and is not projected to be recovered above 3,000 MW within 30 minutes following the deployment of Non-Spin, ERCOT may deploy available contracted ERS-10 and ERS-30 via an XML message.  </w:t>
      </w:r>
      <w:r w:rsidR="0050458F" w:rsidRPr="0013396E">
        <w:t>The deployment time within the ERCOT XML deployment message shall represent t</w:t>
      </w:r>
      <w:r w:rsidRPr="0013396E">
        <w:t xml:space="preserve">he </w:t>
      </w:r>
      <w:r w:rsidR="0050458F" w:rsidRPr="0013396E">
        <w:t xml:space="preserve">beginning of the </w:t>
      </w:r>
      <w:r w:rsidRPr="0013396E">
        <w:t>ERS-10 and ERS-30 ramp periods.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687F9C" w:rsidRPr="0013396E" w:rsidDel="00004772" w14:paraId="1BF74CA4" w14:textId="77777777" w:rsidTr="00E844EE">
        <w:trPr>
          <w:trHeight w:val="296"/>
        </w:trPr>
        <w:tc>
          <w:tcPr>
            <w:tcW w:w="9576" w:type="dxa"/>
            <w:shd w:val="pct12" w:color="auto" w:fill="auto"/>
          </w:tcPr>
          <w:p w14:paraId="38BB5F69" w14:textId="2068BF9A" w:rsidR="00687F9C" w:rsidRPr="0013396E" w:rsidDel="00004772" w:rsidRDefault="00687F9C" w:rsidP="00E844EE">
            <w:pPr>
              <w:pStyle w:val="Instructions"/>
              <w:spacing w:before="120"/>
            </w:pPr>
            <w:r w:rsidRPr="0013396E" w:rsidDel="00004772">
              <w:t>[NPRR</w:t>
            </w:r>
            <w:r w:rsidRPr="0013396E">
              <w:t>1238</w:t>
            </w:r>
            <w:r w:rsidRPr="0013396E" w:rsidDel="00004772">
              <w:t xml:space="preserve">:  </w:t>
            </w:r>
            <w:r w:rsidRPr="0013396E">
              <w:t>Replace</w:t>
            </w:r>
            <w:r w:rsidRPr="0013396E" w:rsidDel="00004772">
              <w:t xml:space="preserve"> paragraph (</w:t>
            </w:r>
            <w:r w:rsidRPr="0013396E">
              <w:t>2</w:t>
            </w:r>
            <w:r w:rsidRPr="0013396E" w:rsidDel="00004772">
              <w:t xml:space="preserve">) </w:t>
            </w:r>
            <w:r w:rsidRPr="0013396E">
              <w:t>above with the following</w:t>
            </w:r>
            <w:r w:rsidRPr="0013396E" w:rsidDel="00004772">
              <w:t xml:space="preserve"> upon system implementation:]</w:t>
            </w:r>
          </w:p>
          <w:p w14:paraId="05189ACD" w14:textId="41ED176D" w:rsidR="00687F9C" w:rsidRPr="0013396E" w:rsidDel="00004772" w:rsidRDefault="00687F9C" w:rsidP="00687F9C">
            <w:pPr>
              <w:spacing w:before="240" w:after="240"/>
              <w:ind w:left="720" w:hanging="720"/>
              <w:rPr>
                <w:szCs w:val="24"/>
              </w:rPr>
            </w:pPr>
            <w:r w:rsidRPr="0013396E">
              <w:rPr>
                <w:szCs w:val="24"/>
              </w:rPr>
              <w:lastRenderedPageBreak/>
              <w:t>(3)</w:t>
            </w:r>
            <w:r w:rsidRPr="0013396E">
              <w:rPr>
                <w:szCs w:val="24"/>
              </w:rPr>
              <w:tab/>
              <w:t xml:space="preserve">When PRC falls below 3,000 MW and is not projected to be recovered above 3,000 MW within 30 minutes following the deployment of Non-Spin and all </w:t>
            </w:r>
            <w:r w:rsidRPr="0013396E">
              <w:rPr>
                <w:bCs/>
              </w:rPr>
              <w:t>VECL</w:t>
            </w:r>
            <w:r w:rsidRPr="0013396E">
              <w:rPr>
                <w:szCs w:val="24"/>
              </w:rPr>
              <w:t>, ERCOT may deploy available contracted ERS-10 and ERS-30 via an XML message.  The deployment time within the ERCOT XML deployment message shall represent the beginning of the ERS-10 and ERS-30 ramp periods.</w:t>
            </w:r>
          </w:p>
        </w:tc>
      </w:tr>
    </w:tbl>
    <w:p w14:paraId="5DAF438C" w14:textId="698B1E64" w:rsidR="00A3515A" w:rsidRPr="0013396E" w:rsidRDefault="00A3515A" w:rsidP="00A3515A">
      <w:pPr>
        <w:spacing w:before="240" w:after="240"/>
        <w:ind w:left="1440" w:hanging="720"/>
      </w:pPr>
      <w:r w:rsidRPr="0013396E">
        <w:lastRenderedPageBreak/>
        <w:t>(a)</w:t>
      </w:r>
      <w:r w:rsidRPr="0013396E">
        <w:tab/>
        <w:t>ERS-10 and ERS-30 may be deployed at any time in a Settlement Interval.  ERS-10 and ERS-30 may be deployed either simultaneously or separately, and in any order, at the discretion of ERCOT operators.</w:t>
      </w:r>
    </w:p>
    <w:p w14:paraId="27BF40AE" w14:textId="0BFC044A" w:rsidR="00A3515A" w:rsidRPr="0013396E" w:rsidRDefault="00A3515A" w:rsidP="00A3515A">
      <w:pPr>
        <w:spacing w:before="240" w:after="240"/>
        <w:ind w:left="1440" w:hanging="720"/>
      </w:pPr>
      <w:r w:rsidRPr="0013396E">
        <w:t>(b)</w:t>
      </w:r>
      <w:r w:rsidRPr="0013396E">
        <w:tab/>
        <w:t>Upon deployment, QSEs shall instruct their ERS Resources in ERS-10 and ERS-30 to perform at contracted levels consistent with the criteria described in Section 8.1.3.1.4, Event Performance Criteria for Emergency Response Service Resources, until either ERCOT releases the ERS-10 and ERS-30 deployment or the ERS-10 and ERS-30 Resources have reached their maximum deployment time.</w:t>
      </w:r>
    </w:p>
    <w:p w14:paraId="6F212AF3" w14:textId="0CDD11DC" w:rsidR="00A3515A" w:rsidRPr="0013396E" w:rsidRDefault="00A3515A" w:rsidP="00A3515A">
      <w:pPr>
        <w:spacing w:before="240" w:after="240"/>
        <w:ind w:left="1440" w:hanging="720"/>
      </w:pPr>
      <w:r w:rsidRPr="0013396E">
        <w:t>(c)</w:t>
      </w:r>
      <w:r w:rsidRPr="0013396E">
        <w:tab/>
        <w:t xml:space="preserve">ERCOT shall notify QSEs of the </w:t>
      </w:r>
      <w:r w:rsidR="0050458F" w:rsidRPr="0013396E">
        <w:t>recall</w:t>
      </w:r>
      <w:r w:rsidRPr="0013396E">
        <w:t xml:space="preserve"> of ERS-10 and ERS-30 via an XML message.  The </w:t>
      </w:r>
      <w:r w:rsidR="0050458F" w:rsidRPr="0013396E">
        <w:t>recall time within the ERCOT XML message</w:t>
      </w:r>
      <w:r w:rsidRPr="0013396E">
        <w:t xml:space="preserve"> shall represent the official notice of ERS-10 and ERS-30 </w:t>
      </w:r>
      <w:r w:rsidR="0050458F" w:rsidRPr="0013396E">
        <w:t>recall</w:t>
      </w:r>
      <w:r w:rsidRPr="0013396E">
        <w:t>.</w:t>
      </w:r>
    </w:p>
    <w:p w14:paraId="373F7A2E" w14:textId="6679A103" w:rsidR="001F04FD" w:rsidRPr="0013396E" w:rsidRDefault="00A3515A" w:rsidP="00A3515A">
      <w:pPr>
        <w:pStyle w:val="List"/>
        <w:spacing w:before="240"/>
      </w:pPr>
      <w:r w:rsidRPr="0013396E">
        <w:t>(d)</w:t>
      </w:r>
      <w:r w:rsidRPr="0013396E">
        <w:tab/>
        <w:t>Upon release, an ERS Resource shall return to a condition such that it is capable of meeting its ERS performance requirements as soon as practical, but no later than ten hours following the release.</w:t>
      </w:r>
    </w:p>
    <w:p w14:paraId="1D3D2DED" w14:textId="77777777" w:rsidR="008C7E79" w:rsidRPr="0013396E" w:rsidDel="00004772" w:rsidRDefault="008C7E79" w:rsidP="008C7E79">
      <w:pPr>
        <w:pStyle w:val="BodyTextNumbered"/>
        <w:shd w:val="clear" w:color="auto" w:fill="FFFFFF"/>
      </w:pPr>
      <w:bookmarkStart w:id="1234" w:name="_Toc397504993"/>
      <w:bookmarkStart w:id="1235" w:name="_Toc402357121"/>
      <w:bookmarkStart w:id="1236" w:name="_Toc422486501"/>
      <w:bookmarkStart w:id="1237" w:name="_Toc433093353"/>
      <w:bookmarkStart w:id="1238" w:name="_Toc433093511"/>
      <w:bookmarkStart w:id="1239" w:name="_Toc440874739"/>
      <w:bookmarkStart w:id="1240" w:name="_Toc448142294"/>
      <w:bookmarkStart w:id="1241" w:name="_Toc448142451"/>
      <w:bookmarkStart w:id="1242" w:name="_Toc458770288"/>
      <w:bookmarkStart w:id="1243" w:name="_Toc459294256"/>
      <w:bookmarkStart w:id="1244" w:name="_Toc463262749"/>
      <w:bookmarkStart w:id="1245" w:name="_Toc468286822"/>
      <w:bookmarkStart w:id="1246" w:name="_Toc481502868"/>
      <w:bookmarkStart w:id="1247" w:name="_Toc496080036"/>
      <w:r w:rsidRPr="0013396E" w:rsidDel="00004772">
        <w:t>(</w:t>
      </w:r>
      <w:r w:rsidRPr="0013396E">
        <w:t>3</w:t>
      </w:r>
      <w:r w:rsidRPr="0013396E" w:rsidDel="00004772">
        <w:t>)</w:t>
      </w:r>
      <w:r w:rsidRPr="0013396E" w:rsidDel="00004772">
        <w:tab/>
        <w:t xml:space="preserve">When </w:t>
      </w:r>
      <w:r w:rsidRPr="0013396E">
        <w:t>a Watch</w:t>
      </w:r>
      <w:r w:rsidRPr="0013396E" w:rsidDel="00004772">
        <w:t xml:space="preserve"> is issued for PRC below 3,000 MW and ERCOT expects system conditions to deteriorate to the extent that an EEA Level 2 or 3 may be experienced, ERCOT shall evaluate constraints active in SCED and determine which constraints have the potential to limit generation output.  </w:t>
      </w:r>
    </w:p>
    <w:p w14:paraId="4F1799B7" w14:textId="77777777" w:rsidR="008C7E79" w:rsidRPr="0013396E" w:rsidDel="00004772" w:rsidRDefault="008C7E79" w:rsidP="008C7E79">
      <w:pPr>
        <w:pStyle w:val="BodyTextNumbered"/>
        <w:ind w:left="1440"/>
      </w:pPr>
      <w:r w:rsidRPr="0013396E" w:rsidDel="00004772">
        <w:t>(a)</w:t>
      </w:r>
      <w:r w:rsidRPr="0013396E" w:rsidDel="00004772">
        <w:tab/>
        <w:t>Upon identification of such constraints, ERCOT shall coordinate with the TSPs that own or operate the overloaded Transmission Facilities associated with those constraints, as well as the Resource Entities whose generation output may be limited, to determine whether: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8C7E79" w:rsidRPr="0013396E" w:rsidDel="00004772" w14:paraId="6A1D1F35" w14:textId="77777777" w:rsidTr="0061655D">
        <w:trPr>
          <w:trHeight w:val="296"/>
        </w:trPr>
        <w:tc>
          <w:tcPr>
            <w:tcW w:w="9576" w:type="dxa"/>
            <w:shd w:val="pct12" w:color="auto" w:fill="auto"/>
          </w:tcPr>
          <w:p w14:paraId="5770D94C" w14:textId="63C16B65" w:rsidR="008C7E79" w:rsidRPr="0013396E" w:rsidDel="00004772" w:rsidRDefault="008C7E79" w:rsidP="0061655D">
            <w:pPr>
              <w:pStyle w:val="Instructions"/>
              <w:spacing w:before="120"/>
            </w:pPr>
            <w:r w:rsidRPr="0013396E" w:rsidDel="00004772">
              <w:t xml:space="preserve">[NPRR857:  Replace paragraph (a) above with the following upon system implementation </w:t>
            </w:r>
            <w:r w:rsidRPr="0013396E" w:rsidDel="00004772">
              <w:rPr>
                <w:bCs/>
                <w:iCs w:val="0"/>
              </w:rPr>
              <w:t xml:space="preserve">and </w:t>
            </w:r>
            <w:r w:rsidRPr="0013396E" w:rsidDel="00004772">
              <w:t xml:space="preserve">satisfying the following conditions: </w:t>
            </w:r>
            <w:r w:rsidR="00186863" w:rsidRPr="0013396E">
              <w:t xml:space="preserve"> </w:t>
            </w:r>
            <w:r w:rsidRPr="0013396E" w:rsidDel="00004772">
              <w:t>(1)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p>
          <w:p w14:paraId="1F4D0DF4" w14:textId="77777777" w:rsidR="008C7E79" w:rsidRPr="0013396E" w:rsidDel="00004772" w:rsidRDefault="008C7E79" w:rsidP="0061655D">
            <w:pPr>
              <w:pStyle w:val="BodyTextNumbered"/>
              <w:ind w:left="1440"/>
            </w:pPr>
            <w:r w:rsidRPr="0013396E" w:rsidDel="00004772">
              <w:t>(a)</w:t>
            </w:r>
            <w:r w:rsidRPr="0013396E" w:rsidDel="00004772">
              <w:tab/>
              <w:t xml:space="preserve">Upon identification of such constraints, ERCOT shall coordinate with the TSPs and DCTOs that own or operate the overloaded Transmission Facilities </w:t>
            </w:r>
            <w:r w:rsidRPr="0013396E" w:rsidDel="00004772">
              <w:lastRenderedPageBreak/>
              <w:t>associated with those constraints, as well as the Resource Entities whose generation output may be limited, to determine whether:</w:t>
            </w:r>
          </w:p>
        </w:tc>
      </w:tr>
    </w:tbl>
    <w:p w14:paraId="7A431EB9" w14:textId="77777777" w:rsidR="008C7E79" w:rsidRPr="0013396E" w:rsidDel="00004772" w:rsidRDefault="008C7E79" w:rsidP="008C7E79">
      <w:pPr>
        <w:pStyle w:val="BodyTextNumbered"/>
        <w:shd w:val="clear" w:color="auto" w:fill="FFFFFF"/>
        <w:spacing w:before="240"/>
        <w:ind w:left="2160"/>
      </w:pPr>
      <w:r w:rsidRPr="0013396E" w:rsidDel="00004772">
        <w:lastRenderedPageBreak/>
        <w:t>(i)</w:t>
      </w:r>
      <w:r w:rsidRPr="0013396E" w:rsidDel="00004772">
        <w:tab/>
        <w:t xml:space="preserve">A 15-Minute Rating is available to allow for additional transmission capacity for use in congestion management, if an EEA Level 2 or 3 is declared, and post-contingency actions can be taken within 15 minutes to return the flow to within the Emergency Rating.  Such actions may include, but are not limited to, reducing the generation that increased output as a result of enforcing the 15-Minute Rating rather than the Emergency Rating; </w:t>
      </w:r>
    </w:p>
    <w:p w14:paraId="7BFEA3AD" w14:textId="77777777" w:rsidR="008C7E79" w:rsidRPr="0013396E" w:rsidDel="00004772" w:rsidRDefault="008C7E79" w:rsidP="008C7E79">
      <w:pPr>
        <w:pStyle w:val="BodyTextNumbered"/>
        <w:shd w:val="clear" w:color="auto" w:fill="FFFFFF"/>
        <w:ind w:left="2160"/>
      </w:pPr>
      <w:r w:rsidRPr="0013396E" w:rsidDel="00004772">
        <w:t>(ii)</w:t>
      </w:r>
      <w:r w:rsidRPr="0013396E" w:rsidDel="00004772">
        <w:tab/>
        <w:t xml:space="preserve">Post-contingency loading of the Transmission Facilities is expected to be at or below Normal Rating within two hours; or </w:t>
      </w:r>
    </w:p>
    <w:p w14:paraId="72DA2971" w14:textId="77777777" w:rsidR="008C7E79" w:rsidRPr="0013396E" w:rsidDel="00004772" w:rsidRDefault="008C7E79" w:rsidP="008C7E79">
      <w:pPr>
        <w:pStyle w:val="BodyTextNumbered"/>
        <w:shd w:val="clear" w:color="auto" w:fill="FFFFFF"/>
        <w:ind w:left="2160"/>
      </w:pPr>
      <w:r w:rsidRPr="0013396E" w:rsidDel="00004772">
        <w:t>(iii)</w:t>
      </w:r>
      <w:r w:rsidRPr="0013396E" w:rsidDel="00004772">
        <w:tab/>
        <w:t xml:space="preserve">Additional transmission capacity could allow for additional output from a limited Generation Resource by taking one of the following actions: </w:t>
      </w:r>
    </w:p>
    <w:p w14:paraId="3674CF29" w14:textId="77777777" w:rsidR="008C7E79" w:rsidRPr="0013396E" w:rsidDel="00004772" w:rsidRDefault="008C7E79" w:rsidP="008C7E79">
      <w:pPr>
        <w:pStyle w:val="BodyTextNumbered"/>
        <w:shd w:val="clear" w:color="auto" w:fill="FFFFFF"/>
        <w:ind w:left="2880"/>
      </w:pPr>
      <w:r w:rsidRPr="0013396E" w:rsidDel="00004772">
        <w:t>(A)</w:t>
      </w:r>
      <w:r w:rsidRPr="0013396E" w:rsidDel="00004772">
        <w:tab/>
        <w:t xml:space="preserve">Restoring Transmission Elements that are out of service; </w:t>
      </w:r>
    </w:p>
    <w:p w14:paraId="3A3C1C28" w14:textId="5F93E87C" w:rsidR="008C7E79" w:rsidRPr="0013396E" w:rsidDel="00004772" w:rsidRDefault="008C7E79" w:rsidP="008C7E79">
      <w:pPr>
        <w:pStyle w:val="BodyTextNumbered"/>
        <w:shd w:val="clear" w:color="auto" w:fill="FFFFFF"/>
        <w:ind w:left="2880"/>
      </w:pPr>
      <w:r w:rsidRPr="0013396E" w:rsidDel="00004772">
        <w:t>(B)</w:t>
      </w:r>
      <w:r w:rsidRPr="0013396E" w:rsidDel="00004772">
        <w:tab/>
        <w:t>Reconfiguring the transmission system; or</w:t>
      </w:r>
    </w:p>
    <w:p w14:paraId="2F10F037" w14:textId="77777777" w:rsidR="008C7E79" w:rsidRPr="0013396E" w:rsidDel="00004772" w:rsidRDefault="008C7E79" w:rsidP="008C7E79">
      <w:pPr>
        <w:pStyle w:val="BodyTextNumbered"/>
        <w:shd w:val="clear" w:color="auto" w:fill="FFFFFF"/>
        <w:ind w:left="2880"/>
      </w:pPr>
      <w:r w:rsidRPr="0013396E" w:rsidDel="00004772">
        <w:t>(C)</w:t>
      </w:r>
      <w:r w:rsidRPr="0013396E" w:rsidDel="00004772">
        <w:tab/>
        <w:t>Making adjustments to phase angle regulator tap positions.</w:t>
      </w:r>
    </w:p>
    <w:p w14:paraId="37DC44F9" w14:textId="69B06A01" w:rsidR="008C7E79" w:rsidRPr="0013396E" w:rsidDel="00004772" w:rsidRDefault="008C7E79" w:rsidP="008C7E79">
      <w:pPr>
        <w:pStyle w:val="BodyTextNumbered"/>
        <w:shd w:val="clear" w:color="auto" w:fill="FFFFFF"/>
        <w:ind w:left="1440" w:firstLine="0"/>
      </w:pPr>
      <w:r w:rsidRPr="0013396E" w:rsidDel="00004772">
        <w:t xml:space="preserve">If ERCOT determines that one of the above-mentioned actions allows for additional output from a limited Generation Resource, ERCOT may instruct the TSPs to take the action(s) during the </w:t>
      </w:r>
      <w:r w:rsidR="0050458F" w:rsidRPr="0013396E">
        <w:t>Watch</w:t>
      </w:r>
      <w:r w:rsidRPr="0013396E" w:rsidDel="00004772">
        <w:t xml:space="preserve"> to allow for additional output from the limited Generation Resource.</w:t>
      </w:r>
    </w:p>
    <w:p w14:paraId="184ED9E1" w14:textId="31542F19" w:rsidR="008C7E79" w:rsidRPr="0013396E" w:rsidDel="00004772" w:rsidRDefault="008C7E79" w:rsidP="008C7E79">
      <w:pPr>
        <w:pStyle w:val="BodyTextNumbered"/>
        <w:ind w:left="1440"/>
      </w:pPr>
      <w:r w:rsidRPr="0013396E" w:rsidDel="00004772">
        <w:t>(b)</w:t>
      </w:r>
      <w:r w:rsidRPr="0013396E" w:rsidDel="00004772">
        <w:tab/>
        <w:t xml:space="preserve">ERCOT shall also coordinate with TSPs who own and operate the Transmission Facilities associated with the double-circuit contingencies for the constraints identified above to determine whether the double-circuit failures are at a high risk of occurring due to system conditions, which may include: </w:t>
      </w:r>
      <w:r w:rsidR="00186863" w:rsidRPr="0013396E">
        <w:t xml:space="preserve"> </w:t>
      </w:r>
      <w:r w:rsidRPr="0013396E" w:rsidDel="00004772">
        <w:t xml:space="preserve">severe weather conditions forecasted by ERCOT in the vicinity of the double circuit, weather conditions that indicate a high risk of insulator flashover on the double circuit, repeated Forced Outages of the individual circuits that are part of the double circuit in the preceding 48 hours, or fire in progress in the right of way of the double circuit. </w:t>
      </w:r>
    </w:p>
    <w:p w14:paraId="240942EA" w14:textId="77777777" w:rsidR="008C7E79" w:rsidRPr="0013396E" w:rsidDel="00004772" w:rsidRDefault="008C7E79" w:rsidP="008C7E79">
      <w:pPr>
        <w:pStyle w:val="BodyTextNumbered"/>
        <w:spacing w:before="240"/>
        <w:ind w:left="1440"/>
      </w:pPr>
      <w:r w:rsidRPr="0013396E" w:rsidDel="00004772">
        <w:t>(c)</w:t>
      </w:r>
      <w:r w:rsidRPr="0013396E" w:rsidDel="00004772">
        <w:tab/>
        <w:t>The actions detailed in this Section shall be supplemental to the development and maintenance of CMPs as otherwise directed by the Protocols or Operating Guides.</w:t>
      </w:r>
    </w:p>
    <w:p w14:paraId="1258CB00" w14:textId="395F360A" w:rsidR="008C7E79" w:rsidRPr="0013396E" w:rsidRDefault="008C7E79" w:rsidP="008C7E79">
      <w:pPr>
        <w:spacing w:before="240" w:after="240"/>
        <w:ind w:left="720" w:hanging="720"/>
      </w:pPr>
      <w:r w:rsidRPr="0013396E">
        <w:t>(4)</w:t>
      </w:r>
      <w:r w:rsidRPr="0013396E">
        <w:tab/>
        <w:t>When a Watch is issued for PRC below 3,000 MW, QSEs shall suspend any ongoing ERCOT-required Resource performance testing.</w:t>
      </w:r>
    </w:p>
    <w:p w14:paraId="193F0CBB" w14:textId="77777777" w:rsidR="001F04FD" w:rsidRPr="0013396E" w:rsidRDefault="001F04FD" w:rsidP="001F04FD">
      <w:pPr>
        <w:pStyle w:val="H5"/>
        <w:spacing w:before="480"/>
        <w:ind w:left="1627" w:hanging="1627"/>
      </w:pPr>
      <w:bookmarkStart w:id="1248" w:name="_Toc214878939"/>
      <w:bookmarkStart w:id="1249" w:name="_Hlk214433010"/>
      <w:r w:rsidRPr="0013396E">
        <w:lastRenderedPageBreak/>
        <w:t>6.5.9.4.2</w:t>
      </w:r>
      <w:r w:rsidRPr="0013396E">
        <w:tab/>
        <w:t>EEA Levels</w:t>
      </w:r>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p>
    <w:p w14:paraId="22D8297E" w14:textId="551D1D6E" w:rsidR="001F04FD" w:rsidRPr="0013396E" w:rsidRDefault="001F04FD" w:rsidP="001F04FD">
      <w:pPr>
        <w:pStyle w:val="BodyTextNumbered"/>
      </w:pPr>
      <w:r w:rsidRPr="0013396E">
        <w:t>(1)</w:t>
      </w:r>
      <w:r w:rsidRPr="0013396E">
        <w:tab/>
        <w:t>ERCOT will declare an EEA Level 1 when PRC falls below 2,</w:t>
      </w:r>
      <w:r w:rsidR="008C7E79" w:rsidRPr="0013396E">
        <w:t>5</w:t>
      </w:r>
      <w:r w:rsidRPr="0013396E">
        <w:t>00 MW and is not projected to be recovered above 2,</w:t>
      </w:r>
      <w:r w:rsidR="008C7E79" w:rsidRPr="0013396E">
        <w:t>5</w:t>
      </w:r>
      <w:r w:rsidRPr="0013396E">
        <w:t xml:space="preserve">00 MW within 30 minutes without the use of the following actions that are prescribed for EEA Level 1: </w:t>
      </w:r>
    </w:p>
    <w:p w14:paraId="59BC8C28" w14:textId="44FEC5E5" w:rsidR="001F04FD" w:rsidRPr="0013396E" w:rsidRDefault="001F04FD" w:rsidP="001F04FD">
      <w:pPr>
        <w:pStyle w:val="List"/>
      </w:pPr>
      <w:r w:rsidRPr="0013396E">
        <w:t>(a)</w:t>
      </w:r>
      <w:r w:rsidRPr="0013396E">
        <w:tab/>
        <w:t xml:space="preserve">ERCOT shall take the following steps to maintain steady state system frequency near 60 Hz and maintain PRC above </w:t>
      </w:r>
      <w:r w:rsidR="008C7E79" w:rsidRPr="0013396E">
        <w:t>2</w:t>
      </w:r>
      <w:r w:rsidRPr="0013396E">
        <w:t>,</w:t>
      </w:r>
      <w:r w:rsidR="008C7E79" w:rsidRPr="0013396E">
        <w:t>00</w:t>
      </w:r>
      <w:r w:rsidRPr="0013396E">
        <w:t>0 MW:</w:t>
      </w:r>
    </w:p>
    <w:p w14:paraId="3159BC04" w14:textId="78D223C5" w:rsidR="001F04FD" w:rsidRPr="0013396E" w:rsidRDefault="001F04FD" w:rsidP="001F04FD">
      <w:pPr>
        <w:pStyle w:val="List2"/>
      </w:pPr>
      <w:r w:rsidRPr="0013396E">
        <w:t>(i)</w:t>
      </w:r>
      <w:r w:rsidRPr="0013396E">
        <w:tab/>
      </w:r>
      <w:r w:rsidR="00636C61" w:rsidRPr="0013396E">
        <w:t>Request available Generation Resources that can perform within the expected timeframe of the emergency to come On-Line by initiating manual HRUC or through Dispatch Instructions, and request available ESRs that can perform within the expected timeframe of the emergency to come On-Line through Dispatch Instructions;</w:t>
      </w:r>
    </w:p>
    <w:p w14:paraId="5A8EA4FE" w14:textId="4923F7CB" w:rsidR="001F04FD" w:rsidRPr="0013396E" w:rsidRDefault="001F04FD" w:rsidP="005A7D8E">
      <w:pPr>
        <w:pStyle w:val="List2"/>
      </w:pPr>
      <w:r w:rsidRPr="0013396E">
        <w:t>(ii)</w:t>
      </w:r>
      <w:r w:rsidRPr="0013396E">
        <w:tab/>
        <w:t xml:space="preserve">Use available DC Tie import capacity that is not already being used; </w:t>
      </w:r>
    </w:p>
    <w:p w14:paraId="2D5C7F50" w14:textId="5886A1E6" w:rsidR="001F04FD" w:rsidRPr="0013396E" w:rsidRDefault="001F04FD" w:rsidP="001F04FD">
      <w:pPr>
        <w:pStyle w:val="List2"/>
      </w:pPr>
      <w:r w:rsidRPr="0013396E">
        <w:t>(iii)</w:t>
      </w:r>
      <w:r w:rsidRPr="0013396E">
        <w:tab/>
        <w:t>Issue a Dispatch Instruction for Resources to remain On-Line which, before start of emergency, were scheduled to come Off-Line;</w:t>
      </w:r>
    </w:p>
    <w:p w14:paraId="7032B171" w14:textId="60E06A94" w:rsidR="001F04FD" w:rsidRDefault="001F04FD" w:rsidP="000D6728">
      <w:pPr>
        <w:pStyle w:val="List2"/>
      </w:pPr>
      <w:r w:rsidRPr="0013396E">
        <w:t>(iv)</w:t>
      </w:r>
      <w:r w:rsidRPr="0013396E">
        <w:tab/>
      </w:r>
      <w:r w:rsidR="00A3515A" w:rsidRPr="0013396E">
        <w:t xml:space="preserve">Instruct QSEs to </w:t>
      </w:r>
      <w:r w:rsidRPr="0013396E">
        <w:t xml:space="preserve">deploy </w:t>
      </w:r>
      <w:r w:rsidR="00A3515A" w:rsidRPr="0013396E">
        <w:t>undeployed</w:t>
      </w:r>
      <w:r w:rsidRPr="0013396E">
        <w:t xml:space="preserve"> </w:t>
      </w:r>
      <w:r w:rsidR="00A3515A" w:rsidRPr="0013396E">
        <w:t xml:space="preserve">ERS-10 and </w:t>
      </w:r>
      <w:r w:rsidRPr="0013396E">
        <w:t>ERS-30</w:t>
      </w:r>
      <w:r w:rsidR="00636C61">
        <w:t>; and</w:t>
      </w:r>
    </w:p>
    <w:p w14:paraId="1198931F" w14:textId="7343B546" w:rsidR="00636C61" w:rsidRPr="0013396E" w:rsidRDefault="00636C61" w:rsidP="000D6728">
      <w:pPr>
        <w:pStyle w:val="List2"/>
      </w:pPr>
      <w:r w:rsidRPr="0013396E">
        <w:t>(v)</w:t>
      </w:r>
      <w:r w:rsidRPr="0013396E">
        <w:tab/>
        <w:t xml:space="preserve">At ERCOT’s discretion, manually deploy, </w:t>
      </w:r>
      <w:r w:rsidRPr="0013396E">
        <w:rPr>
          <w:iCs/>
        </w:rPr>
        <w:t xml:space="preserve">through ICCP, </w:t>
      </w:r>
      <w:r w:rsidRPr="0013396E">
        <w:t xml:space="preserve">available RRS and ECRS </w:t>
      </w:r>
      <w:r w:rsidRPr="0013396E">
        <w:rPr>
          <w:iCs/>
        </w:rPr>
        <w:t xml:space="preserve">capacity from </w:t>
      </w:r>
      <w:r w:rsidRPr="0013396E">
        <w:t>Generation Resources having a Resource Status of ONSC and awarded RRS or ECRS.</w:t>
      </w:r>
    </w:p>
    <w:p w14:paraId="63CE39A1" w14:textId="3DA19F0B" w:rsidR="001F04FD" w:rsidRPr="0013396E" w:rsidRDefault="001F04FD" w:rsidP="005A7D8E">
      <w:pPr>
        <w:pStyle w:val="List"/>
      </w:pPr>
      <w:r w:rsidRPr="0013396E">
        <w:t>(b)</w:t>
      </w:r>
      <w:r w:rsidRPr="0013396E">
        <w:tab/>
        <w:t>QSEs shall:</w:t>
      </w:r>
    </w:p>
    <w:p w14:paraId="7985BFCF" w14:textId="1022B21C" w:rsidR="001F04FD" w:rsidRPr="0013396E" w:rsidRDefault="001F04FD" w:rsidP="001F04FD">
      <w:pPr>
        <w:pStyle w:val="List"/>
        <w:ind w:left="2160"/>
      </w:pPr>
      <w:r w:rsidRPr="0013396E">
        <w:t>(i)</w:t>
      </w:r>
      <w:r w:rsidRPr="0013396E">
        <w:tab/>
      </w:r>
      <w:r w:rsidR="00636C61" w:rsidRPr="0013396E">
        <w:t>Ensure COPs, telemetered status, telemetered HSLs, Normal Ramp Rates, Emergency Ramp Rates, and Ancillary Service capabilities are updated and reflect all Resource delays and limitations; and</w:t>
      </w:r>
    </w:p>
    <w:p w14:paraId="79F9FED1" w14:textId="02D5A821" w:rsidR="00C52BB8" w:rsidRPr="0013396E" w:rsidRDefault="00C52BB8" w:rsidP="005A7D8E">
      <w:pPr>
        <w:pStyle w:val="List"/>
        <w:ind w:left="2160"/>
      </w:pPr>
      <w:r w:rsidRPr="0013396E">
        <w:t>(ii)</w:t>
      </w:r>
      <w:r w:rsidRPr="0013396E">
        <w:tab/>
        <w:t>Ensure that each of its ESRs suspends charging until the EEA is recalled, except under the following circumstances:</w:t>
      </w:r>
    </w:p>
    <w:p w14:paraId="06B18A6C" w14:textId="1E5C3C21" w:rsidR="00C52BB8" w:rsidRPr="0013396E" w:rsidRDefault="00C52BB8" w:rsidP="00C52BB8">
      <w:pPr>
        <w:pStyle w:val="List"/>
        <w:ind w:left="2880"/>
      </w:pPr>
      <w:r w:rsidRPr="0013396E">
        <w:t>(A)</w:t>
      </w:r>
      <w:r w:rsidRPr="0013396E">
        <w:tab/>
        <w:t xml:space="preserve">The ESR has a current SCED Base Point Instruction, </w:t>
      </w:r>
      <w:r w:rsidR="00283DFC" w:rsidRPr="0013396E">
        <w:t xml:space="preserve">LFC </w:t>
      </w:r>
      <w:r w:rsidRPr="0013396E">
        <w:t xml:space="preserve">Dispatch Instruction, or manual Dispatch Instruction to charge the ESR; </w:t>
      </w:r>
    </w:p>
    <w:p w14:paraId="6417F353" w14:textId="77777777" w:rsidR="00C52BB8" w:rsidRPr="0013396E" w:rsidRDefault="00C52BB8" w:rsidP="00C52BB8">
      <w:pPr>
        <w:pStyle w:val="List"/>
        <w:ind w:left="2880"/>
      </w:pPr>
      <w:r w:rsidRPr="0013396E">
        <w:t>(B)</w:t>
      </w:r>
      <w:r w:rsidRPr="0013396E">
        <w:tab/>
        <w:t xml:space="preserve">The ESR is actively providing Primary Frequency Response; or </w:t>
      </w:r>
    </w:p>
    <w:p w14:paraId="1B1C5EBD" w14:textId="41AB74AE" w:rsidR="001F04FD" w:rsidRPr="0013396E" w:rsidRDefault="00C52BB8" w:rsidP="00C52BB8">
      <w:pPr>
        <w:pStyle w:val="List"/>
        <w:ind w:left="2880"/>
      </w:pPr>
      <w:r w:rsidRPr="0013396E">
        <w:t>(C)</w:t>
      </w:r>
      <w:r w:rsidRPr="0013396E">
        <w:tab/>
        <w:t>The ESR is co-located behind a POI with onsite generation that is incapable of exporting additional power to the ERCOT System, in which case the ESR may continue to charge as long as maximum output to the ERCOT System is maintained</w:t>
      </w:r>
      <w:r w:rsidR="001F04FD" w:rsidRPr="0013396E">
        <w:t xml:space="preserve">. </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76"/>
      </w:tblGrid>
      <w:tr w:rsidR="007A07FE" w:rsidRPr="0013396E" w14:paraId="13128767" w14:textId="77777777" w:rsidTr="005C5A9B">
        <w:trPr>
          <w:trHeight w:val="206"/>
        </w:trPr>
        <w:tc>
          <w:tcPr>
            <w:tcW w:w="9576" w:type="dxa"/>
            <w:shd w:val="pct12" w:color="auto" w:fill="auto"/>
          </w:tcPr>
          <w:p w14:paraId="5E3D7AC0" w14:textId="3CA964E8" w:rsidR="007A07FE" w:rsidRPr="0013396E" w:rsidRDefault="007A07FE" w:rsidP="005C5A9B">
            <w:pPr>
              <w:pStyle w:val="Instructions"/>
              <w:spacing w:before="120"/>
            </w:pPr>
            <w:r w:rsidRPr="0013396E">
              <w:lastRenderedPageBreak/>
              <w:t>[</w:t>
            </w:r>
            <w:r w:rsidR="002F1AE6" w:rsidRPr="0013396E">
              <w:t>NPRR995</w:t>
            </w:r>
            <w:r w:rsidRPr="0013396E">
              <w:t xml:space="preserve">:  </w:t>
            </w:r>
            <w:r w:rsidR="00C52BB8" w:rsidRPr="0013396E">
              <w:t>Replace</w:t>
            </w:r>
            <w:r w:rsidR="002F1AE6" w:rsidRPr="0013396E">
              <w:t xml:space="preserve"> </w:t>
            </w:r>
            <w:r w:rsidRPr="0013396E">
              <w:t xml:space="preserve">paragraph (ii) </w:t>
            </w:r>
            <w:r w:rsidR="00C52BB8" w:rsidRPr="0013396E">
              <w:t>above with the following</w:t>
            </w:r>
            <w:r w:rsidRPr="0013396E">
              <w:t xml:space="preserve"> upon system implementation:]</w:t>
            </w:r>
          </w:p>
          <w:p w14:paraId="2F5994B8" w14:textId="5BD57A3E" w:rsidR="007A07FE" w:rsidRPr="0013396E" w:rsidRDefault="007A07FE" w:rsidP="007A07FE">
            <w:pPr>
              <w:pStyle w:val="List"/>
              <w:ind w:left="2160"/>
            </w:pPr>
            <w:r w:rsidRPr="0013396E">
              <w:t>(ii)</w:t>
            </w:r>
            <w:r w:rsidRPr="0013396E">
              <w:tab/>
              <w:t>Ensure that each of its ESRs</w:t>
            </w:r>
            <w:r w:rsidR="002F1AE6" w:rsidRPr="0013396E">
              <w:t xml:space="preserve"> and SOESSs</w:t>
            </w:r>
            <w:r w:rsidRPr="0013396E">
              <w:t xml:space="preserve"> suspends charging until the EEA is recalled, except under the following circumstances:</w:t>
            </w:r>
          </w:p>
          <w:p w14:paraId="1AAB1436" w14:textId="099DB1B0" w:rsidR="007A07FE" w:rsidRPr="0013396E" w:rsidRDefault="007A07FE" w:rsidP="007A07FE">
            <w:pPr>
              <w:pStyle w:val="List"/>
              <w:ind w:left="2880"/>
            </w:pPr>
            <w:r w:rsidRPr="0013396E">
              <w:t>(A)</w:t>
            </w:r>
            <w:r w:rsidRPr="0013396E">
              <w:tab/>
              <w:t xml:space="preserve">The ESR has a current SCED Base Point Instruction, </w:t>
            </w:r>
            <w:r w:rsidR="00283DFC" w:rsidRPr="0013396E">
              <w:t>LFC</w:t>
            </w:r>
            <w:r w:rsidRPr="0013396E">
              <w:t xml:space="preserve"> Dispatch Instruction, or manual Dispatch Instruction to charge the ESR; </w:t>
            </w:r>
          </w:p>
          <w:p w14:paraId="30332C64" w14:textId="753DE1B6" w:rsidR="007A07FE" w:rsidRPr="0013396E" w:rsidRDefault="007A07FE" w:rsidP="007A07FE">
            <w:pPr>
              <w:pStyle w:val="List"/>
              <w:ind w:left="2880"/>
            </w:pPr>
            <w:r w:rsidRPr="0013396E">
              <w:t>(B)</w:t>
            </w:r>
            <w:r w:rsidRPr="0013396E">
              <w:tab/>
              <w:t xml:space="preserve">The ESR </w:t>
            </w:r>
            <w:r w:rsidR="002F1AE6" w:rsidRPr="0013396E">
              <w:t xml:space="preserve">or SOESS </w:t>
            </w:r>
            <w:r w:rsidRPr="0013396E">
              <w:t xml:space="preserve">is actively providing Primary Frequency Response; or </w:t>
            </w:r>
          </w:p>
          <w:p w14:paraId="779B121B" w14:textId="7CDF7C1F" w:rsidR="007A07FE" w:rsidRPr="0013396E" w:rsidRDefault="007A07FE" w:rsidP="00B84F08">
            <w:pPr>
              <w:pStyle w:val="List"/>
              <w:ind w:left="2880"/>
            </w:pPr>
            <w:r w:rsidRPr="0013396E">
              <w:t>(C)</w:t>
            </w:r>
            <w:r w:rsidRPr="0013396E">
              <w:tab/>
              <w:t>The ESR</w:t>
            </w:r>
            <w:r w:rsidR="002F1AE6" w:rsidRPr="0013396E">
              <w:t xml:space="preserve"> or SOESS</w:t>
            </w:r>
            <w:r w:rsidRPr="0013396E">
              <w:t xml:space="preserve"> is co-located behind a POI with onsite generation that is incapable of exporting additional power to the ERCOT System, in which case the ESR may continue to charge as long as maximum output to the ERCOT System is maintained.</w:t>
            </w:r>
          </w:p>
        </w:tc>
      </w:tr>
    </w:tbl>
    <w:p w14:paraId="2A6B39ED" w14:textId="7A540301" w:rsidR="001F04FD" w:rsidRPr="0013396E" w:rsidRDefault="001F04FD" w:rsidP="003A5AC3">
      <w:pPr>
        <w:pStyle w:val="BodyTextNumbered"/>
        <w:spacing w:before="240"/>
      </w:pPr>
      <w:r w:rsidRPr="0013396E">
        <w:t>(2)</w:t>
      </w:r>
      <w:r w:rsidRPr="0013396E">
        <w:tab/>
        <w:t xml:space="preserve">ERCOT </w:t>
      </w:r>
      <w:r w:rsidR="00D67C9C" w:rsidRPr="0013396E">
        <w:t>may</w:t>
      </w:r>
      <w:r w:rsidRPr="0013396E">
        <w:t xml:space="preserve"> declare an EEA Level 2 when </w:t>
      </w:r>
      <w:r w:rsidR="00D67C9C" w:rsidRPr="0013396E">
        <w:t xml:space="preserve">the </w:t>
      </w:r>
      <w:r w:rsidR="00D67C9C" w:rsidRPr="0013396E">
        <w:rPr>
          <w:iCs/>
        </w:rPr>
        <w:t>clock-minute average</w:t>
      </w:r>
      <w:r w:rsidRPr="0013396E">
        <w:t xml:space="preserve"> system frequency </w:t>
      </w:r>
      <w:r w:rsidR="00D67C9C" w:rsidRPr="0013396E">
        <w:t>falls below</w:t>
      </w:r>
      <w:r w:rsidRPr="0013396E">
        <w:t xml:space="preserve"> 59.91 Hz </w:t>
      </w:r>
      <w:r w:rsidR="00D67C9C" w:rsidRPr="0013396E">
        <w:t>for 15 consecutive minutes.  ERCOT will declare an EEA Level 2</w:t>
      </w:r>
      <w:r w:rsidRPr="0013396E">
        <w:t xml:space="preserve"> when PRC falls below </w:t>
      </w:r>
      <w:r w:rsidR="008C7E79" w:rsidRPr="0013396E">
        <w:t>2</w:t>
      </w:r>
      <w:r w:rsidRPr="0013396E">
        <w:t>,</w:t>
      </w:r>
      <w:r w:rsidR="008C7E79" w:rsidRPr="0013396E">
        <w:t>00</w:t>
      </w:r>
      <w:r w:rsidRPr="0013396E">
        <w:t xml:space="preserve">0 MW and is not projected to be recovered above </w:t>
      </w:r>
      <w:r w:rsidR="008C7E79" w:rsidRPr="0013396E">
        <w:t>2</w:t>
      </w:r>
      <w:r w:rsidRPr="0013396E">
        <w:t>,</w:t>
      </w:r>
      <w:r w:rsidR="008C7E79" w:rsidRPr="0013396E">
        <w:t>00</w:t>
      </w:r>
      <w:r w:rsidRPr="0013396E">
        <w:t xml:space="preserve">0 MW within 30 minutes without the use of the following actions that are prescribed for EEA Level 2: </w:t>
      </w:r>
    </w:p>
    <w:p w14:paraId="6E99F497" w14:textId="009DD984" w:rsidR="001F04FD" w:rsidRPr="0013396E" w:rsidRDefault="001F04FD" w:rsidP="001F04FD">
      <w:pPr>
        <w:pStyle w:val="List"/>
      </w:pPr>
      <w:r w:rsidRPr="0013396E">
        <w:t>(a)</w:t>
      </w:r>
      <w:r w:rsidRPr="0013396E">
        <w:tab/>
        <w:t xml:space="preserve">In addition to the measures associated with EEA Level 1, ERCOT shall take the following steps to maintain steady state system frequency at a minimum of 59.91 Hz and maintain PRC above </w:t>
      </w:r>
      <w:r w:rsidR="00947C1C" w:rsidRPr="0013396E">
        <w:t>1,</w:t>
      </w:r>
      <w:r w:rsidR="008C7E79" w:rsidRPr="0013396E">
        <w:t>50</w:t>
      </w:r>
      <w:r w:rsidR="00947C1C" w:rsidRPr="0013396E">
        <w:t>0</w:t>
      </w:r>
      <w:r w:rsidRPr="0013396E">
        <w:t xml:space="preserve"> MW:</w:t>
      </w:r>
    </w:p>
    <w:p w14:paraId="2349273D" w14:textId="3F88A9DB" w:rsidR="001F04FD" w:rsidRPr="0013396E" w:rsidRDefault="001F04FD" w:rsidP="001F04FD">
      <w:pPr>
        <w:pStyle w:val="List2"/>
      </w:pPr>
      <w:r w:rsidRPr="0013396E">
        <w:t>(i)</w:t>
      </w:r>
      <w:r w:rsidRPr="0013396E">
        <w:tab/>
        <w:t xml:space="preserve">Instruct TSPs and DSPs or their agents to reduce Customer Load by using </w:t>
      </w:r>
      <w:r w:rsidR="0064112F" w:rsidRPr="0013396E">
        <w:t xml:space="preserve">existing, in-service </w:t>
      </w:r>
      <w:r w:rsidRPr="0013396E">
        <w:t>distribution voltage reduction measures</w:t>
      </w:r>
      <w:r w:rsidR="0064112F" w:rsidRPr="0013396E">
        <w:t xml:space="preserve"> that have not already been implemented.  A</w:t>
      </w:r>
      <w:r w:rsidRPr="0013396E">
        <w:t xml:space="preserve"> TSP, DSP, or their agent</w:t>
      </w:r>
      <w:r w:rsidR="0064112F" w:rsidRPr="0013396E">
        <w:t xml:space="preserve"> shall implement these instructions if distribution voltage reduction measures are available and already installed.  If the TSP, DSP, or their agent determines in their sole discretion that the distribution voltage reduction would adversely affect reliability, the voltage reduction measure may be reduced, modified, or otherwise changed from maximum performance to a level of exercise that has no negative impact to reliability</w:t>
      </w:r>
      <w:r w:rsidRPr="0013396E">
        <w:t>.</w:t>
      </w:r>
    </w:p>
    <w:p w14:paraId="487315AB" w14:textId="77777777" w:rsidR="001F04FD" w:rsidRPr="0013396E" w:rsidRDefault="001F04FD" w:rsidP="001F04FD">
      <w:pPr>
        <w:pStyle w:val="List2"/>
      </w:pPr>
      <w:r w:rsidRPr="0013396E">
        <w:t>(ii)</w:t>
      </w:r>
      <w:r w:rsidRPr="0013396E">
        <w:tab/>
        <w:t>Instruct TSPs and DSPs to implement any available Load management plans to reduce Customer Load.</w:t>
      </w:r>
    </w:p>
    <w:p w14:paraId="0213180B" w14:textId="2BCF2CB2" w:rsidR="001F04FD" w:rsidRPr="0013396E" w:rsidRDefault="001F04FD" w:rsidP="001F04FD">
      <w:pPr>
        <w:pStyle w:val="List2"/>
      </w:pPr>
      <w:bookmarkStart w:id="1250" w:name="_Hlk135903532"/>
      <w:r w:rsidRPr="0013396E">
        <w:t>(iii)</w:t>
      </w:r>
      <w:r w:rsidRPr="0013396E">
        <w:tab/>
      </w:r>
      <w:r w:rsidR="00636C61" w:rsidRPr="0013396E">
        <w:t>Instruct QSEs to deploy ECRS or RRS (controlled by high-set under-frequency relays) supplied from Load Resources.  ERCOT may deploy ECRS or RRS from Load Resources simultaneously or separately.  ERCOT shall issue such Dispatch Instructions in accordance with the deployment methodologies described in paragraph (iv) below.</w:t>
      </w:r>
    </w:p>
    <w:p w14:paraId="3FAE6AB5" w14:textId="77777777" w:rsidR="00636C61" w:rsidRPr="0013396E" w:rsidRDefault="00636C61" w:rsidP="00636C61">
      <w:pPr>
        <w:spacing w:after="240"/>
        <w:ind w:left="2160" w:hanging="720"/>
      </w:pPr>
      <w:bookmarkStart w:id="1251" w:name="_Hlk135903540"/>
      <w:bookmarkEnd w:id="1250"/>
      <w:r w:rsidRPr="0013396E">
        <w:lastRenderedPageBreak/>
        <w:t>(iv)</w:t>
      </w:r>
      <w:r w:rsidRPr="0013396E">
        <w:tab/>
        <w:t>Load Resources providing ECRS that are not controlled by high-set under-frequency relays shall be deployed prior to deployment of those that have armed under-frequency relays.  ERCOT shall deploy ECRS and RRS capacity supplied by Load Resources (controlled by high-set under-frequency relays) in accordance with the following:</w:t>
      </w:r>
    </w:p>
    <w:p w14:paraId="214068CA" w14:textId="77777777" w:rsidR="00636C61" w:rsidRPr="0013396E" w:rsidRDefault="00636C61" w:rsidP="00636C61">
      <w:pPr>
        <w:pStyle w:val="List3"/>
        <w:rPr>
          <w:sz w:val="20"/>
        </w:rPr>
      </w:pPr>
      <w:r w:rsidRPr="0013396E">
        <w:t>(A)</w:t>
      </w:r>
      <w:r w:rsidRPr="0013396E">
        <w:tab/>
        <w:t xml:space="preserve">Instruct QSEs to deploy ECRS that is supplied from Load Resources (controlled by high-set under-frequency relays) that are only providing ECRS and then instruct QSEs to deploy Load Resources (controlled by high-set under-frequency relays) providing ECRS and RRS.  </w:t>
      </w:r>
      <w:r w:rsidRPr="0013396E">
        <w:rPr>
          <w:szCs w:val="24"/>
        </w:rPr>
        <w:t xml:space="preserve">QSEs will be given some discretion to deploy additional Load Resources </w:t>
      </w:r>
      <w:r w:rsidRPr="0013396E">
        <w:t>not designated for deployment</w:t>
      </w:r>
      <w:r w:rsidRPr="0013396E">
        <w:rPr>
          <w:szCs w:val="24"/>
        </w:rPr>
        <w:t xml:space="preserve"> if Load Resource operational considerations require such.  ERCOT shall issue notification of the deployment via XML message.  The deployment time within the ERCOT XML deployment message shall initiate the ten-minute deployment period;  </w:t>
      </w:r>
    </w:p>
    <w:p w14:paraId="3F00C85A" w14:textId="77777777" w:rsidR="00636C61" w:rsidRPr="0013396E" w:rsidRDefault="00636C61" w:rsidP="00636C61">
      <w:pPr>
        <w:pStyle w:val="List3"/>
      </w:pPr>
      <w:r w:rsidRPr="0013396E">
        <w:t>(B)</w:t>
      </w:r>
      <w:r w:rsidRPr="0013396E">
        <w:tab/>
        <w:t>At the discretion of the ERCOT Operator, instruct QSEs to deploy RRS that is supplied from Load Resources (controlled by high-set under-frequency relays) by instructing the QSE representing the specific Load Resource to interrupt additional Load Resources that are only providing RRS.  ERCOT shall issue notification of the deployment via XML message.  The deployment time within the ERCOT XML deployment message shall initiate the ten-minute deployment period;</w:t>
      </w:r>
      <w:r w:rsidRPr="0013396E" w:rsidDel="001A290D">
        <w:t xml:space="preserve"> </w:t>
      </w:r>
      <w:r w:rsidRPr="0013396E">
        <w:t xml:space="preserve">   </w:t>
      </w:r>
    </w:p>
    <w:p w14:paraId="1C12FCAA" w14:textId="77777777" w:rsidR="00636C61" w:rsidRPr="0013396E" w:rsidRDefault="00636C61" w:rsidP="00636C61">
      <w:pPr>
        <w:spacing w:before="240" w:after="240"/>
        <w:ind w:left="2880" w:hanging="720"/>
      </w:pPr>
      <w:r w:rsidRPr="0013396E">
        <w:t>(C)</w:t>
      </w:r>
      <w:r w:rsidRPr="0013396E">
        <w:tab/>
        <w:t xml:space="preserve">The ERCOT Operator may deploy all Load Resources providing RRS and ECRS at the same time.  </w:t>
      </w:r>
      <w:r w:rsidRPr="0013396E">
        <w:rPr>
          <w:szCs w:val="24"/>
        </w:rPr>
        <w:t>ERCOT shall issue notification of the deployment via XML message.  The deployment time within the ERCOT XML deployment message shall initiate the ten-minute deployment period</w:t>
      </w:r>
      <w:r w:rsidRPr="0013396E">
        <w:t>; and</w:t>
      </w:r>
    </w:p>
    <w:p w14:paraId="54342714" w14:textId="66D1A6AD" w:rsidR="001F04FD" w:rsidRPr="0013396E" w:rsidRDefault="00636C61" w:rsidP="00F969DB">
      <w:pPr>
        <w:pStyle w:val="List3"/>
      </w:pPr>
      <w:r w:rsidRPr="0013396E">
        <w:t>(D)</w:t>
      </w:r>
      <w:r w:rsidRPr="0013396E">
        <w:tab/>
        <w:t>ERCOT shall develop a Real-Time process for deploying Load Resources based on a random sampling of individual Load Resources.  At ERCOT’s discretion, ERCOT may deploy all Load Resources at any given time during EEA Level 2.</w:t>
      </w:r>
      <w:bookmarkEnd w:id="1251"/>
    </w:p>
    <w:p w14:paraId="7E24B6FB" w14:textId="0CB5E5EF" w:rsidR="001F04FD" w:rsidRPr="0013396E" w:rsidRDefault="001F04FD" w:rsidP="005A7D8E">
      <w:pPr>
        <w:spacing w:after="240"/>
        <w:ind w:left="2160" w:hanging="720"/>
      </w:pPr>
      <w:r w:rsidRPr="0013396E">
        <w:t>(v)</w:t>
      </w:r>
      <w:r w:rsidRPr="0013396E">
        <w:tab/>
        <w:t>Unless a media appeal is already in effect, ERCOT shall issue an appeal through the public news media for voluntary energy conservation; and</w:t>
      </w:r>
    </w:p>
    <w:p w14:paraId="618CC649" w14:textId="3942B24E" w:rsidR="001F04FD" w:rsidRPr="0013396E" w:rsidRDefault="001F04FD" w:rsidP="001F04FD">
      <w:pPr>
        <w:pStyle w:val="List3"/>
        <w:ind w:left="2160"/>
      </w:pPr>
      <w:r w:rsidRPr="0013396E">
        <w:t>(vi)</w:t>
      </w:r>
      <w:r w:rsidRPr="0013396E">
        <w:tab/>
        <w:t xml:space="preserve">With the approval of the affected non-ERCOT Control Area, TSPs, DSPs, or their agents may implement </w:t>
      </w:r>
      <w:r w:rsidR="00517106" w:rsidRPr="0013396E">
        <w:t xml:space="preserve">transmission voltage level </w:t>
      </w:r>
      <w:r w:rsidRPr="0013396E">
        <w:t>BLTs, which transfer Load from the ERCOT Control Area to non-ERCOT Control Areas in accordance with BLTs as defined in the Operating Guides.</w:t>
      </w:r>
    </w:p>
    <w:p w14:paraId="709FD3EE" w14:textId="77777777" w:rsidR="001F04FD" w:rsidRPr="0013396E" w:rsidRDefault="001F04FD" w:rsidP="001F04FD">
      <w:pPr>
        <w:pStyle w:val="List"/>
      </w:pPr>
      <w:r w:rsidRPr="0013396E">
        <w:t>(b)</w:t>
      </w:r>
      <w:r w:rsidRPr="0013396E">
        <w:tab/>
        <w:t>Confidentiality requirements regarding transmission operations and system capacity information will be lifted, as needed to restore reliability.</w:t>
      </w:r>
    </w:p>
    <w:p w14:paraId="3E924381" w14:textId="63BEB546" w:rsidR="00D67C9C" w:rsidRPr="0013396E" w:rsidRDefault="001F04FD" w:rsidP="001F04FD">
      <w:pPr>
        <w:pStyle w:val="BodyTextNumbered"/>
      </w:pPr>
      <w:r w:rsidRPr="0013396E">
        <w:lastRenderedPageBreak/>
        <w:t>(3)</w:t>
      </w:r>
      <w:r w:rsidRPr="0013396E">
        <w:tab/>
      </w:r>
      <w:r w:rsidR="00D67C9C" w:rsidRPr="0013396E">
        <w:t xml:space="preserve">ERCOT may declare an EEA Level 3 when the </w:t>
      </w:r>
      <w:r w:rsidR="00D67C9C" w:rsidRPr="0013396E">
        <w:rPr>
          <w:iCs/>
        </w:rPr>
        <w:t>clock-minute average</w:t>
      </w:r>
      <w:r w:rsidR="00D67C9C" w:rsidRPr="0013396E">
        <w:t xml:space="preserve"> system frequency falls below 59.91 Hz for 20 consecutive minutes</w:t>
      </w:r>
      <w:r w:rsidR="008C7E79" w:rsidRPr="0013396E">
        <w:t xml:space="preserve"> or when steady-state frequency falls below 59.8 Hz</w:t>
      </w:r>
      <w:r w:rsidR="00D67C9C" w:rsidRPr="0013396E">
        <w:t xml:space="preserve">.  </w:t>
      </w:r>
      <w:r w:rsidRPr="0013396E">
        <w:t xml:space="preserve">ERCOT will declare an EEA Level 3 when </w:t>
      </w:r>
      <w:r w:rsidR="00D67C9C" w:rsidRPr="0013396E">
        <w:t xml:space="preserve">PRC cannot be maintained above </w:t>
      </w:r>
      <w:r w:rsidR="00947C1C" w:rsidRPr="0013396E">
        <w:t>1,</w:t>
      </w:r>
      <w:r w:rsidR="008C7E79" w:rsidRPr="0013396E">
        <w:t>50</w:t>
      </w:r>
      <w:r w:rsidR="00947C1C" w:rsidRPr="0013396E">
        <w:t>0</w:t>
      </w:r>
      <w:r w:rsidR="00D67C9C" w:rsidRPr="0013396E">
        <w:t xml:space="preserve"> MW or when the </w:t>
      </w:r>
      <w:r w:rsidR="00D67C9C" w:rsidRPr="0013396E">
        <w:rPr>
          <w:iCs/>
        </w:rPr>
        <w:t>clock-minute average</w:t>
      </w:r>
      <w:r w:rsidRPr="0013396E">
        <w:t xml:space="preserve"> system frequency </w:t>
      </w:r>
      <w:r w:rsidR="00D67C9C" w:rsidRPr="0013396E">
        <w:t>falls below</w:t>
      </w:r>
      <w:r w:rsidRPr="0013396E">
        <w:t xml:space="preserve"> 59.</w:t>
      </w:r>
      <w:r w:rsidR="00D67C9C" w:rsidRPr="0013396E">
        <w:t>91</w:t>
      </w:r>
      <w:r w:rsidRPr="0013396E">
        <w:t xml:space="preserve"> Hz </w:t>
      </w:r>
      <w:r w:rsidR="00D67C9C" w:rsidRPr="0013396E">
        <w:t xml:space="preserve">for 25 consecutive minutes.  Upon declaration of an EEA Level 3, </w:t>
      </w:r>
      <w:r w:rsidR="008C7E79" w:rsidRPr="0013396E">
        <w:t>ERCOT shall take any of the following measures as necessary to recover frequency or PRC to the minimum required levels:</w:t>
      </w:r>
    </w:p>
    <w:p w14:paraId="2FB36F21" w14:textId="77F2587F" w:rsidR="00C52BB8" w:rsidRPr="0013396E" w:rsidRDefault="00C52BB8" w:rsidP="00C52BB8">
      <w:pPr>
        <w:spacing w:after="240"/>
        <w:ind w:left="1440" w:hanging="720"/>
      </w:pPr>
      <w:bookmarkStart w:id="1252" w:name="_Hlk116467776"/>
      <w:r w:rsidRPr="0013396E">
        <w:t>(a)</w:t>
      </w:r>
      <w:r w:rsidRPr="0013396E">
        <w:tab/>
      </w:r>
      <w:r w:rsidR="008C7E79" w:rsidRPr="0013396E">
        <w:t>I</w:t>
      </w:r>
      <w:r w:rsidRPr="0013396E">
        <w:t>nstruct ESRs to suspend charging</w:t>
      </w:r>
      <w:r w:rsidR="00A43298" w:rsidRPr="0013396E">
        <w:t>.  For ESRs, ERCOT shall issue the suspension instruction</w:t>
      </w:r>
      <w:r w:rsidRPr="0013396E">
        <w:t xml:space="preserve"> via a SCED Base Point instruction, or, if otherwise necessary, via a manual Dispatch </w:t>
      </w:r>
      <w:r w:rsidR="00283DFC" w:rsidRPr="0013396E">
        <w:t>I</w:t>
      </w:r>
      <w:r w:rsidRPr="0013396E">
        <w:t xml:space="preserve">nstruction.  An ESR shall suspend charging unless </w:t>
      </w:r>
      <w:r w:rsidR="00A43298" w:rsidRPr="0013396E">
        <w:t xml:space="preserve">it is </w:t>
      </w:r>
      <w:r w:rsidRPr="0013396E">
        <w:t>providing Primary Frequency Response</w:t>
      </w:r>
      <w:r w:rsidR="00A43298" w:rsidRPr="0013396E">
        <w:t>,</w:t>
      </w:r>
      <w:r w:rsidRPr="0013396E">
        <w:t xml:space="preserve"> </w:t>
      </w:r>
      <w:r w:rsidR="00A43298" w:rsidRPr="0013396E">
        <w:t>has received a charging instruction via SCED Base Point, or is carrying Reg-Down and has received</w:t>
      </w:r>
      <w:r w:rsidRPr="0013396E">
        <w:t xml:space="preserve"> a charging instruction </w:t>
      </w:r>
      <w:r w:rsidR="00A43298" w:rsidRPr="0013396E">
        <w:t>from LFC</w:t>
      </w:r>
      <w:r w:rsidRPr="0013396E">
        <w:t>.  However, an ESR co-located behind a POI with onsite generation that is incapable of exporting additional power to the ERCOT System may continue to charge as long as maximum output to the ERCOT System is maintained.</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76"/>
      </w:tblGrid>
      <w:tr w:rsidR="007A07FE" w:rsidRPr="0013396E" w14:paraId="7DAB8EB7" w14:textId="77777777" w:rsidTr="005C5A9B">
        <w:trPr>
          <w:trHeight w:val="206"/>
        </w:trPr>
        <w:tc>
          <w:tcPr>
            <w:tcW w:w="9576" w:type="dxa"/>
            <w:shd w:val="pct12" w:color="auto" w:fill="auto"/>
          </w:tcPr>
          <w:bookmarkEnd w:id="1252"/>
          <w:p w14:paraId="4412504F" w14:textId="60187A21" w:rsidR="007A07FE" w:rsidRPr="0013396E" w:rsidRDefault="007A07FE" w:rsidP="005C5A9B">
            <w:pPr>
              <w:pStyle w:val="Instructions"/>
              <w:spacing w:before="120"/>
            </w:pPr>
            <w:r w:rsidRPr="0013396E">
              <w:t>[</w:t>
            </w:r>
            <w:r w:rsidR="00B44DD8" w:rsidRPr="0013396E">
              <w:t>NPRR995</w:t>
            </w:r>
            <w:r w:rsidRPr="0013396E">
              <w:t xml:space="preserve">:  </w:t>
            </w:r>
            <w:r w:rsidR="00C52BB8" w:rsidRPr="0013396E">
              <w:t>Replace</w:t>
            </w:r>
            <w:r w:rsidR="00B44DD8" w:rsidRPr="0013396E">
              <w:t xml:space="preserve"> </w:t>
            </w:r>
            <w:r w:rsidRPr="0013396E">
              <w:t xml:space="preserve">paragraph (a) </w:t>
            </w:r>
            <w:r w:rsidR="00C52BB8" w:rsidRPr="0013396E">
              <w:t>above with the following</w:t>
            </w:r>
            <w:r w:rsidRPr="0013396E">
              <w:t xml:space="preserve"> upon system implementation:]</w:t>
            </w:r>
          </w:p>
          <w:p w14:paraId="6E5994BA" w14:textId="0108B7FA" w:rsidR="007A07FE" w:rsidRPr="0013396E" w:rsidRDefault="007A07FE" w:rsidP="001F3516">
            <w:pPr>
              <w:spacing w:after="240"/>
              <w:ind w:left="1440" w:hanging="720"/>
            </w:pPr>
            <w:r w:rsidRPr="0013396E">
              <w:t>(a)</w:t>
            </w:r>
            <w:r w:rsidRPr="0013396E">
              <w:tab/>
            </w:r>
            <w:r w:rsidR="008C7E79" w:rsidRPr="0013396E">
              <w:t>I</w:t>
            </w:r>
            <w:r w:rsidR="002F1AE6" w:rsidRPr="0013396E">
              <w:t>nstruct</w:t>
            </w:r>
            <w:r w:rsidRPr="0013396E">
              <w:t xml:space="preserve"> </w:t>
            </w:r>
            <w:r w:rsidR="00A43298" w:rsidRPr="0013396E">
              <w:t xml:space="preserve">ESRs to suspend charging.  For ESRs, the suspension instruction </w:t>
            </w:r>
            <w:r w:rsidR="008C7E79" w:rsidRPr="0013396E">
              <w:t xml:space="preserve">shall be issued </w:t>
            </w:r>
            <w:r w:rsidRPr="0013396E">
              <w:t xml:space="preserve">via a SCED Base Point, or, if otherwise necessary, via a manual Dispatch </w:t>
            </w:r>
            <w:r w:rsidR="00283DFC" w:rsidRPr="0013396E">
              <w:t>I</w:t>
            </w:r>
            <w:r w:rsidRPr="0013396E">
              <w:t xml:space="preserve">nstruction.  An ESR shall suspend charging unless </w:t>
            </w:r>
            <w:r w:rsidR="00A43298" w:rsidRPr="0013396E">
              <w:t xml:space="preserve">it is </w:t>
            </w:r>
            <w:r w:rsidRPr="0013396E">
              <w:t>providing Primary Frequency Response</w:t>
            </w:r>
            <w:r w:rsidR="00347D2D" w:rsidRPr="0013396E">
              <w:t>,</w:t>
            </w:r>
            <w:r w:rsidRPr="0013396E">
              <w:t xml:space="preserve"> </w:t>
            </w:r>
            <w:r w:rsidR="00347D2D" w:rsidRPr="0013396E">
              <w:t>has received a charging instruction via SCED Base Point, or is carrying Reg-Down and has received a charging instruction from</w:t>
            </w:r>
            <w:r w:rsidRPr="0013396E">
              <w:t xml:space="preserve"> LFC.  </w:t>
            </w:r>
            <w:r w:rsidR="00347D2D" w:rsidRPr="0013396E">
              <w:t xml:space="preserve">An SOESS shall suspend charging unless it is providing Primary Frequency Response.  </w:t>
            </w:r>
            <w:r w:rsidRPr="0013396E">
              <w:t xml:space="preserve">However, an ESR </w:t>
            </w:r>
            <w:r w:rsidR="00B44DD8" w:rsidRPr="0013396E">
              <w:t xml:space="preserve">or SOESS </w:t>
            </w:r>
            <w:r w:rsidRPr="0013396E">
              <w:t>co-located behind a POI with onsite generation that is incapable of exporting additional power to the ERCOT System may continue to charge as long as maximum output to the ERCOT System is maintained.</w:t>
            </w:r>
          </w:p>
        </w:tc>
      </w:tr>
    </w:tbl>
    <w:p w14:paraId="0C347107" w14:textId="23E410E6" w:rsidR="001F04FD" w:rsidRPr="0013396E" w:rsidRDefault="00D67C9C" w:rsidP="003A5AC3">
      <w:pPr>
        <w:pStyle w:val="List"/>
        <w:spacing w:before="240"/>
      </w:pPr>
      <w:r w:rsidRPr="0013396E">
        <w:t>(</w:t>
      </w:r>
      <w:r w:rsidR="00DB1DD2" w:rsidRPr="0013396E">
        <w:t>b</w:t>
      </w:r>
      <w:r w:rsidRPr="0013396E">
        <w:t>)</w:t>
      </w:r>
      <w:r w:rsidRPr="0013396E">
        <w:tab/>
      </w:r>
      <w:r w:rsidR="003B64E5" w:rsidRPr="0013396E">
        <w:t>D</w:t>
      </w:r>
      <w:r w:rsidR="001F04FD" w:rsidRPr="0013396E">
        <w:t xml:space="preserve">irect all </w:t>
      </w:r>
      <w:r w:rsidR="008530F9" w:rsidRPr="0013396E">
        <w:t>TOs</w:t>
      </w:r>
      <w:r w:rsidR="001F04FD" w:rsidRPr="0013396E">
        <w:t xml:space="preserve"> to shed firm Load, in 100 MW blocks, distributed as documented in the Operating Guides in order to maintain a steady state system frequency at a minimum of 59.</w:t>
      </w:r>
      <w:r w:rsidR="004E0395" w:rsidRPr="0013396E">
        <w:t>91</w:t>
      </w:r>
      <w:r w:rsidR="001F04FD" w:rsidRPr="0013396E">
        <w:t xml:space="preserve"> Hz and to recover 1,</w:t>
      </w:r>
      <w:r w:rsidR="003B64E5" w:rsidRPr="0013396E">
        <w:t>5</w:t>
      </w:r>
      <w:r w:rsidR="001F04FD" w:rsidRPr="0013396E">
        <w:t xml:space="preserve">00 MW of PRC within 30 minutes. </w:t>
      </w:r>
    </w:p>
    <w:p w14:paraId="2BEAF21F" w14:textId="77777777" w:rsidR="00F03916" w:rsidRPr="0013396E" w:rsidRDefault="001F04FD" w:rsidP="003B64E5">
      <w:pPr>
        <w:pStyle w:val="List"/>
        <w:ind w:left="2160"/>
      </w:pPr>
      <w:r w:rsidRPr="0013396E">
        <w:t>(</w:t>
      </w:r>
      <w:r w:rsidR="003B64E5" w:rsidRPr="0013396E">
        <w:t>i</w:t>
      </w:r>
      <w:r w:rsidRPr="0013396E">
        <w:t>)</w:t>
      </w:r>
      <w:r w:rsidRPr="0013396E">
        <w:tab/>
      </w:r>
      <w:r w:rsidR="008530F9" w:rsidRPr="0013396E">
        <w:t>TOs and TDSPs may</w:t>
      </w:r>
      <w:r w:rsidR="00F03916" w:rsidRPr="0013396E">
        <w:t>:</w:t>
      </w:r>
    </w:p>
    <w:p w14:paraId="52E0BFC1" w14:textId="10D1CFDB" w:rsidR="001F04FD" w:rsidRPr="0013396E" w:rsidRDefault="00F03916" w:rsidP="00F03916">
      <w:pPr>
        <w:pStyle w:val="List3"/>
      </w:pPr>
      <w:r w:rsidRPr="0013396E">
        <w:t>(A)</w:t>
      </w:r>
      <w:r w:rsidRPr="0013396E">
        <w:tab/>
        <w:t>Manually</w:t>
      </w:r>
      <w:r w:rsidR="008530F9" w:rsidRPr="0013396E">
        <w:t xml:space="preserve"> shed Load connected to under-frequency relays </w:t>
      </w:r>
      <w:r w:rsidRPr="0013396E">
        <w:t xml:space="preserve">and/or under-voltage relays </w:t>
      </w:r>
      <w:r w:rsidR="008530F9" w:rsidRPr="0013396E">
        <w:t>pursuant to an ERCOT Load shed directive issued during EEA Level 3 so long as</w:t>
      </w:r>
      <w:r w:rsidRPr="0013396E">
        <w:t xml:space="preserve"> the TO has determined that system conditions warrant utilizing Load connected to under-frequency and/or under-voltage relays and</w:t>
      </w:r>
      <w:r w:rsidR="008530F9" w:rsidRPr="0013396E">
        <w:t xml:space="preserve"> each affected TO continues to comply with its Under-Frequency Load Shed (UFLS) obligation as described in Nodal Operating Guide Section 2.6.1, Automatic Firm Load Shedding, and its Load shed obligation as </w:t>
      </w:r>
      <w:r w:rsidR="008530F9" w:rsidRPr="0013396E">
        <w:lastRenderedPageBreak/>
        <w:t>described in Nodal Operating Guide Section 4.5.3.4, Load Shed Obligation</w:t>
      </w:r>
      <w:r w:rsidR="001F04FD" w:rsidRPr="0013396E">
        <w:t>.</w:t>
      </w:r>
    </w:p>
    <w:p w14:paraId="03A9524B" w14:textId="7677765F" w:rsidR="00F03916" w:rsidRPr="0013396E" w:rsidRDefault="00F03916" w:rsidP="00F03916">
      <w:pPr>
        <w:pStyle w:val="List"/>
        <w:ind w:left="2880"/>
      </w:pPr>
      <w:r w:rsidRPr="0013396E">
        <w:t>(B)</w:t>
      </w:r>
      <w:r w:rsidRPr="0013396E">
        <w:tab/>
      </w:r>
      <w:bookmarkStart w:id="1253" w:name="_Hlk158609489"/>
      <w:r w:rsidRPr="0013396E">
        <w:t>Manually shed Load that is armed to deploy as part of the 58.5 Hz, 58.7 Hz, and anti-stall UFLS stages, such that the UFLS Load falls below the TO’s 25% Load relief obligation, as described in Nodal Operating Guide Section 2.6.1, in order to meet ERCOT operating instructions for manual Load shed if all Load identified for manual Load shed and the Load identified in paragraph (A) above has been shed.</w:t>
      </w:r>
      <w:bookmarkEnd w:id="1253"/>
    </w:p>
    <w:p w14:paraId="6CEC2D70" w14:textId="77777777" w:rsidR="003B64E5" w:rsidRPr="0013396E" w:rsidRDefault="003B64E5" w:rsidP="003B64E5">
      <w:pPr>
        <w:spacing w:after="240"/>
        <w:ind w:left="1440" w:hanging="720"/>
      </w:pPr>
      <w:r w:rsidRPr="0013396E">
        <w:t>(c)</w:t>
      </w:r>
      <w:r w:rsidRPr="0013396E">
        <w:tab/>
        <w:t>Implement any appropriate measures associated with EEA Levels 1 and 2 that have not already been implemented.</w:t>
      </w:r>
    </w:p>
    <w:p w14:paraId="13294162" w14:textId="77777777" w:rsidR="001F04FD" w:rsidRPr="0013396E" w:rsidRDefault="001F04FD" w:rsidP="001F04FD">
      <w:pPr>
        <w:pStyle w:val="H5"/>
        <w:spacing w:before="480"/>
        <w:ind w:left="1627" w:hanging="1627"/>
      </w:pPr>
      <w:bookmarkStart w:id="1254" w:name="_Toc397504994"/>
      <w:bookmarkStart w:id="1255" w:name="_Toc402357122"/>
      <w:bookmarkStart w:id="1256" w:name="_Toc422486502"/>
      <w:bookmarkStart w:id="1257" w:name="_Toc433093354"/>
      <w:bookmarkStart w:id="1258" w:name="_Toc433093512"/>
      <w:bookmarkStart w:id="1259" w:name="_Toc440874740"/>
      <w:bookmarkStart w:id="1260" w:name="_Toc448142295"/>
      <w:bookmarkStart w:id="1261" w:name="_Toc448142452"/>
      <w:bookmarkStart w:id="1262" w:name="_Toc458770289"/>
      <w:bookmarkStart w:id="1263" w:name="_Toc459294257"/>
      <w:bookmarkStart w:id="1264" w:name="_Toc463262750"/>
      <w:bookmarkStart w:id="1265" w:name="_Toc468286823"/>
      <w:bookmarkStart w:id="1266" w:name="_Toc481502869"/>
      <w:bookmarkStart w:id="1267" w:name="_Toc496080037"/>
      <w:bookmarkStart w:id="1268" w:name="_Toc214878940"/>
      <w:bookmarkEnd w:id="1249"/>
      <w:r w:rsidRPr="0013396E">
        <w:t>6.5.9.4.3</w:t>
      </w:r>
      <w:r w:rsidRPr="0013396E">
        <w:tab/>
        <w:t>Restoration of Market Operations</w:t>
      </w:r>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p>
    <w:p w14:paraId="30BE0027" w14:textId="1C3A4F28" w:rsidR="001F04FD" w:rsidRPr="0013396E" w:rsidRDefault="001F04FD" w:rsidP="001F04FD">
      <w:pPr>
        <w:pStyle w:val="BodyTextNumbered"/>
      </w:pPr>
      <w:r w:rsidRPr="0013396E">
        <w:t>(1)</w:t>
      </w:r>
      <w:r w:rsidRPr="0013396E">
        <w:tab/>
        <w:t>ERCOT shall continue the EEA until sufficient offers are received and deployed by ERCOT to eliminate the conditions requiring the EEA and normal SCED operations are restored.  After restoring RRS, ERCOT shall restore curtailed DC Tie Load.  Intermittent solutions of SCED do not set new LMPs until ERCOT declares that the EEA is no longer needed.</w:t>
      </w:r>
    </w:p>
    <w:p w14:paraId="0418B0D0" w14:textId="77777777" w:rsidR="001F04FD" w:rsidRPr="0013396E" w:rsidRDefault="001F04FD" w:rsidP="001F04FD">
      <w:pPr>
        <w:pStyle w:val="H4"/>
        <w:spacing w:before="480"/>
        <w:ind w:left="1267" w:hanging="1267"/>
      </w:pPr>
      <w:bookmarkStart w:id="1269" w:name="_Toc73216032"/>
      <w:bookmarkStart w:id="1270" w:name="_Toc397504995"/>
      <w:bookmarkStart w:id="1271" w:name="_Toc402357123"/>
      <w:bookmarkStart w:id="1272" w:name="_Toc422486503"/>
      <w:bookmarkStart w:id="1273" w:name="_Toc433093355"/>
      <w:bookmarkStart w:id="1274" w:name="_Toc433093513"/>
      <w:bookmarkStart w:id="1275" w:name="_Toc440874741"/>
      <w:bookmarkStart w:id="1276" w:name="_Toc448142296"/>
      <w:bookmarkStart w:id="1277" w:name="_Toc448142453"/>
      <w:bookmarkStart w:id="1278" w:name="_Toc458770290"/>
      <w:bookmarkStart w:id="1279" w:name="_Toc459294258"/>
      <w:bookmarkStart w:id="1280" w:name="_Toc463262751"/>
      <w:bookmarkStart w:id="1281" w:name="_Toc468286824"/>
      <w:bookmarkStart w:id="1282" w:name="_Toc481502870"/>
      <w:bookmarkStart w:id="1283" w:name="_Toc496080038"/>
      <w:bookmarkStart w:id="1284" w:name="_Toc214878941"/>
      <w:r w:rsidRPr="0013396E">
        <w:t>6.5.9.5</w:t>
      </w:r>
      <w:r w:rsidRPr="0013396E">
        <w:tab/>
        <w:t>Block Load Transfers between ERCOT and Non-ERCOT Control Areas</w:t>
      </w:r>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p>
    <w:p w14:paraId="4243CA78" w14:textId="77777777" w:rsidR="001F04FD" w:rsidRPr="0013396E" w:rsidRDefault="001F04FD" w:rsidP="001F04FD">
      <w:pPr>
        <w:pStyle w:val="BodyTextNumbered"/>
      </w:pPr>
      <w:r w:rsidRPr="0013396E">
        <w:t>(1)</w:t>
      </w:r>
      <w:r w:rsidRPr="0013396E">
        <w:tab/>
        <w:t>BLTs are procedures that transfer Loads normally located in the ERCOT Control Area to a non-ERCOT Control Area.  Similarly, when a non-ERCOT Control Area experiences certain transmission contingencies or short-supply conditions, ERCOT may agree to the implementation of BLT procedures that transfer Loads normally located in a non-ERCOT Control Area to the ERCOT Control Area.  BLTs are restricted to the following conditions:</w:t>
      </w:r>
    </w:p>
    <w:p w14:paraId="3DBB2C32" w14:textId="19D1C0E1" w:rsidR="001F04FD" w:rsidRPr="0013396E" w:rsidRDefault="001F04FD" w:rsidP="001F04FD">
      <w:pPr>
        <w:pStyle w:val="List"/>
      </w:pPr>
      <w:r w:rsidRPr="0013396E">
        <w:t>(a)</w:t>
      </w:r>
      <w:r w:rsidRPr="0013396E">
        <w:tab/>
      </w:r>
      <w:r w:rsidR="00C830CE" w:rsidRPr="0013396E">
        <w:t xml:space="preserve">All modeled </w:t>
      </w:r>
      <w:r w:rsidRPr="0013396E">
        <w:t xml:space="preserve">BLTs shall </w:t>
      </w:r>
      <w:r w:rsidR="00C830CE" w:rsidRPr="0013396E">
        <w:t>be implemented</w:t>
      </w:r>
      <w:r w:rsidRPr="0013396E">
        <w:t xml:space="preserve"> only with approval from ERCOT, unless a governmental order is issued requiring the </w:t>
      </w:r>
      <w:r w:rsidR="00C830CE" w:rsidRPr="0013396E">
        <w:t xml:space="preserve">use of the </w:t>
      </w:r>
      <w:r w:rsidRPr="0013396E">
        <w:t xml:space="preserve">BLT.  </w:t>
      </w:r>
    </w:p>
    <w:p w14:paraId="509B4265" w14:textId="77777777" w:rsidR="001F04FD" w:rsidRPr="0013396E" w:rsidRDefault="001F04FD" w:rsidP="009A754D">
      <w:pPr>
        <w:pStyle w:val="List"/>
        <w:ind w:left="2160"/>
      </w:pPr>
      <w:r w:rsidRPr="0013396E">
        <w:t>(i)</w:t>
      </w:r>
      <w:r w:rsidRPr="0013396E">
        <w:tab/>
        <w:t>BLTs shall be registered with ERCOT.  Such registration shall be subject to ERCOT approval.</w:t>
      </w:r>
    </w:p>
    <w:p w14:paraId="6F4EFA6D" w14:textId="77777777" w:rsidR="001F04FD" w:rsidRPr="0013396E" w:rsidRDefault="001F04FD" w:rsidP="001F04FD">
      <w:pPr>
        <w:pStyle w:val="List"/>
        <w:ind w:left="2160"/>
      </w:pPr>
      <w:r w:rsidRPr="0013396E">
        <w:t>(ii)</w:t>
      </w:r>
      <w:r w:rsidRPr="0013396E">
        <w:tab/>
        <w:t>For all BLTs, the TSP in the ERCOT Control Area responsible for implementing the BLT shall coordinate with ERCOT in the implementation and execution of BLTs to ensure the reliability of the ERCOT System is not jeopardized and to ensure sufficient generation capacity is available prior to serving additional Load.</w:t>
      </w:r>
    </w:p>
    <w:p w14:paraId="43EA0A5A" w14:textId="77777777" w:rsidR="001F04FD" w:rsidRPr="0013396E" w:rsidRDefault="001F04FD" w:rsidP="001F04FD">
      <w:pPr>
        <w:pStyle w:val="List"/>
      </w:pPr>
      <w:r w:rsidRPr="0013396E">
        <w:t>(b)</w:t>
      </w:r>
      <w:r w:rsidRPr="0013396E">
        <w:tab/>
        <w:t xml:space="preserve">BLTs that are comprised of looped systems may be tied to the non-ERCOT Control Area’s electrical system(s) through multiple interconnection points at the same time.  Transfers of looped configurations are permitted only if all </w:t>
      </w:r>
      <w:r w:rsidRPr="0013396E">
        <w:lastRenderedPageBreak/>
        <w:t>interconnection points are registered and netted under a single Electric Service Identifier (ESI ID) and represented by a singled TSP or DSP or netted behind the Non-Opt-In Entity (NOIE) metering points.</w:t>
      </w:r>
    </w:p>
    <w:p w14:paraId="049C0820" w14:textId="77777777" w:rsidR="001F04FD" w:rsidRPr="0013396E" w:rsidRDefault="001F04FD" w:rsidP="001F04FD">
      <w:pPr>
        <w:pStyle w:val="List"/>
      </w:pPr>
      <w:r w:rsidRPr="0013396E">
        <w:t>(c)</w:t>
      </w:r>
      <w:r w:rsidRPr="0013396E">
        <w:tab/>
        <w:t xml:space="preserve">BLTs of Load to the ERCOT Control Area are: </w:t>
      </w:r>
    </w:p>
    <w:p w14:paraId="70F0568A" w14:textId="77777777" w:rsidR="001F04FD" w:rsidRPr="0013396E" w:rsidRDefault="001F04FD" w:rsidP="001F04FD">
      <w:pPr>
        <w:pStyle w:val="List"/>
        <w:ind w:left="2160"/>
      </w:pPr>
      <w:r w:rsidRPr="0013396E">
        <w:t>(i)</w:t>
      </w:r>
      <w:r w:rsidRPr="0013396E">
        <w:tab/>
        <w:t xml:space="preserve">Treated as non-competitive wholesale Load in the Load Zone containing the ERCOT breaker or switch that initiated the BLT; </w:t>
      </w:r>
    </w:p>
    <w:p w14:paraId="4F34DEB3" w14:textId="77777777" w:rsidR="001F04FD" w:rsidRPr="0013396E" w:rsidRDefault="001F04FD" w:rsidP="001F04FD">
      <w:pPr>
        <w:pStyle w:val="List"/>
        <w:ind w:left="2160"/>
      </w:pPr>
      <w:r w:rsidRPr="0013396E">
        <w:t>(ii)</w:t>
      </w:r>
      <w:r w:rsidRPr="0013396E">
        <w:tab/>
        <w:t xml:space="preserve">Registered in accordance with Section 6.5.9.5.1, Registration and Posting of BLT Points, by the TSP in the ERCOT Control Area responsible for implementing the BLT;  </w:t>
      </w:r>
    </w:p>
    <w:p w14:paraId="3A504887" w14:textId="77777777" w:rsidR="001F04FD" w:rsidRPr="0013396E" w:rsidRDefault="001F04FD" w:rsidP="001F04FD">
      <w:pPr>
        <w:pStyle w:val="List"/>
        <w:ind w:left="2160"/>
      </w:pPr>
      <w:r w:rsidRPr="0013396E">
        <w:t>(iii)</w:t>
      </w:r>
      <w:r w:rsidRPr="0013396E">
        <w:tab/>
        <w:t xml:space="preserve">Responsible for Unaccounted For Energy (UFE) allocations and Transmission Losses consistent with similarly situated NOIE metering points; and </w:t>
      </w:r>
    </w:p>
    <w:p w14:paraId="34FB322B" w14:textId="77777777" w:rsidR="001F04FD" w:rsidRPr="0013396E" w:rsidRDefault="001F04FD" w:rsidP="001F04FD">
      <w:pPr>
        <w:pStyle w:val="List"/>
        <w:ind w:left="2160"/>
      </w:pPr>
      <w:r w:rsidRPr="0013396E">
        <w:t>(iv)</w:t>
      </w:r>
      <w:r w:rsidRPr="0013396E">
        <w:tab/>
        <w:t>Permitted only if the BLT will not jeopardize the reliability of the ERCOT System.  Under an Emergency Notice, BLTs that have been implemented may be curtailed or terminated by ERCOT to maintain the reliability of the ERCOT System.</w:t>
      </w:r>
    </w:p>
    <w:p w14:paraId="23C06E45" w14:textId="77777777" w:rsidR="001F04FD" w:rsidRPr="0013396E" w:rsidRDefault="001F04FD" w:rsidP="001F04FD">
      <w:pPr>
        <w:pStyle w:val="List"/>
      </w:pPr>
      <w:r w:rsidRPr="0013396E">
        <w:t>(d)</w:t>
      </w:r>
      <w:r w:rsidRPr="0013396E">
        <w:tab/>
        <w:t>BLTs of Load from the ERCOT Control Area are:</w:t>
      </w:r>
    </w:p>
    <w:p w14:paraId="28530DF5" w14:textId="68639971" w:rsidR="001F04FD" w:rsidRPr="0013396E" w:rsidRDefault="001F04FD" w:rsidP="001F04FD">
      <w:pPr>
        <w:pStyle w:val="List"/>
        <w:ind w:left="2160"/>
      </w:pPr>
      <w:r w:rsidRPr="0013396E">
        <w:t>(i)</w:t>
      </w:r>
      <w:r w:rsidRPr="0013396E">
        <w:tab/>
        <w:t xml:space="preserve">Treated as </w:t>
      </w:r>
      <w:r w:rsidR="00C830CE" w:rsidRPr="0013396E">
        <w:t>generation</w:t>
      </w:r>
      <w:r w:rsidRPr="0013396E">
        <w:t xml:space="preserve"> </w:t>
      </w:r>
      <w:r w:rsidR="00C830CE" w:rsidRPr="0013396E">
        <w:t xml:space="preserve">and Load </w:t>
      </w:r>
      <w:r w:rsidRPr="0013396E">
        <w:t xml:space="preserve">in the ERCOT Settlement system </w:t>
      </w:r>
      <w:r w:rsidR="00C830CE" w:rsidRPr="0013396E">
        <w:t>unless the Load is in a NOIE territory and the NOIE has opted for the Load transfer to be treated as a NOIE Load reduction by not submitting a Settlement Block Load Transfer Registration Form.  BLTs</w:t>
      </w:r>
      <w:r w:rsidRPr="0013396E">
        <w:t xml:space="preserve"> may only be instructed with the permission of the affected non-ERCOT Control Area.  Under an </w:t>
      </w:r>
      <w:r w:rsidR="00C830CE" w:rsidRPr="0013396E">
        <w:t>e</w:t>
      </w:r>
      <w:r w:rsidRPr="0013396E">
        <w:t xml:space="preserve">mergency </w:t>
      </w:r>
      <w:r w:rsidR="00C830CE" w:rsidRPr="0013396E">
        <w:t>c</w:t>
      </w:r>
      <w:r w:rsidRPr="0013396E">
        <w:t>ondition</w:t>
      </w:r>
      <w:r w:rsidR="00C830CE" w:rsidRPr="0013396E">
        <w:t xml:space="preserve"> in a non-ERCOT Control Area</w:t>
      </w:r>
      <w:r w:rsidRPr="0013396E">
        <w:t>, BLTs that have been implemented may be curtailed or terminated by the non-ERCOT Control Area to maintain the reliability of the non-ERCOT system;</w:t>
      </w:r>
    </w:p>
    <w:p w14:paraId="154B2F06" w14:textId="77777777" w:rsidR="001F04FD" w:rsidRPr="0013396E" w:rsidRDefault="001F04FD" w:rsidP="001F04FD">
      <w:pPr>
        <w:pStyle w:val="List"/>
        <w:ind w:left="2160"/>
      </w:pPr>
      <w:r w:rsidRPr="0013396E">
        <w:t>(ii)</w:t>
      </w:r>
      <w:r w:rsidRPr="0013396E">
        <w:tab/>
        <w:t>Registered in accordance with Section 6.5.9.5.1 by the TSP in the ERCOT Control Area responsible for implementing the BLT; and</w:t>
      </w:r>
    </w:p>
    <w:p w14:paraId="0057A372" w14:textId="77777777" w:rsidR="001F04FD" w:rsidRPr="0013396E" w:rsidRDefault="001F04FD" w:rsidP="001F04FD">
      <w:pPr>
        <w:pStyle w:val="List"/>
        <w:ind w:left="2160"/>
      </w:pPr>
      <w:r w:rsidRPr="0013396E">
        <w:t>(iii)</w:t>
      </w:r>
      <w:r w:rsidRPr="0013396E">
        <w:tab/>
        <w:t>Permitted only if the BLT will not jeopardize the reliability of the ERCOT System.</w:t>
      </w:r>
    </w:p>
    <w:p w14:paraId="3D25EA9C" w14:textId="77777777" w:rsidR="001F04FD" w:rsidRPr="0013396E" w:rsidRDefault="001F04FD" w:rsidP="001F04FD">
      <w:pPr>
        <w:pStyle w:val="List"/>
      </w:pPr>
      <w:r w:rsidRPr="0013396E">
        <w:t>(e)</w:t>
      </w:r>
      <w:r w:rsidRPr="0013396E">
        <w:tab/>
        <w:t>BLTs specifically exclude transfers of Load between ERCOT and non-ERCOT Control Areas that occur behind a retail Settlement Meter.</w:t>
      </w:r>
    </w:p>
    <w:p w14:paraId="72A6443A" w14:textId="77777777" w:rsidR="001F04FD" w:rsidRPr="0013396E" w:rsidRDefault="001F04FD" w:rsidP="001F04FD">
      <w:pPr>
        <w:pStyle w:val="List"/>
      </w:pPr>
      <w:r w:rsidRPr="0013396E">
        <w:t>(f)</w:t>
      </w:r>
      <w:r w:rsidRPr="0013396E">
        <w:tab/>
        <w:t>BLTs may be used in the restoration of service to Customers if the transfers will not jeopardize the reliability of the ERCOT System.</w:t>
      </w:r>
    </w:p>
    <w:p w14:paraId="6F946053" w14:textId="58CBE2CE" w:rsidR="001F04FD" w:rsidRPr="0013396E" w:rsidRDefault="001F04FD" w:rsidP="001F04FD">
      <w:pPr>
        <w:pStyle w:val="List"/>
      </w:pPr>
      <w:r w:rsidRPr="0013396E">
        <w:t>(g)</w:t>
      </w:r>
      <w:r w:rsidRPr="0013396E">
        <w:tab/>
      </w:r>
      <w:r w:rsidR="00C830CE" w:rsidRPr="0013396E">
        <w:t xml:space="preserve">For any BLT established in a TDSP area that is open to Customer Choice, the TDSP must register the BLT metering point for Settlement.  For any BLT </w:t>
      </w:r>
      <w:r w:rsidR="00C830CE" w:rsidRPr="0013396E">
        <w:lastRenderedPageBreak/>
        <w:t xml:space="preserve">established in a NOIE territory, the NOIE may either register the BLT for Settlement or may forgo registration and have the Load transfer settled as a Load increase or reduction.  As a condition for Settlement, a BLT must be registered using the Settlement Block Load Transfer Registration Form found on the ERCOT website, and each BLT metering point must use revenue quality, 15-minute Interval Data Recorder (IDR) Meters.  </w:t>
      </w:r>
      <w:r w:rsidRPr="0013396E">
        <w:t xml:space="preserve">  ERCOT may impose additional metering requirements it considers necessary to ensure ERCOT System reliability and integrity.</w:t>
      </w:r>
    </w:p>
    <w:p w14:paraId="2A4048B7" w14:textId="77777777" w:rsidR="001F04FD" w:rsidRPr="0013396E" w:rsidRDefault="001F04FD" w:rsidP="001F04FD">
      <w:pPr>
        <w:pStyle w:val="List"/>
        <w:spacing w:after="480"/>
      </w:pPr>
      <w:r w:rsidRPr="0013396E">
        <w:t>(h)</w:t>
      </w:r>
      <w:r w:rsidRPr="0013396E">
        <w:tab/>
        <w:t>SCADA telemetry on switching devices at BLT points that are deemed necessary by ERCOT to be modeled in the Network Operations Model must be provided by the TSP registering the BLT.</w:t>
      </w:r>
    </w:p>
    <w:p w14:paraId="7F3251FE" w14:textId="77777777" w:rsidR="001F04FD" w:rsidRPr="0013396E" w:rsidRDefault="001F04FD" w:rsidP="001F04FD">
      <w:pPr>
        <w:pStyle w:val="H5"/>
      </w:pPr>
      <w:bookmarkStart w:id="1285" w:name="_Toc74137369"/>
      <w:bookmarkStart w:id="1286" w:name="_Toc397504996"/>
      <w:bookmarkStart w:id="1287" w:name="_Toc402357124"/>
      <w:bookmarkStart w:id="1288" w:name="_Toc422486504"/>
      <w:bookmarkStart w:id="1289" w:name="_Toc433093356"/>
      <w:bookmarkStart w:id="1290" w:name="_Toc433093514"/>
      <w:bookmarkStart w:id="1291" w:name="_Toc440874742"/>
      <w:bookmarkStart w:id="1292" w:name="_Toc448142297"/>
      <w:bookmarkStart w:id="1293" w:name="_Toc448142454"/>
      <w:bookmarkStart w:id="1294" w:name="_Toc458770291"/>
      <w:bookmarkStart w:id="1295" w:name="_Toc459294259"/>
      <w:bookmarkStart w:id="1296" w:name="_Toc463262752"/>
      <w:bookmarkStart w:id="1297" w:name="_Toc468286825"/>
      <w:bookmarkStart w:id="1298" w:name="_Toc481502871"/>
      <w:bookmarkStart w:id="1299" w:name="_Toc496080039"/>
      <w:bookmarkStart w:id="1300" w:name="_Toc214878942"/>
      <w:r w:rsidRPr="0013396E">
        <w:t>6.5.9.5.1</w:t>
      </w:r>
      <w:r w:rsidRPr="0013396E">
        <w:tab/>
        <w:t>Registration and Posting of BLT Points</w:t>
      </w:r>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p>
    <w:p w14:paraId="48808259" w14:textId="77777777" w:rsidR="001F04FD" w:rsidRPr="0013396E" w:rsidRDefault="001F04FD" w:rsidP="001F04FD">
      <w:pPr>
        <w:pStyle w:val="BodyTextNumbered"/>
      </w:pPr>
      <w:r w:rsidRPr="0013396E">
        <w:t>(1)</w:t>
      </w:r>
      <w:r w:rsidRPr="0013396E">
        <w:tab/>
        <w:t>The necessary Market Participant registration, agreements, metering, and ERCOT Settlement systems, as applicable, must be in place before implementation of any BLT.  At its sole discretion, ERCOT may exclude a BLT of ten MW or less from the Network Operations Model and associated telemetry requirements.</w:t>
      </w:r>
    </w:p>
    <w:p w14:paraId="05155A97" w14:textId="77777777" w:rsidR="001F04FD" w:rsidRPr="0013396E" w:rsidRDefault="001F04FD" w:rsidP="001F04FD">
      <w:pPr>
        <w:pStyle w:val="BodyTextNumbered"/>
      </w:pPr>
      <w:r w:rsidRPr="0013396E">
        <w:t>(2)</w:t>
      </w:r>
      <w:r w:rsidRPr="0013396E">
        <w:tab/>
        <w:t>ERCOT may require any size of BLT that has been deployed in accordance with Section 6.5.9.5.2, Scheduling and Operation of BLTs, to be in the Network Operations Model with required telemetry if ERCOT determines it is warranted due to the length of time deployed.</w:t>
      </w:r>
    </w:p>
    <w:p w14:paraId="1F41068F" w14:textId="5F3AECF5" w:rsidR="001F04FD" w:rsidRPr="0013396E" w:rsidRDefault="001F04FD" w:rsidP="001F04FD">
      <w:pPr>
        <w:pStyle w:val="BodyTextNumbered"/>
      </w:pPr>
      <w:r w:rsidRPr="0013396E">
        <w:t>(3)</w:t>
      </w:r>
      <w:r w:rsidRPr="0013396E">
        <w:tab/>
        <w:t xml:space="preserve">BLTs that transfer Load from the ERCOT Control Area to a non-ERCOT Control Area are treated as </w:t>
      </w:r>
      <w:r w:rsidR="00C830CE" w:rsidRPr="0013396E">
        <w:t>generation</w:t>
      </w:r>
      <w:r w:rsidRPr="0013396E">
        <w:t xml:space="preserve"> </w:t>
      </w:r>
      <w:r w:rsidR="00C830CE" w:rsidRPr="0013396E">
        <w:t xml:space="preserve">and Load </w:t>
      </w:r>
      <w:r w:rsidRPr="0013396E">
        <w:t xml:space="preserve">by ERCOT and assigned a Resource ID </w:t>
      </w:r>
      <w:r w:rsidR="00C830CE" w:rsidRPr="0013396E">
        <w:t xml:space="preserve">and, if in a NOIE territory, an ESI ID </w:t>
      </w:r>
      <w:r w:rsidRPr="0013396E">
        <w:t xml:space="preserve">unless </w:t>
      </w:r>
      <w:r w:rsidR="00C830CE" w:rsidRPr="0013396E">
        <w:t>the Load is in a NOIE territory and the NOIE has not registered the BLT for Settlement pursuant to paragraph (1)(g) of Section 6.5.9.5, Block Load Transfers between ERCOT and Non-ERCOT Control Areas</w:t>
      </w:r>
      <w:r w:rsidRPr="0013396E">
        <w:t xml:space="preserve">.  The ERCOT Control Area TSP or DSP associated with the BLT Point has the responsibility for registering the BLT and the creation and maintenance of BLT Resource IDs for Settlement purposes.  For </w:t>
      </w:r>
      <w:r w:rsidR="00C830CE" w:rsidRPr="0013396E">
        <w:t xml:space="preserve">any </w:t>
      </w:r>
      <w:r w:rsidRPr="0013396E">
        <w:t xml:space="preserve">BLT </w:t>
      </w:r>
      <w:r w:rsidR="00C830CE" w:rsidRPr="0013396E">
        <w:t xml:space="preserve">that a </w:t>
      </w:r>
      <w:r w:rsidRPr="0013396E">
        <w:t xml:space="preserve">NOIE </w:t>
      </w:r>
      <w:r w:rsidR="00C830CE" w:rsidRPr="0013396E">
        <w:t>has registered for Settlement</w:t>
      </w:r>
      <w:r w:rsidRPr="0013396E">
        <w:t xml:space="preserve">, the NOIE </w:t>
      </w:r>
      <w:r w:rsidR="00C830CE" w:rsidRPr="0013396E">
        <w:t>shall</w:t>
      </w:r>
      <w:r w:rsidRPr="0013396E">
        <w:t xml:space="preserve"> designate NOIE metering point(s), a Resource Entity, and a QSE for Settlement purposes.  For BLTs occurring on TSP or DSP systems open to Customer Choice, the non-ERCOT Control Area Entity receiving the transferred Load shall designate a registered Resource Entity and acknowledge a QSE for Settlement purposes in accordance with Section 16.5, Registration of a Resource Entity.  The ERCOT Control Area TSP or DSP must complete the applicable BLT registration form.  This BLT registration form along with the metering design and data documentation is the basis for establishing the ERCOT data model of the BLT and associated metering points for Settlement as applicable.</w:t>
      </w:r>
    </w:p>
    <w:p w14:paraId="1CA55C2A" w14:textId="319D365C" w:rsidR="001F04FD" w:rsidRPr="0013396E" w:rsidRDefault="001F04FD" w:rsidP="001F04FD">
      <w:pPr>
        <w:pStyle w:val="BodyTextNumbered"/>
      </w:pPr>
      <w:r w:rsidRPr="0013396E">
        <w:t>(4)</w:t>
      </w:r>
      <w:r w:rsidRPr="0013396E">
        <w:tab/>
        <w:t xml:space="preserve">BLTs that transfer Load from a non-ERCOT Control Area to the ERCOT Control Area are treated as a non-competitive wholesale Load by ERCOT and assigned an ESI ID </w:t>
      </w:r>
      <w:r w:rsidR="00C830CE" w:rsidRPr="0013396E">
        <w:t>unless the BLT is in a NOIE territory and the NOIE has not registered the BLT for Settlement</w:t>
      </w:r>
      <w:r w:rsidRPr="0013396E">
        <w:t xml:space="preserve">.  The ERCOT Control Area TSP or DSP associated with the BLT Point has </w:t>
      </w:r>
      <w:r w:rsidRPr="0013396E">
        <w:lastRenderedPageBreak/>
        <w:t>the responsibility for registering the BLT and the creation and maintenance of BLT ESI IDs.  Customers connected to the ERCOT System do not require an ESI ID separate from the assigned BLT ESI ID.  The TSP or DSP that registers the BLT Point shall provide the ESI ID associated with the BLT to ERCOT.  For BLTs occurring on NOIE TSP or DSP systems, the NOIE may designate NOIE metering point(s), an LSE, and a QSE for Settlement purposes.  Load associated with NOIE BLTs that do not have an LSE or QSE for Settlement purposes will be reflected in the NOIE’s 4-Coincident Peak (4-CP) calculation.  For BLTs occurring on TSP or DSP systems open to Customer Choice, the non-ERCOT Control Area Entity shall designate a registered ERCOT LSE and acknowledge a QSE for Settlement purposes in accordance with Section 16.3, Registration of Load Serving Entities.</w:t>
      </w:r>
    </w:p>
    <w:p w14:paraId="0ECD844A" w14:textId="77777777" w:rsidR="001F04FD" w:rsidRPr="0013396E" w:rsidRDefault="001F04FD" w:rsidP="001F04FD">
      <w:pPr>
        <w:pStyle w:val="BodyTextNumbered"/>
      </w:pPr>
      <w:r w:rsidRPr="0013396E">
        <w:t>(5)</w:t>
      </w:r>
      <w:r w:rsidRPr="0013396E">
        <w:tab/>
        <w:t>A “BLT Point” is the metering point for a BLT Resource ID or for a BLT ESI ID.</w:t>
      </w:r>
    </w:p>
    <w:p w14:paraId="7D58B3DD" w14:textId="77777777" w:rsidR="001F04FD" w:rsidRPr="0013396E" w:rsidRDefault="001F04FD" w:rsidP="00AC4DE5">
      <w:pPr>
        <w:pStyle w:val="BodyTextNumbered"/>
      </w:pPr>
      <w:r w:rsidRPr="0013396E">
        <w:t>(6)</w:t>
      </w:r>
      <w:r w:rsidRPr="0013396E">
        <w:tab/>
        <w:t>ERCOT shall post the registration details of all registered BLTs to the MIS Secure Area.</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445"/>
      </w:tblGrid>
      <w:tr w:rsidR="00AC4DE5" w:rsidRPr="0013396E" w14:paraId="505F752E" w14:textId="77777777" w:rsidTr="00AE5CE8">
        <w:trPr>
          <w:trHeight w:val="206"/>
        </w:trPr>
        <w:tc>
          <w:tcPr>
            <w:tcW w:w="9445" w:type="dxa"/>
            <w:shd w:val="pct12" w:color="auto" w:fill="auto"/>
          </w:tcPr>
          <w:p w14:paraId="12BA5EB5" w14:textId="62608F6B" w:rsidR="00AC4DE5" w:rsidRPr="0013396E" w:rsidRDefault="00AC4DE5" w:rsidP="00AE5CE8">
            <w:pPr>
              <w:pStyle w:val="Instructions"/>
              <w:spacing w:before="120"/>
            </w:pPr>
            <w:bookmarkStart w:id="1301" w:name="_Toc397504997"/>
            <w:bookmarkStart w:id="1302" w:name="_Toc402357125"/>
            <w:bookmarkStart w:id="1303" w:name="_Toc422486505"/>
            <w:bookmarkStart w:id="1304" w:name="_Toc433093357"/>
            <w:bookmarkStart w:id="1305" w:name="_Toc433093515"/>
            <w:bookmarkStart w:id="1306" w:name="_Toc440874743"/>
            <w:bookmarkStart w:id="1307" w:name="_Toc448142298"/>
            <w:bookmarkStart w:id="1308" w:name="_Toc448142455"/>
            <w:bookmarkStart w:id="1309" w:name="_Toc458770292"/>
            <w:bookmarkStart w:id="1310" w:name="_Toc459294260"/>
            <w:bookmarkStart w:id="1311" w:name="_Toc463262753"/>
            <w:bookmarkStart w:id="1312" w:name="_Toc468286826"/>
            <w:bookmarkStart w:id="1313" w:name="_Toc481502872"/>
            <w:bookmarkStart w:id="1314" w:name="_Toc496080040"/>
            <w:r w:rsidRPr="0013396E">
              <w:t>[NPRR1239:  Replace paragraph (6) above with the following upon system implementation:]</w:t>
            </w:r>
          </w:p>
          <w:p w14:paraId="12CFFE67" w14:textId="05726D43" w:rsidR="00AC4DE5" w:rsidRPr="0013396E" w:rsidRDefault="00AC4DE5" w:rsidP="00AC4DE5">
            <w:pPr>
              <w:pStyle w:val="BodyTextNumbered"/>
              <w:rPr>
                <w:iCs/>
              </w:rPr>
            </w:pPr>
            <w:r w:rsidRPr="0013396E">
              <w:t>(6)</w:t>
            </w:r>
            <w:r w:rsidRPr="0013396E">
              <w:tab/>
              <w:t>ERCOT shall post the registration details of all registered BLTs to the ERCOT website.</w:t>
            </w:r>
          </w:p>
        </w:tc>
      </w:tr>
    </w:tbl>
    <w:p w14:paraId="4EF93333" w14:textId="77777777" w:rsidR="001F04FD" w:rsidRPr="0013396E" w:rsidRDefault="001F04FD" w:rsidP="00952F33">
      <w:pPr>
        <w:pStyle w:val="H5"/>
        <w:spacing w:before="480"/>
      </w:pPr>
      <w:bookmarkStart w:id="1315" w:name="_Toc214878943"/>
      <w:r w:rsidRPr="0013396E">
        <w:t>6.5.9.5.2</w:t>
      </w:r>
      <w:r w:rsidRPr="0013396E">
        <w:tab/>
        <w:t>Scheduling and Operation of BLTs</w:t>
      </w:r>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p>
    <w:p w14:paraId="492E0691" w14:textId="5694FF4E" w:rsidR="001F04FD" w:rsidRPr="0013396E" w:rsidRDefault="001F04FD" w:rsidP="001F04FD">
      <w:pPr>
        <w:pStyle w:val="BodyTextNumbered"/>
      </w:pPr>
      <w:r w:rsidRPr="0013396E">
        <w:t>(1)</w:t>
      </w:r>
      <w:r w:rsidRPr="0013396E">
        <w:tab/>
        <w:t>For BLTs that are deployed in an emergency and are not modeled in the Network Operations Model, the responsible TSP shall notify ERCOT as soon as practicable after deployment.</w:t>
      </w:r>
    </w:p>
    <w:p w14:paraId="5608960D" w14:textId="77777777" w:rsidR="00C830CE" w:rsidRPr="0013396E" w:rsidRDefault="00C830CE" w:rsidP="00C830CE">
      <w:pPr>
        <w:pStyle w:val="BodyTextNumbered"/>
      </w:pPr>
      <w:r w:rsidRPr="0013396E">
        <w:t>(2)</w:t>
      </w:r>
      <w:r w:rsidRPr="0013396E">
        <w:tab/>
        <w:t>For BLTs that transfer Load to a non-ERCOT Control Area, ERCOT shall confirm the BLT’s availability with the non-ERCOT Control Area before implementation.</w:t>
      </w:r>
    </w:p>
    <w:p w14:paraId="05BEB6C1" w14:textId="2D13477A" w:rsidR="001F04FD" w:rsidRPr="0013396E" w:rsidRDefault="001F04FD" w:rsidP="00C830CE">
      <w:pPr>
        <w:pStyle w:val="BodyTextNumbered"/>
      </w:pPr>
      <w:r w:rsidRPr="0013396E">
        <w:t>(</w:t>
      </w:r>
      <w:r w:rsidR="00C830CE" w:rsidRPr="0013396E">
        <w:t>3</w:t>
      </w:r>
      <w:r w:rsidRPr="0013396E">
        <w:t>)</w:t>
      </w:r>
      <w:r w:rsidRPr="0013396E">
        <w:tab/>
        <w:t>Any energy associated with the non-ERCOT Control Area Load BLT Point is treated as a Load obligation of the QSE representing the LSE with the BLT ESI ID as registered for Settlement purposes in accordance with Section 6.5.9.5.1</w:t>
      </w:r>
      <w:r w:rsidR="005755D9" w:rsidRPr="0013396E">
        <w:t>, Registration and Posting of BLT Points</w:t>
      </w:r>
      <w:r w:rsidRPr="0013396E">
        <w:t>.</w:t>
      </w:r>
    </w:p>
    <w:p w14:paraId="4183C9AE" w14:textId="77777777" w:rsidR="001F04FD" w:rsidRPr="0013396E" w:rsidRDefault="001F04FD" w:rsidP="001F04FD">
      <w:pPr>
        <w:pStyle w:val="H4"/>
      </w:pPr>
      <w:bookmarkStart w:id="1316" w:name="_Toc397504998"/>
      <w:bookmarkStart w:id="1317" w:name="_Toc402357126"/>
      <w:bookmarkStart w:id="1318" w:name="_Toc422486506"/>
      <w:bookmarkStart w:id="1319" w:name="_Toc433093358"/>
      <w:bookmarkStart w:id="1320" w:name="_Toc433093516"/>
      <w:bookmarkStart w:id="1321" w:name="_Toc440874744"/>
      <w:bookmarkStart w:id="1322" w:name="_Toc448142299"/>
      <w:bookmarkStart w:id="1323" w:name="_Toc448142456"/>
      <w:bookmarkStart w:id="1324" w:name="_Toc458770293"/>
      <w:bookmarkStart w:id="1325" w:name="_Toc459294261"/>
      <w:bookmarkStart w:id="1326" w:name="_Toc463262754"/>
      <w:bookmarkStart w:id="1327" w:name="_Toc468286827"/>
      <w:bookmarkStart w:id="1328" w:name="_Toc481502873"/>
      <w:bookmarkStart w:id="1329" w:name="_Toc496080041"/>
      <w:bookmarkStart w:id="1330" w:name="_Toc214878944"/>
      <w:bookmarkStart w:id="1331" w:name="_Toc73216033"/>
      <w:r w:rsidRPr="0013396E">
        <w:t>6.5.9.6</w:t>
      </w:r>
      <w:r w:rsidRPr="0013396E">
        <w:tab/>
        <w:t>Black Start</w:t>
      </w:r>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p>
    <w:p w14:paraId="77DCF858" w14:textId="77777777" w:rsidR="001F04FD" w:rsidRPr="0013396E" w:rsidRDefault="001F04FD" w:rsidP="001F04FD">
      <w:pPr>
        <w:pStyle w:val="BodyTextNumbered"/>
      </w:pPr>
      <w:r w:rsidRPr="0013396E">
        <w:t>(1)</w:t>
      </w:r>
      <w:r w:rsidRPr="0013396E">
        <w:tab/>
        <w:t>Black Start Service (BSS) is obtained by ERCOT through Black Start Agreements with QSEs for Generation Resources capable of self-starting or Generation Resources within close proximity of a non-ERCOT Control Area that are capable of starting from that non-ERCOT Control Area under a firm standby power supply contract, without support from the ERCOT System, or transmission equipment in the ERCOT System.  Generation Resources that can be started with a minimum of pre-coordinated switching operations using ERCOT transmission equipment within the ERCOT System may be considered for BSS only where switching may be accomplished within one hour or less.</w:t>
      </w:r>
    </w:p>
    <w:p w14:paraId="73302EFE" w14:textId="77777777" w:rsidR="001F04FD" w:rsidRPr="0013396E" w:rsidRDefault="001F04FD" w:rsidP="001F04FD">
      <w:pPr>
        <w:pStyle w:val="BodyTextNumbered"/>
        <w:spacing w:after="480"/>
      </w:pPr>
      <w:r w:rsidRPr="0013396E">
        <w:lastRenderedPageBreak/>
        <w:t>(2)</w:t>
      </w:r>
      <w:r w:rsidRPr="0013396E">
        <w:tab/>
        <w:t xml:space="preserve">ERCOT may Dispatch BSS pursuant to an emergency restoration plan to begin restoration of the ERCOT System to a secure operating state after a Blackout.  General restoration actions for all Market Participants are described in the Operating Guides.  </w:t>
      </w:r>
    </w:p>
    <w:p w14:paraId="1A87BD30" w14:textId="77777777" w:rsidR="001F04FD" w:rsidRPr="0013396E" w:rsidRDefault="001F04FD" w:rsidP="001F04FD">
      <w:pPr>
        <w:pStyle w:val="H2"/>
        <w:spacing w:after="480"/>
        <w:ind w:left="907" w:hanging="907"/>
      </w:pPr>
      <w:bookmarkStart w:id="1332" w:name="_Toc397504999"/>
      <w:bookmarkStart w:id="1333" w:name="_Toc402357127"/>
      <w:bookmarkStart w:id="1334" w:name="_Toc422486507"/>
      <w:bookmarkStart w:id="1335" w:name="_Toc433093359"/>
      <w:bookmarkStart w:id="1336" w:name="_Toc433093517"/>
      <w:bookmarkStart w:id="1337" w:name="_Toc440874745"/>
      <w:bookmarkStart w:id="1338" w:name="_Toc448142300"/>
      <w:bookmarkStart w:id="1339" w:name="_Toc448142457"/>
      <w:bookmarkStart w:id="1340" w:name="_Toc458770294"/>
      <w:bookmarkStart w:id="1341" w:name="_Toc459294262"/>
      <w:bookmarkStart w:id="1342" w:name="_Toc463262755"/>
      <w:bookmarkStart w:id="1343" w:name="_Toc468286828"/>
      <w:bookmarkStart w:id="1344" w:name="_Toc481502874"/>
      <w:bookmarkStart w:id="1345" w:name="_Toc496080042"/>
      <w:bookmarkStart w:id="1346" w:name="_Toc214878945"/>
      <w:bookmarkEnd w:id="1331"/>
      <w:r w:rsidRPr="0013396E">
        <w:t>6.6</w:t>
      </w:r>
      <w:r w:rsidRPr="0013396E">
        <w:tab/>
        <w:t>Settlement Calculations for the Real-Time Energy Operations</w:t>
      </w:r>
      <w:bookmarkEnd w:id="1233"/>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p>
    <w:p w14:paraId="6471981A" w14:textId="77777777" w:rsidR="001F04FD" w:rsidRPr="0013396E" w:rsidRDefault="001F04FD" w:rsidP="001F04FD">
      <w:pPr>
        <w:spacing w:before="240" w:after="240"/>
        <w:outlineLvl w:val="2"/>
      </w:pPr>
      <w:bookmarkStart w:id="1347" w:name="_Toc397505000"/>
      <w:bookmarkStart w:id="1348" w:name="_Toc402357128"/>
      <w:bookmarkStart w:id="1349" w:name="_Toc422486508"/>
      <w:bookmarkStart w:id="1350" w:name="_Toc433093360"/>
      <w:bookmarkStart w:id="1351" w:name="_Toc433093518"/>
      <w:bookmarkStart w:id="1352" w:name="_Toc440874746"/>
      <w:bookmarkStart w:id="1353" w:name="_Toc448142301"/>
      <w:bookmarkStart w:id="1354" w:name="_Toc448142458"/>
      <w:bookmarkStart w:id="1355" w:name="_Toc458770295"/>
      <w:bookmarkStart w:id="1356" w:name="_Toc459294263"/>
      <w:bookmarkStart w:id="1357" w:name="_Toc463262756"/>
      <w:bookmarkStart w:id="1358" w:name="_Toc468286829"/>
      <w:bookmarkStart w:id="1359" w:name="_Toc481502875"/>
      <w:bookmarkStart w:id="1360" w:name="_Toc496080043"/>
      <w:bookmarkStart w:id="1361" w:name="_Toc214878946"/>
      <w:bookmarkStart w:id="1362" w:name="_Toc87951783"/>
      <w:bookmarkStart w:id="1363" w:name="_Toc109009380"/>
      <w:r w:rsidRPr="0013396E">
        <w:rPr>
          <w:b/>
          <w:i/>
        </w:rPr>
        <w:t>6.6.1</w:t>
      </w:r>
      <w:r w:rsidRPr="0013396E">
        <w:rPr>
          <w:b/>
          <w:i/>
        </w:rPr>
        <w:tab/>
        <w:t>Real-Time Settlement Point Prices</w:t>
      </w:r>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p>
    <w:bookmarkEnd w:id="1362"/>
    <w:bookmarkEnd w:id="1363"/>
    <w:p w14:paraId="74E50A17" w14:textId="1BFEC50E" w:rsidR="001F04FD" w:rsidRPr="0013396E" w:rsidRDefault="001F04FD" w:rsidP="001F04FD">
      <w:pPr>
        <w:spacing w:after="240"/>
        <w:ind w:left="720" w:hanging="720"/>
      </w:pPr>
      <w:r w:rsidRPr="0013396E">
        <w:t>(1)</w:t>
      </w:r>
      <w:r w:rsidRPr="0013396E">
        <w:tab/>
      </w:r>
      <w:r w:rsidR="00636C61" w:rsidRPr="0013396E">
        <w:t>Real-Time energy Settlements use Real-Time Settlement Point Prices that are calculated for Resource Nodes, Load Zones, and Hubs.  For each Security-Constrained Economic Dispatch (SCED) Locational Marginal Price (LMP) calculated at each Settlement Point in the SCED process, an administrative price floor of -$251/MWh will be applied to Real-Time Settlement Point Prices after adding the Real-Time Reliability Deployment Price Adders for Energy.  ERCOT shall assign an LMP to de-energized Electrical Buses for use in the calculation of the Real-Time Settlement Point Prices by using heuristic rules applied in the following order:</w:t>
      </w:r>
    </w:p>
    <w:p w14:paraId="11C0FCBC" w14:textId="3D0EEFFC" w:rsidR="001F04FD" w:rsidRPr="0013396E" w:rsidRDefault="001F04FD" w:rsidP="005A7D8E">
      <w:pPr>
        <w:pStyle w:val="BodyTextNumbered"/>
        <w:ind w:left="1440"/>
      </w:pPr>
      <w:r w:rsidRPr="0013396E">
        <w:t>(a)</w:t>
      </w:r>
      <w:r w:rsidRPr="0013396E">
        <w:tab/>
        <w:t>Use an appropriate LMP predetermined by ERCOT as applicable to a specific Electrical Bus; or if not so specified</w:t>
      </w:r>
    </w:p>
    <w:p w14:paraId="33AC6CD3" w14:textId="77777777" w:rsidR="001F04FD" w:rsidRPr="0013396E" w:rsidRDefault="001F04FD" w:rsidP="001F04FD">
      <w:pPr>
        <w:pStyle w:val="BodyTextNumbered"/>
        <w:ind w:left="1440"/>
      </w:pPr>
      <w:r w:rsidRPr="0013396E">
        <w:t>(b)</w:t>
      </w:r>
      <w:r w:rsidRPr="0013396E">
        <w:tab/>
        <w:t>Use the following rules in order:</w:t>
      </w:r>
    </w:p>
    <w:p w14:paraId="78D79ACA" w14:textId="77777777" w:rsidR="001F04FD" w:rsidRPr="0013396E" w:rsidRDefault="001F04FD" w:rsidP="001F04FD">
      <w:pPr>
        <w:pStyle w:val="List"/>
        <w:ind w:left="2160"/>
      </w:pPr>
      <w:r w:rsidRPr="0013396E">
        <w:t>(i)</w:t>
      </w:r>
      <w:r w:rsidRPr="0013396E">
        <w:tab/>
        <w:t>Use average LMP for Electrical Buses within the same station having the same voltage level as the de-energized Electrical Bus, if any exist.</w:t>
      </w:r>
    </w:p>
    <w:p w14:paraId="025A23CF" w14:textId="77777777" w:rsidR="001F04FD" w:rsidRPr="0013396E" w:rsidRDefault="001F04FD" w:rsidP="001F04FD">
      <w:pPr>
        <w:pStyle w:val="BodyText"/>
        <w:ind w:left="2160" w:hanging="720"/>
      </w:pPr>
      <w:r w:rsidRPr="0013396E">
        <w:t>(ii)</w:t>
      </w:r>
      <w:r w:rsidRPr="0013396E">
        <w:tab/>
        <w:t>Use average LMP for all Electrical Buses within the same station, if any exist.</w:t>
      </w:r>
    </w:p>
    <w:p w14:paraId="571C6961" w14:textId="77777777" w:rsidR="001F04FD" w:rsidRPr="0013396E" w:rsidRDefault="001F04FD" w:rsidP="001F04FD">
      <w:pPr>
        <w:pStyle w:val="BodyText"/>
        <w:ind w:left="1440"/>
      </w:pPr>
      <w:r w:rsidRPr="0013396E">
        <w:t>(iii)</w:t>
      </w:r>
      <w:r w:rsidRPr="0013396E">
        <w:tab/>
        <w:t>Use System Lambda.</w:t>
      </w:r>
    </w:p>
    <w:p w14:paraId="78039C62" w14:textId="77777777" w:rsidR="001F04FD" w:rsidRPr="0013396E" w:rsidRDefault="001F04FD" w:rsidP="001F04FD">
      <w:pPr>
        <w:pStyle w:val="H4"/>
        <w:ind w:left="1267" w:hanging="1267"/>
      </w:pPr>
      <w:bookmarkStart w:id="1364" w:name="_Toc103653332"/>
      <w:bookmarkStart w:id="1365" w:name="_Toc109009381"/>
      <w:bookmarkStart w:id="1366" w:name="_Toc397505002"/>
      <w:bookmarkStart w:id="1367" w:name="_Toc402357130"/>
      <w:bookmarkStart w:id="1368" w:name="_Toc422486509"/>
      <w:bookmarkStart w:id="1369" w:name="_Toc433093361"/>
      <w:bookmarkStart w:id="1370" w:name="_Toc433093519"/>
      <w:bookmarkStart w:id="1371" w:name="_Toc440874747"/>
      <w:bookmarkStart w:id="1372" w:name="_Toc448142302"/>
      <w:bookmarkStart w:id="1373" w:name="_Toc448142459"/>
      <w:bookmarkStart w:id="1374" w:name="_Toc458770296"/>
      <w:bookmarkStart w:id="1375" w:name="_Toc459294264"/>
      <w:bookmarkStart w:id="1376" w:name="_Toc463262757"/>
      <w:bookmarkStart w:id="1377" w:name="_Toc468286830"/>
      <w:bookmarkStart w:id="1378" w:name="_Toc481502876"/>
      <w:bookmarkStart w:id="1379" w:name="_Toc496080044"/>
      <w:bookmarkStart w:id="1380" w:name="_Toc214878947"/>
      <w:r w:rsidRPr="0013396E">
        <w:t>6.6.1.1</w:t>
      </w:r>
      <w:r w:rsidRPr="0013396E">
        <w:tab/>
        <w:t>Real-Time Settlement Point Price for a Resource Node</w:t>
      </w:r>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p>
    <w:p w14:paraId="6CCD76DB" w14:textId="77777777" w:rsidR="00636C61" w:rsidRPr="0013396E" w:rsidRDefault="00636C61" w:rsidP="00636C61">
      <w:pPr>
        <w:spacing w:after="240"/>
        <w:ind w:left="720" w:hanging="720"/>
        <w:rPr>
          <w:b/>
          <w:i/>
          <w:iCs/>
        </w:rPr>
      </w:pPr>
      <w:r w:rsidRPr="0013396E">
        <w:t>(1)</w:t>
      </w:r>
      <w:r w:rsidRPr="0013396E">
        <w:tab/>
        <w:t>The Real-Time Settlement Point Price for a Resource Node Settlement Point is the time-weighted average of the sum of the Real-Time LMPs and the Real-Time Reliability Deployment Price Adder for Energy.  The Real-Time Settlement Point Price for a 15-minute Settlement Interval is calculated as follows:</w:t>
      </w:r>
    </w:p>
    <w:p w14:paraId="2155AE31" w14:textId="77777777" w:rsidR="00636C61" w:rsidRPr="0013396E" w:rsidRDefault="00636C61" w:rsidP="00636C61">
      <w:pPr>
        <w:tabs>
          <w:tab w:val="left" w:pos="2250"/>
          <w:tab w:val="left" w:pos="3150"/>
          <w:tab w:val="left" w:pos="3960"/>
        </w:tabs>
        <w:spacing w:after="240"/>
        <w:ind w:left="3960" w:hanging="3240"/>
        <w:rPr>
          <w:b/>
          <w:bCs/>
        </w:rPr>
      </w:pPr>
      <w:r w:rsidRPr="0013396E">
        <w:rPr>
          <w:b/>
          <w:bCs/>
        </w:rPr>
        <w:t>RTSPP</w:t>
      </w:r>
      <w:r w:rsidRPr="0013396E">
        <w:rPr>
          <w:b/>
          <w:bCs/>
        </w:rPr>
        <w:tab/>
        <w:t>=</w:t>
      </w:r>
      <w:r w:rsidRPr="0013396E">
        <w:rPr>
          <w:b/>
          <w:bCs/>
        </w:rPr>
        <w:tab/>
        <w:t>Max (-$251, (</w:t>
      </w:r>
      <w:r w:rsidRPr="0013396E">
        <w:rPr>
          <w:b/>
          <w:bCs/>
          <w:position w:val="-22"/>
        </w:rPr>
        <w:object w:dxaOrig="225" w:dyaOrig="465" w14:anchorId="78BB1221">
          <v:shape id="_x0000_i1027" type="#_x0000_t75" style="width:24pt;height:18.6pt" o:ole="">
            <v:imagedata r:id="rId18" o:title=""/>
          </v:shape>
          <o:OLEObject Type="Embed" ProgID="Equation.3" ShapeID="_x0000_i1027" DrawAspect="Content" ObjectID="_1836311306" r:id="rId19"/>
        </w:object>
      </w:r>
      <w:r w:rsidRPr="0013396E">
        <w:rPr>
          <w:b/>
          <w:bCs/>
        </w:rPr>
        <w:t xml:space="preserve">(RNWF </w:t>
      </w:r>
      <w:r w:rsidRPr="0013396E">
        <w:rPr>
          <w:b/>
          <w:bCs/>
          <w:i/>
          <w:vertAlign w:val="subscript"/>
        </w:rPr>
        <w:t>y</w:t>
      </w:r>
      <w:r w:rsidRPr="0013396E">
        <w:rPr>
          <w:b/>
          <w:bCs/>
        </w:rPr>
        <w:t xml:space="preserve"> * (RTLMP </w:t>
      </w:r>
      <w:r w:rsidRPr="0013396E">
        <w:rPr>
          <w:b/>
          <w:bCs/>
          <w:i/>
          <w:vertAlign w:val="subscript"/>
        </w:rPr>
        <w:t xml:space="preserve">y </w:t>
      </w:r>
      <w:r w:rsidRPr="0013396E">
        <w:rPr>
          <w:b/>
          <w:bCs/>
        </w:rPr>
        <w:t>+ RTRDPA</w:t>
      </w:r>
      <w:r w:rsidRPr="0013396E">
        <w:rPr>
          <w:b/>
          <w:bCs/>
          <w:i/>
          <w:vertAlign w:val="subscript"/>
        </w:rPr>
        <w:t xml:space="preserve"> y</w:t>
      </w:r>
      <w:r w:rsidRPr="0013396E">
        <w:rPr>
          <w:b/>
          <w:bCs/>
        </w:rPr>
        <w:t>))))</w:t>
      </w:r>
    </w:p>
    <w:p w14:paraId="6F084060" w14:textId="77777777" w:rsidR="00636C61" w:rsidRPr="0013396E" w:rsidRDefault="00636C61" w:rsidP="00636C61">
      <w:pPr>
        <w:spacing w:after="240"/>
        <w:ind w:firstLine="720"/>
        <w:rPr>
          <w:iCs/>
        </w:rPr>
      </w:pPr>
      <w:r w:rsidRPr="0013396E">
        <w:rPr>
          <w:iCs/>
        </w:rPr>
        <w:t>Where the Resource Node weighting factor is:</w:t>
      </w:r>
    </w:p>
    <w:p w14:paraId="2A9A9405" w14:textId="77777777" w:rsidR="00636C61" w:rsidRPr="0013396E" w:rsidRDefault="00636C61" w:rsidP="00636C61">
      <w:pPr>
        <w:tabs>
          <w:tab w:val="left" w:pos="2160"/>
          <w:tab w:val="left" w:pos="2880"/>
        </w:tabs>
        <w:spacing w:after="240"/>
        <w:ind w:leftChars="300" w:left="2888" w:hangingChars="900" w:hanging="2168"/>
        <w:rPr>
          <w:b/>
          <w:bCs/>
        </w:rPr>
      </w:pPr>
      <w:r w:rsidRPr="0013396E">
        <w:rPr>
          <w:b/>
          <w:bCs/>
        </w:rPr>
        <w:t xml:space="preserve">RNWF </w:t>
      </w:r>
      <w:r w:rsidRPr="0013396E">
        <w:rPr>
          <w:b/>
          <w:bCs/>
          <w:i/>
          <w:vertAlign w:val="subscript"/>
        </w:rPr>
        <w:t>y</w:t>
      </w:r>
      <w:r w:rsidRPr="0013396E">
        <w:rPr>
          <w:b/>
          <w:bCs/>
          <w:vertAlign w:val="subscript"/>
        </w:rPr>
        <w:tab/>
      </w:r>
      <w:r w:rsidRPr="0013396E">
        <w:rPr>
          <w:b/>
          <w:bCs/>
        </w:rPr>
        <w:t>=</w:t>
      </w:r>
      <w:r w:rsidRPr="0013396E">
        <w:rPr>
          <w:b/>
          <w:bCs/>
        </w:rPr>
        <w:tab/>
        <w:t xml:space="preserve">TLMP </w:t>
      </w:r>
      <w:r w:rsidRPr="0013396E">
        <w:rPr>
          <w:b/>
          <w:bCs/>
          <w:i/>
          <w:vertAlign w:val="subscript"/>
        </w:rPr>
        <w:t>y</w:t>
      </w:r>
      <w:r w:rsidRPr="0013396E">
        <w:rPr>
          <w:b/>
          <w:bCs/>
        </w:rPr>
        <w:t xml:space="preserve"> </w:t>
      </w:r>
      <w:r w:rsidRPr="0013396E">
        <w:rPr>
          <w:b/>
          <w:bCs/>
          <w:color w:val="000000"/>
          <w:sz w:val="32"/>
          <w:szCs w:val="32"/>
        </w:rPr>
        <w:t>/</w:t>
      </w:r>
      <w:r w:rsidRPr="0013396E">
        <w:rPr>
          <w:b/>
          <w:bCs/>
          <w:color w:val="000000"/>
        </w:rPr>
        <w:t xml:space="preserve"> </w:t>
      </w:r>
      <w:r w:rsidRPr="0013396E">
        <w:rPr>
          <w:b/>
          <w:bCs/>
          <w:position w:val="-22"/>
        </w:rPr>
        <w:object w:dxaOrig="225" w:dyaOrig="465" w14:anchorId="3BB368EF">
          <v:shape id="_x0000_i1028" type="#_x0000_t75" style="width:24pt;height:18.6pt" o:ole="">
            <v:imagedata r:id="rId20" o:title=""/>
          </v:shape>
          <o:OLEObject Type="Embed" ProgID="Equation.3" ShapeID="_x0000_i1028" DrawAspect="Content" ObjectID="_1836311307" r:id="rId21"/>
        </w:object>
      </w:r>
      <w:r w:rsidRPr="0013396E">
        <w:rPr>
          <w:b/>
          <w:bCs/>
        </w:rPr>
        <w:t xml:space="preserve">TLMP </w:t>
      </w:r>
      <w:r w:rsidRPr="0013396E">
        <w:rPr>
          <w:b/>
          <w:bCs/>
          <w:i/>
          <w:vertAlign w:val="subscript"/>
        </w:rPr>
        <w:t>y</w:t>
      </w:r>
    </w:p>
    <w:p w14:paraId="072D4216" w14:textId="77777777" w:rsidR="00636C61" w:rsidRPr="0013396E" w:rsidRDefault="00636C61" w:rsidP="00636C61">
      <w:r w:rsidRPr="0013396E">
        <w:t>The above variables are defined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84"/>
        <w:gridCol w:w="900"/>
        <w:gridCol w:w="7166"/>
      </w:tblGrid>
      <w:tr w:rsidR="00636C61" w:rsidRPr="0013396E" w14:paraId="7ED9A4EE" w14:textId="77777777" w:rsidTr="0099759E">
        <w:tc>
          <w:tcPr>
            <w:tcW w:w="1284" w:type="dxa"/>
          </w:tcPr>
          <w:p w14:paraId="6E4CF74B" w14:textId="77777777" w:rsidR="00636C61" w:rsidRPr="0013396E" w:rsidRDefault="00636C61" w:rsidP="0099759E">
            <w:pPr>
              <w:spacing w:after="120"/>
              <w:rPr>
                <w:b/>
                <w:iCs/>
                <w:sz w:val="20"/>
              </w:rPr>
            </w:pPr>
            <w:r w:rsidRPr="0013396E">
              <w:rPr>
                <w:b/>
                <w:iCs/>
                <w:sz w:val="20"/>
              </w:rPr>
              <w:t>Variable</w:t>
            </w:r>
          </w:p>
        </w:tc>
        <w:tc>
          <w:tcPr>
            <w:tcW w:w="900" w:type="dxa"/>
          </w:tcPr>
          <w:p w14:paraId="19B7E605" w14:textId="77777777" w:rsidR="00636C61" w:rsidRPr="0013396E" w:rsidRDefault="00636C61" w:rsidP="0099759E">
            <w:pPr>
              <w:spacing w:after="120"/>
              <w:rPr>
                <w:b/>
                <w:iCs/>
                <w:sz w:val="20"/>
              </w:rPr>
            </w:pPr>
            <w:r w:rsidRPr="0013396E">
              <w:rPr>
                <w:b/>
                <w:iCs/>
                <w:sz w:val="20"/>
              </w:rPr>
              <w:t>Unit</w:t>
            </w:r>
          </w:p>
        </w:tc>
        <w:tc>
          <w:tcPr>
            <w:tcW w:w="7166" w:type="dxa"/>
          </w:tcPr>
          <w:p w14:paraId="3F000557" w14:textId="77777777" w:rsidR="00636C61" w:rsidRPr="0013396E" w:rsidRDefault="00636C61" w:rsidP="0099759E">
            <w:pPr>
              <w:spacing w:after="120"/>
              <w:rPr>
                <w:b/>
                <w:iCs/>
                <w:sz w:val="20"/>
              </w:rPr>
            </w:pPr>
            <w:r w:rsidRPr="0013396E">
              <w:rPr>
                <w:b/>
                <w:iCs/>
                <w:sz w:val="20"/>
              </w:rPr>
              <w:t>Description</w:t>
            </w:r>
          </w:p>
        </w:tc>
      </w:tr>
      <w:tr w:rsidR="00636C61" w:rsidRPr="0013396E" w14:paraId="5125A226" w14:textId="77777777" w:rsidTr="0099759E">
        <w:tc>
          <w:tcPr>
            <w:tcW w:w="1284" w:type="dxa"/>
          </w:tcPr>
          <w:p w14:paraId="7E9945DA" w14:textId="77777777" w:rsidR="00636C61" w:rsidRPr="0013396E" w:rsidRDefault="00636C61" w:rsidP="0099759E">
            <w:pPr>
              <w:spacing w:after="60"/>
              <w:rPr>
                <w:iCs/>
                <w:sz w:val="20"/>
              </w:rPr>
            </w:pPr>
            <w:r w:rsidRPr="0013396E">
              <w:rPr>
                <w:iCs/>
                <w:sz w:val="20"/>
              </w:rPr>
              <w:lastRenderedPageBreak/>
              <w:t>RTSPP</w:t>
            </w:r>
          </w:p>
        </w:tc>
        <w:tc>
          <w:tcPr>
            <w:tcW w:w="900" w:type="dxa"/>
          </w:tcPr>
          <w:p w14:paraId="5919C517" w14:textId="77777777" w:rsidR="00636C61" w:rsidRPr="0013396E" w:rsidRDefault="00636C61" w:rsidP="0099759E">
            <w:pPr>
              <w:spacing w:after="60"/>
              <w:rPr>
                <w:iCs/>
                <w:sz w:val="20"/>
              </w:rPr>
            </w:pPr>
            <w:r w:rsidRPr="0013396E">
              <w:rPr>
                <w:iCs/>
                <w:sz w:val="20"/>
              </w:rPr>
              <w:t>$/MWh</w:t>
            </w:r>
          </w:p>
        </w:tc>
        <w:tc>
          <w:tcPr>
            <w:tcW w:w="7166" w:type="dxa"/>
          </w:tcPr>
          <w:p w14:paraId="4CAAD7CD" w14:textId="77777777" w:rsidR="00636C61" w:rsidRPr="0013396E" w:rsidRDefault="00636C61" w:rsidP="0099759E">
            <w:pPr>
              <w:spacing w:after="60"/>
              <w:rPr>
                <w:iCs/>
                <w:sz w:val="20"/>
              </w:rPr>
            </w:pPr>
            <w:r w:rsidRPr="0013396E">
              <w:rPr>
                <w:i/>
                <w:iCs/>
                <w:sz w:val="20"/>
              </w:rPr>
              <w:t>Real-Time Settlement Point Price</w:t>
            </w:r>
            <w:r w:rsidRPr="0013396E">
              <w:rPr>
                <w:iCs/>
                <w:sz w:val="20"/>
              </w:rPr>
              <w:sym w:font="Symbol" w:char="F0BE"/>
            </w:r>
            <w:r w:rsidRPr="0013396E">
              <w:rPr>
                <w:iCs/>
                <w:sz w:val="20"/>
              </w:rPr>
              <w:t>The Real-Time Settlement Point Price at the Settlement Point for the 15-minute Settlement Interval.</w:t>
            </w:r>
          </w:p>
        </w:tc>
      </w:tr>
      <w:tr w:rsidR="00636C61" w:rsidRPr="0013396E" w14:paraId="7F34A307" w14:textId="77777777" w:rsidTr="0099759E">
        <w:tc>
          <w:tcPr>
            <w:tcW w:w="1284" w:type="dxa"/>
          </w:tcPr>
          <w:p w14:paraId="2BCA5B01" w14:textId="77777777" w:rsidR="00636C61" w:rsidRPr="0013396E" w:rsidRDefault="00636C61" w:rsidP="0099759E">
            <w:pPr>
              <w:spacing w:after="60"/>
              <w:rPr>
                <w:iCs/>
                <w:sz w:val="20"/>
              </w:rPr>
            </w:pPr>
            <w:r w:rsidRPr="0013396E">
              <w:rPr>
                <w:iCs/>
                <w:sz w:val="20"/>
              </w:rPr>
              <w:t xml:space="preserve">RTLMP </w:t>
            </w:r>
            <w:r w:rsidRPr="0013396E">
              <w:rPr>
                <w:i/>
                <w:iCs/>
                <w:sz w:val="20"/>
                <w:vertAlign w:val="subscript"/>
              </w:rPr>
              <w:t>y</w:t>
            </w:r>
          </w:p>
        </w:tc>
        <w:tc>
          <w:tcPr>
            <w:tcW w:w="900" w:type="dxa"/>
          </w:tcPr>
          <w:p w14:paraId="0D120EFB" w14:textId="77777777" w:rsidR="00636C61" w:rsidRPr="0013396E" w:rsidRDefault="00636C61" w:rsidP="0099759E">
            <w:pPr>
              <w:spacing w:after="60"/>
              <w:rPr>
                <w:iCs/>
                <w:sz w:val="20"/>
              </w:rPr>
            </w:pPr>
            <w:r w:rsidRPr="0013396E">
              <w:rPr>
                <w:iCs/>
                <w:sz w:val="20"/>
              </w:rPr>
              <w:t>$/MWh</w:t>
            </w:r>
          </w:p>
        </w:tc>
        <w:tc>
          <w:tcPr>
            <w:tcW w:w="7166" w:type="dxa"/>
          </w:tcPr>
          <w:p w14:paraId="08D56FF4" w14:textId="77777777" w:rsidR="00636C61" w:rsidRPr="0013396E" w:rsidRDefault="00636C61" w:rsidP="0099759E">
            <w:pPr>
              <w:spacing w:after="60"/>
              <w:rPr>
                <w:iCs/>
                <w:sz w:val="20"/>
              </w:rPr>
            </w:pPr>
            <w:r w:rsidRPr="0013396E">
              <w:rPr>
                <w:i/>
                <w:iCs/>
                <w:sz w:val="20"/>
              </w:rPr>
              <w:t>Real-Time Locational Marginal Price per interval</w:t>
            </w:r>
            <w:r w:rsidRPr="0013396E">
              <w:rPr>
                <w:iCs/>
                <w:sz w:val="20"/>
              </w:rPr>
              <w:sym w:font="Symbol" w:char="F0BE"/>
            </w:r>
            <w:r w:rsidRPr="0013396E">
              <w:rPr>
                <w:iCs/>
                <w:sz w:val="20"/>
              </w:rPr>
              <w:t xml:space="preserve">The Real-Time LMP at the Settlement Point for the SCED interval </w:t>
            </w:r>
            <w:r w:rsidRPr="0013396E">
              <w:rPr>
                <w:i/>
                <w:iCs/>
                <w:sz w:val="20"/>
              </w:rPr>
              <w:t>y</w:t>
            </w:r>
            <w:r w:rsidRPr="0013396E">
              <w:rPr>
                <w:iCs/>
                <w:sz w:val="20"/>
              </w:rPr>
              <w:t>.</w:t>
            </w:r>
          </w:p>
        </w:tc>
      </w:tr>
      <w:tr w:rsidR="00636C61" w:rsidRPr="0013396E" w14:paraId="71FCEDC0" w14:textId="77777777" w:rsidTr="0099759E">
        <w:tc>
          <w:tcPr>
            <w:tcW w:w="1284" w:type="dxa"/>
          </w:tcPr>
          <w:p w14:paraId="215F3702" w14:textId="77777777" w:rsidR="00636C61" w:rsidRPr="0013396E" w:rsidRDefault="00636C61" w:rsidP="0099759E">
            <w:pPr>
              <w:spacing w:after="60"/>
              <w:rPr>
                <w:iCs/>
                <w:sz w:val="20"/>
              </w:rPr>
            </w:pPr>
            <w:r w:rsidRPr="0013396E">
              <w:rPr>
                <w:iCs/>
                <w:sz w:val="20"/>
              </w:rPr>
              <w:t>RTRDPA</w:t>
            </w:r>
            <w:r w:rsidRPr="0013396E">
              <w:rPr>
                <w:iCs/>
                <w:sz w:val="20"/>
                <w:vertAlign w:val="subscript"/>
              </w:rPr>
              <w:t xml:space="preserve"> </w:t>
            </w:r>
            <w:r w:rsidRPr="0013396E">
              <w:rPr>
                <w:i/>
                <w:iCs/>
                <w:sz w:val="20"/>
                <w:vertAlign w:val="subscript"/>
              </w:rPr>
              <w:t>y</w:t>
            </w:r>
          </w:p>
        </w:tc>
        <w:tc>
          <w:tcPr>
            <w:tcW w:w="900" w:type="dxa"/>
          </w:tcPr>
          <w:p w14:paraId="5CCE1E1E" w14:textId="77777777" w:rsidR="00636C61" w:rsidRPr="0013396E" w:rsidRDefault="00636C61" w:rsidP="0099759E">
            <w:pPr>
              <w:spacing w:after="60"/>
              <w:rPr>
                <w:iCs/>
                <w:sz w:val="20"/>
              </w:rPr>
            </w:pPr>
            <w:r w:rsidRPr="0013396E">
              <w:rPr>
                <w:iCs/>
                <w:sz w:val="20"/>
              </w:rPr>
              <w:t>$/MWh</w:t>
            </w:r>
          </w:p>
        </w:tc>
        <w:tc>
          <w:tcPr>
            <w:tcW w:w="7166" w:type="dxa"/>
          </w:tcPr>
          <w:p w14:paraId="6A664F4B" w14:textId="77777777" w:rsidR="00636C61" w:rsidRPr="0013396E" w:rsidRDefault="00636C61" w:rsidP="0099759E">
            <w:pPr>
              <w:spacing w:after="60"/>
              <w:rPr>
                <w:i/>
                <w:iCs/>
                <w:sz w:val="20"/>
              </w:rPr>
            </w:pPr>
            <w:r w:rsidRPr="0013396E">
              <w:rPr>
                <w:i/>
                <w:iCs/>
                <w:sz w:val="20"/>
              </w:rPr>
              <w:t>Real-Time Reliability Deployment Price Adder for Energy</w:t>
            </w:r>
            <w:r w:rsidRPr="0013396E">
              <w:rPr>
                <w:iCs/>
                <w:sz w:val="20"/>
              </w:rPr>
              <w:sym w:font="Symbol" w:char="F0BE"/>
            </w:r>
            <w:r w:rsidRPr="0013396E">
              <w:rPr>
                <w:iCs/>
                <w:sz w:val="20"/>
              </w:rPr>
              <w:t xml:space="preserve">The Real-Time price adder that captures the impact of reliability deployments on energy prices for the SCED interval </w:t>
            </w:r>
            <w:r w:rsidRPr="0013396E">
              <w:rPr>
                <w:i/>
                <w:iCs/>
                <w:sz w:val="20"/>
              </w:rPr>
              <w:t>y</w:t>
            </w:r>
            <w:r w:rsidRPr="0013396E">
              <w:rPr>
                <w:iCs/>
                <w:sz w:val="20"/>
              </w:rPr>
              <w:t>.</w:t>
            </w:r>
          </w:p>
        </w:tc>
      </w:tr>
      <w:tr w:rsidR="00636C61" w:rsidRPr="0013396E" w14:paraId="72616C14" w14:textId="77777777" w:rsidTr="0099759E">
        <w:tc>
          <w:tcPr>
            <w:tcW w:w="1284" w:type="dxa"/>
          </w:tcPr>
          <w:p w14:paraId="0F39C21C" w14:textId="77777777" w:rsidR="00636C61" w:rsidRPr="0013396E" w:rsidRDefault="00636C61" w:rsidP="0099759E">
            <w:pPr>
              <w:spacing w:after="60"/>
              <w:rPr>
                <w:iCs/>
                <w:sz w:val="20"/>
              </w:rPr>
            </w:pPr>
            <w:r w:rsidRPr="0013396E">
              <w:rPr>
                <w:iCs/>
                <w:sz w:val="20"/>
              </w:rPr>
              <w:t xml:space="preserve">RNWF </w:t>
            </w:r>
            <w:r w:rsidRPr="0013396E">
              <w:rPr>
                <w:i/>
                <w:iCs/>
                <w:sz w:val="20"/>
                <w:vertAlign w:val="subscript"/>
              </w:rPr>
              <w:t>y</w:t>
            </w:r>
          </w:p>
        </w:tc>
        <w:tc>
          <w:tcPr>
            <w:tcW w:w="900" w:type="dxa"/>
          </w:tcPr>
          <w:p w14:paraId="35D85A41" w14:textId="77777777" w:rsidR="00636C61" w:rsidRPr="0013396E" w:rsidRDefault="00636C61" w:rsidP="0099759E">
            <w:pPr>
              <w:spacing w:after="60"/>
              <w:rPr>
                <w:iCs/>
                <w:sz w:val="20"/>
              </w:rPr>
            </w:pPr>
            <w:r w:rsidRPr="0013396E">
              <w:rPr>
                <w:iCs/>
                <w:sz w:val="20"/>
              </w:rPr>
              <w:t>none</w:t>
            </w:r>
          </w:p>
        </w:tc>
        <w:tc>
          <w:tcPr>
            <w:tcW w:w="7166" w:type="dxa"/>
          </w:tcPr>
          <w:p w14:paraId="480B3E4A" w14:textId="77777777" w:rsidR="00636C61" w:rsidRPr="0013396E" w:rsidRDefault="00636C61" w:rsidP="0099759E">
            <w:pPr>
              <w:spacing w:after="60"/>
              <w:rPr>
                <w:iCs/>
                <w:sz w:val="20"/>
              </w:rPr>
            </w:pPr>
            <w:r w:rsidRPr="0013396E">
              <w:rPr>
                <w:i/>
                <w:iCs/>
                <w:sz w:val="20"/>
              </w:rPr>
              <w:t>Resource Node Weighting Factor per interval</w:t>
            </w:r>
            <w:r w:rsidRPr="0013396E">
              <w:rPr>
                <w:iCs/>
                <w:sz w:val="20"/>
              </w:rPr>
              <w:sym w:font="Symbol" w:char="F0BE"/>
            </w:r>
            <w:r w:rsidRPr="0013396E">
              <w:rPr>
                <w:iCs/>
                <w:sz w:val="20"/>
              </w:rPr>
              <w:t xml:space="preserve">The weight used in the Resource Node Settlement Point Price calculation for the portion of the SCED interval </w:t>
            </w:r>
            <w:r w:rsidRPr="0013396E">
              <w:rPr>
                <w:i/>
                <w:iCs/>
                <w:sz w:val="20"/>
              </w:rPr>
              <w:t>y</w:t>
            </w:r>
            <w:r w:rsidRPr="0013396E">
              <w:rPr>
                <w:iCs/>
                <w:sz w:val="20"/>
              </w:rPr>
              <w:t xml:space="preserve"> within the Settlement Interval.</w:t>
            </w:r>
          </w:p>
        </w:tc>
      </w:tr>
      <w:tr w:rsidR="00636C61" w:rsidRPr="0013396E" w14:paraId="17133457" w14:textId="77777777" w:rsidTr="0099759E">
        <w:tc>
          <w:tcPr>
            <w:tcW w:w="1284" w:type="dxa"/>
          </w:tcPr>
          <w:p w14:paraId="1E7C3B3F" w14:textId="77777777" w:rsidR="00636C61" w:rsidRPr="0013396E" w:rsidRDefault="00636C61" w:rsidP="0099759E">
            <w:pPr>
              <w:spacing w:after="60"/>
              <w:rPr>
                <w:iCs/>
                <w:sz w:val="20"/>
              </w:rPr>
            </w:pPr>
            <w:r w:rsidRPr="0013396E">
              <w:rPr>
                <w:iCs/>
                <w:sz w:val="20"/>
              </w:rPr>
              <w:t xml:space="preserve">TLMP </w:t>
            </w:r>
            <w:r w:rsidRPr="0013396E">
              <w:rPr>
                <w:i/>
                <w:iCs/>
                <w:sz w:val="20"/>
                <w:vertAlign w:val="subscript"/>
              </w:rPr>
              <w:t>y</w:t>
            </w:r>
          </w:p>
        </w:tc>
        <w:tc>
          <w:tcPr>
            <w:tcW w:w="900" w:type="dxa"/>
          </w:tcPr>
          <w:p w14:paraId="1EF99CA8" w14:textId="77777777" w:rsidR="00636C61" w:rsidRPr="0013396E" w:rsidRDefault="00636C61" w:rsidP="0099759E">
            <w:pPr>
              <w:spacing w:after="60"/>
              <w:rPr>
                <w:sz w:val="20"/>
              </w:rPr>
            </w:pPr>
            <w:r w:rsidRPr="0013396E">
              <w:rPr>
                <w:iCs/>
                <w:sz w:val="20"/>
              </w:rPr>
              <w:t>second</w:t>
            </w:r>
          </w:p>
        </w:tc>
        <w:tc>
          <w:tcPr>
            <w:tcW w:w="7166" w:type="dxa"/>
          </w:tcPr>
          <w:p w14:paraId="68FB986B" w14:textId="77777777" w:rsidR="00636C61" w:rsidRPr="0013396E" w:rsidRDefault="00636C61" w:rsidP="0099759E">
            <w:pPr>
              <w:spacing w:after="60"/>
              <w:rPr>
                <w:iCs/>
                <w:sz w:val="20"/>
              </w:rPr>
            </w:pPr>
            <w:r w:rsidRPr="0013396E">
              <w:rPr>
                <w:i/>
                <w:sz w:val="20"/>
              </w:rPr>
              <w:t>Duration of SCED interval per interval</w:t>
            </w:r>
            <w:r w:rsidRPr="0013396E">
              <w:rPr>
                <w:iCs/>
                <w:sz w:val="20"/>
              </w:rPr>
              <w:sym w:font="Symbol" w:char="F0BE"/>
            </w:r>
            <w:r w:rsidRPr="0013396E">
              <w:rPr>
                <w:iCs/>
                <w:sz w:val="20"/>
              </w:rPr>
              <w:t xml:space="preserve">The duration of the portion of the SCED interval </w:t>
            </w:r>
            <w:r w:rsidRPr="0013396E">
              <w:rPr>
                <w:i/>
                <w:sz w:val="20"/>
              </w:rPr>
              <w:t>y</w:t>
            </w:r>
            <w:r w:rsidRPr="0013396E">
              <w:rPr>
                <w:sz w:val="20"/>
              </w:rPr>
              <w:t xml:space="preserve"> within the Settlement Interval</w:t>
            </w:r>
            <w:r w:rsidRPr="0013396E">
              <w:rPr>
                <w:iCs/>
                <w:sz w:val="20"/>
              </w:rPr>
              <w:t>.</w:t>
            </w:r>
          </w:p>
        </w:tc>
      </w:tr>
      <w:tr w:rsidR="00636C61" w:rsidRPr="0013396E" w14:paraId="434C0F7B" w14:textId="77777777" w:rsidTr="0099759E">
        <w:tc>
          <w:tcPr>
            <w:tcW w:w="1284" w:type="dxa"/>
          </w:tcPr>
          <w:p w14:paraId="56CB9D8F" w14:textId="77777777" w:rsidR="00636C61" w:rsidRPr="0013396E" w:rsidRDefault="00636C61" w:rsidP="0099759E">
            <w:pPr>
              <w:spacing w:after="60"/>
              <w:rPr>
                <w:i/>
                <w:iCs/>
                <w:sz w:val="20"/>
              </w:rPr>
            </w:pPr>
            <w:r w:rsidRPr="0013396E">
              <w:rPr>
                <w:i/>
                <w:iCs/>
                <w:sz w:val="20"/>
              </w:rPr>
              <w:t>y</w:t>
            </w:r>
          </w:p>
        </w:tc>
        <w:tc>
          <w:tcPr>
            <w:tcW w:w="900" w:type="dxa"/>
          </w:tcPr>
          <w:p w14:paraId="5C685A61" w14:textId="77777777" w:rsidR="00636C61" w:rsidRPr="0013396E" w:rsidRDefault="00636C61" w:rsidP="0099759E">
            <w:pPr>
              <w:spacing w:after="60"/>
              <w:rPr>
                <w:iCs/>
                <w:sz w:val="20"/>
              </w:rPr>
            </w:pPr>
            <w:r w:rsidRPr="0013396E">
              <w:rPr>
                <w:iCs/>
                <w:sz w:val="20"/>
              </w:rPr>
              <w:t>none</w:t>
            </w:r>
          </w:p>
        </w:tc>
        <w:tc>
          <w:tcPr>
            <w:tcW w:w="7166" w:type="dxa"/>
          </w:tcPr>
          <w:p w14:paraId="2A601681" w14:textId="77777777" w:rsidR="00636C61" w:rsidRPr="0013396E" w:rsidRDefault="00636C61" w:rsidP="0099759E">
            <w:pPr>
              <w:spacing w:after="60"/>
              <w:rPr>
                <w:iCs/>
                <w:sz w:val="20"/>
              </w:rPr>
            </w:pPr>
            <w:r w:rsidRPr="0013396E">
              <w:rPr>
                <w:iCs/>
                <w:sz w:val="20"/>
              </w:rPr>
              <w:t xml:space="preserve">A SCED interval in the 15-minute Settlement Interval.  The summation is over the total number of SCED runs that cover the 15-minute Settlement Interval.  </w:t>
            </w:r>
          </w:p>
        </w:tc>
      </w:tr>
    </w:tbl>
    <w:p w14:paraId="2A4909DF" w14:textId="151ED645" w:rsidR="00142F7A" w:rsidRPr="0013396E" w:rsidRDefault="00142F7A" w:rsidP="00142F7A">
      <w:pPr>
        <w:spacing w:before="240" w:after="240"/>
        <w:ind w:left="720" w:hanging="720"/>
      </w:pPr>
      <w:r w:rsidRPr="0013396E">
        <w:rPr>
          <w:iCs/>
        </w:rPr>
        <w:t>(2)</w:t>
      </w:r>
      <w:r w:rsidRPr="0013396E">
        <w:rPr>
          <w:iCs/>
        </w:rPr>
        <w:tab/>
        <w:t>The Real-Time Settlement Point Price at the logical Resource Node for a Combined Cycle Train shall be determined in accordance with paragraph (1) above using a Real-Time LMP calculated for the logical Resource Node in each SCED Interval as follows:</w:t>
      </w:r>
    </w:p>
    <w:p w14:paraId="4F0C7C23" w14:textId="77777777" w:rsidR="00142F7A" w:rsidRPr="0013396E" w:rsidRDefault="00142F7A" w:rsidP="00142F7A">
      <w:pPr>
        <w:spacing w:after="240"/>
        <w:ind w:left="1440" w:hanging="720"/>
        <w:rPr>
          <w:iCs/>
          <w:szCs w:val="24"/>
        </w:rPr>
      </w:pPr>
      <w:r w:rsidRPr="0013396E">
        <w:rPr>
          <w:iCs/>
          <w:szCs w:val="24"/>
        </w:rPr>
        <w:t>(a)</w:t>
      </w:r>
      <w:r w:rsidRPr="0013396E">
        <w:rPr>
          <w:iCs/>
          <w:szCs w:val="24"/>
        </w:rPr>
        <w:tab/>
      </w:r>
      <w:r w:rsidRPr="0013396E">
        <w:rPr>
          <w:szCs w:val="24"/>
        </w:rPr>
        <w:t>The</w:t>
      </w:r>
      <w:r w:rsidRPr="0013396E">
        <w:rPr>
          <w:iCs/>
          <w:szCs w:val="24"/>
        </w:rPr>
        <w:t xml:space="preserve"> Real-Time LMP for the logical Resource Node of a Combined Cycle Train for each SCED interval is calculated as follows:</w:t>
      </w:r>
    </w:p>
    <w:p w14:paraId="2D033989" w14:textId="77777777" w:rsidR="00142F7A" w:rsidRPr="0013396E" w:rsidRDefault="00142F7A" w:rsidP="00142F7A">
      <w:pPr>
        <w:spacing w:after="240"/>
        <w:ind w:left="1440"/>
        <w:rPr>
          <w:iCs/>
          <w:szCs w:val="24"/>
        </w:rPr>
      </w:pPr>
      <w:r w:rsidRPr="0013396E">
        <w:rPr>
          <w:iCs/>
          <w:szCs w:val="24"/>
        </w:rPr>
        <w:t>For a Combined Cycle Train that is On-Line in the SCED interval:</w:t>
      </w:r>
    </w:p>
    <w:p w14:paraId="6FC3090B" w14:textId="77777777" w:rsidR="00142F7A" w:rsidRPr="0013396E" w:rsidRDefault="00142F7A" w:rsidP="00142F7A">
      <w:pPr>
        <w:spacing w:after="240"/>
        <w:ind w:left="720" w:firstLine="720"/>
        <w:rPr>
          <w:iCs/>
        </w:rPr>
      </w:pPr>
      <w:r w:rsidRPr="0013396E">
        <w:rPr>
          <w:b/>
        </w:rPr>
        <w:t xml:space="preserve">RTLMP </w:t>
      </w:r>
      <w:r w:rsidRPr="0013396E">
        <w:rPr>
          <w:b/>
          <w:i/>
          <w:vertAlign w:val="subscript"/>
        </w:rPr>
        <w:t>y</w:t>
      </w:r>
      <w:r w:rsidRPr="0013396E">
        <w:rPr>
          <w:b/>
        </w:rPr>
        <w:t xml:space="preserve"> =</w:t>
      </w:r>
      <w:r w:rsidRPr="0013396E">
        <w:t xml:space="preserve"> </w:t>
      </w:r>
      <w:r w:rsidRPr="0013396E">
        <w:rPr>
          <w:b/>
        </w:rPr>
        <w:t>∑</w:t>
      </w:r>
      <w:r w:rsidRPr="0013396E">
        <w:rPr>
          <w:b/>
          <w:i/>
          <w:vertAlign w:val="subscript"/>
        </w:rPr>
        <w:t>CCGR_PhyR</w:t>
      </w:r>
      <w:r w:rsidRPr="0013396E">
        <w:rPr>
          <w:b/>
        </w:rPr>
        <w:t xml:space="preserve"> RTLMP </w:t>
      </w:r>
      <w:r w:rsidRPr="0013396E">
        <w:rPr>
          <w:b/>
          <w:i/>
          <w:vertAlign w:val="subscript"/>
        </w:rPr>
        <w:t>CCGR_PhyR, y</w:t>
      </w:r>
      <w:r w:rsidRPr="0013396E">
        <w:rPr>
          <w:b/>
        </w:rPr>
        <w:t xml:space="preserve"> * RTONCCGRWF </w:t>
      </w:r>
      <w:r w:rsidRPr="0013396E">
        <w:rPr>
          <w:b/>
          <w:i/>
          <w:vertAlign w:val="subscript"/>
        </w:rPr>
        <w:t>CCGR_PhyR</w:t>
      </w:r>
    </w:p>
    <w:p w14:paraId="283EE7C1" w14:textId="77777777" w:rsidR="00142F7A" w:rsidRPr="0013396E" w:rsidRDefault="00142F7A" w:rsidP="00142F7A">
      <w:pPr>
        <w:spacing w:after="240"/>
        <w:ind w:left="1440"/>
        <w:rPr>
          <w:iCs/>
          <w:szCs w:val="24"/>
        </w:rPr>
      </w:pPr>
      <w:r w:rsidRPr="0013396E">
        <w:rPr>
          <w:iCs/>
          <w:szCs w:val="24"/>
        </w:rPr>
        <w:t xml:space="preserve">For a Combined Cycle Train that is Off-Line in the SCED interval: </w:t>
      </w:r>
    </w:p>
    <w:p w14:paraId="104D9B3A" w14:textId="77777777" w:rsidR="00142F7A" w:rsidRPr="0013396E" w:rsidRDefault="00142F7A" w:rsidP="00142F7A">
      <w:pPr>
        <w:spacing w:after="240"/>
        <w:ind w:left="720" w:firstLine="720"/>
        <w:rPr>
          <w:iCs/>
        </w:rPr>
      </w:pPr>
      <w:r w:rsidRPr="0013396E">
        <w:rPr>
          <w:b/>
        </w:rPr>
        <w:t xml:space="preserve">RTLMP </w:t>
      </w:r>
      <w:r w:rsidRPr="0013396E">
        <w:rPr>
          <w:b/>
          <w:i/>
          <w:vertAlign w:val="subscript"/>
        </w:rPr>
        <w:t>y</w:t>
      </w:r>
      <w:r w:rsidRPr="0013396E">
        <w:rPr>
          <w:b/>
        </w:rPr>
        <w:t xml:space="preserve"> =</w:t>
      </w:r>
      <w:r w:rsidRPr="0013396E">
        <w:t xml:space="preserve"> </w:t>
      </w:r>
      <w:r w:rsidRPr="0013396E">
        <w:rPr>
          <w:b/>
        </w:rPr>
        <w:t>∑</w:t>
      </w:r>
      <w:r w:rsidRPr="0013396E">
        <w:rPr>
          <w:b/>
          <w:i/>
          <w:vertAlign w:val="subscript"/>
        </w:rPr>
        <w:t>CCT_PhyR</w:t>
      </w:r>
      <w:r w:rsidRPr="0013396E">
        <w:rPr>
          <w:b/>
        </w:rPr>
        <w:t xml:space="preserve"> RTLMP </w:t>
      </w:r>
      <w:r w:rsidRPr="0013396E">
        <w:rPr>
          <w:b/>
          <w:i/>
          <w:vertAlign w:val="subscript"/>
        </w:rPr>
        <w:t>CCT_PhyR, y</w:t>
      </w:r>
      <w:r w:rsidRPr="0013396E">
        <w:rPr>
          <w:b/>
        </w:rPr>
        <w:t xml:space="preserve"> * RTOFFCCGRWF </w:t>
      </w:r>
      <w:r w:rsidRPr="0013396E">
        <w:rPr>
          <w:b/>
          <w:i/>
          <w:vertAlign w:val="subscript"/>
        </w:rPr>
        <w:t>CCT_PhyR</w:t>
      </w:r>
    </w:p>
    <w:p w14:paraId="0C48B7D2" w14:textId="77777777" w:rsidR="00142F7A" w:rsidRPr="0013396E" w:rsidRDefault="00142F7A" w:rsidP="00142F7A">
      <w:pPr>
        <w:rPr>
          <w:b/>
          <w:szCs w:val="24"/>
        </w:rPr>
      </w:pPr>
      <w:r w:rsidRPr="0013396E">
        <w:rPr>
          <w:szCs w:val="24"/>
        </w:rPr>
        <w:t>The above variables are defined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01"/>
        <w:gridCol w:w="839"/>
        <w:gridCol w:w="6010"/>
      </w:tblGrid>
      <w:tr w:rsidR="00142F7A" w:rsidRPr="0013396E" w14:paraId="393C2C07" w14:textId="77777777" w:rsidTr="00F12CF4">
        <w:tc>
          <w:tcPr>
            <w:tcW w:w="2535" w:type="dxa"/>
          </w:tcPr>
          <w:p w14:paraId="5CC0AC29" w14:textId="77777777" w:rsidR="00142F7A" w:rsidRPr="0013396E" w:rsidRDefault="00142F7A" w:rsidP="00F12CF4">
            <w:pPr>
              <w:spacing w:after="120"/>
              <w:rPr>
                <w:b/>
              </w:rPr>
            </w:pPr>
            <w:r w:rsidRPr="0013396E">
              <w:rPr>
                <w:b/>
                <w:iCs/>
                <w:sz w:val="20"/>
              </w:rPr>
              <w:t>Variable</w:t>
            </w:r>
          </w:p>
        </w:tc>
        <w:tc>
          <w:tcPr>
            <w:tcW w:w="839" w:type="dxa"/>
          </w:tcPr>
          <w:p w14:paraId="66997590" w14:textId="77777777" w:rsidR="00142F7A" w:rsidRPr="0013396E" w:rsidRDefault="00142F7A" w:rsidP="00F12CF4">
            <w:pPr>
              <w:spacing w:after="120"/>
              <w:rPr>
                <w:b/>
              </w:rPr>
            </w:pPr>
            <w:r w:rsidRPr="0013396E">
              <w:rPr>
                <w:b/>
                <w:iCs/>
                <w:sz w:val="20"/>
              </w:rPr>
              <w:t>Unit</w:t>
            </w:r>
          </w:p>
        </w:tc>
        <w:tc>
          <w:tcPr>
            <w:tcW w:w="6202" w:type="dxa"/>
          </w:tcPr>
          <w:p w14:paraId="283FF8E5" w14:textId="77777777" w:rsidR="00142F7A" w:rsidRPr="0013396E" w:rsidRDefault="00142F7A" w:rsidP="00F12CF4">
            <w:pPr>
              <w:spacing w:after="120"/>
              <w:rPr>
                <w:b/>
              </w:rPr>
            </w:pPr>
            <w:r w:rsidRPr="0013396E">
              <w:rPr>
                <w:b/>
                <w:iCs/>
                <w:sz w:val="20"/>
              </w:rPr>
              <w:t>Definition</w:t>
            </w:r>
          </w:p>
        </w:tc>
      </w:tr>
      <w:tr w:rsidR="00142F7A" w:rsidRPr="0013396E" w14:paraId="4B9CF9F2" w14:textId="77777777" w:rsidTr="00F12CF4">
        <w:tc>
          <w:tcPr>
            <w:tcW w:w="2535" w:type="dxa"/>
          </w:tcPr>
          <w:p w14:paraId="5471E348" w14:textId="77777777" w:rsidR="00142F7A" w:rsidRPr="0013396E" w:rsidRDefault="00142F7A" w:rsidP="00F12CF4">
            <w:pPr>
              <w:rPr>
                <w:sz w:val="20"/>
              </w:rPr>
            </w:pPr>
            <w:r w:rsidRPr="0013396E">
              <w:rPr>
                <w:sz w:val="20"/>
              </w:rPr>
              <w:t xml:space="preserve">RTLMP </w:t>
            </w:r>
            <w:r w:rsidRPr="0013396E">
              <w:rPr>
                <w:i/>
                <w:sz w:val="20"/>
                <w:vertAlign w:val="subscript"/>
              </w:rPr>
              <w:t>y</w:t>
            </w:r>
          </w:p>
        </w:tc>
        <w:tc>
          <w:tcPr>
            <w:tcW w:w="839" w:type="dxa"/>
          </w:tcPr>
          <w:p w14:paraId="302919B9" w14:textId="77777777" w:rsidR="00142F7A" w:rsidRPr="0013396E" w:rsidRDefault="00142F7A" w:rsidP="00F12CF4">
            <w:pPr>
              <w:rPr>
                <w:sz w:val="20"/>
              </w:rPr>
            </w:pPr>
            <w:r w:rsidRPr="0013396E">
              <w:rPr>
                <w:sz w:val="20"/>
              </w:rPr>
              <w:t>$/MWh</w:t>
            </w:r>
          </w:p>
        </w:tc>
        <w:tc>
          <w:tcPr>
            <w:tcW w:w="6202" w:type="dxa"/>
          </w:tcPr>
          <w:p w14:paraId="33CC9C82" w14:textId="77777777" w:rsidR="00142F7A" w:rsidRPr="0013396E" w:rsidRDefault="00142F7A" w:rsidP="00C43DB8">
            <w:pPr>
              <w:spacing w:after="60"/>
              <w:rPr>
                <w:sz w:val="20"/>
              </w:rPr>
            </w:pPr>
            <w:r w:rsidRPr="0013396E">
              <w:rPr>
                <w:i/>
                <w:sz w:val="20"/>
              </w:rPr>
              <w:t>Real-Time Locational Marginal Price at a logical Resource Node for a Combined Cycle Train</w:t>
            </w:r>
            <w:r w:rsidRPr="0013396E">
              <w:rPr>
                <w:iCs/>
                <w:sz w:val="20"/>
              </w:rPr>
              <w:sym w:font="Symbol" w:char="F0BE"/>
            </w:r>
            <w:r w:rsidRPr="0013396E">
              <w:rPr>
                <w:sz w:val="20"/>
              </w:rPr>
              <w:t xml:space="preserve">The Real-Time LMP at the Combined Cycle Generation Resource logical Resource Node for a SCED interval </w:t>
            </w:r>
            <w:r w:rsidRPr="0013396E">
              <w:rPr>
                <w:i/>
                <w:sz w:val="20"/>
              </w:rPr>
              <w:t>y</w:t>
            </w:r>
            <w:r w:rsidRPr="0013396E">
              <w:rPr>
                <w:sz w:val="20"/>
              </w:rPr>
              <w:t>.</w:t>
            </w:r>
          </w:p>
        </w:tc>
      </w:tr>
      <w:tr w:rsidR="00142F7A" w:rsidRPr="0013396E" w:rsidDel="008E5215" w14:paraId="53E01885" w14:textId="77777777" w:rsidTr="00F12CF4">
        <w:tc>
          <w:tcPr>
            <w:tcW w:w="2535" w:type="dxa"/>
          </w:tcPr>
          <w:p w14:paraId="602DA722" w14:textId="77777777" w:rsidR="00142F7A" w:rsidRPr="0013396E" w:rsidDel="008E5215" w:rsidRDefault="00142F7A" w:rsidP="00F12CF4">
            <w:pPr>
              <w:rPr>
                <w:sz w:val="20"/>
              </w:rPr>
            </w:pPr>
            <w:r w:rsidRPr="0013396E">
              <w:rPr>
                <w:sz w:val="20"/>
              </w:rPr>
              <w:t xml:space="preserve">RTLMP </w:t>
            </w:r>
            <w:r w:rsidRPr="0013396E">
              <w:rPr>
                <w:i/>
                <w:sz w:val="20"/>
                <w:vertAlign w:val="subscript"/>
              </w:rPr>
              <w:t>CCGR_PhyR, y</w:t>
            </w:r>
          </w:p>
        </w:tc>
        <w:tc>
          <w:tcPr>
            <w:tcW w:w="839" w:type="dxa"/>
          </w:tcPr>
          <w:p w14:paraId="5271A49C" w14:textId="77777777" w:rsidR="00142F7A" w:rsidRPr="0013396E" w:rsidDel="008E5215" w:rsidRDefault="00142F7A" w:rsidP="00F12CF4">
            <w:pPr>
              <w:rPr>
                <w:sz w:val="20"/>
              </w:rPr>
            </w:pPr>
            <w:r w:rsidRPr="0013396E">
              <w:rPr>
                <w:sz w:val="20"/>
              </w:rPr>
              <w:t>$/MWh</w:t>
            </w:r>
          </w:p>
        </w:tc>
        <w:tc>
          <w:tcPr>
            <w:tcW w:w="6202" w:type="dxa"/>
          </w:tcPr>
          <w:p w14:paraId="6CC4C5AB" w14:textId="77777777" w:rsidR="00142F7A" w:rsidRPr="0013396E" w:rsidDel="008E5215" w:rsidRDefault="00142F7A" w:rsidP="00C43DB8">
            <w:pPr>
              <w:spacing w:after="60"/>
              <w:rPr>
                <w:i/>
                <w:sz w:val="20"/>
              </w:rPr>
            </w:pPr>
            <w:r w:rsidRPr="0013396E">
              <w:rPr>
                <w:i/>
                <w:sz w:val="20"/>
              </w:rPr>
              <w:t>Real-Time Locational Marginal Price at a generation unit Resource Node designated in a Combined Cycle Train registration for the On-Line Combined Cycle Generation Resource</w:t>
            </w:r>
            <w:r w:rsidRPr="0013396E">
              <w:rPr>
                <w:iCs/>
                <w:sz w:val="20"/>
              </w:rPr>
              <w:sym w:font="Symbol" w:char="F0BE"/>
            </w:r>
            <w:r w:rsidRPr="0013396E">
              <w:rPr>
                <w:sz w:val="20"/>
              </w:rPr>
              <w:t>The Real-Time LMP at the Resource Node of a generation unit designated in a Combined Cycle Train registration for the On-Line Combined Cycle Generation Resource for the SCED interval</w:t>
            </w:r>
            <w:r w:rsidRPr="0013396E">
              <w:rPr>
                <w:i/>
                <w:sz w:val="20"/>
              </w:rPr>
              <w:t xml:space="preserve"> y</w:t>
            </w:r>
            <w:r w:rsidRPr="0013396E">
              <w:rPr>
                <w:sz w:val="20"/>
              </w:rPr>
              <w:t>.</w:t>
            </w:r>
          </w:p>
        </w:tc>
      </w:tr>
      <w:tr w:rsidR="00142F7A" w:rsidRPr="0013396E" w14:paraId="581E8152" w14:textId="77777777" w:rsidTr="00F12CF4">
        <w:tc>
          <w:tcPr>
            <w:tcW w:w="2535" w:type="dxa"/>
          </w:tcPr>
          <w:p w14:paraId="571999A1" w14:textId="77777777" w:rsidR="00142F7A" w:rsidRPr="0013396E" w:rsidRDefault="00142F7A" w:rsidP="00F12CF4">
            <w:pPr>
              <w:rPr>
                <w:i/>
                <w:sz w:val="20"/>
                <w:vertAlign w:val="subscript"/>
              </w:rPr>
            </w:pPr>
            <w:r w:rsidRPr="0013396E">
              <w:rPr>
                <w:sz w:val="20"/>
              </w:rPr>
              <w:t xml:space="preserve">RTLMP </w:t>
            </w:r>
            <w:r w:rsidRPr="0013396E">
              <w:rPr>
                <w:i/>
                <w:sz w:val="20"/>
                <w:vertAlign w:val="subscript"/>
              </w:rPr>
              <w:t>CCT_PhyR, y</w:t>
            </w:r>
          </w:p>
        </w:tc>
        <w:tc>
          <w:tcPr>
            <w:tcW w:w="839" w:type="dxa"/>
          </w:tcPr>
          <w:p w14:paraId="0C27A43C" w14:textId="77777777" w:rsidR="00142F7A" w:rsidRPr="0013396E" w:rsidRDefault="00142F7A" w:rsidP="00F12CF4">
            <w:pPr>
              <w:rPr>
                <w:sz w:val="20"/>
              </w:rPr>
            </w:pPr>
            <w:r w:rsidRPr="0013396E">
              <w:rPr>
                <w:sz w:val="20"/>
              </w:rPr>
              <w:t>$/MWh</w:t>
            </w:r>
          </w:p>
        </w:tc>
        <w:tc>
          <w:tcPr>
            <w:tcW w:w="6202" w:type="dxa"/>
          </w:tcPr>
          <w:p w14:paraId="67D4571A" w14:textId="77777777" w:rsidR="00142F7A" w:rsidRPr="0013396E" w:rsidRDefault="00142F7A" w:rsidP="00C43DB8">
            <w:pPr>
              <w:spacing w:after="60"/>
              <w:rPr>
                <w:sz w:val="20"/>
              </w:rPr>
            </w:pPr>
            <w:r w:rsidRPr="0013396E">
              <w:rPr>
                <w:i/>
                <w:sz w:val="20"/>
              </w:rPr>
              <w:t>Real-Time Locational Marginal Price at a generation unit Resource Node registered to the Combined Cycle Train</w:t>
            </w:r>
            <w:r w:rsidRPr="0013396E">
              <w:rPr>
                <w:iCs/>
                <w:sz w:val="20"/>
              </w:rPr>
              <w:sym w:font="Symbol" w:char="F0BE"/>
            </w:r>
            <w:r w:rsidRPr="0013396E">
              <w:rPr>
                <w:sz w:val="20"/>
              </w:rPr>
              <w:t>The Real-Time LMP at the Resource Node of a generation unit designated in a Combined Cycle Train registration for the SCED interval</w:t>
            </w:r>
            <w:r w:rsidRPr="0013396E">
              <w:rPr>
                <w:i/>
                <w:sz w:val="20"/>
              </w:rPr>
              <w:t xml:space="preserve"> y</w:t>
            </w:r>
            <w:r w:rsidRPr="0013396E">
              <w:rPr>
                <w:sz w:val="20"/>
              </w:rPr>
              <w:t>.</w:t>
            </w:r>
          </w:p>
        </w:tc>
      </w:tr>
      <w:tr w:rsidR="00142F7A" w:rsidRPr="0013396E" w14:paraId="0A65B28C" w14:textId="77777777" w:rsidTr="00F12CF4">
        <w:tc>
          <w:tcPr>
            <w:tcW w:w="2535" w:type="dxa"/>
          </w:tcPr>
          <w:p w14:paraId="255410D1" w14:textId="77777777" w:rsidR="00142F7A" w:rsidRPr="0013396E" w:rsidRDefault="00142F7A" w:rsidP="00F12CF4">
            <w:pPr>
              <w:rPr>
                <w:i/>
                <w:sz w:val="20"/>
                <w:vertAlign w:val="subscript"/>
              </w:rPr>
            </w:pPr>
            <w:r w:rsidRPr="0013396E">
              <w:rPr>
                <w:sz w:val="20"/>
              </w:rPr>
              <w:t xml:space="preserve">RTONCCGRWF </w:t>
            </w:r>
            <w:r w:rsidRPr="0013396E">
              <w:rPr>
                <w:i/>
                <w:sz w:val="20"/>
                <w:vertAlign w:val="subscript"/>
              </w:rPr>
              <w:t>CCGR_PhyR, y</w:t>
            </w:r>
          </w:p>
        </w:tc>
        <w:tc>
          <w:tcPr>
            <w:tcW w:w="839" w:type="dxa"/>
          </w:tcPr>
          <w:p w14:paraId="2515D63A" w14:textId="77777777" w:rsidR="00142F7A" w:rsidRPr="0013396E" w:rsidRDefault="00142F7A" w:rsidP="00F12CF4">
            <w:pPr>
              <w:rPr>
                <w:sz w:val="20"/>
              </w:rPr>
            </w:pPr>
            <w:r w:rsidRPr="0013396E">
              <w:rPr>
                <w:sz w:val="20"/>
              </w:rPr>
              <w:t>none</w:t>
            </w:r>
          </w:p>
        </w:tc>
        <w:tc>
          <w:tcPr>
            <w:tcW w:w="6202" w:type="dxa"/>
          </w:tcPr>
          <w:p w14:paraId="51C840AB" w14:textId="77777777" w:rsidR="00142F7A" w:rsidRPr="0013396E" w:rsidRDefault="00142F7A" w:rsidP="00C43DB8">
            <w:pPr>
              <w:spacing w:after="60"/>
              <w:rPr>
                <w:sz w:val="20"/>
              </w:rPr>
            </w:pPr>
            <w:r w:rsidRPr="0013396E">
              <w:rPr>
                <w:i/>
                <w:sz w:val="20"/>
              </w:rPr>
              <w:t>Real-Time On-Line Combined Cycle Generation Resource Weighting Factor</w:t>
            </w:r>
            <w:r w:rsidRPr="0013396E">
              <w:rPr>
                <w:iCs/>
                <w:sz w:val="20"/>
              </w:rPr>
              <w:sym w:font="Symbol" w:char="F0BE"/>
            </w:r>
            <w:r w:rsidRPr="0013396E">
              <w:rPr>
                <w:sz w:val="20"/>
              </w:rPr>
              <w:t xml:space="preserve">The Real Time Combined Cycle Generation Resource weighting factor for a generation unit designated in a Combined Cycle </w:t>
            </w:r>
            <w:r w:rsidRPr="0013396E">
              <w:rPr>
                <w:sz w:val="20"/>
              </w:rPr>
              <w:lastRenderedPageBreak/>
              <w:t xml:space="preserve">Train registration for the On-Line Combined Cycle Generation Resource for the SCED interval </w:t>
            </w:r>
            <w:r w:rsidRPr="0013396E">
              <w:rPr>
                <w:i/>
                <w:sz w:val="20"/>
              </w:rPr>
              <w:t>y</w:t>
            </w:r>
            <w:r w:rsidRPr="0013396E">
              <w:rPr>
                <w:sz w:val="20"/>
              </w:rPr>
              <w:t>.</w:t>
            </w:r>
          </w:p>
        </w:tc>
      </w:tr>
      <w:tr w:rsidR="00142F7A" w:rsidRPr="0013396E" w14:paraId="44C590BF" w14:textId="77777777" w:rsidTr="00F12CF4">
        <w:tc>
          <w:tcPr>
            <w:tcW w:w="2535" w:type="dxa"/>
          </w:tcPr>
          <w:p w14:paraId="7A7F50D7" w14:textId="77777777" w:rsidR="00142F7A" w:rsidRPr="0013396E" w:rsidRDefault="00142F7A" w:rsidP="00F12CF4">
            <w:pPr>
              <w:rPr>
                <w:sz w:val="20"/>
              </w:rPr>
            </w:pPr>
            <w:r w:rsidRPr="0013396E">
              <w:rPr>
                <w:sz w:val="20"/>
              </w:rPr>
              <w:lastRenderedPageBreak/>
              <w:t xml:space="preserve">RTOFFCCGRWF </w:t>
            </w:r>
            <w:r w:rsidRPr="0013396E">
              <w:rPr>
                <w:i/>
                <w:sz w:val="20"/>
                <w:vertAlign w:val="subscript"/>
              </w:rPr>
              <w:t>CCT_PhyR, y</w:t>
            </w:r>
          </w:p>
        </w:tc>
        <w:tc>
          <w:tcPr>
            <w:tcW w:w="839" w:type="dxa"/>
          </w:tcPr>
          <w:p w14:paraId="014D39DA" w14:textId="77777777" w:rsidR="00142F7A" w:rsidRPr="0013396E" w:rsidRDefault="00142F7A" w:rsidP="00F12CF4">
            <w:pPr>
              <w:rPr>
                <w:sz w:val="20"/>
              </w:rPr>
            </w:pPr>
            <w:r w:rsidRPr="0013396E">
              <w:rPr>
                <w:sz w:val="20"/>
              </w:rPr>
              <w:t>none</w:t>
            </w:r>
          </w:p>
        </w:tc>
        <w:tc>
          <w:tcPr>
            <w:tcW w:w="6202" w:type="dxa"/>
          </w:tcPr>
          <w:p w14:paraId="0AB1097C" w14:textId="77777777" w:rsidR="00142F7A" w:rsidRPr="0013396E" w:rsidRDefault="00142F7A" w:rsidP="00C43DB8">
            <w:pPr>
              <w:spacing w:after="60"/>
              <w:rPr>
                <w:i/>
                <w:sz w:val="20"/>
              </w:rPr>
            </w:pPr>
            <w:r w:rsidRPr="0013396E">
              <w:rPr>
                <w:i/>
                <w:sz w:val="20"/>
              </w:rPr>
              <w:t>Real-Time Off-Line Combined Cycle Generation Resource Weighting Factor</w:t>
            </w:r>
            <w:r w:rsidRPr="0013396E">
              <w:rPr>
                <w:iCs/>
                <w:sz w:val="20"/>
              </w:rPr>
              <w:sym w:font="Symbol" w:char="F0BE"/>
            </w:r>
            <w:r w:rsidRPr="0013396E">
              <w:rPr>
                <w:sz w:val="20"/>
              </w:rPr>
              <w:t>The Real-Time Combined Cycle Generation Resource weighting factor for a generation unit designated in a Combined Cycle Train registration when the whole Combined Cycle Train is Off-Line for the SCED interval</w:t>
            </w:r>
            <w:r w:rsidRPr="0013396E">
              <w:rPr>
                <w:i/>
                <w:sz w:val="20"/>
              </w:rPr>
              <w:t xml:space="preserve"> y</w:t>
            </w:r>
            <w:r w:rsidRPr="0013396E">
              <w:rPr>
                <w:sz w:val="20"/>
              </w:rPr>
              <w:t>.</w:t>
            </w:r>
          </w:p>
        </w:tc>
      </w:tr>
      <w:tr w:rsidR="00142F7A" w:rsidRPr="0013396E" w14:paraId="53B73C1B" w14:textId="77777777" w:rsidTr="00F12CF4">
        <w:tc>
          <w:tcPr>
            <w:tcW w:w="2535" w:type="dxa"/>
          </w:tcPr>
          <w:p w14:paraId="6A4EC54A" w14:textId="77777777" w:rsidR="00142F7A" w:rsidRPr="0013396E" w:rsidRDefault="00142F7A" w:rsidP="00F12CF4">
            <w:pPr>
              <w:rPr>
                <w:sz w:val="20"/>
              </w:rPr>
            </w:pPr>
            <w:r w:rsidRPr="0013396E">
              <w:rPr>
                <w:i/>
                <w:sz w:val="20"/>
              </w:rPr>
              <w:t>CCGR_PhyR</w:t>
            </w:r>
          </w:p>
        </w:tc>
        <w:tc>
          <w:tcPr>
            <w:tcW w:w="839" w:type="dxa"/>
          </w:tcPr>
          <w:p w14:paraId="6AF39E91" w14:textId="77777777" w:rsidR="00142F7A" w:rsidRPr="0013396E" w:rsidRDefault="00142F7A" w:rsidP="00F12CF4">
            <w:pPr>
              <w:rPr>
                <w:sz w:val="20"/>
              </w:rPr>
            </w:pPr>
            <w:r w:rsidRPr="0013396E">
              <w:rPr>
                <w:sz w:val="20"/>
              </w:rPr>
              <w:t>none</w:t>
            </w:r>
          </w:p>
        </w:tc>
        <w:tc>
          <w:tcPr>
            <w:tcW w:w="6202" w:type="dxa"/>
          </w:tcPr>
          <w:p w14:paraId="1F171617" w14:textId="77777777" w:rsidR="00142F7A" w:rsidRPr="0013396E" w:rsidRDefault="00142F7A" w:rsidP="00C43DB8">
            <w:pPr>
              <w:spacing w:after="60"/>
              <w:rPr>
                <w:sz w:val="20"/>
              </w:rPr>
            </w:pPr>
            <w:r w:rsidRPr="0013396E">
              <w:rPr>
                <w:sz w:val="20"/>
              </w:rPr>
              <w:t>A generation unit designated in a Combine Cycle Train registration for the On-Line Combined Cycle Generation Resource.</w:t>
            </w:r>
          </w:p>
        </w:tc>
      </w:tr>
      <w:tr w:rsidR="00142F7A" w:rsidRPr="0013396E" w14:paraId="68F3D625" w14:textId="77777777" w:rsidTr="00F12CF4">
        <w:tc>
          <w:tcPr>
            <w:tcW w:w="2535" w:type="dxa"/>
          </w:tcPr>
          <w:p w14:paraId="3789CA26" w14:textId="77777777" w:rsidR="00142F7A" w:rsidRPr="0013396E" w:rsidRDefault="00142F7A" w:rsidP="00F12CF4">
            <w:pPr>
              <w:rPr>
                <w:i/>
                <w:sz w:val="20"/>
              </w:rPr>
            </w:pPr>
            <w:r w:rsidRPr="0013396E">
              <w:rPr>
                <w:i/>
                <w:sz w:val="20"/>
              </w:rPr>
              <w:t>CCT_PhyR</w:t>
            </w:r>
          </w:p>
        </w:tc>
        <w:tc>
          <w:tcPr>
            <w:tcW w:w="839" w:type="dxa"/>
          </w:tcPr>
          <w:p w14:paraId="3C1CF4B0" w14:textId="77777777" w:rsidR="00142F7A" w:rsidRPr="0013396E" w:rsidRDefault="00142F7A" w:rsidP="00F12CF4">
            <w:pPr>
              <w:rPr>
                <w:sz w:val="20"/>
              </w:rPr>
            </w:pPr>
            <w:r w:rsidRPr="0013396E">
              <w:rPr>
                <w:sz w:val="20"/>
              </w:rPr>
              <w:t>none</w:t>
            </w:r>
          </w:p>
        </w:tc>
        <w:tc>
          <w:tcPr>
            <w:tcW w:w="6202" w:type="dxa"/>
          </w:tcPr>
          <w:p w14:paraId="3DE3D875" w14:textId="77777777" w:rsidR="00142F7A" w:rsidRPr="0013396E" w:rsidRDefault="00142F7A" w:rsidP="00C43DB8">
            <w:pPr>
              <w:spacing w:after="60"/>
              <w:rPr>
                <w:sz w:val="20"/>
              </w:rPr>
            </w:pPr>
            <w:r w:rsidRPr="0013396E">
              <w:rPr>
                <w:sz w:val="20"/>
              </w:rPr>
              <w:t xml:space="preserve">A generation unit designated in a Combine Cycle Train registration </w:t>
            </w:r>
          </w:p>
        </w:tc>
      </w:tr>
      <w:tr w:rsidR="00142F7A" w:rsidRPr="0013396E" w14:paraId="3016BBC0" w14:textId="77777777" w:rsidTr="00F12CF4">
        <w:tc>
          <w:tcPr>
            <w:tcW w:w="2535" w:type="dxa"/>
          </w:tcPr>
          <w:p w14:paraId="6D6B3AE1" w14:textId="77777777" w:rsidR="00142F7A" w:rsidRPr="0013396E" w:rsidRDefault="00142F7A" w:rsidP="00F12CF4">
            <w:pPr>
              <w:rPr>
                <w:i/>
                <w:sz w:val="20"/>
              </w:rPr>
            </w:pPr>
            <w:r w:rsidRPr="0013396E">
              <w:rPr>
                <w:i/>
                <w:sz w:val="20"/>
              </w:rPr>
              <w:t>c</w:t>
            </w:r>
          </w:p>
        </w:tc>
        <w:tc>
          <w:tcPr>
            <w:tcW w:w="839" w:type="dxa"/>
          </w:tcPr>
          <w:p w14:paraId="45BECA17" w14:textId="77777777" w:rsidR="00142F7A" w:rsidRPr="0013396E" w:rsidRDefault="00142F7A" w:rsidP="00F12CF4">
            <w:pPr>
              <w:rPr>
                <w:sz w:val="20"/>
              </w:rPr>
            </w:pPr>
            <w:r w:rsidRPr="0013396E">
              <w:rPr>
                <w:sz w:val="20"/>
              </w:rPr>
              <w:t>none</w:t>
            </w:r>
          </w:p>
        </w:tc>
        <w:tc>
          <w:tcPr>
            <w:tcW w:w="6202" w:type="dxa"/>
          </w:tcPr>
          <w:p w14:paraId="435BB40A" w14:textId="77777777" w:rsidR="00142F7A" w:rsidRPr="0013396E" w:rsidRDefault="00142F7A" w:rsidP="00C43DB8">
            <w:pPr>
              <w:spacing w:after="60"/>
              <w:rPr>
                <w:sz w:val="20"/>
              </w:rPr>
            </w:pPr>
            <w:r w:rsidRPr="0013396E">
              <w:rPr>
                <w:sz w:val="20"/>
              </w:rPr>
              <w:t xml:space="preserve">A binding transmission constraint for the SCED interval </w:t>
            </w:r>
            <w:r w:rsidRPr="0013396E">
              <w:rPr>
                <w:i/>
                <w:sz w:val="20"/>
              </w:rPr>
              <w:t>y</w:t>
            </w:r>
            <w:r w:rsidRPr="0013396E">
              <w:rPr>
                <w:sz w:val="20"/>
              </w:rPr>
              <w:t>.</w:t>
            </w:r>
          </w:p>
        </w:tc>
      </w:tr>
      <w:tr w:rsidR="00142F7A" w:rsidRPr="0013396E" w14:paraId="345313BD" w14:textId="77777777" w:rsidTr="00F12CF4">
        <w:tc>
          <w:tcPr>
            <w:tcW w:w="2535" w:type="dxa"/>
          </w:tcPr>
          <w:p w14:paraId="732D7F9A" w14:textId="77777777" w:rsidR="00142F7A" w:rsidRPr="0013396E" w:rsidRDefault="00142F7A" w:rsidP="00F12CF4">
            <w:pPr>
              <w:rPr>
                <w:i/>
                <w:sz w:val="20"/>
              </w:rPr>
            </w:pPr>
            <w:r w:rsidRPr="0013396E">
              <w:rPr>
                <w:i/>
                <w:sz w:val="20"/>
              </w:rPr>
              <w:t>y</w:t>
            </w:r>
          </w:p>
        </w:tc>
        <w:tc>
          <w:tcPr>
            <w:tcW w:w="839" w:type="dxa"/>
          </w:tcPr>
          <w:p w14:paraId="33852265" w14:textId="77777777" w:rsidR="00142F7A" w:rsidRPr="0013396E" w:rsidRDefault="00142F7A" w:rsidP="00F12CF4">
            <w:pPr>
              <w:rPr>
                <w:sz w:val="20"/>
              </w:rPr>
            </w:pPr>
            <w:r w:rsidRPr="0013396E">
              <w:rPr>
                <w:sz w:val="20"/>
              </w:rPr>
              <w:t>none</w:t>
            </w:r>
          </w:p>
        </w:tc>
        <w:tc>
          <w:tcPr>
            <w:tcW w:w="6202" w:type="dxa"/>
          </w:tcPr>
          <w:p w14:paraId="15854274" w14:textId="77777777" w:rsidR="00142F7A" w:rsidRPr="0013396E" w:rsidRDefault="00142F7A" w:rsidP="00C43DB8">
            <w:pPr>
              <w:spacing w:after="60"/>
              <w:rPr>
                <w:sz w:val="20"/>
              </w:rPr>
            </w:pPr>
            <w:r w:rsidRPr="0013396E">
              <w:rPr>
                <w:sz w:val="20"/>
              </w:rPr>
              <w:t xml:space="preserve">A SCED interval in the 15-minute Settlement Interval.  </w:t>
            </w:r>
          </w:p>
        </w:tc>
      </w:tr>
    </w:tbl>
    <w:p w14:paraId="72290AF4" w14:textId="77777777" w:rsidR="00142F7A" w:rsidRPr="0013396E" w:rsidRDefault="00142F7A" w:rsidP="00142F7A">
      <w:pPr>
        <w:pStyle w:val="List"/>
        <w:spacing w:before="240"/>
        <w:rPr>
          <w:iCs/>
        </w:rPr>
      </w:pPr>
      <w:r w:rsidRPr="0013396E">
        <w:rPr>
          <w:iCs/>
        </w:rPr>
        <w:t>(b)</w:t>
      </w:r>
      <w:r w:rsidRPr="0013396E">
        <w:rPr>
          <w:iCs/>
        </w:rPr>
        <w:tab/>
        <w:t>For an On-Line Combined Cycle Train, the weight factor for each generation unit registered in an On-Line Combined Cycle Generation Resource shall be the Real-Time power output telemetry in each SCED interval for each generation unit registered in the Combined Cycle Generation Resource divided by the total Real-Time power output telemetry for all of the generation units registered in the Combined Cycle Generation Resource.  For an Off-Line Combined Cycle Train, the weight factor for each generation unit designated in a Combined Cycle Train registration shall be its High Reasonability Limit (HRL) divided by the total sum of the HRL for all generation units registered in the Combined Cycle Train.</w:t>
      </w:r>
    </w:p>
    <w:p w14:paraId="2B9635EB" w14:textId="77777777" w:rsidR="00142F7A" w:rsidRPr="0013396E" w:rsidRDefault="00142F7A" w:rsidP="00142F7A">
      <w:pPr>
        <w:pStyle w:val="BodyText"/>
        <w:ind w:left="1440"/>
      </w:pPr>
      <w:r w:rsidRPr="0013396E">
        <w:rPr>
          <w:iCs w:val="0"/>
        </w:rPr>
        <w:t>Where:</w:t>
      </w:r>
    </w:p>
    <w:p w14:paraId="3C9F34D7" w14:textId="77777777" w:rsidR="00142F7A" w:rsidRPr="0013396E" w:rsidRDefault="00142F7A" w:rsidP="00142F7A">
      <w:pPr>
        <w:spacing w:after="240"/>
        <w:ind w:left="720" w:firstLine="720"/>
        <w:rPr>
          <w:b/>
        </w:rPr>
      </w:pPr>
      <w:r w:rsidRPr="0013396E">
        <w:rPr>
          <w:b/>
        </w:rPr>
        <w:t xml:space="preserve">RTONCCGRWF </w:t>
      </w:r>
      <w:r w:rsidRPr="0013396E">
        <w:rPr>
          <w:b/>
          <w:i/>
          <w:vertAlign w:val="subscript"/>
        </w:rPr>
        <w:t>CCGR_PhyR, y</w:t>
      </w:r>
      <w:r w:rsidRPr="0013396E">
        <w:rPr>
          <w:b/>
        </w:rPr>
        <w:t xml:space="preserve"> = TG </w:t>
      </w:r>
      <w:r w:rsidRPr="0013396E">
        <w:rPr>
          <w:b/>
          <w:i/>
          <w:vertAlign w:val="subscript"/>
        </w:rPr>
        <w:t>CCGR_PhyR</w:t>
      </w:r>
      <w:r w:rsidRPr="0013396E">
        <w:rPr>
          <w:b/>
        </w:rPr>
        <w:t xml:space="preserve"> / ∑</w:t>
      </w:r>
      <w:r w:rsidRPr="0013396E">
        <w:rPr>
          <w:b/>
          <w:i/>
          <w:vertAlign w:val="subscript"/>
        </w:rPr>
        <w:t>CCGR_PhyR</w:t>
      </w:r>
      <w:r w:rsidRPr="0013396E">
        <w:rPr>
          <w:b/>
        </w:rPr>
        <w:t xml:space="preserve"> TG </w:t>
      </w:r>
      <w:r w:rsidRPr="0013396E">
        <w:rPr>
          <w:b/>
          <w:i/>
          <w:vertAlign w:val="subscript"/>
        </w:rPr>
        <w:t>CCGR_PhyR</w:t>
      </w:r>
    </w:p>
    <w:p w14:paraId="42BAE5FC" w14:textId="77777777" w:rsidR="00142F7A" w:rsidRPr="0013396E" w:rsidRDefault="00142F7A" w:rsidP="00142F7A">
      <w:pPr>
        <w:spacing w:after="240"/>
        <w:ind w:left="720" w:firstLine="720"/>
        <w:rPr>
          <w:b/>
        </w:rPr>
      </w:pPr>
      <w:r w:rsidRPr="0013396E">
        <w:rPr>
          <w:b/>
        </w:rPr>
        <w:t xml:space="preserve">RTOFFCCGRWF </w:t>
      </w:r>
      <w:r w:rsidRPr="0013396E">
        <w:rPr>
          <w:b/>
          <w:i/>
          <w:vertAlign w:val="subscript"/>
        </w:rPr>
        <w:t>CCT_PhyR, y</w:t>
      </w:r>
      <w:r w:rsidRPr="0013396E">
        <w:rPr>
          <w:b/>
        </w:rPr>
        <w:t xml:space="preserve"> = HRL </w:t>
      </w:r>
      <w:r w:rsidRPr="0013396E">
        <w:rPr>
          <w:b/>
          <w:i/>
          <w:vertAlign w:val="subscript"/>
        </w:rPr>
        <w:t>CCT_PhyR</w:t>
      </w:r>
      <w:r w:rsidRPr="0013396E">
        <w:rPr>
          <w:b/>
        </w:rPr>
        <w:t xml:space="preserve"> / ∑</w:t>
      </w:r>
      <w:r w:rsidRPr="0013396E">
        <w:rPr>
          <w:b/>
          <w:i/>
          <w:vertAlign w:val="subscript"/>
        </w:rPr>
        <w:t>CCT_PhyR</w:t>
      </w:r>
      <w:r w:rsidRPr="0013396E">
        <w:rPr>
          <w:b/>
        </w:rPr>
        <w:t xml:space="preserve"> HRL </w:t>
      </w:r>
      <w:r w:rsidRPr="0013396E">
        <w:rPr>
          <w:b/>
          <w:i/>
          <w:vertAlign w:val="subscript"/>
        </w:rPr>
        <w:t>CCT_PhyR</w:t>
      </w:r>
    </w:p>
    <w:p w14:paraId="1715D223" w14:textId="77777777" w:rsidR="00142F7A" w:rsidRPr="0013396E" w:rsidRDefault="00142F7A" w:rsidP="00142F7A">
      <w:pPr>
        <w:rPr>
          <w:b/>
        </w:rPr>
      </w:pPr>
      <w:r w:rsidRPr="0013396E">
        <w:t>The above variables are defined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05"/>
        <w:gridCol w:w="820"/>
        <w:gridCol w:w="6025"/>
      </w:tblGrid>
      <w:tr w:rsidR="00142F7A" w:rsidRPr="0013396E" w14:paraId="5075B2F9" w14:textId="77777777" w:rsidTr="00142F7A">
        <w:tc>
          <w:tcPr>
            <w:tcW w:w="2505" w:type="dxa"/>
          </w:tcPr>
          <w:p w14:paraId="3B2B372C" w14:textId="77777777" w:rsidR="00142F7A" w:rsidRPr="0013396E" w:rsidRDefault="00142F7A" w:rsidP="00F12CF4">
            <w:pPr>
              <w:spacing w:after="120"/>
              <w:rPr>
                <w:b/>
              </w:rPr>
            </w:pPr>
            <w:r w:rsidRPr="0013396E">
              <w:rPr>
                <w:b/>
                <w:iCs/>
                <w:sz w:val="20"/>
              </w:rPr>
              <w:t>Variable</w:t>
            </w:r>
          </w:p>
        </w:tc>
        <w:tc>
          <w:tcPr>
            <w:tcW w:w="820" w:type="dxa"/>
          </w:tcPr>
          <w:p w14:paraId="03F05E24" w14:textId="77777777" w:rsidR="00142F7A" w:rsidRPr="0013396E" w:rsidRDefault="00142F7A" w:rsidP="00F12CF4">
            <w:pPr>
              <w:spacing w:after="120"/>
              <w:rPr>
                <w:b/>
              </w:rPr>
            </w:pPr>
            <w:r w:rsidRPr="0013396E">
              <w:rPr>
                <w:b/>
                <w:iCs/>
                <w:sz w:val="20"/>
              </w:rPr>
              <w:t>Unit</w:t>
            </w:r>
          </w:p>
        </w:tc>
        <w:tc>
          <w:tcPr>
            <w:tcW w:w="6025" w:type="dxa"/>
          </w:tcPr>
          <w:p w14:paraId="375845AC" w14:textId="77777777" w:rsidR="00142F7A" w:rsidRPr="0013396E" w:rsidRDefault="00142F7A" w:rsidP="00F12CF4">
            <w:pPr>
              <w:spacing w:after="120"/>
              <w:rPr>
                <w:b/>
              </w:rPr>
            </w:pPr>
            <w:r w:rsidRPr="0013396E">
              <w:rPr>
                <w:b/>
                <w:iCs/>
                <w:sz w:val="20"/>
              </w:rPr>
              <w:t>Definition</w:t>
            </w:r>
          </w:p>
        </w:tc>
      </w:tr>
      <w:tr w:rsidR="00142F7A" w:rsidRPr="0013396E" w14:paraId="5874FA94" w14:textId="77777777" w:rsidTr="00142F7A">
        <w:tc>
          <w:tcPr>
            <w:tcW w:w="2505" w:type="dxa"/>
            <w:tcBorders>
              <w:bottom w:val="single" w:sz="4" w:space="0" w:color="auto"/>
            </w:tcBorders>
          </w:tcPr>
          <w:p w14:paraId="4E5FCBFA" w14:textId="77777777" w:rsidR="00142F7A" w:rsidRPr="0013396E" w:rsidRDefault="00142F7A" w:rsidP="00F12CF4">
            <w:pPr>
              <w:rPr>
                <w:i/>
                <w:sz w:val="20"/>
                <w:vertAlign w:val="subscript"/>
              </w:rPr>
            </w:pPr>
            <w:r w:rsidRPr="0013396E">
              <w:rPr>
                <w:sz w:val="20"/>
              </w:rPr>
              <w:t xml:space="preserve">RTONCCGRWF </w:t>
            </w:r>
            <w:r w:rsidRPr="0013396E">
              <w:rPr>
                <w:i/>
                <w:sz w:val="20"/>
                <w:vertAlign w:val="subscript"/>
              </w:rPr>
              <w:t>CCGR_PhyR, y</w:t>
            </w:r>
          </w:p>
        </w:tc>
        <w:tc>
          <w:tcPr>
            <w:tcW w:w="820" w:type="dxa"/>
            <w:tcBorders>
              <w:bottom w:val="single" w:sz="4" w:space="0" w:color="auto"/>
            </w:tcBorders>
          </w:tcPr>
          <w:p w14:paraId="4C2127A3" w14:textId="77777777" w:rsidR="00142F7A" w:rsidRPr="0013396E" w:rsidRDefault="00142F7A" w:rsidP="00F12CF4">
            <w:pPr>
              <w:rPr>
                <w:sz w:val="20"/>
              </w:rPr>
            </w:pPr>
            <w:r w:rsidRPr="0013396E">
              <w:rPr>
                <w:sz w:val="20"/>
              </w:rPr>
              <w:t>none</w:t>
            </w:r>
          </w:p>
        </w:tc>
        <w:tc>
          <w:tcPr>
            <w:tcW w:w="6025" w:type="dxa"/>
            <w:tcBorders>
              <w:bottom w:val="single" w:sz="4" w:space="0" w:color="auto"/>
            </w:tcBorders>
          </w:tcPr>
          <w:p w14:paraId="2EFA6EAF" w14:textId="77777777" w:rsidR="00142F7A" w:rsidRPr="0013396E" w:rsidRDefault="00142F7A" w:rsidP="00C43DB8">
            <w:pPr>
              <w:spacing w:after="60"/>
              <w:rPr>
                <w:sz w:val="20"/>
              </w:rPr>
            </w:pPr>
            <w:r w:rsidRPr="0013396E">
              <w:rPr>
                <w:i/>
                <w:sz w:val="20"/>
              </w:rPr>
              <w:t>Real-Time On-Line Combined Cycle Generation Resource Weighting Factor</w:t>
            </w:r>
            <w:r w:rsidRPr="0013396E">
              <w:rPr>
                <w:iCs/>
                <w:sz w:val="20"/>
              </w:rPr>
              <w:sym w:font="Symbol" w:char="F0BE"/>
            </w:r>
            <w:r w:rsidRPr="0013396E">
              <w:rPr>
                <w:sz w:val="20"/>
              </w:rPr>
              <w:t>The Real Time Combined Cycle Generation Resource weighting factor for a generation unit designated in a Combined Cycle Train registration for the On-Line Combined Cycle Generation Resource for the SCED interval</w:t>
            </w:r>
            <w:r w:rsidRPr="0013396E">
              <w:rPr>
                <w:i/>
                <w:sz w:val="20"/>
              </w:rPr>
              <w:t xml:space="preserve"> y</w:t>
            </w:r>
            <w:r w:rsidRPr="0013396E">
              <w:rPr>
                <w:sz w:val="20"/>
              </w:rPr>
              <w:t>.</w:t>
            </w:r>
          </w:p>
        </w:tc>
      </w:tr>
      <w:tr w:rsidR="00142F7A" w:rsidRPr="0013396E" w14:paraId="20841154" w14:textId="77777777" w:rsidTr="00142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05" w:type="dxa"/>
            <w:tcBorders>
              <w:top w:val="single" w:sz="4" w:space="0" w:color="auto"/>
              <w:left w:val="single" w:sz="4" w:space="0" w:color="auto"/>
              <w:bottom w:val="single" w:sz="4" w:space="0" w:color="auto"/>
              <w:right w:val="single" w:sz="4" w:space="0" w:color="auto"/>
            </w:tcBorders>
          </w:tcPr>
          <w:p w14:paraId="1ABDD2CA" w14:textId="77777777" w:rsidR="00142F7A" w:rsidRPr="0013396E" w:rsidRDefault="00142F7A" w:rsidP="00F12CF4">
            <w:pPr>
              <w:rPr>
                <w:i/>
                <w:sz w:val="20"/>
                <w:vertAlign w:val="subscript"/>
              </w:rPr>
            </w:pPr>
            <w:r w:rsidRPr="0013396E">
              <w:rPr>
                <w:sz w:val="20"/>
              </w:rPr>
              <w:t xml:space="preserve">TG </w:t>
            </w:r>
            <w:r w:rsidRPr="0013396E">
              <w:rPr>
                <w:i/>
                <w:sz w:val="20"/>
                <w:vertAlign w:val="subscript"/>
              </w:rPr>
              <w:t>CCGR_PhyR, y</w:t>
            </w:r>
          </w:p>
        </w:tc>
        <w:tc>
          <w:tcPr>
            <w:tcW w:w="820" w:type="dxa"/>
            <w:tcBorders>
              <w:top w:val="single" w:sz="4" w:space="0" w:color="auto"/>
              <w:left w:val="single" w:sz="4" w:space="0" w:color="auto"/>
              <w:bottom w:val="single" w:sz="4" w:space="0" w:color="auto"/>
              <w:right w:val="single" w:sz="4" w:space="0" w:color="auto"/>
            </w:tcBorders>
          </w:tcPr>
          <w:p w14:paraId="7F4C4CBF" w14:textId="77777777" w:rsidR="00142F7A" w:rsidRPr="0013396E" w:rsidRDefault="00142F7A" w:rsidP="00F12CF4">
            <w:pPr>
              <w:rPr>
                <w:sz w:val="20"/>
              </w:rPr>
            </w:pPr>
            <w:r w:rsidRPr="0013396E">
              <w:rPr>
                <w:sz w:val="20"/>
              </w:rPr>
              <w:t>MW</w:t>
            </w:r>
          </w:p>
        </w:tc>
        <w:tc>
          <w:tcPr>
            <w:tcW w:w="6025" w:type="dxa"/>
            <w:tcBorders>
              <w:top w:val="single" w:sz="4" w:space="0" w:color="auto"/>
              <w:left w:val="single" w:sz="4" w:space="0" w:color="auto"/>
              <w:bottom w:val="single" w:sz="4" w:space="0" w:color="auto"/>
              <w:right w:val="single" w:sz="4" w:space="0" w:color="auto"/>
            </w:tcBorders>
          </w:tcPr>
          <w:p w14:paraId="2D293286" w14:textId="77777777" w:rsidR="00142F7A" w:rsidRPr="0013396E" w:rsidRDefault="00142F7A" w:rsidP="00C43DB8">
            <w:pPr>
              <w:spacing w:after="60"/>
              <w:rPr>
                <w:sz w:val="20"/>
              </w:rPr>
            </w:pPr>
            <w:r w:rsidRPr="0013396E">
              <w:rPr>
                <w:i/>
                <w:sz w:val="20"/>
              </w:rPr>
              <w:t>Telemetered Generation for a Combined Cycle Generation Resource generation unit</w:t>
            </w:r>
            <w:r w:rsidRPr="0013396E">
              <w:rPr>
                <w:iCs/>
                <w:sz w:val="20"/>
              </w:rPr>
              <w:sym w:font="Symbol" w:char="F0BE"/>
            </w:r>
            <w:r w:rsidRPr="0013396E">
              <w:rPr>
                <w:sz w:val="20"/>
              </w:rPr>
              <w:t>The telemetered Real-Time power generation for a generation unit designated in a Combined Cycle Train registration for the On-Line Combined Cycle Generation Resource at the time of State Estimator execution for the SCED interval</w:t>
            </w:r>
            <w:r w:rsidRPr="0013396E">
              <w:rPr>
                <w:i/>
                <w:sz w:val="20"/>
              </w:rPr>
              <w:t xml:space="preserve"> y</w:t>
            </w:r>
            <w:r w:rsidRPr="0013396E">
              <w:rPr>
                <w:sz w:val="20"/>
              </w:rPr>
              <w:t>.</w:t>
            </w:r>
          </w:p>
        </w:tc>
      </w:tr>
      <w:tr w:rsidR="00142F7A" w:rsidRPr="0013396E" w14:paraId="20D912DC" w14:textId="77777777" w:rsidTr="00142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05" w:type="dxa"/>
            <w:tcBorders>
              <w:top w:val="single" w:sz="4" w:space="0" w:color="auto"/>
              <w:left w:val="single" w:sz="4" w:space="0" w:color="auto"/>
              <w:bottom w:val="single" w:sz="4" w:space="0" w:color="auto"/>
              <w:right w:val="single" w:sz="4" w:space="0" w:color="auto"/>
            </w:tcBorders>
          </w:tcPr>
          <w:p w14:paraId="05998468" w14:textId="467DEAD3" w:rsidR="00142F7A" w:rsidRPr="0013396E" w:rsidRDefault="00142F7A" w:rsidP="00F12CF4">
            <w:pPr>
              <w:rPr>
                <w:sz w:val="20"/>
              </w:rPr>
            </w:pPr>
            <w:r w:rsidRPr="0013396E">
              <w:rPr>
                <w:sz w:val="20"/>
              </w:rPr>
              <w:t xml:space="preserve">RTOFFCCGRWF </w:t>
            </w:r>
            <w:r w:rsidRPr="0013396E">
              <w:rPr>
                <w:i/>
                <w:sz w:val="20"/>
                <w:vertAlign w:val="subscript"/>
              </w:rPr>
              <w:t>CCT_PhyR, y</w:t>
            </w:r>
          </w:p>
        </w:tc>
        <w:tc>
          <w:tcPr>
            <w:tcW w:w="820" w:type="dxa"/>
            <w:tcBorders>
              <w:top w:val="single" w:sz="4" w:space="0" w:color="auto"/>
              <w:left w:val="single" w:sz="4" w:space="0" w:color="auto"/>
              <w:bottom w:val="single" w:sz="4" w:space="0" w:color="auto"/>
              <w:right w:val="single" w:sz="4" w:space="0" w:color="auto"/>
            </w:tcBorders>
          </w:tcPr>
          <w:p w14:paraId="6D7948CB" w14:textId="77777777" w:rsidR="00142F7A" w:rsidRPr="0013396E" w:rsidRDefault="00142F7A" w:rsidP="00F12CF4">
            <w:pPr>
              <w:rPr>
                <w:sz w:val="20"/>
              </w:rPr>
            </w:pPr>
            <w:r w:rsidRPr="0013396E">
              <w:rPr>
                <w:sz w:val="20"/>
              </w:rPr>
              <w:t>none</w:t>
            </w:r>
          </w:p>
        </w:tc>
        <w:tc>
          <w:tcPr>
            <w:tcW w:w="6025" w:type="dxa"/>
            <w:tcBorders>
              <w:top w:val="single" w:sz="4" w:space="0" w:color="auto"/>
              <w:left w:val="single" w:sz="4" w:space="0" w:color="auto"/>
              <w:bottom w:val="single" w:sz="4" w:space="0" w:color="auto"/>
              <w:right w:val="single" w:sz="4" w:space="0" w:color="auto"/>
            </w:tcBorders>
          </w:tcPr>
          <w:p w14:paraId="60EA8ABB" w14:textId="77777777" w:rsidR="00142F7A" w:rsidRPr="0013396E" w:rsidRDefault="00142F7A" w:rsidP="00C43DB8">
            <w:pPr>
              <w:spacing w:after="60"/>
              <w:rPr>
                <w:i/>
                <w:sz w:val="20"/>
              </w:rPr>
            </w:pPr>
            <w:r w:rsidRPr="0013396E">
              <w:rPr>
                <w:i/>
                <w:sz w:val="20"/>
              </w:rPr>
              <w:t>Real-Time Off-Line Combined Cycle Generation Resource Weighting Factor</w:t>
            </w:r>
            <w:r w:rsidRPr="0013396E">
              <w:rPr>
                <w:iCs/>
                <w:sz w:val="20"/>
              </w:rPr>
              <w:sym w:font="Symbol" w:char="F0BE"/>
            </w:r>
            <w:r w:rsidRPr="0013396E">
              <w:rPr>
                <w:sz w:val="20"/>
              </w:rPr>
              <w:t>The Real Time Combined Cycle Generation Resource weighting factor for a generation unit designated in a Combined Cycle Train registration when the whole Combined Cycle Train is Off-Line for the SCED interval</w:t>
            </w:r>
            <w:r w:rsidRPr="0013396E">
              <w:rPr>
                <w:i/>
                <w:sz w:val="20"/>
              </w:rPr>
              <w:t xml:space="preserve"> y</w:t>
            </w:r>
            <w:r w:rsidRPr="0013396E">
              <w:rPr>
                <w:sz w:val="20"/>
              </w:rPr>
              <w:t>.</w:t>
            </w:r>
          </w:p>
        </w:tc>
      </w:tr>
      <w:tr w:rsidR="00142F7A" w:rsidRPr="0013396E" w14:paraId="54353B7A" w14:textId="77777777" w:rsidTr="00142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05" w:type="dxa"/>
            <w:tcBorders>
              <w:top w:val="single" w:sz="4" w:space="0" w:color="auto"/>
              <w:left w:val="single" w:sz="4" w:space="0" w:color="auto"/>
              <w:bottom w:val="single" w:sz="4" w:space="0" w:color="auto"/>
              <w:right w:val="single" w:sz="4" w:space="0" w:color="auto"/>
            </w:tcBorders>
          </w:tcPr>
          <w:p w14:paraId="42B53D1E" w14:textId="77777777" w:rsidR="00142F7A" w:rsidRPr="0013396E" w:rsidRDefault="00142F7A" w:rsidP="00F12CF4">
            <w:pPr>
              <w:rPr>
                <w:sz w:val="20"/>
              </w:rPr>
            </w:pPr>
            <w:r w:rsidRPr="0013396E">
              <w:rPr>
                <w:sz w:val="20"/>
              </w:rPr>
              <w:t xml:space="preserve">HRL </w:t>
            </w:r>
            <w:r w:rsidRPr="0013396E">
              <w:rPr>
                <w:i/>
                <w:sz w:val="20"/>
                <w:vertAlign w:val="subscript"/>
              </w:rPr>
              <w:t>CCT_PhyR</w:t>
            </w:r>
          </w:p>
        </w:tc>
        <w:tc>
          <w:tcPr>
            <w:tcW w:w="820" w:type="dxa"/>
            <w:tcBorders>
              <w:top w:val="single" w:sz="4" w:space="0" w:color="auto"/>
              <w:left w:val="single" w:sz="4" w:space="0" w:color="auto"/>
              <w:bottom w:val="single" w:sz="4" w:space="0" w:color="auto"/>
              <w:right w:val="single" w:sz="4" w:space="0" w:color="auto"/>
            </w:tcBorders>
          </w:tcPr>
          <w:p w14:paraId="3DF66E68" w14:textId="77777777" w:rsidR="00142F7A" w:rsidRPr="0013396E" w:rsidRDefault="00142F7A" w:rsidP="00F12CF4">
            <w:pPr>
              <w:rPr>
                <w:sz w:val="20"/>
              </w:rPr>
            </w:pPr>
            <w:r w:rsidRPr="0013396E">
              <w:rPr>
                <w:sz w:val="20"/>
              </w:rPr>
              <w:t>MW</w:t>
            </w:r>
          </w:p>
        </w:tc>
        <w:tc>
          <w:tcPr>
            <w:tcW w:w="6025" w:type="dxa"/>
            <w:tcBorders>
              <w:top w:val="single" w:sz="4" w:space="0" w:color="auto"/>
              <w:left w:val="single" w:sz="4" w:space="0" w:color="auto"/>
              <w:bottom w:val="single" w:sz="4" w:space="0" w:color="auto"/>
              <w:right w:val="single" w:sz="4" w:space="0" w:color="auto"/>
            </w:tcBorders>
          </w:tcPr>
          <w:p w14:paraId="31F662B3" w14:textId="77777777" w:rsidR="00142F7A" w:rsidRPr="0013396E" w:rsidRDefault="00142F7A" w:rsidP="00C43DB8">
            <w:pPr>
              <w:spacing w:after="60"/>
              <w:rPr>
                <w:i/>
                <w:sz w:val="20"/>
              </w:rPr>
            </w:pPr>
            <w:r w:rsidRPr="0013396E">
              <w:rPr>
                <w:i/>
                <w:sz w:val="20"/>
              </w:rPr>
              <w:t>High Reasonability Limit</w:t>
            </w:r>
            <w:r w:rsidRPr="0013396E">
              <w:rPr>
                <w:sz w:val="20"/>
              </w:rPr>
              <w:t>—The HRL as specified in the ERCOT-approved Resource Registration data for a generation unit designated in a Combined Cycle Train registration.</w:t>
            </w:r>
          </w:p>
        </w:tc>
      </w:tr>
      <w:tr w:rsidR="00142F7A" w:rsidRPr="0013396E" w14:paraId="7A969BD9" w14:textId="77777777" w:rsidTr="00142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05" w:type="dxa"/>
            <w:tcBorders>
              <w:top w:val="single" w:sz="4" w:space="0" w:color="auto"/>
              <w:left w:val="single" w:sz="4" w:space="0" w:color="auto"/>
              <w:bottom w:val="single" w:sz="4" w:space="0" w:color="auto"/>
              <w:right w:val="single" w:sz="4" w:space="0" w:color="auto"/>
            </w:tcBorders>
          </w:tcPr>
          <w:p w14:paraId="193797FB" w14:textId="77777777" w:rsidR="00142F7A" w:rsidRPr="0013396E" w:rsidRDefault="00142F7A" w:rsidP="00F12CF4">
            <w:pPr>
              <w:rPr>
                <w:sz w:val="20"/>
              </w:rPr>
            </w:pPr>
            <w:r w:rsidRPr="0013396E">
              <w:rPr>
                <w:i/>
                <w:sz w:val="20"/>
              </w:rPr>
              <w:lastRenderedPageBreak/>
              <w:t>CCGR_PhyR</w:t>
            </w:r>
          </w:p>
        </w:tc>
        <w:tc>
          <w:tcPr>
            <w:tcW w:w="820" w:type="dxa"/>
            <w:tcBorders>
              <w:top w:val="single" w:sz="4" w:space="0" w:color="auto"/>
              <w:left w:val="single" w:sz="4" w:space="0" w:color="auto"/>
              <w:bottom w:val="single" w:sz="4" w:space="0" w:color="auto"/>
              <w:right w:val="single" w:sz="4" w:space="0" w:color="auto"/>
            </w:tcBorders>
          </w:tcPr>
          <w:p w14:paraId="04CE37CD" w14:textId="77777777" w:rsidR="00142F7A" w:rsidRPr="0013396E" w:rsidRDefault="00142F7A" w:rsidP="00F12CF4">
            <w:pPr>
              <w:rPr>
                <w:sz w:val="20"/>
              </w:rPr>
            </w:pPr>
            <w:r w:rsidRPr="0013396E">
              <w:rPr>
                <w:sz w:val="20"/>
              </w:rPr>
              <w:t>none</w:t>
            </w:r>
          </w:p>
        </w:tc>
        <w:tc>
          <w:tcPr>
            <w:tcW w:w="6025" w:type="dxa"/>
            <w:tcBorders>
              <w:top w:val="single" w:sz="4" w:space="0" w:color="auto"/>
              <w:left w:val="single" w:sz="4" w:space="0" w:color="auto"/>
              <w:bottom w:val="single" w:sz="4" w:space="0" w:color="auto"/>
              <w:right w:val="single" w:sz="4" w:space="0" w:color="auto"/>
            </w:tcBorders>
          </w:tcPr>
          <w:p w14:paraId="763F6F1D" w14:textId="77777777" w:rsidR="00142F7A" w:rsidRPr="0013396E" w:rsidRDefault="00142F7A" w:rsidP="00C43DB8">
            <w:pPr>
              <w:spacing w:after="60"/>
              <w:rPr>
                <w:sz w:val="20"/>
              </w:rPr>
            </w:pPr>
            <w:r w:rsidRPr="0013396E">
              <w:rPr>
                <w:sz w:val="20"/>
              </w:rPr>
              <w:t>A generation unit designated in a Combine Cycle Train registration for the On-Line Combined Cycle Generation Resource.</w:t>
            </w:r>
          </w:p>
        </w:tc>
      </w:tr>
      <w:tr w:rsidR="00142F7A" w:rsidRPr="0013396E" w14:paraId="56F2CEBC" w14:textId="77777777" w:rsidTr="00142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05" w:type="dxa"/>
            <w:tcBorders>
              <w:top w:val="single" w:sz="4" w:space="0" w:color="auto"/>
              <w:left w:val="single" w:sz="4" w:space="0" w:color="auto"/>
              <w:bottom w:val="single" w:sz="4" w:space="0" w:color="auto"/>
              <w:right w:val="single" w:sz="4" w:space="0" w:color="auto"/>
            </w:tcBorders>
          </w:tcPr>
          <w:p w14:paraId="7EE5DED2" w14:textId="77777777" w:rsidR="00142F7A" w:rsidRPr="0013396E" w:rsidRDefault="00142F7A" w:rsidP="00F12CF4">
            <w:pPr>
              <w:rPr>
                <w:i/>
                <w:sz w:val="20"/>
              </w:rPr>
            </w:pPr>
            <w:r w:rsidRPr="0013396E">
              <w:rPr>
                <w:i/>
                <w:sz w:val="20"/>
              </w:rPr>
              <w:t>CCT_PhyR</w:t>
            </w:r>
          </w:p>
        </w:tc>
        <w:tc>
          <w:tcPr>
            <w:tcW w:w="820" w:type="dxa"/>
            <w:tcBorders>
              <w:top w:val="single" w:sz="4" w:space="0" w:color="auto"/>
              <w:left w:val="single" w:sz="4" w:space="0" w:color="auto"/>
              <w:bottom w:val="single" w:sz="4" w:space="0" w:color="auto"/>
              <w:right w:val="single" w:sz="4" w:space="0" w:color="auto"/>
            </w:tcBorders>
          </w:tcPr>
          <w:p w14:paraId="53A21C64" w14:textId="77777777" w:rsidR="00142F7A" w:rsidRPr="0013396E" w:rsidRDefault="00142F7A" w:rsidP="00F12CF4">
            <w:pPr>
              <w:rPr>
                <w:sz w:val="20"/>
              </w:rPr>
            </w:pPr>
            <w:r w:rsidRPr="0013396E">
              <w:rPr>
                <w:sz w:val="20"/>
              </w:rPr>
              <w:t>none</w:t>
            </w:r>
          </w:p>
        </w:tc>
        <w:tc>
          <w:tcPr>
            <w:tcW w:w="6025" w:type="dxa"/>
            <w:tcBorders>
              <w:top w:val="single" w:sz="4" w:space="0" w:color="auto"/>
              <w:left w:val="single" w:sz="4" w:space="0" w:color="auto"/>
              <w:bottom w:val="single" w:sz="4" w:space="0" w:color="auto"/>
              <w:right w:val="single" w:sz="4" w:space="0" w:color="auto"/>
            </w:tcBorders>
          </w:tcPr>
          <w:p w14:paraId="0D281D25" w14:textId="77777777" w:rsidR="00142F7A" w:rsidRPr="0013396E" w:rsidRDefault="00142F7A" w:rsidP="00C43DB8">
            <w:pPr>
              <w:spacing w:after="60"/>
              <w:rPr>
                <w:sz w:val="20"/>
              </w:rPr>
            </w:pPr>
            <w:r w:rsidRPr="0013396E">
              <w:rPr>
                <w:sz w:val="20"/>
              </w:rPr>
              <w:t xml:space="preserve">A generation unit designated in a Combine Cycle Train registration. </w:t>
            </w:r>
          </w:p>
        </w:tc>
      </w:tr>
      <w:tr w:rsidR="00142F7A" w:rsidRPr="0013396E" w14:paraId="2105A122" w14:textId="77777777" w:rsidTr="00142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05" w:type="dxa"/>
            <w:tcBorders>
              <w:top w:val="single" w:sz="4" w:space="0" w:color="auto"/>
              <w:left w:val="single" w:sz="4" w:space="0" w:color="auto"/>
              <w:bottom w:val="single" w:sz="4" w:space="0" w:color="auto"/>
              <w:right w:val="single" w:sz="4" w:space="0" w:color="auto"/>
            </w:tcBorders>
          </w:tcPr>
          <w:p w14:paraId="3BF1E846" w14:textId="77777777" w:rsidR="00142F7A" w:rsidRPr="0013396E" w:rsidRDefault="00142F7A" w:rsidP="00F12CF4">
            <w:pPr>
              <w:rPr>
                <w:i/>
                <w:sz w:val="20"/>
              </w:rPr>
            </w:pPr>
            <w:r w:rsidRPr="0013396E">
              <w:rPr>
                <w:i/>
                <w:sz w:val="20"/>
              </w:rPr>
              <w:t>y</w:t>
            </w:r>
          </w:p>
        </w:tc>
        <w:tc>
          <w:tcPr>
            <w:tcW w:w="820" w:type="dxa"/>
            <w:tcBorders>
              <w:top w:val="single" w:sz="4" w:space="0" w:color="auto"/>
              <w:left w:val="single" w:sz="4" w:space="0" w:color="auto"/>
              <w:bottom w:val="single" w:sz="4" w:space="0" w:color="auto"/>
              <w:right w:val="single" w:sz="4" w:space="0" w:color="auto"/>
            </w:tcBorders>
          </w:tcPr>
          <w:p w14:paraId="4A68A770" w14:textId="77777777" w:rsidR="00142F7A" w:rsidRPr="0013396E" w:rsidRDefault="00142F7A" w:rsidP="00F12CF4">
            <w:pPr>
              <w:rPr>
                <w:sz w:val="20"/>
              </w:rPr>
            </w:pPr>
            <w:r w:rsidRPr="0013396E">
              <w:rPr>
                <w:sz w:val="20"/>
              </w:rPr>
              <w:t>none</w:t>
            </w:r>
          </w:p>
        </w:tc>
        <w:tc>
          <w:tcPr>
            <w:tcW w:w="6025" w:type="dxa"/>
            <w:tcBorders>
              <w:top w:val="single" w:sz="4" w:space="0" w:color="auto"/>
              <w:left w:val="single" w:sz="4" w:space="0" w:color="auto"/>
              <w:bottom w:val="single" w:sz="4" w:space="0" w:color="auto"/>
              <w:right w:val="single" w:sz="4" w:space="0" w:color="auto"/>
            </w:tcBorders>
          </w:tcPr>
          <w:p w14:paraId="2BEC3DA5" w14:textId="77777777" w:rsidR="00142F7A" w:rsidRPr="0013396E" w:rsidRDefault="00142F7A" w:rsidP="00C43DB8">
            <w:pPr>
              <w:spacing w:after="60"/>
              <w:rPr>
                <w:sz w:val="20"/>
              </w:rPr>
            </w:pPr>
            <w:r w:rsidRPr="0013396E">
              <w:rPr>
                <w:sz w:val="20"/>
              </w:rPr>
              <w:t xml:space="preserve">A SCED interval in the 15-minute Settlement Interval. </w:t>
            </w:r>
          </w:p>
        </w:tc>
      </w:tr>
    </w:tbl>
    <w:p w14:paraId="7149AC09" w14:textId="77777777" w:rsidR="001F04FD" w:rsidRPr="0013396E" w:rsidRDefault="001F04FD" w:rsidP="001F04FD">
      <w:pPr>
        <w:pStyle w:val="H4"/>
        <w:spacing w:before="480"/>
        <w:ind w:left="1267" w:hanging="1267"/>
      </w:pPr>
      <w:bookmarkStart w:id="1381" w:name="_Toc397505003"/>
      <w:bookmarkStart w:id="1382" w:name="_Toc402357131"/>
      <w:bookmarkStart w:id="1383" w:name="_Toc422486510"/>
      <w:bookmarkStart w:id="1384" w:name="_Toc433093362"/>
      <w:bookmarkStart w:id="1385" w:name="_Toc433093520"/>
      <w:bookmarkStart w:id="1386" w:name="_Toc440874748"/>
      <w:bookmarkStart w:id="1387" w:name="_Toc448142303"/>
      <w:bookmarkStart w:id="1388" w:name="_Toc448142460"/>
      <w:bookmarkStart w:id="1389" w:name="_Toc458770297"/>
      <w:bookmarkStart w:id="1390" w:name="_Toc459294265"/>
      <w:bookmarkStart w:id="1391" w:name="_Toc463262758"/>
      <w:bookmarkStart w:id="1392" w:name="_Toc468286831"/>
      <w:bookmarkStart w:id="1393" w:name="_Toc481502877"/>
      <w:bookmarkStart w:id="1394" w:name="_Toc496080045"/>
      <w:bookmarkStart w:id="1395" w:name="_Toc214878948"/>
      <w:bookmarkStart w:id="1396" w:name="_Toc103653333"/>
      <w:bookmarkStart w:id="1397" w:name="_Toc109009382"/>
      <w:r w:rsidRPr="0013396E">
        <w:t>6.6.1.2</w:t>
      </w:r>
      <w:r w:rsidRPr="0013396E">
        <w:tab/>
        <w:t>Real-Time Settlement Point Price for a Load Zone</w:t>
      </w:r>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p>
    <w:p w14:paraId="4BC6BF5A" w14:textId="77777777" w:rsidR="00636C61" w:rsidRPr="0013396E" w:rsidRDefault="00636C61" w:rsidP="00636C61">
      <w:pPr>
        <w:spacing w:after="240"/>
        <w:ind w:left="720" w:hanging="720"/>
        <w:rPr>
          <w:iCs/>
        </w:rPr>
      </w:pPr>
      <w:r w:rsidRPr="0013396E">
        <w:rPr>
          <w:iCs/>
        </w:rPr>
        <w:t>(1)</w:t>
      </w:r>
      <w:r w:rsidRPr="0013396E">
        <w:rPr>
          <w:iCs/>
        </w:rPr>
        <w:tab/>
        <w:t>The Real-Time Settlement Point Price for a Load Zone Settlement Point is based on the state-estimated Load in MW and the time-weighted average Real-Time LMPs at Electrical Buses that are included in the Load Zone.  The Real-Time Settlement Point Price for a Load Zone Settlement Point for a 15-minute Settlement Interval is calculated as follows:</w:t>
      </w:r>
    </w:p>
    <w:p w14:paraId="22A7B052" w14:textId="77777777" w:rsidR="00636C61" w:rsidRPr="0013396E" w:rsidRDefault="00636C61" w:rsidP="00636C61">
      <w:pPr>
        <w:tabs>
          <w:tab w:val="left" w:pos="2250"/>
          <w:tab w:val="left" w:pos="3150"/>
          <w:tab w:val="left" w:pos="3960"/>
        </w:tabs>
        <w:spacing w:after="240"/>
        <w:ind w:left="3960" w:hanging="3240"/>
        <w:rPr>
          <w:b/>
          <w:bCs/>
          <w:lang w:val="es-MX"/>
        </w:rPr>
      </w:pPr>
      <w:r w:rsidRPr="0013396E">
        <w:rPr>
          <w:b/>
          <w:bCs/>
          <w:lang w:val="es-MX"/>
        </w:rPr>
        <w:t>RTSPP</w:t>
      </w:r>
      <w:r w:rsidRPr="0013396E">
        <w:rPr>
          <w:b/>
          <w:bCs/>
          <w:lang w:val="es-MX"/>
        </w:rPr>
        <w:tab/>
        <w:t>=</w:t>
      </w:r>
      <w:r w:rsidRPr="0013396E">
        <w:rPr>
          <w:b/>
          <w:bCs/>
          <w:lang w:val="es-MX"/>
        </w:rPr>
        <w:tab/>
      </w:r>
      <w:r w:rsidRPr="0013396E">
        <w:rPr>
          <w:b/>
          <w:bCs/>
        </w:rPr>
        <w:t>Max (-$251, (</w:t>
      </w:r>
      <w:r w:rsidRPr="0013396E">
        <w:rPr>
          <w:b/>
          <w:bCs/>
          <w:lang w:val="es-MX"/>
        </w:rPr>
        <w:t>(</w:t>
      </w:r>
      <w:r w:rsidRPr="0013396E">
        <w:rPr>
          <w:b/>
          <w:bCs/>
          <w:position w:val="-22"/>
        </w:rPr>
        <w:object w:dxaOrig="225" w:dyaOrig="450" w14:anchorId="21BAF281">
          <v:shape id="_x0000_i1029" type="#_x0000_t75" style="width:12pt;height:24pt" o:ole="">
            <v:imagedata r:id="rId22" o:title=""/>
          </v:shape>
          <o:OLEObject Type="Embed" ProgID="Equation.3" ShapeID="_x0000_i1029" DrawAspect="Content" ObjectID="_1836311308" r:id="rId23"/>
        </w:object>
      </w:r>
      <w:r w:rsidRPr="0013396E">
        <w:rPr>
          <w:b/>
          <w:bCs/>
          <w:lang w:val="es-MX"/>
        </w:rPr>
        <w:t xml:space="preserve">TLMP </w:t>
      </w:r>
      <w:r w:rsidRPr="0013396E">
        <w:rPr>
          <w:b/>
          <w:bCs/>
          <w:i/>
          <w:vertAlign w:val="subscript"/>
          <w:lang w:val="es-MX"/>
        </w:rPr>
        <w:t>y</w:t>
      </w:r>
      <w:r w:rsidRPr="0013396E">
        <w:rPr>
          <w:b/>
          <w:bCs/>
          <w:lang w:val="es-MX"/>
        </w:rPr>
        <w:t xml:space="preserve"> * LZLMP </w:t>
      </w:r>
      <w:r w:rsidRPr="0013396E">
        <w:rPr>
          <w:b/>
          <w:bCs/>
          <w:i/>
          <w:vertAlign w:val="subscript"/>
          <w:lang w:val="es-MX"/>
        </w:rPr>
        <w:t>y</w:t>
      </w:r>
      <w:r w:rsidRPr="0013396E">
        <w:rPr>
          <w:b/>
          <w:bCs/>
          <w:lang w:val="es-MX"/>
        </w:rPr>
        <w:t xml:space="preserve">) / </w:t>
      </w:r>
      <w:r w:rsidRPr="0013396E">
        <w:rPr>
          <w:b/>
          <w:bCs/>
          <w:position w:val="-22"/>
        </w:rPr>
        <w:object w:dxaOrig="225" w:dyaOrig="450" w14:anchorId="1BF5FABC">
          <v:shape id="_x0000_i1030" type="#_x0000_t75" style="width:12pt;height:24pt" o:ole="">
            <v:imagedata r:id="rId24" o:title=""/>
          </v:shape>
          <o:OLEObject Type="Embed" ProgID="Equation.3" ShapeID="_x0000_i1030" DrawAspect="Content" ObjectID="_1836311309" r:id="rId25"/>
        </w:object>
      </w:r>
      <w:r w:rsidRPr="0013396E">
        <w:rPr>
          <w:b/>
          <w:bCs/>
          <w:lang w:val="es-MX"/>
        </w:rPr>
        <w:t>TLMP</w:t>
      </w:r>
      <w:r w:rsidRPr="0013396E">
        <w:rPr>
          <w:b/>
          <w:bCs/>
          <w:vertAlign w:val="subscript"/>
          <w:lang w:val="es-MX"/>
        </w:rPr>
        <w:t xml:space="preserve"> </w:t>
      </w:r>
      <w:r w:rsidRPr="0013396E">
        <w:rPr>
          <w:b/>
          <w:bCs/>
          <w:i/>
          <w:vertAlign w:val="subscript"/>
          <w:lang w:val="es-MX"/>
        </w:rPr>
        <w:t>y</w:t>
      </w:r>
      <w:r w:rsidRPr="0013396E">
        <w:rPr>
          <w:b/>
          <w:bCs/>
        </w:rPr>
        <w:t>) + RTRDP)</w:t>
      </w:r>
      <w:r w:rsidRPr="0013396E">
        <w:rPr>
          <w:b/>
          <w:bCs/>
          <w:lang w:val="es-MX"/>
        </w:rPr>
        <w:t xml:space="preserve"> </w:t>
      </w:r>
    </w:p>
    <w:p w14:paraId="1623FE5A" w14:textId="77777777" w:rsidR="00636C61" w:rsidRPr="0013396E" w:rsidRDefault="00636C61" w:rsidP="00636C61">
      <w:pPr>
        <w:spacing w:after="240"/>
        <w:ind w:left="720" w:hanging="720"/>
        <w:rPr>
          <w:iCs/>
        </w:rPr>
      </w:pPr>
      <w:r w:rsidRPr="0013396E">
        <w:rPr>
          <w:iCs/>
        </w:rPr>
        <w:t xml:space="preserve">For all Load Zones except Direct Current Tie (DC Tie) Load Zones: </w:t>
      </w:r>
    </w:p>
    <w:p w14:paraId="7DE17DE3" w14:textId="77777777" w:rsidR="00636C61" w:rsidRPr="0013396E" w:rsidRDefault="00636C61" w:rsidP="00636C61">
      <w:pPr>
        <w:tabs>
          <w:tab w:val="left" w:pos="2160"/>
          <w:tab w:val="left" w:pos="2880"/>
        </w:tabs>
        <w:spacing w:after="240"/>
        <w:ind w:leftChars="300" w:left="2880" w:hangingChars="900" w:hanging="2160"/>
        <w:rPr>
          <w:bCs/>
          <w:lang w:val="es-MX"/>
        </w:rPr>
      </w:pPr>
      <w:r w:rsidRPr="0013396E">
        <w:rPr>
          <w:bCs/>
          <w:lang w:val="es-MX"/>
        </w:rPr>
        <w:t xml:space="preserve">LZLMP </w:t>
      </w:r>
      <w:r w:rsidRPr="0013396E">
        <w:rPr>
          <w:bCs/>
          <w:i/>
          <w:vertAlign w:val="subscript"/>
          <w:lang w:val="es-MX"/>
        </w:rPr>
        <w:t>y</w:t>
      </w:r>
      <w:r w:rsidRPr="0013396E">
        <w:rPr>
          <w:bCs/>
          <w:lang w:val="es-MX"/>
        </w:rPr>
        <w:tab/>
        <w:t>=</w:t>
      </w:r>
      <w:r w:rsidRPr="0013396E">
        <w:rPr>
          <w:bCs/>
          <w:lang w:val="es-MX"/>
        </w:rPr>
        <w:tab/>
      </w:r>
      <w:r w:rsidRPr="0013396E">
        <w:rPr>
          <w:bCs/>
          <w:position w:val="-20"/>
        </w:rPr>
        <w:object w:dxaOrig="225" w:dyaOrig="420" w14:anchorId="46A0CDCC">
          <v:shape id="_x0000_i1031" type="#_x0000_t75" style="width:12pt;height:29.4pt" o:ole="">
            <v:imagedata r:id="rId26" o:title=""/>
          </v:shape>
          <o:OLEObject Type="Embed" ProgID="Equation.3" ShapeID="_x0000_i1031" DrawAspect="Content" ObjectID="_1836311310" r:id="rId27"/>
        </w:object>
      </w:r>
      <w:r w:rsidRPr="0013396E">
        <w:rPr>
          <w:bCs/>
          <w:lang w:val="es-MX"/>
        </w:rPr>
        <w:t xml:space="preserve"> (RTLMP </w:t>
      </w:r>
      <w:r w:rsidRPr="0013396E">
        <w:rPr>
          <w:bCs/>
          <w:i/>
          <w:vertAlign w:val="subscript"/>
          <w:lang w:val="es-MX"/>
        </w:rPr>
        <w:t>b, y</w:t>
      </w:r>
      <w:r w:rsidRPr="0013396E">
        <w:rPr>
          <w:bCs/>
          <w:lang w:val="es-MX"/>
        </w:rPr>
        <w:t xml:space="preserve"> * SEL</w:t>
      </w:r>
      <w:r w:rsidRPr="0013396E">
        <w:rPr>
          <w:bCs/>
          <w:i/>
          <w:vertAlign w:val="subscript"/>
          <w:lang w:val="es-MX"/>
        </w:rPr>
        <w:t xml:space="preserve"> b, y</w:t>
      </w:r>
      <w:r w:rsidRPr="0013396E">
        <w:rPr>
          <w:bCs/>
          <w:lang w:val="es-MX"/>
        </w:rPr>
        <w:t xml:space="preserve">) / </w:t>
      </w:r>
      <w:r w:rsidRPr="0013396E">
        <w:rPr>
          <w:bCs/>
          <w:position w:val="-20"/>
        </w:rPr>
        <w:object w:dxaOrig="225" w:dyaOrig="420" w14:anchorId="2203DA3C">
          <v:shape id="_x0000_i1032" type="#_x0000_t75" style="width:12pt;height:29.4pt" o:ole="">
            <v:imagedata r:id="rId28" o:title=""/>
          </v:shape>
          <o:OLEObject Type="Embed" ProgID="Equation.3" ShapeID="_x0000_i1032" DrawAspect="Content" ObjectID="_1836311311" r:id="rId29"/>
        </w:object>
      </w:r>
      <w:r w:rsidRPr="0013396E">
        <w:rPr>
          <w:bCs/>
          <w:lang w:val="es-MX"/>
        </w:rPr>
        <w:t>SEL</w:t>
      </w:r>
      <w:r w:rsidRPr="0013396E">
        <w:rPr>
          <w:bCs/>
          <w:vertAlign w:val="subscript"/>
          <w:lang w:val="es-MX"/>
        </w:rPr>
        <w:t xml:space="preserve"> </w:t>
      </w:r>
      <w:r w:rsidRPr="0013396E">
        <w:rPr>
          <w:bCs/>
          <w:i/>
          <w:vertAlign w:val="subscript"/>
          <w:lang w:val="es-MX"/>
        </w:rPr>
        <w:t>b, y</w:t>
      </w:r>
    </w:p>
    <w:p w14:paraId="4EA75A56" w14:textId="77777777" w:rsidR="00636C61" w:rsidRPr="0013396E" w:rsidRDefault="00636C61" w:rsidP="00636C61">
      <w:pPr>
        <w:spacing w:after="240"/>
        <w:rPr>
          <w:iCs/>
        </w:rPr>
      </w:pPr>
      <w:r w:rsidRPr="0013396E">
        <w:rPr>
          <w:iCs/>
        </w:rPr>
        <w:t xml:space="preserve">For a DC Tie Load Zone: </w:t>
      </w:r>
    </w:p>
    <w:p w14:paraId="05416C3D" w14:textId="77777777" w:rsidR="00636C61" w:rsidRPr="0013396E" w:rsidRDefault="00636C61" w:rsidP="00636C61">
      <w:pPr>
        <w:tabs>
          <w:tab w:val="left" w:pos="2160"/>
          <w:tab w:val="left" w:pos="2880"/>
        </w:tabs>
        <w:spacing w:after="240"/>
        <w:ind w:leftChars="300" w:left="2880" w:hangingChars="900" w:hanging="2160"/>
        <w:rPr>
          <w:bCs/>
          <w:lang w:val="es-MX"/>
        </w:rPr>
      </w:pPr>
      <w:r w:rsidRPr="0013396E">
        <w:rPr>
          <w:bCs/>
          <w:lang w:val="es-MX"/>
        </w:rPr>
        <w:t xml:space="preserve">LZLMP </w:t>
      </w:r>
      <w:r w:rsidRPr="0013396E">
        <w:rPr>
          <w:bCs/>
          <w:i/>
          <w:vertAlign w:val="subscript"/>
          <w:lang w:val="es-MX"/>
        </w:rPr>
        <w:t>y</w:t>
      </w:r>
      <w:r w:rsidRPr="0013396E">
        <w:rPr>
          <w:bCs/>
          <w:lang w:val="es-MX"/>
        </w:rPr>
        <w:tab/>
        <w:t>=</w:t>
      </w:r>
      <w:r w:rsidRPr="0013396E">
        <w:rPr>
          <w:bCs/>
          <w:lang w:val="es-MX"/>
        </w:rPr>
        <w:tab/>
        <w:t>RTLMP</w:t>
      </w:r>
      <w:r w:rsidRPr="0013396E">
        <w:rPr>
          <w:bCs/>
          <w:i/>
          <w:vertAlign w:val="subscript"/>
          <w:lang w:val="es-MX"/>
        </w:rPr>
        <w:t xml:space="preserve"> b, y</w:t>
      </w:r>
      <w:r w:rsidRPr="0013396E">
        <w:rPr>
          <w:bCs/>
          <w:lang w:val="es-MX"/>
        </w:rPr>
        <w:t xml:space="preserve"> </w:t>
      </w:r>
    </w:p>
    <w:p w14:paraId="39E20F37" w14:textId="77777777" w:rsidR="00636C61" w:rsidRPr="0013396E" w:rsidRDefault="00636C61" w:rsidP="00636C61">
      <w:pPr>
        <w:spacing w:after="240"/>
        <w:rPr>
          <w:iCs/>
        </w:rPr>
      </w:pPr>
      <w:r w:rsidRPr="0013396E">
        <w:rPr>
          <w:iCs/>
        </w:rPr>
        <w:t>Where:</w:t>
      </w:r>
    </w:p>
    <w:p w14:paraId="306E8D85" w14:textId="77777777" w:rsidR="00636C61" w:rsidRPr="0013396E" w:rsidRDefault="00636C61" w:rsidP="00636C61">
      <w:pPr>
        <w:spacing w:after="240"/>
        <w:ind w:left="720"/>
      </w:pPr>
      <w:r w:rsidRPr="0013396E">
        <w:t>RTRDP =</w:t>
      </w:r>
      <w:r w:rsidRPr="0013396E">
        <w:tab/>
      </w:r>
      <w:r w:rsidRPr="0013396E">
        <w:rPr>
          <w:position w:val="-22"/>
        </w:rPr>
        <w:object w:dxaOrig="225" w:dyaOrig="465" w14:anchorId="08D80272">
          <v:shape id="_x0000_i1033" type="#_x0000_t75" style="width:24pt;height:18.6pt" o:ole="">
            <v:imagedata r:id="rId20" o:title=""/>
          </v:shape>
          <o:OLEObject Type="Embed" ProgID="Equation.3" ShapeID="_x0000_i1033" DrawAspect="Content" ObjectID="_1836311312" r:id="rId30"/>
        </w:object>
      </w:r>
      <w:r w:rsidRPr="0013396E">
        <w:t xml:space="preserve">(RNWF </w:t>
      </w:r>
      <w:r w:rsidRPr="0013396E">
        <w:rPr>
          <w:i/>
          <w:iCs/>
          <w:vertAlign w:val="subscript"/>
        </w:rPr>
        <w:t xml:space="preserve">y </w:t>
      </w:r>
      <w:r w:rsidRPr="0013396E">
        <w:t>* RTRDPA</w:t>
      </w:r>
      <w:r w:rsidRPr="0013396E">
        <w:rPr>
          <w:i/>
          <w:iCs/>
          <w:vertAlign w:val="subscript"/>
        </w:rPr>
        <w:t xml:space="preserve"> y</w:t>
      </w:r>
      <w:r w:rsidRPr="0013396E">
        <w:t>)</w:t>
      </w:r>
    </w:p>
    <w:p w14:paraId="4723F9EF" w14:textId="42BB6F1F" w:rsidR="001F04FD" w:rsidRPr="0013396E" w:rsidRDefault="00636C61" w:rsidP="001F04FD">
      <w:pPr>
        <w:pStyle w:val="Formula"/>
        <w:ind w:left="2880" w:hanging="2160"/>
        <w:rPr>
          <w:lang w:val="es-MX"/>
        </w:rPr>
      </w:pPr>
      <w:r w:rsidRPr="0013396E">
        <w:t xml:space="preserve">RNWF </w:t>
      </w:r>
      <w:r w:rsidRPr="0013396E">
        <w:rPr>
          <w:i/>
          <w:vertAlign w:val="subscript"/>
        </w:rPr>
        <w:t>y</w:t>
      </w:r>
      <w:r w:rsidRPr="0013396E">
        <w:t>=</w:t>
      </w:r>
      <w:r w:rsidRPr="0013396E">
        <w:tab/>
      </w:r>
      <w:r w:rsidRPr="0013396E">
        <w:tab/>
        <w:t xml:space="preserve">TLMP </w:t>
      </w:r>
      <w:r w:rsidRPr="0013396E">
        <w:rPr>
          <w:i/>
          <w:vertAlign w:val="subscript"/>
        </w:rPr>
        <w:t>y</w:t>
      </w:r>
      <w:r w:rsidRPr="0013396E">
        <w:t xml:space="preserve"> </w:t>
      </w:r>
      <w:r w:rsidRPr="0013396E">
        <w:rPr>
          <w:color w:val="000000"/>
          <w:sz w:val="32"/>
          <w:szCs w:val="32"/>
        </w:rPr>
        <w:t>/</w:t>
      </w:r>
      <w:r w:rsidRPr="0013396E">
        <w:rPr>
          <w:color w:val="000000"/>
        </w:rPr>
        <w:t xml:space="preserve"> </w:t>
      </w:r>
      <w:r w:rsidRPr="0013396E">
        <w:rPr>
          <w:iCs/>
          <w:position w:val="-22"/>
        </w:rPr>
        <w:object w:dxaOrig="225" w:dyaOrig="465" w14:anchorId="61E2904D">
          <v:shape id="_x0000_i1034" type="#_x0000_t75" style="width:24pt;height:18.6pt" o:ole="">
            <v:imagedata r:id="rId20" o:title=""/>
          </v:shape>
          <o:OLEObject Type="Embed" ProgID="Equation.3" ShapeID="_x0000_i1034" DrawAspect="Content" ObjectID="_1836311313" r:id="rId31"/>
        </w:object>
      </w:r>
      <w:r w:rsidRPr="0013396E">
        <w:t xml:space="preserve">TLMP </w:t>
      </w:r>
      <w:r w:rsidRPr="0013396E">
        <w:rPr>
          <w:i/>
          <w:vertAlign w:val="subscript"/>
        </w:rPr>
        <w:t>y</w:t>
      </w:r>
    </w:p>
    <w:p w14:paraId="2C604D4D" w14:textId="77777777" w:rsidR="00636C61" w:rsidRPr="0013396E" w:rsidRDefault="00636C61" w:rsidP="00636C61">
      <w:pPr>
        <w:spacing w:after="240"/>
        <w:ind w:left="720" w:hanging="720"/>
        <w:rPr>
          <w:iCs/>
        </w:rPr>
      </w:pPr>
      <w:r w:rsidRPr="0013396E">
        <w:rPr>
          <w:iCs/>
        </w:rPr>
        <w:t>(2)</w:t>
      </w:r>
      <w:r w:rsidRPr="0013396E">
        <w:rPr>
          <w:iCs/>
        </w:rPr>
        <w:tab/>
        <w:t xml:space="preserve">For all Settlement calculations in which a 15-minute Real-Time Settlement Point Price for a Load Zone is required in order to perform Settlement for a 15-minute quantity that is represented as one value (the integrated value for the 15-minute interval) but varies with each SCED interval within the 15-minute Settlement Interval, an energy-weighted Real-Time Settlement Point Price shall be used and is calculated as follows: </w:t>
      </w:r>
    </w:p>
    <w:p w14:paraId="0582431D" w14:textId="77777777" w:rsidR="00636C61" w:rsidRPr="0013396E" w:rsidRDefault="00636C61" w:rsidP="00636C61">
      <w:pPr>
        <w:spacing w:after="240"/>
        <w:ind w:left="3960" w:hanging="3240"/>
        <w:rPr>
          <w:b/>
          <w:iCs/>
          <w:lang w:val="es-MX"/>
        </w:rPr>
      </w:pPr>
      <w:r w:rsidRPr="0013396E">
        <w:rPr>
          <w:b/>
          <w:iCs/>
          <w:lang w:val="es-MX"/>
        </w:rPr>
        <w:t>RTSPPEW              =</w:t>
      </w:r>
      <w:r w:rsidRPr="0013396E">
        <w:rPr>
          <w:b/>
          <w:iCs/>
          <w:lang w:val="es-MX"/>
        </w:rPr>
        <w:tab/>
      </w:r>
      <w:r w:rsidRPr="0013396E">
        <w:rPr>
          <w:b/>
          <w:iCs/>
        </w:rPr>
        <w:t>Max [-$251, (</w:t>
      </w:r>
      <w:r w:rsidRPr="0013396E">
        <w:rPr>
          <w:b/>
          <w:iCs/>
          <w:position w:val="-22"/>
        </w:rPr>
        <w:object w:dxaOrig="225" w:dyaOrig="450" w14:anchorId="3E69B4E7">
          <v:shape id="_x0000_i1035" type="#_x0000_t75" style="width:12pt;height:29.4pt" o:ole="">
            <v:imagedata r:id="rId22" o:title=""/>
          </v:shape>
          <o:OLEObject Type="Embed" ProgID="Equation.3" ShapeID="_x0000_i1035" DrawAspect="Content" ObjectID="_1836311314" r:id="rId32"/>
        </w:object>
      </w:r>
      <w:r w:rsidRPr="0013396E">
        <w:rPr>
          <w:b/>
          <w:iCs/>
          <w:position w:val="-20"/>
        </w:rPr>
        <w:object w:dxaOrig="225" w:dyaOrig="420" w14:anchorId="784DD2FD">
          <v:shape id="_x0000_i1036" type="#_x0000_t75" style="width:12pt;height:29.4pt" o:ole="">
            <v:imagedata r:id="rId33" o:title=""/>
          </v:shape>
          <o:OLEObject Type="Embed" ProgID="Equation.3" ShapeID="_x0000_i1036" DrawAspect="Content" ObjectID="_1836311315" r:id="rId34"/>
        </w:object>
      </w:r>
      <w:r w:rsidRPr="0013396E">
        <w:rPr>
          <w:b/>
          <w:iCs/>
          <w:lang w:val="es-MX"/>
        </w:rPr>
        <w:t>(RTLMP</w:t>
      </w:r>
      <w:r w:rsidRPr="0013396E">
        <w:rPr>
          <w:b/>
          <w:iCs/>
          <w:vertAlign w:val="subscript"/>
          <w:lang w:val="es-MX"/>
        </w:rPr>
        <w:t xml:space="preserve"> </w:t>
      </w:r>
      <w:r w:rsidRPr="0013396E">
        <w:rPr>
          <w:b/>
          <w:i/>
          <w:iCs/>
          <w:vertAlign w:val="subscript"/>
          <w:lang w:val="es-MX"/>
        </w:rPr>
        <w:t>b, y</w:t>
      </w:r>
      <w:r w:rsidRPr="0013396E">
        <w:rPr>
          <w:b/>
          <w:iCs/>
          <w:lang w:val="es-MX"/>
        </w:rPr>
        <w:t xml:space="preserve"> * LZWF</w:t>
      </w:r>
      <w:r w:rsidRPr="0013396E">
        <w:rPr>
          <w:b/>
          <w:i/>
          <w:iCs/>
          <w:vertAlign w:val="subscript"/>
          <w:lang w:val="es-MX"/>
        </w:rPr>
        <w:t xml:space="preserve"> b, y</w:t>
      </w:r>
      <w:r w:rsidRPr="0013396E">
        <w:rPr>
          <w:b/>
          <w:iCs/>
          <w:lang w:val="es-MX"/>
        </w:rPr>
        <w:t xml:space="preserve">) </w:t>
      </w:r>
      <w:r w:rsidRPr="0013396E">
        <w:rPr>
          <w:b/>
          <w:iCs/>
        </w:rPr>
        <w:t>+ RTRDP)]</w:t>
      </w:r>
    </w:p>
    <w:p w14:paraId="71557597" w14:textId="77777777" w:rsidR="00636C61" w:rsidRPr="0013396E" w:rsidRDefault="00636C61" w:rsidP="00636C61">
      <w:pPr>
        <w:spacing w:after="240"/>
        <w:rPr>
          <w:iCs/>
        </w:rPr>
      </w:pPr>
      <w:r w:rsidRPr="0013396E">
        <w:rPr>
          <w:iCs/>
        </w:rPr>
        <w:t>For all Load Zones except DC Tie Load Zones:</w:t>
      </w:r>
    </w:p>
    <w:p w14:paraId="768D1BB0" w14:textId="77777777" w:rsidR="00636C61" w:rsidRPr="0013396E" w:rsidRDefault="00636C61" w:rsidP="00636C61">
      <w:pPr>
        <w:tabs>
          <w:tab w:val="left" w:pos="2160"/>
          <w:tab w:val="left" w:pos="2880"/>
        </w:tabs>
        <w:spacing w:after="240"/>
        <w:ind w:leftChars="300" w:left="2880" w:hangingChars="900" w:hanging="2160"/>
        <w:rPr>
          <w:bCs/>
          <w:lang w:val="es-MX"/>
        </w:rPr>
      </w:pPr>
      <w:r w:rsidRPr="0013396E">
        <w:rPr>
          <w:bCs/>
          <w:lang w:val="es-MX"/>
        </w:rPr>
        <w:t>LZWF</w:t>
      </w:r>
      <w:r w:rsidRPr="0013396E">
        <w:rPr>
          <w:bCs/>
          <w:i/>
          <w:vertAlign w:val="subscript"/>
          <w:lang w:val="es-MX"/>
        </w:rPr>
        <w:t xml:space="preserve"> b, y</w:t>
      </w:r>
      <w:r w:rsidRPr="0013396E">
        <w:rPr>
          <w:bCs/>
          <w:lang w:val="es-MX"/>
        </w:rPr>
        <w:t xml:space="preserve"> </w:t>
      </w:r>
      <w:r w:rsidRPr="0013396E">
        <w:rPr>
          <w:bCs/>
          <w:lang w:val="es-MX"/>
        </w:rPr>
        <w:tab/>
        <w:t>=</w:t>
      </w:r>
      <w:r w:rsidRPr="0013396E">
        <w:rPr>
          <w:bCs/>
          <w:lang w:val="es-MX"/>
        </w:rPr>
        <w:tab/>
        <w:t>(SEL</w:t>
      </w:r>
      <w:r w:rsidRPr="0013396E">
        <w:rPr>
          <w:bCs/>
          <w:vertAlign w:val="subscript"/>
          <w:lang w:val="es-MX"/>
        </w:rPr>
        <w:t xml:space="preserve"> </w:t>
      </w:r>
      <w:r w:rsidRPr="0013396E">
        <w:rPr>
          <w:bCs/>
          <w:i/>
          <w:vertAlign w:val="subscript"/>
          <w:lang w:val="es-MX"/>
        </w:rPr>
        <w:t>b, y</w:t>
      </w:r>
      <w:r w:rsidRPr="0013396E">
        <w:rPr>
          <w:bCs/>
          <w:lang w:val="es-MX"/>
        </w:rPr>
        <w:t xml:space="preserve"> * TLMP </w:t>
      </w:r>
      <w:r w:rsidRPr="0013396E">
        <w:rPr>
          <w:bCs/>
          <w:i/>
          <w:vertAlign w:val="subscript"/>
          <w:lang w:val="es-MX"/>
        </w:rPr>
        <w:t>y</w:t>
      </w:r>
      <w:r w:rsidRPr="0013396E">
        <w:rPr>
          <w:bCs/>
          <w:lang w:val="es-MX"/>
        </w:rPr>
        <w:t xml:space="preserve">) </w:t>
      </w:r>
      <w:r w:rsidRPr="0013396E">
        <w:rPr>
          <w:b/>
          <w:bCs/>
          <w:sz w:val="32"/>
          <w:szCs w:val="32"/>
          <w:lang w:val="es-MX"/>
        </w:rPr>
        <w:t>/</w:t>
      </w:r>
      <w:r w:rsidRPr="0013396E">
        <w:rPr>
          <w:bCs/>
          <w:lang w:val="es-MX"/>
        </w:rPr>
        <w:t xml:space="preserve"> [</w:t>
      </w:r>
      <w:r w:rsidRPr="0013396E">
        <w:rPr>
          <w:bCs/>
          <w:position w:val="-22"/>
        </w:rPr>
        <w:object w:dxaOrig="225" w:dyaOrig="450" w14:anchorId="5CA42247">
          <v:shape id="_x0000_i1037" type="#_x0000_t75" style="width:12pt;height:24pt" o:ole="">
            <v:imagedata r:id="rId24" o:title=""/>
          </v:shape>
          <o:OLEObject Type="Embed" ProgID="Equation.3" ShapeID="_x0000_i1037" DrawAspect="Content" ObjectID="_1836311316" r:id="rId35"/>
        </w:object>
      </w:r>
      <w:r w:rsidRPr="0013396E">
        <w:rPr>
          <w:bCs/>
          <w:position w:val="-20"/>
        </w:rPr>
        <w:object w:dxaOrig="225" w:dyaOrig="420" w14:anchorId="1FC3ED10">
          <v:shape id="_x0000_i1038" type="#_x0000_t75" style="width:12pt;height:29.4pt" o:ole="">
            <v:imagedata r:id="rId28" o:title=""/>
          </v:shape>
          <o:OLEObject Type="Embed" ProgID="Equation.3" ShapeID="_x0000_i1038" DrawAspect="Content" ObjectID="_1836311317" r:id="rId36"/>
        </w:object>
      </w:r>
      <w:r w:rsidRPr="0013396E">
        <w:rPr>
          <w:bCs/>
          <w:lang w:val="es-MX"/>
        </w:rPr>
        <w:t>(SEL</w:t>
      </w:r>
      <w:r w:rsidRPr="0013396E">
        <w:rPr>
          <w:bCs/>
          <w:vertAlign w:val="subscript"/>
          <w:lang w:val="es-MX"/>
        </w:rPr>
        <w:t xml:space="preserve"> </w:t>
      </w:r>
      <w:r w:rsidRPr="0013396E">
        <w:rPr>
          <w:bCs/>
          <w:i/>
          <w:vertAlign w:val="subscript"/>
          <w:lang w:val="es-MX"/>
        </w:rPr>
        <w:t>b, y</w:t>
      </w:r>
      <w:r w:rsidRPr="0013396E">
        <w:rPr>
          <w:bCs/>
          <w:lang w:val="es-MX"/>
        </w:rPr>
        <w:t xml:space="preserve"> * TLMP</w:t>
      </w:r>
      <w:r w:rsidRPr="0013396E">
        <w:rPr>
          <w:bCs/>
          <w:vertAlign w:val="subscript"/>
          <w:lang w:val="es-MX"/>
        </w:rPr>
        <w:t xml:space="preserve"> </w:t>
      </w:r>
      <w:r w:rsidRPr="0013396E">
        <w:rPr>
          <w:bCs/>
          <w:i/>
          <w:vertAlign w:val="subscript"/>
          <w:lang w:val="es-MX"/>
        </w:rPr>
        <w:t>y</w:t>
      </w:r>
      <w:r w:rsidRPr="0013396E">
        <w:rPr>
          <w:bCs/>
          <w:lang w:val="es-MX"/>
        </w:rPr>
        <w:t>)]</w:t>
      </w:r>
    </w:p>
    <w:p w14:paraId="1E6C1644" w14:textId="77777777" w:rsidR="00636C61" w:rsidRPr="0013396E" w:rsidRDefault="00636C61" w:rsidP="00636C61">
      <w:pPr>
        <w:spacing w:after="240"/>
        <w:rPr>
          <w:iCs/>
        </w:rPr>
      </w:pPr>
      <w:r w:rsidRPr="0013396E">
        <w:rPr>
          <w:iCs/>
        </w:rPr>
        <w:lastRenderedPageBreak/>
        <w:t xml:space="preserve">For a DC Tie Load Zone: </w:t>
      </w:r>
    </w:p>
    <w:p w14:paraId="339EF4C3" w14:textId="77777777" w:rsidR="00636C61" w:rsidRPr="0013396E" w:rsidRDefault="00636C61" w:rsidP="00636C61">
      <w:pPr>
        <w:tabs>
          <w:tab w:val="left" w:pos="2160"/>
          <w:tab w:val="left" w:pos="2880"/>
        </w:tabs>
        <w:spacing w:after="240"/>
        <w:ind w:leftChars="300" w:left="2880" w:hangingChars="900" w:hanging="2160"/>
        <w:rPr>
          <w:bCs/>
          <w:lang w:val="es-MX"/>
        </w:rPr>
      </w:pPr>
      <w:r w:rsidRPr="0013396E">
        <w:rPr>
          <w:bCs/>
          <w:lang w:val="es-MX"/>
        </w:rPr>
        <w:t>LZWF</w:t>
      </w:r>
      <w:r w:rsidRPr="0013396E">
        <w:rPr>
          <w:bCs/>
          <w:i/>
          <w:vertAlign w:val="subscript"/>
          <w:lang w:val="es-MX"/>
        </w:rPr>
        <w:t xml:space="preserve"> b, y</w:t>
      </w:r>
      <w:r w:rsidRPr="0013396E">
        <w:rPr>
          <w:bCs/>
          <w:lang w:val="es-MX"/>
        </w:rPr>
        <w:t xml:space="preserve"> </w:t>
      </w:r>
      <w:r w:rsidRPr="0013396E">
        <w:rPr>
          <w:bCs/>
          <w:lang w:val="es-MX"/>
        </w:rPr>
        <w:tab/>
        <w:t>=</w:t>
      </w:r>
      <w:r w:rsidRPr="0013396E">
        <w:rPr>
          <w:bCs/>
          <w:lang w:val="es-MX"/>
        </w:rPr>
        <w:tab/>
        <w:t>(SEL</w:t>
      </w:r>
      <w:r w:rsidRPr="0013396E">
        <w:rPr>
          <w:bCs/>
          <w:vertAlign w:val="subscript"/>
          <w:lang w:val="es-MX"/>
        </w:rPr>
        <w:t xml:space="preserve"> </w:t>
      </w:r>
      <w:r w:rsidRPr="0013396E">
        <w:rPr>
          <w:bCs/>
          <w:i/>
          <w:vertAlign w:val="subscript"/>
          <w:lang w:val="es-MX"/>
        </w:rPr>
        <w:t>b, y</w:t>
      </w:r>
      <w:r w:rsidRPr="0013396E">
        <w:rPr>
          <w:bCs/>
          <w:lang w:val="es-MX"/>
        </w:rPr>
        <w:t xml:space="preserve"> * TLMP </w:t>
      </w:r>
      <w:r w:rsidRPr="0013396E">
        <w:rPr>
          <w:bCs/>
          <w:i/>
          <w:vertAlign w:val="subscript"/>
          <w:lang w:val="es-MX"/>
        </w:rPr>
        <w:t>y</w:t>
      </w:r>
      <w:r w:rsidRPr="0013396E">
        <w:rPr>
          <w:bCs/>
          <w:lang w:val="es-MX"/>
        </w:rPr>
        <w:t xml:space="preserve">) </w:t>
      </w:r>
      <w:r w:rsidRPr="0013396E">
        <w:rPr>
          <w:b/>
          <w:bCs/>
          <w:sz w:val="32"/>
          <w:szCs w:val="32"/>
          <w:lang w:val="es-MX"/>
        </w:rPr>
        <w:t>/</w:t>
      </w:r>
      <w:r w:rsidRPr="0013396E">
        <w:rPr>
          <w:bCs/>
          <w:lang w:val="es-MX"/>
        </w:rPr>
        <w:t xml:space="preserve"> [</w:t>
      </w:r>
      <w:r w:rsidRPr="0013396E">
        <w:rPr>
          <w:bCs/>
          <w:position w:val="-22"/>
        </w:rPr>
        <w:object w:dxaOrig="225" w:dyaOrig="450" w14:anchorId="3A6A4E89">
          <v:shape id="_x0000_i1039" type="#_x0000_t75" style="width:24pt;height:29.4pt" o:ole="">
            <v:imagedata r:id="rId24" o:title=""/>
          </v:shape>
          <o:OLEObject Type="Embed" ProgID="Equation.3" ShapeID="_x0000_i1039" DrawAspect="Content" ObjectID="_1836311318" r:id="rId37"/>
        </w:object>
      </w:r>
      <w:r w:rsidRPr="0013396E">
        <w:rPr>
          <w:bCs/>
          <w:position w:val="-20"/>
        </w:rPr>
        <w:object w:dxaOrig="225" w:dyaOrig="420" w14:anchorId="1B53C1CD">
          <v:shape id="_x0000_i1040" type="#_x0000_t75" style="width:12pt;height:29.4pt" o:ole="">
            <v:imagedata r:id="rId28" o:title=""/>
          </v:shape>
          <o:OLEObject Type="Embed" ProgID="Equation.3" ShapeID="_x0000_i1040" DrawAspect="Content" ObjectID="_1836311319" r:id="rId38"/>
        </w:object>
      </w:r>
      <w:r w:rsidRPr="0013396E">
        <w:rPr>
          <w:bCs/>
          <w:lang w:val="es-MX"/>
        </w:rPr>
        <w:t>(SEL</w:t>
      </w:r>
      <w:r w:rsidRPr="0013396E">
        <w:rPr>
          <w:bCs/>
          <w:vertAlign w:val="subscript"/>
          <w:lang w:val="es-MX"/>
        </w:rPr>
        <w:t xml:space="preserve"> </w:t>
      </w:r>
      <w:r w:rsidRPr="0013396E">
        <w:rPr>
          <w:bCs/>
          <w:i/>
          <w:vertAlign w:val="subscript"/>
          <w:lang w:val="es-MX"/>
        </w:rPr>
        <w:t>b, y</w:t>
      </w:r>
      <w:r w:rsidRPr="0013396E">
        <w:rPr>
          <w:bCs/>
          <w:lang w:val="es-MX"/>
        </w:rPr>
        <w:t xml:space="preserve"> * TLMP</w:t>
      </w:r>
      <w:r w:rsidRPr="0013396E">
        <w:rPr>
          <w:bCs/>
          <w:vertAlign w:val="subscript"/>
          <w:lang w:val="es-MX"/>
        </w:rPr>
        <w:t xml:space="preserve"> </w:t>
      </w:r>
      <w:r w:rsidRPr="0013396E">
        <w:rPr>
          <w:bCs/>
          <w:i/>
          <w:vertAlign w:val="subscript"/>
          <w:lang w:val="es-MX"/>
        </w:rPr>
        <w:t>y</w:t>
      </w:r>
      <w:r w:rsidRPr="0013396E">
        <w:rPr>
          <w:bCs/>
          <w:lang w:val="es-MX"/>
        </w:rPr>
        <w:t>)]</w:t>
      </w:r>
    </w:p>
    <w:p w14:paraId="7420B04F" w14:textId="77777777" w:rsidR="00636C61" w:rsidRPr="0013396E" w:rsidRDefault="00636C61" w:rsidP="00636C61">
      <w:pPr>
        <w:tabs>
          <w:tab w:val="left" w:pos="2160"/>
          <w:tab w:val="left" w:pos="2880"/>
        </w:tabs>
        <w:spacing w:after="240"/>
        <w:ind w:leftChars="300" w:left="2880" w:hangingChars="900" w:hanging="2160"/>
        <w:rPr>
          <w:bCs/>
          <w:lang w:val="es-MX"/>
        </w:rPr>
      </w:pPr>
      <w:r w:rsidRPr="0013396E">
        <w:rPr>
          <w:bCs/>
          <w:lang w:val="es-MX"/>
        </w:rPr>
        <w:t>SEL</w:t>
      </w:r>
      <w:r w:rsidRPr="0013396E">
        <w:rPr>
          <w:bCs/>
          <w:vertAlign w:val="subscript"/>
          <w:lang w:val="es-MX"/>
        </w:rPr>
        <w:t xml:space="preserve"> </w:t>
      </w:r>
      <w:r w:rsidRPr="0013396E">
        <w:rPr>
          <w:bCs/>
          <w:i/>
          <w:vertAlign w:val="subscript"/>
          <w:lang w:val="es-MX"/>
        </w:rPr>
        <w:t>b, y</w:t>
      </w:r>
      <w:r w:rsidRPr="0013396E">
        <w:rPr>
          <w:bCs/>
          <w:i/>
          <w:vertAlign w:val="subscript"/>
          <w:lang w:val="es-MX"/>
        </w:rPr>
        <w:tab/>
      </w:r>
      <w:r w:rsidRPr="0013396E">
        <w:rPr>
          <w:bCs/>
          <w:lang w:val="es-MX"/>
        </w:rPr>
        <w:t>=</w:t>
      </w:r>
      <w:r w:rsidRPr="0013396E">
        <w:rPr>
          <w:bCs/>
          <w:lang w:val="es-MX"/>
        </w:rPr>
        <w:tab/>
        <w:t>1</w:t>
      </w:r>
    </w:p>
    <w:p w14:paraId="2518ADE1" w14:textId="77777777" w:rsidR="00636C61" w:rsidRPr="0013396E" w:rsidRDefault="00636C61" w:rsidP="00636C61">
      <w:pPr>
        <w:tabs>
          <w:tab w:val="left" w:pos="2160"/>
          <w:tab w:val="left" w:pos="2880"/>
        </w:tabs>
        <w:spacing w:after="240"/>
        <w:ind w:leftChars="31" w:left="374" w:hangingChars="125" w:hanging="300"/>
        <w:rPr>
          <w:bCs/>
        </w:rPr>
      </w:pPr>
      <w:r w:rsidRPr="0013396E">
        <w:rPr>
          <w:bCs/>
        </w:rPr>
        <w:t>Where:</w:t>
      </w:r>
    </w:p>
    <w:p w14:paraId="3ED348DC" w14:textId="77777777" w:rsidR="00636C61" w:rsidRPr="0013396E" w:rsidRDefault="00636C61" w:rsidP="00636C61">
      <w:pPr>
        <w:tabs>
          <w:tab w:val="left" w:pos="2160"/>
          <w:tab w:val="left" w:pos="2880"/>
        </w:tabs>
        <w:spacing w:after="240"/>
        <w:ind w:leftChars="300" w:left="2880" w:hangingChars="900" w:hanging="2160"/>
        <w:rPr>
          <w:bCs/>
        </w:rPr>
      </w:pPr>
      <w:r w:rsidRPr="0013396E">
        <w:rPr>
          <w:bCs/>
        </w:rPr>
        <w:t>RTRDP =</w:t>
      </w:r>
      <w:r w:rsidRPr="0013396E">
        <w:rPr>
          <w:bCs/>
        </w:rPr>
        <w:tab/>
      </w:r>
      <w:r w:rsidRPr="0013396E">
        <w:rPr>
          <w:bCs/>
          <w:position w:val="-22"/>
        </w:rPr>
        <w:object w:dxaOrig="225" w:dyaOrig="465" w14:anchorId="773E9BC1">
          <v:shape id="_x0000_i1041" type="#_x0000_t75" style="width:12pt;height:12pt" o:ole="">
            <v:imagedata r:id="rId20" o:title=""/>
          </v:shape>
          <o:OLEObject Type="Embed" ProgID="Equation.3" ShapeID="_x0000_i1041" DrawAspect="Content" ObjectID="_1836311320" r:id="rId39"/>
        </w:object>
      </w:r>
      <w:r w:rsidRPr="0013396E">
        <w:rPr>
          <w:bCs/>
        </w:rPr>
        <w:t xml:space="preserve">(RNWF </w:t>
      </w:r>
      <w:r w:rsidRPr="0013396E">
        <w:rPr>
          <w:bCs/>
          <w:i/>
          <w:iCs/>
          <w:vertAlign w:val="subscript"/>
        </w:rPr>
        <w:t xml:space="preserve">y </w:t>
      </w:r>
      <w:r w:rsidRPr="0013396E">
        <w:rPr>
          <w:bCs/>
        </w:rPr>
        <w:t>* RTRDPA</w:t>
      </w:r>
      <w:r w:rsidRPr="0013396E">
        <w:rPr>
          <w:bCs/>
          <w:i/>
          <w:iCs/>
          <w:vertAlign w:val="subscript"/>
        </w:rPr>
        <w:t xml:space="preserve"> y</w:t>
      </w:r>
      <w:r w:rsidRPr="0013396E">
        <w:rPr>
          <w:bCs/>
        </w:rPr>
        <w:t xml:space="preserve">) </w:t>
      </w:r>
    </w:p>
    <w:p w14:paraId="4A9EFBA2" w14:textId="77777777" w:rsidR="00636C61" w:rsidRPr="0013396E" w:rsidRDefault="00636C61" w:rsidP="00636C61">
      <w:pPr>
        <w:spacing w:after="240"/>
        <w:ind w:left="720"/>
      </w:pPr>
      <w:r w:rsidRPr="0013396E">
        <w:t>RNWF</w:t>
      </w:r>
      <w:r w:rsidRPr="0013396E">
        <w:rPr>
          <w:i/>
          <w:vertAlign w:val="subscript"/>
        </w:rPr>
        <w:t xml:space="preserve"> y</w:t>
      </w:r>
      <w:r w:rsidRPr="0013396E">
        <w:rPr>
          <w:i/>
          <w:vertAlign w:val="subscript"/>
        </w:rPr>
        <w:tab/>
      </w:r>
      <w:r w:rsidRPr="0013396E">
        <w:t>=</w:t>
      </w:r>
      <w:r w:rsidRPr="0013396E">
        <w:tab/>
        <w:t xml:space="preserve">TLMP </w:t>
      </w:r>
      <w:r w:rsidRPr="0013396E">
        <w:rPr>
          <w:i/>
          <w:vertAlign w:val="subscript"/>
        </w:rPr>
        <w:t>y</w:t>
      </w:r>
      <w:r w:rsidRPr="0013396E">
        <w:t xml:space="preserve"> </w:t>
      </w:r>
      <w:r w:rsidRPr="0013396E">
        <w:rPr>
          <w:color w:val="000000"/>
          <w:sz w:val="32"/>
          <w:szCs w:val="32"/>
        </w:rPr>
        <w:t>/</w:t>
      </w:r>
      <w:r w:rsidRPr="0013396E">
        <w:rPr>
          <w:position w:val="-22"/>
        </w:rPr>
        <w:object w:dxaOrig="225" w:dyaOrig="465" w14:anchorId="37EA237D">
          <v:shape id="_x0000_i1042" type="#_x0000_t75" style="width:29.4pt;height:29.4pt" o:ole="">
            <v:imagedata r:id="rId20" o:title=""/>
          </v:shape>
          <o:OLEObject Type="Embed" ProgID="Equation.3" ShapeID="_x0000_i1042" DrawAspect="Content" ObjectID="_1836311321" r:id="rId40"/>
        </w:object>
      </w:r>
      <w:r w:rsidRPr="0013396E">
        <w:t xml:space="preserve">TLMP </w:t>
      </w:r>
      <w:r w:rsidRPr="0013396E">
        <w:rPr>
          <w:i/>
          <w:vertAlign w:val="subscript"/>
        </w:rPr>
        <w:t>y</w:t>
      </w:r>
    </w:p>
    <w:p w14:paraId="50285C47" w14:textId="77777777" w:rsidR="00636C61" w:rsidRPr="0013396E" w:rsidRDefault="00636C61" w:rsidP="00636C61">
      <w:r w:rsidRPr="0013396E">
        <w:t>The above variables are defined as follows:</w:t>
      </w:r>
    </w:p>
    <w:tbl>
      <w:tblPr>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64"/>
        <w:gridCol w:w="899"/>
        <w:gridCol w:w="7107"/>
      </w:tblGrid>
      <w:tr w:rsidR="00636C61" w:rsidRPr="0013396E" w14:paraId="097AEB32" w14:textId="77777777" w:rsidTr="0099759E">
        <w:tc>
          <w:tcPr>
            <w:tcW w:w="1264" w:type="dxa"/>
          </w:tcPr>
          <w:p w14:paraId="3768F53F" w14:textId="77777777" w:rsidR="00636C61" w:rsidRPr="0013396E" w:rsidRDefault="00636C61" w:rsidP="0099759E">
            <w:pPr>
              <w:spacing w:after="120"/>
              <w:rPr>
                <w:b/>
                <w:iCs/>
                <w:sz w:val="20"/>
              </w:rPr>
            </w:pPr>
            <w:r w:rsidRPr="0013396E">
              <w:rPr>
                <w:b/>
                <w:iCs/>
                <w:sz w:val="20"/>
              </w:rPr>
              <w:t>Variable</w:t>
            </w:r>
          </w:p>
        </w:tc>
        <w:tc>
          <w:tcPr>
            <w:tcW w:w="899" w:type="dxa"/>
          </w:tcPr>
          <w:p w14:paraId="5095497A" w14:textId="77777777" w:rsidR="00636C61" w:rsidRPr="0013396E" w:rsidRDefault="00636C61" w:rsidP="0099759E">
            <w:pPr>
              <w:spacing w:after="120"/>
              <w:rPr>
                <w:b/>
                <w:iCs/>
                <w:sz w:val="20"/>
              </w:rPr>
            </w:pPr>
            <w:r w:rsidRPr="0013396E">
              <w:rPr>
                <w:b/>
                <w:iCs/>
                <w:sz w:val="20"/>
              </w:rPr>
              <w:t>Unit</w:t>
            </w:r>
          </w:p>
        </w:tc>
        <w:tc>
          <w:tcPr>
            <w:tcW w:w="7107" w:type="dxa"/>
          </w:tcPr>
          <w:p w14:paraId="0A30B420" w14:textId="77777777" w:rsidR="00636C61" w:rsidRPr="0013396E" w:rsidRDefault="00636C61" w:rsidP="0099759E">
            <w:pPr>
              <w:spacing w:after="120"/>
              <w:rPr>
                <w:b/>
                <w:iCs/>
                <w:sz w:val="20"/>
              </w:rPr>
            </w:pPr>
            <w:r w:rsidRPr="0013396E">
              <w:rPr>
                <w:b/>
                <w:iCs/>
                <w:sz w:val="20"/>
              </w:rPr>
              <w:t>Description</w:t>
            </w:r>
          </w:p>
        </w:tc>
      </w:tr>
      <w:tr w:rsidR="00636C61" w:rsidRPr="0013396E" w14:paraId="7B2208C6" w14:textId="77777777" w:rsidTr="0099759E">
        <w:tc>
          <w:tcPr>
            <w:tcW w:w="1264" w:type="dxa"/>
          </w:tcPr>
          <w:p w14:paraId="4B9DA026" w14:textId="77777777" w:rsidR="00636C61" w:rsidRPr="0013396E" w:rsidRDefault="00636C61" w:rsidP="0099759E">
            <w:pPr>
              <w:spacing w:after="60"/>
              <w:rPr>
                <w:iCs/>
                <w:sz w:val="20"/>
              </w:rPr>
            </w:pPr>
            <w:r w:rsidRPr="0013396E">
              <w:rPr>
                <w:iCs/>
                <w:sz w:val="20"/>
              </w:rPr>
              <w:t>RTSPP</w:t>
            </w:r>
          </w:p>
        </w:tc>
        <w:tc>
          <w:tcPr>
            <w:tcW w:w="899" w:type="dxa"/>
          </w:tcPr>
          <w:p w14:paraId="7915BA7A" w14:textId="77777777" w:rsidR="00636C61" w:rsidRPr="0013396E" w:rsidRDefault="00636C61" w:rsidP="0099759E">
            <w:pPr>
              <w:spacing w:after="60"/>
              <w:rPr>
                <w:i/>
                <w:iCs/>
                <w:sz w:val="20"/>
              </w:rPr>
            </w:pPr>
            <w:r w:rsidRPr="0013396E">
              <w:rPr>
                <w:iCs/>
                <w:sz w:val="20"/>
              </w:rPr>
              <w:t>$/MWh</w:t>
            </w:r>
          </w:p>
        </w:tc>
        <w:tc>
          <w:tcPr>
            <w:tcW w:w="7107" w:type="dxa"/>
          </w:tcPr>
          <w:p w14:paraId="519FD102" w14:textId="77777777" w:rsidR="00636C61" w:rsidRPr="0013396E" w:rsidRDefault="00636C61" w:rsidP="0099759E">
            <w:pPr>
              <w:spacing w:after="60"/>
              <w:rPr>
                <w:iCs/>
                <w:sz w:val="20"/>
              </w:rPr>
            </w:pPr>
            <w:r w:rsidRPr="0013396E">
              <w:rPr>
                <w:i/>
                <w:iCs/>
                <w:sz w:val="20"/>
              </w:rPr>
              <w:t>Real-Time Settlement Point Price</w:t>
            </w:r>
            <w:r w:rsidRPr="0013396E">
              <w:rPr>
                <w:iCs/>
                <w:sz w:val="20"/>
              </w:rPr>
              <w:sym w:font="Symbol" w:char="F0BE"/>
            </w:r>
            <w:r w:rsidRPr="0013396E">
              <w:rPr>
                <w:iCs/>
                <w:sz w:val="20"/>
              </w:rPr>
              <w:t>The Real-Time Settlement Point Price at the Settlement Point, for the 15-minute Settlement Interval.</w:t>
            </w:r>
          </w:p>
        </w:tc>
      </w:tr>
      <w:tr w:rsidR="00636C61" w:rsidRPr="0013396E" w14:paraId="51B94DB9" w14:textId="77777777" w:rsidTr="0099759E">
        <w:tc>
          <w:tcPr>
            <w:tcW w:w="1264" w:type="dxa"/>
          </w:tcPr>
          <w:p w14:paraId="63B785F8" w14:textId="77777777" w:rsidR="00636C61" w:rsidRPr="0013396E" w:rsidRDefault="00636C61" w:rsidP="0099759E">
            <w:pPr>
              <w:spacing w:after="60"/>
              <w:rPr>
                <w:iCs/>
                <w:sz w:val="20"/>
              </w:rPr>
            </w:pPr>
            <w:r w:rsidRPr="0013396E">
              <w:rPr>
                <w:iCs/>
                <w:sz w:val="20"/>
              </w:rPr>
              <w:t>RTSPPEW</w:t>
            </w:r>
          </w:p>
        </w:tc>
        <w:tc>
          <w:tcPr>
            <w:tcW w:w="899" w:type="dxa"/>
          </w:tcPr>
          <w:p w14:paraId="129B669E" w14:textId="77777777" w:rsidR="00636C61" w:rsidRPr="0013396E" w:rsidRDefault="00636C61" w:rsidP="0099759E">
            <w:pPr>
              <w:spacing w:after="60"/>
              <w:rPr>
                <w:iCs/>
                <w:sz w:val="20"/>
              </w:rPr>
            </w:pPr>
            <w:r w:rsidRPr="0013396E">
              <w:rPr>
                <w:iCs/>
                <w:sz w:val="20"/>
              </w:rPr>
              <w:t>$/MWh</w:t>
            </w:r>
          </w:p>
        </w:tc>
        <w:tc>
          <w:tcPr>
            <w:tcW w:w="7107" w:type="dxa"/>
          </w:tcPr>
          <w:p w14:paraId="6EBC87F9" w14:textId="77777777" w:rsidR="00636C61" w:rsidRPr="0013396E" w:rsidRDefault="00636C61" w:rsidP="0099759E">
            <w:pPr>
              <w:spacing w:after="60"/>
              <w:rPr>
                <w:i/>
                <w:iCs/>
                <w:sz w:val="20"/>
              </w:rPr>
            </w:pPr>
            <w:r w:rsidRPr="0013396E">
              <w:rPr>
                <w:i/>
                <w:iCs/>
                <w:sz w:val="20"/>
              </w:rPr>
              <w:t>Real-Time Settlement Point Price Energy-Weighted</w:t>
            </w:r>
            <w:r w:rsidRPr="0013396E">
              <w:rPr>
                <w:iCs/>
                <w:sz w:val="20"/>
              </w:rPr>
              <w:sym w:font="Symbol" w:char="F0BE"/>
            </w:r>
            <w:r w:rsidRPr="0013396E">
              <w:rPr>
                <w:iCs/>
                <w:sz w:val="20"/>
              </w:rPr>
              <w:t xml:space="preserve">The Real-Time Settlement Point Price at the Settlement Point </w:t>
            </w:r>
            <w:r w:rsidRPr="0013396E">
              <w:rPr>
                <w:i/>
                <w:iCs/>
                <w:sz w:val="20"/>
              </w:rPr>
              <w:t>p</w:t>
            </w:r>
            <w:r w:rsidRPr="0013396E">
              <w:rPr>
                <w:iCs/>
                <w:sz w:val="20"/>
              </w:rPr>
              <w:t>, for the 15-minute Settlement Interval that is weighted by the state-estimated Load of the Load Zone of each SCED interval within the 15-minute Settlement Interval.</w:t>
            </w:r>
          </w:p>
        </w:tc>
      </w:tr>
      <w:tr w:rsidR="00636C61" w:rsidRPr="0013396E" w14:paraId="4098F83E" w14:textId="77777777" w:rsidTr="0099759E">
        <w:tc>
          <w:tcPr>
            <w:tcW w:w="1264" w:type="dxa"/>
          </w:tcPr>
          <w:p w14:paraId="4CE78C32" w14:textId="77777777" w:rsidR="00636C61" w:rsidRPr="0013396E" w:rsidRDefault="00636C61" w:rsidP="0099759E">
            <w:pPr>
              <w:spacing w:after="60"/>
              <w:rPr>
                <w:iCs/>
                <w:sz w:val="20"/>
              </w:rPr>
            </w:pPr>
            <w:r w:rsidRPr="0013396E">
              <w:rPr>
                <w:iCs/>
                <w:sz w:val="20"/>
              </w:rPr>
              <w:t xml:space="preserve">RTLMP </w:t>
            </w:r>
            <w:r w:rsidRPr="0013396E">
              <w:rPr>
                <w:i/>
                <w:iCs/>
                <w:sz w:val="20"/>
                <w:vertAlign w:val="subscript"/>
              </w:rPr>
              <w:t>b, y</w:t>
            </w:r>
          </w:p>
        </w:tc>
        <w:tc>
          <w:tcPr>
            <w:tcW w:w="899" w:type="dxa"/>
          </w:tcPr>
          <w:p w14:paraId="69FA39C5" w14:textId="77777777" w:rsidR="00636C61" w:rsidRPr="0013396E" w:rsidRDefault="00636C61" w:rsidP="0099759E">
            <w:pPr>
              <w:spacing w:after="60"/>
              <w:rPr>
                <w:iCs/>
                <w:sz w:val="20"/>
              </w:rPr>
            </w:pPr>
            <w:r w:rsidRPr="0013396E">
              <w:rPr>
                <w:iCs/>
                <w:sz w:val="20"/>
              </w:rPr>
              <w:t>$/MWh</w:t>
            </w:r>
          </w:p>
        </w:tc>
        <w:tc>
          <w:tcPr>
            <w:tcW w:w="7107" w:type="dxa"/>
          </w:tcPr>
          <w:p w14:paraId="3F873214" w14:textId="77777777" w:rsidR="00636C61" w:rsidRPr="0013396E" w:rsidRDefault="00636C61" w:rsidP="0099759E">
            <w:pPr>
              <w:spacing w:after="60"/>
              <w:rPr>
                <w:iCs/>
                <w:sz w:val="20"/>
              </w:rPr>
            </w:pPr>
            <w:r w:rsidRPr="0013396E">
              <w:rPr>
                <w:i/>
                <w:iCs/>
                <w:sz w:val="20"/>
              </w:rPr>
              <w:t>Real-Time Locational Marginal Price at bus per interval</w:t>
            </w:r>
            <w:r w:rsidRPr="0013396E">
              <w:rPr>
                <w:iCs/>
                <w:sz w:val="20"/>
              </w:rPr>
              <w:sym w:font="Symbol" w:char="F0BE"/>
            </w:r>
            <w:r w:rsidRPr="0013396E">
              <w:rPr>
                <w:iCs/>
                <w:sz w:val="20"/>
              </w:rPr>
              <w:t xml:space="preserve">The Real-Time LMP at Electrical Bus </w:t>
            </w:r>
            <w:r w:rsidRPr="0013396E">
              <w:rPr>
                <w:i/>
                <w:iCs/>
                <w:sz w:val="20"/>
              </w:rPr>
              <w:t>b</w:t>
            </w:r>
            <w:r w:rsidRPr="0013396E">
              <w:rPr>
                <w:iCs/>
                <w:sz w:val="20"/>
              </w:rPr>
              <w:t xml:space="preserve"> in the Load Zone, for the SCED interval </w:t>
            </w:r>
            <w:r w:rsidRPr="0013396E">
              <w:rPr>
                <w:i/>
                <w:iCs/>
                <w:sz w:val="20"/>
              </w:rPr>
              <w:t>y</w:t>
            </w:r>
            <w:r w:rsidRPr="0013396E">
              <w:rPr>
                <w:iCs/>
                <w:sz w:val="20"/>
              </w:rPr>
              <w:t>.</w:t>
            </w:r>
          </w:p>
        </w:tc>
      </w:tr>
      <w:tr w:rsidR="00636C61" w:rsidRPr="0013396E" w14:paraId="2545B83D" w14:textId="77777777" w:rsidTr="0099759E">
        <w:tc>
          <w:tcPr>
            <w:tcW w:w="1264" w:type="dxa"/>
          </w:tcPr>
          <w:p w14:paraId="4778273C" w14:textId="77777777" w:rsidR="00636C61" w:rsidRPr="0013396E" w:rsidRDefault="00636C61" w:rsidP="0099759E">
            <w:pPr>
              <w:spacing w:after="60"/>
              <w:rPr>
                <w:iCs/>
                <w:sz w:val="20"/>
              </w:rPr>
            </w:pPr>
            <w:r w:rsidRPr="0013396E">
              <w:rPr>
                <w:iCs/>
                <w:sz w:val="20"/>
              </w:rPr>
              <w:t>RTRDP</w:t>
            </w:r>
          </w:p>
        </w:tc>
        <w:tc>
          <w:tcPr>
            <w:tcW w:w="899" w:type="dxa"/>
          </w:tcPr>
          <w:p w14:paraId="6785F1ED" w14:textId="77777777" w:rsidR="00636C61" w:rsidRPr="0013396E" w:rsidRDefault="00636C61" w:rsidP="0099759E">
            <w:pPr>
              <w:spacing w:after="60"/>
              <w:rPr>
                <w:iCs/>
                <w:sz w:val="20"/>
              </w:rPr>
            </w:pPr>
            <w:r w:rsidRPr="0013396E">
              <w:rPr>
                <w:iCs/>
                <w:sz w:val="20"/>
              </w:rPr>
              <w:t>$/MWh</w:t>
            </w:r>
          </w:p>
        </w:tc>
        <w:tc>
          <w:tcPr>
            <w:tcW w:w="7107" w:type="dxa"/>
          </w:tcPr>
          <w:p w14:paraId="189EF5BB" w14:textId="77777777" w:rsidR="00636C61" w:rsidRPr="0013396E" w:rsidRDefault="00636C61" w:rsidP="0099759E">
            <w:pPr>
              <w:spacing w:after="60"/>
              <w:rPr>
                <w:i/>
                <w:iCs/>
                <w:sz w:val="20"/>
              </w:rPr>
            </w:pPr>
            <w:r w:rsidRPr="0013396E">
              <w:rPr>
                <w:i/>
                <w:iCs/>
                <w:sz w:val="20"/>
              </w:rPr>
              <w:t>Real-Time Reliability Deployment Price for Energy</w:t>
            </w:r>
            <w:r w:rsidRPr="0013396E">
              <w:rPr>
                <w:iCs/>
                <w:sz w:val="20"/>
              </w:rPr>
              <w:sym w:font="Symbol" w:char="F0BE"/>
            </w:r>
            <w:r w:rsidRPr="0013396E">
              <w:rPr>
                <w:iCs/>
                <w:sz w:val="20"/>
              </w:rPr>
              <w:t xml:space="preserve">The Real-Time price for the 15-minute Settlement Interval, reflecting the impact of reliability deployments on energy prices that is calculated </w:t>
            </w:r>
            <w:r w:rsidRPr="0013396E">
              <w:rPr>
                <w:bCs/>
                <w:iCs/>
                <w:sz w:val="20"/>
              </w:rPr>
              <w:t>from the Real-Time Reliability Deployment Price Adder for Energy</w:t>
            </w:r>
            <w:r w:rsidRPr="0013396E">
              <w:rPr>
                <w:iCs/>
                <w:sz w:val="20"/>
              </w:rPr>
              <w:t>.</w:t>
            </w:r>
          </w:p>
        </w:tc>
      </w:tr>
      <w:tr w:rsidR="00636C61" w:rsidRPr="0013396E" w14:paraId="35A957B8" w14:textId="77777777" w:rsidTr="0099759E">
        <w:tc>
          <w:tcPr>
            <w:tcW w:w="1264" w:type="dxa"/>
          </w:tcPr>
          <w:p w14:paraId="7EB9C390" w14:textId="77777777" w:rsidR="00636C61" w:rsidRPr="0013396E" w:rsidRDefault="00636C61" w:rsidP="0099759E">
            <w:pPr>
              <w:spacing w:after="60"/>
              <w:rPr>
                <w:iCs/>
                <w:sz w:val="20"/>
              </w:rPr>
            </w:pPr>
            <w:r w:rsidRPr="0013396E">
              <w:rPr>
                <w:iCs/>
                <w:sz w:val="20"/>
              </w:rPr>
              <w:t>RTRDPA</w:t>
            </w:r>
            <w:r w:rsidRPr="0013396E">
              <w:rPr>
                <w:iCs/>
                <w:sz w:val="20"/>
                <w:vertAlign w:val="subscript"/>
              </w:rPr>
              <w:t xml:space="preserve"> </w:t>
            </w:r>
            <w:r w:rsidRPr="0013396E">
              <w:rPr>
                <w:i/>
                <w:iCs/>
                <w:sz w:val="20"/>
                <w:vertAlign w:val="subscript"/>
              </w:rPr>
              <w:t>y</w:t>
            </w:r>
          </w:p>
        </w:tc>
        <w:tc>
          <w:tcPr>
            <w:tcW w:w="899" w:type="dxa"/>
          </w:tcPr>
          <w:p w14:paraId="37906F7D" w14:textId="77777777" w:rsidR="00636C61" w:rsidRPr="0013396E" w:rsidRDefault="00636C61" w:rsidP="0099759E">
            <w:pPr>
              <w:spacing w:after="60"/>
              <w:rPr>
                <w:iCs/>
                <w:sz w:val="20"/>
              </w:rPr>
            </w:pPr>
            <w:r w:rsidRPr="0013396E">
              <w:rPr>
                <w:iCs/>
                <w:sz w:val="20"/>
              </w:rPr>
              <w:t>$/MWh</w:t>
            </w:r>
          </w:p>
        </w:tc>
        <w:tc>
          <w:tcPr>
            <w:tcW w:w="7107" w:type="dxa"/>
          </w:tcPr>
          <w:p w14:paraId="3B11D1C5" w14:textId="77777777" w:rsidR="00636C61" w:rsidRPr="0013396E" w:rsidRDefault="00636C61" w:rsidP="0099759E">
            <w:pPr>
              <w:spacing w:after="60"/>
              <w:rPr>
                <w:i/>
                <w:iCs/>
                <w:sz w:val="20"/>
              </w:rPr>
            </w:pPr>
            <w:r w:rsidRPr="0013396E">
              <w:rPr>
                <w:i/>
                <w:iCs/>
                <w:sz w:val="20"/>
              </w:rPr>
              <w:t>Real-Time Reliability Deployment Price Adder for Energy</w:t>
            </w:r>
            <w:r w:rsidRPr="0013396E">
              <w:rPr>
                <w:iCs/>
                <w:sz w:val="20"/>
              </w:rPr>
              <w:sym w:font="Symbol" w:char="F0BE"/>
            </w:r>
            <w:r w:rsidRPr="0013396E">
              <w:rPr>
                <w:iCs/>
                <w:sz w:val="20"/>
              </w:rPr>
              <w:t xml:space="preserve">The Real-Time price adder that captures the impact of reliability deployments on energy prices for the SCED interval </w:t>
            </w:r>
            <w:r w:rsidRPr="0013396E">
              <w:rPr>
                <w:i/>
                <w:iCs/>
                <w:sz w:val="20"/>
              </w:rPr>
              <w:t>y</w:t>
            </w:r>
            <w:r w:rsidRPr="0013396E">
              <w:rPr>
                <w:iCs/>
                <w:sz w:val="20"/>
              </w:rPr>
              <w:t>.</w:t>
            </w:r>
          </w:p>
        </w:tc>
      </w:tr>
      <w:tr w:rsidR="00636C61" w:rsidRPr="0013396E" w14:paraId="77289052" w14:textId="77777777" w:rsidTr="0099759E">
        <w:tc>
          <w:tcPr>
            <w:tcW w:w="1264" w:type="dxa"/>
          </w:tcPr>
          <w:p w14:paraId="3C970FED" w14:textId="77777777" w:rsidR="00636C61" w:rsidRPr="0013396E" w:rsidRDefault="00636C61" w:rsidP="0099759E">
            <w:pPr>
              <w:spacing w:after="60"/>
              <w:rPr>
                <w:iCs/>
                <w:sz w:val="20"/>
              </w:rPr>
            </w:pPr>
            <w:r w:rsidRPr="0013396E">
              <w:rPr>
                <w:iCs/>
                <w:sz w:val="20"/>
              </w:rPr>
              <w:t xml:space="preserve">RNWF </w:t>
            </w:r>
            <w:r w:rsidRPr="0013396E">
              <w:rPr>
                <w:i/>
                <w:iCs/>
                <w:sz w:val="20"/>
                <w:vertAlign w:val="subscript"/>
              </w:rPr>
              <w:t>y</w:t>
            </w:r>
          </w:p>
        </w:tc>
        <w:tc>
          <w:tcPr>
            <w:tcW w:w="899" w:type="dxa"/>
          </w:tcPr>
          <w:p w14:paraId="0A4AC806" w14:textId="77777777" w:rsidR="00636C61" w:rsidRPr="0013396E" w:rsidRDefault="00636C61" w:rsidP="0099759E">
            <w:pPr>
              <w:spacing w:after="60"/>
              <w:rPr>
                <w:iCs/>
                <w:sz w:val="20"/>
              </w:rPr>
            </w:pPr>
            <w:r w:rsidRPr="0013396E">
              <w:rPr>
                <w:iCs/>
                <w:sz w:val="20"/>
              </w:rPr>
              <w:t>none</w:t>
            </w:r>
          </w:p>
        </w:tc>
        <w:tc>
          <w:tcPr>
            <w:tcW w:w="7107" w:type="dxa"/>
          </w:tcPr>
          <w:p w14:paraId="71E8483F" w14:textId="77777777" w:rsidR="00636C61" w:rsidRPr="0013396E" w:rsidRDefault="00636C61" w:rsidP="0099759E">
            <w:pPr>
              <w:spacing w:after="60"/>
              <w:rPr>
                <w:i/>
                <w:iCs/>
                <w:sz w:val="20"/>
              </w:rPr>
            </w:pPr>
            <w:r w:rsidRPr="0013396E">
              <w:rPr>
                <w:i/>
                <w:iCs/>
                <w:sz w:val="20"/>
              </w:rPr>
              <w:t>Resource Node Weighting Factor per interval</w:t>
            </w:r>
            <w:r w:rsidRPr="0013396E">
              <w:rPr>
                <w:iCs/>
                <w:sz w:val="20"/>
              </w:rPr>
              <w:sym w:font="Symbol" w:char="F0BE"/>
            </w:r>
            <w:r w:rsidRPr="0013396E">
              <w:rPr>
                <w:iCs/>
                <w:sz w:val="20"/>
              </w:rPr>
              <w:t xml:space="preserve">The weight used in the Resource Node Settlement Point Price calculation for the portion of the SCED interval </w:t>
            </w:r>
            <w:r w:rsidRPr="0013396E">
              <w:rPr>
                <w:i/>
                <w:iCs/>
                <w:sz w:val="20"/>
              </w:rPr>
              <w:t>y</w:t>
            </w:r>
            <w:r w:rsidRPr="0013396E">
              <w:rPr>
                <w:iCs/>
                <w:sz w:val="20"/>
              </w:rPr>
              <w:t xml:space="preserve"> within the Settlement Interval.</w:t>
            </w:r>
          </w:p>
        </w:tc>
      </w:tr>
      <w:tr w:rsidR="00636C61" w:rsidRPr="0013396E" w14:paraId="01CE279A" w14:textId="77777777" w:rsidTr="0099759E">
        <w:tc>
          <w:tcPr>
            <w:tcW w:w="1264" w:type="dxa"/>
          </w:tcPr>
          <w:p w14:paraId="6A35884E" w14:textId="77777777" w:rsidR="00636C61" w:rsidRPr="0013396E" w:rsidRDefault="00636C61" w:rsidP="0099759E">
            <w:pPr>
              <w:spacing w:after="60"/>
              <w:rPr>
                <w:iCs/>
                <w:sz w:val="20"/>
              </w:rPr>
            </w:pPr>
            <w:r w:rsidRPr="0013396E">
              <w:rPr>
                <w:iCs/>
                <w:sz w:val="20"/>
              </w:rPr>
              <w:t>LZWF</w:t>
            </w:r>
            <w:r w:rsidRPr="0013396E">
              <w:rPr>
                <w:i/>
                <w:iCs/>
                <w:sz w:val="20"/>
                <w:vertAlign w:val="subscript"/>
              </w:rPr>
              <w:t xml:space="preserve"> b, y</w:t>
            </w:r>
          </w:p>
        </w:tc>
        <w:tc>
          <w:tcPr>
            <w:tcW w:w="899" w:type="dxa"/>
          </w:tcPr>
          <w:p w14:paraId="22BB158B" w14:textId="77777777" w:rsidR="00636C61" w:rsidRPr="0013396E" w:rsidRDefault="00636C61" w:rsidP="0099759E">
            <w:pPr>
              <w:spacing w:after="60"/>
              <w:rPr>
                <w:iCs/>
                <w:sz w:val="20"/>
              </w:rPr>
            </w:pPr>
            <w:r w:rsidRPr="0013396E">
              <w:rPr>
                <w:iCs/>
                <w:sz w:val="20"/>
              </w:rPr>
              <w:t>none</w:t>
            </w:r>
          </w:p>
        </w:tc>
        <w:tc>
          <w:tcPr>
            <w:tcW w:w="7107" w:type="dxa"/>
          </w:tcPr>
          <w:p w14:paraId="7E363CF9" w14:textId="77777777" w:rsidR="00636C61" w:rsidRPr="0013396E" w:rsidRDefault="00636C61" w:rsidP="0099759E">
            <w:pPr>
              <w:spacing w:after="60"/>
              <w:rPr>
                <w:i/>
                <w:iCs/>
                <w:sz w:val="20"/>
              </w:rPr>
            </w:pPr>
            <w:r w:rsidRPr="0013396E">
              <w:rPr>
                <w:i/>
                <w:iCs/>
                <w:sz w:val="20"/>
              </w:rPr>
              <w:t>Load Zone Weighting Factor per bus per interval</w:t>
            </w:r>
            <w:r w:rsidRPr="0013396E">
              <w:rPr>
                <w:iCs/>
                <w:sz w:val="20"/>
              </w:rPr>
              <w:sym w:font="Symbol" w:char="F0BE"/>
            </w:r>
            <w:r w:rsidRPr="0013396E">
              <w:rPr>
                <w:iCs/>
                <w:sz w:val="20"/>
              </w:rPr>
              <w:t xml:space="preserve">The weight used in the Load Zone Settlement Point Price calculation for Electrical Bus </w:t>
            </w:r>
            <w:r w:rsidRPr="0013396E">
              <w:rPr>
                <w:i/>
                <w:iCs/>
                <w:sz w:val="20"/>
              </w:rPr>
              <w:t>b</w:t>
            </w:r>
            <w:r w:rsidRPr="0013396E">
              <w:rPr>
                <w:iCs/>
                <w:sz w:val="20"/>
              </w:rPr>
              <w:t xml:space="preserve">, for the portion of the SCED interval </w:t>
            </w:r>
            <w:r w:rsidRPr="0013396E">
              <w:rPr>
                <w:i/>
                <w:iCs/>
                <w:sz w:val="20"/>
              </w:rPr>
              <w:t>y</w:t>
            </w:r>
            <w:r w:rsidRPr="0013396E">
              <w:rPr>
                <w:iCs/>
                <w:sz w:val="20"/>
              </w:rPr>
              <w:t xml:space="preserve"> within the 15-minute Settlement Interval.</w:t>
            </w:r>
          </w:p>
        </w:tc>
      </w:tr>
      <w:tr w:rsidR="00636C61" w:rsidRPr="0013396E" w14:paraId="173B5032" w14:textId="77777777" w:rsidTr="0099759E">
        <w:tc>
          <w:tcPr>
            <w:tcW w:w="1264" w:type="dxa"/>
          </w:tcPr>
          <w:p w14:paraId="5CD1FE42" w14:textId="77777777" w:rsidR="00636C61" w:rsidRPr="0013396E" w:rsidRDefault="00636C61" w:rsidP="0099759E">
            <w:pPr>
              <w:spacing w:after="60"/>
              <w:rPr>
                <w:iCs/>
                <w:sz w:val="20"/>
              </w:rPr>
            </w:pPr>
            <w:r w:rsidRPr="0013396E">
              <w:rPr>
                <w:iCs/>
                <w:sz w:val="20"/>
              </w:rPr>
              <w:t>LZLMP</w:t>
            </w:r>
            <w:r w:rsidRPr="0013396E">
              <w:rPr>
                <w:i/>
                <w:iCs/>
                <w:sz w:val="20"/>
                <w:vertAlign w:val="subscript"/>
                <w:lang w:val="es-MX"/>
              </w:rPr>
              <w:t xml:space="preserve"> y</w:t>
            </w:r>
          </w:p>
        </w:tc>
        <w:tc>
          <w:tcPr>
            <w:tcW w:w="899" w:type="dxa"/>
          </w:tcPr>
          <w:p w14:paraId="7F141679" w14:textId="77777777" w:rsidR="00636C61" w:rsidRPr="0013396E" w:rsidRDefault="00636C61" w:rsidP="0099759E">
            <w:pPr>
              <w:spacing w:after="60"/>
              <w:rPr>
                <w:iCs/>
                <w:sz w:val="20"/>
              </w:rPr>
            </w:pPr>
            <w:r w:rsidRPr="0013396E">
              <w:rPr>
                <w:iCs/>
                <w:sz w:val="20"/>
              </w:rPr>
              <w:t>$/MWh</w:t>
            </w:r>
          </w:p>
        </w:tc>
        <w:tc>
          <w:tcPr>
            <w:tcW w:w="7107" w:type="dxa"/>
          </w:tcPr>
          <w:p w14:paraId="40AF1166" w14:textId="77777777" w:rsidR="00636C61" w:rsidRPr="0013396E" w:rsidRDefault="00636C61" w:rsidP="0099759E">
            <w:pPr>
              <w:spacing w:after="60"/>
              <w:rPr>
                <w:i/>
                <w:iCs/>
                <w:sz w:val="20"/>
              </w:rPr>
            </w:pPr>
            <w:r w:rsidRPr="0013396E">
              <w:rPr>
                <w:i/>
                <w:iCs/>
                <w:sz w:val="20"/>
              </w:rPr>
              <w:t>Load Zone Locational Marginal Price</w:t>
            </w:r>
            <w:r w:rsidRPr="0013396E">
              <w:rPr>
                <w:iCs/>
                <w:sz w:val="20"/>
              </w:rPr>
              <w:sym w:font="Symbol" w:char="F0BE"/>
            </w:r>
            <w:r w:rsidRPr="0013396E">
              <w:rPr>
                <w:iCs/>
                <w:sz w:val="20"/>
              </w:rPr>
              <w:t xml:space="preserve">The Load Zone LMP for the Load Zone for the SCED interval </w:t>
            </w:r>
            <w:r w:rsidRPr="0013396E">
              <w:rPr>
                <w:i/>
                <w:iCs/>
                <w:sz w:val="20"/>
              </w:rPr>
              <w:t>y</w:t>
            </w:r>
            <w:r w:rsidRPr="0013396E">
              <w:rPr>
                <w:iCs/>
                <w:sz w:val="20"/>
              </w:rPr>
              <w:t>.</w:t>
            </w:r>
          </w:p>
        </w:tc>
      </w:tr>
      <w:tr w:rsidR="00636C61" w:rsidRPr="0013396E" w14:paraId="76890921" w14:textId="77777777" w:rsidTr="0099759E">
        <w:tc>
          <w:tcPr>
            <w:tcW w:w="1264" w:type="dxa"/>
          </w:tcPr>
          <w:p w14:paraId="59805558" w14:textId="77777777" w:rsidR="00636C61" w:rsidRPr="0013396E" w:rsidRDefault="00636C61" w:rsidP="0099759E">
            <w:pPr>
              <w:spacing w:after="60"/>
              <w:rPr>
                <w:iCs/>
                <w:sz w:val="20"/>
              </w:rPr>
            </w:pPr>
            <w:r w:rsidRPr="0013396E">
              <w:rPr>
                <w:iCs/>
                <w:sz w:val="20"/>
              </w:rPr>
              <w:t xml:space="preserve">SEL </w:t>
            </w:r>
            <w:r w:rsidRPr="0013396E">
              <w:rPr>
                <w:i/>
                <w:iCs/>
                <w:sz w:val="20"/>
                <w:vertAlign w:val="subscript"/>
              </w:rPr>
              <w:t>b, y</w:t>
            </w:r>
          </w:p>
        </w:tc>
        <w:tc>
          <w:tcPr>
            <w:tcW w:w="899" w:type="dxa"/>
          </w:tcPr>
          <w:p w14:paraId="2B57003D" w14:textId="77777777" w:rsidR="00636C61" w:rsidRPr="0013396E" w:rsidRDefault="00636C61" w:rsidP="0099759E">
            <w:pPr>
              <w:spacing w:after="60"/>
              <w:rPr>
                <w:iCs/>
                <w:sz w:val="20"/>
              </w:rPr>
            </w:pPr>
            <w:r w:rsidRPr="0013396E">
              <w:rPr>
                <w:iCs/>
                <w:sz w:val="20"/>
              </w:rPr>
              <w:t>MW</w:t>
            </w:r>
          </w:p>
        </w:tc>
        <w:tc>
          <w:tcPr>
            <w:tcW w:w="7107" w:type="dxa"/>
          </w:tcPr>
          <w:p w14:paraId="25EEF8F1" w14:textId="49EB3FEA" w:rsidR="00636C61" w:rsidRPr="0013396E" w:rsidRDefault="00636C61" w:rsidP="0099759E">
            <w:pPr>
              <w:spacing w:after="60"/>
              <w:rPr>
                <w:iCs/>
                <w:sz w:val="20"/>
              </w:rPr>
            </w:pPr>
            <w:r w:rsidRPr="0013396E">
              <w:rPr>
                <w:i/>
                <w:sz w:val="20"/>
                <w:szCs w:val="24"/>
              </w:rPr>
              <w:t>State Estimator Load at bus per interval</w:t>
            </w:r>
            <w:r w:rsidRPr="0013396E">
              <w:rPr>
                <w:sz w:val="20"/>
                <w:szCs w:val="24"/>
              </w:rPr>
              <w:sym w:font="Symbol" w:char="F0BE"/>
            </w:r>
            <w:r w:rsidRPr="0013396E">
              <w:rPr>
                <w:sz w:val="20"/>
                <w:szCs w:val="24"/>
              </w:rPr>
              <w:t>The Load value from State Estimator, including a calculated net Load value at each Private Use Network and adjustments to account for Distribution Generation Resource (DGR) and Distribution Energy Storage Resource (DESR) injections and withdrawals that are settled at a Resource Node, excluding</w:t>
            </w:r>
            <w:r w:rsidRPr="0013396E">
              <w:rPr>
                <w:iCs/>
                <w:sz w:val="20"/>
              </w:rPr>
              <w:t xml:space="preserve"> </w:t>
            </w:r>
            <w:r w:rsidRPr="0013396E">
              <w:rPr>
                <w:sz w:val="20"/>
                <w:szCs w:val="24"/>
              </w:rPr>
              <w:t xml:space="preserve">Wholesale Storage Load (WSL) </w:t>
            </w:r>
            <w:r w:rsidRPr="0013396E">
              <w:rPr>
                <w:sz w:val="20"/>
              </w:rPr>
              <w:t xml:space="preserve">and Non-WSL Energy Storage Resource (ESR) Charging Load, </w:t>
            </w:r>
            <w:r w:rsidRPr="0013396E">
              <w:rPr>
                <w:sz w:val="20"/>
                <w:szCs w:val="24"/>
              </w:rPr>
              <w:t xml:space="preserve">for Electrical Bus </w:t>
            </w:r>
            <w:r w:rsidRPr="0013396E">
              <w:rPr>
                <w:i/>
                <w:sz w:val="20"/>
                <w:szCs w:val="24"/>
              </w:rPr>
              <w:t>b</w:t>
            </w:r>
            <w:r w:rsidRPr="0013396E">
              <w:rPr>
                <w:sz w:val="20"/>
                <w:szCs w:val="24"/>
              </w:rPr>
              <w:t xml:space="preserve"> in the Load Zone, for the SCED interval </w:t>
            </w:r>
            <w:r w:rsidRPr="0013396E">
              <w:rPr>
                <w:i/>
                <w:sz w:val="20"/>
                <w:szCs w:val="24"/>
              </w:rPr>
              <w:t>y</w:t>
            </w:r>
            <w:r w:rsidRPr="0013396E">
              <w:rPr>
                <w:sz w:val="20"/>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6867"/>
            </w:tblGrid>
            <w:tr w:rsidR="00636C61" w:rsidRPr="0013396E" w14:paraId="745C5BAD" w14:textId="77777777" w:rsidTr="0099759E">
              <w:trPr>
                <w:trHeight w:val="206"/>
              </w:trPr>
              <w:tc>
                <w:tcPr>
                  <w:tcW w:w="9350" w:type="dxa"/>
                  <w:shd w:val="pct12" w:color="auto" w:fill="auto"/>
                </w:tcPr>
                <w:p w14:paraId="5BD0FF6E" w14:textId="6DB9284C" w:rsidR="00636C61" w:rsidRPr="0013396E" w:rsidRDefault="00636C61" w:rsidP="00636C61">
                  <w:pPr>
                    <w:spacing w:before="120" w:after="240"/>
                    <w:rPr>
                      <w:b/>
                      <w:i/>
                      <w:iCs/>
                      <w:szCs w:val="24"/>
                    </w:rPr>
                  </w:pPr>
                  <w:r w:rsidRPr="0013396E">
                    <w:rPr>
                      <w:b/>
                      <w:i/>
                      <w:iCs/>
                      <w:szCs w:val="24"/>
                    </w:rPr>
                    <w:lastRenderedPageBreak/>
                    <w:t>[NPRR1</w:t>
                  </w:r>
                  <w:r>
                    <w:rPr>
                      <w:b/>
                      <w:i/>
                      <w:iCs/>
                      <w:szCs w:val="24"/>
                    </w:rPr>
                    <w:t>188</w:t>
                  </w:r>
                  <w:r w:rsidRPr="0013396E">
                    <w:rPr>
                      <w:b/>
                      <w:i/>
                      <w:iCs/>
                      <w:szCs w:val="24"/>
                    </w:rPr>
                    <w:t xml:space="preserve">: </w:t>
                  </w:r>
                  <w:r>
                    <w:rPr>
                      <w:b/>
                      <w:i/>
                      <w:iCs/>
                      <w:szCs w:val="24"/>
                    </w:rPr>
                    <w:t>Replace</w:t>
                  </w:r>
                  <w:r w:rsidRPr="0013396E">
                    <w:rPr>
                      <w:b/>
                      <w:i/>
                      <w:iCs/>
                      <w:szCs w:val="24"/>
                    </w:rPr>
                    <w:t xml:space="preserve"> </w:t>
                  </w:r>
                  <w:r>
                    <w:rPr>
                      <w:b/>
                      <w:i/>
                      <w:iCs/>
                      <w:szCs w:val="24"/>
                    </w:rPr>
                    <w:t>the description</w:t>
                  </w:r>
                  <w:r w:rsidRPr="0013396E">
                    <w:rPr>
                      <w:b/>
                      <w:i/>
                      <w:iCs/>
                      <w:szCs w:val="24"/>
                    </w:rPr>
                    <w:t xml:space="preserve"> </w:t>
                  </w:r>
                  <w:r>
                    <w:rPr>
                      <w:b/>
                      <w:i/>
                      <w:iCs/>
                      <w:szCs w:val="24"/>
                    </w:rPr>
                    <w:t>above with the following</w:t>
                  </w:r>
                  <w:r w:rsidRPr="0013396E">
                    <w:rPr>
                      <w:b/>
                      <w:i/>
                      <w:iCs/>
                      <w:szCs w:val="24"/>
                    </w:rPr>
                    <w:t xml:space="preserve"> upon system implementation:]</w:t>
                  </w:r>
                </w:p>
                <w:p w14:paraId="7BE3FC8B" w14:textId="77756D7C" w:rsidR="00636C61" w:rsidRPr="00636C61" w:rsidRDefault="00636C61" w:rsidP="00636C61">
                  <w:pPr>
                    <w:spacing w:after="60"/>
                    <w:rPr>
                      <w:iCs/>
                      <w:sz w:val="20"/>
                    </w:rPr>
                  </w:pPr>
                  <w:r w:rsidRPr="0013396E">
                    <w:rPr>
                      <w:i/>
                      <w:sz w:val="20"/>
                      <w:szCs w:val="24"/>
                    </w:rPr>
                    <w:t>State Estimator Load at bus per interval</w:t>
                  </w:r>
                  <w:r w:rsidRPr="0013396E">
                    <w:rPr>
                      <w:sz w:val="20"/>
                      <w:szCs w:val="24"/>
                    </w:rPr>
                    <w:sym w:font="Symbol" w:char="F0BE"/>
                  </w:r>
                  <w:r w:rsidRPr="0013396E">
                    <w:rPr>
                      <w:sz w:val="20"/>
                      <w:szCs w:val="24"/>
                    </w:rPr>
                    <w:t>The Load value from State Estimator, including a calculated net Load value at each Private Use Network and adjustments to account for Distribution Generation Resource (DGR) and Distribution Energy Storage Resource (DESR) injections and withdrawals that are settled at a Resource Node, excluding</w:t>
                  </w:r>
                  <w:r w:rsidRPr="0013396E">
                    <w:rPr>
                      <w:iCs/>
                      <w:sz w:val="20"/>
                    </w:rPr>
                    <w:t xml:space="preserve"> Controllable Load Resource (CLR) Load that is not an Aggregate Load Resource (ALR),</w:t>
                  </w:r>
                  <w:r w:rsidRPr="0013396E">
                    <w:rPr>
                      <w:sz w:val="20"/>
                      <w:szCs w:val="24"/>
                    </w:rPr>
                    <w:t xml:space="preserve"> Wholesale Storage Load (WSL) </w:t>
                  </w:r>
                  <w:r w:rsidRPr="0013396E">
                    <w:rPr>
                      <w:sz w:val="20"/>
                    </w:rPr>
                    <w:t xml:space="preserve">and Non-WSL Energy Storage Resource (ESR) Charging Load, </w:t>
                  </w:r>
                  <w:r w:rsidRPr="0013396E">
                    <w:rPr>
                      <w:sz w:val="20"/>
                      <w:szCs w:val="24"/>
                    </w:rPr>
                    <w:t xml:space="preserve">for Electrical Bus </w:t>
                  </w:r>
                  <w:r w:rsidRPr="0013396E">
                    <w:rPr>
                      <w:i/>
                      <w:sz w:val="20"/>
                      <w:szCs w:val="24"/>
                    </w:rPr>
                    <w:t>b</w:t>
                  </w:r>
                  <w:r w:rsidRPr="0013396E">
                    <w:rPr>
                      <w:sz w:val="20"/>
                      <w:szCs w:val="24"/>
                    </w:rPr>
                    <w:t xml:space="preserve"> in the Load Zone, for the SCED interval </w:t>
                  </w:r>
                  <w:r w:rsidRPr="0013396E">
                    <w:rPr>
                      <w:i/>
                      <w:sz w:val="20"/>
                      <w:szCs w:val="24"/>
                    </w:rPr>
                    <w:t>y</w:t>
                  </w:r>
                  <w:r w:rsidRPr="0013396E">
                    <w:rPr>
                      <w:sz w:val="20"/>
                      <w:szCs w:val="24"/>
                    </w:rPr>
                    <w:t>.</w:t>
                  </w:r>
                </w:p>
              </w:tc>
            </w:tr>
          </w:tbl>
          <w:p w14:paraId="43B0F3E2" w14:textId="1A1154CD" w:rsidR="00636C61" w:rsidRPr="0013396E" w:rsidRDefault="00636C61" w:rsidP="0099759E">
            <w:pPr>
              <w:spacing w:after="60"/>
              <w:rPr>
                <w:iCs/>
                <w:sz w:val="20"/>
              </w:rPr>
            </w:pPr>
          </w:p>
        </w:tc>
      </w:tr>
      <w:tr w:rsidR="00636C61" w:rsidRPr="0013396E" w14:paraId="555EBD69" w14:textId="77777777" w:rsidTr="0099759E">
        <w:tc>
          <w:tcPr>
            <w:tcW w:w="1264" w:type="dxa"/>
          </w:tcPr>
          <w:p w14:paraId="023023A3" w14:textId="77777777" w:rsidR="00636C61" w:rsidRPr="0013396E" w:rsidRDefault="00636C61" w:rsidP="0099759E">
            <w:pPr>
              <w:spacing w:after="60"/>
              <w:rPr>
                <w:iCs/>
                <w:sz w:val="20"/>
              </w:rPr>
            </w:pPr>
            <w:r w:rsidRPr="0013396E">
              <w:rPr>
                <w:iCs/>
                <w:sz w:val="20"/>
              </w:rPr>
              <w:lastRenderedPageBreak/>
              <w:t xml:space="preserve">TLMP </w:t>
            </w:r>
            <w:r w:rsidRPr="0013396E">
              <w:rPr>
                <w:i/>
                <w:iCs/>
                <w:sz w:val="20"/>
                <w:vertAlign w:val="subscript"/>
              </w:rPr>
              <w:t>y</w:t>
            </w:r>
          </w:p>
        </w:tc>
        <w:tc>
          <w:tcPr>
            <w:tcW w:w="899" w:type="dxa"/>
          </w:tcPr>
          <w:p w14:paraId="0BD3E661" w14:textId="77777777" w:rsidR="00636C61" w:rsidRPr="0013396E" w:rsidRDefault="00636C61" w:rsidP="0099759E">
            <w:pPr>
              <w:spacing w:after="60"/>
              <w:rPr>
                <w:sz w:val="20"/>
              </w:rPr>
            </w:pPr>
            <w:r w:rsidRPr="0013396E">
              <w:rPr>
                <w:iCs/>
                <w:sz w:val="20"/>
              </w:rPr>
              <w:t>second</w:t>
            </w:r>
          </w:p>
        </w:tc>
        <w:tc>
          <w:tcPr>
            <w:tcW w:w="7107" w:type="dxa"/>
          </w:tcPr>
          <w:p w14:paraId="5B39D9A0" w14:textId="77777777" w:rsidR="00636C61" w:rsidRPr="0013396E" w:rsidRDefault="00636C61" w:rsidP="0099759E">
            <w:pPr>
              <w:spacing w:after="60"/>
              <w:rPr>
                <w:iCs/>
                <w:sz w:val="20"/>
              </w:rPr>
            </w:pPr>
            <w:r w:rsidRPr="0013396E">
              <w:rPr>
                <w:i/>
                <w:sz w:val="20"/>
              </w:rPr>
              <w:t xml:space="preserve">Duration of </w:t>
            </w:r>
            <w:r w:rsidRPr="0013396E">
              <w:rPr>
                <w:i/>
                <w:iCs/>
                <w:sz w:val="20"/>
              </w:rPr>
              <w:t>SCED</w:t>
            </w:r>
            <w:r w:rsidRPr="0013396E">
              <w:rPr>
                <w:i/>
                <w:sz w:val="20"/>
              </w:rPr>
              <w:t xml:space="preserve"> interval per interval</w:t>
            </w:r>
            <w:r w:rsidRPr="0013396E">
              <w:rPr>
                <w:iCs/>
                <w:sz w:val="20"/>
              </w:rPr>
              <w:sym w:font="Symbol" w:char="F0BE"/>
            </w:r>
            <w:r w:rsidRPr="0013396E">
              <w:rPr>
                <w:iCs/>
                <w:sz w:val="20"/>
              </w:rPr>
              <w:t xml:space="preserve">The duration of the portion of the SCED interval </w:t>
            </w:r>
            <w:r w:rsidRPr="0013396E">
              <w:rPr>
                <w:i/>
                <w:sz w:val="20"/>
              </w:rPr>
              <w:t>y</w:t>
            </w:r>
            <w:r w:rsidRPr="0013396E">
              <w:rPr>
                <w:iCs/>
                <w:sz w:val="20"/>
              </w:rPr>
              <w:t xml:space="preserve"> within the Settlement Interval.</w:t>
            </w:r>
          </w:p>
        </w:tc>
      </w:tr>
      <w:tr w:rsidR="00636C61" w:rsidRPr="0013396E" w14:paraId="6A6C9416" w14:textId="77777777" w:rsidTr="0099759E">
        <w:tc>
          <w:tcPr>
            <w:tcW w:w="1264" w:type="dxa"/>
          </w:tcPr>
          <w:p w14:paraId="2E953E16" w14:textId="77777777" w:rsidR="00636C61" w:rsidRPr="0013396E" w:rsidRDefault="00636C61" w:rsidP="0099759E">
            <w:pPr>
              <w:spacing w:after="60"/>
              <w:rPr>
                <w:i/>
                <w:iCs/>
                <w:sz w:val="20"/>
              </w:rPr>
            </w:pPr>
            <w:r w:rsidRPr="0013396E">
              <w:rPr>
                <w:i/>
                <w:iCs/>
                <w:sz w:val="20"/>
              </w:rPr>
              <w:t>y</w:t>
            </w:r>
          </w:p>
        </w:tc>
        <w:tc>
          <w:tcPr>
            <w:tcW w:w="899" w:type="dxa"/>
          </w:tcPr>
          <w:p w14:paraId="2E7B9CC6" w14:textId="77777777" w:rsidR="00636C61" w:rsidRPr="0013396E" w:rsidRDefault="00636C61" w:rsidP="0099759E">
            <w:pPr>
              <w:spacing w:after="60"/>
              <w:rPr>
                <w:iCs/>
                <w:sz w:val="20"/>
              </w:rPr>
            </w:pPr>
            <w:r w:rsidRPr="0013396E">
              <w:rPr>
                <w:iCs/>
                <w:sz w:val="20"/>
              </w:rPr>
              <w:t>none</w:t>
            </w:r>
          </w:p>
        </w:tc>
        <w:tc>
          <w:tcPr>
            <w:tcW w:w="7107" w:type="dxa"/>
          </w:tcPr>
          <w:p w14:paraId="573A160B" w14:textId="77777777" w:rsidR="00636C61" w:rsidRPr="0013396E" w:rsidRDefault="00636C61" w:rsidP="0099759E">
            <w:pPr>
              <w:spacing w:after="60"/>
              <w:rPr>
                <w:iCs/>
                <w:sz w:val="20"/>
              </w:rPr>
            </w:pPr>
            <w:r w:rsidRPr="0013396E">
              <w:rPr>
                <w:iCs/>
                <w:sz w:val="20"/>
              </w:rPr>
              <w:t>A SCED interval in the 15-minute Settlement Interval.  The summation is over the total number of SCED runs that cover the 15-minute Settlement Interval.</w:t>
            </w:r>
          </w:p>
        </w:tc>
      </w:tr>
      <w:tr w:rsidR="00636C61" w:rsidRPr="0013396E" w14:paraId="0FE20114" w14:textId="77777777" w:rsidTr="0099759E">
        <w:tc>
          <w:tcPr>
            <w:tcW w:w="1264" w:type="dxa"/>
          </w:tcPr>
          <w:p w14:paraId="627A0601" w14:textId="77777777" w:rsidR="00636C61" w:rsidRPr="0013396E" w:rsidRDefault="00636C61" w:rsidP="0099759E">
            <w:pPr>
              <w:spacing w:after="60"/>
              <w:rPr>
                <w:i/>
                <w:iCs/>
                <w:sz w:val="20"/>
              </w:rPr>
            </w:pPr>
            <w:r w:rsidRPr="0013396E">
              <w:rPr>
                <w:i/>
                <w:iCs/>
                <w:sz w:val="20"/>
              </w:rPr>
              <w:t>b</w:t>
            </w:r>
          </w:p>
        </w:tc>
        <w:tc>
          <w:tcPr>
            <w:tcW w:w="899" w:type="dxa"/>
          </w:tcPr>
          <w:p w14:paraId="7E45316C" w14:textId="77777777" w:rsidR="00636C61" w:rsidRPr="0013396E" w:rsidRDefault="00636C61" w:rsidP="0099759E">
            <w:pPr>
              <w:spacing w:after="60"/>
              <w:rPr>
                <w:iCs/>
                <w:sz w:val="20"/>
              </w:rPr>
            </w:pPr>
            <w:r w:rsidRPr="0013396E">
              <w:rPr>
                <w:iCs/>
                <w:sz w:val="20"/>
              </w:rPr>
              <w:t>none</w:t>
            </w:r>
          </w:p>
        </w:tc>
        <w:tc>
          <w:tcPr>
            <w:tcW w:w="7107" w:type="dxa"/>
          </w:tcPr>
          <w:p w14:paraId="3F85ED00" w14:textId="77777777" w:rsidR="00636C61" w:rsidRPr="0013396E" w:rsidRDefault="00636C61" w:rsidP="0099759E">
            <w:pPr>
              <w:spacing w:after="60"/>
              <w:rPr>
                <w:iCs/>
                <w:sz w:val="20"/>
              </w:rPr>
            </w:pPr>
            <w:r w:rsidRPr="0013396E">
              <w:rPr>
                <w:iCs/>
                <w:sz w:val="20"/>
              </w:rPr>
              <w:t>An Electrical Bus in the Load Zone.  The summation is over all of the Electrical Buses in the Load Zone.</w:t>
            </w:r>
          </w:p>
        </w:tc>
      </w:tr>
    </w:tbl>
    <w:p w14:paraId="7719E89F" w14:textId="6C703255" w:rsidR="001F04FD" w:rsidRPr="0013396E" w:rsidRDefault="001F04FD" w:rsidP="001F04FD">
      <w:pPr>
        <w:pStyle w:val="H4"/>
        <w:spacing w:before="480"/>
        <w:ind w:left="1267" w:hanging="1267"/>
      </w:pPr>
      <w:bookmarkStart w:id="1398" w:name="_Toc109009383"/>
      <w:bookmarkStart w:id="1399" w:name="_Toc397505005"/>
      <w:bookmarkStart w:id="1400" w:name="_Toc402357133"/>
      <w:bookmarkStart w:id="1401" w:name="_Toc422486511"/>
      <w:bookmarkStart w:id="1402" w:name="_Toc433093363"/>
      <w:bookmarkStart w:id="1403" w:name="_Toc433093521"/>
      <w:bookmarkStart w:id="1404" w:name="_Toc440874749"/>
      <w:bookmarkStart w:id="1405" w:name="_Toc448142304"/>
      <w:bookmarkStart w:id="1406" w:name="_Toc448142461"/>
      <w:bookmarkStart w:id="1407" w:name="_Toc458770298"/>
      <w:bookmarkStart w:id="1408" w:name="_Toc459294266"/>
      <w:bookmarkStart w:id="1409" w:name="_Toc463262759"/>
      <w:bookmarkStart w:id="1410" w:name="_Toc468286832"/>
      <w:bookmarkStart w:id="1411" w:name="_Toc481502878"/>
      <w:bookmarkStart w:id="1412" w:name="_Toc496080046"/>
      <w:bookmarkStart w:id="1413" w:name="_Toc214878949"/>
      <w:bookmarkStart w:id="1414" w:name="_Toc87951784"/>
      <w:bookmarkEnd w:id="1396"/>
      <w:bookmarkEnd w:id="1397"/>
      <w:r w:rsidRPr="0013396E">
        <w:t>6.6.1.3</w:t>
      </w:r>
      <w:r w:rsidRPr="0013396E">
        <w:tab/>
        <w:t>Real-Time Settlement Point Price for a Hub</w:t>
      </w:r>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p>
    <w:p w14:paraId="37FE2601" w14:textId="71B27BC6" w:rsidR="001F04FD" w:rsidRPr="0013396E" w:rsidRDefault="001F04FD" w:rsidP="001F04FD">
      <w:pPr>
        <w:pStyle w:val="BodyText"/>
        <w:ind w:left="720" w:hanging="720"/>
      </w:pPr>
      <w:r w:rsidRPr="0013396E">
        <w:t>(1)</w:t>
      </w:r>
      <w:r w:rsidRPr="0013396E">
        <w:tab/>
        <w:t>The Real-Time S</w:t>
      </w:r>
      <w:r w:rsidR="00082248" w:rsidRPr="0013396E">
        <w:t xml:space="preserve">ettlement </w:t>
      </w:r>
      <w:r w:rsidRPr="0013396E">
        <w:t>P</w:t>
      </w:r>
      <w:r w:rsidR="00082248" w:rsidRPr="0013396E">
        <w:t xml:space="preserve">oint </w:t>
      </w:r>
      <w:r w:rsidRPr="0013396E">
        <w:t>P</w:t>
      </w:r>
      <w:r w:rsidR="00082248" w:rsidRPr="0013396E">
        <w:t>rice</w:t>
      </w:r>
      <w:r w:rsidRPr="0013396E">
        <w:t xml:space="preserve"> at a Hub is determined according to the methodology included in the definition of that Hub in Section 3.5.2, Hub Definitions.</w:t>
      </w:r>
    </w:p>
    <w:p w14:paraId="2C04D326" w14:textId="77777777" w:rsidR="001F04FD" w:rsidRPr="0013396E" w:rsidRDefault="001F04FD" w:rsidP="005A7D8E">
      <w:pPr>
        <w:pStyle w:val="H4"/>
        <w:spacing w:before="480"/>
        <w:ind w:left="1267" w:hanging="1267"/>
      </w:pPr>
      <w:bookmarkStart w:id="1415" w:name="_Toc397505006"/>
      <w:bookmarkStart w:id="1416" w:name="_Toc402357134"/>
      <w:bookmarkStart w:id="1417" w:name="_Toc422486512"/>
      <w:bookmarkStart w:id="1418" w:name="_Toc433093364"/>
      <w:bookmarkStart w:id="1419" w:name="_Toc433093522"/>
      <w:bookmarkStart w:id="1420" w:name="_Toc440874750"/>
      <w:bookmarkStart w:id="1421" w:name="_Toc448142305"/>
      <w:bookmarkStart w:id="1422" w:name="_Toc448142462"/>
      <w:bookmarkStart w:id="1423" w:name="_Toc458770299"/>
      <w:bookmarkStart w:id="1424" w:name="_Toc459294267"/>
      <w:bookmarkStart w:id="1425" w:name="_Toc463262760"/>
      <w:bookmarkStart w:id="1426" w:name="_Toc468286833"/>
      <w:bookmarkStart w:id="1427" w:name="_Toc481502879"/>
      <w:bookmarkStart w:id="1428" w:name="_Toc496080047"/>
      <w:bookmarkStart w:id="1429" w:name="_Toc214878950"/>
      <w:r w:rsidRPr="0013396E">
        <w:t>6.6.1.4</w:t>
      </w:r>
      <w:r w:rsidRPr="0013396E">
        <w:tab/>
        <w:t>Load Zone LMPs</w:t>
      </w:r>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p>
    <w:p w14:paraId="50252A07" w14:textId="389A3A01" w:rsidR="001F04FD" w:rsidRPr="0013396E" w:rsidRDefault="001F04FD" w:rsidP="001F04FD">
      <w:pPr>
        <w:pStyle w:val="BodyText"/>
        <w:ind w:left="720" w:hanging="720"/>
      </w:pPr>
      <w:r w:rsidRPr="0013396E">
        <w:t>(1)</w:t>
      </w:r>
      <w:r w:rsidRPr="0013396E">
        <w:tab/>
        <w:t xml:space="preserve">The Load Zone LMPs shall be posted on the </w:t>
      </w:r>
      <w:r w:rsidR="0007207E" w:rsidRPr="0013396E">
        <w:t>ERCOT website</w:t>
      </w:r>
      <w:r w:rsidRPr="0013396E">
        <w:t xml:space="preserve">.  The Load Zone LMP is based on the state-estimated Loads in MW and the Real-Time LMPs at the Electrical Buses included in the Load Zone.  The Load Zone LMP for a Load Zone for a SCED </w:t>
      </w:r>
      <w:r w:rsidR="00235D03" w:rsidRPr="0013396E">
        <w:t>i</w:t>
      </w:r>
      <w:r w:rsidRPr="0013396E">
        <w:t>nterval is calculated as follows:</w:t>
      </w:r>
    </w:p>
    <w:p w14:paraId="3CCA247C" w14:textId="77777777" w:rsidR="001F04FD" w:rsidRPr="0013396E" w:rsidRDefault="001F04FD" w:rsidP="001F04FD">
      <w:pPr>
        <w:pStyle w:val="FormulaBold"/>
        <w:rPr>
          <w:lang w:val="es-MX"/>
        </w:rPr>
      </w:pPr>
      <w:r w:rsidRPr="0013396E">
        <w:rPr>
          <w:lang w:val="es-MX"/>
        </w:rPr>
        <w:t>LZLMP</w:t>
      </w:r>
      <w:r w:rsidRPr="0013396E">
        <w:rPr>
          <w:i/>
          <w:vertAlign w:val="subscript"/>
          <w:lang w:val="es-MX"/>
        </w:rPr>
        <w:t xml:space="preserve"> y</w:t>
      </w:r>
      <w:r w:rsidRPr="0013396E">
        <w:rPr>
          <w:lang w:val="es-MX"/>
        </w:rPr>
        <w:tab/>
        <w:t>=</w:t>
      </w:r>
      <w:r w:rsidRPr="0013396E">
        <w:rPr>
          <w:lang w:val="es-MX"/>
        </w:rPr>
        <w:tab/>
      </w:r>
      <w:r w:rsidRPr="0013396E">
        <w:rPr>
          <w:position w:val="-20"/>
        </w:rPr>
        <w:object w:dxaOrig="225" w:dyaOrig="435" w14:anchorId="3C7B9194">
          <v:shape id="_x0000_i1043" type="#_x0000_t75" style="width:12pt;height:18pt" o:ole="">
            <v:imagedata r:id="rId33" o:title=""/>
          </v:shape>
          <o:OLEObject Type="Embed" ProgID="Equation.3" ShapeID="_x0000_i1043" DrawAspect="Content" ObjectID="_1836311322" r:id="rId41"/>
        </w:object>
      </w:r>
      <w:r w:rsidRPr="0013396E">
        <w:rPr>
          <w:lang w:val="es-MX"/>
        </w:rPr>
        <w:t xml:space="preserve"> (RTLMP</w:t>
      </w:r>
      <w:r w:rsidRPr="0013396E">
        <w:rPr>
          <w:vertAlign w:val="subscript"/>
          <w:lang w:val="es-MX"/>
        </w:rPr>
        <w:t xml:space="preserve"> </w:t>
      </w:r>
      <w:r w:rsidRPr="0013396E">
        <w:rPr>
          <w:i/>
          <w:vertAlign w:val="subscript"/>
          <w:lang w:val="es-MX"/>
        </w:rPr>
        <w:t>b, y</w:t>
      </w:r>
      <w:r w:rsidRPr="0013396E">
        <w:rPr>
          <w:lang w:val="es-MX"/>
        </w:rPr>
        <w:t xml:space="preserve"> * LZWF</w:t>
      </w:r>
      <w:r w:rsidRPr="0013396E">
        <w:rPr>
          <w:i/>
          <w:vertAlign w:val="subscript"/>
          <w:lang w:val="es-MX"/>
        </w:rPr>
        <w:t xml:space="preserve"> b, y</w:t>
      </w:r>
      <w:r w:rsidRPr="0013396E">
        <w:rPr>
          <w:lang w:val="es-MX"/>
        </w:rPr>
        <w:t>)</w:t>
      </w:r>
    </w:p>
    <w:p w14:paraId="31E69000" w14:textId="77777777" w:rsidR="001F04FD" w:rsidRPr="0013396E" w:rsidRDefault="001F04FD" w:rsidP="001F04FD">
      <w:pPr>
        <w:pStyle w:val="BodyText"/>
      </w:pPr>
      <w:r w:rsidRPr="0013396E">
        <w:t xml:space="preserve">For all Load Zones except DC Tie Load Zones: </w:t>
      </w:r>
    </w:p>
    <w:p w14:paraId="752F1980" w14:textId="77777777" w:rsidR="001F04FD" w:rsidRPr="0013396E" w:rsidRDefault="001F04FD" w:rsidP="001F04FD">
      <w:pPr>
        <w:pStyle w:val="FormulaBold"/>
        <w:rPr>
          <w:lang w:val="es-MX"/>
        </w:rPr>
      </w:pPr>
      <w:r w:rsidRPr="0013396E">
        <w:rPr>
          <w:lang w:val="es-MX"/>
        </w:rPr>
        <w:t>LZWF</w:t>
      </w:r>
      <w:r w:rsidRPr="0013396E">
        <w:rPr>
          <w:i/>
          <w:vertAlign w:val="subscript"/>
          <w:lang w:val="es-MX"/>
        </w:rPr>
        <w:t xml:space="preserve"> b, y</w:t>
      </w:r>
      <w:r w:rsidRPr="0013396E">
        <w:rPr>
          <w:lang w:val="es-MX"/>
        </w:rPr>
        <w:t xml:space="preserve"> </w:t>
      </w:r>
      <w:r w:rsidRPr="0013396E">
        <w:rPr>
          <w:lang w:val="es-MX"/>
        </w:rPr>
        <w:tab/>
        <w:t>=</w:t>
      </w:r>
      <w:r w:rsidRPr="0013396E">
        <w:rPr>
          <w:lang w:val="es-MX"/>
        </w:rPr>
        <w:tab/>
        <w:t>SEL</w:t>
      </w:r>
      <w:r w:rsidRPr="0013396E">
        <w:rPr>
          <w:vertAlign w:val="subscript"/>
          <w:lang w:val="es-MX"/>
        </w:rPr>
        <w:t xml:space="preserve"> </w:t>
      </w:r>
      <w:r w:rsidRPr="0013396E">
        <w:rPr>
          <w:i/>
          <w:vertAlign w:val="subscript"/>
          <w:lang w:val="es-MX"/>
        </w:rPr>
        <w:t>b, y</w:t>
      </w:r>
      <w:r w:rsidRPr="0013396E">
        <w:rPr>
          <w:lang w:val="es-MX"/>
        </w:rPr>
        <w:t xml:space="preserve"> </w:t>
      </w:r>
      <w:r w:rsidRPr="0013396E">
        <w:rPr>
          <w:b w:val="0"/>
          <w:sz w:val="32"/>
          <w:szCs w:val="32"/>
          <w:lang w:val="es-MX"/>
        </w:rPr>
        <w:t>/</w:t>
      </w:r>
      <w:r w:rsidRPr="0013396E">
        <w:rPr>
          <w:lang w:val="es-MX"/>
        </w:rPr>
        <w:t xml:space="preserve"> (</w:t>
      </w:r>
      <w:r w:rsidRPr="0013396E">
        <w:rPr>
          <w:position w:val="-20"/>
        </w:rPr>
        <w:object w:dxaOrig="225" w:dyaOrig="435" w14:anchorId="6B8CB4C1">
          <v:shape id="_x0000_i1044" type="#_x0000_t75" style="width:12pt;height:18pt" o:ole="">
            <v:imagedata r:id="rId28" o:title=""/>
          </v:shape>
          <o:OLEObject Type="Embed" ProgID="Equation.3" ShapeID="_x0000_i1044" DrawAspect="Content" ObjectID="_1836311323" r:id="rId42"/>
        </w:object>
      </w:r>
      <w:r w:rsidRPr="0013396E">
        <w:rPr>
          <w:lang w:val="es-MX"/>
        </w:rPr>
        <w:t>SEL</w:t>
      </w:r>
      <w:r w:rsidRPr="0013396E">
        <w:rPr>
          <w:vertAlign w:val="subscript"/>
          <w:lang w:val="es-MX"/>
        </w:rPr>
        <w:t xml:space="preserve"> </w:t>
      </w:r>
      <w:r w:rsidRPr="0013396E">
        <w:rPr>
          <w:i/>
          <w:vertAlign w:val="subscript"/>
          <w:lang w:val="es-MX"/>
        </w:rPr>
        <w:t>b, y</w:t>
      </w:r>
      <w:r w:rsidRPr="0013396E">
        <w:rPr>
          <w:lang w:val="es-MX"/>
        </w:rPr>
        <w:t>)</w:t>
      </w:r>
    </w:p>
    <w:p w14:paraId="2AF24AF9" w14:textId="77777777" w:rsidR="001F04FD" w:rsidRPr="0013396E" w:rsidRDefault="001F04FD" w:rsidP="001F04FD">
      <w:pPr>
        <w:pStyle w:val="BodyText"/>
      </w:pPr>
      <w:r w:rsidRPr="0013396E">
        <w:t>For a DC Tie Load Zone:</w:t>
      </w:r>
    </w:p>
    <w:p w14:paraId="2C32F585" w14:textId="77777777" w:rsidR="001F04FD" w:rsidRPr="0013396E" w:rsidRDefault="001F04FD" w:rsidP="001F04FD">
      <w:pPr>
        <w:pStyle w:val="FormulaBold"/>
        <w:rPr>
          <w:lang w:val="es-MX"/>
        </w:rPr>
      </w:pPr>
      <w:r w:rsidRPr="0013396E">
        <w:rPr>
          <w:lang w:val="es-MX"/>
        </w:rPr>
        <w:t>LZWF</w:t>
      </w:r>
      <w:r w:rsidRPr="0013396E">
        <w:rPr>
          <w:i/>
          <w:vertAlign w:val="subscript"/>
          <w:lang w:val="es-MX"/>
        </w:rPr>
        <w:t xml:space="preserve"> b, y</w:t>
      </w:r>
      <w:r w:rsidRPr="0013396E">
        <w:rPr>
          <w:lang w:val="es-MX"/>
        </w:rPr>
        <w:t xml:space="preserve"> </w:t>
      </w:r>
      <w:r w:rsidRPr="0013396E">
        <w:rPr>
          <w:lang w:val="es-MX"/>
        </w:rPr>
        <w:tab/>
        <w:t>=</w:t>
      </w:r>
      <w:r w:rsidRPr="0013396E">
        <w:rPr>
          <w:lang w:val="es-MX"/>
        </w:rPr>
        <w:tab/>
        <w:t>[Max (0.001, SEL</w:t>
      </w:r>
      <w:r w:rsidRPr="0013396E">
        <w:rPr>
          <w:vertAlign w:val="subscript"/>
          <w:lang w:val="es-MX"/>
        </w:rPr>
        <w:t xml:space="preserve"> b, y</w:t>
      </w:r>
      <w:r w:rsidRPr="0013396E">
        <w:rPr>
          <w:lang w:val="es-MX"/>
        </w:rPr>
        <w:t xml:space="preserve">)]  </w:t>
      </w:r>
      <w:r w:rsidRPr="0013396E">
        <w:rPr>
          <w:sz w:val="32"/>
          <w:szCs w:val="32"/>
          <w:lang w:val="es-MX"/>
        </w:rPr>
        <w:t>/</w:t>
      </w:r>
      <w:r w:rsidRPr="0013396E">
        <w:rPr>
          <w:lang w:val="es-MX"/>
        </w:rPr>
        <w:t xml:space="preserve">  [Max (0.001, SEL</w:t>
      </w:r>
      <w:r w:rsidRPr="0013396E">
        <w:rPr>
          <w:vertAlign w:val="subscript"/>
          <w:lang w:val="es-MX"/>
        </w:rPr>
        <w:t xml:space="preserve"> b, y</w:t>
      </w:r>
      <w:r w:rsidRPr="0013396E">
        <w:rPr>
          <w:lang w:val="es-MX"/>
        </w:rPr>
        <w:t>)]</w:t>
      </w:r>
    </w:p>
    <w:p w14:paraId="3A01B899" w14:textId="77777777" w:rsidR="001F04FD" w:rsidRPr="0013396E" w:rsidRDefault="001F04FD" w:rsidP="001F04FD">
      <w:r w:rsidRPr="0013396E">
        <w:t>The above variables are defined as follows:</w:t>
      </w:r>
    </w:p>
    <w:tbl>
      <w:tblPr>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195"/>
        <w:gridCol w:w="900"/>
        <w:gridCol w:w="7175"/>
      </w:tblGrid>
      <w:tr w:rsidR="001F04FD" w:rsidRPr="0013396E" w14:paraId="73DEB3CE" w14:textId="77777777" w:rsidTr="00AC4DEE">
        <w:tc>
          <w:tcPr>
            <w:tcW w:w="1195" w:type="dxa"/>
          </w:tcPr>
          <w:p w14:paraId="6F1391C8" w14:textId="77777777" w:rsidR="001F04FD" w:rsidRPr="0013396E" w:rsidRDefault="001F04FD" w:rsidP="00AC4DEE">
            <w:pPr>
              <w:pStyle w:val="TableHead"/>
            </w:pPr>
            <w:r w:rsidRPr="0013396E">
              <w:t>Variable</w:t>
            </w:r>
          </w:p>
        </w:tc>
        <w:tc>
          <w:tcPr>
            <w:tcW w:w="900" w:type="dxa"/>
          </w:tcPr>
          <w:p w14:paraId="5CCC9B71" w14:textId="77777777" w:rsidR="001F04FD" w:rsidRPr="0013396E" w:rsidRDefault="001F04FD" w:rsidP="00AC4DEE">
            <w:pPr>
              <w:pStyle w:val="TableHead"/>
            </w:pPr>
            <w:r w:rsidRPr="0013396E">
              <w:t>Unit</w:t>
            </w:r>
          </w:p>
        </w:tc>
        <w:tc>
          <w:tcPr>
            <w:tcW w:w="7175" w:type="dxa"/>
          </w:tcPr>
          <w:p w14:paraId="30742C92" w14:textId="77777777" w:rsidR="001F04FD" w:rsidRPr="0013396E" w:rsidRDefault="001F04FD" w:rsidP="00AC4DEE">
            <w:pPr>
              <w:pStyle w:val="TableHead"/>
            </w:pPr>
            <w:r w:rsidRPr="0013396E">
              <w:t>Description</w:t>
            </w:r>
          </w:p>
        </w:tc>
      </w:tr>
      <w:tr w:rsidR="001F04FD" w:rsidRPr="0013396E" w14:paraId="17E00F27" w14:textId="77777777" w:rsidTr="00AC4DEE">
        <w:tc>
          <w:tcPr>
            <w:tcW w:w="1195" w:type="dxa"/>
          </w:tcPr>
          <w:p w14:paraId="41A4CCB6" w14:textId="77777777" w:rsidR="001F04FD" w:rsidRPr="0013396E" w:rsidRDefault="001F04FD" w:rsidP="00AC4DEE">
            <w:pPr>
              <w:pStyle w:val="TableBody"/>
            </w:pPr>
            <w:r w:rsidRPr="0013396E">
              <w:t>LZLMP</w:t>
            </w:r>
            <w:r w:rsidRPr="0013396E">
              <w:rPr>
                <w:i/>
                <w:vertAlign w:val="subscript"/>
                <w:lang w:val="es-MX"/>
              </w:rPr>
              <w:t xml:space="preserve"> y</w:t>
            </w:r>
          </w:p>
        </w:tc>
        <w:tc>
          <w:tcPr>
            <w:tcW w:w="900" w:type="dxa"/>
          </w:tcPr>
          <w:p w14:paraId="6A4E4B17" w14:textId="77777777" w:rsidR="001F04FD" w:rsidRPr="0013396E" w:rsidRDefault="001F04FD" w:rsidP="00AC4DEE">
            <w:pPr>
              <w:pStyle w:val="TableBody"/>
              <w:rPr>
                <w:i/>
              </w:rPr>
            </w:pPr>
            <w:r w:rsidRPr="0013396E">
              <w:t>$/MWh</w:t>
            </w:r>
          </w:p>
        </w:tc>
        <w:tc>
          <w:tcPr>
            <w:tcW w:w="7175" w:type="dxa"/>
          </w:tcPr>
          <w:p w14:paraId="58A39D8D" w14:textId="0FAFFC07" w:rsidR="001F04FD" w:rsidRPr="0013396E" w:rsidRDefault="001F04FD" w:rsidP="00AC4DEE">
            <w:pPr>
              <w:pStyle w:val="TableBody"/>
            </w:pPr>
            <w:r w:rsidRPr="0013396E">
              <w:rPr>
                <w:i/>
              </w:rPr>
              <w:t>Load Zone Locational Marginal Price</w:t>
            </w:r>
            <w:r w:rsidRPr="0013396E">
              <w:sym w:font="Symbol" w:char="F0BE"/>
            </w:r>
            <w:r w:rsidRPr="0013396E">
              <w:t xml:space="preserve">The Load Zone LMP for the Load Zone for the SCED </w:t>
            </w:r>
            <w:r w:rsidR="00235D03" w:rsidRPr="0013396E">
              <w:t>i</w:t>
            </w:r>
            <w:r w:rsidRPr="0013396E">
              <w:t xml:space="preserve">nterval </w:t>
            </w:r>
            <w:r w:rsidRPr="0013396E">
              <w:rPr>
                <w:i/>
              </w:rPr>
              <w:t>y</w:t>
            </w:r>
            <w:r w:rsidRPr="0013396E">
              <w:t>.</w:t>
            </w:r>
          </w:p>
        </w:tc>
      </w:tr>
      <w:tr w:rsidR="001F04FD" w:rsidRPr="0013396E" w14:paraId="1ED69260" w14:textId="77777777" w:rsidTr="00AC4DEE">
        <w:tc>
          <w:tcPr>
            <w:tcW w:w="1195" w:type="dxa"/>
          </w:tcPr>
          <w:p w14:paraId="09B21859" w14:textId="77777777" w:rsidR="001F04FD" w:rsidRPr="0013396E" w:rsidRDefault="001F04FD" w:rsidP="00AC4DEE">
            <w:pPr>
              <w:pStyle w:val="TableBody"/>
            </w:pPr>
            <w:r w:rsidRPr="0013396E">
              <w:lastRenderedPageBreak/>
              <w:t xml:space="preserve">RTLMP </w:t>
            </w:r>
            <w:r w:rsidRPr="0013396E">
              <w:rPr>
                <w:i/>
                <w:vertAlign w:val="subscript"/>
              </w:rPr>
              <w:t>b, y</w:t>
            </w:r>
          </w:p>
        </w:tc>
        <w:tc>
          <w:tcPr>
            <w:tcW w:w="900" w:type="dxa"/>
          </w:tcPr>
          <w:p w14:paraId="105CC542" w14:textId="77777777" w:rsidR="001F04FD" w:rsidRPr="0013396E" w:rsidRDefault="001F04FD" w:rsidP="00AC4DEE">
            <w:pPr>
              <w:pStyle w:val="TableBody"/>
            </w:pPr>
            <w:r w:rsidRPr="0013396E">
              <w:t>$/MWh</w:t>
            </w:r>
          </w:p>
        </w:tc>
        <w:tc>
          <w:tcPr>
            <w:tcW w:w="7175" w:type="dxa"/>
          </w:tcPr>
          <w:p w14:paraId="52082DEC" w14:textId="168B8C9C" w:rsidR="001F04FD" w:rsidRPr="0013396E" w:rsidRDefault="001F04FD" w:rsidP="00AC4DEE">
            <w:pPr>
              <w:pStyle w:val="TableBody"/>
            </w:pPr>
            <w:r w:rsidRPr="0013396E">
              <w:rPr>
                <w:i/>
              </w:rPr>
              <w:t>Real-Time Locational Marginal Price at bus per SCED interval</w:t>
            </w:r>
            <w:r w:rsidRPr="0013396E">
              <w:sym w:font="Symbol" w:char="F0BE"/>
            </w:r>
            <w:r w:rsidRPr="0013396E">
              <w:t xml:space="preserve">The Real-Time LMP at Electrical Bus </w:t>
            </w:r>
            <w:r w:rsidRPr="0013396E">
              <w:rPr>
                <w:i/>
              </w:rPr>
              <w:t>b</w:t>
            </w:r>
            <w:r w:rsidRPr="0013396E">
              <w:t xml:space="preserve"> in the Load Zone, for the SCED interval </w:t>
            </w:r>
            <w:r w:rsidRPr="0013396E">
              <w:rPr>
                <w:i/>
              </w:rPr>
              <w:t>y</w:t>
            </w:r>
            <w:r w:rsidRPr="0013396E">
              <w:t>.</w:t>
            </w:r>
          </w:p>
        </w:tc>
      </w:tr>
      <w:tr w:rsidR="001F04FD" w:rsidRPr="0013396E" w14:paraId="649FAC90" w14:textId="77777777" w:rsidTr="00AC4DEE">
        <w:tc>
          <w:tcPr>
            <w:tcW w:w="1195" w:type="dxa"/>
          </w:tcPr>
          <w:p w14:paraId="28BA25F9" w14:textId="77777777" w:rsidR="001F04FD" w:rsidRPr="0013396E" w:rsidRDefault="001F04FD" w:rsidP="00AC4DEE">
            <w:pPr>
              <w:pStyle w:val="TableBody"/>
            </w:pPr>
            <w:r w:rsidRPr="0013396E">
              <w:t>LZWF</w:t>
            </w:r>
            <w:r w:rsidRPr="0013396E">
              <w:rPr>
                <w:i/>
                <w:vertAlign w:val="subscript"/>
              </w:rPr>
              <w:t xml:space="preserve"> b, y</w:t>
            </w:r>
          </w:p>
        </w:tc>
        <w:tc>
          <w:tcPr>
            <w:tcW w:w="900" w:type="dxa"/>
          </w:tcPr>
          <w:p w14:paraId="084F84AC" w14:textId="77777777" w:rsidR="001F04FD" w:rsidRPr="0013396E" w:rsidRDefault="001F04FD" w:rsidP="00AC4DEE">
            <w:pPr>
              <w:pStyle w:val="TableBody"/>
            </w:pPr>
            <w:r w:rsidRPr="0013396E">
              <w:t>None</w:t>
            </w:r>
          </w:p>
        </w:tc>
        <w:tc>
          <w:tcPr>
            <w:tcW w:w="7175" w:type="dxa"/>
          </w:tcPr>
          <w:p w14:paraId="6DA16B56" w14:textId="77777777" w:rsidR="001F04FD" w:rsidRPr="0013396E" w:rsidRDefault="001F04FD" w:rsidP="00AC4DEE">
            <w:pPr>
              <w:pStyle w:val="TableBody"/>
              <w:rPr>
                <w:i/>
              </w:rPr>
            </w:pPr>
            <w:r w:rsidRPr="0013396E">
              <w:rPr>
                <w:i/>
              </w:rPr>
              <w:t>Load Zone State Estimator Load Weighting Factor per bus per SCED interval</w:t>
            </w:r>
            <w:r w:rsidRPr="0013396E">
              <w:sym w:font="Symbol" w:char="F0BE"/>
            </w:r>
            <w:r w:rsidRPr="0013396E">
              <w:t xml:space="preserve">The weight used in the Load Zone LMP calculation for Electrical Bus </w:t>
            </w:r>
            <w:r w:rsidRPr="0013396E">
              <w:rPr>
                <w:i/>
              </w:rPr>
              <w:t>b</w:t>
            </w:r>
            <w:r w:rsidRPr="0013396E">
              <w:t xml:space="preserve"> for the SCED interval </w:t>
            </w:r>
            <w:r w:rsidRPr="0013396E">
              <w:rPr>
                <w:i/>
              </w:rPr>
              <w:t>y</w:t>
            </w:r>
            <w:r w:rsidRPr="0013396E">
              <w:t>.</w:t>
            </w:r>
          </w:p>
        </w:tc>
      </w:tr>
      <w:tr w:rsidR="001F04FD" w:rsidRPr="0013396E" w14:paraId="3914943A" w14:textId="77777777" w:rsidTr="00AC4DEE">
        <w:tc>
          <w:tcPr>
            <w:tcW w:w="1195" w:type="dxa"/>
          </w:tcPr>
          <w:p w14:paraId="5CAC06EC" w14:textId="77777777" w:rsidR="001F04FD" w:rsidRPr="0013396E" w:rsidRDefault="001F04FD" w:rsidP="00AC4DEE">
            <w:pPr>
              <w:pStyle w:val="TableBody"/>
            </w:pPr>
            <w:r w:rsidRPr="0013396E">
              <w:t xml:space="preserve">SEL </w:t>
            </w:r>
            <w:r w:rsidRPr="0013396E">
              <w:rPr>
                <w:i/>
                <w:vertAlign w:val="subscript"/>
              </w:rPr>
              <w:t>b, y</w:t>
            </w:r>
          </w:p>
        </w:tc>
        <w:tc>
          <w:tcPr>
            <w:tcW w:w="900" w:type="dxa"/>
          </w:tcPr>
          <w:p w14:paraId="4E927A2E" w14:textId="77777777" w:rsidR="001F04FD" w:rsidRPr="0013396E" w:rsidRDefault="001F04FD" w:rsidP="00AC4DEE">
            <w:pPr>
              <w:pStyle w:val="TableBody"/>
            </w:pPr>
            <w:r w:rsidRPr="0013396E">
              <w:t>MW</w:t>
            </w:r>
          </w:p>
        </w:tc>
        <w:tc>
          <w:tcPr>
            <w:tcW w:w="7175" w:type="dxa"/>
          </w:tcPr>
          <w:p w14:paraId="332170DE" w14:textId="23809DF4" w:rsidR="005C5A9B" w:rsidRPr="0013396E" w:rsidRDefault="001F04FD" w:rsidP="00AC4DEE">
            <w:pPr>
              <w:pStyle w:val="TableBody"/>
            </w:pPr>
            <w:r w:rsidRPr="0013396E">
              <w:rPr>
                <w:i/>
              </w:rPr>
              <w:t>State Estimator Load at bus per SCED interval</w:t>
            </w:r>
            <w:r w:rsidRPr="0013396E">
              <w:sym w:font="Symbol" w:char="F0BE"/>
            </w:r>
            <w:r w:rsidRPr="0013396E">
              <w:t>The Load from the State Estimator</w:t>
            </w:r>
            <w:r w:rsidR="002A0AD7" w:rsidRPr="0013396E">
              <w:t>, including a calculated net Load value at each Private Use Network</w:t>
            </w:r>
            <w:r w:rsidR="004D1724" w:rsidRPr="0013396E">
              <w:t xml:space="preserve"> and adjustments to account for DGR and DESR injections and withdrawals that are settled at a Resource Node, excluding WSL and Non-WSL ESR Charging Load for Electrical Bus </w:t>
            </w:r>
            <w:r w:rsidR="004D1724" w:rsidRPr="0013396E">
              <w:rPr>
                <w:i/>
              </w:rPr>
              <w:t>b</w:t>
            </w:r>
            <w:r w:rsidR="004D1724" w:rsidRPr="0013396E">
              <w:t xml:space="preserve"> in the Load Zone, for the SCED interval </w:t>
            </w:r>
            <w:r w:rsidR="004D1724" w:rsidRPr="0013396E">
              <w:rPr>
                <w:i/>
              </w:rPr>
              <w:t>y</w:t>
            </w:r>
            <w:r w:rsidR="004D1724" w:rsidRPr="0013396E">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ayout w:type="fixed"/>
              <w:tblCellMar>
                <w:top w:w="144" w:type="dxa"/>
                <w:left w:w="115" w:type="dxa"/>
                <w:right w:w="115" w:type="dxa"/>
              </w:tblCellMar>
              <w:tblLook w:val="01E0" w:firstRow="1" w:lastRow="1" w:firstColumn="1" w:lastColumn="1" w:noHBand="0" w:noVBand="0"/>
            </w:tblPr>
            <w:tblGrid>
              <w:gridCol w:w="6826"/>
            </w:tblGrid>
            <w:tr w:rsidR="009F7A6D" w:rsidRPr="0013396E" w14:paraId="3ABB7EEB" w14:textId="77777777" w:rsidTr="00F5593C">
              <w:trPr>
                <w:trHeight w:val="206"/>
              </w:trPr>
              <w:tc>
                <w:tcPr>
                  <w:tcW w:w="6826" w:type="dxa"/>
                  <w:shd w:val="pct12" w:color="auto" w:fill="auto"/>
                </w:tcPr>
                <w:p w14:paraId="2912DAA0" w14:textId="43E477F5" w:rsidR="009F7A6D" w:rsidRPr="0013396E" w:rsidRDefault="009F7A6D" w:rsidP="009F7A6D">
                  <w:pPr>
                    <w:pStyle w:val="Instructions"/>
                    <w:spacing w:before="120"/>
                  </w:pPr>
                  <w:r w:rsidRPr="0013396E">
                    <w:t>[NPRR1188:  Replace the description above with the following upon system implementation:]</w:t>
                  </w:r>
                </w:p>
                <w:p w14:paraId="5359E538" w14:textId="4E52C81E" w:rsidR="009F7A6D" w:rsidRPr="0013396E" w:rsidRDefault="009F7A6D" w:rsidP="009F7A6D">
                  <w:pPr>
                    <w:pStyle w:val="TableBody"/>
                  </w:pPr>
                  <w:r w:rsidRPr="0013396E">
                    <w:rPr>
                      <w:i/>
                    </w:rPr>
                    <w:t>State Estimator Load at bus per SCED interval</w:t>
                  </w:r>
                  <w:r w:rsidRPr="0013396E">
                    <w:sym w:font="Symbol" w:char="F0BE"/>
                  </w:r>
                  <w:r w:rsidRPr="0013396E">
                    <w:t xml:space="preserve">The Load from the State Estimator, including a calculated net Load value at each Private Use Network and adjustments to account for DGR and DESR injections and withdrawals that are settled at a Resource Node, excluding CLR Load that is not an ALR, WSL and Non-WSL ESR Charging Load for Electrical Bus </w:t>
                  </w:r>
                  <w:r w:rsidRPr="0013396E">
                    <w:rPr>
                      <w:i/>
                    </w:rPr>
                    <w:t>b</w:t>
                  </w:r>
                  <w:r w:rsidRPr="0013396E">
                    <w:t xml:space="preserve"> in the Load Zone, for the SCED interval </w:t>
                  </w:r>
                  <w:r w:rsidRPr="0013396E">
                    <w:rPr>
                      <w:i/>
                    </w:rPr>
                    <w:t>y</w:t>
                  </w:r>
                  <w:r w:rsidRPr="0013396E">
                    <w:t>.</w:t>
                  </w:r>
                </w:p>
              </w:tc>
            </w:tr>
          </w:tbl>
          <w:p w14:paraId="64660682" w14:textId="5157DF61" w:rsidR="001F04FD" w:rsidRPr="0013396E" w:rsidRDefault="001F04FD" w:rsidP="00AC4DEE">
            <w:pPr>
              <w:pStyle w:val="TableBody"/>
            </w:pPr>
          </w:p>
        </w:tc>
      </w:tr>
      <w:tr w:rsidR="001F04FD" w:rsidRPr="0013396E" w14:paraId="6B4FCE13" w14:textId="77777777" w:rsidTr="00AC4DEE">
        <w:tc>
          <w:tcPr>
            <w:tcW w:w="1195" w:type="dxa"/>
          </w:tcPr>
          <w:p w14:paraId="6587373B" w14:textId="77777777" w:rsidR="001F04FD" w:rsidRPr="0013396E" w:rsidRDefault="001F04FD" w:rsidP="00AC4DEE">
            <w:pPr>
              <w:pStyle w:val="TableBody"/>
              <w:rPr>
                <w:i/>
              </w:rPr>
            </w:pPr>
            <w:r w:rsidRPr="0013396E">
              <w:rPr>
                <w:i/>
              </w:rPr>
              <w:t xml:space="preserve">y </w:t>
            </w:r>
          </w:p>
        </w:tc>
        <w:tc>
          <w:tcPr>
            <w:tcW w:w="900" w:type="dxa"/>
          </w:tcPr>
          <w:p w14:paraId="0F5EBB30" w14:textId="77777777" w:rsidR="001F04FD" w:rsidRPr="0013396E" w:rsidRDefault="001F04FD" w:rsidP="00AC4DEE">
            <w:pPr>
              <w:pStyle w:val="TableBody"/>
            </w:pPr>
            <w:r w:rsidRPr="0013396E">
              <w:t>None</w:t>
            </w:r>
          </w:p>
        </w:tc>
        <w:tc>
          <w:tcPr>
            <w:tcW w:w="7175" w:type="dxa"/>
          </w:tcPr>
          <w:p w14:paraId="403FD15E" w14:textId="77777777" w:rsidR="001F04FD" w:rsidRPr="0013396E" w:rsidRDefault="001F04FD" w:rsidP="00AC4DEE">
            <w:pPr>
              <w:pStyle w:val="TableBody"/>
            </w:pPr>
            <w:r w:rsidRPr="0013396E">
              <w:t>A SCED interval.</w:t>
            </w:r>
          </w:p>
        </w:tc>
      </w:tr>
      <w:tr w:rsidR="001F04FD" w:rsidRPr="0013396E" w14:paraId="7BD36394" w14:textId="77777777" w:rsidTr="00AC4DEE">
        <w:tc>
          <w:tcPr>
            <w:tcW w:w="1195" w:type="dxa"/>
          </w:tcPr>
          <w:p w14:paraId="6FA1A151" w14:textId="77777777" w:rsidR="001F04FD" w:rsidRPr="0013396E" w:rsidRDefault="001F04FD" w:rsidP="00AC4DEE">
            <w:pPr>
              <w:pStyle w:val="TableBody"/>
              <w:rPr>
                <w:i/>
              </w:rPr>
            </w:pPr>
            <w:r w:rsidRPr="0013396E">
              <w:rPr>
                <w:i/>
              </w:rPr>
              <w:t>b</w:t>
            </w:r>
          </w:p>
        </w:tc>
        <w:tc>
          <w:tcPr>
            <w:tcW w:w="900" w:type="dxa"/>
          </w:tcPr>
          <w:p w14:paraId="26B6885A" w14:textId="77777777" w:rsidR="001F04FD" w:rsidRPr="0013396E" w:rsidRDefault="001F04FD" w:rsidP="00AC4DEE">
            <w:pPr>
              <w:pStyle w:val="TableBody"/>
            </w:pPr>
            <w:r w:rsidRPr="0013396E">
              <w:t>None</w:t>
            </w:r>
          </w:p>
        </w:tc>
        <w:tc>
          <w:tcPr>
            <w:tcW w:w="7175" w:type="dxa"/>
          </w:tcPr>
          <w:p w14:paraId="4399BC23" w14:textId="77777777" w:rsidR="001F04FD" w:rsidRPr="0013396E" w:rsidRDefault="001F04FD" w:rsidP="00AC4DEE">
            <w:pPr>
              <w:pStyle w:val="TableBody"/>
            </w:pPr>
            <w:r w:rsidRPr="0013396E">
              <w:t>An Electrical Bus in the Load Zone.  The summation is over all of the Electrical Buses in the Load Zone.</w:t>
            </w:r>
          </w:p>
        </w:tc>
      </w:tr>
    </w:tbl>
    <w:p w14:paraId="77A00EF0" w14:textId="77777777" w:rsidR="001F04FD" w:rsidRPr="0013396E" w:rsidRDefault="001F04FD" w:rsidP="001F04FD">
      <w:pPr>
        <w:pStyle w:val="H4"/>
        <w:tabs>
          <w:tab w:val="clear" w:pos="1260"/>
        </w:tabs>
        <w:spacing w:before="480"/>
        <w:ind w:left="0" w:firstLine="0"/>
      </w:pPr>
      <w:bookmarkStart w:id="1430" w:name="_Toc397505007"/>
      <w:bookmarkStart w:id="1431" w:name="_Toc402357135"/>
      <w:bookmarkStart w:id="1432" w:name="_Toc422486513"/>
      <w:bookmarkStart w:id="1433" w:name="_Toc433093365"/>
      <w:bookmarkStart w:id="1434" w:name="_Toc433093523"/>
      <w:bookmarkStart w:id="1435" w:name="_Toc440874751"/>
      <w:bookmarkStart w:id="1436" w:name="_Toc448142306"/>
      <w:bookmarkStart w:id="1437" w:name="_Toc448142463"/>
      <w:bookmarkStart w:id="1438" w:name="_Toc458770300"/>
      <w:bookmarkStart w:id="1439" w:name="_Toc459294268"/>
      <w:bookmarkStart w:id="1440" w:name="_Toc463262761"/>
      <w:bookmarkStart w:id="1441" w:name="_Toc468286834"/>
      <w:bookmarkStart w:id="1442" w:name="_Toc481502880"/>
      <w:bookmarkStart w:id="1443" w:name="_Toc496080048"/>
      <w:bookmarkStart w:id="1444" w:name="_Toc214878951"/>
      <w:r w:rsidRPr="0013396E">
        <w:t>6.6.1.5</w:t>
      </w:r>
      <w:r w:rsidRPr="0013396E">
        <w:tab/>
      </w:r>
      <w:r w:rsidRPr="0013396E">
        <w:tab/>
        <w:t>Hub LMPs</w:t>
      </w:r>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p>
    <w:p w14:paraId="5269F5DD" w14:textId="464495A3" w:rsidR="001F04FD" w:rsidRPr="0013396E" w:rsidRDefault="000468AC" w:rsidP="001F04FD">
      <w:pPr>
        <w:pStyle w:val="BodyText"/>
      </w:pPr>
      <w:r w:rsidRPr="0013396E">
        <w:t>(1)</w:t>
      </w:r>
      <w:r w:rsidRPr="0013396E">
        <w:tab/>
      </w:r>
      <w:r w:rsidR="001F04FD" w:rsidRPr="0013396E">
        <w:t xml:space="preserve">The Hub LMPs shall be posted on the </w:t>
      </w:r>
      <w:r w:rsidR="0007207E" w:rsidRPr="0013396E">
        <w:t>ERCOT website</w:t>
      </w:r>
      <w:r w:rsidR="001F04FD" w:rsidRPr="0013396E">
        <w:t>.</w:t>
      </w:r>
    </w:p>
    <w:p w14:paraId="4609EFAF" w14:textId="77777777" w:rsidR="001F04FD" w:rsidRPr="0013396E" w:rsidRDefault="000468AC" w:rsidP="008E724B">
      <w:pPr>
        <w:pStyle w:val="BodyText"/>
        <w:ind w:left="720" w:hanging="720"/>
      </w:pPr>
      <w:r w:rsidRPr="0013396E">
        <w:t>(2)</w:t>
      </w:r>
      <w:r w:rsidRPr="0013396E">
        <w:tab/>
      </w:r>
      <w:r w:rsidR="001F04FD" w:rsidRPr="0013396E">
        <w:t>For each defined Hub except for the ERCOT Hub Average 345 kV Hub, the Hub LMP is the arithmetic average of the Real-Time LMPs of the Hub Buses included in the Hub.  The Hub LMP for a SCED Interval is calculated as follows:</w:t>
      </w:r>
    </w:p>
    <w:p w14:paraId="063CE299" w14:textId="77777777" w:rsidR="001F04FD" w:rsidRPr="0013396E" w:rsidRDefault="001F04FD" w:rsidP="001F04FD">
      <w:pPr>
        <w:pStyle w:val="FormulaBold"/>
        <w:rPr>
          <w:b w:val="0"/>
          <w:i/>
        </w:rPr>
      </w:pPr>
      <w:r w:rsidRPr="0013396E">
        <w:t>HUBLMP</w:t>
      </w:r>
      <w:r w:rsidRPr="0013396E">
        <w:rPr>
          <w:b w:val="0"/>
          <w:i/>
          <w:vertAlign w:val="subscript"/>
        </w:rPr>
        <w:t xml:space="preserve"> Hub, y</w:t>
      </w:r>
      <w:r w:rsidRPr="0013396E">
        <w:tab/>
      </w:r>
      <w:r w:rsidRPr="0013396E">
        <w:tab/>
        <w:t>=</w:t>
      </w:r>
      <w:r w:rsidRPr="0013396E">
        <w:tab/>
      </w:r>
      <w:r w:rsidRPr="0013396E">
        <w:rPr>
          <w:position w:val="-20"/>
        </w:rPr>
        <w:object w:dxaOrig="225" w:dyaOrig="435" w14:anchorId="0FFF2FBA">
          <v:shape id="_x0000_i1045" type="#_x0000_t75" style="width:12pt;height:18pt" o:ole="">
            <v:imagedata r:id="rId43" o:title=""/>
          </v:shape>
          <o:OLEObject Type="Embed" ProgID="Equation.3" ShapeID="_x0000_i1045" DrawAspect="Content" ObjectID="_1836311324" r:id="rId44"/>
        </w:object>
      </w:r>
      <w:r w:rsidRPr="0013396E">
        <w:t xml:space="preserve">(HUBDF </w:t>
      </w:r>
      <w:r w:rsidRPr="0013396E">
        <w:rPr>
          <w:b w:val="0"/>
          <w:i/>
          <w:vertAlign w:val="subscript"/>
        </w:rPr>
        <w:t>hb, Hub</w:t>
      </w:r>
      <w:r w:rsidRPr="0013396E">
        <w:rPr>
          <w:b w:val="0"/>
        </w:rPr>
        <w:t xml:space="preserve"> </w:t>
      </w:r>
      <w:r w:rsidRPr="0013396E">
        <w:t xml:space="preserve">* RTHBP </w:t>
      </w:r>
      <w:r w:rsidRPr="0013396E">
        <w:rPr>
          <w:b w:val="0"/>
          <w:i/>
          <w:vertAlign w:val="subscript"/>
        </w:rPr>
        <w:t>hb, Hub, y</w:t>
      </w:r>
      <w:r w:rsidRPr="0013396E">
        <w:t>), if HB</w:t>
      </w:r>
      <w:r w:rsidRPr="0013396E">
        <w:rPr>
          <w:vertAlign w:val="subscript"/>
        </w:rPr>
        <w:t xml:space="preserve"> </w:t>
      </w:r>
      <w:r w:rsidRPr="0013396E">
        <w:rPr>
          <w:b w:val="0"/>
          <w:i/>
          <w:vertAlign w:val="subscript"/>
        </w:rPr>
        <w:t>Hub</w:t>
      </w:r>
      <w:r w:rsidRPr="0013396E">
        <w:t xml:space="preserve"> ≠ 0</w:t>
      </w:r>
    </w:p>
    <w:p w14:paraId="68CDA8C6" w14:textId="77777777" w:rsidR="001F04FD" w:rsidRPr="0013396E" w:rsidRDefault="001F04FD" w:rsidP="001F04FD">
      <w:pPr>
        <w:pStyle w:val="FormulaBold"/>
      </w:pPr>
      <w:r w:rsidRPr="0013396E">
        <w:t xml:space="preserve">HUBLMP </w:t>
      </w:r>
      <w:r w:rsidRPr="0013396E">
        <w:rPr>
          <w:b w:val="0"/>
          <w:i/>
          <w:vertAlign w:val="subscript"/>
        </w:rPr>
        <w:t>Hub, y</w:t>
      </w:r>
      <w:r w:rsidRPr="0013396E">
        <w:tab/>
        <w:t>=</w:t>
      </w:r>
      <w:r w:rsidRPr="0013396E">
        <w:tab/>
        <w:t>HUBLMP</w:t>
      </w:r>
      <w:r w:rsidRPr="0013396E">
        <w:rPr>
          <w:b w:val="0"/>
          <w:i/>
          <w:vertAlign w:val="subscript"/>
        </w:rPr>
        <w:t>ERCOT345Bus</w:t>
      </w:r>
      <w:r w:rsidRPr="0013396E">
        <w:t>, if HB</w:t>
      </w:r>
      <w:r w:rsidRPr="0013396E">
        <w:rPr>
          <w:vertAlign w:val="subscript"/>
        </w:rPr>
        <w:t xml:space="preserve"> </w:t>
      </w:r>
      <w:r w:rsidRPr="0013396E">
        <w:rPr>
          <w:b w:val="0"/>
          <w:i/>
          <w:vertAlign w:val="subscript"/>
        </w:rPr>
        <w:t>Hub</w:t>
      </w:r>
      <w:r w:rsidRPr="0013396E">
        <w:t xml:space="preserve"> = 0</w:t>
      </w:r>
    </w:p>
    <w:p w14:paraId="34D09FAD" w14:textId="77777777" w:rsidR="001F04FD" w:rsidRPr="0013396E" w:rsidRDefault="001F04FD" w:rsidP="000468AC">
      <w:pPr>
        <w:pStyle w:val="BodyText"/>
      </w:pPr>
      <w:r w:rsidRPr="0013396E">
        <w:t>Where:</w:t>
      </w:r>
    </w:p>
    <w:p w14:paraId="428A9154" w14:textId="77777777" w:rsidR="001F04FD" w:rsidRPr="0013396E" w:rsidRDefault="001F04FD" w:rsidP="001F04FD">
      <w:pPr>
        <w:pStyle w:val="Formula"/>
        <w:ind w:left="2880" w:hanging="2160"/>
      </w:pPr>
      <w:r w:rsidRPr="0013396E">
        <w:t xml:space="preserve">RTHBP </w:t>
      </w:r>
      <w:r w:rsidRPr="0013396E">
        <w:rPr>
          <w:i/>
          <w:vertAlign w:val="subscript"/>
        </w:rPr>
        <w:t>hb, Hub, y</w:t>
      </w:r>
      <w:r w:rsidRPr="0013396E">
        <w:tab/>
        <w:t>=</w:t>
      </w:r>
      <w:r w:rsidRPr="0013396E">
        <w:tab/>
      </w:r>
      <w:r w:rsidRPr="0013396E">
        <w:rPr>
          <w:position w:val="-20"/>
        </w:rPr>
        <w:object w:dxaOrig="225" w:dyaOrig="435" w14:anchorId="4BD69D5B">
          <v:shape id="_x0000_i1046" type="#_x0000_t75" style="width:12pt;height:18pt" o:ole="">
            <v:imagedata r:id="rId45" o:title=""/>
          </v:shape>
          <o:OLEObject Type="Embed" ProgID="Equation.3" ShapeID="_x0000_i1046" DrawAspect="Content" ObjectID="_1836311325" r:id="rId46"/>
        </w:object>
      </w:r>
      <w:r w:rsidRPr="0013396E">
        <w:t xml:space="preserve">(HBDF </w:t>
      </w:r>
      <w:r w:rsidRPr="0013396E">
        <w:rPr>
          <w:i/>
          <w:vertAlign w:val="subscript"/>
        </w:rPr>
        <w:t>b, hb, Hub</w:t>
      </w:r>
      <w:r w:rsidRPr="0013396E">
        <w:t xml:space="preserve"> * RTLMP </w:t>
      </w:r>
      <w:r w:rsidRPr="0013396E">
        <w:rPr>
          <w:i/>
          <w:vertAlign w:val="subscript"/>
        </w:rPr>
        <w:t>b, hb, Hub, y</w:t>
      </w:r>
      <w:r w:rsidRPr="0013396E">
        <w:t>)</w:t>
      </w:r>
    </w:p>
    <w:p w14:paraId="58F6296B" w14:textId="77777777" w:rsidR="001F04FD" w:rsidRPr="0013396E" w:rsidRDefault="001F04FD" w:rsidP="001F04FD">
      <w:pPr>
        <w:pStyle w:val="Formula"/>
        <w:ind w:left="2880" w:hanging="2160"/>
      </w:pPr>
      <w:r w:rsidRPr="0013396E">
        <w:t>HUBDF</w:t>
      </w:r>
      <w:r w:rsidRPr="0013396E">
        <w:rPr>
          <w:i/>
        </w:rPr>
        <w:t xml:space="preserve"> </w:t>
      </w:r>
      <w:r w:rsidRPr="0013396E">
        <w:rPr>
          <w:i/>
          <w:vertAlign w:val="subscript"/>
        </w:rPr>
        <w:t>hb, Hub</w:t>
      </w:r>
      <w:r w:rsidRPr="0013396E">
        <w:tab/>
      </w:r>
      <w:r w:rsidRPr="0013396E">
        <w:tab/>
        <w:t>=</w:t>
      </w:r>
      <w:r w:rsidRPr="0013396E">
        <w:tab/>
        <w:t xml:space="preserve"> 1 </w:t>
      </w:r>
      <w:r w:rsidRPr="0013396E">
        <w:rPr>
          <w:b/>
          <w:sz w:val="32"/>
          <w:szCs w:val="32"/>
        </w:rPr>
        <w:t>/</w:t>
      </w:r>
      <w:r w:rsidRPr="0013396E">
        <w:rPr>
          <w:b/>
        </w:rPr>
        <w:t xml:space="preserve"> </w:t>
      </w:r>
      <w:r w:rsidRPr="0013396E">
        <w:t xml:space="preserve">HB </w:t>
      </w:r>
      <w:r w:rsidRPr="0013396E">
        <w:rPr>
          <w:i/>
          <w:vertAlign w:val="subscript"/>
        </w:rPr>
        <w:t>Hub</w:t>
      </w:r>
      <w:r w:rsidRPr="0013396E">
        <w:t>, if HB</w:t>
      </w:r>
      <w:r w:rsidRPr="0013396E">
        <w:rPr>
          <w:vertAlign w:val="subscript"/>
        </w:rPr>
        <w:t xml:space="preserve"> </w:t>
      </w:r>
      <w:r w:rsidRPr="0013396E">
        <w:rPr>
          <w:i/>
          <w:vertAlign w:val="subscript"/>
        </w:rPr>
        <w:t>Hub</w:t>
      </w:r>
      <w:r w:rsidRPr="0013396E">
        <w:t xml:space="preserve"> ≠ 0</w:t>
      </w:r>
    </w:p>
    <w:p w14:paraId="769FC8E8" w14:textId="77777777" w:rsidR="001F04FD" w:rsidRPr="0013396E" w:rsidRDefault="001F04FD" w:rsidP="001F04FD">
      <w:pPr>
        <w:pStyle w:val="Formula"/>
        <w:ind w:left="2880" w:hanging="2160"/>
      </w:pPr>
      <w:r w:rsidRPr="0013396E">
        <w:t>HUBDF</w:t>
      </w:r>
      <w:r w:rsidRPr="0013396E">
        <w:rPr>
          <w:i/>
        </w:rPr>
        <w:t xml:space="preserve"> </w:t>
      </w:r>
      <w:r w:rsidRPr="0013396E">
        <w:rPr>
          <w:i/>
          <w:vertAlign w:val="subscript"/>
        </w:rPr>
        <w:t>hb, Hub</w:t>
      </w:r>
      <w:r w:rsidRPr="0013396E">
        <w:rPr>
          <w:i/>
          <w:vertAlign w:val="subscript"/>
        </w:rPr>
        <w:tab/>
      </w:r>
      <w:r w:rsidRPr="0013396E">
        <w:tab/>
        <w:t>=</w:t>
      </w:r>
      <w:r w:rsidRPr="0013396E">
        <w:tab/>
        <w:t xml:space="preserve"> 0, if HB</w:t>
      </w:r>
      <w:r w:rsidRPr="0013396E">
        <w:rPr>
          <w:vertAlign w:val="subscript"/>
        </w:rPr>
        <w:t xml:space="preserve"> </w:t>
      </w:r>
      <w:r w:rsidRPr="0013396E">
        <w:rPr>
          <w:i/>
          <w:vertAlign w:val="subscript"/>
        </w:rPr>
        <w:t>Hub</w:t>
      </w:r>
      <w:r w:rsidRPr="0013396E">
        <w:t xml:space="preserve"> = 0</w:t>
      </w:r>
    </w:p>
    <w:p w14:paraId="6AEB60B8" w14:textId="77777777" w:rsidR="001F04FD" w:rsidRPr="0013396E" w:rsidRDefault="001F04FD" w:rsidP="001F04FD">
      <w:pPr>
        <w:pStyle w:val="Formula"/>
        <w:ind w:left="2880" w:hanging="2160"/>
      </w:pPr>
      <w:r w:rsidRPr="0013396E">
        <w:t xml:space="preserve">HBDF </w:t>
      </w:r>
      <w:r w:rsidRPr="0013396E">
        <w:rPr>
          <w:i/>
          <w:vertAlign w:val="subscript"/>
        </w:rPr>
        <w:t>b, hb, Hub</w:t>
      </w:r>
      <w:r w:rsidRPr="0013396E">
        <w:rPr>
          <w:i/>
          <w:vertAlign w:val="subscript"/>
        </w:rPr>
        <w:tab/>
      </w:r>
      <w:r w:rsidRPr="0013396E">
        <w:tab/>
        <w:t>=</w:t>
      </w:r>
      <w:r w:rsidRPr="0013396E">
        <w:tab/>
        <w:t xml:space="preserve">1 </w:t>
      </w:r>
      <w:r w:rsidRPr="0013396E">
        <w:rPr>
          <w:b/>
          <w:sz w:val="32"/>
          <w:szCs w:val="32"/>
        </w:rPr>
        <w:t>/</w:t>
      </w:r>
      <w:r w:rsidRPr="0013396E">
        <w:t xml:space="preserve"> B</w:t>
      </w:r>
      <w:r w:rsidRPr="0013396E">
        <w:rPr>
          <w:i/>
        </w:rPr>
        <w:t xml:space="preserve"> </w:t>
      </w:r>
      <w:r w:rsidRPr="0013396E">
        <w:rPr>
          <w:i/>
          <w:vertAlign w:val="subscript"/>
        </w:rPr>
        <w:t>hb, Hub</w:t>
      </w:r>
      <w:r w:rsidRPr="0013396E">
        <w:t>, if B</w:t>
      </w:r>
      <w:r w:rsidRPr="0013396E">
        <w:rPr>
          <w:i/>
          <w:vertAlign w:val="subscript"/>
        </w:rPr>
        <w:t xml:space="preserve"> hb, Hub</w:t>
      </w:r>
      <w:r w:rsidRPr="0013396E">
        <w:t xml:space="preserve"> ≠ 0</w:t>
      </w:r>
    </w:p>
    <w:p w14:paraId="62EA572C" w14:textId="77777777" w:rsidR="001F04FD" w:rsidRPr="0013396E" w:rsidRDefault="001F04FD" w:rsidP="001F04FD">
      <w:pPr>
        <w:pStyle w:val="BodyText"/>
        <w:ind w:firstLine="720"/>
      </w:pPr>
      <w:r w:rsidRPr="0013396E">
        <w:t xml:space="preserve">HBDF </w:t>
      </w:r>
      <w:r w:rsidRPr="0013396E">
        <w:rPr>
          <w:i/>
          <w:vertAlign w:val="subscript"/>
        </w:rPr>
        <w:t>b, hb, Hub</w:t>
      </w:r>
      <w:r w:rsidRPr="0013396E">
        <w:rPr>
          <w:i/>
          <w:vertAlign w:val="subscript"/>
        </w:rPr>
        <w:tab/>
      </w:r>
      <w:r w:rsidRPr="0013396E">
        <w:tab/>
        <w:t>=</w:t>
      </w:r>
      <w:r w:rsidRPr="0013396E">
        <w:tab/>
        <w:t>0, if B</w:t>
      </w:r>
      <w:r w:rsidRPr="0013396E">
        <w:rPr>
          <w:i/>
          <w:vertAlign w:val="subscript"/>
        </w:rPr>
        <w:t xml:space="preserve"> hb, Hub</w:t>
      </w:r>
      <w:r w:rsidRPr="0013396E">
        <w:t xml:space="preserve"> = 0</w:t>
      </w:r>
    </w:p>
    <w:p w14:paraId="531F1537" w14:textId="77777777" w:rsidR="001F04FD" w:rsidRPr="0013396E" w:rsidRDefault="001F04FD" w:rsidP="001F04FD">
      <w:r w:rsidRPr="0013396E">
        <w:lastRenderedPageBreak/>
        <w:t>The above variables are defined as follows:</w:t>
      </w:r>
    </w:p>
    <w:tbl>
      <w:tblPr>
        <w:tblW w:w="49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633"/>
        <w:gridCol w:w="937"/>
        <w:gridCol w:w="6668"/>
      </w:tblGrid>
      <w:tr w:rsidR="001F04FD" w:rsidRPr="0013396E" w14:paraId="2D14E54A" w14:textId="77777777" w:rsidTr="00AC4DEE">
        <w:tc>
          <w:tcPr>
            <w:tcW w:w="884" w:type="pct"/>
          </w:tcPr>
          <w:p w14:paraId="6A7DBDD6" w14:textId="77777777" w:rsidR="001F04FD" w:rsidRPr="0013396E" w:rsidRDefault="001F04FD" w:rsidP="00AC4DEE">
            <w:pPr>
              <w:pStyle w:val="TableHead"/>
            </w:pPr>
            <w:r w:rsidRPr="0013396E">
              <w:t>Variable</w:t>
            </w:r>
          </w:p>
        </w:tc>
        <w:tc>
          <w:tcPr>
            <w:tcW w:w="507" w:type="pct"/>
          </w:tcPr>
          <w:p w14:paraId="74E8B94B" w14:textId="77777777" w:rsidR="001F04FD" w:rsidRPr="0013396E" w:rsidRDefault="001F04FD" w:rsidP="00AC4DEE">
            <w:pPr>
              <w:pStyle w:val="TableHead"/>
            </w:pPr>
            <w:r w:rsidRPr="0013396E">
              <w:t>Unit</w:t>
            </w:r>
          </w:p>
        </w:tc>
        <w:tc>
          <w:tcPr>
            <w:tcW w:w="3609" w:type="pct"/>
          </w:tcPr>
          <w:p w14:paraId="1F196A6F" w14:textId="77777777" w:rsidR="001F04FD" w:rsidRPr="0013396E" w:rsidRDefault="001F04FD" w:rsidP="00AC4DEE">
            <w:pPr>
              <w:pStyle w:val="TableHead"/>
            </w:pPr>
            <w:r w:rsidRPr="0013396E">
              <w:t>Description</w:t>
            </w:r>
          </w:p>
        </w:tc>
      </w:tr>
      <w:tr w:rsidR="001F04FD" w:rsidRPr="0013396E" w14:paraId="1263667C" w14:textId="77777777" w:rsidTr="00AC4DEE">
        <w:tc>
          <w:tcPr>
            <w:tcW w:w="884" w:type="pct"/>
          </w:tcPr>
          <w:p w14:paraId="15AD0DDE" w14:textId="77777777" w:rsidR="001F04FD" w:rsidRPr="0013396E" w:rsidRDefault="001F04FD" w:rsidP="00AC4DEE">
            <w:pPr>
              <w:pStyle w:val="TableBody"/>
            </w:pPr>
            <w:r w:rsidRPr="0013396E">
              <w:t>HUBLMP</w:t>
            </w:r>
            <w:r w:rsidRPr="0013396E">
              <w:rPr>
                <w:b/>
                <w:vertAlign w:val="subscript"/>
              </w:rPr>
              <w:t xml:space="preserve"> </w:t>
            </w:r>
            <w:r w:rsidRPr="0013396E">
              <w:rPr>
                <w:i/>
                <w:vertAlign w:val="subscript"/>
              </w:rPr>
              <w:t>Hub, y</w:t>
            </w:r>
          </w:p>
        </w:tc>
        <w:tc>
          <w:tcPr>
            <w:tcW w:w="507" w:type="pct"/>
          </w:tcPr>
          <w:p w14:paraId="2AF9CA27" w14:textId="77777777" w:rsidR="001F04FD" w:rsidRPr="0013396E" w:rsidRDefault="001F04FD" w:rsidP="00AC4DEE">
            <w:pPr>
              <w:pStyle w:val="TableBody"/>
            </w:pPr>
            <w:r w:rsidRPr="0013396E">
              <w:t>$/MWh</w:t>
            </w:r>
          </w:p>
        </w:tc>
        <w:tc>
          <w:tcPr>
            <w:tcW w:w="3609" w:type="pct"/>
          </w:tcPr>
          <w:p w14:paraId="4BCCFF1A" w14:textId="77777777" w:rsidR="001F04FD" w:rsidRPr="0013396E" w:rsidRDefault="001F04FD" w:rsidP="00AC4DEE">
            <w:pPr>
              <w:pStyle w:val="TableBody"/>
            </w:pPr>
            <w:r w:rsidRPr="0013396E">
              <w:rPr>
                <w:i/>
              </w:rPr>
              <w:t>Hub Locational Marginal Price</w:t>
            </w:r>
            <w:r w:rsidRPr="0013396E">
              <w:sym w:font="Symbol" w:char="F0BE"/>
            </w:r>
            <w:r w:rsidRPr="0013396E">
              <w:t xml:space="preserve">The Hub LMP for the Hub for the SCED Interval </w:t>
            </w:r>
            <w:r w:rsidRPr="0013396E">
              <w:rPr>
                <w:i/>
              </w:rPr>
              <w:t>y</w:t>
            </w:r>
            <w:r w:rsidRPr="0013396E">
              <w:t>.</w:t>
            </w:r>
          </w:p>
        </w:tc>
      </w:tr>
      <w:tr w:rsidR="001F04FD" w:rsidRPr="0013396E" w14:paraId="58D207F5" w14:textId="77777777" w:rsidTr="00AC4DEE">
        <w:tc>
          <w:tcPr>
            <w:tcW w:w="884" w:type="pct"/>
          </w:tcPr>
          <w:p w14:paraId="0A5F54F4" w14:textId="77777777" w:rsidR="001F04FD" w:rsidRPr="0013396E" w:rsidRDefault="001F04FD" w:rsidP="00AC4DEE">
            <w:pPr>
              <w:pStyle w:val="TableBody"/>
            </w:pPr>
            <w:r w:rsidRPr="0013396E">
              <w:t xml:space="preserve">RTHBP </w:t>
            </w:r>
            <w:r w:rsidRPr="0013396E">
              <w:rPr>
                <w:i/>
                <w:vertAlign w:val="subscript"/>
              </w:rPr>
              <w:t>hb, Hub, y</w:t>
            </w:r>
          </w:p>
        </w:tc>
        <w:tc>
          <w:tcPr>
            <w:tcW w:w="507" w:type="pct"/>
          </w:tcPr>
          <w:p w14:paraId="064AC712" w14:textId="77777777" w:rsidR="001F04FD" w:rsidRPr="0013396E" w:rsidRDefault="001F04FD" w:rsidP="00AC4DEE">
            <w:pPr>
              <w:pStyle w:val="TableBody"/>
            </w:pPr>
            <w:r w:rsidRPr="0013396E">
              <w:t>$/MWh</w:t>
            </w:r>
          </w:p>
        </w:tc>
        <w:tc>
          <w:tcPr>
            <w:tcW w:w="3609" w:type="pct"/>
          </w:tcPr>
          <w:p w14:paraId="7DC3BA61" w14:textId="77777777" w:rsidR="001F04FD" w:rsidRPr="0013396E" w:rsidRDefault="001F04FD" w:rsidP="00AC4DEE">
            <w:pPr>
              <w:pStyle w:val="TableBody"/>
            </w:pPr>
            <w:r w:rsidRPr="0013396E">
              <w:rPr>
                <w:i/>
              </w:rPr>
              <w:t>Real-Time Hub Bus Price at Hub Bus per SCED interval</w:t>
            </w:r>
            <w:r w:rsidRPr="0013396E">
              <w:sym w:font="Symbol" w:char="F0BE"/>
            </w:r>
            <w:r w:rsidRPr="0013396E">
              <w:t xml:space="preserve">The Real-Time energy price at Hub Bus </w:t>
            </w:r>
            <w:r w:rsidRPr="0013396E">
              <w:rPr>
                <w:i/>
              </w:rPr>
              <w:t>hb</w:t>
            </w:r>
            <w:r w:rsidRPr="0013396E">
              <w:t xml:space="preserve"> for the SCED interval </w:t>
            </w:r>
            <w:r w:rsidRPr="0013396E">
              <w:rPr>
                <w:i/>
              </w:rPr>
              <w:t>y</w:t>
            </w:r>
            <w:r w:rsidRPr="0013396E">
              <w:t>.</w:t>
            </w:r>
          </w:p>
        </w:tc>
      </w:tr>
      <w:tr w:rsidR="001F04FD" w:rsidRPr="0013396E" w14:paraId="3378C137" w14:textId="77777777" w:rsidTr="00AC4DEE">
        <w:tc>
          <w:tcPr>
            <w:tcW w:w="884" w:type="pct"/>
          </w:tcPr>
          <w:p w14:paraId="0C88316D" w14:textId="77777777" w:rsidR="001F04FD" w:rsidRPr="0013396E" w:rsidRDefault="001F04FD" w:rsidP="00AC4DEE">
            <w:pPr>
              <w:pStyle w:val="TableBody"/>
              <w:rPr>
                <w:lang w:val="fr-FR"/>
              </w:rPr>
            </w:pPr>
            <w:r w:rsidRPr="0013396E">
              <w:rPr>
                <w:lang w:val="fr-FR"/>
              </w:rPr>
              <w:t xml:space="preserve">RTLMP </w:t>
            </w:r>
            <w:r w:rsidRPr="0013396E">
              <w:rPr>
                <w:i/>
                <w:vertAlign w:val="subscript"/>
                <w:lang w:val="fr-FR"/>
              </w:rPr>
              <w:t>b, hb, Hub, y</w:t>
            </w:r>
          </w:p>
        </w:tc>
        <w:tc>
          <w:tcPr>
            <w:tcW w:w="507" w:type="pct"/>
          </w:tcPr>
          <w:p w14:paraId="5FDCD9E5" w14:textId="77777777" w:rsidR="001F04FD" w:rsidRPr="0013396E" w:rsidRDefault="001F04FD" w:rsidP="00AC4DEE">
            <w:pPr>
              <w:pStyle w:val="TableBody"/>
            </w:pPr>
            <w:r w:rsidRPr="0013396E">
              <w:t>$/MWh</w:t>
            </w:r>
          </w:p>
        </w:tc>
        <w:tc>
          <w:tcPr>
            <w:tcW w:w="3609" w:type="pct"/>
          </w:tcPr>
          <w:p w14:paraId="36A001FB" w14:textId="77777777" w:rsidR="001F04FD" w:rsidRPr="0013396E" w:rsidRDefault="001F04FD" w:rsidP="00AC4DEE">
            <w:pPr>
              <w:pStyle w:val="TableBody"/>
            </w:pPr>
            <w:r w:rsidRPr="0013396E">
              <w:rPr>
                <w:i/>
              </w:rPr>
              <w:t>Real-Time Locational Marginal Price at Electrical Bus of Hub Bus per interval</w:t>
            </w:r>
            <w:r w:rsidRPr="0013396E">
              <w:sym w:font="Symbol" w:char="F0BE"/>
            </w:r>
            <w:r w:rsidRPr="0013396E">
              <w:t xml:space="preserve">The Real-Time LMP at Electrical Bus </w:t>
            </w:r>
            <w:r w:rsidRPr="0013396E">
              <w:rPr>
                <w:i/>
              </w:rPr>
              <w:t>b</w:t>
            </w:r>
            <w:r w:rsidRPr="0013396E">
              <w:t xml:space="preserve"> that is a component of Hub Bus </w:t>
            </w:r>
            <w:r w:rsidRPr="0013396E">
              <w:rPr>
                <w:i/>
              </w:rPr>
              <w:t>hb</w:t>
            </w:r>
            <w:r w:rsidRPr="0013396E">
              <w:t xml:space="preserve">, for the SCED interval </w:t>
            </w:r>
            <w:r w:rsidRPr="0013396E">
              <w:rPr>
                <w:i/>
              </w:rPr>
              <w:t>y</w:t>
            </w:r>
            <w:r w:rsidRPr="0013396E">
              <w:t>.</w:t>
            </w:r>
          </w:p>
        </w:tc>
      </w:tr>
      <w:tr w:rsidR="001F04FD" w:rsidRPr="0013396E" w14:paraId="5754A7FA" w14:textId="77777777" w:rsidTr="00AC4DEE">
        <w:tc>
          <w:tcPr>
            <w:tcW w:w="884" w:type="pct"/>
          </w:tcPr>
          <w:p w14:paraId="3A993C50" w14:textId="77777777" w:rsidR="001F04FD" w:rsidRPr="0013396E" w:rsidRDefault="001F04FD" w:rsidP="00AC4DEE">
            <w:pPr>
              <w:pStyle w:val="TableBody"/>
            </w:pPr>
            <w:r w:rsidRPr="0013396E">
              <w:t xml:space="preserve">HUBDF </w:t>
            </w:r>
            <w:r w:rsidRPr="0013396E">
              <w:rPr>
                <w:i/>
                <w:vertAlign w:val="subscript"/>
              </w:rPr>
              <w:t>hb, Hub</w:t>
            </w:r>
          </w:p>
        </w:tc>
        <w:tc>
          <w:tcPr>
            <w:tcW w:w="507" w:type="pct"/>
          </w:tcPr>
          <w:p w14:paraId="23ABA108" w14:textId="77777777" w:rsidR="001F04FD" w:rsidRPr="0013396E" w:rsidRDefault="001F04FD" w:rsidP="00AC4DEE">
            <w:pPr>
              <w:pStyle w:val="TableBody"/>
            </w:pPr>
            <w:r w:rsidRPr="0013396E">
              <w:t>none</w:t>
            </w:r>
          </w:p>
        </w:tc>
        <w:tc>
          <w:tcPr>
            <w:tcW w:w="3609" w:type="pct"/>
          </w:tcPr>
          <w:p w14:paraId="0A4D6CD4" w14:textId="77777777" w:rsidR="001F04FD" w:rsidRPr="0013396E" w:rsidRDefault="001F04FD" w:rsidP="00AC4DEE">
            <w:pPr>
              <w:pStyle w:val="TableBody"/>
              <w:rPr>
                <w:iCs w:val="0"/>
              </w:rPr>
            </w:pPr>
            <w:r w:rsidRPr="0013396E">
              <w:rPr>
                <w:i/>
              </w:rPr>
              <w:t>Hub Distribution Factor per Hub Bus</w:t>
            </w:r>
            <w:r w:rsidRPr="0013396E">
              <w:sym w:font="Symbol" w:char="F0BE"/>
            </w:r>
            <w:r w:rsidRPr="0013396E">
              <w:t xml:space="preserve">The distribution factor of Hub Bus </w:t>
            </w:r>
            <w:r w:rsidRPr="0013396E">
              <w:rPr>
                <w:i/>
              </w:rPr>
              <w:t>hb</w:t>
            </w:r>
            <w:r w:rsidRPr="0013396E">
              <w:t xml:space="preserve">.  </w:t>
            </w:r>
          </w:p>
        </w:tc>
      </w:tr>
      <w:tr w:rsidR="001F04FD" w:rsidRPr="0013396E" w14:paraId="4CEDDCF1" w14:textId="77777777" w:rsidTr="00AC4DEE">
        <w:tc>
          <w:tcPr>
            <w:tcW w:w="884" w:type="pct"/>
          </w:tcPr>
          <w:p w14:paraId="65BD0D0A" w14:textId="77777777" w:rsidR="001F04FD" w:rsidRPr="0013396E" w:rsidRDefault="001F04FD" w:rsidP="00AC4DEE">
            <w:pPr>
              <w:pStyle w:val="TableBody"/>
            </w:pPr>
            <w:r w:rsidRPr="0013396E">
              <w:t xml:space="preserve">HBDF </w:t>
            </w:r>
            <w:r w:rsidRPr="0013396E">
              <w:rPr>
                <w:i/>
                <w:vertAlign w:val="subscript"/>
              </w:rPr>
              <w:t>b, hb, Hub</w:t>
            </w:r>
          </w:p>
        </w:tc>
        <w:tc>
          <w:tcPr>
            <w:tcW w:w="507" w:type="pct"/>
          </w:tcPr>
          <w:p w14:paraId="20AA3611" w14:textId="77777777" w:rsidR="001F04FD" w:rsidRPr="0013396E" w:rsidRDefault="001F04FD" w:rsidP="00AC4DEE">
            <w:pPr>
              <w:pStyle w:val="TableBody"/>
            </w:pPr>
            <w:r w:rsidRPr="0013396E">
              <w:t>none</w:t>
            </w:r>
          </w:p>
        </w:tc>
        <w:tc>
          <w:tcPr>
            <w:tcW w:w="3609" w:type="pct"/>
          </w:tcPr>
          <w:p w14:paraId="3CE8E033" w14:textId="77777777" w:rsidR="001F04FD" w:rsidRPr="0013396E" w:rsidRDefault="001F04FD" w:rsidP="00AC4DEE">
            <w:pPr>
              <w:pStyle w:val="TableBody"/>
            </w:pPr>
            <w:r w:rsidRPr="0013396E">
              <w:rPr>
                <w:i/>
              </w:rPr>
              <w:t>Hub Bus Distribution Factor per Electrical Bus of Hub Bus</w:t>
            </w:r>
            <w:r w:rsidRPr="0013396E">
              <w:sym w:font="Symbol" w:char="F0BE"/>
            </w:r>
            <w:r w:rsidRPr="0013396E">
              <w:t xml:space="preserve">The distribution factor of Electrical Bus </w:t>
            </w:r>
            <w:r w:rsidRPr="0013396E">
              <w:rPr>
                <w:i/>
              </w:rPr>
              <w:t>b</w:t>
            </w:r>
            <w:r w:rsidRPr="0013396E">
              <w:t xml:space="preserve"> that is a component of Hub Bus</w:t>
            </w:r>
            <w:r w:rsidRPr="0013396E">
              <w:rPr>
                <w:i/>
              </w:rPr>
              <w:t xml:space="preserve"> hb</w:t>
            </w:r>
            <w:r w:rsidRPr="0013396E">
              <w:t xml:space="preserve">.  </w:t>
            </w:r>
          </w:p>
        </w:tc>
      </w:tr>
      <w:tr w:rsidR="001F04FD" w:rsidRPr="0013396E" w14:paraId="6FCEAF6D" w14:textId="77777777" w:rsidTr="00AC4DEE">
        <w:tc>
          <w:tcPr>
            <w:tcW w:w="884" w:type="pct"/>
          </w:tcPr>
          <w:p w14:paraId="5C41F047" w14:textId="77777777" w:rsidR="001F04FD" w:rsidRPr="0013396E" w:rsidRDefault="001F04FD" w:rsidP="00AC4DEE">
            <w:pPr>
              <w:pStyle w:val="TableBody"/>
            </w:pPr>
            <w:r w:rsidRPr="0013396E">
              <w:t xml:space="preserve">B </w:t>
            </w:r>
            <w:r w:rsidRPr="0013396E">
              <w:rPr>
                <w:i/>
                <w:vertAlign w:val="subscript"/>
              </w:rPr>
              <w:t>hb, Hub</w:t>
            </w:r>
          </w:p>
        </w:tc>
        <w:tc>
          <w:tcPr>
            <w:tcW w:w="507" w:type="pct"/>
          </w:tcPr>
          <w:p w14:paraId="68ABAEC1" w14:textId="77777777" w:rsidR="001F04FD" w:rsidRPr="0013396E" w:rsidRDefault="001F04FD" w:rsidP="00AC4DEE">
            <w:pPr>
              <w:pStyle w:val="TableBody"/>
            </w:pPr>
            <w:r w:rsidRPr="0013396E">
              <w:t>none</w:t>
            </w:r>
          </w:p>
        </w:tc>
        <w:tc>
          <w:tcPr>
            <w:tcW w:w="3609" w:type="pct"/>
          </w:tcPr>
          <w:p w14:paraId="1D5C0F96" w14:textId="77777777" w:rsidR="001F04FD" w:rsidRPr="0013396E" w:rsidRDefault="001F04FD" w:rsidP="00AC4DEE">
            <w:pPr>
              <w:pStyle w:val="TableBody"/>
            </w:pPr>
            <w:r w:rsidRPr="0013396E">
              <w:t xml:space="preserve">The total number of energized Electrical Buses in Hub Bus </w:t>
            </w:r>
            <w:r w:rsidRPr="0013396E">
              <w:rPr>
                <w:i/>
              </w:rPr>
              <w:t>hb</w:t>
            </w:r>
            <w:r w:rsidRPr="0013396E">
              <w:t>.</w:t>
            </w:r>
          </w:p>
        </w:tc>
      </w:tr>
      <w:tr w:rsidR="001F04FD" w:rsidRPr="0013396E" w14:paraId="53524946" w14:textId="77777777" w:rsidTr="00AC4DEE">
        <w:tc>
          <w:tcPr>
            <w:tcW w:w="884" w:type="pct"/>
          </w:tcPr>
          <w:p w14:paraId="672CE2CE" w14:textId="77777777" w:rsidR="001F04FD" w:rsidRPr="0013396E" w:rsidRDefault="001F04FD" w:rsidP="00AC4DEE">
            <w:pPr>
              <w:pStyle w:val="TableBody"/>
            </w:pPr>
            <w:r w:rsidRPr="0013396E">
              <w:t>HB</w:t>
            </w:r>
            <w:r w:rsidRPr="0013396E">
              <w:rPr>
                <w:vertAlign w:val="subscript"/>
              </w:rPr>
              <w:t xml:space="preserve"> </w:t>
            </w:r>
            <w:r w:rsidRPr="0013396E">
              <w:rPr>
                <w:i/>
                <w:vertAlign w:val="subscript"/>
              </w:rPr>
              <w:t>Hub</w:t>
            </w:r>
          </w:p>
        </w:tc>
        <w:tc>
          <w:tcPr>
            <w:tcW w:w="507" w:type="pct"/>
          </w:tcPr>
          <w:p w14:paraId="4005DC91" w14:textId="77777777" w:rsidR="001F04FD" w:rsidRPr="0013396E" w:rsidRDefault="001F04FD" w:rsidP="00AC4DEE">
            <w:pPr>
              <w:pStyle w:val="TableBody"/>
            </w:pPr>
            <w:r w:rsidRPr="0013396E">
              <w:t>none</w:t>
            </w:r>
          </w:p>
        </w:tc>
        <w:tc>
          <w:tcPr>
            <w:tcW w:w="3609" w:type="pct"/>
          </w:tcPr>
          <w:p w14:paraId="3BEB7773" w14:textId="77777777" w:rsidR="001F04FD" w:rsidRPr="0013396E" w:rsidRDefault="001F04FD" w:rsidP="00AC4DEE">
            <w:pPr>
              <w:pStyle w:val="TableBody"/>
            </w:pPr>
            <w:r w:rsidRPr="0013396E">
              <w:t>The total number of Hub Buses in the Hub with at least one energized component in each Hub Bus.</w:t>
            </w:r>
          </w:p>
        </w:tc>
      </w:tr>
      <w:tr w:rsidR="001F04FD" w:rsidRPr="0013396E" w14:paraId="6E253F87" w14:textId="77777777" w:rsidTr="00AC4DEE">
        <w:tc>
          <w:tcPr>
            <w:tcW w:w="884" w:type="pct"/>
          </w:tcPr>
          <w:p w14:paraId="16D1DBBF" w14:textId="77777777" w:rsidR="001F04FD" w:rsidRPr="0013396E" w:rsidRDefault="001F04FD" w:rsidP="00AC4DEE">
            <w:pPr>
              <w:pStyle w:val="TableBody"/>
              <w:rPr>
                <w:i/>
              </w:rPr>
            </w:pPr>
            <w:r w:rsidRPr="0013396E">
              <w:rPr>
                <w:i/>
              </w:rPr>
              <w:t>Hub</w:t>
            </w:r>
          </w:p>
        </w:tc>
        <w:tc>
          <w:tcPr>
            <w:tcW w:w="507" w:type="pct"/>
          </w:tcPr>
          <w:p w14:paraId="0BE7F5A6" w14:textId="77777777" w:rsidR="001F04FD" w:rsidRPr="0013396E" w:rsidRDefault="001F04FD" w:rsidP="00AC4DEE">
            <w:pPr>
              <w:pStyle w:val="TableBody"/>
            </w:pPr>
            <w:r w:rsidRPr="0013396E">
              <w:t>none</w:t>
            </w:r>
          </w:p>
        </w:tc>
        <w:tc>
          <w:tcPr>
            <w:tcW w:w="3609" w:type="pct"/>
          </w:tcPr>
          <w:p w14:paraId="5CC78AD0" w14:textId="77777777" w:rsidR="001F04FD" w:rsidRPr="0013396E" w:rsidRDefault="001F04FD" w:rsidP="00AC4DEE">
            <w:pPr>
              <w:pStyle w:val="TableBody"/>
            </w:pPr>
            <w:r w:rsidRPr="0013396E">
              <w:t>One of the following Hubs: ERCOT Bus Average 345 kV Hub, North 345 kV Hub, South 345 kV Hub, Houston 345 kV Hub, or the West 345 kV Hub</w:t>
            </w:r>
          </w:p>
        </w:tc>
      </w:tr>
      <w:tr w:rsidR="001F04FD" w:rsidRPr="0013396E" w14:paraId="1E32CF9B" w14:textId="77777777" w:rsidTr="00AC4DEE">
        <w:tc>
          <w:tcPr>
            <w:tcW w:w="884" w:type="pct"/>
          </w:tcPr>
          <w:p w14:paraId="26030273" w14:textId="77777777" w:rsidR="001F04FD" w:rsidRPr="0013396E" w:rsidRDefault="001F04FD" w:rsidP="00AC4DEE">
            <w:pPr>
              <w:pStyle w:val="TableBody"/>
              <w:rPr>
                <w:i/>
              </w:rPr>
            </w:pPr>
            <w:r w:rsidRPr="0013396E">
              <w:rPr>
                <w:i/>
              </w:rPr>
              <w:t>hb</w:t>
            </w:r>
          </w:p>
        </w:tc>
        <w:tc>
          <w:tcPr>
            <w:tcW w:w="507" w:type="pct"/>
          </w:tcPr>
          <w:p w14:paraId="5C81B889" w14:textId="77777777" w:rsidR="001F04FD" w:rsidRPr="0013396E" w:rsidRDefault="001F04FD" w:rsidP="00AC4DEE">
            <w:pPr>
              <w:pStyle w:val="TableBody"/>
            </w:pPr>
            <w:r w:rsidRPr="0013396E">
              <w:t>none</w:t>
            </w:r>
          </w:p>
        </w:tc>
        <w:tc>
          <w:tcPr>
            <w:tcW w:w="3609" w:type="pct"/>
          </w:tcPr>
          <w:p w14:paraId="779159E6" w14:textId="77777777" w:rsidR="001F04FD" w:rsidRPr="0013396E" w:rsidRDefault="001F04FD" w:rsidP="00AC4DEE">
            <w:pPr>
              <w:pStyle w:val="TableBody"/>
            </w:pPr>
            <w:r w:rsidRPr="0013396E">
              <w:t>A Hub Bus that is a component of the Hub.</w:t>
            </w:r>
          </w:p>
        </w:tc>
      </w:tr>
      <w:tr w:rsidR="001F04FD" w:rsidRPr="0013396E" w14:paraId="609BCF61" w14:textId="77777777" w:rsidTr="00AC4DEE">
        <w:tc>
          <w:tcPr>
            <w:tcW w:w="884" w:type="pct"/>
          </w:tcPr>
          <w:p w14:paraId="1E533B50" w14:textId="77777777" w:rsidR="001F04FD" w:rsidRPr="0013396E" w:rsidRDefault="001F04FD" w:rsidP="00AC4DEE">
            <w:pPr>
              <w:pStyle w:val="TableBody"/>
              <w:rPr>
                <w:i/>
              </w:rPr>
            </w:pPr>
            <w:r w:rsidRPr="0013396E">
              <w:rPr>
                <w:i/>
              </w:rPr>
              <w:t>y</w:t>
            </w:r>
          </w:p>
        </w:tc>
        <w:tc>
          <w:tcPr>
            <w:tcW w:w="507" w:type="pct"/>
          </w:tcPr>
          <w:p w14:paraId="7A1722E8" w14:textId="77777777" w:rsidR="001F04FD" w:rsidRPr="0013396E" w:rsidRDefault="001F04FD" w:rsidP="00AC4DEE">
            <w:pPr>
              <w:pStyle w:val="TableBody"/>
            </w:pPr>
            <w:r w:rsidRPr="0013396E">
              <w:t>none</w:t>
            </w:r>
          </w:p>
        </w:tc>
        <w:tc>
          <w:tcPr>
            <w:tcW w:w="3609" w:type="pct"/>
          </w:tcPr>
          <w:p w14:paraId="64A31CFC" w14:textId="77777777" w:rsidR="001F04FD" w:rsidRPr="0013396E" w:rsidRDefault="001F04FD" w:rsidP="00AC4DEE">
            <w:pPr>
              <w:pStyle w:val="TableBody"/>
            </w:pPr>
            <w:r w:rsidRPr="0013396E">
              <w:t>A SCED interval.</w:t>
            </w:r>
          </w:p>
        </w:tc>
      </w:tr>
      <w:tr w:rsidR="001F04FD" w:rsidRPr="0013396E" w14:paraId="65ADDB0A" w14:textId="77777777" w:rsidTr="00AC4DEE">
        <w:tc>
          <w:tcPr>
            <w:tcW w:w="884" w:type="pct"/>
          </w:tcPr>
          <w:p w14:paraId="546FA24A" w14:textId="77777777" w:rsidR="001F04FD" w:rsidRPr="0013396E" w:rsidRDefault="001F04FD" w:rsidP="00AC4DEE">
            <w:pPr>
              <w:pStyle w:val="TableBody"/>
              <w:rPr>
                <w:i/>
              </w:rPr>
            </w:pPr>
            <w:r w:rsidRPr="0013396E">
              <w:rPr>
                <w:i/>
              </w:rPr>
              <w:t>b</w:t>
            </w:r>
          </w:p>
        </w:tc>
        <w:tc>
          <w:tcPr>
            <w:tcW w:w="507" w:type="pct"/>
          </w:tcPr>
          <w:p w14:paraId="59B1D9DB" w14:textId="77777777" w:rsidR="001F04FD" w:rsidRPr="0013396E" w:rsidRDefault="001F04FD" w:rsidP="00AC4DEE">
            <w:pPr>
              <w:pStyle w:val="TableBody"/>
            </w:pPr>
            <w:r w:rsidRPr="0013396E">
              <w:t>none</w:t>
            </w:r>
          </w:p>
        </w:tc>
        <w:tc>
          <w:tcPr>
            <w:tcW w:w="3609" w:type="pct"/>
          </w:tcPr>
          <w:p w14:paraId="16FF92C2" w14:textId="77777777" w:rsidR="001F04FD" w:rsidRPr="0013396E" w:rsidRDefault="001F04FD" w:rsidP="00AC4DEE">
            <w:pPr>
              <w:pStyle w:val="TableBody"/>
            </w:pPr>
            <w:r w:rsidRPr="0013396E">
              <w:t>An energized Electrical Bus that is a component of a Hub Bus.</w:t>
            </w:r>
          </w:p>
        </w:tc>
      </w:tr>
    </w:tbl>
    <w:p w14:paraId="59B9022C" w14:textId="77777777" w:rsidR="001F04FD" w:rsidRPr="0013396E" w:rsidRDefault="001F04FD" w:rsidP="001F04FD">
      <w:pPr>
        <w:pStyle w:val="BodyText"/>
        <w:spacing w:after="0"/>
      </w:pPr>
    </w:p>
    <w:p w14:paraId="29952F46" w14:textId="77777777" w:rsidR="001F04FD" w:rsidRPr="0013396E" w:rsidRDefault="000468AC" w:rsidP="008E724B">
      <w:pPr>
        <w:pStyle w:val="BodyText"/>
        <w:ind w:left="720" w:hanging="720"/>
      </w:pPr>
      <w:r w:rsidRPr="0013396E">
        <w:t>(3)</w:t>
      </w:r>
      <w:r w:rsidRPr="0013396E">
        <w:tab/>
      </w:r>
      <w:r w:rsidR="001F04FD" w:rsidRPr="0013396E">
        <w:t xml:space="preserve">The Hub LMP for the ERCOT Hub Average 345 kV Hub (ERCOT 345) for a SCED Interval is calculated as follows: </w:t>
      </w:r>
    </w:p>
    <w:p w14:paraId="5B434960" w14:textId="77777777" w:rsidR="001F04FD" w:rsidRPr="0013396E" w:rsidRDefault="001F04FD" w:rsidP="001F04FD">
      <w:pPr>
        <w:pStyle w:val="FormulaBold"/>
        <w:rPr>
          <w:lang w:val="es-MX"/>
        </w:rPr>
      </w:pPr>
      <w:r w:rsidRPr="0013396E">
        <w:rPr>
          <w:lang w:val="es-MX"/>
        </w:rPr>
        <w:t>HUBLMP</w:t>
      </w:r>
      <w:r w:rsidRPr="0013396E">
        <w:rPr>
          <w:i/>
          <w:vertAlign w:val="subscript"/>
          <w:lang w:val="es-MX"/>
        </w:rPr>
        <w:t xml:space="preserve"> ERCOT345</w:t>
      </w:r>
      <w:r w:rsidRPr="0013396E">
        <w:rPr>
          <w:i/>
          <w:vertAlign w:val="subscript"/>
        </w:rPr>
        <w:t>, y</w:t>
      </w:r>
      <w:r w:rsidRPr="0013396E">
        <w:rPr>
          <w:lang w:val="es-MX"/>
        </w:rPr>
        <w:tab/>
        <w:t>=</w:t>
      </w:r>
      <w:r w:rsidRPr="0013396E">
        <w:rPr>
          <w:lang w:val="es-MX"/>
        </w:rPr>
        <w:tab/>
        <w:t>(HUBLMP</w:t>
      </w:r>
      <w:r w:rsidRPr="0013396E">
        <w:rPr>
          <w:i/>
          <w:vertAlign w:val="subscript"/>
          <w:lang w:val="es-MX"/>
        </w:rPr>
        <w:t>NORTH345</w:t>
      </w:r>
      <w:r w:rsidRPr="0013396E">
        <w:rPr>
          <w:i/>
          <w:vertAlign w:val="subscript"/>
        </w:rPr>
        <w:t>, y</w:t>
      </w:r>
      <w:r w:rsidRPr="0013396E">
        <w:rPr>
          <w:lang w:val="es-MX"/>
        </w:rPr>
        <w:t xml:space="preserve"> + HUBLMP</w:t>
      </w:r>
      <w:r w:rsidRPr="0013396E">
        <w:rPr>
          <w:i/>
          <w:vertAlign w:val="subscript"/>
          <w:lang w:val="es-MX"/>
        </w:rPr>
        <w:t>SOUTH345</w:t>
      </w:r>
      <w:r w:rsidRPr="0013396E">
        <w:rPr>
          <w:i/>
          <w:vertAlign w:val="subscript"/>
        </w:rPr>
        <w:t>, y</w:t>
      </w:r>
      <w:r w:rsidRPr="0013396E">
        <w:rPr>
          <w:i/>
          <w:vertAlign w:val="subscript"/>
          <w:lang w:val="es-MX"/>
        </w:rPr>
        <w:t xml:space="preserve"> </w:t>
      </w:r>
      <w:r w:rsidRPr="0013396E">
        <w:rPr>
          <w:i/>
          <w:lang w:val="es-MX"/>
        </w:rPr>
        <w:t xml:space="preserve">+ </w:t>
      </w:r>
      <w:r w:rsidRPr="0013396E">
        <w:rPr>
          <w:lang w:val="es-MX"/>
        </w:rPr>
        <w:t>HUBLMP</w:t>
      </w:r>
      <w:r w:rsidRPr="0013396E">
        <w:rPr>
          <w:i/>
          <w:vertAlign w:val="subscript"/>
          <w:lang w:val="es-MX"/>
        </w:rPr>
        <w:t>HOUSTON345</w:t>
      </w:r>
      <w:r w:rsidRPr="0013396E">
        <w:rPr>
          <w:i/>
          <w:vertAlign w:val="subscript"/>
        </w:rPr>
        <w:t>, y</w:t>
      </w:r>
      <w:r w:rsidRPr="0013396E">
        <w:rPr>
          <w:i/>
          <w:vertAlign w:val="subscript"/>
          <w:lang w:val="es-MX"/>
        </w:rPr>
        <w:t xml:space="preserve">  </w:t>
      </w:r>
      <w:r w:rsidRPr="0013396E">
        <w:rPr>
          <w:i/>
          <w:lang w:val="es-MX"/>
        </w:rPr>
        <w:t>+</w:t>
      </w:r>
      <w:r w:rsidRPr="0013396E">
        <w:rPr>
          <w:lang w:val="es-MX"/>
        </w:rPr>
        <w:t xml:space="preserve"> HUBLMP</w:t>
      </w:r>
      <w:r w:rsidRPr="0013396E">
        <w:rPr>
          <w:i/>
          <w:vertAlign w:val="subscript"/>
          <w:lang w:val="es-MX"/>
        </w:rPr>
        <w:t>WEST345</w:t>
      </w:r>
      <w:r w:rsidRPr="0013396E">
        <w:rPr>
          <w:i/>
          <w:vertAlign w:val="subscript"/>
        </w:rPr>
        <w:t>, y</w:t>
      </w:r>
      <w:r w:rsidRPr="0013396E">
        <w:rPr>
          <w:lang w:val="es-MX"/>
        </w:rPr>
        <w:t>) / 4</w:t>
      </w:r>
    </w:p>
    <w:p w14:paraId="3F62C383" w14:textId="77777777" w:rsidR="001F04FD" w:rsidRPr="0013396E" w:rsidRDefault="001F04FD" w:rsidP="001F04FD">
      <w:r w:rsidRPr="0013396E">
        <w:t>The above variables are defined as follows:</w:t>
      </w:r>
    </w:p>
    <w:tbl>
      <w:tblPr>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035"/>
        <w:gridCol w:w="1080"/>
        <w:gridCol w:w="6155"/>
      </w:tblGrid>
      <w:tr w:rsidR="001F04FD" w:rsidRPr="0013396E" w14:paraId="755946F4" w14:textId="77777777" w:rsidTr="00AC4DEE">
        <w:tc>
          <w:tcPr>
            <w:tcW w:w="2035" w:type="dxa"/>
          </w:tcPr>
          <w:p w14:paraId="4AF3580C" w14:textId="77777777" w:rsidR="001F04FD" w:rsidRPr="0013396E" w:rsidRDefault="001F04FD" w:rsidP="00AC4DEE">
            <w:pPr>
              <w:pStyle w:val="TableHead"/>
            </w:pPr>
            <w:r w:rsidRPr="0013396E">
              <w:t>Variable</w:t>
            </w:r>
          </w:p>
        </w:tc>
        <w:tc>
          <w:tcPr>
            <w:tcW w:w="1080" w:type="dxa"/>
          </w:tcPr>
          <w:p w14:paraId="7485ADEE" w14:textId="77777777" w:rsidR="001F04FD" w:rsidRPr="0013396E" w:rsidRDefault="001F04FD" w:rsidP="00AC4DEE">
            <w:pPr>
              <w:pStyle w:val="TableHead"/>
            </w:pPr>
            <w:r w:rsidRPr="0013396E">
              <w:t>Unit</w:t>
            </w:r>
          </w:p>
        </w:tc>
        <w:tc>
          <w:tcPr>
            <w:tcW w:w="6155" w:type="dxa"/>
          </w:tcPr>
          <w:p w14:paraId="476E810A" w14:textId="77777777" w:rsidR="001F04FD" w:rsidRPr="0013396E" w:rsidRDefault="001F04FD" w:rsidP="00AC4DEE">
            <w:pPr>
              <w:pStyle w:val="TableHead"/>
            </w:pPr>
            <w:r w:rsidRPr="0013396E">
              <w:t>Description</w:t>
            </w:r>
          </w:p>
        </w:tc>
      </w:tr>
      <w:tr w:rsidR="001F04FD" w:rsidRPr="0013396E" w14:paraId="457D3F50" w14:textId="77777777" w:rsidTr="00AC4DEE">
        <w:tc>
          <w:tcPr>
            <w:tcW w:w="2035" w:type="dxa"/>
          </w:tcPr>
          <w:p w14:paraId="7D03F52C" w14:textId="77777777" w:rsidR="001F04FD" w:rsidRPr="0013396E" w:rsidRDefault="001F04FD" w:rsidP="00AC4DEE">
            <w:pPr>
              <w:pStyle w:val="TableBody"/>
            </w:pPr>
            <w:r w:rsidRPr="0013396E">
              <w:t>HUBLMP</w:t>
            </w:r>
            <w:r w:rsidRPr="0013396E">
              <w:rPr>
                <w:i/>
                <w:vertAlign w:val="subscript"/>
              </w:rPr>
              <w:t>ERCOT345, y</w:t>
            </w:r>
          </w:p>
        </w:tc>
        <w:tc>
          <w:tcPr>
            <w:tcW w:w="1080" w:type="dxa"/>
          </w:tcPr>
          <w:p w14:paraId="1BE1A6FA" w14:textId="77777777" w:rsidR="001F04FD" w:rsidRPr="0013396E" w:rsidRDefault="001F04FD" w:rsidP="00AC4DEE">
            <w:pPr>
              <w:pStyle w:val="TableBody"/>
            </w:pPr>
            <w:r w:rsidRPr="0013396E">
              <w:t>$/MWh</w:t>
            </w:r>
          </w:p>
        </w:tc>
        <w:tc>
          <w:tcPr>
            <w:tcW w:w="6155" w:type="dxa"/>
          </w:tcPr>
          <w:p w14:paraId="3ACF8064" w14:textId="77777777" w:rsidR="001F04FD" w:rsidRPr="0013396E" w:rsidRDefault="001F04FD" w:rsidP="00AC4DEE">
            <w:pPr>
              <w:pStyle w:val="TableBody"/>
            </w:pPr>
            <w:r w:rsidRPr="0013396E">
              <w:rPr>
                <w:i/>
              </w:rPr>
              <w:t>Hub Locational Marginal Price for the ERCOT345</w:t>
            </w:r>
            <w:r w:rsidRPr="0013396E">
              <w:sym w:font="Symbol" w:char="F0BE"/>
            </w:r>
            <w:r w:rsidRPr="0013396E">
              <w:t xml:space="preserve">The Hub LMP for the ERCOT Hub Average 345 kV Hub (ERCOT 345), for the SCED Interval </w:t>
            </w:r>
            <w:r w:rsidRPr="0013396E">
              <w:rPr>
                <w:i/>
              </w:rPr>
              <w:t>y</w:t>
            </w:r>
            <w:r w:rsidRPr="0013396E">
              <w:t>.</w:t>
            </w:r>
          </w:p>
        </w:tc>
      </w:tr>
      <w:tr w:rsidR="001F04FD" w:rsidRPr="0013396E" w14:paraId="46925D42" w14:textId="77777777" w:rsidTr="00AC4DEE">
        <w:tc>
          <w:tcPr>
            <w:tcW w:w="2035" w:type="dxa"/>
          </w:tcPr>
          <w:p w14:paraId="70F2C8BC" w14:textId="77777777" w:rsidR="001F04FD" w:rsidRPr="0013396E" w:rsidRDefault="001F04FD" w:rsidP="00AC4DEE">
            <w:pPr>
              <w:pStyle w:val="TableBody"/>
            </w:pPr>
            <w:r w:rsidRPr="0013396E">
              <w:t>HUBLMP</w:t>
            </w:r>
            <w:r w:rsidRPr="0013396E">
              <w:rPr>
                <w:i/>
                <w:vertAlign w:val="subscript"/>
              </w:rPr>
              <w:t>NORTH345, y</w:t>
            </w:r>
          </w:p>
        </w:tc>
        <w:tc>
          <w:tcPr>
            <w:tcW w:w="1080" w:type="dxa"/>
          </w:tcPr>
          <w:p w14:paraId="2D0BCAFC" w14:textId="77777777" w:rsidR="001F04FD" w:rsidRPr="0013396E" w:rsidRDefault="001F04FD" w:rsidP="00AC4DEE">
            <w:pPr>
              <w:pStyle w:val="TableBody"/>
            </w:pPr>
            <w:r w:rsidRPr="0013396E">
              <w:t>$/MWh</w:t>
            </w:r>
          </w:p>
        </w:tc>
        <w:tc>
          <w:tcPr>
            <w:tcW w:w="6155" w:type="dxa"/>
          </w:tcPr>
          <w:p w14:paraId="3876F499" w14:textId="77777777" w:rsidR="001F04FD" w:rsidRPr="0013396E" w:rsidRDefault="001F04FD" w:rsidP="00AC4DEE">
            <w:pPr>
              <w:pStyle w:val="TableBody"/>
            </w:pPr>
            <w:r w:rsidRPr="0013396E">
              <w:rPr>
                <w:i/>
              </w:rPr>
              <w:t>Hub Locational Marginal Price for the NORTH345</w:t>
            </w:r>
            <w:r w:rsidRPr="0013396E">
              <w:sym w:font="Symbol" w:char="F0BE"/>
            </w:r>
            <w:r w:rsidRPr="0013396E">
              <w:t xml:space="preserve">The Hub LMP for the North 345 kV Hub (NORTH 345), for the SCED Interval </w:t>
            </w:r>
            <w:r w:rsidRPr="0013396E">
              <w:rPr>
                <w:i/>
              </w:rPr>
              <w:t>y</w:t>
            </w:r>
            <w:r w:rsidRPr="0013396E">
              <w:t>.</w:t>
            </w:r>
          </w:p>
        </w:tc>
      </w:tr>
      <w:tr w:rsidR="001F04FD" w:rsidRPr="0013396E" w14:paraId="05D77522" w14:textId="77777777" w:rsidTr="00AC4DEE">
        <w:tc>
          <w:tcPr>
            <w:tcW w:w="2035" w:type="dxa"/>
          </w:tcPr>
          <w:p w14:paraId="78109859" w14:textId="77777777" w:rsidR="001F04FD" w:rsidRPr="0013396E" w:rsidRDefault="001F04FD" w:rsidP="00AC4DEE">
            <w:pPr>
              <w:pStyle w:val="TableBody"/>
            </w:pPr>
            <w:r w:rsidRPr="0013396E">
              <w:t>HUBLMP</w:t>
            </w:r>
            <w:r w:rsidRPr="0013396E">
              <w:rPr>
                <w:i/>
                <w:vertAlign w:val="subscript"/>
              </w:rPr>
              <w:t>SOUTH345, y</w:t>
            </w:r>
          </w:p>
        </w:tc>
        <w:tc>
          <w:tcPr>
            <w:tcW w:w="1080" w:type="dxa"/>
          </w:tcPr>
          <w:p w14:paraId="2FB17356" w14:textId="77777777" w:rsidR="001F04FD" w:rsidRPr="0013396E" w:rsidRDefault="001F04FD" w:rsidP="00AC4DEE">
            <w:pPr>
              <w:pStyle w:val="TableBody"/>
            </w:pPr>
            <w:r w:rsidRPr="0013396E">
              <w:t>$/MWh</w:t>
            </w:r>
          </w:p>
        </w:tc>
        <w:tc>
          <w:tcPr>
            <w:tcW w:w="6155" w:type="dxa"/>
          </w:tcPr>
          <w:p w14:paraId="45A27E63" w14:textId="77777777" w:rsidR="001F04FD" w:rsidRPr="0013396E" w:rsidRDefault="001F04FD" w:rsidP="00AC4DEE">
            <w:pPr>
              <w:pStyle w:val="TableBody"/>
            </w:pPr>
            <w:r w:rsidRPr="0013396E">
              <w:rPr>
                <w:i/>
              </w:rPr>
              <w:t>Hub Locational Marginal Price for the SOUTH345</w:t>
            </w:r>
            <w:r w:rsidRPr="0013396E">
              <w:sym w:font="Symbol" w:char="F0BE"/>
            </w:r>
            <w:r w:rsidRPr="0013396E">
              <w:t xml:space="preserve">The Hub LMP for the South 345 kV Hub (SOUTH 345), for the SCED Interval </w:t>
            </w:r>
            <w:r w:rsidRPr="0013396E">
              <w:rPr>
                <w:i/>
              </w:rPr>
              <w:t>y</w:t>
            </w:r>
            <w:r w:rsidRPr="0013396E">
              <w:t>.</w:t>
            </w:r>
          </w:p>
        </w:tc>
      </w:tr>
      <w:tr w:rsidR="001F04FD" w:rsidRPr="0013396E" w14:paraId="4AB9CB8E" w14:textId="77777777" w:rsidTr="00AC4DEE">
        <w:tc>
          <w:tcPr>
            <w:tcW w:w="2035" w:type="dxa"/>
          </w:tcPr>
          <w:p w14:paraId="35B552AC" w14:textId="77777777" w:rsidR="001F04FD" w:rsidRPr="0013396E" w:rsidRDefault="001F04FD" w:rsidP="00AC4DEE">
            <w:pPr>
              <w:pStyle w:val="TableBody"/>
            </w:pPr>
            <w:r w:rsidRPr="0013396E">
              <w:t>HUBLMP</w:t>
            </w:r>
            <w:r w:rsidRPr="0013396E">
              <w:rPr>
                <w:i/>
                <w:vertAlign w:val="subscript"/>
              </w:rPr>
              <w:t>HOUSTON345, y</w:t>
            </w:r>
          </w:p>
        </w:tc>
        <w:tc>
          <w:tcPr>
            <w:tcW w:w="1080" w:type="dxa"/>
          </w:tcPr>
          <w:p w14:paraId="0831689B" w14:textId="77777777" w:rsidR="001F04FD" w:rsidRPr="0013396E" w:rsidRDefault="001F04FD" w:rsidP="00AC4DEE">
            <w:pPr>
              <w:pStyle w:val="TableBody"/>
            </w:pPr>
            <w:r w:rsidRPr="0013396E">
              <w:t>$/MWh</w:t>
            </w:r>
          </w:p>
        </w:tc>
        <w:tc>
          <w:tcPr>
            <w:tcW w:w="6155" w:type="dxa"/>
          </w:tcPr>
          <w:p w14:paraId="6A86A6CC" w14:textId="77777777" w:rsidR="001F04FD" w:rsidRPr="0013396E" w:rsidRDefault="001F04FD" w:rsidP="00AC4DEE">
            <w:pPr>
              <w:pStyle w:val="TableBody"/>
            </w:pPr>
            <w:r w:rsidRPr="0013396E">
              <w:rPr>
                <w:i/>
              </w:rPr>
              <w:t>Hub Locational Marginal Price for the HOUSTON345</w:t>
            </w:r>
            <w:r w:rsidRPr="0013396E">
              <w:sym w:font="Symbol" w:char="F0BE"/>
            </w:r>
            <w:r w:rsidRPr="0013396E">
              <w:t xml:space="preserve">The Hub LMP for the Houston 345 kV Hub (HOUSTON 345), for the SCED Interval </w:t>
            </w:r>
            <w:r w:rsidRPr="0013396E">
              <w:rPr>
                <w:i/>
              </w:rPr>
              <w:t>y</w:t>
            </w:r>
            <w:r w:rsidRPr="0013396E">
              <w:t>.</w:t>
            </w:r>
          </w:p>
        </w:tc>
      </w:tr>
      <w:tr w:rsidR="001F04FD" w:rsidRPr="0013396E" w14:paraId="714B96CC" w14:textId="77777777" w:rsidTr="00AC4DEE">
        <w:tc>
          <w:tcPr>
            <w:tcW w:w="2035" w:type="dxa"/>
          </w:tcPr>
          <w:p w14:paraId="54C2F28F" w14:textId="77777777" w:rsidR="001F04FD" w:rsidRPr="0013396E" w:rsidRDefault="001F04FD" w:rsidP="00AC4DEE">
            <w:pPr>
              <w:pStyle w:val="TableBody"/>
            </w:pPr>
            <w:r w:rsidRPr="0013396E">
              <w:t>HUBLMP</w:t>
            </w:r>
            <w:r w:rsidRPr="0013396E">
              <w:rPr>
                <w:i/>
                <w:vertAlign w:val="subscript"/>
              </w:rPr>
              <w:t>WEST345, y</w:t>
            </w:r>
          </w:p>
        </w:tc>
        <w:tc>
          <w:tcPr>
            <w:tcW w:w="1080" w:type="dxa"/>
          </w:tcPr>
          <w:p w14:paraId="55E027F9" w14:textId="77777777" w:rsidR="001F04FD" w:rsidRPr="0013396E" w:rsidRDefault="001F04FD" w:rsidP="00AC4DEE">
            <w:pPr>
              <w:pStyle w:val="TableBody"/>
            </w:pPr>
            <w:r w:rsidRPr="0013396E">
              <w:t>$/MWh</w:t>
            </w:r>
          </w:p>
        </w:tc>
        <w:tc>
          <w:tcPr>
            <w:tcW w:w="6155" w:type="dxa"/>
          </w:tcPr>
          <w:p w14:paraId="136A5500" w14:textId="77777777" w:rsidR="001F04FD" w:rsidRPr="0013396E" w:rsidRDefault="001F04FD" w:rsidP="00AC4DEE">
            <w:pPr>
              <w:pStyle w:val="TableBody"/>
            </w:pPr>
            <w:r w:rsidRPr="0013396E">
              <w:rPr>
                <w:i/>
              </w:rPr>
              <w:t>Hub Locational Marginal Price for the WEST345</w:t>
            </w:r>
            <w:r w:rsidRPr="0013396E">
              <w:sym w:font="Symbol" w:char="F0BE"/>
            </w:r>
            <w:r w:rsidRPr="0013396E">
              <w:t xml:space="preserve">The Hub LMP for the West 345 kV Hub (WEST 345), for the SCED Interval </w:t>
            </w:r>
            <w:r w:rsidRPr="0013396E">
              <w:rPr>
                <w:i/>
              </w:rPr>
              <w:t>y</w:t>
            </w:r>
            <w:r w:rsidRPr="0013396E">
              <w:t>.</w:t>
            </w:r>
          </w:p>
        </w:tc>
      </w:tr>
    </w:tbl>
    <w:p w14:paraId="4A01922B" w14:textId="77777777" w:rsidR="003F739B" w:rsidRPr="0013396E" w:rsidRDefault="003F739B" w:rsidP="003F739B">
      <w:pPr>
        <w:pStyle w:val="BodyText"/>
        <w:spacing w:after="0"/>
      </w:pPr>
      <w:bookmarkStart w:id="1445" w:name="_Toc109009384"/>
      <w:bookmarkStart w:id="1446" w:name="_Toc397505008"/>
      <w:bookmarkStart w:id="1447" w:name="_Toc402357136"/>
      <w:bookmarkStart w:id="1448" w:name="_Toc422486514"/>
      <w:bookmarkStart w:id="1449" w:name="_Toc433093366"/>
      <w:bookmarkStart w:id="1450" w:name="_Toc433093524"/>
      <w:bookmarkStart w:id="1451" w:name="_Toc440874752"/>
      <w:bookmarkStart w:id="1452" w:name="_Toc448142307"/>
      <w:bookmarkStart w:id="1453" w:name="_Toc448142464"/>
      <w:bookmarkStart w:id="1454" w:name="_Toc458770301"/>
      <w:bookmarkStart w:id="1455" w:name="_Toc459294269"/>
      <w:bookmarkStart w:id="1456" w:name="_Toc463262762"/>
      <w:bookmarkStart w:id="1457" w:name="_Toc468286835"/>
      <w:bookmarkStart w:id="1458" w:name="_Toc481502881"/>
      <w:bookmarkStart w:id="1459" w:name="_Toc496080049"/>
    </w:p>
    <w:tbl>
      <w:tblPr>
        <w:tblW w:w="954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0"/>
      </w:tblGrid>
      <w:tr w:rsidR="00776199" w:rsidRPr="0013396E" w14:paraId="3EB1795C" w14:textId="77777777" w:rsidTr="00776199">
        <w:trPr>
          <w:trHeight w:val="8540"/>
        </w:trPr>
        <w:tc>
          <w:tcPr>
            <w:tcW w:w="9540" w:type="dxa"/>
            <w:tcBorders>
              <w:top w:val="single" w:sz="4" w:space="0" w:color="auto"/>
              <w:left w:val="single" w:sz="4" w:space="0" w:color="auto"/>
              <w:bottom w:val="single" w:sz="4" w:space="0" w:color="auto"/>
              <w:right w:val="single" w:sz="4" w:space="0" w:color="auto"/>
            </w:tcBorders>
            <w:shd w:val="clear" w:color="auto" w:fill="D9D9D9"/>
          </w:tcPr>
          <w:p w14:paraId="352ADF61" w14:textId="5E253879" w:rsidR="00776199" w:rsidRPr="0013396E" w:rsidRDefault="00776199" w:rsidP="00776199">
            <w:pPr>
              <w:spacing w:before="120" w:after="240"/>
              <w:rPr>
                <w:b/>
                <w:i/>
              </w:rPr>
            </w:pPr>
            <w:r w:rsidRPr="0013396E">
              <w:rPr>
                <w:b/>
                <w:i/>
              </w:rPr>
              <w:lastRenderedPageBreak/>
              <w:t xml:space="preserve">[NPRR1057:  Replace </w:t>
            </w:r>
            <w:r w:rsidR="002B516C" w:rsidRPr="0013396E">
              <w:rPr>
                <w:b/>
                <w:i/>
              </w:rPr>
              <w:t xml:space="preserve">applicable portions of </w:t>
            </w:r>
            <w:r w:rsidRPr="0013396E">
              <w:rPr>
                <w:b/>
                <w:i/>
              </w:rPr>
              <w:t xml:space="preserve">Section 6.6.1.5 above </w:t>
            </w:r>
            <w:r w:rsidR="00E75154" w:rsidRPr="0013396E">
              <w:rPr>
                <w:b/>
                <w:i/>
              </w:rPr>
              <w:t xml:space="preserve">with the following </w:t>
            </w:r>
            <w:r w:rsidRPr="0013396E">
              <w:rPr>
                <w:b/>
                <w:i/>
              </w:rPr>
              <w:t>upon system implementation of NPRR941</w:t>
            </w:r>
            <w:r w:rsidR="002B516C" w:rsidRPr="0013396E">
              <w:rPr>
                <w:b/>
                <w:i/>
              </w:rPr>
              <w:t xml:space="preserve"> or NPRR1057</w:t>
            </w:r>
            <w:r w:rsidRPr="0013396E">
              <w:rPr>
                <w:b/>
                <w:i/>
              </w:rPr>
              <w:t>:]</w:t>
            </w:r>
          </w:p>
          <w:p w14:paraId="48C86806" w14:textId="77777777" w:rsidR="00776199" w:rsidRPr="0013396E" w:rsidRDefault="00776199" w:rsidP="002B516C">
            <w:pPr>
              <w:pStyle w:val="H4"/>
              <w:tabs>
                <w:tab w:val="clear" w:pos="1260"/>
              </w:tabs>
              <w:ind w:left="0" w:firstLine="0"/>
            </w:pPr>
            <w:bookmarkStart w:id="1460" w:name="_Toc80174746"/>
            <w:bookmarkStart w:id="1461" w:name="_Toc108712505"/>
            <w:bookmarkStart w:id="1462" w:name="_Toc112417625"/>
            <w:bookmarkStart w:id="1463" w:name="_Toc119310294"/>
            <w:bookmarkStart w:id="1464" w:name="_Toc125966228"/>
            <w:bookmarkStart w:id="1465" w:name="_Toc135992326"/>
            <w:bookmarkStart w:id="1466" w:name="_Toc170303522"/>
            <w:bookmarkStart w:id="1467" w:name="_Toc175157426"/>
            <w:bookmarkStart w:id="1468" w:name="_Toc214878952"/>
            <w:r w:rsidRPr="0013396E">
              <w:t>6.6.1.5</w:t>
            </w:r>
            <w:r w:rsidRPr="0013396E">
              <w:tab/>
            </w:r>
            <w:r w:rsidRPr="0013396E">
              <w:tab/>
              <w:t>Hub LMPs</w:t>
            </w:r>
            <w:bookmarkEnd w:id="1460"/>
            <w:bookmarkEnd w:id="1461"/>
            <w:bookmarkEnd w:id="1462"/>
            <w:bookmarkEnd w:id="1463"/>
            <w:bookmarkEnd w:id="1464"/>
            <w:bookmarkEnd w:id="1465"/>
            <w:bookmarkEnd w:id="1466"/>
            <w:bookmarkEnd w:id="1467"/>
            <w:bookmarkEnd w:id="1468"/>
          </w:p>
          <w:p w14:paraId="4B4B9B93" w14:textId="77777777" w:rsidR="00776199" w:rsidRPr="0013396E" w:rsidRDefault="00776199" w:rsidP="00776199">
            <w:pPr>
              <w:pStyle w:val="BodyText"/>
            </w:pPr>
            <w:r w:rsidRPr="0013396E">
              <w:t>(1)</w:t>
            </w:r>
            <w:r w:rsidRPr="0013396E">
              <w:tab/>
              <w:t>The Hub LMPs shall be posted on the ERCOT website.</w:t>
            </w:r>
          </w:p>
          <w:p w14:paraId="2E9C37BC" w14:textId="77777777" w:rsidR="00776199" w:rsidRPr="0013396E" w:rsidRDefault="00776199" w:rsidP="00776199">
            <w:pPr>
              <w:pStyle w:val="BodyText"/>
              <w:ind w:left="720" w:hanging="720"/>
            </w:pPr>
            <w:r w:rsidRPr="0013396E">
              <w:t>(2)</w:t>
            </w:r>
            <w:r w:rsidRPr="0013396E">
              <w:tab/>
              <w:t>For each defined Hub except for the ERCOT Hub Average 345 kV Hub and the ERCOT Bus Average 345 kV Hub, the Hub LMP is the arithmetic average of the Real-Time LMPs of the Hub Buses included in the Hub.  The Hub LMP for a SCED Interval is calculated as follows:</w:t>
            </w:r>
          </w:p>
          <w:p w14:paraId="3A12FF43" w14:textId="77777777" w:rsidR="00776199" w:rsidRPr="0013396E" w:rsidRDefault="00776199" w:rsidP="00776199">
            <w:pPr>
              <w:pStyle w:val="FormulaBold"/>
              <w:rPr>
                <w:b w:val="0"/>
                <w:i/>
              </w:rPr>
            </w:pPr>
            <w:r w:rsidRPr="0013396E">
              <w:t>HUBLMP</w:t>
            </w:r>
            <w:r w:rsidRPr="0013396E">
              <w:rPr>
                <w:b w:val="0"/>
                <w:i/>
                <w:vertAlign w:val="subscript"/>
              </w:rPr>
              <w:t xml:space="preserve"> Hub, y</w:t>
            </w:r>
            <w:r w:rsidRPr="0013396E">
              <w:tab/>
            </w:r>
            <w:r w:rsidRPr="0013396E">
              <w:tab/>
              <w:t>=</w:t>
            </w:r>
            <w:r w:rsidRPr="0013396E">
              <w:tab/>
            </w:r>
            <w:r w:rsidRPr="0013396E">
              <w:rPr>
                <w:position w:val="-20"/>
              </w:rPr>
              <w:object w:dxaOrig="225" w:dyaOrig="435" w14:anchorId="166A0FCE">
                <v:shape id="_x0000_i1047" type="#_x0000_t75" style="width:12pt;height:18pt" o:ole="">
                  <v:imagedata r:id="rId43" o:title=""/>
                </v:shape>
                <o:OLEObject Type="Embed" ProgID="Equation.3" ShapeID="_x0000_i1047" DrawAspect="Content" ObjectID="_1836311326" r:id="rId47"/>
              </w:object>
            </w:r>
            <w:r w:rsidRPr="0013396E">
              <w:t xml:space="preserve">(HUBDF </w:t>
            </w:r>
            <w:r w:rsidRPr="0013396E">
              <w:rPr>
                <w:b w:val="0"/>
                <w:i/>
                <w:vertAlign w:val="subscript"/>
              </w:rPr>
              <w:t>hb, Hub</w:t>
            </w:r>
            <w:r w:rsidRPr="0013396E">
              <w:rPr>
                <w:b w:val="0"/>
              </w:rPr>
              <w:t xml:space="preserve"> </w:t>
            </w:r>
            <w:r w:rsidRPr="0013396E">
              <w:t xml:space="preserve">* RTHBP </w:t>
            </w:r>
            <w:r w:rsidRPr="0013396E">
              <w:rPr>
                <w:b w:val="0"/>
                <w:i/>
                <w:vertAlign w:val="subscript"/>
              </w:rPr>
              <w:t>hb, Hub, y</w:t>
            </w:r>
            <w:r w:rsidRPr="0013396E">
              <w:t>), if HB</w:t>
            </w:r>
            <w:r w:rsidRPr="0013396E">
              <w:rPr>
                <w:vertAlign w:val="subscript"/>
              </w:rPr>
              <w:t xml:space="preserve"> </w:t>
            </w:r>
            <w:r w:rsidRPr="0013396E">
              <w:rPr>
                <w:b w:val="0"/>
                <w:i/>
                <w:vertAlign w:val="subscript"/>
              </w:rPr>
              <w:t>Hub</w:t>
            </w:r>
            <w:r w:rsidRPr="0013396E">
              <w:t xml:space="preserve"> ≠ 0</w:t>
            </w:r>
          </w:p>
          <w:p w14:paraId="05D790A0" w14:textId="77777777" w:rsidR="00776199" w:rsidRPr="0013396E" w:rsidRDefault="00776199" w:rsidP="00776199">
            <w:pPr>
              <w:pStyle w:val="FormulaBold"/>
            </w:pPr>
            <w:r w:rsidRPr="0013396E">
              <w:t xml:space="preserve">HUBLMP </w:t>
            </w:r>
            <w:r w:rsidRPr="0013396E">
              <w:rPr>
                <w:b w:val="0"/>
                <w:i/>
                <w:vertAlign w:val="subscript"/>
              </w:rPr>
              <w:t>Hub, y</w:t>
            </w:r>
            <w:r w:rsidRPr="0013396E">
              <w:tab/>
              <w:t>=</w:t>
            </w:r>
            <w:r w:rsidRPr="0013396E">
              <w:tab/>
              <w:t>HUBLMP</w:t>
            </w:r>
            <w:r w:rsidRPr="0013396E">
              <w:rPr>
                <w:b w:val="0"/>
                <w:i/>
                <w:vertAlign w:val="subscript"/>
              </w:rPr>
              <w:t>ERCOT345Bus,y</w:t>
            </w:r>
            <w:r w:rsidRPr="0013396E">
              <w:t>, if HB</w:t>
            </w:r>
            <w:r w:rsidRPr="0013396E">
              <w:rPr>
                <w:vertAlign w:val="subscript"/>
              </w:rPr>
              <w:t xml:space="preserve"> </w:t>
            </w:r>
            <w:r w:rsidRPr="0013396E">
              <w:rPr>
                <w:b w:val="0"/>
                <w:i/>
                <w:vertAlign w:val="subscript"/>
              </w:rPr>
              <w:t>Hub</w:t>
            </w:r>
            <w:r w:rsidRPr="0013396E">
              <w:t xml:space="preserve"> = 0</w:t>
            </w:r>
          </w:p>
          <w:p w14:paraId="39D3F117" w14:textId="77777777" w:rsidR="00776199" w:rsidRPr="0013396E" w:rsidRDefault="00776199" w:rsidP="00776199">
            <w:pPr>
              <w:pStyle w:val="BodyText"/>
            </w:pPr>
            <w:r w:rsidRPr="0013396E">
              <w:t>Where:</w:t>
            </w:r>
          </w:p>
          <w:p w14:paraId="12D4C438" w14:textId="77777777" w:rsidR="00776199" w:rsidRPr="0013396E" w:rsidRDefault="00776199" w:rsidP="00776199">
            <w:pPr>
              <w:pStyle w:val="Formula"/>
              <w:ind w:left="2880" w:hanging="2160"/>
            </w:pPr>
            <w:r w:rsidRPr="0013396E">
              <w:t xml:space="preserve">RTHBP </w:t>
            </w:r>
            <w:r w:rsidRPr="0013396E">
              <w:rPr>
                <w:i/>
                <w:vertAlign w:val="subscript"/>
              </w:rPr>
              <w:t>hb, Hub, y</w:t>
            </w:r>
            <w:r w:rsidRPr="0013396E">
              <w:tab/>
              <w:t>=</w:t>
            </w:r>
            <w:r w:rsidRPr="0013396E">
              <w:tab/>
            </w:r>
            <w:r w:rsidRPr="0013396E">
              <w:rPr>
                <w:position w:val="-20"/>
              </w:rPr>
              <w:object w:dxaOrig="225" w:dyaOrig="435" w14:anchorId="7DED0EAD">
                <v:shape id="_x0000_i1048" type="#_x0000_t75" style="width:12pt;height:18pt" o:ole="">
                  <v:imagedata r:id="rId45" o:title=""/>
                </v:shape>
                <o:OLEObject Type="Embed" ProgID="Equation.3" ShapeID="_x0000_i1048" DrawAspect="Content" ObjectID="_1836311327" r:id="rId48"/>
              </w:object>
            </w:r>
            <w:r w:rsidRPr="0013396E">
              <w:t xml:space="preserve">(HBDF </w:t>
            </w:r>
            <w:r w:rsidRPr="0013396E">
              <w:rPr>
                <w:i/>
                <w:vertAlign w:val="subscript"/>
              </w:rPr>
              <w:t>b, hb, Hub</w:t>
            </w:r>
            <w:r w:rsidRPr="0013396E">
              <w:t xml:space="preserve"> * RTLMP </w:t>
            </w:r>
            <w:r w:rsidRPr="0013396E">
              <w:rPr>
                <w:i/>
                <w:vertAlign w:val="subscript"/>
              </w:rPr>
              <w:t>b, hb, Hub, y</w:t>
            </w:r>
            <w:r w:rsidRPr="0013396E">
              <w:t>)</w:t>
            </w:r>
          </w:p>
          <w:p w14:paraId="0778490D" w14:textId="77777777" w:rsidR="00776199" w:rsidRPr="0013396E" w:rsidRDefault="00776199" w:rsidP="00776199">
            <w:pPr>
              <w:pStyle w:val="Formula"/>
              <w:ind w:left="2880" w:hanging="2160"/>
            </w:pPr>
            <w:r w:rsidRPr="0013396E">
              <w:t>HUBDF</w:t>
            </w:r>
            <w:r w:rsidRPr="0013396E">
              <w:rPr>
                <w:i/>
              </w:rPr>
              <w:t xml:space="preserve"> </w:t>
            </w:r>
            <w:r w:rsidRPr="0013396E">
              <w:rPr>
                <w:i/>
                <w:vertAlign w:val="subscript"/>
              </w:rPr>
              <w:t>hb, Hub</w:t>
            </w:r>
            <w:r w:rsidRPr="0013396E">
              <w:tab/>
            </w:r>
            <w:r w:rsidRPr="0013396E">
              <w:tab/>
              <w:t>=</w:t>
            </w:r>
            <w:r w:rsidRPr="0013396E">
              <w:tab/>
              <w:t xml:space="preserve"> 1 </w:t>
            </w:r>
            <w:r w:rsidRPr="0013396E">
              <w:rPr>
                <w:b/>
                <w:sz w:val="32"/>
                <w:szCs w:val="32"/>
              </w:rPr>
              <w:t>/</w:t>
            </w:r>
            <w:r w:rsidRPr="0013396E">
              <w:rPr>
                <w:b/>
              </w:rPr>
              <w:t xml:space="preserve"> </w:t>
            </w:r>
            <w:r w:rsidRPr="0013396E">
              <w:t xml:space="preserve">HB </w:t>
            </w:r>
            <w:r w:rsidRPr="0013396E">
              <w:rPr>
                <w:i/>
                <w:vertAlign w:val="subscript"/>
              </w:rPr>
              <w:t>Hub</w:t>
            </w:r>
            <w:r w:rsidRPr="0013396E">
              <w:t>, if HB</w:t>
            </w:r>
            <w:r w:rsidRPr="0013396E">
              <w:rPr>
                <w:vertAlign w:val="subscript"/>
              </w:rPr>
              <w:t xml:space="preserve"> </w:t>
            </w:r>
            <w:r w:rsidRPr="0013396E">
              <w:rPr>
                <w:i/>
                <w:vertAlign w:val="subscript"/>
              </w:rPr>
              <w:t>Hub</w:t>
            </w:r>
            <w:r w:rsidRPr="0013396E">
              <w:t xml:space="preserve"> ≠ 0</w:t>
            </w:r>
          </w:p>
          <w:p w14:paraId="2C972DBF" w14:textId="77777777" w:rsidR="00776199" w:rsidRPr="0013396E" w:rsidRDefault="00776199" w:rsidP="00776199">
            <w:pPr>
              <w:pStyle w:val="Formula"/>
              <w:ind w:left="2880" w:hanging="2160"/>
            </w:pPr>
            <w:r w:rsidRPr="0013396E">
              <w:t>HUBDF</w:t>
            </w:r>
            <w:r w:rsidRPr="0013396E">
              <w:rPr>
                <w:i/>
              </w:rPr>
              <w:t xml:space="preserve"> </w:t>
            </w:r>
            <w:r w:rsidRPr="0013396E">
              <w:rPr>
                <w:i/>
                <w:vertAlign w:val="subscript"/>
              </w:rPr>
              <w:t>hb, Hub</w:t>
            </w:r>
            <w:r w:rsidRPr="0013396E">
              <w:rPr>
                <w:i/>
                <w:vertAlign w:val="subscript"/>
              </w:rPr>
              <w:tab/>
            </w:r>
            <w:r w:rsidRPr="0013396E">
              <w:tab/>
              <w:t>=</w:t>
            </w:r>
            <w:r w:rsidRPr="0013396E">
              <w:tab/>
              <w:t xml:space="preserve"> 0, if HB</w:t>
            </w:r>
            <w:r w:rsidRPr="0013396E">
              <w:rPr>
                <w:vertAlign w:val="subscript"/>
              </w:rPr>
              <w:t xml:space="preserve"> </w:t>
            </w:r>
            <w:r w:rsidRPr="0013396E">
              <w:rPr>
                <w:i/>
                <w:vertAlign w:val="subscript"/>
              </w:rPr>
              <w:t>Hub</w:t>
            </w:r>
            <w:r w:rsidRPr="0013396E">
              <w:t xml:space="preserve"> = 0</w:t>
            </w:r>
          </w:p>
          <w:p w14:paraId="3EC2D0CD" w14:textId="77777777" w:rsidR="00776199" w:rsidRPr="0013396E" w:rsidRDefault="00776199" w:rsidP="00776199">
            <w:pPr>
              <w:pStyle w:val="Formula"/>
              <w:ind w:left="2880" w:hanging="2160"/>
            </w:pPr>
            <w:r w:rsidRPr="0013396E">
              <w:t xml:space="preserve">HBDF </w:t>
            </w:r>
            <w:r w:rsidRPr="0013396E">
              <w:rPr>
                <w:i/>
                <w:vertAlign w:val="subscript"/>
              </w:rPr>
              <w:t>b, hb, Hub</w:t>
            </w:r>
            <w:r w:rsidRPr="0013396E">
              <w:rPr>
                <w:i/>
                <w:vertAlign w:val="subscript"/>
              </w:rPr>
              <w:tab/>
            </w:r>
            <w:r w:rsidRPr="0013396E">
              <w:tab/>
              <w:t>=</w:t>
            </w:r>
            <w:r w:rsidRPr="0013396E">
              <w:tab/>
              <w:t xml:space="preserve">1 </w:t>
            </w:r>
            <w:r w:rsidRPr="0013396E">
              <w:rPr>
                <w:b/>
                <w:sz w:val="32"/>
                <w:szCs w:val="32"/>
              </w:rPr>
              <w:t>/</w:t>
            </w:r>
            <w:r w:rsidRPr="0013396E">
              <w:t xml:space="preserve"> B</w:t>
            </w:r>
            <w:r w:rsidRPr="0013396E">
              <w:rPr>
                <w:i/>
              </w:rPr>
              <w:t xml:space="preserve"> </w:t>
            </w:r>
            <w:r w:rsidRPr="0013396E">
              <w:rPr>
                <w:i/>
                <w:vertAlign w:val="subscript"/>
              </w:rPr>
              <w:t>hb, Hub</w:t>
            </w:r>
            <w:r w:rsidRPr="0013396E">
              <w:t>, if B</w:t>
            </w:r>
            <w:r w:rsidRPr="0013396E">
              <w:rPr>
                <w:i/>
                <w:vertAlign w:val="subscript"/>
              </w:rPr>
              <w:t xml:space="preserve"> hb, Hub</w:t>
            </w:r>
            <w:r w:rsidRPr="0013396E">
              <w:t xml:space="preserve"> ≠ 0</w:t>
            </w:r>
          </w:p>
          <w:p w14:paraId="52D12F33" w14:textId="77777777" w:rsidR="00776199" w:rsidRPr="0013396E" w:rsidRDefault="00776199" w:rsidP="00776199">
            <w:pPr>
              <w:pStyle w:val="BodyText"/>
              <w:ind w:firstLine="720"/>
            </w:pPr>
            <w:r w:rsidRPr="0013396E">
              <w:t xml:space="preserve">HBDF </w:t>
            </w:r>
            <w:r w:rsidRPr="0013396E">
              <w:rPr>
                <w:i/>
                <w:vertAlign w:val="subscript"/>
              </w:rPr>
              <w:t>b, hb, Hub</w:t>
            </w:r>
            <w:r w:rsidRPr="0013396E">
              <w:rPr>
                <w:i/>
                <w:vertAlign w:val="subscript"/>
              </w:rPr>
              <w:tab/>
            </w:r>
            <w:r w:rsidRPr="0013396E">
              <w:tab/>
              <w:t>=</w:t>
            </w:r>
            <w:r w:rsidRPr="0013396E">
              <w:tab/>
              <w:t>0, if B</w:t>
            </w:r>
            <w:r w:rsidRPr="0013396E">
              <w:rPr>
                <w:i/>
                <w:vertAlign w:val="subscript"/>
              </w:rPr>
              <w:t xml:space="preserve"> hb, Hub</w:t>
            </w:r>
            <w:r w:rsidRPr="0013396E">
              <w:t xml:space="preserve"> = 0</w:t>
            </w:r>
          </w:p>
          <w:p w14:paraId="3E0C927E" w14:textId="77777777" w:rsidR="00776199" w:rsidRPr="0013396E" w:rsidRDefault="00776199" w:rsidP="00776199">
            <w:r w:rsidRPr="0013396E">
              <w:t>The above variables are defined as follows:</w:t>
            </w:r>
          </w:p>
          <w:tbl>
            <w:tblPr>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035"/>
              <w:gridCol w:w="1080"/>
              <w:gridCol w:w="6155"/>
            </w:tblGrid>
            <w:tr w:rsidR="00B311BB" w:rsidRPr="0013396E" w14:paraId="2D500E69" w14:textId="77777777" w:rsidTr="00745852">
              <w:tc>
                <w:tcPr>
                  <w:tcW w:w="2035" w:type="dxa"/>
                </w:tcPr>
                <w:p w14:paraId="32FB88FC" w14:textId="77777777" w:rsidR="00B311BB" w:rsidRPr="0013396E" w:rsidRDefault="00B311BB" w:rsidP="00B311BB">
                  <w:pPr>
                    <w:pStyle w:val="TableHead"/>
                  </w:pPr>
                  <w:r w:rsidRPr="0013396E">
                    <w:t>Variable</w:t>
                  </w:r>
                </w:p>
              </w:tc>
              <w:tc>
                <w:tcPr>
                  <w:tcW w:w="1080" w:type="dxa"/>
                </w:tcPr>
                <w:p w14:paraId="76C2FEB7" w14:textId="77777777" w:rsidR="00B311BB" w:rsidRPr="0013396E" w:rsidRDefault="00B311BB" w:rsidP="00B311BB">
                  <w:pPr>
                    <w:pStyle w:val="TableHead"/>
                  </w:pPr>
                  <w:r w:rsidRPr="0013396E">
                    <w:t>Unit</w:t>
                  </w:r>
                </w:p>
              </w:tc>
              <w:tc>
                <w:tcPr>
                  <w:tcW w:w="6155" w:type="dxa"/>
                </w:tcPr>
                <w:p w14:paraId="31B2A426" w14:textId="77777777" w:rsidR="00B311BB" w:rsidRPr="0013396E" w:rsidRDefault="00B311BB" w:rsidP="00B311BB">
                  <w:pPr>
                    <w:pStyle w:val="TableHead"/>
                  </w:pPr>
                  <w:r w:rsidRPr="0013396E">
                    <w:t>Description</w:t>
                  </w:r>
                </w:p>
              </w:tc>
            </w:tr>
            <w:tr w:rsidR="00B311BB" w:rsidRPr="0013396E" w14:paraId="261AE869" w14:textId="77777777" w:rsidTr="00745852">
              <w:tc>
                <w:tcPr>
                  <w:tcW w:w="2035" w:type="dxa"/>
                </w:tcPr>
                <w:p w14:paraId="7345AC5B" w14:textId="28B725CB" w:rsidR="00B311BB" w:rsidRPr="0013396E" w:rsidRDefault="00B311BB" w:rsidP="00B311BB">
                  <w:pPr>
                    <w:pStyle w:val="TableBody"/>
                  </w:pPr>
                  <w:r w:rsidRPr="0013396E">
                    <w:t>HUBLMP</w:t>
                  </w:r>
                  <w:r w:rsidRPr="0013396E">
                    <w:rPr>
                      <w:b/>
                      <w:vertAlign w:val="subscript"/>
                    </w:rPr>
                    <w:t xml:space="preserve"> </w:t>
                  </w:r>
                  <w:r w:rsidRPr="0013396E">
                    <w:rPr>
                      <w:i/>
                      <w:vertAlign w:val="subscript"/>
                    </w:rPr>
                    <w:t>Hub, y</w:t>
                  </w:r>
                </w:p>
              </w:tc>
              <w:tc>
                <w:tcPr>
                  <w:tcW w:w="1080" w:type="dxa"/>
                </w:tcPr>
                <w:p w14:paraId="52F21392" w14:textId="1531997A" w:rsidR="00B311BB" w:rsidRPr="0013396E" w:rsidRDefault="00B311BB" w:rsidP="00B311BB">
                  <w:pPr>
                    <w:pStyle w:val="TableBody"/>
                  </w:pPr>
                  <w:r w:rsidRPr="0013396E">
                    <w:t>$/MWh</w:t>
                  </w:r>
                </w:p>
              </w:tc>
              <w:tc>
                <w:tcPr>
                  <w:tcW w:w="6155" w:type="dxa"/>
                </w:tcPr>
                <w:p w14:paraId="2BE5B343" w14:textId="2AD9AC69" w:rsidR="00B311BB" w:rsidRPr="0013396E" w:rsidRDefault="00B311BB" w:rsidP="00B311BB">
                  <w:pPr>
                    <w:pStyle w:val="TableBody"/>
                  </w:pPr>
                  <w:r w:rsidRPr="0013396E">
                    <w:rPr>
                      <w:i/>
                    </w:rPr>
                    <w:t>Hub Locational Marginal Price</w:t>
                  </w:r>
                  <w:r w:rsidRPr="0013396E">
                    <w:sym w:font="Symbol" w:char="F0BE"/>
                  </w:r>
                  <w:r w:rsidRPr="0013396E">
                    <w:t xml:space="preserve">The Hub LMP for the Hub for the SCED Interval </w:t>
                  </w:r>
                  <w:r w:rsidRPr="0013396E">
                    <w:rPr>
                      <w:i/>
                    </w:rPr>
                    <w:t>y</w:t>
                  </w:r>
                  <w:r w:rsidRPr="0013396E">
                    <w:t>.</w:t>
                  </w:r>
                </w:p>
              </w:tc>
            </w:tr>
            <w:tr w:rsidR="00B311BB" w:rsidRPr="0013396E" w14:paraId="686EB099" w14:textId="77777777" w:rsidTr="00745852">
              <w:tc>
                <w:tcPr>
                  <w:tcW w:w="2035" w:type="dxa"/>
                </w:tcPr>
                <w:p w14:paraId="7152BA2A" w14:textId="7BB7F41F" w:rsidR="00B311BB" w:rsidRPr="0013396E" w:rsidRDefault="00B311BB" w:rsidP="00B311BB">
                  <w:pPr>
                    <w:pStyle w:val="TableBody"/>
                  </w:pPr>
                  <w:r w:rsidRPr="0013396E">
                    <w:t xml:space="preserve">RTHBP </w:t>
                  </w:r>
                  <w:r w:rsidRPr="0013396E">
                    <w:rPr>
                      <w:i/>
                      <w:vertAlign w:val="subscript"/>
                    </w:rPr>
                    <w:t>hb, Hub, y</w:t>
                  </w:r>
                </w:p>
              </w:tc>
              <w:tc>
                <w:tcPr>
                  <w:tcW w:w="1080" w:type="dxa"/>
                </w:tcPr>
                <w:p w14:paraId="0DBCDC0A" w14:textId="5B1D45C1" w:rsidR="00B311BB" w:rsidRPr="0013396E" w:rsidRDefault="00B311BB" w:rsidP="00B311BB">
                  <w:pPr>
                    <w:pStyle w:val="TableBody"/>
                  </w:pPr>
                  <w:r w:rsidRPr="0013396E">
                    <w:t>$/MWh</w:t>
                  </w:r>
                </w:p>
              </w:tc>
              <w:tc>
                <w:tcPr>
                  <w:tcW w:w="6155" w:type="dxa"/>
                </w:tcPr>
                <w:p w14:paraId="21522C00" w14:textId="0D09E258" w:rsidR="00B311BB" w:rsidRPr="0013396E" w:rsidRDefault="00B311BB" w:rsidP="00B311BB">
                  <w:pPr>
                    <w:pStyle w:val="TableBody"/>
                  </w:pPr>
                  <w:r w:rsidRPr="0013396E">
                    <w:rPr>
                      <w:i/>
                    </w:rPr>
                    <w:t>Real-Time Hub Bus Price at Hub Bus per SCED interval</w:t>
                  </w:r>
                  <w:r w:rsidRPr="0013396E">
                    <w:sym w:font="Symbol" w:char="F0BE"/>
                  </w:r>
                  <w:r w:rsidRPr="0013396E">
                    <w:t xml:space="preserve">The Real-Time energy price at Hub Bus </w:t>
                  </w:r>
                  <w:r w:rsidRPr="0013396E">
                    <w:rPr>
                      <w:i/>
                    </w:rPr>
                    <w:t>hb</w:t>
                  </w:r>
                  <w:r w:rsidRPr="0013396E">
                    <w:t xml:space="preserve"> for the SCED interval </w:t>
                  </w:r>
                  <w:r w:rsidRPr="0013396E">
                    <w:rPr>
                      <w:i/>
                    </w:rPr>
                    <w:t>y</w:t>
                  </w:r>
                  <w:r w:rsidRPr="0013396E">
                    <w:t>.</w:t>
                  </w:r>
                </w:p>
              </w:tc>
            </w:tr>
            <w:tr w:rsidR="00B311BB" w:rsidRPr="0013396E" w14:paraId="4A00A443" w14:textId="77777777" w:rsidTr="00745852">
              <w:tc>
                <w:tcPr>
                  <w:tcW w:w="2035" w:type="dxa"/>
                </w:tcPr>
                <w:p w14:paraId="7F7F6048" w14:textId="4F3D0CA8" w:rsidR="00B311BB" w:rsidRPr="0013396E" w:rsidRDefault="00B311BB" w:rsidP="00B311BB">
                  <w:pPr>
                    <w:pStyle w:val="TableBody"/>
                  </w:pPr>
                  <w:r w:rsidRPr="0013396E">
                    <w:t>HUBLMP</w:t>
                  </w:r>
                  <w:r w:rsidRPr="0013396E">
                    <w:rPr>
                      <w:i/>
                      <w:vertAlign w:val="subscript"/>
                    </w:rPr>
                    <w:t xml:space="preserve"> ERCOT345Bus,y</w:t>
                  </w:r>
                </w:p>
              </w:tc>
              <w:tc>
                <w:tcPr>
                  <w:tcW w:w="1080" w:type="dxa"/>
                </w:tcPr>
                <w:p w14:paraId="549DB1B3" w14:textId="741B55D4" w:rsidR="00B311BB" w:rsidRPr="0013396E" w:rsidRDefault="00B311BB" w:rsidP="00B311BB">
                  <w:pPr>
                    <w:pStyle w:val="TableBody"/>
                  </w:pPr>
                  <w:r w:rsidRPr="0013396E">
                    <w:t>$/MWh</w:t>
                  </w:r>
                </w:p>
              </w:tc>
              <w:tc>
                <w:tcPr>
                  <w:tcW w:w="6155" w:type="dxa"/>
                </w:tcPr>
                <w:p w14:paraId="40B7107F" w14:textId="57B8AD2F" w:rsidR="00B311BB" w:rsidRPr="0013396E" w:rsidRDefault="00B311BB" w:rsidP="00B311BB">
                  <w:pPr>
                    <w:pStyle w:val="TableBody"/>
                  </w:pPr>
                  <w:r w:rsidRPr="0013396E">
                    <w:rPr>
                      <w:i/>
                    </w:rPr>
                    <w:t>Hub Locational Marginal Price for the ERCOT345Bus</w:t>
                  </w:r>
                  <w:r w:rsidRPr="0013396E">
                    <w:sym w:font="Symbol" w:char="F0BE"/>
                  </w:r>
                  <w:r w:rsidRPr="0013396E">
                    <w:t xml:space="preserve">The Hub LMP for the ERCOT Bus Average 345 kV Hub (ERCOT 345 Bus), for the SCED Interval </w:t>
                  </w:r>
                  <w:r w:rsidRPr="0013396E">
                    <w:rPr>
                      <w:i/>
                    </w:rPr>
                    <w:t>y</w:t>
                  </w:r>
                  <w:r w:rsidRPr="0013396E">
                    <w:t>.</w:t>
                  </w:r>
                </w:p>
              </w:tc>
            </w:tr>
            <w:tr w:rsidR="00B311BB" w:rsidRPr="0013396E" w14:paraId="14A02917" w14:textId="77777777" w:rsidTr="00745852">
              <w:tc>
                <w:tcPr>
                  <w:tcW w:w="2035" w:type="dxa"/>
                </w:tcPr>
                <w:p w14:paraId="4DF3AA97" w14:textId="62D8D7FD" w:rsidR="00B311BB" w:rsidRPr="0013396E" w:rsidRDefault="00B311BB" w:rsidP="00B311BB">
                  <w:pPr>
                    <w:pStyle w:val="TableBody"/>
                  </w:pPr>
                  <w:r w:rsidRPr="0013396E">
                    <w:rPr>
                      <w:lang w:val="fr-FR"/>
                    </w:rPr>
                    <w:t xml:space="preserve">RTLMP </w:t>
                  </w:r>
                  <w:r w:rsidRPr="0013396E">
                    <w:rPr>
                      <w:i/>
                      <w:vertAlign w:val="subscript"/>
                      <w:lang w:val="fr-FR"/>
                    </w:rPr>
                    <w:t>b, hb, Hub, y</w:t>
                  </w:r>
                </w:p>
              </w:tc>
              <w:tc>
                <w:tcPr>
                  <w:tcW w:w="1080" w:type="dxa"/>
                </w:tcPr>
                <w:p w14:paraId="17E441DE" w14:textId="33E2DEAD" w:rsidR="00B311BB" w:rsidRPr="0013396E" w:rsidRDefault="00B311BB" w:rsidP="00B311BB">
                  <w:pPr>
                    <w:pStyle w:val="TableBody"/>
                  </w:pPr>
                  <w:r w:rsidRPr="0013396E">
                    <w:t>$/MWh</w:t>
                  </w:r>
                </w:p>
              </w:tc>
              <w:tc>
                <w:tcPr>
                  <w:tcW w:w="6155" w:type="dxa"/>
                </w:tcPr>
                <w:p w14:paraId="2ABFA16A" w14:textId="21855D8E" w:rsidR="00B311BB" w:rsidRPr="0013396E" w:rsidRDefault="00B311BB" w:rsidP="00B311BB">
                  <w:pPr>
                    <w:pStyle w:val="TableBody"/>
                  </w:pPr>
                  <w:r w:rsidRPr="0013396E">
                    <w:rPr>
                      <w:i/>
                    </w:rPr>
                    <w:t>Real-Time Locational Marginal Price at Electrical Bus of Hub Bus per interval</w:t>
                  </w:r>
                  <w:r w:rsidRPr="0013396E">
                    <w:sym w:font="Symbol" w:char="F0BE"/>
                  </w:r>
                  <w:r w:rsidRPr="0013396E">
                    <w:t xml:space="preserve">The Real-Time LMP at Electrical Bus </w:t>
                  </w:r>
                  <w:r w:rsidRPr="0013396E">
                    <w:rPr>
                      <w:i/>
                    </w:rPr>
                    <w:t>b</w:t>
                  </w:r>
                  <w:r w:rsidRPr="0013396E">
                    <w:t xml:space="preserve"> that is a component of Hub Bus </w:t>
                  </w:r>
                  <w:r w:rsidRPr="0013396E">
                    <w:rPr>
                      <w:i/>
                    </w:rPr>
                    <w:t>hb</w:t>
                  </w:r>
                  <w:r w:rsidRPr="0013396E">
                    <w:t xml:space="preserve">, for the SCED interval </w:t>
                  </w:r>
                  <w:r w:rsidRPr="0013396E">
                    <w:rPr>
                      <w:i/>
                    </w:rPr>
                    <w:t>y</w:t>
                  </w:r>
                  <w:r w:rsidRPr="0013396E">
                    <w:t>.</w:t>
                  </w:r>
                </w:p>
              </w:tc>
            </w:tr>
            <w:tr w:rsidR="00B311BB" w:rsidRPr="0013396E" w14:paraId="46C05FEB" w14:textId="77777777" w:rsidTr="00745852">
              <w:tc>
                <w:tcPr>
                  <w:tcW w:w="2035" w:type="dxa"/>
                </w:tcPr>
                <w:p w14:paraId="37A78A76" w14:textId="1462C7BC" w:rsidR="00B311BB" w:rsidRPr="0013396E" w:rsidRDefault="00B311BB" w:rsidP="00B311BB">
                  <w:pPr>
                    <w:pStyle w:val="TableBody"/>
                  </w:pPr>
                  <w:r w:rsidRPr="0013396E">
                    <w:t xml:space="preserve">HUBDF </w:t>
                  </w:r>
                  <w:r w:rsidRPr="0013396E">
                    <w:rPr>
                      <w:i/>
                      <w:vertAlign w:val="subscript"/>
                    </w:rPr>
                    <w:t>hb, Hub</w:t>
                  </w:r>
                </w:p>
              </w:tc>
              <w:tc>
                <w:tcPr>
                  <w:tcW w:w="1080" w:type="dxa"/>
                </w:tcPr>
                <w:p w14:paraId="31779E6B" w14:textId="2C954526" w:rsidR="00B311BB" w:rsidRPr="0013396E" w:rsidRDefault="00B311BB" w:rsidP="00B311BB">
                  <w:pPr>
                    <w:pStyle w:val="TableBody"/>
                  </w:pPr>
                  <w:r w:rsidRPr="0013396E">
                    <w:t>none</w:t>
                  </w:r>
                </w:p>
              </w:tc>
              <w:tc>
                <w:tcPr>
                  <w:tcW w:w="6155" w:type="dxa"/>
                </w:tcPr>
                <w:p w14:paraId="550548A2" w14:textId="758A9213" w:rsidR="00B311BB" w:rsidRPr="0013396E" w:rsidRDefault="00B311BB" w:rsidP="00B311BB">
                  <w:pPr>
                    <w:pStyle w:val="TableBody"/>
                  </w:pPr>
                  <w:r w:rsidRPr="0013396E">
                    <w:rPr>
                      <w:i/>
                    </w:rPr>
                    <w:t>Hub Distribution Factor per Hub Bus</w:t>
                  </w:r>
                  <w:r w:rsidRPr="0013396E">
                    <w:sym w:font="Symbol" w:char="F0BE"/>
                  </w:r>
                  <w:r w:rsidRPr="0013396E">
                    <w:t xml:space="preserve">The distribution factor of Hub Bus </w:t>
                  </w:r>
                  <w:r w:rsidRPr="0013396E">
                    <w:rPr>
                      <w:i/>
                    </w:rPr>
                    <w:t>hb</w:t>
                  </w:r>
                  <w:r w:rsidRPr="0013396E">
                    <w:t xml:space="preserve">.  </w:t>
                  </w:r>
                </w:p>
              </w:tc>
            </w:tr>
            <w:tr w:rsidR="00B311BB" w:rsidRPr="0013396E" w14:paraId="29AAC628" w14:textId="77777777" w:rsidTr="00745852">
              <w:tc>
                <w:tcPr>
                  <w:tcW w:w="2035" w:type="dxa"/>
                </w:tcPr>
                <w:p w14:paraId="13AC939A" w14:textId="6012E9D9" w:rsidR="00B311BB" w:rsidRPr="0013396E" w:rsidRDefault="00B311BB" w:rsidP="00B311BB">
                  <w:pPr>
                    <w:pStyle w:val="TableBody"/>
                  </w:pPr>
                  <w:r w:rsidRPr="0013396E">
                    <w:t xml:space="preserve">HBDF </w:t>
                  </w:r>
                  <w:r w:rsidRPr="0013396E">
                    <w:rPr>
                      <w:i/>
                      <w:vertAlign w:val="subscript"/>
                    </w:rPr>
                    <w:t>b, hb, Hub</w:t>
                  </w:r>
                </w:p>
              </w:tc>
              <w:tc>
                <w:tcPr>
                  <w:tcW w:w="1080" w:type="dxa"/>
                </w:tcPr>
                <w:p w14:paraId="5EA72B59" w14:textId="50A208EA" w:rsidR="00B311BB" w:rsidRPr="0013396E" w:rsidRDefault="00B311BB" w:rsidP="00B311BB">
                  <w:pPr>
                    <w:pStyle w:val="TableBody"/>
                  </w:pPr>
                  <w:r w:rsidRPr="0013396E">
                    <w:t>none</w:t>
                  </w:r>
                </w:p>
              </w:tc>
              <w:tc>
                <w:tcPr>
                  <w:tcW w:w="6155" w:type="dxa"/>
                </w:tcPr>
                <w:p w14:paraId="4E36DC35" w14:textId="733CE61A" w:rsidR="00B311BB" w:rsidRPr="0013396E" w:rsidRDefault="00B311BB" w:rsidP="00B311BB">
                  <w:pPr>
                    <w:pStyle w:val="TableBody"/>
                  </w:pPr>
                  <w:r w:rsidRPr="0013396E">
                    <w:rPr>
                      <w:i/>
                    </w:rPr>
                    <w:t>Hub Bus Distribution Factor per Electrical Bus of Hub Bus</w:t>
                  </w:r>
                  <w:r w:rsidRPr="0013396E">
                    <w:sym w:font="Symbol" w:char="F0BE"/>
                  </w:r>
                  <w:r w:rsidRPr="0013396E">
                    <w:t xml:space="preserve">The distribution factor of Electrical Bus </w:t>
                  </w:r>
                  <w:r w:rsidRPr="0013396E">
                    <w:rPr>
                      <w:i/>
                    </w:rPr>
                    <w:t>b</w:t>
                  </w:r>
                  <w:r w:rsidRPr="0013396E">
                    <w:t xml:space="preserve"> that is a component of Hub Bus</w:t>
                  </w:r>
                  <w:r w:rsidRPr="0013396E">
                    <w:rPr>
                      <w:i/>
                    </w:rPr>
                    <w:t xml:space="preserve"> hb</w:t>
                  </w:r>
                  <w:r w:rsidRPr="0013396E">
                    <w:t xml:space="preserve">.  </w:t>
                  </w:r>
                </w:p>
              </w:tc>
            </w:tr>
            <w:tr w:rsidR="00B311BB" w:rsidRPr="0013396E" w14:paraId="69C15A76" w14:textId="77777777" w:rsidTr="00745852">
              <w:tc>
                <w:tcPr>
                  <w:tcW w:w="2035" w:type="dxa"/>
                </w:tcPr>
                <w:p w14:paraId="55F11E31" w14:textId="02545F45" w:rsidR="00B311BB" w:rsidRPr="0013396E" w:rsidRDefault="00B311BB" w:rsidP="00B311BB">
                  <w:pPr>
                    <w:pStyle w:val="TableBody"/>
                  </w:pPr>
                  <w:r w:rsidRPr="0013396E">
                    <w:t xml:space="preserve">B </w:t>
                  </w:r>
                  <w:r w:rsidRPr="0013396E">
                    <w:rPr>
                      <w:i/>
                      <w:vertAlign w:val="subscript"/>
                    </w:rPr>
                    <w:t>hb, Hub</w:t>
                  </w:r>
                </w:p>
              </w:tc>
              <w:tc>
                <w:tcPr>
                  <w:tcW w:w="1080" w:type="dxa"/>
                </w:tcPr>
                <w:p w14:paraId="1E202C53" w14:textId="79D79C3A" w:rsidR="00B311BB" w:rsidRPr="0013396E" w:rsidRDefault="00B311BB" w:rsidP="00B311BB">
                  <w:pPr>
                    <w:pStyle w:val="TableBody"/>
                  </w:pPr>
                  <w:r w:rsidRPr="0013396E">
                    <w:t>none</w:t>
                  </w:r>
                </w:p>
              </w:tc>
              <w:tc>
                <w:tcPr>
                  <w:tcW w:w="6155" w:type="dxa"/>
                </w:tcPr>
                <w:p w14:paraId="53511C8E" w14:textId="5F9145D2" w:rsidR="00B311BB" w:rsidRPr="0013396E" w:rsidRDefault="00B311BB" w:rsidP="00B311BB">
                  <w:pPr>
                    <w:pStyle w:val="TableBody"/>
                  </w:pPr>
                  <w:r w:rsidRPr="0013396E">
                    <w:t xml:space="preserve">The total number of energized Electrical Buses in Hub Bus </w:t>
                  </w:r>
                  <w:r w:rsidRPr="0013396E">
                    <w:rPr>
                      <w:i/>
                    </w:rPr>
                    <w:t>hb</w:t>
                  </w:r>
                  <w:r w:rsidRPr="0013396E">
                    <w:t>.</w:t>
                  </w:r>
                </w:p>
              </w:tc>
            </w:tr>
            <w:tr w:rsidR="00B311BB" w:rsidRPr="0013396E" w14:paraId="308E11B9" w14:textId="77777777" w:rsidTr="00745852">
              <w:tc>
                <w:tcPr>
                  <w:tcW w:w="2035" w:type="dxa"/>
                </w:tcPr>
                <w:p w14:paraId="4A275DA6" w14:textId="633077A8" w:rsidR="00B311BB" w:rsidRPr="0013396E" w:rsidRDefault="00B311BB" w:rsidP="00B311BB">
                  <w:pPr>
                    <w:pStyle w:val="TableBody"/>
                  </w:pPr>
                  <w:r w:rsidRPr="0013396E">
                    <w:lastRenderedPageBreak/>
                    <w:t>HB</w:t>
                  </w:r>
                  <w:r w:rsidRPr="0013396E">
                    <w:rPr>
                      <w:vertAlign w:val="subscript"/>
                    </w:rPr>
                    <w:t xml:space="preserve"> </w:t>
                  </w:r>
                  <w:r w:rsidRPr="0013396E">
                    <w:rPr>
                      <w:i/>
                      <w:vertAlign w:val="subscript"/>
                    </w:rPr>
                    <w:t>Hub</w:t>
                  </w:r>
                </w:p>
              </w:tc>
              <w:tc>
                <w:tcPr>
                  <w:tcW w:w="1080" w:type="dxa"/>
                </w:tcPr>
                <w:p w14:paraId="634080BF" w14:textId="556B5739" w:rsidR="00B311BB" w:rsidRPr="0013396E" w:rsidRDefault="00B311BB" w:rsidP="00B311BB">
                  <w:pPr>
                    <w:pStyle w:val="TableBody"/>
                  </w:pPr>
                  <w:r w:rsidRPr="0013396E">
                    <w:t>none</w:t>
                  </w:r>
                </w:p>
              </w:tc>
              <w:tc>
                <w:tcPr>
                  <w:tcW w:w="6155" w:type="dxa"/>
                </w:tcPr>
                <w:p w14:paraId="3C980F41" w14:textId="11FE14D4" w:rsidR="00B311BB" w:rsidRPr="0013396E" w:rsidRDefault="00B311BB" w:rsidP="00B311BB">
                  <w:pPr>
                    <w:pStyle w:val="TableBody"/>
                  </w:pPr>
                  <w:r w:rsidRPr="0013396E">
                    <w:t>The total number of Hub Buses in the Hub with at least one energized component in each Hub Bus.</w:t>
                  </w:r>
                </w:p>
              </w:tc>
            </w:tr>
            <w:tr w:rsidR="00B311BB" w:rsidRPr="0013396E" w14:paraId="7C7CC138" w14:textId="77777777" w:rsidTr="00745852">
              <w:tc>
                <w:tcPr>
                  <w:tcW w:w="2035" w:type="dxa"/>
                </w:tcPr>
                <w:p w14:paraId="65006CCD" w14:textId="5B71CACD" w:rsidR="00B311BB" w:rsidRPr="0013396E" w:rsidRDefault="00B311BB" w:rsidP="00B311BB">
                  <w:pPr>
                    <w:pStyle w:val="TableBody"/>
                  </w:pPr>
                  <w:r w:rsidRPr="0013396E">
                    <w:rPr>
                      <w:i/>
                    </w:rPr>
                    <w:t>Hub</w:t>
                  </w:r>
                </w:p>
              </w:tc>
              <w:tc>
                <w:tcPr>
                  <w:tcW w:w="1080" w:type="dxa"/>
                </w:tcPr>
                <w:p w14:paraId="5C5AD6DA" w14:textId="377E06BF" w:rsidR="00B311BB" w:rsidRPr="0013396E" w:rsidRDefault="00B311BB" w:rsidP="00B311BB">
                  <w:pPr>
                    <w:pStyle w:val="TableBody"/>
                  </w:pPr>
                  <w:r w:rsidRPr="0013396E">
                    <w:t>none</w:t>
                  </w:r>
                </w:p>
              </w:tc>
              <w:tc>
                <w:tcPr>
                  <w:tcW w:w="6155" w:type="dxa"/>
                </w:tcPr>
                <w:p w14:paraId="23F155FE" w14:textId="78D592EB" w:rsidR="00B311BB" w:rsidRPr="0013396E" w:rsidRDefault="00B311BB" w:rsidP="00B311BB">
                  <w:pPr>
                    <w:pStyle w:val="TableBody"/>
                  </w:pPr>
                  <w:r w:rsidRPr="0013396E">
                    <w:t>One of the following Hubs: North 345 kV Hub, South 345 kV Hub, Houston 345 kV Hub, West 345 kV Hub, the Panhandle 345 kV Hub, or the Lower Rio Grande Valley 138/345 kV Hub.</w:t>
                  </w:r>
                </w:p>
              </w:tc>
            </w:tr>
            <w:tr w:rsidR="00B311BB" w:rsidRPr="0013396E" w14:paraId="6AF845D5" w14:textId="77777777" w:rsidTr="00745852">
              <w:tc>
                <w:tcPr>
                  <w:tcW w:w="2035" w:type="dxa"/>
                </w:tcPr>
                <w:p w14:paraId="7979CB0D" w14:textId="347230CA" w:rsidR="00B311BB" w:rsidRPr="0013396E" w:rsidRDefault="00B311BB" w:rsidP="00B311BB">
                  <w:pPr>
                    <w:pStyle w:val="TableBody"/>
                  </w:pPr>
                  <w:r w:rsidRPr="0013396E">
                    <w:rPr>
                      <w:i/>
                    </w:rPr>
                    <w:t>hb</w:t>
                  </w:r>
                </w:p>
              </w:tc>
              <w:tc>
                <w:tcPr>
                  <w:tcW w:w="1080" w:type="dxa"/>
                </w:tcPr>
                <w:p w14:paraId="506F9A06" w14:textId="1BC6931F" w:rsidR="00B311BB" w:rsidRPr="0013396E" w:rsidRDefault="00B311BB" w:rsidP="00B311BB">
                  <w:pPr>
                    <w:pStyle w:val="TableBody"/>
                  </w:pPr>
                  <w:r w:rsidRPr="0013396E">
                    <w:t>none</w:t>
                  </w:r>
                </w:p>
              </w:tc>
              <w:tc>
                <w:tcPr>
                  <w:tcW w:w="6155" w:type="dxa"/>
                </w:tcPr>
                <w:p w14:paraId="6474AC06" w14:textId="2C06C8A8" w:rsidR="00B311BB" w:rsidRPr="0013396E" w:rsidRDefault="00B311BB" w:rsidP="00B311BB">
                  <w:pPr>
                    <w:pStyle w:val="TableBody"/>
                  </w:pPr>
                  <w:r w:rsidRPr="0013396E">
                    <w:t>A Hub Bus that is a component of the Hub with at least one energized component.</w:t>
                  </w:r>
                </w:p>
              </w:tc>
            </w:tr>
            <w:tr w:rsidR="00B311BB" w:rsidRPr="0013396E" w14:paraId="22D7F103" w14:textId="77777777" w:rsidTr="00745852">
              <w:tc>
                <w:tcPr>
                  <w:tcW w:w="2035" w:type="dxa"/>
                </w:tcPr>
                <w:p w14:paraId="519BEC8C" w14:textId="1B4C97F2" w:rsidR="00B311BB" w:rsidRPr="0013396E" w:rsidRDefault="00B311BB" w:rsidP="00B311BB">
                  <w:pPr>
                    <w:pStyle w:val="TableBody"/>
                  </w:pPr>
                  <w:r w:rsidRPr="0013396E">
                    <w:rPr>
                      <w:i/>
                    </w:rPr>
                    <w:t>y</w:t>
                  </w:r>
                </w:p>
              </w:tc>
              <w:tc>
                <w:tcPr>
                  <w:tcW w:w="1080" w:type="dxa"/>
                </w:tcPr>
                <w:p w14:paraId="65CE8D8D" w14:textId="646DDA41" w:rsidR="00B311BB" w:rsidRPr="0013396E" w:rsidRDefault="00B311BB" w:rsidP="00B311BB">
                  <w:pPr>
                    <w:pStyle w:val="TableBody"/>
                  </w:pPr>
                  <w:r w:rsidRPr="0013396E">
                    <w:t>none</w:t>
                  </w:r>
                </w:p>
              </w:tc>
              <w:tc>
                <w:tcPr>
                  <w:tcW w:w="6155" w:type="dxa"/>
                </w:tcPr>
                <w:p w14:paraId="40193A22" w14:textId="655AEA6B" w:rsidR="00B311BB" w:rsidRPr="0013396E" w:rsidRDefault="00B311BB" w:rsidP="00B311BB">
                  <w:pPr>
                    <w:pStyle w:val="TableBody"/>
                  </w:pPr>
                  <w:r w:rsidRPr="0013396E">
                    <w:t>A SCED interval.</w:t>
                  </w:r>
                </w:p>
              </w:tc>
            </w:tr>
            <w:tr w:rsidR="00B311BB" w:rsidRPr="0013396E" w14:paraId="1228133E" w14:textId="77777777" w:rsidTr="00745852">
              <w:tc>
                <w:tcPr>
                  <w:tcW w:w="2035" w:type="dxa"/>
                </w:tcPr>
                <w:p w14:paraId="5145BE94" w14:textId="6BDFFFE8" w:rsidR="00B311BB" w:rsidRPr="0013396E" w:rsidRDefault="00B311BB" w:rsidP="00B311BB">
                  <w:pPr>
                    <w:pStyle w:val="TableBody"/>
                  </w:pPr>
                  <w:r w:rsidRPr="0013396E">
                    <w:rPr>
                      <w:i/>
                    </w:rPr>
                    <w:t>b</w:t>
                  </w:r>
                </w:p>
              </w:tc>
              <w:tc>
                <w:tcPr>
                  <w:tcW w:w="1080" w:type="dxa"/>
                </w:tcPr>
                <w:p w14:paraId="7BAD2055" w14:textId="0B695CD9" w:rsidR="00B311BB" w:rsidRPr="0013396E" w:rsidRDefault="00B311BB" w:rsidP="00B311BB">
                  <w:pPr>
                    <w:pStyle w:val="TableBody"/>
                  </w:pPr>
                  <w:r w:rsidRPr="0013396E">
                    <w:t>none</w:t>
                  </w:r>
                </w:p>
              </w:tc>
              <w:tc>
                <w:tcPr>
                  <w:tcW w:w="6155" w:type="dxa"/>
                </w:tcPr>
                <w:p w14:paraId="3BBE64A6" w14:textId="641BA428" w:rsidR="00B311BB" w:rsidRPr="0013396E" w:rsidRDefault="00B311BB" w:rsidP="00B311BB">
                  <w:pPr>
                    <w:pStyle w:val="TableBody"/>
                  </w:pPr>
                  <w:r w:rsidRPr="0013396E">
                    <w:t>An energized Electrical Bus that is a component of a Hub Bus.</w:t>
                  </w:r>
                </w:p>
              </w:tc>
            </w:tr>
          </w:tbl>
          <w:p w14:paraId="134AC816" w14:textId="77777777" w:rsidR="00776199" w:rsidRPr="0013396E" w:rsidRDefault="00776199" w:rsidP="00776199">
            <w:pPr>
              <w:pStyle w:val="BodyText"/>
              <w:spacing w:before="240"/>
              <w:ind w:left="720" w:hanging="720"/>
            </w:pPr>
            <w:r w:rsidRPr="0013396E">
              <w:t>(3)</w:t>
            </w:r>
            <w:r w:rsidRPr="0013396E">
              <w:tab/>
              <w:t xml:space="preserve">The Hub LMP for the ERCOT Hub Average 345 kV Hub (ERCOT 345) for a SCED Interval is calculated as follows: </w:t>
            </w:r>
          </w:p>
          <w:p w14:paraId="36EA9EC7" w14:textId="77777777" w:rsidR="00776199" w:rsidRPr="0013396E" w:rsidRDefault="00776199" w:rsidP="00776199">
            <w:pPr>
              <w:pStyle w:val="FormulaBold"/>
              <w:rPr>
                <w:lang w:val="es-MX"/>
              </w:rPr>
            </w:pPr>
            <w:r w:rsidRPr="0013396E">
              <w:rPr>
                <w:lang w:val="es-MX"/>
              </w:rPr>
              <w:t>HUBLMP</w:t>
            </w:r>
            <w:r w:rsidRPr="0013396E">
              <w:rPr>
                <w:i/>
                <w:vertAlign w:val="subscript"/>
                <w:lang w:val="es-MX"/>
              </w:rPr>
              <w:t xml:space="preserve"> ERCOT345</w:t>
            </w:r>
            <w:r w:rsidRPr="0013396E">
              <w:rPr>
                <w:i/>
                <w:vertAlign w:val="subscript"/>
              </w:rPr>
              <w:t>, y</w:t>
            </w:r>
            <w:r w:rsidRPr="0013396E">
              <w:rPr>
                <w:lang w:val="es-MX"/>
              </w:rPr>
              <w:tab/>
              <w:t>=</w:t>
            </w:r>
            <w:r w:rsidRPr="0013396E">
              <w:rPr>
                <w:lang w:val="es-MX"/>
              </w:rPr>
              <w:tab/>
              <w:t>(HUBLMP</w:t>
            </w:r>
            <w:r w:rsidRPr="0013396E">
              <w:rPr>
                <w:i/>
                <w:vertAlign w:val="subscript"/>
                <w:lang w:val="es-MX"/>
              </w:rPr>
              <w:t>NORTH345</w:t>
            </w:r>
            <w:r w:rsidRPr="0013396E">
              <w:rPr>
                <w:i/>
                <w:vertAlign w:val="subscript"/>
              </w:rPr>
              <w:t>, y</w:t>
            </w:r>
            <w:r w:rsidRPr="0013396E">
              <w:rPr>
                <w:lang w:val="es-MX"/>
              </w:rPr>
              <w:t xml:space="preserve"> + HUBLMP</w:t>
            </w:r>
            <w:r w:rsidRPr="0013396E">
              <w:rPr>
                <w:i/>
                <w:vertAlign w:val="subscript"/>
                <w:lang w:val="es-MX"/>
              </w:rPr>
              <w:t>SOUTH345</w:t>
            </w:r>
            <w:r w:rsidRPr="0013396E">
              <w:rPr>
                <w:i/>
                <w:vertAlign w:val="subscript"/>
              </w:rPr>
              <w:t>, y</w:t>
            </w:r>
            <w:r w:rsidRPr="0013396E">
              <w:rPr>
                <w:i/>
                <w:vertAlign w:val="subscript"/>
                <w:lang w:val="es-MX"/>
              </w:rPr>
              <w:t xml:space="preserve"> </w:t>
            </w:r>
            <w:r w:rsidRPr="0013396E">
              <w:rPr>
                <w:i/>
                <w:lang w:val="es-MX"/>
              </w:rPr>
              <w:t xml:space="preserve">+ </w:t>
            </w:r>
            <w:r w:rsidRPr="0013396E">
              <w:rPr>
                <w:lang w:val="es-MX"/>
              </w:rPr>
              <w:t>HUBLMP</w:t>
            </w:r>
            <w:r w:rsidRPr="0013396E">
              <w:rPr>
                <w:i/>
                <w:vertAlign w:val="subscript"/>
                <w:lang w:val="es-MX"/>
              </w:rPr>
              <w:t>HOUSTON345</w:t>
            </w:r>
            <w:r w:rsidRPr="0013396E">
              <w:rPr>
                <w:i/>
                <w:vertAlign w:val="subscript"/>
              </w:rPr>
              <w:t>, y</w:t>
            </w:r>
            <w:r w:rsidRPr="0013396E">
              <w:rPr>
                <w:i/>
                <w:vertAlign w:val="subscript"/>
                <w:lang w:val="es-MX"/>
              </w:rPr>
              <w:t xml:space="preserve">  </w:t>
            </w:r>
            <w:r w:rsidRPr="0013396E">
              <w:rPr>
                <w:i/>
                <w:lang w:val="es-MX"/>
              </w:rPr>
              <w:t>+</w:t>
            </w:r>
            <w:r w:rsidRPr="0013396E">
              <w:rPr>
                <w:lang w:val="es-MX"/>
              </w:rPr>
              <w:t xml:space="preserve"> HUBLMP</w:t>
            </w:r>
            <w:r w:rsidRPr="0013396E">
              <w:rPr>
                <w:i/>
                <w:vertAlign w:val="subscript"/>
                <w:lang w:val="es-MX"/>
              </w:rPr>
              <w:t>WEST345</w:t>
            </w:r>
            <w:r w:rsidRPr="0013396E">
              <w:rPr>
                <w:i/>
                <w:vertAlign w:val="subscript"/>
              </w:rPr>
              <w:t>, y</w:t>
            </w:r>
            <w:r w:rsidRPr="0013396E">
              <w:rPr>
                <w:lang w:val="es-MX"/>
              </w:rPr>
              <w:t>) / 4</w:t>
            </w:r>
          </w:p>
          <w:p w14:paraId="61DA0744" w14:textId="77777777" w:rsidR="00776199" w:rsidRPr="0013396E" w:rsidRDefault="00776199" w:rsidP="00776199">
            <w:r w:rsidRPr="0013396E">
              <w:t>The above variables are defined as follows:</w:t>
            </w:r>
          </w:p>
          <w:tbl>
            <w:tblPr>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035"/>
              <w:gridCol w:w="1080"/>
              <w:gridCol w:w="6155"/>
            </w:tblGrid>
            <w:tr w:rsidR="002B516C" w:rsidRPr="0013396E" w14:paraId="03D17CED" w14:textId="77777777" w:rsidTr="00745852">
              <w:tc>
                <w:tcPr>
                  <w:tcW w:w="2035" w:type="dxa"/>
                </w:tcPr>
                <w:p w14:paraId="27F63A70" w14:textId="77777777" w:rsidR="002B516C" w:rsidRPr="0013396E" w:rsidRDefault="002B516C" w:rsidP="002B516C">
                  <w:pPr>
                    <w:pStyle w:val="TableHead"/>
                  </w:pPr>
                  <w:r w:rsidRPr="0013396E">
                    <w:t>Variable</w:t>
                  </w:r>
                </w:p>
              </w:tc>
              <w:tc>
                <w:tcPr>
                  <w:tcW w:w="1080" w:type="dxa"/>
                </w:tcPr>
                <w:p w14:paraId="2C2C9F40" w14:textId="77777777" w:rsidR="002B516C" w:rsidRPr="0013396E" w:rsidRDefault="002B516C" w:rsidP="002B516C">
                  <w:pPr>
                    <w:pStyle w:val="TableHead"/>
                  </w:pPr>
                  <w:r w:rsidRPr="0013396E">
                    <w:t>Unit</w:t>
                  </w:r>
                </w:p>
              </w:tc>
              <w:tc>
                <w:tcPr>
                  <w:tcW w:w="6155" w:type="dxa"/>
                </w:tcPr>
                <w:p w14:paraId="46E61571" w14:textId="77777777" w:rsidR="002B516C" w:rsidRPr="0013396E" w:rsidRDefault="002B516C" w:rsidP="002B516C">
                  <w:pPr>
                    <w:pStyle w:val="TableHead"/>
                  </w:pPr>
                  <w:r w:rsidRPr="0013396E">
                    <w:t>Description</w:t>
                  </w:r>
                </w:p>
              </w:tc>
            </w:tr>
            <w:tr w:rsidR="002B516C" w:rsidRPr="0013396E" w14:paraId="21FC2D91" w14:textId="77777777" w:rsidTr="00745852">
              <w:tc>
                <w:tcPr>
                  <w:tcW w:w="2035" w:type="dxa"/>
                </w:tcPr>
                <w:p w14:paraId="16B240A7" w14:textId="59948D3F" w:rsidR="002B516C" w:rsidRPr="0013396E" w:rsidRDefault="002B516C" w:rsidP="002B516C">
                  <w:pPr>
                    <w:pStyle w:val="TableBody"/>
                  </w:pPr>
                  <w:r w:rsidRPr="0013396E">
                    <w:t>HUBLMP</w:t>
                  </w:r>
                  <w:r w:rsidRPr="0013396E">
                    <w:rPr>
                      <w:i/>
                      <w:vertAlign w:val="subscript"/>
                    </w:rPr>
                    <w:t>ERCOT345, y</w:t>
                  </w:r>
                </w:p>
              </w:tc>
              <w:tc>
                <w:tcPr>
                  <w:tcW w:w="1080" w:type="dxa"/>
                </w:tcPr>
                <w:p w14:paraId="4F67151E" w14:textId="32FB7D6F" w:rsidR="002B516C" w:rsidRPr="0013396E" w:rsidRDefault="002B516C" w:rsidP="002B516C">
                  <w:pPr>
                    <w:pStyle w:val="TableBody"/>
                  </w:pPr>
                  <w:r w:rsidRPr="0013396E">
                    <w:t>$/MWh</w:t>
                  </w:r>
                </w:p>
              </w:tc>
              <w:tc>
                <w:tcPr>
                  <w:tcW w:w="6155" w:type="dxa"/>
                </w:tcPr>
                <w:p w14:paraId="40A2008E" w14:textId="7507D31A" w:rsidR="002B516C" w:rsidRPr="0013396E" w:rsidRDefault="002B516C" w:rsidP="002B516C">
                  <w:pPr>
                    <w:pStyle w:val="TableBody"/>
                  </w:pPr>
                  <w:r w:rsidRPr="0013396E">
                    <w:rPr>
                      <w:i/>
                    </w:rPr>
                    <w:t>Hub Locational Marginal Price for the ERCOT345</w:t>
                  </w:r>
                  <w:r w:rsidRPr="0013396E">
                    <w:sym w:font="Symbol" w:char="F0BE"/>
                  </w:r>
                  <w:r w:rsidRPr="0013396E">
                    <w:t xml:space="preserve">The Hub LMP for the ERCOT Hub Average 345 kV Hub (ERCOT 345), for the SCED Interval </w:t>
                  </w:r>
                  <w:r w:rsidRPr="0013396E">
                    <w:rPr>
                      <w:i/>
                    </w:rPr>
                    <w:t>y</w:t>
                  </w:r>
                  <w:r w:rsidRPr="0013396E">
                    <w:t>.</w:t>
                  </w:r>
                </w:p>
              </w:tc>
            </w:tr>
            <w:tr w:rsidR="002B516C" w:rsidRPr="0013396E" w14:paraId="1E86BD77" w14:textId="77777777" w:rsidTr="00745852">
              <w:tc>
                <w:tcPr>
                  <w:tcW w:w="2035" w:type="dxa"/>
                </w:tcPr>
                <w:p w14:paraId="626CCF51" w14:textId="483A8D19" w:rsidR="002B516C" w:rsidRPr="0013396E" w:rsidRDefault="002B516C" w:rsidP="002B516C">
                  <w:pPr>
                    <w:pStyle w:val="TableBody"/>
                  </w:pPr>
                  <w:r w:rsidRPr="0013396E">
                    <w:t>HUBLMP</w:t>
                  </w:r>
                  <w:r w:rsidRPr="0013396E">
                    <w:rPr>
                      <w:i/>
                      <w:vertAlign w:val="subscript"/>
                    </w:rPr>
                    <w:t>NORTH345, y</w:t>
                  </w:r>
                </w:p>
              </w:tc>
              <w:tc>
                <w:tcPr>
                  <w:tcW w:w="1080" w:type="dxa"/>
                </w:tcPr>
                <w:p w14:paraId="035A46BF" w14:textId="0943CD47" w:rsidR="002B516C" w:rsidRPr="0013396E" w:rsidRDefault="002B516C" w:rsidP="002B516C">
                  <w:pPr>
                    <w:pStyle w:val="TableBody"/>
                  </w:pPr>
                  <w:r w:rsidRPr="0013396E">
                    <w:t>$/MWh</w:t>
                  </w:r>
                </w:p>
              </w:tc>
              <w:tc>
                <w:tcPr>
                  <w:tcW w:w="6155" w:type="dxa"/>
                </w:tcPr>
                <w:p w14:paraId="3958CB94" w14:textId="0926E46E" w:rsidR="002B516C" w:rsidRPr="0013396E" w:rsidRDefault="002B516C" w:rsidP="002B516C">
                  <w:pPr>
                    <w:pStyle w:val="TableBody"/>
                  </w:pPr>
                  <w:r w:rsidRPr="0013396E">
                    <w:rPr>
                      <w:i/>
                    </w:rPr>
                    <w:t>Hub Locational Marginal Price for the NORTH345</w:t>
                  </w:r>
                  <w:r w:rsidRPr="0013396E">
                    <w:sym w:font="Symbol" w:char="F0BE"/>
                  </w:r>
                  <w:r w:rsidRPr="0013396E">
                    <w:t xml:space="preserve">The Hub LMP for the North 345 kV Hub (NORTH 345), for the SCED Interval </w:t>
                  </w:r>
                  <w:r w:rsidRPr="0013396E">
                    <w:rPr>
                      <w:i/>
                    </w:rPr>
                    <w:t>y</w:t>
                  </w:r>
                  <w:r w:rsidRPr="0013396E">
                    <w:t>.</w:t>
                  </w:r>
                </w:p>
              </w:tc>
            </w:tr>
            <w:tr w:rsidR="002B516C" w:rsidRPr="0013396E" w14:paraId="467E2D60" w14:textId="77777777" w:rsidTr="00745852">
              <w:tc>
                <w:tcPr>
                  <w:tcW w:w="2035" w:type="dxa"/>
                </w:tcPr>
                <w:p w14:paraId="321F49C2" w14:textId="3415F5F3" w:rsidR="002B516C" w:rsidRPr="0013396E" w:rsidRDefault="002B516C" w:rsidP="002B516C">
                  <w:pPr>
                    <w:pStyle w:val="TableBody"/>
                  </w:pPr>
                  <w:r w:rsidRPr="0013396E">
                    <w:t>HUBLMP</w:t>
                  </w:r>
                  <w:r w:rsidRPr="0013396E">
                    <w:rPr>
                      <w:i/>
                      <w:vertAlign w:val="subscript"/>
                    </w:rPr>
                    <w:t>SOUTH345, y</w:t>
                  </w:r>
                </w:p>
              </w:tc>
              <w:tc>
                <w:tcPr>
                  <w:tcW w:w="1080" w:type="dxa"/>
                </w:tcPr>
                <w:p w14:paraId="755D74E9" w14:textId="498948A3" w:rsidR="002B516C" w:rsidRPr="0013396E" w:rsidRDefault="002B516C" w:rsidP="002B516C">
                  <w:pPr>
                    <w:pStyle w:val="TableBody"/>
                  </w:pPr>
                  <w:r w:rsidRPr="0013396E">
                    <w:t>$/MWh</w:t>
                  </w:r>
                </w:p>
              </w:tc>
              <w:tc>
                <w:tcPr>
                  <w:tcW w:w="6155" w:type="dxa"/>
                </w:tcPr>
                <w:p w14:paraId="1D5AFBE4" w14:textId="32B47B7E" w:rsidR="002B516C" w:rsidRPr="0013396E" w:rsidRDefault="002B516C" w:rsidP="002B516C">
                  <w:pPr>
                    <w:pStyle w:val="TableBody"/>
                  </w:pPr>
                  <w:r w:rsidRPr="0013396E">
                    <w:rPr>
                      <w:i/>
                    </w:rPr>
                    <w:t>Hub Locational Marginal Price for the SOUTH345</w:t>
                  </w:r>
                  <w:r w:rsidRPr="0013396E">
                    <w:sym w:font="Symbol" w:char="F0BE"/>
                  </w:r>
                  <w:r w:rsidRPr="0013396E">
                    <w:t xml:space="preserve">The Hub LMP for the South 345 kV Hub (SOUTH 345), for the SCED Interval </w:t>
                  </w:r>
                  <w:r w:rsidRPr="0013396E">
                    <w:rPr>
                      <w:i/>
                    </w:rPr>
                    <w:t>y</w:t>
                  </w:r>
                  <w:r w:rsidRPr="0013396E">
                    <w:t>.</w:t>
                  </w:r>
                </w:p>
              </w:tc>
            </w:tr>
            <w:tr w:rsidR="002B516C" w:rsidRPr="0013396E" w14:paraId="1A427F2E" w14:textId="77777777" w:rsidTr="00745852">
              <w:tc>
                <w:tcPr>
                  <w:tcW w:w="2035" w:type="dxa"/>
                </w:tcPr>
                <w:p w14:paraId="719F83A7" w14:textId="50F2684A" w:rsidR="002B516C" w:rsidRPr="0013396E" w:rsidRDefault="002B516C" w:rsidP="002B516C">
                  <w:pPr>
                    <w:pStyle w:val="TableBody"/>
                  </w:pPr>
                  <w:r w:rsidRPr="0013396E">
                    <w:t>HUBLMP</w:t>
                  </w:r>
                  <w:r w:rsidRPr="0013396E">
                    <w:rPr>
                      <w:i/>
                      <w:vertAlign w:val="subscript"/>
                    </w:rPr>
                    <w:t>HOUSTON345, y</w:t>
                  </w:r>
                </w:p>
              </w:tc>
              <w:tc>
                <w:tcPr>
                  <w:tcW w:w="1080" w:type="dxa"/>
                </w:tcPr>
                <w:p w14:paraId="0F8A9E53" w14:textId="7E97BEB6" w:rsidR="002B516C" w:rsidRPr="0013396E" w:rsidRDefault="002B516C" w:rsidP="002B516C">
                  <w:pPr>
                    <w:pStyle w:val="TableBody"/>
                  </w:pPr>
                  <w:r w:rsidRPr="0013396E">
                    <w:t>$/MWh</w:t>
                  </w:r>
                </w:p>
              </w:tc>
              <w:tc>
                <w:tcPr>
                  <w:tcW w:w="6155" w:type="dxa"/>
                </w:tcPr>
                <w:p w14:paraId="53E884FB" w14:textId="1E7C5889" w:rsidR="002B516C" w:rsidRPr="0013396E" w:rsidRDefault="002B516C" w:rsidP="002B516C">
                  <w:pPr>
                    <w:pStyle w:val="TableBody"/>
                  </w:pPr>
                  <w:r w:rsidRPr="0013396E">
                    <w:rPr>
                      <w:i/>
                    </w:rPr>
                    <w:t>Hub Locational Marginal Price for the HOUSTON345</w:t>
                  </w:r>
                  <w:r w:rsidRPr="0013396E">
                    <w:sym w:font="Symbol" w:char="F0BE"/>
                  </w:r>
                  <w:r w:rsidRPr="0013396E">
                    <w:t xml:space="preserve">The Hub LMP for the Houston 345 kV Hub (HOUSTON 345), for the SCED Interval </w:t>
                  </w:r>
                  <w:r w:rsidRPr="0013396E">
                    <w:rPr>
                      <w:i/>
                    </w:rPr>
                    <w:t>y</w:t>
                  </w:r>
                  <w:r w:rsidRPr="0013396E">
                    <w:t>.</w:t>
                  </w:r>
                </w:p>
              </w:tc>
            </w:tr>
            <w:tr w:rsidR="002B516C" w:rsidRPr="0013396E" w14:paraId="345F66DB" w14:textId="77777777" w:rsidTr="00745852">
              <w:tc>
                <w:tcPr>
                  <w:tcW w:w="2035" w:type="dxa"/>
                </w:tcPr>
                <w:p w14:paraId="0415D411" w14:textId="235D4288" w:rsidR="002B516C" w:rsidRPr="0013396E" w:rsidRDefault="002B516C" w:rsidP="002B516C">
                  <w:pPr>
                    <w:pStyle w:val="TableBody"/>
                  </w:pPr>
                  <w:r w:rsidRPr="0013396E">
                    <w:t>HUBLMP</w:t>
                  </w:r>
                  <w:r w:rsidRPr="0013396E">
                    <w:rPr>
                      <w:i/>
                      <w:vertAlign w:val="subscript"/>
                    </w:rPr>
                    <w:t>WEST345, y</w:t>
                  </w:r>
                </w:p>
              </w:tc>
              <w:tc>
                <w:tcPr>
                  <w:tcW w:w="1080" w:type="dxa"/>
                </w:tcPr>
                <w:p w14:paraId="5475472C" w14:textId="4BCE2F2D" w:rsidR="002B516C" w:rsidRPr="0013396E" w:rsidRDefault="002B516C" w:rsidP="002B516C">
                  <w:pPr>
                    <w:pStyle w:val="TableBody"/>
                  </w:pPr>
                  <w:r w:rsidRPr="0013396E">
                    <w:t>$/MWh</w:t>
                  </w:r>
                </w:p>
              </w:tc>
              <w:tc>
                <w:tcPr>
                  <w:tcW w:w="6155" w:type="dxa"/>
                </w:tcPr>
                <w:p w14:paraId="32384943" w14:textId="3FF4AE09" w:rsidR="002B516C" w:rsidRPr="0013396E" w:rsidRDefault="002B516C" w:rsidP="002B516C">
                  <w:pPr>
                    <w:pStyle w:val="TableBody"/>
                  </w:pPr>
                  <w:r w:rsidRPr="0013396E">
                    <w:rPr>
                      <w:i/>
                    </w:rPr>
                    <w:t>Hub Locational Marginal Price for the WEST345</w:t>
                  </w:r>
                  <w:r w:rsidRPr="0013396E">
                    <w:sym w:font="Symbol" w:char="F0BE"/>
                  </w:r>
                  <w:r w:rsidRPr="0013396E">
                    <w:t xml:space="preserve">The Hub LMP for the West 345 kV Hub (WEST 345), for the SCED Interval </w:t>
                  </w:r>
                  <w:r w:rsidRPr="0013396E">
                    <w:rPr>
                      <w:i/>
                    </w:rPr>
                    <w:t>y</w:t>
                  </w:r>
                  <w:r w:rsidRPr="0013396E">
                    <w:t>.</w:t>
                  </w:r>
                </w:p>
              </w:tc>
            </w:tr>
          </w:tbl>
          <w:p w14:paraId="41D97CEB" w14:textId="77777777" w:rsidR="00776199" w:rsidRPr="0013396E" w:rsidRDefault="00776199" w:rsidP="00776199">
            <w:pPr>
              <w:pStyle w:val="BodyText"/>
              <w:spacing w:before="240"/>
              <w:ind w:left="720" w:hanging="720"/>
            </w:pPr>
            <w:r w:rsidRPr="0013396E">
              <w:t>(4)</w:t>
            </w:r>
            <w:r w:rsidRPr="0013396E">
              <w:tab/>
              <w:t xml:space="preserve">The Hub LMP for the ERCOT Bus Average 345 kV Hub (ERCOT 345 Bus) for a SCED Interval is calculated as follows: </w:t>
            </w:r>
          </w:p>
          <w:p w14:paraId="4F9A14D1" w14:textId="77777777" w:rsidR="00776199" w:rsidRPr="0013396E" w:rsidRDefault="00776199" w:rsidP="00776199">
            <w:pPr>
              <w:pStyle w:val="FormulaBold"/>
              <w:rPr>
                <w:b w:val="0"/>
                <w:i/>
              </w:rPr>
            </w:pPr>
            <w:r w:rsidRPr="0013396E">
              <w:t>HUBLMP</w:t>
            </w:r>
            <w:r w:rsidRPr="0013396E">
              <w:rPr>
                <w:b w:val="0"/>
                <w:i/>
                <w:vertAlign w:val="subscript"/>
              </w:rPr>
              <w:t xml:space="preserve"> ERCOT345Bus, y</w:t>
            </w:r>
            <w:r w:rsidRPr="0013396E">
              <w:tab/>
            </w:r>
            <w:r w:rsidRPr="0013396E">
              <w:tab/>
              <w:t>=</w:t>
            </w:r>
            <w:r w:rsidRPr="0013396E">
              <w:rPr>
                <w:position w:val="-20"/>
              </w:rPr>
              <w:object w:dxaOrig="225" w:dyaOrig="435" w14:anchorId="0A58EF92">
                <v:shape id="_x0000_i1049" type="#_x0000_t75" style="width:12pt;height:24pt" o:ole="">
                  <v:imagedata r:id="rId43" o:title=""/>
                </v:shape>
                <o:OLEObject Type="Embed" ProgID="Equation.3" ShapeID="_x0000_i1049" DrawAspect="Content" ObjectID="_1836311328" r:id="rId49"/>
              </w:object>
            </w:r>
            <w:r w:rsidRPr="0013396E">
              <w:t xml:space="preserve">(HUBDF </w:t>
            </w:r>
            <w:r w:rsidRPr="0013396E">
              <w:rPr>
                <w:b w:val="0"/>
                <w:i/>
                <w:vertAlign w:val="subscript"/>
              </w:rPr>
              <w:t>hb,ERCOT345Bus</w:t>
            </w:r>
            <w:r w:rsidRPr="0013396E">
              <w:rPr>
                <w:b w:val="0"/>
              </w:rPr>
              <w:t xml:space="preserve"> </w:t>
            </w:r>
            <w:r w:rsidRPr="0013396E">
              <w:t xml:space="preserve">* RTHBP </w:t>
            </w:r>
            <w:r w:rsidRPr="0013396E">
              <w:rPr>
                <w:b w:val="0"/>
                <w:i/>
                <w:vertAlign w:val="subscript"/>
              </w:rPr>
              <w:t>hb, ERCOT345Bus, y</w:t>
            </w:r>
            <w:r w:rsidRPr="0013396E">
              <w:t>), if HB</w:t>
            </w:r>
            <w:r w:rsidRPr="0013396E">
              <w:rPr>
                <w:vertAlign w:val="subscript"/>
              </w:rPr>
              <w:t xml:space="preserve"> </w:t>
            </w:r>
            <w:r w:rsidRPr="0013396E">
              <w:rPr>
                <w:b w:val="0"/>
                <w:i/>
                <w:vertAlign w:val="subscript"/>
              </w:rPr>
              <w:t>ERCOT345Bus</w:t>
            </w:r>
            <w:r w:rsidRPr="0013396E">
              <w:t xml:space="preserve"> ≠ 0</w:t>
            </w:r>
          </w:p>
          <w:p w14:paraId="651D80C6" w14:textId="77777777" w:rsidR="00776199" w:rsidRPr="0013396E" w:rsidRDefault="00776199" w:rsidP="00776199">
            <w:pPr>
              <w:pStyle w:val="FormulaBold"/>
            </w:pPr>
            <w:r w:rsidRPr="0013396E">
              <w:t xml:space="preserve">HUBLMP </w:t>
            </w:r>
            <w:r w:rsidRPr="0013396E">
              <w:rPr>
                <w:b w:val="0"/>
                <w:i/>
                <w:vertAlign w:val="subscript"/>
              </w:rPr>
              <w:t>ERCOT345Bus, y</w:t>
            </w:r>
            <w:r w:rsidRPr="0013396E">
              <w:tab/>
              <w:t>=</w:t>
            </w:r>
            <w:r w:rsidRPr="0013396E">
              <w:tab/>
              <w:t>0, if HB</w:t>
            </w:r>
            <w:r w:rsidRPr="0013396E">
              <w:rPr>
                <w:vertAlign w:val="subscript"/>
              </w:rPr>
              <w:t xml:space="preserve"> </w:t>
            </w:r>
            <w:r w:rsidRPr="0013396E">
              <w:rPr>
                <w:b w:val="0"/>
                <w:i/>
                <w:vertAlign w:val="subscript"/>
              </w:rPr>
              <w:t>ERCOT345Bus</w:t>
            </w:r>
            <w:r w:rsidRPr="0013396E">
              <w:t xml:space="preserve"> = 0</w:t>
            </w:r>
          </w:p>
          <w:p w14:paraId="37E20685" w14:textId="77777777" w:rsidR="00776199" w:rsidRPr="0013396E" w:rsidRDefault="00776199" w:rsidP="00776199">
            <w:pPr>
              <w:pStyle w:val="BodyText"/>
            </w:pPr>
            <w:r w:rsidRPr="0013396E">
              <w:t>Where:</w:t>
            </w:r>
          </w:p>
          <w:p w14:paraId="7520E6F1" w14:textId="77777777" w:rsidR="00776199" w:rsidRPr="0013396E" w:rsidRDefault="00776199" w:rsidP="00776199">
            <w:pPr>
              <w:pStyle w:val="Formula"/>
              <w:ind w:left="2880" w:hanging="2160"/>
            </w:pPr>
            <w:r w:rsidRPr="0013396E">
              <w:t xml:space="preserve">RTHBP </w:t>
            </w:r>
            <w:r w:rsidRPr="0013396E">
              <w:rPr>
                <w:i/>
                <w:vertAlign w:val="subscript"/>
              </w:rPr>
              <w:t>hb, ERCOT345Bus, y</w:t>
            </w:r>
            <w:r w:rsidRPr="0013396E">
              <w:tab/>
              <w:t>=</w:t>
            </w:r>
            <w:r w:rsidRPr="0013396E">
              <w:tab/>
            </w:r>
            <w:r w:rsidRPr="0013396E">
              <w:rPr>
                <w:position w:val="-20"/>
              </w:rPr>
              <w:object w:dxaOrig="225" w:dyaOrig="420" w14:anchorId="10EB7D19">
                <v:shape id="_x0000_i1050" type="#_x0000_t75" style="width:12pt;height:24pt" o:ole="">
                  <v:imagedata r:id="rId45" o:title=""/>
                </v:shape>
                <o:OLEObject Type="Embed" ProgID="Equation.3" ShapeID="_x0000_i1050" DrawAspect="Content" ObjectID="_1836311329" r:id="rId50"/>
              </w:object>
            </w:r>
            <w:r w:rsidRPr="0013396E">
              <w:t xml:space="preserve">(HBDF </w:t>
            </w:r>
            <w:r w:rsidRPr="0013396E">
              <w:rPr>
                <w:i/>
                <w:vertAlign w:val="subscript"/>
              </w:rPr>
              <w:t>b, hb, ERCOT345Bus</w:t>
            </w:r>
            <w:r w:rsidRPr="0013396E">
              <w:t xml:space="preserve"> * RTLMP </w:t>
            </w:r>
            <w:r w:rsidRPr="0013396E">
              <w:rPr>
                <w:i/>
                <w:vertAlign w:val="subscript"/>
              </w:rPr>
              <w:t>b, hb, ERCOT345Bus, y</w:t>
            </w:r>
            <w:r w:rsidRPr="0013396E">
              <w:t>)</w:t>
            </w:r>
          </w:p>
          <w:p w14:paraId="0A48A876" w14:textId="77777777" w:rsidR="00776199" w:rsidRPr="0013396E" w:rsidRDefault="00776199" w:rsidP="00776199">
            <w:pPr>
              <w:tabs>
                <w:tab w:val="left" w:pos="2340"/>
                <w:tab w:val="left" w:pos="3420"/>
              </w:tabs>
              <w:spacing w:after="240"/>
              <w:ind w:left="4147" w:hanging="3427"/>
              <w:rPr>
                <w:bCs/>
                <w:i/>
              </w:rPr>
            </w:pPr>
            <w:r w:rsidRPr="0013396E">
              <w:rPr>
                <w:bCs/>
              </w:rPr>
              <w:t>HUBDF</w:t>
            </w:r>
            <w:r w:rsidRPr="0013396E">
              <w:rPr>
                <w:bCs/>
                <w:i/>
              </w:rPr>
              <w:t xml:space="preserve"> </w:t>
            </w:r>
            <w:r w:rsidRPr="0013396E">
              <w:rPr>
                <w:bCs/>
                <w:i/>
                <w:vertAlign w:val="subscript"/>
              </w:rPr>
              <w:t>hb, ERCOT345Busc</w:t>
            </w:r>
            <w:r w:rsidRPr="0013396E">
              <w:rPr>
                <w:bCs/>
                <w:i/>
              </w:rPr>
              <w:tab/>
              <w:t>=</w:t>
            </w:r>
            <w:r w:rsidRPr="0013396E">
              <w:rPr>
                <w:bCs/>
                <w:i/>
                <w:color w:val="000000"/>
              </w:rPr>
              <w:tab/>
            </w:r>
            <w:r w:rsidRPr="0013396E">
              <w:rPr>
                <w:bCs/>
                <w:color w:val="000000"/>
              </w:rPr>
              <w:t>IF(HB</w:t>
            </w:r>
            <w:r w:rsidRPr="0013396E">
              <w:rPr>
                <w:bCs/>
                <w:vertAlign w:val="subscript"/>
              </w:rPr>
              <w:t xml:space="preserve"> </w:t>
            </w:r>
            <w:r w:rsidRPr="0013396E">
              <w:rPr>
                <w:bCs/>
                <w:i/>
                <w:vertAlign w:val="subscript"/>
              </w:rPr>
              <w:t xml:space="preserve">ERCOT345Bus </w:t>
            </w:r>
            <w:r w:rsidRPr="0013396E">
              <w:rPr>
                <w:bCs/>
                <w:color w:val="000000"/>
              </w:rPr>
              <w:t xml:space="preserve">=0, 0, 1 </w:t>
            </w:r>
            <w:r w:rsidRPr="0013396E">
              <w:rPr>
                <w:b/>
                <w:bCs/>
                <w:color w:val="000000"/>
                <w:sz w:val="32"/>
                <w:szCs w:val="32"/>
              </w:rPr>
              <w:t>/</w:t>
            </w:r>
            <w:r w:rsidRPr="0013396E">
              <w:rPr>
                <w:bCs/>
                <w:color w:val="000000"/>
              </w:rPr>
              <w:t xml:space="preserve"> HB</w:t>
            </w:r>
            <w:r w:rsidRPr="0013396E">
              <w:rPr>
                <w:bCs/>
              </w:rPr>
              <w:t xml:space="preserve"> </w:t>
            </w:r>
            <w:r w:rsidRPr="0013396E">
              <w:rPr>
                <w:bCs/>
                <w:i/>
                <w:vertAlign w:val="subscript"/>
              </w:rPr>
              <w:t>ERCOT345Bus</w:t>
            </w:r>
            <w:r w:rsidRPr="0013396E">
              <w:rPr>
                <w:bCs/>
              </w:rPr>
              <w:t>)</w:t>
            </w:r>
          </w:p>
          <w:p w14:paraId="2073628D" w14:textId="77777777" w:rsidR="00776199" w:rsidRPr="0013396E" w:rsidRDefault="00776199" w:rsidP="00776199">
            <w:pPr>
              <w:tabs>
                <w:tab w:val="left" w:pos="2340"/>
                <w:tab w:val="left" w:pos="3420"/>
              </w:tabs>
              <w:spacing w:after="240"/>
              <w:ind w:left="4147" w:hanging="3427"/>
              <w:rPr>
                <w:bCs/>
                <w:i/>
              </w:rPr>
            </w:pPr>
            <w:r w:rsidRPr="0013396E">
              <w:rPr>
                <w:bCs/>
              </w:rPr>
              <w:lastRenderedPageBreak/>
              <w:t>HBDF</w:t>
            </w:r>
            <w:r w:rsidRPr="0013396E">
              <w:rPr>
                <w:bCs/>
                <w:i/>
              </w:rPr>
              <w:t xml:space="preserve"> </w:t>
            </w:r>
            <w:r w:rsidRPr="0013396E">
              <w:rPr>
                <w:bCs/>
                <w:i/>
                <w:vertAlign w:val="subscript"/>
              </w:rPr>
              <w:t>b, hb, ERCOT345Bus</w:t>
            </w:r>
            <w:r w:rsidRPr="0013396E">
              <w:rPr>
                <w:bCs/>
                <w:i/>
              </w:rPr>
              <w:tab/>
              <w:t>=</w:t>
            </w:r>
            <w:r w:rsidRPr="0013396E">
              <w:rPr>
                <w:bCs/>
                <w:i/>
              </w:rPr>
              <w:tab/>
            </w:r>
            <w:r w:rsidRPr="0013396E">
              <w:rPr>
                <w:bCs/>
              </w:rPr>
              <w:t>IF(B</w:t>
            </w:r>
            <w:r w:rsidRPr="0013396E">
              <w:rPr>
                <w:bCs/>
                <w:vertAlign w:val="subscript"/>
              </w:rPr>
              <w:t xml:space="preserve"> </w:t>
            </w:r>
            <w:r w:rsidRPr="0013396E">
              <w:rPr>
                <w:bCs/>
                <w:i/>
                <w:vertAlign w:val="subscript"/>
              </w:rPr>
              <w:t xml:space="preserve">hb, ERCOT345Bus </w:t>
            </w:r>
            <w:r w:rsidRPr="0013396E">
              <w:rPr>
                <w:bCs/>
              </w:rPr>
              <w:t xml:space="preserve">=0, 0, 1 </w:t>
            </w:r>
            <w:r w:rsidRPr="0013396E">
              <w:rPr>
                <w:b/>
                <w:bCs/>
                <w:sz w:val="32"/>
                <w:szCs w:val="32"/>
              </w:rPr>
              <w:t xml:space="preserve">/ </w:t>
            </w:r>
            <w:r w:rsidRPr="0013396E">
              <w:rPr>
                <w:bCs/>
              </w:rPr>
              <w:t xml:space="preserve">B </w:t>
            </w:r>
            <w:r w:rsidRPr="0013396E">
              <w:rPr>
                <w:bCs/>
                <w:i/>
                <w:vertAlign w:val="subscript"/>
              </w:rPr>
              <w:t>hb, ERCOT345Bus</w:t>
            </w:r>
            <w:r w:rsidRPr="0013396E">
              <w:rPr>
                <w:bCs/>
              </w:rPr>
              <w:t>)</w:t>
            </w:r>
          </w:p>
          <w:p w14:paraId="05989118" w14:textId="77777777" w:rsidR="00776199" w:rsidRPr="0013396E" w:rsidRDefault="00776199" w:rsidP="00776199"/>
          <w:tbl>
            <w:tblPr>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035"/>
              <w:gridCol w:w="1080"/>
              <w:gridCol w:w="6155"/>
            </w:tblGrid>
            <w:tr w:rsidR="002B516C" w:rsidRPr="0013396E" w14:paraId="5A83384A" w14:textId="77777777" w:rsidTr="00745852">
              <w:tc>
                <w:tcPr>
                  <w:tcW w:w="2035" w:type="dxa"/>
                </w:tcPr>
                <w:p w14:paraId="36C7B7DF" w14:textId="77777777" w:rsidR="002B516C" w:rsidRPr="0013396E" w:rsidRDefault="002B516C" w:rsidP="002B516C">
                  <w:pPr>
                    <w:pStyle w:val="TableHead"/>
                  </w:pPr>
                  <w:r w:rsidRPr="0013396E">
                    <w:t>Variable</w:t>
                  </w:r>
                </w:p>
              </w:tc>
              <w:tc>
                <w:tcPr>
                  <w:tcW w:w="1080" w:type="dxa"/>
                </w:tcPr>
                <w:p w14:paraId="26E5C5D9" w14:textId="77777777" w:rsidR="002B516C" w:rsidRPr="0013396E" w:rsidRDefault="002B516C" w:rsidP="002B516C">
                  <w:pPr>
                    <w:pStyle w:val="TableHead"/>
                  </w:pPr>
                  <w:r w:rsidRPr="0013396E">
                    <w:t>Unit</w:t>
                  </w:r>
                </w:p>
              </w:tc>
              <w:tc>
                <w:tcPr>
                  <w:tcW w:w="6155" w:type="dxa"/>
                </w:tcPr>
                <w:p w14:paraId="57E3D585" w14:textId="77777777" w:rsidR="002B516C" w:rsidRPr="0013396E" w:rsidRDefault="002B516C" w:rsidP="002B516C">
                  <w:pPr>
                    <w:pStyle w:val="TableHead"/>
                  </w:pPr>
                  <w:r w:rsidRPr="0013396E">
                    <w:t>Description</w:t>
                  </w:r>
                </w:p>
              </w:tc>
            </w:tr>
            <w:tr w:rsidR="002B516C" w:rsidRPr="0013396E" w14:paraId="7EE4D0C2" w14:textId="77777777" w:rsidTr="00745852">
              <w:tc>
                <w:tcPr>
                  <w:tcW w:w="2035" w:type="dxa"/>
                </w:tcPr>
                <w:p w14:paraId="77135B14" w14:textId="74920B09" w:rsidR="002B516C" w:rsidRPr="0013396E" w:rsidRDefault="002B516C" w:rsidP="002B516C">
                  <w:pPr>
                    <w:pStyle w:val="TableBody"/>
                  </w:pPr>
                  <w:r w:rsidRPr="0013396E">
                    <w:t>HUBLMP</w:t>
                  </w:r>
                  <w:r w:rsidRPr="0013396E">
                    <w:rPr>
                      <w:i/>
                      <w:vertAlign w:val="subscript"/>
                    </w:rPr>
                    <w:t xml:space="preserve"> ERCOT345Bus, y</w:t>
                  </w:r>
                </w:p>
              </w:tc>
              <w:tc>
                <w:tcPr>
                  <w:tcW w:w="1080" w:type="dxa"/>
                </w:tcPr>
                <w:p w14:paraId="3C99F332" w14:textId="21BE540E" w:rsidR="002B516C" w:rsidRPr="0013396E" w:rsidRDefault="002B516C" w:rsidP="002B516C">
                  <w:pPr>
                    <w:pStyle w:val="TableBody"/>
                  </w:pPr>
                  <w:r w:rsidRPr="0013396E">
                    <w:t>$/MWh</w:t>
                  </w:r>
                </w:p>
              </w:tc>
              <w:tc>
                <w:tcPr>
                  <w:tcW w:w="6155" w:type="dxa"/>
                </w:tcPr>
                <w:p w14:paraId="79139269" w14:textId="1DAB5343" w:rsidR="002B516C" w:rsidRPr="0013396E" w:rsidRDefault="002B516C" w:rsidP="002B516C">
                  <w:pPr>
                    <w:pStyle w:val="TableBody"/>
                  </w:pPr>
                  <w:r w:rsidRPr="0013396E">
                    <w:rPr>
                      <w:i/>
                    </w:rPr>
                    <w:t>Hub Locational Marginal Price for the ERCOT345Bus</w:t>
                  </w:r>
                  <w:r w:rsidRPr="0013396E">
                    <w:sym w:font="Symbol" w:char="F0BE"/>
                  </w:r>
                  <w:r w:rsidRPr="0013396E">
                    <w:t xml:space="preserve">The Hub LMP for the ERCOT Bus Average 345 kV Hub (ERCOT 345 Bus), for the SCED Interval </w:t>
                  </w:r>
                  <w:r w:rsidRPr="0013396E">
                    <w:rPr>
                      <w:i/>
                    </w:rPr>
                    <w:t>y</w:t>
                  </w:r>
                  <w:r w:rsidRPr="0013396E">
                    <w:t>.</w:t>
                  </w:r>
                </w:p>
              </w:tc>
            </w:tr>
            <w:tr w:rsidR="002B516C" w:rsidRPr="0013396E" w14:paraId="22BC0719" w14:textId="77777777" w:rsidTr="00745852">
              <w:tc>
                <w:tcPr>
                  <w:tcW w:w="2035" w:type="dxa"/>
                </w:tcPr>
                <w:p w14:paraId="2B29A42E" w14:textId="50A5F154" w:rsidR="002B516C" w:rsidRPr="0013396E" w:rsidRDefault="002B516C" w:rsidP="002B516C">
                  <w:pPr>
                    <w:pStyle w:val="TableBody"/>
                  </w:pPr>
                  <w:r w:rsidRPr="0013396E">
                    <w:t xml:space="preserve">RTHBP </w:t>
                  </w:r>
                  <w:r w:rsidRPr="0013396E">
                    <w:rPr>
                      <w:i/>
                      <w:vertAlign w:val="subscript"/>
                    </w:rPr>
                    <w:t>hb, ERCOT345Bus, y</w:t>
                  </w:r>
                </w:p>
              </w:tc>
              <w:tc>
                <w:tcPr>
                  <w:tcW w:w="1080" w:type="dxa"/>
                </w:tcPr>
                <w:p w14:paraId="778C3C5E" w14:textId="09280201" w:rsidR="002B516C" w:rsidRPr="0013396E" w:rsidRDefault="002B516C" w:rsidP="002B516C">
                  <w:pPr>
                    <w:pStyle w:val="TableBody"/>
                  </w:pPr>
                  <w:r w:rsidRPr="0013396E">
                    <w:t>$/MWh</w:t>
                  </w:r>
                </w:p>
              </w:tc>
              <w:tc>
                <w:tcPr>
                  <w:tcW w:w="6155" w:type="dxa"/>
                </w:tcPr>
                <w:p w14:paraId="59F4E32C" w14:textId="5EE195B6" w:rsidR="002B516C" w:rsidRPr="0013396E" w:rsidRDefault="002B516C" w:rsidP="002B516C">
                  <w:pPr>
                    <w:pStyle w:val="TableBody"/>
                  </w:pPr>
                  <w:r w:rsidRPr="0013396E">
                    <w:rPr>
                      <w:i/>
                    </w:rPr>
                    <w:t>Real-Time Hub Bus Price at Hub Bus per SCED interval</w:t>
                  </w:r>
                  <w:r w:rsidRPr="0013396E">
                    <w:sym w:font="Symbol" w:char="F0BE"/>
                  </w:r>
                  <w:r w:rsidRPr="0013396E">
                    <w:t xml:space="preserve">The Real-Time energy price at Hub Bus </w:t>
                  </w:r>
                  <w:r w:rsidRPr="0013396E">
                    <w:rPr>
                      <w:i/>
                    </w:rPr>
                    <w:t>hb</w:t>
                  </w:r>
                  <w:r w:rsidRPr="0013396E">
                    <w:t xml:space="preserve"> in ERCOT 345 Bus, for the SCED interval </w:t>
                  </w:r>
                  <w:r w:rsidRPr="0013396E">
                    <w:rPr>
                      <w:i/>
                    </w:rPr>
                    <w:t>y</w:t>
                  </w:r>
                  <w:r w:rsidRPr="0013396E">
                    <w:t>.</w:t>
                  </w:r>
                </w:p>
              </w:tc>
            </w:tr>
            <w:tr w:rsidR="002B516C" w:rsidRPr="0013396E" w14:paraId="581E2908" w14:textId="77777777" w:rsidTr="00745852">
              <w:tc>
                <w:tcPr>
                  <w:tcW w:w="2035" w:type="dxa"/>
                </w:tcPr>
                <w:p w14:paraId="22690414" w14:textId="0F394D8C" w:rsidR="002B516C" w:rsidRPr="0013396E" w:rsidRDefault="002B516C" w:rsidP="002B516C">
                  <w:pPr>
                    <w:pStyle w:val="TableBody"/>
                  </w:pPr>
                  <w:r w:rsidRPr="0013396E">
                    <w:t xml:space="preserve">RTLMP </w:t>
                  </w:r>
                  <w:r w:rsidRPr="0013396E">
                    <w:rPr>
                      <w:i/>
                      <w:vertAlign w:val="subscript"/>
                    </w:rPr>
                    <w:t>b, hb, ERCOT345Bus, y</w:t>
                  </w:r>
                </w:p>
              </w:tc>
              <w:tc>
                <w:tcPr>
                  <w:tcW w:w="1080" w:type="dxa"/>
                </w:tcPr>
                <w:p w14:paraId="31CE3D5F" w14:textId="2460B2F3" w:rsidR="002B516C" w:rsidRPr="0013396E" w:rsidRDefault="002B516C" w:rsidP="002B516C">
                  <w:pPr>
                    <w:pStyle w:val="TableBody"/>
                  </w:pPr>
                  <w:r w:rsidRPr="0013396E">
                    <w:t>$/MWh</w:t>
                  </w:r>
                </w:p>
              </w:tc>
              <w:tc>
                <w:tcPr>
                  <w:tcW w:w="6155" w:type="dxa"/>
                </w:tcPr>
                <w:p w14:paraId="501531A3" w14:textId="2CBDEBDF" w:rsidR="002B516C" w:rsidRPr="0013396E" w:rsidRDefault="002B516C" w:rsidP="002B516C">
                  <w:pPr>
                    <w:pStyle w:val="TableBody"/>
                  </w:pPr>
                  <w:r w:rsidRPr="0013396E">
                    <w:rPr>
                      <w:i/>
                    </w:rPr>
                    <w:t>Real-Time Locational Marginal Price at Electrical Bus of Hub Bus per interval</w:t>
                  </w:r>
                  <w:r w:rsidRPr="0013396E">
                    <w:sym w:font="Symbol" w:char="F0BE"/>
                  </w:r>
                  <w:r w:rsidRPr="0013396E">
                    <w:t xml:space="preserve">The Real-Time LMP at Electrical Bus </w:t>
                  </w:r>
                  <w:r w:rsidRPr="0013396E">
                    <w:rPr>
                      <w:i/>
                    </w:rPr>
                    <w:t>b</w:t>
                  </w:r>
                  <w:r w:rsidRPr="0013396E">
                    <w:t xml:space="preserve"> that is a component of Hub Bus </w:t>
                  </w:r>
                  <w:r w:rsidRPr="0013396E">
                    <w:rPr>
                      <w:i/>
                    </w:rPr>
                    <w:t>hb</w:t>
                  </w:r>
                  <w:r w:rsidRPr="0013396E">
                    <w:t xml:space="preserve"> in ERCOT 345 Bus, for the SCED interval </w:t>
                  </w:r>
                  <w:r w:rsidRPr="0013396E">
                    <w:rPr>
                      <w:i/>
                    </w:rPr>
                    <w:t>y</w:t>
                  </w:r>
                  <w:r w:rsidRPr="0013396E">
                    <w:t>.</w:t>
                  </w:r>
                </w:p>
              </w:tc>
            </w:tr>
            <w:tr w:rsidR="002B516C" w:rsidRPr="0013396E" w14:paraId="439FDF72" w14:textId="77777777" w:rsidTr="00745852">
              <w:tc>
                <w:tcPr>
                  <w:tcW w:w="2035" w:type="dxa"/>
                </w:tcPr>
                <w:p w14:paraId="18190A8D" w14:textId="0D0E8A74" w:rsidR="002B516C" w:rsidRPr="0013396E" w:rsidRDefault="002B516C" w:rsidP="002B516C">
                  <w:pPr>
                    <w:pStyle w:val="TableBody"/>
                  </w:pPr>
                  <w:r w:rsidRPr="0013396E">
                    <w:t xml:space="preserve">HUBDF </w:t>
                  </w:r>
                  <w:r w:rsidRPr="0013396E">
                    <w:rPr>
                      <w:i/>
                      <w:vertAlign w:val="subscript"/>
                    </w:rPr>
                    <w:t>hb, ERCOT345Bus</w:t>
                  </w:r>
                </w:p>
              </w:tc>
              <w:tc>
                <w:tcPr>
                  <w:tcW w:w="1080" w:type="dxa"/>
                </w:tcPr>
                <w:p w14:paraId="13B67341" w14:textId="01E23FB6" w:rsidR="002B516C" w:rsidRPr="0013396E" w:rsidRDefault="002B516C" w:rsidP="002B516C">
                  <w:pPr>
                    <w:pStyle w:val="TableBody"/>
                  </w:pPr>
                  <w:r w:rsidRPr="0013396E">
                    <w:t>none</w:t>
                  </w:r>
                </w:p>
              </w:tc>
              <w:tc>
                <w:tcPr>
                  <w:tcW w:w="6155" w:type="dxa"/>
                </w:tcPr>
                <w:p w14:paraId="597048A6" w14:textId="5FB2EC1A" w:rsidR="002B516C" w:rsidRPr="0013396E" w:rsidRDefault="002B516C" w:rsidP="002B516C">
                  <w:pPr>
                    <w:pStyle w:val="TableBody"/>
                  </w:pPr>
                  <w:r w:rsidRPr="0013396E">
                    <w:rPr>
                      <w:i/>
                    </w:rPr>
                    <w:t>Hub Distribution Factor per Hub Bus</w:t>
                  </w:r>
                  <w:r w:rsidRPr="0013396E">
                    <w:sym w:font="Symbol" w:char="F0BE"/>
                  </w:r>
                  <w:r w:rsidRPr="0013396E">
                    <w:t xml:space="preserve">The distribution factor of Hub Bus </w:t>
                  </w:r>
                  <w:r w:rsidRPr="0013396E">
                    <w:rPr>
                      <w:i/>
                    </w:rPr>
                    <w:t>hb</w:t>
                  </w:r>
                  <w:r w:rsidRPr="0013396E">
                    <w:t xml:space="preserve">.  </w:t>
                  </w:r>
                </w:p>
              </w:tc>
            </w:tr>
            <w:tr w:rsidR="002B516C" w:rsidRPr="0013396E" w14:paraId="0A5A88A0" w14:textId="77777777" w:rsidTr="00745852">
              <w:tc>
                <w:tcPr>
                  <w:tcW w:w="2035" w:type="dxa"/>
                </w:tcPr>
                <w:p w14:paraId="674BFBC4" w14:textId="6E188A1F" w:rsidR="002B516C" w:rsidRPr="0013396E" w:rsidRDefault="002B516C" w:rsidP="002B516C">
                  <w:pPr>
                    <w:pStyle w:val="TableBody"/>
                  </w:pPr>
                  <w:r w:rsidRPr="0013396E">
                    <w:t xml:space="preserve">HBDF </w:t>
                  </w:r>
                  <w:r w:rsidRPr="0013396E">
                    <w:rPr>
                      <w:i/>
                      <w:vertAlign w:val="subscript"/>
                    </w:rPr>
                    <w:t>b, hb, ERCOT345Bus</w:t>
                  </w:r>
                </w:p>
              </w:tc>
              <w:tc>
                <w:tcPr>
                  <w:tcW w:w="1080" w:type="dxa"/>
                </w:tcPr>
                <w:p w14:paraId="690688DC" w14:textId="3E77AE97" w:rsidR="002B516C" w:rsidRPr="0013396E" w:rsidRDefault="002B516C" w:rsidP="002B516C">
                  <w:pPr>
                    <w:pStyle w:val="TableBody"/>
                  </w:pPr>
                  <w:r w:rsidRPr="0013396E">
                    <w:t>none</w:t>
                  </w:r>
                </w:p>
              </w:tc>
              <w:tc>
                <w:tcPr>
                  <w:tcW w:w="6155" w:type="dxa"/>
                </w:tcPr>
                <w:p w14:paraId="3ABD4706" w14:textId="10719CEB" w:rsidR="002B516C" w:rsidRPr="0013396E" w:rsidRDefault="002B516C" w:rsidP="002B516C">
                  <w:pPr>
                    <w:pStyle w:val="TableBody"/>
                  </w:pPr>
                  <w:r w:rsidRPr="0013396E">
                    <w:rPr>
                      <w:i/>
                    </w:rPr>
                    <w:t>Hub Bus Distribution Factor per Electrical Bus of Hub Bus</w:t>
                  </w:r>
                  <w:r w:rsidRPr="0013396E">
                    <w:sym w:font="Symbol" w:char="F0BE"/>
                  </w:r>
                  <w:r w:rsidRPr="0013396E">
                    <w:t xml:space="preserve">The distribution factor of Electrical Bus </w:t>
                  </w:r>
                  <w:r w:rsidRPr="0013396E">
                    <w:rPr>
                      <w:i/>
                    </w:rPr>
                    <w:t>b</w:t>
                  </w:r>
                  <w:r w:rsidRPr="0013396E">
                    <w:t xml:space="preserve"> that is a component of Hub Bus </w:t>
                  </w:r>
                  <w:r w:rsidRPr="0013396E">
                    <w:rPr>
                      <w:i/>
                    </w:rPr>
                    <w:t>hb</w:t>
                  </w:r>
                  <w:r w:rsidRPr="0013396E">
                    <w:t xml:space="preserve">.  </w:t>
                  </w:r>
                </w:p>
              </w:tc>
            </w:tr>
            <w:tr w:rsidR="002B516C" w:rsidRPr="0013396E" w14:paraId="0933E4FA" w14:textId="77777777" w:rsidTr="00745852">
              <w:tc>
                <w:tcPr>
                  <w:tcW w:w="2035" w:type="dxa"/>
                </w:tcPr>
                <w:p w14:paraId="4E3814A0" w14:textId="719D907A" w:rsidR="002B516C" w:rsidRPr="0013396E" w:rsidRDefault="002B516C" w:rsidP="002B516C">
                  <w:pPr>
                    <w:pStyle w:val="TableBody"/>
                  </w:pPr>
                  <w:r w:rsidRPr="0013396E">
                    <w:t>HB</w:t>
                  </w:r>
                  <w:r w:rsidRPr="0013396E">
                    <w:rPr>
                      <w:vertAlign w:val="subscript"/>
                    </w:rPr>
                    <w:t xml:space="preserve"> </w:t>
                  </w:r>
                  <w:r w:rsidRPr="0013396E">
                    <w:rPr>
                      <w:i/>
                      <w:vertAlign w:val="subscript"/>
                    </w:rPr>
                    <w:t>ERCOT345Bus</w:t>
                  </w:r>
                </w:p>
              </w:tc>
              <w:tc>
                <w:tcPr>
                  <w:tcW w:w="1080" w:type="dxa"/>
                </w:tcPr>
                <w:p w14:paraId="587C284C" w14:textId="44BC7F7F" w:rsidR="002B516C" w:rsidRPr="0013396E" w:rsidRDefault="002B516C" w:rsidP="002B516C">
                  <w:pPr>
                    <w:pStyle w:val="TableBody"/>
                  </w:pPr>
                  <w:r w:rsidRPr="0013396E">
                    <w:t>none</w:t>
                  </w:r>
                </w:p>
              </w:tc>
              <w:tc>
                <w:tcPr>
                  <w:tcW w:w="6155" w:type="dxa"/>
                </w:tcPr>
                <w:p w14:paraId="2E22D436" w14:textId="0E7409A0" w:rsidR="002B516C" w:rsidRPr="0013396E" w:rsidRDefault="002B516C" w:rsidP="002B516C">
                  <w:pPr>
                    <w:pStyle w:val="TableBody"/>
                  </w:pPr>
                  <w:r w:rsidRPr="0013396E">
                    <w:t>The total number of Hub Buses in the ERCOT Bus Average 345 kV Hub (ERCOT 345 Bus) with at least one energized component in each Hub Bus . The Hub “ERCOT 345 Bus” includes any Hub Bus defined in the Hub “North 345”, “South 345”, “Houston 345” and “West 345”.</w:t>
                  </w:r>
                </w:p>
              </w:tc>
            </w:tr>
            <w:tr w:rsidR="002B516C" w:rsidRPr="0013396E" w14:paraId="3A68B10A" w14:textId="77777777" w:rsidTr="00745852">
              <w:tc>
                <w:tcPr>
                  <w:tcW w:w="2035" w:type="dxa"/>
                </w:tcPr>
                <w:p w14:paraId="26E3F7A1" w14:textId="14A1F47A" w:rsidR="002B516C" w:rsidRPr="0013396E" w:rsidRDefault="002B516C" w:rsidP="002B516C">
                  <w:pPr>
                    <w:pStyle w:val="TableBody"/>
                  </w:pPr>
                  <w:r w:rsidRPr="0013396E">
                    <w:t xml:space="preserve">B </w:t>
                  </w:r>
                  <w:r w:rsidRPr="0013396E">
                    <w:rPr>
                      <w:i/>
                      <w:vertAlign w:val="subscript"/>
                    </w:rPr>
                    <w:t>hb, ERCOT345Bus</w:t>
                  </w:r>
                </w:p>
              </w:tc>
              <w:tc>
                <w:tcPr>
                  <w:tcW w:w="1080" w:type="dxa"/>
                </w:tcPr>
                <w:p w14:paraId="129FA6CB" w14:textId="242CAC63" w:rsidR="002B516C" w:rsidRPr="0013396E" w:rsidRDefault="002B516C" w:rsidP="002B516C">
                  <w:pPr>
                    <w:pStyle w:val="TableBody"/>
                  </w:pPr>
                  <w:r w:rsidRPr="0013396E">
                    <w:t>none</w:t>
                  </w:r>
                </w:p>
              </w:tc>
              <w:tc>
                <w:tcPr>
                  <w:tcW w:w="6155" w:type="dxa"/>
                </w:tcPr>
                <w:p w14:paraId="11CE8248" w14:textId="60DE110E" w:rsidR="002B516C" w:rsidRPr="0013396E" w:rsidRDefault="002B516C" w:rsidP="002B516C">
                  <w:pPr>
                    <w:pStyle w:val="TableBody"/>
                  </w:pPr>
                  <w:r w:rsidRPr="0013396E">
                    <w:t xml:space="preserve">The total number of energized Electrical Buses in Hub Bus </w:t>
                  </w:r>
                  <w:r w:rsidRPr="0013396E">
                    <w:rPr>
                      <w:i/>
                    </w:rPr>
                    <w:t>hb</w:t>
                  </w:r>
                  <w:r w:rsidRPr="0013396E">
                    <w:t xml:space="preserve"> that is a component of “ERCOT 345 Bus”.</w:t>
                  </w:r>
                </w:p>
              </w:tc>
            </w:tr>
            <w:tr w:rsidR="002B516C" w:rsidRPr="0013396E" w14:paraId="1FAA5F7C" w14:textId="77777777" w:rsidTr="00745852">
              <w:tc>
                <w:tcPr>
                  <w:tcW w:w="2035" w:type="dxa"/>
                </w:tcPr>
                <w:p w14:paraId="5D5C9EE7" w14:textId="42411DAD" w:rsidR="002B516C" w:rsidRPr="0013396E" w:rsidRDefault="002B516C" w:rsidP="002B516C">
                  <w:pPr>
                    <w:pStyle w:val="TableBody"/>
                  </w:pPr>
                  <w:r w:rsidRPr="0013396E">
                    <w:rPr>
                      <w:i/>
                    </w:rPr>
                    <w:t>hb</w:t>
                  </w:r>
                </w:p>
              </w:tc>
              <w:tc>
                <w:tcPr>
                  <w:tcW w:w="1080" w:type="dxa"/>
                </w:tcPr>
                <w:p w14:paraId="4548EEB1" w14:textId="571C5CA6" w:rsidR="002B516C" w:rsidRPr="0013396E" w:rsidRDefault="002B516C" w:rsidP="002B516C">
                  <w:pPr>
                    <w:pStyle w:val="TableBody"/>
                  </w:pPr>
                  <w:r w:rsidRPr="0013396E">
                    <w:t>none</w:t>
                  </w:r>
                </w:p>
              </w:tc>
              <w:tc>
                <w:tcPr>
                  <w:tcW w:w="6155" w:type="dxa"/>
                </w:tcPr>
                <w:p w14:paraId="19F9CFEC" w14:textId="761B2E3C" w:rsidR="002B516C" w:rsidRPr="0013396E" w:rsidRDefault="002B516C" w:rsidP="002B516C">
                  <w:pPr>
                    <w:pStyle w:val="TableBody"/>
                  </w:pPr>
                  <w:r w:rsidRPr="0013396E">
                    <w:t>A Hub Bus that is a component of the ERCOT Bus Average 345 kV Hub (ERCOT 345 Bus) with at least one energized component. The Hub “ERCOT 345 Bus” includes any Hub Bus defined in the Hub “North 345”, “South 345”, “Houston 345” and “West 345”.</w:t>
                  </w:r>
                </w:p>
              </w:tc>
            </w:tr>
            <w:tr w:rsidR="002B516C" w:rsidRPr="0013396E" w14:paraId="1A39F31A" w14:textId="77777777" w:rsidTr="00745852">
              <w:tc>
                <w:tcPr>
                  <w:tcW w:w="2035" w:type="dxa"/>
                </w:tcPr>
                <w:p w14:paraId="661DEE36" w14:textId="0BC99D26" w:rsidR="002B516C" w:rsidRPr="0013396E" w:rsidRDefault="002B516C" w:rsidP="002B516C">
                  <w:pPr>
                    <w:pStyle w:val="TableBody"/>
                  </w:pPr>
                  <w:r w:rsidRPr="0013396E">
                    <w:rPr>
                      <w:i/>
                    </w:rPr>
                    <w:t>y</w:t>
                  </w:r>
                </w:p>
              </w:tc>
              <w:tc>
                <w:tcPr>
                  <w:tcW w:w="1080" w:type="dxa"/>
                </w:tcPr>
                <w:p w14:paraId="2548897A" w14:textId="509E7D44" w:rsidR="002B516C" w:rsidRPr="0013396E" w:rsidRDefault="002B516C" w:rsidP="002B516C">
                  <w:pPr>
                    <w:pStyle w:val="TableBody"/>
                  </w:pPr>
                  <w:r w:rsidRPr="0013396E">
                    <w:t>none</w:t>
                  </w:r>
                </w:p>
              </w:tc>
              <w:tc>
                <w:tcPr>
                  <w:tcW w:w="6155" w:type="dxa"/>
                </w:tcPr>
                <w:p w14:paraId="6ACECA76" w14:textId="6B3877F6" w:rsidR="002B516C" w:rsidRPr="0013396E" w:rsidRDefault="002B516C" w:rsidP="002B516C">
                  <w:pPr>
                    <w:pStyle w:val="TableBody"/>
                  </w:pPr>
                  <w:r w:rsidRPr="0013396E">
                    <w:t>A SCED interval in the 15-minute Settlement Interval.  The summation is over the total number of SCED runs that cover the 15-minute Settlement Interval.</w:t>
                  </w:r>
                </w:p>
              </w:tc>
            </w:tr>
            <w:tr w:rsidR="002B516C" w:rsidRPr="0013396E" w14:paraId="69D648FF" w14:textId="77777777" w:rsidTr="00745852">
              <w:tc>
                <w:tcPr>
                  <w:tcW w:w="2035" w:type="dxa"/>
                </w:tcPr>
                <w:p w14:paraId="3C2FE504" w14:textId="705F0589" w:rsidR="002B516C" w:rsidRPr="0013396E" w:rsidRDefault="002B516C" w:rsidP="002B516C">
                  <w:pPr>
                    <w:pStyle w:val="TableBody"/>
                  </w:pPr>
                  <w:r w:rsidRPr="0013396E">
                    <w:rPr>
                      <w:i/>
                    </w:rPr>
                    <w:t>b</w:t>
                  </w:r>
                </w:p>
              </w:tc>
              <w:tc>
                <w:tcPr>
                  <w:tcW w:w="1080" w:type="dxa"/>
                </w:tcPr>
                <w:p w14:paraId="1471A99D" w14:textId="08644BA3" w:rsidR="002B516C" w:rsidRPr="0013396E" w:rsidRDefault="002B516C" w:rsidP="002B516C">
                  <w:pPr>
                    <w:pStyle w:val="TableBody"/>
                  </w:pPr>
                  <w:r w:rsidRPr="0013396E">
                    <w:t>none</w:t>
                  </w:r>
                </w:p>
              </w:tc>
              <w:tc>
                <w:tcPr>
                  <w:tcW w:w="6155" w:type="dxa"/>
                </w:tcPr>
                <w:p w14:paraId="6784B9BC" w14:textId="0AB6713A" w:rsidR="002B516C" w:rsidRPr="0013396E" w:rsidRDefault="002B516C" w:rsidP="002B516C">
                  <w:pPr>
                    <w:pStyle w:val="TableBody"/>
                  </w:pPr>
                  <w:r w:rsidRPr="0013396E">
                    <w:t>An energized Electrical Bus that is a component of a Hub Bus.</w:t>
                  </w:r>
                </w:p>
              </w:tc>
            </w:tr>
          </w:tbl>
          <w:p w14:paraId="72659928" w14:textId="77777777" w:rsidR="00776199" w:rsidRPr="0013396E" w:rsidRDefault="00776199" w:rsidP="00776199">
            <w:pPr>
              <w:pStyle w:val="BodyTextNumbered"/>
              <w:ind w:left="0" w:firstLine="0"/>
            </w:pPr>
          </w:p>
        </w:tc>
      </w:tr>
    </w:tbl>
    <w:p w14:paraId="549442F9" w14:textId="77777777" w:rsidR="009658B2" w:rsidRPr="0013396E" w:rsidRDefault="009658B2" w:rsidP="005A7D8E">
      <w:pPr>
        <w:keepNext/>
        <w:widowControl w:val="0"/>
        <w:spacing w:before="480" w:after="240"/>
        <w:outlineLvl w:val="3"/>
        <w:rPr>
          <w:b/>
          <w:bCs/>
          <w:snapToGrid w:val="0"/>
        </w:rPr>
      </w:pPr>
      <w:bookmarkStart w:id="1469" w:name="_Toc214878953"/>
      <w:r w:rsidRPr="0013396E">
        <w:rPr>
          <w:b/>
          <w:bCs/>
          <w:snapToGrid w:val="0"/>
        </w:rPr>
        <w:lastRenderedPageBreak/>
        <w:t>6.6.1.6</w:t>
      </w:r>
      <w:r w:rsidRPr="0013396E">
        <w:rPr>
          <w:b/>
          <w:bCs/>
          <w:snapToGrid w:val="0"/>
        </w:rPr>
        <w:tab/>
      </w:r>
      <w:r w:rsidRPr="0013396E">
        <w:rPr>
          <w:b/>
          <w:bCs/>
          <w:snapToGrid w:val="0"/>
        </w:rPr>
        <w:tab/>
        <w:t>Real-Time Market Clearing Prices for Ancillary Services</w:t>
      </w:r>
      <w:bookmarkEnd w:id="1469"/>
    </w:p>
    <w:p w14:paraId="56DA3A19" w14:textId="6F9AD296" w:rsidR="009658B2" w:rsidRPr="0013396E" w:rsidRDefault="009658B2" w:rsidP="009658B2">
      <w:pPr>
        <w:spacing w:after="240"/>
        <w:ind w:left="720" w:hanging="720"/>
      </w:pPr>
      <w:r w:rsidRPr="0013396E">
        <w:t>(1)</w:t>
      </w:r>
      <w:r w:rsidRPr="0013396E">
        <w:tab/>
        <w:t>The Real-Time Market Clearing Price for Capacity (MCPC) for Reg-Up is the time-weighted average of the sum of the Real-Time MCPCs for Reg-Up and Real-Time Reliability Deployment Price Adder for Ancillary Service for Reg-Up of each SCED interval in the 15-minute Settlement Interval.  The Real-Time MCPC for Reg-Up for a 15-minute Settlement Interval is calculated as follows:</w:t>
      </w:r>
    </w:p>
    <w:p w14:paraId="0CF3C3A7" w14:textId="77777777" w:rsidR="009658B2" w:rsidRPr="0013396E" w:rsidRDefault="009658B2" w:rsidP="009658B2">
      <w:pPr>
        <w:pStyle w:val="FormulaBold"/>
        <w:rPr>
          <w:i/>
          <w:vertAlign w:val="subscript"/>
        </w:rPr>
      </w:pPr>
      <w:r w:rsidRPr="0013396E">
        <w:t xml:space="preserve">RTMCPCRU  =   </w:t>
      </w:r>
      <w:r w:rsidRPr="0013396E">
        <w:rPr>
          <w:position w:val="-22"/>
        </w:rPr>
        <w:object w:dxaOrig="225" w:dyaOrig="465" w14:anchorId="651170B4">
          <v:shape id="_x0000_i1051" type="#_x0000_t75" style="width:24pt;height:18.6pt" o:ole="">
            <v:imagedata r:id="rId20" o:title=""/>
          </v:shape>
          <o:OLEObject Type="Embed" ProgID="Equation.3" ShapeID="_x0000_i1051" DrawAspect="Content" ObjectID="_1836311330" r:id="rId51"/>
        </w:object>
      </w:r>
      <w:r w:rsidRPr="0013396E">
        <w:t xml:space="preserve"> (RNWF </w:t>
      </w:r>
      <w:r w:rsidRPr="0013396E">
        <w:rPr>
          <w:i/>
          <w:vertAlign w:val="subscript"/>
        </w:rPr>
        <w:t>y</w:t>
      </w:r>
      <w:r w:rsidRPr="0013396E">
        <w:t xml:space="preserve"> * (RTMCPCRUS </w:t>
      </w:r>
      <w:r w:rsidRPr="0013396E">
        <w:rPr>
          <w:i/>
          <w:vertAlign w:val="subscript"/>
        </w:rPr>
        <w:t>y</w:t>
      </w:r>
      <w:r w:rsidRPr="0013396E">
        <w:t xml:space="preserve"> + RTRDPARUS </w:t>
      </w:r>
      <w:r w:rsidRPr="0013396E">
        <w:rPr>
          <w:i/>
          <w:iCs/>
          <w:vertAlign w:val="subscript"/>
        </w:rPr>
        <w:t>y</w:t>
      </w:r>
      <w:r w:rsidRPr="0013396E">
        <w:t>))</w:t>
      </w:r>
    </w:p>
    <w:p w14:paraId="7EA586BA" w14:textId="77777777" w:rsidR="009658B2" w:rsidRPr="0013396E" w:rsidRDefault="009658B2" w:rsidP="009658B2">
      <w:pPr>
        <w:pStyle w:val="BodyTextNumbered"/>
        <w:ind w:left="0" w:firstLine="0"/>
      </w:pPr>
      <w:r w:rsidRPr="0013396E">
        <w:t>Where:</w:t>
      </w:r>
    </w:p>
    <w:p w14:paraId="2F2E7C17" w14:textId="77777777" w:rsidR="009658B2" w:rsidRPr="0013396E" w:rsidRDefault="009658B2" w:rsidP="009658B2">
      <w:pPr>
        <w:spacing w:after="240"/>
        <w:ind w:firstLine="720"/>
        <w:rPr>
          <w:i/>
          <w:vertAlign w:val="subscript"/>
        </w:rPr>
      </w:pPr>
      <w:r w:rsidRPr="0013396E">
        <w:t xml:space="preserve">RNWF </w:t>
      </w:r>
      <w:r w:rsidRPr="0013396E">
        <w:rPr>
          <w:i/>
          <w:vertAlign w:val="subscript"/>
        </w:rPr>
        <w:t xml:space="preserve">y   </w:t>
      </w:r>
      <w:r w:rsidRPr="0013396E">
        <w:t xml:space="preserve">=  TLMP </w:t>
      </w:r>
      <w:r w:rsidRPr="0013396E">
        <w:rPr>
          <w:i/>
          <w:vertAlign w:val="subscript"/>
        </w:rPr>
        <w:t>y</w:t>
      </w:r>
      <w:r w:rsidRPr="0013396E">
        <w:t xml:space="preserve"> </w:t>
      </w:r>
      <w:r w:rsidRPr="0013396E">
        <w:rPr>
          <w:color w:val="000000"/>
          <w:sz w:val="32"/>
          <w:szCs w:val="32"/>
        </w:rPr>
        <w:t>/</w:t>
      </w:r>
      <w:r w:rsidRPr="0013396E">
        <w:rPr>
          <w:color w:val="000000"/>
        </w:rPr>
        <w:t xml:space="preserve"> </w:t>
      </w:r>
      <w:r w:rsidRPr="0013396E">
        <w:rPr>
          <w:position w:val="-22"/>
        </w:rPr>
        <w:object w:dxaOrig="225" w:dyaOrig="465" w14:anchorId="691D89F9">
          <v:shape id="_x0000_i1052" type="#_x0000_t75" style="width:24pt;height:18.6pt" o:ole="">
            <v:imagedata r:id="rId20" o:title=""/>
          </v:shape>
          <o:OLEObject Type="Embed" ProgID="Equation.3" ShapeID="_x0000_i1052" DrawAspect="Content" ObjectID="_1836311331" r:id="rId52"/>
        </w:object>
      </w:r>
      <w:r w:rsidRPr="0013396E">
        <w:t xml:space="preserve">TLMP </w:t>
      </w:r>
      <w:r w:rsidRPr="0013396E">
        <w:rPr>
          <w:i/>
          <w:vertAlign w:val="subscript"/>
        </w:rPr>
        <w:t>y</w:t>
      </w:r>
    </w:p>
    <w:p w14:paraId="255B5533" w14:textId="77777777" w:rsidR="009658B2" w:rsidRPr="0013396E" w:rsidRDefault="009658B2" w:rsidP="009658B2">
      <w:pPr>
        <w:pStyle w:val="Instructions"/>
        <w:spacing w:after="0"/>
        <w:ind w:left="720" w:hanging="720"/>
        <w:rPr>
          <w:b w:val="0"/>
          <w:i w:val="0"/>
        </w:rPr>
      </w:pPr>
      <w:r w:rsidRPr="0013396E">
        <w:rPr>
          <w:b w:val="0"/>
          <w:i w:val="0"/>
        </w:rPr>
        <w:lastRenderedPageBreak/>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22"/>
        <w:gridCol w:w="1180"/>
        <w:gridCol w:w="5748"/>
      </w:tblGrid>
      <w:tr w:rsidR="009658B2" w:rsidRPr="0013396E" w14:paraId="2681C6C3" w14:textId="77777777" w:rsidTr="0099759E">
        <w:trPr>
          <w:cantSplit/>
          <w:tblHeader/>
        </w:trPr>
        <w:tc>
          <w:tcPr>
            <w:tcW w:w="1295" w:type="pct"/>
            <w:tcBorders>
              <w:top w:val="single" w:sz="4" w:space="0" w:color="auto"/>
              <w:left w:val="single" w:sz="4" w:space="0" w:color="auto"/>
              <w:bottom w:val="single" w:sz="4" w:space="0" w:color="auto"/>
              <w:right w:val="single" w:sz="4" w:space="0" w:color="auto"/>
            </w:tcBorders>
            <w:hideMark/>
          </w:tcPr>
          <w:p w14:paraId="3BE04D02" w14:textId="77777777" w:rsidR="009658B2" w:rsidRPr="0013396E" w:rsidRDefault="009658B2" w:rsidP="0099759E">
            <w:pPr>
              <w:pStyle w:val="TableHead"/>
            </w:pPr>
            <w:r w:rsidRPr="0013396E">
              <w:t>Variable</w:t>
            </w:r>
          </w:p>
        </w:tc>
        <w:tc>
          <w:tcPr>
            <w:tcW w:w="631" w:type="pct"/>
            <w:tcBorders>
              <w:top w:val="single" w:sz="4" w:space="0" w:color="auto"/>
              <w:left w:val="single" w:sz="4" w:space="0" w:color="auto"/>
              <w:bottom w:val="single" w:sz="4" w:space="0" w:color="auto"/>
              <w:right w:val="single" w:sz="4" w:space="0" w:color="auto"/>
            </w:tcBorders>
            <w:hideMark/>
          </w:tcPr>
          <w:p w14:paraId="26F72A82" w14:textId="77777777" w:rsidR="009658B2" w:rsidRPr="0013396E" w:rsidRDefault="009658B2" w:rsidP="0099759E">
            <w:pPr>
              <w:pStyle w:val="TableHead"/>
            </w:pPr>
            <w:r w:rsidRPr="0013396E">
              <w:t>Unit</w:t>
            </w:r>
          </w:p>
        </w:tc>
        <w:tc>
          <w:tcPr>
            <w:tcW w:w="3074" w:type="pct"/>
            <w:tcBorders>
              <w:top w:val="single" w:sz="4" w:space="0" w:color="auto"/>
              <w:left w:val="single" w:sz="4" w:space="0" w:color="auto"/>
              <w:bottom w:val="single" w:sz="4" w:space="0" w:color="auto"/>
              <w:right w:val="single" w:sz="4" w:space="0" w:color="auto"/>
            </w:tcBorders>
            <w:hideMark/>
          </w:tcPr>
          <w:p w14:paraId="73267C77" w14:textId="77777777" w:rsidR="009658B2" w:rsidRPr="0013396E" w:rsidRDefault="009658B2" w:rsidP="0099759E">
            <w:pPr>
              <w:pStyle w:val="TableHead"/>
            </w:pPr>
            <w:r w:rsidRPr="0013396E">
              <w:t>Description</w:t>
            </w:r>
          </w:p>
        </w:tc>
      </w:tr>
      <w:tr w:rsidR="009658B2" w:rsidRPr="0013396E" w14:paraId="6B11D43B" w14:textId="77777777" w:rsidTr="0099759E">
        <w:trPr>
          <w:cantSplit/>
        </w:trPr>
        <w:tc>
          <w:tcPr>
            <w:tcW w:w="1295" w:type="pct"/>
            <w:tcBorders>
              <w:top w:val="single" w:sz="4" w:space="0" w:color="auto"/>
              <w:left w:val="single" w:sz="4" w:space="0" w:color="auto"/>
              <w:bottom w:val="single" w:sz="4" w:space="0" w:color="auto"/>
              <w:right w:val="single" w:sz="4" w:space="0" w:color="auto"/>
            </w:tcBorders>
            <w:hideMark/>
          </w:tcPr>
          <w:p w14:paraId="5BB2DF1C" w14:textId="77777777" w:rsidR="009658B2" w:rsidRPr="0013396E" w:rsidRDefault="009658B2" w:rsidP="0099759E">
            <w:pPr>
              <w:pStyle w:val="tablebody0"/>
            </w:pPr>
            <w:r w:rsidRPr="0013396E">
              <w:t xml:space="preserve">RTMCPCRU </w:t>
            </w:r>
          </w:p>
        </w:tc>
        <w:tc>
          <w:tcPr>
            <w:tcW w:w="631" w:type="pct"/>
            <w:tcBorders>
              <w:top w:val="single" w:sz="4" w:space="0" w:color="auto"/>
              <w:left w:val="single" w:sz="4" w:space="0" w:color="auto"/>
              <w:bottom w:val="single" w:sz="4" w:space="0" w:color="auto"/>
              <w:right w:val="single" w:sz="4" w:space="0" w:color="auto"/>
            </w:tcBorders>
            <w:hideMark/>
          </w:tcPr>
          <w:p w14:paraId="78261ED1" w14:textId="77777777" w:rsidR="009658B2" w:rsidRPr="0013396E" w:rsidRDefault="009658B2" w:rsidP="0099759E">
            <w:pPr>
              <w:pStyle w:val="tablebody0"/>
            </w:pPr>
            <w:r w:rsidRPr="0013396E">
              <w:t>$/MW</w:t>
            </w:r>
          </w:p>
        </w:tc>
        <w:tc>
          <w:tcPr>
            <w:tcW w:w="3074" w:type="pct"/>
            <w:tcBorders>
              <w:top w:val="single" w:sz="4" w:space="0" w:color="auto"/>
              <w:left w:val="single" w:sz="4" w:space="0" w:color="auto"/>
              <w:bottom w:val="single" w:sz="4" w:space="0" w:color="auto"/>
              <w:right w:val="single" w:sz="4" w:space="0" w:color="auto"/>
            </w:tcBorders>
            <w:hideMark/>
          </w:tcPr>
          <w:p w14:paraId="69793C79" w14:textId="77777777" w:rsidR="009658B2" w:rsidRPr="0013396E" w:rsidRDefault="009658B2" w:rsidP="0099759E">
            <w:pPr>
              <w:pStyle w:val="tablebody0"/>
              <w:rPr>
                <w:i/>
              </w:rPr>
            </w:pPr>
            <w:r w:rsidRPr="0013396E">
              <w:rPr>
                <w:i/>
                <w:szCs w:val="18"/>
              </w:rPr>
              <w:t>Real-Time Market Clearing Price for Capacity for Reg-Up -</w:t>
            </w:r>
            <w:r w:rsidRPr="0013396E">
              <w:t xml:space="preserve"> The Real-Time MCPC for Reg-Up for the 15-minute Settlement Interval.</w:t>
            </w:r>
          </w:p>
        </w:tc>
      </w:tr>
      <w:tr w:rsidR="009658B2" w:rsidRPr="0013396E" w14:paraId="7D07277F" w14:textId="77777777" w:rsidTr="0099759E">
        <w:trPr>
          <w:cantSplit/>
        </w:trPr>
        <w:tc>
          <w:tcPr>
            <w:tcW w:w="1295" w:type="pct"/>
            <w:tcBorders>
              <w:top w:val="single" w:sz="4" w:space="0" w:color="auto"/>
              <w:left w:val="single" w:sz="4" w:space="0" w:color="auto"/>
              <w:bottom w:val="single" w:sz="4" w:space="0" w:color="auto"/>
              <w:right w:val="single" w:sz="4" w:space="0" w:color="auto"/>
            </w:tcBorders>
            <w:hideMark/>
          </w:tcPr>
          <w:p w14:paraId="2607D951" w14:textId="77777777" w:rsidR="009658B2" w:rsidRPr="0013396E" w:rsidRDefault="009658B2" w:rsidP="0099759E">
            <w:pPr>
              <w:pStyle w:val="tablebody0"/>
            </w:pPr>
            <w:r w:rsidRPr="0013396E">
              <w:t>RTMCPCRUS</w:t>
            </w:r>
            <w:r w:rsidRPr="0013396E">
              <w:rPr>
                <w:i/>
                <w:vertAlign w:val="subscript"/>
              </w:rPr>
              <w:t xml:space="preserve"> y</w:t>
            </w:r>
          </w:p>
        </w:tc>
        <w:tc>
          <w:tcPr>
            <w:tcW w:w="631" w:type="pct"/>
            <w:tcBorders>
              <w:top w:val="single" w:sz="4" w:space="0" w:color="auto"/>
              <w:left w:val="single" w:sz="4" w:space="0" w:color="auto"/>
              <w:bottom w:val="single" w:sz="4" w:space="0" w:color="auto"/>
              <w:right w:val="single" w:sz="4" w:space="0" w:color="auto"/>
            </w:tcBorders>
            <w:hideMark/>
          </w:tcPr>
          <w:p w14:paraId="1628B1E6" w14:textId="77777777" w:rsidR="009658B2" w:rsidRPr="0013396E" w:rsidRDefault="009658B2" w:rsidP="0099759E">
            <w:pPr>
              <w:pStyle w:val="tablebody0"/>
            </w:pPr>
            <w:r w:rsidRPr="0013396E">
              <w:t>$/MW</w:t>
            </w:r>
          </w:p>
        </w:tc>
        <w:tc>
          <w:tcPr>
            <w:tcW w:w="3074" w:type="pct"/>
            <w:tcBorders>
              <w:top w:val="single" w:sz="4" w:space="0" w:color="auto"/>
              <w:left w:val="single" w:sz="4" w:space="0" w:color="auto"/>
              <w:bottom w:val="single" w:sz="4" w:space="0" w:color="auto"/>
              <w:right w:val="single" w:sz="4" w:space="0" w:color="auto"/>
            </w:tcBorders>
            <w:hideMark/>
          </w:tcPr>
          <w:p w14:paraId="323D843F" w14:textId="77777777" w:rsidR="009658B2" w:rsidRPr="0013396E" w:rsidRDefault="009658B2" w:rsidP="0099759E">
            <w:pPr>
              <w:pStyle w:val="tablebody0"/>
              <w:rPr>
                <w:i/>
                <w:szCs w:val="18"/>
              </w:rPr>
            </w:pPr>
            <w:r w:rsidRPr="0013396E">
              <w:rPr>
                <w:i/>
                <w:szCs w:val="18"/>
              </w:rPr>
              <w:t xml:space="preserve">Real-Time Market Clearing Price for Capacity for Reg-Up </w:t>
            </w:r>
            <w:r w:rsidRPr="0013396E">
              <w:rPr>
                <w:i/>
              </w:rPr>
              <w:t xml:space="preserve">per SCED interval </w:t>
            </w:r>
            <w:r w:rsidRPr="0013396E">
              <w:rPr>
                <w:i/>
                <w:szCs w:val="18"/>
              </w:rPr>
              <w:t>-</w:t>
            </w:r>
            <w:r w:rsidRPr="0013396E">
              <w:t xml:space="preserve"> The Real-Time MCPC for Reg-Up for the SCED interval </w:t>
            </w:r>
            <w:r w:rsidRPr="0013396E">
              <w:rPr>
                <w:i/>
              </w:rPr>
              <w:t>y.</w:t>
            </w:r>
          </w:p>
        </w:tc>
      </w:tr>
      <w:tr w:rsidR="009658B2" w:rsidRPr="0013396E" w14:paraId="3AF68E29" w14:textId="77777777" w:rsidTr="0099759E">
        <w:trPr>
          <w:cantSplit/>
        </w:trPr>
        <w:tc>
          <w:tcPr>
            <w:tcW w:w="1295" w:type="pct"/>
          </w:tcPr>
          <w:p w14:paraId="16831F56" w14:textId="77777777" w:rsidR="009658B2" w:rsidRPr="0013396E" w:rsidRDefault="009658B2" w:rsidP="0099759E">
            <w:pPr>
              <w:pStyle w:val="tablebody0"/>
              <w:rPr>
                <w:i/>
              </w:rPr>
            </w:pPr>
            <w:r w:rsidRPr="0013396E">
              <w:t>RTRDPARUS</w:t>
            </w:r>
            <w:r w:rsidRPr="0013396E">
              <w:rPr>
                <w:rFonts w:ascii="Segoe UI" w:hAnsi="Segoe UI" w:cs="Segoe UI"/>
                <w:color w:val="000000"/>
              </w:rPr>
              <w:t xml:space="preserve"> </w:t>
            </w:r>
            <w:r w:rsidRPr="0013396E">
              <w:rPr>
                <w:i/>
                <w:vertAlign w:val="subscript"/>
              </w:rPr>
              <w:t>y</w:t>
            </w:r>
          </w:p>
        </w:tc>
        <w:tc>
          <w:tcPr>
            <w:tcW w:w="631" w:type="pct"/>
          </w:tcPr>
          <w:p w14:paraId="3F55E4CF" w14:textId="77777777" w:rsidR="009658B2" w:rsidRPr="0013396E" w:rsidRDefault="009658B2" w:rsidP="0099759E">
            <w:pPr>
              <w:pStyle w:val="tablebody0"/>
            </w:pPr>
            <w:r w:rsidRPr="0013396E">
              <w:t>$/MW</w:t>
            </w:r>
          </w:p>
        </w:tc>
        <w:tc>
          <w:tcPr>
            <w:tcW w:w="3074" w:type="pct"/>
          </w:tcPr>
          <w:p w14:paraId="5D37A660" w14:textId="77777777" w:rsidR="009658B2" w:rsidRPr="0013396E" w:rsidRDefault="009658B2" w:rsidP="0099759E">
            <w:pPr>
              <w:pStyle w:val="tablebody0"/>
            </w:pPr>
            <w:r w:rsidRPr="0013396E">
              <w:rPr>
                <w:i/>
                <w:szCs w:val="18"/>
              </w:rPr>
              <w:t xml:space="preserve">Real-Time </w:t>
            </w:r>
            <w:r w:rsidRPr="0013396E">
              <w:rPr>
                <w:i/>
              </w:rPr>
              <w:t xml:space="preserve">Reliability Deployment Price Adder for Ancillary Service </w:t>
            </w:r>
            <w:r w:rsidRPr="0013396E">
              <w:rPr>
                <w:i/>
                <w:szCs w:val="18"/>
              </w:rPr>
              <w:t xml:space="preserve">for Reg-Up </w:t>
            </w:r>
            <w:r w:rsidRPr="0013396E">
              <w:rPr>
                <w:i/>
              </w:rPr>
              <w:t>per SCED interval</w:t>
            </w:r>
            <w:r w:rsidRPr="0013396E">
              <w:t xml:space="preserve"> - The Real-Time price adder for Reg-Up that captures the impact of reliability deployments on Reg-Up prices for the SCED interval y.</w:t>
            </w:r>
          </w:p>
        </w:tc>
      </w:tr>
      <w:tr w:rsidR="009658B2" w:rsidRPr="0013396E" w14:paraId="00B1E214" w14:textId="77777777" w:rsidTr="0099759E">
        <w:trPr>
          <w:cantSplit/>
        </w:trPr>
        <w:tc>
          <w:tcPr>
            <w:tcW w:w="1295" w:type="pct"/>
          </w:tcPr>
          <w:p w14:paraId="1FB89A35" w14:textId="77777777" w:rsidR="009658B2" w:rsidRPr="0013396E" w:rsidRDefault="009658B2" w:rsidP="0099759E">
            <w:pPr>
              <w:pStyle w:val="tablebody0"/>
            </w:pPr>
            <w:r w:rsidRPr="0013396E">
              <w:rPr>
                <w:iCs/>
              </w:rPr>
              <w:t xml:space="preserve">RNWF </w:t>
            </w:r>
            <w:r w:rsidRPr="0013396E">
              <w:rPr>
                <w:i/>
                <w:iCs/>
                <w:vertAlign w:val="subscript"/>
              </w:rPr>
              <w:t>y</w:t>
            </w:r>
          </w:p>
        </w:tc>
        <w:tc>
          <w:tcPr>
            <w:tcW w:w="631" w:type="pct"/>
          </w:tcPr>
          <w:p w14:paraId="08009888" w14:textId="77777777" w:rsidR="009658B2" w:rsidRPr="0013396E" w:rsidRDefault="009658B2" w:rsidP="0099759E">
            <w:pPr>
              <w:pStyle w:val="tablebody0"/>
            </w:pPr>
            <w:r w:rsidRPr="0013396E">
              <w:rPr>
                <w:iCs/>
              </w:rPr>
              <w:t>none</w:t>
            </w:r>
          </w:p>
        </w:tc>
        <w:tc>
          <w:tcPr>
            <w:tcW w:w="3074" w:type="pct"/>
          </w:tcPr>
          <w:p w14:paraId="19E85281" w14:textId="77777777" w:rsidR="009658B2" w:rsidRPr="0013396E" w:rsidRDefault="009658B2" w:rsidP="0099759E">
            <w:pPr>
              <w:pStyle w:val="tablebody0"/>
              <w:rPr>
                <w:i/>
                <w:szCs w:val="18"/>
              </w:rPr>
            </w:pPr>
            <w:r w:rsidRPr="0013396E">
              <w:rPr>
                <w:i/>
                <w:iCs/>
              </w:rPr>
              <w:t>Resource Node Weighting Factor per interval</w:t>
            </w:r>
            <w:r w:rsidRPr="0013396E">
              <w:rPr>
                <w:iCs/>
              </w:rPr>
              <w:sym w:font="Symbol" w:char="F0BE"/>
            </w:r>
            <w:r w:rsidRPr="0013396E">
              <w:rPr>
                <w:iCs/>
              </w:rPr>
              <w:t xml:space="preserve">The weight used in the Ancillary Service Price calculation for the portion of the SCED interval </w:t>
            </w:r>
            <w:r w:rsidRPr="0013396E">
              <w:rPr>
                <w:i/>
                <w:iCs/>
              </w:rPr>
              <w:t>y</w:t>
            </w:r>
            <w:r w:rsidRPr="0013396E">
              <w:rPr>
                <w:iCs/>
              </w:rPr>
              <w:t xml:space="preserve"> within the Settlement Interval.</w:t>
            </w:r>
          </w:p>
        </w:tc>
      </w:tr>
      <w:tr w:rsidR="009658B2" w:rsidRPr="0013396E" w14:paraId="4D2A806D" w14:textId="77777777" w:rsidTr="0099759E">
        <w:trPr>
          <w:cantSplit/>
        </w:trPr>
        <w:tc>
          <w:tcPr>
            <w:tcW w:w="1295" w:type="pct"/>
          </w:tcPr>
          <w:p w14:paraId="433ACA1E" w14:textId="77777777" w:rsidR="009658B2" w:rsidRPr="0013396E" w:rsidRDefault="009658B2" w:rsidP="0099759E">
            <w:pPr>
              <w:pStyle w:val="tablebody0"/>
            </w:pPr>
            <w:r w:rsidRPr="0013396E">
              <w:rPr>
                <w:iCs/>
              </w:rPr>
              <w:t xml:space="preserve">TLMP </w:t>
            </w:r>
            <w:r w:rsidRPr="0013396E">
              <w:rPr>
                <w:i/>
                <w:iCs/>
                <w:vertAlign w:val="subscript"/>
              </w:rPr>
              <w:t>y</w:t>
            </w:r>
          </w:p>
        </w:tc>
        <w:tc>
          <w:tcPr>
            <w:tcW w:w="631" w:type="pct"/>
          </w:tcPr>
          <w:p w14:paraId="4168CB39" w14:textId="77777777" w:rsidR="009658B2" w:rsidRPr="0013396E" w:rsidRDefault="009658B2" w:rsidP="0099759E">
            <w:pPr>
              <w:pStyle w:val="tablebody0"/>
            </w:pPr>
            <w:r w:rsidRPr="0013396E">
              <w:rPr>
                <w:iCs/>
              </w:rPr>
              <w:t>second</w:t>
            </w:r>
          </w:p>
        </w:tc>
        <w:tc>
          <w:tcPr>
            <w:tcW w:w="3074" w:type="pct"/>
          </w:tcPr>
          <w:p w14:paraId="6C492558" w14:textId="77777777" w:rsidR="009658B2" w:rsidRPr="0013396E" w:rsidRDefault="009658B2" w:rsidP="0099759E">
            <w:pPr>
              <w:pStyle w:val="tablebody0"/>
              <w:rPr>
                <w:i/>
                <w:szCs w:val="18"/>
              </w:rPr>
            </w:pPr>
            <w:r w:rsidRPr="0013396E">
              <w:rPr>
                <w:i/>
              </w:rPr>
              <w:t>Duration of SCED interval per interval</w:t>
            </w:r>
            <w:r w:rsidRPr="0013396E">
              <w:rPr>
                <w:iCs/>
              </w:rPr>
              <w:sym w:font="Symbol" w:char="F0BE"/>
            </w:r>
            <w:r w:rsidRPr="0013396E">
              <w:rPr>
                <w:iCs/>
              </w:rPr>
              <w:t xml:space="preserve">The duration of the portion of the SCED interval </w:t>
            </w:r>
            <w:r w:rsidRPr="0013396E">
              <w:rPr>
                <w:i/>
              </w:rPr>
              <w:t>y</w:t>
            </w:r>
            <w:r w:rsidRPr="0013396E">
              <w:t xml:space="preserve"> within the Settlement Interval</w:t>
            </w:r>
            <w:r w:rsidRPr="0013396E">
              <w:rPr>
                <w:iCs/>
              </w:rPr>
              <w:t>.</w:t>
            </w:r>
          </w:p>
        </w:tc>
      </w:tr>
      <w:tr w:rsidR="009658B2" w:rsidRPr="0013396E" w14:paraId="58895384" w14:textId="77777777" w:rsidTr="0099759E">
        <w:trPr>
          <w:cantSplit/>
        </w:trPr>
        <w:tc>
          <w:tcPr>
            <w:tcW w:w="1295" w:type="pct"/>
          </w:tcPr>
          <w:p w14:paraId="728DBF52" w14:textId="77777777" w:rsidR="009658B2" w:rsidRPr="0013396E" w:rsidRDefault="009658B2" w:rsidP="0099759E">
            <w:pPr>
              <w:pStyle w:val="tablebody0"/>
              <w:rPr>
                <w:i/>
              </w:rPr>
            </w:pPr>
            <w:r w:rsidRPr="0013396E">
              <w:rPr>
                <w:i/>
              </w:rPr>
              <w:t>y</w:t>
            </w:r>
          </w:p>
        </w:tc>
        <w:tc>
          <w:tcPr>
            <w:tcW w:w="631" w:type="pct"/>
          </w:tcPr>
          <w:p w14:paraId="42F191F1" w14:textId="77777777" w:rsidR="009658B2" w:rsidRPr="0013396E" w:rsidRDefault="009658B2" w:rsidP="0099759E">
            <w:pPr>
              <w:pStyle w:val="tablebody0"/>
            </w:pPr>
            <w:r w:rsidRPr="0013396E">
              <w:t>none</w:t>
            </w:r>
          </w:p>
        </w:tc>
        <w:tc>
          <w:tcPr>
            <w:tcW w:w="3074" w:type="pct"/>
          </w:tcPr>
          <w:p w14:paraId="4878ACC8" w14:textId="77777777" w:rsidR="009658B2" w:rsidRPr="0013396E" w:rsidRDefault="009658B2" w:rsidP="0099759E">
            <w:pPr>
              <w:pStyle w:val="tablebody0"/>
            </w:pPr>
            <w:r w:rsidRPr="0013396E">
              <w:t>A SCED interval in the 15-minute Settlement Interval.</w:t>
            </w:r>
          </w:p>
        </w:tc>
      </w:tr>
    </w:tbl>
    <w:p w14:paraId="2755C725" w14:textId="77777777" w:rsidR="009658B2" w:rsidRPr="0013396E" w:rsidRDefault="009658B2" w:rsidP="009658B2">
      <w:pPr>
        <w:spacing w:before="240" w:after="240"/>
        <w:ind w:left="720" w:hanging="720"/>
      </w:pPr>
      <w:r w:rsidRPr="0013396E">
        <w:rPr>
          <w:bCs/>
          <w:snapToGrid w:val="0"/>
        </w:rPr>
        <w:t>(2)</w:t>
      </w:r>
      <w:r w:rsidRPr="0013396E">
        <w:t xml:space="preserve"> </w:t>
      </w:r>
      <w:r w:rsidRPr="0013396E">
        <w:tab/>
        <w:t>The Real-Time MCPC for Reg-Down is the time-weighted average of the sum of the Real-Time MCPCs for Reg-Down and Real-Time Reliability Deployment Price Adder for Ancillary Service for Reg-Down of each SCED interval in the 15-minute Settlement Interval.  The Real-Time MCPC for Reg-Down for a 15-minute Settlement Interval is calculated as follows:</w:t>
      </w:r>
    </w:p>
    <w:p w14:paraId="20C5A844" w14:textId="77777777" w:rsidR="009658B2" w:rsidRPr="0013396E" w:rsidRDefault="009658B2" w:rsidP="009658B2">
      <w:pPr>
        <w:pStyle w:val="FormulaBold"/>
        <w:rPr>
          <w:i/>
          <w:vertAlign w:val="subscript"/>
        </w:rPr>
      </w:pPr>
      <w:r w:rsidRPr="0013396E">
        <w:t xml:space="preserve">RTMCPCRD  =   </w:t>
      </w:r>
      <w:r w:rsidRPr="0013396E">
        <w:rPr>
          <w:position w:val="-22"/>
        </w:rPr>
        <w:object w:dxaOrig="225" w:dyaOrig="465" w14:anchorId="2D42F478">
          <v:shape id="_x0000_i1053" type="#_x0000_t75" style="width:24pt;height:18.6pt" o:ole="">
            <v:imagedata r:id="rId20" o:title=""/>
          </v:shape>
          <o:OLEObject Type="Embed" ProgID="Equation.3" ShapeID="_x0000_i1053" DrawAspect="Content" ObjectID="_1836311332" r:id="rId53"/>
        </w:object>
      </w:r>
      <w:r w:rsidRPr="0013396E">
        <w:t xml:space="preserve"> (RNWF </w:t>
      </w:r>
      <w:r w:rsidRPr="0013396E">
        <w:rPr>
          <w:i/>
          <w:vertAlign w:val="subscript"/>
        </w:rPr>
        <w:t>y</w:t>
      </w:r>
      <w:r w:rsidRPr="0013396E">
        <w:t xml:space="preserve"> * (RTMCPCRDS </w:t>
      </w:r>
      <w:r w:rsidRPr="0013396E">
        <w:rPr>
          <w:i/>
          <w:vertAlign w:val="subscript"/>
        </w:rPr>
        <w:t>y</w:t>
      </w:r>
      <w:r w:rsidRPr="0013396E">
        <w:t xml:space="preserve">+ RTRDPARDS </w:t>
      </w:r>
      <w:r w:rsidRPr="0013396E">
        <w:rPr>
          <w:i/>
          <w:vertAlign w:val="subscript"/>
        </w:rPr>
        <w:t>y</w:t>
      </w:r>
      <w:r w:rsidRPr="0013396E">
        <w:t>))</w:t>
      </w:r>
    </w:p>
    <w:p w14:paraId="59D4F9AA" w14:textId="77777777" w:rsidR="009658B2" w:rsidRPr="0013396E" w:rsidRDefault="009658B2" w:rsidP="009658B2">
      <w:pPr>
        <w:pStyle w:val="BodyTextNumbered"/>
        <w:ind w:left="0" w:firstLine="0"/>
      </w:pPr>
      <w:r w:rsidRPr="0013396E">
        <w:t>Where:</w:t>
      </w:r>
    </w:p>
    <w:p w14:paraId="5A7ADB1A" w14:textId="77777777" w:rsidR="009658B2" w:rsidRPr="0013396E" w:rsidRDefault="009658B2" w:rsidP="009658B2">
      <w:pPr>
        <w:spacing w:after="240"/>
        <w:ind w:firstLine="720"/>
        <w:rPr>
          <w:i/>
          <w:vertAlign w:val="subscript"/>
        </w:rPr>
      </w:pPr>
      <w:r w:rsidRPr="0013396E">
        <w:t xml:space="preserve">RNWF </w:t>
      </w:r>
      <w:r w:rsidRPr="0013396E">
        <w:rPr>
          <w:i/>
          <w:vertAlign w:val="subscript"/>
        </w:rPr>
        <w:t xml:space="preserve">y   </w:t>
      </w:r>
      <w:r w:rsidRPr="0013396E">
        <w:t xml:space="preserve">=  TLMP </w:t>
      </w:r>
      <w:r w:rsidRPr="0013396E">
        <w:rPr>
          <w:i/>
          <w:vertAlign w:val="subscript"/>
        </w:rPr>
        <w:t>y</w:t>
      </w:r>
      <w:r w:rsidRPr="0013396E">
        <w:t xml:space="preserve"> </w:t>
      </w:r>
      <w:r w:rsidRPr="0013396E">
        <w:rPr>
          <w:color w:val="000000"/>
          <w:sz w:val="32"/>
          <w:szCs w:val="32"/>
        </w:rPr>
        <w:t>/</w:t>
      </w:r>
      <w:r w:rsidRPr="0013396E">
        <w:rPr>
          <w:color w:val="000000"/>
        </w:rPr>
        <w:t xml:space="preserve"> </w:t>
      </w:r>
      <w:r w:rsidRPr="0013396E">
        <w:rPr>
          <w:position w:val="-22"/>
        </w:rPr>
        <w:object w:dxaOrig="225" w:dyaOrig="465" w14:anchorId="7CA95F5B">
          <v:shape id="_x0000_i1054" type="#_x0000_t75" style="width:24pt;height:18.6pt" o:ole="">
            <v:imagedata r:id="rId20" o:title=""/>
          </v:shape>
          <o:OLEObject Type="Embed" ProgID="Equation.3" ShapeID="_x0000_i1054" DrawAspect="Content" ObjectID="_1836311333" r:id="rId54"/>
        </w:object>
      </w:r>
      <w:r w:rsidRPr="0013396E">
        <w:t xml:space="preserve">TLMP </w:t>
      </w:r>
      <w:r w:rsidRPr="0013396E">
        <w:rPr>
          <w:i/>
          <w:vertAlign w:val="subscript"/>
        </w:rPr>
        <w:t>y</w:t>
      </w:r>
    </w:p>
    <w:p w14:paraId="36346750" w14:textId="77777777" w:rsidR="009658B2" w:rsidRPr="0013396E" w:rsidRDefault="009658B2" w:rsidP="009658B2">
      <w:pPr>
        <w:pStyle w:val="Instructions"/>
        <w:spacing w:after="0"/>
        <w:ind w:left="720" w:hanging="720"/>
        <w:rPr>
          <w:b w:val="0"/>
          <w:i w:val="0"/>
        </w:rPr>
      </w:pPr>
      <w:r w:rsidRPr="0013396E">
        <w:rPr>
          <w:b w:val="0"/>
          <w:i w:val="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22"/>
        <w:gridCol w:w="1180"/>
        <w:gridCol w:w="5748"/>
      </w:tblGrid>
      <w:tr w:rsidR="009658B2" w:rsidRPr="0013396E" w14:paraId="5800948A" w14:textId="77777777" w:rsidTr="0099759E">
        <w:trPr>
          <w:cantSplit/>
          <w:tblHeader/>
        </w:trPr>
        <w:tc>
          <w:tcPr>
            <w:tcW w:w="1295" w:type="pct"/>
            <w:tcBorders>
              <w:top w:val="single" w:sz="4" w:space="0" w:color="auto"/>
              <w:left w:val="single" w:sz="4" w:space="0" w:color="auto"/>
              <w:bottom w:val="single" w:sz="4" w:space="0" w:color="auto"/>
              <w:right w:val="single" w:sz="4" w:space="0" w:color="auto"/>
            </w:tcBorders>
            <w:hideMark/>
          </w:tcPr>
          <w:p w14:paraId="136C2D00" w14:textId="77777777" w:rsidR="009658B2" w:rsidRPr="0013396E" w:rsidRDefault="009658B2" w:rsidP="0099759E">
            <w:pPr>
              <w:pStyle w:val="TableHead"/>
            </w:pPr>
            <w:r w:rsidRPr="0013396E">
              <w:t>Variable</w:t>
            </w:r>
          </w:p>
        </w:tc>
        <w:tc>
          <w:tcPr>
            <w:tcW w:w="631" w:type="pct"/>
            <w:tcBorders>
              <w:top w:val="single" w:sz="4" w:space="0" w:color="auto"/>
              <w:left w:val="single" w:sz="4" w:space="0" w:color="auto"/>
              <w:bottom w:val="single" w:sz="4" w:space="0" w:color="auto"/>
              <w:right w:val="single" w:sz="4" w:space="0" w:color="auto"/>
            </w:tcBorders>
            <w:hideMark/>
          </w:tcPr>
          <w:p w14:paraId="380710AC" w14:textId="77777777" w:rsidR="009658B2" w:rsidRPr="0013396E" w:rsidRDefault="009658B2" w:rsidP="0099759E">
            <w:pPr>
              <w:pStyle w:val="TableHead"/>
            </w:pPr>
            <w:r w:rsidRPr="0013396E">
              <w:t>Unit</w:t>
            </w:r>
          </w:p>
        </w:tc>
        <w:tc>
          <w:tcPr>
            <w:tcW w:w="3074" w:type="pct"/>
            <w:tcBorders>
              <w:top w:val="single" w:sz="4" w:space="0" w:color="auto"/>
              <w:left w:val="single" w:sz="4" w:space="0" w:color="auto"/>
              <w:bottom w:val="single" w:sz="4" w:space="0" w:color="auto"/>
              <w:right w:val="single" w:sz="4" w:space="0" w:color="auto"/>
            </w:tcBorders>
            <w:hideMark/>
          </w:tcPr>
          <w:p w14:paraId="02176EC1" w14:textId="77777777" w:rsidR="009658B2" w:rsidRPr="0013396E" w:rsidRDefault="009658B2" w:rsidP="0099759E">
            <w:pPr>
              <w:pStyle w:val="TableHead"/>
            </w:pPr>
            <w:r w:rsidRPr="0013396E">
              <w:t>Description</w:t>
            </w:r>
          </w:p>
        </w:tc>
      </w:tr>
      <w:tr w:rsidR="009658B2" w:rsidRPr="0013396E" w14:paraId="3D03653E" w14:textId="77777777" w:rsidTr="0099759E">
        <w:trPr>
          <w:cantSplit/>
        </w:trPr>
        <w:tc>
          <w:tcPr>
            <w:tcW w:w="1295" w:type="pct"/>
            <w:tcBorders>
              <w:top w:val="single" w:sz="4" w:space="0" w:color="auto"/>
              <w:left w:val="single" w:sz="4" w:space="0" w:color="auto"/>
              <w:bottom w:val="single" w:sz="4" w:space="0" w:color="auto"/>
              <w:right w:val="single" w:sz="4" w:space="0" w:color="auto"/>
            </w:tcBorders>
            <w:hideMark/>
          </w:tcPr>
          <w:p w14:paraId="294F5558" w14:textId="77777777" w:rsidR="009658B2" w:rsidRPr="0013396E" w:rsidRDefault="009658B2" w:rsidP="0099759E">
            <w:pPr>
              <w:pStyle w:val="tablebody0"/>
            </w:pPr>
            <w:r w:rsidRPr="0013396E">
              <w:t xml:space="preserve">RTMCPCRD </w:t>
            </w:r>
          </w:p>
        </w:tc>
        <w:tc>
          <w:tcPr>
            <w:tcW w:w="631" w:type="pct"/>
            <w:tcBorders>
              <w:top w:val="single" w:sz="4" w:space="0" w:color="auto"/>
              <w:left w:val="single" w:sz="4" w:space="0" w:color="auto"/>
              <w:bottom w:val="single" w:sz="4" w:space="0" w:color="auto"/>
              <w:right w:val="single" w:sz="4" w:space="0" w:color="auto"/>
            </w:tcBorders>
            <w:hideMark/>
          </w:tcPr>
          <w:p w14:paraId="6389C7F7" w14:textId="77777777" w:rsidR="009658B2" w:rsidRPr="0013396E" w:rsidRDefault="009658B2" w:rsidP="0099759E">
            <w:pPr>
              <w:pStyle w:val="tablebody0"/>
            </w:pPr>
            <w:r w:rsidRPr="0013396E">
              <w:t>$/MW</w:t>
            </w:r>
          </w:p>
        </w:tc>
        <w:tc>
          <w:tcPr>
            <w:tcW w:w="3074" w:type="pct"/>
            <w:tcBorders>
              <w:top w:val="single" w:sz="4" w:space="0" w:color="auto"/>
              <w:left w:val="single" w:sz="4" w:space="0" w:color="auto"/>
              <w:bottom w:val="single" w:sz="4" w:space="0" w:color="auto"/>
              <w:right w:val="single" w:sz="4" w:space="0" w:color="auto"/>
            </w:tcBorders>
            <w:hideMark/>
          </w:tcPr>
          <w:p w14:paraId="37C93502" w14:textId="77777777" w:rsidR="009658B2" w:rsidRPr="0013396E" w:rsidRDefault="009658B2" w:rsidP="0099759E">
            <w:pPr>
              <w:pStyle w:val="tablebody0"/>
              <w:rPr>
                <w:i/>
              </w:rPr>
            </w:pPr>
            <w:r w:rsidRPr="0013396E">
              <w:rPr>
                <w:i/>
                <w:szCs w:val="18"/>
              </w:rPr>
              <w:t>Real-Time Market Clearing Price for Capacity for Reg-Down -</w:t>
            </w:r>
            <w:r w:rsidRPr="0013396E">
              <w:t xml:space="preserve"> The Real-Time MCPC for Reg-Down for the 15-minute Settlement Interval.</w:t>
            </w:r>
          </w:p>
        </w:tc>
      </w:tr>
      <w:tr w:rsidR="009658B2" w:rsidRPr="0013396E" w14:paraId="53ED1EA3" w14:textId="77777777" w:rsidTr="0099759E">
        <w:trPr>
          <w:cantSplit/>
        </w:trPr>
        <w:tc>
          <w:tcPr>
            <w:tcW w:w="1295" w:type="pct"/>
            <w:tcBorders>
              <w:top w:val="single" w:sz="4" w:space="0" w:color="auto"/>
              <w:left w:val="single" w:sz="4" w:space="0" w:color="auto"/>
              <w:bottom w:val="single" w:sz="4" w:space="0" w:color="auto"/>
              <w:right w:val="single" w:sz="4" w:space="0" w:color="auto"/>
            </w:tcBorders>
            <w:hideMark/>
          </w:tcPr>
          <w:p w14:paraId="464FDB5B" w14:textId="77777777" w:rsidR="009658B2" w:rsidRPr="0013396E" w:rsidRDefault="009658B2" w:rsidP="0099759E">
            <w:pPr>
              <w:pStyle w:val="tablebody0"/>
            </w:pPr>
            <w:r w:rsidRPr="0013396E">
              <w:t>RTMCPCRDS</w:t>
            </w:r>
            <w:r w:rsidRPr="0013396E">
              <w:rPr>
                <w:i/>
                <w:vertAlign w:val="subscript"/>
              </w:rPr>
              <w:t xml:space="preserve"> y</w:t>
            </w:r>
          </w:p>
        </w:tc>
        <w:tc>
          <w:tcPr>
            <w:tcW w:w="631" w:type="pct"/>
            <w:tcBorders>
              <w:top w:val="single" w:sz="4" w:space="0" w:color="auto"/>
              <w:left w:val="single" w:sz="4" w:space="0" w:color="auto"/>
              <w:bottom w:val="single" w:sz="4" w:space="0" w:color="auto"/>
              <w:right w:val="single" w:sz="4" w:space="0" w:color="auto"/>
            </w:tcBorders>
            <w:hideMark/>
          </w:tcPr>
          <w:p w14:paraId="009F181D" w14:textId="77777777" w:rsidR="009658B2" w:rsidRPr="0013396E" w:rsidRDefault="009658B2" w:rsidP="0099759E">
            <w:pPr>
              <w:pStyle w:val="tablebody0"/>
            </w:pPr>
            <w:r w:rsidRPr="0013396E">
              <w:t>$/MW</w:t>
            </w:r>
          </w:p>
        </w:tc>
        <w:tc>
          <w:tcPr>
            <w:tcW w:w="3074" w:type="pct"/>
            <w:tcBorders>
              <w:top w:val="single" w:sz="4" w:space="0" w:color="auto"/>
              <w:left w:val="single" w:sz="4" w:space="0" w:color="auto"/>
              <w:bottom w:val="single" w:sz="4" w:space="0" w:color="auto"/>
              <w:right w:val="single" w:sz="4" w:space="0" w:color="auto"/>
            </w:tcBorders>
            <w:hideMark/>
          </w:tcPr>
          <w:p w14:paraId="726CD325" w14:textId="77777777" w:rsidR="009658B2" w:rsidRPr="0013396E" w:rsidRDefault="009658B2" w:rsidP="0099759E">
            <w:pPr>
              <w:pStyle w:val="tablebody0"/>
              <w:rPr>
                <w:i/>
                <w:szCs w:val="18"/>
              </w:rPr>
            </w:pPr>
            <w:r w:rsidRPr="0013396E">
              <w:rPr>
                <w:i/>
                <w:szCs w:val="18"/>
              </w:rPr>
              <w:t xml:space="preserve">Real-Time Market Clearing Price for Capacity for Reg-Down </w:t>
            </w:r>
            <w:r w:rsidRPr="0013396E">
              <w:rPr>
                <w:i/>
              </w:rPr>
              <w:t xml:space="preserve">per SCED interval </w:t>
            </w:r>
            <w:r w:rsidRPr="0013396E">
              <w:rPr>
                <w:i/>
                <w:szCs w:val="18"/>
              </w:rPr>
              <w:t>-</w:t>
            </w:r>
            <w:r w:rsidRPr="0013396E">
              <w:t xml:space="preserve"> The Real-Time MCPC for Reg-Down for the SCED interval </w:t>
            </w:r>
            <w:r w:rsidRPr="0013396E">
              <w:rPr>
                <w:i/>
              </w:rPr>
              <w:t>y.</w:t>
            </w:r>
          </w:p>
        </w:tc>
      </w:tr>
      <w:tr w:rsidR="009658B2" w:rsidRPr="0013396E" w14:paraId="45A2AA1C" w14:textId="77777777" w:rsidTr="0099759E">
        <w:trPr>
          <w:cantSplit/>
        </w:trPr>
        <w:tc>
          <w:tcPr>
            <w:tcW w:w="1295" w:type="pct"/>
          </w:tcPr>
          <w:p w14:paraId="4ABD43AF" w14:textId="77777777" w:rsidR="009658B2" w:rsidRPr="0013396E" w:rsidRDefault="009658B2" w:rsidP="0099759E">
            <w:pPr>
              <w:pStyle w:val="tablebody0"/>
              <w:rPr>
                <w:i/>
              </w:rPr>
            </w:pPr>
            <w:r w:rsidRPr="0013396E">
              <w:t xml:space="preserve">RTRDPARDS </w:t>
            </w:r>
            <w:r w:rsidRPr="0013396E">
              <w:rPr>
                <w:i/>
              </w:rPr>
              <w:t>y</w:t>
            </w:r>
          </w:p>
        </w:tc>
        <w:tc>
          <w:tcPr>
            <w:tcW w:w="631" w:type="pct"/>
          </w:tcPr>
          <w:p w14:paraId="59DA5CB3" w14:textId="77777777" w:rsidR="009658B2" w:rsidRPr="0013396E" w:rsidRDefault="009658B2" w:rsidP="0099759E">
            <w:pPr>
              <w:pStyle w:val="tablebody0"/>
            </w:pPr>
            <w:r w:rsidRPr="0013396E">
              <w:t>$/MW</w:t>
            </w:r>
          </w:p>
        </w:tc>
        <w:tc>
          <w:tcPr>
            <w:tcW w:w="3074" w:type="pct"/>
          </w:tcPr>
          <w:p w14:paraId="29232DD9" w14:textId="77777777" w:rsidR="009658B2" w:rsidRPr="0013396E" w:rsidRDefault="009658B2" w:rsidP="0099759E">
            <w:pPr>
              <w:pStyle w:val="tablebody0"/>
            </w:pPr>
            <w:r w:rsidRPr="0013396E">
              <w:rPr>
                <w:i/>
                <w:szCs w:val="18"/>
              </w:rPr>
              <w:t xml:space="preserve">Real-Time </w:t>
            </w:r>
            <w:r w:rsidRPr="0013396E">
              <w:rPr>
                <w:i/>
              </w:rPr>
              <w:t xml:space="preserve">Reliability Deployment Price Adder for Ancillary Service </w:t>
            </w:r>
            <w:r w:rsidRPr="0013396E">
              <w:rPr>
                <w:i/>
                <w:szCs w:val="18"/>
              </w:rPr>
              <w:t xml:space="preserve">for Reg-Down </w:t>
            </w:r>
            <w:r w:rsidRPr="0013396E">
              <w:rPr>
                <w:i/>
              </w:rPr>
              <w:t xml:space="preserve">per SCED interval </w:t>
            </w:r>
            <w:r w:rsidRPr="0013396E">
              <w:t xml:space="preserve">- The Real-Time price adder for Reg-Down that captures the impact of reliability deployments on Reg-Down prices for the SCED interval </w:t>
            </w:r>
            <w:r w:rsidRPr="0013396E">
              <w:rPr>
                <w:i/>
              </w:rPr>
              <w:t>y</w:t>
            </w:r>
            <w:r w:rsidRPr="0013396E">
              <w:t>.</w:t>
            </w:r>
          </w:p>
        </w:tc>
      </w:tr>
      <w:tr w:rsidR="009658B2" w:rsidRPr="0013396E" w14:paraId="2DDA3055" w14:textId="77777777" w:rsidTr="0099759E">
        <w:trPr>
          <w:cantSplit/>
        </w:trPr>
        <w:tc>
          <w:tcPr>
            <w:tcW w:w="1295" w:type="pct"/>
          </w:tcPr>
          <w:p w14:paraId="0C64CA91" w14:textId="77777777" w:rsidR="009658B2" w:rsidRPr="0013396E" w:rsidRDefault="009658B2" w:rsidP="0099759E">
            <w:pPr>
              <w:pStyle w:val="tablebody0"/>
            </w:pPr>
            <w:r w:rsidRPr="0013396E">
              <w:rPr>
                <w:iCs/>
              </w:rPr>
              <w:t xml:space="preserve">RNWF </w:t>
            </w:r>
            <w:r w:rsidRPr="0013396E">
              <w:rPr>
                <w:i/>
                <w:iCs/>
                <w:vertAlign w:val="subscript"/>
              </w:rPr>
              <w:t>y</w:t>
            </w:r>
          </w:p>
        </w:tc>
        <w:tc>
          <w:tcPr>
            <w:tcW w:w="631" w:type="pct"/>
          </w:tcPr>
          <w:p w14:paraId="11BBE0B7" w14:textId="77777777" w:rsidR="009658B2" w:rsidRPr="0013396E" w:rsidRDefault="009658B2" w:rsidP="0099759E">
            <w:pPr>
              <w:pStyle w:val="tablebody0"/>
            </w:pPr>
            <w:r w:rsidRPr="0013396E">
              <w:rPr>
                <w:iCs/>
              </w:rPr>
              <w:t>none</w:t>
            </w:r>
          </w:p>
        </w:tc>
        <w:tc>
          <w:tcPr>
            <w:tcW w:w="3074" w:type="pct"/>
          </w:tcPr>
          <w:p w14:paraId="6FA87D42" w14:textId="77777777" w:rsidR="009658B2" w:rsidRPr="0013396E" w:rsidRDefault="009658B2" w:rsidP="0099759E">
            <w:pPr>
              <w:pStyle w:val="tablebody0"/>
              <w:rPr>
                <w:i/>
                <w:szCs w:val="18"/>
              </w:rPr>
            </w:pPr>
            <w:r w:rsidRPr="0013396E">
              <w:rPr>
                <w:i/>
                <w:iCs/>
              </w:rPr>
              <w:t>Resource Node Weighting Factor per interval</w:t>
            </w:r>
            <w:r w:rsidRPr="0013396E">
              <w:rPr>
                <w:iCs/>
              </w:rPr>
              <w:sym w:font="Symbol" w:char="F0BE"/>
            </w:r>
            <w:r w:rsidRPr="0013396E">
              <w:rPr>
                <w:iCs/>
              </w:rPr>
              <w:t xml:space="preserve">The weight used in the Ancillary Service Price calculation for the portion of the SCED interval </w:t>
            </w:r>
            <w:r w:rsidRPr="0013396E">
              <w:rPr>
                <w:i/>
                <w:iCs/>
              </w:rPr>
              <w:t>y</w:t>
            </w:r>
            <w:r w:rsidRPr="0013396E">
              <w:rPr>
                <w:iCs/>
              </w:rPr>
              <w:t xml:space="preserve"> within the Settlement Interval.</w:t>
            </w:r>
          </w:p>
        </w:tc>
      </w:tr>
      <w:tr w:rsidR="009658B2" w:rsidRPr="0013396E" w14:paraId="000F8E99" w14:textId="77777777" w:rsidTr="0099759E">
        <w:trPr>
          <w:cantSplit/>
        </w:trPr>
        <w:tc>
          <w:tcPr>
            <w:tcW w:w="1295" w:type="pct"/>
          </w:tcPr>
          <w:p w14:paraId="267D0153" w14:textId="77777777" w:rsidR="009658B2" w:rsidRPr="0013396E" w:rsidRDefault="009658B2" w:rsidP="0099759E">
            <w:pPr>
              <w:pStyle w:val="tablebody0"/>
            </w:pPr>
            <w:r w:rsidRPr="0013396E">
              <w:rPr>
                <w:iCs/>
              </w:rPr>
              <w:t xml:space="preserve">TLMP </w:t>
            </w:r>
            <w:r w:rsidRPr="0013396E">
              <w:rPr>
                <w:i/>
                <w:iCs/>
                <w:vertAlign w:val="subscript"/>
              </w:rPr>
              <w:t>y</w:t>
            </w:r>
          </w:p>
        </w:tc>
        <w:tc>
          <w:tcPr>
            <w:tcW w:w="631" w:type="pct"/>
          </w:tcPr>
          <w:p w14:paraId="24A89BD4" w14:textId="77777777" w:rsidR="009658B2" w:rsidRPr="0013396E" w:rsidRDefault="009658B2" w:rsidP="0099759E">
            <w:pPr>
              <w:pStyle w:val="tablebody0"/>
            </w:pPr>
            <w:r w:rsidRPr="0013396E">
              <w:rPr>
                <w:iCs/>
              </w:rPr>
              <w:t>second</w:t>
            </w:r>
          </w:p>
        </w:tc>
        <w:tc>
          <w:tcPr>
            <w:tcW w:w="3074" w:type="pct"/>
          </w:tcPr>
          <w:p w14:paraId="736EE336" w14:textId="77777777" w:rsidR="009658B2" w:rsidRPr="0013396E" w:rsidRDefault="009658B2" w:rsidP="0099759E">
            <w:pPr>
              <w:pStyle w:val="tablebody0"/>
              <w:rPr>
                <w:i/>
                <w:szCs w:val="18"/>
              </w:rPr>
            </w:pPr>
            <w:r w:rsidRPr="0013396E">
              <w:rPr>
                <w:i/>
              </w:rPr>
              <w:t>Duration of SCED interval per interval</w:t>
            </w:r>
            <w:r w:rsidRPr="0013396E">
              <w:rPr>
                <w:iCs/>
              </w:rPr>
              <w:sym w:font="Symbol" w:char="F0BE"/>
            </w:r>
            <w:r w:rsidRPr="0013396E">
              <w:rPr>
                <w:iCs/>
              </w:rPr>
              <w:t xml:space="preserve">The duration of the portion of the SCED interval </w:t>
            </w:r>
            <w:r w:rsidRPr="0013396E">
              <w:rPr>
                <w:i/>
              </w:rPr>
              <w:t>y</w:t>
            </w:r>
            <w:r w:rsidRPr="0013396E">
              <w:t xml:space="preserve"> within the Settlement Interval</w:t>
            </w:r>
            <w:r w:rsidRPr="0013396E">
              <w:rPr>
                <w:iCs/>
              </w:rPr>
              <w:t>.</w:t>
            </w:r>
          </w:p>
        </w:tc>
      </w:tr>
      <w:tr w:rsidR="009658B2" w:rsidRPr="0013396E" w14:paraId="50ECC83D" w14:textId="77777777" w:rsidTr="0099759E">
        <w:trPr>
          <w:cantSplit/>
        </w:trPr>
        <w:tc>
          <w:tcPr>
            <w:tcW w:w="1295" w:type="pct"/>
          </w:tcPr>
          <w:p w14:paraId="6FDE4059" w14:textId="77777777" w:rsidR="009658B2" w:rsidRPr="0013396E" w:rsidRDefault="009658B2" w:rsidP="0099759E">
            <w:pPr>
              <w:pStyle w:val="tablebody0"/>
              <w:rPr>
                <w:i/>
              </w:rPr>
            </w:pPr>
            <w:r w:rsidRPr="0013396E">
              <w:rPr>
                <w:i/>
              </w:rPr>
              <w:lastRenderedPageBreak/>
              <w:t>y</w:t>
            </w:r>
          </w:p>
        </w:tc>
        <w:tc>
          <w:tcPr>
            <w:tcW w:w="631" w:type="pct"/>
          </w:tcPr>
          <w:p w14:paraId="3C577C16" w14:textId="77777777" w:rsidR="009658B2" w:rsidRPr="0013396E" w:rsidRDefault="009658B2" w:rsidP="0099759E">
            <w:pPr>
              <w:pStyle w:val="tablebody0"/>
            </w:pPr>
            <w:r w:rsidRPr="0013396E">
              <w:t>none</w:t>
            </w:r>
          </w:p>
        </w:tc>
        <w:tc>
          <w:tcPr>
            <w:tcW w:w="3074" w:type="pct"/>
          </w:tcPr>
          <w:p w14:paraId="034032E2" w14:textId="77777777" w:rsidR="009658B2" w:rsidRPr="0013396E" w:rsidRDefault="009658B2" w:rsidP="0099759E">
            <w:pPr>
              <w:pStyle w:val="tablebody0"/>
            </w:pPr>
            <w:r w:rsidRPr="0013396E">
              <w:t>A SCED interval in the 15-minute Settlement Interval.</w:t>
            </w:r>
          </w:p>
        </w:tc>
      </w:tr>
    </w:tbl>
    <w:p w14:paraId="26CAB896" w14:textId="77777777" w:rsidR="009658B2" w:rsidRPr="0013396E" w:rsidRDefault="009658B2" w:rsidP="009658B2">
      <w:pPr>
        <w:spacing w:before="240" w:after="240"/>
        <w:ind w:left="720" w:hanging="720"/>
      </w:pPr>
      <w:r w:rsidRPr="0013396E">
        <w:rPr>
          <w:bCs/>
          <w:snapToGrid w:val="0"/>
        </w:rPr>
        <w:t>(3)</w:t>
      </w:r>
      <w:r w:rsidRPr="0013396E">
        <w:t xml:space="preserve"> </w:t>
      </w:r>
      <w:r w:rsidRPr="0013396E">
        <w:tab/>
        <w:t>The Real-Time MCPC for RRS is the time-weighted average of the sum of the Real-Time MCPCs for RRS and Real-Time Reliability Deployment Price Adder for Ancillary Service for RRS of each SCED interval in the 15-minute Settlement Interval.  The Real-Time MCPC for RRS for a 15-minute Settlement Interval is calculated as follows:</w:t>
      </w:r>
    </w:p>
    <w:p w14:paraId="4A18169A" w14:textId="77777777" w:rsidR="009658B2" w:rsidRPr="0013396E" w:rsidRDefault="009658B2" w:rsidP="009658B2">
      <w:pPr>
        <w:pStyle w:val="FormulaBold"/>
        <w:rPr>
          <w:i/>
          <w:vertAlign w:val="subscript"/>
        </w:rPr>
      </w:pPr>
      <w:r w:rsidRPr="0013396E">
        <w:t xml:space="preserve">RTMCPCRR  =   </w:t>
      </w:r>
      <w:r w:rsidRPr="0013396E">
        <w:rPr>
          <w:position w:val="-22"/>
        </w:rPr>
        <w:object w:dxaOrig="225" w:dyaOrig="465" w14:anchorId="08BC1601">
          <v:shape id="_x0000_i1055" type="#_x0000_t75" style="width:24pt;height:18.6pt" o:ole="">
            <v:imagedata r:id="rId20" o:title=""/>
          </v:shape>
          <o:OLEObject Type="Embed" ProgID="Equation.3" ShapeID="_x0000_i1055" DrawAspect="Content" ObjectID="_1836311334" r:id="rId55"/>
        </w:object>
      </w:r>
      <w:r w:rsidRPr="0013396E">
        <w:t xml:space="preserve"> (RNWF </w:t>
      </w:r>
      <w:r w:rsidRPr="0013396E">
        <w:rPr>
          <w:i/>
          <w:vertAlign w:val="subscript"/>
        </w:rPr>
        <w:t>y</w:t>
      </w:r>
      <w:r w:rsidRPr="0013396E">
        <w:t xml:space="preserve"> * (RTMCPCRRS </w:t>
      </w:r>
      <w:r w:rsidRPr="0013396E">
        <w:rPr>
          <w:i/>
          <w:vertAlign w:val="subscript"/>
        </w:rPr>
        <w:t>y</w:t>
      </w:r>
      <w:r w:rsidRPr="0013396E">
        <w:t xml:space="preserve"> + RTRDPARRS </w:t>
      </w:r>
      <w:r w:rsidRPr="0013396E">
        <w:rPr>
          <w:i/>
          <w:vertAlign w:val="subscript"/>
        </w:rPr>
        <w:t>y</w:t>
      </w:r>
      <w:r w:rsidRPr="0013396E">
        <w:t>))</w:t>
      </w:r>
    </w:p>
    <w:p w14:paraId="1927F00F" w14:textId="77777777" w:rsidR="009658B2" w:rsidRPr="0013396E" w:rsidRDefault="009658B2" w:rsidP="009658B2">
      <w:pPr>
        <w:pStyle w:val="BodyTextNumbered"/>
        <w:ind w:left="0" w:firstLine="0"/>
      </w:pPr>
      <w:r w:rsidRPr="0013396E">
        <w:t>Where:</w:t>
      </w:r>
    </w:p>
    <w:p w14:paraId="2C312852" w14:textId="77777777" w:rsidR="009658B2" w:rsidRPr="0013396E" w:rsidRDefault="009658B2" w:rsidP="009658B2">
      <w:pPr>
        <w:spacing w:after="240"/>
        <w:ind w:firstLine="720"/>
        <w:rPr>
          <w:i/>
          <w:vertAlign w:val="subscript"/>
        </w:rPr>
      </w:pPr>
      <w:r w:rsidRPr="0013396E">
        <w:t xml:space="preserve">RNWF </w:t>
      </w:r>
      <w:r w:rsidRPr="0013396E">
        <w:rPr>
          <w:i/>
          <w:vertAlign w:val="subscript"/>
        </w:rPr>
        <w:t xml:space="preserve">y   </w:t>
      </w:r>
      <w:r w:rsidRPr="0013396E">
        <w:t xml:space="preserve">=  TLMP </w:t>
      </w:r>
      <w:r w:rsidRPr="0013396E">
        <w:rPr>
          <w:i/>
          <w:vertAlign w:val="subscript"/>
        </w:rPr>
        <w:t>y</w:t>
      </w:r>
      <w:r w:rsidRPr="0013396E">
        <w:t xml:space="preserve"> </w:t>
      </w:r>
      <w:r w:rsidRPr="0013396E">
        <w:rPr>
          <w:color w:val="000000"/>
          <w:sz w:val="32"/>
          <w:szCs w:val="32"/>
        </w:rPr>
        <w:t>/</w:t>
      </w:r>
      <w:r w:rsidRPr="0013396E">
        <w:rPr>
          <w:color w:val="000000"/>
        </w:rPr>
        <w:t xml:space="preserve"> </w:t>
      </w:r>
      <w:r w:rsidRPr="0013396E">
        <w:rPr>
          <w:position w:val="-22"/>
        </w:rPr>
        <w:object w:dxaOrig="225" w:dyaOrig="465" w14:anchorId="32A4E63A">
          <v:shape id="_x0000_i1056" type="#_x0000_t75" style="width:12pt;height:12pt" o:ole="">
            <v:imagedata r:id="rId20" o:title=""/>
          </v:shape>
          <o:OLEObject Type="Embed" ProgID="Equation.3" ShapeID="_x0000_i1056" DrawAspect="Content" ObjectID="_1836311335" r:id="rId56"/>
        </w:object>
      </w:r>
      <w:r w:rsidRPr="0013396E">
        <w:t xml:space="preserve">TLMP </w:t>
      </w:r>
      <w:r w:rsidRPr="0013396E">
        <w:rPr>
          <w:i/>
          <w:vertAlign w:val="subscript"/>
        </w:rPr>
        <w:t>y</w:t>
      </w:r>
    </w:p>
    <w:p w14:paraId="74E4A675" w14:textId="77777777" w:rsidR="009658B2" w:rsidRPr="0013396E" w:rsidRDefault="009658B2" w:rsidP="009658B2">
      <w:pPr>
        <w:pStyle w:val="Instructions"/>
        <w:spacing w:after="0"/>
        <w:ind w:left="720" w:hanging="720"/>
        <w:rPr>
          <w:b w:val="0"/>
          <w:i w:val="0"/>
        </w:rPr>
      </w:pPr>
      <w:r w:rsidRPr="0013396E">
        <w:rPr>
          <w:b w:val="0"/>
          <w:i w:val="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22"/>
        <w:gridCol w:w="1180"/>
        <w:gridCol w:w="5748"/>
      </w:tblGrid>
      <w:tr w:rsidR="009658B2" w:rsidRPr="0013396E" w14:paraId="119EA893" w14:textId="77777777" w:rsidTr="0099759E">
        <w:trPr>
          <w:cantSplit/>
          <w:tblHeader/>
        </w:trPr>
        <w:tc>
          <w:tcPr>
            <w:tcW w:w="1295" w:type="pct"/>
            <w:tcBorders>
              <w:top w:val="single" w:sz="4" w:space="0" w:color="auto"/>
              <w:left w:val="single" w:sz="4" w:space="0" w:color="auto"/>
              <w:bottom w:val="single" w:sz="4" w:space="0" w:color="auto"/>
              <w:right w:val="single" w:sz="4" w:space="0" w:color="auto"/>
            </w:tcBorders>
            <w:hideMark/>
          </w:tcPr>
          <w:p w14:paraId="02D2BA16" w14:textId="77777777" w:rsidR="009658B2" w:rsidRPr="0013396E" w:rsidRDefault="009658B2" w:rsidP="0099759E">
            <w:pPr>
              <w:pStyle w:val="TableHead"/>
            </w:pPr>
            <w:r w:rsidRPr="0013396E">
              <w:t>Variable</w:t>
            </w:r>
          </w:p>
        </w:tc>
        <w:tc>
          <w:tcPr>
            <w:tcW w:w="631" w:type="pct"/>
            <w:tcBorders>
              <w:top w:val="single" w:sz="4" w:space="0" w:color="auto"/>
              <w:left w:val="single" w:sz="4" w:space="0" w:color="auto"/>
              <w:bottom w:val="single" w:sz="4" w:space="0" w:color="auto"/>
              <w:right w:val="single" w:sz="4" w:space="0" w:color="auto"/>
            </w:tcBorders>
            <w:hideMark/>
          </w:tcPr>
          <w:p w14:paraId="6939A0E7" w14:textId="77777777" w:rsidR="009658B2" w:rsidRPr="0013396E" w:rsidRDefault="009658B2" w:rsidP="0099759E">
            <w:pPr>
              <w:pStyle w:val="TableHead"/>
            </w:pPr>
            <w:r w:rsidRPr="0013396E">
              <w:t>Unit</w:t>
            </w:r>
          </w:p>
        </w:tc>
        <w:tc>
          <w:tcPr>
            <w:tcW w:w="3074" w:type="pct"/>
            <w:tcBorders>
              <w:top w:val="single" w:sz="4" w:space="0" w:color="auto"/>
              <w:left w:val="single" w:sz="4" w:space="0" w:color="auto"/>
              <w:bottom w:val="single" w:sz="4" w:space="0" w:color="auto"/>
              <w:right w:val="single" w:sz="4" w:space="0" w:color="auto"/>
            </w:tcBorders>
            <w:hideMark/>
          </w:tcPr>
          <w:p w14:paraId="62DE9FA0" w14:textId="77777777" w:rsidR="009658B2" w:rsidRPr="0013396E" w:rsidRDefault="009658B2" w:rsidP="0099759E">
            <w:pPr>
              <w:pStyle w:val="TableHead"/>
            </w:pPr>
            <w:r w:rsidRPr="0013396E">
              <w:t>Description</w:t>
            </w:r>
          </w:p>
        </w:tc>
      </w:tr>
      <w:tr w:rsidR="009658B2" w:rsidRPr="0013396E" w14:paraId="6990A323" w14:textId="77777777" w:rsidTr="0099759E">
        <w:trPr>
          <w:cantSplit/>
        </w:trPr>
        <w:tc>
          <w:tcPr>
            <w:tcW w:w="1295" w:type="pct"/>
            <w:tcBorders>
              <w:top w:val="single" w:sz="4" w:space="0" w:color="auto"/>
              <w:left w:val="single" w:sz="4" w:space="0" w:color="auto"/>
              <w:bottom w:val="single" w:sz="4" w:space="0" w:color="auto"/>
              <w:right w:val="single" w:sz="4" w:space="0" w:color="auto"/>
            </w:tcBorders>
            <w:hideMark/>
          </w:tcPr>
          <w:p w14:paraId="0EB5D504" w14:textId="77777777" w:rsidR="009658B2" w:rsidRPr="0013396E" w:rsidRDefault="009658B2" w:rsidP="0099759E">
            <w:pPr>
              <w:pStyle w:val="tablebody0"/>
            </w:pPr>
            <w:r w:rsidRPr="0013396E">
              <w:t xml:space="preserve">RTMCPCRR </w:t>
            </w:r>
          </w:p>
        </w:tc>
        <w:tc>
          <w:tcPr>
            <w:tcW w:w="631" w:type="pct"/>
            <w:tcBorders>
              <w:top w:val="single" w:sz="4" w:space="0" w:color="auto"/>
              <w:left w:val="single" w:sz="4" w:space="0" w:color="auto"/>
              <w:bottom w:val="single" w:sz="4" w:space="0" w:color="auto"/>
              <w:right w:val="single" w:sz="4" w:space="0" w:color="auto"/>
            </w:tcBorders>
            <w:hideMark/>
          </w:tcPr>
          <w:p w14:paraId="70B9A41C" w14:textId="77777777" w:rsidR="009658B2" w:rsidRPr="0013396E" w:rsidRDefault="009658B2" w:rsidP="0099759E">
            <w:pPr>
              <w:pStyle w:val="tablebody0"/>
            </w:pPr>
            <w:r w:rsidRPr="0013396E">
              <w:t>$/MW</w:t>
            </w:r>
          </w:p>
        </w:tc>
        <w:tc>
          <w:tcPr>
            <w:tcW w:w="3074" w:type="pct"/>
            <w:tcBorders>
              <w:top w:val="single" w:sz="4" w:space="0" w:color="auto"/>
              <w:left w:val="single" w:sz="4" w:space="0" w:color="auto"/>
              <w:bottom w:val="single" w:sz="4" w:space="0" w:color="auto"/>
              <w:right w:val="single" w:sz="4" w:space="0" w:color="auto"/>
            </w:tcBorders>
            <w:hideMark/>
          </w:tcPr>
          <w:p w14:paraId="1CD9C614" w14:textId="77777777" w:rsidR="009658B2" w:rsidRPr="0013396E" w:rsidRDefault="009658B2" w:rsidP="0099759E">
            <w:pPr>
              <w:pStyle w:val="tablebody0"/>
              <w:rPr>
                <w:i/>
              </w:rPr>
            </w:pPr>
            <w:r w:rsidRPr="0013396E">
              <w:rPr>
                <w:i/>
                <w:szCs w:val="18"/>
              </w:rPr>
              <w:t>Real-Time Market Clearing Price for Capacity for Responsive Reserve -</w:t>
            </w:r>
            <w:r w:rsidRPr="0013396E">
              <w:t xml:space="preserve"> The Real-Time MCPC for RRS for the 15-minute Settlement Interval.</w:t>
            </w:r>
          </w:p>
        </w:tc>
      </w:tr>
      <w:tr w:rsidR="009658B2" w:rsidRPr="0013396E" w14:paraId="1AF1C792" w14:textId="77777777" w:rsidTr="0099759E">
        <w:trPr>
          <w:cantSplit/>
        </w:trPr>
        <w:tc>
          <w:tcPr>
            <w:tcW w:w="1295" w:type="pct"/>
            <w:tcBorders>
              <w:top w:val="single" w:sz="4" w:space="0" w:color="auto"/>
              <w:left w:val="single" w:sz="4" w:space="0" w:color="auto"/>
              <w:bottom w:val="single" w:sz="4" w:space="0" w:color="auto"/>
              <w:right w:val="single" w:sz="4" w:space="0" w:color="auto"/>
            </w:tcBorders>
            <w:hideMark/>
          </w:tcPr>
          <w:p w14:paraId="6CCF668E" w14:textId="77777777" w:rsidR="009658B2" w:rsidRPr="0013396E" w:rsidRDefault="009658B2" w:rsidP="0099759E">
            <w:pPr>
              <w:pStyle w:val="tablebody0"/>
            </w:pPr>
            <w:r w:rsidRPr="0013396E">
              <w:t>RTMCPCRRS</w:t>
            </w:r>
            <w:r w:rsidRPr="0013396E">
              <w:rPr>
                <w:i/>
                <w:vertAlign w:val="subscript"/>
              </w:rPr>
              <w:t xml:space="preserve"> y</w:t>
            </w:r>
          </w:p>
        </w:tc>
        <w:tc>
          <w:tcPr>
            <w:tcW w:w="631" w:type="pct"/>
            <w:tcBorders>
              <w:top w:val="single" w:sz="4" w:space="0" w:color="auto"/>
              <w:left w:val="single" w:sz="4" w:space="0" w:color="auto"/>
              <w:bottom w:val="single" w:sz="4" w:space="0" w:color="auto"/>
              <w:right w:val="single" w:sz="4" w:space="0" w:color="auto"/>
            </w:tcBorders>
            <w:hideMark/>
          </w:tcPr>
          <w:p w14:paraId="6B9E448D" w14:textId="77777777" w:rsidR="009658B2" w:rsidRPr="0013396E" w:rsidRDefault="009658B2" w:rsidP="0099759E">
            <w:pPr>
              <w:pStyle w:val="tablebody0"/>
            </w:pPr>
            <w:r w:rsidRPr="0013396E">
              <w:t>$/MW</w:t>
            </w:r>
          </w:p>
        </w:tc>
        <w:tc>
          <w:tcPr>
            <w:tcW w:w="3074" w:type="pct"/>
            <w:tcBorders>
              <w:top w:val="single" w:sz="4" w:space="0" w:color="auto"/>
              <w:left w:val="single" w:sz="4" w:space="0" w:color="auto"/>
              <w:bottom w:val="single" w:sz="4" w:space="0" w:color="auto"/>
              <w:right w:val="single" w:sz="4" w:space="0" w:color="auto"/>
            </w:tcBorders>
            <w:hideMark/>
          </w:tcPr>
          <w:p w14:paraId="31B8D5E0" w14:textId="77777777" w:rsidR="009658B2" w:rsidRPr="0013396E" w:rsidRDefault="009658B2" w:rsidP="0099759E">
            <w:pPr>
              <w:pStyle w:val="tablebody0"/>
              <w:rPr>
                <w:i/>
                <w:szCs w:val="18"/>
              </w:rPr>
            </w:pPr>
            <w:r w:rsidRPr="0013396E">
              <w:rPr>
                <w:i/>
                <w:szCs w:val="18"/>
              </w:rPr>
              <w:t xml:space="preserve">Real-Time Market Clearing Price for Capacity for Responsive Reserve </w:t>
            </w:r>
            <w:r w:rsidRPr="0013396E">
              <w:rPr>
                <w:i/>
              </w:rPr>
              <w:t xml:space="preserve">per SCED interval </w:t>
            </w:r>
            <w:r w:rsidRPr="0013396E">
              <w:rPr>
                <w:i/>
                <w:szCs w:val="18"/>
              </w:rPr>
              <w:t>-</w:t>
            </w:r>
            <w:r w:rsidRPr="0013396E">
              <w:t xml:space="preserve"> The Real-Time MCPC for RRS for the SCED interval </w:t>
            </w:r>
            <w:r w:rsidRPr="0013396E">
              <w:rPr>
                <w:i/>
              </w:rPr>
              <w:t>y.</w:t>
            </w:r>
          </w:p>
        </w:tc>
      </w:tr>
      <w:tr w:rsidR="009658B2" w:rsidRPr="0013396E" w14:paraId="1851FFBA" w14:textId="77777777" w:rsidTr="0099759E">
        <w:trPr>
          <w:cantSplit/>
        </w:trPr>
        <w:tc>
          <w:tcPr>
            <w:tcW w:w="1295" w:type="pct"/>
          </w:tcPr>
          <w:p w14:paraId="4881F3AC" w14:textId="77777777" w:rsidR="009658B2" w:rsidRPr="0013396E" w:rsidRDefault="009658B2" w:rsidP="0099759E">
            <w:pPr>
              <w:pStyle w:val="tablebody0"/>
              <w:rPr>
                <w:i/>
              </w:rPr>
            </w:pPr>
            <w:r w:rsidRPr="0013396E">
              <w:t xml:space="preserve">RTRDPARRS </w:t>
            </w:r>
            <w:r w:rsidRPr="0013396E">
              <w:rPr>
                <w:i/>
              </w:rPr>
              <w:t>y</w:t>
            </w:r>
          </w:p>
        </w:tc>
        <w:tc>
          <w:tcPr>
            <w:tcW w:w="631" w:type="pct"/>
          </w:tcPr>
          <w:p w14:paraId="3C6DD9D6" w14:textId="77777777" w:rsidR="009658B2" w:rsidRPr="0013396E" w:rsidRDefault="009658B2" w:rsidP="0099759E">
            <w:pPr>
              <w:pStyle w:val="tablebody0"/>
            </w:pPr>
            <w:r w:rsidRPr="0013396E">
              <w:t>$/MW</w:t>
            </w:r>
          </w:p>
        </w:tc>
        <w:tc>
          <w:tcPr>
            <w:tcW w:w="3074" w:type="pct"/>
          </w:tcPr>
          <w:p w14:paraId="5D4AC41A" w14:textId="77777777" w:rsidR="009658B2" w:rsidRPr="0013396E" w:rsidRDefault="009658B2" w:rsidP="0099759E">
            <w:pPr>
              <w:pStyle w:val="tablebody0"/>
            </w:pPr>
            <w:r w:rsidRPr="0013396E">
              <w:rPr>
                <w:i/>
              </w:rPr>
              <w:t>Real-Time Reliability Deployment Price Adder for Ancillary Service for Responsive Reserve per SCED interval</w:t>
            </w:r>
            <w:r w:rsidRPr="0013396E">
              <w:t xml:space="preserve"> - The Real-Time price adder for RRS that captures the impact of reliability deployments on RRS prices for the SCED interval y. </w:t>
            </w:r>
          </w:p>
        </w:tc>
      </w:tr>
      <w:tr w:rsidR="009658B2" w:rsidRPr="0013396E" w14:paraId="2609F38D" w14:textId="77777777" w:rsidTr="0099759E">
        <w:trPr>
          <w:cantSplit/>
        </w:trPr>
        <w:tc>
          <w:tcPr>
            <w:tcW w:w="1295" w:type="pct"/>
          </w:tcPr>
          <w:p w14:paraId="1CCC33BA" w14:textId="77777777" w:rsidR="009658B2" w:rsidRPr="0013396E" w:rsidRDefault="009658B2" w:rsidP="0099759E">
            <w:pPr>
              <w:pStyle w:val="tablebody0"/>
            </w:pPr>
            <w:r w:rsidRPr="0013396E">
              <w:rPr>
                <w:iCs/>
              </w:rPr>
              <w:t xml:space="preserve">RNWF </w:t>
            </w:r>
            <w:r w:rsidRPr="0013396E">
              <w:rPr>
                <w:i/>
                <w:iCs/>
                <w:vertAlign w:val="subscript"/>
              </w:rPr>
              <w:t>y</w:t>
            </w:r>
          </w:p>
        </w:tc>
        <w:tc>
          <w:tcPr>
            <w:tcW w:w="631" w:type="pct"/>
          </w:tcPr>
          <w:p w14:paraId="60E9200A" w14:textId="77777777" w:rsidR="009658B2" w:rsidRPr="0013396E" w:rsidRDefault="009658B2" w:rsidP="0099759E">
            <w:pPr>
              <w:pStyle w:val="tablebody0"/>
            </w:pPr>
            <w:r w:rsidRPr="0013396E">
              <w:rPr>
                <w:iCs/>
              </w:rPr>
              <w:t>none</w:t>
            </w:r>
          </w:p>
        </w:tc>
        <w:tc>
          <w:tcPr>
            <w:tcW w:w="3074" w:type="pct"/>
          </w:tcPr>
          <w:p w14:paraId="6A7F05AF" w14:textId="77777777" w:rsidR="009658B2" w:rsidRPr="0013396E" w:rsidRDefault="009658B2" w:rsidP="0099759E">
            <w:pPr>
              <w:pStyle w:val="tablebody0"/>
              <w:rPr>
                <w:i/>
              </w:rPr>
            </w:pPr>
            <w:r w:rsidRPr="0013396E">
              <w:rPr>
                <w:i/>
                <w:iCs/>
              </w:rPr>
              <w:t>Resource Node Weighting Factor per interval</w:t>
            </w:r>
            <w:r w:rsidRPr="0013396E">
              <w:rPr>
                <w:iCs/>
              </w:rPr>
              <w:sym w:font="Symbol" w:char="F0BE"/>
            </w:r>
            <w:r w:rsidRPr="0013396E">
              <w:rPr>
                <w:iCs/>
              </w:rPr>
              <w:t xml:space="preserve">The weight used in the Ancillary Service Price calculation for the portion of the SCED interval </w:t>
            </w:r>
            <w:r w:rsidRPr="0013396E">
              <w:rPr>
                <w:i/>
                <w:iCs/>
              </w:rPr>
              <w:t>y</w:t>
            </w:r>
            <w:r w:rsidRPr="0013396E">
              <w:rPr>
                <w:iCs/>
              </w:rPr>
              <w:t xml:space="preserve"> within the Settlement Interval.</w:t>
            </w:r>
          </w:p>
        </w:tc>
      </w:tr>
      <w:tr w:rsidR="009658B2" w:rsidRPr="0013396E" w14:paraId="16785FC7" w14:textId="77777777" w:rsidTr="0099759E">
        <w:trPr>
          <w:cantSplit/>
        </w:trPr>
        <w:tc>
          <w:tcPr>
            <w:tcW w:w="1295" w:type="pct"/>
          </w:tcPr>
          <w:p w14:paraId="66D12E0E" w14:textId="77777777" w:rsidR="009658B2" w:rsidRPr="0013396E" w:rsidRDefault="009658B2" w:rsidP="0099759E">
            <w:pPr>
              <w:pStyle w:val="tablebody0"/>
            </w:pPr>
            <w:r w:rsidRPr="0013396E">
              <w:rPr>
                <w:iCs/>
              </w:rPr>
              <w:t xml:space="preserve">TLMP </w:t>
            </w:r>
            <w:r w:rsidRPr="0013396E">
              <w:rPr>
                <w:i/>
                <w:iCs/>
                <w:vertAlign w:val="subscript"/>
              </w:rPr>
              <w:t>y</w:t>
            </w:r>
          </w:p>
        </w:tc>
        <w:tc>
          <w:tcPr>
            <w:tcW w:w="631" w:type="pct"/>
          </w:tcPr>
          <w:p w14:paraId="01E0B405" w14:textId="77777777" w:rsidR="009658B2" w:rsidRPr="0013396E" w:rsidRDefault="009658B2" w:rsidP="0099759E">
            <w:pPr>
              <w:pStyle w:val="tablebody0"/>
            </w:pPr>
            <w:r w:rsidRPr="0013396E">
              <w:rPr>
                <w:iCs/>
              </w:rPr>
              <w:t>second</w:t>
            </w:r>
          </w:p>
        </w:tc>
        <w:tc>
          <w:tcPr>
            <w:tcW w:w="3074" w:type="pct"/>
          </w:tcPr>
          <w:p w14:paraId="2466CAA2" w14:textId="77777777" w:rsidR="009658B2" w:rsidRPr="0013396E" w:rsidRDefault="009658B2" w:rsidP="0099759E">
            <w:pPr>
              <w:pStyle w:val="tablebody0"/>
              <w:rPr>
                <w:i/>
              </w:rPr>
            </w:pPr>
            <w:r w:rsidRPr="0013396E">
              <w:rPr>
                <w:i/>
              </w:rPr>
              <w:t>Duration of SCED interval per interval</w:t>
            </w:r>
            <w:r w:rsidRPr="0013396E">
              <w:rPr>
                <w:iCs/>
              </w:rPr>
              <w:sym w:font="Symbol" w:char="F0BE"/>
            </w:r>
            <w:r w:rsidRPr="0013396E">
              <w:rPr>
                <w:iCs/>
              </w:rPr>
              <w:t xml:space="preserve">The duration of the portion of the SCED interval </w:t>
            </w:r>
            <w:r w:rsidRPr="0013396E">
              <w:rPr>
                <w:i/>
              </w:rPr>
              <w:t>y</w:t>
            </w:r>
            <w:r w:rsidRPr="0013396E">
              <w:t xml:space="preserve"> within the Settlement Interval</w:t>
            </w:r>
            <w:r w:rsidRPr="0013396E">
              <w:rPr>
                <w:iCs/>
              </w:rPr>
              <w:t>.</w:t>
            </w:r>
          </w:p>
        </w:tc>
      </w:tr>
      <w:tr w:rsidR="009658B2" w:rsidRPr="0013396E" w14:paraId="1FA85C80" w14:textId="77777777" w:rsidTr="0099759E">
        <w:trPr>
          <w:cantSplit/>
        </w:trPr>
        <w:tc>
          <w:tcPr>
            <w:tcW w:w="1295" w:type="pct"/>
          </w:tcPr>
          <w:p w14:paraId="22FF253E" w14:textId="77777777" w:rsidR="009658B2" w:rsidRPr="0013396E" w:rsidRDefault="009658B2" w:rsidP="0099759E">
            <w:pPr>
              <w:pStyle w:val="tablebody0"/>
              <w:rPr>
                <w:i/>
              </w:rPr>
            </w:pPr>
            <w:r w:rsidRPr="0013396E">
              <w:rPr>
                <w:i/>
              </w:rPr>
              <w:t>y</w:t>
            </w:r>
          </w:p>
        </w:tc>
        <w:tc>
          <w:tcPr>
            <w:tcW w:w="631" w:type="pct"/>
          </w:tcPr>
          <w:p w14:paraId="31448E18" w14:textId="77777777" w:rsidR="009658B2" w:rsidRPr="0013396E" w:rsidRDefault="009658B2" w:rsidP="0099759E">
            <w:pPr>
              <w:pStyle w:val="tablebody0"/>
            </w:pPr>
            <w:r w:rsidRPr="0013396E">
              <w:t>none</w:t>
            </w:r>
          </w:p>
        </w:tc>
        <w:tc>
          <w:tcPr>
            <w:tcW w:w="3074" w:type="pct"/>
          </w:tcPr>
          <w:p w14:paraId="2E0C0F01" w14:textId="77777777" w:rsidR="009658B2" w:rsidRPr="0013396E" w:rsidRDefault="009658B2" w:rsidP="0099759E">
            <w:pPr>
              <w:pStyle w:val="tablebody0"/>
            </w:pPr>
            <w:r w:rsidRPr="0013396E">
              <w:t>A SCED interval in the 15-minute Settlement Interval.</w:t>
            </w:r>
          </w:p>
        </w:tc>
      </w:tr>
    </w:tbl>
    <w:p w14:paraId="18F16AC0" w14:textId="77777777" w:rsidR="009658B2" w:rsidRPr="0013396E" w:rsidRDefault="009658B2" w:rsidP="009658B2">
      <w:pPr>
        <w:spacing w:before="240" w:after="240"/>
        <w:ind w:left="720" w:hanging="720"/>
      </w:pPr>
      <w:r w:rsidRPr="0013396E">
        <w:rPr>
          <w:bCs/>
          <w:snapToGrid w:val="0"/>
        </w:rPr>
        <w:t>(4)</w:t>
      </w:r>
      <w:r w:rsidRPr="0013396E">
        <w:t xml:space="preserve"> </w:t>
      </w:r>
      <w:r w:rsidRPr="0013396E">
        <w:tab/>
        <w:t>The Real-Time MCPC for ECRS is the time-weighted average of the sum of the Real-Time MCPC for ECRS and Real-Time Reliability Deployment Price Adder for Ancillary Service for ECRS of each SCED interval in the 15-minute Settlement Interval.  The Real-Time MCPC for ECRS for a 15-minute Settlement Interval is calculated as follows:</w:t>
      </w:r>
    </w:p>
    <w:p w14:paraId="00990FD6" w14:textId="77777777" w:rsidR="009658B2" w:rsidRPr="0013396E" w:rsidRDefault="009658B2" w:rsidP="009658B2">
      <w:pPr>
        <w:pStyle w:val="FormulaBold"/>
        <w:rPr>
          <w:i/>
          <w:vertAlign w:val="subscript"/>
        </w:rPr>
      </w:pPr>
      <w:r w:rsidRPr="0013396E">
        <w:t xml:space="preserve">RTMCPCECR  =   </w:t>
      </w:r>
      <w:r w:rsidRPr="0013396E">
        <w:rPr>
          <w:position w:val="-22"/>
        </w:rPr>
        <w:object w:dxaOrig="225" w:dyaOrig="465" w14:anchorId="7B210BF2">
          <v:shape id="_x0000_i1057" type="#_x0000_t75" style="width:24pt;height:18.6pt" o:ole="">
            <v:imagedata r:id="rId20" o:title=""/>
          </v:shape>
          <o:OLEObject Type="Embed" ProgID="Equation.3" ShapeID="_x0000_i1057" DrawAspect="Content" ObjectID="_1836311336" r:id="rId57"/>
        </w:object>
      </w:r>
      <w:r w:rsidRPr="0013396E">
        <w:t xml:space="preserve"> (RNWF </w:t>
      </w:r>
      <w:r w:rsidRPr="0013396E">
        <w:rPr>
          <w:i/>
          <w:vertAlign w:val="subscript"/>
        </w:rPr>
        <w:t>y</w:t>
      </w:r>
      <w:r w:rsidRPr="0013396E">
        <w:t xml:space="preserve"> * (RTMCPCECRS </w:t>
      </w:r>
      <w:r w:rsidRPr="0013396E">
        <w:rPr>
          <w:i/>
          <w:vertAlign w:val="subscript"/>
        </w:rPr>
        <w:t>y</w:t>
      </w:r>
      <w:r w:rsidRPr="0013396E">
        <w:t xml:space="preserve">+ RTRDPAECRS </w:t>
      </w:r>
      <w:r w:rsidRPr="0013396E">
        <w:rPr>
          <w:i/>
          <w:vertAlign w:val="subscript"/>
        </w:rPr>
        <w:t>y</w:t>
      </w:r>
      <w:r w:rsidRPr="0013396E">
        <w:t>))</w:t>
      </w:r>
    </w:p>
    <w:p w14:paraId="0B012E2E" w14:textId="77777777" w:rsidR="009658B2" w:rsidRPr="0013396E" w:rsidRDefault="009658B2" w:rsidP="009658B2">
      <w:pPr>
        <w:pStyle w:val="BodyTextNumbered"/>
        <w:ind w:left="0" w:firstLine="0"/>
      </w:pPr>
      <w:r w:rsidRPr="0013396E">
        <w:t>Where:</w:t>
      </w:r>
    </w:p>
    <w:p w14:paraId="47555F59" w14:textId="77777777" w:rsidR="009658B2" w:rsidRPr="0013396E" w:rsidRDefault="009658B2" w:rsidP="009658B2">
      <w:pPr>
        <w:spacing w:after="240"/>
        <w:ind w:firstLine="720"/>
        <w:rPr>
          <w:i/>
          <w:vertAlign w:val="subscript"/>
        </w:rPr>
      </w:pPr>
      <w:r w:rsidRPr="0013396E">
        <w:t xml:space="preserve">RNWF </w:t>
      </w:r>
      <w:r w:rsidRPr="0013396E">
        <w:rPr>
          <w:i/>
          <w:vertAlign w:val="subscript"/>
        </w:rPr>
        <w:t xml:space="preserve">y   </w:t>
      </w:r>
      <w:r w:rsidRPr="0013396E">
        <w:t xml:space="preserve">=  TLMP </w:t>
      </w:r>
      <w:r w:rsidRPr="0013396E">
        <w:rPr>
          <w:i/>
          <w:vertAlign w:val="subscript"/>
        </w:rPr>
        <w:t>y</w:t>
      </w:r>
      <w:r w:rsidRPr="0013396E">
        <w:t xml:space="preserve"> </w:t>
      </w:r>
      <w:r w:rsidRPr="0013396E">
        <w:rPr>
          <w:color w:val="000000"/>
          <w:sz w:val="32"/>
          <w:szCs w:val="32"/>
        </w:rPr>
        <w:t>/</w:t>
      </w:r>
      <w:r w:rsidRPr="0013396E">
        <w:rPr>
          <w:color w:val="000000"/>
        </w:rPr>
        <w:t xml:space="preserve"> </w:t>
      </w:r>
      <w:r w:rsidRPr="0013396E">
        <w:rPr>
          <w:position w:val="-22"/>
        </w:rPr>
        <w:object w:dxaOrig="225" w:dyaOrig="465" w14:anchorId="3DD42AB1">
          <v:shape id="_x0000_i1058" type="#_x0000_t75" style="width:24pt;height:18.6pt" o:ole="">
            <v:imagedata r:id="rId20" o:title=""/>
          </v:shape>
          <o:OLEObject Type="Embed" ProgID="Equation.3" ShapeID="_x0000_i1058" DrawAspect="Content" ObjectID="_1836311337" r:id="rId58"/>
        </w:object>
      </w:r>
      <w:r w:rsidRPr="0013396E">
        <w:t xml:space="preserve">TLMP </w:t>
      </w:r>
      <w:r w:rsidRPr="0013396E">
        <w:rPr>
          <w:i/>
          <w:vertAlign w:val="subscript"/>
        </w:rPr>
        <w:t>y</w:t>
      </w:r>
    </w:p>
    <w:p w14:paraId="3137A6FF" w14:textId="77777777" w:rsidR="009658B2" w:rsidRPr="0013396E" w:rsidRDefault="009658B2" w:rsidP="009658B2">
      <w:pPr>
        <w:pStyle w:val="Instructions"/>
        <w:spacing w:after="0"/>
        <w:ind w:left="720" w:hanging="720"/>
        <w:rPr>
          <w:b w:val="0"/>
          <w:i w:val="0"/>
        </w:rPr>
      </w:pPr>
      <w:r w:rsidRPr="0013396E">
        <w:rPr>
          <w:b w:val="0"/>
          <w:i w:val="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22"/>
        <w:gridCol w:w="1180"/>
        <w:gridCol w:w="5748"/>
      </w:tblGrid>
      <w:tr w:rsidR="009658B2" w:rsidRPr="0013396E" w14:paraId="5FF1BC42" w14:textId="77777777" w:rsidTr="0099759E">
        <w:trPr>
          <w:cantSplit/>
          <w:tblHeader/>
        </w:trPr>
        <w:tc>
          <w:tcPr>
            <w:tcW w:w="1295" w:type="pct"/>
            <w:tcBorders>
              <w:top w:val="single" w:sz="4" w:space="0" w:color="auto"/>
              <w:left w:val="single" w:sz="4" w:space="0" w:color="auto"/>
              <w:bottom w:val="single" w:sz="4" w:space="0" w:color="auto"/>
              <w:right w:val="single" w:sz="4" w:space="0" w:color="auto"/>
            </w:tcBorders>
            <w:hideMark/>
          </w:tcPr>
          <w:p w14:paraId="3F0E55B6" w14:textId="77777777" w:rsidR="009658B2" w:rsidRPr="0013396E" w:rsidRDefault="009658B2" w:rsidP="0099759E">
            <w:pPr>
              <w:pStyle w:val="TableHead"/>
            </w:pPr>
            <w:r w:rsidRPr="0013396E">
              <w:lastRenderedPageBreak/>
              <w:t>Variable</w:t>
            </w:r>
          </w:p>
        </w:tc>
        <w:tc>
          <w:tcPr>
            <w:tcW w:w="631" w:type="pct"/>
            <w:tcBorders>
              <w:top w:val="single" w:sz="4" w:space="0" w:color="auto"/>
              <w:left w:val="single" w:sz="4" w:space="0" w:color="auto"/>
              <w:bottom w:val="single" w:sz="4" w:space="0" w:color="auto"/>
              <w:right w:val="single" w:sz="4" w:space="0" w:color="auto"/>
            </w:tcBorders>
            <w:hideMark/>
          </w:tcPr>
          <w:p w14:paraId="23FAEF20" w14:textId="77777777" w:rsidR="009658B2" w:rsidRPr="0013396E" w:rsidRDefault="009658B2" w:rsidP="0099759E">
            <w:pPr>
              <w:pStyle w:val="TableHead"/>
            </w:pPr>
            <w:r w:rsidRPr="0013396E">
              <w:t>Unit</w:t>
            </w:r>
          </w:p>
        </w:tc>
        <w:tc>
          <w:tcPr>
            <w:tcW w:w="3074" w:type="pct"/>
            <w:tcBorders>
              <w:top w:val="single" w:sz="4" w:space="0" w:color="auto"/>
              <w:left w:val="single" w:sz="4" w:space="0" w:color="auto"/>
              <w:bottom w:val="single" w:sz="4" w:space="0" w:color="auto"/>
              <w:right w:val="single" w:sz="4" w:space="0" w:color="auto"/>
            </w:tcBorders>
            <w:hideMark/>
          </w:tcPr>
          <w:p w14:paraId="6CB46774" w14:textId="77777777" w:rsidR="009658B2" w:rsidRPr="0013396E" w:rsidRDefault="009658B2" w:rsidP="0099759E">
            <w:pPr>
              <w:pStyle w:val="TableHead"/>
            </w:pPr>
            <w:r w:rsidRPr="0013396E">
              <w:t>Description</w:t>
            </w:r>
          </w:p>
        </w:tc>
      </w:tr>
      <w:tr w:rsidR="009658B2" w:rsidRPr="0013396E" w14:paraId="7167DB9C" w14:textId="77777777" w:rsidTr="0099759E">
        <w:trPr>
          <w:cantSplit/>
        </w:trPr>
        <w:tc>
          <w:tcPr>
            <w:tcW w:w="1295" w:type="pct"/>
            <w:tcBorders>
              <w:top w:val="single" w:sz="4" w:space="0" w:color="auto"/>
              <w:left w:val="single" w:sz="4" w:space="0" w:color="auto"/>
              <w:bottom w:val="single" w:sz="4" w:space="0" w:color="auto"/>
              <w:right w:val="single" w:sz="4" w:space="0" w:color="auto"/>
            </w:tcBorders>
            <w:hideMark/>
          </w:tcPr>
          <w:p w14:paraId="57D01833" w14:textId="77777777" w:rsidR="009658B2" w:rsidRPr="0013396E" w:rsidRDefault="009658B2" w:rsidP="0099759E">
            <w:pPr>
              <w:pStyle w:val="tablebody0"/>
            </w:pPr>
            <w:r w:rsidRPr="0013396E">
              <w:t xml:space="preserve">RTMCPCECR </w:t>
            </w:r>
          </w:p>
        </w:tc>
        <w:tc>
          <w:tcPr>
            <w:tcW w:w="631" w:type="pct"/>
            <w:tcBorders>
              <w:top w:val="single" w:sz="4" w:space="0" w:color="auto"/>
              <w:left w:val="single" w:sz="4" w:space="0" w:color="auto"/>
              <w:bottom w:val="single" w:sz="4" w:space="0" w:color="auto"/>
              <w:right w:val="single" w:sz="4" w:space="0" w:color="auto"/>
            </w:tcBorders>
            <w:hideMark/>
          </w:tcPr>
          <w:p w14:paraId="653D4FC4" w14:textId="77777777" w:rsidR="009658B2" w:rsidRPr="0013396E" w:rsidRDefault="009658B2" w:rsidP="0099759E">
            <w:pPr>
              <w:pStyle w:val="tablebody0"/>
            </w:pPr>
            <w:r w:rsidRPr="0013396E">
              <w:t>$/MW</w:t>
            </w:r>
          </w:p>
        </w:tc>
        <w:tc>
          <w:tcPr>
            <w:tcW w:w="3074" w:type="pct"/>
            <w:tcBorders>
              <w:top w:val="single" w:sz="4" w:space="0" w:color="auto"/>
              <w:left w:val="single" w:sz="4" w:space="0" w:color="auto"/>
              <w:bottom w:val="single" w:sz="4" w:space="0" w:color="auto"/>
              <w:right w:val="single" w:sz="4" w:space="0" w:color="auto"/>
            </w:tcBorders>
            <w:hideMark/>
          </w:tcPr>
          <w:p w14:paraId="7C29F9FA" w14:textId="77777777" w:rsidR="009658B2" w:rsidRPr="0013396E" w:rsidRDefault="009658B2" w:rsidP="0099759E">
            <w:pPr>
              <w:pStyle w:val="tablebody0"/>
              <w:rPr>
                <w:i/>
              </w:rPr>
            </w:pPr>
            <w:r w:rsidRPr="0013396E">
              <w:rPr>
                <w:i/>
                <w:szCs w:val="18"/>
              </w:rPr>
              <w:t xml:space="preserve">Real-Time Market Clearing Price for Capacity for </w:t>
            </w:r>
            <w:r w:rsidRPr="0013396E">
              <w:rPr>
                <w:i/>
              </w:rPr>
              <w:t>ERCOT Contingency Reserve</w:t>
            </w:r>
            <w:r w:rsidRPr="0013396E">
              <w:t xml:space="preserve"> </w:t>
            </w:r>
            <w:r w:rsidRPr="0013396E">
              <w:rPr>
                <w:i/>
                <w:szCs w:val="18"/>
              </w:rPr>
              <w:t>-</w:t>
            </w:r>
            <w:r w:rsidRPr="0013396E">
              <w:t xml:space="preserve"> The Real-Time MCPC for ECRS for the 15-minute Settlement Interval.</w:t>
            </w:r>
          </w:p>
        </w:tc>
      </w:tr>
      <w:tr w:rsidR="009658B2" w:rsidRPr="0013396E" w14:paraId="5C9095D3" w14:textId="77777777" w:rsidTr="0099759E">
        <w:trPr>
          <w:cantSplit/>
        </w:trPr>
        <w:tc>
          <w:tcPr>
            <w:tcW w:w="1295" w:type="pct"/>
            <w:tcBorders>
              <w:top w:val="single" w:sz="4" w:space="0" w:color="auto"/>
              <w:left w:val="single" w:sz="4" w:space="0" w:color="auto"/>
              <w:bottom w:val="single" w:sz="4" w:space="0" w:color="auto"/>
              <w:right w:val="single" w:sz="4" w:space="0" w:color="auto"/>
            </w:tcBorders>
            <w:hideMark/>
          </w:tcPr>
          <w:p w14:paraId="3860F02D" w14:textId="77777777" w:rsidR="009658B2" w:rsidRPr="0013396E" w:rsidRDefault="009658B2" w:rsidP="0099759E">
            <w:pPr>
              <w:pStyle w:val="tablebody0"/>
            </w:pPr>
            <w:r w:rsidRPr="0013396E">
              <w:t>RTMCPCECRS</w:t>
            </w:r>
            <w:r w:rsidRPr="0013396E">
              <w:rPr>
                <w:i/>
                <w:vertAlign w:val="subscript"/>
              </w:rPr>
              <w:t xml:space="preserve"> y</w:t>
            </w:r>
          </w:p>
        </w:tc>
        <w:tc>
          <w:tcPr>
            <w:tcW w:w="631" w:type="pct"/>
            <w:tcBorders>
              <w:top w:val="single" w:sz="4" w:space="0" w:color="auto"/>
              <w:left w:val="single" w:sz="4" w:space="0" w:color="auto"/>
              <w:bottom w:val="single" w:sz="4" w:space="0" w:color="auto"/>
              <w:right w:val="single" w:sz="4" w:space="0" w:color="auto"/>
            </w:tcBorders>
            <w:hideMark/>
          </w:tcPr>
          <w:p w14:paraId="79EAB59A" w14:textId="77777777" w:rsidR="009658B2" w:rsidRPr="0013396E" w:rsidRDefault="009658B2" w:rsidP="0099759E">
            <w:pPr>
              <w:pStyle w:val="tablebody0"/>
            </w:pPr>
            <w:r w:rsidRPr="0013396E">
              <w:t>$/MW</w:t>
            </w:r>
          </w:p>
        </w:tc>
        <w:tc>
          <w:tcPr>
            <w:tcW w:w="3074" w:type="pct"/>
            <w:tcBorders>
              <w:top w:val="single" w:sz="4" w:space="0" w:color="auto"/>
              <w:left w:val="single" w:sz="4" w:space="0" w:color="auto"/>
              <w:bottom w:val="single" w:sz="4" w:space="0" w:color="auto"/>
              <w:right w:val="single" w:sz="4" w:space="0" w:color="auto"/>
            </w:tcBorders>
            <w:hideMark/>
          </w:tcPr>
          <w:p w14:paraId="3C45CB2F" w14:textId="77777777" w:rsidR="009658B2" w:rsidRPr="0013396E" w:rsidRDefault="009658B2" w:rsidP="0099759E">
            <w:pPr>
              <w:pStyle w:val="tablebody0"/>
              <w:rPr>
                <w:i/>
                <w:szCs w:val="18"/>
              </w:rPr>
            </w:pPr>
            <w:r w:rsidRPr="0013396E">
              <w:rPr>
                <w:i/>
                <w:szCs w:val="18"/>
              </w:rPr>
              <w:t xml:space="preserve">Real-Time Market Clearing Price for Capacity for </w:t>
            </w:r>
            <w:r w:rsidRPr="0013396E">
              <w:rPr>
                <w:i/>
              </w:rPr>
              <w:t>ERCOT Contingency Reserve</w:t>
            </w:r>
            <w:r w:rsidRPr="0013396E">
              <w:t xml:space="preserve"> </w:t>
            </w:r>
            <w:r w:rsidRPr="0013396E">
              <w:rPr>
                <w:i/>
              </w:rPr>
              <w:t xml:space="preserve">per SCED interval </w:t>
            </w:r>
            <w:r w:rsidRPr="0013396E">
              <w:rPr>
                <w:i/>
                <w:szCs w:val="18"/>
              </w:rPr>
              <w:t>-</w:t>
            </w:r>
            <w:r w:rsidRPr="0013396E">
              <w:t xml:space="preserve"> The Real-Time MCPC for ECRS for the SCED interval </w:t>
            </w:r>
            <w:r w:rsidRPr="0013396E">
              <w:rPr>
                <w:i/>
              </w:rPr>
              <w:t>y.</w:t>
            </w:r>
          </w:p>
        </w:tc>
      </w:tr>
      <w:tr w:rsidR="009658B2" w:rsidRPr="0013396E" w14:paraId="687F1D5D" w14:textId="77777777" w:rsidTr="0099759E">
        <w:trPr>
          <w:cantSplit/>
        </w:trPr>
        <w:tc>
          <w:tcPr>
            <w:tcW w:w="1295" w:type="pct"/>
          </w:tcPr>
          <w:p w14:paraId="31D0B1FE" w14:textId="77777777" w:rsidR="009658B2" w:rsidRPr="0013396E" w:rsidRDefault="009658B2" w:rsidP="0099759E">
            <w:pPr>
              <w:pStyle w:val="tablebody0"/>
              <w:rPr>
                <w:i/>
              </w:rPr>
            </w:pPr>
            <w:r w:rsidRPr="0013396E">
              <w:t xml:space="preserve">RTRDPAECRS </w:t>
            </w:r>
            <w:r w:rsidRPr="0013396E">
              <w:rPr>
                <w:i/>
              </w:rPr>
              <w:t>y</w:t>
            </w:r>
          </w:p>
        </w:tc>
        <w:tc>
          <w:tcPr>
            <w:tcW w:w="631" w:type="pct"/>
          </w:tcPr>
          <w:p w14:paraId="2E493E28" w14:textId="77777777" w:rsidR="009658B2" w:rsidRPr="0013396E" w:rsidRDefault="009658B2" w:rsidP="0099759E">
            <w:pPr>
              <w:pStyle w:val="tablebody0"/>
            </w:pPr>
            <w:r w:rsidRPr="0013396E">
              <w:t>$/MW</w:t>
            </w:r>
          </w:p>
        </w:tc>
        <w:tc>
          <w:tcPr>
            <w:tcW w:w="3074" w:type="pct"/>
          </w:tcPr>
          <w:p w14:paraId="4AE2590D" w14:textId="77777777" w:rsidR="009658B2" w:rsidRPr="0013396E" w:rsidRDefault="009658B2" w:rsidP="0099759E">
            <w:pPr>
              <w:pStyle w:val="tablebody0"/>
            </w:pPr>
            <w:r w:rsidRPr="0013396E">
              <w:rPr>
                <w:i/>
              </w:rPr>
              <w:t>Real-Time Reliability Deployment Price Adder for Ancillary Service for ECRS per SCED interval</w:t>
            </w:r>
            <w:r w:rsidRPr="0013396E">
              <w:t xml:space="preserve"> - The Real-Time price adder for ECRS that captures the impact of reliability deployments on ECRS</w:t>
            </w:r>
            <w:r w:rsidRPr="0013396E" w:rsidDel="00DA63CB">
              <w:t xml:space="preserve"> </w:t>
            </w:r>
            <w:r w:rsidRPr="0013396E">
              <w:t xml:space="preserve">prices for the SCED interval y. </w:t>
            </w:r>
          </w:p>
        </w:tc>
      </w:tr>
      <w:tr w:rsidR="009658B2" w:rsidRPr="0013396E" w14:paraId="1D73688B" w14:textId="77777777" w:rsidTr="0099759E">
        <w:trPr>
          <w:cantSplit/>
        </w:trPr>
        <w:tc>
          <w:tcPr>
            <w:tcW w:w="1295" w:type="pct"/>
          </w:tcPr>
          <w:p w14:paraId="6F966A39" w14:textId="77777777" w:rsidR="009658B2" w:rsidRPr="0013396E" w:rsidRDefault="009658B2" w:rsidP="0099759E">
            <w:pPr>
              <w:pStyle w:val="tablebody0"/>
            </w:pPr>
            <w:r w:rsidRPr="0013396E">
              <w:rPr>
                <w:iCs/>
              </w:rPr>
              <w:t xml:space="preserve">RNWF </w:t>
            </w:r>
            <w:r w:rsidRPr="0013396E">
              <w:rPr>
                <w:i/>
                <w:iCs/>
                <w:vertAlign w:val="subscript"/>
              </w:rPr>
              <w:t>y</w:t>
            </w:r>
          </w:p>
        </w:tc>
        <w:tc>
          <w:tcPr>
            <w:tcW w:w="631" w:type="pct"/>
          </w:tcPr>
          <w:p w14:paraId="78760D0E" w14:textId="77777777" w:rsidR="009658B2" w:rsidRPr="0013396E" w:rsidRDefault="009658B2" w:rsidP="0099759E">
            <w:pPr>
              <w:pStyle w:val="tablebody0"/>
            </w:pPr>
            <w:r w:rsidRPr="0013396E">
              <w:rPr>
                <w:iCs/>
              </w:rPr>
              <w:t>none</w:t>
            </w:r>
          </w:p>
        </w:tc>
        <w:tc>
          <w:tcPr>
            <w:tcW w:w="3074" w:type="pct"/>
          </w:tcPr>
          <w:p w14:paraId="63DFD821" w14:textId="77777777" w:rsidR="009658B2" w:rsidRPr="0013396E" w:rsidRDefault="009658B2" w:rsidP="0099759E">
            <w:pPr>
              <w:pStyle w:val="tablebody0"/>
              <w:rPr>
                <w:i/>
              </w:rPr>
            </w:pPr>
            <w:r w:rsidRPr="0013396E">
              <w:rPr>
                <w:i/>
                <w:iCs/>
              </w:rPr>
              <w:t>Resource Node Weighting Factor per interval</w:t>
            </w:r>
            <w:r w:rsidRPr="0013396E">
              <w:rPr>
                <w:iCs/>
              </w:rPr>
              <w:sym w:font="Symbol" w:char="F0BE"/>
            </w:r>
            <w:r w:rsidRPr="0013396E">
              <w:rPr>
                <w:iCs/>
              </w:rPr>
              <w:t xml:space="preserve">The weight used in the Ancillary Service Price calculation for the portion of the SCED interval </w:t>
            </w:r>
            <w:r w:rsidRPr="0013396E">
              <w:rPr>
                <w:i/>
                <w:iCs/>
              </w:rPr>
              <w:t>y</w:t>
            </w:r>
            <w:r w:rsidRPr="0013396E">
              <w:rPr>
                <w:iCs/>
              </w:rPr>
              <w:t xml:space="preserve"> within the Settlement Interval.</w:t>
            </w:r>
          </w:p>
        </w:tc>
      </w:tr>
      <w:tr w:rsidR="009658B2" w:rsidRPr="0013396E" w14:paraId="00181575" w14:textId="77777777" w:rsidTr="0099759E">
        <w:trPr>
          <w:cantSplit/>
        </w:trPr>
        <w:tc>
          <w:tcPr>
            <w:tcW w:w="1295" w:type="pct"/>
          </w:tcPr>
          <w:p w14:paraId="6F7E6E51" w14:textId="77777777" w:rsidR="009658B2" w:rsidRPr="0013396E" w:rsidRDefault="009658B2" w:rsidP="0099759E">
            <w:pPr>
              <w:pStyle w:val="tablebody0"/>
            </w:pPr>
            <w:r w:rsidRPr="0013396E">
              <w:rPr>
                <w:iCs/>
              </w:rPr>
              <w:t xml:space="preserve">TLMP </w:t>
            </w:r>
            <w:r w:rsidRPr="0013396E">
              <w:rPr>
                <w:i/>
                <w:iCs/>
                <w:vertAlign w:val="subscript"/>
              </w:rPr>
              <w:t>y</w:t>
            </w:r>
          </w:p>
        </w:tc>
        <w:tc>
          <w:tcPr>
            <w:tcW w:w="631" w:type="pct"/>
          </w:tcPr>
          <w:p w14:paraId="605B00C0" w14:textId="77777777" w:rsidR="009658B2" w:rsidRPr="0013396E" w:rsidRDefault="009658B2" w:rsidP="0099759E">
            <w:pPr>
              <w:pStyle w:val="tablebody0"/>
            </w:pPr>
            <w:r w:rsidRPr="0013396E">
              <w:rPr>
                <w:iCs/>
              </w:rPr>
              <w:t>second</w:t>
            </w:r>
          </w:p>
        </w:tc>
        <w:tc>
          <w:tcPr>
            <w:tcW w:w="3074" w:type="pct"/>
          </w:tcPr>
          <w:p w14:paraId="1E38B22C" w14:textId="77777777" w:rsidR="009658B2" w:rsidRPr="0013396E" w:rsidRDefault="009658B2" w:rsidP="0099759E">
            <w:pPr>
              <w:pStyle w:val="tablebody0"/>
              <w:rPr>
                <w:i/>
              </w:rPr>
            </w:pPr>
            <w:r w:rsidRPr="0013396E">
              <w:rPr>
                <w:i/>
              </w:rPr>
              <w:t>Duration of SCED interval per interval</w:t>
            </w:r>
            <w:r w:rsidRPr="0013396E">
              <w:rPr>
                <w:iCs/>
              </w:rPr>
              <w:sym w:font="Symbol" w:char="F0BE"/>
            </w:r>
            <w:r w:rsidRPr="0013396E">
              <w:rPr>
                <w:iCs/>
              </w:rPr>
              <w:t xml:space="preserve">The duration of the portion of the SCED interval </w:t>
            </w:r>
            <w:r w:rsidRPr="0013396E">
              <w:rPr>
                <w:i/>
              </w:rPr>
              <w:t>y</w:t>
            </w:r>
            <w:r w:rsidRPr="0013396E">
              <w:t xml:space="preserve"> within the Settlement Interval</w:t>
            </w:r>
            <w:r w:rsidRPr="0013396E">
              <w:rPr>
                <w:iCs/>
              </w:rPr>
              <w:t>.</w:t>
            </w:r>
          </w:p>
        </w:tc>
      </w:tr>
      <w:tr w:rsidR="009658B2" w:rsidRPr="0013396E" w14:paraId="61B89121" w14:textId="77777777" w:rsidTr="0099759E">
        <w:trPr>
          <w:cantSplit/>
        </w:trPr>
        <w:tc>
          <w:tcPr>
            <w:tcW w:w="1295" w:type="pct"/>
          </w:tcPr>
          <w:p w14:paraId="36FBEA51" w14:textId="77777777" w:rsidR="009658B2" w:rsidRPr="0013396E" w:rsidRDefault="009658B2" w:rsidP="0099759E">
            <w:pPr>
              <w:pStyle w:val="tablebody0"/>
              <w:rPr>
                <w:i/>
              </w:rPr>
            </w:pPr>
            <w:r w:rsidRPr="0013396E">
              <w:rPr>
                <w:i/>
              </w:rPr>
              <w:t>y</w:t>
            </w:r>
          </w:p>
        </w:tc>
        <w:tc>
          <w:tcPr>
            <w:tcW w:w="631" w:type="pct"/>
          </w:tcPr>
          <w:p w14:paraId="795903D5" w14:textId="77777777" w:rsidR="009658B2" w:rsidRPr="0013396E" w:rsidRDefault="009658B2" w:rsidP="0099759E">
            <w:pPr>
              <w:pStyle w:val="tablebody0"/>
            </w:pPr>
            <w:r w:rsidRPr="0013396E">
              <w:t>none</w:t>
            </w:r>
          </w:p>
        </w:tc>
        <w:tc>
          <w:tcPr>
            <w:tcW w:w="3074" w:type="pct"/>
          </w:tcPr>
          <w:p w14:paraId="66F50B1F" w14:textId="77777777" w:rsidR="009658B2" w:rsidRPr="0013396E" w:rsidRDefault="009658B2" w:rsidP="0099759E">
            <w:pPr>
              <w:pStyle w:val="tablebody0"/>
            </w:pPr>
            <w:r w:rsidRPr="0013396E">
              <w:t>A SCED interval in the 15-minute Settlement Interval.</w:t>
            </w:r>
          </w:p>
        </w:tc>
      </w:tr>
    </w:tbl>
    <w:p w14:paraId="00A49C46" w14:textId="77777777" w:rsidR="009658B2" w:rsidRPr="0013396E" w:rsidRDefault="009658B2" w:rsidP="009658B2">
      <w:pPr>
        <w:spacing w:before="240" w:after="240"/>
        <w:ind w:left="720" w:hanging="720"/>
      </w:pPr>
      <w:r w:rsidRPr="0013396E">
        <w:rPr>
          <w:bCs/>
          <w:snapToGrid w:val="0"/>
        </w:rPr>
        <w:t>(5)</w:t>
      </w:r>
      <w:r w:rsidRPr="0013396E">
        <w:t xml:space="preserve"> </w:t>
      </w:r>
      <w:r w:rsidRPr="0013396E">
        <w:tab/>
        <w:t>The Real-Time MCPC for Non-Spin is the time-weighted average of the sum of the Real-Time MCPC for Non-Spin and Real-Time Reliability Deployment Price Adders for Ancillary Service for Non-Spin of each SCED interval in the 15-minute Settlement Interval.  The Real-Time MCPC for Non-Spin for a 15-minute Settlement Interval is calculated as follows:</w:t>
      </w:r>
    </w:p>
    <w:p w14:paraId="460BD184" w14:textId="77777777" w:rsidR="009658B2" w:rsidRPr="0013396E" w:rsidRDefault="009658B2" w:rsidP="009658B2">
      <w:pPr>
        <w:pStyle w:val="FormulaBold"/>
        <w:rPr>
          <w:i/>
          <w:vertAlign w:val="subscript"/>
        </w:rPr>
      </w:pPr>
      <w:r w:rsidRPr="0013396E">
        <w:t xml:space="preserve">RTMCPCNS  =   </w:t>
      </w:r>
      <w:r w:rsidRPr="0013396E">
        <w:rPr>
          <w:position w:val="-22"/>
        </w:rPr>
        <w:object w:dxaOrig="225" w:dyaOrig="465" w14:anchorId="0F7691CF">
          <v:shape id="_x0000_i1059" type="#_x0000_t75" style="width:24pt;height:18.6pt" o:ole="">
            <v:imagedata r:id="rId20" o:title=""/>
          </v:shape>
          <o:OLEObject Type="Embed" ProgID="Equation.3" ShapeID="_x0000_i1059" DrawAspect="Content" ObjectID="_1836311338" r:id="rId59"/>
        </w:object>
      </w:r>
      <w:r w:rsidRPr="0013396E">
        <w:t xml:space="preserve"> (RNWF </w:t>
      </w:r>
      <w:r w:rsidRPr="0013396E">
        <w:rPr>
          <w:i/>
          <w:vertAlign w:val="subscript"/>
        </w:rPr>
        <w:t>y</w:t>
      </w:r>
      <w:r w:rsidRPr="0013396E">
        <w:t xml:space="preserve"> * (RTMCPCNSS </w:t>
      </w:r>
      <w:r w:rsidRPr="0013396E">
        <w:rPr>
          <w:i/>
          <w:vertAlign w:val="subscript"/>
        </w:rPr>
        <w:t>y</w:t>
      </w:r>
      <w:r w:rsidRPr="0013396E">
        <w:t xml:space="preserve">+ RTRDPANSS </w:t>
      </w:r>
      <w:r w:rsidRPr="0013396E">
        <w:rPr>
          <w:i/>
          <w:vertAlign w:val="subscript"/>
        </w:rPr>
        <w:t>y</w:t>
      </w:r>
      <w:r w:rsidRPr="0013396E">
        <w:t>))</w:t>
      </w:r>
    </w:p>
    <w:p w14:paraId="4E71959C" w14:textId="77777777" w:rsidR="009658B2" w:rsidRPr="0013396E" w:rsidRDefault="009658B2" w:rsidP="009658B2">
      <w:pPr>
        <w:pStyle w:val="BodyTextNumbered"/>
        <w:ind w:left="0" w:firstLine="0"/>
      </w:pPr>
      <w:r w:rsidRPr="0013396E">
        <w:t>Where:</w:t>
      </w:r>
    </w:p>
    <w:p w14:paraId="7685731C" w14:textId="77777777" w:rsidR="009658B2" w:rsidRPr="0013396E" w:rsidRDefault="009658B2" w:rsidP="009658B2">
      <w:pPr>
        <w:spacing w:after="240"/>
        <w:ind w:firstLine="720"/>
        <w:rPr>
          <w:i/>
          <w:vertAlign w:val="subscript"/>
        </w:rPr>
      </w:pPr>
      <w:r w:rsidRPr="0013396E">
        <w:t xml:space="preserve">RNWF </w:t>
      </w:r>
      <w:r w:rsidRPr="0013396E">
        <w:rPr>
          <w:i/>
          <w:vertAlign w:val="subscript"/>
        </w:rPr>
        <w:t xml:space="preserve">y   </w:t>
      </w:r>
      <w:r w:rsidRPr="0013396E">
        <w:t xml:space="preserve">=  TLMP </w:t>
      </w:r>
      <w:r w:rsidRPr="0013396E">
        <w:rPr>
          <w:i/>
          <w:vertAlign w:val="subscript"/>
        </w:rPr>
        <w:t>y</w:t>
      </w:r>
      <w:r w:rsidRPr="0013396E">
        <w:t xml:space="preserve"> </w:t>
      </w:r>
      <w:r w:rsidRPr="0013396E">
        <w:rPr>
          <w:color w:val="000000"/>
          <w:sz w:val="32"/>
          <w:szCs w:val="32"/>
        </w:rPr>
        <w:t>/</w:t>
      </w:r>
      <w:r w:rsidRPr="0013396E">
        <w:rPr>
          <w:color w:val="000000"/>
        </w:rPr>
        <w:t xml:space="preserve"> </w:t>
      </w:r>
      <w:r w:rsidRPr="0013396E">
        <w:rPr>
          <w:position w:val="-22"/>
        </w:rPr>
        <w:object w:dxaOrig="225" w:dyaOrig="465" w14:anchorId="52C46CF1">
          <v:shape id="_x0000_i1060" type="#_x0000_t75" style="width:24pt;height:18.6pt" o:ole="">
            <v:imagedata r:id="rId20" o:title=""/>
          </v:shape>
          <o:OLEObject Type="Embed" ProgID="Equation.3" ShapeID="_x0000_i1060" DrawAspect="Content" ObjectID="_1836311339" r:id="rId60"/>
        </w:object>
      </w:r>
      <w:r w:rsidRPr="0013396E">
        <w:t xml:space="preserve">TLMP </w:t>
      </w:r>
      <w:r w:rsidRPr="0013396E">
        <w:rPr>
          <w:i/>
          <w:vertAlign w:val="subscript"/>
        </w:rPr>
        <w:t>y</w:t>
      </w:r>
    </w:p>
    <w:p w14:paraId="789DF985" w14:textId="77777777" w:rsidR="009658B2" w:rsidRPr="0013396E" w:rsidRDefault="009658B2" w:rsidP="009658B2">
      <w:pPr>
        <w:pStyle w:val="Instructions"/>
        <w:spacing w:after="0"/>
        <w:ind w:left="720" w:hanging="720"/>
        <w:rPr>
          <w:b w:val="0"/>
          <w:i w:val="0"/>
        </w:rPr>
      </w:pPr>
      <w:r w:rsidRPr="0013396E">
        <w:rPr>
          <w:b w:val="0"/>
          <w:i w:val="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22"/>
        <w:gridCol w:w="1180"/>
        <w:gridCol w:w="5748"/>
      </w:tblGrid>
      <w:tr w:rsidR="009658B2" w:rsidRPr="0013396E" w14:paraId="0376EEE9" w14:textId="77777777" w:rsidTr="0099759E">
        <w:trPr>
          <w:cantSplit/>
          <w:tblHeader/>
        </w:trPr>
        <w:tc>
          <w:tcPr>
            <w:tcW w:w="1295" w:type="pct"/>
            <w:tcBorders>
              <w:top w:val="single" w:sz="4" w:space="0" w:color="auto"/>
              <w:left w:val="single" w:sz="4" w:space="0" w:color="auto"/>
              <w:bottom w:val="single" w:sz="4" w:space="0" w:color="auto"/>
              <w:right w:val="single" w:sz="4" w:space="0" w:color="auto"/>
            </w:tcBorders>
            <w:hideMark/>
          </w:tcPr>
          <w:p w14:paraId="5F7A695D" w14:textId="77777777" w:rsidR="009658B2" w:rsidRPr="0013396E" w:rsidRDefault="009658B2" w:rsidP="0099759E">
            <w:pPr>
              <w:pStyle w:val="TableHead"/>
            </w:pPr>
            <w:r w:rsidRPr="0013396E">
              <w:t>Variable</w:t>
            </w:r>
          </w:p>
        </w:tc>
        <w:tc>
          <w:tcPr>
            <w:tcW w:w="631" w:type="pct"/>
            <w:tcBorders>
              <w:top w:val="single" w:sz="4" w:space="0" w:color="auto"/>
              <w:left w:val="single" w:sz="4" w:space="0" w:color="auto"/>
              <w:bottom w:val="single" w:sz="4" w:space="0" w:color="auto"/>
              <w:right w:val="single" w:sz="4" w:space="0" w:color="auto"/>
            </w:tcBorders>
            <w:hideMark/>
          </w:tcPr>
          <w:p w14:paraId="7628ECF9" w14:textId="77777777" w:rsidR="009658B2" w:rsidRPr="0013396E" w:rsidRDefault="009658B2" w:rsidP="0099759E">
            <w:pPr>
              <w:pStyle w:val="TableHead"/>
            </w:pPr>
            <w:r w:rsidRPr="0013396E">
              <w:t>Unit</w:t>
            </w:r>
          </w:p>
        </w:tc>
        <w:tc>
          <w:tcPr>
            <w:tcW w:w="3074" w:type="pct"/>
            <w:tcBorders>
              <w:top w:val="single" w:sz="4" w:space="0" w:color="auto"/>
              <w:left w:val="single" w:sz="4" w:space="0" w:color="auto"/>
              <w:bottom w:val="single" w:sz="4" w:space="0" w:color="auto"/>
              <w:right w:val="single" w:sz="4" w:space="0" w:color="auto"/>
            </w:tcBorders>
            <w:hideMark/>
          </w:tcPr>
          <w:p w14:paraId="1B1804A5" w14:textId="77777777" w:rsidR="009658B2" w:rsidRPr="0013396E" w:rsidRDefault="009658B2" w:rsidP="0099759E">
            <w:pPr>
              <w:pStyle w:val="TableHead"/>
            </w:pPr>
            <w:r w:rsidRPr="0013396E">
              <w:t>Description</w:t>
            </w:r>
          </w:p>
        </w:tc>
      </w:tr>
      <w:tr w:rsidR="009658B2" w:rsidRPr="0013396E" w14:paraId="5D0BD279" w14:textId="77777777" w:rsidTr="0099759E">
        <w:trPr>
          <w:cantSplit/>
        </w:trPr>
        <w:tc>
          <w:tcPr>
            <w:tcW w:w="1295" w:type="pct"/>
            <w:tcBorders>
              <w:top w:val="single" w:sz="4" w:space="0" w:color="auto"/>
              <w:left w:val="single" w:sz="4" w:space="0" w:color="auto"/>
              <w:bottom w:val="single" w:sz="4" w:space="0" w:color="auto"/>
              <w:right w:val="single" w:sz="4" w:space="0" w:color="auto"/>
            </w:tcBorders>
            <w:hideMark/>
          </w:tcPr>
          <w:p w14:paraId="04B80045" w14:textId="77777777" w:rsidR="009658B2" w:rsidRPr="0013396E" w:rsidRDefault="009658B2" w:rsidP="0099759E">
            <w:pPr>
              <w:pStyle w:val="tablebody0"/>
            </w:pPr>
            <w:r w:rsidRPr="0013396E">
              <w:t xml:space="preserve">RTMCPCNS </w:t>
            </w:r>
          </w:p>
        </w:tc>
        <w:tc>
          <w:tcPr>
            <w:tcW w:w="631" w:type="pct"/>
            <w:tcBorders>
              <w:top w:val="single" w:sz="4" w:space="0" w:color="auto"/>
              <w:left w:val="single" w:sz="4" w:space="0" w:color="auto"/>
              <w:bottom w:val="single" w:sz="4" w:space="0" w:color="auto"/>
              <w:right w:val="single" w:sz="4" w:space="0" w:color="auto"/>
            </w:tcBorders>
            <w:hideMark/>
          </w:tcPr>
          <w:p w14:paraId="21EEFD35" w14:textId="77777777" w:rsidR="009658B2" w:rsidRPr="0013396E" w:rsidRDefault="009658B2" w:rsidP="0099759E">
            <w:pPr>
              <w:pStyle w:val="tablebody0"/>
            </w:pPr>
            <w:r w:rsidRPr="0013396E">
              <w:t>$/MW</w:t>
            </w:r>
          </w:p>
        </w:tc>
        <w:tc>
          <w:tcPr>
            <w:tcW w:w="3074" w:type="pct"/>
            <w:tcBorders>
              <w:top w:val="single" w:sz="4" w:space="0" w:color="auto"/>
              <w:left w:val="single" w:sz="4" w:space="0" w:color="auto"/>
              <w:bottom w:val="single" w:sz="4" w:space="0" w:color="auto"/>
              <w:right w:val="single" w:sz="4" w:space="0" w:color="auto"/>
            </w:tcBorders>
            <w:hideMark/>
          </w:tcPr>
          <w:p w14:paraId="68749F30" w14:textId="77777777" w:rsidR="009658B2" w:rsidRPr="0013396E" w:rsidRDefault="009658B2" w:rsidP="0099759E">
            <w:pPr>
              <w:pStyle w:val="tablebody0"/>
              <w:rPr>
                <w:i/>
              </w:rPr>
            </w:pPr>
            <w:r w:rsidRPr="0013396E">
              <w:rPr>
                <w:i/>
                <w:szCs w:val="18"/>
              </w:rPr>
              <w:t xml:space="preserve">Real-Time Market Clearing Price for Capacity for </w:t>
            </w:r>
            <w:r w:rsidRPr="0013396E">
              <w:rPr>
                <w:i/>
              </w:rPr>
              <w:t>Non-Spin</w:t>
            </w:r>
            <w:r w:rsidRPr="0013396E">
              <w:t xml:space="preserve"> </w:t>
            </w:r>
            <w:r w:rsidRPr="0013396E">
              <w:rPr>
                <w:i/>
                <w:szCs w:val="18"/>
              </w:rPr>
              <w:t>-</w:t>
            </w:r>
            <w:r w:rsidRPr="0013396E">
              <w:t xml:space="preserve"> The Real-Time MCPC for Non-Spin for the 15-minute Settlement Interval.</w:t>
            </w:r>
          </w:p>
        </w:tc>
      </w:tr>
      <w:tr w:rsidR="009658B2" w:rsidRPr="0013396E" w14:paraId="5E856453" w14:textId="77777777" w:rsidTr="0099759E">
        <w:trPr>
          <w:cantSplit/>
        </w:trPr>
        <w:tc>
          <w:tcPr>
            <w:tcW w:w="1295" w:type="pct"/>
            <w:tcBorders>
              <w:top w:val="single" w:sz="4" w:space="0" w:color="auto"/>
              <w:left w:val="single" w:sz="4" w:space="0" w:color="auto"/>
              <w:bottom w:val="single" w:sz="4" w:space="0" w:color="auto"/>
              <w:right w:val="single" w:sz="4" w:space="0" w:color="auto"/>
            </w:tcBorders>
            <w:hideMark/>
          </w:tcPr>
          <w:p w14:paraId="29964439" w14:textId="77777777" w:rsidR="009658B2" w:rsidRPr="0013396E" w:rsidRDefault="009658B2" w:rsidP="0099759E">
            <w:pPr>
              <w:pStyle w:val="tablebody0"/>
            </w:pPr>
            <w:r w:rsidRPr="0013396E">
              <w:t>RTMCPCNSS</w:t>
            </w:r>
            <w:r w:rsidRPr="0013396E">
              <w:rPr>
                <w:i/>
                <w:vertAlign w:val="subscript"/>
              </w:rPr>
              <w:t xml:space="preserve"> y</w:t>
            </w:r>
          </w:p>
        </w:tc>
        <w:tc>
          <w:tcPr>
            <w:tcW w:w="631" w:type="pct"/>
            <w:tcBorders>
              <w:top w:val="single" w:sz="4" w:space="0" w:color="auto"/>
              <w:left w:val="single" w:sz="4" w:space="0" w:color="auto"/>
              <w:bottom w:val="single" w:sz="4" w:space="0" w:color="auto"/>
              <w:right w:val="single" w:sz="4" w:space="0" w:color="auto"/>
            </w:tcBorders>
            <w:hideMark/>
          </w:tcPr>
          <w:p w14:paraId="04C41780" w14:textId="77777777" w:rsidR="009658B2" w:rsidRPr="0013396E" w:rsidRDefault="009658B2" w:rsidP="0099759E">
            <w:pPr>
              <w:pStyle w:val="tablebody0"/>
            </w:pPr>
            <w:r w:rsidRPr="0013396E">
              <w:t>$/MW</w:t>
            </w:r>
          </w:p>
        </w:tc>
        <w:tc>
          <w:tcPr>
            <w:tcW w:w="3074" w:type="pct"/>
            <w:tcBorders>
              <w:top w:val="single" w:sz="4" w:space="0" w:color="auto"/>
              <w:left w:val="single" w:sz="4" w:space="0" w:color="auto"/>
              <w:bottom w:val="single" w:sz="4" w:space="0" w:color="auto"/>
              <w:right w:val="single" w:sz="4" w:space="0" w:color="auto"/>
            </w:tcBorders>
            <w:hideMark/>
          </w:tcPr>
          <w:p w14:paraId="71C64657" w14:textId="77777777" w:rsidR="009658B2" w:rsidRPr="0013396E" w:rsidRDefault="009658B2" w:rsidP="0099759E">
            <w:pPr>
              <w:pStyle w:val="tablebody0"/>
              <w:rPr>
                <w:i/>
                <w:szCs w:val="18"/>
              </w:rPr>
            </w:pPr>
            <w:r w:rsidRPr="0013396E">
              <w:rPr>
                <w:i/>
                <w:szCs w:val="18"/>
              </w:rPr>
              <w:t xml:space="preserve">Real-Time Market Clearing Price for Capacity for </w:t>
            </w:r>
            <w:r w:rsidRPr="0013396E">
              <w:rPr>
                <w:i/>
              </w:rPr>
              <w:t>Non-Spin</w:t>
            </w:r>
            <w:r w:rsidRPr="0013396E">
              <w:t xml:space="preserve"> </w:t>
            </w:r>
            <w:r w:rsidRPr="0013396E">
              <w:rPr>
                <w:i/>
              </w:rPr>
              <w:t xml:space="preserve">per SCED interval </w:t>
            </w:r>
            <w:r w:rsidRPr="0013396E">
              <w:rPr>
                <w:i/>
                <w:szCs w:val="18"/>
              </w:rPr>
              <w:t>-</w:t>
            </w:r>
            <w:r w:rsidRPr="0013396E">
              <w:t xml:space="preserve"> The Real-Time MCPC for Non-Spin for the SCED interval </w:t>
            </w:r>
            <w:r w:rsidRPr="0013396E">
              <w:rPr>
                <w:i/>
              </w:rPr>
              <w:t>y.</w:t>
            </w:r>
          </w:p>
        </w:tc>
      </w:tr>
      <w:tr w:rsidR="009658B2" w:rsidRPr="0013396E" w14:paraId="0FD0FBF6" w14:textId="77777777" w:rsidTr="0099759E">
        <w:trPr>
          <w:cantSplit/>
        </w:trPr>
        <w:tc>
          <w:tcPr>
            <w:tcW w:w="1295" w:type="pct"/>
          </w:tcPr>
          <w:p w14:paraId="3E66B392" w14:textId="77777777" w:rsidR="009658B2" w:rsidRPr="0013396E" w:rsidRDefault="009658B2" w:rsidP="0099759E">
            <w:pPr>
              <w:pStyle w:val="tablebody0"/>
              <w:rPr>
                <w:i/>
              </w:rPr>
            </w:pPr>
            <w:r w:rsidRPr="0013396E">
              <w:t xml:space="preserve">RTRDPANSS </w:t>
            </w:r>
            <w:r w:rsidRPr="0013396E">
              <w:rPr>
                <w:i/>
              </w:rPr>
              <w:t>y</w:t>
            </w:r>
          </w:p>
        </w:tc>
        <w:tc>
          <w:tcPr>
            <w:tcW w:w="631" w:type="pct"/>
          </w:tcPr>
          <w:p w14:paraId="0503C5B4" w14:textId="77777777" w:rsidR="009658B2" w:rsidRPr="0013396E" w:rsidRDefault="009658B2" w:rsidP="0099759E">
            <w:pPr>
              <w:pStyle w:val="tablebody0"/>
            </w:pPr>
            <w:r w:rsidRPr="0013396E">
              <w:t>$/MW</w:t>
            </w:r>
          </w:p>
        </w:tc>
        <w:tc>
          <w:tcPr>
            <w:tcW w:w="3074" w:type="pct"/>
          </w:tcPr>
          <w:p w14:paraId="7CC43FD0" w14:textId="77777777" w:rsidR="009658B2" w:rsidRPr="0013396E" w:rsidRDefault="009658B2" w:rsidP="0099759E">
            <w:pPr>
              <w:pStyle w:val="tablebody0"/>
            </w:pPr>
            <w:r w:rsidRPr="0013396E">
              <w:rPr>
                <w:i/>
              </w:rPr>
              <w:t>Real-Time Reliability Deployment Price Adder for Ancillary Service for Non-Spin per SCED interval</w:t>
            </w:r>
            <w:r w:rsidRPr="0013396E">
              <w:t xml:space="preserve"> - The Real-Time price adder for Non-Spin that captures the impact of reliability deployments on Non-Spin prices for the SCED interval y. </w:t>
            </w:r>
          </w:p>
        </w:tc>
      </w:tr>
      <w:tr w:rsidR="009658B2" w:rsidRPr="0013396E" w14:paraId="41BF0F19" w14:textId="77777777" w:rsidTr="0099759E">
        <w:trPr>
          <w:cantSplit/>
        </w:trPr>
        <w:tc>
          <w:tcPr>
            <w:tcW w:w="1295" w:type="pct"/>
          </w:tcPr>
          <w:p w14:paraId="5F5EC756" w14:textId="77777777" w:rsidR="009658B2" w:rsidRPr="0013396E" w:rsidRDefault="009658B2" w:rsidP="0099759E">
            <w:pPr>
              <w:pStyle w:val="tablebody0"/>
            </w:pPr>
            <w:r w:rsidRPr="0013396E">
              <w:rPr>
                <w:iCs/>
              </w:rPr>
              <w:t xml:space="preserve">RNWF </w:t>
            </w:r>
            <w:r w:rsidRPr="0013396E">
              <w:rPr>
                <w:i/>
                <w:iCs/>
                <w:vertAlign w:val="subscript"/>
              </w:rPr>
              <w:t>y</w:t>
            </w:r>
          </w:p>
        </w:tc>
        <w:tc>
          <w:tcPr>
            <w:tcW w:w="631" w:type="pct"/>
          </w:tcPr>
          <w:p w14:paraId="52120635" w14:textId="77777777" w:rsidR="009658B2" w:rsidRPr="0013396E" w:rsidRDefault="009658B2" w:rsidP="0099759E">
            <w:pPr>
              <w:pStyle w:val="tablebody0"/>
            </w:pPr>
            <w:r w:rsidRPr="0013396E">
              <w:rPr>
                <w:iCs/>
              </w:rPr>
              <w:t>none</w:t>
            </w:r>
          </w:p>
        </w:tc>
        <w:tc>
          <w:tcPr>
            <w:tcW w:w="3074" w:type="pct"/>
          </w:tcPr>
          <w:p w14:paraId="18850289" w14:textId="77777777" w:rsidR="009658B2" w:rsidRPr="0013396E" w:rsidRDefault="009658B2" w:rsidP="0099759E">
            <w:pPr>
              <w:pStyle w:val="tablebody0"/>
              <w:rPr>
                <w:i/>
              </w:rPr>
            </w:pPr>
            <w:r w:rsidRPr="0013396E">
              <w:rPr>
                <w:i/>
                <w:iCs/>
              </w:rPr>
              <w:t>Resource Node Weighting Factor per interval</w:t>
            </w:r>
            <w:r w:rsidRPr="0013396E">
              <w:rPr>
                <w:iCs/>
              </w:rPr>
              <w:sym w:font="Symbol" w:char="F0BE"/>
            </w:r>
            <w:r w:rsidRPr="0013396E">
              <w:rPr>
                <w:iCs/>
              </w:rPr>
              <w:t xml:space="preserve">The weight used in the Ancillary Service Price calculation for the portion of the SCED interval </w:t>
            </w:r>
            <w:r w:rsidRPr="0013396E">
              <w:rPr>
                <w:i/>
                <w:iCs/>
              </w:rPr>
              <w:t>y</w:t>
            </w:r>
            <w:r w:rsidRPr="0013396E">
              <w:rPr>
                <w:iCs/>
              </w:rPr>
              <w:t xml:space="preserve"> within the Settlement Interval.</w:t>
            </w:r>
          </w:p>
        </w:tc>
      </w:tr>
      <w:tr w:rsidR="009658B2" w:rsidRPr="0013396E" w14:paraId="40091E6F" w14:textId="77777777" w:rsidTr="0099759E">
        <w:trPr>
          <w:cantSplit/>
        </w:trPr>
        <w:tc>
          <w:tcPr>
            <w:tcW w:w="1295" w:type="pct"/>
          </w:tcPr>
          <w:p w14:paraId="59B2F6F1" w14:textId="77777777" w:rsidR="009658B2" w:rsidRPr="0013396E" w:rsidRDefault="009658B2" w:rsidP="0099759E">
            <w:pPr>
              <w:pStyle w:val="tablebody0"/>
            </w:pPr>
            <w:r w:rsidRPr="0013396E">
              <w:rPr>
                <w:iCs/>
              </w:rPr>
              <w:t xml:space="preserve">TLMP </w:t>
            </w:r>
            <w:r w:rsidRPr="0013396E">
              <w:rPr>
                <w:i/>
                <w:iCs/>
                <w:vertAlign w:val="subscript"/>
              </w:rPr>
              <w:t>y</w:t>
            </w:r>
          </w:p>
        </w:tc>
        <w:tc>
          <w:tcPr>
            <w:tcW w:w="631" w:type="pct"/>
          </w:tcPr>
          <w:p w14:paraId="41B8529E" w14:textId="77777777" w:rsidR="009658B2" w:rsidRPr="0013396E" w:rsidRDefault="009658B2" w:rsidP="0099759E">
            <w:pPr>
              <w:pStyle w:val="tablebody0"/>
            </w:pPr>
            <w:r w:rsidRPr="0013396E">
              <w:rPr>
                <w:iCs/>
              </w:rPr>
              <w:t>second</w:t>
            </w:r>
          </w:p>
        </w:tc>
        <w:tc>
          <w:tcPr>
            <w:tcW w:w="3074" w:type="pct"/>
          </w:tcPr>
          <w:p w14:paraId="574653C9" w14:textId="77777777" w:rsidR="009658B2" w:rsidRPr="0013396E" w:rsidRDefault="009658B2" w:rsidP="0099759E">
            <w:pPr>
              <w:pStyle w:val="tablebody0"/>
              <w:rPr>
                <w:i/>
              </w:rPr>
            </w:pPr>
            <w:r w:rsidRPr="0013396E">
              <w:rPr>
                <w:i/>
              </w:rPr>
              <w:t>Duration of SCED interval per interval</w:t>
            </w:r>
            <w:r w:rsidRPr="0013396E">
              <w:rPr>
                <w:iCs/>
              </w:rPr>
              <w:sym w:font="Symbol" w:char="F0BE"/>
            </w:r>
            <w:r w:rsidRPr="0013396E">
              <w:rPr>
                <w:iCs/>
              </w:rPr>
              <w:t xml:space="preserve">The duration of the portion of the SCED interval </w:t>
            </w:r>
            <w:r w:rsidRPr="0013396E">
              <w:rPr>
                <w:i/>
              </w:rPr>
              <w:t>y</w:t>
            </w:r>
            <w:r w:rsidRPr="0013396E">
              <w:t xml:space="preserve"> within the Settlement Interval</w:t>
            </w:r>
            <w:r w:rsidRPr="0013396E">
              <w:rPr>
                <w:iCs/>
              </w:rPr>
              <w:t>.</w:t>
            </w:r>
          </w:p>
        </w:tc>
      </w:tr>
      <w:tr w:rsidR="009658B2" w:rsidRPr="0013396E" w14:paraId="1F28D94C" w14:textId="77777777" w:rsidTr="0099759E">
        <w:trPr>
          <w:cantSplit/>
        </w:trPr>
        <w:tc>
          <w:tcPr>
            <w:tcW w:w="1295" w:type="pct"/>
          </w:tcPr>
          <w:p w14:paraId="38E16F0D" w14:textId="77777777" w:rsidR="009658B2" w:rsidRPr="0013396E" w:rsidRDefault="009658B2" w:rsidP="0099759E">
            <w:pPr>
              <w:pStyle w:val="tablebody0"/>
              <w:rPr>
                <w:i/>
              </w:rPr>
            </w:pPr>
            <w:r w:rsidRPr="0013396E">
              <w:rPr>
                <w:i/>
              </w:rPr>
              <w:lastRenderedPageBreak/>
              <w:t>y</w:t>
            </w:r>
          </w:p>
        </w:tc>
        <w:tc>
          <w:tcPr>
            <w:tcW w:w="631" w:type="pct"/>
          </w:tcPr>
          <w:p w14:paraId="3B6E20B0" w14:textId="77777777" w:rsidR="009658B2" w:rsidRPr="0013396E" w:rsidRDefault="009658B2" w:rsidP="0099759E">
            <w:pPr>
              <w:pStyle w:val="tablebody0"/>
            </w:pPr>
            <w:r w:rsidRPr="0013396E">
              <w:t>none</w:t>
            </w:r>
          </w:p>
        </w:tc>
        <w:tc>
          <w:tcPr>
            <w:tcW w:w="3074" w:type="pct"/>
          </w:tcPr>
          <w:p w14:paraId="0AE8C70C" w14:textId="77777777" w:rsidR="009658B2" w:rsidRPr="0013396E" w:rsidRDefault="009658B2" w:rsidP="0099759E">
            <w:pPr>
              <w:pStyle w:val="tablebody0"/>
            </w:pPr>
            <w:r w:rsidRPr="0013396E">
              <w:t>A SCED interval in the 15-minute Settlement Interval.</w:t>
            </w:r>
          </w:p>
        </w:tc>
      </w:tr>
    </w:tbl>
    <w:p w14:paraId="3E7C5477" w14:textId="77777777" w:rsidR="009658B2" w:rsidRPr="0013396E" w:rsidRDefault="009658B2" w:rsidP="005A7D8E">
      <w:pPr>
        <w:keepNext/>
        <w:widowControl w:val="0"/>
        <w:spacing w:before="480" w:after="240"/>
        <w:outlineLvl w:val="3"/>
        <w:rPr>
          <w:b/>
          <w:bCs/>
          <w:snapToGrid w:val="0"/>
        </w:rPr>
      </w:pPr>
      <w:bookmarkStart w:id="1470" w:name="_Toc214878954"/>
      <w:r w:rsidRPr="0013396E">
        <w:rPr>
          <w:b/>
          <w:bCs/>
          <w:snapToGrid w:val="0"/>
        </w:rPr>
        <w:t>6.6.1.7</w:t>
      </w:r>
      <w:r w:rsidRPr="0013396E">
        <w:rPr>
          <w:b/>
          <w:bCs/>
          <w:snapToGrid w:val="0"/>
        </w:rPr>
        <w:tab/>
      </w:r>
      <w:r w:rsidRPr="0013396E">
        <w:rPr>
          <w:b/>
          <w:bCs/>
          <w:snapToGrid w:val="0"/>
        </w:rPr>
        <w:tab/>
        <w:t>Real-Time Reliability Deployment Prices for Ancillary Services</w:t>
      </w:r>
      <w:bookmarkEnd w:id="1470"/>
    </w:p>
    <w:p w14:paraId="42C1353E" w14:textId="77777777" w:rsidR="009658B2" w:rsidRPr="0013396E" w:rsidRDefault="009658B2" w:rsidP="009658B2">
      <w:pPr>
        <w:spacing w:after="240"/>
        <w:ind w:left="720" w:hanging="720"/>
      </w:pPr>
      <w:r w:rsidRPr="0013396E">
        <w:t>(1)</w:t>
      </w:r>
      <w:r w:rsidRPr="0013396E">
        <w:tab/>
        <w:t>The Real-Time Reliability Deployment Price for Ancillary Service for Reg-Up (RTRDPRU) is the time-weighted average of the sum of the Real-Time Reliability Deployment Price Adders for Ancillary Service for Reg-Up per SCED interval.  The Real-Time Reliability Deployment Price for Ancillary Service for Reg-Up for a 15-minute Settlement Interval is calculated as follows:</w:t>
      </w:r>
    </w:p>
    <w:p w14:paraId="09246777" w14:textId="77777777" w:rsidR="009658B2" w:rsidRPr="0013396E" w:rsidRDefault="009658B2" w:rsidP="009658B2">
      <w:pPr>
        <w:pStyle w:val="FormulaBold"/>
        <w:rPr>
          <w:i/>
          <w:vertAlign w:val="subscript"/>
        </w:rPr>
      </w:pPr>
      <w:r w:rsidRPr="0013396E">
        <w:t xml:space="preserve">RTRDPRU  =   </w:t>
      </w:r>
      <w:r w:rsidRPr="0013396E">
        <w:rPr>
          <w:position w:val="-22"/>
        </w:rPr>
        <w:object w:dxaOrig="225" w:dyaOrig="465" w14:anchorId="2AA403EC">
          <v:shape id="_x0000_i1061" type="#_x0000_t75" style="width:24pt;height:18.6pt" o:ole="">
            <v:imagedata r:id="rId20" o:title=""/>
          </v:shape>
          <o:OLEObject Type="Embed" ProgID="Equation.3" ShapeID="_x0000_i1061" DrawAspect="Content" ObjectID="_1836311340" r:id="rId61"/>
        </w:object>
      </w:r>
      <w:r w:rsidRPr="0013396E">
        <w:t xml:space="preserve"> (RNWF </w:t>
      </w:r>
      <w:r w:rsidRPr="0013396E">
        <w:rPr>
          <w:i/>
          <w:vertAlign w:val="subscript"/>
        </w:rPr>
        <w:t>y</w:t>
      </w:r>
      <w:r w:rsidRPr="0013396E">
        <w:t xml:space="preserve"> *  RTRDPARUS </w:t>
      </w:r>
      <w:r w:rsidRPr="0013396E">
        <w:rPr>
          <w:i/>
          <w:iCs/>
          <w:vertAlign w:val="subscript"/>
        </w:rPr>
        <w:t>y</w:t>
      </w:r>
      <w:r w:rsidRPr="0013396E">
        <w:t>)</w:t>
      </w:r>
    </w:p>
    <w:p w14:paraId="54A1EED6" w14:textId="77777777" w:rsidR="009658B2" w:rsidRPr="0013396E" w:rsidRDefault="009658B2" w:rsidP="009658B2">
      <w:pPr>
        <w:pStyle w:val="BodyTextNumbered"/>
        <w:ind w:left="0" w:firstLine="0"/>
      </w:pPr>
      <w:r w:rsidRPr="0013396E">
        <w:t>Where:</w:t>
      </w:r>
    </w:p>
    <w:p w14:paraId="635460D5" w14:textId="77777777" w:rsidR="009658B2" w:rsidRPr="0013396E" w:rsidRDefault="009658B2" w:rsidP="009658B2">
      <w:pPr>
        <w:spacing w:after="240"/>
        <w:ind w:firstLine="720"/>
        <w:rPr>
          <w:i/>
          <w:vertAlign w:val="subscript"/>
        </w:rPr>
      </w:pPr>
      <w:r w:rsidRPr="0013396E">
        <w:t xml:space="preserve">RNWF </w:t>
      </w:r>
      <w:r w:rsidRPr="0013396E">
        <w:rPr>
          <w:i/>
          <w:vertAlign w:val="subscript"/>
        </w:rPr>
        <w:t xml:space="preserve">y   </w:t>
      </w:r>
      <w:r w:rsidRPr="0013396E">
        <w:t xml:space="preserve">=  TLMP </w:t>
      </w:r>
      <w:r w:rsidRPr="0013396E">
        <w:rPr>
          <w:i/>
          <w:vertAlign w:val="subscript"/>
        </w:rPr>
        <w:t>y</w:t>
      </w:r>
      <w:r w:rsidRPr="0013396E">
        <w:t xml:space="preserve"> </w:t>
      </w:r>
      <w:r w:rsidRPr="0013396E">
        <w:rPr>
          <w:color w:val="000000"/>
          <w:sz w:val="32"/>
          <w:szCs w:val="32"/>
        </w:rPr>
        <w:t>/</w:t>
      </w:r>
      <w:r w:rsidRPr="0013396E">
        <w:rPr>
          <w:color w:val="000000"/>
        </w:rPr>
        <w:t xml:space="preserve"> </w:t>
      </w:r>
      <w:r w:rsidRPr="0013396E">
        <w:rPr>
          <w:position w:val="-22"/>
        </w:rPr>
        <w:object w:dxaOrig="225" w:dyaOrig="465" w14:anchorId="71374727">
          <v:shape id="_x0000_i1062" type="#_x0000_t75" style="width:24pt;height:18.6pt" o:ole="">
            <v:imagedata r:id="rId20" o:title=""/>
          </v:shape>
          <o:OLEObject Type="Embed" ProgID="Equation.3" ShapeID="_x0000_i1062" DrawAspect="Content" ObjectID="_1836311341" r:id="rId62"/>
        </w:object>
      </w:r>
      <w:r w:rsidRPr="0013396E">
        <w:t xml:space="preserve">TLMP </w:t>
      </w:r>
      <w:r w:rsidRPr="0013396E">
        <w:rPr>
          <w:i/>
          <w:vertAlign w:val="subscript"/>
        </w:rPr>
        <w:t>y</w:t>
      </w:r>
    </w:p>
    <w:p w14:paraId="3713A418" w14:textId="77777777" w:rsidR="009658B2" w:rsidRPr="0013396E" w:rsidRDefault="009658B2" w:rsidP="009658B2">
      <w:pPr>
        <w:pStyle w:val="Instructions"/>
        <w:spacing w:after="0"/>
        <w:ind w:left="720" w:hanging="720"/>
        <w:rPr>
          <w:b w:val="0"/>
          <w:i w:val="0"/>
        </w:rPr>
      </w:pPr>
      <w:r w:rsidRPr="0013396E">
        <w:rPr>
          <w:b w:val="0"/>
          <w:i w:val="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22"/>
        <w:gridCol w:w="1180"/>
        <w:gridCol w:w="5748"/>
      </w:tblGrid>
      <w:tr w:rsidR="009658B2" w:rsidRPr="0013396E" w14:paraId="1E6B1AF5" w14:textId="77777777" w:rsidTr="0099759E">
        <w:trPr>
          <w:cantSplit/>
          <w:tblHeader/>
        </w:trPr>
        <w:tc>
          <w:tcPr>
            <w:tcW w:w="1295" w:type="pct"/>
            <w:tcBorders>
              <w:top w:val="single" w:sz="4" w:space="0" w:color="auto"/>
              <w:left w:val="single" w:sz="4" w:space="0" w:color="auto"/>
              <w:bottom w:val="single" w:sz="4" w:space="0" w:color="auto"/>
              <w:right w:val="single" w:sz="4" w:space="0" w:color="auto"/>
            </w:tcBorders>
            <w:hideMark/>
          </w:tcPr>
          <w:p w14:paraId="078B08F6" w14:textId="77777777" w:rsidR="009658B2" w:rsidRPr="0013396E" w:rsidRDefault="009658B2" w:rsidP="0099759E">
            <w:pPr>
              <w:pStyle w:val="TableHead"/>
            </w:pPr>
            <w:r w:rsidRPr="0013396E">
              <w:t>Variable</w:t>
            </w:r>
          </w:p>
        </w:tc>
        <w:tc>
          <w:tcPr>
            <w:tcW w:w="631" w:type="pct"/>
            <w:tcBorders>
              <w:top w:val="single" w:sz="4" w:space="0" w:color="auto"/>
              <w:left w:val="single" w:sz="4" w:space="0" w:color="auto"/>
              <w:bottom w:val="single" w:sz="4" w:space="0" w:color="auto"/>
              <w:right w:val="single" w:sz="4" w:space="0" w:color="auto"/>
            </w:tcBorders>
            <w:hideMark/>
          </w:tcPr>
          <w:p w14:paraId="7BE3697B" w14:textId="77777777" w:rsidR="009658B2" w:rsidRPr="0013396E" w:rsidRDefault="009658B2" w:rsidP="0099759E">
            <w:pPr>
              <w:pStyle w:val="TableHead"/>
            </w:pPr>
            <w:r w:rsidRPr="0013396E">
              <w:t>Unit</w:t>
            </w:r>
          </w:p>
        </w:tc>
        <w:tc>
          <w:tcPr>
            <w:tcW w:w="3074" w:type="pct"/>
            <w:tcBorders>
              <w:top w:val="single" w:sz="4" w:space="0" w:color="auto"/>
              <w:left w:val="single" w:sz="4" w:space="0" w:color="auto"/>
              <w:bottom w:val="single" w:sz="4" w:space="0" w:color="auto"/>
              <w:right w:val="single" w:sz="4" w:space="0" w:color="auto"/>
            </w:tcBorders>
            <w:hideMark/>
          </w:tcPr>
          <w:p w14:paraId="5E5282A7" w14:textId="77777777" w:rsidR="009658B2" w:rsidRPr="0013396E" w:rsidRDefault="009658B2" w:rsidP="0099759E">
            <w:pPr>
              <w:pStyle w:val="TableHead"/>
            </w:pPr>
            <w:r w:rsidRPr="0013396E">
              <w:t>Description</w:t>
            </w:r>
          </w:p>
        </w:tc>
      </w:tr>
      <w:tr w:rsidR="009658B2" w:rsidRPr="0013396E" w14:paraId="76744D0B" w14:textId="77777777" w:rsidTr="0099759E">
        <w:trPr>
          <w:cantSplit/>
        </w:trPr>
        <w:tc>
          <w:tcPr>
            <w:tcW w:w="1295" w:type="pct"/>
          </w:tcPr>
          <w:p w14:paraId="0DF5FE20" w14:textId="77777777" w:rsidR="009658B2" w:rsidRPr="0013396E" w:rsidRDefault="009658B2" w:rsidP="0099759E">
            <w:pPr>
              <w:pStyle w:val="tablebody0"/>
            </w:pPr>
            <w:r w:rsidRPr="0013396E">
              <w:t>RTRDPRU</w:t>
            </w:r>
          </w:p>
        </w:tc>
        <w:tc>
          <w:tcPr>
            <w:tcW w:w="631" w:type="pct"/>
          </w:tcPr>
          <w:p w14:paraId="3122D24A" w14:textId="77777777" w:rsidR="009658B2" w:rsidRPr="0013396E" w:rsidRDefault="009658B2" w:rsidP="0099759E">
            <w:pPr>
              <w:pStyle w:val="tablebody0"/>
            </w:pPr>
            <w:r w:rsidRPr="0013396E">
              <w:t>$/MW</w:t>
            </w:r>
          </w:p>
        </w:tc>
        <w:tc>
          <w:tcPr>
            <w:tcW w:w="3074" w:type="pct"/>
          </w:tcPr>
          <w:p w14:paraId="1FEA315C" w14:textId="77777777" w:rsidR="009658B2" w:rsidRPr="0013396E" w:rsidRDefault="009658B2" w:rsidP="0099759E">
            <w:pPr>
              <w:pStyle w:val="tablebody0"/>
              <w:rPr>
                <w:i/>
                <w:szCs w:val="18"/>
              </w:rPr>
            </w:pPr>
            <w:r w:rsidRPr="0013396E">
              <w:rPr>
                <w:i/>
                <w:szCs w:val="18"/>
              </w:rPr>
              <w:t>Real-Time Reliability Deployment Price for Ancillary Service for Reg-Up -</w:t>
            </w:r>
            <w:r w:rsidRPr="0013396E">
              <w:t xml:space="preserve"> The Real-Time Reliability Deployment Price for Ancillary Service for Reg-Up for the 15-minute Settlement Interval.</w:t>
            </w:r>
          </w:p>
        </w:tc>
      </w:tr>
      <w:tr w:rsidR="009658B2" w:rsidRPr="0013396E" w14:paraId="752382F7" w14:textId="77777777" w:rsidTr="0099759E">
        <w:trPr>
          <w:cantSplit/>
        </w:trPr>
        <w:tc>
          <w:tcPr>
            <w:tcW w:w="1295" w:type="pct"/>
          </w:tcPr>
          <w:p w14:paraId="66BC88CB" w14:textId="77777777" w:rsidR="009658B2" w:rsidRPr="0013396E" w:rsidRDefault="009658B2" w:rsidP="0099759E">
            <w:pPr>
              <w:pStyle w:val="tablebody0"/>
              <w:rPr>
                <w:i/>
              </w:rPr>
            </w:pPr>
            <w:r w:rsidRPr="0013396E">
              <w:t>RTRDPARUS</w:t>
            </w:r>
            <w:r w:rsidRPr="0013396E">
              <w:rPr>
                <w:rFonts w:ascii="Segoe UI" w:hAnsi="Segoe UI" w:cs="Segoe UI"/>
                <w:color w:val="000000"/>
              </w:rPr>
              <w:t xml:space="preserve"> </w:t>
            </w:r>
            <w:r w:rsidRPr="0013396E">
              <w:rPr>
                <w:i/>
                <w:vertAlign w:val="subscript"/>
              </w:rPr>
              <w:t>y</w:t>
            </w:r>
          </w:p>
        </w:tc>
        <w:tc>
          <w:tcPr>
            <w:tcW w:w="631" w:type="pct"/>
          </w:tcPr>
          <w:p w14:paraId="69D8BFDE" w14:textId="77777777" w:rsidR="009658B2" w:rsidRPr="0013396E" w:rsidRDefault="009658B2" w:rsidP="0099759E">
            <w:pPr>
              <w:pStyle w:val="tablebody0"/>
            </w:pPr>
            <w:r w:rsidRPr="0013396E">
              <w:t>$/MW</w:t>
            </w:r>
          </w:p>
        </w:tc>
        <w:tc>
          <w:tcPr>
            <w:tcW w:w="3074" w:type="pct"/>
          </w:tcPr>
          <w:p w14:paraId="3B45859C" w14:textId="77777777" w:rsidR="009658B2" w:rsidRPr="0013396E" w:rsidRDefault="009658B2" w:rsidP="0099759E">
            <w:pPr>
              <w:pStyle w:val="tablebody0"/>
            </w:pPr>
            <w:r w:rsidRPr="0013396E">
              <w:rPr>
                <w:i/>
                <w:szCs w:val="18"/>
              </w:rPr>
              <w:t xml:space="preserve">Real-Time </w:t>
            </w:r>
            <w:r w:rsidRPr="0013396E">
              <w:rPr>
                <w:i/>
              </w:rPr>
              <w:t xml:space="preserve">Reliability Deployment Price Adder for Ancillary Service </w:t>
            </w:r>
            <w:r w:rsidRPr="0013396E">
              <w:rPr>
                <w:i/>
                <w:szCs w:val="18"/>
              </w:rPr>
              <w:t xml:space="preserve">for Reg-Up </w:t>
            </w:r>
            <w:r w:rsidRPr="0013396E">
              <w:rPr>
                <w:i/>
              </w:rPr>
              <w:t>per SCED interval</w:t>
            </w:r>
            <w:r w:rsidRPr="0013396E">
              <w:t xml:space="preserve"> - The Real-Time price adder for Reg-Up that captures the impact of reliability deployments on Reg-Up prices for the SCED interval y.</w:t>
            </w:r>
          </w:p>
        </w:tc>
      </w:tr>
      <w:tr w:rsidR="009658B2" w:rsidRPr="0013396E" w14:paraId="15BDE175" w14:textId="77777777" w:rsidTr="0099759E">
        <w:trPr>
          <w:cantSplit/>
        </w:trPr>
        <w:tc>
          <w:tcPr>
            <w:tcW w:w="1295" w:type="pct"/>
          </w:tcPr>
          <w:p w14:paraId="6E644101" w14:textId="77777777" w:rsidR="009658B2" w:rsidRPr="0013396E" w:rsidRDefault="009658B2" w:rsidP="0099759E">
            <w:pPr>
              <w:pStyle w:val="tablebody0"/>
            </w:pPr>
            <w:r w:rsidRPr="0013396E">
              <w:rPr>
                <w:iCs/>
              </w:rPr>
              <w:t xml:space="preserve">RNWF </w:t>
            </w:r>
            <w:r w:rsidRPr="0013396E">
              <w:rPr>
                <w:i/>
                <w:iCs/>
                <w:vertAlign w:val="subscript"/>
              </w:rPr>
              <w:t>y</w:t>
            </w:r>
          </w:p>
        </w:tc>
        <w:tc>
          <w:tcPr>
            <w:tcW w:w="631" w:type="pct"/>
          </w:tcPr>
          <w:p w14:paraId="171EA632" w14:textId="77777777" w:rsidR="009658B2" w:rsidRPr="0013396E" w:rsidRDefault="009658B2" w:rsidP="0099759E">
            <w:pPr>
              <w:pStyle w:val="tablebody0"/>
            </w:pPr>
            <w:r w:rsidRPr="0013396E">
              <w:rPr>
                <w:iCs/>
              </w:rPr>
              <w:t>none</w:t>
            </w:r>
          </w:p>
        </w:tc>
        <w:tc>
          <w:tcPr>
            <w:tcW w:w="3074" w:type="pct"/>
          </w:tcPr>
          <w:p w14:paraId="0DDA961F" w14:textId="77777777" w:rsidR="009658B2" w:rsidRPr="0013396E" w:rsidRDefault="009658B2" w:rsidP="0099759E">
            <w:pPr>
              <w:pStyle w:val="tablebody0"/>
              <w:rPr>
                <w:i/>
                <w:szCs w:val="18"/>
              </w:rPr>
            </w:pPr>
            <w:r w:rsidRPr="0013396E">
              <w:rPr>
                <w:i/>
                <w:iCs/>
              </w:rPr>
              <w:t>Resource Node Weighting Factor per interval</w:t>
            </w:r>
            <w:r w:rsidRPr="0013396E">
              <w:rPr>
                <w:iCs/>
              </w:rPr>
              <w:sym w:font="Symbol" w:char="F0BE"/>
            </w:r>
            <w:r w:rsidRPr="0013396E">
              <w:rPr>
                <w:iCs/>
              </w:rPr>
              <w:t xml:space="preserve">The weight used in the Ancillary Service Price calculation for the portion of the SCED interval </w:t>
            </w:r>
            <w:r w:rsidRPr="0013396E">
              <w:rPr>
                <w:i/>
                <w:iCs/>
              </w:rPr>
              <w:t>y</w:t>
            </w:r>
            <w:r w:rsidRPr="0013396E">
              <w:rPr>
                <w:iCs/>
              </w:rPr>
              <w:t xml:space="preserve"> within the Settlement Interval.</w:t>
            </w:r>
          </w:p>
        </w:tc>
      </w:tr>
      <w:tr w:rsidR="009658B2" w:rsidRPr="0013396E" w14:paraId="63AEF7C3" w14:textId="77777777" w:rsidTr="0099759E">
        <w:trPr>
          <w:cantSplit/>
        </w:trPr>
        <w:tc>
          <w:tcPr>
            <w:tcW w:w="1295" w:type="pct"/>
          </w:tcPr>
          <w:p w14:paraId="307EEFD7" w14:textId="77777777" w:rsidR="009658B2" w:rsidRPr="0013396E" w:rsidRDefault="009658B2" w:rsidP="0099759E">
            <w:pPr>
              <w:pStyle w:val="tablebody0"/>
            </w:pPr>
            <w:r w:rsidRPr="0013396E">
              <w:rPr>
                <w:iCs/>
              </w:rPr>
              <w:t xml:space="preserve">TLMP </w:t>
            </w:r>
            <w:r w:rsidRPr="0013396E">
              <w:rPr>
                <w:i/>
                <w:iCs/>
                <w:vertAlign w:val="subscript"/>
              </w:rPr>
              <w:t>y</w:t>
            </w:r>
          </w:p>
        </w:tc>
        <w:tc>
          <w:tcPr>
            <w:tcW w:w="631" w:type="pct"/>
          </w:tcPr>
          <w:p w14:paraId="10C3D6A3" w14:textId="77777777" w:rsidR="009658B2" w:rsidRPr="0013396E" w:rsidRDefault="009658B2" w:rsidP="0099759E">
            <w:pPr>
              <w:pStyle w:val="tablebody0"/>
            </w:pPr>
            <w:r w:rsidRPr="0013396E">
              <w:rPr>
                <w:iCs/>
              </w:rPr>
              <w:t>second</w:t>
            </w:r>
          </w:p>
        </w:tc>
        <w:tc>
          <w:tcPr>
            <w:tcW w:w="3074" w:type="pct"/>
          </w:tcPr>
          <w:p w14:paraId="440DE24A" w14:textId="77777777" w:rsidR="009658B2" w:rsidRPr="0013396E" w:rsidRDefault="009658B2" w:rsidP="0099759E">
            <w:pPr>
              <w:pStyle w:val="tablebody0"/>
              <w:rPr>
                <w:i/>
                <w:szCs w:val="18"/>
              </w:rPr>
            </w:pPr>
            <w:r w:rsidRPr="0013396E">
              <w:rPr>
                <w:i/>
              </w:rPr>
              <w:t>Duration of SCED interval per interval</w:t>
            </w:r>
            <w:r w:rsidRPr="0013396E">
              <w:rPr>
                <w:iCs/>
              </w:rPr>
              <w:sym w:font="Symbol" w:char="F0BE"/>
            </w:r>
            <w:r w:rsidRPr="0013396E">
              <w:rPr>
                <w:iCs/>
              </w:rPr>
              <w:t xml:space="preserve">The duration of the portion of the SCED interval </w:t>
            </w:r>
            <w:r w:rsidRPr="0013396E">
              <w:rPr>
                <w:i/>
              </w:rPr>
              <w:t>y</w:t>
            </w:r>
            <w:r w:rsidRPr="0013396E">
              <w:t xml:space="preserve"> within the Settlement Interval</w:t>
            </w:r>
            <w:r w:rsidRPr="0013396E">
              <w:rPr>
                <w:iCs/>
              </w:rPr>
              <w:t>.</w:t>
            </w:r>
          </w:p>
        </w:tc>
      </w:tr>
      <w:tr w:rsidR="009658B2" w:rsidRPr="0013396E" w14:paraId="6E37A673" w14:textId="77777777" w:rsidTr="0099759E">
        <w:trPr>
          <w:cantSplit/>
        </w:trPr>
        <w:tc>
          <w:tcPr>
            <w:tcW w:w="1295" w:type="pct"/>
          </w:tcPr>
          <w:p w14:paraId="4A63ED99" w14:textId="77777777" w:rsidR="009658B2" w:rsidRPr="0013396E" w:rsidRDefault="009658B2" w:rsidP="0099759E">
            <w:pPr>
              <w:pStyle w:val="tablebody0"/>
              <w:rPr>
                <w:i/>
              </w:rPr>
            </w:pPr>
            <w:r w:rsidRPr="0013396E">
              <w:rPr>
                <w:i/>
              </w:rPr>
              <w:t>y</w:t>
            </w:r>
          </w:p>
        </w:tc>
        <w:tc>
          <w:tcPr>
            <w:tcW w:w="631" w:type="pct"/>
          </w:tcPr>
          <w:p w14:paraId="769EE6C9" w14:textId="77777777" w:rsidR="009658B2" w:rsidRPr="0013396E" w:rsidRDefault="009658B2" w:rsidP="0099759E">
            <w:pPr>
              <w:pStyle w:val="tablebody0"/>
            </w:pPr>
            <w:r w:rsidRPr="0013396E">
              <w:t>none</w:t>
            </w:r>
          </w:p>
        </w:tc>
        <w:tc>
          <w:tcPr>
            <w:tcW w:w="3074" w:type="pct"/>
          </w:tcPr>
          <w:p w14:paraId="4908B5EA" w14:textId="77777777" w:rsidR="009658B2" w:rsidRPr="0013396E" w:rsidRDefault="009658B2" w:rsidP="0099759E">
            <w:pPr>
              <w:pStyle w:val="tablebody0"/>
            </w:pPr>
            <w:r w:rsidRPr="0013396E">
              <w:t>A SCED interval in the 15-minute Settlement Interval.</w:t>
            </w:r>
          </w:p>
        </w:tc>
      </w:tr>
    </w:tbl>
    <w:p w14:paraId="67F97ED0" w14:textId="77777777" w:rsidR="009658B2" w:rsidRPr="0013396E" w:rsidRDefault="009658B2" w:rsidP="009658B2">
      <w:pPr>
        <w:spacing w:before="240" w:after="240"/>
        <w:ind w:left="720" w:hanging="720"/>
      </w:pPr>
      <w:r w:rsidRPr="0013396E">
        <w:rPr>
          <w:bCs/>
          <w:snapToGrid w:val="0"/>
        </w:rPr>
        <w:t>(2)</w:t>
      </w:r>
      <w:r w:rsidRPr="0013396E">
        <w:t xml:space="preserve"> </w:t>
      </w:r>
      <w:r w:rsidRPr="0013396E">
        <w:tab/>
        <w:t>The Real-Time Reliability Deployment Price for Ancillary Service for Reg-Down (RTRDPRD) is the time-weighted average of the sum of the Real-Time Reliability Deployment Price Adders for Ancillary Service for Reg-Down per SCED interval.  The Real-Time Reliability Deployment Price for Ancillary Service for Reg-Down for a 15-minute Settlement Interval is calculated as follows:</w:t>
      </w:r>
    </w:p>
    <w:p w14:paraId="6982E746" w14:textId="77777777" w:rsidR="009658B2" w:rsidRPr="0013396E" w:rsidRDefault="009658B2" w:rsidP="009658B2">
      <w:pPr>
        <w:pStyle w:val="FormulaBold"/>
        <w:rPr>
          <w:i/>
          <w:vertAlign w:val="subscript"/>
        </w:rPr>
      </w:pPr>
      <w:r w:rsidRPr="0013396E">
        <w:t xml:space="preserve">RTRDPRD  =   </w:t>
      </w:r>
      <w:r w:rsidRPr="0013396E">
        <w:rPr>
          <w:position w:val="-22"/>
        </w:rPr>
        <w:object w:dxaOrig="225" w:dyaOrig="465" w14:anchorId="70B19BE0">
          <v:shape id="_x0000_i1063" type="#_x0000_t75" style="width:24pt;height:18.6pt" o:ole="">
            <v:imagedata r:id="rId20" o:title=""/>
          </v:shape>
          <o:OLEObject Type="Embed" ProgID="Equation.3" ShapeID="_x0000_i1063" DrawAspect="Content" ObjectID="_1836311342" r:id="rId63"/>
        </w:object>
      </w:r>
      <w:r w:rsidRPr="0013396E">
        <w:t xml:space="preserve"> (RNWF </w:t>
      </w:r>
      <w:r w:rsidRPr="0013396E">
        <w:rPr>
          <w:i/>
          <w:vertAlign w:val="subscript"/>
        </w:rPr>
        <w:t>y</w:t>
      </w:r>
      <w:r w:rsidRPr="0013396E">
        <w:t xml:space="preserve"> * RTRDPARDS </w:t>
      </w:r>
      <w:r w:rsidRPr="0013396E">
        <w:rPr>
          <w:i/>
          <w:vertAlign w:val="subscript"/>
        </w:rPr>
        <w:t>y</w:t>
      </w:r>
      <w:r w:rsidRPr="0013396E">
        <w:t>)</w:t>
      </w:r>
    </w:p>
    <w:p w14:paraId="5DEF4FFB" w14:textId="77777777" w:rsidR="009658B2" w:rsidRPr="0013396E" w:rsidRDefault="009658B2" w:rsidP="009658B2">
      <w:pPr>
        <w:pStyle w:val="BodyTextNumbered"/>
        <w:ind w:left="0" w:firstLine="0"/>
      </w:pPr>
      <w:r w:rsidRPr="0013396E">
        <w:t>Where:</w:t>
      </w:r>
    </w:p>
    <w:p w14:paraId="40DC2B12" w14:textId="77777777" w:rsidR="009658B2" w:rsidRPr="0013396E" w:rsidRDefault="009658B2" w:rsidP="009658B2">
      <w:pPr>
        <w:spacing w:after="240"/>
        <w:ind w:firstLine="720"/>
        <w:rPr>
          <w:i/>
          <w:vertAlign w:val="subscript"/>
        </w:rPr>
      </w:pPr>
      <w:r w:rsidRPr="0013396E">
        <w:t xml:space="preserve">RNWF </w:t>
      </w:r>
      <w:r w:rsidRPr="0013396E">
        <w:rPr>
          <w:i/>
          <w:vertAlign w:val="subscript"/>
        </w:rPr>
        <w:t xml:space="preserve">y   </w:t>
      </w:r>
      <w:r w:rsidRPr="0013396E">
        <w:t xml:space="preserve">=  TLMP </w:t>
      </w:r>
      <w:r w:rsidRPr="0013396E">
        <w:rPr>
          <w:i/>
          <w:vertAlign w:val="subscript"/>
        </w:rPr>
        <w:t>y</w:t>
      </w:r>
      <w:r w:rsidRPr="0013396E">
        <w:t xml:space="preserve"> </w:t>
      </w:r>
      <w:r w:rsidRPr="0013396E">
        <w:rPr>
          <w:color w:val="000000"/>
          <w:sz w:val="32"/>
          <w:szCs w:val="32"/>
        </w:rPr>
        <w:t>/</w:t>
      </w:r>
      <w:r w:rsidRPr="0013396E">
        <w:rPr>
          <w:color w:val="000000"/>
        </w:rPr>
        <w:t xml:space="preserve"> </w:t>
      </w:r>
      <w:r w:rsidRPr="0013396E">
        <w:rPr>
          <w:position w:val="-22"/>
        </w:rPr>
        <w:object w:dxaOrig="225" w:dyaOrig="465" w14:anchorId="68B5D230">
          <v:shape id="_x0000_i1064" type="#_x0000_t75" style="width:24pt;height:18.6pt" o:ole="">
            <v:imagedata r:id="rId20" o:title=""/>
          </v:shape>
          <o:OLEObject Type="Embed" ProgID="Equation.3" ShapeID="_x0000_i1064" DrawAspect="Content" ObjectID="_1836311343" r:id="rId64"/>
        </w:object>
      </w:r>
      <w:r w:rsidRPr="0013396E">
        <w:t xml:space="preserve">TLMP </w:t>
      </w:r>
      <w:r w:rsidRPr="0013396E">
        <w:rPr>
          <w:i/>
          <w:vertAlign w:val="subscript"/>
        </w:rPr>
        <w:t>y</w:t>
      </w:r>
    </w:p>
    <w:p w14:paraId="596D380A" w14:textId="77777777" w:rsidR="009658B2" w:rsidRPr="0013396E" w:rsidRDefault="009658B2" w:rsidP="009658B2">
      <w:pPr>
        <w:pStyle w:val="Instructions"/>
        <w:spacing w:after="0"/>
        <w:ind w:left="720" w:hanging="720"/>
        <w:rPr>
          <w:b w:val="0"/>
          <w:i w:val="0"/>
        </w:rPr>
      </w:pPr>
      <w:r w:rsidRPr="0013396E">
        <w:rPr>
          <w:b w:val="0"/>
          <w:i w:val="0"/>
        </w:rPr>
        <w:lastRenderedPageBreak/>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22"/>
        <w:gridCol w:w="1180"/>
        <w:gridCol w:w="5748"/>
      </w:tblGrid>
      <w:tr w:rsidR="009658B2" w:rsidRPr="0013396E" w14:paraId="23B6ED40" w14:textId="77777777" w:rsidTr="0099759E">
        <w:trPr>
          <w:cantSplit/>
          <w:tblHeader/>
        </w:trPr>
        <w:tc>
          <w:tcPr>
            <w:tcW w:w="1295" w:type="pct"/>
            <w:tcBorders>
              <w:top w:val="single" w:sz="4" w:space="0" w:color="auto"/>
              <w:left w:val="single" w:sz="4" w:space="0" w:color="auto"/>
              <w:bottom w:val="single" w:sz="4" w:space="0" w:color="auto"/>
              <w:right w:val="single" w:sz="4" w:space="0" w:color="auto"/>
            </w:tcBorders>
            <w:hideMark/>
          </w:tcPr>
          <w:p w14:paraId="4E0BC40E" w14:textId="77777777" w:rsidR="009658B2" w:rsidRPr="0013396E" w:rsidRDefault="009658B2" w:rsidP="0099759E">
            <w:pPr>
              <w:pStyle w:val="TableHead"/>
            </w:pPr>
            <w:r w:rsidRPr="0013396E">
              <w:t>Variable</w:t>
            </w:r>
          </w:p>
        </w:tc>
        <w:tc>
          <w:tcPr>
            <w:tcW w:w="631" w:type="pct"/>
            <w:tcBorders>
              <w:top w:val="single" w:sz="4" w:space="0" w:color="auto"/>
              <w:left w:val="single" w:sz="4" w:space="0" w:color="auto"/>
              <w:bottom w:val="single" w:sz="4" w:space="0" w:color="auto"/>
              <w:right w:val="single" w:sz="4" w:space="0" w:color="auto"/>
            </w:tcBorders>
            <w:hideMark/>
          </w:tcPr>
          <w:p w14:paraId="346D208F" w14:textId="77777777" w:rsidR="009658B2" w:rsidRPr="0013396E" w:rsidRDefault="009658B2" w:rsidP="0099759E">
            <w:pPr>
              <w:pStyle w:val="TableHead"/>
            </w:pPr>
            <w:r w:rsidRPr="0013396E">
              <w:t>Unit</w:t>
            </w:r>
          </w:p>
        </w:tc>
        <w:tc>
          <w:tcPr>
            <w:tcW w:w="3074" w:type="pct"/>
            <w:tcBorders>
              <w:top w:val="single" w:sz="4" w:space="0" w:color="auto"/>
              <w:left w:val="single" w:sz="4" w:space="0" w:color="auto"/>
              <w:bottom w:val="single" w:sz="4" w:space="0" w:color="auto"/>
              <w:right w:val="single" w:sz="4" w:space="0" w:color="auto"/>
            </w:tcBorders>
            <w:hideMark/>
          </w:tcPr>
          <w:p w14:paraId="5986CEC3" w14:textId="77777777" w:rsidR="009658B2" w:rsidRPr="0013396E" w:rsidRDefault="009658B2" w:rsidP="0099759E">
            <w:pPr>
              <w:pStyle w:val="TableHead"/>
            </w:pPr>
            <w:r w:rsidRPr="0013396E">
              <w:t>Description</w:t>
            </w:r>
          </w:p>
        </w:tc>
      </w:tr>
      <w:tr w:rsidR="009658B2" w:rsidRPr="0013396E" w14:paraId="31599843" w14:textId="77777777" w:rsidTr="0099759E">
        <w:trPr>
          <w:cantSplit/>
        </w:trPr>
        <w:tc>
          <w:tcPr>
            <w:tcW w:w="1295" w:type="pct"/>
            <w:tcBorders>
              <w:top w:val="single" w:sz="4" w:space="0" w:color="auto"/>
              <w:left w:val="single" w:sz="4" w:space="0" w:color="auto"/>
              <w:bottom w:val="single" w:sz="4" w:space="0" w:color="auto"/>
              <w:right w:val="single" w:sz="4" w:space="0" w:color="auto"/>
            </w:tcBorders>
            <w:hideMark/>
          </w:tcPr>
          <w:p w14:paraId="3BB884FF" w14:textId="77777777" w:rsidR="009658B2" w:rsidRPr="0013396E" w:rsidRDefault="009658B2" w:rsidP="0099759E">
            <w:pPr>
              <w:pStyle w:val="tablebody0"/>
            </w:pPr>
            <w:r w:rsidRPr="0013396E">
              <w:t>RTRDPRD</w:t>
            </w:r>
          </w:p>
        </w:tc>
        <w:tc>
          <w:tcPr>
            <w:tcW w:w="631" w:type="pct"/>
            <w:tcBorders>
              <w:top w:val="single" w:sz="4" w:space="0" w:color="auto"/>
              <w:left w:val="single" w:sz="4" w:space="0" w:color="auto"/>
              <w:bottom w:val="single" w:sz="4" w:space="0" w:color="auto"/>
              <w:right w:val="single" w:sz="4" w:space="0" w:color="auto"/>
            </w:tcBorders>
            <w:hideMark/>
          </w:tcPr>
          <w:p w14:paraId="30D2EED3" w14:textId="77777777" w:rsidR="009658B2" w:rsidRPr="0013396E" w:rsidRDefault="009658B2" w:rsidP="0099759E">
            <w:pPr>
              <w:pStyle w:val="tablebody0"/>
            </w:pPr>
            <w:r w:rsidRPr="0013396E">
              <w:t>$/MW</w:t>
            </w:r>
          </w:p>
        </w:tc>
        <w:tc>
          <w:tcPr>
            <w:tcW w:w="3074" w:type="pct"/>
            <w:tcBorders>
              <w:top w:val="single" w:sz="4" w:space="0" w:color="auto"/>
              <w:left w:val="single" w:sz="4" w:space="0" w:color="auto"/>
              <w:bottom w:val="single" w:sz="4" w:space="0" w:color="auto"/>
              <w:right w:val="single" w:sz="4" w:space="0" w:color="auto"/>
            </w:tcBorders>
            <w:hideMark/>
          </w:tcPr>
          <w:p w14:paraId="2720D35F" w14:textId="77777777" w:rsidR="009658B2" w:rsidRPr="0013396E" w:rsidRDefault="009658B2" w:rsidP="0099759E">
            <w:pPr>
              <w:pStyle w:val="tablebody0"/>
              <w:rPr>
                <w:i/>
              </w:rPr>
            </w:pPr>
            <w:r w:rsidRPr="0013396E">
              <w:rPr>
                <w:i/>
                <w:szCs w:val="18"/>
              </w:rPr>
              <w:t>Real-Time Reliability Deployment Price for Ancillary Service for Reg-Down -</w:t>
            </w:r>
            <w:r w:rsidRPr="0013396E">
              <w:t xml:space="preserve"> The Real-Time Reliability Deployment Price for Ancillary Service for Reg-Down for the 15-minute Settlement Interval.</w:t>
            </w:r>
          </w:p>
        </w:tc>
      </w:tr>
      <w:tr w:rsidR="009658B2" w:rsidRPr="0013396E" w14:paraId="7D06AB85" w14:textId="77777777" w:rsidTr="0099759E">
        <w:trPr>
          <w:cantSplit/>
        </w:trPr>
        <w:tc>
          <w:tcPr>
            <w:tcW w:w="1295" w:type="pct"/>
          </w:tcPr>
          <w:p w14:paraId="55331762" w14:textId="77777777" w:rsidR="009658B2" w:rsidRPr="0013396E" w:rsidRDefault="009658B2" w:rsidP="0099759E">
            <w:pPr>
              <w:pStyle w:val="tablebody0"/>
              <w:rPr>
                <w:i/>
              </w:rPr>
            </w:pPr>
            <w:r w:rsidRPr="0013396E">
              <w:t xml:space="preserve">RTRDPARDS </w:t>
            </w:r>
            <w:r w:rsidRPr="0013396E">
              <w:rPr>
                <w:i/>
              </w:rPr>
              <w:t>y</w:t>
            </w:r>
          </w:p>
        </w:tc>
        <w:tc>
          <w:tcPr>
            <w:tcW w:w="631" w:type="pct"/>
          </w:tcPr>
          <w:p w14:paraId="2414EAA9" w14:textId="77777777" w:rsidR="009658B2" w:rsidRPr="0013396E" w:rsidRDefault="009658B2" w:rsidP="0099759E">
            <w:pPr>
              <w:pStyle w:val="tablebody0"/>
            </w:pPr>
            <w:r w:rsidRPr="0013396E">
              <w:t>$/MW</w:t>
            </w:r>
          </w:p>
        </w:tc>
        <w:tc>
          <w:tcPr>
            <w:tcW w:w="3074" w:type="pct"/>
          </w:tcPr>
          <w:p w14:paraId="517B29FD" w14:textId="77777777" w:rsidR="009658B2" w:rsidRPr="0013396E" w:rsidRDefault="009658B2" w:rsidP="0099759E">
            <w:pPr>
              <w:pStyle w:val="tablebody0"/>
            </w:pPr>
            <w:r w:rsidRPr="0013396E">
              <w:rPr>
                <w:i/>
                <w:szCs w:val="18"/>
              </w:rPr>
              <w:t xml:space="preserve">Real-Time </w:t>
            </w:r>
            <w:r w:rsidRPr="0013396E">
              <w:rPr>
                <w:i/>
              </w:rPr>
              <w:t xml:space="preserve">Reliability Deployment Price Adder for Ancillary Service </w:t>
            </w:r>
            <w:r w:rsidRPr="0013396E">
              <w:rPr>
                <w:i/>
                <w:szCs w:val="18"/>
              </w:rPr>
              <w:t xml:space="preserve">for Reg-Down </w:t>
            </w:r>
            <w:r w:rsidRPr="0013396E">
              <w:rPr>
                <w:i/>
              </w:rPr>
              <w:t xml:space="preserve">per SCED interval </w:t>
            </w:r>
            <w:r w:rsidRPr="0013396E">
              <w:t xml:space="preserve">- The Real-Time price adder for Reg-Down that captures the impact of reliability deployments on Reg-Down prices for the SCED interval </w:t>
            </w:r>
            <w:r w:rsidRPr="0013396E">
              <w:rPr>
                <w:i/>
              </w:rPr>
              <w:t>y</w:t>
            </w:r>
            <w:r w:rsidRPr="0013396E">
              <w:t>.</w:t>
            </w:r>
          </w:p>
        </w:tc>
      </w:tr>
      <w:tr w:rsidR="009658B2" w:rsidRPr="0013396E" w14:paraId="3C2EDDFF" w14:textId="77777777" w:rsidTr="0099759E">
        <w:trPr>
          <w:cantSplit/>
        </w:trPr>
        <w:tc>
          <w:tcPr>
            <w:tcW w:w="1295" w:type="pct"/>
          </w:tcPr>
          <w:p w14:paraId="03EEFAA4" w14:textId="77777777" w:rsidR="009658B2" w:rsidRPr="0013396E" w:rsidRDefault="009658B2" w:rsidP="0099759E">
            <w:pPr>
              <w:pStyle w:val="tablebody0"/>
            </w:pPr>
            <w:r w:rsidRPr="0013396E">
              <w:rPr>
                <w:iCs/>
              </w:rPr>
              <w:t xml:space="preserve">RNWF </w:t>
            </w:r>
            <w:r w:rsidRPr="0013396E">
              <w:rPr>
                <w:i/>
                <w:iCs/>
                <w:vertAlign w:val="subscript"/>
              </w:rPr>
              <w:t>y</w:t>
            </w:r>
          </w:p>
        </w:tc>
        <w:tc>
          <w:tcPr>
            <w:tcW w:w="631" w:type="pct"/>
          </w:tcPr>
          <w:p w14:paraId="021219A8" w14:textId="77777777" w:rsidR="009658B2" w:rsidRPr="0013396E" w:rsidRDefault="009658B2" w:rsidP="0099759E">
            <w:pPr>
              <w:pStyle w:val="tablebody0"/>
            </w:pPr>
            <w:r w:rsidRPr="0013396E">
              <w:rPr>
                <w:iCs/>
              </w:rPr>
              <w:t>none</w:t>
            </w:r>
          </w:p>
        </w:tc>
        <w:tc>
          <w:tcPr>
            <w:tcW w:w="3074" w:type="pct"/>
          </w:tcPr>
          <w:p w14:paraId="0B6EFEBA" w14:textId="77777777" w:rsidR="009658B2" w:rsidRPr="0013396E" w:rsidRDefault="009658B2" w:rsidP="0099759E">
            <w:pPr>
              <w:pStyle w:val="tablebody0"/>
              <w:rPr>
                <w:i/>
                <w:szCs w:val="18"/>
              </w:rPr>
            </w:pPr>
            <w:r w:rsidRPr="0013396E">
              <w:rPr>
                <w:i/>
                <w:iCs/>
              </w:rPr>
              <w:t>Resource Node Weighting Factor per interval</w:t>
            </w:r>
            <w:r w:rsidRPr="0013396E">
              <w:rPr>
                <w:iCs/>
              </w:rPr>
              <w:sym w:font="Symbol" w:char="F0BE"/>
            </w:r>
            <w:r w:rsidRPr="0013396E">
              <w:rPr>
                <w:iCs/>
              </w:rPr>
              <w:t xml:space="preserve">The weight used in the Ancillary Service Price calculation for the portion of the SCED interval </w:t>
            </w:r>
            <w:r w:rsidRPr="0013396E">
              <w:rPr>
                <w:i/>
                <w:iCs/>
              </w:rPr>
              <w:t>y</w:t>
            </w:r>
            <w:r w:rsidRPr="0013396E">
              <w:rPr>
                <w:iCs/>
              </w:rPr>
              <w:t xml:space="preserve"> within the Settlement Interval.</w:t>
            </w:r>
          </w:p>
        </w:tc>
      </w:tr>
      <w:tr w:rsidR="009658B2" w:rsidRPr="0013396E" w14:paraId="13A4D81C" w14:textId="77777777" w:rsidTr="0099759E">
        <w:trPr>
          <w:cantSplit/>
        </w:trPr>
        <w:tc>
          <w:tcPr>
            <w:tcW w:w="1295" w:type="pct"/>
          </w:tcPr>
          <w:p w14:paraId="6D07417D" w14:textId="77777777" w:rsidR="009658B2" w:rsidRPr="0013396E" w:rsidRDefault="009658B2" w:rsidP="0099759E">
            <w:pPr>
              <w:pStyle w:val="tablebody0"/>
            </w:pPr>
            <w:r w:rsidRPr="0013396E">
              <w:rPr>
                <w:iCs/>
              </w:rPr>
              <w:t xml:space="preserve">TLMP </w:t>
            </w:r>
            <w:r w:rsidRPr="0013396E">
              <w:rPr>
                <w:i/>
                <w:iCs/>
                <w:vertAlign w:val="subscript"/>
              </w:rPr>
              <w:t>y</w:t>
            </w:r>
          </w:p>
        </w:tc>
        <w:tc>
          <w:tcPr>
            <w:tcW w:w="631" w:type="pct"/>
          </w:tcPr>
          <w:p w14:paraId="4A683C5D" w14:textId="77777777" w:rsidR="009658B2" w:rsidRPr="0013396E" w:rsidRDefault="009658B2" w:rsidP="0099759E">
            <w:pPr>
              <w:pStyle w:val="tablebody0"/>
            </w:pPr>
            <w:r w:rsidRPr="0013396E">
              <w:rPr>
                <w:iCs/>
              </w:rPr>
              <w:t>second</w:t>
            </w:r>
          </w:p>
        </w:tc>
        <w:tc>
          <w:tcPr>
            <w:tcW w:w="3074" w:type="pct"/>
          </w:tcPr>
          <w:p w14:paraId="1BE0A19D" w14:textId="77777777" w:rsidR="009658B2" w:rsidRPr="0013396E" w:rsidRDefault="009658B2" w:rsidP="0099759E">
            <w:pPr>
              <w:pStyle w:val="tablebody0"/>
              <w:rPr>
                <w:i/>
                <w:szCs w:val="18"/>
              </w:rPr>
            </w:pPr>
            <w:r w:rsidRPr="0013396E">
              <w:rPr>
                <w:i/>
              </w:rPr>
              <w:t>Duration of SCED interval per interval</w:t>
            </w:r>
            <w:r w:rsidRPr="0013396E">
              <w:rPr>
                <w:iCs/>
              </w:rPr>
              <w:sym w:font="Symbol" w:char="F0BE"/>
            </w:r>
            <w:r w:rsidRPr="0013396E">
              <w:rPr>
                <w:iCs/>
              </w:rPr>
              <w:t xml:space="preserve">The duration of the portion of the SCED interval </w:t>
            </w:r>
            <w:r w:rsidRPr="0013396E">
              <w:rPr>
                <w:i/>
              </w:rPr>
              <w:t>y</w:t>
            </w:r>
            <w:r w:rsidRPr="0013396E">
              <w:t xml:space="preserve"> within the Settlement Interval</w:t>
            </w:r>
            <w:r w:rsidRPr="0013396E">
              <w:rPr>
                <w:iCs/>
              </w:rPr>
              <w:t>.</w:t>
            </w:r>
          </w:p>
        </w:tc>
      </w:tr>
      <w:tr w:rsidR="009658B2" w:rsidRPr="0013396E" w14:paraId="2CD1CB29" w14:textId="77777777" w:rsidTr="0099759E">
        <w:trPr>
          <w:cantSplit/>
        </w:trPr>
        <w:tc>
          <w:tcPr>
            <w:tcW w:w="1295" w:type="pct"/>
          </w:tcPr>
          <w:p w14:paraId="36035602" w14:textId="77777777" w:rsidR="009658B2" w:rsidRPr="0013396E" w:rsidRDefault="009658B2" w:rsidP="0099759E">
            <w:pPr>
              <w:pStyle w:val="tablebody0"/>
              <w:rPr>
                <w:i/>
              </w:rPr>
            </w:pPr>
            <w:r w:rsidRPr="0013396E">
              <w:rPr>
                <w:i/>
              </w:rPr>
              <w:t>y</w:t>
            </w:r>
          </w:p>
        </w:tc>
        <w:tc>
          <w:tcPr>
            <w:tcW w:w="631" w:type="pct"/>
          </w:tcPr>
          <w:p w14:paraId="3907482B" w14:textId="77777777" w:rsidR="009658B2" w:rsidRPr="0013396E" w:rsidRDefault="009658B2" w:rsidP="0099759E">
            <w:pPr>
              <w:pStyle w:val="tablebody0"/>
            </w:pPr>
            <w:r w:rsidRPr="0013396E">
              <w:t>none</w:t>
            </w:r>
          </w:p>
        </w:tc>
        <w:tc>
          <w:tcPr>
            <w:tcW w:w="3074" w:type="pct"/>
          </w:tcPr>
          <w:p w14:paraId="6768715C" w14:textId="77777777" w:rsidR="009658B2" w:rsidRPr="0013396E" w:rsidRDefault="009658B2" w:rsidP="0099759E">
            <w:pPr>
              <w:pStyle w:val="tablebody0"/>
            </w:pPr>
            <w:r w:rsidRPr="0013396E">
              <w:t>A SCED interval in the 15-minute Settlement Interval.</w:t>
            </w:r>
          </w:p>
        </w:tc>
      </w:tr>
    </w:tbl>
    <w:p w14:paraId="076BBD96" w14:textId="77777777" w:rsidR="009658B2" w:rsidRPr="0013396E" w:rsidRDefault="009658B2" w:rsidP="009658B2">
      <w:pPr>
        <w:spacing w:before="240" w:after="240"/>
        <w:ind w:left="720" w:hanging="720"/>
      </w:pPr>
      <w:r w:rsidRPr="0013396E">
        <w:rPr>
          <w:bCs/>
          <w:snapToGrid w:val="0"/>
        </w:rPr>
        <w:t>(3)</w:t>
      </w:r>
      <w:r w:rsidRPr="0013396E">
        <w:t xml:space="preserve"> </w:t>
      </w:r>
      <w:r w:rsidRPr="0013396E">
        <w:tab/>
        <w:t>The Real-Time Reliability Deployment Price for Ancillary Service for Responsive Reserve (RTRDPRRS) is the time-weighted average of the sum of the Real-Time Reliability Deployment Price Adders for Ancillary Service for Responsive Reserve per SCED interval.  The Real-Time Reliability Deployment Price for Ancillary Service for Responsive Reserve for a 15-minute Settlement Interval is calculated as follows:</w:t>
      </w:r>
    </w:p>
    <w:p w14:paraId="4B54E73A" w14:textId="77777777" w:rsidR="009658B2" w:rsidRPr="005A7D8E" w:rsidRDefault="009658B2" w:rsidP="005A7D8E">
      <w:pPr>
        <w:spacing w:before="240" w:after="240"/>
        <w:ind w:left="720"/>
        <w:rPr>
          <w:b/>
          <w:bCs/>
          <w:i/>
          <w:vertAlign w:val="subscript"/>
        </w:rPr>
      </w:pPr>
      <w:r w:rsidRPr="005A7D8E">
        <w:rPr>
          <w:b/>
          <w:bCs/>
        </w:rPr>
        <w:t xml:space="preserve">RTRDPRRS  =   </w:t>
      </w:r>
      <w:r w:rsidRPr="00DA0E3D">
        <w:rPr>
          <w:b/>
          <w:bCs/>
          <w:position w:val="-22"/>
        </w:rPr>
        <w:object w:dxaOrig="225" w:dyaOrig="465" w14:anchorId="224D7858">
          <v:shape id="_x0000_i1065" type="#_x0000_t75" style="width:24pt;height:18.6pt" o:ole="">
            <v:imagedata r:id="rId20" o:title=""/>
          </v:shape>
          <o:OLEObject Type="Embed" ProgID="Equation.3" ShapeID="_x0000_i1065" DrawAspect="Content" ObjectID="_1836311344" r:id="rId65"/>
        </w:object>
      </w:r>
      <w:r w:rsidRPr="005A7D8E">
        <w:rPr>
          <w:b/>
          <w:bCs/>
        </w:rPr>
        <w:t xml:space="preserve"> (RNWF </w:t>
      </w:r>
      <w:r w:rsidRPr="005A7D8E">
        <w:rPr>
          <w:b/>
          <w:bCs/>
          <w:i/>
          <w:vertAlign w:val="subscript"/>
        </w:rPr>
        <w:t>y</w:t>
      </w:r>
      <w:r w:rsidRPr="005A7D8E">
        <w:rPr>
          <w:b/>
          <w:bCs/>
        </w:rPr>
        <w:t xml:space="preserve"> * RTRDPARRS </w:t>
      </w:r>
      <w:r w:rsidRPr="005A7D8E">
        <w:rPr>
          <w:b/>
          <w:bCs/>
          <w:i/>
          <w:vertAlign w:val="subscript"/>
        </w:rPr>
        <w:t>y</w:t>
      </w:r>
      <w:r w:rsidRPr="005A7D8E">
        <w:rPr>
          <w:b/>
          <w:bCs/>
        </w:rPr>
        <w:t>)</w:t>
      </w:r>
    </w:p>
    <w:p w14:paraId="13377DB4" w14:textId="77777777" w:rsidR="009658B2" w:rsidRPr="0013396E" w:rsidRDefault="009658B2" w:rsidP="009658B2">
      <w:pPr>
        <w:pStyle w:val="BodyTextNumbered"/>
        <w:ind w:left="0" w:firstLine="0"/>
      </w:pPr>
      <w:r w:rsidRPr="0013396E">
        <w:t>Where:</w:t>
      </w:r>
    </w:p>
    <w:p w14:paraId="52DE2FDE" w14:textId="77777777" w:rsidR="009658B2" w:rsidRPr="0013396E" w:rsidRDefault="009658B2" w:rsidP="009658B2">
      <w:pPr>
        <w:spacing w:after="240"/>
        <w:ind w:firstLine="720"/>
        <w:rPr>
          <w:i/>
          <w:vertAlign w:val="subscript"/>
        </w:rPr>
      </w:pPr>
      <w:r w:rsidRPr="0013396E">
        <w:t xml:space="preserve">RNWF </w:t>
      </w:r>
      <w:r w:rsidRPr="0013396E">
        <w:rPr>
          <w:i/>
          <w:vertAlign w:val="subscript"/>
        </w:rPr>
        <w:t xml:space="preserve">y   </w:t>
      </w:r>
      <w:r w:rsidRPr="0013396E">
        <w:t xml:space="preserve">=  TLMP </w:t>
      </w:r>
      <w:r w:rsidRPr="0013396E">
        <w:rPr>
          <w:i/>
          <w:vertAlign w:val="subscript"/>
        </w:rPr>
        <w:t>y</w:t>
      </w:r>
      <w:r w:rsidRPr="0013396E">
        <w:t xml:space="preserve"> </w:t>
      </w:r>
      <w:r w:rsidRPr="0013396E">
        <w:rPr>
          <w:color w:val="000000"/>
          <w:sz w:val="32"/>
          <w:szCs w:val="32"/>
        </w:rPr>
        <w:t>/</w:t>
      </w:r>
      <w:r w:rsidRPr="0013396E">
        <w:rPr>
          <w:color w:val="000000"/>
        </w:rPr>
        <w:t xml:space="preserve"> </w:t>
      </w:r>
      <w:r w:rsidRPr="0013396E">
        <w:rPr>
          <w:position w:val="-22"/>
        </w:rPr>
        <w:object w:dxaOrig="225" w:dyaOrig="465" w14:anchorId="110E99F2">
          <v:shape id="_x0000_i1066" type="#_x0000_t75" style="width:24pt;height:18.6pt" o:ole="">
            <v:imagedata r:id="rId20" o:title=""/>
          </v:shape>
          <o:OLEObject Type="Embed" ProgID="Equation.3" ShapeID="_x0000_i1066" DrawAspect="Content" ObjectID="_1836311345" r:id="rId66"/>
        </w:object>
      </w:r>
      <w:r w:rsidRPr="0013396E">
        <w:t xml:space="preserve">TLMP </w:t>
      </w:r>
      <w:r w:rsidRPr="0013396E">
        <w:rPr>
          <w:i/>
          <w:vertAlign w:val="subscript"/>
        </w:rPr>
        <w:t>y</w:t>
      </w:r>
    </w:p>
    <w:p w14:paraId="30DF2A72" w14:textId="77777777" w:rsidR="009658B2" w:rsidRPr="0013396E" w:rsidRDefault="009658B2" w:rsidP="009658B2">
      <w:pPr>
        <w:pStyle w:val="Instructions"/>
        <w:spacing w:after="0"/>
        <w:ind w:left="720" w:hanging="720"/>
        <w:rPr>
          <w:b w:val="0"/>
          <w:i w:val="0"/>
        </w:rPr>
      </w:pPr>
      <w:r w:rsidRPr="0013396E">
        <w:rPr>
          <w:b w:val="0"/>
          <w:i w:val="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22"/>
        <w:gridCol w:w="1180"/>
        <w:gridCol w:w="5748"/>
      </w:tblGrid>
      <w:tr w:rsidR="009658B2" w:rsidRPr="0013396E" w14:paraId="0A88CBF0" w14:textId="77777777" w:rsidTr="0099759E">
        <w:trPr>
          <w:cantSplit/>
          <w:tblHeader/>
        </w:trPr>
        <w:tc>
          <w:tcPr>
            <w:tcW w:w="1295" w:type="pct"/>
            <w:tcBorders>
              <w:top w:val="single" w:sz="4" w:space="0" w:color="auto"/>
              <w:left w:val="single" w:sz="4" w:space="0" w:color="auto"/>
              <w:bottom w:val="single" w:sz="4" w:space="0" w:color="auto"/>
              <w:right w:val="single" w:sz="4" w:space="0" w:color="auto"/>
            </w:tcBorders>
            <w:hideMark/>
          </w:tcPr>
          <w:p w14:paraId="7C6C263C" w14:textId="77777777" w:rsidR="009658B2" w:rsidRPr="0013396E" w:rsidRDefault="009658B2" w:rsidP="0099759E">
            <w:pPr>
              <w:pStyle w:val="TableHead"/>
            </w:pPr>
            <w:r w:rsidRPr="0013396E">
              <w:t>Variable</w:t>
            </w:r>
          </w:p>
        </w:tc>
        <w:tc>
          <w:tcPr>
            <w:tcW w:w="631" w:type="pct"/>
            <w:tcBorders>
              <w:top w:val="single" w:sz="4" w:space="0" w:color="auto"/>
              <w:left w:val="single" w:sz="4" w:space="0" w:color="auto"/>
              <w:bottom w:val="single" w:sz="4" w:space="0" w:color="auto"/>
              <w:right w:val="single" w:sz="4" w:space="0" w:color="auto"/>
            </w:tcBorders>
            <w:hideMark/>
          </w:tcPr>
          <w:p w14:paraId="5C03CF4B" w14:textId="77777777" w:rsidR="009658B2" w:rsidRPr="0013396E" w:rsidRDefault="009658B2" w:rsidP="0099759E">
            <w:pPr>
              <w:pStyle w:val="TableHead"/>
            </w:pPr>
            <w:r w:rsidRPr="0013396E">
              <w:t>Unit</w:t>
            </w:r>
          </w:p>
        </w:tc>
        <w:tc>
          <w:tcPr>
            <w:tcW w:w="3074" w:type="pct"/>
            <w:tcBorders>
              <w:top w:val="single" w:sz="4" w:space="0" w:color="auto"/>
              <w:left w:val="single" w:sz="4" w:space="0" w:color="auto"/>
              <w:bottom w:val="single" w:sz="4" w:space="0" w:color="auto"/>
              <w:right w:val="single" w:sz="4" w:space="0" w:color="auto"/>
            </w:tcBorders>
            <w:hideMark/>
          </w:tcPr>
          <w:p w14:paraId="1934680F" w14:textId="77777777" w:rsidR="009658B2" w:rsidRPr="0013396E" w:rsidRDefault="009658B2" w:rsidP="0099759E">
            <w:pPr>
              <w:pStyle w:val="TableHead"/>
            </w:pPr>
            <w:r w:rsidRPr="0013396E">
              <w:t>Description</w:t>
            </w:r>
          </w:p>
        </w:tc>
      </w:tr>
      <w:tr w:rsidR="009658B2" w:rsidRPr="0013396E" w14:paraId="29E93E06" w14:textId="77777777" w:rsidTr="0099759E">
        <w:trPr>
          <w:cantSplit/>
        </w:trPr>
        <w:tc>
          <w:tcPr>
            <w:tcW w:w="1295" w:type="pct"/>
            <w:tcBorders>
              <w:top w:val="single" w:sz="4" w:space="0" w:color="auto"/>
              <w:left w:val="single" w:sz="4" w:space="0" w:color="auto"/>
              <w:bottom w:val="single" w:sz="4" w:space="0" w:color="auto"/>
              <w:right w:val="single" w:sz="4" w:space="0" w:color="auto"/>
            </w:tcBorders>
            <w:hideMark/>
          </w:tcPr>
          <w:p w14:paraId="3D046A6A" w14:textId="77777777" w:rsidR="009658B2" w:rsidRPr="0013396E" w:rsidRDefault="009658B2" w:rsidP="0099759E">
            <w:pPr>
              <w:pStyle w:val="tablebody0"/>
            </w:pPr>
            <w:r w:rsidRPr="0013396E">
              <w:t xml:space="preserve">RTRDPRRS </w:t>
            </w:r>
          </w:p>
        </w:tc>
        <w:tc>
          <w:tcPr>
            <w:tcW w:w="631" w:type="pct"/>
            <w:tcBorders>
              <w:top w:val="single" w:sz="4" w:space="0" w:color="auto"/>
              <w:left w:val="single" w:sz="4" w:space="0" w:color="auto"/>
              <w:bottom w:val="single" w:sz="4" w:space="0" w:color="auto"/>
              <w:right w:val="single" w:sz="4" w:space="0" w:color="auto"/>
            </w:tcBorders>
            <w:hideMark/>
          </w:tcPr>
          <w:p w14:paraId="6D732F22" w14:textId="77777777" w:rsidR="009658B2" w:rsidRPr="0013396E" w:rsidRDefault="009658B2" w:rsidP="0099759E">
            <w:pPr>
              <w:pStyle w:val="tablebody0"/>
            </w:pPr>
            <w:r w:rsidRPr="0013396E">
              <w:t>$/MW</w:t>
            </w:r>
          </w:p>
        </w:tc>
        <w:tc>
          <w:tcPr>
            <w:tcW w:w="3074" w:type="pct"/>
            <w:tcBorders>
              <w:top w:val="single" w:sz="4" w:space="0" w:color="auto"/>
              <w:left w:val="single" w:sz="4" w:space="0" w:color="auto"/>
              <w:bottom w:val="single" w:sz="4" w:space="0" w:color="auto"/>
              <w:right w:val="single" w:sz="4" w:space="0" w:color="auto"/>
            </w:tcBorders>
            <w:hideMark/>
          </w:tcPr>
          <w:p w14:paraId="76E42841" w14:textId="77777777" w:rsidR="009658B2" w:rsidRPr="0013396E" w:rsidRDefault="009658B2" w:rsidP="0099759E">
            <w:pPr>
              <w:pStyle w:val="tablebody0"/>
              <w:rPr>
                <w:i/>
              </w:rPr>
            </w:pPr>
            <w:r w:rsidRPr="0013396E">
              <w:rPr>
                <w:i/>
                <w:szCs w:val="18"/>
              </w:rPr>
              <w:t xml:space="preserve">Real-Time </w:t>
            </w:r>
            <w:r w:rsidRPr="0013396E">
              <w:rPr>
                <w:i/>
              </w:rPr>
              <w:t xml:space="preserve">Reliability Deployment Price for Ancillary Service </w:t>
            </w:r>
            <w:r w:rsidRPr="0013396E">
              <w:rPr>
                <w:i/>
                <w:szCs w:val="18"/>
              </w:rPr>
              <w:t>for Responsive Reserve -</w:t>
            </w:r>
            <w:r w:rsidRPr="0013396E">
              <w:t xml:space="preserve"> The Real-Time Reliability Deployment Price for Ancillary Service for RRS for the 15-minute Settlement Interval.</w:t>
            </w:r>
          </w:p>
        </w:tc>
      </w:tr>
      <w:tr w:rsidR="009658B2" w:rsidRPr="0013396E" w14:paraId="3F77F6E5" w14:textId="77777777" w:rsidTr="0099759E">
        <w:trPr>
          <w:cantSplit/>
        </w:trPr>
        <w:tc>
          <w:tcPr>
            <w:tcW w:w="1295" w:type="pct"/>
          </w:tcPr>
          <w:p w14:paraId="73FD421F" w14:textId="77777777" w:rsidR="009658B2" w:rsidRPr="0013396E" w:rsidRDefault="009658B2" w:rsidP="0099759E">
            <w:pPr>
              <w:pStyle w:val="tablebody0"/>
              <w:rPr>
                <w:i/>
              </w:rPr>
            </w:pPr>
            <w:r w:rsidRPr="0013396E">
              <w:t xml:space="preserve">RTRDPARRS </w:t>
            </w:r>
            <w:r w:rsidRPr="0013396E">
              <w:rPr>
                <w:i/>
              </w:rPr>
              <w:t>y</w:t>
            </w:r>
          </w:p>
        </w:tc>
        <w:tc>
          <w:tcPr>
            <w:tcW w:w="631" w:type="pct"/>
          </w:tcPr>
          <w:p w14:paraId="55DE8636" w14:textId="77777777" w:rsidR="009658B2" w:rsidRPr="0013396E" w:rsidRDefault="009658B2" w:rsidP="0099759E">
            <w:pPr>
              <w:pStyle w:val="tablebody0"/>
            </w:pPr>
            <w:r w:rsidRPr="0013396E">
              <w:t>$/MW</w:t>
            </w:r>
          </w:p>
        </w:tc>
        <w:tc>
          <w:tcPr>
            <w:tcW w:w="3074" w:type="pct"/>
          </w:tcPr>
          <w:p w14:paraId="54CFB5A2" w14:textId="77777777" w:rsidR="009658B2" w:rsidRPr="0013396E" w:rsidRDefault="009658B2" w:rsidP="0099759E">
            <w:pPr>
              <w:pStyle w:val="tablebody0"/>
            </w:pPr>
            <w:r w:rsidRPr="0013396E">
              <w:rPr>
                <w:i/>
              </w:rPr>
              <w:t>Real-Time Reliability Deployment Price Adder for Ancillary Service for Responsive Reserve per SCED interval</w:t>
            </w:r>
            <w:r w:rsidRPr="0013396E">
              <w:t xml:space="preserve"> - The Real-Time price adder for RRS that captures the impact of reliability deployments on RRS prices for the SCED interval y. </w:t>
            </w:r>
          </w:p>
        </w:tc>
      </w:tr>
      <w:tr w:rsidR="009658B2" w:rsidRPr="0013396E" w14:paraId="276FDCB4" w14:textId="77777777" w:rsidTr="0099759E">
        <w:trPr>
          <w:cantSplit/>
        </w:trPr>
        <w:tc>
          <w:tcPr>
            <w:tcW w:w="1295" w:type="pct"/>
          </w:tcPr>
          <w:p w14:paraId="7847905F" w14:textId="77777777" w:rsidR="009658B2" w:rsidRPr="0013396E" w:rsidRDefault="009658B2" w:rsidP="0099759E">
            <w:pPr>
              <w:pStyle w:val="tablebody0"/>
            </w:pPr>
            <w:r w:rsidRPr="0013396E">
              <w:rPr>
                <w:iCs/>
              </w:rPr>
              <w:t xml:space="preserve">RNWF </w:t>
            </w:r>
            <w:r w:rsidRPr="0013396E">
              <w:rPr>
                <w:i/>
                <w:iCs/>
                <w:vertAlign w:val="subscript"/>
              </w:rPr>
              <w:t>y</w:t>
            </w:r>
          </w:p>
        </w:tc>
        <w:tc>
          <w:tcPr>
            <w:tcW w:w="631" w:type="pct"/>
          </w:tcPr>
          <w:p w14:paraId="6C7A7CE7" w14:textId="77777777" w:rsidR="009658B2" w:rsidRPr="0013396E" w:rsidRDefault="009658B2" w:rsidP="0099759E">
            <w:pPr>
              <w:pStyle w:val="tablebody0"/>
            </w:pPr>
            <w:r w:rsidRPr="0013396E">
              <w:rPr>
                <w:iCs/>
              </w:rPr>
              <w:t>none</w:t>
            </w:r>
          </w:p>
        </w:tc>
        <w:tc>
          <w:tcPr>
            <w:tcW w:w="3074" w:type="pct"/>
          </w:tcPr>
          <w:p w14:paraId="32169571" w14:textId="77777777" w:rsidR="009658B2" w:rsidRPr="0013396E" w:rsidRDefault="009658B2" w:rsidP="0099759E">
            <w:pPr>
              <w:pStyle w:val="tablebody0"/>
              <w:rPr>
                <w:i/>
              </w:rPr>
            </w:pPr>
            <w:r w:rsidRPr="0013396E">
              <w:rPr>
                <w:i/>
                <w:iCs/>
              </w:rPr>
              <w:t>Resource Node Weighting Factor per interval</w:t>
            </w:r>
            <w:r w:rsidRPr="0013396E">
              <w:rPr>
                <w:iCs/>
              </w:rPr>
              <w:sym w:font="Symbol" w:char="F0BE"/>
            </w:r>
            <w:r w:rsidRPr="0013396E">
              <w:rPr>
                <w:iCs/>
              </w:rPr>
              <w:t xml:space="preserve">The weight used in the Ancillary Service Price calculation for the portion of the SCED interval </w:t>
            </w:r>
            <w:r w:rsidRPr="0013396E">
              <w:rPr>
                <w:i/>
                <w:iCs/>
              </w:rPr>
              <w:t>y</w:t>
            </w:r>
            <w:r w:rsidRPr="0013396E">
              <w:rPr>
                <w:iCs/>
              </w:rPr>
              <w:t xml:space="preserve"> within the Settlement Interval.</w:t>
            </w:r>
          </w:p>
        </w:tc>
      </w:tr>
      <w:tr w:rsidR="009658B2" w:rsidRPr="0013396E" w14:paraId="59B8ECE5" w14:textId="77777777" w:rsidTr="0099759E">
        <w:trPr>
          <w:cantSplit/>
        </w:trPr>
        <w:tc>
          <w:tcPr>
            <w:tcW w:w="1295" w:type="pct"/>
          </w:tcPr>
          <w:p w14:paraId="0972B844" w14:textId="77777777" w:rsidR="009658B2" w:rsidRPr="0013396E" w:rsidRDefault="009658B2" w:rsidP="0099759E">
            <w:pPr>
              <w:pStyle w:val="tablebody0"/>
            </w:pPr>
            <w:r w:rsidRPr="0013396E">
              <w:rPr>
                <w:iCs/>
              </w:rPr>
              <w:t xml:space="preserve">TLMP </w:t>
            </w:r>
            <w:r w:rsidRPr="0013396E">
              <w:rPr>
                <w:i/>
                <w:iCs/>
                <w:vertAlign w:val="subscript"/>
              </w:rPr>
              <w:t>y</w:t>
            </w:r>
          </w:p>
        </w:tc>
        <w:tc>
          <w:tcPr>
            <w:tcW w:w="631" w:type="pct"/>
          </w:tcPr>
          <w:p w14:paraId="1113B823" w14:textId="77777777" w:rsidR="009658B2" w:rsidRPr="0013396E" w:rsidRDefault="009658B2" w:rsidP="0099759E">
            <w:pPr>
              <w:pStyle w:val="tablebody0"/>
            </w:pPr>
            <w:r w:rsidRPr="0013396E">
              <w:rPr>
                <w:iCs/>
              </w:rPr>
              <w:t>second</w:t>
            </w:r>
          </w:p>
        </w:tc>
        <w:tc>
          <w:tcPr>
            <w:tcW w:w="3074" w:type="pct"/>
          </w:tcPr>
          <w:p w14:paraId="3C8BC95E" w14:textId="77777777" w:rsidR="009658B2" w:rsidRPr="0013396E" w:rsidRDefault="009658B2" w:rsidP="0099759E">
            <w:pPr>
              <w:pStyle w:val="tablebody0"/>
              <w:rPr>
                <w:i/>
              </w:rPr>
            </w:pPr>
            <w:r w:rsidRPr="0013396E">
              <w:rPr>
                <w:i/>
              </w:rPr>
              <w:t>Duration of SCED interval per interval</w:t>
            </w:r>
            <w:r w:rsidRPr="0013396E">
              <w:rPr>
                <w:iCs/>
              </w:rPr>
              <w:sym w:font="Symbol" w:char="F0BE"/>
            </w:r>
            <w:r w:rsidRPr="0013396E">
              <w:rPr>
                <w:iCs/>
              </w:rPr>
              <w:t xml:space="preserve">The duration of the portion of the SCED interval </w:t>
            </w:r>
            <w:r w:rsidRPr="0013396E">
              <w:rPr>
                <w:i/>
              </w:rPr>
              <w:t>y</w:t>
            </w:r>
            <w:r w:rsidRPr="0013396E">
              <w:t xml:space="preserve"> within the Settlement Interval</w:t>
            </w:r>
            <w:r w:rsidRPr="0013396E">
              <w:rPr>
                <w:iCs/>
              </w:rPr>
              <w:t>.</w:t>
            </w:r>
          </w:p>
        </w:tc>
      </w:tr>
      <w:tr w:rsidR="009658B2" w:rsidRPr="0013396E" w14:paraId="552B4065" w14:textId="77777777" w:rsidTr="0099759E">
        <w:trPr>
          <w:cantSplit/>
        </w:trPr>
        <w:tc>
          <w:tcPr>
            <w:tcW w:w="1295" w:type="pct"/>
          </w:tcPr>
          <w:p w14:paraId="2664ED8D" w14:textId="77777777" w:rsidR="009658B2" w:rsidRPr="0013396E" w:rsidRDefault="009658B2" w:rsidP="0099759E">
            <w:pPr>
              <w:pStyle w:val="tablebody0"/>
              <w:rPr>
                <w:i/>
              </w:rPr>
            </w:pPr>
            <w:r w:rsidRPr="0013396E">
              <w:rPr>
                <w:i/>
              </w:rPr>
              <w:t>y</w:t>
            </w:r>
          </w:p>
        </w:tc>
        <w:tc>
          <w:tcPr>
            <w:tcW w:w="631" w:type="pct"/>
          </w:tcPr>
          <w:p w14:paraId="08FA0455" w14:textId="77777777" w:rsidR="009658B2" w:rsidRPr="0013396E" w:rsidRDefault="009658B2" w:rsidP="0099759E">
            <w:pPr>
              <w:pStyle w:val="tablebody0"/>
            </w:pPr>
            <w:r w:rsidRPr="0013396E">
              <w:t>none</w:t>
            </w:r>
          </w:p>
        </w:tc>
        <w:tc>
          <w:tcPr>
            <w:tcW w:w="3074" w:type="pct"/>
          </w:tcPr>
          <w:p w14:paraId="7A84D6A4" w14:textId="77777777" w:rsidR="009658B2" w:rsidRPr="0013396E" w:rsidRDefault="009658B2" w:rsidP="0099759E">
            <w:pPr>
              <w:pStyle w:val="tablebody0"/>
            </w:pPr>
            <w:r w:rsidRPr="0013396E">
              <w:t>A SCED interval in the 15-minute Settlement Interval.</w:t>
            </w:r>
          </w:p>
        </w:tc>
      </w:tr>
    </w:tbl>
    <w:p w14:paraId="77525567" w14:textId="77777777" w:rsidR="009658B2" w:rsidRPr="0013396E" w:rsidRDefault="009658B2" w:rsidP="009658B2">
      <w:pPr>
        <w:spacing w:before="240" w:after="240"/>
        <w:ind w:left="720" w:hanging="720"/>
      </w:pPr>
      <w:r w:rsidRPr="0013396E">
        <w:rPr>
          <w:bCs/>
          <w:snapToGrid w:val="0"/>
        </w:rPr>
        <w:t>(4)</w:t>
      </w:r>
      <w:r w:rsidRPr="0013396E">
        <w:t xml:space="preserve"> </w:t>
      </w:r>
      <w:r w:rsidRPr="0013396E">
        <w:tab/>
        <w:t>The Real-Time Reliability Deployment Price for Ancillary Service for ERCOT Contingency Reserve (RTRDPECR) is the time-weighted average of the sum of the Real-</w:t>
      </w:r>
      <w:r w:rsidRPr="0013396E">
        <w:lastRenderedPageBreak/>
        <w:t>Time Reliability Deployment Price Adders for Ancillary Service for ERCOT Contingency Reserve per SCED interval.  The Real-Time Reliability Deployment Price for Ancillary Service for ERCOT Contingency Reserve for a 15-minute Settlement Interval is calculated as follows:</w:t>
      </w:r>
    </w:p>
    <w:p w14:paraId="2CA35425" w14:textId="77777777" w:rsidR="009658B2" w:rsidRPr="005A7D8E" w:rsidRDefault="009658B2" w:rsidP="005A7D8E">
      <w:pPr>
        <w:spacing w:before="240" w:after="240"/>
        <w:ind w:left="720"/>
        <w:rPr>
          <w:b/>
          <w:bCs/>
          <w:i/>
          <w:vertAlign w:val="subscript"/>
        </w:rPr>
      </w:pPr>
      <w:r w:rsidRPr="005A7D8E">
        <w:rPr>
          <w:b/>
          <w:bCs/>
        </w:rPr>
        <w:t xml:space="preserve">RTRDPECR  =   </w:t>
      </w:r>
      <w:r w:rsidRPr="00DA0E3D">
        <w:rPr>
          <w:b/>
          <w:bCs/>
          <w:position w:val="-22"/>
        </w:rPr>
        <w:object w:dxaOrig="225" w:dyaOrig="465" w14:anchorId="78348172">
          <v:shape id="_x0000_i1067" type="#_x0000_t75" style="width:24pt;height:18.6pt" o:ole="">
            <v:imagedata r:id="rId20" o:title=""/>
          </v:shape>
          <o:OLEObject Type="Embed" ProgID="Equation.3" ShapeID="_x0000_i1067" DrawAspect="Content" ObjectID="_1836311346" r:id="rId67"/>
        </w:object>
      </w:r>
      <w:r w:rsidRPr="005A7D8E">
        <w:rPr>
          <w:b/>
          <w:bCs/>
        </w:rPr>
        <w:t xml:space="preserve"> (RNWF </w:t>
      </w:r>
      <w:r w:rsidRPr="005A7D8E">
        <w:rPr>
          <w:b/>
          <w:bCs/>
          <w:i/>
          <w:vertAlign w:val="subscript"/>
        </w:rPr>
        <w:t>y</w:t>
      </w:r>
      <w:r w:rsidRPr="005A7D8E">
        <w:rPr>
          <w:b/>
          <w:bCs/>
        </w:rPr>
        <w:t xml:space="preserve"> * RTRDPAECRS </w:t>
      </w:r>
      <w:r w:rsidRPr="005A7D8E">
        <w:rPr>
          <w:b/>
          <w:bCs/>
          <w:i/>
          <w:vertAlign w:val="subscript"/>
        </w:rPr>
        <w:t>y</w:t>
      </w:r>
      <w:r w:rsidRPr="005A7D8E">
        <w:rPr>
          <w:b/>
          <w:bCs/>
        </w:rPr>
        <w:t>)</w:t>
      </w:r>
    </w:p>
    <w:p w14:paraId="10DFCF82" w14:textId="77777777" w:rsidR="009658B2" w:rsidRPr="0013396E" w:rsidRDefault="009658B2" w:rsidP="009658B2">
      <w:pPr>
        <w:pStyle w:val="BodyTextNumbered"/>
        <w:ind w:left="0" w:firstLine="0"/>
      </w:pPr>
      <w:r w:rsidRPr="0013396E">
        <w:t>Where:</w:t>
      </w:r>
    </w:p>
    <w:p w14:paraId="75286D50" w14:textId="77777777" w:rsidR="009658B2" w:rsidRPr="0013396E" w:rsidRDefault="009658B2" w:rsidP="009658B2">
      <w:pPr>
        <w:spacing w:after="240"/>
        <w:ind w:firstLine="720"/>
        <w:rPr>
          <w:i/>
          <w:vertAlign w:val="subscript"/>
        </w:rPr>
      </w:pPr>
      <w:r w:rsidRPr="0013396E">
        <w:t xml:space="preserve">RNWF </w:t>
      </w:r>
      <w:r w:rsidRPr="0013396E">
        <w:rPr>
          <w:i/>
          <w:vertAlign w:val="subscript"/>
        </w:rPr>
        <w:t xml:space="preserve">y   </w:t>
      </w:r>
      <w:r w:rsidRPr="0013396E">
        <w:t xml:space="preserve">=  TLMP </w:t>
      </w:r>
      <w:r w:rsidRPr="0013396E">
        <w:rPr>
          <w:i/>
          <w:vertAlign w:val="subscript"/>
        </w:rPr>
        <w:t>y</w:t>
      </w:r>
      <w:r w:rsidRPr="0013396E">
        <w:t xml:space="preserve"> </w:t>
      </w:r>
      <w:r w:rsidRPr="0013396E">
        <w:rPr>
          <w:color w:val="000000"/>
          <w:sz w:val="32"/>
          <w:szCs w:val="32"/>
        </w:rPr>
        <w:t>/</w:t>
      </w:r>
      <w:r w:rsidRPr="0013396E">
        <w:rPr>
          <w:color w:val="000000"/>
        </w:rPr>
        <w:t xml:space="preserve"> </w:t>
      </w:r>
      <w:r w:rsidRPr="0013396E">
        <w:rPr>
          <w:position w:val="-22"/>
        </w:rPr>
        <w:object w:dxaOrig="225" w:dyaOrig="465" w14:anchorId="1156FCE2">
          <v:shape id="_x0000_i1068" type="#_x0000_t75" style="width:24pt;height:18.6pt" o:ole="">
            <v:imagedata r:id="rId20" o:title=""/>
          </v:shape>
          <o:OLEObject Type="Embed" ProgID="Equation.3" ShapeID="_x0000_i1068" DrawAspect="Content" ObjectID="_1836311347" r:id="rId68"/>
        </w:object>
      </w:r>
      <w:r w:rsidRPr="0013396E">
        <w:t xml:space="preserve">TLMP </w:t>
      </w:r>
      <w:r w:rsidRPr="0013396E">
        <w:rPr>
          <w:i/>
          <w:vertAlign w:val="subscript"/>
        </w:rPr>
        <w:t>y</w:t>
      </w:r>
    </w:p>
    <w:p w14:paraId="2AF69405" w14:textId="77777777" w:rsidR="009658B2" w:rsidRPr="0013396E" w:rsidRDefault="009658B2" w:rsidP="009658B2">
      <w:pPr>
        <w:pStyle w:val="Instructions"/>
        <w:spacing w:after="0"/>
        <w:ind w:left="720" w:hanging="720"/>
        <w:rPr>
          <w:b w:val="0"/>
          <w:i w:val="0"/>
        </w:rPr>
      </w:pPr>
      <w:r w:rsidRPr="0013396E">
        <w:rPr>
          <w:b w:val="0"/>
          <w:i w:val="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22"/>
        <w:gridCol w:w="1180"/>
        <w:gridCol w:w="5748"/>
      </w:tblGrid>
      <w:tr w:rsidR="009658B2" w:rsidRPr="0013396E" w14:paraId="710D6B58" w14:textId="77777777" w:rsidTr="0099759E">
        <w:trPr>
          <w:cantSplit/>
          <w:tblHeader/>
        </w:trPr>
        <w:tc>
          <w:tcPr>
            <w:tcW w:w="1295" w:type="pct"/>
            <w:tcBorders>
              <w:top w:val="single" w:sz="4" w:space="0" w:color="auto"/>
              <w:left w:val="single" w:sz="4" w:space="0" w:color="auto"/>
              <w:bottom w:val="single" w:sz="4" w:space="0" w:color="auto"/>
              <w:right w:val="single" w:sz="4" w:space="0" w:color="auto"/>
            </w:tcBorders>
            <w:hideMark/>
          </w:tcPr>
          <w:p w14:paraId="50994454" w14:textId="77777777" w:rsidR="009658B2" w:rsidRPr="0013396E" w:rsidRDefault="009658B2" w:rsidP="0099759E">
            <w:pPr>
              <w:pStyle w:val="TableHead"/>
            </w:pPr>
            <w:r w:rsidRPr="0013396E">
              <w:t>Variable</w:t>
            </w:r>
          </w:p>
        </w:tc>
        <w:tc>
          <w:tcPr>
            <w:tcW w:w="631" w:type="pct"/>
            <w:tcBorders>
              <w:top w:val="single" w:sz="4" w:space="0" w:color="auto"/>
              <w:left w:val="single" w:sz="4" w:space="0" w:color="auto"/>
              <w:bottom w:val="single" w:sz="4" w:space="0" w:color="auto"/>
              <w:right w:val="single" w:sz="4" w:space="0" w:color="auto"/>
            </w:tcBorders>
            <w:hideMark/>
          </w:tcPr>
          <w:p w14:paraId="22DF336B" w14:textId="77777777" w:rsidR="009658B2" w:rsidRPr="0013396E" w:rsidRDefault="009658B2" w:rsidP="0099759E">
            <w:pPr>
              <w:pStyle w:val="TableHead"/>
            </w:pPr>
            <w:r w:rsidRPr="0013396E">
              <w:t>Unit</w:t>
            </w:r>
          </w:p>
        </w:tc>
        <w:tc>
          <w:tcPr>
            <w:tcW w:w="3074" w:type="pct"/>
            <w:tcBorders>
              <w:top w:val="single" w:sz="4" w:space="0" w:color="auto"/>
              <w:left w:val="single" w:sz="4" w:space="0" w:color="auto"/>
              <w:bottom w:val="single" w:sz="4" w:space="0" w:color="auto"/>
              <w:right w:val="single" w:sz="4" w:space="0" w:color="auto"/>
            </w:tcBorders>
            <w:hideMark/>
          </w:tcPr>
          <w:p w14:paraId="67C44EBC" w14:textId="77777777" w:rsidR="009658B2" w:rsidRPr="0013396E" w:rsidRDefault="009658B2" w:rsidP="0099759E">
            <w:pPr>
              <w:pStyle w:val="TableHead"/>
            </w:pPr>
            <w:r w:rsidRPr="0013396E">
              <w:t>Description</w:t>
            </w:r>
          </w:p>
        </w:tc>
      </w:tr>
      <w:tr w:rsidR="009658B2" w:rsidRPr="0013396E" w14:paraId="59FFCE11" w14:textId="77777777" w:rsidTr="0099759E">
        <w:trPr>
          <w:cantSplit/>
        </w:trPr>
        <w:tc>
          <w:tcPr>
            <w:tcW w:w="1295" w:type="pct"/>
            <w:tcBorders>
              <w:top w:val="single" w:sz="4" w:space="0" w:color="auto"/>
              <w:left w:val="single" w:sz="4" w:space="0" w:color="auto"/>
              <w:bottom w:val="single" w:sz="4" w:space="0" w:color="auto"/>
              <w:right w:val="single" w:sz="4" w:space="0" w:color="auto"/>
            </w:tcBorders>
            <w:hideMark/>
          </w:tcPr>
          <w:p w14:paraId="2ADC0223" w14:textId="77777777" w:rsidR="009658B2" w:rsidRPr="0013396E" w:rsidRDefault="009658B2" w:rsidP="0099759E">
            <w:pPr>
              <w:pStyle w:val="tablebody0"/>
            </w:pPr>
            <w:r w:rsidRPr="0013396E">
              <w:t>RTRDPECR</w:t>
            </w:r>
          </w:p>
        </w:tc>
        <w:tc>
          <w:tcPr>
            <w:tcW w:w="631" w:type="pct"/>
            <w:tcBorders>
              <w:top w:val="single" w:sz="4" w:space="0" w:color="auto"/>
              <w:left w:val="single" w:sz="4" w:space="0" w:color="auto"/>
              <w:bottom w:val="single" w:sz="4" w:space="0" w:color="auto"/>
              <w:right w:val="single" w:sz="4" w:space="0" w:color="auto"/>
            </w:tcBorders>
            <w:hideMark/>
          </w:tcPr>
          <w:p w14:paraId="554AB33C" w14:textId="77777777" w:rsidR="009658B2" w:rsidRPr="0013396E" w:rsidRDefault="009658B2" w:rsidP="0099759E">
            <w:pPr>
              <w:pStyle w:val="tablebody0"/>
            </w:pPr>
            <w:r w:rsidRPr="0013396E">
              <w:t>$/MW</w:t>
            </w:r>
          </w:p>
        </w:tc>
        <w:tc>
          <w:tcPr>
            <w:tcW w:w="3074" w:type="pct"/>
            <w:tcBorders>
              <w:top w:val="single" w:sz="4" w:space="0" w:color="auto"/>
              <w:left w:val="single" w:sz="4" w:space="0" w:color="auto"/>
              <w:bottom w:val="single" w:sz="4" w:space="0" w:color="auto"/>
              <w:right w:val="single" w:sz="4" w:space="0" w:color="auto"/>
            </w:tcBorders>
            <w:hideMark/>
          </w:tcPr>
          <w:p w14:paraId="2DCAD951" w14:textId="77777777" w:rsidR="009658B2" w:rsidRPr="0013396E" w:rsidRDefault="009658B2" w:rsidP="0099759E">
            <w:pPr>
              <w:pStyle w:val="tablebody0"/>
              <w:rPr>
                <w:i/>
              </w:rPr>
            </w:pPr>
            <w:r w:rsidRPr="0013396E">
              <w:rPr>
                <w:i/>
                <w:szCs w:val="18"/>
              </w:rPr>
              <w:t xml:space="preserve">Real-Time Market Clearing Price for Capacity for </w:t>
            </w:r>
            <w:r w:rsidRPr="0013396E">
              <w:rPr>
                <w:i/>
              </w:rPr>
              <w:t>ERCOT Contingency Reserve</w:t>
            </w:r>
            <w:r w:rsidRPr="0013396E">
              <w:t xml:space="preserve"> </w:t>
            </w:r>
            <w:r w:rsidRPr="0013396E">
              <w:rPr>
                <w:i/>
                <w:szCs w:val="18"/>
              </w:rPr>
              <w:t>-</w:t>
            </w:r>
            <w:r w:rsidRPr="0013396E">
              <w:t xml:space="preserve"> The Real-Time Reliability Deployment Price for Ancillary Service for ECRS for the 15-minute Settlement Interval.</w:t>
            </w:r>
          </w:p>
        </w:tc>
      </w:tr>
      <w:tr w:rsidR="009658B2" w:rsidRPr="0013396E" w14:paraId="5F19378C" w14:textId="77777777" w:rsidTr="0099759E">
        <w:trPr>
          <w:cantSplit/>
        </w:trPr>
        <w:tc>
          <w:tcPr>
            <w:tcW w:w="1295" w:type="pct"/>
          </w:tcPr>
          <w:p w14:paraId="4591539E" w14:textId="77777777" w:rsidR="009658B2" w:rsidRPr="0013396E" w:rsidRDefault="009658B2" w:rsidP="0099759E">
            <w:pPr>
              <w:pStyle w:val="tablebody0"/>
              <w:rPr>
                <w:i/>
              </w:rPr>
            </w:pPr>
            <w:r w:rsidRPr="0013396E">
              <w:t xml:space="preserve">RTRDPAECRS </w:t>
            </w:r>
            <w:r w:rsidRPr="0013396E">
              <w:rPr>
                <w:i/>
              </w:rPr>
              <w:t>y</w:t>
            </w:r>
          </w:p>
        </w:tc>
        <w:tc>
          <w:tcPr>
            <w:tcW w:w="631" w:type="pct"/>
          </w:tcPr>
          <w:p w14:paraId="7341AE62" w14:textId="77777777" w:rsidR="009658B2" w:rsidRPr="0013396E" w:rsidRDefault="009658B2" w:rsidP="0099759E">
            <w:pPr>
              <w:pStyle w:val="tablebody0"/>
            </w:pPr>
            <w:r w:rsidRPr="0013396E">
              <w:t>$/MW</w:t>
            </w:r>
          </w:p>
        </w:tc>
        <w:tc>
          <w:tcPr>
            <w:tcW w:w="3074" w:type="pct"/>
          </w:tcPr>
          <w:p w14:paraId="39CBEB93" w14:textId="77777777" w:rsidR="009658B2" w:rsidRPr="0013396E" w:rsidRDefault="009658B2" w:rsidP="0099759E">
            <w:pPr>
              <w:pStyle w:val="tablebody0"/>
            </w:pPr>
            <w:r w:rsidRPr="0013396E">
              <w:rPr>
                <w:i/>
              </w:rPr>
              <w:t>Real-Time Reliability Deployment Price Adder for Ancillary Service for ECRS per SCED interval</w:t>
            </w:r>
            <w:r w:rsidRPr="0013396E">
              <w:t xml:space="preserve"> - The Real-Time price adder for ECRS that captures the impact of reliability deployments on ECRS</w:t>
            </w:r>
            <w:r w:rsidRPr="0013396E" w:rsidDel="00DA63CB">
              <w:t xml:space="preserve"> </w:t>
            </w:r>
            <w:r w:rsidRPr="0013396E">
              <w:t xml:space="preserve">prices for the SCED interval y. </w:t>
            </w:r>
          </w:p>
        </w:tc>
      </w:tr>
      <w:tr w:rsidR="009658B2" w:rsidRPr="0013396E" w14:paraId="62A91C82" w14:textId="77777777" w:rsidTr="0099759E">
        <w:trPr>
          <w:cantSplit/>
        </w:trPr>
        <w:tc>
          <w:tcPr>
            <w:tcW w:w="1295" w:type="pct"/>
          </w:tcPr>
          <w:p w14:paraId="6574EB32" w14:textId="77777777" w:rsidR="009658B2" w:rsidRPr="0013396E" w:rsidRDefault="009658B2" w:rsidP="0099759E">
            <w:pPr>
              <w:pStyle w:val="tablebody0"/>
            </w:pPr>
            <w:r w:rsidRPr="0013396E">
              <w:rPr>
                <w:iCs/>
              </w:rPr>
              <w:t xml:space="preserve">RNWF </w:t>
            </w:r>
            <w:r w:rsidRPr="0013396E">
              <w:rPr>
                <w:i/>
                <w:iCs/>
                <w:vertAlign w:val="subscript"/>
              </w:rPr>
              <w:t>y</w:t>
            </w:r>
          </w:p>
        </w:tc>
        <w:tc>
          <w:tcPr>
            <w:tcW w:w="631" w:type="pct"/>
          </w:tcPr>
          <w:p w14:paraId="516FC83C" w14:textId="77777777" w:rsidR="009658B2" w:rsidRPr="0013396E" w:rsidRDefault="009658B2" w:rsidP="0099759E">
            <w:pPr>
              <w:pStyle w:val="tablebody0"/>
            </w:pPr>
            <w:r w:rsidRPr="0013396E">
              <w:rPr>
                <w:iCs/>
              </w:rPr>
              <w:t>none</w:t>
            </w:r>
          </w:p>
        </w:tc>
        <w:tc>
          <w:tcPr>
            <w:tcW w:w="3074" w:type="pct"/>
          </w:tcPr>
          <w:p w14:paraId="4861954A" w14:textId="77777777" w:rsidR="009658B2" w:rsidRPr="0013396E" w:rsidRDefault="009658B2" w:rsidP="0099759E">
            <w:pPr>
              <w:pStyle w:val="tablebody0"/>
              <w:rPr>
                <w:i/>
              </w:rPr>
            </w:pPr>
            <w:r w:rsidRPr="0013396E">
              <w:rPr>
                <w:i/>
                <w:iCs/>
              </w:rPr>
              <w:t>Resource Node Weighting Factor per interval</w:t>
            </w:r>
            <w:r w:rsidRPr="0013396E">
              <w:rPr>
                <w:iCs/>
              </w:rPr>
              <w:sym w:font="Symbol" w:char="F0BE"/>
            </w:r>
            <w:r w:rsidRPr="0013396E">
              <w:rPr>
                <w:iCs/>
              </w:rPr>
              <w:t xml:space="preserve">The weight used in the Ancillary Service Price calculation for the portion of the SCED interval </w:t>
            </w:r>
            <w:r w:rsidRPr="0013396E">
              <w:rPr>
                <w:i/>
                <w:iCs/>
              </w:rPr>
              <w:t>y</w:t>
            </w:r>
            <w:r w:rsidRPr="0013396E">
              <w:rPr>
                <w:iCs/>
              </w:rPr>
              <w:t xml:space="preserve"> within the Settlement Interval.</w:t>
            </w:r>
          </w:p>
        </w:tc>
      </w:tr>
      <w:tr w:rsidR="009658B2" w:rsidRPr="0013396E" w14:paraId="58965ADE" w14:textId="77777777" w:rsidTr="0099759E">
        <w:trPr>
          <w:cantSplit/>
        </w:trPr>
        <w:tc>
          <w:tcPr>
            <w:tcW w:w="1295" w:type="pct"/>
          </w:tcPr>
          <w:p w14:paraId="0CB7A542" w14:textId="77777777" w:rsidR="009658B2" w:rsidRPr="0013396E" w:rsidRDefault="009658B2" w:rsidP="0099759E">
            <w:pPr>
              <w:pStyle w:val="tablebody0"/>
            </w:pPr>
            <w:r w:rsidRPr="0013396E">
              <w:rPr>
                <w:iCs/>
              </w:rPr>
              <w:t xml:space="preserve">TLMP </w:t>
            </w:r>
            <w:r w:rsidRPr="0013396E">
              <w:rPr>
                <w:i/>
                <w:iCs/>
                <w:vertAlign w:val="subscript"/>
              </w:rPr>
              <w:t>y</w:t>
            </w:r>
          </w:p>
        </w:tc>
        <w:tc>
          <w:tcPr>
            <w:tcW w:w="631" w:type="pct"/>
          </w:tcPr>
          <w:p w14:paraId="7C4B9C61" w14:textId="77777777" w:rsidR="009658B2" w:rsidRPr="0013396E" w:rsidRDefault="009658B2" w:rsidP="0099759E">
            <w:pPr>
              <w:pStyle w:val="tablebody0"/>
            </w:pPr>
            <w:r w:rsidRPr="0013396E">
              <w:rPr>
                <w:iCs/>
              </w:rPr>
              <w:t>second</w:t>
            </w:r>
          </w:p>
        </w:tc>
        <w:tc>
          <w:tcPr>
            <w:tcW w:w="3074" w:type="pct"/>
          </w:tcPr>
          <w:p w14:paraId="7BBB3969" w14:textId="77777777" w:rsidR="009658B2" w:rsidRPr="0013396E" w:rsidRDefault="009658B2" w:rsidP="0099759E">
            <w:pPr>
              <w:pStyle w:val="tablebody0"/>
              <w:rPr>
                <w:i/>
              </w:rPr>
            </w:pPr>
            <w:r w:rsidRPr="0013396E">
              <w:rPr>
                <w:i/>
              </w:rPr>
              <w:t>Duration of SCED interval per interval</w:t>
            </w:r>
            <w:r w:rsidRPr="0013396E">
              <w:rPr>
                <w:iCs/>
              </w:rPr>
              <w:sym w:font="Symbol" w:char="F0BE"/>
            </w:r>
            <w:r w:rsidRPr="0013396E">
              <w:rPr>
                <w:iCs/>
              </w:rPr>
              <w:t xml:space="preserve">The duration of the portion of the SCED interval </w:t>
            </w:r>
            <w:r w:rsidRPr="0013396E">
              <w:rPr>
                <w:i/>
              </w:rPr>
              <w:t>y</w:t>
            </w:r>
            <w:r w:rsidRPr="0013396E">
              <w:t xml:space="preserve"> within the Settlement Interval</w:t>
            </w:r>
            <w:r w:rsidRPr="0013396E">
              <w:rPr>
                <w:iCs/>
              </w:rPr>
              <w:t>.</w:t>
            </w:r>
          </w:p>
        </w:tc>
      </w:tr>
      <w:tr w:rsidR="009658B2" w:rsidRPr="0013396E" w14:paraId="693194DC" w14:textId="77777777" w:rsidTr="0099759E">
        <w:trPr>
          <w:cantSplit/>
        </w:trPr>
        <w:tc>
          <w:tcPr>
            <w:tcW w:w="1295" w:type="pct"/>
          </w:tcPr>
          <w:p w14:paraId="1B28DBE1" w14:textId="77777777" w:rsidR="009658B2" w:rsidRPr="0013396E" w:rsidRDefault="009658B2" w:rsidP="0099759E">
            <w:pPr>
              <w:pStyle w:val="tablebody0"/>
              <w:rPr>
                <w:i/>
              </w:rPr>
            </w:pPr>
            <w:r w:rsidRPr="0013396E">
              <w:rPr>
                <w:i/>
              </w:rPr>
              <w:t>y</w:t>
            </w:r>
          </w:p>
        </w:tc>
        <w:tc>
          <w:tcPr>
            <w:tcW w:w="631" w:type="pct"/>
          </w:tcPr>
          <w:p w14:paraId="0988096E" w14:textId="77777777" w:rsidR="009658B2" w:rsidRPr="0013396E" w:rsidRDefault="009658B2" w:rsidP="0099759E">
            <w:pPr>
              <w:pStyle w:val="tablebody0"/>
            </w:pPr>
            <w:r w:rsidRPr="0013396E">
              <w:t>none</w:t>
            </w:r>
          </w:p>
        </w:tc>
        <w:tc>
          <w:tcPr>
            <w:tcW w:w="3074" w:type="pct"/>
          </w:tcPr>
          <w:p w14:paraId="42DE6766" w14:textId="77777777" w:rsidR="009658B2" w:rsidRPr="0013396E" w:rsidRDefault="009658B2" w:rsidP="0099759E">
            <w:pPr>
              <w:pStyle w:val="tablebody0"/>
            </w:pPr>
            <w:r w:rsidRPr="0013396E">
              <w:t>A SCED interval in the 15-minute Settlement Interval.</w:t>
            </w:r>
          </w:p>
        </w:tc>
      </w:tr>
    </w:tbl>
    <w:p w14:paraId="2E28AFD6" w14:textId="77777777" w:rsidR="009658B2" w:rsidRPr="0013396E" w:rsidRDefault="009658B2" w:rsidP="009658B2">
      <w:pPr>
        <w:spacing w:before="240" w:after="240"/>
        <w:ind w:left="720" w:hanging="720"/>
      </w:pPr>
      <w:r w:rsidRPr="0013396E">
        <w:rPr>
          <w:bCs/>
          <w:snapToGrid w:val="0"/>
        </w:rPr>
        <w:t>(5)</w:t>
      </w:r>
      <w:r w:rsidRPr="0013396E">
        <w:t xml:space="preserve"> </w:t>
      </w:r>
      <w:r w:rsidRPr="0013396E">
        <w:tab/>
        <w:t>The Real-Time Reliability Deployment Price for Ancillary Service for ERCOT Non-Spin (RTRDPNS) is the time-weighted average of the sum of the Real-Time Reliability Deployment Price Adders for Ancillary Service for Non-Spin per SCED interval.  The Real-Time Reliability Deployment Price for Ancillary Service for Non-Spin for a 15-minute Settlement Interval is calculated as follows:</w:t>
      </w:r>
    </w:p>
    <w:p w14:paraId="69EE7E81" w14:textId="77777777" w:rsidR="009658B2" w:rsidRPr="005A7D8E" w:rsidRDefault="009658B2" w:rsidP="005A7D8E">
      <w:pPr>
        <w:spacing w:before="240" w:after="240"/>
        <w:ind w:left="720"/>
        <w:rPr>
          <w:b/>
          <w:bCs/>
          <w:i/>
          <w:vertAlign w:val="subscript"/>
        </w:rPr>
      </w:pPr>
      <w:r w:rsidRPr="005A7D8E">
        <w:rPr>
          <w:b/>
          <w:bCs/>
        </w:rPr>
        <w:t xml:space="preserve">RTRDPNS  =   </w:t>
      </w:r>
      <w:r w:rsidRPr="00DA0E3D">
        <w:rPr>
          <w:b/>
          <w:bCs/>
          <w:position w:val="-22"/>
        </w:rPr>
        <w:object w:dxaOrig="225" w:dyaOrig="465" w14:anchorId="5130375A">
          <v:shape id="_x0000_i1069" type="#_x0000_t75" style="width:24pt;height:18.6pt" o:ole="">
            <v:imagedata r:id="rId20" o:title=""/>
          </v:shape>
          <o:OLEObject Type="Embed" ProgID="Equation.3" ShapeID="_x0000_i1069" DrawAspect="Content" ObjectID="_1836311348" r:id="rId69"/>
        </w:object>
      </w:r>
      <w:r w:rsidRPr="005A7D8E">
        <w:rPr>
          <w:b/>
          <w:bCs/>
        </w:rPr>
        <w:t xml:space="preserve"> (RNWF </w:t>
      </w:r>
      <w:r w:rsidRPr="005A7D8E">
        <w:rPr>
          <w:b/>
          <w:bCs/>
          <w:i/>
          <w:vertAlign w:val="subscript"/>
        </w:rPr>
        <w:t>y</w:t>
      </w:r>
      <w:r w:rsidRPr="005A7D8E">
        <w:rPr>
          <w:b/>
          <w:bCs/>
        </w:rPr>
        <w:t xml:space="preserve"> * RTRDPANSS </w:t>
      </w:r>
      <w:r w:rsidRPr="005A7D8E">
        <w:rPr>
          <w:b/>
          <w:bCs/>
          <w:i/>
          <w:vertAlign w:val="subscript"/>
        </w:rPr>
        <w:t>y</w:t>
      </w:r>
      <w:r w:rsidRPr="005A7D8E">
        <w:rPr>
          <w:b/>
          <w:bCs/>
        </w:rPr>
        <w:t>)</w:t>
      </w:r>
    </w:p>
    <w:p w14:paraId="7D780BED" w14:textId="77777777" w:rsidR="009658B2" w:rsidRPr="0013396E" w:rsidRDefault="009658B2" w:rsidP="009658B2">
      <w:pPr>
        <w:pStyle w:val="BodyTextNumbered"/>
        <w:ind w:left="0" w:firstLine="0"/>
      </w:pPr>
      <w:r w:rsidRPr="0013396E">
        <w:t>Where:</w:t>
      </w:r>
    </w:p>
    <w:p w14:paraId="016E86FA" w14:textId="77777777" w:rsidR="009658B2" w:rsidRPr="0013396E" w:rsidRDefault="009658B2" w:rsidP="009658B2">
      <w:pPr>
        <w:spacing w:after="240"/>
        <w:ind w:firstLine="720"/>
        <w:rPr>
          <w:i/>
          <w:vertAlign w:val="subscript"/>
        </w:rPr>
      </w:pPr>
      <w:r w:rsidRPr="0013396E">
        <w:t xml:space="preserve">RNWF </w:t>
      </w:r>
      <w:r w:rsidRPr="0013396E">
        <w:rPr>
          <w:i/>
          <w:vertAlign w:val="subscript"/>
        </w:rPr>
        <w:t xml:space="preserve">y   </w:t>
      </w:r>
      <w:r w:rsidRPr="0013396E">
        <w:t xml:space="preserve">=  TLMP </w:t>
      </w:r>
      <w:r w:rsidRPr="0013396E">
        <w:rPr>
          <w:i/>
          <w:vertAlign w:val="subscript"/>
        </w:rPr>
        <w:t>y</w:t>
      </w:r>
      <w:r w:rsidRPr="0013396E">
        <w:t xml:space="preserve"> </w:t>
      </w:r>
      <w:r w:rsidRPr="0013396E">
        <w:rPr>
          <w:color w:val="000000"/>
          <w:sz w:val="32"/>
          <w:szCs w:val="32"/>
        </w:rPr>
        <w:t>/</w:t>
      </w:r>
      <w:r w:rsidRPr="0013396E">
        <w:rPr>
          <w:color w:val="000000"/>
        </w:rPr>
        <w:t xml:space="preserve"> </w:t>
      </w:r>
      <w:r w:rsidRPr="0013396E">
        <w:rPr>
          <w:position w:val="-22"/>
        </w:rPr>
        <w:object w:dxaOrig="225" w:dyaOrig="465" w14:anchorId="41C85BF3">
          <v:shape id="_x0000_i1070" type="#_x0000_t75" style="width:24pt;height:18.6pt" o:ole="">
            <v:imagedata r:id="rId20" o:title=""/>
          </v:shape>
          <o:OLEObject Type="Embed" ProgID="Equation.3" ShapeID="_x0000_i1070" DrawAspect="Content" ObjectID="_1836311349" r:id="rId70"/>
        </w:object>
      </w:r>
      <w:r w:rsidRPr="0013396E">
        <w:t xml:space="preserve">TLMP </w:t>
      </w:r>
      <w:r w:rsidRPr="0013396E">
        <w:rPr>
          <w:i/>
          <w:vertAlign w:val="subscript"/>
        </w:rPr>
        <w:t>y</w:t>
      </w:r>
    </w:p>
    <w:p w14:paraId="083CCC50" w14:textId="77777777" w:rsidR="009658B2" w:rsidRPr="0013396E" w:rsidRDefault="009658B2" w:rsidP="009658B2">
      <w:pPr>
        <w:pStyle w:val="Instructions"/>
        <w:spacing w:after="0"/>
        <w:ind w:left="720" w:hanging="720"/>
        <w:rPr>
          <w:b w:val="0"/>
          <w:i w:val="0"/>
        </w:rPr>
      </w:pPr>
      <w:r w:rsidRPr="0013396E">
        <w:rPr>
          <w:b w:val="0"/>
          <w:i w:val="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22"/>
        <w:gridCol w:w="1180"/>
        <w:gridCol w:w="5748"/>
      </w:tblGrid>
      <w:tr w:rsidR="009658B2" w:rsidRPr="0013396E" w14:paraId="1F395BED" w14:textId="77777777" w:rsidTr="0099759E">
        <w:trPr>
          <w:cantSplit/>
          <w:tblHeader/>
        </w:trPr>
        <w:tc>
          <w:tcPr>
            <w:tcW w:w="1295" w:type="pct"/>
            <w:tcBorders>
              <w:top w:val="single" w:sz="4" w:space="0" w:color="auto"/>
              <w:left w:val="single" w:sz="4" w:space="0" w:color="auto"/>
              <w:bottom w:val="single" w:sz="4" w:space="0" w:color="auto"/>
              <w:right w:val="single" w:sz="4" w:space="0" w:color="auto"/>
            </w:tcBorders>
            <w:hideMark/>
          </w:tcPr>
          <w:p w14:paraId="1F76C1FA" w14:textId="77777777" w:rsidR="009658B2" w:rsidRPr="0013396E" w:rsidRDefault="009658B2" w:rsidP="0099759E">
            <w:pPr>
              <w:pStyle w:val="TableHead"/>
            </w:pPr>
            <w:r w:rsidRPr="0013396E">
              <w:t>Variable</w:t>
            </w:r>
          </w:p>
        </w:tc>
        <w:tc>
          <w:tcPr>
            <w:tcW w:w="631" w:type="pct"/>
            <w:tcBorders>
              <w:top w:val="single" w:sz="4" w:space="0" w:color="auto"/>
              <w:left w:val="single" w:sz="4" w:space="0" w:color="auto"/>
              <w:bottom w:val="single" w:sz="4" w:space="0" w:color="auto"/>
              <w:right w:val="single" w:sz="4" w:space="0" w:color="auto"/>
            </w:tcBorders>
            <w:hideMark/>
          </w:tcPr>
          <w:p w14:paraId="29FC598B" w14:textId="77777777" w:rsidR="009658B2" w:rsidRPr="0013396E" w:rsidRDefault="009658B2" w:rsidP="0099759E">
            <w:pPr>
              <w:pStyle w:val="TableHead"/>
            </w:pPr>
            <w:r w:rsidRPr="0013396E">
              <w:t>Unit</w:t>
            </w:r>
          </w:p>
        </w:tc>
        <w:tc>
          <w:tcPr>
            <w:tcW w:w="3074" w:type="pct"/>
            <w:tcBorders>
              <w:top w:val="single" w:sz="4" w:space="0" w:color="auto"/>
              <w:left w:val="single" w:sz="4" w:space="0" w:color="auto"/>
              <w:bottom w:val="single" w:sz="4" w:space="0" w:color="auto"/>
              <w:right w:val="single" w:sz="4" w:space="0" w:color="auto"/>
            </w:tcBorders>
            <w:hideMark/>
          </w:tcPr>
          <w:p w14:paraId="5103F0CA" w14:textId="77777777" w:rsidR="009658B2" w:rsidRPr="0013396E" w:rsidRDefault="009658B2" w:rsidP="0099759E">
            <w:pPr>
              <w:pStyle w:val="TableHead"/>
            </w:pPr>
            <w:r w:rsidRPr="0013396E">
              <w:t>Description</w:t>
            </w:r>
          </w:p>
        </w:tc>
      </w:tr>
      <w:tr w:rsidR="009658B2" w:rsidRPr="0013396E" w14:paraId="2DC58C40" w14:textId="77777777" w:rsidTr="0099759E">
        <w:trPr>
          <w:cantSplit/>
        </w:trPr>
        <w:tc>
          <w:tcPr>
            <w:tcW w:w="1295" w:type="pct"/>
            <w:tcBorders>
              <w:top w:val="single" w:sz="4" w:space="0" w:color="auto"/>
              <w:left w:val="single" w:sz="4" w:space="0" w:color="auto"/>
              <w:bottom w:val="single" w:sz="4" w:space="0" w:color="auto"/>
              <w:right w:val="single" w:sz="4" w:space="0" w:color="auto"/>
            </w:tcBorders>
            <w:hideMark/>
          </w:tcPr>
          <w:p w14:paraId="7688497E" w14:textId="77777777" w:rsidR="009658B2" w:rsidRPr="0013396E" w:rsidRDefault="009658B2" w:rsidP="0099759E">
            <w:pPr>
              <w:pStyle w:val="tablebody0"/>
            </w:pPr>
            <w:r w:rsidRPr="0013396E">
              <w:t>RTRDPNS</w:t>
            </w:r>
          </w:p>
        </w:tc>
        <w:tc>
          <w:tcPr>
            <w:tcW w:w="631" w:type="pct"/>
            <w:tcBorders>
              <w:top w:val="single" w:sz="4" w:space="0" w:color="auto"/>
              <w:left w:val="single" w:sz="4" w:space="0" w:color="auto"/>
              <w:bottom w:val="single" w:sz="4" w:space="0" w:color="auto"/>
              <w:right w:val="single" w:sz="4" w:space="0" w:color="auto"/>
            </w:tcBorders>
            <w:hideMark/>
          </w:tcPr>
          <w:p w14:paraId="65786207" w14:textId="77777777" w:rsidR="009658B2" w:rsidRPr="0013396E" w:rsidRDefault="009658B2" w:rsidP="0099759E">
            <w:pPr>
              <w:pStyle w:val="tablebody0"/>
            </w:pPr>
            <w:r w:rsidRPr="0013396E">
              <w:t>$/MW</w:t>
            </w:r>
          </w:p>
        </w:tc>
        <w:tc>
          <w:tcPr>
            <w:tcW w:w="3074" w:type="pct"/>
            <w:tcBorders>
              <w:top w:val="single" w:sz="4" w:space="0" w:color="auto"/>
              <w:left w:val="single" w:sz="4" w:space="0" w:color="auto"/>
              <w:bottom w:val="single" w:sz="4" w:space="0" w:color="auto"/>
              <w:right w:val="single" w:sz="4" w:space="0" w:color="auto"/>
            </w:tcBorders>
            <w:hideMark/>
          </w:tcPr>
          <w:p w14:paraId="56559F1A" w14:textId="77777777" w:rsidR="009658B2" w:rsidRPr="0013396E" w:rsidRDefault="009658B2" w:rsidP="0099759E">
            <w:pPr>
              <w:pStyle w:val="tablebody0"/>
              <w:rPr>
                <w:i/>
              </w:rPr>
            </w:pPr>
            <w:r w:rsidRPr="0013396E">
              <w:rPr>
                <w:i/>
                <w:szCs w:val="18"/>
              </w:rPr>
              <w:t xml:space="preserve">Real-Time Market Clearing Price for Capacity for </w:t>
            </w:r>
            <w:r w:rsidRPr="0013396E">
              <w:rPr>
                <w:i/>
              </w:rPr>
              <w:t>Non-Spin</w:t>
            </w:r>
            <w:r w:rsidRPr="0013396E">
              <w:t xml:space="preserve"> </w:t>
            </w:r>
            <w:r w:rsidRPr="0013396E">
              <w:rPr>
                <w:i/>
                <w:szCs w:val="18"/>
              </w:rPr>
              <w:t>-</w:t>
            </w:r>
            <w:r w:rsidRPr="0013396E">
              <w:t xml:space="preserve"> The Real-Time Reliability Deployment Price for Ancillary Service for ECRS for the 15-minute Settlement Interval.</w:t>
            </w:r>
          </w:p>
        </w:tc>
      </w:tr>
      <w:tr w:rsidR="009658B2" w:rsidRPr="0013396E" w14:paraId="2D2EEF60" w14:textId="77777777" w:rsidTr="0099759E">
        <w:trPr>
          <w:cantSplit/>
        </w:trPr>
        <w:tc>
          <w:tcPr>
            <w:tcW w:w="1295" w:type="pct"/>
          </w:tcPr>
          <w:p w14:paraId="0EA24AFF" w14:textId="77777777" w:rsidR="009658B2" w:rsidRPr="0013396E" w:rsidRDefault="009658B2" w:rsidP="0099759E">
            <w:pPr>
              <w:pStyle w:val="tablebody0"/>
              <w:rPr>
                <w:i/>
              </w:rPr>
            </w:pPr>
            <w:r w:rsidRPr="0013396E">
              <w:lastRenderedPageBreak/>
              <w:t xml:space="preserve">RTRDPANSS </w:t>
            </w:r>
            <w:r w:rsidRPr="0013396E">
              <w:rPr>
                <w:i/>
              </w:rPr>
              <w:t>y</w:t>
            </w:r>
          </w:p>
        </w:tc>
        <w:tc>
          <w:tcPr>
            <w:tcW w:w="631" w:type="pct"/>
          </w:tcPr>
          <w:p w14:paraId="0323C0A7" w14:textId="77777777" w:rsidR="009658B2" w:rsidRPr="0013396E" w:rsidRDefault="009658B2" w:rsidP="0099759E">
            <w:pPr>
              <w:pStyle w:val="tablebody0"/>
            </w:pPr>
            <w:r w:rsidRPr="0013396E">
              <w:t>$/MW</w:t>
            </w:r>
          </w:p>
        </w:tc>
        <w:tc>
          <w:tcPr>
            <w:tcW w:w="3074" w:type="pct"/>
          </w:tcPr>
          <w:p w14:paraId="0DA279FF" w14:textId="77777777" w:rsidR="009658B2" w:rsidRPr="0013396E" w:rsidRDefault="009658B2" w:rsidP="0099759E">
            <w:pPr>
              <w:pStyle w:val="tablebody0"/>
            </w:pPr>
            <w:r w:rsidRPr="0013396E">
              <w:rPr>
                <w:i/>
              </w:rPr>
              <w:t>Real-Time Reliability Deployment Price Adder for Ancillary Service for Non-Spin per SCED interval</w:t>
            </w:r>
            <w:r w:rsidRPr="0013396E">
              <w:t xml:space="preserve"> - The Real-Time price adder for Non-Spin that captures the impact of reliability deployments on Non-Spin prices for the SCED interval y. </w:t>
            </w:r>
          </w:p>
        </w:tc>
      </w:tr>
      <w:tr w:rsidR="009658B2" w:rsidRPr="0013396E" w14:paraId="1C5ABDA5" w14:textId="77777777" w:rsidTr="0099759E">
        <w:trPr>
          <w:cantSplit/>
        </w:trPr>
        <w:tc>
          <w:tcPr>
            <w:tcW w:w="1295" w:type="pct"/>
          </w:tcPr>
          <w:p w14:paraId="7CA20825" w14:textId="77777777" w:rsidR="009658B2" w:rsidRPr="0013396E" w:rsidRDefault="009658B2" w:rsidP="0099759E">
            <w:pPr>
              <w:pStyle w:val="tablebody0"/>
            </w:pPr>
            <w:r w:rsidRPr="0013396E">
              <w:rPr>
                <w:iCs/>
              </w:rPr>
              <w:t xml:space="preserve">RNWF </w:t>
            </w:r>
            <w:r w:rsidRPr="0013396E">
              <w:rPr>
                <w:i/>
                <w:iCs/>
                <w:vertAlign w:val="subscript"/>
              </w:rPr>
              <w:t>y</w:t>
            </w:r>
          </w:p>
        </w:tc>
        <w:tc>
          <w:tcPr>
            <w:tcW w:w="631" w:type="pct"/>
          </w:tcPr>
          <w:p w14:paraId="6F1F5E36" w14:textId="77777777" w:rsidR="009658B2" w:rsidRPr="0013396E" w:rsidRDefault="009658B2" w:rsidP="0099759E">
            <w:pPr>
              <w:pStyle w:val="tablebody0"/>
            </w:pPr>
            <w:r w:rsidRPr="0013396E">
              <w:rPr>
                <w:iCs/>
              </w:rPr>
              <w:t>none</w:t>
            </w:r>
          </w:p>
        </w:tc>
        <w:tc>
          <w:tcPr>
            <w:tcW w:w="3074" w:type="pct"/>
          </w:tcPr>
          <w:p w14:paraId="216E37AD" w14:textId="77777777" w:rsidR="009658B2" w:rsidRPr="0013396E" w:rsidRDefault="009658B2" w:rsidP="0099759E">
            <w:pPr>
              <w:pStyle w:val="tablebody0"/>
              <w:rPr>
                <w:i/>
              </w:rPr>
            </w:pPr>
            <w:r w:rsidRPr="0013396E">
              <w:rPr>
                <w:i/>
                <w:iCs/>
              </w:rPr>
              <w:t>Resource Node Weighting Factor per interval</w:t>
            </w:r>
            <w:r w:rsidRPr="0013396E">
              <w:rPr>
                <w:iCs/>
              </w:rPr>
              <w:sym w:font="Symbol" w:char="F0BE"/>
            </w:r>
            <w:r w:rsidRPr="0013396E">
              <w:rPr>
                <w:iCs/>
              </w:rPr>
              <w:t xml:space="preserve">The weight used in the Ancillary Service Price calculation for the portion of the SCED interval </w:t>
            </w:r>
            <w:r w:rsidRPr="0013396E">
              <w:rPr>
                <w:i/>
                <w:iCs/>
              </w:rPr>
              <w:t>y</w:t>
            </w:r>
            <w:r w:rsidRPr="0013396E">
              <w:rPr>
                <w:iCs/>
              </w:rPr>
              <w:t xml:space="preserve"> within the Settlement Interval.</w:t>
            </w:r>
          </w:p>
        </w:tc>
      </w:tr>
      <w:tr w:rsidR="009658B2" w:rsidRPr="0013396E" w14:paraId="726CD175" w14:textId="77777777" w:rsidTr="0099759E">
        <w:trPr>
          <w:cantSplit/>
        </w:trPr>
        <w:tc>
          <w:tcPr>
            <w:tcW w:w="1295" w:type="pct"/>
          </w:tcPr>
          <w:p w14:paraId="602A1597" w14:textId="77777777" w:rsidR="009658B2" w:rsidRPr="0013396E" w:rsidRDefault="009658B2" w:rsidP="0099759E">
            <w:pPr>
              <w:pStyle w:val="tablebody0"/>
            </w:pPr>
            <w:r w:rsidRPr="0013396E">
              <w:rPr>
                <w:iCs/>
              </w:rPr>
              <w:t xml:space="preserve">TLMP </w:t>
            </w:r>
            <w:r w:rsidRPr="0013396E">
              <w:rPr>
                <w:i/>
                <w:iCs/>
                <w:vertAlign w:val="subscript"/>
              </w:rPr>
              <w:t>y</w:t>
            </w:r>
          </w:p>
        </w:tc>
        <w:tc>
          <w:tcPr>
            <w:tcW w:w="631" w:type="pct"/>
          </w:tcPr>
          <w:p w14:paraId="498B39F7" w14:textId="77777777" w:rsidR="009658B2" w:rsidRPr="0013396E" w:rsidRDefault="009658B2" w:rsidP="0099759E">
            <w:pPr>
              <w:pStyle w:val="tablebody0"/>
            </w:pPr>
            <w:r w:rsidRPr="0013396E">
              <w:rPr>
                <w:iCs/>
              </w:rPr>
              <w:t>second</w:t>
            </w:r>
          </w:p>
        </w:tc>
        <w:tc>
          <w:tcPr>
            <w:tcW w:w="3074" w:type="pct"/>
          </w:tcPr>
          <w:p w14:paraId="7D3B9916" w14:textId="77777777" w:rsidR="009658B2" w:rsidRPr="0013396E" w:rsidRDefault="009658B2" w:rsidP="0099759E">
            <w:pPr>
              <w:pStyle w:val="tablebody0"/>
              <w:rPr>
                <w:i/>
              </w:rPr>
            </w:pPr>
            <w:r w:rsidRPr="0013396E">
              <w:rPr>
                <w:i/>
              </w:rPr>
              <w:t>Duration of SCED interval per interval</w:t>
            </w:r>
            <w:r w:rsidRPr="0013396E">
              <w:rPr>
                <w:iCs/>
              </w:rPr>
              <w:sym w:font="Symbol" w:char="F0BE"/>
            </w:r>
            <w:r w:rsidRPr="0013396E">
              <w:rPr>
                <w:iCs/>
              </w:rPr>
              <w:t xml:space="preserve">The duration of the portion of the SCED interval </w:t>
            </w:r>
            <w:r w:rsidRPr="0013396E">
              <w:rPr>
                <w:i/>
              </w:rPr>
              <w:t>y</w:t>
            </w:r>
            <w:r w:rsidRPr="0013396E">
              <w:t xml:space="preserve"> within the Settlement Interval</w:t>
            </w:r>
            <w:r w:rsidRPr="0013396E">
              <w:rPr>
                <w:iCs/>
              </w:rPr>
              <w:t>.</w:t>
            </w:r>
          </w:p>
        </w:tc>
      </w:tr>
      <w:tr w:rsidR="009658B2" w:rsidRPr="0013396E" w14:paraId="4AB5551F" w14:textId="77777777" w:rsidTr="0099759E">
        <w:trPr>
          <w:cantSplit/>
        </w:trPr>
        <w:tc>
          <w:tcPr>
            <w:tcW w:w="1295" w:type="pct"/>
          </w:tcPr>
          <w:p w14:paraId="53AC6812" w14:textId="77777777" w:rsidR="009658B2" w:rsidRPr="0013396E" w:rsidRDefault="009658B2" w:rsidP="0099759E">
            <w:pPr>
              <w:pStyle w:val="tablebody0"/>
              <w:rPr>
                <w:i/>
              </w:rPr>
            </w:pPr>
            <w:r w:rsidRPr="0013396E">
              <w:rPr>
                <w:i/>
              </w:rPr>
              <w:t>y</w:t>
            </w:r>
          </w:p>
        </w:tc>
        <w:tc>
          <w:tcPr>
            <w:tcW w:w="631" w:type="pct"/>
          </w:tcPr>
          <w:p w14:paraId="18214A0A" w14:textId="77777777" w:rsidR="009658B2" w:rsidRPr="0013396E" w:rsidRDefault="009658B2" w:rsidP="0099759E">
            <w:pPr>
              <w:pStyle w:val="tablebody0"/>
            </w:pPr>
            <w:r w:rsidRPr="0013396E">
              <w:t>none</w:t>
            </w:r>
          </w:p>
        </w:tc>
        <w:tc>
          <w:tcPr>
            <w:tcW w:w="3074" w:type="pct"/>
          </w:tcPr>
          <w:p w14:paraId="502230C2" w14:textId="77777777" w:rsidR="009658B2" w:rsidRPr="0013396E" w:rsidRDefault="009658B2" w:rsidP="0099759E">
            <w:pPr>
              <w:pStyle w:val="tablebody0"/>
            </w:pPr>
            <w:r w:rsidRPr="0013396E">
              <w:t>A SCED interval in the 15-minute Settlement Interval.</w:t>
            </w:r>
          </w:p>
        </w:tc>
      </w:tr>
    </w:tbl>
    <w:p w14:paraId="202A81E3" w14:textId="77777777" w:rsidR="00954FBC" w:rsidRPr="0013396E" w:rsidRDefault="00954FBC" w:rsidP="00954FBC">
      <w:pPr>
        <w:pStyle w:val="BodyText"/>
        <w:spacing w:after="0"/>
      </w:pPr>
    </w:p>
    <w:p w14:paraId="7BE4F9FB" w14:textId="2798F0D6" w:rsidR="001F04FD" w:rsidRPr="0013396E" w:rsidRDefault="001F04FD" w:rsidP="005A7D8E">
      <w:pPr>
        <w:pStyle w:val="H3"/>
      </w:pPr>
      <w:bookmarkStart w:id="1471" w:name="_Toc214878955"/>
      <w:r w:rsidRPr="0013396E">
        <w:t>6.6.2</w:t>
      </w:r>
      <w:r w:rsidRPr="0013396E">
        <w:tab/>
        <w:t>Load Ratio Share</w:t>
      </w:r>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71"/>
    </w:p>
    <w:p w14:paraId="1A57055A" w14:textId="77777777" w:rsidR="001F04FD" w:rsidRPr="0013396E" w:rsidRDefault="001F04FD" w:rsidP="005A7D8E">
      <w:pPr>
        <w:pStyle w:val="H4"/>
        <w:spacing w:before="480"/>
        <w:ind w:left="1267" w:hanging="1267"/>
      </w:pPr>
      <w:bookmarkStart w:id="1472" w:name="_Toc103653335"/>
      <w:bookmarkStart w:id="1473" w:name="_Toc109009385"/>
      <w:bookmarkStart w:id="1474" w:name="_Toc397505009"/>
      <w:bookmarkStart w:id="1475" w:name="_Toc402357137"/>
      <w:bookmarkStart w:id="1476" w:name="_Toc422486515"/>
      <w:bookmarkStart w:id="1477" w:name="_Toc433093367"/>
      <w:bookmarkStart w:id="1478" w:name="_Toc433093525"/>
      <w:bookmarkStart w:id="1479" w:name="_Toc440874753"/>
      <w:bookmarkStart w:id="1480" w:name="_Toc448142308"/>
      <w:bookmarkStart w:id="1481" w:name="_Toc448142465"/>
      <w:bookmarkStart w:id="1482" w:name="_Toc458770302"/>
      <w:bookmarkStart w:id="1483" w:name="_Toc459294270"/>
      <w:bookmarkStart w:id="1484" w:name="_Toc463262763"/>
      <w:bookmarkStart w:id="1485" w:name="_Toc468286836"/>
      <w:bookmarkStart w:id="1486" w:name="_Toc481502882"/>
      <w:bookmarkStart w:id="1487" w:name="_Toc496080050"/>
      <w:bookmarkStart w:id="1488" w:name="_Toc214878956"/>
      <w:r w:rsidRPr="0013396E">
        <w:t>6.6.2.1</w:t>
      </w:r>
      <w:r w:rsidRPr="0013396E">
        <w:tab/>
        <w:t>ERCOT Total Adjusted Metered Load</w:t>
      </w:r>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r w:rsidR="003C2BD5" w:rsidRPr="0013396E">
        <w:t xml:space="preserve"> for a 15-Minute Settlement Interval</w:t>
      </w:r>
      <w:bookmarkEnd w:id="1486"/>
      <w:bookmarkEnd w:id="1487"/>
      <w:bookmarkEnd w:id="1488"/>
    </w:p>
    <w:p w14:paraId="17750838" w14:textId="10C35F11" w:rsidR="001F04FD" w:rsidRPr="0013396E" w:rsidRDefault="001F04FD" w:rsidP="001F04FD">
      <w:pPr>
        <w:pStyle w:val="BodyText"/>
        <w:ind w:left="720" w:hanging="720"/>
      </w:pPr>
      <w:r w:rsidRPr="0013396E">
        <w:t>(1)</w:t>
      </w:r>
      <w:r w:rsidRPr="0013396E">
        <w:tab/>
        <w:t>ERCOT total Adjusted Metered Load (AML) for a 15-minute Settlement Interval is calculated as follows:</w:t>
      </w:r>
    </w:p>
    <w:p w14:paraId="7FC8FA7F" w14:textId="77777777" w:rsidR="001F04FD" w:rsidRPr="0013396E" w:rsidRDefault="001F04FD" w:rsidP="006B72E9">
      <w:pPr>
        <w:pStyle w:val="FormulaBold"/>
      </w:pPr>
      <w:r w:rsidRPr="0013396E">
        <w:t>RTAMLTOT</w:t>
      </w:r>
      <w:r w:rsidRPr="0013396E">
        <w:tab/>
        <w:t>=</w:t>
      </w:r>
      <w:r w:rsidRPr="0013396E">
        <w:tab/>
      </w:r>
      <w:r w:rsidRPr="0013396E">
        <w:rPr>
          <w:position w:val="-22"/>
        </w:rPr>
        <w:object w:dxaOrig="225" w:dyaOrig="465" w14:anchorId="035F7B09">
          <v:shape id="_x0000_i1071" type="#_x0000_t75" style="width:12pt;height:18.6pt" o:ole="">
            <v:imagedata r:id="rId71" o:title=""/>
          </v:shape>
          <o:OLEObject Type="Embed" ProgID="Equation.3" ShapeID="_x0000_i1071" DrawAspect="Content" ObjectID="_1836311350" r:id="rId72"/>
        </w:object>
      </w:r>
      <w:r w:rsidR="003C2BD5" w:rsidRPr="0013396E">
        <w:rPr>
          <w:bCs w:val="0"/>
        </w:rPr>
        <w:t>(max(0,</w:t>
      </w:r>
      <w:r w:rsidRPr="0013396E">
        <w:rPr>
          <w:position w:val="-22"/>
        </w:rPr>
        <w:object w:dxaOrig="225" w:dyaOrig="465" w14:anchorId="00FFCCFC">
          <v:shape id="_x0000_i1072" type="#_x0000_t75" style="width:12pt;height:18.6pt" o:ole="">
            <v:imagedata r:id="rId73" o:title=""/>
          </v:shape>
          <o:OLEObject Type="Embed" ProgID="Equation.3" ShapeID="_x0000_i1072" DrawAspect="Content" ObjectID="_1836311351" r:id="rId74"/>
        </w:object>
      </w:r>
      <w:r w:rsidRPr="0013396E">
        <w:t xml:space="preserve">RTAML </w:t>
      </w:r>
      <w:r w:rsidRPr="0013396E">
        <w:rPr>
          <w:i/>
          <w:vertAlign w:val="subscript"/>
        </w:rPr>
        <w:t>q, p</w:t>
      </w:r>
      <w:r w:rsidR="003C2BD5" w:rsidRPr="0013396E">
        <w:rPr>
          <w:bCs w:val="0"/>
        </w:rPr>
        <w:t>))</w:t>
      </w:r>
    </w:p>
    <w:p w14:paraId="5C3ED624" w14:textId="77777777" w:rsidR="001F04FD" w:rsidRPr="0013396E" w:rsidRDefault="001F04FD" w:rsidP="001F04FD">
      <w:r w:rsidRPr="0013396E">
        <w:t>The above variables are defined as follows:</w:t>
      </w:r>
    </w:p>
    <w:tbl>
      <w:tblPr>
        <w:tblW w:w="100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042"/>
        <w:gridCol w:w="697"/>
        <w:gridCol w:w="7347"/>
      </w:tblGrid>
      <w:tr w:rsidR="001F04FD" w:rsidRPr="0013396E" w14:paraId="68008401" w14:textId="77777777" w:rsidTr="00AC4DEE">
        <w:tc>
          <w:tcPr>
            <w:tcW w:w="2042" w:type="dxa"/>
          </w:tcPr>
          <w:p w14:paraId="71AA1497" w14:textId="77777777" w:rsidR="001F04FD" w:rsidRPr="0013396E" w:rsidRDefault="001F04FD" w:rsidP="00AC4DEE">
            <w:pPr>
              <w:pStyle w:val="TableHead"/>
            </w:pPr>
            <w:r w:rsidRPr="0013396E">
              <w:t>Variable</w:t>
            </w:r>
          </w:p>
        </w:tc>
        <w:tc>
          <w:tcPr>
            <w:tcW w:w="0" w:type="auto"/>
          </w:tcPr>
          <w:p w14:paraId="24E4EC2E" w14:textId="77777777" w:rsidR="001F04FD" w:rsidRPr="0013396E" w:rsidRDefault="001F04FD" w:rsidP="00AC4DEE">
            <w:pPr>
              <w:pStyle w:val="TableHead"/>
            </w:pPr>
            <w:r w:rsidRPr="0013396E">
              <w:t>Unit</w:t>
            </w:r>
          </w:p>
        </w:tc>
        <w:tc>
          <w:tcPr>
            <w:tcW w:w="0" w:type="auto"/>
          </w:tcPr>
          <w:p w14:paraId="7D4555FB" w14:textId="77777777" w:rsidR="001F04FD" w:rsidRPr="0013396E" w:rsidRDefault="001F04FD" w:rsidP="00AC4DEE">
            <w:pPr>
              <w:pStyle w:val="TableHead"/>
            </w:pPr>
            <w:r w:rsidRPr="0013396E">
              <w:t>Description</w:t>
            </w:r>
          </w:p>
        </w:tc>
      </w:tr>
      <w:tr w:rsidR="001F04FD" w:rsidRPr="0013396E" w14:paraId="7932CB57" w14:textId="77777777" w:rsidTr="00AC4DEE">
        <w:tc>
          <w:tcPr>
            <w:tcW w:w="2042" w:type="dxa"/>
          </w:tcPr>
          <w:p w14:paraId="76D50416" w14:textId="77777777" w:rsidR="001F04FD" w:rsidRPr="0013396E" w:rsidRDefault="001F04FD" w:rsidP="00AC4DEE">
            <w:pPr>
              <w:pStyle w:val="TableBody"/>
            </w:pPr>
            <w:r w:rsidRPr="0013396E">
              <w:t>RTAMLTOT</w:t>
            </w:r>
          </w:p>
        </w:tc>
        <w:tc>
          <w:tcPr>
            <w:tcW w:w="0" w:type="auto"/>
          </w:tcPr>
          <w:p w14:paraId="650AA525" w14:textId="77777777" w:rsidR="001F04FD" w:rsidRPr="0013396E" w:rsidRDefault="001F04FD" w:rsidP="00AC4DEE">
            <w:pPr>
              <w:pStyle w:val="TableBody"/>
              <w:rPr>
                <w:i/>
              </w:rPr>
            </w:pPr>
            <w:r w:rsidRPr="0013396E">
              <w:t>MWh</w:t>
            </w:r>
          </w:p>
        </w:tc>
        <w:tc>
          <w:tcPr>
            <w:tcW w:w="0" w:type="auto"/>
          </w:tcPr>
          <w:p w14:paraId="646E5EAC" w14:textId="77777777" w:rsidR="001F04FD" w:rsidRPr="0013396E" w:rsidRDefault="001F04FD" w:rsidP="00AC4DEE">
            <w:pPr>
              <w:pStyle w:val="TableBody"/>
            </w:pPr>
            <w:r w:rsidRPr="0013396E">
              <w:rPr>
                <w:i/>
              </w:rPr>
              <w:t>Real-Time Adjusted Metered Load Total</w:t>
            </w:r>
            <w:r w:rsidRPr="0013396E">
              <w:t>—The total AML in ERCOT, for the 15-minute Settlement Interval.</w:t>
            </w:r>
          </w:p>
        </w:tc>
      </w:tr>
      <w:tr w:rsidR="001F04FD" w:rsidRPr="0013396E" w14:paraId="66D26512" w14:textId="77777777" w:rsidTr="00AC4DEE">
        <w:tc>
          <w:tcPr>
            <w:tcW w:w="2042" w:type="dxa"/>
          </w:tcPr>
          <w:p w14:paraId="2CAFC729" w14:textId="77777777" w:rsidR="001F04FD" w:rsidRPr="0013396E" w:rsidRDefault="001F04FD" w:rsidP="00AC4DEE">
            <w:pPr>
              <w:pStyle w:val="TableBody"/>
            </w:pPr>
            <w:r w:rsidRPr="0013396E">
              <w:t xml:space="preserve">RTAML </w:t>
            </w:r>
            <w:r w:rsidRPr="0013396E">
              <w:rPr>
                <w:i/>
                <w:vertAlign w:val="subscript"/>
              </w:rPr>
              <w:t>q, p</w:t>
            </w:r>
          </w:p>
        </w:tc>
        <w:tc>
          <w:tcPr>
            <w:tcW w:w="0" w:type="auto"/>
          </w:tcPr>
          <w:p w14:paraId="6E7841CA" w14:textId="77777777" w:rsidR="001F04FD" w:rsidRPr="0013396E" w:rsidRDefault="001F04FD" w:rsidP="00AC4DEE">
            <w:pPr>
              <w:pStyle w:val="TableBody"/>
            </w:pPr>
            <w:r w:rsidRPr="0013396E">
              <w:t>MWh</w:t>
            </w:r>
          </w:p>
        </w:tc>
        <w:tc>
          <w:tcPr>
            <w:tcW w:w="0" w:type="auto"/>
          </w:tcPr>
          <w:p w14:paraId="1680D0AE" w14:textId="088C9759" w:rsidR="001F04FD" w:rsidRPr="0013396E" w:rsidRDefault="001F04FD" w:rsidP="00AC4DEE">
            <w:pPr>
              <w:pStyle w:val="TableBody"/>
            </w:pPr>
            <w:r w:rsidRPr="0013396E">
              <w:rPr>
                <w:i/>
              </w:rPr>
              <w:t xml:space="preserve">Real-Time Adjusted Metered Load per </w:t>
            </w:r>
            <w:r w:rsidR="001335E7" w:rsidRPr="0013396E">
              <w:rPr>
                <w:i/>
              </w:rPr>
              <w:t>Qualified Scheduling Entity (</w:t>
            </w:r>
            <w:r w:rsidRPr="0013396E">
              <w:rPr>
                <w:i/>
              </w:rPr>
              <w:t>QSE</w:t>
            </w:r>
            <w:r w:rsidR="001335E7" w:rsidRPr="0013396E">
              <w:rPr>
                <w:i/>
              </w:rPr>
              <w:t>)</w:t>
            </w:r>
            <w:r w:rsidRPr="0013396E">
              <w:rPr>
                <w:i/>
              </w:rPr>
              <w:t xml:space="preserve"> per Settlement Point</w:t>
            </w:r>
            <w:r w:rsidRPr="0013396E">
              <w:t xml:space="preserve">—The sum of the AML at the Electrical Buses that are included in Settlement Point </w:t>
            </w:r>
            <w:r w:rsidRPr="0013396E">
              <w:rPr>
                <w:i/>
              </w:rPr>
              <w:t>p</w:t>
            </w:r>
            <w:r w:rsidRPr="0013396E">
              <w:t xml:space="preserve">, represented by </w:t>
            </w:r>
            <w:r w:rsidR="00F510E2" w:rsidRPr="0013396E">
              <w:t>Qualified Scheduling Entity (</w:t>
            </w:r>
            <w:r w:rsidRPr="0013396E">
              <w:t>QSE</w:t>
            </w:r>
            <w:r w:rsidR="00F510E2" w:rsidRPr="0013396E">
              <w:t>)</w:t>
            </w:r>
            <w:r w:rsidRPr="0013396E">
              <w:t xml:space="preserve"> </w:t>
            </w:r>
            <w:r w:rsidRPr="0013396E">
              <w:rPr>
                <w:i/>
              </w:rPr>
              <w:t>q</w:t>
            </w:r>
            <w:r w:rsidRPr="0013396E">
              <w:t>, for the 15-minute Settlement Interval.</w:t>
            </w:r>
          </w:p>
        </w:tc>
      </w:tr>
      <w:tr w:rsidR="001F04FD" w:rsidRPr="0013396E" w14:paraId="598F6B3B" w14:textId="77777777" w:rsidTr="00AC4DEE">
        <w:tc>
          <w:tcPr>
            <w:tcW w:w="2042" w:type="dxa"/>
          </w:tcPr>
          <w:p w14:paraId="307C56C8" w14:textId="77777777" w:rsidR="001F04FD" w:rsidRPr="0013396E" w:rsidRDefault="001F04FD" w:rsidP="00AC4DEE">
            <w:pPr>
              <w:pStyle w:val="TableBody"/>
              <w:rPr>
                <w:i/>
              </w:rPr>
            </w:pPr>
            <w:r w:rsidRPr="0013396E">
              <w:rPr>
                <w:i/>
              </w:rPr>
              <w:t>q</w:t>
            </w:r>
          </w:p>
        </w:tc>
        <w:tc>
          <w:tcPr>
            <w:tcW w:w="0" w:type="auto"/>
          </w:tcPr>
          <w:p w14:paraId="2D19F812" w14:textId="77777777" w:rsidR="001F04FD" w:rsidRPr="0013396E" w:rsidRDefault="001F04FD" w:rsidP="00AC4DEE">
            <w:pPr>
              <w:pStyle w:val="TableBody"/>
            </w:pPr>
            <w:r w:rsidRPr="0013396E">
              <w:t>none</w:t>
            </w:r>
          </w:p>
        </w:tc>
        <w:tc>
          <w:tcPr>
            <w:tcW w:w="0" w:type="auto"/>
          </w:tcPr>
          <w:p w14:paraId="584E93F8" w14:textId="77777777" w:rsidR="001F04FD" w:rsidRPr="0013396E" w:rsidRDefault="001F04FD" w:rsidP="00AC4DEE">
            <w:pPr>
              <w:pStyle w:val="TableBody"/>
            </w:pPr>
            <w:r w:rsidRPr="0013396E">
              <w:t>A QSE.  The summation is over all of the QSEs with metered readings in that interval.</w:t>
            </w:r>
          </w:p>
        </w:tc>
      </w:tr>
      <w:tr w:rsidR="001F04FD" w:rsidRPr="0013396E" w14:paraId="4A57022A" w14:textId="77777777" w:rsidTr="00AC4DEE">
        <w:tc>
          <w:tcPr>
            <w:tcW w:w="2042" w:type="dxa"/>
          </w:tcPr>
          <w:p w14:paraId="6E11A3FA" w14:textId="77777777" w:rsidR="001F04FD" w:rsidRPr="0013396E" w:rsidRDefault="001F04FD" w:rsidP="00AC4DEE">
            <w:pPr>
              <w:pStyle w:val="TableBody"/>
              <w:rPr>
                <w:i/>
              </w:rPr>
            </w:pPr>
            <w:r w:rsidRPr="0013396E">
              <w:rPr>
                <w:i/>
              </w:rPr>
              <w:t>p</w:t>
            </w:r>
          </w:p>
        </w:tc>
        <w:tc>
          <w:tcPr>
            <w:tcW w:w="0" w:type="auto"/>
          </w:tcPr>
          <w:p w14:paraId="35CC9D17" w14:textId="77777777" w:rsidR="001F04FD" w:rsidRPr="0013396E" w:rsidRDefault="001F04FD" w:rsidP="00AC4DEE">
            <w:pPr>
              <w:pStyle w:val="TableBody"/>
            </w:pPr>
            <w:r w:rsidRPr="0013396E">
              <w:t>none</w:t>
            </w:r>
          </w:p>
        </w:tc>
        <w:tc>
          <w:tcPr>
            <w:tcW w:w="0" w:type="auto"/>
          </w:tcPr>
          <w:p w14:paraId="05B34B28" w14:textId="77777777" w:rsidR="001F04FD" w:rsidRPr="0013396E" w:rsidRDefault="001F04FD" w:rsidP="00AC4DEE">
            <w:pPr>
              <w:pStyle w:val="TableBody"/>
            </w:pPr>
            <w:r w:rsidRPr="0013396E">
              <w:t>A Settlement Point.  The summation is over all of the Settlement Points.</w:t>
            </w:r>
          </w:p>
        </w:tc>
      </w:tr>
    </w:tbl>
    <w:p w14:paraId="06FAEDC9" w14:textId="77777777" w:rsidR="001F04FD" w:rsidRPr="0013396E" w:rsidRDefault="001F04FD" w:rsidP="00BB44BE">
      <w:pPr>
        <w:pStyle w:val="H4"/>
        <w:spacing w:before="480"/>
      </w:pPr>
      <w:bookmarkStart w:id="1489" w:name="_Toc103653336"/>
      <w:bookmarkStart w:id="1490" w:name="_Toc109009386"/>
      <w:bookmarkStart w:id="1491" w:name="_Toc397505010"/>
      <w:bookmarkStart w:id="1492" w:name="_Toc402357138"/>
      <w:bookmarkStart w:id="1493" w:name="_Toc422486516"/>
      <w:bookmarkStart w:id="1494" w:name="_Toc433093368"/>
      <w:bookmarkStart w:id="1495" w:name="_Toc433093526"/>
      <w:bookmarkStart w:id="1496" w:name="_Toc440874754"/>
      <w:bookmarkStart w:id="1497" w:name="_Toc448142309"/>
      <w:bookmarkStart w:id="1498" w:name="_Toc448142466"/>
      <w:bookmarkStart w:id="1499" w:name="_Toc458770304"/>
      <w:bookmarkStart w:id="1500" w:name="_Toc459294272"/>
      <w:bookmarkStart w:id="1501" w:name="_Toc463262765"/>
      <w:bookmarkStart w:id="1502" w:name="_Toc468286838"/>
      <w:bookmarkStart w:id="1503" w:name="_Toc481502883"/>
      <w:bookmarkStart w:id="1504" w:name="_Toc496080051"/>
      <w:bookmarkStart w:id="1505" w:name="_Toc214878957"/>
      <w:r w:rsidRPr="0013396E">
        <w:t>6.6.2.2</w:t>
      </w:r>
      <w:r w:rsidRPr="0013396E">
        <w:tab/>
        <w:t>QSE Load Ratio Share for a 15-Minute Settlement Interval</w:t>
      </w:r>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p>
    <w:p w14:paraId="6380FA67" w14:textId="77777777" w:rsidR="001F04FD" w:rsidRPr="0013396E" w:rsidRDefault="001F04FD" w:rsidP="001F04FD">
      <w:pPr>
        <w:pStyle w:val="BodyText"/>
        <w:ind w:left="720" w:hanging="720"/>
      </w:pPr>
      <w:r w:rsidRPr="0013396E">
        <w:t>(1)</w:t>
      </w:r>
      <w:r w:rsidRPr="0013396E">
        <w:tab/>
        <w:t>Each QSE’s Load Ratio Share (LRS) for a 15-minute Settlement Interval is calculated as follows:</w:t>
      </w:r>
    </w:p>
    <w:p w14:paraId="66133F12" w14:textId="77777777" w:rsidR="001F04FD" w:rsidRPr="0013396E" w:rsidRDefault="001F04FD" w:rsidP="001F04FD">
      <w:pPr>
        <w:pStyle w:val="FormulaBold"/>
      </w:pPr>
      <w:r w:rsidRPr="0013396E">
        <w:t>LRS</w:t>
      </w:r>
      <w:r w:rsidRPr="0013396E">
        <w:rPr>
          <w:i/>
          <w:vertAlign w:val="subscript"/>
        </w:rPr>
        <w:t xml:space="preserve"> q</w:t>
      </w:r>
      <w:r w:rsidRPr="0013396E">
        <w:tab/>
        <w:t>=</w:t>
      </w:r>
      <w:r w:rsidRPr="0013396E">
        <w:tab/>
        <w:t>(</w:t>
      </w:r>
      <w:r w:rsidR="003C2BD5" w:rsidRPr="0013396E">
        <w:rPr>
          <w:bCs w:val="0"/>
        </w:rPr>
        <w:t>max(0,</w:t>
      </w:r>
      <w:r w:rsidRPr="0013396E">
        <w:rPr>
          <w:position w:val="-22"/>
        </w:rPr>
        <w:object w:dxaOrig="225" w:dyaOrig="465" w14:anchorId="70678250">
          <v:shape id="_x0000_i1073" type="#_x0000_t75" style="width:12pt;height:18.6pt" o:ole="">
            <v:imagedata r:id="rId73" o:title=""/>
          </v:shape>
          <o:OLEObject Type="Embed" ProgID="Equation.3" ShapeID="_x0000_i1073" DrawAspect="Content" ObjectID="_1836311352" r:id="rId75"/>
        </w:object>
      </w:r>
      <w:r w:rsidRPr="0013396E">
        <w:t xml:space="preserve">RTAML </w:t>
      </w:r>
      <w:r w:rsidRPr="0013396E">
        <w:rPr>
          <w:i/>
          <w:vertAlign w:val="subscript"/>
        </w:rPr>
        <w:t>q, p</w:t>
      </w:r>
      <w:r w:rsidRPr="0013396E">
        <w:t>)</w:t>
      </w:r>
      <w:r w:rsidR="003C2BD5" w:rsidRPr="0013396E">
        <w:t>)</w:t>
      </w:r>
      <w:r w:rsidRPr="0013396E">
        <w:t xml:space="preserve"> / RTAMLTOT</w:t>
      </w:r>
    </w:p>
    <w:p w14:paraId="0B6786D6" w14:textId="77777777" w:rsidR="001F04FD" w:rsidRPr="0013396E" w:rsidRDefault="001F04FD" w:rsidP="001F04FD">
      <w:r w:rsidRPr="0013396E">
        <w:t>The above variables are defined as follows:</w:t>
      </w: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063"/>
        <w:gridCol w:w="697"/>
        <w:gridCol w:w="7080"/>
      </w:tblGrid>
      <w:tr w:rsidR="001F04FD" w:rsidRPr="0013396E" w14:paraId="5CDD9675" w14:textId="77777777" w:rsidTr="00B039ED">
        <w:tc>
          <w:tcPr>
            <w:tcW w:w="2063" w:type="dxa"/>
          </w:tcPr>
          <w:p w14:paraId="1DAC656F" w14:textId="77777777" w:rsidR="001F04FD" w:rsidRPr="0013396E" w:rsidRDefault="001F04FD" w:rsidP="00AC4DEE">
            <w:pPr>
              <w:pStyle w:val="TableHead"/>
            </w:pPr>
            <w:r w:rsidRPr="0013396E">
              <w:t>Variable</w:t>
            </w:r>
          </w:p>
        </w:tc>
        <w:tc>
          <w:tcPr>
            <w:tcW w:w="0" w:type="auto"/>
          </w:tcPr>
          <w:p w14:paraId="79BC14CF" w14:textId="77777777" w:rsidR="001F04FD" w:rsidRPr="0013396E" w:rsidRDefault="001F04FD" w:rsidP="00AC4DEE">
            <w:pPr>
              <w:pStyle w:val="TableHead"/>
            </w:pPr>
            <w:r w:rsidRPr="0013396E">
              <w:t>Unit</w:t>
            </w:r>
          </w:p>
        </w:tc>
        <w:tc>
          <w:tcPr>
            <w:tcW w:w="0" w:type="auto"/>
          </w:tcPr>
          <w:p w14:paraId="3F773FF6" w14:textId="77777777" w:rsidR="001F04FD" w:rsidRPr="0013396E" w:rsidRDefault="001F04FD" w:rsidP="00AC4DEE">
            <w:pPr>
              <w:pStyle w:val="TableHead"/>
            </w:pPr>
            <w:r w:rsidRPr="0013396E">
              <w:t>Description</w:t>
            </w:r>
          </w:p>
        </w:tc>
      </w:tr>
      <w:tr w:rsidR="001F04FD" w:rsidRPr="0013396E" w14:paraId="28007685" w14:textId="77777777" w:rsidTr="00B039ED">
        <w:tc>
          <w:tcPr>
            <w:tcW w:w="2063" w:type="dxa"/>
          </w:tcPr>
          <w:p w14:paraId="3BE1FB65" w14:textId="77777777" w:rsidR="001F04FD" w:rsidRPr="0013396E" w:rsidRDefault="001F04FD" w:rsidP="00AC4DEE">
            <w:pPr>
              <w:pStyle w:val="TableBody"/>
            </w:pPr>
            <w:r w:rsidRPr="0013396E">
              <w:t>LRS</w:t>
            </w:r>
            <w:r w:rsidRPr="0013396E">
              <w:rPr>
                <w:i/>
                <w:vertAlign w:val="subscript"/>
              </w:rPr>
              <w:t xml:space="preserve"> q</w:t>
            </w:r>
          </w:p>
        </w:tc>
        <w:tc>
          <w:tcPr>
            <w:tcW w:w="0" w:type="auto"/>
          </w:tcPr>
          <w:p w14:paraId="677612F4" w14:textId="77777777" w:rsidR="001F04FD" w:rsidRPr="0013396E" w:rsidRDefault="001F04FD" w:rsidP="00AC4DEE">
            <w:pPr>
              <w:pStyle w:val="TableBody"/>
            </w:pPr>
            <w:r w:rsidRPr="0013396E">
              <w:t>none</w:t>
            </w:r>
          </w:p>
        </w:tc>
        <w:tc>
          <w:tcPr>
            <w:tcW w:w="0" w:type="auto"/>
          </w:tcPr>
          <w:p w14:paraId="37C1FC7F" w14:textId="77777777" w:rsidR="001F04FD" w:rsidRPr="0013396E" w:rsidRDefault="001F04FD" w:rsidP="00AC4DEE">
            <w:pPr>
              <w:pStyle w:val="TableBody"/>
              <w:rPr>
                <w:i/>
              </w:rPr>
            </w:pPr>
            <w:r w:rsidRPr="0013396E">
              <w:rPr>
                <w:i/>
              </w:rPr>
              <w:t>Load Ratio Share per QSE</w:t>
            </w:r>
            <w:r w:rsidRPr="0013396E">
              <w:t xml:space="preserve">—The LRS as defined in Section 2, Definitions and Acronyms, for QSE </w:t>
            </w:r>
            <w:r w:rsidRPr="0013396E">
              <w:rPr>
                <w:i/>
              </w:rPr>
              <w:t>q</w:t>
            </w:r>
            <w:r w:rsidRPr="0013396E">
              <w:t xml:space="preserve">, for the 15-minute Settlement Interval. </w:t>
            </w:r>
          </w:p>
        </w:tc>
      </w:tr>
      <w:tr w:rsidR="001F04FD" w:rsidRPr="0013396E" w14:paraId="14CD95DE" w14:textId="77777777" w:rsidTr="00B039ED">
        <w:tc>
          <w:tcPr>
            <w:tcW w:w="2063" w:type="dxa"/>
          </w:tcPr>
          <w:p w14:paraId="34CF92C0" w14:textId="77777777" w:rsidR="001F04FD" w:rsidRPr="0013396E" w:rsidRDefault="001F04FD" w:rsidP="00AC4DEE">
            <w:pPr>
              <w:pStyle w:val="TableBody"/>
            </w:pPr>
            <w:r w:rsidRPr="0013396E">
              <w:lastRenderedPageBreak/>
              <w:t xml:space="preserve">RTAML </w:t>
            </w:r>
            <w:r w:rsidRPr="0013396E">
              <w:rPr>
                <w:i/>
                <w:vertAlign w:val="subscript"/>
              </w:rPr>
              <w:t>q, p</w:t>
            </w:r>
          </w:p>
        </w:tc>
        <w:tc>
          <w:tcPr>
            <w:tcW w:w="0" w:type="auto"/>
          </w:tcPr>
          <w:p w14:paraId="1A3D9FB3" w14:textId="77777777" w:rsidR="001F04FD" w:rsidRPr="0013396E" w:rsidRDefault="001F04FD" w:rsidP="00AC4DEE">
            <w:pPr>
              <w:pStyle w:val="TableBody"/>
              <w:rPr>
                <w:i/>
              </w:rPr>
            </w:pPr>
            <w:r w:rsidRPr="0013396E">
              <w:t>MWh</w:t>
            </w:r>
          </w:p>
        </w:tc>
        <w:tc>
          <w:tcPr>
            <w:tcW w:w="0" w:type="auto"/>
          </w:tcPr>
          <w:p w14:paraId="49246899" w14:textId="77777777" w:rsidR="001F04FD" w:rsidRPr="0013396E" w:rsidRDefault="001F04FD" w:rsidP="00E91BBF">
            <w:pPr>
              <w:pStyle w:val="TableBody"/>
            </w:pPr>
            <w:r w:rsidRPr="0013396E">
              <w:rPr>
                <w:i/>
              </w:rPr>
              <w:t>Real-Time Adjusted Metered Load per Settlement Point per QSE</w:t>
            </w:r>
            <w:r w:rsidRPr="0013396E">
              <w:t xml:space="preserve">—The sum of the </w:t>
            </w:r>
            <w:r w:rsidR="00E91BBF" w:rsidRPr="0013396E">
              <w:t>AML</w:t>
            </w:r>
            <w:r w:rsidRPr="0013396E">
              <w:t xml:space="preserve"> at the Electrical Buses that are included in Settlement Point </w:t>
            </w:r>
            <w:r w:rsidRPr="0013396E">
              <w:rPr>
                <w:i/>
              </w:rPr>
              <w:t>p</w:t>
            </w:r>
            <w:r w:rsidRPr="0013396E">
              <w:t xml:space="preserve">, represented by QSE </w:t>
            </w:r>
            <w:r w:rsidRPr="0013396E">
              <w:rPr>
                <w:i/>
              </w:rPr>
              <w:t>q</w:t>
            </w:r>
            <w:r w:rsidRPr="0013396E">
              <w:t>, for the 15-minute Settlement Interval.</w:t>
            </w:r>
          </w:p>
        </w:tc>
      </w:tr>
      <w:tr w:rsidR="001F04FD" w:rsidRPr="0013396E" w14:paraId="4E63339A" w14:textId="77777777" w:rsidTr="00B039ED">
        <w:tc>
          <w:tcPr>
            <w:tcW w:w="2063" w:type="dxa"/>
          </w:tcPr>
          <w:p w14:paraId="2DFB28C9" w14:textId="77777777" w:rsidR="001F04FD" w:rsidRPr="0013396E" w:rsidRDefault="001F04FD" w:rsidP="00AC4DEE">
            <w:pPr>
              <w:pStyle w:val="TableBody"/>
            </w:pPr>
            <w:r w:rsidRPr="0013396E">
              <w:t>RTAMLTOT</w:t>
            </w:r>
          </w:p>
        </w:tc>
        <w:tc>
          <w:tcPr>
            <w:tcW w:w="0" w:type="auto"/>
          </w:tcPr>
          <w:p w14:paraId="17587745" w14:textId="77777777" w:rsidR="001F04FD" w:rsidRPr="0013396E" w:rsidRDefault="001F04FD" w:rsidP="00AC4DEE">
            <w:pPr>
              <w:pStyle w:val="TableBody"/>
              <w:rPr>
                <w:i/>
              </w:rPr>
            </w:pPr>
            <w:r w:rsidRPr="0013396E">
              <w:t>MWh</w:t>
            </w:r>
          </w:p>
        </w:tc>
        <w:tc>
          <w:tcPr>
            <w:tcW w:w="0" w:type="auto"/>
          </w:tcPr>
          <w:p w14:paraId="37E45A26" w14:textId="77777777" w:rsidR="001F04FD" w:rsidRPr="0013396E" w:rsidRDefault="001F04FD" w:rsidP="00E91BBF">
            <w:pPr>
              <w:pStyle w:val="TableBody"/>
            </w:pPr>
            <w:r w:rsidRPr="0013396E">
              <w:rPr>
                <w:i/>
              </w:rPr>
              <w:t>Real-Time Adjusted Metered Load Total</w:t>
            </w:r>
            <w:r w:rsidRPr="0013396E">
              <w:t xml:space="preserve">—The total </w:t>
            </w:r>
            <w:r w:rsidR="00E91BBF" w:rsidRPr="0013396E">
              <w:t>AML</w:t>
            </w:r>
            <w:r w:rsidRPr="0013396E">
              <w:t xml:space="preserve"> in ERCOT, for the 15-minute Settlement Interval.</w:t>
            </w:r>
          </w:p>
        </w:tc>
      </w:tr>
      <w:tr w:rsidR="009F62BA" w:rsidRPr="0013396E" w14:paraId="4C900C50" w14:textId="77777777" w:rsidTr="00B039ED">
        <w:tc>
          <w:tcPr>
            <w:tcW w:w="2063" w:type="dxa"/>
          </w:tcPr>
          <w:p w14:paraId="39CA26D4" w14:textId="7DDC018A" w:rsidR="009F62BA" w:rsidRPr="0013396E" w:rsidRDefault="009F62BA" w:rsidP="009F62BA">
            <w:pPr>
              <w:pStyle w:val="TableBody"/>
            </w:pPr>
            <w:r w:rsidRPr="0013396E">
              <w:rPr>
                <w:i/>
              </w:rPr>
              <w:t>q</w:t>
            </w:r>
          </w:p>
        </w:tc>
        <w:tc>
          <w:tcPr>
            <w:tcW w:w="0" w:type="auto"/>
          </w:tcPr>
          <w:p w14:paraId="1B405C13" w14:textId="7C3416A5" w:rsidR="009F62BA" w:rsidRPr="0013396E" w:rsidRDefault="009F62BA" w:rsidP="009F62BA">
            <w:pPr>
              <w:pStyle w:val="TableBody"/>
            </w:pPr>
            <w:r w:rsidRPr="0013396E">
              <w:t>none</w:t>
            </w:r>
          </w:p>
        </w:tc>
        <w:tc>
          <w:tcPr>
            <w:tcW w:w="0" w:type="auto"/>
          </w:tcPr>
          <w:p w14:paraId="0F18FC34" w14:textId="7555C088" w:rsidR="009F62BA" w:rsidRPr="0013396E" w:rsidRDefault="009F62BA" w:rsidP="009F62BA">
            <w:pPr>
              <w:pStyle w:val="TableBody"/>
              <w:rPr>
                <w:i/>
              </w:rPr>
            </w:pPr>
            <w:r w:rsidRPr="0013396E">
              <w:t>A QSE.</w:t>
            </w:r>
          </w:p>
        </w:tc>
      </w:tr>
      <w:tr w:rsidR="001F04FD" w:rsidRPr="0013396E" w14:paraId="141649F6" w14:textId="77777777" w:rsidTr="00B039ED">
        <w:tc>
          <w:tcPr>
            <w:tcW w:w="2063" w:type="dxa"/>
          </w:tcPr>
          <w:p w14:paraId="4EBF85F1" w14:textId="77777777" w:rsidR="001F04FD" w:rsidRPr="0013396E" w:rsidRDefault="001F04FD" w:rsidP="00AC4DEE">
            <w:pPr>
              <w:pStyle w:val="TableBody"/>
              <w:rPr>
                <w:i/>
              </w:rPr>
            </w:pPr>
            <w:r w:rsidRPr="0013396E">
              <w:rPr>
                <w:i/>
              </w:rPr>
              <w:t>p</w:t>
            </w:r>
          </w:p>
        </w:tc>
        <w:tc>
          <w:tcPr>
            <w:tcW w:w="0" w:type="auto"/>
          </w:tcPr>
          <w:p w14:paraId="24825714" w14:textId="77777777" w:rsidR="001F04FD" w:rsidRPr="0013396E" w:rsidRDefault="001F04FD" w:rsidP="00AC4DEE">
            <w:pPr>
              <w:pStyle w:val="TableBody"/>
            </w:pPr>
            <w:r w:rsidRPr="0013396E">
              <w:t>none</w:t>
            </w:r>
          </w:p>
        </w:tc>
        <w:tc>
          <w:tcPr>
            <w:tcW w:w="0" w:type="auto"/>
          </w:tcPr>
          <w:p w14:paraId="37535CA7" w14:textId="77777777" w:rsidR="001F04FD" w:rsidRPr="0013396E" w:rsidRDefault="001F04FD" w:rsidP="00AC4DEE">
            <w:pPr>
              <w:pStyle w:val="TableBody"/>
            </w:pPr>
            <w:r w:rsidRPr="0013396E">
              <w:t>A Settlement Point.  The summation is over all of the Settlement Points.</w:t>
            </w:r>
          </w:p>
        </w:tc>
      </w:tr>
    </w:tbl>
    <w:p w14:paraId="1BBEB590" w14:textId="77777777" w:rsidR="00222B2B" w:rsidRPr="0013396E" w:rsidRDefault="00222B2B" w:rsidP="00222B2B">
      <w:pPr>
        <w:keepNext/>
        <w:widowControl w:val="0"/>
        <w:tabs>
          <w:tab w:val="left" w:pos="1260"/>
        </w:tabs>
        <w:ind w:left="1260" w:hanging="1260"/>
        <w:outlineLvl w:val="3"/>
        <w:rPr>
          <w:b/>
          <w:bCs/>
          <w:snapToGrid w:val="0"/>
        </w:rPr>
      </w:pPr>
      <w:bookmarkStart w:id="1506" w:name="_Toc481502884"/>
      <w:bookmarkStart w:id="1507" w:name="_Toc496080052"/>
      <w:bookmarkStart w:id="1508" w:name="_Toc103653337"/>
      <w:bookmarkStart w:id="1509" w:name="_Toc109009387"/>
      <w:bookmarkStart w:id="1510" w:name="_Toc397505011"/>
      <w:bookmarkStart w:id="1511" w:name="_Toc402357139"/>
      <w:bookmarkStart w:id="1512" w:name="_Toc422486517"/>
      <w:bookmarkStart w:id="1513" w:name="_Toc433093369"/>
      <w:bookmarkStart w:id="1514" w:name="_Toc433093527"/>
      <w:bookmarkStart w:id="1515" w:name="_Toc440874755"/>
      <w:bookmarkStart w:id="1516" w:name="_Toc448142310"/>
      <w:bookmarkStart w:id="1517" w:name="_Toc448142467"/>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10080"/>
      </w:tblGrid>
      <w:tr w:rsidR="00222B2B" w:rsidRPr="0013396E" w14:paraId="6939547A" w14:textId="77777777" w:rsidTr="00316CC9">
        <w:trPr>
          <w:trHeight w:val="206"/>
        </w:trPr>
        <w:tc>
          <w:tcPr>
            <w:tcW w:w="9576" w:type="dxa"/>
            <w:shd w:val="pct12" w:color="auto" w:fill="auto"/>
          </w:tcPr>
          <w:p w14:paraId="5662DC74" w14:textId="3C9CA742" w:rsidR="00222B2B" w:rsidRPr="0013396E" w:rsidRDefault="00222B2B" w:rsidP="00316CC9">
            <w:pPr>
              <w:pStyle w:val="Instructions"/>
              <w:spacing w:before="120"/>
            </w:pPr>
            <w:r w:rsidRPr="0013396E">
              <w:t>[NPRR1030:  Insert paragraphs (2)-(4) below upon system implementation:]</w:t>
            </w:r>
          </w:p>
          <w:p w14:paraId="2657FB0B" w14:textId="77777777" w:rsidR="00222B2B" w:rsidRPr="0013396E" w:rsidRDefault="00222B2B" w:rsidP="00850957">
            <w:pPr>
              <w:pStyle w:val="BodyText"/>
              <w:ind w:left="720" w:hanging="720"/>
              <w:rPr>
                <w:bCs/>
                <w:snapToGrid w:val="0"/>
              </w:rPr>
            </w:pPr>
            <w:bookmarkStart w:id="1518" w:name="_Toc60040665"/>
            <w:r w:rsidRPr="0013396E">
              <w:rPr>
                <w:bCs/>
                <w:snapToGrid w:val="0"/>
              </w:rPr>
              <w:t>(2)</w:t>
            </w:r>
            <w:r w:rsidRPr="0013396E">
              <w:rPr>
                <w:bCs/>
                <w:snapToGrid w:val="0"/>
              </w:rPr>
              <w:tab/>
              <w:t xml:space="preserve">Each QSE’s MLRS, </w:t>
            </w:r>
            <w:r w:rsidRPr="0013396E">
              <w:t>excluding</w:t>
            </w:r>
            <w:r w:rsidRPr="0013396E">
              <w:rPr>
                <w:bCs/>
                <w:snapToGrid w:val="0"/>
              </w:rPr>
              <w:t xml:space="preserve"> DC Tie exports included in RTAML, for ERCOT’s peak Load 15-minute Settlement Interval in the calendar month is calculated as follows:</w:t>
            </w:r>
            <w:bookmarkEnd w:id="1518"/>
            <w:r w:rsidRPr="0013396E">
              <w:rPr>
                <w:bCs/>
                <w:snapToGrid w:val="0"/>
              </w:rPr>
              <w:t xml:space="preserve"> </w:t>
            </w:r>
          </w:p>
          <w:p w14:paraId="18468D0C" w14:textId="77777777" w:rsidR="00222B2B" w:rsidRPr="0013396E" w:rsidRDefault="00222B2B" w:rsidP="00222B2B">
            <w:pPr>
              <w:pStyle w:val="FormulaBold"/>
            </w:pPr>
            <w:r w:rsidRPr="0013396E">
              <w:t>MLRS</w:t>
            </w:r>
            <w:r w:rsidRPr="0013396E">
              <w:rPr>
                <w:i/>
                <w:vertAlign w:val="subscript"/>
              </w:rPr>
              <w:t xml:space="preserve"> q</w:t>
            </w:r>
            <w:r w:rsidRPr="0013396E">
              <w:tab/>
              <w:t>=</w:t>
            </w:r>
            <w:r w:rsidRPr="0013396E">
              <w:tab/>
              <w:t>max(0,</w:t>
            </w:r>
            <w:r w:rsidRPr="0013396E">
              <w:rPr>
                <w:position w:val="-22"/>
              </w:rPr>
              <w:object w:dxaOrig="225" w:dyaOrig="465" w14:anchorId="44DB08E5">
                <v:shape id="_x0000_i1074" type="#_x0000_t75" style="width:12pt;height:18.6pt" o:ole="">
                  <v:imagedata r:id="rId73" o:title=""/>
                </v:shape>
                <o:OLEObject Type="Embed" ProgID="Equation.3" ShapeID="_x0000_i1074" DrawAspect="Content" ObjectID="_1836311353" r:id="rId76"/>
              </w:object>
            </w:r>
            <w:r w:rsidRPr="0013396E">
              <w:t xml:space="preserve">(RTAML </w:t>
            </w:r>
            <w:r w:rsidRPr="0013396E">
              <w:rPr>
                <w:i/>
                <w:vertAlign w:val="subscript"/>
              </w:rPr>
              <w:t xml:space="preserve">q, p </w:t>
            </w:r>
            <w:r w:rsidRPr="0013396E">
              <w:rPr>
                <w:rFonts w:ascii="Times New Roman Bold" w:hAnsi="Times New Roman Bold"/>
                <w:i/>
              </w:rPr>
              <w:t xml:space="preserve">- </w:t>
            </w:r>
            <w:r w:rsidRPr="0013396E">
              <w:t>RTAMLDC</w:t>
            </w:r>
            <w:r w:rsidRPr="0013396E">
              <w:rPr>
                <w:lang w:val="sv-SE"/>
              </w:rPr>
              <w:t xml:space="preserve"> </w:t>
            </w:r>
            <w:r w:rsidRPr="0013396E">
              <w:rPr>
                <w:i/>
                <w:vertAlign w:val="subscript"/>
              </w:rPr>
              <w:t>q, p</w:t>
            </w:r>
            <w:r w:rsidRPr="0013396E">
              <w:t xml:space="preserve">)) / (RTAMLTOT - </w:t>
            </w:r>
            <w:r w:rsidRPr="0013396E">
              <w:rPr>
                <w:position w:val="-22"/>
              </w:rPr>
              <w:object w:dxaOrig="225" w:dyaOrig="465" w14:anchorId="21F1259D">
                <v:shape id="_x0000_i1075" type="#_x0000_t75" style="width:12pt;height:18.6pt" o:ole="">
                  <v:imagedata r:id="rId77" o:title=""/>
                </v:shape>
                <o:OLEObject Type="Embed" ProgID="Equation.3" ShapeID="_x0000_i1075" DrawAspect="Content" ObjectID="_1836311354" r:id="rId78"/>
              </w:object>
            </w:r>
            <w:r w:rsidRPr="0013396E">
              <w:rPr>
                <w:position w:val="-22"/>
              </w:rPr>
              <w:object w:dxaOrig="225" w:dyaOrig="465" w14:anchorId="3B3CCB82">
                <v:shape id="_x0000_i1076" type="#_x0000_t75" style="width:12pt;height:18.6pt" o:ole="">
                  <v:imagedata r:id="rId79" o:title=""/>
                </v:shape>
                <o:OLEObject Type="Embed" ProgID="Equation.3" ShapeID="_x0000_i1076" DrawAspect="Content" ObjectID="_1836311355" r:id="rId80"/>
              </w:object>
            </w:r>
            <w:r w:rsidRPr="0013396E">
              <w:t xml:space="preserve"> RTAMLDC</w:t>
            </w:r>
            <w:r w:rsidRPr="0013396E">
              <w:rPr>
                <w:lang w:val="sv-SE"/>
              </w:rPr>
              <w:t xml:space="preserve"> </w:t>
            </w:r>
            <w:r w:rsidRPr="0013396E">
              <w:rPr>
                <w:i/>
                <w:vertAlign w:val="subscript"/>
              </w:rPr>
              <w:t>q, p</w:t>
            </w:r>
            <w:r w:rsidRPr="0013396E">
              <w:t xml:space="preserve">) </w:t>
            </w:r>
          </w:p>
          <w:p w14:paraId="659DB3BD" w14:textId="77777777" w:rsidR="00222B2B" w:rsidRPr="0013396E" w:rsidRDefault="00222B2B" w:rsidP="00222B2B">
            <w:r w:rsidRPr="0013396E">
              <w:t>The above variables are defined as follows:</w:t>
            </w: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026"/>
              <w:gridCol w:w="697"/>
              <w:gridCol w:w="7117"/>
            </w:tblGrid>
            <w:tr w:rsidR="00222B2B" w:rsidRPr="0013396E" w14:paraId="4AC7E1CD" w14:textId="77777777" w:rsidTr="00316CC9">
              <w:tc>
                <w:tcPr>
                  <w:tcW w:w="2026" w:type="dxa"/>
                </w:tcPr>
                <w:p w14:paraId="7A422AB4" w14:textId="77777777" w:rsidR="00222B2B" w:rsidRPr="0013396E" w:rsidRDefault="00222B2B" w:rsidP="00222B2B">
                  <w:pPr>
                    <w:pStyle w:val="TableHead"/>
                  </w:pPr>
                  <w:r w:rsidRPr="0013396E">
                    <w:t>Variable</w:t>
                  </w:r>
                </w:p>
              </w:tc>
              <w:tc>
                <w:tcPr>
                  <w:tcW w:w="0" w:type="auto"/>
                </w:tcPr>
                <w:p w14:paraId="576D4628" w14:textId="77777777" w:rsidR="00222B2B" w:rsidRPr="0013396E" w:rsidRDefault="00222B2B" w:rsidP="00222B2B">
                  <w:pPr>
                    <w:pStyle w:val="TableHead"/>
                  </w:pPr>
                  <w:r w:rsidRPr="0013396E">
                    <w:t>Unit</w:t>
                  </w:r>
                </w:p>
              </w:tc>
              <w:tc>
                <w:tcPr>
                  <w:tcW w:w="0" w:type="auto"/>
                </w:tcPr>
                <w:p w14:paraId="162955A9" w14:textId="77777777" w:rsidR="00222B2B" w:rsidRPr="0013396E" w:rsidRDefault="00222B2B" w:rsidP="00222B2B">
                  <w:pPr>
                    <w:pStyle w:val="TableHead"/>
                  </w:pPr>
                  <w:r w:rsidRPr="0013396E">
                    <w:t>Description</w:t>
                  </w:r>
                </w:p>
              </w:tc>
            </w:tr>
            <w:tr w:rsidR="00222B2B" w:rsidRPr="0013396E" w14:paraId="564F2FDE" w14:textId="77777777" w:rsidTr="00316CC9">
              <w:tc>
                <w:tcPr>
                  <w:tcW w:w="2026" w:type="dxa"/>
                </w:tcPr>
                <w:p w14:paraId="712E5228" w14:textId="77777777" w:rsidR="00222B2B" w:rsidRPr="0013396E" w:rsidRDefault="00222B2B" w:rsidP="00222B2B">
                  <w:pPr>
                    <w:pStyle w:val="TableBody"/>
                  </w:pPr>
                  <w:r w:rsidRPr="0013396E">
                    <w:t>MLRS</w:t>
                  </w:r>
                  <w:r w:rsidRPr="0013396E">
                    <w:rPr>
                      <w:i/>
                      <w:vertAlign w:val="subscript"/>
                    </w:rPr>
                    <w:t xml:space="preserve"> q</w:t>
                  </w:r>
                </w:p>
              </w:tc>
              <w:tc>
                <w:tcPr>
                  <w:tcW w:w="0" w:type="auto"/>
                </w:tcPr>
                <w:p w14:paraId="1912BCD3" w14:textId="77777777" w:rsidR="00222B2B" w:rsidRPr="0013396E" w:rsidRDefault="00222B2B" w:rsidP="00222B2B">
                  <w:pPr>
                    <w:pStyle w:val="TableBody"/>
                  </w:pPr>
                  <w:r w:rsidRPr="0013396E">
                    <w:t>none</w:t>
                  </w:r>
                </w:p>
              </w:tc>
              <w:tc>
                <w:tcPr>
                  <w:tcW w:w="0" w:type="auto"/>
                </w:tcPr>
                <w:p w14:paraId="7EE29A87" w14:textId="77777777" w:rsidR="00222B2B" w:rsidRPr="0013396E" w:rsidRDefault="00222B2B" w:rsidP="00222B2B">
                  <w:pPr>
                    <w:pStyle w:val="TableBody"/>
                    <w:rPr>
                      <w:i/>
                    </w:rPr>
                  </w:pPr>
                  <w:r w:rsidRPr="0013396E">
                    <w:rPr>
                      <w:i/>
                    </w:rPr>
                    <w:t>Monthly Load Ratio Share per QSE</w:t>
                  </w:r>
                  <w:r w:rsidRPr="0013396E">
                    <w:t xml:space="preserve">—The ratio share of Loads excluding DC Tie Exports for QSE </w:t>
                  </w:r>
                  <w:r w:rsidRPr="0013396E">
                    <w:rPr>
                      <w:i/>
                    </w:rPr>
                    <w:t>q</w:t>
                  </w:r>
                  <w:r w:rsidRPr="0013396E">
                    <w:t xml:space="preserve">, for the peak Load 15-minute Settlement Interval. </w:t>
                  </w:r>
                </w:p>
              </w:tc>
            </w:tr>
            <w:tr w:rsidR="00222B2B" w:rsidRPr="0013396E" w14:paraId="1022AA74" w14:textId="77777777" w:rsidTr="00316CC9">
              <w:tc>
                <w:tcPr>
                  <w:tcW w:w="2026" w:type="dxa"/>
                </w:tcPr>
                <w:p w14:paraId="36EC372F" w14:textId="77777777" w:rsidR="00222B2B" w:rsidRPr="0013396E" w:rsidRDefault="00222B2B" w:rsidP="00222B2B">
                  <w:pPr>
                    <w:pStyle w:val="TableBody"/>
                  </w:pPr>
                  <w:r w:rsidRPr="0013396E">
                    <w:t xml:space="preserve">RTAML </w:t>
                  </w:r>
                  <w:r w:rsidRPr="0013396E">
                    <w:rPr>
                      <w:i/>
                      <w:vertAlign w:val="subscript"/>
                    </w:rPr>
                    <w:t>q, p</w:t>
                  </w:r>
                </w:p>
              </w:tc>
              <w:tc>
                <w:tcPr>
                  <w:tcW w:w="0" w:type="auto"/>
                </w:tcPr>
                <w:p w14:paraId="1F0DD041" w14:textId="77777777" w:rsidR="00222B2B" w:rsidRPr="0013396E" w:rsidRDefault="00222B2B" w:rsidP="00222B2B">
                  <w:pPr>
                    <w:pStyle w:val="TableBody"/>
                    <w:rPr>
                      <w:i/>
                    </w:rPr>
                  </w:pPr>
                  <w:r w:rsidRPr="0013396E">
                    <w:t>MWh</w:t>
                  </w:r>
                </w:p>
              </w:tc>
              <w:tc>
                <w:tcPr>
                  <w:tcW w:w="0" w:type="auto"/>
                </w:tcPr>
                <w:p w14:paraId="6FFB20B5" w14:textId="77777777" w:rsidR="00222B2B" w:rsidRPr="0013396E" w:rsidRDefault="00222B2B" w:rsidP="00222B2B">
                  <w:pPr>
                    <w:pStyle w:val="TableBody"/>
                  </w:pPr>
                  <w:r w:rsidRPr="0013396E">
                    <w:rPr>
                      <w:i/>
                    </w:rPr>
                    <w:t>Real-Time Adjusted Metered Load per Settlement Point per QSE</w:t>
                  </w:r>
                  <w:r w:rsidRPr="0013396E">
                    <w:t xml:space="preserve">—The sum of the AML at the Electrical Buses that are included in Settlement Point </w:t>
                  </w:r>
                  <w:r w:rsidRPr="0013396E">
                    <w:rPr>
                      <w:i/>
                    </w:rPr>
                    <w:t>p</w:t>
                  </w:r>
                  <w:r w:rsidRPr="0013396E">
                    <w:t xml:space="preserve">, represented by QSE </w:t>
                  </w:r>
                  <w:r w:rsidRPr="0013396E">
                    <w:rPr>
                      <w:i/>
                    </w:rPr>
                    <w:t>q</w:t>
                  </w:r>
                  <w:r w:rsidRPr="0013396E">
                    <w:t>, for the 15-minute Settlement Interval.</w:t>
                  </w:r>
                </w:p>
              </w:tc>
            </w:tr>
            <w:tr w:rsidR="00222B2B" w:rsidRPr="0013396E" w14:paraId="4ABD25D1" w14:textId="77777777" w:rsidTr="00316CC9">
              <w:tc>
                <w:tcPr>
                  <w:tcW w:w="2026" w:type="dxa"/>
                </w:tcPr>
                <w:p w14:paraId="1CF1F0CB" w14:textId="77777777" w:rsidR="00222B2B" w:rsidRPr="0013396E" w:rsidRDefault="00222B2B" w:rsidP="00222B2B">
                  <w:pPr>
                    <w:pStyle w:val="TableBody"/>
                  </w:pPr>
                  <w:r w:rsidRPr="0013396E">
                    <w:rPr>
                      <w:lang w:val="sv-SE"/>
                    </w:rPr>
                    <w:t xml:space="preserve">RTAMLDC </w:t>
                  </w:r>
                  <w:r w:rsidRPr="0013396E">
                    <w:rPr>
                      <w:i/>
                      <w:vertAlign w:val="subscript"/>
                      <w:lang w:val="sv-SE"/>
                    </w:rPr>
                    <w:t>q,p</w:t>
                  </w:r>
                </w:p>
              </w:tc>
              <w:tc>
                <w:tcPr>
                  <w:tcW w:w="0" w:type="auto"/>
                </w:tcPr>
                <w:p w14:paraId="08AF6E9F" w14:textId="77777777" w:rsidR="00222B2B" w:rsidRPr="0013396E" w:rsidRDefault="00222B2B" w:rsidP="00222B2B">
                  <w:pPr>
                    <w:pStyle w:val="TableBody"/>
                  </w:pPr>
                  <w:r w:rsidRPr="0013396E">
                    <w:t>MWh</w:t>
                  </w:r>
                </w:p>
              </w:tc>
              <w:tc>
                <w:tcPr>
                  <w:tcW w:w="0" w:type="auto"/>
                </w:tcPr>
                <w:p w14:paraId="4D337931" w14:textId="77777777" w:rsidR="00222B2B" w:rsidRPr="0013396E" w:rsidRDefault="00222B2B" w:rsidP="00222B2B">
                  <w:pPr>
                    <w:pStyle w:val="TableBody"/>
                    <w:rPr>
                      <w:i/>
                    </w:rPr>
                  </w:pPr>
                  <w:r w:rsidRPr="0013396E">
                    <w:rPr>
                      <w:i/>
                    </w:rPr>
                    <w:t>Real-Time Adjusted Metered Load for DC Ties per Settlement Point per QSE</w:t>
                  </w:r>
                  <w:r w:rsidRPr="0013396E">
                    <w:t xml:space="preserve">—The sum of the DC Tie AML at the Electrical Buses that are included in Settlement Point </w:t>
                  </w:r>
                  <w:r w:rsidRPr="0013396E">
                    <w:rPr>
                      <w:i/>
                    </w:rPr>
                    <w:t>p</w:t>
                  </w:r>
                  <w:r w:rsidRPr="0013396E">
                    <w:t xml:space="preserve">, represented by QSE </w:t>
                  </w:r>
                  <w:r w:rsidRPr="0013396E">
                    <w:rPr>
                      <w:i/>
                    </w:rPr>
                    <w:t>q</w:t>
                  </w:r>
                  <w:r w:rsidRPr="0013396E">
                    <w:t xml:space="preserve">, for the 15-minute Settlement Interval. </w:t>
                  </w:r>
                </w:p>
              </w:tc>
            </w:tr>
            <w:tr w:rsidR="00222B2B" w:rsidRPr="0013396E" w14:paraId="7CE3959A" w14:textId="77777777" w:rsidTr="00316CC9">
              <w:tc>
                <w:tcPr>
                  <w:tcW w:w="2026" w:type="dxa"/>
                </w:tcPr>
                <w:p w14:paraId="556094AC" w14:textId="77777777" w:rsidR="00222B2B" w:rsidRPr="0013396E" w:rsidRDefault="00222B2B" w:rsidP="00222B2B">
                  <w:pPr>
                    <w:pStyle w:val="TableBody"/>
                  </w:pPr>
                  <w:r w:rsidRPr="0013396E">
                    <w:t>RTAMLTOT</w:t>
                  </w:r>
                </w:p>
              </w:tc>
              <w:tc>
                <w:tcPr>
                  <w:tcW w:w="0" w:type="auto"/>
                </w:tcPr>
                <w:p w14:paraId="75346AD7" w14:textId="77777777" w:rsidR="00222B2B" w:rsidRPr="0013396E" w:rsidRDefault="00222B2B" w:rsidP="00222B2B">
                  <w:pPr>
                    <w:pStyle w:val="TableBody"/>
                    <w:rPr>
                      <w:i/>
                    </w:rPr>
                  </w:pPr>
                  <w:r w:rsidRPr="0013396E">
                    <w:t>MWh</w:t>
                  </w:r>
                </w:p>
              </w:tc>
              <w:tc>
                <w:tcPr>
                  <w:tcW w:w="0" w:type="auto"/>
                </w:tcPr>
                <w:p w14:paraId="76F3AA92" w14:textId="77777777" w:rsidR="00222B2B" w:rsidRPr="0013396E" w:rsidRDefault="00222B2B" w:rsidP="00222B2B">
                  <w:pPr>
                    <w:pStyle w:val="TableBody"/>
                  </w:pPr>
                  <w:r w:rsidRPr="0013396E">
                    <w:rPr>
                      <w:i/>
                    </w:rPr>
                    <w:t>Real-Time Adjusted Metered Load Total</w:t>
                  </w:r>
                  <w:r w:rsidRPr="0013396E">
                    <w:t>—The total AML in ERCOT, for the 15-minute Settlement Interval.</w:t>
                  </w:r>
                </w:p>
              </w:tc>
            </w:tr>
            <w:tr w:rsidR="00222B2B" w:rsidRPr="0013396E" w14:paraId="3ED42340" w14:textId="77777777" w:rsidTr="00316CC9">
              <w:tc>
                <w:tcPr>
                  <w:tcW w:w="2026" w:type="dxa"/>
                </w:tcPr>
                <w:p w14:paraId="41EF2ACF" w14:textId="77777777" w:rsidR="00222B2B" w:rsidRPr="0013396E" w:rsidRDefault="00222B2B" w:rsidP="00222B2B">
                  <w:pPr>
                    <w:pStyle w:val="TableBody"/>
                    <w:rPr>
                      <w:i/>
                    </w:rPr>
                  </w:pPr>
                  <w:r w:rsidRPr="0013396E">
                    <w:rPr>
                      <w:i/>
                      <w:iCs w:val="0"/>
                    </w:rPr>
                    <w:t>q</w:t>
                  </w:r>
                </w:p>
              </w:tc>
              <w:tc>
                <w:tcPr>
                  <w:tcW w:w="0" w:type="auto"/>
                </w:tcPr>
                <w:p w14:paraId="0F4A1667" w14:textId="77777777" w:rsidR="00222B2B" w:rsidRPr="0013396E" w:rsidRDefault="00222B2B" w:rsidP="00222B2B">
                  <w:pPr>
                    <w:pStyle w:val="TableBody"/>
                  </w:pPr>
                  <w:r w:rsidRPr="0013396E">
                    <w:rPr>
                      <w:iCs w:val="0"/>
                    </w:rPr>
                    <w:t>none</w:t>
                  </w:r>
                </w:p>
              </w:tc>
              <w:tc>
                <w:tcPr>
                  <w:tcW w:w="0" w:type="auto"/>
                </w:tcPr>
                <w:p w14:paraId="284A20AC" w14:textId="77777777" w:rsidR="00222B2B" w:rsidRPr="0013396E" w:rsidRDefault="00222B2B" w:rsidP="00222B2B">
                  <w:pPr>
                    <w:pStyle w:val="TableBody"/>
                  </w:pPr>
                  <w:r w:rsidRPr="0013396E">
                    <w:rPr>
                      <w:iCs w:val="0"/>
                    </w:rPr>
                    <w:t xml:space="preserve">A QSE.  </w:t>
                  </w:r>
                </w:p>
              </w:tc>
            </w:tr>
            <w:tr w:rsidR="00222B2B" w:rsidRPr="0013396E" w14:paraId="419AAC29" w14:textId="77777777" w:rsidTr="00316CC9">
              <w:tc>
                <w:tcPr>
                  <w:tcW w:w="2026" w:type="dxa"/>
                </w:tcPr>
                <w:p w14:paraId="6B593400" w14:textId="77777777" w:rsidR="00222B2B" w:rsidRPr="0013396E" w:rsidRDefault="00222B2B" w:rsidP="00222B2B">
                  <w:pPr>
                    <w:pStyle w:val="TableBody"/>
                    <w:rPr>
                      <w:i/>
                    </w:rPr>
                  </w:pPr>
                  <w:r w:rsidRPr="0013396E">
                    <w:rPr>
                      <w:i/>
                    </w:rPr>
                    <w:t>p</w:t>
                  </w:r>
                </w:p>
              </w:tc>
              <w:tc>
                <w:tcPr>
                  <w:tcW w:w="0" w:type="auto"/>
                </w:tcPr>
                <w:p w14:paraId="582CD777" w14:textId="77777777" w:rsidR="00222B2B" w:rsidRPr="0013396E" w:rsidRDefault="00222B2B" w:rsidP="00222B2B">
                  <w:pPr>
                    <w:pStyle w:val="TableBody"/>
                  </w:pPr>
                  <w:r w:rsidRPr="0013396E">
                    <w:t>none</w:t>
                  </w:r>
                </w:p>
              </w:tc>
              <w:tc>
                <w:tcPr>
                  <w:tcW w:w="0" w:type="auto"/>
                </w:tcPr>
                <w:p w14:paraId="4B52C69F" w14:textId="77777777" w:rsidR="00222B2B" w:rsidRPr="0013396E" w:rsidRDefault="00222B2B" w:rsidP="00222B2B">
                  <w:pPr>
                    <w:pStyle w:val="TableBody"/>
                  </w:pPr>
                  <w:r w:rsidRPr="0013396E">
                    <w:t>A Settlement Point.  The summation is over all of the Settlement Points.</w:t>
                  </w:r>
                </w:p>
              </w:tc>
            </w:tr>
          </w:tbl>
          <w:p w14:paraId="0083A5C6" w14:textId="77777777" w:rsidR="00222B2B" w:rsidRPr="0013396E" w:rsidRDefault="00222B2B" w:rsidP="00222B2B">
            <w:pPr>
              <w:spacing w:before="240" w:after="240"/>
              <w:ind w:left="720" w:hanging="720"/>
              <w:rPr>
                <w:iCs/>
              </w:rPr>
            </w:pPr>
            <w:r w:rsidRPr="0013396E">
              <w:rPr>
                <w:iCs/>
              </w:rPr>
              <w:t>(3)</w:t>
            </w:r>
            <w:r w:rsidRPr="0013396E">
              <w:rPr>
                <w:iCs/>
              </w:rPr>
              <w:tab/>
              <w:t xml:space="preserve">ERCOT total AML per Congestion Management Zone (CMZ) </w:t>
            </w:r>
            <w:r w:rsidRPr="0013396E">
              <w:rPr>
                <w:bCs/>
                <w:snapToGrid w:val="0"/>
              </w:rPr>
              <w:t>excluding DC Tie exports included in RTAML</w:t>
            </w:r>
            <w:r w:rsidRPr="0013396E">
              <w:rPr>
                <w:iCs/>
              </w:rPr>
              <w:t xml:space="preserve"> </w:t>
            </w:r>
            <w:r w:rsidRPr="0013396E">
              <w:rPr>
                <w:bCs/>
                <w:snapToGrid w:val="0"/>
              </w:rPr>
              <w:t xml:space="preserve">for ERCOT’s peak Load 15-minute Settlement Interval in the calendar month </w:t>
            </w:r>
            <w:r w:rsidRPr="0013396E">
              <w:rPr>
                <w:iCs/>
              </w:rPr>
              <w:t>is calculated as follows:</w:t>
            </w:r>
          </w:p>
          <w:p w14:paraId="557B5A5F" w14:textId="77777777" w:rsidR="00222B2B" w:rsidRPr="0013396E" w:rsidRDefault="00222B2B" w:rsidP="00222B2B">
            <w:pPr>
              <w:tabs>
                <w:tab w:val="left" w:pos="2250"/>
                <w:tab w:val="left" w:pos="3150"/>
                <w:tab w:val="left" w:pos="3960"/>
              </w:tabs>
              <w:spacing w:after="240"/>
              <w:ind w:left="3960" w:hanging="3240"/>
              <w:rPr>
                <w:b/>
                <w:bCs/>
              </w:rPr>
            </w:pPr>
            <w:r w:rsidRPr="0013396E">
              <w:rPr>
                <w:b/>
                <w:bCs/>
              </w:rPr>
              <w:t>RTAMLLZTOT</w:t>
            </w:r>
            <w:r w:rsidRPr="0013396E">
              <w:rPr>
                <w:rFonts w:ascii="Times New Roman Bold" w:hAnsi="Times New Roman Bold"/>
                <w:b/>
                <w:bCs/>
                <w:vertAlign w:val="subscript"/>
              </w:rPr>
              <w:t>z</w:t>
            </w:r>
            <w:r w:rsidRPr="0013396E">
              <w:rPr>
                <w:b/>
                <w:bCs/>
              </w:rPr>
              <w:tab/>
              <w:t>=</w:t>
            </w:r>
            <w:r w:rsidRPr="0013396E">
              <w:rPr>
                <w:b/>
                <w:bCs/>
              </w:rPr>
              <w:tab/>
            </w:r>
            <w:r w:rsidRPr="0013396E">
              <w:rPr>
                <w:b/>
                <w:bCs/>
                <w:position w:val="-22"/>
              </w:rPr>
              <w:object w:dxaOrig="225" w:dyaOrig="465" w14:anchorId="11F70542">
                <v:shape id="_x0000_i1077" type="#_x0000_t75" style="width:12pt;height:18.6pt" o:ole="">
                  <v:imagedata r:id="rId77" o:title=""/>
                </v:shape>
                <o:OLEObject Type="Embed" ProgID="Equation.3" ShapeID="_x0000_i1077" DrawAspect="Content" ObjectID="_1836311356" r:id="rId81"/>
              </w:object>
            </w:r>
            <w:r w:rsidRPr="0013396E">
              <w:rPr>
                <w:b/>
                <w:bCs/>
              </w:rPr>
              <w:t xml:space="preserve"> (max(0,</w:t>
            </w:r>
            <w:r w:rsidRPr="0013396E">
              <w:rPr>
                <w:b/>
                <w:bCs/>
                <w:sz w:val="12"/>
                <w:szCs w:val="12"/>
              </w:rPr>
              <w:t xml:space="preserve"> </w:t>
            </w:r>
            <w:r w:rsidRPr="0013396E">
              <w:rPr>
                <w:position w:val="-22"/>
              </w:rPr>
              <w:object w:dxaOrig="225" w:dyaOrig="465" w14:anchorId="4C9162AF">
                <v:shape id="_x0000_i1078" type="#_x0000_t75" style="width:12pt;height:18.6pt" o:ole="">
                  <v:imagedata r:id="rId79" o:title=""/>
                </v:shape>
                <o:OLEObject Type="Embed" ProgID="Equation.3" ShapeID="_x0000_i1078" DrawAspect="Content" ObjectID="_1836311357" r:id="rId82"/>
              </w:object>
            </w:r>
            <w:r w:rsidRPr="0013396E">
              <w:t>(</w:t>
            </w:r>
            <w:r w:rsidRPr="0013396E">
              <w:rPr>
                <w:b/>
                <w:bCs/>
              </w:rPr>
              <w:t xml:space="preserve">RTAML </w:t>
            </w:r>
            <w:r w:rsidRPr="0013396E">
              <w:rPr>
                <w:b/>
                <w:bCs/>
                <w:i/>
                <w:vertAlign w:val="subscript"/>
              </w:rPr>
              <w:t xml:space="preserve">q, p </w:t>
            </w:r>
            <w:r w:rsidRPr="0013396E">
              <w:rPr>
                <w:rFonts w:ascii="Times New Roman Bold" w:hAnsi="Times New Roman Bold"/>
                <w:b/>
                <w:bCs/>
                <w:i/>
              </w:rPr>
              <w:t xml:space="preserve">– </w:t>
            </w:r>
            <w:r w:rsidRPr="0013396E">
              <w:rPr>
                <w:rFonts w:ascii="Times New Roman Bold" w:hAnsi="Times New Roman Bold"/>
                <w:b/>
                <w:bCs/>
              </w:rPr>
              <w:t>RTAMLDC</w:t>
            </w:r>
            <w:r w:rsidRPr="0013396E">
              <w:rPr>
                <w:rFonts w:ascii="Times New Roman Bold" w:hAnsi="Times New Roman Bold"/>
                <w:bCs/>
              </w:rPr>
              <w:t xml:space="preserve"> </w:t>
            </w:r>
            <w:r w:rsidRPr="0013396E">
              <w:rPr>
                <w:b/>
                <w:bCs/>
                <w:i/>
                <w:vertAlign w:val="subscript"/>
              </w:rPr>
              <w:t xml:space="preserve">q, p </w:t>
            </w:r>
            <w:r w:rsidRPr="0013396E">
              <w:rPr>
                <w:b/>
                <w:bCs/>
              </w:rPr>
              <w:t>)))</w:t>
            </w:r>
          </w:p>
          <w:p w14:paraId="7846C640" w14:textId="77777777" w:rsidR="00222B2B" w:rsidRPr="0013396E" w:rsidRDefault="00222B2B" w:rsidP="00222B2B">
            <w:r w:rsidRPr="0013396E">
              <w:t>The above variables are defined as follows:</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003"/>
              <w:gridCol w:w="697"/>
              <w:gridCol w:w="6655"/>
            </w:tblGrid>
            <w:tr w:rsidR="00222B2B" w:rsidRPr="0013396E" w14:paraId="5DF6AD13" w14:textId="77777777" w:rsidTr="00316CC9">
              <w:tc>
                <w:tcPr>
                  <w:tcW w:w="2003" w:type="dxa"/>
                </w:tcPr>
                <w:p w14:paraId="5FFD5D9D" w14:textId="77777777" w:rsidR="00222B2B" w:rsidRPr="0013396E" w:rsidRDefault="00222B2B" w:rsidP="00222B2B">
                  <w:pPr>
                    <w:spacing w:after="120"/>
                    <w:rPr>
                      <w:b/>
                      <w:iCs/>
                      <w:sz w:val="20"/>
                    </w:rPr>
                  </w:pPr>
                  <w:r w:rsidRPr="0013396E">
                    <w:rPr>
                      <w:b/>
                      <w:iCs/>
                      <w:sz w:val="20"/>
                    </w:rPr>
                    <w:t>Variable</w:t>
                  </w:r>
                </w:p>
              </w:tc>
              <w:tc>
                <w:tcPr>
                  <w:tcW w:w="697" w:type="dxa"/>
                </w:tcPr>
                <w:p w14:paraId="15FD45C0" w14:textId="77777777" w:rsidR="00222B2B" w:rsidRPr="0013396E" w:rsidRDefault="00222B2B" w:rsidP="00222B2B">
                  <w:pPr>
                    <w:spacing w:after="120"/>
                    <w:rPr>
                      <w:b/>
                      <w:iCs/>
                      <w:sz w:val="20"/>
                    </w:rPr>
                  </w:pPr>
                  <w:r w:rsidRPr="0013396E">
                    <w:rPr>
                      <w:b/>
                      <w:iCs/>
                      <w:sz w:val="20"/>
                    </w:rPr>
                    <w:t>Unit</w:t>
                  </w:r>
                </w:p>
              </w:tc>
              <w:tc>
                <w:tcPr>
                  <w:tcW w:w="6655" w:type="dxa"/>
                </w:tcPr>
                <w:p w14:paraId="306997F0" w14:textId="77777777" w:rsidR="00222B2B" w:rsidRPr="0013396E" w:rsidRDefault="00222B2B" w:rsidP="00222B2B">
                  <w:pPr>
                    <w:spacing w:after="120"/>
                    <w:rPr>
                      <w:b/>
                      <w:iCs/>
                      <w:sz w:val="20"/>
                    </w:rPr>
                  </w:pPr>
                  <w:r w:rsidRPr="0013396E">
                    <w:rPr>
                      <w:b/>
                      <w:iCs/>
                      <w:sz w:val="20"/>
                    </w:rPr>
                    <w:t>Description</w:t>
                  </w:r>
                </w:p>
              </w:tc>
            </w:tr>
            <w:tr w:rsidR="00222B2B" w:rsidRPr="0013396E" w14:paraId="1F195895" w14:textId="77777777" w:rsidTr="00316CC9">
              <w:tc>
                <w:tcPr>
                  <w:tcW w:w="2003" w:type="dxa"/>
                </w:tcPr>
                <w:p w14:paraId="5B5A9867" w14:textId="77777777" w:rsidR="00222B2B" w:rsidRPr="0013396E" w:rsidRDefault="00222B2B" w:rsidP="00222B2B">
                  <w:pPr>
                    <w:spacing w:after="60"/>
                    <w:rPr>
                      <w:iCs/>
                      <w:sz w:val="20"/>
                      <w:vertAlign w:val="subscript"/>
                    </w:rPr>
                  </w:pPr>
                  <w:r w:rsidRPr="0013396E">
                    <w:rPr>
                      <w:iCs/>
                      <w:sz w:val="20"/>
                    </w:rPr>
                    <w:t>RTAMLLZTOT</w:t>
                  </w:r>
                  <w:r w:rsidRPr="0013396E">
                    <w:rPr>
                      <w:iCs/>
                      <w:sz w:val="20"/>
                      <w:vertAlign w:val="subscript"/>
                    </w:rPr>
                    <w:t>z</w:t>
                  </w:r>
                </w:p>
              </w:tc>
              <w:tc>
                <w:tcPr>
                  <w:tcW w:w="697" w:type="dxa"/>
                </w:tcPr>
                <w:p w14:paraId="3D9593D7" w14:textId="77777777" w:rsidR="00222B2B" w:rsidRPr="0013396E" w:rsidRDefault="00222B2B" w:rsidP="00222B2B">
                  <w:pPr>
                    <w:spacing w:after="60"/>
                    <w:rPr>
                      <w:i/>
                      <w:iCs/>
                      <w:sz w:val="20"/>
                    </w:rPr>
                  </w:pPr>
                  <w:r w:rsidRPr="0013396E">
                    <w:rPr>
                      <w:iCs/>
                      <w:sz w:val="20"/>
                    </w:rPr>
                    <w:t>MWh</w:t>
                  </w:r>
                </w:p>
              </w:tc>
              <w:tc>
                <w:tcPr>
                  <w:tcW w:w="6655" w:type="dxa"/>
                </w:tcPr>
                <w:p w14:paraId="2E557294" w14:textId="77777777" w:rsidR="00222B2B" w:rsidRPr="0013396E" w:rsidRDefault="00222B2B" w:rsidP="00222B2B">
                  <w:pPr>
                    <w:spacing w:after="60"/>
                    <w:rPr>
                      <w:iCs/>
                      <w:sz w:val="20"/>
                    </w:rPr>
                  </w:pPr>
                  <w:r w:rsidRPr="0013396E">
                    <w:rPr>
                      <w:i/>
                      <w:iCs/>
                      <w:sz w:val="20"/>
                    </w:rPr>
                    <w:t>Real-Time Adjusted Metered Load - Load Zone Total</w:t>
                  </w:r>
                  <w:r w:rsidRPr="0013396E">
                    <w:rPr>
                      <w:iCs/>
                      <w:sz w:val="20"/>
                    </w:rPr>
                    <w:t>—The total AML excluding DC Tie exports in CMZ z, for the peak Load 15-minute Settlement Interval in the calendar month.</w:t>
                  </w:r>
                </w:p>
              </w:tc>
            </w:tr>
            <w:tr w:rsidR="00222B2B" w:rsidRPr="0013396E" w14:paraId="23D66E26" w14:textId="77777777" w:rsidTr="00316CC9">
              <w:tc>
                <w:tcPr>
                  <w:tcW w:w="2003" w:type="dxa"/>
                </w:tcPr>
                <w:p w14:paraId="2A68042D" w14:textId="77777777" w:rsidR="00222B2B" w:rsidRPr="0013396E" w:rsidRDefault="00222B2B" w:rsidP="00222B2B">
                  <w:pPr>
                    <w:spacing w:after="60"/>
                    <w:rPr>
                      <w:iCs/>
                      <w:sz w:val="20"/>
                    </w:rPr>
                  </w:pPr>
                  <w:r w:rsidRPr="0013396E">
                    <w:rPr>
                      <w:iCs/>
                      <w:sz w:val="20"/>
                    </w:rPr>
                    <w:t xml:space="preserve">RTAML </w:t>
                  </w:r>
                  <w:r w:rsidRPr="0013396E">
                    <w:rPr>
                      <w:i/>
                      <w:iCs/>
                      <w:sz w:val="20"/>
                      <w:vertAlign w:val="subscript"/>
                    </w:rPr>
                    <w:t>q, p</w:t>
                  </w:r>
                </w:p>
              </w:tc>
              <w:tc>
                <w:tcPr>
                  <w:tcW w:w="697" w:type="dxa"/>
                </w:tcPr>
                <w:p w14:paraId="73750717" w14:textId="77777777" w:rsidR="00222B2B" w:rsidRPr="0013396E" w:rsidRDefault="00222B2B" w:rsidP="00222B2B">
                  <w:pPr>
                    <w:spacing w:after="60"/>
                    <w:rPr>
                      <w:iCs/>
                      <w:sz w:val="20"/>
                    </w:rPr>
                  </w:pPr>
                  <w:r w:rsidRPr="0013396E">
                    <w:rPr>
                      <w:iCs/>
                      <w:sz w:val="20"/>
                    </w:rPr>
                    <w:t>MWh</w:t>
                  </w:r>
                </w:p>
              </w:tc>
              <w:tc>
                <w:tcPr>
                  <w:tcW w:w="6655" w:type="dxa"/>
                </w:tcPr>
                <w:p w14:paraId="6B9DE7E7" w14:textId="7CEB24BA" w:rsidR="00222B2B" w:rsidRPr="0013396E" w:rsidRDefault="00222B2B" w:rsidP="00DC7F34">
                  <w:pPr>
                    <w:spacing w:after="60"/>
                    <w:rPr>
                      <w:i/>
                      <w:iCs/>
                      <w:sz w:val="20"/>
                    </w:rPr>
                  </w:pPr>
                  <w:r w:rsidRPr="0013396E">
                    <w:rPr>
                      <w:i/>
                      <w:iCs/>
                      <w:sz w:val="20"/>
                    </w:rPr>
                    <w:t>Real-Time Adjusted Metered Load per QSE per Settlement Point</w:t>
                  </w:r>
                  <w:r w:rsidRPr="0013396E">
                    <w:rPr>
                      <w:iCs/>
                      <w:sz w:val="20"/>
                    </w:rPr>
                    <w:t xml:space="preserve">—The sum of the AML at the Electrical Buses that are included in Settlement Point </w:t>
                  </w:r>
                  <w:r w:rsidRPr="0013396E">
                    <w:rPr>
                      <w:i/>
                      <w:iCs/>
                      <w:sz w:val="20"/>
                    </w:rPr>
                    <w:t>p</w:t>
                  </w:r>
                  <w:r w:rsidRPr="0013396E">
                    <w:rPr>
                      <w:iCs/>
                      <w:sz w:val="20"/>
                    </w:rPr>
                    <w:t xml:space="preserve">, represented by QSE </w:t>
                  </w:r>
                  <w:r w:rsidRPr="0013396E">
                    <w:rPr>
                      <w:i/>
                      <w:iCs/>
                      <w:sz w:val="20"/>
                    </w:rPr>
                    <w:t>q</w:t>
                  </w:r>
                  <w:r w:rsidRPr="0013396E">
                    <w:rPr>
                      <w:iCs/>
                      <w:sz w:val="20"/>
                    </w:rPr>
                    <w:t>, for the 15-minute Settlement Interval</w:t>
                  </w:r>
                  <w:r w:rsidRPr="0013396E">
                    <w:rPr>
                      <w:i/>
                      <w:iCs/>
                      <w:sz w:val="20"/>
                    </w:rPr>
                    <w:t xml:space="preserve">. </w:t>
                  </w:r>
                </w:p>
              </w:tc>
            </w:tr>
            <w:tr w:rsidR="00222B2B" w:rsidRPr="0013396E" w14:paraId="0028ED1E" w14:textId="77777777" w:rsidTr="00316CC9">
              <w:tc>
                <w:tcPr>
                  <w:tcW w:w="2003" w:type="dxa"/>
                </w:tcPr>
                <w:p w14:paraId="744C6A90" w14:textId="77777777" w:rsidR="00222B2B" w:rsidRPr="0013396E" w:rsidRDefault="00222B2B" w:rsidP="00222B2B">
                  <w:pPr>
                    <w:spacing w:after="60"/>
                    <w:rPr>
                      <w:i/>
                      <w:iCs/>
                      <w:sz w:val="20"/>
                    </w:rPr>
                  </w:pPr>
                  <w:r w:rsidRPr="0013396E">
                    <w:rPr>
                      <w:sz w:val="20"/>
                      <w:lang w:val="sv-SE"/>
                    </w:rPr>
                    <w:lastRenderedPageBreak/>
                    <w:t xml:space="preserve">RTAMLDC </w:t>
                  </w:r>
                  <w:r w:rsidRPr="0013396E">
                    <w:rPr>
                      <w:i/>
                      <w:sz w:val="20"/>
                      <w:vertAlign w:val="subscript"/>
                      <w:lang w:val="sv-SE"/>
                    </w:rPr>
                    <w:t>q, p</w:t>
                  </w:r>
                </w:p>
              </w:tc>
              <w:tc>
                <w:tcPr>
                  <w:tcW w:w="697" w:type="dxa"/>
                </w:tcPr>
                <w:p w14:paraId="32A11072" w14:textId="77777777" w:rsidR="00222B2B" w:rsidRPr="0013396E" w:rsidRDefault="00222B2B" w:rsidP="00222B2B">
                  <w:pPr>
                    <w:spacing w:after="60"/>
                    <w:rPr>
                      <w:iCs/>
                      <w:sz w:val="20"/>
                    </w:rPr>
                  </w:pPr>
                  <w:r w:rsidRPr="0013396E">
                    <w:rPr>
                      <w:sz w:val="20"/>
                    </w:rPr>
                    <w:t>MWh</w:t>
                  </w:r>
                </w:p>
              </w:tc>
              <w:tc>
                <w:tcPr>
                  <w:tcW w:w="6655" w:type="dxa"/>
                </w:tcPr>
                <w:p w14:paraId="6800C240" w14:textId="77777777" w:rsidR="00222B2B" w:rsidRPr="0013396E" w:rsidRDefault="00222B2B" w:rsidP="00222B2B">
                  <w:pPr>
                    <w:spacing w:after="60"/>
                    <w:rPr>
                      <w:iCs/>
                      <w:sz w:val="20"/>
                    </w:rPr>
                  </w:pPr>
                  <w:r w:rsidRPr="0013396E">
                    <w:rPr>
                      <w:i/>
                      <w:sz w:val="20"/>
                    </w:rPr>
                    <w:t>Real-Time Adjusted Metered Load for DC Ties per Settlement Point per QSE</w:t>
                  </w:r>
                  <w:r w:rsidRPr="0013396E">
                    <w:rPr>
                      <w:sz w:val="20"/>
                    </w:rPr>
                    <w:t xml:space="preserve">—The sum of the DC Tie AML at the Electrical Buses that are included in Settlement Point </w:t>
                  </w:r>
                  <w:r w:rsidRPr="0013396E">
                    <w:rPr>
                      <w:i/>
                      <w:sz w:val="20"/>
                    </w:rPr>
                    <w:t>p</w:t>
                  </w:r>
                  <w:r w:rsidRPr="0013396E">
                    <w:rPr>
                      <w:sz w:val="20"/>
                    </w:rPr>
                    <w:t xml:space="preserve">, represented by QSE </w:t>
                  </w:r>
                  <w:r w:rsidRPr="0013396E">
                    <w:rPr>
                      <w:i/>
                      <w:sz w:val="20"/>
                    </w:rPr>
                    <w:t>q</w:t>
                  </w:r>
                  <w:r w:rsidRPr="0013396E">
                    <w:rPr>
                      <w:sz w:val="20"/>
                    </w:rPr>
                    <w:t>, for the 15-minute Settlement Interval.</w:t>
                  </w:r>
                </w:p>
              </w:tc>
            </w:tr>
            <w:tr w:rsidR="00222B2B" w:rsidRPr="0013396E" w14:paraId="03D11B9D" w14:textId="77777777" w:rsidTr="00316CC9">
              <w:tc>
                <w:tcPr>
                  <w:tcW w:w="2003" w:type="dxa"/>
                </w:tcPr>
                <w:p w14:paraId="3D1D3F89" w14:textId="77777777" w:rsidR="00222B2B" w:rsidRPr="0013396E" w:rsidRDefault="00222B2B" w:rsidP="00222B2B">
                  <w:pPr>
                    <w:spacing w:after="60"/>
                    <w:rPr>
                      <w:i/>
                      <w:iCs/>
                      <w:sz w:val="20"/>
                    </w:rPr>
                  </w:pPr>
                  <w:r w:rsidRPr="0013396E">
                    <w:rPr>
                      <w:i/>
                      <w:iCs/>
                      <w:sz w:val="20"/>
                    </w:rPr>
                    <w:t>q</w:t>
                  </w:r>
                </w:p>
              </w:tc>
              <w:tc>
                <w:tcPr>
                  <w:tcW w:w="697" w:type="dxa"/>
                </w:tcPr>
                <w:p w14:paraId="261B47FC" w14:textId="77777777" w:rsidR="00222B2B" w:rsidRPr="0013396E" w:rsidRDefault="00222B2B" w:rsidP="00222B2B">
                  <w:pPr>
                    <w:spacing w:after="60"/>
                    <w:rPr>
                      <w:iCs/>
                      <w:sz w:val="20"/>
                    </w:rPr>
                  </w:pPr>
                  <w:r w:rsidRPr="0013396E">
                    <w:rPr>
                      <w:iCs/>
                      <w:sz w:val="20"/>
                    </w:rPr>
                    <w:t>none</w:t>
                  </w:r>
                </w:p>
              </w:tc>
              <w:tc>
                <w:tcPr>
                  <w:tcW w:w="6655" w:type="dxa"/>
                </w:tcPr>
                <w:p w14:paraId="7FA54EE8" w14:textId="77777777" w:rsidR="00222B2B" w:rsidRPr="0013396E" w:rsidRDefault="00222B2B" w:rsidP="00222B2B">
                  <w:pPr>
                    <w:spacing w:after="60"/>
                    <w:rPr>
                      <w:iCs/>
                      <w:sz w:val="20"/>
                    </w:rPr>
                  </w:pPr>
                  <w:r w:rsidRPr="0013396E">
                    <w:rPr>
                      <w:iCs/>
                      <w:sz w:val="20"/>
                    </w:rPr>
                    <w:t xml:space="preserve">A QSE.  </w:t>
                  </w:r>
                </w:p>
              </w:tc>
            </w:tr>
            <w:tr w:rsidR="00222B2B" w:rsidRPr="0013396E" w14:paraId="773810DF" w14:textId="77777777" w:rsidTr="00316CC9">
              <w:tc>
                <w:tcPr>
                  <w:tcW w:w="2003" w:type="dxa"/>
                </w:tcPr>
                <w:p w14:paraId="081CF6EF" w14:textId="77777777" w:rsidR="00222B2B" w:rsidRPr="0013396E" w:rsidRDefault="00222B2B" w:rsidP="00222B2B">
                  <w:pPr>
                    <w:spacing w:after="60"/>
                    <w:rPr>
                      <w:i/>
                      <w:iCs/>
                      <w:sz w:val="20"/>
                    </w:rPr>
                  </w:pPr>
                  <w:r w:rsidRPr="0013396E">
                    <w:rPr>
                      <w:i/>
                      <w:iCs/>
                      <w:sz w:val="20"/>
                    </w:rPr>
                    <w:t>p</w:t>
                  </w:r>
                </w:p>
              </w:tc>
              <w:tc>
                <w:tcPr>
                  <w:tcW w:w="697" w:type="dxa"/>
                </w:tcPr>
                <w:p w14:paraId="5A39D855" w14:textId="77777777" w:rsidR="00222B2B" w:rsidRPr="0013396E" w:rsidRDefault="00222B2B" w:rsidP="00222B2B">
                  <w:pPr>
                    <w:spacing w:after="60"/>
                    <w:rPr>
                      <w:iCs/>
                      <w:sz w:val="20"/>
                    </w:rPr>
                  </w:pPr>
                  <w:r w:rsidRPr="0013396E">
                    <w:rPr>
                      <w:iCs/>
                      <w:sz w:val="20"/>
                    </w:rPr>
                    <w:t>none</w:t>
                  </w:r>
                </w:p>
              </w:tc>
              <w:tc>
                <w:tcPr>
                  <w:tcW w:w="6655" w:type="dxa"/>
                </w:tcPr>
                <w:p w14:paraId="782D26D7" w14:textId="77777777" w:rsidR="00222B2B" w:rsidRPr="0013396E" w:rsidRDefault="00222B2B" w:rsidP="00222B2B">
                  <w:pPr>
                    <w:spacing w:after="60"/>
                    <w:rPr>
                      <w:iCs/>
                      <w:sz w:val="20"/>
                    </w:rPr>
                  </w:pPr>
                  <w:r w:rsidRPr="0013396E">
                    <w:rPr>
                      <w:iCs/>
                      <w:sz w:val="20"/>
                    </w:rPr>
                    <w:t xml:space="preserve">A Settlement Point in the 2003 ERCOT CMZ.  </w:t>
                  </w:r>
                </w:p>
              </w:tc>
            </w:tr>
            <w:tr w:rsidR="00222B2B" w:rsidRPr="0013396E" w14:paraId="6DD8471C" w14:textId="77777777" w:rsidTr="00316CC9">
              <w:trPr>
                <w:cantSplit/>
              </w:trPr>
              <w:tc>
                <w:tcPr>
                  <w:tcW w:w="2003" w:type="dxa"/>
                </w:tcPr>
                <w:p w14:paraId="3CEC2423" w14:textId="77777777" w:rsidR="00222B2B" w:rsidRPr="0013396E" w:rsidRDefault="00222B2B" w:rsidP="00222B2B">
                  <w:pPr>
                    <w:spacing w:after="60"/>
                    <w:rPr>
                      <w:i/>
                      <w:iCs/>
                      <w:sz w:val="20"/>
                    </w:rPr>
                  </w:pPr>
                  <w:r w:rsidRPr="0013396E">
                    <w:rPr>
                      <w:i/>
                      <w:iCs/>
                      <w:sz w:val="20"/>
                    </w:rPr>
                    <w:t>z</w:t>
                  </w:r>
                </w:p>
              </w:tc>
              <w:tc>
                <w:tcPr>
                  <w:tcW w:w="697" w:type="dxa"/>
                </w:tcPr>
                <w:p w14:paraId="4A33268F" w14:textId="77777777" w:rsidR="00222B2B" w:rsidRPr="0013396E" w:rsidRDefault="00222B2B" w:rsidP="00222B2B">
                  <w:pPr>
                    <w:spacing w:after="60"/>
                    <w:rPr>
                      <w:iCs/>
                      <w:sz w:val="20"/>
                    </w:rPr>
                  </w:pPr>
                  <w:r w:rsidRPr="0013396E">
                    <w:rPr>
                      <w:iCs/>
                      <w:sz w:val="20"/>
                    </w:rPr>
                    <w:t>none</w:t>
                  </w:r>
                </w:p>
              </w:tc>
              <w:tc>
                <w:tcPr>
                  <w:tcW w:w="6655" w:type="dxa"/>
                </w:tcPr>
                <w:p w14:paraId="275B1F9B" w14:textId="77777777" w:rsidR="00222B2B" w:rsidRPr="0013396E" w:rsidRDefault="00222B2B" w:rsidP="00222B2B">
                  <w:pPr>
                    <w:spacing w:after="60"/>
                    <w:rPr>
                      <w:iCs/>
                      <w:sz w:val="20"/>
                    </w:rPr>
                  </w:pPr>
                  <w:r w:rsidRPr="0013396E">
                    <w:rPr>
                      <w:sz w:val="20"/>
                    </w:rPr>
                    <w:t>A 2003 ERCOT CMZ.</w:t>
                  </w:r>
                </w:p>
              </w:tc>
            </w:tr>
          </w:tbl>
          <w:p w14:paraId="2D095304" w14:textId="77777777" w:rsidR="00222B2B" w:rsidRPr="0013396E" w:rsidRDefault="00222B2B" w:rsidP="00850957">
            <w:pPr>
              <w:pStyle w:val="BodyText"/>
              <w:spacing w:before="240"/>
              <w:ind w:left="720" w:hanging="720"/>
              <w:rPr>
                <w:bCs/>
                <w:snapToGrid w:val="0"/>
              </w:rPr>
            </w:pPr>
            <w:bookmarkStart w:id="1519" w:name="_Toc60040666"/>
            <w:r w:rsidRPr="0013396E">
              <w:rPr>
                <w:bCs/>
                <w:snapToGrid w:val="0"/>
              </w:rPr>
              <w:t>(4)</w:t>
            </w:r>
            <w:r w:rsidRPr="0013396E">
              <w:rPr>
                <w:bCs/>
                <w:snapToGrid w:val="0"/>
              </w:rPr>
              <w:tab/>
              <w:t>Each QSE’s MLRSZ, excluding DC Tie exports included in RTAML, by CMZ for ERCOT’s peak Load 15-minute Settlement Interval in the calendar month is calculated as follows:</w:t>
            </w:r>
            <w:bookmarkEnd w:id="1519"/>
            <w:r w:rsidRPr="0013396E">
              <w:rPr>
                <w:bCs/>
                <w:snapToGrid w:val="0"/>
              </w:rPr>
              <w:t xml:space="preserve"> </w:t>
            </w:r>
          </w:p>
          <w:p w14:paraId="59C283BD" w14:textId="77777777" w:rsidR="00222B2B" w:rsidRPr="0013396E" w:rsidRDefault="00222B2B" w:rsidP="00222B2B">
            <w:pPr>
              <w:pStyle w:val="FormulaBold"/>
            </w:pPr>
            <w:r w:rsidRPr="0013396E">
              <w:t>MLRSZ</w:t>
            </w:r>
            <w:r w:rsidRPr="0013396E">
              <w:rPr>
                <w:i/>
                <w:vertAlign w:val="subscript"/>
              </w:rPr>
              <w:t xml:space="preserve"> q,z</w:t>
            </w:r>
            <w:r w:rsidRPr="0013396E">
              <w:tab/>
              <w:t>=</w:t>
            </w:r>
            <w:r w:rsidRPr="0013396E">
              <w:tab/>
              <w:t>max(0,</w:t>
            </w:r>
            <w:r w:rsidRPr="0013396E">
              <w:rPr>
                <w:noProof/>
                <w:position w:val="-28"/>
                <w:sz w:val="4"/>
                <w:szCs w:val="4"/>
              </w:rPr>
              <w:t xml:space="preserve"> </w:t>
            </w:r>
            <w:r w:rsidRPr="0013396E">
              <w:rPr>
                <w:position w:val="-22"/>
              </w:rPr>
              <w:object w:dxaOrig="225" w:dyaOrig="465" w14:anchorId="63541DD5">
                <v:shape id="_x0000_i1079" type="#_x0000_t75" style="width:12pt;height:18.6pt" o:ole="">
                  <v:imagedata r:id="rId79" o:title=""/>
                </v:shape>
                <o:OLEObject Type="Embed" ProgID="Equation.3" ShapeID="_x0000_i1079" DrawAspect="Content" ObjectID="_1836311358" r:id="rId83"/>
              </w:object>
            </w:r>
            <w:r w:rsidRPr="0013396E">
              <w:t xml:space="preserve">(RTAML </w:t>
            </w:r>
            <w:r w:rsidRPr="0013396E">
              <w:rPr>
                <w:i/>
                <w:vertAlign w:val="subscript"/>
              </w:rPr>
              <w:t xml:space="preserve">q, p </w:t>
            </w:r>
            <w:r w:rsidRPr="0013396E">
              <w:rPr>
                <w:rFonts w:ascii="Times New Roman Bold" w:hAnsi="Times New Roman Bold"/>
                <w:i/>
              </w:rPr>
              <w:t xml:space="preserve">- </w:t>
            </w:r>
            <w:r w:rsidRPr="0013396E">
              <w:t>RTAMLDC</w:t>
            </w:r>
            <w:r w:rsidRPr="0013396E">
              <w:rPr>
                <w:lang w:val="sv-SE"/>
              </w:rPr>
              <w:t xml:space="preserve"> </w:t>
            </w:r>
            <w:r w:rsidRPr="0013396E">
              <w:rPr>
                <w:i/>
                <w:vertAlign w:val="subscript"/>
              </w:rPr>
              <w:t>q, p</w:t>
            </w:r>
            <w:r w:rsidRPr="0013396E">
              <w:rPr>
                <w:rFonts w:ascii="Times New Roman Bold" w:hAnsi="Times New Roman Bold"/>
              </w:rPr>
              <w:t xml:space="preserve">)) / </w:t>
            </w:r>
            <w:r w:rsidRPr="0013396E">
              <w:t>RTAMLLZTOT</w:t>
            </w:r>
            <w:r w:rsidRPr="0013396E">
              <w:rPr>
                <w:rFonts w:ascii="Times New Roman Bold" w:hAnsi="Times New Roman Bold"/>
                <w:vertAlign w:val="subscript"/>
              </w:rPr>
              <w:t>z</w:t>
            </w:r>
            <w:r w:rsidRPr="0013396E" w:rsidDel="00F9440F">
              <w:t xml:space="preserve"> </w:t>
            </w:r>
          </w:p>
          <w:p w14:paraId="1644C7D9" w14:textId="77777777" w:rsidR="00222B2B" w:rsidRPr="0013396E" w:rsidRDefault="00222B2B" w:rsidP="00222B2B">
            <w:r w:rsidRPr="0013396E">
              <w:t>The above variables are defined as follows:</w:t>
            </w: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776"/>
              <w:gridCol w:w="8"/>
              <w:gridCol w:w="711"/>
              <w:gridCol w:w="7345"/>
            </w:tblGrid>
            <w:tr w:rsidR="00222B2B" w:rsidRPr="0013396E" w14:paraId="7AC458D6" w14:textId="77777777" w:rsidTr="00316CC9">
              <w:tc>
                <w:tcPr>
                  <w:tcW w:w="1969" w:type="dxa"/>
                </w:tcPr>
                <w:p w14:paraId="73245B8C" w14:textId="77777777" w:rsidR="00222B2B" w:rsidRPr="0013396E" w:rsidRDefault="00222B2B" w:rsidP="00222B2B">
                  <w:pPr>
                    <w:pStyle w:val="TableHead"/>
                  </w:pPr>
                  <w:r w:rsidRPr="0013396E">
                    <w:t>Variable</w:t>
                  </w:r>
                </w:p>
              </w:tc>
              <w:tc>
                <w:tcPr>
                  <w:tcW w:w="737" w:type="dxa"/>
                  <w:gridSpan w:val="2"/>
                </w:tcPr>
                <w:p w14:paraId="54D90903" w14:textId="77777777" w:rsidR="00222B2B" w:rsidRPr="0013396E" w:rsidRDefault="00222B2B" w:rsidP="00222B2B">
                  <w:pPr>
                    <w:pStyle w:val="TableHead"/>
                  </w:pPr>
                  <w:r w:rsidRPr="0013396E">
                    <w:t>Unit</w:t>
                  </w:r>
                </w:p>
              </w:tc>
              <w:tc>
                <w:tcPr>
                  <w:tcW w:w="7134" w:type="dxa"/>
                </w:tcPr>
                <w:p w14:paraId="253B9B5F" w14:textId="77777777" w:rsidR="00222B2B" w:rsidRPr="0013396E" w:rsidRDefault="00222B2B" w:rsidP="00222B2B">
                  <w:pPr>
                    <w:pStyle w:val="TableHead"/>
                  </w:pPr>
                  <w:r w:rsidRPr="0013396E">
                    <w:t>Description</w:t>
                  </w:r>
                </w:p>
              </w:tc>
            </w:tr>
            <w:tr w:rsidR="00222B2B" w:rsidRPr="0013396E" w14:paraId="430C2E71" w14:textId="77777777" w:rsidTr="00316CC9">
              <w:tc>
                <w:tcPr>
                  <w:tcW w:w="1969" w:type="dxa"/>
                </w:tcPr>
                <w:p w14:paraId="5990F4F7" w14:textId="77777777" w:rsidR="00222B2B" w:rsidRPr="0013396E" w:rsidRDefault="00222B2B" w:rsidP="00222B2B">
                  <w:pPr>
                    <w:pStyle w:val="TableBody"/>
                  </w:pPr>
                  <w:r w:rsidRPr="0013396E">
                    <w:t>MLRSZ</w:t>
                  </w:r>
                  <w:r w:rsidRPr="0013396E">
                    <w:rPr>
                      <w:i/>
                      <w:vertAlign w:val="subscript"/>
                    </w:rPr>
                    <w:t xml:space="preserve"> q,z</w:t>
                  </w:r>
                </w:p>
              </w:tc>
              <w:tc>
                <w:tcPr>
                  <w:tcW w:w="737" w:type="dxa"/>
                  <w:gridSpan w:val="2"/>
                </w:tcPr>
                <w:p w14:paraId="29127EE0" w14:textId="77777777" w:rsidR="00222B2B" w:rsidRPr="0013396E" w:rsidRDefault="00222B2B" w:rsidP="00222B2B">
                  <w:pPr>
                    <w:pStyle w:val="TableBody"/>
                  </w:pPr>
                  <w:r w:rsidRPr="0013396E">
                    <w:t>none</w:t>
                  </w:r>
                </w:p>
              </w:tc>
              <w:tc>
                <w:tcPr>
                  <w:tcW w:w="7134" w:type="dxa"/>
                </w:tcPr>
                <w:p w14:paraId="459A145E" w14:textId="77777777" w:rsidR="00222B2B" w:rsidRPr="0013396E" w:rsidRDefault="00222B2B" w:rsidP="00222B2B">
                  <w:pPr>
                    <w:pStyle w:val="TableBody"/>
                    <w:rPr>
                      <w:i/>
                    </w:rPr>
                  </w:pPr>
                  <w:r w:rsidRPr="0013396E">
                    <w:rPr>
                      <w:i/>
                    </w:rPr>
                    <w:t>Monthly Load Ratio Share Zonal per QSE per zone</w:t>
                  </w:r>
                  <w:r w:rsidRPr="0013396E">
                    <w:t xml:space="preserve">—The ratio share of QSE </w:t>
                  </w:r>
                  <w:r w:rsidRPr="0013396E">
                    <w:rPr>
                      <w:i/>
                    </w:rPr>
                    <w:t>q</w:t>
                  </w:r>
                  <w:r w:rsidRPr="0013396E">
                    <w:t xml:space="preserve"> for its Load excluding DC Tie Exports in CMZ </w:t>
                  </w:r>
                  <w:r w:rsidRPr="0013396E">
                    <w:rPr>
                      <w:i/>
                    </w:rPr>
                    <w:t>z</w:t>
                  </w:r>
                  <w:r w:rsidRPr="0013396E">
                    <w:t>, for the peak Load 15-minute Settlement Interval in the month.</w:t>
                  </w:r>
                </w:p>
              </w:tc>
            </w:tr>
            <w:tr w:rsidR="00222B2B" w:rsidRPr="0013396E" w14:paraId="11D749F2" w14:textId="77777777" w:rsidTr="00316CC9">
              <w:tc>
                <w:tcPr>
                  <w:tcW w:w="1969" w:type="dxa"/>
                </w:tcPr>
                <w:p w14:paraId="455E8C27" w14:textId="77777777" w:rsidR="00222B2B" w:rsidRPr="0013396E" w:rsidRDefault="00222B2B" w:rsidP="00222B2B">
                  <w:pPr>
                    <w:pStyle w:val="TableBody"/>
                  </w:pPr>
                  <w:r w:rsidRPr="0013396E">
                    <w:t xml:space="preserve">RTAML </w:t>
                  </w:r>
                  <w:r w:rsidRPr="0013396E">
                    <w:rPr>
                      <w:i/>
                      <w:vertAlign w:val="subscript"/>
                    </w:rPr>
                    <w:t>q, p</w:t>
                  </w:r>
                </w:p>
              </w:tc>
              <w:tc>
                <w:tcPr>
                  <w:tcW w:w="737" w:type="dxa"/>
                  <w:gridSpan w:val="2"/>
                </w:tcPr>
                <w:p w14:paraId="57338B9C" w14:textId="77777777" w:rsidR="00222B2B" w:rsidRPr="0013396E" w:rsidRDefault="00222B2B" w:rsidP="00222B2B">
                  <w:pPr>
                    <w:pStyle w:val="TableBody"/>
                    <w:rPr>
                      <w:i/>
                    </w:rPr>
                  </w:pPr>
                  <w:r w:rsidRPr="0013396E">
                    <w:t>MWh</w:t>
                  </w:r>
                </w:p>
              </w:tc>
              <w:tc>
                <w:tcPr>
                  <w:tcW w:w="7134" w:type="dxa"/>
                </w:tcPr>
                <w:p w14:paraId="6F7FB889" w14:textId="77777777" w:rsidR="00222B2B" w:rsidRPr="0013396E" w:rsidRDefault="00222B2B" w:rsidP="00222B2B">
                  <w:pPr>
                    <w:pStyle w:val="TableBody"/>
                  </w:pPr>
                  <w:r w:rsidRPr="0013396E">
                    <w:rPr>
                      <w:i/>
                    </w:rPr>
                    <w:t>Real-Time Adjusted Metered Load per Settlement Point per QSE</w:t>
                  </w:r>
                  <w:r w:rsidRPr="0013396E">
                    <w:t xml:space="preserve">—The sum of the AML at the Electrical Buses that are included in Settlement Point </w:t>
                  </w:r>
                  <w:r w:rsidRPr="0013396E">
                    <w:rPr>
                      <w:i/>
                    </w:rPr>
                    <w:t>p</w:t>
                  </w:r>
                  <w:r w:rsidRPr="0013396E">
                    <w:t xml:space="preserve">, represented by QSE </w:t>
                  </w:r>
                  <w:r w:rsidRPr="0013396E">
                    <w:rPr>
                      <w:i/>
                    </w:rPr>
                    <w:t>q</w:t>
                  </w:r>
                  <w:r w:rsidRPr="0013396E">
                    <w:t>, for the 15-minute Settlement Interval.</w:t>
                  </w:r>
                </w:p>
              </w:tc>
            </w:tr>
            <w:tr w:rsidR="00222B2B" w:rsidRPr="0013396E" w14:paraId="12FBD1B4" w14:textId="77777777" w:rsidTr="00316CC9">
              <w:tc>
                <w:tcPr>
                  <w:tcW w:w="1969" w:type="dxa"/>
                </w:tcPr>
                <w:p w14:paraId="0B3C8B3B" w14:textId="77777777" w:rsidR="00222B2B" w:rsidRPr="0013396E" w:rsidRDefault="00222B2B" w:rsidP="00222B2B">
                  <w:pPr>
                    <w:pStyle w:val="TableBody"/>
                  </w:pPr>
                  <w:r w:rsidRPr="0013396E">
                    <w:rPr>
                      <w:lang w:val="sv-SE"/>
                    </w:rPr>
                    <w:t xml:space="preserve">RTAMLDC </w:t>
                  </w:r>
                  <w:r w:rsidRPr="0013396E">
                    <w:rPr>
                      <w:i/>
                      <w:vertAlign w:val="subscript"/>
                      <w:lang w:val="sv-SE"/>
                    </w:rPr>
                    <w:t>q,p</w:t>
                  </w:r>
                </w:p>
              </w:tc>
              <w:tc>
                <w:tcPr>
                  <w:tcW w:w="737" w:type="dxa"/>
                  <w:gridSpan w:val="2"/>
                </w:tcPr>
                <w:p w14:paraId="2CB60065" w14:textId="77777777" w:rsidR="00222B2B" w:rsidRPr="0013396E" w:rsidRDefault="00222B2B" w:rsidP="00222B2B">
                  <w:pPr>
                    <w:pStyle w:val="TableBody"/>
                  </w:pPr>
                  <w:r w:rsidRPr="0013396E">
                    <w:t>MWh</w:t>
                  </w:r>
                </w:p>
              </w:tc>
              <w:tc>
                <w:tcPr>
                  <w:tcW w:w="7134" w:type="dxa"/>
                </w:tcPr>
                <w:p w14:paraId="5D39F1BD" w14:textId="77777777" w:rsidR="00222B2B" w:rsidRPr="0013396E" w:rsidRDefault="00222B2B" w:rsidP="00222B2B">
                  <w:pPr>
                    <w:pStyle w:val="TableBody"/>
                    <w:rPr>
                      <w:i/>
                    </w:rPr>
                  </w:pPr>
                  <w:r w:rsidRPr="0013396E">
                    <w:rPr>
                      <w:i/>
                    </w:rPr>
                    <w:t>Real-Time Adjusted Metered Load for DC Ties per Settlement Point per QSE</w:t>
                  </w:r>
                  <w:r w:rsidRPr="0013396E">
                    <w:t xml:space="preserve">—The sum of the DC Tie AML at the Electrical Buses that are included in Settlement Point </w:t>
                  </w:r>
                  <w:r w:rsidRPr="0013396E">
                    <w:rPr>
                      <w:i/>
                    </w:rPr>
                    <w:t>p</w:t>
                  </w:r>
                  <w:r w:rsidRPr="0013396E">
                    <w:t xml:space="preserve">, represented by QSE </w:t>
                  </w:r>
                  <w:r w:rsidRPr="0013396E">
                    <w:rPr>
                      <w:i/>
                    </w:rPr>
                    <w:t>q</w:t>
                  </w:r>
                  <w:r w:rsidRPr="0013396E">
                    <w:t>, for the 15-minute Settlement Interval.</w:t>
                  </w:r>
                </w:p>
              </w:tc>
            </w:tr>
            <w:tr w:rsidR="00222B2B" w:rsidRPr="0013396E" w:rsidDel="00666312" w14:paraId="3468FC62" w14:textId="77777777" w:rsidTr="00316CC9">
              <w:tc>
                <w:tcPr>
                  <w:tcW w:w="1979" w:type="dxa"/>
                  <w:gridSpan w:val="2"/>
                </w:tcPr>
                <w:p w14:paraId="61A8AB66" w14:textId="77777777" w:rsidR="00222B2B" w:rsidRPr="0013396E" w:rsidDel="00666312" w:rsidRDefault="00222B2B" w:rsidP="00222B2B">
                  <w:pPr>
                    <w:pStyle w:val="TableBody"/>
                    <w:rPr>
                      <w:lang w:val="sv-SE"/>
                    </w:rPr>
                  </w:pPr>
                  <w:r w:rsidRPr="0013396E">
                    <w:rPr>
                      <w:iCs w:val="0"/>
                    </w:rPr>
                    <w:t>RTAMLLZTOT</w:t>
                  </w:r>
                  <w:r w:rsidRPr="0013396E">
                    <w:rPr>
                      <w:iCs w:val="0"/>
                      <w:vertAlign w:val="subscript"/>
                    </w:rPr>
                    <w:t>z</w:t>
                  </w:r>
                </w:p>
              </w:tc>
              <w:tc>
                <w:tcPr>
                  <w:tcW w:w="0" w:type="auto"/>
                </w:tcPr>
                <w:p w14:paraId="1EC44D0F" w14:textId="77777777" w:rsidR="00222B2B" w:rsidRPr="0013396E" w:rsidDel="00666312" w:rsidRDefault="00222B2B" w:rsidP="00222B2B">
                  <w:pPr>
                    <w:pStyle w:val="TableBody"/>
                  </w:pPr>
                  <w:r w:rsidRPr="0013396E">
                    <w:rPr>
                      <w:iCs w:val="0"/>
                    </w:rPr>
                    <w:t>MWh</w:t>
                  </w:r>
                </w:p>
              </w:tc>
              <w:tc>
                <w:tcPr>
                  <w:tcW w:w="0" w:type="auto"/>
                </w:tcPr>
                <w:p w14:paraId="6BCD0C97" w14:textId="77777777" w:rsidR="00222B2B" w:rsidRPr="0013396E" w:rsidDel="00666312" w:rsidRDefault="00222B2B" w:rsidP="00222B2B">
                  <w:pPr>
                    <w:pStyle w:val="TableBody"/>
                    <w:rPr>
                      <w:i/>
                    </w:rPr>
                  </w:pPr>
                  <w:r w:rsidRPr="0013396E">
                    <w:rPr>
                      <w:i/>
                      <w:iCs w:val="0"/>
                    </w:rPr>
                    <w:t>Real-Time Adjusted Metered Load - Load Zone Total</w:t>
                  </w:r>
                  <w:r w:rsidRPr="0013396E">
                    <w:rPr>
                      <w:iCs w:val="0"/>
                    </w:rPr>
                    <w:t>—The total AML excluding DC Tie exports in CMZ z, for the peak Load 15-minute Settlement Interval in the calendar month.</w:t>
                  </w:r>
                </w:p>
              </w:tc>
            </w:tr>
            <w:tr w:rsidR="00222B2B" w:rsidRPr="0013396E" w14:paraId="042CFF08" w14:textId="77777777" w:rsidTr="00316CC9">
              <w:tc>
                <w:tcPr>
                  <w:tcW w:w="1969" w:type="dxa"/>
                </w:tcPr>
                <w:p w14:paraId="3AA71B6F" w14:textId="77777777" w:rsidR="00222B2B" w:rsidRPr="0013396E" w:rsidRDefault="00222B2B" w:rsidP="00222B2B">
                  <w:pPr>
                    <w:pStyle w:val="TableBody"/>
                    <w:rPr>
                      <w:i/>
                    </w:rPr>
                  </w:pPr>
                  <w:r w:rsidRPr="0013396E">
                    <w:rPr>
                      <w:i/>
                      <w:iCs w:val="0"/>
                    </w:rPr>
                    <w:t>q</w:t>
                  </w:r>
                </w:p>
              </w:tc>
              <w:tc>
                <w:tcPr>
                  <w:tcW w:w="737" w:type="dxa"/>
                  <w:gridSpan w:val="2"/>
                </w:tcPr>
                <w:p w14:paraId="37D45761" w14:textId="77777777" w:rsidR="00222B2B" w:rsidRPr="0013396E" w:rsidRDefault="00222B2B" w:rsidP="00222B2B">
                  <w:pPr>
                    <w:pStyle w:val="TableBody"/>
                  </w:pPr>
                  <w:r w:rsidRPr="0013396E">
                    <w:rPr>
                      <w:iCs w:val="0"/>
                    </w:rPr>
                    <w:t>none</w:t>
                  </w:r>
                </w:p>
              </w:tc>
              <w:tc>
                <w:tcPr>
                  <w:tcW w:w="7134" w:type="dxa"/>
                </w:tcPr>
                <w:p w14:paraId="6828E6D9" w14:textId="77777777" w:rsidR="00222B2B" w:rsidRPr="0013396E" w:rsidRDefault="00222B2B" w:rsidP="00222B2B">
                  <w:pPr>
                    <w:pStyle w:val="TableBody"/>
                  </w:pPr>
                  <w:r w:rsidRPr="0013396E">
                    <w:rPr>
                      <w:iCs w:val="0"/>
                    </w:rPr>
                    <w:t xml:space="preserve">A QSE.  </w:t>
                  </w:r>
                </w:p>
              </w:tc>
            </w:tr>
            <w:tr w:rsidR="00222B2B" w:rsidRPr="0013396E" w14:paraId="7FA8D885" w14:textId="77777777" w:rsidTr="00316CC9">
              <w:tc>
                <w:tcPr>
                  <w:tcW w:w="1969" w:type="dxa"/>
                </w:tcPr>
                <w:p w14:paraId="4D409479" w14:textId="77777777" w:rsidR="00222B2B" w:rsidRPr="0013396E" w:rsidRDefault="00222B2B" w:rsidP="00222B2B">
                  <w:pPr>
                    <w:pStyle w:val="TableBody"/>
                    <w:rPr>
                      <w:i/>
                    </w:rPr>
                  </w:pPr>
                  <w:r w:rsidRPr="0013396E">
                    <w:rPr>
                      <w:i/>
                    </w:rPr>
                    <w:t>p</w:t>
                  </w:r>
                </w:p>
              </w:tc>
              <w:tc>
                <w:tcPr>
                  <w:tcW w:w="737" w:type="dxa"/>
                  <w:gridSpan w:val="2"/>
                </w:tcPr>
                <w:p w14:paraId="418CB322" w14:textId="77777777" w:rsidR="00222B2B" w:rsidRPr="0013396E" w:rsidRDefault="00222B2B" w:rsidP="00222B2B">
                  <w:pPr>
                    <w:pStyle w:val="TableBody"/>
                  </w:pPr>
                  <w:r w:rsidRPr="0013396E">
                    <w:t>none</w:t>
                  </w:r>
                </w:p>
              </w:tc>
              <w:tc>
                <w:tcPr>
                  <w:tcW w:w="7134" w:type="dxa"/>
                </w:tcPr>
                <w:p w14:paraId="4DC0FCA3" w14:textId="77777777" w:rsidR="00222B2B" w:rsidRPr="0013396E" w:rsidRDefault="00222B2B" w:rsidP="00222B2B">
                  <w:pPr>
                    <w:pStyle w:val="TableBody"/>
                  </w:pPr>
                  <w:r w:rsidRPr="0013396E">
                    <w:t>A Settlement Point</w:t>
                  </w:r>
                  <w:r w:rsidRPr="0013396E">
                    <w:rPr>
                      <w:iCs w:val="0"/>
                    </w:rPr>
                    <w:t xml:space="preserve"> in the 2003 ERCOT CMZ</w:t>
                  </w:r>
                  <w:r w:rsidRPr="0013396E">
                    <w:t>.</w:t>
                  </w:r>
                </w:p>
              </w:tc>
            </w:tr>
            <w:tr w:rsidR="00222B2B" w:rsidRPr="0013396E" w14:paraId="50F712F4" w14:textId="77777777" w:rsidTr="00316CC9">
              <w:tc>
                <w:tcPr>
                  <w:tcW w:w="1979" w:type="dxa"/>
                  <w:gridSpan w:val="2"/>
                </w:tcPr>
                <w:p w14:paraId="0B876852" w14:textId="77777777" w:rsidR="00222B2B" w:rsidRPr="0013396E" w:rsidRDefault="00222B2B" w:rsidP="00222B2B">
                  <w:pPr>
                    <w:pStyle w:val="TableBody"/>
                    <w:rPr>
                      <w:i/>
                    </w:rPr>
                  </w:pPr>
                  <w:r w:rsidRPr="0013396E">
                    <w:rPr>
                      <w:i/>
                      <w:iCs w:val="0"/>
                    </w:rPr>
                    <w:t>z</w:t>
                  </w:r>
                </w:p>
              </w:tc>
              <w:tc>
                <w:tcPr>
                  <w:tcW w:w="0" w:type="auto"/>
                </w:tcPr>
                <w:p w14:paraId="64B9CAF5" w14:textId="77777777" w:rsidR="00222B2B" w:rsidRPr="0013396E" w:rsidRDefault="00222B2B" w:rsidP="00222B2B">
                  <w:pPr>
                    <w:pStyle w:val="TableBody"/>
                  </w:pPr>
                  <w:r w:rsidRPr="0013396E">
                    <w:rPr>
                      <w:iCs w:val="0"/>
                    </w:rPr>
                    <w:t>none</w:t>
                  </w:r>
                </w:p>
              </w:tc>
              <w:tc>
                <w:tcPr>
                  <w:tcW w:w="0" w:type="auto"/>
                </w:tcPr>
                <w:p w14:paraId="46AC098C" w14:textId="77777777" w:rsidR="00222B2B" w:rsidRPr="0013396E" w:rsidRDefault="00222B2B" w:rsidP="00222B2B">
                  <w:pPr>
                    <w:pStyle w:val="TableBody"/>
                  </w:pPr>
                  <w:r w:rsidRPr="0013396E">
                    <w:t>A 2003 ERCOT CMZ.</w:t>
                  </w:r>
                </w:p>
              </w:tc>
            </w:tr>
          </w:tbl>
          <w:p w14:paraId="29B03DA3" w14:textId="2C9DF0A4" w:rsidR="00222B2B" w:rsidRPr="0013396E" w:rsidRDefault="00222B2B" w:rsidP="00316CC9">
            <w:pPr>
              <w:pStyle w:val="BodyTextNumbered"/>
            </w:pPr>
          </w:p>
        </w:tc>
      </w:tr>
    </w:tbl>
    <w:p w14:paraId="36202D4C" w14:textId="0E25FC6C" w:rsidR="003C2BD5" w:rsidRPr="0013396E" w:rsidRDefault="003C2BD5" w:rsidP="00BB44BE">
      <w:pPr>
        <w:keepNext/>
        <w:widowControl w:val="0"/>
        <w:tabs>
          <w:tab w:val="left" w:pos="1260"/>
        </w:tabs>
        <w:spacing w:before="480" w:after="240"/>
        <w:ind w:left="1260" w:hanging="1260"/>
        <w:outlineLvl w:val="3"/>
        <w:rPr>
          <w:b/>
          <w:bCs/>
          <w:snapToGrid w:val="0"/>
        </w:rPr>
      </w:pPr>
      <w:bookmarkStart w:id="1520" w:name="_Toc214878958"/>
      <w:r w:rsidRPr="0013396E">
        <w:rPr>
          <w:b/>
          <w:bCs/>
          <w:snapToGrid w:val="0"/>
        </w:rPr>
        <w:lastRenderedPageBreak/>
        <w:t>6.6.2.3</w:t>
      </w:r>
      <w:r w:rsidRPr="0013396E">
        <w:rPr>
          <w:b/>
          <w:bCs/>
          <w:snapToGrid w:val="0"/>
        </w:rPr>
        <w:tab/>
        <w:t>ERCOT Total Adjusted Metered Load for an Operating Hour</w:t>
      </w:r>
      <w:bookmarkEnd w:id="1506"/>
      <w:bookmarkEnd w:id="1507"/>
      <w:bookmarkEnd w:id="1520"/>
    </w:p>
    <w:p w14:paraId="0B7688AA" w14:textId="3222CBA5" w:rsidR="003C2BD5" w:rsidRPr="0013396E" w:rsidRDefault="003C2BD5" w:rsidP="003C2BD5">
      <w:pPr>
        <w:spacing w:after="240"/>
        <w:ind w:left="720" w:hanging="720"/>
        <w:rPr>
          <w:iCs/>
        </w:rPr>
      </w:pPr>
      <w:r w:rsidRPr="0013396E">
        <w:rPr>
          <w:iCs/>
        </w:rPr>
        <w:t>(1)</w:t>
      </w:r>
      <w:r w:rsidRPr="0013396E">
        <w:rPr>
          <w:iCs/>
        </w:rPr>
        <w:tab/>
        <w:t>ERCOT total AML for an Operating Hour is calculated as follows:</w:t>
      </w:r>
    </w:p>
    <w:p w14:paraId="5D65A33E" w14:textId="77777777" w:rsidR="003C2BD5" w:rsidRPr="0013396E" w:rsidRDefault="003C2BD5" w:rsidP="006B72E9">
      <w:pPr>
        <w:tabs>
          <w:tab w:val="left" w:pos="2250"/>
          <w:tab w:val="left" w:pos="3150"/>
          <w:tab w:val="left" w:pos="3960"/>
        </w:tabs>
        <w:spacing w:after="240"/>
        <w:ind w:left="3960" w:hanging="3240"/>
        <w:rPr>
          <w:b/>
          <w:bCs/>
        </w:rPr>
      </w:pPr>
      <w:r w:rsidRPr="0013396E">
        <w:rPr>
          <w:b/>
          <w:bCs/>
        </w:rPr>
        <w:t>HRTAMLTOT</w:t>
      </w:r>
      <w:r w:rsidRPr="0013396E">
        <w:rPr>
          <w:b/>
          <w:bCs/>
        </w:rPr>
        <w:tab/>
        <w:t>=</w:t>
      </w:r>
      <w:r w:rsidRPr="0013396E">
        <w:rPr>
          <w:b/>
          <w:bCs/>
        </w:rPr>
        <w:tab/>
      </w:r>
      <w:r w:rsidRPr="0013396E">
        <w:rPr>
          <w:b/>
          <w:bCs/>
          <w:position w:val="-22"/>
        </w:rPr>
        <w:object w:dxaOrig="225" w:dyaOrig="465" w14:anchorId="4DFF1BB1">
          <v:shape id="_x0000_i1080" type="#_x0000_t75" style="width:12pt;height:18.6pt" o:ole="">
            <v:imagedata r:id="rId71" o:title=""/>
          </v:shape>
          <o:OLEObject Type="Embed" ProgID="Equation.3" ShapeID="_x0000_i1080" DrawAspect="Content" ObjectID="_1836311359" r:id="rId84"/>
        </w:object>
      </w:r>
      <w:r w:rsidRPr="0013396E">
        <w:rPr>
          <w:b/>
          <w:bCs/>
        </w:rPr>
        <w:t xml:space="preserve">(max(0, </w:t>
      </w:r>
      <w:r w:rsidRPr="0013396E">
        <w:rPr>
          <w:b/>
          <w:bCs/>
          <w:position w:val="-20"/>
        </w:rPr>
        <w:object w:dxaOrig="255" w:dyaOrig="585" w14:anchorId="4ED63895">
          <v:shape id="_x0000_i1081" type="#_x0000_t75" style="width:12pt;height:30pt" o:ole="">
            <v:imagedata r:id="rId85" o:title=""/>
          </v:shape>
          <o:OLEObject Type="Embed" ProgID="Equation.3" ShapeID="_x0000_i1081" DrawAspect="Content" ObjectID="_1836311360" r:id="rId86"/>
        </w:object>
      </w:r>
      <w:r w:rsidRPr="0013396E">
        <w:rPr>
          <w:b/>
          <w:bCs/>
          <w:position w:val="-22"/>
        </w:rPr>
        <w:object w:dxaOrig="225" w:dyaOrig="465" w14:anchorId="0B457975">
          <v:shape id="_x0000_i1082" type="#_x0000_t75" style="width:12pt;height:18.6pt" o:ole="">
            <v:imagedata r:id="rId73" o:title=""/>
          </v:shape>
          <o:OLEObject Type="Embed" ProgID="Equation.3" ShapeID="_x0000_i1082" DrawAspect="Content" ObjectID="_1836311361" r:id="rId87"/>
        </w:object>
      </w:r>
      <w:r w:rsidRPr="0013396E">
        <w:rPr>
          <w:b/>
          <w:bCs/>
        </w:rPr>
        <w:t xml:space="preserve">RTAML </w:t>
      </w:r>
      <w:r w:rsidRPr="0013396E">
        <w:rPr>
          <w:b/>
          <w:bCs/>
          <w:i/>
          <w:vertAlign w:val="subscript"/>
        </w:rPr>
        <w:t>q, p</w:t>
      </w:r>
      <w:r w:rsidRPr="0013396E">
        <w:rPr>
          <w:b/>
          <w:bCs/>
        </w:rPr>
        <w:t>)</w:t>
      </w:r>
      <w:r w:rsidRPr="0013396E">
        <w:rPr>
          <w:iCs/>
        </w:rPr>
        <w:t xml:space="preserve"> </w:t>
      </w:r>
      <w:r w:rsidRPr="0013396E">
        <w:rPr>
          <w:b/>
          <w:bCs/>
        </w:rPr>
        <w:t>)</w:t>
      </w:r>
    </w:p>
    <w:p w14:paraId="1F347849" w14:textId="77777777" w:rsidR="003C2BD5" w:rsidRPr="0013396E" w:rsidRDefault="003C2BD5" w:rsidP="003C2BD5">
      <w:r w:rsidRPr="0013396E">
        <w:t>The above variables are defined as follows:</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003"/>
        <w:gridCol w:w="697"/>
        <w:gridCol w:w="6655"/>
      </w:tblGrid>
      <w:tr w:rsidR="003C2BD5" w:rsidRPr="0013396E" w14:paraId="7B7A0D0D" w14:textId="77777777" w:rsidTr="008C2590">
        <w:tc>
          <w:tcPr>
            <w:tcW w:w="2003" w:type="dxa"/>
          </w:tcPr>
          <w:p w14:paraId="3AF75E8A" w14:textId="77777777" w:rsidR="003C2BD5" w:rsidRPr="0013396E" w:rsidRDefault="003C2BD5" w:rsidP="008C2590">
            <w:pPr>
              <w:spacing w:after="120"/>
              <w:rPr>
                <w:b/>
                <w:iCs/>
                <w:sz w:val="20"/>
              </w:rPr>
            </w:pPr>
            <w:r w:rsidRPr="0013396E">
              <w:rPr>
                <w:b/>
                <w:iCs/>
                <w:sz w:val="20"/>
              </w:rPr>
              <w:t>Variable</w:t>
            </w:r>
          </w:p>
        </w:tc>
        <w:tc>
          <w:tcPr>
            <w:tcW w:w="697" w:type="dxa"/>
          </w:tcPr>
          <w:p w14:paraId="3EF29BB1" w14:textId="77777777" w:rsidR="003C2BD5" w:rsidRPr="0013396E" w:rsidRDefault="003C2BD5" w:rsidP="008C2590">
            <w:pPr>
              <w:spacing w:after="120"/>
              <w:rPr>
                <w:b/>
                <w:iCs/>
                <w:sz w:val="20"/>
              </w:rPr>
            </w:pPr>
            <w:r w:rsidRPr="0013396E">
              <w:rPr>
                <w:b/>
                <w:iCs/>
                <w:sz w:val="20"/>
              </w:rPr>
              <w:t>Unit</w:t>
            </w:r>
          </w:p>
        </w:tc>
        <w:tc>
          <w:tcPr>
            <w:tcW w:w="6655" w:type="dxa"/>
          </w:tcPr>
          <w:p w14:paraId="7C4B9AAE" w14:textId="77777777" w:rsidR="003C2BD5" w:rsidRPr="0013396E" w:rsidRDefault="003C2BD5" w:rsidP="008C2590">
            <w:pPr>
              <w:spacing w:after="120"/>
              <w:rPr>
                <w:b/>
                <w:iCs/>
                <w:sz w:val="20"/>
              </w:rPr>
            </w:pPr>
            <w:r w:rsidRPr="0013396E">
              <w:rPr>
                <w:b/>
                <w:iCs/>
                <w:sz w:val="20"/>
              </w:rPr>
              <w:t>Description</w:t>
            </w:r>
          </w:p>
        </w:tc>
      </w:tr>
      <w:tr w:rsidR="003C2BD5" w:rsidRPr="0013396E" w14:paraId="6F08E9F7" w14:textId="77777777" w:rsidTr="008C2590">
        <w:tc>
          <w:tcPr>
            <w:tcW w:w="2003" w:type="dxa"/>
          </w:tcPr>
          <w:p w14:paraId="1453B811" w14:textId="77777777" w:rsidR="003C2BD5" w:rsidRPr="0013396E" w:rsidRDefault="003C2BD5" w:rsidP="008C2590">
            <w:pPr>
              <w:spacing w:after="60"/>
              <w:rPr>
                <w:iCs/>
                <w:sz w:val="20"/>
              </w:rPr>
            </w:pPr>
            <w:r w:rsidRPr="0013396E">
              <w:rPr>
                <w:iCs/>
                <w:sz w:val="20"/>
              </w:rPr>
              <w:t>HRTAMLTOT</w:t>
            </w:r>
          </w:p>
        </w:tc>
        <w:tc>
          <w:tcPr>
            <w:tcW w:w="697" w:type="dxa"/>
          </w:tcPr>
          <w:p w14:paraId="6AC91FE4" w14:textId="77777777" w:rsidR="003C2BD5" w:rsidRPr="0013396E" w:rsidRDefault="003C2BD5" w:rsidP="008C2590">
            <w:pPr>
              <w:spacing w:after="60"/>
              <w:rPr>
                <w:i/>
                <w:iCs/>
                <w:sz w:val="20"/>
              </w:rPr>
            </w:pPr>
            <w:r w:rsidRPr="0013396E">
              <w:rPr>
                <w:iCs/>
                <w:sz w:val="20"/>
              </w:rPr>
              <w:t>MWh</w:t>
            </w:r>
          </w:p>
        </w:tc>
        <w:tc>
          <w:tcPr>
            <w:tcW w:w="6655" w:type="dxa"/>
          </w:tcPr>
          <w:p w14:paraId="40D9651D" w14:textId="77777777" w:rsidR="003C2BD5" w:rsidRPr="0013396E" w:rsidRDefault="003C2BD5" w:rsidP="008C2590">
            <w:pPr>
              <w:spacing w:after="60"/>
              <w:rPr>
                <w:iCs/>
                <w:sz w:val="20"/>
              </w:rPr>
            </w:pPr>
            <w:r w:rsidRPr="0013396E">
              <w:rPr>
                <w:i/>
                <w:iCs/>
                <w:sz w:val="20"/>
              </w:rPr>
              <w:t>Real-Time Adjusted Metered Load Total</w:t>
            </w:r>
            <w:r w:rsidRPr="0013396E">
              <w:rPr>
                <w:iCs/>
                <w:sz w:val="20"/>
              </w:rPr>
              <w:t>—The total AML in ERCOT, for the Operating Hour.</w:t>
            </w:r>
          </w:p>
        </w:tc>
      </w:tr>
      <w:tr w:rsidR="003C2BD5" w:rsidRPr="0013396E" w14:paraId="19E86C54" w14:textId="77777777" w:rsidTr="008C2590">
        <w:tc>
          <w:tcPr>
            <w:tcW w:w="2003" w:type="dxa"/>
          </w:tcPr>
          <w:p w14:paraId="4404A02B" w14:textId="77777777" w:rsidR="003C2BD5" w:rsidRPr="0013396E" w:rsidRDefault="003C2BD5" w:rsidP="008C2590">
            <w:pPr>
              <w:spacing w:after="60"/>
              <w:rPr>
                <w:iCs/>
                <w:sz w:val="20"/>
              </w:rPr>
            </w:pPr>
            <w:r w:rsidRPr="0013396E">
              <w:rPr>
                <w:iCs/>
                <w:sz w:val="20"/>
              </w:rPr>
              <w:t xml:space="preserve">RTAML </w:t>
            </w:r>
            <w:r w:rsidRPr="0013396E">
              <w:rPr>
                <w:i/>
                <w:iCs/>
                <w:sz w:val="20"/>
                <w:vertAlign w:val="subscript"/>
              </w:rPr>
              <w:t>q, p</w:t>
            </w:r>
          </w:p>
        </w:tc>
        <w:tc>
          <w:tcPr>
            <w:tcW w:w="697" w:type="dxa"/>
          </w:tcPr>
          <w:p w14:paraId="008159C8" w14:textId="77777777" w:rsidR="003C2BD5" w:rsidRPr="0013396E" w:rsidRDefault="003C2BD5" w:rsidP="008C2590">
            <w:pPr>
              <w:spacing w:after="60"/>
              <w:rPr>
                <w:iCs/>
                <w:sz w:val="20"/>
              </w:rPr>
            </w:pPr>
            <w:r w:rsidRPr="0013396E">
              <w:rPr>
                <w:iCs/>
                <w:sz w:val="20"/>
              </w:rPr>
              <w:t>MWh</w:t>
            </w:r>
          </w:p>
        </w:tc>
        <w:tc>
          <w:tcPr>
            <w:tcW w:w="6655" w:type="dxa"/>
          </w:tcPr>
          <w:p w14:paraId="7D5DFE0E" w14:textId="77777777" w:rsidR="003C2BD5" w:rsidRPr="0013396E" w:rsidRDefault="003C2BD5" w:rsidP="008C2590">
            <w:pPr>
              <w:spacing w:after="60"/>
              <w:rPr>
                <w:iCs/>
                <w:sz w:val="20"/>
              </w:rPr>
            </w:pPr>
            <w:r w:rsidRPr="0013396E">
              <w:rPr>
                <w:i/>
                <w:iCs/>
                <w:sz w:val="20"/>
              </w:rPr>
              <w:t>Real-Time Adjusted Metered Load per QSE per Settlement Point</w:t>
            </w:r>
            <w:r w:rsidRPr="0013396E">
              <w:rPr>
                <w:iCs/>
                <w:sz w:val="20"/>
              </w:rPr>
              <w:t xml:space="preserve">—The sum of the AML at the Electrical Buses that are included in Settlement Point </w:t>
            </w:r>
            <w:r w:rsidRPr="0013396E">
              <w:rPr>
                <w:i/>
                <w:iCs/>
                <w:sz w:val="20"/>
              </w:rPr>
              <w:t>p</w:t>
            </w:r>
            <w:r w:rsidRPr="0013396E">
              <w:rPr>
                <w:iCs/>
                <w:sz w:val="20"/>
              </w:rPr>
              <w:t xml:space="preserve">, represented by QSE </w:t>
            </w:r>
            <w:r w:rsidRPr="0013396E">
              <w:rPr>
                <w:i/>
                <w:iCs/>
                <w:sz w:val="20"/>
              </w:rPr>
              <w:t>q</w:t>
            </w:r>
            <w:r w:rsidRPr="0013396E">
              <w:rPr>
                <w:iCs/>
                <w:sz w:val="20"/>
              </w:rPr>
              <w:t>, for the 15-minute Settlement Interval.</w:t>
            </w:r>
          </w:p>
        </w:tc>
      </w:tr>
      <w:tr w:rsidR="003C2BD5" w:rsidRPr="0013396E" w14:paraId="4427D1BF" w14:textId="77777777" w:rsidTr="008C2590">
        <w:tc>
          <w:tcPr>
            <w:tcW w:w="2003" w:type="dxa"/>
          </w:tcPr>
          <w:p w14:paraId="0490A0AB" w14:textId="77777777" w:rsidR="003C2BD5" w:rsidRPr="0013396E" w:rsidRDefault="003C2BD5" w:rsidP="008C2590">
            <w:pPr>
              <w:spacing w:after="60"/>
              <w:rPr>
                <w:i/>
                <w:iCs/>
                <w:sz w:val="20"/>
              </w:rPr>
            </w:pPr>
            <w:r w:rsidRPr="0013396E">
              <w:rPr>
                <w:i/>
                <w:iCs/>
                <w:sz w:val="20"/>
              </w:rPr>
              <w:lastRenderedPageBreak/>
              <w:t>q</w:t>
            </w:r>
          </w:p>
        </w:tc>
        <w:tc>
          <w:tcPr>
            <w:tcW w:w="697" w:type="dxa"/>
          </w:tcPr>
          <w:p w14:paraId="3B7084E8" w14:textId="77777777" w:rsidR="003C2BD5" w:rsidRPr="0013396E" w:rsidRDefault="003C2BD5" w:rsidP="008C2590">
            <w:pPr>
              <w:spacing w:after="60"/>
              <w:rPr>
                <w:iCs/>
                <w:sz w:val="20"/>
              </w:rPr>
            </w:pPr>
            <w:r w:rsidRPr="0013396E">
              <w:rPr>
                <w:iCs/>
                <w:sz w:val="20"/>
              </w:rPr>
              <w:t>none</w:t>
            </w:r>
          </w:p>
        </w:tc>
        <w:tc>
          <w:tcPr>
            <w:tcW w:w="6655" w:type="dxa"/>
          </w:tcPr>
          <w:p w14:paraId="66A78861" w14:textId="77777777" w:rsidR="003C2BD5" w:rsidRPr="0013396E" w:rsidRDefault="003C2BD5" w:rsidP="008C2590">
            <w:pPr>
              <w:spacing w:after="60"/>
              <w:rPr>
                <w:iCs/>
                <w:sz w:val="20"/>
              </w:rPr>
            </w:pPr>
            <w:r w:rsidRPr="0013396E">
              <w:rPr>
                <w:iCs/>
                <w:sz w:val="20"/>
              </w:rPr>
              <w:t>A QSE.  The summation is over all of the QSEs with metered readings in that interval.</w:t>
            </w:r>
          </w:p>
        </w:tc>
      </w:tr>
      <w:tr w:rsidR="003C2BD5" w:rsidRPr="0013396E" w14:paraId="61F105F1" w14:textId="77777777" w:rsidTr="008C2590">
        <w:tc>
          <w:tcPr>
            <w:tcW w:w="2003" w:type="dxa"/>
          </w:tcPr>
          <w:p w14:paraId="46A6646D" w14:textId="77777777" w:rsidR="003C2BD5" w:rsidRPr="0013396E" w:rsidRDefault="003C2BD5" w:rsidP="008C2590">
            <w:pPr>
              <w:spacing w:after="60"/>
              <w:rPr>
                <w:i/>
                <w:iCs/>
                <w:sz w:val="20"/>
              </w:rPr>
            </w:pPr>
            <w:r w:rsidRPr="0013396E">
              <w:rPr>
                <w:i/>
                <w:iCs/>
                <w:sz w:val="20"/>
              </w:rPr>
              <w:t>p</w:t>
            </w:r>
          </w:p>
        </w:tc>
        <w:tc>
          <w:tcPr>
            <w:tcW w:w="697" w:type="dxa"/>
          </w:tcPr>
          <w:p w14:paraId="786793D8" w14:textId="77777777" w:rsidR="003C2BD5" w:rsidRPr="0013396E" w:rsidRDefault="003C2BD5" w:rsidP="008C2590">
            <w:pPr>
              <w:spacing w:after="60"/>
              <w:rPr>
                <w:iCs/>
                <w:sz w:val="20"/>
              </w:rPr>
            </w:pPr>
            <w:r w:rsidRPr="0013396E">
              <w:rPr>
                <w:iCs/>
                <w:sz w:val="20"/>
              </w:rPr>
              <w:t>none</w:t>
            </w:r>
          </w:p>
        </w:tc>
        <w:tc>
          <w:tcPr>
            <w:tcW w:w="6655" w:type="dxa"/>
          </w:tcPr>
          <w:p w14:paraId="389FB50A" w14:textId="77777777" w:rsidR="003C2BD5" w:rsidRPr="0013396E" w:rsidRDefault="003C2BD5" w:rsidP="008C2590">
            <w:pPr>
              <w:spacing w:after="60"/>
              <w:rPr>
                <w:iCs/>
                <w:sz w:val="20"/>
              </w:rPr>
            </w:pPr>
            <w:r w:rsidRPr="0013396E">
              <w:rPr>
                <w:iCs/>
                <w:sz w:val="20"/>
              </w:rPr>
              <w:t>A Settlement Point.  The summation is over all of the Settlement Points.</w:t>
            </w:r>
          </w:p>
        </w:tc>
      </w:tr>
      <w:tr w:rsidR="003C2BD5" w:rsidRPr="0013396E" w14:paraId="634DF73F" w14:textId="77777777" w:rsidTr="008C2590">
        <w:trPr>
          <w:cantSplit/>
        </w:trPr>
        <w:tc>
          <w:tcPr>
            <w:tcW w:w="2003" w:type="dxa"/>
          </w:tcPr>
          <w:p w14:paraId="767DC910" w14:textId="77777777" w:rsidR="003C2BD5" w:rsidRPr="0013396E" w:rsidRDefault="003C2BD5" w:rsidP="008C2590">
            <w:pPr>
              <w:spacing w:after="60"/>
              <w:rPr>
                <w:i/>
                <w:iCs/>
                <w:sz w:val="20"/>
              </w:rPr>
            </w:pPr>
            <w:r w:rsidRPr="0013396E">
              <w:rPr>
                <w:i/>
                <w:iCs/>
                <w:sz w:val="20"/>
              </w:rPr>
              <w:t>i</w:t>
            </w:r>
          </w:p>
        </w:tc>
        <w:tc>
          <w:tcPr>
            <w:tcW w:w="697" w:type="dxa"/>
          </w:tcPr>
          <w:p w14:paraId="529754D6" w14:textId="77777777" w:rsidR="003C2BD5" w:rsidRPr="0013396E" w:rsidRDefault="003C2BD5" w:rsidP="008C2590">
            <w:pPr>
              <w:spacing w:after="60"/>
              <w:rPr>
                <w:iCs/>
                <w:sz w:val="20"/>
              </w:rPr>
            </w:pPr>
            <w:r w:rsidRPr="0013396E">
              <w:rPr>
                <w:iCs/>
                <w:sz w:val="20"/>
              </w:rPr>
              <w:t>none</w:t>
            </w:r>
          </w:p>
        </w:tc>
        <w:tc>
          <w:tcPr>
            <w:tcW w:w="6655" w:type="dxa"/>
          </w:tcPr>
          <w:p w14:paraId="129E707C" w14:textId="77777777" w:rsidR="003C2BD5" w:rsidRPr="0013396E" w:rsidRDefault="003C2BD5" w:rsidP="008C2590">
            <w:pPr>
              <w:spacing w:after="60"/>
              <w:rPr>
                <w:iCs/>
                <w:sz w:val="20"/>
              </w:rPr>
            </w:pPr>
            <w:r w:rsidRPr="0013396E">
              <w:rPr>
                <w:iCs/>
                <w:sz w:val="20"/>
              </w:rPr>
              <w:t>A 15-minute Settlement Interval in the Operating Hour.  The summation is over all of the Settlement Intervals of the Operating Hour.</w:t>
            </w:r>
          </w:p>
        </w:tc>
      </w:tr>
    </w:tbl>
    <w:p w14:paraId="4113208D" w14:textId="77777777" w:rsidR="001F04FD" w:rsidRPr="0013396E" w:rsidRDefault="001F04FD" w:rsidP="001F04FD">
      <w:pPr>
        <w:pStyle w:val="H4"/>
        <w:spacing w:before="480"/>
        <w:ind w:left="1267" w:hanging="1267"/>
      </w:pPr>
      <w:bookmarkStart w:id="1521" w:name="_Toc458770307"/>
      <w:bookmarkStart w:id="1522" w:name="_Toc459294275"/>
      <w:bookmarkStart w:id="1523" w:name="_Toc463262768"/>
      <w:bookmarkStart w:id="1524" w:name="_Toc468286841"/>
      <w:bookmarkStart w:id="1525" w:name="_Toc481502885"/>
      <w:bookmarkStart w:id="1526" w:name="_Toc496080053"/>
      <w:bookmarkStart w:id="1527" w:name="_Toc214878959"/>
      <w:r w:rsidRPr="0013396E">
        <w:t>6.6.2.</w:t>
      </w:r>
      <w:r w:rsidR="003C2BD5" w:rsidRPr="0013396E">
        <w:t>4</w:t>
      </w:r>
      <w:r w:rsidRPr="0013396E">
        <w:tab/>
        <w:t>QSE Load Ratio Share for an Operating Hour</w:t>
      </w:r>
      <w:bookmarkEnd w:id="1508"/>
      <w:bookmarkEnd w:id="1509"/>
      <w:bookmarkEnd w:id="1510"/>
      <w:bookmarkEnd w:id="1511"/>
      <w:bookmarkEnd w:id="1512"/>
      <w:bookmarkEnd w:id="1513"/>
      <w:bookmarkEnd w:id="1514"/>
      <w:bookmarkEnd w:id="1515"/>
      <w:bookmarkEnd w:id="1516"/>
      <w:bookmarkEnd w:id="1517"/>
      <w:bookmarkEnd w:id="1521"/>
      <w:bookmarkEnd w:id="1522"/>
      <w:bookmarkEnd w:id="1523"/>
      <w:bookmarkEnd w:id="1524"/>
      <w:bookmarkEnd w:id="1525"/>
      <w:bookmarkEnd w:id="1526"/>
      <w:bookmarkEnd w:id="1527"/>
    </w:p>
    <w:p w14:paraId="15D493F2" w14:textId="77777777" w:rsidR="001F04FD" w:rsidRPr="0013396E" w:rsidRDefault="001F04FD" w:rsidP="001F04FD">
      <w:pPr>
        <w:pStyle w:val="BodyText"/>
      </w:pPr>
      <w:r w:rsidRPr="0013396E">
        <w:t>(1)</w:t>
      </w:r>
      <w:r w:rsidRPr="0013396E">
        <w:tab/>
        <w:t>Each QSE’s LRS for an Operating Hour is calculated as follows:</w:t>
      </w:r>
    </w:p>
    <w:p w14:paraId="173C72C6" w14:textId="77777777" w:rsidR="001F04FD" w:rsidRPr="0013396E" w:rsidRDefault="001F04FD" w:rsidP="001F04FD">
      <w:pPr>
        <w:pStyle w:val="FormulaBold"/>
        <w:rPr>
          <w:lang w:val="sv-SE"/>
        </w:rPr>
      </w:pPr>
      <w:r w:rsidRPr="0013396E">
        <w:rPr>
          <w:lang w:val="sv-SE"/>
        </w:rPr>
        <w:t>HLRS</w:t>
      </w:r>
      <w:r w:rsidRPr="0013396E">
        <w:rPr>
          <w:i/>
          <w:vertAlign w:val="subscript"/>
          <w:lang w:val="sv-SE"/>
        </w:rPr>
        <w:t xml:space="preserve"> q</w:t>
      </w:r>
      <w:r w:rsidRPr="0013396E">
        <w:rPr>
          <w:lang w:val="sv-SE"/>
        </w:rPr>
        <w:tab/>
        <w:t>=</w:t>
      </w:r>
      <w:r w:rsidRPr="0013396E">
        <w:rPr>
          <w:lang w:val="sv-SE"/>
        </w:rPr>
        <w:tab/>
        <w:t>(</w:t>
      </w:r>
      <w:r w:rsidR="003C2BD5" w:rsidRPr="0013396E">
        <w:rPr>
          <w:bCs w:val="0"/>
        </w:rPr>
        <w:t>max(0,</w:t>
      </w:r>
      <w:r w:rsidRPr="0013396E">
        <w:rPr>
          <w:position w:val="-20"/>
        </w:rPr>
        <w:object w:dxaOrig="255" w:dyaOrig="585" w14:anchorId="0351425E">
          <v:shape id="_x0000_i1083" type="#_x0000_t75" style="width:12pt;height:30pt" o:ole="">
            <v:imagedata r:id="rId85" o:title=""/>
          </v:shape>
          <o:OLEObject Type="Embed" ProgID="Equation.3" ShapeID="_x0000_i1083" DrawAspect="Content" ObjectID="_1836311362" r:id="rId88"/>
        </w:object>
      </w:r>
      <w:r w:rsidRPr="0013396E">
        <w:rPr>
          <w:position w:val="-22"/>
        </w:rPr>
        <w:object w:dxaOrig="225" w:dyaOrig="465" w14:anchorId="5F6BC0DA">
          <v:shape id="_x0000_i1084" type="#_x0000_t75" style="width:12pt;height:18.6pt" o:ole="">
            <v:imagedata r:id="rId73" o:title=""/>
          </v:shape>
          <o:OLEObject Type="Embed" ProgID="Equation.3" ShapeID="_x0000_i1084" DrawAspect="Content" ObjectID="_1836311363" r:id="rId89"/>
        </w:object>
      </w:r>
      <w:r w:rsidRPr="0013396E">
        <w:rPr>
          <w:lang w:val="sv-SE"/>
        </w:rPr>
        <w:t xml:space="preserve">RTAML </w:t>
      </w:r>
      <w:r w:rsidRPr="0013396E">
        <w:rPr>
          <w:i/>
          <w:vertAlign w:val="subscript"/>
          <w:lang w:val="sv-SE"/>
        </w:rPr>
        <w:t>q, p, i</w:t>
      </w:r>
      <w:r w:rsidRPr="0013396E">
        <w:rPr>
          <w:lang w:val="sv-SE"/>
        </w:rPr>
        <w:t>)</w:t>
      </w:r>
      <w:r w:rsidR="003C2BD5" w:rsidRPr="0013396E">
        <w:rPr>
          <w:lang w:val="sv-SE"/>
        </w:rPr>
        <w:t>)</w:t>
      </w:r>
      <w:r w:rsidRPr="0013396E">
        <w:rPr>
          <w:lang w:val="sv-SE"/>
        </w:rPr>
        <w:t xml:space="preserve"> / (</w:t>
      </w:r>
      <w:r w:rsidR="003C2BD5" w:rsidRPr="0013396E">
        <w:t>H</w:t>
      </w:r>
      <w:r w:rsidRPr="0013396E">
        <w:rPr>
          <w:lang w:val="sv-SE"/>
        </w:rPr>
        <w:t xml:space="preserve">RTAMLTOT)  </w:t>
      </w:r>
    </w:p>
    <w:p w14:paraId="050BD0D4" w14:textId="77777777" w:rsidR="001F04FD" w:rsidRPr="0013396E" w:rsidRDefault="001F04FD" w:rsidP="001F04FD">
      <w:r w:rsidRPr="0013396E">
        <w:t>The above variables are defined as follows:</w:t>
      </w:r>
    </w:p>
    <w:tbl>
      <w:tblPr>
        <w:tblW w:w="10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161"/>
        <w:gridCol w:w="900"/>
        <w:gridCol w:w="7225"/>
      </w:tblGrid>
      <w:tr w:rsidR="001F04FD" w:rsidRPr="0013396E" w14:paraId="2E2FDE36" w14:textId="77777777" w:rsidTr="00316CC9">
        <w:trPr>
          <w:cantSplit/>
        </w:trPr>
        <w:tc>
          <w:tcPr>
            <w:tcW w:w="2161" w:type="dxa"/>
          </w:tcPr>
          <w:p w14:paraId="3156FFA7" w14:textId="77777777" w:rsidR="001F04FD" w:rsidRPr="0013396E" w:rsidRDefault="001F04FD" w:rsidP="00AC4DEE">
            <w:pPr>
              <w:pStyle w:val="TableHead"/>
            </w:pPr>
            <w:r w:rsidRPr="0013396E">
              <w:t>Variable</w:t>
            </w:r>
          </w:p>
        </w:tc>
        <w:tc>
          <w:tcPr>
            <w:tcW w:w="900" w:type="dxa"/>
          </w:tcPr>
          <w:p w14:paraId="719A6AB4" w14:textId="77777777" w:rsidR="001F04FD" w:rsidRPr="0013396E" w:rsidRDefault="001F04FD" w:rsidP="00AC4DEE">
            <w:pPr>
              <w:pStyle w:val="TableHead"/>
            </w:pPr>
            <w:r w:rsidRPr="0013396E">
              <w:t>Unit</w:t>
            </w:r>
          </w:p>
        </w:tc>
        <w:tc>
          <w:tcPr>
            <w:tcW w:w="7225" w:type="dxa"/>
          </w:tcPr>
          <w:p w14:paraId="4BFC6EB4" w14:textId="77777777" w:rsidR="001F04FD" w:rsidRPr="0013396E" w:rsidRDefault="001F04FD" w:rsidP="00AC4DEE">
            <w:pPr>
              <w:pStyle w:val="TableHead"/>
            </w:pPr>
            <w:r w:rsidRPr="0013396E">
              <w:t>Description</w:t>
            </w:r>
          </w:p>
        </w:tc>
      </w:tr>
      <w:tr w:rsidR="001F04FD" w:rsidRPr="0013396E" w14:paraId="1C1CC40F" w14:textId="77777777" w:rsidTr="00316CC9">
        <w:trPr>
          <w:cantSplit/>
        </w:trPr>
        <w:tc>
          <w:tcPr>
            <w:tcW w:w="2161" w:type="dxa"/>
          </w:tcPr>
          <w:p w14:paraId="7D6C89E4" w14:textId="77777777" w:rsidR="001F04FD" w:rsidRPr="0013396E" w:rsidRDefault="001F04FD" w:rsidP="00AC4DEE">
            <w:pPr>
              <w:pStyle w:val="TableBody"/>
            </w:pPr>
            <w:r w:rsidRPr="0013396E">
              <w:t>HLRS</w:t>
            </w:r>
            <w:r w:rsidRPr="0013396E">
              <w:rPr>
                <w:i/>
                <w:vertAlign w:val="subscript"/>
              </w:rPr>
              <w:t xml:space="preserve"> q</w:t>
            </w:r>
          </w:p>
        </w:tc>
        <w:tc>
          <w:tcPr>
            <w:tcW w:w="900" w:type="dxa"/>
          </w:tcPr>
          <w:p w14:paraId="47F2EC95" w14:textId="77777777" w:rsidR="001F04FD" w:rsidRPr="0013396E" w:rsidRDefault="001F04FD" w:rsidP="00AC4DEE">
            <w:pPr>
              <w:pStyle w:val="TableBody"/>
            </w:pPr>
            <w:r w:rsidRPr="0013396E">
              <w:t>none</w:t>
            </w:r>
          </w:p>
        </w:tc>
        <w:tc>
          <w:tcPr>
            <w:tcW w:w="7225" w:type="dxa"/>
          </w:tcPr>
          <w:p w14:paraId="4D6AFA9A" w14:textId="77777777" w:rsidR="001F04FD" w:rsidRPr="0013396E" w:rsidRDefault="001F04FD" w:rsidP="00AC4DEE">
            <w:pPr>
              <w:pStyle w:val="TableBody"/>
              <w:rPr>
                <w:i/>
              </w:rPr>
            </w:pPr>
            <w:r w:rsidRPr="0013396E">
              <w:rPr>
                <w:i/>
              </w:rPr>
              <w:t>Hourly Load Ratio Share per QSE</w:t>
            </w:r>
            <w:r w:rsidRPr="0013396E">
              <w:t xml:space="preserve">—The LRS as defined in Section 2, Definitions and Acronyms, for QSE </w:t>
            </w:r>
            <w:r w:rsidRPr="0013396E">
              <w:rPr>
                <w:i/>
              </w:rPr>
              <w:t>q</w:t>
            </w:r>
            <w:r w:rsidRPr="0013396E">
              <w:t>, for the hour.</w:t>
            </w:r>
          </w:p>
        </w:tc>
      </w:tr>
      <w:tr w:rsidR="001F04FD" w:rsidRPr="0013396E" w14:paraId="5466B4D4" w14:textId="77777777" w:rsidTr="00316CC9">
        <w:trPr>
          <w:cantSplit/>
        </w:trPr>
        <w:tc>
          <w:tcPr>
            <w:tcW w:w="2161" w:type="dxa"/>
          </w:tcPr>
          <w:p w14:paraId="169A2C53" w14:textId="77777777" w:rsidR="001F04FD" w:rsidRPr="0013396E" w:rsidRDefault="001F04FD" w:rsidP="00AC4DEE">
            <w:pPr>
              <w:pStyle w:val="TableBody"/>
            </w:pPr>
            <w:r w:rsidRPr="0013396E">
              <w:t xml:space="preserve">RTAML </w:t>
            </w:r>
            <w:r w:rsidRPr="0013396E">
              <w:rPr>
                <w:i/>
                <w:vertAlign w:val="subscript"/>
              </w:rPr>
              <w:t>q, p, i</w:t>
            </w:r>
          </w:p>
        </w:tc>
        <w:tc>
          <w:tcPr>
            <w:tcW w:w="900" w:type="dxa"/>
          </w:tcPr>
          <w:p w14:paraId="33A31A76" w14:textId="77777777" w:rsidR="001F04FD" w:rsidRPr="0013396E" w:rsidRDefault="001F04FD" w:rsidP="00AC4DEE">
            <w:pPr>
              <w:pStyle w:val="TableBody"/>
            </w:pPr>
            <w:r w:rsidRPr="0013396E">
              <w:t>MWh</w:t>
            </w:r>
          </w:p>
        </w:tc>
        <w:tc>
          <w:tcPr>
            <w:tcW w:w="7225" w:type="dxa"/>
          </w:tcPr>
          <w:p w14:paraId="133ADE16" w14:textId="77777777" w:rsidR="001F04FD" w:rsidRPr="0013396E" w:rsidRDefault="001F04FD" w:rsidP="00E91BBF">
            <w:pPr>
              <w:pStyle w:val="TableBody"/>
            </w:pPr>
            <w:r w:rsidRPr="0013396E">
              <w:rPr>
                <w:i/>
              </w:rPr>
              <w:t>Real-Time Adjusted Metered Load per Settlement Point per QSE by interval</w:t>
            </w:r>
            <w:r w:rsidRPr="0013396E">
              <w:t xml:space="preserve">—The sum of the </w:t>
            </w:r>
            <w:r w:rsidR="00E91BBF" w:rsidRPr="0013396E">
              <w:t>AML</w:t>
            </w:r>
            <w:r w:rsidRPr="0013396E">
              <w:t xml:space="preserve"> at the Electrical Buses that are included in the Settlement Point </w:t>
            </w:r>
            <w:r w:rsidRPr="0013396E">
              <w:rPr>
                <w:i/>
              </w:rPr>
              <w:t>p</w:t>
            </w:r>
            <w:r w:rsidRPr="0013396E">
              <w:t xml:space="preserve">, represented by QSE </w:t>
            </w:r>
            <w:r w:rsidRPr="0013396E">
              <w:rPr>
                <w:i/>
              </w:rPr>
              <w:t>q</w:t>
            </w:r>
            <w:r w:rsidRPr="0013396E">
              <w:t xml:space="preserve"> for the 15-minute Settlement Interval </w:t>
            </w:r>
            <w:r w:rsidRPr="0013396E">
              <w:rPr>
                <w:i/>
              </w:rPr>
              <w:t>i</w:t>
            </w:r>
            <w:r w:rsidRPr="0013396E">
              <w:t>.</w:t>
            </w:r>
          </w:p>
        </w:tc>
      </w:tr>
      <w:tr w:rsidR="001F04FD" w:rsidRPr="0013396E" w14:paraId="4E813B50" w14:textId="77777777" w:rsidTr="00316CC9">
        <w:trPr>
          <w:cantSplit/>
        </w:trPr>
        <w:tc>
          <w:tcPr>
            <w:tcW w:w="2161" w:type="dxa"/>
          </w:tcPr>
          <w:p w14:paraId="033403C2" w14:textId="77777777" w:rsidR="001F04FD" w:rsidRPr="0013396E" w:rsidRDefault="003C2BD5" w:rsidP="00AC4DEE">
            <w:pPr>
              <w:pStyle w:val="TableBody"/>
            </w:pPr>
            <w:r w:rsidRPr="0013396E">
              <w:t>H</w:t>
            </w:r>
            <w:r w:rsidR="001F04FD" w:rsidRPr="0013396E">
              <w:t>RTAMLTOT</w:t>
            </w:r>
          </w:p>
        </w:tc>
        <w:tc>
          <w:tcPr>
            <w:tcW w:w="900" w:type="dxa"/>
          </w:tcPr>
          <w:p w14:paraId="7D80DBAD" w14:textId="77777777" w:rsidR="001F04FD" w:rsidRPr="0013396E" w:rsidRDefault="001F04FD" w:rsidP="00AC4DEE">
            <w:pPr>
              <w:pStyle w:val="TableBody"/>
            </w:pPr>
            <w:r w:rsidRPr="0013396E">
              <w:t>MWh</w:t>
            </w:r>
          </w:p>
        </w:tc>
        <w:tc>
          <w:tcPr>
            <w:tcW w:w="7225" w:type="dxa"/>
          </w:tcPr>
          <w:p w14:paraId="53787083" w14:textId="77777777" w:rsidR="001F04FD" w:rsidRPr="0013396E" w:rsidRDefault="001F04FD" w:rsidP="00E91BBF">
            <w:pPr>
              <w:pStyle w:val="TableBody"/>
            </w:pPr>
            <w:r w:rsidRPr="0013396E">
              <w:rPr>
                <w:i/>
              </w:rPr>
              <w:t>Real-Time Adjusted Metered Load Total</w:t>
            </w:r>
            <w:r w:rsidRPr="0013396E">
              <w:t xml:space="preserve">—The total </w:t>
            </w:r>
            <w:r w:rsidR="00E91BBF" w:rsidRPr="0013396E">
              <w:t>AML</w:t>
            </w:r>
            <w:r w:rsidRPr="0013396E">
              <w:t xml:space="preserve"> in ERCOT, for the </w:t>
            </w:r>
            <w:r w:rsidR="003C2BD5" w:rsidRPr="0013396E">
              <w:t>Operating Hour</w:t>
            </w:r>
            <w:r w:rsidRPr="0013396E">
              <w:t>.</w:t>
            </w:r>
          </w:p>
        </w:tc>
      </w:tr>
      <w:tr w:rsidR="001F04FD" w:rsidRPr="0013396E" w14:paraId="22345FBB" w14:textId="77777777" w:rsidTr="00316CC9">
        <w:trPr>
          <w:cantSplit/>
        </w:trPr>
        <w:tc>
          <w:tcPr>
            <w:tcW w:w="2161" w:type="dxa"/>
          </w:tcPr>
          <w:p w14:paraId="4ECD5137" w14:textId="77777777" w:rsidR="001F04FD" w:rsidRPr="0013396E" w:rsidRDefault="001F04FD" w:rsidP="00AC4DEE">
            <w:pPr>
              <w:pStyle w:val="TableBody"/>
              <w:rPr>
                <w:i/>
              </w:rPr>
            </w:pPr>
            <w:r w:rsidRPr="0013396E">
              <w:rPr>
                <w:i/>
              </w:rPr>
              <w:t>p</w:t>
            </w:r>
          </w:p>
        </w:tc>
        <w:tc>
          <w:tcPr>
            <w:tcW w:w="900" w:type="dxa"/>
          </w:tcPr>
          <w:p w14:paraId="35B18D10" w14:textId="77777777" w:rsidR="001F04FD" w:rsidRPr="0013396E" w:rsidRDefault="001F04FD" w:rsidP="00AC4DEE">
            <w:pPr>
              <w:pStyle w:val="TableBody"/>
            </w:pPr>
            <w:r w:rsidRPr="0013396E">
              <w:t>none</w:t>
            </w:r>
          </w:p>
        </w:tc>
        <w:tc>
          <w:tcPr>
            <w:tcW w:w="7225" w:type="dxa"/>
          </w:tcPr>
          <w:p w14:paraId="777D6FBB" w14:textId="77777777" w:rsidR="001F04FD" w:rsidRPr="0013396E" w:rsidRDefault="001F04FD" w:rsidP="00AC4DEE">
            <w:pPr>
              <w:pStyle w:val="TableBody"/>
            </w:pPr>
            <w:r w:rsidRPr="0013396E">
              <w:t>A Settlement Point.  The summation is over all of the Settlement Points.</w:t>
            </w:r>
          </w:p>
        </w:tc>
      </w:tr>
      <w:tr w:rsidR="001F04FD" w:rsidRPr="0013396E" w14:paraId="65648205" w14:textId="77777777" w:rsidTr="00316CC9">
        <w:trPr>
          <w:cantSplit/>
        </w:trPr>
        <w:tc>
          <w:tcPr>
            <w:tcW w:w="2161" w:type="dxa"/>
          </w:tcPr>
          <w:p w14:paraId="4E495A15" w14:textId="77777777" w:rsidR="001F04FD" w:rsidRPr="0013396E" w:rsidRDefault="001F04FD" w:rsidP="00AC4DEE">
            <w:pPr>
              <w:pStyle w:val="TableBody"/>
              <w:rPr>
                <w:i/>
              </w:rPr>
            </w:pPr>
            <w:r w:rsidRPr="0013396E">
              <w:rPr>
                <w:i/>
              </w:rPr>
              <w:t>i</w:t>
            </w:r>
          </w:p>
        </w:tc>
        <w:tc>
          <w:tcPr>
            <w:tcW w:w="900" w:type="dxa"/>
          </w:tcPr>
          <w:p w14:paraId="6F11A69A" w14:textId="77777777" w:rsidR="001F04FD" w:rsidRPr="0013396E" w:rsidRDefault="001F04FD" w:rsidP="00AC4DEE">
            <w:pPr>
              <w:pStyle w:val="TableBody"/>
            </w:pPr>
            <w:r w:rsidRPr="0013396E">
              <w:t>none</w:t>
            </w:r>
          </w:p>
        </w:tc>
        <w:tc>
          <w:tcPr>
            <w:tcW w:w="7225" w:type="dxa"/>
          </w:tcPr>
          <w:p w14:paraId="13314D05" w14:textId="77777777" w:rsidR="001F04FD" w:rsidRPr="0013396E" w:rsidRDefault="001F04FD" w:rsidP="00E91BBF">
            <w:pPr>
              <w:pStyle w:val="TableBody"/>
            </w:pPr>
            <w:r w:rsidRPr="0013396E">
              <w:t xml:space="preserve">A 15-minute Settlement Interval in the Operating Hour.  The summation </w:t>
            </w:r>
            <w:r w:rsidR="00E91BBF" w:rsidRPr="0013396E">
              <w:t xml:space="preserve">is </w:t>
            </w:r>
            <w:r w:rsidRPr="0013396E">
              <w:t>over all of the Settlement Intervals of the Operating Hour.</w:t>
            </w:r>
          </w:p>
        </w:tc>
      </w:tr>
    </w:tbl>
    <w:p w14:paraId="71DEAB93" w14:textId="77777777" w:rsidR="00316CC9" w:rsidRPr="0013396E" w:rsidRDefault="00316CC9"/>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ayout w:type="fixed"/>
        <w:tblCellMar>
          <w:top w:w="144" w:type="dxa"/>
          <w:left w:w="115" w:type="dxa"/>
          <w:right w:w="115" w:type="dxa"/>
        </w:tblCellMar>
        <w:tblLook w:val="01E0" w:firstRow="1" w:lastRow="1" w:firstColumn="1" w:lastColumn="1" w:noHBand="0" w:noVBand="0"/>
      </w:tblPr>
      <w:tblGrid>
        <w:gridCol w:w="10080"/>
      </w:tblGrid>
      <w:tr w:rsidR="00316CC9" w:rsidRPr="0013396E" w14:paraId="6DC3213A" w14:textId="77777777" w:rsidTr="00316CC9">
        <w:trPr>
          <w:trHeight w:val="206"/>
        </w:trPr>
        <w:tc>
          <w:tcPr>
            <w:tcW w:w="10080" w:type="dxa"/>
            <w:shd w:val="pct12" w:color="auto" w:fill="auto"/>
          </w:tcPr>
          <w:p w14:paraId="24AFC55E" w14:textId="755BA881" w:rsidR="00316CC9" w:rsidRPr="0013396E" w:rsidRDefault="00316CC9" w:rsidP="00316CC9">
            <w:pPr>
              <w:pStyle w:val="Instructions"/>
              <w:spacing w:before="120"/>
            </w:pPr>
            <w:bookmarkStart w:id="1528" w:name="_Toc109009388"/>
            <w:bookmarkStart w:id="1529" w:name="_Toc397505012"/>
            <w:bookmarkStart w:id="1530" w:name="_Toc402357140"/>
            <w:bookmarkStart w:id="1531" w:name="_Toc422486518"/>
            <w:bookmarkStart w:id="1532" w:name="_Toc433093370"/>
            <w:bookmarkStart w:id="1533" w:name="_Toc433093528"/>
            <w:bookmarkStart w:id="1534" w:name="_Toc440874756"/>
            <w:bookmarkStart w:id="1535" w:name="_Toc448142311"/>
            <w:bookmarkStart w:id="1536" w:name="_Toc448142468"/>
            <w:bookmarkStart w:id="1537" w:name="_Toc458770309"/>
            <w:bookmarkStart w:id="1538" w:name="_Toc459294277"/>
            <w:bookmarkStart w:id="1539" w:name="_Toc463262770"/>
            <w:bookmarkStart w:id="1540" w:name="_Toc468286843"/>
            <w:bookmarkStart w:id="1541" w:name="_Toc481502886"/>
            <w:bookmarkStart w:id="1542" w:name="_Toc496080054"/>
            <w:r w:rsidRPr="0013396E">
              <w:t>[NPRR1030:  Insert Section 6.6.2.5 below upon system implementation:]</w:t>
            </w:r>
          </w:p>
          <w:p w14:paraId="054AC84E" w14:textId="77777777" w:rsidR="00694BD2" w:rsidRPr="0013396E" w:rsidRDefault="00694BD2" w:rsidP="00694BD2">
            <w:pPr>
              <w:keepNext/>
              <w:widowControl w:val="0"/>
              <w:tabs>
                <w:tab w:val="left" w:pos="1260"/>
              </w:tabs>
              <w:spacing w:before="480" w:after="240"/>
              <w:outlineLvl w:val="3"/>
              <w:rPr>
                <w:b/>
                <w:bCs/>
                <w:snapToGrid w:val="0"/>
              </w:rPr>
            </w:pPr>
            <w:bookmarkStart w:id="1543" w:name="_Toc214878960"/>
            <w:r w:rsidRPr="0013396E">
              <w:rPr>
                <w:b/>
                <w:bCs/>
                <w:snapToGrid w:val="0"/>
              </w:rPr>
              <w:t>6.6.2.5</w:t>
            </w:r>
            <w:r w:rsidRPr="0013396E">
              <w:rPr>
                <w:b/>
                <w:bCs/>
                <w:snapToGrid w:val="0"/>
              </w:rPr>
              <w:tab/>
              <w:t>ERCOT Total Adjusted Metered Load for a Month</w:t>
            </w:r>
            <w:bookmarkEnd w:id="1543"/>
          </w:p>
          <w:p w14:paraId="20F311A9" w14:textId="77777777" w:rsidR="00694BD2" w:rsidRPr="0013396E" w:rsidRDefault="00694BD2" w:rsidP="00694BD2">
            <w:pPr>
              <w:spacing w:after="240"/>
              <w:ind w:left="720" w:hanging="720"/>
              <w:rPr>
                <w:iCs/>
              </w:rPr>
            </w:pPr>
            <w:r w:rsidRPr="0013396E">
              <w:rPr>
                <w:iCs/>
              </w:rPr>
              <w:t>(1)</w:t>
            </w:r>
            <w:r w:rsidRPr="0013396E">
              <w:rPr>
                <w:iCs/>
              </w:rPr>
              <w:tab/>
              <w:t>ERCOT total AML for a calendar month is calculated as follows:</w:t>
            </w:r>
          </w:p>
          <w:p w14:paraId="27F93226" w14:textId="77777777" w:rsidR="00694BD2" w:rsidRPr="0013396E" w:rsidRDefault="00694BD2" w:rsidP="00694BD2">
            <w:pPr>
              <w:tabs>
                <w:tab w:val="left" w:pos="2250"/>
                <w:tab w:val="left" w:pos="3150"/>
                <w:tab w:val="left" w:pos="3960"/>
              </w:tabs>
              <w:spacing w:after="240"/>
              <w:ind w:left="3960" w:hanging="3240"/>
              <w:rPr>
                <w:b/>
                <w:bCs/>
              </w:rPr>
            </w:pPr>
            <w:r w:rsidRPr="0013396E">
              <w:rPr>
                <w:b/>
                <w:bCs/>
              </w:rPr>
              <w:t>MRTAMLTOT</w:t>
            </w:r>
            <w:r w:rsidRPr="0013396E">
              <w:rPr>
                <w:b/>
                <w:bCs/>
              </w:rPr>
              <w:tab/>
              <w:t>=</w:t>
            </w:r>
            <w:r w:rsidRPr="0013396E">
              <w:rPr>
                <w:b/>
                <w:bCs/>
              </w:rPr>
              <w:tab/>
            </w:r>
            <w:r w:rsidRPr="0013396E">
              <w:rPr>
                <w:b/>
                <w:bCs/>
                <w:position w:val="-22"/>
              </w:rPr>
              <w:object w:dxaOrig="225" w:dyaOrig="465" w14:anchorId="7AF000B6">
                <v:shape id="_x0000_i1085" type="#_x0000_t75" style="width:12pt;height:18.6pt" o:ole="">
                  <v:imagedata r:id="rId77" o:title=""/>
                </v:shape>
                <o:OLEObject Type="Embed" ProgID="Equation.3" ShapeID="_x0000_i1085" DrawAspect="Content" ObjectID="_1836311364" r:id="rId90"/>
              </w:object>
            </w:r>
            <w:r w:rsidRPr="0013396E">
              <w:rPr>
                <w:b/>
                <w:bCs/>
              </w:rPr>
              <w:t>(max(0,</w:t>
            </w:r>
            <w:r w:rsidRPr="0013396E">
              <w:rPr>
                <w:b/>
                <w:bCs/>
                <w:sz w:val="12"/>
                <w:szCs w:val="12"/>
              </w:rPr>
              <w:t xml:space="preserve"> </w:t>
            </w:r>
            <w:r w:rsidRPr="0013396E">
              <w:rPr>
                <w:position w:val="-20"/>
              </w:rPr>
              <w:object w:dxaOrig="220" w:dyaOrig="440" w14:anchorId="64585321">
                <v:shape id="_x0000_i1086" type="#_x0000_t75" style="width:6pt;height:24pt" o:ole="">
                  <v:imagedata r:id="rId91" o:title=""/>
                </v:shape>
                <o:OLEObject Type="Embed" ProgID="Equation.3" ShapeID="_x0000_i1086" DrawAspect="Content" ObjectID="_1836311365" r:id="rId92"/>
              </w:object>
            </w:r>
            <w:r w:rsidRPr="0013396E">
              <w:rPr>
                <w:b/>
                <w:bCs/>
                <w:position w:val="-22"/>
              </w:rPr>
              <w:object w:dxaOrig="225" w:dyaOrig="465" w14:anchorId="2B7A137F">
                <v:shape id="_x0000_i1087" type="#_x0000_t75" style="width:12pt;height:18.6pt" o:ole="">
                  <v:imagedata r:id="rId79" o:title=""/>
                </v:shape>
                <o:OLEObject Type="Embed" ProgID="Equation.3" ShapeID="_x0000_i1087" DrawAspect="Content" ObjectID="_1836311366" r:id="rId93"/>
              </w:object>
            </w:r>
            <w:r w:rsidRPr="0013396E">
              <w:rPr>
                <w:b/>
                <w:bCs/>
              </w:rPr>
              <w:t xml:space="preserve">RTAML </w:t>
            </w:r>
            <w:r w:rsidRPr="0013396E">
              <w:rPr>
                <w:b/>
                <w:bCs/>
                <w:i/>
                <w:vertAlign w:val="subscript"/>
              </w:rPr>
              <w:t>q, p,i</w:t>
            </w:r>
            <w:r w:rsidRPr="0013396E">
              <w:rPr>
                <w:b/>
                <w:bCs/>
              </w:rPr>
              <w:t>))</w:t>
            </w:r>
          </w:p>
          <w:p w14:paraId="1E05A6A9" w14:textId="77777777" w:rsidR="00694BD2" w:rsidRPr="0013396E" w:rsidRDefault="00694BD2" w:rsidP="00694BD2">
            <w:r w:rsidRPr="0013396E">
              <w:t>The above variables are defined as follows:</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003"/>
              <w:gridCol w:w="697"/>
              <w:gridCol w:w="6655"/>
            </w:tblGrid>
            <w:tr w:rsidR="00694BD2" w:rsidRPr="0013396E" w14:paraId="22EEC2FE" w14:textId="77777777" w:rsidTr="00663874">
              <w:tc>
                <w:tcPr>
                  <w:tcW w:w="2003" w:type="dxa"/>
                </w:tcPr>
                <w:p w14:paraId="4EC06680" w14:textId="77777777" w:rsidR="00694BD2" w:rsidRPr="0013396E" w:rsidRDefault="00694BD2" w:rsidP="00694BD2">
                  <w:pPr>
                    <w:spacing w:after="120"/>
                    <w:rPr>
                      <w:b/>
                      <w:iCs/>
                      <w:sz w:val="20"/>
                    </w:rPr>
                  </w:pPr>
                  <w:r w:rsidRPr="0013396E">
                    <w:rPr>
                      <w:b/>
                      <w:iCs/>
                      <w:sz w:val="20"/>
                    </w:rPr>
                    <w:t>Variable</w:t>
                  </w:r>
                </w:p>
              </w:tc>
              <w:tc>
                <w:tcPr>
                  <w:tcW w:w="697" w:type="dxa"/>
                </w:tcPr>
                <w:p w14:paraId="46292A58" w14:textId="77777777" w:rsidR="00694BD2" w:rsidRPr="0013396E" w:rsidRDefault="00694BD2" w:rsidP="00694BD2">
                  <w:pPr>
                    <w:spacing w:after="120"/>
                    <w:rPr>
                      <w:b/>
                      <w:iCs/>
                      <w:sz w:val="20"/>
                    </w:rPr>
                  </w:pPr>
                  <w:r w:rsidRPr="0013396E">
                    <w:rPr>
                      <w:b/>
                      <w:iCs/>
                      <w:sz w:val="20"/>
                    </w:rPr>
                    <w:t>Unit</w:t>
                  </w:r>
                </w:p>
              </w:tc>
              <w:tc>
                <w:tcPr>
                  <w:tcW w:w="6655" w:type="dxa"/>
                </w:tcPr>
                <w:p w14:paraId="344A56C0" w14:textId="77777777" w:rsidR="00694BD2" w:rsidRPr="0013396E" w:rsidRDefault="00694BD2" w:rsidP="00694BD2">
                  <w:pPr>
                    <w:spacing w:after="120"/>
                    <w:rPr>
                      <w:b/>
                      <w:iCs/>
                      <w:sz w:val="20"/>
                    </w:rPr>
                  </w:pPr>
                  <w:r w:rsidRPr="0013396E">
                    <w:rPr>
                      <w:b/>
                      <w:iCs/>
                      <w:sz w:val="20"/>
                    </w:rPr>
                    <w:t>Description</w:t>
                  </w:r>
                </w:p>
              </w:tc>
            </w:tr>
            <w:tr w:rsidR="00694BD2" w:rsidRPr="0013396E" w14:paraId="35D4500F" w14:textId="77777777" w:rsidTr="00663874">
              <w:tc>
                <w:tcPr>
                  <w:tcW w:w="2003" w:type="dxa"/>
                </w:tcPr>
                <w:p w14:paraId="3CBB4970" w14:textId="77777777" w:rsidR="00694BD2" w:rsidRPr="0013396E" w:rsidRDefault="00694BD2" w:rsidP="00694BD2">
                  <w:pPr>
                    <w:spacing w:after="60"/>
                    <w:rPr>
                      <w:iCs/>
                      <w:sz w:val="20"/>
                    </w:rPr>
                  </w:pPr>
                  <w:r w:rsidRPr="0013396E">
                    <w:rPr>
                      <w:iCs/>
                      <w:sz w:val="20"/>
                    </w:rPr>
                    <w:t>MRTAMLTOT</w:t>
                  </w:r>
                </w:p>
              </w:tc>
              <w:tc>
                <w:tcPr>
                  <w:tcW w:w="697" w:type="dxa"/>
                </w:tcPr>
                <w:p w14:paraId="77FD2C3E" w14:textId="77777777" w:rsidR="00694BD2" w:rsidRPr="0013396E" w:rsidRDefault="00694BD2" w:rsidP="00694BD2">
                  <w:pPr>
                    <w:spacing w:after="60"/>
                    <w:rPr>
                      <w:i/>
                      <w:iCs/>
                      <w:sz w:val="20"/>
                    </w:rPr>
                  </w:pPr>
                  <w:r w:rsidRPr="0013396E">
                    <w:rPr>
                      <w:iCs/>
                      <w:sz w:val="20"/>
                    </w:rPr>
                    <w:t>MWh</w:t>
                  </w:r>
                </w:p>
              </w:tc>
              <w:tc>
                <w:tcPr>
                  <w:tcW w:w="6655" w:type="dxa"/>
                </w:tcPr>
                <w:p w14:paraId="46974F91" w14:textId="77777777" w:rsidR="00694BD2" w:rsidRPr="0013396E" w:rsidRDefault="00694BD2" w:rsidP="00694BD2">
                  <w:pPr>
                    <w:spacing w:after="60"/>
                    <w:rPr>
                      <w:iCs/>
                      <w:sz w:val="20"/>
                    </w:rPr>
                  </w:pPr>
                  <w:r w:rsidRPr="0013396E">
                    <w:rPr>
                      <w:i/>
                      <w:iCs/>
                      <w:sz w:val="20"/>
                    </w:rPr>
                    <w:t>Monthly Real-Time Adjusted Metered Load Total</w:t>
                  </w:r>
                  <w:r w:rsidRPr="0013396E">
                    <w:rPr>
                      <w:iCs/>
                      <w:sz w:val="20"/>
                    </w:rPr>
                    <w:t>—The total AML in ERCOT, for the calendar month.</w:t>
                  </w:r>
                </w:p>
              </w:tc>
            </w:tr>
            <w:tr w:rsidR="00694BD2" w:rsidRPr="0013396E" w14:paraId="0188B588" w14:textId="77777777" w:rsidTr="00663874">
              <w:tc>
                <w:tcPr>
                  <w:tcW w:w="2003" w:type="dxa"/>
                </w:tcPr>
                <w:p w14:paraId="2D1015E2" w14:textId="77777777" w:rsidR="00694BD2" w:rsidRPr="0013396E" w:rsidRDefault="00694BD2" w:rsidP="00694BD2">
                  <w:pPr>
                    <w:spacing w:after="60"/>
                    <w:rPr>
                      <w:iCs/>
                      <w:sz w:val="20"/>
                    </w:rPr>
                  </w:pPr>
                  <w:r w:rsidRPr="0013396E">
                    <w:rPr>
                      <w:iCs/>
                      <w:sz w:val="20"/>
                    </w:rPr>
                    <w:t xml:space="preserve">RTAML </w:t>
                  </w:r>
                  <w:r w:rsidRPr="0013396E">
                    <w:rPr>
                      <w:i/>
                      <w:iCs/>
                      <w:sz w:val="20"/>
                      <w:vertAlign w:val="subscript"/>
                    </w:rPr>
                    <w:t>q, p,i</w:t>
                  </w:r>
                </w:p>
              </w:tc>
              <w:tc>
                <w:tcPr>
                  <w:tcW w:w="697" w:type="dxa"/>
                </w:tcPr>
                <w:p w14:paraId="5D244F0C" w14:textId="77777777" w:rsidR="00694BD2" w:rsidRPr="0013396E" w:rsidRDefault="00694BD2" w:rsidP="00694BD2">
                  <w:pPr>
                    <w:spacing w:after="60"/>
                    <w:rPr>
                      <w:iCs/>
                      <w:sz w:val="20"/>
                    </w:rPr>
                  </w:pPr>
                  <w:r w:rsidRPr="0013396E">
                    <w:rPr>
                      <w:iCs/>
                      <w:sz w:val="20"/>
                    </w:rPr>
                    <w:t>MWh</w:t>
                  </w:r>
                </w:p>
              </w:tc>
              <w:tc>
                <w:tcPr>
                  <w:tcW w:w="6655" w:type="dxa"/>
                </w:tcPr>
                <w:p w14:paraId="54F9784B" w14:textId="77777777" w:rsidR="00694BD2" w:rsidRPr="0013396E" w:rsidRDefault="00694BD2" w:rsidP="00694BD2">
                  <w:pPr>
                    <w:spacing w:after="60"/>
                    <w:rPr>
                      <w:iCs/>
                      <w:sz w:val="20"/>
                    </w:rPr>
                  </w:pPr>
                  <w:r w:rsidRPr="0013396E">
                    <w:rPr>
                      <w:i/>
                      <w:iCs/>
                      <w:sz w:val="20"/>
                    </w:rPr>
                    <w:t>Real-Time Adjusted Metered Load per QSE per Settlement Point</w:t>
                  </w:r>
                  <w:r w:rsidRPr="0013396E">
                    <w:rPr>
                      <w:iCs/>
                      <w:sz w:val="20"/>
                    </w:rPr>
                    <w:t xml:space="preserve">—The sum of the AML at the Electrical Buses that are included in Settlement Point </w:t>
                  </w:r>
                  <w:r w:rsidRPr="0013396E">
                    <w:rPr>
                      <w:i/>
                      <w:iCs/>
                      <w:sz w:val="20"/>
                    </w:rPr>
                    <w:t>p</w:t>
                  </w:r>
                  <w:r w:rsidRPr="0013396E">
                    <w:rPr>
                      <w:iCs/>
                      <w:sz w:val="20"/>
                    </w:rPr>
                    <w:t xml:space="preserve">, represented by QSE </w:t>
                  </w:r>
                  <w:r w:rsidRPr="0013396E">
                    <w:rPr>
                      <w:i/>
                      <w:iCs/>
                      <w:sz w:val="20"/>
                    </w:rPr>
                    <w:t>q</w:t>
                  </w:r>
                  <w:r w:rsidRPr="0013396E">
                    <w:rPr>
                      <w:iCs/>
                      <w:sz w:val="20"/>
                    </w:rPr>
                    <w:t xml:space="preserve">, for the 15-minute Settlement Interval </w:t>
                  </w:r>
                  <w:r w:rsidRPr="0013396E">
                    <w:rPr>
                      <w:i/>
                      <w:iCs/>
                      <w:sz w:val="20"/>
                    </w:rPr>
                    <w:t>i</w:t>
                  </w:r>
                  <w:r w:rsidRPr="0013396E">
                    <w:rPr>
                      <w:iCs/>
                      <w:sz w:val="20"/>
                    </w:rPr>
                    <w:t>.</w:t>
                  </w:r>
                </w:p>
              </w:tc>
            </w:tr>
            <w:tr w:rsidR="00694BD2" w:rsidRPr="0013396E" w14:paraId="18E2FF59" w14:textId="77777777" w:rsidTr="00663874">
              <w:tc>
                <w:tcPr>
                  <w:tcW w:w="2003" w:type="dxa"/>
                </w:tcPr>
                <w:p w14:paraId="74A8E58A" w14:textId="77777777" w:rsidR="00694BD2" w:rsidRPr="0013396E" w:rsidRDefault="00694BD2" w:rsidP="00694BD2">
                  <w:pPr>
                    <w:spacing w:after="60"/>
                    <w:rPr>
                      <w:i/>
                      <w:iCs/>
                      <w:sz w:val="20"/>
                    </w:rPr>
                  </w:pPr>
                  <w:r w:rsidRPr="0013396E">
                    <w:rPr>
                      <w:i/>
                      <w:iCs/>
                      <w:sz w:val="20"/>
                    </w:rPr>
                    <w:t>q</w:t>
                  </w:r>
                </w:p>
              </w:tc>
              <w:tc>
                <w:tcPr>
                  <w:tcW w:w="697" w:type="dxa"/>
                </w:tcPr>
                <w:p w14:paraId="0E7AD5C0" w14:textId="77777777" w:rsidR="00694BD2" w:rsidRPr="0013396E" w:rsidRDefault="00694BD2" w:rsidP="00694BD2">
                  <w:pPr>
                    <w:spacing w:after="60"/>
                    <w:rPr>
                      <w:iCs/>
                      <w:sz w:val="20"/>
                    </w:rPr>
                  </w:pPr>
                  <w:r w:rsidRPr="0013396E">
                    <w:rPr>
                      <w:iCs/>
                      <w:sz w:val="20"/>
                    </w:rPr>
                    <w:t>none</w:t>
                  </w:r>
                </w:p>
              </w:tc>
              <w:tc>
                <w:tcPr>
                  <w:tcW w:w="6655" w:type="dxa"/>
                </w:tcPr>
                <w:p w14:paraId="1966D416" w14:textId="77777777" w:rsidR="00694BD2" w:rsidRPr="0013396E" w:rsidRDefault="00694BD2" w:rsidP="00694BD2">
                  <w:pPr>
                    <w:spacing w:after="60"/>
                    <w:rPr>
                      <w:iCs/>
                      <w:sz w:val="20"/>
                    </w:rPr>
                  </w:pPr>
                  <w:r w:rsidRPr="0013396E">
                    <w:rPr>
                      <w:iCs/>
                      <w:sz w:val="20"/>
                    </w:rPr>
                    <w:t xml:space="preserve">A QSE.  </w:t>
                  </w:r>
                </w:p>
              </w:tc>
            </w:tr>
            <w:tr w:rsidR="00694BD2" w:rsidRPr="0013396E" w14:paraId="4681265F" w14:textId="77777777" w:rsidTr="00663874">
              <w:tc>
                <w:tcPr>
                  <w:tcW w:w="2003" w:type="dxa"/>
                </w:tcPr>
                <w:p w14:paraId="576ACB61" w14:textId="77777777" w:rsidR="00694BD2" w:rsidRPr="0013396E" w:rsidRDefault="00694BD2" w:rsidP="00694BD2">
                  <w:pPr>
                    <w:spacing w:after="60"/>
                    <w:rPr>
                      <w:i/>
                      <w:iCs/>
                      <w:sz w:val="20"/>
                    </w:rPr>
                  </w:pPr>
                  <w:r w:rsidRPr="0013396E">
                    <w:rPr>
                      <w:i/>
                      <w:iCs/>
                      <w:sz w:val="20"/>
                    </w:rPr>
                    <w:t>p</w:t>
                  </w:r>
                </w:p>
              </w:tc>
              <w:tc>
                <w:tcPr>
                  <w:tcW w:w="697" w:type="dxa"/>
                </w:tcPr>
                <w:p w14:paraId="37091E1B" w14:textId="77777777" w:rsidR="00694BD2" w:rsidRPr="0013396E" w:rsidRDefault="00694BD2" w:rsidP="00694BD2">
                  <w:pPr>
                    <w:spacing w:after="60"/>
                    <w:rPr>
                      <w:iCs/>
                      <w:sz w:val="20"/>
                    </w:rPr>
                  </w:pPr>
                  <w:r w:rsidRPr="0013396E">
                    <w:rPr>
                      <w:iCs/>
                      <w:sz w:val="20"/>
                    </w:rPr>
                    <w:t>none</w:t>
                  </w:r>
                </w:p>
              </w:tc>
              <w:tc>
                <w:tcPr>
                  <w:tcW w:w="6655" w:type="dxa"/>
                </w:tcPr>
                <w:p w14:paraId="73D4D1CA" w14:textId="77777777" w:rsidR="00694BD2" w:rsidRPr="0013396E" w:rsidRDefault="00694BD2" w:rsidP="00694BD2">
                  <w:pPr>
                    <w:spacing w:after="60"/>
                    <w:rPr>
                      <w:iCs/>
                      <w:sz w:val="20"/>
                    </w:rPr>
                  </w:pPr>
                  <w:r w:rsidRPr="0013396E">
                    <w:rPr>
                      <w:iCs/>
                      <w:sz w:val="20"/>
                    </w:rPr>
                    <w:t xml:space="preserve">A Settlement Point.  </w:t>
                  </w:r>
                </w:p>
              </w:tc>
            </w:tr>
            <w:tr w:rsidR="00694BD2" w:rsidRPr="0013396E" w14:paraId="207FD404" w14:textId="77777777" w:rsidTr="00663874">
              <w:trPr>
                <w:cantSplit/>
              </w:trPr>
              <w:tc>
                <w:tcPr>
                  <w:tcW w:w="2003" w:type="dxa"/>
                </w:tcPr>
                <w:p w14:paraId="63A9EB3E" w14:textId="77777777" w:rsidR="00694BD2" w:rsidRPr="0013396E" w:rsidRDefault="00694BD2" w:rsidP="00694BD2">
                  <w:pPr>
                    <w:spacing w:after="60"/>
                    <w:rPr>
                      <w:i/>
                      <w:iCs/>
                      <w:sz w:val="20"/>
                    </w:rPr>
                  </w:pPr>
                  <w:r w:rsidRPr="0013396E">
                    <w:rPr>
                      <w:i/>
                      <w:sz w:val="20"/>
                    </w:rPr>
                    <w:lastRenderedPageBreak/>
                    <w:t>i</w:t>
                  </w:r>
                </w:p>
              </w:tc>
              <w:tc>
                <w:tcPr>
                  <w:tcW w:w="697" w:type="dxa"/>
                </w:tcPr>
                <w:p w14:paraId="08B29679" w14:textId="77777777" w:rsidR="00694BD2" w:rsidRPr="0013396E" w:rsidRDefault="00694BD2" w:rsidP="00694BD2">
                  <w:pPr>
                    <w:spacing w:after="60"/>
                    <w:rPr>
                      <w:iCs/>
                      <w:sz w:val="20"/>
                    </w:rPr>
                  </w:pPr>
                  <w:r w:rsidRPr="0013396E">
                    <w:rPr>
                      <w:sz w:val="20"/>
                    </w:rPr>
                    <w:t>none</w:t>
                  </w:r>
                </w:p>
              </w:tc>
              <w:tc>
                <w:tcPr>
                  <w:tcW w:w="6655" w:type="dxa"/>
                </w:tcPr>
                <w:p w14:paraId="4643577B" w14:textId="77777777" w:rsidR="00694BD2" w:rsidRPr="0013396E" w:rsidRDefault="00694BD2" w:rsidP="00694BD2">
                  <w:pPr>
                    <w:spacing w:after="60"/>
                    <w:rPr>
                      <w:iCs/>
                      <w:sz w:val="20"/>
                    </w:rPr>
                  </w:pPr>
                  <w:r w:rsidRPr="0013396E">
                    <w:rPr>
                      <w:sz w:val="20"/>
                    </w:rPr>
                    <w:t xml:space="preserve">A 15-minute Settlement Interval. </w:t>
                  </w:r>
                </w:p>
              </w:tc>
            </w:tr>
          </w:tbl>
          <w:p w14:paraId="6F9978FB" w14:textId="77777777" w:rsidR="00316CC9" w:rsidRPr="0013396E" w:rsidRDefault="00316CC9" w:rsidP="00316CC9">
            <w:pPr>
              <w:pStyle w:val="BodyTextNumbered"/>
            </w:pPr>
          </w:p>
        </w:tc>
      </w:tr>
    </w:tbl>
    <w:p w14:paraId="5725B48A" w14:textId="77777777" w:rsidR="006930B7" w:rsidRPr="0013396E" w:rsidRDefault="006930B7"/>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ayout w:type="fixed"/>
        <w:tblCellMar>
          <w:top w:w="144" w:type="dxa"/>
          <w:left w:w="115" w:type="dxa"/>
          <w:right w:w="115" w:type="dxa"/>
        </w:tblCellMar>
        <w:tblLook w:val="01E0" w:firstRow="1" w:lastRow="1" w:firstColumn="1" w:lastColumn="1" w:noHBand="0" w:noVBand="0"/>
      </w:tblPr>
      <w:tblGrid>
        <w:gridCol w:w="10080"/>
      </w:tblGrid>
      <w:tr w:rsidR="006930B7" w:rsidRPr="0013396E" w14:paraId="304DB027" w14:textId="77777777" w:rsidTr="00082248">
        <w:trPr>
          <w:trHeight w:val="206"/>
        </w:trPr>
        <w:tc>
          <w:tcPr>
            <w:tcW w:w="10080" w:type="dxa"/>
            <w:tcBorders>
              <w:top w:val="single" w:sz="4" w:space="0" w:color="auto"/>
              <w:left w:val="single" w:sz="4" w:space="0" w:color="auto"/>
              <w:bottom w:val="single" w:sz="4" w:space="0" w:color="auto"/>
              <w:right w:val="single" w:sz="4" w:space="0" w:color="auto"/>
            </w:tcBorders>
            <w:shd w:val="pct12" w:color="auto" w:fill="auto"/>
          </w:tcPr>
          <w:p w14:paraId="4343D4D5" w14:textId="48581945" w:rsidR="006930B7" w:rsidRPr="0013396E" w:rsidRDefault="006930B7" w:rsidP="00663874">
            <w:pPr>
              <w:pStyle w:val="Instructions"/>
              <w:spacing w:before="120"/>
            </w:pPr>
            <w:r w:rsidRPr="0013396E">
              <w:t>[NPRR1030</w:t>
            </w:r>
            <w:r w:rsidR="001335E7" w:rsidRPr="0013396E">
              <w:t xml:space="preserve"> </w:t>
            </w:r>
            <w:r w:rsidRPr="0013396E">
              <w:t>:  Insert</w:t>
            </w:r>
            <w:r w:rsidR="001335E7" w:rsidRPr="0013396E">
              <w:t xml:space="preserve"> </w:t>
            </w:r>
            <w:r w:rsidRPr="0013396E">
              <w:t>Section 6.6.2.6 below upon system implementation:]</w:t>
            </w:r>
          </w:p>
          <w:p w14:paraId="440A81C3" w14:textId="77777777" w:rsidR="00694BD2" w:rsidRPr="0013396E" w:rsidRDefault="00694BD2" w:rsidP="00694BD2">
            <w:pPr>
              <w:pStyle w:val="H4"/>
              <w:spacing w:before="480"/>
              <w:ind w:left="1267" w:hanging="1267"/>
            </w:pPr>
            <w:bookmarkStart w:id="1544" w:name="_Toc214878961"/>
            <w:r w:rsidRPr="0013396E">
              <w:t>6.6.2.6</w:t>
            </w:r>
            <w:r w:rsidRPr="0013396E">
              <w:tab/>
              <w:t>QSE DC Tie Export Load Ratio Share for a Month</w:t>
            </w:r>
            <w:bookmarkEnd w:id="1544"/>
          </w:p>
          <w:p w14:paraId="6220F526" w14:textId="77777777" w:rsidR="00694BD2" w:rsidRPr="0013396E" w:rsidRDefault="00694BD2" w:rsidP="00694BD2">
            <w:pPr>
              <w:pStyle w:val="BodyText"/>
            </w:pPr>
            <w:r w:rsidRPr="0013396E">
              <w:t>(1)</w:t>
            </w:r>
            <w:r w:rsidRPr="0013396E">
              <w:tab/>
              <w:t>Each QSE’s DC Tie Export DCMLRS for a calendar month is calculated as follows:</w:t>
            </w:r>
          </w:p>
          <w:p w14:paraId="25698E72" w14:textId="0B598038" w:rsidR="00694BD2" w:rsidRPr="0013396E" w:rsidRDefault="00694BD2" w:rsidP="00694BD2">
            <w:pPr>
              <w:pStyle w:val="FormulaBold"/>
              <w:rPr>
                <w:lang w:val="sv-SE"/>
              </w:rPr>
            </w:pPr>
            <w:r w:rsidRPr="0013396E">
              <w:rPr>
                <w:lang w:val="sv-SE"/>
              </w:rPr>
              <w:t>DCMLRS</w:t>
            </w:r>
            <w:r w:rsidRPr="0013396E">
              <w:rPr>
                <w:i/>
                <w:vertAlign w:val="subscript"/>
                <w:lang w:val="sv-SE"/>
              </w:rPr>
              <w:t xml:space="preserve"> q  </w:t>
            </w:r>
            <w:r w:rsidRPr="0013396E">
              <w:rPr>
                <w:lang w:val="sv-SE"/>
              </w:rPr>
              <w:t xml:space="preserve">=  </w:t>
            </w:r>
            <w:r w:rsidRPr="0013396E">
              <w:t>max(0,</w:t>
            </w:r>
            <w:r w:rsidRPr="0013396E">
              <w:rPr>
                <w:noProof/>
                <w:position w:val="-28"/>
                <w:sz w:val="4"/>
                <w:szCs w:val="4"/>
              </w:rPr>
              <w:t xml:space="preserve">   </w:t>
            </w:r>
            <w:r w:rsidRPr="0013396E">
              <w:rPr>
                <w:position w:val="-20"/>
              </w:rPr>
              <w:object w:dxaOrig="220" w:dyaOrig="440" w14:anchorId="61FA0098">
                <v:shape id="_x0000_i1088" type="#_x0000_t75" style="width:6pt;height:24pt" o:ole="">
                  <v:imagedata r:id="rId91" o:title=""/>
                </v:shape>
                <o:OLEObject Type="Embed" ProgID="Equation.3" ShapeID="_x0000_i1088" DrawAspect="Content" ObjectID="_1836311367" r:id="rId94"/>
              </w:object>
            </w:r>
            <w:r w:rsidRPr="0013396E">
              <w:rPr>
                <w:position w:val="-22"/>
              </w:rPr>
              <w:object w:dxaOrig="225" w:dyaOrig="465" w14:anchorId="4EF5BAC2">
                <v:shape id="_x0000_i1089" type="#_x0000_t75" style="width:12pt;height:18.6pt" o:ole="">
                  <v:imagedata r:id="rId79" o:title=""/>
                </v:shape>
                <o:OLEObject Type="Embed" ProgID="Equation.3" ShapeID="_x0000_i1089" DrawAspect="Content" ObjectID="_1836311368" r:id="rId95"/>
              </w:object>
            </w:r>
            <w:r w:rsidRPr="0013396E">
              <w:t>RTAMLDC</w:t>
            </w:r>
            <w:r w:rsidRPr="0013396E">
              <w:rPr>
                <w:lang w:val="sv-SE"/>
              </w:rPr>
              <w:t xml:space="preserve"> </w:t>
            </w:r>
            <w:r w:rsidRPr="0013396E">
              <w:rPr>
                <w:i/>
                <w:vertAlign w:val="subscript"/>
                <w:lang w:val="sv-SE"/>
              </w:rPr>
              <w:t>q,</w:t>
            </w:r>
            <w:r w:rsidR="007F053D" w:rsidRPr="0013396E">
              <w:rPr>
                <w:i/>
                <w:vertAlign w:val="subscript"/>
                <w:lang w:val="sv-SE"/>
              </w:rPr>
              <w:t xml:space="preserve"> </w:t>
            </w:r>
            <w:r w:rsidRPr="0013396E">
              <w:rPr>
                <w:i/>
                <w:vertAlign w:val="subscript"/>
                <w:lang w:val="sv-SE"/>
              </w:rPr>
              <w:t>p,</w:t>
            </w:r>
            <w:r w:rsidR="007F053D" w:rsidRPr="0013396E">
              <w:rPr>
                <w:i/>
                <w:vertAlign w:val="subscript"/>
                <w:lang w:val="sv-SE"/>
              </w:rPr>
              <w:t xml:space="preserve"> </w:t>
            </w:r>
            <w:r w:rsidRPr="0013396E">
              <w:rPr>
                <w:i/>
                <w:vertAlign w:val="subscript"/>
                <w:lang w:val="sv-SE"/>
              </w:rPr>
              <w:t>i</w:t>
            </w:r>
            <w:r w:rsidRPr="0013396E">
              <w:rPr>
                <w:lang w:val="sv-SE"/>
              </w:rPr>
              <w:t xml:space="preserve"> ) / </w:t>
            </w:r>
            <w:r w:rsidRPr="0013396E">
              <w:t>M</w:t>
            </w:r>
            <w:r w:rsidRPr="0013396E">
              <w:rPr>
                <w:lang w:val="sv-SE"/>
              </w:rPr>
              <w:t xml:space="preserve">RTAMLTOT  </w:t>
            </w:r>
          </w:p>
          <w:p w14:paraId="5D8A6482" w14:textId="77777777" w:rsidR="00694BD2" w:rsidRPr="0013396E" w:rsidRDefault="00694BD2" w:rsidP="00694BD2">
            <w:r w:rsidRPr="0013396E">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066"/>
              <w:gridCol w:w="860"/>
              <w:gridCol w:w="6914"/>
            </w:tblGrid>
            <w:tr w:rsidR="00694BD2" w:rsidRPr="0013396E" w14:paraId="08DAA962" w14:textId="77777777" w:rsidTr="00082248">
              <w:trPr>
                <w:cantSplit/>
              </w:trPr>
              <w:tc>
                <w:tcPr>
                  <w:tcW w:w="1050" w:type="pct"/>
                </w:tcPr>
                <w:p w14:paraId="0D0983A3" w14:textId="77777777" w:rsidR="00694BD2" w:rsidRPr="0013396E" w:rsidRDefault="00694BD2" w:rsidP="00694BD2">
                  <w:pPr>
                    <w:pStyle w:val="TableHead"/>
                  </w:pPr>
                  <w:r w:rsidRPr="0013396E">
                    <w:t>Variable</w:t>
                  </w:r>
                </w:p>
              </w:tc>
              <w:tc>
                <w:tcPr>
                  <w:tcW w:w="437" w:type="pct"/>
                </w:tcPr>
                <w:p w14:paraId="410BB6A4" w14:textId="77777777" w:rsidR="00694BD2" w:rsidRPr="0013396E" w:rsidRDefault="00694BD2" w:rsidP="00694BD2">
                  <w:pPr>
                    <w:pStyle w:val="TableHead"/>
                  </w:pPr>
                  <w:r w:rsidRPr="0013396E">
                    <w:t>Unit</w:t>
                  </w:r>
                </w:p>
              </w:tc>
              <w:tc>
                <w:tcPr>
                  <w:tcW w:w="3512" w:type="pct"/>
                </w:tcPr>
                <w:p w14:paraId="796A94C8" w14:textId="77777777" w:rsidR="00694BD2" w:rsidRPr="0013396E" w:rsidRDefault="00694BD2" w:rsidP="00694BD2">
                  <w:pPr>
                    <w:pStyle w:val="TableHead"/>
                  </w:pPr>
                  <w:r w:rsidRPr="0013396E">
                    <w:t>Description</w:t>
                  </w:r>
                </w:p>
              </w:tc>
            </w:tr>
            <w:tr w:rsidR="00694BD2" w:rsidRPr="0013396E" w14:paraId="4E5696A5" w14:textId="77777777" w:rsidTr="00082248">
              <w:trPr>
                <w:cantSplit/>
              </w:trPr>
              <w:tc>
                <w:tcPr>
                  <w:tcW w:w="1050" w:type="pct"/>
                </w:tcPr>
                <w:p w14:paraId="47A0B74B" w14:textId="77777777" w:rsidR="00694BD2" w:rsidRPr="0013396E" w:rsidRDefault="00694BD2" w:rsidP="00694BD2">
                  <w:pPr>
                    <w:pStyle w:val="TableBody"/>
                  </w:pPr>
                  <w:r w:rsidRPr="0013396E">
                    <w:t>DCMLRS</w:t>
                  </w:r>
                  <w:r w:rsidRPr="0013396E">
                    <w:rPr>
                      <w:i/>
                      <w:vertAlign w:val="subscript"/>
                    </w:rPr>
                    <w:t xml:space="preserve"> q</w:t>
                  </w:r>
                </w:p>
              </w:tc>
              <w:tc>
                <w:tcPr>
                  <w:tcW w:w="437" w:type="pct"/>
                </w:tcPr>
                <w:p w14:paraId="7BA495E7" w14:textId="77777777" w:rsidR="00694BD2" w:rsidRPr="0013396E" w:rsidRDefault="00694BD2" w:rsidP="00694BD2">
                  <w:pPr>
                    <w:pStyle w:val="TableBody"/>
                  </w:pPr>
                  <w:r w:rsidRPr="0013396E">
                    <w:t>none</w:t>
                  </w:r>
                </w:p>
              </w:tc>
              <w:tc>
                <w:tcPr>
                  <w:tcW w:w="3512" w:type="pct"/>
                </w:tcPr>
                <w:p w14:paraId="7417C111" w14:textId="0C3D70A3" w:rsidR="00694BD2" w:rsidRPr="0013396E" w:rsidRDefault="00694BD2" w:rsidP="001335E7">
                  <w:pPr>
                    <w:pStyle w:val="TableBody"/>
                    <w:rPr>
                      <w:i/>
                    </w:rPr>
                  </w:pPr>
                  <w:r w:rsidRPr="0013396E">
                    <w:rPr>
                      <w:i/>
                    </w:rPr>
                    <w:t>DC Tie Export Monthly Load Ratio Share per QSE</w:t>
                  </w:r>
                  <w:r w:rsidRPr="0013396E">
                    <w:t xml:space="preserve">—The ratio share calculated for QSE </w:t>
                  </w:r>
                  <w:r w:rsidRPr="0013396E">
                    <w:rPr>
                      <w:i/>
                    </w:rPr>
                    <w:t>q</w:t>
                  </w:r>
                  <w:r w:rsidRPr="0013396E">
                    <w:t xml:space="preserve"> with DC Tie Exports for the calendar month.</w:t>
                  </w:r>
                </w:p>
              </w:tc>
            </w:tr>
            <w:tr w:rsidR="00694BD2" w:rsidRPr="0013396E" w14:paraId="72149BD7" w14:textId="77777777" w:rsidTr="00082248">
              <w:trPr>
                <w:cantSplit/>
              </w:trPr>
              <w:tc>
                <w:tcPr>
                  <w:tcW w:w="1050" w:type="pct"/>
                </w:tcPr>
                <w:p w14:paraId="6ADE2050" w14:textId="267B80DA" w:rsidR="00694BD2" w:rsidRPr="0013396E" w:rsidRDefault="00694BD2" w:rsidP="00694BD2">
                  <w:pPr>
                    <w:pStyle w:val="TableBody"/>
                  </w:pPr>
                  <w:r w:rsidRPr="0013396E">
                    <w:rPr>
                      <w:lang w:val="sv-SE"/>
                    </w:rPr>
                    <w:t xml:space="preserve">RTAMLDC </w:t>
                  </w:r>
                  <w:r w:rsidRPr="0013396E">
                    <w:rPr>
                      <w:i/>
                      <w:vertAlign w:val="subscript"/>
                      <w:lang w:val="sv-SE"/>
                    </w:rPr>
                    <w:t>q,</w:t>
                  </w:r>
                  <w:r w:rsidR="00E9412A" w:rsidRPr="0013396E">
                    <w:rPr>
                      <w:i/>
                      <w:vertAlign w:val="subscript"/>
                      <w:lang w:val="sv-SE"/>
                    </w:rPr>
                    <w:t xml:space="preserve"> </w:t>
                  </w:r>
                  <w:r w:rsidRPr="0013396E">
                    <w:rPr>
                      <w:i/>
                      <w:vertAlign w:val="subscript"/>
                      <w:lang w:val="sv-SE"/>
                    </w:rPr>
                    <w:t>p,</w:t>
                  </w:r>
                  <w:r w:rsidR="00E9412A" w:rsidRPr="0013396E">
                    <w:rPr>
                      <w:i/>
                      <w:vertAlign w:val="subscript"/>
                      <w:lang w:val="sv-SE"/>
                    </w:rPr>
                    <w:t xml:space="preserve"> </w:t>
                  </w:r>
                  <w:r w:rsidRPr="0013396E">
                    <w:rPr>
                      <w:i/>
                      <w:vertAlign w:val="subscript"/>
                      <w:lang w:val="sv-SE"/>
                    </w:rPr>
                    <w:t xml:space="preserve">i  </w:t>
                  </w:r>
                </w:p>
              </w:tc>
              <w:tc>
                <w:tcPr>
                  <w:tcW w:w="437" w:type="pct"/>
                </w:tcPr>
                <w:p w14:paraId="668A9E3D" w14:textId="77777777" w:rsidR="00694BD2" w:rsidRPr="0013396E" w:rsidRDefault="00694BD2" w:rsidP="00694BD2">
                  <w:pPr>
                    <w:pStyle w:val="TableBody"/>
                  </w:pPr>
                  <w:r w:rsidRPr="0013396E">
                    <w:t>MWh</w:t>
                  </w:r>
                </w:p>
              </w:tc>
              <w:tc>
                <w:tcPr>
                  <w:tcW w:w="3512" w:type="pct"/>
                </w:tcPr>
                <w:p w14:paraId="6EE569B1" w14:textId="20F37854" w:rsidR="00694BD2" w:rsidRPr="0013396E" w:rsidRDefault="00694BD2" w:rsidP="00694BD2">
                  <w:pPr>
                    <w:pStyle w:val="TableBody"/>
                  </w:pPr>
                  <w:r w:rsidRPr="0013396E">
                    <w:rPr>
                      <w:i/>
                    </w:rPr>
                    <w:t>Real-Time Adjusted Metered Load for DC Ties per Settlement Point per QSE</w:t>
                  </w:r>
                  <w:r w:rsidRPr="0013396E">
                    <w:t xml:space="preserve">—The sum of the DC Tie AML at the Electrical Buses that are included in Settlement </w:t>
                  </w:r>
                  <w:r w:rsidR="00AA1FD1" w:rsidRPr="0013396E">
                    <w:br/>
                  </w:r>
                  <w:r w:rsidRPr="0013396E">
                    <w:t xml:space="preserve">Point </w:t>
                  </w:r>
                  <w:r w:rsidRPr="0013396E">
                    <w:rPr>
                      <w:i/>
                    </w:rPr>
                    <w:t>p</w:t>
                  </w:r>
                  <w:r w:rsidRPr="0013396E">
                    <w:t xml:space="preserve">, represented by QSE </w:t>
                  </w:r>
                  <w:r w:rsidRPr="0013396E">
                    <w:rPr>
                      <w:i/>
                    </w:rPr>
                    <w:t>q</w:t>
                  </w:r>
                  <w:r w:rsidRPr="0013396E">
                    <w:t xml:space="preserve">, for the 15-minute Settlement Interval </w:t>
                  </w:r>
                  <w:r w:rsidRPr="0013396E">
                    <w:rPr>
                      <w:i/>
                    </w:rPr>
                    <w:t>i</w:t>
                  </w:r>
                  <w:r w:rsidRPr="0013396E">
                    <w:t xml:space="preserve">. </w:t>
                  </w:r>
                </w:p>
              </w:tc>
            </w:tr>
            <w:tr w:rsidR="00694BD2" w:rsidRPr="0013396E" w14:paraId="68647030" w14:textId="77777777" w:rsidTr="00082248">
              <w:trPr>
                <w:cantSplit/>
              </w:trPr>
              <w:tc>
                <w:tcPr>
                  <w:tcW w:w="1050" w:type="pct"/>
                </w:tcPr>
                <w:p w14:paraId="1BAB80B7" w14:textId="77777777" w:rsidR="00694BD2" w:rsidRPr="0013396E" w:rsidRDefault="00694BD2" w:rsidP="00694BD2">
                  <w:pPr>
                    <w:pStyle w:val="TableBody"/>
                  </w:pPr>
                  <w:r w:rsidRPr="0013396E">
                    <w:t>MRTAMLTOT</w:t>
                  </w:r>
                </w:p>
              </w:tc>
              <w:tc>
                <w:tcPr>
                  <w:tcW w:w="437" w:type="pct"/>
                </w:tcPr>
                <w:p w14:paraId="1D75BED4" w14:textId="77777777" w:rsidR="00694BD2" w:rsidRPr="0013396E" w:rsidRDefault="00694BD2" w:rsidP="00694BD2">
                  <w:pPr>
                    <w:pStyle w:val="TableBody"/>
                  </w:pPr>
                  <w:r w:rsidRPr="0013396E">
                    <w:t>MWh</w:t>
                  </w:r>
                </w:p>
              </w:tc>
              <w:tc>
                <w:tcPr>
                  <w:tcW w:w="3512" w:type="pct"/>
                </w:tcPr>
                <w:p w14:paraId="49269665" w14:textId="74CBB3B8" w:rsidR="00694BD2" w:rsidRPr="0013396E" w:rsidRDefault="00694BD2" w:rsidP="00694BD2">
                  <w:pPr>
                    <w:pStyle w:val="TableBody"/>
                  </w:pPr>
                  <w:r w:rsidRPr="0013396E">
                    <w:rPr>
                      <w:i/>
                    </w:rPr>
                    <w:t>Monthly Real-Time Adjusted Metered Load Total</w:t>
                  </w:r>
                  <w:r w:rsidRPr="0013396E">
                    <w:t xml:space="preserve">—The total AML in ERCOT, for </w:t>
                  </w:r>
                  <w:r w:rsidR="00E42D8B" w:rsidRPr="0013396E">
                    <w:br/>
                  </w:r>
                  <w:r w:rsidRPr="0013396E">
                    <w:t>the calendar month.</w:t>
                  </w:r>
                </w:p>
              </w:tc>
            </w:tr>
            <w:tr w:rsidR="00694BD2" w:rsidRPr="0013396E" w14:paraId="09F7D6AF" w14:textId="77777777" w:rsidTr="00082248">
              <w:trPr>
                <w:cantSplit/>
              </w:trPr>
              <w:tc>
                <w:tcPr>
                  <w:tcW w:w="1050" w:type="pct"/>
                </w:tcPr>
                <w:p w14:paraId="7030D6EC" w14:textId="77777777" w:rsidR="00694BD2" w:rsidRPr="0013396E" w:rsidRDefault="00694BD2" w:rsidP="00694BD2">
                  <w:pPr>
                    <w:pStyle w:val="TableBody"/>
                    <w:rPr>
                      <w:i/>
                    </w:rPr>
                  </w:pPr>
                  <w:r w:rsidRPr="0013396E">
                    <w:rPr>
                      <w:i/>
                      <w:iCs w:val="0"/>
                    </w:rPr>
                    <w:t>q</w:t>
                  </w:r>
                </w:p>
              </w:tc>
              <w:tc>
                <w:tcPr>
                  <w:tcW w:w="437" w:type="pct"/>
                </w:tcPr>
                <w:p w14:paraId="1CB214BF" w14:textId="77777777" w:rsidR="00694BD2" w:rsidRPr="0013396E" w:rsidRDefault="00694BD2" w:rsidP="00694BD2">
                  <w:pPr>
                    <w:pStyle w:val="TableBody"/>
                  </w:pPr>
                  <w:r w:rsidRPr="0013396E">
                    <w:rPr>
                      <w:iCs w:val="0"/>
                    </w:rPr>
                    <w:t>none</w:t>
                  </w:r>
                </w:p>
              </w:tc>
              <w:tc>
                <w:tcPr>
                  <w:tcW w:w="3512" w:type="pct"/>
                </w:tcPr>
                <w:p w14:paraId="76D2A459" w14:textId="77777777" w:rsidR="00694BD2" w:rsidRPr="0013396E" w:rsidRDefault="00694BD2" w:rsidP="00694BD2">
                  <w:pPr>
                    <w:pStyle w:val="TableBody"/>
                  </w:pPr>
                  <w:r w:rsidRPr="0013396E">
                    <w:rPr>
                      <w:iCs w:val="0"/>
                    </w:rPr>
                    <w:t xml:space="preserve">A QSE.  </w:t>
                  </w:r>
                </w:p>
              </w:tc>
            </w:tr>
            <w:tr w:rsidR="00694BD2" w:rsidRPr="0013396E" w14:paraId="1AD1972B" w14:textId="77777777" w:rsidTr="00082248">
              <w:trPr>
                <w:cantSplit/>
              </w:trPr>
              <w:tc>
                <w:tcPr>
                  <w:tcW w:w="1050" w:type="pct"/>
                </w:tcPr>
                <w:p w14:paraId="03F39DDE" w14:textId="77777777" w:rsidR="00694BD2" w:rsidRPr="0013396E" w:rsidRDefault="00694BD2" w:rsidP="00694BD2">
                  <w:pPr>
                    <w:pStyle w:val="TableBody"/>
                    <w:rPr>
                      <w:i/>
                    </w:rPr>
                  </w:pPr>
                  <w:r w:rsidRPr="0013396E">
                    <w:rPr>
                      <w:i/>
                    </w:rPr>
                    <w:t>p</w:t>
                  </w:r>
                </w:p>
              </w:tc>
              <w:tc>
                <w:tcPr>
                  <w:tcW w:w="437" w:type="pct"/>
                </w:tcPr>
                <w:p w14:paraId="33FBFA28" w14:textId="77777777" w:rsidR="00694BD2" w:rsidRPr="0013396E" w:rsidRDefault="00694BD2" w:rsidP="00694BD2">
                  <w:pPr>
                    <w:pStyle w:val="TableBody"/>
                  </w:pPr>
                  <w:r w:rsidRPr="0013396E">
                    <w:t>none</w:t>
                  </w:r>
                </w:p>
              </w:tc>
              <w:tc>
                <w:tcPr>
                  <w:tcW w:w="3512" w:type="pct"/>
                </w:tcPr>
                <w:p w14:paraId="64B8A652" w14:textId="77777777" w:rsidR="00694BD2" w:rsidRPr="0013396E" w:rsidRDefault="00694BD2" w:rsidP="00694BD2">
                  <w:pPr>
                    <w:pStyle w:val="TableBody"/>
                  </w:pPr>
                  <w:r w:rsidRPr="0013396E">
                    <w:t xml:space="preserve">A Settlement Point.  </w:t>
                  </w:r>
                </w:p>
              </w:tc>
            </w:tr>
            <w:tr w:rsidR="00694BD2" w:rsidRPr="0013396E" w:rsidDel="00590517" w14:paraId="5F7515BF" w14:textId="77777777" w:rsidTr="00082248">
              <w:trPr>
                <w:cantSplit/>
              </w:trPr>
              <w:tc>
                <w:tcPr>
                  <w:tcW w:w="1050" w:type="pct"/>
                </w:tcPr>
                <w:p w14:paraId="75A11E5D" w14:textId="77777777" w:rsidR="00694BD2" w:rsidRPr="0013396E" w:rsidDel="00590517" w:rsidRDefault="00694BD2" w:rsidP="00694BD2">
                  <w:pPr>
                    <w:pStyle w:val="TableBody"/>
                    <w:rPr>
                      <w:i/>
                    </w:rPr>
                  </w:pPr>
                  <w:r w:rsidRPr="0013396E">
                    <w:rPr>
                      <w:i/>
                    </w:rPr>
                    <w:t>i</w:t>
                  </w:r>
                </w:p>
              </w:tc>
              <w:tc>
                <w:tcPr>
                  <w:tcW w:w="437" w:type="pct"/>
                </w:tcPr>
                <w:p w14:paraId="4116DC82" w14:textId="77777777" w:rsidR="00694BD2" w:rsidRPr="0013396E" w:rsidDel="00590517" w:rsidRDefault="00694BD2" w:rsidP="00694BD2">
                  <w:pPr>
                    <w:pStyle w:val="TableBody"/>
                  </w:pPr>
                  <w:r w:rsidRPr="0013396E">
                    <w:t>none</w:t>
                  </w:r>
                </w:p>
              </w:tc>
              <w:tc>
                <w:tcPr>
                  <w:tcW w:w="3512" w:type="pct"/>
                </w:tcPr>
                <w:p w14:paraId="2516317C" w14:textId="77777777" w:rsidR="00694BD2" w:rsidRPr="0013396E" w:rsidDel="00590517" w:rsidRDefault="00694BD2" w:rsidP="00694BD2">
                  <w:pPr>
                    <w:pStyle w:val="TableBody"/>
                  </w:pPr>
                  <w:r w:rsidRPr="0013396E">
                    <w:t xml:space="preserve">A 15-minute Settlement Interval. </w:t>
                  </w:r>
                </w:p>
              </w:tc>
            </w:tr>
          </w:tbl>
          <w:p w14:paraId="1C48CF84" w14:textId="77777777" w:rsidR="006930B7" w:rsidRPr="0013396E" w:rsidRDefault="006930B7" w:rsidP="006930B7">
            <w:pPr>
              <w:pStyle w:val="Instructions"/>
              <w:spacing w:before="120"/>
            </w:pPr>
          </w:p>
        </w:tc>
      </w:tr>
    </w:tbl>
    <w:p w14:paraId="5C8BF7A9" w14:textId="77777777" w:rsidR="006930B7" w:rsidRPr="0013396E" w:rsidRDefault="006930B7"/>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ayout w:type="fixed"/>
        <w:tblCellMar>
          <w:top w:w="144" w:type="dxa"/>
          <w:left w:w="115" w:type="dxa"/>
          <w:right w:w="115" w:type="dxa"/>
        </w:tblCellMar>
        <w:tblLook w:val="01E0" w:firstRow="1" w:lastRow="1" w:firstColumn="1" w:lastColumn="1" w:noHBand="0" w:noVBand="0"/>
      </w:tblPr>
      <w:tblGrid>
        <w:gridCol w:w="10080"/>
      </w:tblGrid>
      <w:tr w:rsidR="006930B7" w:rsidRPr="0013396E" w14:paraId="1F533BB1" w14:textId="77777777" w:rsidTr="006930B7">
        <w:trPr>
          <w:trHeight w:val="206"/>
        </w:trPr>
        <w:tc>
          <w:tcPr>
            <w:tcW w:w="10080" w:type="dxa"/>
            <w:tcBorders>
              <w:top w:val="single" w:sz="4" w:space="0" w:color="auto"/>
              <w:left w:val="single" w:sz="4" w:space="0" w:color="auto"/>
              <w:bottom w:val="single" w:sz="4" w:space="0" w:color="auto"/>
              <w:right w:val="single" w:sz="4" w:space="0" w:color="auto"/>
            </w:tcBorders>
            <w:shd w:val="pct12" w:color="auto" w:fill="auto"/>
          </w:tcPr>
          <w:p w14:paraId="307CC86A" w14:textId="58246D16" w:rsidR="006930B7" w:rsidRPr="0013396E" w:rsidRDefault="006930B7" w:rsidP="00663874">
            <w:pPr>
              <w:pStyle w:val="Instructions"/>
              <w:spacing w:before="120"/>
            </w:pPr>
            <w:r w:rsidRPr="0013396E">
              <w:t>[NPRR1030:  Insert Section 6.6.2.7 below upon system implementation:]</w:t>
            </w:r>
          </w:p>
          <w:p w14:paraId="4B8A72D4" w14:textId="77777777" w:rsidR="00694BD2" w:rsidRPr="0013396E" w:rsidRDefault="00694BD2" w:rsidP="00694BD2">
            <w:pPr>
              <w:keepNext/>
              <w:widowControl w:val="0"/>
              <w:tabs>
                <w:tab w:val="left" w:pos="1260"/>
              </w:tabs>
              <w:spacing w:before="480" w:after="240"/>
              <w:ind w:left="1260" w:hanging="1260"/>
              <w:outlineLvl w:val="3"/>
              <w:rPr>
                <w:b/>
                <w:bCs/>
                <w:snapToGrid w:val="0"/>
              </w:rPr>
            </w:pPr>
            <w:bookmarkStart w:id="1545" w:name="_Toc214878962"/>
            <w:r w:rsidRPr="0013396E">
              <w:rPr>
                <w:b/>
                <w:bCs/>
                <w:snapToGrid w:val="0"/>
              </w:rPr>
              <w:t>6.6.2.7</w:t>
            </w:r>
            <w:r w:rsidRPr="0013396E">
              <w:rPr>
                <w:b/>
                <w:bCs/>
                <w:snapToGrid w:val="0"/>
              </w:rPr>
              <w:tab/>
              <w:t>ERCOT Adjusted Metered Load by Congestion Management Zone for a Month</w:t>
            </w:r>
            <w:bookmarkEnd w:id="1545"/>
          </w:p>
          <w:p w14:paraId="19641AD7" w14:textId="77777777" w:rsidR="00694BD2" w:rsidRPr="0013396E" w:rsidRDefault="00694BD2" w:rsidP="00694BD2">
            <w:pPr>
              <w:spacing w:after="240"/>
              <w:ind w:left="720" w:hanging="720"/>
              <w:rPr>
                <w:iCs/>
              </w:rPr>
            </w:pPr>
            <w:r w:rsidRPr="0013396E">
              <w:rPr>
                <w:iCs/>
              </w:rPr>
              <w:t>(1)</w:t>
            </w:r>
            <w:r w:rsidRPr="0013396E">
              <w:rPr>
                <w:iCs/>
              </w:rPr>
              <w:tab/>
              <w:t>ERCOT total AML per CMZ for a calendar month is calculated as follows:</w:t>
            </w:r>
          </w:p>
          <w:p w14:paraId="30666C32" w14:textId="12F059E2" w:rsidR="00694BD2" w:rsidRPr="0013396E" w:rsidRDefault="00694BD2" w:rsidP="00694BD2">
            <w:pPr>
              <w:tabs>
                <w:tab w:val="left" w:pos="2250"/>
                <w:tab w:val="left" w:pos="3150"/>
                <w:tab w:val="left" w:pos="3960"/>
              </w:tabs>
              <w:spacing w:after="240"/>
              <w:ind w:left="3960" w:hanging="3240"/>
              <w:rPr>
                <w:b/>
                <w:bCs/>
              </w:rPr>
            </w:pPr>
            <w:r w:rsidRPr="0013396E">
              <w:rPr>
                <w:b/>
                <w:bCs/>
              </w:rPr>
              <w:t>MRTAMLLZTOT</w:t>
            </w:r>
            <w:r w:rsidR="00EC0374" w:rsidRPr="0013396E">
              <w:rPr>
                <w:b/>
                <w:bCs/>
              </w:rPr>
              <w:t xml:space="preserve"> </w:t>
            </w:r>
            <w:r w:rsidRPr="0013396E">
              <w:rPr>
                <w:rFonts w:ascii="Times New Roman Bold" w:hAnsi="Times New Roman Bold"/>
                <w:b/>
                <w:bCs/>
                <w:vertAlign w:val="subscript"/>
              </w:rPr>
              <w:t>z</w:t>
            </w:r>
            <w:r w:rsidRPr="0013396E">
              <w:rPr>
                <w:b/>
                <w:bCs/>
              </w:rPr>
              <w:tab/>
              <w:t>=</w:t>
            </w:r>
            <w:r w:rsidRPr="0013396E">
              <w:rPr>
                <w:b/>
                <w:bCs/>
              </w:rPr>
              <w:tab/>
            </w:r>
            <w:r w:rsidRPr="0013396E">
              <w:rPr>
                <w:b/>
                <w:bCs/>
                <w:position w:val="-22"/>
              </w:rPr>
              <w:object w:dxaOrig="225" w:dyaOrig="465" w14:anchorId="0263F72C">
                <v:shape id="_x0000_i1090" type="#_x0000_t75" style="width:12pt;height:18.6pt" o:ole="">
                  <v:imagedata r:id="rId77" o:title=""/>
                </v:shape>
                <o:OLEObject Type="Embed" ProgID="Equation.3" ShapeID="_x0000_i1090" DrawAspect="Content" ObjectID="_1836311369" r:id="rId96"/>
              </w:object>
            </w:r>
            <w:r w:rsidRPr="0013396E">
              <w:rPr>
                <w:b/>
                <w:bCs/>
              </w:rPr>
              <w:t xml:space="preserve"> (max(0,</w:t>
            </w:r>
            <w:r w:rsidRPr="0013396E">
              <w:rPr>
                <w:b/>
                <w:bCs/>
                <w:sz w:val="12"/>
                <w:szCs w:val="12"/>
              </w:rPr>
              <w:t xml:space="preserve"> </w:t>
            </w:r>
            <w:r w:rsidRPr="0013396E">
              <w:rPr>
                <w:position w:val="-20"/>
              </w:rPr>
              <w:object w:dxaOrig="220" w:dyaOrig="440" w14:anchorId="500DF72D">
                <v:shape id="_x0000_i1091" type="#_x0000_t75" style="width:6pt;height:24pt" o:ole="">
                  <v:imagedata r:id="rId91" o:title=""/>
                </v:shape>
                <o:OLEObject Type="Embed" ProgID="Equation.3" ShapeID="_x0000_i1091" DrawAspect="Content" ObjectID="_1836311370" r:id="rId97"/>
              </w:object>
            </w:r>
            <w:r w:rsidRPr="0013396E">
              <w:rPr>
                <w:position w:val="-22"/>
              </w:rPr>
              <w:object w:dxaOrig="225" w:dyaOrig="465" w14:anchorId="42D048ED">
                <v:shape id="_x0000_i1092" type="#_x0000_t75" style="width:12pt;height:18.6pt" o:ole="">
                  <v:imagedata r:id="rId79" o:title=""/>
                </v:shape>
                <o:OLEObject Type="Embed" ProgID="Equation.3" ShapeID="_x0000_i1092" DrawAspect="Content" ObjectID="_1836311371" r:id="rId98"/>
              </w:object>
            </w:r>
            <w:r w:rsidRPr="0013396E">
              <w:rPr>
                <w:b/>
                <w:bCs/>
              </w:rPr>
              <w:t xml:space="preserve">RTAML </w:t>
            </w:r>
            <w:r w:rsidRPr="0013396E">
              <w:rPr>
                <w:b/>
                <w:bCs/>
                <w:i/>
                <w:vertAlign w:val="subscript"/>
              </w:rPr>
              <w:t>q, p,i</w:t>
            </w:r>
            <w:r w:rsidRPr="0013396E">
              <w:rPr>
                <w:b/>
                <w:bCs/>
              </w:rPr>
              <w:t>))</w:t>
            </w:r>
          </w:p>
          <w:p w14:paraId="64517595" w14:textId="77777777" w:rsidR="00694BD2" w:rsidRPr="0013396E" w:rsidRDefault="00694BD2" w:rsidP="00694BD2">
            <w:r w:rsidRPr="0013396E">
              <w:t>The above variables are defined as follows:</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003"/>
              <w:gridCol w:w="697"/>
              <w:gridCol w:w="6655"/>
            </w:tblGrid>
            <w:tr w:rsidR="00694BD2" w:rsidRPr="0013396E" w14:paraId="4B9C0926" w14:textId="77777777" w:rsidTr="00663874">
              <w:tc>
                <w:tcPr>
                  <w:tcW w:w="2003" w:type="dxa"/>
                </w:tcPr>
                <w:p w14:paraId="271B2EA7" w14:textId="77777777" w:rsidR="00694BD2" w:rsidRPr="0013396E" w:rsidRDefault="00694BD2" w:rsidP="00694BD2">
                  <w:pPr>
                    <w:spacing w:after="120"/>
                    <w:rPr>
                      <w:b/>
                      <w:iCs/>
                      <w:sz w:val="20"/>
                    </w:rPr>
                  </w:pPr>
                  <w:r w:rsidRPr="0013396E">
                    <w:rPr>
                      <w:b/>
                      <w:iCs/>
                      <w:sz w:val="20"/>
                    </w:rPr>
                    <w:t>Variable</w:t>
                  </w:r>
                </w:p>
              </w:tc>
              <w:tc>
                <w:tcPr>
                  <w:tcW w:w="697" w:type="dxa"/>
                </w:tcPr>
                <w:p w14:paraId="58D97995" w14:textId="77777777" w:rsidR="00694BD2" w:rsidRPr="0013396E" w:rsidRDefault="00694BD2" w:rsidP="00694BD2">
                  <w:pPr>
                    <w:spacing w:after="120"/>
                    <w:rPr>
                      <w:b/>
                      <w:iCs/>
                      <w:sz w:val="20"/>
                    </w:rPr>
                  </w:pPr>
                  <w:r w:rsidRPr="0013396E">
                    <w:rPr>
                      <w:b/>
                      <w:iCs/>
                      <w:sz w:val="20"/>
                    </w:rPr>
                    <w:t>Unit</w:t>
                  </w:r>
                </w:p>
              </w:tc>
              <w:tc>
                <w:tcPr>
                  <w:tcW w:w="6655" w:type="dxa"/>
                </w:tcPr>
                <w:p w14:paraId="2A1A3CD2" w14:textId="77777777" w:rsidR="00694BD2" w:rsidRPr="0013396E" w:rsidRDefault="00694BD2" w:rsidP="00694BD2">
                  <w:pPr>
                    <w:spacing w:after="120"/>
                    <w:rPr>
                      <w:b/>
                      <w:iCs/>
                      <w:sz w:val="20"/>
                    </w:rPr>
                  </w:pPr>
                  <w:r w:rsidRPr="0013396E">
                    <w:rPr>
                      <w:b/>
                      <w:iCs/>
                      <w:sz w:val="20"/>
                    </w:rPr>
                    <w:t>Description</w:t>
                  </w:r>
                </w:p>
              </w:tc>
            </w:tr>
            <w:tr w:rsidR="00694BD2" w:rsidRPr="0013396E" w14:paraId="579C9F52" w14:textId="77777777" w:rsidTr="00663874">
              <w:tc>
                <w:tcPr>
                  <w:tcW w:w="2003" w:type="dxa"/>
                </w:tcPr>
                <w:p w14:paraId="3C17CDDF" w14:textId="77777777" w:rsidR="00694BD2" w:rsidRPr="0013396E" w:rsidRDefault="00694BD2" w:rsidP="00694BD2">
                  <w:pPr>
                    <w:spacing w:after="60"/>
                    <w:rPr>
                      <w:iCs/>
                      <w:sz w:val="20"/>
                      <w:vertAlign w:val="subscript"/>
                    </w:rPr>
                  </w:pPr>
                  <w:r w:rsidRPr="0013396E">
                    <w:rPr>
                      <w:iCs/>
                      <w:sz w:val="20"/>
                    </w:rPr>
                    <w:t>MRTAMLLZTOT</w:t>
                  </w:r>
                  <w:r w:rsidRPr="0013396E">
                    <w:rPr>
                      <w:iCs/>
                      <w:sz w:val="20"/>
                      <w:vertAlign w:val="subscript"/>
                    </w:rPr>
                    <w:t>z</w:t>
                  </w:r>
                </w:p>
              </w:tc>
              <w:tc>
                <w:tcPr>
                  <w:tcW w:w="697" w:type="dxa"/>
                </w:tcPr>
                <w:p w14:paraId="7841C065" w14:textId="77777777" w:rsidR="00694BD2" w:rsidRPr="0013396E" w:rsidRDefault="00694BD2" w:rsidP="00694BD2">
                  <w:pPr>
                    <w:spacing w:after="60"/>
                    <w:rPr>
                      <w:i/>
                      <w:iCs/>
                      <w:sz w:val="20"/>
                    </w:rPr>
                  </w:pPr>
                  <w:r w:rsidRPr="0013396E">
                    <w:rPr>
                      <w:iCs/>
                      <w:sz w:val="20"/>
                    </w:rPr>
                    <w:t>MWh</w:t>
                  </w:r>
                </w:p>
              </w:tc>
              <w:tc>
                <w:tcPr>
                  <w:tcW w:w="6655" w:type="dxa"/>
                </w:tcPr>
                <w:p w14:paraId="0D7EE179" w14:textId="77777777" w:rsidR="00694BD2" w:rsidRPr="0013396E" w:rsidRDefault="00694BD2" w:rsidP="00694BD2">
                  <w:pPr>
                    <w:spacing w:after="60"/>
                    <w:rPr>
                      <w:iCs/>
                      <w:sz w:val="20"/>
                    </w:rPr>
                  </w:pPr>
                  <w:r w:rsidRPr="0013396E">
                    <w:rPr>
                      <w:i/>
                      <w:iCs/>
                      <w:sz w:val="20"/>
                    </w:rPr>
                    <w:t>Monthly Real-Time Adjusted Metered Load - Load Zone Total</w:t>
                  </w:r>
                  <w:r w:rsidRPr="0013396E">
                    <w:rPr>
                      <w:iCs/>
                      <w:sz w:val="20"/>
                    </w:rPr>
                    <w:t>—The total AML in CMZ z, for the calendar month.</w:t>
                  </w:r>
                </w:p>
              </w:tc>
            </w:tr>
            <w:tr w:rsidR="00694BD2" w:rsidRPr="0013396E" w14:paraId="078337CA" w14:textId="77777777" w:rsidTr="00663874">
              <w:tc>
                <w:tcPr>
                  <w:tcW w:w="2003" w:type="dxa"/>
                </w:tcPr>
                <w:p w14:paraId="2E98E7C1" w14:textId="77777777" w:rsidR="00694BD2" w:rsidRPr="0013396E" w:rsidRDefault="00694BD2" w:rsidP="00694BD2">
                  <w:pPr>
                    <w:spacing w:after="60"/>
                    <w:rPr>
                      <w:iCs/>
                      <w:sz w:val="20"/>
                    </w:rPr>
                  </w:pPr>
                  <w:r w:rsidRPr="0013396E">
                    <w:rPr>
                      <w:iCs/>
                      <w:sz w:val="20"/>
                    </w:rPr>
                    <w:t xml:space="preserve">RTAML </w:t>
                  </w:r>
                  <w:r w:rsidRPr="0013396E">
                    <w:rPr>
                      <w:i/>
                      <w:iCs/>
                      <w:sz w:val="20"/>
                      <w:vertAlign w:val="subscript"/>
                    </w:rPr>
                    <w:t>q, p,i</w:t>
                  </w:r>
                </w:p>
              </w:tc>
              <w:tc>
                <w:tcPr>
                  <w:tcW w:w="697" w:type="dxa"/>
                </w:tcPr>
                <w:p w14:paraId="3AFF9E39" w14:textId="77777777" w:rsidR="00694BD2" w:rsidRPr="0013396E" w:rsidRDefault="00694BD2" w:rsidP="00694BD2">
                  <w:pPr>
                    <w:spacing w:after="60"/>
                    <w:rPr>
                      <w:iCs/>
                      <w:sz w:val="20"/>
                    </w:rPr>
                  </w:pPr>
                  <w:r w:rsidRPr="0013396E">
                    <w:rPr>
                      <w:iCs/>
                      <w:sz w:val="20"/>
                    </w:rPr>
                    <w:t>MWh</w:t>
                  </w:r>
                </w:p>
              </w:tc>
              <w:tc>
                <w:tcPr>
                  <w:tcW w:w="6655" w:type="dxa"/>
                </w:tcPr>
                <w:p w14:paraId="7B65B2A4" w14:textId="77777777" w:rsidR="00694BD2" w:rsidRPr="0013396E" w:rsidRDefault="00694BD2" w:rsidP="00694BD2">
                  <w:pPr>
                    <w:spacing w:after="60"/>
                    <w:rPr>
                      <w:i/>
                      <w:iCs/>
                      <w:sz w:val="20"/>
                    </w:rPr>
                  </w:pPr>
                  <w:r w:rsidRPr="0013396E">
                    <w:rPr>
                      <w:i/>
                      <w:iCs/>
                      <w:sz w:val="20"/>
                    </w:rPr>
                    <w:t>Real-Time Adjusted Metered Load per QSE per Settlement Point</w:t>
                  </w:r>
                  <w:r w:rsidRPr="0013396E">
                    <w:rPr>
                      <w:iCs/>
                      <w:sz w:val="20"/>
                    </w:rPr>
                    <w:t xml:space="preserve">—The sum of the AML at the Electrical Buses that are included in Settlement Point </w:t>
                  </w:r>
                  <w:r w:rsidRPr="0013396E">
                    <w:rPr>
                      <w:i/>
                      <w:iCs/>
                      <w:sz w:val="20"/>
                    </w:rPr>
                    <w:t>p</w:t>
                  </w:r>
                  <w:r w:rsidRPr="0013396E">
                    <w:rPr>
                      <w:iCs/>
                      <w:sz w:val="20"/>
                    </w:rPr>
                    <w:t xml:space="preserve">, represented by QSE </w:t>
                  </w:r>
                  <w:r w:rsidRPr="0013396E">
                    <w:rPr>
                      <w:i/>
                      <w:iCs/>
                      <w:sz w:val="20"/>
                    </w:rPr>
                    <w:t>q</w:t>
                  </w:r>
                  <w:r w:rsidRPr="0013396E">
                    <w:rPr>
                      <w:iCs/>
                      <w:sz w:val="20"/>
                    </w:rPr>
                    <w:t xml:space="preserve">, for the 15-minute Settlement Interval </w:t>
                  </w:r>
                  <w:r w:rsidRPr="0013396E">
                    <w:rPr>
                      <w:i/>
                      <w:iCs/>
                      <w:sz w:val="20"/>
                    </w:rPr>
                    <w:t xml:space="preserve">i. </w:t>
                  </w:r>
                </w:p>
              </w:tc>
            </w:tr>
            <w:tr w:rsidR="00694BD2" w:rsidRPr="0013396E" w14:paraId="5E5E39A9" w14:textId="77777777" w:rsidTr="00663874">
              <w:tc>
                <w:tcPr>
                  <w:tcW w:w="2003" w:type="dxa"/>
                </w:tcPr>
                <w:p w14:paraId="4FFFFDC0" w14:textId="77777777" w:rsidR="00694BD2" w:rsidRPr="0013396E" w:rsidRDefault="00694BD2" w:rsidP="00694BD2">
                  <w:pPr>
                    <w:spacing w:after="60"/>
                    <w:rPr>
                      <w:i/>
                      <w:iCs/>
                      <w:sz w:val="20"/>
                    </w:rPr>
                  </w:pPr>
                  <w:r w:rsidRPr="0013396E">
                    <w:rPr>
                      <w:i/>
                      <w:iCs/>
                      <w:sz w:val="20"/>
                    </w:rPr>
                    <w:t>q</w:t>
                  </w:r>
                </w:p>
              </w:tc>
              <w:tc>
                <w:tcPr>
                  <w:tcW w:w="697" w:type="dxa"/>
                </w:tcPr>
                <w:p w14:paraId="2AB67F86" w14:textId="77777777" w:rsidR="00694BD2" w:rsidRPr="0013396E" w:rsidRDefault="00694BD2" w:rsidP="00694BD2">
                  <w:pPr>
                    <w:spacing w:after="60"/>
                    <w:rPr>
                      <w:iCs/>
                      <w:sz w:val="20"/>
                    </w:rPr>
                  </w:pPr>
                  <w:r w:rsidRPr="0013396E">
                    <w:rPr>
                      <w:iCs/>
                      <w:sz w:val="20"/>
                    </w:rPr>
                    <w:t>none</w:t>
                  </w:r>
                </w:p>
              </w:tc>
              <w:tc>
                <w:tcPr>
                  <w:tcW w:w="6655" w:type="dxa"/>
                </w:tcPr>
                <w:p w14:paraId="36470A2D" w14:textId="77777777" w:rsidR="00694BD2" w:rsidRPr="0013396E" w:rsidRDefault="00694BD2" w:rsidP="00694BD2">
                  <w:pPr>
                    <w:spacing w:after="60"/>
                    <w:rPr>
                      <w:iCs/>
                      <w:sz w:val="20"/>
                    </w:rPr>
                  </w:pPr>
                  <w:r w:rsidRPr="0013396E">
                    <w:rPr>
                      <w:iCs/>
                      <w:sz w:val="20"/>
                    </w:rPr>
                    <w:t xml:space="preserve">A QSE.  </w:t>
                  </w:r>
                </w:p>
              </w:tc>
            </w:tr>
            <w:tr w:rsidR="00694BD2" w:rsidRPr="0013396E" w14:paraId="44453C4D" w14:textId="77777777" w:rsidTr="00663874">
              <w:tc>
                <w:tcPr>
                  <w:tcW w:w="2003" w:type="dxa"/>
                </w:tcPr>
                <w:p w14:paraId="5FD6F603" w14:textId="77777777" w:rsidR="00694BD2" w:rsidRPr="0013396E" w:rsidRDefault="00694BD2" w:rsidP="00694BD2">
                  <w:pPr>
                    <w:spacing w:after="60"/>
                    <w:rPr>
                      <w:i/>
                      <w:iCs/>
                      <w:sz w:val="20"/>
                    </w:rPr>
                  </w:pPr>
                  <w:r w:rsidRPr="0013396E">
                    <w:rPr>
                      <w:i/>
                      <w:iCs/>
                      <w:sz w:val="20"/>
                    </w:rPr>
                    <w:t>p</w:t>
                  </w:r>
                </w:p>
              </w:tc>
              <w:tc>
                <w:tcPr>
                  <w:tcW w:w="697" w:type="dxa"/>
                </w:tcPr>
                <w:p w14:paraId="54A8C753" w14:textId="77777777" w:rsidR="00694BD2" w:rsidRPr="0013396E" w:rsidRDefault="00694BD2" w:rsidP="00694BD2">
                  <w:pPr>
                    <w:spacing w:after="60"/>
                    <w:rPr>
                      <w:iCs/>
                      <w:sz w:val="20"/>
                    </w:rPr>
                  </w:pPr>
                  <w:r w:rsidRPr="0013396E">
                    <w:rPr>
                      <w:iCs/>
                      <w:sz w:val="20"/>
                    </w:rPr>
                    <w:t>none</w:t>
                  </w:r>
                </w:p>
              </w:tc>
              <w:tc>
                <w:tcPr>
                  <w:tcW w:w="6655" w:type="dxa"/>
                </w:tcPr>
                <w:p w14:paraId="69F3AD1E" w14:textId="77777777" w:rsidR="00694BD2" w:rsidRPr="0013396E" w:rsidRDefault="00694BD2" w:rsidP="00694BD2">
                  <w:pPr>
                    <w:spacing w:after="60"/>
                    <w:rPr>
                      <w:iCs/>
                      <w:sz w:val="20"/>
                    </w:rPr>
                  </w:pPr>
                  <w:r w:rsidRPr="0013396E">
                    <w:rPr>
                      <w:iCs/>
                      <w:sz w:val="20"/>
                    </w:rPr>
                    <w:t xml:space="preserve">A Settlement Point in the 2003 ERCOT CMZ.  </w:t>
                  </w:r>
                </w:p>
              </w:tc>
            </w:tr>
            <w:tr w:rsidR="00694BD2" w:rsidRPr="0013396E" w:rsidDel="00590517" w14:paraId="288B9407" w14:textId="77777777" w:rsidTr="00663874">
              <w:trPr>
                <w:cantSplit/>
              </w:trPr>
              <w:tc>
                <w:tcPr>
                  <w:tcW w:w="2003" w:type="dxa"/>
                </w:tcPr>
                <w:p w14:paraId="2F273F19" w14:textId="77777777" w:rsidR="00694BD2" w:rsidRPr="0013396E" w:rsidDel="00590517" w:rsidRDefault="00694BD2" w:rsidP="00694BD2">
                  <w:pPr>
                    <w:spacing w:after="60"/>
                    <w:rPr>
                      <w:i/>
                      <w:iCs/>
                      <w:sz w:val="20"/>
                    </w:rPr>
                  </w:pPr>
                  <w:r w:rsidRPr="0013396E">
                    <w:rPr>
                      <w:i/>
                      <w:sz w:val="20"/>
                    </w:rPr>
                    <w:t>i</w:t>
                  </w:r>
                </w:p>
              </w:tc>
              <w:tc>
                <w:tcPr>
                  <w:tcW w:w="697" w:type="dxa"/>
                </w:tcPr>
                <w:p w14:paraId="0FAC75DB" w14:textId="77777777" w:rsidR="00694BD2" w:rsidRPr="0013396E" w:rsidDel="00590517" w:rsidRDefault="00694BD2" w:rsidP="00694BD2">
                  <w:pPr>
                    <w:spacing w:after="60"/>
                    <w:rPr>
                      <w:iCs/>
                      <w:sz w:val="20"/>
                    </w:rPr>
                  </w:pPr>
                  <w:r w:rsidRPr="0013396E">
                    <w:rPr>
                      <w:sz w:val="20"/>
                    </w:rPr>
                    <w:t>none</w:t>
                  </w:r>
                </w:p>
              </w:tc>
              <w:tc>
                <w:tcPr>
                  <w:tcW w:w="6655" w:type="dxa"/>
                </w:tcPr>
                <w:p w14:paraId="663208E1" w14:textId="77777777" w:rsidR="00694BD2" w:rsidRPr="0013396E" w:rsidDel="00590517" w:rsidRDefault="00694BD2" w:rsidP="00694BD2">
                  <w:pPr>
                    <w:spacing w:after="60"/>
                    <w:rPr>
                      <w:iCs/>
                      <w:sz w:val="20"/>
                    </w:rPr>
                  </w:pPr>
                  <w:r w:rsidRPr="0013396E">
                    <w:rPr>
                      <w:sz w:val="20"/>
                    </w:rPr>
                    <w:t xml:space="preserve">A 15-minute Settlement Interval. </w:t>
                  </w:r>
                </w:p>
              </w:tc>
            </w:tr>
            <w:tr w:rsidR="00694BD2" w:rsidRPr="0013396E" w14:paraId="586615C8" w14:textId="77777777" w:rsidTr="00663874">
              <w:trPr>
                <w:cantSplit/>
              </w:trPr>
              <w:tc>
                <w:tcPr>
                  <w:tcW w:w="2003" w:type="dxa"/>
                </w:tcPr>
                <w:p w14:paraId="0DBAA6CA" w14:textId="77777777" w:rsidR="00694BD2" w:rsidRPr="0013396E" w:rsidRDefault="00694BD2" w:rsidP="00694BD2">
                  <w:pPr>
                    <w:spacing w:after="60"/>
                    <w:rPr>
                      <w:i/>
                      <w:iCs/>
                      <w:sz w:val="20"/>
                    </w:rPr>
                  </w:pPr>
                  <w:r w:rsidRPr="0013396E">
                    <w:rPr>
                      <w:i/>
                      <w:iCs/>
                      <w:sz w:val="20"/>
                    </w:rPr>
                    <w:lastRenderedPageBreak/>
                    <w:t>z</w:t>
                  </w:r>
                </w:p>
              </w:tc>
              <w:tc>
                <w:tcPr>
                  <w:tcW w:w="697" w:type="dxa"/>
                </w:tcPr>
                <w:p w14:paraId="4C9D497B" w14:textId="77777777" w:rsidR="00694BD2" w:rsidRPr="0013396E" w:rsidRDefault="00694BD2" w:rsidP="00694BD2">
                  <w:pPr>
                    <w:spacing w:after="60"/>
                    <w:rPr>
                      <w:iCs/>
                      <w:sz w:val="20"/>
                    </w:rPr>
                  </w:pPr>
                  <w:r w:rsidRPr="0013396E">
                    <w:rPr>
                      <w:iCs/>
                      <w:sz w:val="20"/>
                    </w:rPr>
                    <w:t>none</w:t>
                  </w:r>
                </w:p>
              </w:tc>
              <w:tc>
                <w:tcPr>
                  <w:tcW w:w="6655" w:type="dxa"/>
                </w:tcPr>
                <w:p w14:paraId="4918D311" w14:textId="77777777" w:rsidR="00694BD2" w:rsidRPr="0013396E" w:rsidRDefault="00694BD2" w:rsidP="00694BD2">
                  <w:pPr>
                    <w:spacing w:after="60"/>
                    <w:rPr>
                      <w:iCs/>
                      <w:sz w:val="20"/>
                    </w:rPr>
                  </w:pPr>
                  <w:r w:rsidRPr="0013396E">
                    <w:rPr>
                      <w:sz w:val="20"/>
                    </w:rPr>
                    <w:t>A 2003 ERCOT CMZ.</w:t>
                  </w:r>
                </w:p>
              </w:tc>
            </w:tr>
          </w:tbl>
          <w:p w14:paraId="3E2151FD" w14:textId="77777777" w:rsidR="006930B7" w:rsidRPr="0013396E" w:rsidRDefault="006930B7" w:rsidP="006930B7">
            <w:pPr>
              <w:pStyle w:val="Instructions"/>
              <w:spacing w:before="120"/>
            </w:pPr>
          </w:p>
        </w:tc>
      </w:tr>
    </w:tbl>
    <w:p w14:paraId="66794B84" w14:textId="77777777" w:rsidR="006930B7" w:rsidRPr="0013396E" w:rsidRDefault="006930B7" w:rsidP="006930B7"/>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ayout w:type="fixed"/>
        <w:tblCellMar>
          <w:top w:w="144" w:type="dxa"/>
          <w:left w:w="115" w:type="dxa"/>
          <w:right w:w="115" w:type="dxa"/>
        </w:tblCellMar>
        <w:tblLook w:val="01E0" w:firstRow="1" w:lastRow="1" w:firstColumn="1" w:lastColumn="1" w:noHBand="0" w:noVBand="0"/>
      </w:tblPr>
      <w:tblGrid>
        <w:gridCol w:w="10080"/>
      </w:tblGrid>
      <w:tr w:rsidR="006930B7" w:rsidRPr="0013396E" w14:paraId="0251E9FC" w14:textId="77777777" w:rsidTr="00082248">
        <w:trPr>
          <w:trHeight w:val="206"/>
        </w:trPr>
        <w:tc>
          <w:tcPr>
            <w:tcW w:w="10080" w:type="dxa"/>
            <w:tcBorders>
              <w:top w:val="single" w:sz="4" w:space="0" w:color="auto"/>
              <w:left w:val="single" w:sz="4" w:space="0" w:color="auto"/>
              <w:bottom w:val="single" w:sz="4" w:space="0" w:color="auto"/>
              <w:right w:val="single" w:sz="4" w:space="0" w:color="auto"/>
            </w:tcBorders>
            <w:shd w:val="pct12" w:color="auto" w:fill="auto"/>
          </w:tcPr>
          <w:p w14:paraId="565303EF" w14:textId="61349446" w:rsidR="006930B7" w:rsidRPr="0013396E" w:rsidRDefault="006930B7" w:rsidP="00663874">
            <w:pPr>
              <w:pStyle w:val="Instructions"/>
              <w:spacing w:before="120"/>
            </w:pPr>
            <w:r w:rsidRPr="0013396E">
              <w:t>[NPRR1030:  Insert Section 6.6.2.8 below upon system implementation:]</w:t>
            </w:r>
          </w:p>
          <w:p w14:paraId="73276DAC" w14:textId="77777777" w:rsidR="00694BD2" w:rsidRPr="0013396E" w:rsidRDefault="00694BD2" w:rsidP="00694BD2">
            <w:pPr>
              <w:pStyle w:val="H4"/>
              <w:spacing w:before="480"/>
              <w:ind w:left="1267" w:hanging="1267"/>
            </w:pPr>
            <w:bookmarkStart w:id="1546" w:name="_Toc214878963"/>
            <w:r w:rsidRPr="0013396E">
              <w:t>6.6.2.8</w:t>
            </w:r>
            <w:r w:rsidRPr="0013396E">
              <w:tab/>
              <w:t>QSE DC Tie Export Load Ratio Share by Congestion Management Zone for a Month</w:t>
            </w:r>
            <w:bookmarkEnd w:id="1546"/>
          </w:p>
          <w:p w14:paraId="4AA7447D" w14:textId="77777777" w:rsidR="00694BD2" w:rsidRPr="0013396E" w:rsidRDefault="00694BD2" w:rsidP="00694BD2">
            <w:pPr>
              <w:pStyle w:val="BodyText"/>
              <w:ind w:left="720" w:hanging="720"/>
            </w:pPr>
            <w:r w:rsidRPr="0013396E">
              <w:t>(1)</w:t>
            </w:r>
            <w:r w:rsidRPr="0013396E">
              <w:tab/>
              <w:t>Each QSE’s DC Tie Export DCMLRSZ by CMZ for a calendar month is calculated as follows:</w:t>
            </w:r>
          </w:p>
          <w:p w14:paraId="0DFB438F" w14:textId="60859562" w:rsidR="00694BD2" w:rsidRPr="0013396E" w:rsidRDefault="00694BD2" w:rsidP="00694BD2">
            <w:pPr>
              <w:pStyle w:val="FormulaBold"/>
              <w:rPr>
                <w:lang w:val="sv-SE"/>
              </w:rPr>
            </w:pPr>
            <w:r w:rsidRPr="0013396E">
              <w:rPr>
                <w:lang w:val="sv-SE"/>
              </w:rPr>
              <w:t xml:space="preserve">DCMLRSZ </w:t>
            </w:r>
            <w:r w:rsidRPr="0013396E">
              <w:rPr>
                <w:rFonts w:ascii="Times New Roman Bold" w:hAnsi="Times New Roman Bold"/>
                <w:vertAlign w:val="subscript"/>
                <w:lang w:val="sv-SE"/>
              </w:rPr>
              <w:t>q,</w:t>
            </w:r>
            <w:r w:rsidR="00FB52E4" w:rsidRPr="0013396E">
              <w:rPr>
                <w:rFonts w:ascii="Times New Roman Bold" w:hAnsi="Times New Roman Bold"/>
                <w:vertAlign w:val="subscript"/>
                <w:lang w:val="sv-SE"/>
              </w:rPr>
              <w:t xml:space="preserve"> </w:t>
            </w:r>
            <w:r w:rsidRPr="0013396E">
              <w:rPr>
                <w:rFonts w:ascii="Times New Roman Bold" w:hAnsi="Times New Roman Bold"/>
                <w:vertAlign w:val="subscript"/>
                <w:lang w:val="sv-SE"/>
              </w:rPr>
              <w:t>z</w:t>
            </w:r>
            <w:r w:rsidRPr="0013396E">
              <w:rPr>
                <w:lang w:val="sv-SE"/>
              </w:rPr>
              <w:tab/>
              <w:t>=</w:t>
            </w:r>
            <w:r w:rsidRPr="0013396E">
              <w:rPr>
                <w:lang w:val="sv-SE"/>
              </w:rPr>
              <w:tab/>
            </w:r>
            <w:r w:rsidRPr="0013396E">
              <w:t>max(0,</w:t>
            </w:r>
            <w:r w:rsidRPr="0013396E">
              <w:rPr>
                <w:noProof/>
                <w:position w:val="-28"/>
                <w:sz w:val="4"/>
                <w:szCs w:val="4"/>
              </w:rPr>
              <w:t xml:space="preserve"> </w:t>
            </w:r>
            <w:r w:rsidRPr="0013396E">
              <w:rPr>
                <w:position w:val="-20"/>
              </w:rPr>
              <w:object w:dxaOrig="220" w:dyaOrig="440" w14:anchorId="22584CD4">
                <v:shape id="_x0000_i1093" type="#_x0000_t75" style="width:6pt;height:24pt" o:ole="">
                  <v:imagedata r:id="rId91" o:title=""/>
                </v:shape>
                <o:OLEObject Type="Embed" ProgID="Equation.3" ShapeID="_x0000_i1093" DrawAspect="Content" ObjectID="_1836311372" r:id="rId99"/>
              </w:object>
            </w:r>
            <w:r w:rsidRPr="0013396E">
              <w:rPr>
                <w:position w:val="-22"/>
              </w:rPr>
              <w:object w:dxaOrig="225" w:dyaOrig="465" w14:anchorId="30882CB2">
                <v:shape id="_x0000_i1094" type="#_x0000_t75" style="width:12pt;height:18.6pt" o:ole="">
                  <v:imagedata r:id="rId79" o:title=""/>
                </v:shape>
                <o:OLEObject Type="Embed" ProgID="Equation.3" ShapeID="_x0000_i1094" DrawAspect="Content" ObjectID="_1836311373" r:id="rId100"/>
              </w:object>
            </w:r>
            <w:r w:rsidRPr="0013396E">
              <w:t>RTAMLDC</w:t>
            </w:r>
            <w:r w:rsidRPr="0013396E">
              <w:rPr>
                <w:lang w:val="sv-SE"/>
              </w:rPr>
              <w:t xml:space="preserve"> </w:t>
            </w:r>
            <w:r w:rsidRPr="0013396E">
              <w:rPr>
                <w:i/>
                <w:vertAlign w:val="subscript"/>
                <w:lang w:val="sv-SE"/>
              </w:rPr>
              <w:t>q, p,</w:t>
            </w:r>
            <w:r w:rsidR="00467363" w:rsidRPr="0013396E">
              <w:rPr>
                <w:i/>
                <w:vertAlign w:val="subscript"/>
                <w:lang w:val="sv-SE"/>
              </w:rPr>
              <w:t xml:space="preserve"> </w:t>
            </w:r>
            <w:r w:rsidRPr="0013396E">
              <w:rPr>
                <w:i/>
                <w:vertAlign w:val="subscript"/>
                <w:lang w:val="sv-SE"/>
              </w:rPr>
              <w:t xml:space="preserve">i </w:t>
            </w:r>
            <w:r w:rsidRPr="0013396E">
              <w:rPr>
                <w:lang w:val="sv-SE"/>
              </w:rPr>
              <w:t>) / MRTAMLLZTOT</w:t>
            </w:r>
            <w:r w:rsidRPr="0013396E">
              <w:rPr>
                <w:rFonts w:ascii="Times New Roman Bold" w:hAnsi="Times New Roman Bold"/>
                <w:i/>
                <w:vertAlign w:val="subscript"/>
                <w:lang w:val="sv-SE"/>
              </w:rPr>
              <w:t>z</w:t>
            </w:r>
          </w:p>
          <w:p w14:paraId="7B5B77BF" w14:textId="77777777" w:rsidR="00694BD2" w:rsidRPr="0013396E" w:rsidRDefault="00694BD2" w:rsidP="00694BD2">
            <w:r w:rsidRPr="0013396E">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066"/>
              <w:gridCol w:w="860"/>
              <w:gridCol w:w="6914"/>
            </w:tblGrid>
            <w:tr w:rsidR="00694BD2" w:rsidRPr="0013396E" w14:paraId="0CFFA154" w14:textId="77777777" w:rsidTr="00082248">
              <w:trPr>
                <w:cantSplit/>
              </w:trPr>
              <w:tc>
                <w:tcPr>
                  <w:tcW w:w="1050" w:type="pct"/>
                </w:tcPr>
                <w:p w14:paraId="4004868E" w14:textId="77777777" w:rsidR="00694BD2" w:rsidRPr="0013396E" w:rsidRDefault="00694BD2" w:rsidP="00694BD2">
                  <w:pPr>
                    <w:pStyle w:val="TableHead"/>
                  </w:pPr>
                  <w:r w:rsidRPr="0013396E">
                    <w:t>Variable</w:t>
                  </w:r>
                </w:p>
              </w:tc>
              <w:tc>
                <w:tcPr>
                  <w:tcW w:w="437" w:type="pct"/>
                </w:tcPr>
                <w:p w14:paraId="08AAC53D" w14:textId="77777777" w:rsidR="00694BD2" w:rsidRPr="0013396E" w:rsidRDefault="00694BD2" w:rsidP="00694BD2">
                  <w:pPr>
                    <w:pStyle w:val="TableHead"/>
                  </w:pPr>
                  <w:r w:rsidRPr="0013396E">
                    <w:t>Unit</w:t>
                  </w:r>
                </w:p>
              </w:tc>
              <w:tc>
                <w:tcPr>
                  <w:tcW w:w="3512" w:type="pct"/>
                </w:tcPr>
                <w:p w14:paraId="1A5D6BDC" w14:textId="77777777" w:rsidR="00694BD2" w:rsidRPr="0013396E" w:rsidRDefault="00694BD2" w:rsidP="00694BD2">
                  <w:pPr>
                    <w:pStyle w:val="TableHead"/>
                  </w:pPr>
                  <w:r w:rsidRPr="0013396E">
                    <w:t>Description</w:t>
                  </w:r>
                </w:p>
              </w:tc>
            </w:tr>
            <w:tr w:rsidR="00694BD2" w:rsidRPr="0013396E" w14:paraId="09A4C4E3" w14:textId="77777777" w:rsidTr="00082248">
              <w:trPr>
                <w:cantSplit/>
              </w:trPr>
              <w:tc>
                <w:tcPr>
                  <w:tcW w:w="1050" w:type="pct"/>
                </w:tcPr>
                <w:p w14:paraId="45DCD527" w14:textId="47D01122" w:rsidR="00694BD2" w:rsidRPr="0013396E" w:rsidRDefault="00694BD2" w:rsidP="00694BD2">
                  <w:pPr>
                    <w:pStyle w:val="TableBody"/>
                  </w:pPr>
                  <w:r w:rsidRPr="0013396E">
                    <w:t>DCMLRSZ</w:t>
                  </w:r>
                  <w:r w:rsidRPr="0013396E">
                    <w:rPr>
                      <w:i/>
                      <w:vertAlign w:val="subscript"/>
                    </w:rPr>
                    <w:t xml:space="preserve"> q,</w:t>
                  </w:r>
                  <w:r w:rsidR="009E3281" w:rsidRPr="0013396E">
                    <w:rPr>
                      <w:i/>
                      <w:vertAlign w:val="subscript"/>
                    </w:rPr>
                    <w:t xml:space="preserve"> </w:t>
                  </w:r>
                  <w:r w:rsidRPr="0013396E">
                    <w:rPr>
                      <w:i/>
                      <w:vertAlign w:val="subscript"/>
                    </w:rPr>
                    <w:t>z</w:t>
                  </w:r>
                </w:p>
              </w:tc>
              <w:tc>
                <w:tcPr>
                  <w:tcW w:w="437" w:type="pct"/>
                </w:tcPr>
                <w:p w14:paraId="43EA1781" w14:textId="77777777" w:rsidR="00694BD2" w:rsidRPr="0013396E" w:rsidRDefault="00694BD2" w:rsidP="00694BD2">
                  <w:pPr>
                    <w:pStyle w:val="TableBody"/>
                  </w:pPr>
                  <w:r w:rsidRPr="0013396E">
                    <w:t>none</w:t>
                  </w:r>
                </w:p>
              </w:tc>
              <w:tc>
                <w:tcPr>
                  <w:tcW w:w="3512" w:type="pct"/>
                </w:tcPr>
                <w:p w14:paraId="06947DA5" w14:textId="2C16E0E0" w:rsidR="00694BD2" w:rsidRPr="0013396E" w:rsidRDefault="00694BD2" w:rsidP="001335E7">
                  <w:pPr>
                    <w:pStyle w:val="TableBody"/>
                    <w:rPr>
                      <w:i/>
                    </w:rPr>
                  </w:pPr>
                  <w:r w:rsidRPr="0013396E">
                    <w:rPr>
                      <w:i/>
                    </w:rPr>
                    <w:t>DC Tie Exports Monthly Load Ratio Share Zonal per QSE</w:t>
                  </w:r>
                  <w:r w:rsidRPr="0013396E">
                    <w:t xml:space="preserve">—The ratio share </w:t>
                  </w:r>
                  <w:r w:rsidR="00DA1E33" w:rsidRPr="0013396E">
                    <w:br/>
                  </w:r>
                  <w:r w:rsidRPr="0013396E">
                    <w:t xml:space="preserve">calculated for QSE </w:t>
                  </w:r>
                  <w:r w:rsidRPr="0013396E">
                    <w:rPr>
                      <w:i/>
                    </w:rPr>
                    <w:t>q</w:t>
                  </w:r>
                  <w:r w:rsidRPr="0013396E">
                    <w:t xml:space="preserve"> with DC Tie exports by CMZ </w:t>
                  </w:r>
                  <w:r w:rsidRPr="0013396E">
                    <w:rPr>
                      <w:i/>
                    </w:rPr>
                    <w:t xml:space="preserve">z </w:t>
                  </w:r>
                  <w:r w:rsidRPr="0013396E">
                    <w:t>for the calendar month.</w:t>
                  </w:r>
                </w:p>
              </w:tc>
            </w:tr>
            <w:tr w:rsidR="00694BD2" w:rsidRPr="0013396E" w14:paraId="4E078CB5" w14:textId="77777777" w:rsidTr="00082248">
              <w:trPr>
                <w:cantSplit/>
              </w:trPr>
              <w:tc>
                <w:tcPr>
                  <w:tcW w:w="1050" w:type="pct"/>
                </w:tcPr>
                <w:p w14:paraId="1121F6CF" w14:textId="0E175749" w:rsidR="00694BD2" w:rsidRPr="0013396E" w:rsidRDefault="00694BD2" w:rsidP="00694BD2">
                  <w:pPr>
                    <w:pStyle w:val="TableBody"/>
                  </w:pPr>
                  <w:r w:rsidRPr="0013396E">
                    <w:rPr>
                      <w:lang w:val="sv-SE"/>
                    </w:rPr>
                    <w:t xml:space="preserve">RTAMLDC </w:t>
                  </w:r>
                  <w:r w:rsidRPr="0013396E">
                    <w:rPr>
                      <w:i/>
                      <w:vertAlign w:val="subscript"/>
                      <w:lang w:val="sv-SE"/>
                    </w:rPr>
                    <w:t>q,</w:t>
                  </w:r>
                  <w:r w:rsidR="002B5070" w:rsidRPr="0013396E">
                    <w:rPr>
                      <w:i/>
                      <w:vertAlign w:val="subscript"/>
                      <w:lang w:val="sv-SE"/>
                    </w:rPr>
                    <w:t xml:space="preserve"> </w:t>
                  </w:r>
                  <w:r w:rsidRPr="0013396E">
                    <w:rPr>
                      <w:i/>
                      <w:vertAlign w:val="subscript"/>
                      <w:lang w:val="sv-SE"/>
                    </w:rPr>
                    <w:t>p,</w:t>
                  </w:r>
                  <w:r w:rsidR="002B5070" w:rsidRPr="0013396E">
                    <w:rPr>
                      <w:i/>
                      <w:vertAlign w:val="subscript"/>
                      <w:lang w:val="sv-SE"/>
                    </w:rPr>
                    <w:t xml:space="preserve"> </w:t>
                  </w:r>
                  <w:r w:rsidRPr="0013396E">
                    <w:rPr>
                      <w:i/>
                      <w:vertAlign w:val="subscript"/>
                      <w:lang w:val="sv-SE"/>
                    </w:rPr>
                    <w:t xml:space="preserve">i  </w:t>
                  </w:r>
                </w:p>
              </w:tc>
              <w:tc>
                <w:tcPr>
                  <w:tcW w:w="437" w:type="pct"/>
                </w:tcPr>
                <w:p w14:paraId="5F061B78" w14:textId="77777777" w:rsidR="00694BD2" w:rsidRPr="0013396E" w:rsidRDefault="00694BD2" w:rsidP="00694BD2">
                  <w:pPr>
                    <w:pStyle w:val="TableBody"/>
                  </w:pPr>
                  <w:r w:rsidRPr="0013396E">
                    <w:t>MWh</w:t>
                  </w:r>
                </w:p>
              </w:tc>
              <w:tc>
                <w:tcPr>
                  <w:tcW w:w="3512" w:type="pct"/>
                </w:tcPr>
                <w:p w14:paraId="0858B43F" w14:textId="372391CA" w:rsidR="00694BD2" w:rsidRPr="0013396E" w:rsidRDefault="00694BD2" w:rsidP="00694BD2">
                  <w:pPr>
                    <w:pStyle w:val="TableBody"/>
                    <w:rPr>
                      <w:i/>
                    </w:rPr>
                  </w:pPr>
                  <w:r w:rsidRPr="0013396E">
                    <w:rPr>
                      <w:i/>
                    </w:rPr>
                    <w:t>Real-Time Adjusted Metered Load for DC Ties per Settlement Point per QSE</w:t>
                  </w:r>
                  <w:r w:rsidRPr="0013396E">
                    <w:t xml:space="preserve">—The sum of the DC Tie AML at the Electrical Buses that are included in Settlement </w:t>
                  </w:r>
                  <w:r w:rsidR="00DA1E33" w:rsidRPr="0013396E">
                    <w:br/>
                  </w:r>
                  <w:r w:rsidRPr="0013396E">
                    <w:t xml:space="preserve">Point </w:t>
                  </w:r>
                  <w:r w:rsidRPr="0013396E">
                    <w:rPr>
                      <w:i/>
                    </w:rPr>
                    <w:t>p</w:t>
                  </w:r>
                  <w:r w:rsidRPr="0013396E">
                    <w:t xml:space="preserve">, represented by QSE </w:t>
                  </w:r>
                  <w:r w:rsidRPr="0013396E">
                    <w:rPr>
                      <w:i/>
                    </w:rPr>
                    <w:t>q</w:t>
                  </w:r>
                  <w:r w:rsidRPr="0013396E">
                    <w:t xml:space="preserve">, for the 15-minute Settlement Interval </w:t>
                  </w:r>
                  <w:r w:rsidRPr="0013396E">
                    <w:rPr>
                      <w:i/>
                    </w:rPr>
                    <w:t>i</w:t>
                  </w:r>
                  <w:r w:rsidRPr="0013396E">
                    <w:t xml:space="preserve">. </w:t>
                  </w:r>
                </w:p>
              </w:tc>
            </w:tr>
            <w:tr w:rsidR="00694BD2" w:rsidRPr="0013396E" w14:paraId="4EE8D906" w14:textId="77777777" w:rsidTr="00082248">
              <w:trPr>
                <w:cantSplit/>
              </w:trPr>
              <w:tc>
                <w:tcPr>
                  <w:tcW w:w="1050" w:type="pct"/>
                </w:tcPr>
                <w:p w14:paraId="12ADE1F6" w14:textId="77777777" w:rsidR="00694BD2" w:rsidRPr="0013396E" w:rsidRDefault="00694BD2" w:rsidP="00694BD2">
                  <w:pPr>
                    <w:pStyle w:val="TableBody"/>
                  </w:pPr>
                  <w:r w:rsidRPr="0013396E">
                    <w:t>MRTAMLLZTOT</w:t>
                  </w:r>
                  <w:r w:rsidRPr="0013396E">
                    <w:rPr>
                      <w:rFonts w:ascii="Times New Roman Bold" w:hAnsi="Times New Roman Bold"/>
                      <w:vertAlign w:val="subscript"/>
                      <w:lang w:val="sv-SE"/>
                    </w:rPr>
                    <w:t xml:space="preserve"> </w:t>
                  </w:r>
                  <w:r w:rsidRPr="0013396E">
                    <w:rPr>
                      <w:i/>
                      <w:vertAlign w:val="subscript"/>
                    </w:rPr>
                    <w:t>z</w:t>
                  </w:r>
                </w:p>
              </w:tc>
              <w:tc>
                <w:tcPr>
                  <w:tcW w:w="437" w:type="pct"/>
                </w:tcPr>
                <w:p w14:paraId="33C2448E" w14:textId="77777777" w:rsidR="00694BD2" w:rsidRPr="0013396E" w:rsidRDefault="00694BD2" w:rsidP="00694BD2">
                  <w:pPr>
                    <w:pStyle w:val="TableBody"/>
                  </w:pPr>
                  <w:r w:rsidRPr="0013396E">
                    <w:t>MWh</w:t>
                  </w:r>
                </w:p>
              </w:tc>
              <w:tc>
                <w:tcPr>
                  <w:tcW w:w="3512" w:type="pct"/>
                </w:tcPr>
                <w:p w14:paraId="3ECCB92D" w14:textId="77777777" w:rsidR="00694BD2" w:rsidRPr="0013396E" w:rsidRDefault="00694BD2" w:rsidP="00694BD2">
                  <w:pPr>
                    <w:pStyle w:val="TableBody"/>
                  </w:pPr>
                  <w:r w:rsidRPr="0013396E">
                    <w:rPr>
                      <w:i/>
                      <w:iCs w:val="0"/>
                    </w:rPr>
                    <w:t>Monthly Real-Time Adjusted Metered Load - Load Zone Total</w:t>
                  </w:r>
                  <w:r w:rsidRPr="0013396E">
                    <w:rPr>
                      <w:iCs w:val="0"/>
                    </w:rPr>
                    <w:t>—The total AML in CMZ z, for the calendar month.</w:t>
                  </w:r>
                </w:p>
              </w:tc>
            </w:tr>
            <w:tr w:rsidR="00694BD2" w:rsidRPr="0013396E" w14:paraId="0C370F31" w14:textId="77777777" w:rsidTr="00082248">
              <w:trPr>
                <w:cantSplit/>
              </w:trPr>
              <w:tc>
                <w:tcPr>
                  <w:tcW w:w="1050" w:type="pct"/>
                </w:tcPr>
                <w:p w14:paraId="55DAA7AD" w14:textId="77777777" w:rsidR="00694BD2" w:rsidRPr="0013396E" w:rsidRDefault="00694BD2" w:rsidP="00694BD2">
                  <w:pPr>
                    <w:pStyle w:val="TableBody"/>
                    <w:rPr>
                      <w:i/>
                    </w:rPr>
                  </w:pPr>
                  <w:r w:rsidRPr="0013396E">
                    <w:rPr>
                      <w:i/>
                      <w:iCs w:val="0"/>
                    </w:rPr>
                    <w:t>q</w:t>
                  </w:r>
                </w:p>
              </w:tc>
              <w:tc>
                <w:tcPr>
                  <w:tcW w:w="437" w:type="pct"/>
                </w:tcPr>
                <w:p w14:paraId="405F7249" w14:textId="77777777" w:rsidR="00694BD2" w:rsidRPr="0013396E" w:rsidRDefault="00694BD2" w:rsidP="00694BD2">
                  <w:pPr>
                    <w:pStyle w:val="TableBody"/>
                  </w:pPr>
                  <w:r w:rsidRPr="0013396E">
                    <w:rPr>
                      <w:iCs w:val="0"/>
                    </w:rPr>
                    <w:t>none</w:t>
                  </w:r>
                </w:p>
              </w:tc>
              <w:tc>
                <w:tcPr>
                  <w:tcW w:w="3512" w:type="pct"/>
                </w:tcPr>
                <w:p w14:paraId="28B03D94" w14:textId="77777777" w:rsidR="00694BD2" w:rsidRPr="0013396E" w:rsidRDefault="00694BD2" w:rsidP="00694BD2">
                  <w:pPr>
                    <w:pStyle w:val="TableBody"/>
                  </w:pPr>
                  <w:r w:rsidRPr="0013396E">
                    <w:rPr>
                      <w:iCs w:val="0"/>
                    </w:rPr>
                    <w:t xml:space="preserve">A QSE.  </w:t>
                  </w:r>
                </w:p>
              </w:tc>
            </w:tr>
            <w:tr w:rsidR="00694BD2" w:rsidRPr="0013396E" w14:paraId="2A9A23AC" w14:textId="77777777" w:rsidTr="00082248">
              <w:trPr>
                <w:cantSplit/>
              </w:trPr>
              <w:tc>
                <w:tcPr>
                  <w:tcW w:w="1050" w:type="pct"/>
                </w:tcPr>
                <w:p w14:paraId="374E75A9" w14:textId="77777777" w:rsidR="00694BD2" w:rsidRPr="0013396E" w:rsidRDefault="00694BD2" w:rsidP="00694BD2">
                  <w:pPr>
                    <w:pStyle w:val="TableBody"/>
                    <w:rPr>
                      <w:i/>
                    </w:rPr>
                  </w:pPr>
                  <w:r w:rsidRPr="0013396E">
                    <w:rPr>
                      <w:i/>
                    </w:rPr>
                    <w:t>p</w:t>
                  </w:r>
                </w:p>
              </w:tc>
              <w:tc>
                <w:tcPr>
                  <w:tcW w:w="437" w:type="pct"/>
                </w:tcPr>
                <w:p w14:paraId="5804AA56" w14:textId="77777777" w:rsidR="00694BD2" w:rsidRPr="0013396E" w:rsidRDefault="00694BD2" w:rsidP="00694BD2">
                  <w:pPr>
                    <w:pStyle w:val="TableBody"/>
                  </w:pPr>
                  <w:r w:rsidRPr="0013396E">
                    <w:t>none</w:t>
                  </w:r>
                </w:p>
              </w:tc>
              <w:tc>
                <w:tcPr>
                  <w:tcW w:w="3512" w:type="pct"/>
                </w:tcPr>
                <w:p w14:paraId="46078C32" w14:textId="77777777" w:rsidR="00694BD2" w:rsidRPr="0013396E" w:rsidRDefault="00694BD2" w:rsidP="00694BD2">
                  <w:pPr>
                    <w:pStyle w:val="TableBody"/>
                  </w:pPr>
                  <w:r w:rsidRPr="0013396E">
                    <w:t>A Settlement Point</w:t>
                  </w:r>
                  <w:r w:rsidRPr="0013396E">
                    <w:rPr>
                      <w:iCs w:val="0"/>
                    </w:rPr>
                    <w:t xml:space="preserve"> in the 2003 ERCOT CMZ</w:t>
                  </w:r>
                  <w:r w:rsidRPr="0013396E">
                    <w:t>.</w:t>
                  </w:r>
                </w:p>
              </w:tc>
            </w:tr>
            <w:tr w:rsidR="00694BD2" w:rsidRPr="0013396E" w14:paraId="66D0A3F1" w14:textId="77777777" w:rsidTr="00082248">
              <w:trPr>
                <w:cantSplit/>
              </w:trPr>
              <w:tc>
                <w:tcPr>
                  <w:tcW w:w="1050" w:type="pct"/>
                </w:tcPr>
                <w:p w14:paraId="7657383A" w14:textId="77777777" w:rsidR="00694BD2" w:rsidRPr="0013396E" w:rsidRDefault="00694BD2" w:rsidP="00694BD2">
                  <w:pPr>
                    <w:pStyle w:val="TableBody"/>
                    <w:rPr>
                      <w:i/>
                    </w:rPr>
                  </w:pPr>
                  <w:r w:rsidRPr="0013396E">
                    <w:rPr>
                      <w:i/>
                    </w:rPr>
                    <w:t>i</w:t>
                  </w:r>
                </w:p>
              </w:tc>
              <w:tc>
                <w:tcPr>
                  <w:tcW w:w="437" w:type="pct"/>
                </w:tcPr>
                <w:p w14:paraId="0B14F27F" w14:textId="77777777" w:rsidR="00694BD2" w:rsidRPr="0013396E" w:rsidRDefault="00694BD2" w:rsidP="00694BD2">
                  <w:pPr>
                    <w:pStyle w:val="TableBody"/>
                  </w:pPr>
                  <w:r w:rsidRPr="0013396E">
                    <w:t>none</w:t>
                  </w:r>
                </w:p>
              </w:tc>
              <w:tc>
                <w:tcPr>
                  <w:tcW w:w="3512" w:type="pct"/>
                </w:tcPr>
                <w:p w14:paraId="3DA7BB7E" w14:textId="77777777" w:rsidR="00694BD2" w:rsidRPr="0013396E" w:rsidRDefault="00694BD2" w:rsidP="00694BD2">
                  <w:pPr>
                    <w:pStyle w:val="TableBody"/>
                  </w:pPr>
                  <w:r w:rsidRPr="0013396E">
                    <w:t xml:space="preserve">A 15-minute Settlement Interval. </w:t>
                  </w:r>
                </w:p>
              </w:tc>
            </w:tr>
            <w:tr w:rsidR="00694BD2" w:rsidRPr="0013396E" w14:paraId="1189E409" w14:textId="77777777" w:rsidTr="00082248">
              <w:trPr>
                <w:cantSplit/>
              </w:trPr>
              <w:tc>
                <w:tcPr>
                  <w:tcW w:w="1050" w:type="pct"/>
                </w:tcPr>
                <w:p w14:paraId="6D2E4637" w14:textId="77777777" w:rsidR="00694BD2" w:rsidRPr="0013396E" w:rsidRDefault="00694BD2" w:rsidP="00694BD2">
                  <w:pPr>
                    <w:pStyle w:val="TableBody"/>
                    <w:rPr>
                      <w:i/>
                    </w:rPr>
                  </w:pPr>
                  <w:r w:rsidRPr="0013396E">
                    <w:rPr>
                      <w:i/>
                    </w:rPr>
                    <w:t>z</w:t>
                  </w:r>
                </w:p>
              </w:tc>
              <w:tc>
                <w:tcPr>
                  <w:tcW w:w="437" w:type="pct"/>
                </w:tcPr>
                <w:p w14:paraId="23489AE0" w14:textId="77777777" w:rsidR="00694BD2" w:rsidRPr="0013396E" w:rsidRDefault="00694BD2" w:rsidP="00694BD2">
                  <w:pPr>
                    <w:pStyle w:val="TableBody"/>
                  </w:pPr>
                  <w:r w:rsidRPr="0013396E">
                    <w:t>none</w:t>
                  </w:r>
                </w:p>
              </w:tc>
              <w:tc>
                <w:tcPr>
                  <w:tcW w:w="3512" w:type="pct"/>
                </w:tcPr>
                <w:p w14:paraId="336A569F" w14:textId="77777777" w:rsidR="00694BD2" w:rsidRPr="0013396E" w:rsidRDefault="00694BD2" w:rsidP="00694BD2">
                  <w:pPr>
                    <w:pStyle w:val="TableBody"/>
                  </w:pPr>
                  <w:r w:rsidRPr="0013396E">
                    <w:t>A 2003 ERCOT CMZ.</w:t>
                  </w:r>
                </w:p>
              </w:tc>
            </w:tr>
          </w:tbl>
          <w:p w14:paraId="49CAC0C4" w14:textId="77777777" w:rsidR="006930B7" w:rsidRPr="0013396E" w:rsidRDefault="006930B7" w:rsidP="00663874">
            <w:pPr>
              <w:pStyle w:val="Instructions"/>
              <w:spacing w:before="120"/>
            </w:pPr>
          </w:p>
        </w:tc>
      </w:tr>
    </w:tbl>
    <w:p w14:paraId="5BDCE569" w14:textId="77777777" w:rsidR="001F04FD" w:rsidRPr="0013396E" w:rsidRDefault="001F04FD" w:rsidP="001F04FD">
      <w:pPr>
        <w:pStyle w:val="H3"/>
        <w:spacing w:before="480"/>
      </w:pPr>
      <w:bookmarkStart w:id="1547" w:name="_Toc214878964"/>
      <w:r w:rsidRPr="0013396E">
        <w:t>6.6.3</w:t>
      </w:r>
      <w:r w:rsidRPr="0013396E">
        <w:tab/>
        <w:t>Real-Time Energy Charges and Payments</w:t>
      </w:r>
      <w:bookmarkEnd w:id="1414"/>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7"/>
      <w:r w:rsidRPr="0013396E">
        <w:t xml:space="preserve"> </w:t>
      </w:r>
    </w:p>
    <w:p w14:paraId="4459E70E" w14:textId="77777777" w:rsidR="001F04FD" w:rsidRPr="0013396E" w:rsidRDefault="001F04FD" w:rsidP="001F04FD">
      <w:pPr>
        <w:pStyle w:val="H4"/>
        <w:spacing w:before="480"/>
        <w:ind w:left="1267" w:hanging="1267"/>
      </w:pPr>
      <w:bookmarkStart w:id="1548" w:name="_Toc87951785"/>
      <w:bookmarkStart w:id="1549" w:name="_Toc109009389"/>
      <w:bookmarkStart w:id="1550" w:name="_Toc397505013"/>
      <w:bookmarkStart w:id="1551" w:name="_Toc402357141"/>
      <w:bookmarkStart w:id="1552" w:name="_Toc422486519"/>
      <w:bookmarkStart w:id="1553" w:name="_Toc433093371"/>
      <w:bookmarkStart w:id="1554" w:name="_Toc433093529"/>
      <w:bookmarkStart w:id="1555" w:name="_Toc440874757"/>
      <w:bookmarkStart w:id="1556" w:name="_Toc448142312"/>
      <w:bookmarkStart w:id="1557" w:name="_Toc448142469"/>
      <w:bookmarkStart w:id="1558" w:name="_Toc458770310"/>
      <w:bookmarkStart w:id="1559" w:name="_Toc459294278"/>
      <w:bookmarkStart w:id="1560" w:name="_Toc463262771"/>
      <w:bookmarkStart w:id="1561" w:name="_Toc468286844"/>
      <w:bookmarkStart w:id="1562" w:name="_Toc481502887"/>
      <w:bookmarkStart w:id="1563" w:name="_Toc496080055"/>
      <w:bookmarkStart w:id="1564" w:name="_Toc214878965"/>
      <w:r w:rsidRPr="0013396E">
        <w:t>6.6.3.1</w:t>
      </w:r>
      <w:r w:rsidRPr="0013396E">
        <w:tab/>
      </w:r>
      <w:r w:rsidRPr="00DA0E3D">
        <w:t xml:space="preserve">Real-Time Energy </w:t>
      </w:r>
      <w:bookmarkEnd w:id="1548"/>
      <w:bookmarkEnd w:id="1549"/>
      <w:r w:rsidRPr="00DA0E3D">
        <w:t>Imbalance Payment or Charge at a Resource Node</w:t>
      </w:r>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p>
    <w:p w14:paraId="4801CBDE" w14:textId="77777777" w:rsidR="001F04FD" w:rsidRPr="0013396E" w:rsidRDefault="001F04FD" w:rsidP="001F04FD">
      <w:pPr>
        <w:pStyle w:val="BodyTextNumbered"/>
      </w:pPr>
      <w:bookmarkStart w:id="1565" w:name="_Toc118199816"/>
      <w:bookmarkStart w:id="1566" w:name="_Toc118200328"/>
      <w:bookmarkStart w:id="1567" w:name="_Toc118908571"/>
      <w:bookmarkStart w:id="1568" w:name="_Toc119180742"/>
      <w:bookmarkStart w:id="1569" w:name="_Toc87951786"/>
      <w:bookmarkStart w:id="1570" w:name="_Toc109009390"/>
      <w:r w:rsidRPr="0013396E">
        <w:t>(1)</w:t>
      </w:r>
      <w:r w:rsidRPr="0013396E">
        <w:tab/>
        <w:t>The payment or charge to each QSE for Energy Imbalance Service is calculated based on the Real-Time Settlement Point Price for the following amounts at a particular Resource Node Settlement Point:</w:t>
      </w:r>
    </w:p>
    <w:p w14:paraId="07F6DDF1" w14:textId="588ECA5F" w:rsidR="001F04FD" w:rsidRPr="0013396E" w:rsidRDefault="001F04FD" w:rsidP="001F04FD">
      <w:pPr>
        <w:pStyle w:val="List"/>
      </w:pPr>
      <w:r w:rsidRPr="0013396E">
        <w:t>(a)</w:t>
      </w:r>
      <w:r w:rsidRPr="0013396E">
        <w:tab/>
        <w:t>The energy produced by all its Generation Resources</w:t>
      </w:r>
      <w:r w:rsidR="002A0AD7" w:rsidRPr="0013396E">
        <w:t>,</w:t>
      </w:r>
      <w:r w:rsidRPr="0013396E">
        <w:t xml:space="preserve"> consumed as WSL</w:t>
      </w:r>
      <w:r w:rsidR="002A0AD7" w:rsidRPr="0013396E">
        <w:t>, or consumed as Non-WSL ESR Charging Load</w:t>
      </w:r>
      <w:r w:rsidRPr="0013396E">
        <w:t xml:space="preserve"> at the Settlement Point; plus</w:t>
      </w:r>
    </w:p>
    <w:tbl>
      <w:tblPr>
        <w:tblW w:w="957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76"/>
      </w:tblGrid>
      <w:tr w:rsidR="006C5B5E" w:rsidRPr="0013396E" w14:paraId="3D03F256" w14:textId="77777777" w:rsidTr="006C5B5E">
        <w:trPr>
          <w:trHeight w:val="206"/>
        </w:trPr>
        <w:tc>
          <w:tcPr>
            <w:tcW w:w="9576" w:type="dxa"/>
            <w:shd w:val="pct12" w:color="auto" w:fill="auto"/>
          </w:tcPr>
          <w:p w14:paraId="6FC12799" w14:textId="2A5F01B6" w:rsidR="006C5B5E" w:rsidRPr="0013396E" w:rsidRDefault="006C5B5E" w:rsidP="00F5593C">
            <w:pPr>
              <w:pStyle w:val="Instructions"/>
              <w:spacing w:before="120"/>
            </w:pPr>
            <w:bookmarkStart w:id="1571" w:name="_Hlk210383588"/>
            <w:r w:rsidRPr="0013396E">
              <w:t>[NPRR1188:  Replace item (a) above with the following upon system implementation:]</w:t>
            </w:r>
          </w:p>
          <w:p w14:paraId="6019133D" w14:textId="1AC9546A" w:rsidR="006C5B5E" w:rsidRPr="0013396E" w:rsidRDefault="006C5B5E" w:rsidP="006C5B5E">
            <w:pPr>
              <w:spacing w:after="240"/>
              <w:ind w:left="1440" w:hanging="720"/>
            </w:pPr>
            <w:r w:rsidRPr="0013396E">
              <w:lastRenderedPageBreak/>
              <w:t>(a)</w:t>
            </w:r>
            <w:r w:rsidRPr="0013396E">
              <w:tab/>
            </w:r>
            <w:bookmarkStart w:id="1572" w:name="_Hlk115958550"/>
            <w:r w:rsidRPr="0013396E">
              <w:t>The energy produced or consumed at the Settlement Point by all its Generation Resources, ESR Charging Load with WSL treatment, ESR Charging Load with Non-WSL treatment, or CLRs that are not ALRs; plus</w:t>
            </w:r>
            <w:bookmarkEnd w:id="1572"/>
          </w:p>
        </w:tc>
      </w:tr>
    </w:tbl>
    <w:bookmarkEnd w:id="1571"/>
    <w:p w14:paraId="24AD154F" w14:textId="1E044226" w:rsidR="001F04FD" w:rsidRPr="0013396E" w:rsidRDefault="001F04FD" w:rsidP="004116AE">
      <w:pPr>
        <w:pStyle w:val="List"/>
        <w:spacing w:before="240"/>
      </w:pPr>
      <w:r w:rsidRPr="0013396E">
        <w:lastRenderedPageBreak/>
        <w:t>(b)</w:t>
      </w:r>
      <w:r w:rsidRPr="0013396E">
        <w:tab/>
        <w:t>The amount of its Self-Schedules with sink specified at the Settlement Point; plus</w:t>
      </w:r>
    </w:p>
    <w:p w14:paraId="1F17385D" w14:textId="77777777" w:rsidR="001F04FD" w:rsidRPr="0013396E" w:rsidRDefault="001F04FD" w:rsidP="001F04FD">
      <w:pPr>
        <w:pStyle w:val="List"/>
      </w:pPr>
      <w:r w:rsidRPr="0013396E">
        <w:t>(c)</w:t>
      </w:r>
      <w:r w:rsidRPr="0013396E">
        <w:tab/>
        <w:t>The amount of its Day-Ahead Market (DAM) Energy Bids cleared in the DAM at the Settlement Point; plus</w:t>
      </w:r>
    </w:p>
    <w:p w14:paraId="58DA1842" w14:textId="77777777" w:rsidR="001F04FD" w:rsidRPr="0013396E" w:rsidRDefault="001F04FD" w:rsidP="001F04FD">
      <w:pPr>
        <w:pStyle w:val="List"/>
      </w:pPr>
      <w:r w:rsidRPr="0013396E">
        <w:t>(d)</w:t>
      </w:r>
      <w:r w:rsidRPr="0013396E">
        <w:tab/>
        <w:t>The amount of its Energy Trades at the Settlement Point where the QSE is the buyer; minus</w:t>
      </w:r>
    </w:p>
    <w:p w14:paraId="41E178F6" w14:textId="77777777" w:rsidR="001F04FD" w:rsidRPr="0013396E" w:rsidRDefault="001F04FD" w:rsidP="001F04FD">
      <w:pPr>
        <w:pStyle w:val="List"/>
      </w:pPr>
      <w:r w:rsidRPr="0013396E">
        <w:t>(e)</w:t>
      </w:r>
      <w:r w:rsidRPr="0013396E">
        <w:tab/>
        <w:t>The amount of its Self-Schedules with source specified at the Settlement Point; minus</w:t>
      </w:r>
    </w:p>
    <w:p w14:paraId="01EA5F2C" w14:textId="77777777" w:rsidR="001F04FD" w:rsidRPr="0013396E" w:rsidRDefault="001F04FD" w:rsidP="001F04FD">
      <w:pPr>
        <w:pStyle w:val="List"/>
      </w:pPr>
      <w:r w:rsidRPr="0013396E">
        <w:t>(f)</w:t>
      </w:r>
      <w:r w:rsidRPr="0013396E">
        <w:tab/>
        <w:t xml:space="preserve">The amount of its energy offers cleared in the DAM at the Settlement Point; minus </w:t>
      </w:r>
    </w:p>
    <w:p w14:paraId="1751BA62" w14:textId="77777777" w:rsidR="001F04FD" w:rsidRPr="0013396E" w:rsidRDefault="001F04FD" w:rsidP="001F04FD">
      <w:pPr>
        <w:pStyle w:val="List"/>
      </w:pPr>
      <w:r w:rsidRPr="0013396E">
        <w:t>(g)</w:t>
      </w:r>
      <w:r w:rsidRPr="0013396E">
        <w:tab/>
        <w:t xml:space="preserve">The amount of its Energy Trades at the Settlement Point where the QSE is the seller. </w:t>
      </w:r>
    </w:p>
    <w:p w14:paraId="36433E7B" w14:textId="77777777" w:rsidR="009658B2" w:rsidRPr="0013396E" w:rsidRDefault="009658B2" w:rsidP="009658B2">
      <w:pPr>
        <w:spacing w:after="240"/>
        <w:ind w:left="720" w:hanging="720"/>
        <w:rPr>
          <w:iCs/>
        </w:rPr>
      </w:pPr>
      <w:r w:rsidRPr="0013396E">
        <w:rPr>
          <w:iCs/>
        </w:rPr>
        <w:t>(2)</w:t>
      </w:r>
      <w:r w:rsidRPr="0013396E">
        <w:rPr>
          <w:iCs/>
        </w:rPr>
        <w:tab/>
        <w:t>The payment or charge to each QSE for Energy Imbalance Service at a Resource Node Settlement Point for a given 15-minute Settlement Interval is calculated as follows:</w:t>
      </w:r>
    </w:p>
    <w:p w14:paraId="4CC0C78E" w14:textId="293D3617" w:rsidR="009658B2" w:rsidRPr="0013396E" w:rsidRDefault="009658B2" w:rsidP="009658B2">
      <w:pPr>
        <w:tabs>
          <w:tab w:val="left" w:pos="2250"/>
          <w:tab w:val="left" w:pos="3150"/>
          <w:tab w:val="left" w:pos="3960"/>
        </w:tabs>
        <w:spacing w:after="240"/>
        <w:ind w:left="3150" w:hanging="2430"/>
        <w:rPr>
          <w:b/>
          <w:bCs/>
          <w:sz w:val="32"/>
        </w:rPr>
      </w:pPr>
      <w:r w:rsidRPr="0013396E">
        <w:rPr>
          <w:b/>
          <w:bCs/>
        </w:rPr>
        <w:t xml:space="preserve">RTEIAMT </w:t>
      </w:r>
      <w:r w:rsidRPr="0013396E">
        <w:rPr>
          <w:b/>
          <w:bCs/>
          <w:i/>
          <w:vertAlign w:val="subscript"/>
        </w:rPr>
        <w:t>q, p</w:t>
      </w:r>
      <w:r w:rsidRPr="0013396E">
        <w:rPr>
          <w:b/>
          <w:bCs/>
        </w:rPr>
        <w:tab/>
      </w:r>
      <w:r w:rsidRPr="0013396E">
        <w:rPr>
          <w:b/>
          <w:bCs/>
        </w:rPr>
        <w:tab/>
        <w:t>= (-1) * {</w:t>
      </w:r>
      <w:r w:rsidRPr="0013396E">
        <w:rPr>
          <w:b/>
          <w:bCs/>
          <w:position w:val="-22"/>
        </w:rPr>
        <w:object w:dxaOrig="255" w:dyaOrig="495" w14:anchorId="05182689">
          <v:shape id="_x0000_i1095" type="#_x0000_t75" style="width:12pt;height:29.4pt" o:ole="">
            <v:imagedata r:id="rId101" o:title=""/>
          </v:shape>
          <o:OLEObject Type="Embed" ProgID="Equation.3" ShapeID="_x0000_i1095" DrawAspect="Content" ObjectID="_1836311374" r:id="rId102"/>
        </w:object>
      </w:r>
      <w:r w:rsidRPr="0013396E">
        <w:rPr>
          <w:rFonts w:ascii="Times New Roman Bold" w:hAnsi="Times New Roman Bold"/>
          <w:b/>
          <w:bCs/>
        </w:rPr>
        <w:t>(</w:t>
      </w:r>
      <w:r w:rsidRPr="0013396E">
        <w:rPr>
          <w:b/>
          <w:bCs/>
          <w:position w:val="-18"/>
        </w:rPr>
        <w:object w:dxaOrig="255" w:dyaOrig="495" w14:anchorId="0A8B1589">
          <v:shape id="_x0000_i1096" type="#_x0000_t75" style="width:12pt;height:29.4pt" o:ole="">
            <v:imagedata r:id="rId103" o:title=""/>
          </v:shape>
          <o:OLEObject Type="Embed" ProgID="Equation.3" ShapeID="_x0000_i1096" DrawAspect="Content" ObjectID="_1836311375" r:id="rId104"/>
        </w:object>
      </w:r>
      <w:r w:rsidRPr="0013396E">
        <w:rPr>
          <w:b/>
          <w:bCs/>
        </w:rPr>
        <w:t>(RESREV</w:t>
      </w:r>
      <w:r w:rsidRPr="0013396E">
        <w:rPr>
          <w:b/>
          <w:bCs/>
          <w:i/>
          <w:vertAlign w:val="subscript"/>
        </w:rPr>
        <w:t xml:space="preserve"> q, r, gsc, p</w:t>
      </w:r>
      <w:r w:rsidRPr="0013396E">
        <w:rPr>
          <w:b/>
          <w:bCs/>
        </w:rPr>
        <w:t>)) + (</w:t>
      </w:r>
      <w:r w:rsidRPr="0013396E">
        <w:rPr>
          <w:b/>
          <w:bCs/>
          <w:position w:val="-18"/>
        </w:rPr>
        <w:object w:dxaOrig="255" w:dyaOrig="495" w14:anchorId="14C5F25A">
          <v:shape id="_x0000_i1097" type="#_x0000_t75" style="width:12pt;height:29.4pt" o:ole="">
            <v:imagedata r:id="rId103" o:title=""/>
          </v:shape>
          <o:OLEObject Type="Embed" ProgID="Equation.3" ShapeID="_x0000_i1097" DrawAspect="Content" ObjectID="_1836311376" r:id="rId105"/>
        </w:object>
      </w:r>
      <w:r w:rsidRPr="0013396E">
        <w:rPr>
          <w:b/>
          <w:bCs/>
        </w:rPr>
        <w:t>WSLAMTTOT</w:t>
      </w:r>
      <w:r w:rsidRPr="0013396E">
        <w:rPr>
          <w:b/>
          <w:bCs/>
          <w:i/>
          <w:sz w:val="28"/>
          <w:szCs w:val="28"/>
          <w:vertAlign w:val="subscript"/>
        </w:rPr>
        <w:t xml:space="preserve"> </w:t>
      </w:r>
      <w:r w:rsidRPr="0013396E">
        <w:rPr>
          <w:b/>
          <w:bCs/>
          <w:i/>
          <w:vertAlign w:val="subscript"/>
        </w:rPr>
        <w:t>q, r, p</w:t>
      </w:r>
      <w:r w:rsidRPr="0013396E">
        <w:rPr>
          <w:b/>
          <w:bCs/>
        </w:rPr>
        <w:t>) + (</w:t>
      </w:r>
      <w:r w:rsidRPr="0013396E">
        <w:rPr>
          <w:b/>
          <w:bCs/>
          <w:position w:val="-18"/>
        </w:rPr>
        <w:object w:dxaOrig="255" w:dyaOrig="495" w14:anchorId="08EF2869">
          <v:shape id="_x0000_i1098" type="#_x0000_t75" style="width:12pt;height:29.4pt" o:ole="">
            <v:imagedata r:id="rId103" o:title=""/>
          </v:shape>
          <o:OLEObject Type="Embed" ProgID="Equation.3" ShapeID="_x0000_i1098" DrawAspect="Content" ObjectID="_1836311377" r:id="rId106"/>
        </w:object>
      </w:r>
      <w:r w:rsidRPr="0013396E">
        <w:rPr>
          <w:b/>
          <w:bCs/>
        </w:rPr>
        <w:t>ESRNWSLAMTTOT</w:t>
      </w:r>
      <w:r w:rsidRPr="0013396E">
        <w:rPr>
          <w:b/>
          <w:bCs/>
          <w:i/>
          <w:sz w:val="28"/>
          <w:szCs w:val="28"/>
          <w:vertAlign w:val="subscript"/>
        </w:rPr>
        <w:t xml:space="preserve"> </w:t>
      </w:r>
      <w:r w:rsidRPr="0013396E">
        <w:rPr>
          <w:b/>
          <w:bCs/>
          <w:i/>
          <w:vertAlign w:val="subscript"/>
        </w:rPr>
        <w:t>q, r, p</w:t>
      </w:r>
      <w:r w:rsidRPr="0013396E">
        <w:rPr>
          <w:b/>
          <w:bCs/>
        </w:rPr>
        <w:t xml:space="preserve">) + RTSPP </w:t>
      </w:r>
      <w:r w:rsidRPr="0013396E">
        <w:rPr>
          <w:b/>
          <w:bCs/>
          <w:i/>
          <w:vertAlign w:val="subscript"/>
        </w:rPr>
        <w:t>p</w:t>
      </w:r>
      <w:r w:rsidRPr="0013396E">
        <w:rPr>
          <w:b/>
          <w:bCs/>
        </w:rPr>
        <w:t xml:space="preserve"> * [(SSSK </w:t>
      </w:r>
      <w:r w:rsidRPr="0013396E">
        <w:rPr>
          <w:b/>
          <w:bCs/>
          <w:i/>
          <w:vertAlign w:val="subscript"/>
        </w:rPr>
        <w:t>q, p</w:t>
      </w:r>
      <w:r w:rsidRPr="0013396E">
        <w:rPr>
          <w:b/>
          <w:bCs/>
        </w:rPr>
        <w:t xml:space="preserve"> * ¼) + (DAEP </w:t>
      </w:r>
      <w:r w:rsidRPr="0013396E">
        <w:rPr>
          <w:b/>
          <w:bCs/>
          <w:i/>
          <w:vertAlign w:val="subscript"/>
        </w:rPr>
        <w:t>q, p</w:t>
      </w:r>
      <w:r w:rsidRPr="0013396E">
        <w:rPr>
          <w:b/>
          <w:bCs/>
        </w:rPr>
        <w:t xml:space="preserve"> * ¼) + (RTQQEP </w:t>
      </w:r>
      <w:r w:rsidRPr="0013396E">
        <w:rPr>
          <w:b/>
          <w:bCs/>
          <w:i/>
          <w:vertAlign w:val="subscript"/>
        </w:rPr>
        <w:t>q, p</w:t>
      </w:r>
      <w:r w:rsidRPr="0013396E">
        <w:rPr>
          <w:b/>
          <w:bCs/>
        </w:rPr>
        <w:t xml:space="preserve"> * ¼) – (SSSR </w:t>
      </w:r>
      <w:r w:rsidRPr="0013396E">
        <w:rPr>
          <w:b/>
          <w:bCs/>
          <w:i/>
          <w:vertAlign w:val="subscript"/>
        </w:rPr>
        <w:t>q, p</w:t>
      </w:r>
      <w:r w:rsidRPr="0013396E">
        <w:rPr>
          <w:b/>
          <w:bCs/>
        </w:rPr>
        <w:t xml:space="preserve"> * ¼) – (DAES </w:t>
      </w:r>
      <w:r w:rsidRPr="0013396E">
        <w:rPr>
          <w:b/>
          <w:bCs/>
          <w:i/>
          <w:vertAlign w:val="subscript"/>
        </w:rPr>
        <w:t>q, p</w:t>
      </w:r>
      <w:r w:rsidRPr="0013396E">
        <w:rPr>
          <w:b/>
          <w:bCs/>
        </w:rPr>
        <w:t xml:space="preserve"> * ¼) – (RTQQES </w:t>
      </w:r>
      <w:r w:rsidRPr="0013396E">
        <w:rPr>
          <w:b/>
          <w:bCs/>
          <w:i/>
          <w:vertAlign w:val="subscript"/>
        </w:rPr>
        <w:t>q, p</w:t>
      </w:r>
      <w:r w:rsidRPr="0013396E">
        <w:rPr>
          <w:b/>
          <w:bCs/>
        </w:rPr>
        <w:t xml:space="preserve"> * ¼)]</w:t>
      </w:r>
      <w:r w:rsidRPr="0013396E">
        <w:rPr>
          <w:b/>
          <w:bCs/>
          <w:sz w:val="32"/>
        </w:rPr>
        <w:t>}</w:t>
      </w:r>
    </w:p>
    <w:tbl>
      <w:tblPr>
        <w:tblW w:w="957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76"/>
      </w:tblGrid>
      <w:tr w:rsidR="009658B2" w:rsidRPr="0013396E" w14:paraId="7AA12B81" w14:textId="77777777" w:rsidTr="0099759E">
        <w:trPr>
          <w:trHeight w:val="206"/>
        </w:trPr>
        <w:tc>
          <w:tcPr>
            <w:tcW w:w="9576" w:type="dxa"/>
            <w:shd w:val="pct12" w:color="auto" w:fill="auto"/>
          </w:tcPr>
          <w:p w14:paraId="0DAE8BAB" w14:textId="10769D23" w:rsidR="009658B2" w:rsidRPr="0013396E" w:rsidRDefault="009658B2" w:rsidP="0099759E">
            <w:pPr>
              <w:pStyle w:val="Instructions"/>
              <w:spacing w:before="120"/>
            </w:pPr>
            <w:r w:rsidRPr="0013396E">
              <w:t xml:space="preserve">[NPRR1188:  Replace </w:t>
            </w:r>
            <w:r>
              <w:t>the formula “</w:t>
            </w:r>
            <w:r w:rsidRPr="0013396E">
              <w:rPr>
                <w:bCs/>
              </w:rPr>
              <w:t xml:space="preserve">RTEIAMT </w:t>
            </w:r>
            <w:r w:rsidRPr="0013396E">
              <w:rPr>
                <w:bCs/>
                <w:vertAlign w:val="subscript"/>
              </w:rPr>
              <w:t>q, p</w:t>
            </w:r>
            <w:r>
              <w:t>”</w:t>
            </w:r>
            <w:r w:rsidRPr="0013396E">
              <w:t xml:space="preserve"> above with the following upon system implementation:]</w:t>
            </w:r>
          </w:p>
          <w:p w14:paraId="7C30E3D4" w14:textId="575C9085" w:rsidR="009658B2" w:rsidRPr="009658B2" w:rsidRDefault="009658B2" w:rsidP="009658B2">
            <w:pPr>
              <w:tabs>
                <w:tab w:val="left" w:pos="2250"/>
                <w:tab w:val="left" w:pos="3150"/>
                <w:tab w:val="left" w:pos="3960"/>
              </w:tabs>
              <w:spacing w:after="240"/>
              <w:ind w:left="3150" w:hanging="2430"/>
              <w:rPr>
                <w:b/>
                <w:bCs/>
                <w:sz w:val="32"/>
              </w:rPr>
            </w:pPr>
            <w:r w:rsidRPr="0013396E">
              <w:rPr>
                <w:b/>
                <w:bCs/>
              </w:rPr>
              <w:t xml:space="preserve">RTEIAMT </w:t>
            </w:r>
            <w:r w:rsidRPr="0013396E">
              <w:rPr>
                <w:b/>
                <w:bCs/>
                <w:i/>
                <w:vertAlign w:val="subscript"/>
              </w:rPr>
              <w:t>q, p</w:t>
            </w:r>
            <w:r w:rsidRPr="0013396E">
              <w:rPr>
                <w:b/>
                <w:bCs/>
              </w:rPr>
              <w:tab/>
            </w:r>
            <w:r w:rsidRPr="0013396E">
              <w:rPr>
                <w:b/>
                <w:bCs/>
              </w:rPr>
              <w:tab/>
              <w:t>= (-1) * {</w:t>
            </w:r>
            <w:r w:rsidRPr="0013396E">
              <w:rPr>
                <w:b/>
                <w:bCs/>
                <w:position w:val="-22"/>
              </w:rPr>
              <w:object w:dxaOrig="255" w:dyaOrig="495" w14:anchorId="04768B44">
                <v:shape id="_x0000_i1099" type="#_x0000_t75" style="width:12pt;height:29.4pt" o:ole="">
                  <v:imagedata r:id="rId101" o:title=""/>
                </v:shape>
                <o:OLEObject Type="Embed" ProgID="Equation.3" ShapeID="_x0000_i1099" DrawAspect="Content" ObjectID="_1836311378" r:id="rId107"/>
              </w:object>
            </w:r>
            <w:r w:rsidRPr="0013396E">
              <w:rPr>
                <w:rFonts w:ascii="Times New Roman Bold" w:hAnsi="Times New Roman Bold"/>
                <w:b/>
                <w:bCs/>
              </w:rPr>
              <w:t>(</w:t>
            </w:r>
            <w:r w:rsidRPr="0013396E">
              <w:rPr>
                <w:b/>
                <w:bCs/>
                <w:position w:val="-18"/>
              </w:rPr>
              <w:object w:dxaOrig="255" w:dyaOrig="495" w14:anchorId="52C95398">
                <v:shape id="_x0000_i1100" type="#_x0000_t75" style="width:12pt;height:29.4pt" o:ole="">
                  <v:imagedata r:id="rId103" o:title=""/>
                </v:shape>
                <o:OLEObject Type="Embed" ProgID="Equation.3" ShapeID="_x0000_i1100" DrawAspect="Content" ObjectID="_1836311379" r:id="rId108"/>
              </w:object>
            </w:r>
            <w:r w:rsidRPr="0013396E">
              <w:rPr>
                <w:b/>
                <w:bCs/>
              </w:rPr>
              <w:t>(RESREV</w:t>
            </w:r>
            <w:r w:rsidRPr="0013396E">
              <w:rPr>
                <w:b/>
                <w:bCs/>
                <w:i/>
                <w:vertAlign w:val="subscript"/>
              </w:rPr>
              <w:t xml:space="preserve"> q, r, gsc, p</w:t>
            </w:r>
            <w:r w:rsidRPr="0013396E">
              <w:rPr>
                <w:b/>
                <w:bCs/>
              </w:rPr>
              <w:t>)) + (</w:t>
            </w:r>
            <w:r w:rsidRPr="0013396E">
              <w:rPr>
                <w:b/>
                <w:bCs/>
                <w:position w:val="-18"/>
              </w:rPr>
              <w:object w:dxaOrig="255" w:dyaOrig="495" w14:anchorId="1098C849">
                <v:shape id="_x0000_i1101" type="#_x0000_t75" style="width:12pt;height:29.4pt" o:ole="">
                  <v:imagedata r:id="rId103" o:title=""/>
                </v:shape>
                <o:OLEObject Type="Embed" ProgID="Equation.3" ShapeID="_x0000_i1101" DrawAspect="Content" ObjectID="_1836311380" r:id="rId109"/>
              </w:object>
            </w:r>
            <w:r w:rsidRPr="0013396E">
              <w:rPr>
                <w:b/>
                <w:bCs/>
              </w:rPr>
              <w:t>WSLAMTTOT</w:t>
            </w:r>
            <w:r w:rsidRPr="0013396E">
              <w:rPr>
                <w:b/>
                <w:bCs/>
                <w:i/>
                <w:sz w:val="28"/>
                <w:szCs w:val="28"/>
                <w:vertAlign w:val="subscript"/>
              </w:rPr>
              <w:t xml:space="preserve"> </w:t>
            </w:r>
            <w:r w:rsidRPr="0013396E">
              <w:rPr>
                <w:b/>
                <w:bCs/>
                <w:i/>
                <w:vertAlign w:val="subscript"/>
              </w:rPr>
              <w:t>q, r, p</w:t>
            </w:r>
            <w:r w:rsidRPr="0013396E">
              <w:rPr>
                <w:b/>
                <w:bCs/>
              </w:rPr>
              <w:t>) + (</w:t>
            </w:r>
            <w:r w:rsidRPr="0013396E">
              <w:rPr>
                <w:b/>
                <w:bCs/>
                <w:noProof/>
                <w:position w:val="-18"/>
              </w:rPr>
              <w:drawing>
                <wp:inline distT="0" distB="0" distL="0" distR="0" wp14:anchorId="27B6CC81" wp14:editId="2AD0320E">
                  <wp:extent cx="180975" cy="276225"/>
                  <wp:effectExtent l="0" t="0" r="0" b="0"/>
                  <wp:docPr id="455816982" name="Picture 4558169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180975" cy="276225"/>
                          </a:xfrm>
                          <a:prstGeom prst="rect">
                            <a:avLst/>
                          </a:prstGeom>
                          <a:noFill/>
                          <a:ln>
                            <a:noFill/>
                          </a:ln>
                        </pic:spPr>
                      </pic:pic>
                    </a:graphicData>
                  </a:graphic>
                </wp:inline>
              </w:drawing>
            </w:r>
            <w:r w:rsidRPr="0013396E">
              <w:rPr>
                <w:b/>
                <w:bCs/>
              </w:rPr>
              <w:t>CLRAMTTOT</w:t>
            </w:r>
            <w:r w:rsidRPr="0013396E">
              <w:rPr>
                <w:b/>
                <w:bCs/>
                <w:i/>
                <w:sz w:val="28"/>
                <w:szCs w:val="28"/>
                <w:vertAlign w:val="subscript"/>
              </w:rPr>
              <w:t xml:space="preserve"> </w:t>
            </w:r>
            <w:r w:rsidRPr="0013396E">
              <w:rPr>
                <w:b/>
                <w:bCs/>
                <w:i/>
                <w:vertAlign w:val="subscript"/>
              </w:rPr>
              <w:t>q, r, p</w:t>
            </w:r>
            <w:r w:rsidRPr="0013396E">
              <w:rPr>
                <w:b/>
                <w:bCs/>
              </w:rPr>
              <w:t>) + (</w:t>
            </w:r>
            <w:r w:rsidRPr="0013396E">
              <w:rPr>
                <w:b/>
                <w:bCs/>
                <w:position w:val="-18"/>
              </w:rPr>
              <w:object w:dxaOrig="255" w:dyaOrig="495" w14:anchorId="504858BB">
                <v:shape id="_x0000_i1102" type="#_x0000_t75" style="width:12pt;height:29.4pt" o:ole="">
                  <v:imagedata r:id="rId103" o:title=""/>
                </v:shape>
                <o:OLEObject Type="Embed" ProgID="Equation.3" ShapeID="_x0000_i1102" DrawAspect="Content" ObjectID="_1836311381" r:id="rId111"/>
              </w:object>
            </w:r>
            <w:r w:rsidRPr="0013396E">
              <w:rPr>
                <w:b/>
                <w:bCs/>
              </w:rPr>
              <w:t>ESRNWSLAMTTOT</w:t>
            </w:r>
            <w:r w:rsidRPr="0013396E">
              <w:rPr>
                <w:b/>
                <w:bCs/>
                <w:i/>
                <w:sz w:val="28"/>
                <w:szCs w:val="28"/>
                <w:vertAlign w:val="subscript"/>
              </w:rPr>
              <w:t xml:space="preserve"> </w:t>
            </w:r>
            <w:r w:rsidRPr="0013396E">
              <w:rPr>
                <w:b/>
                <w:bCs/>
                <w:i/>
                <w:vertAlign w:val="subscript"/>
              </w:rPr>
              <w:t>q, r, p</w:t>
            </w:r>
            <w:r w:rsidRPr="0013396E">
              <w:rPr>
                <w:b/>
                <w:bCs/>
              </w:rPr>
              <w:t xml:space="preserve">) + RTSPP </w:t>
            </w:r>
            <w:r w:rsidRPr="0013396E">
              <w:rPr>
                <w:b/>
                <w:bCs/>
                <w:i/>
                <w:vertAlign w:val="subscript"/>
              </w:rPr>
              <w:t>p</w:t>
            </w:r>
            <w:r w:rsidRPr="0013396E">
              <w:rPr>
                <w:b/>
                <w:bCs/>
              </w:rPr>
              <w:t xml:space="preserve"> * [(SSSK </w:t>
            </w:r>
            <w:r w:rsidRPr="0013396E">
              <w:rPr>
                <w:b/>
                <w:bCs/>
                <w:i/>
                <w:vertAlign w:val="subscript"/>
              </w:rPr>
              <w:t>q, p</w:t>
            </w:r>
            <w:r w:rsidRPr="0013396E">
              <w:rPr>
                <w:b/>
                <w:bCs/>
              </w:rPr>
              <w:t xml:space="preserve"> * ¼) + (DAEP </w:t>
            </w:r>
            <w:r w:rsidRPr="0013396E">
              <w:rPr>
                <w:b/>
                <w:bCs/>
                <w:i/>
                <w:vertAlign w:val="subscript"/>
              </w:rPr>
              <w:t>q, p</w:t>
            </w:r>
            <w:r w:rsidRPr="0013396E">
              <w:rPr>
                <w:b/>
                <w:bCs/>
              </w:rPr>
              <w:t xml:space="preserve"> * ¼) + (RTQQEP </w:t>
            </w:r>
            <w:r w:rsidRPr="0013396E">
              <w:rPr>
                <w:b/>
                <w:bCs/>
                <w:i/>
                <w:vertAlign w:val="subscript"/>
              </w:rPr>
              <w:t>q, p</w:t>
            </w:r>
            <w:r w:rsidRPr="0013396E">
              <w:rPr>
                <w:b/>
                <w:bCs/>
              </w:rPr>
              <w:t xml:space="preserve"> * ¼) – (SSSR </w:t>
            </w:r>
            <w:r w:rsidRPr="0013396E">
              <w:rPr>
                <w:b/>
                <w:bCs/>
                <w:i/>
                <w:vertAlign w:val="subscript"/>
              </w:rPr>
              <w:t>q, p</w:t>
            </w:r>
            <w:r w:rsidRPr="0013396E">
              <w:rPr>
                <w:b/>
                <w:bCs/>
              </w:rPr>
              <w:t xml:space="preserve"> * ¼) – (DAES </w:t>
            </w:r>
            <w:r w:rsidRPr="0013396E">
              <w:rPr>
                <w:b/>
                <w:bCs/>
                <w:i/>
                <w:vertAlign w:val="subscript"/>
              </w:rPr>
              <w:t>q, p</w:t>
            </w:r>
            <w:r w:rsidRPr="0013396E">
              <w:rPr>
                <w:b/>
                <w:bCs/>
              </w:rPr>
              <w:t xml:space="preserve"> * ¼) – (RTQQES </w:t>
            </w:r>
            <w:r w:rsidRPr="0013396E">
              <w:rPr>
                <w:b/>
                <w:bCs/>
                <w:i/>
                <w:vertAlign w:val="subscript"/>
              </w:rPr>
              <w:t>q, p</w:t>
            </w:r>
            <w:r w:rsidRPr="0013396E">
              <w:rPr>
                <w:b/>
                <w:bCs/>
              </w:rPr>
              <w:t xml:space="preserve"> * ¼)]</w:t>
            </w:r>
            <w:r w:rsidRPr="0013396E">
              <w:rPr>
                <w:b/>
                <w:bCs/>
                <w:sz w:val="32"/>
              </w:rPr>
              <w:t>}</w:t>
            </w:r>
          </w:p>
        </w:tc>
      </w:tr>
    </w:tbl>
    <w:p w14:paraId="1AB46862" w14:textId="77777777" w:rsidR="009658B2" w:rsidRPr="0013396E" w:rsidRDefault="009658B2" w:rsidP="009658B2">
      <w:pPr>
        <w:tabs>
          <w:tab w:val="left" w:pos="2250"/>
          <w:tab w:val="left" w:pos="3150"/>
          <w:tab w:val="left" w:pos="3960"/>
        </w:tabs>
        <w:spacing w:before="240" w:after="240"/>
        <w:ind w:left="3960" w:hanging="3240"/>
        <w:rPr>
          <w:bCs/>
        </w:rPr>
      </w:pPr>
      <w:r w:rsidRPr="0013396E">
        <w:rPr>
          <w:bCs/>
        </w:rPr>
        <w:t>Where:</w:t>
      </w:r>
    </w:p>
    <w:p w14:paraId="16152A42" w14:textId="77777777" w:rsidR="009658B2" w:rsidRPr="0013396E" w:rsidRDefault="009658B2" w:rsidP="009658B2">
      <w:pPr>
        <w:tabs>
          <w:tab w:val="left" w:pos="2250"/>
          <w:tab w:val="left" w:pos="3150"/>
          <w:tab w:val="left" w:pos="3960"/>
        </w:tabs>
        <w:spacing w:after="240"/>
        <w:ind w:left="3150" w:hanging="2430"/>
        <w:rPr>
          <w:bCs/>
          <w:i/>
          <w:sz w:val="28"/>
          <w:szCs w:val="28"/>
          <w:vertAlign w:val="subscript"/>
        </w:rPr>
      </w:pPr>
      <w:r w:rsidRPr="0013396E">
        <w:rPr>
          <w:bCs/>
        </w:rPr>
        <w:lastRenderedPageBreak/>
        <w:t>RESREV</w:t>
      </w:r>
      <w:r w:rsidRPr="0013396E">
        <w:rPr>
          <w:bCs/>
          <w:i/>
          <w:vertAlign w:val="subscript"/>
        </w:rPr>
        <w:t xml:space="preserve"> q, r, gsc, p</w:t>
      </w:r>
      <w:r w:rsidRPr="0013396E">
        <w:rPr>
          <w:bCs/>
        </w:rPr>
        <w:tab/>
        <w:t xml:space="preserve">= GSPLITPER </w:t>
      </w:r>
      <w:r w:rsidRPr="0013396E">
        <w:rPr>
          <w:bCs/>
          <w:i/>
          <w:vertAlign w:val="subscript"/>
        </w:rPr>
        <w:t>q, r, gsc, p</w:t>
      </w:r>
      <w:r w:rsidRPr="0013396E">
        <w:rPr>
          <w:bCs/>
        </w:rPr>
        <w:t xml:space="preserve"> * NMSAMTTOT </w:t>
      </w:r>
      <w:r w:rsidRPr="0013396E">
        <w:rPr>
          <w:bCs/>
          <w:i/>
          <w:szCs w:val="28"/>
          <w:vertAlign w:val="subscript"/>
        </w:rPr>
        <w:t>gsc</w:t>
      </w:r>
    </w:p>
    <w:p w14:paraId="4502D15C" w14:textId="77777777" w:rsidR="009658B2" w:rsidRPr="0013396E" w:rsidRDefault="009658B2" w:rsidP="009658B2">
      <w:pPr>
        <w:tabs>
          <w:tab w:val="left" w:pos="2250"/>
          <w:tab w:val="left" w:pos="3150"/>
          <w:tab w:val="left" w:pos="3960"/>
        </w:tabs>
        <w:spacing w:after="240"/>
        <w:ind w:left="3150" w:hanging="2430"/>
        <w:rPr>
          <w:bCs/>
          <w:i/>
          <w:vertAlign w:val="subscript"/>
        </w:rPr>
      </w:pPr>
      <w:r w:rsidRPr="0013396E">
        <w:rPr>
          <w:bCs/>
        </w:rPr>
        <w:t>RESMEB</w:t>
      </w:r>
      <w:r w:rsidRPr="0013396E">
        <w:rPr>
          <w:bCs/>
          <w:i/>
          <w:vertAlign w:val="subscript"/>
        </w:rPr>
        <w:t xml:space="preserve"> q, r, gsc, p</w:t>
      </w:r>
      <w:r w:rsidRPr="0013396E">
        <w:rPr>
          <w:bCs/>
          <w:i/>
          <w:vertAlign w:val="subscript"/>
        </w:rPr>
        <w:tab/>
      </w:r>
      <w:r w:rsidRPr="0013396E">
        <w:rPr>
          <w:bCs/>
        </w:rPr>
        <w:t xml:space="preserve">= GSPLITPER </w:t>
      </w:r>
      <w:r w:rsidRPr="0013396E">
        <w:rPr>
          <w:bCs/>
          <w:i/>
          <w:vertAlign w:val="subscript"/>
        </w:rPr>
        <w:t>q, r, gsc, p</w:t>
      </w:r>
      <w:r w:rsidRPr="0013396E">
        <w:rPr>
          <w:bCs/>
        </w:rPr>
        <w:t xml:space="preserve"> * NMRTETOT</w:t>
      </w:r>
      <w:r w:rsidRPr="0013396E">
        <w:rPr>
          <w:bCs/>
          <w:i/>
          <w:vertAlign w:val="subscript"/>
        </w:rPr>
        <w:t xml:space="preserve"> gsc</w:t>
      </w:r>
    </w:p>
    <w:p w14:paraId="182696C8" w14:textId="77777777" w:rsidR="009658B2" w:rsidRPr="0013396E" w:rsidRDefault="009658B2" w:rsidP="009658B2">
      <w:pPr>
        <w:tabs>
          <w:tab w:val="left" w:pos="2250"/>
          <w:tab w:val="left" w:pos="3150"/>
          <w:tab w:val="left" w:pos="3960"/>
        </w:tabs>
        <w:spacing w:after="240"/>
        <w:ind w:left="3150" w:hanging="2430"/>
        <w:rPr>
          <w:i/>
        </w:rPr>
      </w:pPr>
      <w:r w:rsidRPr="0013396E">
        <w:t>WSLTOT</w:t>
      </w:r>
      <w:r w:rsidRPr="0013396E">
        <w:rPr>
          <w:i/>
          <w:vertAlign w:val="subscript"/>
        </w:rPr>
        <w:t xml:space="preserve"> q, p</w:t>
      </w:r>
      <w:r w:rsidRPr="0013396E">
        <w:rPr>
          <w:bCs/>
          <w:i/>
          <w:vertAlign w:val="subscript"/>
        </w:rPr>
        <w:tab/>
      </w:r>
      <w:r w:rsidRPr="0013396E">
        <w:rPr>
          <w:bCs/>
          <w:vertAlign w:val="subscript"/>
        </w:rPr>
        <w:tab/>
      </w:r>
      <w:r w:rsidRPr="0013396E">
        <w:t xml:space="preserve">= </w:t>
      </w:r>
      <w:r w:rsidRPr="0013396E">
        <w:rPr>
          <w:bCs/>
          <w:position w:val="-18"/>
        </w:rPr>
        <w:object w:dxaOrig="255" w:dyaOrig="495" w14:anchorId="59EE0315">
          <v:shape id="_x0000_i1103" type="#_x0000_t75" style="width:12pt;height:29.4pt" o:ole="">
            <v:imagedata r:id="rId103" o:title=""/>
          </v:shape>
          <o:OLEObject Type="Embed" ProgID="Equation.3" ShapeID="_x0000_i1103" DrawAspect="Content" ObjectID="_1836311382" r:id="rId112"/>
        </w:object>
      </w:r>
      <w:r w:rsidRPr="0013396E">
        <w:rPr>
          <w:bCs/>
          <w:position w:val="-22"/>
        </w:rPr>
        <w:t xml:space="preserve"> </w:t>
      </w:r>
      <w:r w:rsidRPr="0013396E">
        <w:rPr>
          <w:rFonts w:ascii="Times New Roman Bold" w:hAnsi="Times New Roman Bold"/>
          <w:bCs/>
        </w:rPr>
        <w:t>(</w:t>
      </w:r>
      <w:r w:rsidRPr="0013396E">
        <w:rPr>
          <w:bCs/>
          <w:position w:val="-20"/>
        </w:rPr>
        <w:object w:dxaOrig="255" w:dyaOrig="495" w14:anchorId="1AF92CA6">
          <v:shape id="_x0000_i1104" type="#_x0000_t75" style="width:12pt;height:29.4pt" o:ole="">
            <v:imagedata r:id="rId113" o:title=""/>
          </v:shape>
          <o:OLEObject Type="Embed" ProgID="Equation.3" ShapeID="_x0000_i1104" DrawAspect="Content" ObjectID="_1836311383" r:id="rId114"/>
        </w:object>
      </w:r>
      <w:r w:rsidRPr="0013396E">
        <w:t xml:space="preserve"> </w:t>
      </w:r>
      <w:r w:rsidRPr="0013396E">
        <w:rPr>
          <w:bCs/>
        </w:rPr>
        <w:t>MEBL</w:t>
      </w:r>
      <w:r w:rsidRPr="0013396E">
        <w:t xml:space="preserve"> </w:t>
      </w:r>
      <w:r w:rsidRPr="0013396E">
        <w:rPr>
          <w:i/>
          <w:vertAlign w:val="subscript"/>
        </w:rPr>
        <w:t>q,r,b</w:t>
      </w:r>
      <w:r w:rsidRPr="0013396E">
        <w:rPr>
          <w:bCs/>
        </w:rPr>
        <w:t>)</w:t>
      </w:r>
    </w:p>
    <w:tbl>
      <w:tblPr>
        <w:tblW w:w="957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76"/>
      </w:tblGrid>
      <w:tr w:rsidR="009658B2" w:rsidRPr="0013396E" w14:paraId="29222570" w14:textId="77777777" w:rsidTr="0099759E">
        <w:trPr>
          <w:trHeight w:val="206"/>
        </w:trPr>
        <w:tc>
          <w:tcPr>
            <w:tcW w:w="9576" w:type="dxa"/>
            <w:shd w:val="pct12" w:color="auto" w:fill="auto"/>
          </w:tcPr>
          <w:p w14:paraId="365636D2" w14:textId="7DC70B7D" w:rsidR="009658B2" w:rsidRPr="0013396E" w:rsidRDefault="009658B2" w:rsidP="0099759E">
            <w:pPr>
              <w:pStyle w:val="Instructions"/>
              <w:spacing w:before="120"/>
            </w:pPr>
            <w:r w:rsidRPr="0013396E">
              <w:t xml:space="preserve">[NPRR1188:  </w:t>
            </w:r>
            <w:r>
              <w:t>Insert</w:t>
            </w:r>
            <w:r w:rsidRPr="0013396E">
              <w:t xml:space="preserve"> </w:t>
            </w:r>
            <w:r>
              <w:t>the formula “</w:t>
            </w:r>
            <w:r w:rsidRPr="0013396E">
              <w:t>CLRTOT</w:t>
            </w:r>
            <w:r w:rsidRPr="0013396E">
              <w:rPr>
                <w:vertAlign w:val="subscript"/>
              </w:rPr>
              <w:t xml:space="preserve"> q, p</w:t>
            </w:r>
            <w:r>
              <w:t>”</w:t>
            </w:r>
            <w:r w:rsidRPr="0013396E">
              <w:t xml:space="preserve"> </w:t>
            </w:r>
            <w:r>
              <w:t xml:space="preserve">below </w:t>
            </w:r>
            <w:r w:rsidRPr="0013396E">
              <w:t>upon system implementation:]</w:t>
            </w:r>
          </w:p>
          <w:p w14:paraId="2481F85F" w14:textId="1069628B" w:rsidR="009658B2" w:rsidRPr="009658B2" w:rsidRDefault="009658B2" w:rsidP="0099759E">
            <w:pPr>
              <w:tabs>
                <w:tab w:val="left" w:pos="2250"/>
                <w:tab w:val="left" w:pos="3150"/>
                <w:tab w:val="left" w:pos="3960"/>
              </w:tabs>
              <w:spacing w:after="240"/>
              <w:ind w:left="3150" w:hanging="2430"/>
              <w:rPr>
                <w:b/>
                <w:bCs/>
                <w:sz w:val="32"/>
              </w:rPr>
            </w:pPr>
            <w:r w:rsidRPr="0013396E">
              <w:t>CLRTOT</w:t>
            </w:r>
            <w:r w:rsidRPr="0013396E">
              <w:rPr>
                <w:i/>
                <w:vertAlign w:val="subscript"/>
              </w:rPr>
              <w:t xml:space="preserve"> q, p</w:t>
            </w:r>
            <w:r w:rsidRPr="0013396E">
              <w:rPr>
                <w:i/>
                <w:vertAlign w:val="subscript"/>
              </w:rPr>
              <w:tab/>
            </w:r>
            <w:r w:rsidRPr="0013396E">
              <w:rPr>
                <w:i/>
                <w:vertAlign w:val="subscript"/>
              </w:rPr>
              <w:tab/>
            </w:r>
            <w:r w:rsidRPr="0013396E">
              <w:t xml:space="preserve">= </w:t>
            </w:r>
            <w:r w:rsidRPr="0013396E">
              <w:rPr>
                <w:noProof/>
                <w:position w:val="-18"/>
              </w:rPr>
              <w:drawing>
                <wp:inline distT="0" distB="0" distL="0" distR="0" wp14:anchorId="35F61B4E" wp14:editId="3D824AA4">
                  <wp:extent cx="198120" cy="293370"/>
                  <wp:effectExtent l="0" t="0" r="0" b="0"/>
                  <wp:docPr id="153158993" name="Picture 1531589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198120" cy="293370"/>
                          </a:xfrm>
                          <a:prstGeom prst="rect">
                            <a:avLst/>
                          </a:prstGeom>
                          <a:noFill/>
                          <a:ln>
                            <a:noFill/>
                          </a:ln>
                        </pic:spPr>
                      </pic:pic>
                    </a:graphicData>
                  </a:graphic>
                </wp:inline>
              </w:drawing>
            </w:r>
            <w:r w:rsidRPr="0013396E">
              <w:rPr>
                <w:rFonts w:ascii="Times New Roman Bold" w:hAnsi="Times New Roman Bold"/>
              </w:rPr>
              <w:t>(</w:t>
            </w:r>
            <w:r w:rsidRPr="0013396E">
              <w:rPr>
                <w:noProof/>
                <w:position w:val="-20"/>
              </w:rPr>
              <w:drawing>
                <wp:inline distT="0" distB="0" distL="0" distR="0" wp14:anchorId="4A763E1C" wp14:editId="35398B6B">
                  <wp:extent cx="224155" cy="293370"/>
                  <wp:effectExtent l="0" t="0" r="0" b="0"/>
                  <wp:docPr id="544909517" name="Picture 5449095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15" cstate="print">
                            <a:extLst>
                              <a:ext uri="{28A0092B-C50C-407E-A947-70E740481C1C}">
                                <a14:useLocalDpi xmlns:a14="http://schemas.microsoft.com/office/drawing/2010/main" val="0"/>
                              </a:ext>
                            </a:extLst>
                          </a:blip>
                          <a:srcRect/>
                          <a:stretch>
                            <a:fillRect/>
                          </a:stretch>
                        </pic:blipFill>
                        <pic:spPr bwMode="auto">
                          <a:xfrm>
                            <a:off x="0" y="0"/>
                            <a:ext cx="224155" cy="293370"/>
                          </a:xfrm>
                          <a:prstGeom prst="rect">
                            <a:avLst/>
                          </a:prstGeom>
                          <a:noFill/>
                          <a:ln>
                            <a:noFill/>
                          </a:ln>
                        </pic:spPr>
                      </pic:pic>
                    </a:graphicData>
                  </a:graphic>
                </wp:inline>
              </w:drawing>
            </w:r>
            <w:r w:rsidRPr="0013396E">
              <w:t xml:space="preserve">MEBCL </w:t>
            </w:r>
            <w:r w:rsidRPr="0013396E">
              <w:rPr>
                <w:i/>
                <w:vertAlign w:val="subscript"/>
              </w:rPr>
              <w:t>q, r, b</w:t>
            </w:r>
            <w:r w:rsidRPr="0013396E">
              <w:t>)</w:t>
            </w:r>
          </w:p>
        </w:tc>
      </w:tr>
    </w:tbl>
    <w:p w14:paraId="2F8844F8" w14:textId="77777777" w:rsidR="009658B2" w:rsidRPr="0013396E" w:rsidRDefault="009658B2" w:rsidP="009658B2">
      <w:pPr>
        <w:tabs>
          <w:tab w:val="left" w:pos="2340"/>
          <w:tab w:val="left" w:pos="3420"/>
        </w:tabs>
        <w:spacing w:before="240" w:after="240"/>
        <w:ind w:left="3420" w:hanging="2700"/>
        <w:rPr>
          <w:bCs/>
          <w:i/>
        </w:rPr>
      </w:pPr>
      <w:r w:rsidRPr="0013396E">
        <w:rPr>
          <w:bCs/>
        </w:rPr>
        <w:t>ESRNWSLTOT</w:t>
      </w:r>
      <w:r w:rsidRPr="0013396E">
        <w:rPr>
          <w:bCs/>
          <w:i/>
          <w:vertAlign w:val="subscript"/>
        </w:rPr>
        <w:t xml:space="preserve"> q, p</w:t>
      </w:r>
      <w:r w:rsidRPr="0013396E">
        <w:rPr>
          <w:bCs/>
          <w:i/>
          <w:vertAlign w:val="subscript"/>
        </w:rPr>
        <w:tab/>
      </w:r>
      <w:r w:rsidRPr="0013396E">
        <w:rPr>
          <w:bCs/>
        </w:rPr>
        <w:t xml:space="preserve">= </w:t>
      </w:r>
      <w:r w:rsidRPr="0013396E">
        <w:rPr>
          <w:bCs/>
          <w:position w:val="-18"/>
        </w:rPr>
        <w:object w:dxaOrig="255" w:dyaOrig="495" w14:anchorId="6432A4FC">
          <v:shape id="_x0000_i1105" type="#_x0000_t75" style="width:12pt;height:29.4pt" o:ole="">
            <v:imagedata r:id="rId103" o:title=""/>
          </v:shape>
          <o:OLEObject Type="Embed" ProgID="Equation.3" ShapeID="_x0000_i1105" DrawAspect="Content" ObjectID="_1836311384" r:id="rId116"/>
        </w:object>
      </w:r>
      <w:r w:rsidRPr="0013396E">
        <w:rPr>
          <w:bCs/>
          <w:position w:val="-22"/>
        </w:rPr>
        <w:t xml:space="preserve"> </w:t>
      </w:r>
      <w:r w:rsidRPr="0013396E">
        <w:rPr>
          <w:rFonts w:ascii="Times New Roman Bold" w:hAnsi="Times New Roman Bold"/>
          <w:bCs/>
        </w:rPr>
        <w:t>(</w:t>
      </w:r>
      <w:r w:rsidRPr="0013396E">
        <w:rPr>
          <w:bCs/>
          <w:position w:val="-20"/>
        </w:rPr>
        <w:object w:dxaOrig="255" w:dyaOrig="495" w14:anchorId="05F038BC">
          <v:shape id="_x0000_i1106" type="#_x0000_t75" style="width:12pt;height:29.4pt" o:ole="">
            <v:imagedata r:id="rId113" o:title=""/>
          </v:shape>
          <o:OLEObject Type="Embed" ProgID="Equation.3" ShapeID="_x0000_i1106" DrawAspect="Content" ObjectID="_1836311385" r:id="rId117"/>
        </w:object>
      </w:r>
      <w:r w:rsidRPr="0013396E">
        <w:rPr>
          <w:bCs/>
        </w:rPr>
        <w:t xml:space="preserve"> MEBR </w:t>
      </w:r>
      <w:r w:rsidRPr="0013396E">
        <w:rPr>
          <w:bCs/>
          <w:i/>
          <w:vertAlign w:val="subscript"/>
        </w:rPr>
        <w:t>q, r, b</w:t>
      </w:r>
      <w:r w:rsidRPr="0013396E">
        <w:rPr>
          <w:bCs/>
        </w:rPr>
        <w:t>)</w:t>
      </w:r>
    </w:p>
    <w:p w14:paraId="19CAA68D" w14:textId="35B33DC8" w:rsidR="009658B2" w:rsidRPr="0013396E" w:rsidRDefault="009658B2" w:rsidP="009658B2">
      <w:pPr>
        <w:tabs>
          <w:tab w:val="left" w:pos="2250"/>
          <w:tab w:val="left" w:pos="3150"/>
        </w:tabs>
        <w:spacing w:after="240"/>
        <w:ind w:left="3150" w:hanging="2430"/>
        <w:rPr>
          <w:bCs/>
          <w:sz w:val="32"/>
        </w:rPr>
      </w:pPr>
      <w:r w:rsidRPr="0013396E">
        <w:rPr>
          <w:bCs/>
        </w:rPr>
        <w:t>RNIMBAL</w:t>
      </w:r>
      <w:r w:rsidRPr="0013396E">
        <w:rPr>
          <w:bCs/>
          <w:i/>
          <w:vertAlign w:val="subscript"/>
        </w:rPr>
        <w:t xml:space="preserve"> q, p</w:t>
      </w:r>
      <w:r w:rsidRPr="0013396E">
        <w:rPr>
          <w:bCs/>
          <w:i/>
          <w:vertAlign w:val="subscript"/>
        </w:rPr>
        <w:tab/>
      </w:r>
      <w:r w:rsidRPr="0013396E">
        <w:rPr>
          <w:bCs/>
          <w:i/>
          <w:vertAlign w:val="subscript"/>
        </w:rPr>
        <w:tab/>
      </w:r>
      <w:r w:rsidRPr="0013396E">
        <w:rPr>
          <w:bCs/>
          <w:i/>
        </w:rPr>
        <w:t xml:space="preserve">= </w:t>
      </w:r>
      <w:r w:rsidRPr="0013396E">
        <w:rPr>
          <w:bCs/>
          <w:position w:val="-22"/>
        </w:rPr>
        <w:object w:dxaOrig="255" w:dyaOrig="495" w14:anchorId="6BBD27F6">
          <v:shape id="_x0000_i1107" type="#_x0000_t75" style="width:12pt;height:29.4pt" o:ole="">
            <v:imagedata r:id="rId101" o:title=""/>
          </v:shape>
          <o:OLEObject Type="Embed" ProgID="Equation.3" ShapeID="_x0000_i1107" DrawAspect="Content" ObjectID="_1836311386" r:id="rId118"/>
        </w:object>
      </w:r>
      <w:r w:rsidRPr="0013396E">
        <w:rPr>
          <w:rFonts w:ascii="Times New Roman Bold" w:hAnsi="Times New Roman Bold"/>
          <w:bCs/>
        </w:rPr>
        <w:t>(</w:t>
      </w:r>
      <w:r w:rsidRPr="0013396E">
        <w:rPr>
          <w:bCs/>
          <w:position w:val="-18"/>
        </w:rPr>
        <w:object w:dxaOrig="255" w:dyaOrig="495" w14:anchorId="52B2F3E3">
          <v:shape id="_x0000_i1108" type="#_x0000_t75" style="width:12pt;height:29.4pt" o:ole="">
            <v:imagedata r:id="rId103" o:title=""/>
          </v:shape>
          <o:OLEObject Type="Embed" ProgID="Equation.3" ShapeID="_x0000_i1108" DrawAspect="Content" ObjectID="_1836311387" r:id="rId119"/>
        </w:object>
      </w:r>
      <w:r w:rsidRPr="0013396E">
        <w:rPr>
          <w:bCs/>
        </w:rPr>
        <w:t>RESMEB</w:t>
      </w:r>
      <w:r w:rsidRPr="0013396E">
        <w:rPr>
          <w:bCs/>
          <w:i/>
          <w:vertAlign w:val="subscript"/>
        </w:rPr>
        <w:t xml:space="preserve"> q, r, gsc, p</w:t>
      </w:r>
      <w:r w:rsidRPr="0013396E">
        <w:rPr>
          <w:bCs/>
        </w:rPr>
        <w:t>) + WSLTOT</w:t>
      </w:r>
      <w:r w:rsidRPr="0013396E">
        <w:rPr>
          <w:bCs/>
          <w:i/>
          <w:vertAlign w:val="subscript"/>
        </w:rPr>
        <w:t xml:space="preserve"> q, p</w:t>
      </w:r>
      <w:r w:rsidRPr="0013396E">
        <w:rPr>
          <w:bCs/>
        </w:rPr>
        <w:t xml:space="preserve"> + ESRNWSLTOT</w:t>
      </w:r>
      <w:r w:rsidRPr="0013396E">
        <w:rPr>
          <w:bCs/>
          <w:i/>
          <w:vertAlign w:val="subscript"/>
        </w:rPr>
        <w:t xml:space="preserve"> q, p</w:t>
      </w:r>
      <w:r w:rsidRPr="0013396E">
        <w:rPr>
          <w:bCs/>
        </w:rPr>
        <w:t xml:space="preserve"> + (SSSK </w:t>
      </w:r>
      <w:r w:rsidRPr="0013396E">
        <w:rPr>
          <w:bCs/>
          <w:i/>
          <w:vertAlign w:val="subscript"/>
        </w:rPr>
        <w:t>q, p</w:t>
      </w:r>
      <w:r w:rsidRPr="0013396E">
        <w:rPr>
          <w:bCs/>
        </w:rPr>
        <w:t xml:space="preserve"> * ¼) + (DAEP </w:t>
      </w:r>
      <w:r w:rsidRPr="0013396E">
        <w:rPr>
          <w:bCs/>
          <w:i/>
          <w:vertAlign w:val="subscript"/>
        </w:rPr>
        <w:t>q, p</w:t>
      </w:r>
      <w:r w:rsidRPr="0013396E">
        <w:rPr>
          <w:bCs/>
        </w:rPr>
        <w:t xml:space="preserve"> * ¼) + (RTQQEP </w:t>
      </w:r>
      <w:r w:rsidRPr="0013396E">
        <w:rPr>
          <w:bCs/>
          <w:i/>
          <w:vertAlign w:val="subscript"/>
        </w:rPr>
        <w:t>q, p</w:t>
      </w:r>
      <w:r w:rsidRPr="0013396E">
        <w:rPr>
          <w:bCs/>
        </w:rPr>
        <w:t xml:space="preserve"> * ¼) – (SSSR </w:t>
      </w:r>
      <w:r w:rsidRPr="0013396E">
        <w:rPr>
          <w:bCs/>
          <w:i/>
          <w:vertAlign w:val="subscript"/>
        </w:rPr>
        <w:t>q, p</w:t>
      </w:r>
      <w:r w:rsidRPr="0013396E">
        <w:rPr>
          <w:bCs/>
        </w:rPr>
        <w:t xml:space="preserve"> * ¼) – (DAES </w:t>
      </w:r>
      <w:r w:rsidRPr="0013396E">
        <w:rPr>
          <w:bCs/>
          <w:i/>
          <w:vertAlign w:val="subscript"/>
        </w:rPr>
        <w:t>q, p</w:t>
      </w:r>
      <w:r w:rsidRPr="0013396E">
        <w:rPr>
          <w:bCs/>
        </w:rPr>
        <w:t xml:space="preserve"> * ¼) – (RTQQES </w:t>
      </w:r>
      <w:r w:rsidRPr="0013396E">
        <w:rPr>
          <w:bCs/>
          <w:i/>
          <w:vertAlign w:val="subscript"/>
        </w:rPr>
        <w:t>q, p</w:t>
      </w:r>
      <w:r w:rsidRPr="0013396E">
        <w:rPr>
          <w:bCs/>
        </w:rPr>
        <w:t xml:space="preserve"> * ¼)</w:t>
      </w:r>
    </w:p>
    <w:tbl>
      <w:tblPr>
        <w:tblW w:w="957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76"/>
      </w:tblGrid>
      <w:tr w:rsidR="009658B2" w:rsidRPr="0013396E" w14:paraId="5171004A" w14:textId="77777777" w:rsidTr="0099759E">
        <w:trPr>
          <w:trHeight w:val="206"/>
        </w:trPr>
        <w:tc>
          <w:tcPr>
            <w:tcW w:w="9576" w:type="dxa"/>
            <w:shd w:val="pct12" w:color="auto" w:fill="auto"/>
          </w:tcPr>
          <w:p w14:paraId="101BF2FC" w14:textId="2F598781" w:rsidR="009658B2" w:rsidRPr="0013396E" w:rsidRDefault="009658B2" w:rsidP="0099759E">
            <w:pPr>
              <w:pStyle w:val="Instructions"/>
              <w:spacing w:before="120"/>
            </w:pPr>
            <w:r w:rsidRPr="0013396E">
              <w:t xml:space="preserve">[NPRR1188:  Replace </w:t>
            </w:r>
            <w:r>
              <w:t>the formula “</w:t>
            </w:r>
            <w:r w:rsidRPr="0013396E">
              <w:rPr>
                <w:bCs/>
              </w:rPr>
              <w:t>RNIMBAL</w:t>
            </w:r>
            <w:r w:rsidRPr="0013396E">
              <w:rPr>
                <w:bCs/>
                <w:vertAlign w:val="subscript"/>
              </w:rPr>
              <w:t xml:space="preserve"> q, p</w:t>
            </w:r>
            <w:r>
              <w:t>”</w:t>
            </w:r>
            <w:r w:rsidRPr="0013396E">
              <w:t xml:space="preserve"> above with the following upon system implementation:]</w:t>
            </w:r>
          </w:p>
          <w:p w14:paraId="1B456CF0" w14:textId="1711DBB0" w:rsidR="009658B2" w:rsidRPr="009658B2" w:rsidRDefault="009658B2" w:rsidP="009658B2">
            <w:pPr>
              <w:tabs>
                <w:tab w:val="left" w:pos="2250"/>
                <w:tab w:val="left" w:pos="3150"/>
              </w:tabs>
              <w:spacing w:after="240"/>
              <w:ind w:left="3150" w:hanging="2430"/>
              <w:rPr>
                <w:bCs/>
                <w:sz w:val="32"/>
              </w:rPr>
            </w:pPr>
            <w:r w:rsidRPr="0013396E">
              <w:rPr>
                <w:bCs/>
              </w:rPr>
              <w:t>RNIMBAL</w:t>
            </w:r>
            <w:r w:rsidRPr="0013396E">
              <w:rPr>
                <w:bCs/>
                <w:i/>
                <w:vertAlign w:val="subscript"/>
              </w:rPr>
              <w:t xml:space="preserve"> q, p</w:t>
            </w:r>
            <w:r w:rsidRPr="0013396E">
              <w:rPr>
                <w:bCs/>
                <w:i/>
                <w:vertAlign w:val="subscript"/>
              </w:rPr>
              <w:tab/>
            </w:r>
            <w:r w:rsidRPr="0013396E">
              <w:rPr>
                <w:bCs/>
                <w:i/>
                <w:vertAlign w:val="subscript"/>
              </w:rPr>
              <w:tab/>
            </w:r>
            <w:r w:rsidRPr="0013396E">
              <w:rPr>
                <w:bCs/>
                <w:i/>
              </w:rPr>
              <w:t xml:space="preserve">= </w:t>
            </w:r>
            <w:r w:rsidRPr="0013396E">
              <w:rPr>
                <w:bCs/>
                <w:position w:val="-22"/>
              </w:rPr>
              <w:object w:dxaOrig="255" w:dyaOrig="495" w14:anchorId="5AE9C782">
                <v:shape id="_x0000_i1109" type="#_x0000_t75" style="width:12pt;height:29.4pt" o:ole="">
                  <v:imagedata r:id="rId101" o:title=""/>
                </v:shape>
                <o:OLEObject Type="Embed" ProgID="Equation.3" ShapeID="_x0000_i1109" DrawAspect="Content" ObjectID="_1836311388" r:id="rId120"/>
              </w:object>
            </w:r>
            <w:r w:rsidRPr="0013396E">
              <w:rPr>
                <w:rFonts w:ascii="Times New Roman Bold" w:hAnsi="Times New Roman Bold"/>
                <w:bCs/>
              </w:rPr>
              <w:t>(</w:t>
            </w:r>
            <w:r w:rsidRPr="0013396E">
              <w:rPr>
                <w:bCs/>
                <w:position w:val="-18"/>
              </w:rPr>
              <w:object w:dxaOrig="255" w:dyaOrig="495" w14:anchorId="5597A16A">
                <v:shape id="_x0000_i1110" type="#_x0000_t75" style="width:12pt;height:29.4pt" o:ole="">
                  <v:imagedata r:id="rId103" o:title=""/>
                </v:shape>
                <o:OLEObject Type="Embed" ProgID="Equation.3" ShapeID="_x0000_i1110" DrawAspect="Content" ObjectID="_1836311389" r:id="rId121"/>
              </w:object>
            </w:r>
            <w:r w:rsidRPr="0013396E">
              <w:rPr>
                <w:bCs/>
              </w:rPr>
              <w:t>RESMEB</w:t>
            </w:r>
            <w:r w:rsidRPr="0013396E">
              <w:rPr>
                <w:bCs/>
                <w:i/>
                <w:vertAlign w:val="subscript"/>
              </w:rPr>
              <w:t xml:space="preserve"> q, r, gsc, p</w:t>
            </w:r>
            <w:r w:rsidRPr="0013396E">
              <w:rPr>
                <w:bCs/>
              </w:rPr>
              <w:t>) + WSLTOT</w:t>
            </w:r>
            <w:r w:rsidRPr="0013396E">
              <w:rPr>
                <w:bCs/>
                <w:i/>
                <w:vertAlign w:val="subscript"/>
              </w:rPr>
              <w:t xml:space="preserve"> q, p</w:t>
            </w:r>
            <w:r w:rsidRPr="0013396E">
              <w:rPr>
                <w:bCs/>
              </w:rPr>
              <w:t xml:space="preserve"> + CLRTOT</w:t>
            </w:r>
            <w:r w:rsidRPr="0013396E">
              <w:rPr>
                <w:bCs/>
                <w:i/>
                <w:vertAlign w:val="subscript"/>
              </w:rPr>
              <w:t xml:space="preserve"> q, p</w:t>
            </w:r>
            <w:r w:rsidRPr="0013396E">
              <w:rPr>
                <w:bCs/>
              </w:rPr>
              <w:t xml:space="preserve"> + ESRNWSLTOT</w:t>
            </w:r>
            <w:r w:rsidRPr="0013396E">
              <w:rPr>
                <w:bCs/>
                <w:i/>
                <w:vertAlign w:val="subscript"/>
              </w:rPr>
              <w:t xml:space="preserve"> q, p</w:t>
            </w:r>
            <w:r w:rsidRPr="0013396E">
              <w:rPr>
                <w:bCs/>
              </w:rPr>
              <w:t xml:space="preserve"> + (SSSK </w:t>
            </w:r>
            <w:r w:rsidRPr="0013396E">
              <w:rPr>
                <w:bCs/>
                <w:i/>
                <w:vertAlign w:val="subscript"/>
              </w:rPr>
              <w:t>q, p</w:t>
            </w:r>
            <w:r w:rsidRPr="0013396E">
              <w:rPr>
                <w:bCs/>
              </w:rPr>
              <w:t xml:space="preserve"> * ¼) + (DAEP </w:t>
            </w:r>
            <w:r w:rsidRPr="0013396E">
              <w:rPr>
                <w:bCs/>
                <w:i/>
                <w:vertAlign w:val="subscript"/>
              </w:rPr>
              <w:t>q, p</w:t>
            </w:r>
            <w:r w:rsidRPr="0013396E">
              <w:rPr>
                <w:bCs/>
              </w:rPr>
              <w:t xml:space="preserve"> * ¼) + (RTQQEP </w:t>
            </w:r>
            <w:r w:rsidRPr="0013396E">
              <w:rPr>
                <w:bCs/>
                <w:i/>
                <w:vertAlign w:val="subscript"/>
              </w:rPr>
              <w:t>q, p</w:t>
            </w:r>
            <w:r w:rsidRPr="0013396E">
              <w:rPr>
                <w:bCs/>
              </w:rPr>
              <w:t xml:space="preserve"> * ¼) – (SSSR </w:t>
            </w:r>
            <w:r w:rsidRPr="0013396E">
              <w:rPr>
                <w:bCs/>
                <w:i/>
                <w:vertAlign w:val="subscript"/>
              </w:rPr>
              <w:t>q, p</w:t>
            </w:r>
            <w:r w:rsidRPr="0013396E">
              <w:rPr>
                <w:bCs/>
              </w:rPr>
              <w:t xml:space="preserve"> * ¼) – (DAES </w:t>
            </w:r>
            <w:r w:rsidRPr="0013396E">
              <w:rPr>
                <w:bCs/>
                <w:i/>
                <w:vertAlign w:val="subscript"/>
              </w:rPr>
              <w:t>q, p</w:t>
            </w:r>
            <w:r w:rsidRPr="0013396E">
              <w:rPr>
                <w:bCs/>
              </w:rPr>
              <w:t xml:space="preserve"> * ¼) – (RTQQES </w:t>
            </w:r>
            <w:r w:rsidRPr="0013396E">
              <w:rPr>
                <w:bCs/>
                <w:i/>
                <w:vertAlign w:val="subscript"/>
              </w:rPr>
              <w:t>q, p</w:t>
            </w:r>
            <w:r w:rsidRPr="0013396E">
              <w:rPr>
                <w:bCs/>
              </w:rPr>
              <w:t xml:space="preserve"> * ¼)</w:t>
            </w:r>
          </w:p>
        </w:tc>
      </w:tr>
    </w:tbl>
    <w:p w14:paraId="0E643B81" w14:textId="77777777" w:rsidR="009658B2" w:rsidRPr="0013396E" w:rsidRDefault="009658B2" w:rsidP="009658B2">
      <w:pPr>
        <w:spacing w:before="240"/>
      </w:pPr>
      <w:r w:rsidRPr="0013396E">
        <w:t>The above variables are defined as follows:</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962"/>
        <w:gridCol w:w="874"/>
        <w:gridCol w:w="6514"/>
      </w:tblGrid>
      <w:tr w:rsidR="009658B2" w:rsidRPr="0013396E" w14:paraId="33E11EF9" w14:textId="77777777" w:rsidTr="005A7D8E">
        <w:trPr>
          <w:cantSplit/>
          <w:tblHeader/>
        </w:trPr>
        <w:tc>
          <w:tcPr>
            <w:tcW w:w="1885" w:type="dxa"/>
            <w:tcBorders>
              <w:top w:val="single" w:sz="4" w:space="0" w:color="auto"/>
              <w:left w:val="single" w:sz="4" w:space="0" w:color="auto"/>
              <w:bottom w:val="single" w:sz="4" w:space="0" w:color="auto"/>
              <w:right w:val="single" w:sz="4" w:space="0" w:color="auto"/>
            </w:tcBorders>
            <w:hideMark/>
          </w:tcPr>
          <w:p w14:paraId="364B73E5" w14:textId="77777777" w:rsidR="009658B2" w:rsidRPr="0013396E" w:rsidRDefault="009658B2" w:rsidP="0099759E">
            <w:pPr>
              <w:spacing w:after="120"/>
              <w:rPr>
                <w:b/>
                <w:iCs/>
                <w:sz w:val="20"/>
              </w:rPr>
            </w:pPr>
            <w:r w:rsidRPr="0013396E">
              <w:rPr>
                <w:b/>
                <w:iCs/>
                <w:sz w:val="20"/>
              </w:rPr>
              <w:t>Variable</w:t>
            </w:r>
          </w:p>
        </w:tc>
        <w:tc>
          <w:tcPr>
            <w:tcW w:w="903" w:type="dxa"/>
            <w:tcBorders>
              <w:top w:val="single" w:sz="4" w:space="0" w:color="auto"/>
              <w:left w:val="single" w:sz="4" w:space="0" w:color="auto"/>
              <w:bottom w:val="single" w:sz="4" w:space="0" w:color="auto"/>
              <w:right w:val="single" w:sz="4" w:space="0" w:color="auto"/>
            </w:tcBorders>
            <w:hideMark/>
          </w:tcPr>
          <w:p w14:paraId="07A9DC3B" w14:textId="77777777" w:rsidR="009658B2" w:rsidRPr="0013396E" w:rsidRDefault="009658B2" w:rsidP="0099759E">
            <w:pPr>
              <w:spacing w:after="120"/>
              <w:rPr>
                <w:b/>
                <w:iCs/>
                <w:sz w:val="20"/>
              </w:rPr>
            </w:pPr>
            <w:r w:rsidRPr="0013396E">
              <w:rPr>
                <w:b/>
                <w:iCs/>
                <w:sz w:val="20"/>
              </w:rPr>
              <w:t>Unit</w:t>
            </w:r>
          </w:p>
        </w:tc>
        <w:tc>
          <w:tcPr>
            <w:tcW w:w="0" w:type="auto"/>
            <w:tcBorders>
              <w:top w:val="single" w:sz="4" w:space="0" w:color="auto"/>
              <w:left w:val="single" w:sz="4" w:space="0" w:color="auto"/>
              <w:bottom w:val="single" w:sz="4" w:space="0" w:color="auto"/>
              <w:right w:val="single" w:sz="4" w:space="0" w:color="auto"/>
            </w:tcBorders>
            <w:hideMark/>
          </w:tcPr>
          <w:p w14:paraId="1A727437" w14:textId="77777777" w:rsidR="009658B2" w:rsidRPr="0013396E" w:rsidRDefault="009658B2" w:rsidP="0099759E">
            <w:pPr>
              <w:spacing w:after="120"/>
              <w:rPr>
                <w:b/>
                <w:iCs/>
                <w:sz w:val="20"/>
              </w:rPr>
            </w:pPr>
            <w:r w:rsidRPr="0013396E">
              <w:rPr>
                <w:b/>
                <w:iCs/>
                <w:sz w:val="20"/>
              </w:rPr>
              <w:t>Description</w:t>
            </w:r>
          </w:p>
        </w:tc>
      </w:tr>
      <w:tr w:rsidR="009658B2" w:rsidRPr="0013396E" w14:paraId="35A3BE15" w14:textId="77777777" w:rsidTr="005A7D8E">
        <w:trPr>
          <w:cantSplit/>
        </w:trPr>
        <w:tc>
          <w:tcPr>
            <w:tcW w:w="1885" w:type="dxa"/>
            <w:tcBorders>
              <w:top w:val="single" w:sz="4" w:space="0" w:color="auto"/>
              <w:left w:val="single" w:sz="4" w:space="0" w:color="auto"/>
              <w:bottom w:val="single" w:sz="4" w:space="0" w:color="auto"/>
              <w:right w:val="single" w:sz="4" w:space="0" w:color="auto"/>
            </w:tcBorders>
            <w:hideMark/>
          </w:tcPr>
          <w:p w14:paraId="5E6E0AC0" w14:textId="77777777" w:rsidR="009658B2" w:rsidRPr="0013396E" w:rsidRDefault="009658B2" w:rsidP="0099759E">
            <w:pPr>
              <w:spacing w:after="60"/>
              <w:rPr>
                <w:iCs/>
                <w:sz w:val="20"/>
              </w:rPr>
            </w:pPr>
            <w:r w:rsidRPr="0013396E">
              <w:rPr>
                <w:iCs/>
                <w:sz w:val="20"/>
              </w:rPr>
              <w:t xml:space="preserve">RTEIAMT </w:t>
            </w:r>
            <w:r w:rsidRPr="0013396E">
              <w:rPr>
                <w:i/>
                <w:iCs/>
                <w:sz w:val="20"/>
                <w:vertAlign w:val="subscript"/>
              </w:rPr>
              <w:t>q, p</w:t>
            </w:r>
          </w:p>
        </w:tc>
        <w:tc>
          <w:tcPr>
            <w:tcW w:w="903" w:type="dxa"/>
            <w:tcBorders>
              <w:top w:val="single" w:sz="4" w:space="0" w:color="auto"/>
              <w:left w:val="single" w:sz="4" w:space="0" w:color="auto"/>
              <w:bottom w:val="single" w:sz="4" w:space="0" w:color="auto"/>
              <w:right w:val="single" w:sz="4" w:space="0" w:color="auto"/>
            </w:tcBorders>
            <w:hideMark/>
          </w:tcPr>
          <w:p w14:paraId="3E9F4EDA" w14:textId="77777777" w:rsidR="009658B2" w:rsidRPr="0013396E" w:rsidRDefault="009658B2" w:rsidP="0099759E">
            <w:pPr>
              <w:spacing w:after="60"/>
              <w:rPr>
                <w:iCs/>
                <w:sz w:val="20"/>
              </w:rPr>
            </w:pPr>
            <w:r w:rsidRPr="0013396E">
              <w:rPr>
                <w:iCs/>
                <w:sz w:val="20"/>
              </w:rPr>
              <w:t>$</w:t>
            </w:r>
          </w:p>
        </w:tc>
        <w:tc>
          <w:tcPr>
            <w:tcW w:w="0" w:type="auto"/>
            <w:tcBorders>
              <w:top w:val="single" w:sz="4" w:space="0" w:color="auto"/>
              <w:left w:val="single" w:sz="4" w:space="0" w:color="auto"/>
              <w:bottom w:val="single" w:sz="4" w:space="0" w:color="auto"/>
              <w:right w:val="single" w:sz="4" w:space="0" w:color="auto"/>
            </w:tcBorders>
            <w:hideMark/>
          </w:tcPr>
          <w:p w14:paraId="00A0D8A4" w14:textId="77777777" w:rsidR="009658B2" w:rsidRPr="0013396E" w:rsidRDefault="009658B2" w:rsidP="0099759E">
            <w:pPr>
              <w:spacing w:after="60"/>
              <w:rPr>
                <w:iCs/>
                <w:sz w:val="20"/>
              </w:rPr>
            </w:pPr>
            <w:r w:rsidRPr="0013396E">
              <w:rPr>
                <w:i/>
                <w:iCs/>
                <w:sz w:val="20"/>
              </w:rPr>
              <w:t>Real-Time Energy Imbalance Amount per QSE per Settlement Point</w:t>
            </w:r>
            <w:r w:rsidRPr="0013396E">
              <w:rPr>
                <w:iCs/>
                <w:sz w:val="20"/>
              </w:rPr>
              <w:t xml:space="preserve">—The payment or charge to QSE </w:t>
            </w:r>
            <w:r w:rsidRPr="0013396E">
              <w:rPr>
                <w:i/>
                <w:iCs/>
                <w:sz w:val="20"/>
              </w:rPr>
              <w:t>q</w:t>
            </w:r>
            <w:r w:rsidRPr="0013396E">
              <w:rPr>
                <w:iCs/>
                <w:sz w:val="20"/>
              </w:rPr>
              <w:t xml:space="preserve"> for Real-Time Energy Imbalance Service at Settlement Point </w:t>
            </w:r>
            <w:r w:rsidRPr="0013396E">
              <w:rPr>
                <w:i/>
                <w:iCs/>
                <w:sz w:val="20"/>
              </w:rPr>
              <w:t>p</w:t>
            </w:r>
            <w:r w:rsidRPr="0013396E">
              <w:rPr>
                <w:iCs/>
                <w:sz w:val="20"/>
              </w:rPr>
              <w:t>, for the 15-minute Settlement Interval.</w:t>
            </w:r>
          </w:p>
        </w:tc>
      </w:tr>
      <w:tr w:rsidR="009658B2" w:rsidRPr="0013396E" w14:paraId="178C449B" w14:textId="77777777" w:rsidTr="005A7D8E">
        <w:trPr>
          <w:cantSplit/>
        </w:trPr>
        <w:tc>
          <w:tcPr>
            <w:tcW w:w="1885" w:type="dxa"/>
            <w:tcBorders>
              <w:top w:val="single" w:sz="4" w:space="0" w:color="auto"/>
              <w:left w:val="single" w:sz="4" w:space="0" w:color="auto"/>
              <w:bottom w:val="single" w:sz="4" w:space="0" w:color="auto"/>
              <w:right w:val="single" w:sz="4" w:space="0" w:color="auto"/>
            </w:tcBorders>
            <w:hideMark/>
          </w:tcPr>
          <w:p w14:paraId="65BFEF70" w14:textId="77777777" w:rsidR="009658B2" w:rsidRPr="0013396E" w:rsidRDefault="009658B2" w:rsidP="0099759E">
            <w:pPr>
              <w:spacing w:after="60"/>
              <w:rPr>
                <w:iCs/>
                <w:sz w:val="20"/>
              </w:rPr>
            </w:pPr>
            <w:r w:rsidRPr="0013396E">
              <w:rPr>
                <w:iCs/>
                <w:sz w:val="20"/>
              </w:rPr>
              <w:t>RNIMBAL</w:t>
            </w:r>
            <w:r w:rsidRPr="0013396E">
              <w:rPr>
                <w:i/>
                <w:iCs/>
                <w:sz w:val="20"/>
                <w:vertAlign w:val="subscript"/>
              </w:rPr>
              <w:t xml:space="preserve"> q, p</w:t>
            </w:r>
          </w:p>
        </w:tc>
        <w:tc>
          <w:tcPr>
            <w:tcW w:w="903" w:type="dxa"/>
            <w:tcBorders>
              <w:top w:val="single" w:sz="4" w:space="0" w:color="auto"/>
              <w:left w:val="single" w:sz="4" w:space="0" w:color="auto"/>
              <w:bottom w:val="single" w:sz="4" w:space="0" w:color="auto"/>
              <w:right w:val="single" w:sz="4" w:space="0" w:color="auto"/>
            </w:tcBorders>
            <w:hideMark/>
          </w:tcPr>
          <w:p w14:paraId="0F518FC1" w14:textId="77777777" w:rsidR="009658B2" w:rsidRPr="0013396E" w:rsidRDefault="009658B2" w:rsidP="0099759E">
            <w:pPr>
              <w:spacing w:after="60"/>
              <w:rPr>
                <w:iCs/>
                <w:sz w:val="20"/>
              </w:rPr>
            </w:pPr>
            <w:r w:rsidRPr="0013396E">
              <w:rPr>
                <w:iCs/>
                <w:sz w:val="20"/>
              </w:rPr>
              <w:t>MWh</w:t>
            </w:r>
          </w:p>
        </w:tc>
        <w:tc>
          <w:tcPr>
            <w:tcW w:w="0" w:type="auto"/>
            <w:tcBorders>
              <w:top w:val="single" w:sz="4" w:space="0" w:color="auto"/>
              <w:left w:val="single" w:sz="4" w:space="0" w:color="auto"/>
              <w:bottom w:val="single" w:sz="4" w:space="0" w:color="auto"/>
              <w:right w:val="single" w:sz="4" w:space="0" w:color="auto"/>
            </w:tcBorders>
            <w:hideMark/>
          </w:tcPr>
          <w:p w14:paraId="4704A073" w14:textId="77777777" w:rsidR="009658B2" w:rsidRPr="0013396E" w:rsidRDefault="009658B2" w:rsidP="0099759E">
            <w:pPr>
              <w:spacing w:after="60"/>
              <w:rPr>
                <w:i/>
                <w:iCs/>
                <w:sz w:val="20"/>
              </w:rPr>
            </w:pPr>
            <w:r w:rsidRPr="0013396E">
              <w:rPr>
                <w:i/>
                <w:iCs/>
                <w:sz w:val="20"/>
              </w:rPr>
              <w:t>Resource Node Energy Imbalance per QSE per Settlement Point</w:t>
            </w:r>
            <w:r w:rsidRPr="0013396E">
              <w:rPr>
                <w:iCs/>
                <w:sz w:val="20"/>
              </w:rPr>
              <w:t xml:space="preserve">—The Resource Node volumetric imbalance for QSE </w:t>
            </w:r>
            <w:r w:rsidRPr="0013396E">
              <w:rPr>
                <w:i/>
                <w:iCs/>
                <w:sz w:val="20"/>
              </w:rPr>
              <w:t>q</w:t>
            </w:r>
            <w:r w:rsidRPr="0013396E">
              <w:rPr>
                <w:iCs/>
                <w:sz w:val="20"/>
              </w:rPr>
              <w:t xml:space="preserve"> for Real-Time Energy Imbalance Service at Settlement Point </w:t>
            </w:r>
            <w:r w:rsidRPr="0013396E">
              <w:rPr>
                <w:i/>
                <w:iCs/>
                <w:sz w:val="20"/>
              </w:rPr>
              <w:t>p</w:t>
            </w:r>
            <w:r w:rsidRPr="0013396E">
              <w:rPr>
                <w:iCs/>
                <w:sz w:val="20"/>
              </w:rPr>
              <w:t>, for the 15-minute Settlement Interval.</w:t>
            </w:r>
          </w:p>
        </w:tc>
      </w:tr>
      <w:tr w:rsidR="009658B2" w:rsidRPr="0013396E" w14:paraId="43C9C85C" w14:textId="77777777" w:rsidTr="005A7D8E">
        <w:trPr>
          <w:cantSplit/>
        </w:trPr>
        <w:tc>
          <w:tcPr>
            <w:tcW w:w="1885" w:type="dxa"/>
            <w:tcBorders>
              <w:top w:val="single" w:sz="4" w:space="0" w:color="auto"/>
              <w:left w:val="single" w:sz="4" w:space="0" w:color="auto"/>
              <w:bottom w:val="single" w:sz="4" w:space="0" w:color="auto"/>
              <w:right w:val="single" w:sz="4" w:space="0" w:color="auto"/>
            </w:tcBorders>
            <w:hideMark/>
          </w:tcPr>
          <w:p w14:paraId="7B30A634" w14:textId="77777777" w:rsidR="009658B2" w:rsidRPr="0013396E" w:rsidRDefault="009658B2" w:rsidP="0099759E">
            <w:pPr>
              <w:spacing w:after="60"/>
              <w:rPr>
                <w:iCs/>
                <w:sz w:val="20"/>
              </w:rPr>
            </w:pPr>
            <w:r w:rsidRPr="0013396E">
              <w:rPr>
                <w:iCs/>
                <w:sz w:val="20"/>
              </w:rPr>
              <w:t xml:space="preserve">RTSPP </w:t>
            </w:r>
            <w:r w:rsidRPr="0013396E">
              <w:rPr>
                <w:i/>
                <w:iCs/>
                <w:sz w:val="20"/>
                <w:vertAlign w:val="subscript"/>
              </w:rPr>
              <w:t>p</w:t>
            </w:r>
          </w:p>
        </w:tc>
        <w:tc>
          <w:tcPr>
            <w:tcW w:w="903" w:type="dxa"/>
            <w:tcBorders>
              <w:top w:val="single" w:sz="4" w:space="0" w:color="auto"/>
              <w:left w:val="single" w:sz="4" w:space="0" w:color="auto"/>
              <w:bottom w:val="single" w:sz="4" w:space="0" w:color="auto"/>
              <w:right w:val="single" w:sz="4" w:space="0" w:color="auto"/>
            </w:tcBorders>
            <w:hideMark/>
          </w:tcPr>
          <w:p w14:paraId="14650610" w14:textId="77777777" w:rsidR="009658B2" w:rsidRPr="0013396E" w:rsidRDefault="009658B2" w:rsidP="0099759E">
            <w:pPr>
              <w:spacing w:after="60"/>
              <w:rPr>
                <w:iCs/>
                <w:sz w:val="20"/>
              </w:rPr>
            </w:pPr>
            <w:r w:rsidRPr="0013396E">
              <w:rPr>
                <w:iCs/>
                <w:sz w:val="20"/>
              </w:rPr>
              <w:t>$/MWh</w:t>
            </w:r>
          </w:p>
        </w:tc>
        <w:tc>
          <w:tcPr>
            <w:tcW w:w="0" w:type="auto"/>
            <w:tcBorders>
              <w:top w:val="single" w:sz="4" w:space="0" w:color="auto"/>
              <w:left w:val="single" w:sz="4" w:space="0" w:color="auto"/>
              <w:bottom w:val="single" w:sz="4" w:space="0" w:color="auto"/>
              <w:right w:val="single" w:sz="4" w:space="0" w:color="auto"/>
            </w:tcBorders>
            <w:hideMark/>
          </w:tcPr>
          <w:p w14:paraId="02A66051" w14:textId="77777777" w:rsidR="009658B2" w:rsidRPr="0013396E" w:rsidRDefault="009658B2" w:rsidP="0099759E">
            <w:pPr>
              <w:spacing w:after="60"/>
              <w:rPr>
                <w:iCs/>
                <w:sz w:val="20"/>
              </w:rPr>
            </w:pPr>
            <w:r w:rsidRPr="0013396E">
              <w:rPr>
                <w:i/>
                <w:iCs/>
                <w:sz w:val="20"/>
              </w:rPr>
              <w:t>Real-Time Settlement Point Price per Settlement Point</w:t>
            </w:r>
            <w:r w:rsidRPr="0013396E">
              <w:rPr>
                <w:iCs/>
                <w:sz w:val="20"/>
              </w:rPr>
              <w:t xml:space="preserve">—The Real-Time Settlement Point Price at Settlement Point </w:t>
            </w:r>
            <w:r w:rsidRPr="0013396E">
              <w:rPr>
                <w:i/>
                <w:iCs/>
                <w:sz w:val="20"/>
              </w:rPr>
              <w:t>p</w:t>
            </w:r>
            <w:r w:rsidRPr="0013396E">
              <w:rPr>
                <w:iCs/>
                <w:sz w:val="20"/>
              </w:rPr>
              <w:t>, for the 15-minute Settlement Interval.</w:t>
            </w:r>
          </w:p>
        </w:tc>
      </w:tr>
      <w:tr w:rsidR="009658B2" w:rsidRPr="0013396E" w14:paraId="5FCE93B2" w14:textId="77777777" w:rsidTr="005A7D8E">
        <w:trPr>
          <w:cantSplit/>
        </w:trPr>
        <w:tc>
          <w:tcPr>
            <w:tcW w:w="1885" w:type="dxa"/>
            <w:tcBorders>
              <w:top w:val="single" w:sz="4" w:space="0" w:color="auto"/>
              <w:left w:val="single" w:sz="4" w:space="0" w:color="auto"/>
              <w:bottom w:val="single" w:sz="4" w:space="0" w:color="auto"/>
              <w:right w:val="single" w:sz="4" w:space="0" w:color="auto"/>
            </w:tcBorders>
            <w:hideMark/>
          </w:tcPr>
          <w:p w14:paraId="2F184F76" w14:textId="77777777" w:rsidR="009658B2" w:rsidRPr="0013396E" w:rsidRDefault="009658B2" w:rsidP="0099759E">
            <w:pPr>
              <w:spacing w:after="60"/>
              <w:rPr>
                <w:iCs/>
                <w:sz w:val="20"/>
              </w:rPr>
            </w:pPr>
            <w:r w:rsidRPr="0013396E">
              <w:rPr>
                <w:iCs/>
                <w:sz w:val="20"/>
              </w:rPr>
              <w:t xml:space="preserve">SSSK </w:t>
            </w:r>
            <w:r w:rsidRPr="0013396E">
              <w:rPr>
                <w:i/>
                <w:iCs/>
                <w:sz w:val="20"/>
                <w:vertAlign w:val="subscript"/>
              </w:rPr>
              <w:t>q, p</w:t>
            </w:r>
          </w:p>
        </w:tc>
        <w:tc>
          <w:tcPr>
            <w:tcW w:w="903" w:type="dxa"/>
            <w:tcBorders>
              <w:top w:val="single" w:sz="4" w:space="0" w:color="auto"/>
              <w:left w:val="single" w:sz="4" w:space="0" w:color="auto"/>
              <w:bottom w:val="single" w:sz="4" w:space="0" w:color="auto"/>
              <w:right w:val="single" w:sz="4" w:space="0" w:color="auto"/>
            </w:tcBorders>
            <w:hideMark/>
          </w:tcPr>
          <w:p w14:paraId="52AD2AC6" w14:textId="77777777" w:rsidR="009658B2" w:rsidRPr="0013396E" w:rsidRDefault="009658B2" w:rsidP="0099759E">
            <w:pPr>
              <w:spacing w:after="60"/>
              <w:rPr>
                <w:iCs/>
                <w:sz w:val="20"/>
              </w:rPr>
            </w:pPr>
            <w:r w:rsidRPr="0013396E">
              <w:rPr>
                <w:iCs/>
                <w:sz w:val="20"/>
              </w:rPr>
              <w:t>MW</w:t>
            </w:r>
          </w:p>
        </w:tc>
        <w:tc>
          <w:tcPr>
            <w:tcW w:w="0" w:type="auto"/>
            <w:tcBorders>
              <w:top w:val="single" w:sz="4" w:space="0" w:color="auto"/>
              <w:left w:val="single" w:sz="4" w:space="0" w:color="auto"/>
              <w:bottom w:val="single" w:sz="4" w:space="0" w:color="auto"/>
              <w:right w:val="single" w:sz="4" w:space="0" w:color="auto"/>
            </w:tcBorders>
            <w:hideMark/>
          </w:tcPr>
          <w:p w14:paraId="584EBDA7" w14:textId="77777777" w:rsidR="009658B2" w:rsidRPr="0013396E" w:rsidRDefault="009658B2" w:rsidP="0099759E">
            <w:pPr>
              <w:spacing w:after="60"/>
              <w:rPr>
                <w:i/>
                <w:iCs/>
                <w:sz w:val="20"/>
              </w:rPr>
            </w:pPr>
            <w:r w:rsidRPr="0013396E">
              <w:rPr>
                <w:i/>
                <w:iCs/>
                <w:sz w:val="20"/>
              </w:rPr>
              <w:t>Self-Schedule with Sink at Settlement Point per QSE per Settlement Point</w:t>
            </w:r>
            <w:r w:rsidRPr="0013396E">
              <w:rPr>
                <w:iCs/>
                <w:sz w:val="20"/>
              </w:rPr>
              <w:t xml:space="preserve">—The QSE </w:t>
            </w:r>
            <w:r w:rsidRPr="0013396E">
              <w:rPr>
                <w:i/>
                <w:iCs/>
                <w:sz w:val="20"/>
              </w:rPr>
              <w:t>q</w:t>
            </w:r>
            <w:r w:rsidRPr="0013396E">
              <w:rPr>
                <w:iCs/>
                <w:sz w:val="20"/>
              </w:rPr>
              <w:t xml:space="preserve">’s Self-Schedule with sink at Settlement Point </w:t>
            </w:r>
            <w:r w:rsidRPr="0013396E">
              <w:rPr>
                <w:i/>
                <w:iCs/>
                <w:sz w:val="20"/>
              </w:rPr>
              <w:t>p</w:t>
            </w:r>
            <w:r w:rsidRPr="0013396E">
              <w:rPr>
                <w:iCs/>
                <w:sz w:val="20"/>
              </w:rPr>
              <w:t>, for the 15-minute Settlement Interval.</w:t>
            </w:r>
          </w:p>
        </w:tc>
      </w:tr>
      <w:tr w:rsidR="009658B2" w:rsidRPr="0013396E" w14:paraId="17F84A04" w14:textId="77777777" w:rsidTr="005A7D8E">
        <w:trPr>
          <w:cantSplit/>
        </w:trPr>
        <w:tc>
          <w:tcPr>
            <w:tcW w:w="1885" w:type="dxa"/>
            <w:tcBorders>
              <w:top w:val="single" w:sz="4" w:space="0" w:color="auto"/>
              <w:left w:val="single" w:sz="4" w:space="0" w:color="auto"/>
              <w:bottom w:val="single" w:sz="4" w:space="0" w:color="auto"/>
              <w:right w:val="single" w:sz="4" w:space="0" w:color="auto"/>
            </w:tcBorders>
            <w:hideMark/>
          </w:tcPr>
          <w:p w14:paraId="13050050" w14:textId="77777777" w:rsidR="009658B2" w:rsidRPr="0013396E" w:rsidRDefault="009658B2" w:rsidP="0099759E">
            <w:pPr>
              <w:spacing w:after="60"/>
              <w:rPr>
                <w:iCs/>
                <w:sz w:val="20"/>
              </w:rPr>
            </w:pPr>
            <w:r w:rsidRPr="0013396E">
              <w:rPr>
                <w:iCs/>
                <w:sz w:val="20"/>
              </w:rPr>
              <w:lastRenderedPageBreak/>
              <w:t xml:space="preserve">DAEP </w:t>
            </w:r>
            <w:r w:rsidRPr="0013396E">
              <w:rPr>
                <w:i/>
                <w:iCs/>
                <w:sz w:val="20"/>
                <w:vertAlign w:val="subscript"/>
              </w:rPr>
              <w:t>q, p</w:t>
            </w:r>
          </w:p>
        </w:tc>
        <w:tc>
          <w:tcPr>
            <w:tcW w:w="903" w:type="dxa"/>
            <w:tcBorders>
              <w:top w:val="single" w:sz="4" w:space="0" w:color="auto"/>
              <w:left w:val="single" w:sz="4" w:space="0" w:color="auto"/>
              <w:bottom w:val="single" w:sz="4" w:space="0" w:color="auto"/>
              <w:right w:val="single" w:sz="4" w:space="0" w:color="auto"/>
            </w:tcBorders>
            <w:hideMark/>
          </w:tcPr>
          <w:p w14:paraId="41E9BF13" w14:textId="77777777" w:rsidR="009658B2" w:rsidRPr="0013396E" w:rsidRDefault="009658B2" w:rsidP="0099759E">
            <w:pPr>
              <w:spacing w:after="60"/>
              <w:rPr>
                <w:iCs/>
                <w:sz w:val="20"/>
              </w:rPr>
            </w:pPr>
            <w:r w:rsidRPr="0013396E">
              <w:rPr>
                <w:iCs/>
                <w:sz w:val="20"/>
              </w:rPr>
              <w:t>MW</w:t>
            </w:r>
          </w:p>
        </w:tc>
        <w:tc>
          <w:tcPr>
            <w:tcW w:w="0" w:type="auto"/>
            <w:tcBorders>
              <w:top w:val="single" w:sz="4" w:space="0" w:color="auto"/>
              <w:left w:val="single" w:sz="4" w:space="0" w:color="auto"/>
              <w:bottom w:val="single" w:sz="4" w:space="0" w:color="auto"/>
              <w:right w:val="single" w:sz="4" w:space="0" w:color="auto"/>
            </w:tcBorders>
            <w:hideMark/>
          </w:tcPr>
          <w:p w14:paraId="38838E01" w14:textId="6548BC3C" w:rsidR="009658B2" w:rsidRPr="0013396E" w:rsidRDefault="009658B2" w:rsidP="0099759E">
            <w:pPr>
              <w:spacing w:after="60"/>
              <w:rPr>
                <w:iCs/>
                <w:sz w:val="20"/>
              </w:rPr>
            </w:pPr>
            <w:r w:rsidRPr="0013396E">
              <w:rPr>
                <w:i/>
                <w:iCs/>
                <w:sz w:val="20"/>
              </w:rPr>
              <w:t>Day-Ahead Energy Purchase per QSE per Settlement Point</w:t>
            </w:r>
            <w:r w:rsidRPr="0013396E">
              <w:rPr>
                <w:iCs/>
                <w:sz w:val="20"/>
              </w:rPr>
              <w:t xml:space="preserve">—The QSE </w:t>
            </w:r>
            <w:r w:rsidRPr="0013396E">
              <w:rPr>
                <w:i/>
                <w:iCs/>
                <w:sz w:val="20"/>
              </w:rPr>
              <w:t>q</w:t>
            </w:r>
            <w:r w:rsidRPr="0013396E">
              <w:rPr>
                <w:iCs/>
                <w:sz w:val="20"/>
              </w:rPr>
              <w:t xml:space="preserve">’s DAM Energy Bids at Settlement Point </w:t>
            </w:r>
            <w:r w:rsidRPr="0013396E">
              <w:rPr>
                <w:i/>
                <w:iCs/>
                <w:sz w:val="20"/>
              </w:rPr>
              <w:t>p</w:t>
            </w:r>
            <w:r w:rsidRPr="0013396E">
              <w:rPr>
                <w:iCs/>
                <w:sz w:val="20"/>
              </w:rPr>
              <w:t xml:space="preserve"> cleared in the DAM, for the hour that includes the 15-minute Settlement Interval.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6274"/>
            </w:tblGrid>
            <w:tr w:rsidR="009658B2" w:rsidRPr="0013396E" w14:paraId="624260E6" w14:textId="77777777" w:rsidTr="009658B2">
              <w:trPr>
                <w:trHeight w:val="206"/>
              </w:trPr>
              <w:tc>
                <w:tcPr>
                  <w:tcW w:w="5000" w:type="pct"/>
                  <w:shd w:val="pct12" w:color="auto" w:fill="auto"/>
                </w:tcPr>
                <w:p w14:paraId="29EB8BCA" w14:textId="231AE51B" w:rsidR="009658B2" w:rsidRPr="0013396E" w:rsidRDefault="009658B2" w:rsidP="009658B2">
                  <w:pPr>
                    <w:pStyle w:val="Instructions"/>
                    <w:spacing w:before="120"/>
                    <w:ind w:right="-114"/>
                  </w:pPr>
                  <w:r w:rsidRPr="0013396E">
                    <w:t xml:space="preserve">[NPRR1188:  Replace </w:t>
                  </w:r>
                  <w:r>
                    <w:t>the description</w:t>
                  </w:r>
                  <w:r w:rsidRPr="0013396E">
                    <w:t xml:space="preserve"> above with the following upon system implementation:]</w:t>
                  </w:r>
                </w:p>
                <w:p w14:paraId="4C5E8C8A" w14:textId="6B60CFB6" w:rsidR="009658B2" w:rsidRPr="009658B2" w:rsidRDefault="009658B2" w:rsidP="009658B2">
                  <w:pPr>
                    <w:spacing w:after="60"/>
                    <w:rPr>
                      <w:iCs/>
                      <w:sz w:val="20"/>
                    </w:rPr>
                  </w:pPr>
                  <w:r w:rsidRPr="0013396E">
                    <w:rPr>
                      <w:i/>
                      <w:iCs/>
                      <w:sz w:val="20"/>
                    </w:rPr>
                    <w:t>Day-Ahead Energy Purchase per QSE per Settlement Point</w:t>
                  </w:r>
                  <w:r w:rsidRPr="0013396E">
                    <w:rPr>
                      <w:iCs/>
                      <w:sz w:val="20"/>
                    </w:rPr>
                    <w:t xml:space="preserve">—The QSE </w:t>
                  </w:r>
                  <w:r w:rsidRPr="0013396E">
                    <w:rPr>
                      <w:i/>
                      <w:iCs/>
                      <w:sz w:val="20"/>
                    </w:rPr>
                    <w:t>q</w:t>
                  </w:r>
                  <w:r w:rsidRPr="0013396E">
                    <w:rPr>
                      <w:iCs/>
                      <w:sz w:val="20"/>
                    </w:rPr>
                    <w:t xml:space="preserve">’s DAM Energy Bids, Energy Bid Curves, and bid portion of Energy Bid/Offer Curves at Settlement Point </w:t>
                  </w:r>
                  <w:r w:rsidRPr="0013396E">
                    <w:rPr>
                      <w:i/>
                      <w:iCs/>
                      <w:sz w:val="20"/>
                    </w:rPr>
                    <w:t>p</w:t>
                  </w:r>
                  <w:r w:rsidRPr="0013396E">
                    <w:rPr>
                      <w:iCs/>
                      <w:sz w:val="20"/>
                    </w:rPr>
                    <w:t>, cleared in the DAM, for the hour that includes the 15-minute Settlement Interval.</w:t>
                  </w:r>
                </w:p>
              </w:tc>
            </w:tr>
          </w:tbl>
          <w:p w14:paraId="3F5416B7" w14:textId="04227232" w:rsidR="009658B2" w:rsidRPr="0013396E" w:rsidRDefault="009658B2" w:rsidP="0099759E">
            <w:pPr>
              <w:spacing w:after="60"/>
              <w:rPr>
                <w:iCs/>
                <w:sz w:val="20"/>
              </w:rPr>
            </w:pPr>
          </w:p>
        </w:tc>
      </w:tr>
      <w:tr w:rsidR="009658B2" w:rsidRPr="0013396E" w14:paraId="708103AF" w14:textId="77777777" w:rsidTr="005A7D8E">
        <w:trPr>
          <w:cantSplit/>
        </w:trPr>
        <w:tc>
          <w:tcPr>
            <w:tcW w:w="1885" w:type="dxa"/>
            <w:tcBorders>
              <w:top w:val="single" w:sz="4" w:space="0" w:color="auto"/>
              <w:left w:val="single" w:sz="4" w:space="0" w:color="auto"/>
              <w:bottom w:val="single" w:sz="4" w:space="0" w:color="auto"/>
              <w:right w:val="single" w:sz="4" w:space="0" w:color="auto"/>
            </w:tcBorders>
            <w:hideMark/>
          </w:tcPr>
          <w:p w14:paraId="2B3C45A2" w14:textId="77777777" w:rsidR="009658B2" w:rsidRPr="0013396E" w:rsidRDefault="009658B2" w:rsidP="0099759E">
            <w:pPr>
              <w:spacing w:after="60"/>
              <w:rPr>
                <w:iCs/>
                <w:sz w:val="20"/>
              </w:rPr>
            </w:pPr>
            <w:r w:rsidRPr="0013396E">
              <w:rPr>
                <w:iCs/>
                <w:sz w:val="20"/>
              </w:rPr>
              <w:t xml:space="preserve">RTQQEP </w:t>
            </w:r>
            <w:r w:rsidRPr="0013396E">
              <w:rPr>
                <w:i/>
                <w:iCs/>
                <w:sz w:val="20"/>
                <w:vertAlign w:val="subscript"/>
              </w:rPr>
              <w:t>q, p</w:t>
            </w:r>
            <w:r w:rsidRPr="0013396E">
              <w:rPr>
                <w:iCs/>
                <w:sz w:val="20"/>
              </w:rPr>
              <w:t xml:space="preserve"> </w:t>
            </w:r>
          </w:p>
        </w:tc>
        <w:tc>
          <w:tcPr>
            <w:tcW w:w="903" w:type="dxa"/>
            <w:tcBorders>
              <w:top w:val="single" w:sz="4" w:space="0" w:color="auto"/>
              <w:left w:val="single" w:sz="4" w:space="0" w:color="auto"/>
              <w:bottom w:val="single" w:sz="4" w:space="0" w:color="auto"/>
              <w:right w:val="single" w:sz="4" w:space="0" w:color="auto"/>
            </w:tcBorders>
            <w:hideMark/>
          </w:tcPr>
          <w:p w14:paraId="42482AF2" w14:textId="77777777" w:rsidR="009658B2" w:rsidRPr="0013396E" w:rsidRDefault="009658B2" w:rsidP="0099759E">
            <w:pPr>
              <w:spacing w:after="60"/>
              <w:rPr>
                <w:iCs/>
                <w:sz w:val="20"/>
              </w:rPr>
            </w:pPr>
            <w:r w:rsidRPr="0013396E">
              <w:rPr>
                <w:iCs/>
                <w:sz w:val="20"/>
              </w:rPr>
              <w:t>MW</w:t>
            </w:r>
          </w:p>
        </w:tc>
        <w:tc>
          <w:tcPr>
            <w:tcW w:w="0" w:type="auto"/>
            <w:tcBorders>
              <w:top w:val="single" w:sz="4" w:space="0" w:color="auto"/>
              <w:left w:val="single" w:sz="4" w:space="0" w:color="auto"/>
              <w:bottom w:val="single" w:sz="4" w:space="0" w:color="auto"/>
              <w:right w:val="single" w:sz="4" w:space="0" w:color="auto"/>
            </w:tcBorders>
            <w:hideMark/>
          </w:tcPr>
          <w:p w14:paraId="65A4709C" w14:textId="77777777" w:rsidR="009658B2" w:rsidRPr="0013396E" w:rsidRDefault="009658B2" w:rsidP="0099759E">
            <w:pPr>
              <w:spacing w:after="60"/>
              <w:rPr>
                <w:iCs/>
                <w:sz w:val="20"/>
              </w:rPr>
            </w:pPr>
            <w:r w:rsidRPr="0013396E">
              <w:rPr>
                <w:i/>
                <w:iCs/>
                <w:sz w:val="20"/>
              </w:rPr>
              <w:t>Real-Time QSE-to-QSE Energy Purchase per QSE per Settlement Point</w:t>
            </w:r>
            <w:r w:rsidRPr="0013396E">
              <w:rPr>
                <w:iCs/>
                <w:sz w:val="20"/>
              </w:rPr>
              <w:sym w:font="Symbol" w:char="F0BE"/>
            </w:r>
            <w:r w:rsidRPr="0013396E">
              <w:rPr>
                <w:iCs/>
                <w:sz w:val="20"/>
              </w:rPr>
              <w:t xml:space="preserve">The amount of MW bought by QSE </w:t>
            </w:r>
            <w:r w:rsidRPr="0013396E">
              <w:rPr>
                <w:i/>
                <w:iCs/>
                <w:sz w:val="20"/>
              </w:rPr>
              <w:t>q</w:t>
            </w:r>
            <w:r w:rsidRPr="0013396E">
              <w:rPr>
                <w:iCs/>
                <w:sz w:val="20"/>
              </w:rPr>
              <w:t xml:space="preserve"> through Energy Trades at Settlement Point </w:t>
            </w:r>
            <w:r w:rsidRPr="0013396E">
              <w:rPr>
                <w:i/>
                <w:iCs/>
                <w:sz w:val="20"/>
              </w:rPr>
              <w:t>p</w:t>
            </w:r>
            <w:r w:rsidRPr="0013396E">
              <w:rPr>
                <w:iCs/>
                <w:sz w:val="20"/>
              </w:rPr>
              <w:t>, for the 15-minute Settlement Interval.</w:t>
            </w:r>
          </w:p>
        </w:tc>
      </w:tr>
      <w:tr w:rsidR="009658B2" w:rsidRPr="0013396E" w14:paraId="4175F869" w14:textId="77777777" w:rsidTr="005A7D8E">
        <w:trPr>
          <w:cantSplit/>
        </w:trPr>
        <w:tc>
          <w:tcPr>
            <w:tcW w:w="1885" w:type="dxa"/>
            <w:tcBorders>
              <w:top w:val="single" w:sz="4" w:space="0" w:color="auto"/>
              <w:left w:val="single" w:sz="4" w:space="0" w:color="auto"/>
              <w:bottom w:val="single" w:sz="4" w:space="0" w:color="auto"/>
              <w:right w:val="single" w:sz="4" w:space="0" w:color="auto"/>
            </w:tcBorders>
            <w:hideMark/>
          </w:tcPr>
          <w:p w14:paraId="207749CF" w14:textId="77777777" w:rsidR="009658B2" w:rsidRPr="0013396E" w:rsidRDefault="009658B2" w:rsidP="0099759E">
            <w:pPr>
              <w:spacing w:after="60"/>
              <w:rPr>
                <w:iCs/>
                <w:sz w:val="20"/>
              </w:rPr>
            </w:pPr>
            <w:r w:rsidRPr="0013396E">
              <w:rPr>
                <w:iCs/>
                <w:sz w:val="20"/>
              </w:rPr>
              <w:t xml:space="preserve">SSSR </w:t>
            </w:r>
            <w:r w:rsidRPr="0013396E">
              <w:rPr>
                <w:i/>
                <w:iCs/>
                <w:sz w:val="20"/>
                <w:vertAlign w:val="subscript"/>
              </w:rPr>
              <w:t>q, p</w:t>
            </w:r>
          </w:p>
        </w:tc>
        <w:tc>
          <w:tcPr>
            <w:tcW w:w="903" w:type="dxa"/>
            <w:tcBorders>
              <w:top w:val="single" w:sz="4" w:space="0" w:color="auto"/>
              <w:left w:val="single" w:sz="4" w:space="0" w:color="auto"/>
              <w:bottom w:val="single" w:sz="4" w:space="0" w:color="auto"/>
              <w:right w:val="single" w:sz="4" w:space="0" w:color="auto"/>
            </w:tcBorders>
            <w:hideMark/>
          </w:tcPr>
          <w:p w14:paraId="1B576025" w14:textId="77777777" w:rsidR="009658B2" w:rsidRPr="0013396E" w:rsidRDefault="009658B2" w:rsidP="0099759E">
            <w:pPr>
              <w:spacing w:after="60"/>
              <w:rPr>
                <w:iCs/>
                <w:sz w:val="20"/>
              </w:rPr>
            </w:pPr>
            <w:r w:rsidRPr="0013396E">
              <w:rPr>
                <w:iCs/>
                <w:sz w:val="20"/>
              </w:rPr>
              <w:t>MW</w:t>
            </w:r>
          </w:p>
        </w:tc>
        <w:tc>
          <w:tcPr>
            <w:tcW w:w="0" w:type="auto"/>
            <w:tcBorders>
              <w:top w:val="single" w:sz="4" w:space="0" w:color="auto"/>
              <w:left w:val="single" w:sz="4" w:space="0" w:color="auto"/>
              <w:bottom w:val="single" w:sz="4" w:space="0" w:color="auto"/>
              <w:right w:val="single" w:sz="4" w:space="0" w:color="auto"/>
            </w:tcBorders>
            <w:hideMark/>
          </w:tcPr>
          <w:p w14:paraId="02102C09" w14:textId="77777777" w:rsidR="009658B2" w:rsidRPr="0013396E" w:rsidRDefault="009658B2" w:rsidP="0099759E">
            <w:pPr>
              <w:spacing w:after="60"/>
              <w:rPr>
                <w:iCs/>
                <w:sz w:val="20"/>
              </w:rPr>
            </w:pPr>
            <w:r w:rsidRPr="0013396E">
              <w:rPr>
                <w:i/>
                <w:iCs/>
                <w:sz w:val="20"/>
              </w:rPr>
              <w:t>Self-Schedule with Source at Settlement Point per QSE per Settlement Point</w:t>
            </w:r>
            <w:r w:rsidRPr="0013396E">
              <w:rPr>
                <w:iCs/>
                <w:sz w:val="20"/>
              </w:rPr>
              <w:t xml:space="preserve">—The QSE </w:t>
            </w:r>
            <w:r w:rsidRPr="0013396E">
              <w:rPr>
                <w:i/>
                <w:iCs/>
                <w:sz w:val="20"/>
              </w:rPr>
              <w:t>q</w:t>
            </w:r>
            <w:r w:rsidRPr="0013396E">
              <w:rPr>
                <w:iCs/>
                <w:sz w:val="20"/>
              </w:rPr>
              <w:t xml:space="preserve">’s Self-Schedule with source at Settlement Point </w:t>
            </w:r>
            <w:r w:rsidRPr="0013396E">
              <w:rPr>
                <w:i/>
                <w:iCs/>
                <w:sz w:val="20"/>
              </w:rPr>
              <w:t>p</w:t>
            </w:r>
            <w:r w:rsidRPr="0013396E">
              <w:rPr>
                <w:iCs/>
                <w:sz w:val="20"/>
              </w:rPr>
              <w:t>, for the 15-minute Settlement Interval.</w:t>
            </w:r>
          </w:p>
        </w:tc>
      </w:tr>
      <w:tr w:rsidR="009658B2" w:rsidRPr="0013396E" w14:paraId="080FE1A1" w14:textId="77777777" w:rsidTr="005A7D8E">
        <w:trPr>
          <w:cantSplit/>
        </w:trPr>
        <w:tc>
          <w:tcPr>
            <w:tcW w:w="1885" w:type="dxa"/>
            <w:tcBorders>
              <w:top w:val="single" w:sz="4" w:space="0" w:color="auto"/>
              <w:left w:val="single" w:sz="4" w:space="0" w:color="auto"/>
              <w:bottom w:val="single" w:sz="4" w:space="0" w:color="auto"/>
              <w:right w:val="single" w:sz="4" w:space="0" w:color="auto"/>
            </w:tcBorders>
            <w:hideMark/>
          </w:tcPr>
          <w:p w14:paraId="65C7B541" w14:textId="77777777" w:rsidR="009658B2" w:rsidRPr="0013396E" w:rsidRDefault="009658B2" w:rsidP="0099759E">
            <w:pPr>
              <w:spacing w:after="60"/>
              <w:rPr>
                <w:iCs/>
                <w:sz w:val="20"/>
              </w:rPr>
            </w:pPr>
            <w:r w:rsidRPr="0013396E">
              <w:rPr>
                <w:iCs/>
                <w:sz w:val="20"/>
              </w:rPr>
              <w:t xml:space="preserve">DAES </w:t>
            </w:r>
            <w:r w:rsidRPr="0013396E">
              <w:rPr>
                <w:i/>
                <w:iCs/>
                <w:sz w:val="20"/>
                <w:vertAlign w:val="subscript"/>
              </w:rPr>
              <w:t>q, p</w:t>
            </w:r>
          </w:p>
        </w:tc>
        <w:tc>
          <w:tcPr>
            <w:tcW w:w="903" w:type="dxa"/>
            <w:tcBorders>
              <w:top w:val="single" w:sz="4" w:space="0" w:color="auto"/>
              <w:left w:val="single" w:sz="4" w:space="0" w:color="auto"/>
              <w:bottom w:val="single" w:sz="4" w:space="0" w:color="auto"/>
              <w:right w:val="single" w:sz="4" w:space="0" w:color="auto"/>
            </w:tcBorders>
            <w:hideMark/>
          </w:tcPr>
          <w:p w14:paraId="398158AE" w14:textId="77777777" w:rsidR="009658B2" w:rsidRPr="0013396E" w:rsidRDefault="009658B2" w:rsidP="0099759E">
            <w:pPr>
              <w:spacing w:after="60"/>
              <w:rPr>
                <w:iCs/>
                <w:sz w:val="20"/>
              </w:rPr>
            </w:pPr>
            <w:r w:rsidRPr="0013396E">
              <w:rPr>
                <w:iCs/>
                <w:sz w:val="20"/>
              </w:rPr>
              <w:t>MW</w:t>
            </w:r>
          </w:p>
        </w:tc>
        <w:tc>
          <w:tcPr>
            <w:tcW w:w="0" w:type="auto"/>
            <w:tcBorders>
              <w:top w:val="single" w:sz="4" w:space="0" w:color="auto"/>
              <w:left w:val="single" w:sz="4" w:space="0" w:color="auto"/>
              <w:bottom w:val="single" w:sz="4" w:space="0" w:color="auto"/>
              <w:right w:val="single" w:sz="4" w:space="0" w:color="auto"/>
            </w:tcBorders>
            <w:hideMark/>
          </w:tcPr>
          <w:p w14:paraId="3233CB6D" w14:textId="77777777" w:rsidR="009658B2" w:rsidRPr="0013396E" w:rsidRDefault="009658B2" w:rsidP="0099759E">
            <w:pPr>
              <w:spacing w:after="60"/>
              <w:rPr>
                <w:iCs/>
                <w:sz w:val="20"/>
              </w:rPr>
            </w:pPr>
            <w:r w:rsidRPr="0013396E">
              <w:rPr>
                <w:i/>
                <w:iCs/>
                <w:sz w:val="20"/>
              </w:rPr>
              <w:t>Day-Ahead Energy Sale per QSE per Settlement Point</w:t>
            </w:r>
            <w:r w:rsidRPr="0013396E">
              <w:rPr>
                <w:iCs/>
                <w:sz w:val="20"/>
              </w:rPr>
              <w:t xml:space="preserve">—The QSE </w:t>
            </w:r>
            <w:r w:rsidRPr="0013396E">
              <w:rPr>
                <w:i/>
                <w:iCs/>
                <w:sz w:val="20"/>
              </w:rPr>
              <w:t>q</w:t>
            </w:r>
            <w:r w:rsidRPr="0013396E">
              <w:rPr>
                <w:iCs/>
                <w:sz w:val="20"/>
              </w:rPr>
              <w:t xml:space="preserve">’s energy offers at Settlement Point </w:t>
            </w:r>
            <w:r w:rsidRPr="0013396E">
              <w:rPr>
                <w:i/>
                <w:iCs/>
                <w:sz w:val="20"/>
              </w:rPr>
              <w:t>p</w:t>
            </w:r>
            <w:r w:rsidRPr="0013396E">
              <w:rPr>
                <w:iCs/>
                <w:sz w:val="20"/>
              </w:rPr>
              <w:t xml:space="preserve"> cleared in the DAM, for the hour that includes the 15-minute Settlement Interval.</w:t>
            </w:r>
          </w:p>
        </w:tc>
      </w:tr>
      <w:tr w:rsidR="009658B2" w:rsidRPr="0013396E" w14:paraId="36D52C0A" w14:textId="77777777" w:rsidTr="005A7D8E">
        <w:trPr>
          <w:cantSplit/>
        </w:trPr>
        <w:tc>
          <w:tcPr>
            <w:tcW w:w="1885" w:type="dxa"/>
            <w:tcBorders>
              <w:top w:val="single" w:sz="4" w:space="0" w:color="auto"/>
              <w:left w:val="single" w:sz="4" w:space="0" w:color="auto"/>
              <w:bottom w:val="single" w:sz="4" w:space="0" w:color="auto"/>
              <w:right w:val="single" w:sz="4" w:space="0" w:color="auto"/>
            </w:tcBorders>
            <w:hideMark/>
          </w:tcPr>
          <w:p w14:paraId="644F8679" w14:textId="77777777" w:rsidR="009658B2" w:rsidRPr="0013396E" w:rsidRDefault="009658B2" w:rsidP="0099759E">
            <w:pPr>
              <w:spacing w:after="60"/>
              <w:rPr>
                <w:iCs/>
                <w:sz w:val="20"/>
              </w:rPr>
            </w:pPr>
            <w:r w:rsidRPr="0013396E">
              <w:rPr>
                <w:iCs/>
                <w:sz w:val="20"/>
              </w:rPr>
              <w:t xml:space="preserve">RTQQES </w:t>
            </w:r>
            <w:r w:rsidRPr="0013396E">
              <w:rPr>
                <w:i/>
                <w:iCs/>
                <w:sz w:val="20"/>
                <w:vertAlign w:val="subscript"/>
              </w:rPr>
              <w:t>q, p</w:t>
            </w:r>
            <w:r w:rsidRPr="0013396E">
              <w:rPr>
                <w:iCs/>
                <w:sz w:val="20"/>
              </w:rPr>
              <w:t xml:space="preserve"> </w:t>
            </w:r>
          </w:p>
        </w:tc>
        <w:tc>
          <w:tcPr>
            <w:tcW w:w="903" w:type="dxa"/>
            <w:tcBorders>
              <w:top w:val="single" w:sz="4" w:space="0" w:color="auto"/>
              <w:left w:val="single" w:sz="4" w:space="0" w:color="auto"/>
              <w:bottom w:val="single" w:sz="4" w:space="0" w:color="auto"/>
              <w:right w:val="single" w:sz="4" w:space="0" w:color="auto"/>
            </w:tcBorders>
            <w:hideMark/>
          </w:tcPr>
          <w:p w14:paraId="59E6B782" w14:textId="77777777" w:rsidR="009658B2" w:rsidRPr="0013396E" w:rsidRDefault="009658B2" w:rsidP="0099759E">
            <w:pPr>
              <w:spacing w:after="60"/>
              <w:rPr>
                <w:iCs/>
                <w:sz w:val="20"/>
              </w:rPr>
            </w:pPr>
            <w:r w:rsidRPr="0013396E">
              <w:rPr>
                <w:iCs/>
                <w:sz w:val="20"/>
              </w:rPr>
              <w:t>MW</w:t>
            </w:r>
          </w:p>
        </w:tc>
        <w:tc>
          <w:tcPr>
            <w:tcW w:w="0" w:type="auto"/>
            <w:tcBorders>
              <w:top w:val="single" w:sz="4" w:space="0" w:color="auto"/>
              <w:left w:val="single" w:sz="4" w:space="0" w:color="auto"/>
              <w:bottom w:val="single" w:sz="4" w:space="0" w:color="auto"/>
              <w:right w:val="single" w:sz="4" w:space="0" w:color="auto"/>
            </w:tcBorders>
            <w:hideMark/>
          </w:tcPr>
          <w:p w14:paraId="031AD11E" w14:textId="77777777" w:rsidR="009658B2" w:rsidRPr="0013396E" w:rsidRDefault="009658B2" w:rsidP="0099759E">
            <w:pPr>
              <w:spacing w:after="60"/>
              <w:rPr>
                <w:iCs/>
                <w:sz w:val="20"/>
              </w:rPr>
            </w:pPr>
            <w:r w:rsidRPr="0013396E">
              <w:rPr>
                <w:i/>
                <w:iCs/>
                <w:sz w:val="20"/>
              </w:rPr>
              <w:t>Real-Time QSE-to-QSE Energy Sale per QSE per Settlement Point</w:t>
            </w:r>
            <w:r w:rsidRPr="0013396E">
              <w:rPr>
                <w:iCs/>
                <w:sz w:val="20"/>
              </w:rPr>
              <w:sym w:font="Symbol" w:char="F0BE"/>
            </w:r>
            <w:r w:rsidRPr="0013396E">
              <w:rPr>
                <w:iCs/>
                <w:sz w:val="20"/>
              </w:rPr>
              <w:t xml:space="preserve">The amount of MW sold by QSE </w:t>
            </w:r>
            <w:r w:rsidRPr="0013396E">
              <w:rPr>
                <w:i/>
                <w:iCs/>
                <w:sz w:val="20"/>
              </w:rPr>
              <w:t>q</w:t>
            </w:r>
            <w:r w:rsidRPr="0013396E">
              <w:rPr>
                <w:iCs/>
                <w:sz w:val="20"/>
              </w:rPr>
              <w:t xml:space="preserve"> through Energy Trades at Settlement Point </w:t>
            </w:r>
            <w:r w:rsidRPr="0013396E">
              <w:rPr>
                <w:i/>
                <w:iCs/>
                <w:sz w:val="20"/>
              </w:rPr>
              <w:t>p</w:t>
            </w:r>
            <w:r w:rsidRPr="0013396E">
              <w:rPr>
                <w:iCs/>
                <w:sz w:val="20"/>
              </w:rPr>
              <w:t>, for the 15-minute Settlement Interval.</w:t>
            </w:r>
          </w:p>
        </w:tc>
      </w:tr>
      <w:tr w:rsidR="009658B2" w:rsidRPr="0013396E" w14:paraId="5E91B5DD" w14:textId="77777777" w:rsidTr="005A7D8E">
        <w:trPr>
          <w:cantSplit/>
        </w:trPr>
        <w:tc>
          <w:tcPr>
            <w:tcW w:w="1885" w:type="dxa"/>
            <w:tcBorders>
              <w:top w:val="single" w:sz="4" w:space="0" w:color="auto"/>
              <w:left w:val="single" w:sz="4" w:space="0" w:color="auto"/>
              <w:bottom w:val="single" w:sz="4" w:space="0" w:color="auto"/>
              <w:right w:val="single" w:sz="4" w:space="0" w:color="auto"/>
            </w:tcBorders>
            <w:hideMark/>
          </w:tcPr>
          <w:p w14:paraId="2B0741B2" w14:textId="77777777" w:rsidR="009658B2" w:rsidRPr="0013396E" w:rsidRDefault="009658B2" w:rsidP="0099759E">
            <w:pPr>
              <w:spacing w:after="60"/>
              <w:rPr>
                <w:iCs/>
                <w:sz w:val="20"/>
              </w:rPr>
            </w:pPr>
            <w:r w:rsidRPr="0013396E">
              <w:rPr>
                <w:iCs/>
                <w:sz w:val="20"/>
              </w:rPr>
              <w:t xml:space="preserve">RESREV </w:t>
            </w:r>
            <w:r w:rsidRPr="0013396E">
              <w:rPr>
                <w:i/>
                <w:iCs/>
                <w:sz w:val="20"/>
                <w:vertAlign w:val="subscript"/>
              </w:rPr>
              <w:t>q, r, gsc, p</w:t>
            </w:r>
          </w:p>
        </w:tc>
        <w:tc>
          <w:tcPr>
            <w:tcW w:w="903" w:type="dxa"/>
            <w:tcBorders>
              <w:top w:val="single" w:sz="4" w:space="0" w:color="auto"/>
              <w:left w:val="single" w:sz="4" w:space="0" w:color="auto"/>
              <w:bottom w:val="single" w:sz="4" w:space="0" w:color="auto"/>
              <w:right w:val="single" w:sz="4" w:space="0" w:color="auto"/>
            </w:tcBorders>
            <w:hideMark/>
          </w:tcPr>
          <w:p w14:paraId="50700DC6" w14:textId="77777777" w:rsidR="009658B2" w:rsidRPr="0013396E" w:rsidRDefault="009658B2" w:rsidP="0099759E">
            <w:pPr>
              <w:spacing w:after="60"/>
              <w:rPr>
                <w:iCs/>
                <w:sz w:val="20"/>
              </w:rPr>
            </w:pPr>
            <w:r w:rsidRPr="0013396E">
              <w:rPr>
                <w:iCs/>
                <w:sz w:val="20"/>
              </w:rPr>
              <w:t>$</w:t>
            </w:r>
          </w:p>
        </w:tc>
        <w:tc>
          <w:tcPr>
            <w:tcW w:w="0" w:type="auto"/>
            <w:tcBorders>
              <w:top w:val="single" w:sz="4" w:space="0" w:color="auto"/>
              <w:left w:val="single" w:sz="4" w:space="0" w:color="auto"/>
              <w:bottom w:val="single" w:sz="4" w:space="0" w:color="auto"/>
              <w:right w:val="single" w:sz="4" w:space="0" w:color="auto"/>
            </w:tcBorders>
            <w:hideMark/>
          </w:tcPr>
          <w:p w14:paraId="75CD4309" w14:textId="77777777" w:rsidR="009658B2" w:rsidRPr="0013396E" w:rsidRDefault="009658B2" w:rsidP="0099759E">
            <w:pPr>
              <w:spacing w:after="60"/>
              <w:rPr>
                <w:i/>
                <w:iCs/>
                <w:sz w:val="20"/>
              </w:rPr>
            </w:pPr>
            <w:r w:rsidRPr="0013396E">
              <w:rPr>
                <w:i/>
                <w:iCs/>
                <w:sz w:val="20"/>
              </w:rPr>
              <w:t>Resource Share Revenue Settlement Payment</w:t>
            </w:r>
            <w:r w:rsidRPr="0013396E">
              <w:rPr>
                <w:iCs/>
                <w:sz w:val="20"/>
              </w:rPr>
              <w:t xml:space="preserve">—The Resource share of the total payment to the entire Facility with a net metering arrangement attributed to Resource </w:t>
            </w:r>
            <w:r w:rsidRPr="0013396E">
              <w:rPr>
                <w:i/>
                <w:iCs/>
                <w:sz w:val="20"/>
              </w:rPr>
              <w:t>r</w:t>
            </w:r>
            <w:r w:rsidRPr="0013396E">
              <w:rPr>
                <w:iCs/>
                <w:sz w:val="20"/>
              </w:rPr>
              <w:t xml:space="preserve"> that is part of a generation site code </w:t>
            </w:r>
            <w:r w:rsidRPr="0013396E">
              <w:rPr>
                <w:i/>
                <w:iCs/>
                <w:sz w:val="20"/>
              </w:rPr>
              <w:t>gsc</w:t>
            </w:r>
            <w:r w:rsidRPr="0013396E">
              <w:rPr>
                <w:iCs/>
                <w:sz w:val="20"/>
              </w:rPr>
              <w:t xml:space="preserve"> for the QSE </w:t>
            </w:r>
            <w:r w:rsidRPr="0013396E">
              <w:rPr>
                <w:i/>
                <w:iCs/>
                <w:sz w:val="20"/>
              </w:rPr>
              <w:t>q</w:t>
            </w:r>
            <w:r w:rsidRPr="0013396E">
              <w:rPr>
                <w:iCs/>
                <w:sz w:val="20"/>
              </w:rPr>
              <w:t xml:space="preserve"> at Settlement Point </w:t>
            </w:r>
            <w:r w:rsidRPr="0013396E">
              <w:rPr>
                <w:i/>
                <w:iCs/>
                <w:sz w:val="20"/>
              </w:rPr>
              <w:t>p</w:t>
            </w:r>
            <w:r w:rsidRPr="0013396E">
              <w:rPr>
                <w:iCs/>
                <w:sz w:val="20"/>
              </w:rPr>
              <w:t>.</w:t>
            </w:r>
          </w:p>
        </w:tc>
      </w:tr>
      <w:tr w:rsidR="009658B2" w:rsidRPr="0013396E" w14:paraId="776EF340" w14:textId="77777777" w:rsidTr="005A7D8E">
        <w:trPr>
          <w:cantSplit/>
        </w:trPr>
        <w:tc>
          <w:tcPr>
            <w:tcW w:w="1885" w:type="dxa"/>
            <w:tcBorders>
              <w:top w:val="single" w:sz="4" w:space="0" w:color="auto"/>
              <w:left w:val="single" w:sz="4" w:space="0" w:color="auto"/>
              <w:bottom w:val="single" w:sz="4" w:space="0" w:color="auto"/>
              <w:right w:val="single" w:sz="4" w:space="0" w:color="auto"/>
            </w:tcBorders>
            <w:hideMark/>
          </w:tcPr>
          <w:p w14:paraId="16FADA65" w14:textId="77777777" w:rsidR="009658B2" w:rsidRPr="0013396E" w:rsidRDefault="009658B2" w:rsidP="0099759E">
            <w:pPr>
              <w:spacing w:after="60"/>
              <w:rPr>
                <w:iCs/>
                <w:sz w:val="20"/>
              </w:rPr>
            </w:pPr>
            <w:r w:rsidRPr="0013396E">
              <w:rPr>
                <w:iCs/>
                <w:sz w:val="20"/>
              </w:rPr>
              <w:t xml:space="preserve">RESMEB </w:t>
            </w:r>
            <w:r w:rsidRPr="0013396E">
              <w:rPr>
                <w:i/>
                <w:iCs/>
                <w:sz w:val="20"/>
                <w:vertAlign w:val="subscript"/>
              </w:rPr>
              <w:t>q, r, gsc, p</w:t>
            </w:r>
          </w:p>
        </w:tc>
        <w:tc>
          <w:tcPr>
            <w:tcW w:w="903" w:type="dxa"/>
            <w:tcBorders>
              <w:top w:val="single" w:sz="4" w:space="0" w:color="auto"/>
              <w:left w:val="single" w:sz="4" w:space="0" w:color="auto"/>
              <w:bottom w:val="single" w:sz="4" w:space="0" w:color="auto"/>
              <w:right w:val="single" w:sz="4" w:space="0" w:color="auto"/>
            </w:tcBorders>
            <w:hideMark/>
          </w:tcPr>
          <w:p w14:paraId="309918E1" w14:textId="77777777" w:rsidR="009658B2" w:rsidRPr="0013396E" w:rsidRDefault="009658B2" w:rsidP="0099759E">
            <w:pPr>
              <w:spacing w:after="60"/>
              <w:rPr>
                <w:iCs/>
                <w:sz w:val="20"/>
              </w:rPr>
            </w:pPr>
            <w:r w:rsidRPr="0013396E">
              <w:rPr>
                <w:iCs/>
                <w:sz w:val="20"/>
              </w:rPr>
              <w:t>MWh</w:t>
            </w:r>
          </w:p>
        </w:tc>
        <w:tc>
          <w:tcPr>
            <w:tcW w:w="0" w:type="auto"/>
            <w:tcBorders>
              <w:top w:val="single" w:sz="4" w:space="0" w:color="auto"/>
              <w:left w:val="single" w:sz="4" w:space="0" w:color="auto"/>
              <w:bottom w:val="single" w:sz="4" w:space="0" w:color="auto"/>
              <w:right w:val="single" w:sz="4" w:space="0" w:color="auto"/>
            </w:tcBorders>
            <w:hideMark/>
          </w:tcPr>
          <w:p w14:paraId="7C5C2E73" w14:textId="77777777" w:rsidR="009658B2" w:rsidRPr="0013396E" w:rsidRDefault="009658B2" w:rsidP="0099759E">
            <w:pPr>
              <w:spacing w:after="60"/>
              <w:rPr>
                <w:i/>
                <w:iCs/>
                <w:sz w:val="20"/>
              </w:rPr>
            </w:pPr>
            <w:r w:rsidRPr="0013396E">
              <w:rPr>
                <w:i/>
                <w:iCs/>
                <w:sz w:val="20"/>
              </w:rPr>
              <w:t>Resource Share Net Meter Real-Time Energy Total</w:t>
            </w:r>
            <w:r w:rsidRPr="0013396E">
              <w:rPr>
                <w:iCs/>
                <w:sz w:val="20"/>
              </w:rPr>
              <w:t xml:space="preserve">—The Resource share of the net sum for all Settlement Meters attributed to Resource </w:t>
            </w:r>
            <w:r w:rsidRPr="0013396E">
              <w:rPr>
                <w:i/>
                <w:iCs/>
                <w:sz w:val="20"/>
              </w:rPr>
              <w:t>r</w:t>
            </w:r>
            <w:r w:rsidRPr="0013396E">
              <w:rPr>
                <w:iCs/>
                <w:sz w:val="20"/>
              </w:rPr>
              <w:t xml:space="preserve"> that is part of a generation site code </w:t>
            </w:r>
            <w:r w:rsidRPr="0013396E">
              <w:rPr>
                <w:i/>
                <w:iCs/>
                <w:sz w:val="20"/>
              </w:rPr>
              <w:t>gsc</w:t>
            </w:r>
            <w:r w:rsidRPr="0013396E">
              <w:rPr>
                <w:iCs/>
                <w:sz w:val="20"/>
              </w:rPr>
              <w:t xml:space="preserve"> for the QSE </w:t>
            </w:r>
            <w:r w:rsidRPr="0013396E">
              <w:rPr>
                <w:i/>
                <w:iCs/>
                <w:sz w:val="20"/>
              </w:rPr>
              <w:t>q</w:t>
            </w:r>
            <w:r w:rsidRPr="0013396E">
              <w:rPr>
                <w:iCs/>
                <w:sz w:val="20"/>
              </w:rPr>
              <w:t xml:space="preserve"> at Settlement Point </w:t>
            </w:r>
            <w:r w:rsidRPr="0013396E">
              <w:rPr>
                <w:i/>
                <w:iCs/>
                <w:sz w:val="20"/>
              </w:rPr>
              <w:t>p</w:t>
            </w:r>
            <w:r w:rsidRPr="0013396E">
              <w:rPr>
                <w:iCs/>
                <w:sz w:val="20"/>
              </w:rPr>
              <w:t xml:space="preserve">.  </w:t>
            </w:r>
          </w:p>
        </w:tc>
      </w:tr>
      <w:tr w:rsidR="009658B2" w:rsidRPr="0013396E" w14:paraId="691B70A6" w14:textId="77777777" w:rsidTr="005A7D8E">
        <w:trPr>
          <w:cantSplit/>
        </w:trPr>
        <w:tc>
          <w:tcPr>
            <w:tcW w:w="1885" w:type="dxa"/>
            <w:tcBorders>
              <w:top w:val="single" w:sz="4" w:space="0" w:color="auto"/>
              <w:left w:val="single" w:sz="4" w:space="0" w:color="auto"/>
              <w:bottom w:val="single" w:sz="4" w:space="0" w:color="auto"/>
              <w:right w:val="single" w:sz="4" w:space="0" w:color="auto"/>
            </w:tcBorders>
            <w:hideMark/>
          </w:tcPr>
          <w:p w14:paraId="7676D9A7" w14:textId="77777777" w:rsidR="009658B2" w:rsidRPr="0013396E" w:rsidRDefault="009658B2" w:rsidP="0099759E">
            <w:pPr>
              <w:spacing w:after="60"/>
              <w:rPr>
                <w:iCs/>
                <w:sz w:val="20"/>
              </w:rPr>
            </w:pPr>
            <w:r w:rsidRPr="0013396E">
              <w:rPr>
                <w:iCs/>
                <w:sz w:val="20"/>
              </w:rPr>
              <w:t xml:space="preserve">WSLTOT </w:t>
            </w:r>
            <w:r w:rsidRPr="0013396E">
              <w:rPr>
                <w:i/>
                <w:iCs/>
                <w:sz w:val="20"/>
                <w:vertAlign w:val="subscript"/>
              </w:rPr>
              <w:t>q, p</w:t>
            </w:r>
          </w:p>
        </w:tc>
        <w:tc>
          <w:tcPr>
            <w:tcW w:w="903" w:type="dxa"/>
            <w:tcBorders>
              <w:top w:val="single" w:sz="4" w:space="0" w:color="auto"/>
              <w:left w:val="single" w:sz="4" w:space="0" w:color="auto"/>
              <w:bottom w:val="single" w:sz="4" w:space="0" w:color="auto"/>
              <w:right w:val="single" w:sz="4" w:space="0" w:color="auto"/>
            </w:tcBorders>
            <w:hideMark/>
          </w:tcPr>
          <w:p w14:paraId="4888E22A" w14:textId="77777777" w:rsidR="009658B2" w:rsidRPr="0013396E" w:rsidRDefault="009658B2" w:rsidP="0099759E">
            <w:pPr>
              <w:spacing w:after="60"/>
              <w:rPr>
                <w:iCs/>
                <w:sz w:val="20"/>
              </w:rPr>
            </w:pPr>
            <w:r w:rsidRPr="0013396E">
              <w:rPr>
                <w:iCs/>
                <w:sz w:val="20"/>
              </w:rPr>
              <w:t>MWh</w:t>
            </w:r>
          </w:p>
        </w:tc>
        <w:tc>
          <w:tcPr>
            <w:tcW w:w="0" w:type="auto"/>
            <w:tcBorders>
              <w:top w:val="single" w:sz="4" w:space="0" w:color="auto"/>
              <w:left w:val="single" w:sz="4" w:space="0" w:color="auto"/>
              <w:bottom w:val="single" w:sz="4" w:space="0" w:color="auto"/>
              <w:right w:val="single" w:sz="4" w:space="0" w:color="auto"/>
            </w:tcBorders>
            <w:hideMark/>
          </w:tcPr>
          <w:p w14:paraId="465940E5" w14:textId="77777777" w:rsidR="009658B2" w:rsidRPr="0013396E" w:rsidRDefault="009658B2" w:rsidP="0099759E">
            <w:pPr>
              <w:spacing w:after="60"/>
              <w:rPr>
                <w:i/>
                <w:iCs/>
                <w:sz w:val="20"/>
              </w:rPr>
            </w:pPr>
            <w:r w:rsidRPr="0013396E">
              <w:rPr>
                <w:i/>
                <w:iCs/>
                <w:sz w:val="20"/>
              </w:rPr>
              <w:t>WSL Total</w:t>
            </w:r>
            <w:r w:rsidRPr="0013396E">
              <w:rPr>
                <w:iCs/>
                <w:sz w:val="20"/>
              </w:rPr>
              <w:t xml:space="preserve">—The total WSL energy metered by the Settlement Meters which measure WSL for the QSE </w:t>
            </w:r>
            <w:r w:rsidRPr="0013396E">
              <w:rPr>
                <w:i/>
                <w:iCs/>
                <w:sz w:val="20"/>
              </w:rPr>
              <w:t>q</w:t>
            </w:r>
            <w:r w:rsidRPr="0013396E">
              <w:rPr>
                <w:iCs/>
                <w:sz w:val="20"/>
              </w:rPr>
              <w:t xml:space="preserve"> at Settlement Point </w:t>
            </w:r>
            <w:r w:rsidRPr="0013396E">
              <w:rPr>
                <w:i/>
                <w:iCs/>
                <w:sz w:val="20"/>
              </w:rPr>
              <w:t>p</w:t>
            </w:r>
            <w:r w:rsidRPr="0013396E">
              <w:rPr>
                <w:iCs/>
                <w:sz w:val="20"/>
              </w:rPr>
              <w:t xml:space="preserve">.  </w:t>
            </w:r>
          </w:p>
        </w:tc>
      </w:tr>
      <w:tr w:rsidR="009658B2" w:rsidRPr="0013396E" w14:paraId="6BF983F4" w14:textId="77777777" w:rsidTr="009658B2">
        <w:trPr>
          <w:cantSplit/>
        </w:trPr>
        <w:tc>
          <w:tcPr>
            <w:tcW w:w="9350" w:type="dxa"/>
            <w:gridSpan w:val="3"/>
            <w:tcBorders>
              <w:top w:val="single" w:sz="4" w:space="0" w:color="auto"/>
              <w:left w:val="single" w:sz="4" w:space="0" w:color="auto"/>
              <w:bottom w:val="single" w:sz="4" w:space="0" w:color="auto"/>
              <w:right w:val="single" w:sz="4" w:space="0" w:color="auto"/>
            </w:tcBorders>
            <w:hideMark/>
          </w:tcPr>
          <w:p w14:paraId="5CBD79E1" w14:textId="77777777" w:rsidR="009658B2" w:rsidRPr="0013396E" w:rsidRDefault="009658B2" w:rsidP="0099759E">
            <w:pPr>
              <w:spacing w:after="60"/>
              <w:rPr>
                <w:i/>
                <w:iCs/>
                <w:sz w:val="20"/>
              </w:rPr>
            </w:pPr>
          </w:p>
        </w:tc>
      </w:tr>
      <w:tr w:rsidR="009658B2" w:rsidRPr="0013396E" w14:paraId="4F5B0027" w14:textId="77777777" w:rsidTr="009658B2">
        <w:trPr>
          <w:cantSplit/>
        </w:trPr>
        <w:tc>
          <w:tcPr>
            <w:tcW w:w="9350" w:type="dxa"/>
            <w:gridSpan w:val="3"/>
            <w:tcBorders>
              <w:top w:val="single" w:sz="4" w:space="0" w:color="auto"/>
              <w:left w:val="single" w:sz="4" w:space="0" w:color="auto"/>
              <w:bottom w:val="single" w:sz="4" w:space="0" w:color="auto"/>
              <w:right w:val="single" w:sz="4" w:space="0" w:color="auto"/>
            </w:tcBorders>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110"/>
            </w:tblGrid>
            <w:tr w:rsidR="009658B2" w:rsidRPr="0013396E" w14:paraId="53310C79" w14:textId="77777777" w:rsidTr="0099759E">
              <w:trPr>
                <w:trHeight w:val="206"/>
              </w:trPr>
              <w:tc>
                <w:tcPr>
                  <w:tcW w:w="5000" w:type="pct"/>
                  <w:shd w:val="pct12" w:color="auto" w:fill="auto"/>
                </w:tcPr>
                <w:p w14:paraId="1EA956D3" w14:textId="7AE654EC" w:rsidR="009658B2" w:rsidRPr="0013396E" w:rsidRDefault="009658B2" w:rsidP="009658B2">
                  <w:pPr>
                    <w:pStyle w:val="Instructions"/>
                    <w:spacing w:before="120"/>
                    <w:ind w:right="-114"/>
                  </w:pPr>
                  <w:r w:rsidRPr="0013396E">
                    <w:t xml:space="preserve">[NPRR1188:  </w:t>
                  </w:r>
                  <w:r>
                    <w:t xml:space="preserve">Insert the variable </w:t>
                  </w:r>
                  <w:r w:rsidRPr="009658B2">
                    <w:t xml:space="preserve">“CLRTOT </w:t>
                  </w:r>
                  <w:r w:rsidRPr="009658B2">
                    <w:rPr>
                      <w:vertAlign w:val="subscript"/>
                    </w:rPr>
                    <w:t>q, p</w:t>
                  </w:r>
                  <w:r>
                    <w:t>” below</w:t>
                  </w:r>
                  <w:r w:rsidRPr="0013396E">
                    <w:t xml:space="preserve"> upon system implementation:]</w:t>
                  </w:r>
                </w:p>
                <w:tbl>
                  <w:tblPr>
                    <w:tblW w:w="9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997"/>
                    <w:gridCol w:w="697"/>
                    <w:gridCol w:w="6511"/>
                  </w:tblGrid>
                  <w:tr w:rsidR="009658B2" w:rsidRPr="0013396E" w14:paraId="15DD31F6" w14:textId="77777777" w:rsidTr="0099759E">
                    <w:trPr>
                      <w:cantSplit/>
                    </w:trPr>
                    <w:tc>
                      <w:tcPr>
                        <w:tcW w:w="1997" w:type="dxa"/>
                        <w:tcBorders>
                          <w:top w:val="single" w:sz="4" w:space="0" w:color="auto"/>
                          <w:left w:val="single" w:sz="4" w:space="0" w:color="auto"/>
                          <w:bottom w:val="single" w:sz="4" w:space="0" w:color="auto"/>
                          <w:right w:val="single" w:sz="4" w:space="0" w:color="auto"/>
                        </w:tcBorders>
                      </w:tcPr>
                      <w:p w14:paraId="2223EDC8" w14:textId="4B85CD6E" w:rsidR="009658B2" w:rsidRPr="0013396E" w:rsidRDefault="009658B2" w:rsidP="009658B2">
                        <w:pPr>
                          <w:spacing w:after="60"/>
                          <w:rPr>
                            <w:iCs/>
                            <w:sz w:val="20"/>
                          </w:rPr>
                        </w:pPr>
                        <w:r w:rsidRPr="00812ECB">
                          <w:rPr>
                            <w:sz w:val="20"/>
                          </w:rPr>
                          <w:t xml:space="preserve">CLRTOT </w:t>
                        </w:r>
                        <w:r w:rsidRPr="00812ECB">
                          <w:rPr>
                            <w:i/>
                            <w:sz w:val="20"/>
                            <w:vertAlign w:val="subscript"/>
                          </w:rPr>
                          <w:t>q, p</w:t>
                        </w:r>
                      </w:p>
                    </w:tc>
                    <w:tc>
                      <w:tcPr>
                        <w:tcW w:w="0" w:type="auto"/>
                        <w:tcBorders>
                          <w:top w:val="single" w:sz="4" w:space="0" w:color="auto"/>
                          <w:left w:val="single" w:sz="4" w:space="0" w:color="auto"/>
                          <w:bottom w:val="single" w:sz="4" w:space="0" w:color="auto"/>
                          <w:right w:val="single" w:sz="4" w:space="0" w:color="auto"/>
                        </w:tcBorders>
                      </w:tcPr>
                      <w:p w14:paraId="5765E3B4" w14:textId="5A2E19BC" w:rsidR="009658B2" w:rsidRPr="0013396E" w:rsidRDefault="009658B2" w:rsidP="009658B2">
                        <w:pPr>
                          <w:spacing w:after="60"/>
                          <w:rPr>
                            <w:iCs/>
                            <w:sz w:val="20"/>
                          </w:rPr>
                        </w:pPr>
                        <w:r w:rsidRPr="00812ECB">
                          <w:rPr>
                            <w:sz w:val="20"/>
                          </w:rPr>
                          <w:t>MWh</w:t>
                        </w:r>
                      </w:p>
                    </w:tc>
                    <w:tc>
                      <w:tcPr>
                        <w:tcW w:w="0" w:type="auto"/>
                        <w:tcBorders>
                          <w:top w:val="single" w:sz="4" w:space="0" w:color="auto"/>
                          <w:left w:val="single" w:sz="4" w:space="0" w:color="auto"/>
                          <w:bottom w:val="single" w:sz="4" w:space="0" w:color="auto"/>
                          <w:right w:val="single" w:sz="4" w:space="0" w:color="auto"/>
                        </w:tcBorders>
                      </w:tcPr>
                      <w:p w14:paraId="7ADD4641" w14:textId="0801250D" w:rsidR="009658B2" w:rsidRPr="0013396E" w:rsidRDefault="009658B2" w:rsidP="009658B2">
                        <w:pPr>
                          <w:spacing w:after="60"/>
                          <w:rPr>
                            <w:i/>
                            <w:sz w:val="20"/>
                          </w:rPr>
                        </w:pPr>
                        <w:r w:rsidRPr="00812ECB">
                          <w:rPr>
                            <w:i/>
                            <w:sz w:val="20"/>
                          </w:rPr>
                          <w:t>CLR Load Total</w:t>
                        </w:r>
                        <w:r w:rsidRPr="00812ECB">
                          <w:rPr>
                            <w:sz w:val="20"/>
                          </w:rPr>
                          <w:t xml:space="preserve">—The total energy metered by the Settlement Meters which measures CLR Load for the QSE </w:t>
                        </w:r>
                        <w:r w:rsidRPr="00812ECB">
                          <w:rPr>
                            <w:i/>
                            <w:sz w:val="20"/>
                          </w:rPr>
                          <w:t>q</w:t>
                        </w:r>
                        <w:r w:rsidRPr="00812ECB">
                          <w:rPr>
                            <w:sz w:val="20"/>
                          </w:rPr>
                          <w:t xml:space="preserve"> at Settlement Point </w:t>
                        </w:r>
                        <w:r w:rsidRPr="00812ECB">
                          <w:rPr>
                            <w:i/>
                            <w:sz w:val="20"/>
                          </w:rPr>
                          <w:t>p.</w:t>
                        </w:r>
                        <w:r w:rsidRPr="00812ECB">
                          <w:rPr>
                            <w:sz w:val="20"/>
                          </w:rPr>
                          <w:t xml:space="preserve">  </w:t>
                        </w:r>
                      </w:p>
                    </w:tc>
                  </w:tr>
                </w:tbl>
                <w:p w14:paraId="6174A6D4" w14:textId="70630C89" w:rsidR="009658B2" w:rsidRPr="009658B2" w:rsidRDefault="009658B2" w:rsidP="009658B2">
                  <w:pPr>
                    <w:spacing w:after="60"/>
                    <w:rPr>
                      <w:iCs/>
                      <w:sz w:val="20"/>
                    </w:rPr>
                  </w:pPr>
                </w:p>
              </w:tc>
            </w:tr>
          </w:tbl>
          <w:p w14:paraId="5CD76C1A" w14:textId="77777777" w:rsidR="009658B2" w:rsidRPr="0013396E" w:rsidRDefault="009658B2" w:rsidP="0099759E">
            <w:pPr>
              <w:spacing w:after="60"/>
              <w:rPr>
                <w:i/>
                <w:sz w:val="20"/>
              </w:rPr>
            </w:pPr>
          </w:p>
        </w:tc>
      </w:tr>
      <w:tr w:rsidR="009658B2" w:rsidRPr="0013396E" w14:paraId="3B5A9CBC" w14:textId="77777777" w:rsidTr="005A7D8E">
        <w:trPr>
          <w:cantSplit/>
        </w:trPr>
        <w:tc>
          <w:tcPr>
            <w:tcW w:w="1885" w:type="dxa"/>
            <w:tcBorders>
              <w:top w:val="single" w:sz="4" w:space="0" w:color="auto"/>
              <w:left w:val="single" w:sz="4" w:space="0" w:color="auto"/>
              <w:bottom w:val="single" w:sz="4" w:space="0" w:color="auto"/>
              <w:right w:val="single" w:sz="4" w:space="0" w:color="auto"/>
            </w:tcBorders>
          </w:tcPr>
          <w:p w14:paraId="3C1B6680" w14:textId="77777777" w:rsidR="009658B2" w:rsidRPr="0013396E" w:rsidRDefault="009658B2" w:rsidP="0099759E">
            <w:pPr>
              <w:spacing w:after="60"/>
              <w:rPr>
                <w:bCs/>
                <w:iCs/>
                <w:sz w:val="20"/>
              </w:rPr>
            </w:pPr>
            <w:r w:rsidRPr="0013396E">
              <w:rPr>
                <w:iCs/>
                <w:sz w:val="20"/>
              </w:rPr>
              <w:t xml:space="preserve">ESRNWSLTOT </w:t>
            </w:r>
            <w:r w:rsidRPr="0013396E">
              <w:rPr>
                <w:i/>
                <w:iCs/>
                <w:sz w:val="20"/>
                <w:vertAlign w:val="subscript"/>
              </w:rPr>
              <w:t>q, p</w:t>
            </w:r>
          </w:p>
        </w:tc>
        <w:tc>
          <w:tcPr>
            <w:tcW w:w="903" w:type="dxa"/>
            <w:tcBorders>
              <w:top w:val="single" w:sz="4" w:space="0" w:color="auto"/>
              <w:left w:val="single" w:sz="4" w:space="0" w:color="auto"/>
              <w:bottom w:val="single" w:sz="4" w:space="0" w:color="auto"/>
              <w:right w:val="single" w:sz="4" w:space="0" w:color="auto"/>
            </w:tcBorders>
          </w:tcPr>
          <w:p w14:paraId="0237FEAA" w14:textId="77777777" w:rsidR="009658B2" w:rsidRPr="0013396E" w:rsidRDefault="009658B2" w:rsidP="0099759E">
            <w:pPr>
              <w:spacing w:after="60"/>
              <w:rPr>
                <w:iCs/>
                <w:sz w:val="20"/>
              </w:rPr>
            </w:pPr>
            <w:r w:rsidRPr="0013396E">
              <w:rPr>
                <w:iCs/>
                <w:sz w:val="20"/>
              </w:rPr>
              <w:t>MWh</w:t>
            </w:r>
          </w:p>
        </w:tc>
        <w:tc>
          <w:tcPr>
            <w:tcW w:w="0" w:type="auto"/>
            <w:tcBorders>
              <w:top w:val="single" w:sz="4" w:space="0" w:color="auto"/>
              <w:left w:val="single" w:sz="4" w:space="0" w:color="auto"/>
              <w:bottom w:val="single" w:sz="4" w:space="0" w:color="auto"/>
              <w:right w:val="single" w:sz="4" w:space="0" w:color="auto"/>
            </w:tcBorders>
          </w:tcPr>
          <w:p w14:paraId="39318225" w14:textId="77777777" w:rsidR="009658B2" w:rsidRPr="0013396E" w:rsidRDefault="009658B2" w:rsidP="0099759E">
            <w:pPr>
              <w:spacing w:after="60"/>
              <w:rPr>
                <w:i/>
                <w:iCs/>
                <w:sz w:val="20"/>
              </w:rPr>
            </w:pPr>
            <w:r w:rsidRPr="0013396E">
              <w:rPr>
                <w:i/>
                <w:sz w:val="20"/>
              </w:rPr>
              <w:t>ESR Non-WSL Total</w:t>
            </w:r>
            <w:r w:rsidRPr="0013396E">
              <w:rPr>
                <w:sz w:val="20"/>
              </w:rPr>
              <w:t xml:space="preserve">—The total energy metered by the Settlement Meters which measure Non-WSL ESR Charging Load for the QSE </w:t>
            </w:r>
            <w:r w:rsidRPr="0013396E">
              <w:rPr>
                <w:i/>
                <w:sz w:val="20"/>
              </w:rPr>
              <w:t>q</w:t>
            </w:r>
            <w:r w:rsidRPr="0013396E">
              <w:rPr>
                <w:sz w:val="20"/>
              </w:rPr>
              <w:t xml:space="preserve"> at Settlement Point </w:t>
            </w:r>
            <w:r w:rsidRPr="0013396E">
              <w:rPr>
                <w:i/>
                <w:sz w:val="20"/>
              </w:rPr>
              <w:t>p.</w:t>
            </w:r>
            <w:r w:rsidRPr="0013396E">
              <w:rPr>
                <w:sz w:val="20"/>
              </w:rPr>
              <w:t xml:space="preserve">  </w:t>
            </w:r>
          </w:p>
        </w:tc>
      </w:tr>
      <w:tr w:rsidR="009658B2" w:rsidRPr="0013396E" w14:paraId="6B8DE441" w14:textId="77777777" w:rsidTr="005A7D8E">
        <w:trPr>
          <w:cantSplit/>
        </w:trPr>
        <w:tc>
          <w:tcPr>
            <w:tcW w:w="1885" w:type="dxa"/>
            <w:tcBorders>
              <w:top w:val="single" w:sz="4" w:space="0" w:color="auto"/>
              <w:left w:val="single" w:sz="4" w:space="0" w:color="auto"/>
              <w:bottom w:val="single" w:sz="4" w:space="0" w:color="auto"/>
              <w:right w:val="single" w:sz="4" w:space="0" w:color="auto"/>
            </w:tcBorders>
            <w:hideMark/>
          </w:tcPr>
          <w:p w14:paraId="1E3BBA3B" w14:textId="77777777" w:rsidR="009658B2" w:rsidRPr="0013396E" w:rsidRDefault="009658B2" w:rsidP="0099759E">
            <w:pPr>
              <w:spacing w:after="60"/>
              <w:rPr>
                <w:iCs/>
                <w:sz w:val="20"/>
              </w:rPr>
            </w:pPr>
            <w:r w:rsidRPr="0013396E">
              <w:rPr>
                <w:bCs/>
                <w:iCs/>
                <w:sz w:val="20"/>
              </w:rPr>
              <w:t xml:space="preserve">MEBL </w:t>
            </w:r>
            <w:r w:rsidRPr="0013396E">
              <w:rPr>
                <w:bCs/>
                <w:i/>
                <w:iCs/>
                <w:sz w:val="20"/>
                <w:vertAlign w:val="subscript"/>
              </w:rPr>
              <w:t>q,r,b</w:t>
            </w:r>
          </w:p>
        </w:tc>
        <w:tc>
          <w:tcPr>
            <w:tcW w:w="903" w:type="dxa"/>
            <w:tcBorders>
              <w:top w:val="single" w:sz="4" w:space="0" w:color="auto"/>
              <w:left w:val="single" w:sz="4" w:space="0" w:color="auto"/>
              <w:bottom w:val="single" w:sz="4" w:space="0" w:color="auto"/>
              <w:right w:val="single" w:sz="4" w:space="0" w:color="auto"/>
            </w:tcBorders>
            <w:hideMark/>
          </w:tcPr>
          <w:p w14:paraId="74642C6B" w14:textId="77777777" w:rsidR="009658B2" w:rsidRPr="0013396E" w:rsidRDefault="009658B2" w:rsidP="0099759E">
            <w:pPr>
              <w:spacing w:after="60"/>
              <w:rPr>
                <w:iCs/>
                <w:sz w:val="20"/>
              </w:rPr>
            </w:pPr>
            <w:r w:rsidRPr="0013396E">
              <w:rPr>
                <w:iCs/>
                <w:sz w:val="20"/>
              </w:rPr>
              <w:t>MWh</w:t>
            </w:r>
          </w:p>
        </w:tc>
        <w:tc>
          <w:tcPr>
            <w:tcW w:w="0" w:type="auto"/>
            <w:tcBorders>
              <w:top w:val="single" w:sz="4" w:space="0" w:color="auto"/>
              <w:left w:val="single" w:sz="4" w:space="0" w:color="auto"/>
              <w:bottom w:val="single" w:sz="4" w:space="0" w:color="auto"/>
              <w:right w:val="single" w:sz="4" w:space="0" w:color="auto"/>
            </w:tcBorders>
            <w:hideMark/>
          </w:tcPr>
          <w:p w14:paraId="4208ED8C" w14:textId="77777777" w:rsidR="009658B2" w:rsidRPr="0013396E" w:rsidRDefault="009658B2" w:rsidP="0099759E">
            <w:pPr>
              <w:spacing w:after="60"/>
              <w:rPr>
                <w:i/>
                <w:iCs/>
                <w:sz w:val="20"/>
              </w:rPr>
            </w:pPr>
            <w:r w:rsidRPr="0013396E">
              <w:rPr>
                <w:i/>
                <w:iCs/>
                <w:sz w:val="20"/>
              </w:rPr>
              <w:t>Metered Energy for Wholesale Storage Load at bus</w:t>
            </w:r>
            <w:r w:rsidRPr="0013396E">
              <w:rPr>
                <w:iCs/>
                <w:sz w:val="20"/>
              </w:rPr>
              <w:sym w:font="Symbol" w:char="F0BE"/>
            </w:r>
            <w:r w:rsidRPr="0013396E">
              <w:rPr>
                <w:iCs/>
                <w:sz w:val="20"/>
              </w:rPr>
              <w:t xml:space="preserve">The WSL energy metered by the Settlement Meter which measures WSL for the 15-minute Settlement Interval represented as a negative value, for the QSE </w:t>
            </w:r>
            <w:r w:rsidRPr="0013396E">
              <w:rPr>
                <w:i/>
                <w:iCs/>
                <w:sz w:val="20"/>
              </w:rPr>
              <w:t>q</w:t>
            </w:r>
            <w:r w:rsidRPr="0013396E">
              <w:rPr>
                <w:iCs/>
                <w:sz w:val="20"/>
              </w:rPr>
              <w:t xml:space="preserve">, Resource </w:t>
            </w:r>
            <w:r w:rsidRPr="0013396E">
              <w:rPr>
                <w:i/>
                <w:iCs/>
                <w:sz w:val="20"/>
              </w:rPr>
              <w:t>r</w:t>
            </w:r>
            <w:r w:rsidRPr="0013396E">
              <w:rPr>
                <w:iCs/>
                <w:sz w:val="20"/>
              </w:rPr>
              <w:t xml:space="preserve">, at bus </w:t>
            </w:r>
            <w:r w:rsidRPr="0013396E">
              <w:rPr>
                <w:i/>
                <w:iCs/>
                <w:sz w:val="20"/>
              </w:rPr>
              <w:t>b</w:t>
            </w:r>
            <w:r w:rsidRPr="0013396E">
              <w:rPr>
                <w:iCs/>
                <w:sz w:val="20"/>
              </w:rPr>
              <w:t xml:space="preserve">.  </w:t>
            </w:r>
          </w:p>
        </w:tc>
      </w:tr>
      <w:tr w:rsidR="009658B2" w:rsidRPr="0013396E" w14:paraId="21A63732" w14:textId="77777777" w:rsidTr="009658B2">
        <w:trPr>
          <w:cantSplit/>
        </w:trPr>
        <w:tc>
          <w:tcPr>
            <w:tcW w:w="9350" w:type="dxa"/>
            <w:gridSpan w:val="3"/>
            <w:tcBorders>
              <w:top w:val="single" w:sz="4" w:space="0" w:color="auto"/>
              <w:left w:val="single" w:sz="4" w:space="0" w:color="auto"/>
              <w:bottom w:val="single" w:sz="4" w:space="0" w:color="auto"/>
              <w:right w:val="single" w:sz="4" w:space="0" w:color="auto"/>
            </w:tcBorders>
            <w:hideMark/>
          </w:tcPr>
          <w:p w14:paraId="3D7A8DFF" w14:textId="77777777" w:rsidR="009658B2" w:rsidRPr="0013396E" w:rsidRDefault="009658B2" w:rsidP="0099759E">
            <w:pPr>
              <w:spacing w:after="60"/>
              <w:rPr>
                <w:i/>
                <w:iCs/>
                <w:sz w:val="20"/>
              </w:rPr>
            </w:pPr>
          </w:p>
        </w:tc>
      </w:tr>
      <w:tr w:rsidR="009658B2" w:rsidRPr="0013396E" w14:paraId="3B625A94" w14:textId="77777777" w:rsidTr="00815FFF">
        <w:trPr>
          <w:cantSplit/>
        </w:trPr>
        <w:tc>
          <w:tcPr>
            <w:tcW w:w="9350" w:type="dxa"/>
            <w:gridSpan w:val="3"/>
            <w:tcBorders>
              <w:top w:val="single" w:sz="4" w:space="0" w:color="auto"/>
              <w:left w:val="single" w:sz="4" w:space="0" w:color="auto"/>
              <w:bottom w:val="single" w:sz="4" w:space="0" w:color="auto"/>
              <w:right w:val="single" w:sz="4" w:space="0" w:color="auto"/>
            </w:tcBorders>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110"/>
            </w:tblGrid>
            <w:tr w:rsidR="009658B2" w:rsidRPr="0013396E" w14:paraId="5FD8E513" w14:textId="77777777" w:rsidTr="0099759E">
              <w:trPr>
                <w:trHeight w:val="206"/>
              </w:trPr>
              <w:tc>
                <w:tcPr>
                  <w:tcW w:w="5000" w:type="pct"/>
                  <w:shd w:val="pct12" w:color="auto" w:fill="auto"/>
                </w:tcPr>
                <w:p w14:paraId="26FD5981" w14:textId="03083BC3" w:rsidR="009658B2" w:rsidRPr="0013396E" w:rsidRDefault="009658B2" w:rsidP="009658B2">
                  <w:pPr>
                    <w:pStyle w:val="Instructions"/>
                    <w:spacing w:before="120"/>
                    <w:ind w:right="-114"/>
                  </w:pPr>
                  <w:r w:rsidRPr="0013396E">
                    <w:lastRenderedPageBreak/>
                    <w:t xml:space="preserve">[NPRR1188:  </w:t>
                  </w:r>
                  <w:r>
                    <w:t xml:space="preserve">Insert the variable </w:t>
                  </w:r>
                  <w:r w:rsidRPr="009658B2">
                    <w:t xml:space="preserve">“MEBCL </w:t>
                  </w:r>
                  <w:r w:rsidRPr="009658B2">
                    <w:rPr>
                      <w:vertAlign w:val="subscript"/>
                    </w:rPr>
                    <w:t>q, r, b</w:t>
                  </w:r>
                  <w:r>
                    <w:t>” below</w:t>
                  </w:r>
                  <w:r w:rsidRPr="0013396E">
                    <w:t xml:space="preserve"> upon system implementation:]</w:t>
                  </w:r>
                </w:p>
                <w:tbl>
                  <w:tblPr>
                    <w:tblW w:w="9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997"/>
                    <w:gridCol w:w="697"/>
                    <w:gridCol w:w="6511"/>
                  </w:tblGrid>
                  <w:tr w:rsidR="009658B2" w:rsidRPr="0013396E" w14:paraId="16982380" w14:textId="77777777" w:rsidTr="0099759E">
                    <w:trPr>
                      <w:cantSplit/>
                    </w:trPr>
                    <w:tc>
                      <w:tcPr>
                        <w:tcW w:w="1997" w:type="dxa"/>
                        <w:tcBorders>
                          <w:top w:val="single" w:sz="4" w:space="0" w:color="auto"/>
                          <w:left w:val="single" w:sz="4" w:space="0" w:color="auto"/>
                          <w:bottom w:val="single" w:sz="4" w:space="0" w:color="auto"/>
                          <w:right w:val="single" w:sz="4" w:space="0" w:color="auto"/>
                        </w:tcBorders>
                      </w:tcPr>
                      <w:p w14:paraId="605F6821" w14:textId="10E5A69C" w:rsidR="009658B2" w:rsidRPr="0013396E" w:rsidRDefault="009658B2" w:rsidP="009658B2">
                        <w:pPr>
                          <w:spacing w:after="60"/>
                          <w:rPr>
                            <w:iCs/>
                            <w:sz w:val="20"/>
                          </w:rPr>
                        </w:pPr>
                        <w:r w:rsidRPr="0013396E">
                          <w:rPr>
                            <w:sz w:val="20"/>
                          </w:rPr>
                          <w:t xml:space="preserve">MEBCL </w:t>
                        </w:r>
                        <w:r w:rsidRPr="0013396E">
                          <w:rPr>
                            <w:i/>
                            <w:sz w:val="20"/>
                            <w:vertAlign w:val="subscript"/>
                          </w:rPr>
                          <w:t>q, r, b</w:t>
                        </w:r>
                      </w:p>
                    </w:tc>
                    <w:tc>
                      <w:tcPr>
                        <w:tcW w:w="0" w:type="auto"/>
                        <w:tcBorders>
                          <w:top w:val="single" w:sz="4" w:space="0" w:color="auto"/>
                          <w:left w:val="single" w:sz="4" w:space="0" w:color="auto"/>
                          <w:bottom w:val="single" w:sz="4" w:space="0" w:color="auto"/>
                          <w:right w:val="single" w:sz="4" w:space="0" w:color="auto"/>
                        </w:tcBorders>
                      </w:tcPr>
                      <w:p w14:paraId="472A91A7" w14:textId="7C78F82C" w:rsidR="009658B2" w:rsidRPr="0013396E" w:rsidRDefault="009658B2" w:rsidP="009658B2">
                        <w:pPr>
                          <w:spacing w:after="60"/>
                          <w:rPr>
                            <w:iCs/>
                            <w:sz w:val="20"/>
                          </w:rPr>
                        </w:pPr>
                        <w:r w:rsidRPr="0013396E">
                          <w:rPr>
                            <w:sz w:val="20"/>
                          </w:rPr>
                          <w:t>MWh</w:t>
                        </w:r>
                      </w:p>
                    </w:tc>
                    <w:tc>
                      <w:tcPr>
                        <w:tcW w:w="0" w:type="auto"/>
                        <w:tcBorders>
                          <w:top w:val="single" w:sz="4" w:space="0" w:color="auto"/>
                          <w:left w:val="single" w:sz="4" w:space="0" w:color="auto"/>
                          <w:bottom w:val="single" w:sz="4" w:space="0" w:color="auto"/>
                          <w:right w:val="single" w:sz="4" w:space="0" w:color="auto"/>
                        </w:tcBorders>
                      </w:tcPr>
                      <w:p w14:paraId="4722A170" w14:textId="4050E1D9" w:rsidR="009658B2" w:rsidRPr="0013396E" w:rsidRDefault="009658B2" w:rsidP="009658B2">
                        <w:pPr>
                          <w:spacing w:after="60"/>
                          <w:rPr>
                            <w:i/>
                            <w:sz w:val="20"/>
                          </w:rPr>
                        </w:pPr>
                        <w:r w:rsidRPr="0013396E">
                          <w:rPr>
                            <w:i/>
                            <w:sz w:val="20"/>
                          </w:rPr>
                          <w:t>Calculated Metered Energy for CLR Load at Bus</w:t>
                        </w:r>
                        <w:r w:rsidRPr="0013396E">
                          <w:rPr>
                            <w:sz w:val="20"/>
                          </w:rPr>
                          <w:t xml:space="preserve">—The calculated CLR Load, adjusted for Unaccounted For Energy (UFE), for the 15-minute Settlement Interval represented as a negative value, for the QSE </w:t>
                        </w:r>
                        <w:r w:rsidRPr="0013396E">
                          <w:rPr>
                            <w:i/>
                            <w:sz w:val="20"/>
                          </w:rPr>
                          <w:t>q</w:t>
                        </w:r>
                        <w:r w:rsidRPr="0013396E">
                          <w:rPr>
                            <w:sz w:val="20"/>
                          </w:rPr>
                          <w:t xml:space="preserve">, Resource </w:t>
                        </w:r>
                        <w:r w:rsidRPr="0013396E">
                          <w:rPr>
                            <w:i/>
                            <w:sz w:val="20"/>
                          </w:rPr>
                          <w:t>r</w:t>
                        </w:r>
                        <w:r w:rsidRPr="0013396E">
                          <w:rPr>
                            <w:sz w:val="20"/>
                          </w:rPr>
                          <w:t xml:space="preserve">, at bus </w:t>
                        </w:r>
                        <w:r w:rsidRPr="0013396E">
                          <w:rPr>
                            <w:i/>
                            <w:sz w:val="20"/>
                          </w:rPr>
                          <w:t>b</w:t>
                        </w:r>
                        <w:r w:rsidRPr="0013396E">
                          <w:rPr>
                            <w:sz w:val="20"/>
                          </w:rPr>
                          <w:t>.</w:t>
                        </w:r>
                      </w:p>
                    </w:tc>
                  </w:tr>
                </w:tbl>
                <w:p w14:paraId="6596A8DC" w14:textId="77777777" w:rsidR="009658B2" w:rsidRPr="009658B2" w:rsidRDefault="009658B2" w:rsidP="009658B2">
                  <w:pPr>
                    <w:spacing w:after="60"/>
                    <w:rPr>
                      <w:iCs/>
                      <w:sz w:val="20"/>
                    </w:rPr>
                  </w:pPr>
                </w:p>
              </w:tc>
            </w:tr>
          </w:tbl>
          <w:p w14:paraId="75683FBE" w14:textId="77777777" w:rsidR="009658B2" w:rsidRPr="0013396E" w:rsidRDefault="009658B2" w:rsidP="0099759E">
            <w:pPr>
              <w:spacing w:after="60"/>
              <w:rPr>
                <w:i/>
                <w:iCs/>
                <w:sz w:val="20"/>
              </w:rPr>
            </w:pPr>
          </w:p>
        </w:tc>
      </w:tr>
      <w:tr w:rsidR="009658B2" w:rsidRPr="0013396E" w14:paraId="77EE0695" w14:textId="77777777" w:rsidTr="005A7D8E">
        <w:trPr>
          <w:cantSplit/>
        </w:trPr>
        <w:tc>
          <w:tcPr>
            <w:tcW w:w="1885" w:type="dxa"/>
            <w:tcBorders>
              <w:top w:val="single" w:sz="4" w:space="0" w:color="auto"/>
              <w:left w:val="single" w:sz="4" w:space="0" w:color="auto"/>
              <w:bottom w:val="single" w:sz="4" w:space="0" w:color="auto"/>
              <w:right w:val="single" w:sz="4" w:space="0" w:color="auto"/>
            </w:tcBorders>
          </w:tcPr>
          <w:p w14:paraId="0D7109EE" w14:textId="77777777" w:rsidR="009658B2" w:rsidRPr="0013396E" w:rsidRDefault="009658B2" w:rsidP="0099759E">
            <w:pPr>
              <w:spacing w:after="60"/>
              <w:rPr>
                <w:iCs/>
                <w:sz w:val="20"/>
              </w:rPr>
            </w:pPr>
            <w:r w:rsidRPr="0013396E">
              <w:rPr>
                <w:iCs/>
                <w:sz w:val="20"/>
              </w:rPr>
              <w:t xml:space="preserve">MEBR </w:t>
            </w:r>
            <w:r w:rsidRPr="0013396E">
              <w:rPr>
                <w:i/>
                <w:iCs/>
                <w:sz w:val="20"/>
                <w:vertAlign w:val="subscript"/>
              </w:rPr>
              <w:t>q, r, b</w:t>
            </w:r>
          </w:p>
        </w:tc>
        <w:tc>
          <w:tcPr>
            <w:tcW w:w="903" w:type="dxa"/>
            <w:tcBorders>
              <w:top w:val="single" w:sz="4" w:space="0" w:color="auto"/>
              <w:left w:val="single" w:sz="4" w:space="0" w:color="auto"/>
              <w:bottom w:val="single" w:sz="4" w:space="0" w:color="auto"/>
              <w:right w:val="single" w:sz="4" w:space="0" w:color="auto"/>
            </w:tcBorders>
          </w:tcPr>
          <w:p w14:paraId="4496ADB0" w14:textId="77777777" w:rsidR="009658B2" w:rsidRPr="0013396E" w:rsidRDefault="009658B2" w:rsidP="0099759E">
            <w:pPr>
              <w:spacing w:after="60"/>
              <w:rPr>
                <w:iCs/>
                <w:sz w:val="20"/>
              </w:rPr>
            </w:pPr>
            <w:r w:rsidRPr="0013396E">
              <w:rPr>
                <w:iCs/>
                <w:sz w:val="20"/>
              </w:rPr>
              <w:t>MWh</w:t>
            </w:r>
          </w:p>
        </w:tc>
        <w:tc>
          <w:tcPr>
            <w:tcW w:w="0" w:type="auto"/>
            <w:tcBorders>
              <w:top w:val="single" w:sz="4" w:space="0" w:color="auto"/>
              <w:left w:val="single" w:sz="4" w:space="0" w:color="auto"/>
              <w:bottom w:val="single" w:sz="4" w:space="0" w:color="auto"/>
              <w:right w:val="single" w:sz="4" w:space="0" w:color="auto"/>
            </w:tcBorders>
          </w:tcPr>
          <w:p w14:paraId="0FA15CAB" w14:textId="6FB9782D" w:rsidR="009658B2" w:rsidRPr="0013396E" w:rsidRDefault="009658B2" w:rsidP="0099759E">
            <w:pPr>
              <w:spacing w:after="60"/>
              <w:rPr>
                <w:i/>
                <w:iCs/>
                <w:sz w:val="20"/>
              </w:rPr>
            </w:pPr>
            <w:r>
              <w:rPr>
                <w:i/>
                <w:iCs/>
                <w:sz w:val="20"/>
              </w:rPr>
              <w:t>Adjusted</w:t>
            </w:r>
            <w:r w:rsidRPr="0013396E">
              <w:rPr>
                <w:i/>
                <w:iCs/>
                <w:sz w:val="20"/>
              </w:rPr>
              <w:t xml:space="preserve"> Metered Energy for Energy Storage Resource Load at Bus - </w:t>
            </w:r>
            <w:r w:rsidRPr="0013396E">
              <w:rPr>
                <w:iCs/>
                <w:sz w:val="20"/>
              </w:rPr>
              <w:t xml:space="preserve">The </w:t>
            </w:r>
            <w:r>
              <w:rPr>
                <w:iCs/>
                <w:sz w:val="20"/>
              </w:rPr>
              <w:t>energy metered by the Settlement Meter which measures</w:t>
            </w:r>
            <w:r w:rsidRPr="0013396E">
              <w:rPr>
                <w:iCs/>
                <w:sz w:val="20"/>
              </w:rPr>
              <w:t xml:space="preserve"> Non-WSL ESR Charging Load for the 15-minute Settlement Interval represented as a negative value, for the QSE </w:t>
            </w:r>
            <w:r w:rsidRPr="0013396E">
              <w:rPr>
                <w:i/>
                <w:iCs/>
                <w:sz w:val="20"/>
              </w:rPr>
              <w:t>q</w:t>
            </w:r>
            <w:r w:rsidRPr="0013396E">
              <w:rPr>
                <w:iCs/>
                <w:sz w:val="20"/>
              </w:rPr>
              <w:t xml:space="preserve">, Resource </w:t>
            </w:r>
            <w:r w:rsidRPr="0013396E">
              <w:rPr>
                <w:i/>
                <w:iCs/>
                <w:sz w:val="20"/>
              </w:rPr>
              <w:t>r</w:t>
            </w:r>
            <w:r w:rsidRPr="0013396E">
              <w:rPr>
                <w:iCs/>
                <w:sz w:val="20"/>
              </w:rPr>
              <w:t xml:space="preserve">, at bus </w:t>
            </w:r>
            <w:r w:rsidRPr="0013396E">
              <w:rPr>
                <w:i/>
                <w:iCs/>
                <w:sz w:val="20"/>
              </w:rPr>
              <w:t>b</w:t>
            </w:r>
            <w:r w:rsidRPr="0013396E">
              <w:rPr>
                <w:iCs/>
                <w:sz w:val="20"/>
              </w:rPr>
              <w:t>.</w:t>
            </w:r>
            <w:r w:rsidRPr="0013396E">
              <w:rPr>
                <w:i/>
                <w:iCs/>
                <w:sz w:val="2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6274"/>
            </w:tblGrid>
            <w:tr w:rsidR="009658B2" w:rsidRPr="0013396E" w14:paraId="0EBDBEFD" w14:textId="77777777" w:rsidTr="0099759E">
              <w:trPr>
                <w:trHeight w:val="206"/>
              </w:trPr>
              <w:tc>
                <w:tcPr>
                  <w:tcW w:w="5000" w:type="pct"/>
                  <w:shd w:val="pct12" w:color="auto" w:fill="auto"/>
                </w:tcPr>
                <w:p w14:paraId="3C6CBA21" w14:textId="77777777" w:rsidR="009658B2" w:rsidRPr="0013396E" w:rsidRDefault="009658B2" w:rsidP="009658B2">
                  <w:pPr>
                    <w:pStyle w:val="Instructions"/>
                    <w:spacing w:before="120"/>
                    <w:ind w:right="-114"/>
                  </w:pPr>
                  <w:r w:rsidRPr="0013396E">
                    <w:t xml:space="preserve">[NPRR1188:  Replace </w:t>
                  </w:r>
                  <w:r>
                    <w:t>the description</w:t>
                  </w:r>
                  <w:r w:rsidRPr="0013396E">
                    <w:t xml:space="preserve"> above with the following upon system implementation:]</w:t>
                  </w:r>
                </w:p>
                <w:p w14:paraId="322D4BB2" w14:textId="401A350E" w:rsidR="009658B2" w:rsidRPr="009658B2" w:rsidRDefault="009658B2" w:rsidP="009658B2">
                  <w:pPr>
                    <w:spacing w:after="60"/>
                    <w:rPr>
                      <w:iCs/>
                      <w:sz w:val="20"/>
                    </w:rPr>
                  </w:pPr>
                  <w:r w:rsidRPr="0013396E">
                    <w:rPr>
                      <w:i/>
                      <w:iCs/>
                      <w:sz w:val="20"/>
                    </w:rPr>
                    <w:t xml:space="preserve">Calculated Metered Energy for Energy Storage Resource Load at Bus - </w:t>
                  </w:r>
                  <w:r w:rsidRPr="0013396E">
                    <w:rPr>
                      <w:iCs/>
                      <w:sz w:val="20"/>
                    </w:rPr>
                    <w:t xml:space="preserve">The calculated Non-WSL ESR Charging Load, adjusted for UFE, for the 15-minute Settlement Interval represented as a negative value, for the QSE </w:t>
                  </w:r>
                  <w:r w:rsidRPr="0013396E">
                    <w:rPr>
                      <w:i/>
                      <w:iCs/>
                      <w:sz w:val="20"/>
                    </w:rPr>
                    <w:t>q</w:t>
                  </w:r>
                  <w:r w:rsidRPr="0013396E">
                    <w:rPr>
                      <w:iCs/>
                      <w:sz w:val="20"/>
                    </w:rPr>
                    <w:t xml:space="preserve">, Resource </w:t>
                  </w:r>
                  <w:r w:rsidRPr="0013396E">
                    <w:rPr>
                      <w:i/>
                      <w:iCs/>
                      <w:sz w:val="20"/>
                    </w:rPr>
                    <w:t>r</w:t>
                  </w:r>
                  <w:r w:rsidRPr="0013396E">
                    <w:rPr>
                      <w:iCs/>
                      <w:sz w:val="20"/>
                    </w:rPr>
                    <w:t xml:space="preserve">, at bus </w:t>
                  </w:r>
                  <w:r w:rsidRPr="0013396E">
                    <w:rPr>
                      <w:i/>
                      <w:iCs/>
                      <w:sz w:val="20"/>
                    </w:rPr>
                    <w:t>b</w:t>
                  </w:r>
                  <w:r w:rsidRPr="0013396E">
                    <w:rPr>
                      <w:iCs/>
                      <w:sz w:val="20"/>
                    </w:rPr>
                    <w:t>.</w:t>
                  </w:r>
                  <w:r w:rsidRPr="0013396E">
                    <w:rPr>
                      <w:i/>
                      <w:iCs/>
                      <w:sz w:val="20"/>
                    </w:rPr>
                    <w:t xml:space="preserve">  </w:t>
                  </w:r>
                </w:p>
              </w:tc>
            </w:tr>
          </w:tbl>
          <w:p w14:paraId="6392204D" w14:textId="1D6A3C8B" w:rsidR="009658B2" w:rsidRPr="0013396E" w:rsidRDefault="009658B2" w:rsidP="0099759E">
            <w:pPr>
              <w:spacing w:after="60"/>
              <w:rPr>
                <w:i/>
                <w:iCs/>
                <w:sz w:val="20"/>
              </w:rPr>
            </w:pPr>
          </w:p>
        </w:tc>
      </w:tr>
      <w:tr w:rsidR="009658B2" w:rsidRPr="0013396E" w14:paraId="12B3B18F" w14:textId="77777777" w:rsidTr="005A7D8E">
        <w:trPr>
          <w:cantSplit/>
        </w:trPr>
        <w:tc>
          <w:tcPr>
            <w:tcW w:w="1885" w:type="dxa"/>
            <w:tcBorders>
              <w:top w:val="single" w:sz="4" w:space="0" w:color="auto"/>
              <w:left w:val="single" w:sz="4" w:space="0" w:color="auto"/>
              <w:bottom w:val="single" w:sz="4" w:space="0" w:color="auto"/>
              <w:right w:val="single" w:sz="4" w:space="0" w:color="auto"/>
            </w:tcBorders>
            <w:hideMark/>
          </w:tcPr>
          <w:p w14:paraId="017F6F74" w14:textId="77777777" w:rsidR="009658B2" w:rsidRPr="0013396E" w:rsidRDefault="009658B2" w:rsidP="0099759E">
            <w:pPr>
              <w:spacing w:after="60"/>
              <w:rPr>
                <w:iCs/>
                <w:sz w:val="20"/>
              </w:rPr>
            </w:pPr>
            <w:r w:rsidRPr="0013396E">
              <w:rPr>
                <w:iCs/>
                <w:sz w:val="20"/>
              </w:rPr>
              <w:t xml:space="preserve">NMSAMTTOT </w:t>
            </w:r>
            <w:r w:rsidRPr="0013396E">
              <w:rPr>
                <w:i/>
                <w:iCs/>
                <w:sz w:val="20"/>
                <w:vertAlign w:val="subscript"/>
              </w:rPr>
              <w:t>gsc</w:t>
            </w:r>
          </w:p>
        </w:tc>
        <w:tc>
          <w:tcPr>
            <w:tcW w:w="903" w:type="dxa"/>
            <w:tcBorders>
              <w:top w:val="single" w:sz="4" w:space="0" w:color="auto"/>
              <w:left w:val="single" w:sz="4" w:space="0" w:color="auto"/>
              <w:bottom w:val="single" w:sz="4" w:space="0" w:color="auto"/>
              <w:right w:val="single" w:sz="4" w:space="0" w:color="auto"/>
            </w:tcBorders>
            <w:hideMark/>
          </w:tcPr>
          <w:p w14:paraId="10E36938" w14:textId="77777777" w:rsidR="009658B2" w:rsidRPr="0013396E" w:rsidRDefault="009658B2" w:rsidP="0099759E">
            <w:pPr>
              <w:spacing w:after="60"/>
              <w:rPr>
                <w:iCs/>
                <w:sz w:val="20"/>
              </w:rPr>
            </w:pPr>
            <w:r w:rsidRPr="0013396E">
              <w:rPr>
                <w:iCs/>
                <w:sz w:val="20"/>
              </w:rPr>
              <w:t>$</w:t>
            </w:r>
          </w:p>
        </w:tc>
        <w:tc>
          <w:tcPr>
            <w:tcW w:w="0" w:type="auto"/>
            <w:tcBorders>
              <w:top w:val="single" w:sz="4" w:space="0" w:color="auto"/>
              <w:left w:val="single" w:sz="4" w:space="0" w:color="auto"/>
              <w:bottom w:val="single" w:sz="4" w:space="0" w:color="auto"/>
              <w:right w:val="single" w:sz="4" w:space="0" w:color="auto"/>
            </w:tcBorders>
            <w:hideMark/>
          </w:tcPr>
          <w:p w14:paraId="7F484609" w14:textId="77777777" w:rsidR="009658B2" w:rsidRPr="0013396E" w:rsidRDefault="009658B2" w:rsidP="0099759E">
            <w:pPr>
              <w:spacing w:after="60"/>
              <w:rPr>
                <w:iCs/>
                <w:sz w:val="20"/>
              </w:rPr>
            </w:pPr>
            <w:r w:rsidRPr="0013396E">
              <w:rPr>
                <w:i/>
                <w:iCs/>
                <w:sz w:val="20"/>
              </w:rPr>
              <w:t>Net Metering Settlement</w:t>
            </w:r>
            <w:r w:rsidRPr="0013396E">
              <w:rPr>
                <w:iCs/>
                <w:sz w:val="20"/>
              </w:rPr>
              <w:t>—The total payment or charge to a generation site with a net metering arrangement.</w:t>
            </w:r>
          </w:p>
        </w:tc>
      </w:tr>
      <w:tr w:rsidR="009658B2" w:rsidRPr="0013396E" w14:paraId="2C6BE93E" w14:textId="77777777" w:rsidTr="001D569E">
        <w:trPr>
          <w:cantSplit/>
        </w:trPr>
        <w:tc>
          <w:tcPr>
            <w:tcW w:w="9350" w:type="dxa"/>
            <w:gridSpan w:val="3"/>
            <w:tcBorders>
              <w:top w:val="single" w:sz="4" w:space="0" w:color="auto"/>
              <w:left w:val="single" w:sz="4" w:space="0" w:color="auto"/>
              <w:bottom w:val="single" w:sz="4" w:space="0" w:color="auto"/>
              <w:right w:val="single" w:sz="4" w:space="0" w:color="auto"/>
            </w:tcBorders>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110"/>
            </w:tblGrid>
            <w:tr w:rsidR="009658B2" w:rsidRPr="009658B2" w14:paraId="114FAD50" w14:textId="77777777" w:rsidTr="0099759E">
              <w:trPr>
                <w:trHeight w:val="206"/>
              </w:trPr>
              <w:tc>
                <w:tcPr>
                  <w:tcW w:w="5000" w:type="pct"/>
                  <w:shd w:val="pct12" w:color="auto" w:fill="auto"/>
                </w:tcPr>
                <w:p w14:paraId="5E4A5ECB" w14:textId="0D190684" w:rsidR="009658B2" w:rsidRPr="0013396E" w:rsidRDefault="009658B2" w:rsidP="009658B2">
                  <w:pPr>
                    <w:pStyle w:val="Instructions"/>
                    <w:spacing w:before="120"/>
                    <w:ind w:right="-114"/>
                  </w:pPr>
                  <w:r w:rsidRPr="0013396E">
                    <w:t xml:space="preserve">[NPRR1188:  </w:t>
                  </w:r>
                  <w:r>
                    <w:t xml:space="preserve">Insert the variable </w:t>
                  </w:r>
                  <w:r w:rsidRPr="009658B2">
                    <w:t>“CLRAMTTOT</w:t>
                  </w:r>
                  <w:r w:rsidRPr="009658B2">
                    <w:rPr>
                      <w:vertAlign w:val="subscript"/>
                    </w:rPr>
                    <w:t xml:space="preserve"> q, r, p</w:t>
                  </w:r>
                  <w:r>
                    <w:t>” below</w:t>
                  </w:r>
                  <w:r w:rsidRPr="0013396E">
                    <w:t xml:space="preserve"> upon system implementation:]</w:t>
                  </w:r>
                </w:p>
                <w:tbl>
                  <w:tblPr>
                    <w:tblW w:w="9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997"/>
                    <w:gridCol w:w="330"/>
                    <w:gridCol w:w="6878"/>
                  </w:tblGrid>
                  <w:tr w:rsidR="009658B2" w:rsidRPr="0013396E" w14:paraId="7D25C0C1" w14:textId="77777777" w:rsidTr="0099759E">
                    <w:trPr>
                      <w:cantSplit/>
                    </w:trPr>
                    <w:tc>
                      <w:tcPr>
                        <w:tcW w:w="1997" w:type="dxa"/>
                        <w:tcBorders>
                          <w:top w:val="single" w:sz="4" w:space="0" w:color="auto"/>
                          <w:left w:val="single" w:sz="4" w:space="0" w:color="auto"/>
                          <w:bottom w:val="single" w:sz="4" w:space="0" w:color="auto"/>
                          <w:right w:val="single" w:sz="4" w:space="0" w:color="auto"/>
                        </w:tcBorders>
                      </w:tcPr>
                      <w:p w14:paraId="66238762" w14:textId="0ED01B13" w:rsidR="009658B2" w:rsidRPr="0013396E" w:rsidRDefault="009658B2" w:rsidP="009658B2">
                        <w:pPr>
                          <w:spacing w:after="60"/>
                          <w:rPr>
                            <w:iCs/>
                            <w:sz w:val="20"/>
                          </w:rPr>
                        </w:pPr>
                        <w:r w:rsidRPr="0013396E">
                          <w:rPr>
                            <w:sz w:val="20"/>
                          </w:rPr>
                          <w:t>CLRAMTTOT</w:t>
                        </w:r>
                        <w:r w:rsidRPr="0013396E">
                          <w:rPr>
                            <w:sz w:val="20"/>
                            <w:vertAlign w:val="subscript"/>
                          </w:rPr>
                          <w:t xml:space="preserve"> </w:t>
                        </w:r>
                        <w:r w:rsidRPr="0013396E">
                          <w:rPr>
                            <w:i/>
                            <w:sz w:val="20"/>
                            <w:vertAlign w:val="subscript"/>
                          </w:rPr>
                          <w:t>q, r, p</w:t>
                        </w:r>
                      </w:p>
                    </w:tc>
                    <w:tc>
                      <w:tcPr>
                        <w:tcW w:w="0" w:type="auto"/>
                        <w:tcBorders>
                          <w:top w:val="single" w:sz="4" w:space="0" w:color="auto"/>
                          <w:left w:val="single" w:sz="4" w:space="0" w:color="auto"/>
                          <w:bottom w:val="single" w:sz="4" w:space="0" w:color="auto"/>
                          <w:right w:val="single" w:sz="4" w:space="0" w:color="auto"/>
                        </w:tcBorders>
                      </w:tcPr>
                      <w:p w14:paraId="7C0D9B2E" w14:textId="2B1F2FEB" w:rsidR="009658B2" w:rsidRPr="0013396E" w:rsidRDefault="009658B2" w:rsidP="009658B2">
                        <w:pPr>
                          <w:spacing w:after="60"/>
                          <w:rPr>
                            <w:iCs/>
                            <w:sz w:val="20"/>
                          </w:rPr>
                        </w:pPr>
                        <w:r w:rsidRPr="0013396E">
                          <w:rPr>
                            <w:sz w:val="20"/>
                          </w:rPr>
                          <w:t>$</w:t>
                        </w:r>
                      </w:p>
                    </w:tc>
                    <w:tc>
                      <w:tcPr>
                        <w:tcW w:w="0" w:type="auto"/>
                        <w:tcBorders>
                          <w:top w:val="single" w:sz="4" w:space="0" w:color="auto"/>
                          <w:left w:val="single" w:sz="4" w:space="0" w:color="auto"/>
                          <w:bottom w:val="single" w:sz="4" w:space="0" w:color="auto"/>
                          <w:right w:val="single" w:sz="4" w:space="0" w:color="auto"/>
                        </w:tcBorders>
                      </w:tcPr>
                      <w:p w14:paraId="31073916" w14:textId="0A91BAEF" w:rsidR="009658B2" w:rsidRPr="0013396E" w:rsidRDefault="009658B2" w:rsidP="009658B2">
                        <w:pPr>
                          <w:spacing w:after="60"/>
                          <w:rPr>
                            <w:i/>
                            <w:sz w:val="20"/>
                          </w:rPr>
                        </w:pPr>
                        <w:r w:rsidRPr="0013396E">
                          <w:rPr>
                            <w:i/>
                            <w:sz w:val="20"/>
                          </w:rPr>
                          <w:t>CLR Load Settlement</w:t>
                        </w:r>
                        <w:r w:rsidRPr="0013396E">
                          <w:rPr>
                            <w:sz w:val="20"/>
                          </w:rPr>
                          <w:t xml:space="preserve">—The total payment or charge to QSE </w:t>
                        </w:r>
                        <w:r w:rsidRPr="0013396E">
                          <w:rPr>
                            <w:i/>
                            <w:sz w:val="20"/>
                          </w:rPr>
                          <w:t>q</w:t>
                        </w:r>
                        <w:r w:rsidRPr="0013396E">
                          <w:rPr>
                            <w:sz w:val="20"/>
                          </w:rPr>
                          <w:t xml:space="preserve">, Resource </w:t>
                        </w:r>
                        <w:r w:rsidRPr="0013396E">
                          <w:rPr>
                            <w:i/>
                            <w:sz w:val="20"/>
                          </w:rPr>
                          <w:t>r</w:t>
                        </w:r>
                        <w:r w:rsidRPr="0013396E">
                          <w:rPr>
                            <w:sz w:val="20"/>
                          </w:rPr>
                          <w:t xml:space="preserve">, at Settlement Point </w:t>
                        </w:r>
                        <w:r w:rsidRPr="0013396E">
                          <w:rPr>
                            <w:i/>
                            <w:sz w:val="20"/>
                          </w:rPr>
                          <w:t>p</w:t>
                        </w:r>
                        <w:r w:rsidRPr="0013396E">
                          <w:rPr>
                            <w:sz w:val="20"/>
                          </w:rPr>
                          <w:t>, for CLR Load for each 15-minute Settlement Interval.</w:t>
                        </w:r>
                      </w:p>
                    </w:tc>
                  </w:tr>
                </w:tbl>
                <w:p w14:paraId="2C609C0F" w14:textId="77777777" w:rsidR="009658B2" w:rsidRPr="009658B2" w:rsidRDefault="009658B2" w:rsidP="009658B2">
                  <w:pPr>
                    <w:spacing w:after="60"/>
                    <w:rPr>
                      <w:iCs/>
                      <w:sz w:val="20"/>
                    </w:rPr>
                  </w:pPr>
                </w:p>
              </w:tc>
            </w:tr>
          </w:tbl>
          <w:p w14:paraId="68053FC2" w14:textId="77777777" w:rsidR="009658B2" w:rsidRPr="0013396E" w:rsidRDefault="009658B2" w:rsidP="0099759E">
            <w:pPr>
              <w:spacing w:after="60"/>
              <w:rPr>
                <w:i/>
                <w:iCs/>
                <w:sz w:val="20"/>
              </w:rPr>
            </w:pPr>
          </w:p>
        </w:tc>
      </w:tr>
      <w:tr w:rsidR="009658B2" w:rsidRPr="0013396E" w14:paraId="1F1AEE32" w14:textId="77777777" w:rsidTr="005A7D8E">
        <w:trPr>
          <w:cantSplit/>
        </w:trPr>
        <w:tc>
          <w:tcPr>
            <w:tcW w:w="1885" w:type="dxa"/>
            <w:tcBorders>
              <w:top w:val="single" w:sz="4" w:space="0" w:color="auto"/>
              <w:left w:val="single" w:sz="4" w:space="0" w:color="auto"/>
              <w:bottom w:val="single" w:sz="4" w:space="0" w:color="auto"/>
              <w:right w:val="single" w:sz="4" w:space="0" w:color="auto"/>
            </w:tcBorders>
            <w:hideMark/>
          </w:tcPr>
          <w:p w14:paraId="52A32CD0" w14:textId="77777777" w:rsidR="009658B2" w:rsidRPr="0013396E" w:rsidRDefault="009658B2" w:rsidP="0099759E">
            <w:pPr>
              <w:spacing w:after="60"/>
              <w:rPr>
                <w:iCs/>
                <w:sz w:val="20"/>
              </w:rPr>
            </w:pPr>
            <w:r w:rsidRPr="0013396E">
              <w:rPr>
                <w:iCs/>
                <w:sz w:val="20"/>
              </w:rPr>
              <w:t>WSLAMTTOT</w:t>
            </w:r>
            <w:r w:rsidRPr="0013396E">
              <w:rPr>
                <w:iCs/>
                <w:sz w:val="20"/>
                <w:vertAlign w:val="subscript"/>
              </w:rPr>
              <w:t xml:space="preserve"> </w:t>
            </w:r>
            <w:r w:rsidRPr="0013396E">
              <w:rPr>
                <w:i/>
                <w:iCs/>
                <w:sz w:val="20"/>
                <w:vertAlign w:val="subscript"/>
              </w:rPr>
              <w:t>q, r, p</w:t>
            </w:r>
            <w:r w:rsidRPr="0013396E">
              <w:rPr>
                <w:iCs/>
                <w:sz w:val="20"/>
                <w:vertAlign w:val="subscript"/>
              </w:rPr>
              <w:t xml:space="preserve">  </w:t>
            </w:r>
          </w:p>
        </w:tc>
        <w:tc>
          <w:tcPr>
            <w:tcW w:w="903" w:type="dxa"/>
            <w:tcBorders>
              <w:top w:val="single" w:sz="4" w:space="0" w:color="auto"/>
              <w:left w:val="single" w:sz="4" w:space="0" w:color="auto"/>
              <w:bottom w:val="single" w:sz="4" w:space="0" w:color="auto"/>
              <w:right w:val="single" w:sz="4" w:space="0" w:color="auto"/>
            </w:tcBorders>
            <w:hideMark/>
          </w:tcPr>
          <w:p w14:paraId="58FB1448" w14:textId="77777777" w:rsidR="009658B2" w:rsidRPr="0013396E" w:rsidRDefault="009658B2" w:rsidP="0099759E">
            <w:pPr>
              <w:spacing w:after="60"/>
              <w:rPr>
                <w:iCs/>
                <w:sz w:val="20"/>
              </w:rPr>
            </w:pPr>
            <w:r w:rsidRPr="0013396E">
              <w:rPr>
                <w:iCs/>
                <w:sz w:val="20"/>
              </w:rPr>
              <w:t>$</w:t>
            </w:r>
          </w:p>
        </w:tc>
        <w:tc>
          <w:tcPr>
            <w:tcW w:w="0" w:type="auto"/>
            <w:tcBorders>
              <w:top w:val="single" w:sz="4" w:space="0" w:color="auto"/>
              <w:left w:val="single" w:sz="4" w:space="0" w:color="auto"/>
              <w:bottom w:val="single" w:sz="4" w:space="0" w:color="auto"/>
              <w:right w:val="single" w:sz="4" w:space="0" w:color="auto"/>
            </w:tcBorders>
            <w:hideMark/>
          </w:tcPr>
          <w:p w14:paraId="3345FD80" w14:textId="77777777" w:rsidR="009658B2" w:rsidRPr="0013396E" w:rsidRDefault="009658B2" w:rsidP="0099759E">
            <w:pPr>
              <w:spacing w:after="60"/>
              <w:rPr>
                <w:i/>
                <w:iCs/>
                <w:sz w:val="20"/>
              </w:rPr>
            </w:pPr>
            <w:r w:rsidRPr="0013396E">
              <w:rPr>
                <w:i/>
                <w:iCs/>
                <w:sz w:val="20"/>
              </w:rPr>
              <w:t>Wholesale Storage Load Settlement</w:t>
            </w:r>
            <w:r w:rsidRPr="0013396E">
              <w:rPr>
                <w:iCs/>
                <w:sz w:val="20"/>
              </w:rPr>
              <w:t>—</w:t>
            </w:r>
            <w:r w:rsidRPr="0013396E">
              <w:rPr>
                <w:sz w:val="20"/>
              </w:rPr>
              <w:t xml:space="preserve">The total payment or charge to QSE </w:t>
            </w:r>
            <w:r w:rsidRPr="0013396E">
              <w:rPr>
                <w:i/>
                <w:sz w:val="20"/>
              </w:rPr>
              <w:t>q</w:t>
            </w:r>
            <w:r w:rsidRPr="0013396E">
              <w:rPr>
                <w:sz w:val="20"/>
              </w:rPr>
              <w:t xml:space="preserve">, Resource </w:t>
            </w:r>
            <w:r w:rsidRPr="0013396E">
              <w:rPr>
                <w:i/>
                <w:sz w:val="20"/>
              </w:rPr>
              <w:t>r</w:t>
            </w:r>
            <w:r w:rsidRPr="0013396E">
              <w:rPr>
                <w:sz w:val="20"/>
              </w:rPr>
              <w:t xml:space="preserve">, at Settlement Point </w:t>
            </w:r>
            <w:r w:rsidRPr="0013396E">
              <w:rPr>
                <w:i/>
                <w:sz w:val="20"/>
              </w:rPr>
              <w:t>p</w:t>
            </w:r>
            <w:r w:rsidRPr="0013396E">
              <w:rPr>
                <w:sz w:val="20"/>
              </w:rPr>
              <w:t xml:space="preserve">, </w:t>
            </w:r>
            <w:r w:rsidRPr="0013396E">
              <w:rPr>
                <w:iCs/>
                <w:sz w:val="20"/>
              </w:rPr>
              <w:t xml:space="preserve">for WSL </w:t>
            </w:r>
            <w:r w:rsidRPr="0013396E">
              <w:rPr>
                <w:sz w:val="20"/>
              </w:rPr>
              <w:t>for each 15-minute Settlement Interval.</w:t>
            </w:r>
          </w:p>
        </w:tc>
      </w:tr>
      <w:tr w:rsidR="009658B2" w:rsidRPr="0013396E" w14:paraId="446A023A" w14:textId="77777777" w:rsidTr="005A7D8E">
        <w:trPr>
          <w:cantSplit/>
        </w:trPr>
        <w:tc>
          <w:tcPr>
            <w:tcW w:w="1885" w:type="dxa"/>
            <w:tcBorders>
              <w:top w:val="single" w:sz="4" w:space="0" w:color="auto"/>
              <w:left w:val="single" w:sz="4" w:space="0" w:color="auto"/>
              <w:bottom w:val="single" w:sz="4" w:space="0" w:color="auto"/>
              <w:right w:val="single" w:sz="4" w:space="0" w:color="auto"/>
            </w:tcBorders>
          </w:tcPr>
          <w:p w14:paraId="6730ADB5" w14:textId="77777777" w:rsidR="009658B2" w:rsidRPr="0013396E" w:rsidRDefault="009658B2" w:rsidP="0099759E">
            <w:pPr>
              <w:spacing w:after="60"/>
              <w:rPr>
                <w:iCs/>
                <w:sz w:val="20"/>
              </w:rPr>
            </w:pPr>
            <w:r w:rsidRPr="0013396E">
              <w:rPr>
                <w:iCs/>
                <w:sz w:val="20"/>
              </w:rPr>
              <w:t>ESRNWSLAMTTOT</w:t>
            </w:r>
            <w:r w:rsidRPr="0013396E">
              <w:rPr>
                <w:iCs/>
                <w:sz w:val="20"/>
                <w:vertAlign w:val="subscript"/>
              </w:rPr>
              <w:t xml:space="preserve"> </w:t>
            </w:r>
            <w:r w:rsidRPr="0013396E">
              <w:rPr>
                <w:i/>
                <w:iCs/>
                <w:sz w:val="20"/>
                <w:vertAlign w:val="subscript"/>
              </w:rPr>
              <w:t>q, r, p</w:t>
            </w:r>
          </w:p>
        </w:tc>
        <w:tc>
          <w:tcPr>
            <w:tcW w:w="903" w:type="dxa"/>
            <w:tcBorders>
              <w:top w:val="single" w:sz="4" w:space="0" w:color="auto"/>
              <w:left w:val="single" w:sz="4" w:space="0" w:color="auto"/>
              <w:bottom w:val="single" w:sz="4" w:space="0" w:color="auto"/>
              <w:right w:val="single" w:sz="4" w:space="0" w:color="auto"/>
            </w:tcBorders>
          </w:tcPr>
          <w:p w14:paraId="5184E5C6" w14:textId="77777777" w:rsidR="009658B2" w:rsidRPr="0013396E" w:rsidRDefault="009658B2" w:rsidP="0099759E">
            <w:pPr>
              <w:spacing w:after="60"/>
              <w:rPr>
                <w:iCs/>
                <w:sz w:val="20"/>
              </w:rPr>
            </w:pPr>
            <w:r w:rsidRPr="0013396E">
              <w:rPr>
                <w:iCs/>
                <w:sz w:val="20"/>
              </w:rPr>
              <w:t>$</w:t>
            </w:r>
          </w:p>
        </w:tc>
        <w:tc>
          <w:tcPr>
            <w:tcW w:w="0" w:type="auto"/>
            <w:tcBorders>
              <w:top w:val="single" w:sz="4" w:space="0" w:color="auto"/>
              <w:left w:val="single" w:sz="4" w:space="0" w:color="auto"/>
              <w:bottom w:val="single" w:sz="4" w:space="0" w:color="auto"/>
              <w:right w:val="single" w:sz="4" w:space="0" w:color="auto"/>
            </w:tcBorders>
          </w:tcPr>
          <w:p w14:paraId="726FC1C8" w14:textId="77777777" w:rsidR="009658B2" w:rsidRPr="0013396E" w:rsidRDefault="009658B2" w:rsidP="0099759E">
            <w:pPr>
              <w:spacing w:after="60"/>
              <w:rPr>
                <w:i/>
                <w:iCs/>
                <w:sz w:val="20"/>
              </w:rPr>
            </w:pPr>
            <w:r w:rsidRPr="0013396E">
              <w:rPr>
                <w:i/>
                <w:sz w:val="20"/>
              </w:rPr>
              <w:t>Energy Storage Resource Non-WSL Settlement</w:t>
            </w:r>
            <w:r w:rsidRPr="0013396E">
              <w:rPr>
                <w:sz w:val="20"/>
              </w:rPr>
              <w:t xml:space="preserve">—The total payment or charge to QSE </w:t>
            </w:r>
            <w:r w:rsidRPr="0013396E">
              <w:rPr>
                <w:i/>
                <w:sz w:val="20"/>
              </w:rPr>
              <w:t>q</w:t>
            </w:r>
            <w:r w:rsidRPr="0013396E">
              <w:rPr>
                <w:sz w:val="20"/>
              </w:rPr>
              <w:t xml:space="preserve">, Resource </w:t>
            </w:r>
            <w:r w:rsidRPr="0013396E">
              <w:rPr>
                <w:i/>
                <w:sz w:val="20"/>
              </w:rPr>
              <w:t>r</w:t>
            </w:r>
            <w:r w:rsidRPr="0013396E">
              <w:rPr>
                <w:sz w:val="20"/>
              </w:rPr>
              <w:t xml:space="preserve">, at Settlement Point </w:t>
            </w:r>
            <w:r w:rsidRPr="0013396E">
              <w:rPr>
                <w:i/>
                <w:sz w:val="20"/>
              </w:rPr>
              <w:t>p</w:t>
            </w:r>
            <w:r w:rsidRPr="0013396E">
              <w:rPr>
                <w:sz w:val="20"/>
              </w:rPr>
              <w:t>, for Non-WSL ESR Charging Load for each 15-minute Settlement Interval.</w:t>
            </w:r>
          </w:p>
        </w:tc>
      </w:tr>
      <w:tr w:rsidR="009658B2" w:rsidRPr="0013396E" w14:paraId="2DEB90D6" w14:textId="77777777" w:rsidTr="005A7D8E">
        <w:trPr>
          <w:cantSplit/>
        </w:trPr>
        <w:tc>
          <w:tcPr>
            <w:tcW w:w="1885" w:type="dxa"/>
            <w:tcBorders>
              <w:top w:val="single" w:sz="4" w:space="0" w:color="auto"/>
              <w:left w:val="single" w:sz="4" w:space="0" w:color="auto"/>
              <w:bottom w:val="single" w:sz="4" w:space="0" w:color="auto"/>
              <w:right w:val="single" w:sz="4" w:space="0" w:color="auto"/>
            </w:tcBorders>
            <w:hideMark/>
          </w:tcPr>
          <w:p w14:paraId="31E44C8E" w14:textId="77777777" w:rsidR="009658B2" w:rsidRPr="0013396E" w:rsidRDefault="009658B2" w:rsidP="0099759E">
            <w:pPr>
              <w:spacing w:after="60"/>
              <w:rPr>
                <w:iCs/>
                <w:sz w:val="20"/>
              </w:rPr>
            </w:pPr>
            <w:r w:rsidRPr="0013396E">
              <w:rPr>
                <w:iCs/>
                <w:sz w:val="20"/>
              </w:rPr>
              <w:t xml:space="preserve">NMRTETOT </w:t>
            </w:r>
            <w:r w:rsidRPr="0013396E">
              <w:rPr>
                <w:i/>
                <w:iCs/>
                <w:sz w:val="20"/>
                <w:vertAlign w:val="subscript"/>
              </w:rPr>
              <w:t>gsc</w:t>
            </w:r>
          </w:p>
        </w:tc>
        <w:tc>
          <w:tcPr>
            <w:tcW w:w="903" w:type="dxa"/>
            <w:tcBorders>
              <w:top w:val="single" w:sz="4" w:space="0" w:color="auto"/>
              <w:left w:val="single" w:sz="4" w:space="0" w:color="auto"/>
              <w:bottom w:val="single" w:sz="4" w:space="0" w:color="auto"/>
              <w:right w:val="single" w:sz="4" w:space="0" w:color="auto"/>
            </w:tcBorders>
            <w:hideMark/>
          </w:tcPr>
          <w:p w14:paraId="1E59A321" w14:textId="77777777" w:rsidR="009658B2" w:rsidRPr="0013396E" w:rsidRDefault="009658B2" w:rsidP="0099759E">
            <w:pPr>
              <w:spacing w:after="60"/>
              <w:rPr>
                <w:iCs/>
                <w:sz w:val="20"/>
              </w:rPr>
            </w:pPr>
            <w:r w:rsidRPr="0013396E">
              <w:rPr>
                <w:iCs/>
                <w:sz w:val="20"/>
              </w:rPr>
              <w:t>MWh</w:t>
            </w:r>
          </w:p>
        </w:tc>
        <w:tc>
          <w:tcPr>
            <w:tcW w:w="0" w:type="auto"/>
            <w:tcBorders>
              <w:top w:val="single" w:sz="4" w:space="0" w:color="auto"/>
              <w:left w:val="single" w:sz="4" w:space="0" w:color="auto"/>
              <w:bottom w:val="single" w:sz="4" w:space="0" w:color="auto"/>
              <w:right w:val="single" w:sz="4" w:space="0" w:color="auto"/>
            </w:tcBorders>
            <w:hideMark/>
          </w:tcPr>
          <w:p w14:paraId="6FD3DDA9" w14:textId="77777777" w:rsidR="009658B2" w:rsidRPr="0013396E" w:rsidRDefault="009658B2" w:rsidP="0099759E">
            <w:pPr>
              <w:spacing w:after="60"/>
              <w:rPr>
                <w:i/>
                <w:iCs/>
                <w:sz w:val="20"/>
              </w:rPr>
            </w:pPr>
            <w:r w:rsidRPr="0013396E">
              <w:rPr>
                <w:i/>
                <w:iCs/>
                <w:sz w:val="20"/>
              </w:rPr>
              <w:t>Net Meter Real-Time Energy Total</w:t>
            </w:r>
            <w:r w:rsidRPr="0013396E">
              <w:rPr>
                <w:iCs/>
                <w:sz w:val="20"/>
              </w:rPr>
              <w:t xml:space="preserve">—The net sum for all Settlement Meters included in generation site code </w:t>
            </w:r>
            <w:r w:rsidRPr="0013396E">
              <w:rPr>
                <w:i/>
                <w:iCs/>
                <w:sz w:val="20"/>
              </w:rPr>
              <w:t>gsc</w:t>
            </w:r>
            <w:r w:rsidRPr="0013396E">
              <w:rPr>
                <w:iCs/>
                <w:sz w:val="20"/>
              </w:rPr>
              <w:t>.  A positive value indicates an injection of power to the ERCOT System.</w:t>
            </w:r>
          </w:p>
        </w:tc>
      </w:tr>
      <w:tr w:rsidR="009658B2" w:rsidRPr="0013396E" w14:paraId="17454216" w14:textId="77777777" w:rsidTr="005A7D8E">
        <w:trPr>
          <w:cantSplit/>
        </w:trPr>
        <w:tc>
          <w:tcPr>
            <w:tcW w:w="1885" w:type="dxa"/>
            <w:tcBorders>
              <w:top w:val="single" w:sz="4" w:space="0" w:color="auto"/>
              <w:left w:val="single" w:sz="4" w:space="0" w:color="auto"/>
              <w:bottom w:val="single" w:sz="4" w:space="0" w:color="auto"/>
              <w:right w:val="single" w:sz="4" w:space="0" w:color="auto"/>
            </w:tcBorders>
            <w:hideMark/>
          </w:tcPr>
          <w:p w14:paraId="41201FB5" w14:textId="77777777" w:rsidR="009658B2" w:rsidRPr="0013396E" w:rsidRDefault="009658B2" w:rsidP="0099759E">
            <w:pPr>
              <w:spacing w:after="60"/>
              <w:rPr>
                <w:iCs/>
                <w:sz w:val="20"/>
              </w:rPr>
            </w:pPr>
            <w:r w:rsidRPr="0013396E">
              <w:rPr>
                <w:iCs/>
                <w:sz w:val="20"/>
              </w:rPr>
              <w:t xml:space="preserve">GSPLITPER </w:t>
            </w:r>
            <w:r w:rsidRPr="0013396E">
              <w:rPr>
                <w:i/>
                <w:iCs/>
                <w:sz w:val="20"/>
                <w:vertAlign w:val="subscript"/>
              </w:rPr>
              <w:t>q, r, gsc, p</w:t>
            </w:r>
          </w:p>
        </w:tc>
        <w:tc>
          <w:tcPr>
            <w:tcW w:w="903" w:type="dxa"/>
            <w:tcBorders>
              <w:top w:val="single" w:sz="4" w:space="0" w:color="auto"/>
              <w:left w:val="single" w:sz="4" w:space="0" w:color="auto"/>
              <w:bottom w:val="single" w:sz="4" w:space="0" w:color="auto"/>
              <w:right w:val="single" w:sz="4" w:space="0" w:color="auto"/>
            </w:tcBorders>
            <w:hideMark/>
          </w:tcPr>
          <w:p w14:paraId="086D44EA" w14:textId="77777777" w:rsidR="009658B2" w:rsidRPr="0013396E" w:rsidRDefault="009658B2" w:rsidP="0099759E">
            <w:pPr>
              <w:spacing w:after="60"/>
              <w:rPr>
                <w:iCs/>
                <w:sz w:val="20"/>
              </w:rPr>
            </w:pPr>
            <w:r w:rsidRPr="0013396E">
              <w:rPr>
                <w:iCs/>
                <w:sz w:val="20"/>
              </w:rPr>
              <w:t>none</w:t>
            </w:r>
          </w:p>
        </w:tc>
        <w:tc>
          <w:tcPr>
            <w:tcW w:w="0" w:type="auto"/>
            <w:tcBorders>
              <w:top w:val="single" w:sz="4" w:space="0" w:color="auto"/>
              <w:left w:val="single" w:sz="4" w:space="0" w:color="auto"/>
              <w:bottom w:val="single" w:sz="4" w:space="0" w:color="auto"/>
              <w:right w:val="single" w:sz="4" w:space="0" w:color="auto"/>
            </w:tcBorders>
            <w:hideMark/>
          </w:tcPr>
          <w:p w14:paraId="62F97689" w14:textId="77777777" w:rsidR="009658B2" w:rsidRPr="0013396E" w:rsidRDefault="009658B2" w:rsidP="0099759E">
            <w:pPr>
              <w:spacing w:after="60"/>
              <w:rPr>
                <w:iCs/>
                <w:sz w:val="20"/>
              </w:rPr>
            </w:pPr>
            <w:r w:rsidRPr="0013396E">
              <w:rPr>
                <w:i/>
                <w:iCs/>
                <w:sz w:val="20"/>
              </w:rPr>
              <w:t>Generation Resource SCADA Splitting Percentage</w:t>
            </w:r>
            <w:r w:rsidRPr="0013396E">
              <w:rPr>
                <w:iCs/>
                <w:sz w:val="20"/>
              </w:rPr>
              <w:t xml:space="preserve">—The generation allocation percentage for Resource </w:t>
            </w:r>
            <w:r w:rsidRPr="0013396E">
              <w:rPr>
                <w:i/>
                <w:iCs/>
                <w:sz w:val="20"/>
              </w:rPr>
              <w:t>r</w:t>
            </w:r>
            <w:r w:rsidRPr="0013396E">
              <w:rPr>
                <w:iCs/>
                <w:sz w:val="20"/>
              </w:rPr>
              <w:t xml:space="preserve"> that is part of a net metering arrangement.  GSPLITPER is calculated by taking the positive Supervisory Control and Data Acquisition (SCADA) values (GSSPLITSCA) for a particular Generation Resource or ESR </w:t>
            </w:r>
            <w:r w:rsidRPr="0013396E">
              <w:rPr>
                <w:i/>
                <w:iCs/>
                <w:sz w:val="20"/>
              </w:rPr>
              <w:t>r</w:t>
            </w:r>
            <w:r w:rsidRPr="0013396E">
              <w:rPr>
                <w:iCs/>
                <w:sz w:val="20"/>
              </w:rPr>
              <w:t xml:space="preserve"> that is part of a net metering configuration and dividing by the sum of all positive SCADA values for all Resources that are included in the net metering configuration for each interval.  Where for a Combined Cycle Train, the Resource </w:t>
            </w:r>
            <w:r w:rsidRPr="0013396E">
              <w:rPr>
                <w:i/>
                <w:iCs/>
                <w:sz w:val="20"/>
              </w:rPr>
              <w:t xml:space="preserve">r </w:t>
            </w:r>
            <w:r w:rsidRPr="0013396E">
              <w:rPr>
                <w:iCs/>
                <w:sz w:val="20"/>
              </w:rPr>
              <w:t>is the Combined Cycle Train.</w:t>
            </w:r>
          </w:p>
        </w:tc>
      </w:tr>
      <w:tr w:rsidR="009658B2" w:rsidRPr="0013396E" w14:paraId="38B0C44F" w14:textId="77777777" w:rsidTr="005A7D8E">
        <w:trPr>
          <w:cantSplit/>
        </w:trPr>
        <w:tc>
          <w:tcPr>
            <w:tcW w:w="1885" w:type="dxa"/>
            <w:tcBorders>
              <w:top w:val="single" w:sz="4" w:space="0" w:color="auto"/>
              <w:left w:val="single" w:sz="4" w:space="0" w:color="auto"/>
              <w:bottom w:val="single" w:sz="4" w:space="0" w:color="auto"/>
              <w:right w:val="single" w:sz="4" w:space="0" w:color="auto"/>
            </w:tcBorders>
            <w:hideMark/>
          </w:tcPr>
          <w:p w14:paraId="5704F113" w14:textId="77777777" w:rsidR="009658B2" w:rsidRPr="0013396E" w:rsidRDefault="009658B2" w:rsidP="0099759E">
            <w:pPr>
              <w:spacing w:after="60"/>
              <w:rPr>
                <w:i/>
                <w:iCs/>
                <w:sz w:val="20"/>
              </w:rPr>
            </w:pPr>
            <w:r w:rsidRPr="0013396E">
              <w:rPr>
                <w:i/>
                <w:iCs/>
                <w:sz w:val="20"/>
              </w:rPr>
              <w:t>q</w:t>
            </w:r>
          </w:p>
        </w:tc>
        <w:tc>
          <w:tcPr>
            <w:tcW w:w="903" w:type="dxa"/>
            <w:tcBorders>
              <w:top w:val="single" w:sz="4" w:space="0" w:color="auto"/>
              <w:left w:val="single" w:sz="4" w:space="0" w:color="auto"/>
              <w:bottom w:val="single" w:sz="4" w:space="0" w:color="auto"/>
              <w:right w:val="single" w:sz="4" w:space="0" w:color="auto"/>
            </w:tcBorders>
            <w:hideMark/>
          </w:tcPr>
          <w:p w14:paraId="73A150BF" w14:textId="77777777" w:rsidR="009658B2" w:rsidRPr="0013396E" w:rsidRDefault="009658B2" w:rsidP="0099759E">
            <w:pPr>
              <w:spacing w:after="60"/>
              <w:rPr>
                <w:iCs/>
                <w:sz w:val="20"/>
              </w:rPr>
            </w:pPr>
            <w:r w:rsidRPr="0013396E">
              <w:rPr>
                <w:iCs/>
                <w:sz w:val="20"/>
              </w:rPr>
              <w:t>none</w:t>
            </w:r>
          </w:p>
        </w:tc>
        <w:tc>
          <w:tcPr>
            <w:tcW w:w="0" w:type="auto"/>
            <w:tcBorders>
              <w:top w:val="single" w:sz="4" w:space="0" w:color="auto"/>
              <w:left w:val="single" w:sz="4" w:space="0" w:color="auto"/>
              <w:bottom w:val="single" w:sz="4" w:space="0" w:color="auto"/>
              <w:right w:val="single" w:sz="4" w:space="0" w:color="auto"/>
            </w:tcBorders>
            <w:hideMark/>
          </w:tcPr>
          <w:p w14:paraId="0EA3B057" w14:textId="77777777" w:rsidR="009658B2" w:rsidRPr="0013396E" w:rsidRDefault="009658B2" w:rsidP="0099759E">
            <w:pPr>
              <w:spacing w:after="60"/>
              <w:rPr>
                <w:iCs/>
                <w:sz w:val="20"/>
              </w:rPr>
            </w:pPr>
            <w:r w:rsidRPr="0013396E">
              <w:rPr>
                <w:iCs/>
                <w:sz w:val="20"/>
              </w:rPr>
              <w:t>A QSE.</w:t>
            </w:r>
          </w:p>
        </w:tc>
      </w:tr>
      <w:tr w:rsidR="009658B2" w:rsidRPr="0013396E" w14:paraId="2A1CBC1A" w14:textId="77777777" w:rsidTr="005A7D8E">
        <w:trPr>
          <w:cantSplit/>
        </w:trPr>
        <w:tc>
          <w:tcPr>
            <w:tcW w:w="1885" w:type="dxa"/>
            <w:tcBorders>
              <w:top w:val="single" w:sz="4" w:space="0" w:color="auto"/>
              <w:left w:val="single" w:sz="4" w:space="0" w:color="auto"/>
              <w:bottom w:val="single" w:sz="4" w:space="0" w:color="auto"/>
              <w:right w:val="single" w:sz="4" w:space="0" w:color="auto"/>
            </w:tcBorders>
            <w:hideMark/>
          </w:tcPr>
          <w:p w14:paraId="7067E835" w14:textId="77777777" w:rsidR="009658B2" w:rsidRPr="0013396E" w:rsidRDefault="009658B2" w:rsidP="0099759E">
            <w:pPr>
              <w:spacing w:after="60"/>
              <w:rPr>
                <w:i/>
                <w:iCs/>
                <w:sz w:val="20"/>
              </w:rPr>
            </w:pPr>
            <w:r w:rsidRPr="0013396E">
              <w:rPr>
                <w:i/>
                <w:iCs/>
                <w:sz w:val="20"/>
              </w:rPr>
              <w:t>p</w:t>
            </w:r>
          </w:p>
        </w:tc>
        <w:tc>
          <w:tcPr>
            <w:tcW w:w="903" w:type="dxa"/>
            <w:tcBorders>
              <w:top w:val="single" w:sz="4" w:space="0" w:color="auto"/>
              <w:left w:val="single" w:sz="4" w:space="0" w:color="auto"/>
              <w:bottom w:val="single" w:sz="4" w:space="0" w:color="auto"/>
              <w:right w:val="single" w:sz="4" w:space="0" w:color="auto"/>
            </w:tcBorders>
            <w:hideMark/>
          </w:tcPr>
          <w:p w14:paraId="5D442D77" w14:textId="77777777" w:rsidR="009658B2" w:rsidRPr="0013396E" w:rsidRDefault="009658B2" w:rsidP="0099759E">
            <w:pPr>
              <w:spacing w:after="60"/>
              <w:rPr>
                <w:iCs/>
                <w:sz w:val="20"/>
              </w:rPr>
            </w:pPr>
            <w:r w:rsidRPr="0013396E">
              <w:rPr>
                <w:iCs/>
                <w:sz w:val="20"/>
              </w:rPr>
              <w:t>none</w:t>
            </w:r>
          </w:p>
        </w:tc>
        <w:tc>
          <w:tcPr>
            <w:tcW w:w="0" w:type="auto"/>
            <w:tcBorders>
              <w:top w:val="single" w:sz="4" w:space="0" w:color="auto"/>
              <w:left w:val="single" w:sz="4" w:space="0" w:color="auto"/>
              <w:bottom w:val="single" w:sz="4" w:space="0" w:color="auto"/>
              <w:right w:val="single" w:sz="4" w:space="0" w:color="auto"/>
            </w:tcBorders>
            <w:hideMark/>
          </w:tcPr>
          <w:p w14:paraId="1B9123F2" w14:textId="77777777" w:rsidR="009658B2" w:rsidRPr="0013396E" w:rsidRDefault="009658B2" w:rsidP="0099759E">
            <w:pPr>
              <w:spacing w:after="60"/>
              <w:rPr>
                <w:iCs/>
                <w:sz w:val="20"/>
              </w:rPr>
            </w:pPr>
            <w:r w:rsidRPr="0013396E">
              <w:rPr>
                <w:iCs/>
                <w:sz w:val="20"/>
              </w:rPr>
              <w:t>A Resource Node Settlement Point.</w:t>
            </w:r>
          </w:p>
        </w:tc>
      </w:tr>
      <w:tr w:rsidR="009658B2" w:rsidRPr="0013396E" w14:paraId="2762DEF1" w14:textId="77777777" w:rsidTr="005A7D8E">
        <w:trPr>
          <w:cantSplit/>
        </w:trPr>
        <w:tc>
          <w:tcPr>
            <w:tcW w:w="1885" w:type="dxa"/>
            <w:tcBorders>
              <w:top w:val="single" w:sz="4" w:space="0" w:color="auto"/>
              <w:left w:val="single" w:sz="4" w:space="0" w:color="auto"/>
              <w:bottom w:val="single" w:sz="4" w:space="0" w:color="auto"/>
              <w:right w:val="single" w:sz="4" w:space="0" w:color="auto"/>
            </w:tcBorders>
            <w:hideMark/>
          </w:tcPr>
          <w:p w14:paraId="2B690C56" w14:textId="77777777" w:rsidR="009658B2" w:rsidRPr="0013396E" w:rsidRDefault="009658B2" w:rsidP="0099759E">
            <w:pPr>
              <w:spacing w:after="60"/>
              <w:rPr>
                <w:i/>
                <w:iCs/>
                <w:sz w:val="20"/>
              </w:rPr>
            </w:pPr>
            <w:r w:rsidRPr="0013396E">
              <w:rPr>
                <w:i/>
                <w:iCs/>
                <w:sz w:val="20"/>
              </w:rPr>
              <w:lastRenderedPageBreak/>
              <w:t>r</w:t>
            </w:r>
          </w:p>
        </w:tc>
        <w:tc>
          <w:tcPr>
            <w:tcW w:w="903" w:type="dxa"/>
            <w:tcBorders>
              <w:top w:val="single" w:sz="4" w:space="0" w:color="auto"/>
              <w:left w:val="single" w:sz="4" w:space="0" w:color="auto"/>
              <w:bottom w:val="single" w:sz="4" w:space="0" w:color="auto"/>
              <w:right w:val="single" w:sz="4" w:space="0" w:color="auto"/>
            </w:tcBorders>
            <w:hideMark/>
          </w:tcPr>
          <w:p w14:paraId="780AFF61" w14:textId="77777777" w:rsidR="009658B2" w:rsidRPr="0013396E" w:rsidRDefault="009658B2" w:rsidP="0099759E">
            <w:pPr>
              <w:spacing w:after="60"/>
              <w:rPr>
                <w:iCs/>
                <w:sz w:val="20"/>
              </w:rPr>
            </w:pPr>
            <w:r w:rsidRPr="0013396E">
              <w:rPr>
                <w:iCs/>
                <w:sz w:val="20"/>
              </w:rPr>
              <w:t>none</w:t>
            </w:r>
          </w:p>
        </w:tc>
        <w:tc>
          <w:tcPr>
            <w:tcW w:w="0" w:type="auto"/>
            <w:tcBorders>
              <w:top w:val="single" w:sz="4" w:space="0" w:color="auto"/>
              <w:left w:val="single" w:sz="4" w:space="0" w:color="auto"/>
              <w:bottom w:val="single" w:sz="4" w:space="0" w:color="auto"/>
              <w:right w:val="single" w:sz="4" w:space="0" w:color="auto"/>
            </w:tcBorders>
            <w:hideMark/>
          </w:tcPr>
          <w:p w14:paraId="57F93A9C" w14:textId="6B7CF394" w:rsidR="00481FA0" w:rsidRPr="0013396E" w:rsidRDefault="009658B2" w:rsidP="0099759E">
            <w:pPr>
              <w:spacing w:after="60"/>
              <w:rPr>
                <w:iCs/>
                <w:sz w:val="20"/>
              </w:rPr>
            </w:pPr>
            <w:r w:rsidRPr="0013396E">
              <w:rPr>
                <w:iCs/>
                <w:sz w:val="20"/>
              </w:rPr>
              <w:t>A Generation Resource or ESR that is located at the Facility with net metering.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6274"/>
            </w:tblGrid>
            <w:tr w:rsidR="00481FA0" w:rsidRPr="009658B2" w14:paraId="24A80536" w14:textId="77777777" w:rsidTr="0099759E">
              <w:trPr>
                <w:trHeight w:val="206"/>
              </w:trPr>
              <w:tc>
                <w:tcPr>
                  <w:tcW w:w="5000" w:type="pct"/>
                  <w:shd w:val="pct12" w:color="auto" w:fill="auto"/>
                </w:tcPr>
                <w:p w14:paraId="0F4A60BF" w14:textId="77777777" w:rsidR="00481FA0" w:rsidRPr="0013396E" w:rsidRDefault="00481FA0" w:rsidP="00481FA0">
                  <w:pPr>
                    <w:pStyle w:val="Instructions"/>
                    <w:spacing w:before="120"/>
                    <w:ind w:right="-114"/>
                  </w:pPr>
                  <w:r w:rsidRPr="0013396E">
                    <w:t xml:space="preserve">[NPRR1188:  Replace </w:t>
                  </w:r>
                  <w:r>
                    <w:t>the description</w:t>
                  </w:r>
                  <w:r w:rsidRPr="0013396E">
                    <w:t xml:space="preserve"> above with the following upon system implementation:]</w:t>
                  </w:r>
                </w:p>
                <w:p w14:paraId="336E2C58" w14:textId="30DAEC30" w:rsidR="00481FA0" w:rsidRPr="009658B2" w:rsidRDefault="00481FA0" w:rsidP="00481FA0">
                  <w:pPr>
                    <w:spacing w:after="60"/>
                    <w:rPr>
                      <w:iCs/>
                      <w:sz w:val="20"/>
                    </w:rPr>
                  </w:pPr>
                  <w:r w:rsidRPr="0013396E">
                    <w:rPr>
                      <w:iCs/>
                      <w:sz w:val="20"/>
                    </w:rPr>
                    <w:t>A Generation Resource, a CLR that is not an ALR, or ESR that is located at the Facility with net metering.</w:t>
                  </w:r>
                </w:p>
              </w:tc>
            </w:tr>
          </w:tbl>
          <w:p w14:paraId="58F418A9" w14:textId="58FF5F56" w:rsidR="009658B2" w:rsidRPr="0013396E" w:rsidRDefault="009658B2" w:rsidP="0099759E">
            <w:pPr>
              <w:spacing w:after="60"/>
              <w:rPr>
                <w:iCs/>
                <w:sz w:val="20"/>
              </w:rPr>
            </w:pPr>
          </w:p>
        </w:tc>
      </w:tr>
      <w:tr w:rsidR="009658B2" w:rsidRPr="0013396E" w14:paraId="4B05EDB0" w14:textId="77777777" w:rsidTr="005A7D8E">
        <w:trPr>
          <w:cantSplit/>
        </w:trPr>
        <w:tc>
          <w:tcPr>
            <w:tcW w:w="1885" w:type="dxa"/>
            <w:tcBorders>
              <w:top w:val="single" w:sz="4" w:space="0" w:color="auto"/>
              <w:left w:val="single" w:sz="4" w:space="0" w:color="auto"/>
              <w:bottom w:val="single" w:sz="4" w:space="0" w:color="auto"/>
              <w:right w:val="single" w:sz="4" w:space="0" w:color="auto"/>
            </w:tcBorders>
            <w:hideMark/>
          </w:tcPr>
          <w:p w14:paraId="170F8B56" w14:textId="77777777" w:rsidR="009658B2" w:rsidRPr="0013396E" w:rsidRDefault="009658B2" w:rsidP="0099759E">
            <w:pPr>
              <w:spacing w:after="60"/>
              <w:rPr>
                <w:i/>
                <w:iCs/>
                <w:sz w:val="20"/>
              </w:rPr>
            </w:pPr>
            <w:r w:rsidRPr="0013396E">
              <w:rPr>
                <w:i/>
                <w:iCs/>
                <w:sz w:val="20"/>
              </w:rPr>
              <w:t>gsc</w:t>
            </w:r>
          </w:p>
        </w:tc>
        <w:tc>
          <w:tcPr>
            <w:tcW w:w="903" w:type="dxa"/>
            <w:tcBorders>
              <w:top w:val="single" w:sz="4" w:space="0" w:color="auto"/>
              <w:left w:val="single" w:sz="4" w:space="0" w:color="auto"/>
              <w:bottom w:val="single" w:sz="4" w:space="0" w:color="auto"/>
              <w:right w:val="single" w:sz="4" w:space="0" w:color="auto"/>
            </w:tcBorders>
            <w:hideMark/>
          </w:tcPr>
          <w:p w14:paraId="4A61162B" w14:textId="77777777" w:rsidR="009658B2" w:rsidRPr="0013396E" w:rsidRDefault="009658B2" w:rsidP="0099759E">
            <w:pPr>
              <w:spacing w:after="60"/>
              <w:rPr>
                <w:iCs/>
                <w:sz w:val="20"/>
              </w:rPr>
            </w:pPr>
            <w:r w:rsidRPr="0013396E">
              <w:rPr>
                <w:iCs/>
                <w:sz w:val="20"/>
              </w:rPr>
              <w:t>none</w:t>
            </w:r>
          </w:p>
        </w:tc>
        <w:tc>
          <w:tcPr>
            <w:tcW w:w="0" w:type="auto"/>
            <w:tcBorders>
              <w:top w:val="single" w:sz="4" w:space="0" w:color="auto"/>
              <w:left w:val="single" w:sz="4" w:space="0" w:color="auto"/>
              <w:bottom w:val="single" w:sz="4" w:space="0" w:color="auto"/>
              <w:right w:val="single" w:sz="4" w:space="0" w:color="auto"/>
            </w:tcBorders>
            <w:hideMark/>
          </w:tcPr>
          <w:p w14:paraId="099C44BE" w14:textId="77777777" w:rsidR="009658B2" w:rsidRPr="0013396E" w:rsidRDefault="009658B2" w:rsidP="0099759E">
            <w:pPr>
              <w:spacing w:after="60"/>
              <w:rPr>
                <w:iCs/>
                <w:sz w:val="20"/>
              </w:rPr>
            </w:pPr>
            <w:r w:rsidRPr="0013396E">
              <w:rPr>
                <w:iCs/>
                <w:sz w:val="20"/>
              </w:rPr>
              <w:t>A generation site code.</w:t>
            </w:r>
          </w:p>
        </w:tc>
      </w:tr>
      <w:tr w:rsidR="009658B2" w:rsidRPr="0013396E" w14:paraId="1C082825" w14:textId="77777777" w:rsidTr="005A7D8E">
        <w:trPr>
          <w:cantSplit/>
        </w:trPr>
        <w:tc>
          <w:tcPr>
            <w:tcW w:w="1885" w:type="dxa"/>
            <w:tcBorders>
              <w:top w:val="single" w:sz="4" w:space="0" w:color="auto"/>
              <w:left w:val="single" w:sz="4" w:space="0" w:color="auto"/>
              <w:bottom w:val="single" w:sz="4" w:space="0" w:color="auto"/>
              <w:right w:val="single" w:sz="4" w:space="0" w:color="auto"/>
            </w:tcBorders>
            <w:hideMark/>
          </w:tcPr>
          <w:p w14:paraId="3D7C4969" w14:textId="77777777" w:rsidR="009658B2" w:rsidRPr="0013396E" w:rsidRDefault="009658B2" w:rsidP="0099759E">
            <w:pPr>
              <w:spacing w:after="60"/>
              <w:rPr>
                <w:i/>
                <w:iCs/>
                <w:sz w:val="20"/>
              </w:rPr>
            </w:pPr>
            <w:r w:rsidRPr="0013396E">
              <w:rPr>
                <w:i/>
                <w:iCs/>
                <w:sz w:val="20"/>
              </w:rPr>
              <w:t>b</w:t>
            </w:r>
          </w:p>
        </w:tc>
        <w:tc>
          <w:tcPr>
            <w:tcW w:w="903" w:type="dxa"/>
            <w:tcBorders>
              <w:top w:val="single" w:sz="4" w:space="0" w:color="auto"/>
              <w:left w:val="single" w:sz="4" w:space="0" w:color="auto"/>
              <w:bottom w:val="single" w:sz="4" w:space="0" w:color="auto"/>
              <w:right w:val="single" w:sz="4" w:space="0" w:color="auto"/>
            </w:tcBorders>
            <w:hideMark/>
          </w:tcPr>
          <w:p w14:paraId="64191E21" w14:textId="77777777" w:rsidR="009658B2" w:rsidRPr="0013396E" w:rsidRDefault="009658B2" w:rsidP="0099759E">
            <w:pPr>
              <w:spacing w:after="60"/>
              <w:rPr>
                <w:iCs/>
                <w:sz w:val="20"/>
              </w:rPr>
            </w:pPr>
            <w:r w:rsidRPr="0013396E">
              <w:rPr>
                <w:iCs/>
                <w:sz w:val="20"/>
              </w:rPr>
              <w:t>none</w:t>
            </w:r>
          </w:p>
        </w:tc>
        <w:tc>
          <w:tcPr>
            <w:tcW w:w="0" w:type="auto"/>
            <w:tcBorders>
              <w:top w:val="single" w:sz="4" w:space="0" w:color="auto"/>
              <w:left w:val="single" w:sz="4" w:space="0" w:color="auto"/>
              <w:bottom w:val="single" w:sz="4" w:space="0" w:color="auto"/>
              <w:right w:val="single" w:sz="4" w:space="0" w:color="auto"/>
            </w:tcBorders>
            <w:hideMark/>
          </w:tcPr>
          <w:p w14:paraId="32A5C1CA" w14:textId="77777777" w:rsidR="009658B2" w:rsidRPr="0013396E" w:rsidRDefault="009658B2" w:rsidP="0099759E">
            <w:pPr>
              <w:spacing w:after="60"/>
              <w:rPr>
                <w:iCs/>
                <w:sz w:val="20"/>
              </w:rPr>
            </w:pPr>
            <w:r w:rsidRPr="0013396E">
              <w:rPr>
                <w:iCs/>
                <w:sz w:val="20"/>
              </w:rPr>
              <w:t>An Electrical Bus.</w:t>
            </w:r>
          </w:p>
        </w:tc>
      </w:tr>
    </w:tbl>
    <w:p w14:paraId="5F4A131B" w14:textId="77777777" w:rsidR="007844A1" w:rsidRPr="007844A1" w:rsidRDefault="007844A1" w:rsidP="007844A1">
      <w:pPr>
        <w:spacing w:before="240" w:after="240"/>
        <w:ind w:left="720" w:hanging="720"/>
        <w:rPr>
          <w:b/>
          <w:i/>
          <w:iCs/>
        </w:rPr>
      </w:pPr>
      <w:bookmarkStart w:id="1573" w:name="_Hlk214543209"/>
      <w:r w:rsidRPr="007844A1">
        <w:t>(3)</w:t>
      </w:r>
      <w:r w:rsidRPr="007844A1">
        <w:tab/>
        <w:t>For a facility with Settlement Meters that measure ESR Load, t</w:t>
      </w:r>
      <w:r w:rsidRPr="007844A1">
        <w:rPr>
          <w:iCs/>
        </w:rPr>
        <w:t xml:space="preserve">he total payment or charge </w:t>
      </w:r>
      <w:r w:rsidRPr="007844A1">
        <w:t xml:space="preserve">for ESR Load is </w:t>
      </w:r>
      <w:r w:rsidRPr="007844A1">
        <w:rPr>
          <w:iCs/>
        </w:rPr>
        <w:t>calculated for a QSE, ESR, and Settlement Point for each 15-minute Settlement Interval.</w:t>
      </w:r>
    </w:p>
    <w:p w14:paraId="37CBEA8B" w14:textId="77777777" w:rsidR="007844A1" w:rsidRPr="007844A1" w:rsidRDefault="007844A1" w:rsidP="007844A1">
      <w:pPr>
        <w:spacing w:after="240"/>
        <w:ind w:left="720"/>
        <w:rPr>
          <w:iCs/>
        </w:rPr>
      </w:pPr>
      <w:r w:rsidRPr="007844A1">
        <w:rPr>
          <w:iCs/>
        </w:rPr>
        <w:t xml:space="preserve">The WSL is settled as follows: </w:t>
      </w:r>
    </w:p>
    <w:p w14:paraId="24F1BA61" w14:textId="77777777" w:rsidR="007844A1" w:rsidRPr="007844A1" w:rsidRDefault="007844A1" w:rsidP="007844A1">
      <w:pPr>
        <w:tabs>
          <w:tab w:val="left" w:pos="2340"/>
          <w:tab w:val="left" w:pos="2880"/>
        </w:tabs>
        <w:spacing w:after="240"/>
        <w:ind w:left="2880" w:hanging="2160"/>
        <w:rPr>
          <w:b/>
          <w:bCs/>
        </w:rPr>
      </w:pPr>
      <w:r w:rsidRPr="007844A1">
        <w:rPr>
          <w:b/>
          <w:bCs/>
        </w:rPr>
        <w:t xml:space="preserve">WSLAMTTOT </w:t>
      </w:r>
      <w:r w:rsidRPr="007844A1">
        <w:rPr>
          <w:b/>
          <w:bCs/>
          <w:i/>
          <w:vertAlign w:val="subscript"/>
        </w:rPr>
        <w:t>q, r, p</w:t>
      </w:r>
      <w:r w:rsidRPr="007844A1">
        <w:rPr>
          <w:b/>
          <w:bCs/>
          <w:i/>
          <w:iCs/>
          <w:vertAlign w:val="subscript"/>
          <w:lang w:val="es-ES"/>
        </w:rPr>
        <w:tab/>
      </w:r>
      <w:r w:rsidRPr="007844A1">
        <w:rPr>
          <w:b/>
          <w:bCs/>
          <w:lang w:val="es-ES"/>
        </w:rPr>
        <w:t xml:space="preserve">= </w:t>
      </w:r>
      <w:r w:rsidRPr="007844A1">
        <w:rPr>
          <w:noProof/>
          <w:position w:val="-20"/>
        </w:rPr>
        <w:drawing>
          <wp:inline distT="0" distB="0" distL="0" distR="0" wp14:anchorId="04714721" wp14:editId="08C2738A">
            <wp:extent cx="180975" cy="259080"/>
            <wp:effectExtent l="0" t="0" r="0" b="0"/>
            <wp:docPr id="1035376564" name="Picture 1035376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122" cstate="print">
                      <a:extLst>
                        <a:ext uri="{28A0092B-C50C-407E-A947-70E740481C1C}">
                          <a14:useLocalDpi xmlns:a14="http://schemas.microsoft.com/office/drawing/2010/main" val="0"/>
                        </a:ext>
                      </a:extLst>
                    </a:blip>
                    <a:srcRect/>
                    <a:stretch>
                      <a:fillRect/>
                    </a:stretch>
                  </pic:blipFill>
                  <pic:spPr bwMode="auto">
                    <a:xfrm>
                      <a:off x="0" y="0"/>
                      <a:ext cx="180975" cy="259080"/>
                    </a:xfrm>
                    <a:prstGeom prst="rect">
                      <a:avLst/>
                    </a:prstGeom>
                    <a:noFill/>
                    <a:ln>
                      <a:noFill/>
                    </a:ln>
                  </pic:spPr>
                </pic:pic>
              </a:graphicData>
            </a:graphic>
          </wp:inline>
        </w:drawing>
      </w:r>
      <w:r w:rsidRPr="007844A1">
        <w:rPr>
          <w:b/>
          <w:bCs/>
        </w:rPr>
        <w:t xml:space="preserve"> (RTRMPRESR</w:t>
      </w:r>
      <w:r w:rsidRPr="007844A1">
        <w:rPr>
          <w:b/>
          <w:bCs/>
          <w:i/>
          <w:vertAlign w:val="subscript"/>
        </w:rPr>
        <w:t xml:space="preserve"> b </w:t>
      </w:r>
      <w:r w:rsidRPr="007844A1">
        <w:rPr>
          <w:b/>
          <w:bCs/>
        </w:rPr>
        <w:t>* MEBL</w:t>
      </w:r>
      <w:r w:rsidRPr="007844A1">
        <w:rPr>
          <w:bCs/>
        </w:rPr>
        <w:t xml:space="preserve"> </w:t>
      </w:r>
      <w:r w:rsidRPr="007844A1">
        <w:rPr>
          <w:b/>
          <w:bCs/>
          <w:i/>
          <w:vertAlign w:val="subscript"/>
        </w:rPr>
        <w:t>q, r, b</w:t>
      </w:r>
      <w:r w:rsidRPr="007844A1">
        <w:rPr>
          <w:b/>
          <w:bCs/>
        </w:rPr>
        <w:t>)</w:t>
      </w:r>
    </w:p>
    <w:p w14:paraId="6887D395" w14:textId="77777777" w:rsidR="007844A1" w:rsidRPr="007844A1" w:rsidRDefault="007844A1" w:rsidP="007844A1">
      <w:pPr>
        <w:spacing w:after="240"/>
        <w:ind w:left="720"/>
        <w:rPr>
          <w:iCs/>
        </w:rPr>
      </w:pPr>
      <w:r w:rsidRPr="007844A1">
        <w:rPr>
          <w:iCs/>
        </w:rPr>
        <w:t xml:space="preserve">The </w:t>
      </w:r>
      <w:r w:rsidRPr="007844A1">
        <w:t>Non-WSL ESR Charging Load</w:t>
      </w:r>
      <w:r w:rsidRPr="007844A1">
        <w:rPr>
          <w:iCs/>
        </w:rPr>
        <w:t xml:space="preserve"> is settled as follows: </w:t>
      </w:r>
    </w:p>
    <w:p w14:paraId="3DCCEBBF" w14:textId="77777777" w:rsidR="007844A1" w:rsidRPr="007844A1" w:rsidRDefault="007844A1" w:rsidP="007844A1">
      <w:pPr>
        <w:tabs>
          <w:tab w:val="left" w:pos="2340"/>
          <w:tab w:val="left" w:pos="2880"/>
        </w:tabs>
        <w:spacing w:after="240"/>
        <w:ind w:left="2880" w:hanging="2160"/>
        <w:rPr>
          <w:b/>
          <w:bCs/>
        </w:rPr>
      </w:pPr>
      <w:r w:rsidRPr="007844A1">
        <w:rPr>
          <w:b/>
          <w:bCs/>
        </w:rPr>
        <w:t xml:space="preserve">ESRNWSLAMTTOT </w:t>
      </w:r>
      <w:r w:rsidRPr="007844A1">
        <w:rPr>
          <w:b/>
          <w:bCs/>
          <w:i/>
          <w:vertAlign w:val="subscript"/>
        </w:rPr>
        <w:t>q, r, p</w:t>
      </w:r>
      <w:r w:rsidRPr="007844A1">
        <w:rPr>
          <w:b/>
          <w:bCs/>
          <w:i/>
          <w:iCs/>
          <w:vertAlign w:val="subscript"/>
          <w:lang w:val="es-ES"/>
        </w:rPr>
        <w:tab/>
      </w:r>
      <w:r w:rsidRPr="007844A1">
        <w:rPr>
          <w:b/>
          <w:bCs/>
          <w:lang w:val="es-ES"/>
        </w:rPr>
        <w:t xml:space="preserve">= </w:t>
      </w:r>
      <w:r w:rsidRPr="007844A1">
        <w:rPr>
          <w:noProof/>
          <w:position w:val="-20"/>
        </w:rPr>
        <w:drawing>
          <wp:inline distT="0" distB="0" distL="0" distR="0" wp14:anchorId="26D7319A" wp14:editId="2896AAD4">
            <wp:extent cx="180975" cy="259080"/>
            <wp:effectExtent l="0" t="0" r="0" b="0"/>
            <wp:docPr id="606298530" name="Picture 606298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122" cstate="print">
                      <a:extLst>
                        <a:ext uri="{28A0092B-C50C-407E-A947-70E740481C1C}">
                          <a14:useLocalDpi xmlns:a14="http://schemas.microsoft.com/office/drawing/2010/main" val="0"/>
                        </a:ext>
                      </a:extLst>
                    </a:blip>
                    <a:srcRect/>
                    <a:stretch>
                      <a:fillRect/>
                    </a:stretch>
                  </pic:blipFill>
                  <pic:spPr bwMode="auto">
                    <a:xfrm>
                      <a:off x="0" y="0"/>
                      <a:ext cx="180975" cy="259080"/>
                    </a:xfrm>
                    <a:prstGeom prst="rect">
                      <a:avLst/>
                    </a:prstGeom>
                    <a:noFill/>
                    <a:ln>
                      <a:noFill/>
                    </a:ln>
                  </pic:spPr>
                </pic:pic>
              </a:graphicData>
            </a:graphic>
          </wp:inline>
        </w:drawing>
      </w:r>
      <w:r w:rsidRPr="007844A1">
        <w:rPr>
          <w:b/>
          <w:bCs/>
        </w:rPr>
        <w:t xml:space="preserve"> (RTRMPRESR</w:t>
      </w:r>
      <w:r w:rsidRPr="007844A1">
        <w:rPr>
          <w:b/>
          <w:bCs/>
          <w:i/>
          <w:vertAlign w:val="subscript"/>
        </w:rPr>
        <w:t xml:space="preserve"> b </w:t>
      </w:r>
      <w:r w:rsidRPr="007844A1">
        <w:rPr>
          <w:b/>
          <w:bCs/>
        </w:rPr>
        <w:t>* MEBR</w:t>
      </w:r>
      <w:r w:rsidRPr="007844A1">
        <w:rPr>
          <w:bCs/>
        </w:rPr>
        <w:t xml:space="preserve"> </w:t>
      </w:r>
      <w:r w:rsidRPr="007844A1">
        <w:rPr>
          <w:b/>
          <w:bCs/>
          <w:i/>
          <w:vertAlign w:val="subscript"/>
        </w:rPr>
        <w:t>q, r, b</w:t>
      </w:r>
      <w:r w:rsidRPr="007844A1">
        <w:rPr>
          <w:b/>
          <w:bCs/>
        </w:rPr>
        <w:t>)</w:t>
      </w:r>
    </w:p>
    <w:p w14:paraId="797CD873" w14:textId="77777777" w:rsidR="007844A1" w:rsidRPr="007844A1" w:rsidRDefault="007844A1" w:rsidP="007844A1">
      <w:pPr>
        <w:tabs>
          <w:tab w:val="left" w:pos="2340"/>
          <w:tab w:val="left" w:pos="3420"/>
        </w:tabs>
        <w:spacing w:after="240"/>
        <w:ind w:left="3420" w:hanging="2700"/>
        <w:rPr>
          <w:b/>
          <w:bCs/>
        </w:rPr>
      </w:pPr>
      <w:r w:rsidRPr="007844A1">
        <w:rPr>
          <w:bCs/>
        </w:rPr>
        <w:t>Where</w:t>
      </w:r>
      <w:r w:rsidRPr="007844A1">
        <w:rPr>
          <w:bCs/>
          <w:iCs/>
        </w:rPr>
        <w:t xml:space="preserve"> the price for Settlement Meter is determined as follows:</w:t>
      </w:r>
    </w:p>
    <w:p w14:paraId="45889A5B" w14:textId="77777777" w:rsidR="007844A1" w:rsidRPr="007844A1" w:rsidRDefault="007844A1" w:rsidP="007844A1">
      <w:pPr>
        <w:spacing w:after="240"/>
        <w:ind w:left="2880" w:hanging="2160"/>
        <w:rPr>
          <w:b/>
          <w:lang w:val="es-ES"/>
        </w:rPr>
      </w:pPr>
      <w:r w:rsidRPr="007844A1">
        <w:rPr>
          <w:b/>
          <w:lang w:val="es-ES"/>
        </w:rPr>
        <w:t>RTRMPRESR</w:t>
      </w:r>
      <w:r w:rsidRPr="007844A1">
        <w:rPr>
          <w:b/>
          <w:i/>
          <w:iCs/>
          <w:vertAlign w:val="subscript"/>
          <w:lang w:val="es-ES"/>
        </w:rPr>
        <w:t xml:space="preserve"> b</w:t>
      </w:r>
      <w:r w:rsidRPr="007844A1">
        <w:rPr>
          <w:b/>
          <w:lang w:val="es-ES"/>
        </w:rPr>
        <w:t xml:space="preserve"> </w:t>
      </w:r>
      <w:r w:rsidRPr="007844A1">
        <w:rPr>
          <w:b/>
          <w:lang w:val="es-ES"/>
        </w:rPr>
        <w:tab/>
        <w:t xml:space="preserve">= </w:t>
      </w:r>
      <w:r w:rsidRPr="007844A1">
        <w:rPr>
          <w:b/>
        </w:rPr>
        <w:t>Max [-$251, (</w:t>
      </w:r>
      <w:r w:rsidRPr="007844A1">
        <w:rPr>
          <w:rFonts w:ascii="Times New Roman Bold" w:hAnsi="Times New Roman Bold"/>
          <w:b/>
          <w:noProof/>
          <w:position w:val="-18"/>
        </w:rPr>
        <w:drawing>
          <wp:inline distT="0" distB="0" distL="0" distR="0" wp14:anchorId="37243E3D" wp14:editId="04747EFC">
            <wp:extent cx="146685" cy="293370"/>
            <wp:effectExtent l="0" t="0" r="0" b="0"/>
            <wp:docPr id="88" name="Picture 88" descr="image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image010"/>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7844A1">
        <w:rPr>
          <w:b/>
          <w:lang w:val="es-ES"/>
        </w:rPr>
        <w:t xml:space="preserve">(RNWFL </w:t>
      </w:r>
      <w:r w:rsidRPr="007844A1">
        <w:rPr>
          <w:b/>
          <w:i/>
          <w:iCs/>
          <w:vertAlign w:val="subscript"/>
          <w:lang w:val="es-ES"/>
        </w:rPr>
        <w:t xml:space="preserve">b, y </w:t>
      </w:r>
      <w:r w:rsidRPr="007844A1">
        <w:rPr>
          <w:b/>
          <w:lang w:val="es-ES"/>
        </w:rPr>
        <w:t xml:space="preserve">* RTLMP </w:t>
      </w:r>
      <w:r w:rsidRPr="007844A1">
        <w:rPr>
          <w:b/>
          <w:i/>
          <w:vertAlign w:val="subscript"/>
          <w:lang w:val="es-ES"/>
        </w:rPr>
        <w:t>b</w:t>
      </w:r>
      <w:r w:rsidRPr="007844A1">
        <w:rPr>
          <w:b/>
          <w:i/>
          <w:iCs/>
          <w:vertAlign w:val="subscript"/>
          <w:lang w:val="es-ES"/>
        </w:rPr>
        <w:t>, y</w:t>
      </w:r>
      <w:r w:rsidRPr="007844A1">
        <w:rPr>
          <w:b/>
          <w:lang w:val="es-ES"/>
        </w:rPr>
        <w:t>)</w:t>
      </w:r>
      <w:r w:rsidRPr="007844A1">
        <w:rPr>
          <w:b/>
        </w:rPr>
        <w:t xml:space="preserve"> + RTRDP)]</w:t>
      </w:r>
    </w:p>
    <w:p w14:paraId="24966229" w14:textId="77777777" w:rsidR="007844A1" w:rsidRPr="007844A1" w:rsidRDefault="007844A1" w:rsidP="007844A1">
      <w:pPr>
        <w:spacing w:after="240"/>
        <w:ind w:firstLine="720"/>
      </w:pPr>
      <w:r w:rsidRPr="007844A1">
        <w:t>Where the weighting factor for the Electrical Bus associated with the meter is:</w:t>
      </w:r>
    </w:p>
    <w:p w14:paraId="38409536" w14:textId="77777777" w:rsidR="007844A1" w:rsidRPr="007844A1" w:rsidRDefault="007844A1" w:rsidP="007844A1">
      <w:pPr>
        <w:spacing w:after="240"/>
        <w:ind w:firstLine="720"/>
        <w:rPr>
          <w:b/>
          <w:lang w:val="es-ES"/>
        </w:rPr>
      </w:pPr>
      <w:r w:rsidRPr="007844A1">
        <w:rPr>
          <w:b/>
          <w:lang w:val="es-ES"/>
        </w:rPr>
        <w:t xml:space="preserve">RNWFL </w:t>
      </w:r>
      <w:r w:rsidRPr="007844A1">
        <w:rPr>
          <w:b/>
          <w:i/>
          <w:iCs/>
          <w:vertAlign w:val="subscript"/>
          <w:lang w:val="es-ES"/>
        </w:rPr>
        <w:t xml:space="preserve">b, y </w:t>
      </w:r>
      <w:r w:rsidRPr="007844A1">
        <w:rPr>
          <w:b/>
          <w:i/>
          <w:iCs/>
          <w:vertAlign w:val="subscript"/>
          <w:lang w:val="es-ES"/>
        </w:rPr>
        <w:tab/>
      </w:r>
      <w:r w:rsidRPr="007844A1">
        <w:rPr>
          <w:b/>
          <w:i/>
          <w:iCs/>
          <w:vertAlign w:val="subscript"/>
          <w:lang w:val="es-ES"/>
        </w:rPr>
        <w:tab/>
      </w:r>
      <w:r w:rsidRPr="007844A1">
        <w:rPr>
          <w:b/>
          <w:lang w:val="es-ES"/>
        </w:rPr>
        <w:t xml:space="preserve">= [Max (0.001, ABS( </w:t>
      </w:r>
      <w:r w:rsidRPr="007844A1">
        <w:rPr>
          <w:noProof/>
          <w:position w:val="-18"/>
        </w:rPr>
        <w:drawing>
          <wp:inline distT="0" distB="0" distL="0" distR="0" wp14:anchorId="04382E57" wp14:editId="7A567A32">
            <wp:extent cx="146685" cy="267335"/>
            <wp:effectExtent l="0" t="0" r="0" b="0"/>
            <wp:docPr id="91" name="Picture 91"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image001"/>
                    <pic:cNvPicPr>
                      <a:picLocks noChangeAspect="1" noChangeArrowheads="1"/>
                    </pic:cNvPicPr>
                  </pic:nvPicPr>
                  <pic:blipFill>
                    <a:blip r:embed="rId124">
                      <a:extLst>
                        <a:ext uri="{28A0092B-C50C-407E-A947-70E740481C1C}">
                          <a14:useLocalDpi xmlns:a14="http://schemas.microsoft.com/office/drawing/2010/main" val="0"/>
                        </a:ext>
                      </a:extLst>
                    </a:blip>
                    <a:srcRect/>
                    <a:stretch>
                      <a:fillRect/>
                    </a:stretch>
                  </pic:blipFill>
                  <pic:spPr bwMode="auto">
                    <a:xfrm>
                      <a:off x="0" y="0"/>
                      <a:ext cx="146685" cy="267335"/>
                    </a:xfrm>
                    <a:prstGeom prst="rect">
                      <a:avLst/>
                    </a:prstGeom>
                    <a:noFill/>
                    <a:ln>
                      <a:noFill/>
                    </a:ln>
                  </pic:spPr>
                </pic:pic>
              </a:graphicData>
            </a:graphic>
          </wp:inline>
        </w:drawing>
      </w:r>
      <w:r w:rsidRPr="007844A1">
        <w:rPr>
          <w:b/>
          <w:lang w:val="es-ES"/>
        </w:rPr>
        <w:t>Min(0, BP</w:t>
      </w:r>
      <w:r w:rsidRPr="007844A1">
        <w:rPr>
          <w:b/>
          <w:bCs/>
          <w:i/>
          <w:iCs/>
          <w:vertAlign w:val="subscript"/>
          <w:lang w:val="es-ES"/>
        </w:rPr>
        <w:t xml:space="preserve"> r,</w:t>
      </w:r>
      <w:r w:rsidRPr="007844A1">
        <w:rPr>
          <w:b/>
          <w:i/>
          <w:iCs/>
          <w:vertAlign w:val="subscript"/>
          <w:lang w:val="es-ES"/>
        </w:rPr>
        <w:t xml:space="preserve"> y</w:t>
      </w:r>
      <w:r w:rsidRPr="007844A1">
        <w:rPr>
          <w:b/>
          <w:lang w:val="es-ES"/>
        </w:rPr>
        <w:t xml:space="preserve">))) * TLMP </w:t>
      </w:r>
      <w:r w:rsidRPr="007844A1">
        <w:rPr>
          <w:b/>
          <w:i/>
          <w:iCs/>
          <w:vertAlign w:val="subscript"/>
          <w:lang w:val="es-ES"/>
        </w:rPr>
        <w:t>y</w:t>
      </w:r>
      <w:r w:rsidRPr="007844A1">
        <w:rPr>
          <w:b/>
          <w:lang w:val="es-ES"/>
        </w:rPr>
        <w:t xml:space="preserve">] / </w:t>
      </w:r>
    </w:p>
    <w:p w14:paraId="20A91C0D" w14:textId="77777777" w:rsidR="007844A1" w:rsidRPr="007844A1" w:rsidRDefault="007844A1" w:rsidP="007844A1">
      <w:pPr>
        <w:spacing w:after="240"/>
        <w:ind w:firstLine="720"/>
        <w:rPr>
          <w:b/>
          <w:lang w:val="es-ES"/>
        </w:rPr>
      </w:pPr>
      <w:r w:rsidRPr="007844A1">
        <w:rPr>
          <w:b/>
          <w:lang w:val="es-ES"/>
        </w:rPr>
        <w:tab/>
      </w:r>
      <w:r w:rsidRPr="007844A1">
        <w:rPr>
          <w:b/>
          <w:lang w:val="es-ES"/>
        </w:rPr>
        <w:tab/>
      </w:r>
      <w:r w:rsidRPr="007844A1">
        <w:rPr>
          <w:b/>
          <w:lang w:val="es-ES"/>
        </w:rPr>
        <w:tab/>
        <w:t>[</w:t>
      </w:r>
      <w:r w:rsidRPr="007844A1">
        <w:rPr>
          <w:rFonts w:ascii="Times New Roman Bold" w:hAnsi="Times New Roman Bold"/>
          <w:b/>
          <w:noProof/>
          <w:position w:val="-18"/>
        </w:rPr>
        <w:drawing>
          <wp:inline distT="0" distB="0" distL="0" distR="0" wp14:anchorId="629AD203" wp14:editId="6877B50C">
            <wp:extent cx="146685" cy="293370"/>
            <wp:effectExtent l="0" t="0" r="0" b="0"/>
            <wp:docPr id="92" name="Picture 92" descr="image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image010"/>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7844A1">
        <w:rPr>
          <w:b/>
          <w:lang w:val="es-ES"/>
        </w:rPr>
        <w:t xml:space="preserve">Max (0.001, ABS( </w:t>
      </w:r>
      <w:r w:rsidRPr="007844A1">
        <w:rPr>
          <w:noProof/>
          <w:position w:val="-18"/>
        </w:rPr>
        <w:drawing>
          <wp:inline distT="0" distB="0" distL="0" distR="0" wp14:anchorId="53698625" wp14:editId="124C0BCA">
            <wp:extent cx="146685" cy="267335"/>
            <wp:effectExtent l="0" t="0" r="0" b="0"/>
            <wp:docPr id="1756362543" name="Picture 1756362543"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image001"/>
                    <pic:cNvPicPr>
                      <a:picLocks noChangeAspect="1" noChangeArrowheads="1"/>
                    </pic:cNvPicPr>
                  </pic:nvPicPr>
                  <pic:blipFill>
                    <a:blip r:embed="rId124">
                      <a:extLst>
                        <a:ext uri="{28A0092B-C50C-407E-A947-70E740481C1C}">
                          <a14:useLocalDpi xmlns:a14="http://schemas.microsoft.com/office/drawing/2010/main" val="0"/>
                        </a:ext>
                      </a:extLst>
                    </a:blip>
                    <a:srcRect/>
                    <a:stretch>
                      <a:fillRect/>
                    </a:stretch>
                  </pic:blipFill>
                  <pic:spPr bwMode="auto">
                    <a:xfrm>
                      <a:off x="0" y="0"/>
                      <a:ext cx="146685" cy="267335"/>
                    </a:xfrm>
                    <a:prstGeom prst="rect">
                      <a:avLst/>
                    </a:prstGeom>
                    <a:noFill/>
                    <a:ln>
                      <a:noFill/>
                    </a:ln>
                  </pic:spPr>
                </pic:pic>
              </a:graphicData>
            </a:graphic>
          </wp:inline>
        </w:drawing>
      </w:r>
      <w:r w:rsidRPr="007844A1">
        <w:rPr>
          <w:b/>
          <w:lang w:val="es-ES"/>
        </w:rPr>
        <w:t xml:space="preserve"> Min(0, BP</w:t>
      </w:r>
      <w:r w:rsidRPr="007844A1">
        <w:rPr>
          <w:b/>
          <w:i/>
          <w:iCs/>
          <w:vertAlign w:val="subscript"/>
          <w:lang w:val="es-ES"/>
        </w:rPr>
        <w:t xml:space="preserve"> </w:t>
      </w:r>
      <w:r w:rsidRPr="007844A1">
        <w:rPr>
          <w:b/>
          <w:bCs/>
          <w:i/>
          <w:iCs/>
          <w:vertAlign w:val="subscript"/>
          <w:lang w:val="es-ES"/>
        </w:rPr>
        <w:t>r,</w:t>
      </w:r>
      <w:r w:rsidRPr="007844A1">
        <w:rPr>
          <w:b/>
          <w:i/>
          <w:iCs/>
          <w:vertAlign w:val="subscript"/>
          <w:lang w:val="es-ES"/>
        </w:rPr>
        <w:t xml:space="preserve"> y</w:t>
      </w:r>
      <w:r w:rsidRPr="007844A1">
        <w:rPr>
          <w:b/>
          <w:lang w:val="es-ES"/>
        </w:rPr>
        <w:t xml:space="preserve">))) * TLMP </w:t>
      </w:r>
      <w:r w:rsidRPr="007844A1">
        <w:rPr>
          <w:b/>
          <w:i/>
          <w:iCs/>
          <w:vertAlign w:val="subscript"/>
          <w:lang w:val="es-ES"/>
        </w:rPr>
        <w:t>y</w:t>
      </w:r>
      <w:r w:rsidRPr="007844A1">
        <w:rPr>
          <w:b/>
          <w:lang w:val="es-ES"/>
        </w:rPr>
        <w:t>]</w:t>
      </w:r>
    </w:p>
    <w:p w14:paraId="12A5D3A0" w14:textId="77777777" w:rsidR="007844A1" w:rsidRPr="007844A1" w:rsidRDefault="007844A1" w:rsidP="007844A1">
      <w:pPr>
        <w:spacing w:after="240"/>
      </w:pPr>
      <w:r w:rsidRPr="007844A1">
        <w:t>Where:</w:t>
      </w:r>
    </w:p>
    <w:p w14:paraId="7EB45DBD" w14:textId="77777777" w:rsidR="007844A1" w:rsidRPr="007844A1" w:rsidRDefault="007844A1" w:rsidP="007844A1">
      <w:pPr>
        <w:spacing w:after="240"/>
        <w:ind w:left="720"/>
      </w:pPr>
      <w:r w:rsidRPr="007844A1">
        <w:t>RTRDP =</w:t>
      </w:r>
      <w:r w:rsidRPr="007844A1">
        <w:tab/>
      </w:r>
      <w:r w:rsidRPr="007844A1">
        <w:tab/>
      </w:r>
      <w:r w:rsidRPr="007844A1">
        <w:rPr>
          <w:noProof/>
          <w:position w:val="-22"/>
        </w:rPr>
        <w:drawing>
          <wp:inline distT="0" distB="0" distL="0" distR="0" wp14:anchorId="0A6D0FC4" wp14:editId="15027B57">
            <wp:extent cx="180975" cy="259080"/>
            <wp:effectExtent l="0" t="0" r="0" b="0"/>
            <wp:docPr id="513216187" name="Picture 513216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125" cstate="print">
                      <a:extLst>
                        <a:ext uri="{28A0092B-C50C-407E-A947-70E740481C1C}">
                          <a14:useLocalDpi xmlns:a14="http://schemas.microsoft.com/office/drawing/2010/main" val="0"/>
                        </a:ext>
                      </a:extLst>
                    </a:blip>
                    <a:srcRect/>
                    <a:stretch>
                      <a:fillRect/>
                    </a:stretch>
                  </pic:blipFill>
                  <pic:spPr bwMode="auto">
                    <a:xfrm>
                      <a:off x="0" y="0"/>
                      <a:ext cx="180975" cy="259080"/>
                    </a:xfrm>
                    <a:prstGeom prst="rect">
                      <a:avLst/>
                    </a:prstGeom>
                    <a:noFill/>
                    <a:ln>
                      <a:noFill/>
                    </a:ln>
                  </pic:spPr>
                </pic:pic>
              </a:graphicData>
            </a:graphic>
          </wp:inline>
        </w:drawing>
      </w:r>
      <w:r w:rsidRPr="007844A1">
        <w:t xml:space="preserve">(RNWF </w:t>
      </w:r>
      <w:r w:rsidRPr="007844A1">
        <w:rPr>
          <w:i/>
          <w:iCs/>
          <w:vertAlign w:val="subscript"/>
        </w:rPr>
        <w:t xml:space="preserve"> y </w:t>
      </w:r>
      <w:r w:rsidRPr="007844A1">
        <w:t>* RTRDPA</w:t>
      </w:r>
      <w:r w:rsidRPr="007844A1">
        <w:rPr>
          <w:i/>
          <w:iCs/>
          <w:vertAlign w:val="subscript"/>
        </w:rPr>
        <w:t xml:space="preserve"> y</w:t>
      </w:r>
      <w:r w:rsidRPr="007844A1">
        <w:t>)</w:t>
      </w:r>
    </w:p>
    <w:p w14:paraId="687D19D6" w14:textId="77777777" w:rsidR="007844A1" w:rsidRPr="007844A1" w:rsidRDefault="007844A1" w:rsidP="007844A1">
      <w:pPr>
        <w:spacing w:after="240"/>
        <w:ind w:firstLine="720"/>
      </w:pPr>
      <w:r w:rsidRPr="007844A1">
        <w:t xml:space="preserve">RNWF </w:t>
      </w:r>
      <w:r w:rsidRPr="007844A1">
        <w:rPr>
          <w:i/>
          <w:vertAlign w:val="subscript"/>
        </w:rPr>
        <w:t xml:space="preserve">y </w:t>
      </w:r>
      <w:r w:rsidRPr="007844A1">
        <w:t>=</w:t>
      </w:r>
      <w:r w:rsidRPr="007844A1">
        <w:tab/>
      </w:r>
      <w:r w:rsidRPr="007844A1">
        <w:tab/>
        <w:t xml:space="preserve">TLMP </w:t>
      </w:r>
      <w:r w:rsidRPr="007844A1">
        <w:rPr>
          <w:i/>
          <w:vertAlign w:val="subscript"/>
        </w:rPr>
        <w:t>y</w:t>
      </w:r>
      <w:r w:rsidRPr="007844A1">
        <w:t xml:space="preserve"> </w:t>
      </w:r>
      <w:r w:rsidRPr="007844A1">
        <w:rPr>
          <w:color w:val="000000"/>
          <w:sz w:val="32"/>
          <w:szCs w:val="32"/>
        </w:rPr>
        <w:t>/</w:t>
      </w:r>
      <w:r w:rsidRPr="007844A1">
        <w:rPr>
          <w:color w:val="000000"/>
        </w:rPr>
        <w:t xml:space="preserve"> </w:t>
      </w:r>
      <w:r w:rsidRPr="007844A1">
        <w:rPr>
          <w:noProof/>
          <w:position w:val="-22"/>
        </w:rPr>
        <w:drawing>
          <wp:inline distT="0" distB="0" distL="0" distR="0" wp14:anchorId="1B4287BB" wp14:editId="625DE394">
            <wp:extent cx="180975" cy="259080"/>
            <wp:effectExtent l="0" t="0" r="0" b="0"/>
            <wp:docPr id="799234960" name="Picture 7992349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25" cstate="print">
                      <a:extLst>
                        <a:ext uri="{28A0092B-C50C-407E-A947-70E740481C1C}">
                          <a14:useLocalDpi xmlns:a14="http://schemas.microsoft.com/office/drawing/2010/main" val="0"/>
                        </a:ext>
                      </a:extLst>
                    </a:blip>
                    <a:srcRect/>
                    <a:stretch>
                      <a:fillRect/>
                    </a:stretch>
                  </pic:blipFill>
                  <pic:spPr bwMode="auto">
                    <a:xfrm>
                      <a:off x="0" y="0"/>
                      <a:ext cx="180975" cy="259080"/>
                    </a:xfrm>
                    <a:prstGeom prst="rect">
                      <a:avLst/>
                    </a:prstGeom>
                    <a:noFill/>
                    <a:ln>
                      <a:noFill/>
                    </a:ln>
                  </pic:spPr>
                </pic:pic>
              </a:graphicData>
            </a:graphic>
          </wp:inline>
        </w:drawing>
      </w:r>
      <w:r w:rsidRPr="007844A1">
        <w:t xml:space="preserve">TLMP </w:t>
      </w:r>
      <w:r w:rsidRPr="007844A1">
        <w:rPr>
          <w:i/>
          <w:vertAlign w:val="subscript"/>
        </w:rPr>
        <w:t>y</w:t>
      </w:r>
    </w:p>
    <w:p w14:paraId="22552273" w14:textId="77777777" w:rsidR="007844A1" w:rsidRPr="007844A1" w:rsidRDefault="007844A1" w:rsidP="007844A1">
      <w:pPr>
        <w:spacing w:before="120" w:after="240"/>
        <w:ind w:left="720"/>
      </w:pPr>
      <w:r w:rsidRPr="007844A1">
        <w:t xml:space="preserve">The summation is over all ESR Load </w:t>
      </w:r>
      <w:r w:rsidRPr="007844A1">
        <w:rPr>
          <w:i/>
          <w:iCs/>
        </w:rPr>
        <w:t>r</w:t>
      </w:r>
      <w:r w:rsidRPr="007844A1">
        <w:t xml:space="preserve"> associated to the individual meter.  The determination of which Resources are associated to an individual meter is static and based on the normal system configuration of the generation site code, </w:t>
      </w:r>
      <w:r w:rsidRPr="007844A1">
        <w:rPr>
          <w:i/>
        </w:rPr>
        <w:t>gsc</w:t>
      </w:r>
      <w:r w:rsidRPr="007844A1">
        <w:t>.</w:t>
      </w:r>
    </w:p>
    <w:p w14:paraId="37176B59" w14:textId="77777777" w:rsidR="007844A1" w:rsidRPr="007844A1" w:rsidRDefault="007844A1" w:rsidP="007844A1">
      <w:r w:rsidRPr="007844A1">
        <w:lastRenderedPageBreak/>
        <w:t>The above variables are defined as follows:</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141"/>
        <w:gridCol w:w="1264"/>
        <w:gridCol w:w="5943"/>
      </w:tblGrid>
      <w:tr w:rsidR="007844A1" w:rsidRPr="007844A1" w14:paraId="214F0CA9" w14:textId="77777777" w:rsidTr="0099759E">
        <w:trPr>
          <w:cantSplit/>
          <w:tblHeader/>
        </w:trPr>
        <w:tc>
          <w:tcPr>
            <w:tcW w:w="1145" w:type="pct"/>
          </w:tcPr>
          <w:p w14:paraId="187DF972" w14:textId="77777777" w:rsidR="007844A1" w:rsidRPr="007844A1" w:rsidRDefault="007844A1" w:rsidP="007844A1">
            <w:pPr>
              <w:spacing w:after="120"/>
              <w:rPr>
                <w:b/>
                <w:iCs/>
                <w:sz w:val="20"/>
              </w:rPr>
            </w:pPr>
            <w:r w:rsidRPr="007844A1">
              <w:rPr>
                <w:b/>
                <w:iCs/>
                <w:sz w:val="20"/>
              </w:rPr>
              <w:t>Variable</w:t>
            </w:r>
          </w:p>
        </w:tc>
        <w:tc>
          <w:tcPr>
            <w:tcW w:w="676" w:type="pct"/>
          </w:tcPr>
          <w:p w14:paraId="33D74229" w14:textId="77777777" w:rsidR="007844A1" w:rsidRPr="007844A1" w:rsidRDefault="007844A1" w:rsidP="007844A1">
            <w:pPr>
              <w:spacing w:after="120"/>
              <w:rPr>
                <w:b/>
                <w:iCs/>
                <w:sz w:val="20"/>
              </w:rPr>
            </w:pPr>
            <w:r w:rsidRPr="007844A1">
              <w:rPr>
                <w:b/>
                <w:iCs/>
                <w:sz w:val="20"/>
              </w:rPr>
              <w:t>Unit</w:t>
            </w:r>
          </w:p>
        </w:tc>
        <w:tc>
          <w:tcPr>
            <w:tcW w:w="3179" w:type="pct"/>
          </w:tcPr>
          <w:p w14:paraId="6411FE20" w14:textId="77777777" w:rsidR="007844A1" w:rsidRPr="007844A1" w:rsidRDefault="007844A1" w:rsidP="007844A1">
            <w:pPr>
              <w:spacing w:after="120"/>
              <w:rPr>
                <w:b/>
                <w:iCs/>
                <w:sz w:val="20"/>
              </w:rPr>
            </w:pPr>
            <w:r w:rsidRPr="007844A1">
              <w:rPr>
                <w:b/>
                <w:iCs/>
                <w:sz w:val="20"/>
              </w:rPr>
              <w:t>Description</w:t>
            </w:r>
          </w:p>
        </w:tc>
      </w:tr>
      <w:tr w:rsidR="007844A1" w:rsidRPr="007844A1" w14:paraId="5D341C50" w14:textId="77777777" w:rsidTr="0099759E">
        <w:trPr>
          <w:cantSplit/>
        </w:trPr>
        <w:tc>
          <w:tcPr>
            <w:tcW w:w="1145" w:type="pct"/>
          </w:tcPr>
          <w:p w14:paraId="70A56C9C" w14:textId="77777777" w:rsidR="007844A1" w:rsidRPr="007844A1" w:rsidRDefault="007844A1" w:rsidP="007844A1">
            <w:pPr>
              <w:spacing w:after="60"/>
              <w:rPr>
                <w:sz w:val="20"/>
              </w:rPr>
            </w:pPr>
            <w:r w:rsidRPr="007844A1">
              <w:rPr>
                <w:sz w:val="20"/>
              </w:rPr>
              <w:t xml:space="preserve">RTLMP </w:t>
            </w:r>
            <w:r w:rsidRPr="007844A1">
              <w:rPr>
                <w:i/>
                <w:sz w:val="20"/>
                <w:vertAlign w:val="subscript"/>
              </w:rPr>
              <w:t>b, y</w:t>
            </w:r>
          </w:p>
        </w:tc>
        <w:tc>
          <w:tcPr>
            <w:tcW w:w="676" w:type="pct"/>
          </w:tcPr>
          <w:p w14:paraId="154485E0" w14:textId="77777777" w:rsidR="007844A1" w:rsidRPr="007844A1" w:rsidRDefault="007844A1" w:rsidP="007844A1">
            <w:pPr>
              <w:spacing w:after="60"/>
              <w:rPr>
                <w:sz w:val="20"/>
              </w:rPr>
            </w:pPr>
            <w:r w:rsidRPr="007844A1">
              <w:rPr>
                <w:sz w:val="20"/>
              </w:rPr>
              <w:t>$/MWh</w:t>
            </w:r>
          </w:p>
        </w:tc>
        <w:tc>
          <w:tcPr>
            <w:tcW w:w="3179" w:type="pct"/>
          </w:tcPr>
          <w:p w14:paraId="00D096C1" w14:textId="77777777" w:rsidR="007844A1" w:rsidRPr="007844A1" w:rsidRDefault="007844A1" w:rsidP="007844A1">
            <w:pPr>
              <w:spacing w:after="60"/>
              <w:rPr>
                <w:sz w:val="20"/>
              </w:rPr>
            </w:pPr>
            <w:r w:rsidRPr="007844A1">
              <w:rPr>
                <w:i/>
                <w:sz w:val="20"/>
              </w:rPr>
              <w:t>Real-Time Locational Marginal Price at bus per interval</w:t>
            </w:r>
            <w:r w:rsidRPr="007844A1">
              <w:rPr>
                <w:sz w:val="20"/>
              </w:rPr>
              <w:sym w:font="Symbol" w:char="F0BE"/>
            </w:r>
            <w:r w:rsidRPr="007844A1">
              <w:rPr>
                <w:sz w:val="20"/>
              </w:rPr>
              <w:t xml:space="preserve">The Real-Time LMP for the meter at Electrical Bus </w:t>
            </w:r>
            <w:r w:rsidRPr="007844A1">
              <w:rPr>
                <w:i/>
                <w:sz w:val="20"/>
              </w:rPr>
              <w:t>b</w:t>
            </w:r>
            <w:r w:rsidRPr="007844A1">
              <w:rPr>
                <w:sz w:val="20"/>
              </w:rPr>
              <w:t xml:space="preserve">, for the SCED interval </w:t>
            </w:r>
            <w:r w:rsidRPr="007844A1">
              <w:rPr>
                <w:i/>
                <w:sz w:val="20"/>
              </w:rPr>
              <w:t>y</w:t>
            </w:r>
            <w:r w:rsidRPr="007844A1">
              <w:rPr>
                <w:sz w:val="20"/>
              </w:rPr>
              <w:t>.</w:t>
            </w:r>
          </w:p>
        </w:tc>
      </w:tr>
      <w:tr w:rsidR="007844A1" w:rsidRPr="007844A1" w14:paraId="4D8F33F9" w14:textId="77777777" w:rsidTr="0099759E">
        <w:trPr>
          <w:cantSplit/>
        </w:trPr>
        <w:tc>
          <w:tcPr>
            <w:tcW w:w="1145" w:type="pct"/>
          </w:tcPr>
          <w:p w14:paraId="332F1DBA" w14:textId="77777777" w:rsidR="007844A1" w:rsidRPr="007844A1" w:rsidRDefault="007844A1" w:rsidP="007844A1">
            <w:pPr>
              <w:spacing w:after="60"/>
              <w:rPr>
                <w:sz w:val="20"/>
              </w:rPr>
            </w:pPr>
            <w:r w:rsidRPr="007844A1">
              <w:rPr>
                <w:sz w:val="20"/>
              </w:rPr>
              <w:t xml:space="preserve">TLMP </w:t>
            </w:r>
            <w:r w:rsidRPr="007844A1">
              <w:rPr>
                <w:i/>
                <w:sz w:val="20"/>
                <w:vertAlign w:val="subscript"/>
              </w:rPr>
              <w:t>y</w:t>
            </w:r>
          </w:p>
        </w:tc>
        <w:tc>
          <w:tcPr>
            <w:tcW w:w="676" w:type="pct"/>
          </w:tcPr>
          <w:p w14:paraId="319446C2" w14:textId="77777777" w:rsidR="007844A1" w:rsidRPr="007844A1" w:rsidRDefault="007844A1" w:rsidP="007844A1">
            <w:pPr>
              <w:spacing w:after="60"/>
              <w:rPr>
                <w:iCs/>
                <w:sz w:val="20"/>
              </w:rPr>
            </w:pPr>
            <w:r w:rsidRPr="007844A1">
              <w:rPr>
                <w:sz w:val="20"/>
              </w:rPr>
              <w:t>second</w:t>
            </w:r>
          </w:p>
        </w:tc>
        <w:tc>
          <w:tcPr>
            <w:tcW w:w="3179" w:type="pct"/>
          </w:tcPr>
          <w:p w14:paraId="206B4051" w14:textId="77777777" w:rsidR="007844A1" w:rsidRPr="007844A1" w:rsidRDefault="007844A1" w:rsidP="007844A1">
            <w:pPr>
              <w:spacing w:after="60"/>
              <w:rPr>
                <w:sz w:val="20"/>
              </w:rPr>
            </w:pPr>
            <w:r w:rsidRPr="007844A1">
              <w:rPr>
                <w:i/>
                <w:iCs/>
                <w:sz w:val="20"/>
              </w:rPr>
              <w:t xml:space="preserve">Duration of </w:t>
            </w:r>
            <w:r w:rsidRPr="007844A1">
              <w:rPr>
                <w:i/>
                <w:sz w:val="20"/>
              </w:rPr>
              <w:t>SCED</w:t>
            </w:r>
            <w:r w:rsidRPr="007844A1">
              <w:rPr>
                <w:i/>
                <w:iCs/>
                <w:sz w:val="20"/>
              </w:rPr>
              <w:t xml:space="preserve"> interval per interval</w:t>
            </w:r>
            <w:r w:rsidRPr="007844A1">
              <w:rPr>
                <w:sz w:val="20"/>
              </w:rPr>
              <w:sym w:font="Symbol" w:char="F0BE"/>
            </w:r>
            <w:r w:rsidRPr="007844A1">
              <w:rPr>
                <w:sz w:val="20"/>
              </w:rPr>
              <w:t xml:space="preserve">The duration of the SCED interval </w:t>
            </w:r>
            <w:r w:rsidRPr="007844A1">
              <w:rPr>
                <w:i/>
                <w:iCs/>
                <w:sz w:val="20"/>
              </w:rPr>
              <w:t>y</w:t>
            </w:r>
            <w:r w:rsidRPr="007844A1">
              <w:rPr>
                <w:sz w:val="20"/>
              </w:rPr>
              <w:t>.</w:t>
            </w:r>
          </w:p>
        </w:tc>
      </w:tr>
      <w:tr w:rsidR="007844A1" w:rsidRPr="007844A1" w14:paraId="08835D76" w14:textId="77777777" w:rsidTr="0099759E">
        <w:trPr>
          <w:cantSplit/>
        </w:trPr>
        <w:tc>
          <w:tcPr>
            <w:tcW w:w="1145" w:type="pct"/>
          </w:tcPr>
          <w:p w14:paraId="09C9BB6A" w14:textId="77777777" w:rsidR="007844A1" w:rsidRPr="007844A1" w:rsidRDefault="007844A1" w:rsidP="007844A1">
            <w:pPr>
              <w:spacing w:after="60"/>
              <w:rPr>
                <w:sz w:val="20"/>
              </w:rPr>
            </w:pPr>
            <w:r w:rsidRPr="007844A1">
              <w:rPr>
                <w:sz w:val="20"/>
              </w:rPr>
              <w:t>RTRDP</w:t>
            </w:r>
          </w:p>
        </w:tc>
        <w:tc>
          <w:tcPr>
            <w:tcW w:w="676" w:type="pct"/>
          </w:tcPr>
          <w:p w14:paraId="1B2790D3" w14:textId="77777777" w:rsidR="007844A1" w:rsidRPr="007844A1" w:rsidRDefault="007844A1" w:rsidP="007844A1">
            <w:pPr>
              <w:spacing w:after="60"/>
              <w:rPr>
                <w:sz w:val="20"/>
              </w:rPr>
            </w:pPr>
            <w:r w:rsidRPr="007844A1">
              <w:rPr>
                <w:sz w:val="20"/>
              </w:rPr>
              <w:t>$/MWh</w:t>
            </w:r>
          </w:p>
        </w:tc>
        <w:tc>
          <w:tcPr>
            <w:tcW w:w="3179" w:type="pct"/>
          </w:tcPr>
          <w:p w14:paraId="57EBB4C9" w14:textId="77777777" w:rsidR="007844A1" w:rsidRPr="007844A1" w:rsidRDefault="007844A1" w:rsidP="007844A1">
            <w:pPr>
              <w:spacing w:after="60"/>
              <w:rPr>
                <w:i/>
                <w:sz w:val="20"/>
              </w:rPr>
            </w:pPr>
            <w:r w:rsidRPr="007844A1">
              <w:rPr>
                <w:i/>
                <w:sz w:val="20"/>
              </w:rPr>
              <w:t xml:space="preserve">Real-Time Reliability Deployment Price for Energy </w:t>
            </w:r>
            <w:r w:rsidRPr="007844A1">
              <w:rPr>
                <w:sz w:val="20"/>
              </w:rPr>
              <w:sym w:font="Symbol" w:char="F0BE"/>
            </w:r>
            <w:r w:rsidRPr="007844A1">
              <w:rPr>
                <w:sz w:val="20"/>
              </w:rPr>
              <w:t xml:space="preserve">The Real-Time price for the 15-minute Settlement Interval, reflecting the impact of reliability deployments on energy prices that is calculated </w:t>
            </w:r>
            <w:r w:rsidRPr="007844A1">
              <w:rPr>
                <w:bCs/>
                <w:sz w:val="20"/>
              </w:rPr>
              <w:t>from the Real-Time Reliability Deployment Price Adder for Energy</w:t>
            </w:r>
            <w:r w:rsidRPr="007844A1">
              <w:rPr>
                <w:sz w:val="20"/>
              </w:rPr>
              <w:t>.</w:t>
            </w:r>
          </w:p>
        </w:tc>
      </w:tr>
      <w:tr w:rsidR="007844A1" w:rsidRPr="007844A1" w14:paraId="4C765D42" w14:textId="77777777" w:rsidTr="0099759E">
        <w:trPr>
          <w:cantSplit/>
        </w:trPr>
        <w:tc>
          <w:tcPr>
            <w:tcW w:w="1145" w:type="pct"/>
          </w:tcPr>
          <w:p w14:paraId="32A5348F" w14:textId="77777777" w:rsidR="007844A1" w:rsidRPr="007844A1" w:rsidRDefault="007844A1" w:rsidP="007844A1">
            <w:pPr>
              <w:spacing w:after="60"/>
              <w:rPr>
                <w:sz w:val="20"/>
              </w:rPr>
            </w:pPr>
            <w:r w:rsidRPr="007844A1">
              <w:rPr>
                <w:sz w:val="20"/>
              </w:rPr>
              <w:t>RTRDPA</w:t>
            </w:r>
            <w:r w:rsidRPr="007844A1">
              <w:rPr>
                <w:sz w:val="20"/>
                <w:vertAlign w:val="subscript"/>
              </w:rPr>
              <w:t xml:space="preserve"> </w:t>
            </w:r>
            <w:r w:rsidRPr="007844A1">
              <w:rPr>
                <w:i/>
                <w:sz w:val="20"/>
                <w:vertAlign w:val="subscript"/>
              </w:rPr>
              <w:t>y</w:t>
            </w:r>
          </w:p>
        </w:tc>
        <w:tc>
          <w:tcPr>
            <w:tcW w:w="676" w:type="pct"/>
          </w:tcPr>
          <w:p w14:paraId="06DE30BD" w14:textId="77777777" w:rsidR="007844A1" w:rsidRPr="007844A1" w:rsidRDefault="007844A1" w:rsidP="007844A1">
            <w:pPr>
              <w:spacing w:after="60"/>
              <w:rPr>
                <w:sz w:val="20"/>
              </w:rPr>
            </w:pPr>
            <w:r w:rsidRPr="007844A1">
              <w:rPr>
                <w:sz w:val="20"/>
              </w:rPr>
              <w:t>$/MWh</w:t>
            </w:r>
          </w:p>
        </w:tc>
        <w:tc>
          <w:tcPr>
            <w:tcW w:w="3179" w:type="pct"/>
          </w:tcPr>
          <w:p w14:paraId="15006D86" w14:textId="77777777" w:rsidR="007844A1" w:rsidRPr="007844A1" w:rsidRDefault="007844A1" w:rsidP="007844A1">
            <w:pPr>
              <w:spacing w:after="60"/>
              <w:rPr>
                <w:i/>
                <w:sz w:val="20"/>
              </w:rPr>
            </w:pPr>
            <w:r w:rsidRPr="007844A1">
              <w:rPr>
                <w:i/>
                <w:sz w:val="20"/>
              </w:rPr>
              <w:t xml:space="preserve">Real-Time Reliability Deployment Price Adder for Energy </w:t>
            </w:r>
            <w:r w:rsidRPr="007844A1">
              <w:rPr>
                <w:sz w:val="20"/>
              </w:rPr>
              <w:sym w:font="Symbol" w:char="F0BE"/>
            </w:r>
            <w:r w:rsidRPr="007844A1">
              <w:rPr>
                <w:sz w:val="20"/>
              </w:rPr>
              <w:t xml:space="preserve">The Real-Time price adder that captures the impact of reliability deployments on energy prices for the SCED interval </w:t>
            </w:r>
            <w:r w:rsidRPr="007844A1">
              <w:rPr>
                <w:i/>
                <w:sz w:val="20"/>
              </w:rPr>
              <w:t>y</w:t>
            </w:r>
            <w:r w:rsidRPr="007844A1">
              <w:rPr>
                <w:sz w:val="20"/>
              </w:rPr>
              <w:t>.</w:t>
            </w:r>
          </w:p>
        </w:tc>
      </w:tr>
      <w:tr w:rsidR="007844A1" w:rsidRPr="007844A1" w14:paraId="4E67D909" w14:textId="77777777" w:rsidTr="0099759E">
        <w:trPr>
          <w:cantSplit/>
        </w:trPr>
        <w:tc>
          <w:tcPr>
            <w:tcW w:w="1145" w:type="pct"/>
          </w:tcPr>
          <w:p w14:paraId="73E493ED" w14:textId="77777777" w:rsidR="007844A1" w:rsidRPr="007844A1" w:rsidRDefault="007844A1" w:rsidP="007844A1">
            <w:pPr>
              <w:spacing w:after="60"/>
              <w:rPr>
                <w:sz w:val="20"/>
              </w:rPr>
            </w:pPr>
            <w:r w:rsidRPr="007844A1">
              <w:rPr>
                <w:sz w:val="20"/>
              </w:rPr>
              <w:t xml:space="preserve">RNWF </w:t>
            </w:r>
            <w:r w:rsidRPr="007844A1">
              <w:rPr>
                <w:i/>
                <w:sz w:val="20"/>
                <w:vertAlign w:val="subscript"/>
              </w:rPr>
              <w:t>y</w:t>
            </w:r>
          </w:p>
        </w:tc>
        <w:tc>
          <w:tcPr>
            <w:tcW w:w="676" w:type="pct"/>
          </w:tcPr>
          <w:p w14:paraId="230BDAF8" w14:textId="77777777" w:rsidR="007844A1" w:rsidRPr="007844A1" w:rsidRDefault="007844A1" w:rsidP="007844A1">
            <w:pPr>
              <w:spacing w:after="60"/>
              <w:rPr>
                <w:sz w:val="20"/>
              </w:rPr>
            </w:pPr>
            <w:r w:rsidRPr="007844A1">
              <w:rPr>
                <w:sz w:val="20"/>
              </w:rPr>
              <w:t>none</w:t>
            </w:r>
          </w:p>
        </w:tc>
        <w:tc>
          <w:tcPr>
            <w:tcW w:w="3179" w:type="pct"/>
          </w:tcPr>
          <w:p w14:paraId="18DC16EA" w14:textId="77777777" w:rsidR="007844A1" w:rsidRPr="007844A1" w:rsidRDefault="007844A1" w:rsidP="007844A1">
            <w:pPr>
              <w:spacing w:after="60"/>
              <w:rPr>
                <w:i/>
                <w:sz w:val="20"/>
              </w:rPr>
            </w:pPr>
            <w:r w:rsidRPr="007844A1">
              <w:rPr>
                <w:i/>
                <w:sz w:val="20"/>
              </w:rPr>
              <w:t>Resource Node Weighting Factor per interval</w:t>
            </w:r>
            <w:r w:rsidRPr="007844A1">
              <w:rPr>
                <w:sz w:val="20"/>
              </w:rPr>
              <w:sym w:font="Symbol" w:char="F0BE"/>
            </w:r>
            <w:r w:rsidRPr="007844A1">
              <w:rPr>
                <w:sz w:val="20"/>
              </w:rPr>
              <w:t xml:space="preserve">The weight used in the Real-Time Reliability Deployment price calculation for the portion of the SCED interval </w:t>
            </w:r>
            <w:r w:rsidRPr="007844A1">
              <w:rPr>
                <w:i/>
                <w:sz w:val="20"/>
              </w:rPr>
              <w:t>y</w:t>
            </w:r>
            <w:r w:rsidRPr="007844A1">
              <w:rPr>
                <w:sz w:val="20"/>
              </w:rPr>
              <w:t xml:space="preserve"> within the Settlement Interval.</w:t>
            </w:r>
          </w:p>
        </w:tc>
      </w:tr>
      <w:tr w:rsidR="007844A1" w:rsidRPr="007844A1" w14:paraId="5AE73F80" w14:textId="77777777" w:rsidTr="0099759E">
        <w:trPr>
          <w:cantSplit/>
        </w:trPr>
        <w:tc>
          <w:tcPr>
            <w:tcW w:w="1145" w:type="pct"/>
          </w:tcPr>
          <w:p w14:paraId="00FE19CC" w14:textId="77777777" w:rsidR="007844A1" w:rsidRPr="007844A1" w:rsidRDefault="007844A1" w:rsidP="007844A1">
            <w:pPr>
              <w:spacing w:after="60"/>
              <w:rPr>
                <w:sz w:val="20"/>
              </w:rPr>
            </w:pPr>
            <w:r w:rsidRPr="007844A1">
              <w:rPr>
                <w:sz w:val="20"/>
              </w:rPr>
              <w:t>MEBL</w:t>
            </w:r>
            <w:r w:rsidRPr="007844A1">
              <w:rPr>
                <w:sz w:val="20"/>
                <w:vertAlign w:val="subscript"/>
              </w:rPr>
              <w:t xml:space="preserve"> </w:t>
            </w:r>
            <w:r w:rsidRPr="007844A1">
              <w:rPr>
                <w:i/>
                <w:sz w:val="20"/>
                <w:vertAlign w:val="subscript"/>
              </w:rPr>
              <w:t>q,r,b</w:t>
            </w:r>
          </w:p>
        </w:tc>
        <w:tc>
          <w:tcPr>
            <w:tcW w:w="676" w:type="pct"/>
          </w:tcPr>
          <w:p w14:paraId="2F304D53" w14:textId="77777777" w:rsidR="007844A1" w:rsidRPr="007844A1" w:rsidRDefault="007844A1" w:rsidP="007844A1">
            <w:pPr>
              <w:spacing w:after="60"/>
              <w:rPr>
                <w:sz w:val="20"/>
              </w:rPr>
            </w:pPr>
            <w:r w:rsidRPr="007844A1">
              <w:rPr>
                <w:sz w:val="20"/>
              </w:rPr>
              <w:t>MWh</w:t>
            </w:r>
          </w:p>
        </w:tc>
        <w:tc>
          <w:tcPr>
            <w:tcW w:w="3179" w:type="pct"/>
          </w:tcPr>
          <w:p w14:paraId="6B13350E" w14:textId="77777777" w:rsidR="007844A1" w:rsidRPr="007844A1" w:rsidRDefault="007844A1" w:rsidP="007844A1">
            <w:pPr>
              <w:spacing w:after="60"/>
              <w:rPr>
                <w:i/>
                <w:iCs/>
                <w:sz w:val="20"/>
              </w:rPr>
            </w:pPr>
            <w:r w:rsidRPr="007844A1">
              <w:rPr>
                <w:i/>
                <w:sz w:val="20"/>
              </w:rPr>
              <w:t>Metered Energy for Wholesale Storage Load at bus</w:t>
            </w:r>
            <w:r w:rsidRPr="007844A1">
              <w:rPr>
                <w:sz w:val="20"/>
              </w:rPr>
              <w:sym w:font="Symbol" w:char="F0BE"/>
            </w:r>
            <w:r w:rsidRPr="007844A1">
              <w:rPr>
                <w:sz w:val="20"/>
              </w:rPr>
              <w:t xml:space="preserve">The WSL energy metered by the Settlement Meter which measures WSL for the 15-minute Settlement Interval represented as a negative value, for the QSE </w:t>
            </w:r>
            <w:r w:rsidRPr="007844A1">
              <w:rPr>
                <w:i/>
                <w:sz w:val="20"/>
              </w:rPr>
              <w:t>q</w:t>
            </w:r>
            <w:r w:rsidRPr="007844A1">
              <w:rPr>
                <w:sz w:val="20"/>
              </w:rPr>
              <w:t xml:space="preserve">, Resource </w:t>
            </w:r>
            <w:r w:rsidRPr="007844A1">
              <w:rPr>
                <w:i/>
                <w:sz w:val="20"/>
              </w:rPr>
              <w:t>r</w:t>
            </w:r>
            <w:r w:rsidRPr="007844A1">
              <w:rPr>
                <w:sz w:val="20"/>
              </w:rPr>
              <w:t xml:space="preserve">, at bus </w:t>
            </w:r>
            <w:r w:rsidRPr="007844A1">
              <w:rPr>
                <w:i/>
                <w:sz w:val="20"/>
              </w:rPr>
              <w:t>b</w:t>
            </w:r>
            <w:r w:rsidRPr="007844A1">
              <w:rPr>
                <w:sz w:val="20"/>
              </w:rPr>
              <w:t xml:space="preserve">.  </w:t>
            </w:r>
          </w:p>
        </w:tc>
      </w:tr>
      <w:tr w:rsidR="007844A1" w:rsidRPr="007844A1" w14:paraId="4AD7F08A" w14:textId="77777777" w:rsidTr="0099759E">
        <w:trPr>
          <w:cantSplit/>
        </w:trPr>
        <w:tc>
          <w:tcPr>
            <w:tcW w:w="1145" w:type="pct"/>
          </w:tcPr>
          <w:p w14:paraId="747BF8D3" w14:textId="77777777" w:rsidR="007844A1" w:rsidRPr="007844A1" w:rsidRDefault="007844A1" w:rsidP="007844A1">
            <w:pPr>
              <w:spacing w:after="60"/>
              <w:rPr>
                <w:sz w:val="20"/>
              </w:rPr>
            </w:pPr>
            <w:r w:rsidRPr="007844A1">
              <w:rPr>
                <w:sz w:val="20"/>
              </w:rPr>
              <w:t xml:space="preserve">MEBR </w:t>
            </w:r>
            <w:r w:rsidRPr="007844A1">
              <w:rPr>
                <w:i/>
                <w:sz w:val="20"/>
                <w:vertAlign w:val="subscript"/>
              </w:rPr>
              <w:t>q, r, b</w:t>
            </w:r>
          </w:p>
        </w:tc>
        <w:tc>
          <w:tcPr>
            <w:tcW w:w="676" w:type="pct"/>
          </w:tcPr>
          <w:p w14:paraId="5305A2FF" w14:textId="77777777" w:rsidR="007844A1" w:rsidRPr="007844A1" w:rsidRDefault="007844A1" w:rsidP="007844A1">
            <w:pPr>
              <w:spacing w:after="60"/>
              <w:rPr>
                <w:sz w:val="20"/>
              </w:rPr>
            </w:pPr>
            <w:r w:rsidRPr="007844A1">
              <w:rPr>
                <w:sz w:val="20"/>
              </w:rPr>
              <w:t>MWh</w:t>
            </w:r>
          </w:p>
        </w:tc>
        <w:tc>
          <w:tcPr>
            <w:tcW w:w="3179" w:type="pct"/>
          </w:tcPr>
          <w:p w14:paraId="1A4B03A7" w14:textId="77777777" w:rsidR="007844A1" w:rsidRPr="007844A1" w:rsidRDefault="007844A1" w:rsidP="007844A1">
            <w:pPr>
              <w:spacing w:after="60"/>
              <w:rPr>
                <w:i/>
                <w:sz w:val="20"/>
              </w:rPr>
            </w:pPr>
            <w:r w:rsidRPr="007844A1">
              <w:rPr>
                <w:i/>
                <w:sz w:val="20"/>
              </w:rPr>
              <w:t xml:space="preserve">Metered Energy for Energy Storage Resource Load at Bus </w:t>
            </w:r>
            <w:r w:rsidRPr="007844A1">
              <w:rPr>
                <w:sz w:val="20"/>
              </w:rPr>
              <w:t xml:space="preserve">- The energy metered by the Settlement Meter which measures Non-WSL ESR Charging Load for the 15-minute Settlement Interval represented as a negative value, for the QSE </w:t>
            </w:r>
            <w:r w:rsidRPr="007844A1">
              <w:rPr>
                <w:i/>
                <w:sz w:val="20"/>
              </w:rPr>
              <w:t>q</w:t>
            </w:r>
            <w:r w:rsidRPr="007844A1">
              <w:rPr>
                <w:sz w:val="20"/>
              </w:rPr>
              <w:t xml:space="preserve">, Resource </w:t>
            </w:r>
            <w:r w:rsidRPr="007844A1">
              <w:rPr>
                <w:i/>
                <w:sz w:val="20"/>
              </w:rPr>
              <w:t>r</w:t>
            </w:r>
            <w:r w:rsidRPr="007844A1">
              <w:rPr>
                <w:sz w:val="20"/>
              </w:rPr>
              <w:t xml:space="preserve">, at bus </w:t>
            </w:r>
            <w:r w:rsidRPr="007844A1">
              <w:rPr>
                <w:i/>
                <w:sz w:val="20"/>
              </w:rPr>
              <w:t>b</w:t>
            </w:r>
            <w:r w:rsidRPr="007844A1">
              <w:rPr>
                <w:sz w:val="20"/>
              </w:rPr>
              <w:t xml:space="preserve">.  </w:t>
            </w:r>
            <w:r w:rsidRPr="007844A1">
              <w:rPr>
                <w:i/>
                <w:sz w:val="20"/>
              </w:rPr>
              <w:t xml:space="preserve"> </w:t>
            </w:r>
          </w:p>
        </w:tc>
      </w:tr>
      <w:tr w:rsidR="007844A1" w:rsidRPr="007844A1" w14:paraId="180C7084" w14:textId="77777777" w:rsidTr="0099759E">
        <w:trPr>
          <w:cantSplit/>
        </w:trPr>
        <w:tc>
          <w:tcPr>
            <w:tcW w:w="1145" w:type="pct"/>
          </w:tcPr>
          <w:p w14:paraId="5933B3ED" w14:textId="77777777" w:rsidR="007844A1" w:rsidRPr="007844A1" w:rsidRDefault="007844A1" w:rsidP="007844A1">
            <w:pPr>
              <w:spacing w:after="60"/>
              <w:rPr>
                <w:i/>
                <w:sz w:val="20"/>
              </w:rPr>
            </w:pPr>
            <w:r w:rsidRPr="007844A1">
              <w:rPr>
                <w:sz w:val="20"/>
              </w:rPr>
              <w:t>WSLAMTTOT</w:t>
            </w:r>
            <w:r w:rsidRPr="007844A1">
              <w:rPr>
                <w:sz w:val="20"/>
                <w:vertAlign w:val="subscript"/>
              </w:rPr>
              <w:t xml:space="preserve"> </w:t>
            </w:r>
            <w:r w:rsidRPr="007844A1">
              <w:rPr>
                <w:i/>
                <w:sz w:val="20"/>
                <w:vertAlign w:val="subscript"/>
              </w:rPr>
              <w:t>q, r, p</w:t>
            </w:r>
          </w:p>
        </w:tc>
        <w:tc>
          <w:tcPr>
            <w:tcW w:w="676" w:type="pct"/>
          </w:tcPr>
          <w:p w14:paraId="2F8A641D" w14:textId="77777777" w:rsidR="007844A1" w:rsidRPr="007844A1" w:rsidRDefault="007844A1" w:rsidP="007844A1">
            <w:pPr>
              <w:spacing w:after="60"/>
              <w:rPr>
                <w:sz w:val="20"/>
              </w:rPr>
            </w:pPr>
            <w:r w:rsidRPr="007844A1">
              <w:rPr>
                <w:sz w:val="20"/>
              </w:rPr>
              <w:t>$</w:t>
            </w:r>
          </w:p>
        </w:tc>
        <w:tc>
          <w:tcPr>
            <w:tcW w:w="3179" w:type="pct"/>
          </w:tcPr>
          <w:p w14:paraId="6B2F7E48" w14:textId="77777777" w:rsidR="007844A1" w:rsidRPr="007844A1" w:rsidRDefault="007844A1" w:rsidP="007844A1">
            <w:pPr>
              <w:spacing w:after="60"/>
              <w:rPr>
                <w:sz w:val="20"/>
              </w:rPr>
            </w:pPr>
            <w:r w:rsidRPr="007844A1">
              <w:rPr>
                <w:i/>
                <w:sz w:val="20"/>
              </w:rPr>
              <w:t>Wholesale Storage Load Settlement</w:t>
            </w:r>
            <w:r w:rsidRPr="007844A1">
              <w:rPr>
                <w:sz w:val="20"/>
              </w:rPr>
              <w:t>—</w:t>
            </w:r>
            <w:r w:rsidRPr="007844A1">
              <w:rPr>
                <w:iCs/>
                <w:sz w:val="20"/>
              </w:rPr>
              <w:t xml:space="preserve">The total payment or charge to QSE </w:t>
            </w:r>
            <w:r w:rsidRPr="007844A1">
              <w:rPr>
                <w:i/>
                <w:iCs/>
                <w:sz w:val="20"/>
              </w:rPr>
              <w:t>q</w:t>
            </w:r>
            <w:r w:rsidRPr="007844A1">
              <w:rPr>
                <w:iCs/>
                <w:sz w:val="20"/>
              </w:rPr>
              <w:t xml:space="preserve">, Resource </w:t>
            </w:r>
            <w:r w:rsidRPr="007844A1">
              <w:rPr>
                <w:i/>
                <w:iCs/>
                <w:sz w:val="20"/>
              </w:rPr>
              <w:t>r</w:t>
            </w:r>
            <w:r w:rsidRPr="007844A1">
              <w:rPr>
                <w:iCs/>
                <w:sz w:val="20"/>
              </w:rPr>
              <w:t xml:space="preserve">, at Settlement Point </w:t>
            </w:r>
            <w:r w:rsidRPr="007844A1">
              <w:rPr>
                <w:i/>
                <w:iCs/>
                <w:sz w:val="20"/>
              </w:rPr>
              <w:t>p</w:t>
            </w:r>
            <w:r w:rsidRPr="007844A1">
              <w:rPr>
                <w:iCs/>
                <w:sz w:val="20"/>
              </w:rPr>
              <w:t xml:space="preserve">, </w:t>
            </w:r>
            <w:r w:rsidRPr="007844A1">
              <w:rPr>
                <w:sz w:val="20"/>
              </w:rPr>
              <w:t xml:space="preserve">for WSL </w:t>
            </w:r>
            <w:r w:rsidRPr="007844A1">
              <w:rPr>
                <w:iCs/>
                <w:sz w:val="20"/>
              </w:rPr>
              <w:t>for each 15-minute Settlement Interval.</w:t>
            </w:r>
          </w:p>
        </w:tc>
      </w:tr>
      <w:tr w:rsidR="007844A1" w:rsidRPr="007844A1" w14:paraId="2FBE4277" w14:textId="77777777" w:rsidTr="0099759E">
        <w:trPr>
          <w:cantSplit/>
        </w:trPr>
        <w:tc>
          <w:tcPr>
            <w:tcW w:w="1145" w:type="pct"/>
          </w:tcPr>
          <w:p w14:paraId="30454235" w14:textId="77777777" w:rsidR="007844A1" w:rsidRPr="007844A1" w:rsidRDefault="007844A1" w:rsidP="007844A1">
            <w:pPr>
              <w:spacing w:after="60"/>
              <w:rPr>
                <w:sz w:val="20"/>
              </w:rPr>
            </w:pPr>
            <w:r w:rsidRPr="007844A1">
              <w:rPr>
                <w:sz w:val="20"/>
              </w:rPr>
              <w:t>ESRNWSLAMTTOT</w:t>
            </w:r>
            <w:r w:rsidRPr="007844A1">
              <w:rPr>
                <w:sz w:val="20"/>
                <w:vertAlign w:val="subscript"/>
              </w:rPr>
              <w:t xml:space="preserve"> </w:t>
            </w:r>
            <w:r w:rsidRPr="007844A1">
              <w:rPr>
                <w:i/>
                <w:sz w:val="20"/>
                <w:vertAlign w:val="subscript"/>
              </w:rPr>
              <w:t>q, r, p</w:t>
            </w:r>
          </w:p>
        </w:tc>
        <w:tc>
          <w:tcPr>
            <w:tcW w:w="676" w:type="pct"/>
          </w:tcPr>
          <w:p w14:paraId="6C09C551" w14:textId="77777777" w:rsidR="007844A1" w:rsidRPr="007844A1" w:rsidRDefault="007844A1" w:rsidP="007844A1">
            <w:pPr>
              <w:spacing w:after="60"/>
              <w:rPr>
                <w:sz w:val="20"/>
              </w:rPr>
            </w:pPr>
            <w:r w:rsidRPr="007844A1">
              <w:rPr>
                <w:sz w:val="20"/>
              </w:rPr>
              <w:t>$</w:t>
            </w:r>
          </w:p>
        </w:tc>
        <w:tc>
          <w:tcPr>
            <w:tcW w:w="3179" w:type="pct"/>
          </w:tcPr>
          <w:p w14:paraId="4DE39B01" w14:textId="77777777" w:rsidR="007844A1" w:rsidRPr="007844A1" w:rsidRDefault="007844A1" w:rsidP="007844A1">
            <w:pPr>
              <w:spacing w:after="60"/>
              <w:rPr>
                <w:i/>
                <w:sz w:val="20"/>
              </w:rPr>
            </w:pPr>
            <w:r w:rsidRPr="007844A1">
              <w:rPr>
                <w:i/>
                <w:sz w:val="20"/>
              </w:rPr>
              <w:t>Energy Storage Resource Non-WSL Settlement</w:t>
            </w:r>
            <w:r w:rsidRPr="007844A1">
              <w:rPr>
                <w:sz w:val="20"/>
              </w:rPr>
              <w:t>—</w:t>
            </w:r>
            <w:r w:rsidRPr="007844A1">
              <w:rPr>
                <w:iCs/>
                <w:sz w:val="20"/>
              </w:rPr>
              <w:t xml:space="preserve">The total payment or charge to QSE </w:t>
            </w:r>
            <w:r w:rsidRPr="007844A1">
              <w:rPr>
                <w:i/>
                <w:iCs/>
                <w:sz w:val="20"/>
              </w:rPr>
              <w:t>q</w:t>
            </w:r>
            <w:r w:rsidRPr="007844A1">
              <w:rPr>
                <w:iCs/>
                <w:sz w:val="20"/>
              </w:rPr>
              <w:t xml:space="preserve">, Resource </w:t>
            </w:r>
            <w:r w:rsidRPr="007844A1">
              <w:rPr>
                <w:i/>
                <w:iCs/>
                <w:sz w:val="20"/>
              </w:rPr>
              <w:t>r</w:t>
            </w:r>
            <w:r w:rsidRPr="007844A1">
              <w:rPr>
                <w:iCs/>
                <w:sz w:val="20"/>
              </w:rPr>
              <w:t xml:space="preserve">, at Settlement Point </w:t>
            </w:r>
            <w:r w:rsidRPr="007844A1">
              <w:rPr>
                <w:i/>
                <w:iCs/>
                <w:sz w:val="20"/>
              </w:rPr>
              <w:t>p</w:t>
            </w:r>
            <w:r w:rsidRPr="007844A1">
              <w:rPr>
                <w:iCs/>
                <w:sz w:val="20"/>
              </w:rPr>
              <w:t xml:space="preserve">, </w:t>
            </w:r>
            <w:r w:rsidRPr="007844A1">
              <w:rPr>
                <w:sz w:val="20"/>
              </w:rPr>
              <w:t xml:space="preserve">for Non-WSL ESR Charging Load </w:t>
            </w:r>
            <w:r w:rsidRPr="007844A1">
              <w:rPr>
                <w:iCs/>
                <w:sz w:val="20"/>
              </w:rPr>
              <w:t>for each 15-minute Settlement Interval.</w:t>
            </w:r>
          </w:p>
        </w:tc>
      </w:tr>
      <w:tr w:rsidR="007844A1" w:rsidRPr="007844A1" w14:paraId="2641DF6C" w14:textId="77777777" w:rsidTr="0099759E">
        <w:trPr>
          <w:cantSplit/>
        </w:trPr>
        <w:tc>
          <w:tcPr>
            <w:tcW w:w="1145" w:type="pct"/>
          </w:tcPr>
          <w:p w14:paraId="3108A58D" w14:textId="77777777" w:rsidR="007844A1" w:rsidRPr="007844A1" w:rsidRDefault="007844A1" w:rsidP="007844A1">
            <w:pPr>
              <w:spacing w:after="60"/>
              <w:rPr>
                <w:i/>
                <w:sz w:val="20"/>
              </w:rPr>
            </w:pPr>
            <w:r w:rsidRPr="007844A1">
              <w:rPr>
                <w:sz w:val="20"/>
                <w:lang w:val="es-ES"/>
              </w:rPr>
              <w:t>RNWFL</w:t>
            </w:r>
            <w:r w:rsidRPr="007844A1">
              <w:rPr>
                <w:sz w:val="20"/>
                <w:vertAlign w:val="subscript"/>
              </w:rPr>
              <w:t xml:space="preserve"> </w:t>
            </w:r>
            <w:r w:rsidRPr="007844A1">
              <w:rPr>
                <w:i/>
                <w:iCs/>
                <w:sz w:val="20"/>
                <w:vertAlign w:val="subscript"/>
                <w:lang w:val="es-ES"/>
              </w:rPr>
              <w:t>b, y</w:t>
            </w:r>
          </w:p>
        </w:tc>
        <w:tc>
          <w:tcPr>
            <w:tcW w:w="676" w:type="pct"/>
          </w:tcPr>
          <w:p w14:paraId="33C3CF4A" w14:textId="77777777" w:rsidR="007844A1" w:rsidRPr="007844A1" w:rsidRDefault="007844A1" w:rsidP="007844A1">
            <w:pPr>
              <w:spacing w:after="60"/>
              <w:rPr>
                <w:sz w:val="20"/>
              </w:rPr>
            </w:pPr>
            <w:r w:rsidRPr="007844A1">
              <w:rPr>
                <w:sz w:val="20"/>
              </w:rPr>
              <w:t>none</w:t>
            </w:r>
          </w:p>
        </w:tc>
        <w:tc>
          <w:tcPr>
            <w:tcW w:w="3179" w:type="pct"/>
          </w:tcPr>
          <w:p w14:paraId="79F42524" w14:textId="77777777" w:rsidR="007844A1" w:rsidRPr="007844A1" w:rsidRDefault="007844A1" w:rsidP="007844A1">
            <w:pPr>
              <w:spacing w:after="60"/>
              <w:rPr>
                <w:sz w:val="20"/>
              </w:rPr>
            </w:pPr>
            <w:r w:rsidRPr="007844A1">
              <w:rPr>
                <w:i/>
                <w:iCs/>
                <w:sz w:val="20"/>
              </w:rPr>
              <w:t xml:space="preserve">Net meter Weighting Factor per interval </w:t>
            </w:r>
            <w:r w:rsidRPr="007844A1">
              <w:rPr>
                <w:i/>
                <w:sz w:val="20"/>
              </w:rPr>
              <w:t>for the Energy Metered as Energy Storage Resource Load</w:t>
            </w:r>
            <w:r w:rsidRPr="007844A1">
              <w:rPr>
                <w:rFonts w:ascii="Symbol" w:hAnsi="Symbol"/>
                <w:sz w:val="20"/>
              </w:rPr>
              <w:t></w:t>
            </w:r>
            <w:r w:rsidRPr="007844A1">
              <w:rPr>
                <w:rFonts w:ascii="Symbol" w:hAnsi="Symbol"/>
                <w:sz w:val="20"/>
              </w:rPr>
              <w:t></w:t>
            </w:r>
            <w:r w:rsidRPr="007844A1">
              <w:rPr>
                <w:sz w:val="20"/>
              </w:rPr>
              <w:t xml:space="preserve">The weight factor used in net meter price calculation for meters in Electrical Bus </w:t>
            </w:r>
            <w:r w:rsidRPr="007844A1">
              <w:rPr>
                <w:i/>
                <w:sz w:val="20"/>
              </w:rPr>
              <w:t>b</w:t>
            </w:r>
            <w:r w:rsidRPr="007844A1">
              <w:rPr>
                <w:sz w:val="20"/>
              </w:rPr>
              <w:t xml:space="preserve">, for the SCED interval </w:t>
            </w:r>
            <w:r w:rsidRPr="007844A1">
              <w:rPr>
                <w:i/>
                <w:iCs/>
                <w:sz w:val="20"/>
              </w:rPr>
              <w:t>y</w:t>
            </w:r>
            <w:r w:rsidRPr="007844A1">
              <w:rPr>
                <w:sz w:val="20"/>
              </w:rPr>
              <w:t>, for the ESR Load associated with an ESR.  The weighting factor used in the net meter price calculation shall not be recalculated after the fact due to revisions in the association of Resources to Settlement Meters.</w:t>
            </w:r>
          </w:p>
        </w:tc>
      </w:tr>
      <w:tr w:rsidR="007844A1" w:rsidRPr="007844A1" w14:paraId="323E2AB3" w14:textId="77777777" w:rsidTr="0099759E">
        <w:trPr>
          <w:cantSplit/>
        </w:trPr>
        <w:tc>
          <w:tcPr>
            <w:tcW w:w="1145" w:type="pct"/>
          </w:tcPr>
          <w:p w14:paraId="48250A20" w14:textId="77777777" w:rsidR="007844A1" w:rsidRPr="007844A1" w:rsidRDefault="007844A1" w:rsidP="007844A1">
            <w:pPr>
              <w:spacing w:after="60"/>
              <w:rPr>
                <w:i/>
                <w:sz w:val="20"/>
              </w:rPr>
            </w:pPr>
            <w:r w:rsidRPr="007844A1">
              <w:rPr>
                <w:sz w:val="20"/>
              </w:rPr>
              <w:t>RTRMPRESR</w:t>
            </w:r>
            <w:r w:rsidRPr="007844A1">
              <w:rPr>
                <w:sz w:val="20"/>
                <w:vertAlign w:val="subscript"/>
              </w:rPr>
              <w:t xml:space="preserve"> </w:t>
            </w:r>
            <w:r w:rsidRPr="007844A1">
              <w:rPr>
                <w:i/>
                <w:sz w:val="20"/>
                <w:vertAlign w:val="subscript"/>
              </w:rPr>
              <w:t>b</w:t>
            </w:r>
          </w:p>
        </w:tc>
        <w:tc>
          <w:tcPr>
            <w:tcW w:w="676" w:type="pct"/>
          </w:tcPr>
          <w:p w14:paraId="500249F0" w14:textId="77777777" w:rsidR="007844A1" w:rsidRPr="007844A1" w:rsidRDefault="007844A1" w:rsidP="007844A1">
            <w:pPr>
              <w:spacing w:after="60"/>
              <w:rPr>
                <w:sz w:val="20"/>
              </w:rPr>
            </w:pPr>
            <w:r w:rsidRPr="007844A1">
              <w:rPr>
                <w:sz w:val="20"/>
              </w:rPr>
              <w:t>$/MWh</w:t>
            </w:r>
          </w:p>
        </w:tc>
        <w:tc>
          <w:tcPr>
            <w:tcW w:w="3179" w:type="pct"/>
          </w:tcPr>
          <w:p w14:paraId="02DB4DA3" w14:textId="77777777" w:rsidR="007844A1" w:rsidRPr="007844A1" w:rsidRDefault="007844A1" w:rsidP="007844A1">
            <w:pPr>
              <w:spacing w:after="60"/>
              <w:rPr>
                <w:sz w:val="20"/>
              </w:rPr>
            </w:pPr>
            <w:r w:rsidRPr="007844A1">
              <w:rPr>
                <w:i/>
                <w:sz w:val="20"/>
              </w:rPr>
              <w:t>Real-Time Price for the Energy Metered as Energy Storage Resource Load at bus</w:t>
            </w:r>
            <w:r w:rsidRPr="007844A1">
              <w:rPr>
                <w:sz w:val="20"/>
              </w:rPr>
              <w:sym w:font="Symbol" w:char="F0BE"/>
            </w:r>
            <w:r w:rsidRPr="007844A1">
              <w:rPr>
                <w:sz w:val="20"/>
              </w:rPr>
              <w:t xml:space="preserve">The Real-Time price for the Settlement Meter which measures ESR Load at Electrical Bus </w:t>
            </w:r>
            <w:r w:rsidRPr="007844A1">
              <w:rPr>
                <w:i/>
                <w:sz w:val="20"/>
              </w:rPr>
              <w:t>b</w:t>
            </w:r>
            <w:r w:rsidRPr="007844A1">
              <w:rPr>
                <w:sz w:val="20"/>
              </w:rPr>
              <w:t>, for the 15-minute Settlement Interval.</w:t>
            </w:r>
          </w:p>
        </w:tc>
      </w:tr>
      <w:tr w:rsidR="007844A1" w:rsidRPr="007844A1" w14:paraId="670D7465" w14:textId="77777777" w:rsidTr="0099759E">
        <w:trPr>
          <w:cantSplit/>
        </w:trPr>
        <w:tc>
          <w:tcPr>
            <w:tcW w:w="1145" w:type="pct"/>
          </w:tcPr>
          <w:p w14:paraId="15F8EF9F" w14:textId="77777777" w:rsidR="007844A1" w:rsidRPr="007844A1" w:rsidRDefault="007844A1" w:rsidP="007844A1">
            <w:pPr>
              <w:spacing w:after="60"/>
              <w:rPr>
                <w:sz w:val="20"/>
                <w:lang w:val="es-ES"/>
              </w:rPr>
            </w:pPr>
            <w:r w:rsidRPr="007844A1">
              <w:rPr>
                <w:sz w:val="20"/>
              </w:rPr>
              <w:t xml:space="preserve">BP </w:t>
            </w:r>
            <w:r w:rsidRPr="007844A1">
              <w:rPr>
                <w:i/>
                <w:sz w:val="20"/>
                <w:vertAlign w:val="subscript"/>
              </w:rPr>
              <w:t>r, y</w:t>
            </w:r>
          </w:p>
        </w:tc>
        <w:tc>
          <w:tcPr>
            <w:tcW w:w="676" w:type="pct"/>
          </w:tcPr>
          <w:p w14:paraId="0A0D6209" w14:textId="77777777" w:rsidR="007844A1" w:rsidRPr="007844A1" w:rsidRDefault="007844A1" w:rsidP="007844A1">
            <w:pPr>
              <w:spacing w:after="60"/>
              <w:rPr>
                <w:sz w:val="20"/>
              </w:rPr>
            </w:pPr>
            <w:r w:rsidRPr="007844A1">
              <w:rPr>
                <w:sz w:val="20"/>
              </w:rPr>
              <w:t>MW</w:t>
            </w:r>
          </w:p>
        </w:tc>
        <w:tc>
          <w:tcPr>
            <w:tcW w:w="3179" w:type="pct"/>
          </w:tcPr>
          <w:p w14:paraId="3E769A62" w14:textId="77777777" w:rsidR="007844A1" w:rsidRPr="007844A1" w:rsidRDefault="007844A1" w:rsidP="007844A1">
            <w:pPr>
              <w:spacing w:after="60"/>
              <w:rPr>
                <w:i/>
                <w:sz w:val="20"/>
              </w:rPr>
            </w:pPr>
            <w:r w:rsidRPr="007844A1">
              <w:rPr>
                <w:i/>
                <w:sz w:val="20"/>
              </w:rPr>
              <w:t>Base Point per Resource per interval</w:t>
            </w:r>
            <w:r w:rsidRPr="007844A1">
              <w:rPr>
                <w:sz w:val="20"/>
              </w:rPr>
              <w:t xml:space="preserve"> - The Base Point of Resource </w:t>
            </w:r>
            <w:r w:rsidRPr="007844A1">
              <w:rPr>
                <w:i/>
                <w:sz w:val="20"/>
              </w:rPr>
              <w:t>r</w:t>
            </w:r>
            <w:r w:rsidRPr="007844A1">
              <w:rPr>
                <w:sz w:val="20"/>
              </w:rPr>
              <w:t xml:space="preserve">, for the SCED interval </w:t>
            </w:r>
            <w:r w:rsidRPr="007844A1">
              <w:rPr>
                <w:i/>
                <w:sz w:val="20"/>
              </w:rPr>
              <w:t>y</w:t>
            </w:r>
            <w:r w:rsidRPr="007844A1">
              <w:rPr>
                <w:sz w:val="20"/>
              </w:rPr>
              <w:t xml:space="preserve">.  </w:t>
            </w:r>
          </w:p>
        </w:tc>
      </w:tr>
      <w:tr w:rsidR="007844A1" w:rsidRPr="007844A1" w14:paraId="7E917843" w14:textId="77777777" w:rsidTr="0099759E">
        <w:trPr>
          <w:cantSplit/>
        </w:trPr>
        <w:tc>
          <w:tcPr>
            <w:tcW w:w="1145" w:type="pct"/>
          </w:tcPr>
          <w:p w14:paraId="0A373BE2" w14:textId="77777777" w:rsidR="007844A1" w:rsidRPr="007844A1" w:rsidRDefault="007844A1" w:rsidP="007844A1">
            <w:pPr>
              <w:spacing w:after="60"/>
              <w:rPr>
                <w:i/>
                <w:sz w:val="20"/>
              </w:rPr>
            </w:pPr>
            <w:r w:rsidRPr="007844A1">
              <w:rPr>
                <w:i/>
                <w:sz w:val="20"/>
              </w:rPr>
              <w:t>q</w:t>
            </w:r>
          </w:p>
        </w:tc>
        <w:tc>
          <w:tcPr>
            <w:tcW w:w="676" w:type="pct"/>
          </w:tcPr>
          <w:p w14:paraId="040103E1" w14:textId="77777777" w:rsidR="007844A1" w:rsidRPr="007844A1" w:rsidRDefault="007844A1" w:rsidP="007844A1">
            <w:pPr>
              <w:spacing w:after="60"/>
              <w:rPr>
                <w:sz w:val="20"/>
              </w:rPr>
            </w:pPr>
            <w:r w:rsidRPr="007844A1">
              <w:rPr>
                <w:sz w:val="20"/>
              </w:rPr>
              <w:t>none</w:t>
            </w:r>
          </w:p>
        </w:tc>
        <w:tc>
          <w:tcPr>
            <w:tcW w:w="3179" w:type="pct"/>
          </w:tcPr>
          <w:p w14:paraId="35FE79C0" w14:textId="77777777" w:rsidR="007844A1" w:rsidRPr="007844A1" w:rsidRDefault="007844A1" w:rsidP="007844A1">
            <w:pPr>
              <w:spacing w:after="60"/>
              <w:rPr>
                <w:sz w:val="20"/>
              </w:rPr>
            </w:pPr>
            <w:r w:rsidRPr="007844A1">
              <w:rPr>
                <w:sz w:val="20"/>
              </w:rPr>
              <w:t>A QSE.</w:t>
            </w:r>
          </w:p>
        </w:tc>
      </w:tr>
      <w:tr w:rsidR="007844A1" w:rsidRPr="007844A1" w14:paraId="44D95D7F" w14:textId="77777777" w:rsidTr="0099759E">
        <w:trPr>
          <w:cantSplit/>
        </w:trPr>
        <w:tc>
          <w:tcPr>
            <w:tcW w:w="1145" w:type="pct"/>
          </w:tcPr>
          <w:p w14:paraId="2DBFA76A" w14:textId="77777777" w:rsidR="007844A1" w:rsidRPr="007844A1" w:rsidRDefault="007844A1" w:rsidP="007844A1">
            <w:pPr>
              <w:spacing w:after="60"/>
              <w:rPr>
                <w:i/>
                <w:sz w:val="20"/>
              </w:rPr>
            </w:pPr>
            <w:r w:rsidRPr="007844A1">
              <w:rPr>
                <w:i/>
                <w:sz w:val="20"/>
              </w:rPr>
              <w:t>gsc</w:t>
            </w:r>
          </w:p>
        </w:tc>
        <w:tc>
          <w:tcPr>
            <w:tcW w:w="676" w:type="pct"/>
          </w:tcPr>
          <w:p w14:paraId="2C8657C3" w14:textId="77777777" w:rsidR="007844A1" w:rsidRPr="007844A1" w:rsidRDefault="007844A1" w:rsidP="007844A1">
            <w:pPr>
              <w:spacing w:after="60"/>
              <w:rPr>
                <w:sz w:val="20"/>
              </w:rPr>
            </w:pPr>
            <w:r w:rsidRPr="007844A1">
              <w:rPr>
                <w:sz w:val="20"/>
              </w:rPr>
              <w:t>none</w:t>
            </w:r>
          </w:p>
        </w:tc>
        <w:tc>
          <w:tcPr>
            <w:tcW w:w="3179" w:type="pct"/>
          </w:tcPr>
          <w:p w14:paraId="38E1ADE8" w14:textId="77777777" w:rsidR="007844A1" w:rsidRPr="007844A1" w:rsidRDefault="007844A1" w:rsidP="007844A1">
            <w:pPr>
              <w:spacing w:after="60"/>
              <w:rPr>
                <w:sz w:val="20"/>
              </w:rPr>
            </w:pPr>
            <w:r w:rsidRPr="007844A1">
              <w:rPr>
                <w:sz w:val="20"/>
              </w:rPr>
              <w:t>A generation site code.</w:t>
            </w:r>
          </w:p>
        </w:tc>
      </w:tr>
      <w:tr w:rsidR="007844A1" w:rsidRPr="007844A1" w14:paraId="554C4FCF" w14:textId="77777777" w:rsidTr="0099759E">
        <w:trPr>
          <w:cantSplit/>
        </w:trPr>
        <w:tc>
          <w:tcPr>
            <w:tcW w:w="1145" w:type="pct"/>
          </w:tcPr>
          <w:p w14:paraId="61E49E29" w14:textId="77777777" w:rsidR="007844A1" w:rsidRPr="007844A1" w:rsidRDefault="007844A1" w:rsidP="007844A1">
            <w:pPr>
              <w:spacing w:after="60"/>
              <w:rPr>
                <w:i/>
                <w:sz w:val="20"/>
              </w:rPr>
            </w:pPr>
            <w:r w:rsidRPr="007844A1">
              <w:rPr>
                <w:i/>
                <w:sz w:val="20"/>
              </w:rPr>
              <w:t>r</w:t>
            </w:r>
          </w:p>
        </w:tc>
        <w:tc>
          <w:tcPr>
            <w:tcW w:w="676" w:type="pct"/>
          </w:tcPr>
          <w:p w14:paraId="1A94809C" w14:textId="77777777" w:rsidR="007844A1" w:rsidRPr="007844A1" w:rsidRDefault="007844A1" w:rsidP="007844A1">
            <w:pPr>
              <w:spacing w:after="60"/>
              <w:rPr>
                <w:sz w:val="20"/>
              </w:rPr>
            </w:pPr>
            <w:r w:rsidRPr="007844A1">
              <w:rPr>
                <w:sz w:val="20"/>
              </w:rPr>
              <w:t>none</w:t>
            </w:r>
          </w:p>
        </w:tc>
        <w:tc>
          <w:tcPr>
            <w:tcW w:w="3179" w:type="pct"/>
          </w:tcPr>
          <w:p w14:paraId="4E16A1DC" w14:textId="77777777" w:rsidR="007844A1" w:rsidRPr="007844A1" w:rsidRDefault="007844A1" w:rsidP="007844A1">
            <w:pPr>
              <w:spacing w:after="60"/>
              <w:rPr>
                <w:sz w:val="20"/>
              </w:rPr>
            </w:pPr>
            <w:r w:rsidRPr="007844A1">
              <w:rPr>
                <w:sz w:val="20"/>
              </w:rPr>
              <w:t xml:space="preserve">An ESR.  </w:t>
            </w:r>
          </w:p>
        </w:tc>
      </w:tr>
      <w:tr w:rsidR="007844A1" w:rsidRPr="007844A1" w14:paraId="55FFB7EF" w14:textId="77777777" w:rsidTr="0099759E">
        <w:trPr>
          <w:cantSplit/>
        </w:trPr>
        <w:tc>
          <w:tcPr>
            <w:tcW w:w="1145" w:type="pct"/>
          </w:tcPr>
          <w:p w14:paraId="6B9E9EB3" w14:textId="77777777" w:rsidR="007844A1" w:rsidRPr="007844A1" w:rsidRDefault="007844A1" w:rsidP="007844A1">
            <w:pPr>
              <w:spacing w:after="60"/>
              <w:rPr>
                <w:i/>
                <w:sz w:val="20"/>
              </w:rPr>
            </w:pPr>
            <w:r w:rsidRPr="007844A1">
              <w:rPr>
                <w:i/>
                <w:sz w:val="20"/>
              </w:rPr>
              <w:t>p</w:t>
            </w:r>
          </w:p>
        </w:tc>
        <w:tc>
          <w:tcPr>
            <w:tcW w:w="676" w:type="pct"/>
          </w:tcPr>
          <w:p w14:paraId="3F3B2573" w14:textId="77777777" w:rsidR="007844A1" w:rsidRPr="007844A1" w:rsidRDefault="007844A1" w:rsidP="007844A1">
            <w:pPr>
              <w:spacing w:after="60"/>
              <w:rPr>
                <w:sz w:val="20"/>
              </w:rPr>
            </w:pPr>
            <w:r w:rsidRPr="007844A1">
              <w:rPr>
                <w:sz w:val="20"/>
              </w:rPr>
              <w:t>none</w:t>
            </w:r>
          </w:p>
        </w:tc>
        <w:tc>
          <w:tcPr>
            <w:tcW w:w="3179" w:type="pct"/>
          </w:tcPr>
          <w:p w14:paraId="5B188052" w14:textId="77777777" w:rsidR="007844A1" w:rsidRPr="007844A1" w:rsidRDefault="007844A1" w:rsidP="007844A1">
            <w:pPr>
              <w:spacing w:after="60"/>
              <w:rPr>
                <w:sz w:val="20"/>
              </w:rPr>
            </w:pPr>
            <w:r w:rsidRPr="007844A1">
              <w:rPr>
                <w:sz w:val="20"/>
              </w:rPr>
              <w:t>A Resource Node Settlement Point.</w:t>
            </w:r>
          </w:p>
        </w:tc>
      </w:tr>
      <w:tr w:rsidR="007844A1" w:rsidRPr="007844A1" w14:paraId="11C2A924" w14:textId="77777777" w:rsidTr="0099759E">
        <w:trPr>
          <w:cantSplit/>
        </w:trPr>
        <w:tc>
          <w:tcPr>
            <w:tcW w:w="1145" w:type="pct"/>
          </w:tcPr>
          <w:p w14:paraId="4E40261D" w14:textId="77777777" w:rsidR="007844A1" w:rsidRPr="007844A1" w:rsidRDefault="007844A1" w:rsidP="007844A1">
            <w:pPr>
              <w:spacing w:after="60"/>
              <w:rPr>
                <w:i/>
                <w:sz w:val="20"/>
              </w:rPr>
            </w:pPr>
            <w:r w:rsidRPr="007844A1">
              <w:rPr>
                <w:i/>
                <w:sz w:val="20"/>
              </w:rPr>
              <w:lastRenderedPageBreak/>
              <w:t>y</w:t>
            </w:r>
          </w:p>
        </w:tc>
        <w:tc>
          <w:tcPr>
            <w:tcW w:w="676" w:type="pct"/>
          </w:tcPr>
          <w:p w14:paraId="0E02FBA8" w14:textId="77777777" w:rsidR="007844A1" w:rsidRPr="007844A1" w:rsidRDefault="007844A1" w:rsidP="007844A1">
            <w:pPr>
              <w:spacing w:after="60"/>
              <w:rPr>
                <w:sz w:val="20"/>
              </w:rPr>
            </w:pPr>
            <w:r w:rsidRPr="007844A1">
              <w:rPr>
                <w:sz w:val="20"/>
              </w:rPr>
              <w:t>none</w:t>
            </w:r>
          </w:p>
        </w:tc>
        <w:tc>
          <w:tcPr>
            <w:tcW w:w="3179" w:type="pct"/>
          </w:tcPr>
          <w:p w14:paraId="237D1CB2" w14:textId="77777777" w:rsidR="007844A1" w:rsidRPr="007844A1" w:rsidRDefault="007844A1" w:rsidP="007844A1">
            <w:pPr>
              <w:spacing w:after="60"/>
              <w:rPr>
                <w:sz w:val="20"/>
              </w:rPr>
            </w:pPr>
            <w:r w:rsidRPr="007844A1">
              <w:rPr>
                <w:sz w:val="20"/>
              </w:rPr>
              <w:t>A SCED interval in the 15-minute Settlement Interval.  The summation is over the total number of SCED runs that cover the 15-minute Settlement Interval.</w:t>
            </w:r>
          </w:p>
        </w:tc>
      </w:tr>
      <w:tr w:rsidR="007844A1" w:rsidRPr="007844A1" w14:paraId="6230C7E3" w14:textId="77777777" w:rsidTr="0099759E">
        <w:trPr>
          <w:cantSplit/>
        </w:trPr>
        <w:tc>
          <w:tcPr>
            <w:tcW w:w="1145" w:type="pct"/>
          </w:tcPr>
          <w:p w14:paraId="73DF80B3" w14:textId="77777777" w:rsidR="007844A1" w:rsidRPr="007844A1" w:rsidRDefault="007844A1" w:rsidP="007844A1">
            <w:pPr>
              <w:spacing w:after="60"/>
              <w:rPr>
                <w:i/>
                <w:sz w:val="20"/>
              </w:rPr>
            </w:pPr>
            <w:r w:rsidRPr="007844A1">
              <w:rPr>
                <w:i/>
                <w:sz w:val="20"/>
              </w:rPr>
              <w:t>b</w:t>
            </w:r>
          </w:p>
        </w:tc>
        <w:tc>
          <w:tcPr>
            <w:tcW w:w="676" w:type="pct"/>
          </w:tcPr>
          <w:p w14:paraId="60593CD3" w14:textId="77777777" w:rsidR="007844A1" w:rsidRPr="007844A1" w:rsidRDefault="007844A1" w:rsidP="007844A1">
            <w:pPr>
              <w:spacing w:after="60"/>
              <w:rPr>
                <w:sz w:val="20"/>
              </w:rPr>
            </w:pPr>
            <w:r w:rsidRPr="007844A1">
              <w:rPr>
                <w:sz w:val="20"/>
              </w:rPr>
              <w:t>none</w:t>
            </w:r>
          </w:p>
        </w:tc>
        <w:tc>
          <w:tcPr>
            <w:tcW w:w="3179" w:type="pct"/>
          </w:tcPr>
          <w:p w14:paraId="5A7F56C6" w14:textId="77777777" w:rsidR="007844A1" w:rsidRPr="007844A1" w:rsidRDefault="007844A1" w:rsidP="007844A1">
            <w:pPr>
              <w:spacing w:after="60"/>
              <w:rPr>
                <w:sz w:val="20"/>
              </w:rPr>
            </w:pPr>
            <w:r w:rsidRPr="007844A1">
              <w:rPr>
                <w:sz w:val="20"/>
              </w:rPr>
              <w:t>An Electrical Bus.</w:t>
            </w:r>
          </w:p>
        </w:tc>
      </w:tr>
      <w:bookmarkEnd w:id="1573"/>
    </w:tbl>
    <w:p w14:paraId="6458BC5B" w14:textId="77777777" w:rsidR="00806724" w:rsidRPr="0013396E" w:rsidRDefault="0080672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ayout w:type="fixed"/>
        <w:tblCellMar>
          <w:top w:w="144" w:type="dxa"/>
          <w:left w:w="115" w:type="dxa"/>
          <w:right w:w="115" w:type="dxa"/>
        </w:tblCellMar>
        <w:tblLook w:val="01E0" w:firstRow="1" w:lastRow="1" w:firstColumn="1" w:lastColumn="1" w:noHBand="0" w:noVBand="0"/>
      </w:tblPr>
      <w:tblGrid>
        <w:gridCol w:w="9350"/>
      </w:tblGrid>
      <w:tr w:rsidR="00423D31" w:rsidRPr="0013396E" w14:paraId="4C364206" w14:textId="77777777" w:rsidTr="00806724">
        <w:trPr>
          <w:trHeight w:val="206"/>
        </w:trPr>
        <w:tc>
          <w:tcPr>
            <w:tcW w:w="5000" w:type="pct"/>
            <w:shd w:val="pct12" w:color="auto" w:fill="auto"/>
          </w:tcPr>
          <w:p w14:paraId="43045223" w14:textId="2540BE83" w:rsidR="00423D31" w:rsidRPr="0013396E" w:rsidRDefault="00423D31" w:rsidP="009E7262">
            <w:pPr>
              <w:pStyle w:val="Instructions"/>
              <w:spacing w:before="120"/>
            </w:pPr>
            <w:r w:rsidRPr="0013396E">
              <w:t>[</w:t>
            </w:r>
            <w:r w:rsidR="006C5B5E" w:rsidRPr="0013396E">
              <w:t>NPRR1188</w:t>
            </w:r>
            <w:r w:rsidRPr="0013396E">
              <w:t>:  Replace paragraph (3) above with the following upon system implementation:]</w:t>
            </w:r>
          </w:p>
          <w:p w14:paraId="78734BB8" w14:textId="13850EBE" w:rsidR="00423D31" w:rsidRPr="0013396E" w:rsidRDefault="00423D31" w:rsidP="00423D31">
            <w:pPr>
              <w:spacing w:before="240" w:after="240"/>
              <w:ind w:left="720" w:hanging="720"/>
              <w:rPr>
                <w:b/>
                <w:i/>
                <w:iCs/>
              </w:rPr>
            </w:pPr>
            <w:r w:rsidRPr="0013396E">
              <w:t>(3)</w:t>
            </w:r>
            <w:r w:rsidRPr="0013396E">
              <w:tab/>
              <w:t xml:space="preserve">For a facility with Settlement Meters that measure </w:t>
            </w:r>
            <w:r w:rsidR="006C5B5E" w:rsidRPr="0013396E">
              <w:t xml:space="preserve">CLR (that is not an ALR) or </w:t>
            </w:r>
            <w:r w:rsidRPr="0013396E">
              <w:t>ESR Load, t</w:t>
            </w:r>
            <w:r w:rsidRPr="0013396E">
              <w:rPr>
                <w:iCs/>
              </w:rPr>
              <w:t xml:space="preserve">he total payment or charge </w:t>
            </w:r>
            <w:r w:rsidRPr="0013396E">
              <w:t xml:space="preserve">for </w:t>
            </w:r>
            <w:r w:rsidR="006C5B5E" w:rsidRPr="0013396E">
              <w:t xml:space="preserve">CLR (that is not an ALR) or </w:t>
            </w:r>
            <w:r w:rsidRPr="0013396E">
              <w:t xml:space="preserve">ESR Load is </w:t>
            </w:r>
            <w:r w:rsidRPr="0013396E">
              <w:rPr>
                <w:iCs/>
              </w:rPr>
              <w:t xml:space="preserve">calculated for a QSE, </w:t>
            </w:r>
            <w:r w:rsidR="006C5B5E" w:rsidRPr="0013396E">
              <w:t>CLR (that is not an ALR) or</w:t>
            </w:r>
            <w:r w:rsidR="006C5B5E" w:rsidRPr="0013396E">
              <w:rPr>
                <w:iCs/>
              </w:rPr>
              <w:t xml:space="preserve"> </w:t>
            </w:r>
            <w:r w:rsidRPr="0013396E">
              <w:rPr>
                <w:iCs/>
              </w:rPr>
              <w:t>ESR, and Settlement Point for each 15-minute Settlement Interval.</w:t>
            </w:r>
          </w:p>
          <w:p w14:paraId="7A2CBE1D" w14:textId="77777777" w:rsidR="00423D31" w:rsidRPr="0013396E" w:rsidRDefault="00423D31" w:rsidP="00423D31">
            <w:pPr>
              <w:spacing w:after="240"/>
              <w:ind w:left="720"/>
              <w:rPr>
                <w:iCs/>
              </w:rPr>
            </w:pPr>
            <w:r w:rsidRPr="0013396E">
              <w:rPr>
                <w:iCs/>
              </w:rPr>
              <w:t xml:space="preserve">The WSL is settled as follows: </w:t>
            </w:r>
          </w:p>
          <w:p w14:paraId="21864A82" w14:textId="77777777" w:rsidR="00423D31" w:rsidRPr="0013396E" w:rsidRDefault="00423D31" w:rsidP="00423D31">
            <w:pPr>
              <w:tabs>
                <w:tab w:val="left" w:pos="2340"/>
                <w:tab w:val="left" w:pos="2880"/>
              </w:tabs>
              <w:spacing w:after="240"/>
              <w:ind w:left="2880" w:hanging="2160"/>
              <w:rPr>
                <w:b/>
                <w:bCs/>
              </w:rPr>
            </w:pPr>
            <w:r w:rsidRPr="0013396E">
              <w:rPr>
                <w:b/>
                <w:bCs/>
              </w:rPr>
              <w:t xml:space="preserve">WSLAMTTOT </w:t>
            </w:r>
            <w:r w:rsidRPr="0013396E">
              <w:rPr>
                <w:b/>
                <w:bCs/>
                <w:i/>
                <w:vertAlign w:val="subscript"/>
              </w:rPr>
              <w:t>q, r, p</w:t>
            </w:r>
            <w:r w:rsidRPr="0013396E">
              <w:rPr>
                <w:b/>
                <w:bCs/>
                <w:i/>
                <w:iCs/>
                <w:vertAlign w:val="subscript"/>
                <w:lang w:val="es-ES"/>
              </w:rPr>
              <w:tab/>
            </w:r>
            <w:r w:rsidRPr="0013396E">
              <w:rPr>
                <w:b/>
                <w:bCs/>
                <w:lang w:val="es-ES"/>
              </w:rPr>
              <w:t xml:space="preserve">= </w:t>
            </w:r>
            <w:r w:rsidRPr="0013396E">
              <w:rPr>
                <w:position w:val="-20"/>
              </w:rPr>
              <w:object w:dxaOrig="225" w:dyaOrig="435" w14:anchorId="54664DCD">
                <v:shape id="_x0000_i1111" type="#_x0000_t75" style="width:12pt;height:18pt" o:ole="">
                  <v:imagedata r:id="rId126" o:title=""/>
                </v:shape>
                <o:OLEObject Type="Embed" ProgID="Equation.3" ShapeID="_x0000_i1111" DrawAspect="Content" ObjectID="_1836311390" r:id="rId127"/>
              </w:object>
            </w:r>
            <w:r w:rsidRPr="0013396E">
              <w:rPr>
                <w:b/>
                <w:bCs/>
              </w:rPr>
              <w:t xml:space="preserve"> (RTRMPRESR</w:t>
            </w:r>
            <w:r w:rsidRPr="0013396E">
              <w:rPr>
                <w:b/>
                <w:bCs/>
                <w:i/>
                <w:vertAlign w:val="subscript"/>
              </w:rPr>
              <w:t xml:space="preserve"> b </w:t>
            </w:r>
            <w:r w:rsidRPr="0013396E">
              <w:rPr>
                <w:b/>
                <w:bCs/>
              </w:rPr>
              <w:t>* MEBL</w:t>
            </w:r>
            <w:r w:rsidRPr="0013396E">
              <w:rPr>
                <w:bCs/>
              </w:rPr>
              <w:t xml:space="preserve"> </w:t>
            </w:r>
            <w:r w:rsidRPr="0013396E">
              <w:rPr>
                <w:b/>
                <w:bCs/>
                <w:i/>
                <w:vertAlign w:val="subscript"/>
              </w:rPr>
              <w:t>q, r, b</w:t>
            </w:r>
            <w:r w:rsidRPr="0013396E">
              <w:rPr>
                <w:b/>
                <w:bCs/>
              </w:rPr>
              <w:t>)</w:t>
            </w:r>
          </w:p>
          <w:p w14:paraId="37E52D53" w14:textId="5E0303CC" w:rsidR="00423D31" w:rsidRPr="0013396E" w:rsidRDefault="00423D31" w:rsidP="00423D31">
            <w:pPr>
              <w:spacing w:after="240"/>
              <w:ind w:left="720"/>
              <w:rPr>
                <w:iCs/>
              </w:rPr>
            </w:pPr>
            <w:r w:rsidRPr="0013396E">
              <w:rPr>
                <w:iCs/>
              </w:rPr>
              <w:t xml:space="preserve">The </w:t>
            </w:r>
            <w:r w:rsidR="00674579" w:rsidRPr="0013396E">
              <w:t>Non-WSL ESR Charging Load</w:t>
            </w:r>
            <w:r w:rsidRPr="0013396E">
              <w:rPr>
                <w:iCs/>
              </w:rPr>
              <w:t xml:space="preserve"> is settled as follows: </w:t>
            </w:r>
          </w:p>
          <w:p w14:paraId="6E08A9A8" w14:textId="77777777" w:rsidR="00423D31" w:rsidRPr="0013396E" w:rsidRDefault="00423D31" w:rsidP="00423D31">
            <w:pPr>
              <w:tabs>
                <w:tab w:val="left" w:pos="2340"/>
                <w:tab w:val="left" w:pos="2880"/>
              </w:tabs>
              <w:spacing w:after="240"/>
              <w:ind w:left="2880" w:hanging="2160"/>
              <w:rPr>
                <w:b/>
                <w:bCs/>
              </w:rPr>
            </w:pPr>
            <w:r w:rsidRPr="0013396E">
              <w:rPr>
                <w:b/>
                <w:bCs/>
              </w:rPr>
              <w:t xml:space="preserve">ESRNWSLAMTTOT </w:t>
            </w:r>
            <w:r w:rsidRPr="0013396E">
              <w:rPr>
                <w:b/>
                <w:bCs/>
                <w:i/>
                <w:vertAlign w:val="subscript"/>
              </w:rPr>
              <w:t>q, r, p</w:t>
            </w:r>
            <w:r w:rsidRPr="0013396E">
              <w:rPr>
                <w:b/>
                <w:bCs/>
                <w:i/>
                <w:iCs/>
                <w:vertAlign w:val="subscript"/>
                <w:lang w:val="es-ES"/>
              </w:rPr>
              <w:tab/>
            </w:r>
            <w:r w:rsidRPr="0013396E">
              <w:rPr>
                <w:b/>
                <w:bCs/>
                <w:lang w:val="es-ES"/>
              </w:rPr>
              <w:t xml:space="preserve">= </w:t>
            </w:r>
            <w:r w:rsidRPr="0013396E">
              <w:rPr>
                <w:position w:val="-20"/>
              </w:rPr>
              <w:object w:dxaOrig="225" w:dyaOrig="435" w14:anchorId="73C39FD7">
                <v:shape id="_x0000_i1112" type="#_x0000_t75" style="width:12pt;height:18pt" o:ole="">
                  <v:imagedata r:id="rId126" o:title=""/>
                </v:shape>
                <o:OLEObject Type="Embed" ProgID="Equation.3" ShapeID="_x0000_i1112" DrawAspect="Content" ObjectID="_1836311391" r:id="rId128"/>
              </w:object>
            </w:r>
            <w:r w:rsidRPr="0013396E">
              <w:rPr>
                <w:b/>
                <w:bCs/>
              </w:rPr>
              <w:t xml:space="preserve"> (RTRMPRESR</w:t>
            </w:r>
            <w:r w:rsidRPr="0013396E">
              <w:rPr>
                <w:b/>
                <w:bCs/>
                <w:i/>
                <w:vertAlign w:val="subscript"/>
              </w:rPr>
              <w:t xml:space="preserve"> b </w:t>
            </w:r>
            <w:r w:rsidRPr="0013396E">
              <w:rPr>
                <w:b/>
                <w:bCs/>
              </w:rPr>
              <w:t>* MEBR</w:t>
            </w:r>
            <w:r w:rsidRPr="0013396E">
              <w:rPr>
                <w:bCs/>
              </w:rPr>
              <w:t xml:space="preserve"> </w:t>
            </w:r>
            <w:r w:rsidRPr="0013396E">
              <w:rPr>
                <w:b/>
                <w:bCs/>
                <w:i/>
                <w:vertAlign w:val="subscript"/>
              </w:rPr>
              <w:t>q, r, b</w:t>
            </w:r>
            <w:r w:rsidRPr="0013396E">
              <w:rPr>
                <w:b/>
                <w:bCs/>
              </w:rPr>
              <w:t>)</w:t>
            </w:r>
          </w:p>
          <w:p w14:paraId="72B99C02" w14:textId="77777777" w:rsidR="006C5B5E" w:rsidRPr="0013396E" w:rsidRDefault="006C5B5E" w:rsidP="006C5B5E">
            <w:pPr>
              <w:tabs>
                <w:tab w:val="left" w:pos="2340"/>
                <w:tab w:val="left" w:pos="2880"/>
              </w:tabs>
              <w:spacing w:after="240"/>
              <w:ind w:left="2880" w:hanging="2160"/>
              <w:rPr>
                <w:b/>
                <w:bCs/>
              </w:rPr>
            </w:pPr>
            <w:r w:rsidRPr="0013396E">
              <w:rPr>
                <w:b/>
                <w:bCs/>
              </w:rPr>
              <w:t xml:space="preserve">Where: </w:t>
            </w:r>
          </w:p>
          <w:p w14:paraId="55A2DF87" w14:textId="0C5E312D" w:rsidR="006C5B5E" w:rsidRPr="0013396E" w:rsidRDefault="006C5B5E" w:rsidP="006C5B5E">
            <w:pPr>
              <w:tabs>
                <w:tab w:val="left" w:pos="1230"/>
                <w:tab w:val="left" w:pos="2340"/>
              </w:tabs>
              <w:spacing w:before="240" w:after="240"/>
              <w:ind w:left="3600" w:hanging="2430"/>
            </w:pPr>
            <w:r w:rsidRPr="0013396E">
              <w:t>MEBR</w:t>
            </w:r>
            <w:r w:rsidRPr="0013396E">
              <w:rPr>
                <w:vertAlign w:val="subscript"/>
              </w:rPr>
              <w:t xml:space="preserve"> </w:t>
            </w:r>
            <w:r w:rsidRPr="0013396E">
              <w:rPr>
                <w:i/>
                <w:iCs/>
                <w:vertAlign w:val="subscript"/>
              </w:rPr>
              <w:t>q, r, b</w:t>
            </w:r>
            <w:r w:rsidRPr="0013396E">
              <w:tab/>
              <w:t>=</w:t>
            </w:r>
            <w:r w:rsidRPr="0013396E">
              <w:tab/>
              <w:t>MEBRFG</w:t>
            </w:r>
            <w:r w:rsidRPr="0013396E">
              <w:rPr>
                <w:vertAlign w:val="subscript"/>
              </w:rPr>
              <w:t xml:space="preserve"> </w:t>
            </w:r>
            <w:r w:rsidRPr="0013396E">
              <w:rPr>
                <w:i/>
                <w:iCs/>
                <w:vertAlign w:val="subscript"/>
              </w:rPr>
              <w:t>q, r, b</w:t>
            </w:r>
            <w:r w:rsidRPr="0013396E">
              <w:t xml:space="preserve"> + MEBRSG</w:t>
            </w:r>
            <w:r w:rsidRPr="0013396E">
              <w:rPr>
                <w:vertAlign w:val="subscript"/>
              </w:rPr>
              <w:t xml:space="preserve"> </w:t>
            </w:r>
            <w:r w:rsidRPr="0013396E">
              <w:rPr>
                <w:i/>
                <w:iCs/>
                <w:vertAlign w:val="subscript"/>
              </w:rPr>
              <w:t>q, r, b</w:t>
            </w:r>
            <w:r w:rsidRPr="0013396E">
              <w:rPr>
                <w:vertAlign w:val="subscript"/>
              </w:rPr>
              <w:t xml:space="preserve"> </w:t>
            </w:r>
            <w:r w:rsidRPr="0013396E">
              <w:t xml:space="preserve"> </w:t>
            </w:r>
          </w:p>
          <w:p w14:paraId="64661FF9" w14:textId="77777777" w:rsidR="006C5B5E" w:rsidRPr="0013396E" w:rsidRDefault="006C5B5E" w:rsidP="004116AE">
            <w:pPr>
              <w:tabs>
                <w:tab w:val="left" w:pos="1230"/>
                <w:tab w:val="left" w:pos="2340"/>
              </w:tabs>
              <w:spacing w:before="240" w:after="240"/>
              <w:ind w:left="720"/>
            </w:pPr>
            <w:r w:rsidRPr="0013396E">
              <w:t>The total Non-WSL ESR Charging Load is included in the Real-Time Adjusted Meter Load (AML) per QSE.</w:t>
            </w:r>
          </w:p>
          <w:p w14:paraId="5D61906F" w14:textId="77777777" w:rsidR="00423D31" w:rsidRPr="0013396E" w:rsidRDefault="00423D31" w:rsidP="00423D31">
            <w:pPr>
              <w:tabs>
                <w:tab w:val="left" w:pos="2340"/>
                <w:tab w:val="left" w:pos="3420"/>
              </w:tabs>
              <w:spacing w:after="240"/>
              <w:ind w:left="3420" w:hanging="2700"/>
              <w:rPr>
                <w:b/>
                <w:bCs/>
              </w:rPr>
            </w:pPr>
            <w:r w:rsidRPr="0013396E">
              <w:rPr>
                <w:bCs/>
              </w:rPr>
              <w:t>Where</w:t>
            </w:r>
            <w:r w:rsidRPr="0013396E">
              <w:rPr>
                <w:bCs/>
                <w:iCs/>
              </w:rPr>
              <w:t xml:space="preserve"> the price for Settlement Meter is determined as follows:</w:t>
            </w:r>
          </w:p>
          <w:p w14:paraId="02EEDCA7" w14:textId="32F48FDF" w:rsidR="00423D31" w:rsidRPr="0013396E" w:rsidRDefault="00423D31" w:rsidP="00423D31">
            <w:pPr>
              <w:spacing w:after="240"/>
              <w:ind w:left="2880" w:hanging="2160"/>
              <w:rPr>
                <w:b/>
                <w:lang w:val="es-ES"/>
              </w:rPr>
            </w:pPr>
            <w:r w:rsidRPr="0013396E">
              <w:rPr>
                <w:b/>
                <w:lang w:val="es-ES"/>
              </w:rPr>
              <w:t>RTRMPRESR</w:t>
            </w:r>
            <w:r w:rsidRPr="0013396E">
              <w:rPr>
                <w:b/>
                <w:i/>
                <w:iCs/>
                <w:vertAlign w:val="subscript"/>
                <w:lang w:val="es-ES"/>
              </w:rPr>
              <w:t xml:space="preserve"> b</w:t>
            </w:r>
            <w:r w:rsidRPr="0013396E">
              <w:rPr>
                <w:b/>
                <w:lang w:val="es-ES"/>
              </w:rPr>
              <w:t xml:space="preserve"> </w:t>
            </w:r>
            <w:r w:rsidRPr="0013396E">
              <w:rPr>
                <w:b/>
                <w:lang w:val="es-ES"/>
              </w:rPr>
              <w:tab/>
              <w:t xml:space="preserve">= </w:t>
            </w:r>
            <w:r w:rsidRPr="0013396E">
              <w:rPr>
                <w:b/>
              </w:rPr>
              <w:t>Max [-$251, (</w:t>
            </w:r>
            <w:r w:rsidRPr="0013396E">
              <w:rPr>
                <w:rFonts w:ascii="Times New Roman Bold" w:hAnsi="Times New Roman Bold"/>
                <w:b/>
                <w:noProof/>
                <w:position w:val="-18"/>
              </w:rPr>
              <w:drawing>
                <wp:inline distT="0" distB="0" distL="0" distR="0" wp14:anchorId="2F3DC2CF" wp14:editId="6F674927">
                  <wp:extent cx="142875" cy="294005"/>
                  <wp:effectExtent l="0" t="0" r="9525" b="0"/>
                  <wp:docPr id="2089" name="Picture 46" descr="image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image010"/>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bwMode="auto">
                          <a:xfrm>
                            <a:off x="0" y="0"/>
                            <a:ext cx="142875" cy="294005"/>
                          </a:xfrm>
                          <a:prstGeom prst="rect">
                            <a:avLst/>
                          </a:prstGeom>
                          <a:noFill/>
                          <a:ln>
                            <a:noFill/>
                          </a:ln>
                        </pic:spPr>
                      </pic:pic>
                    </a:graphicData>
                  </a:graphic>
                </wp:inline>
              </w:drawing>
            </w:r>
            <w:r w:rsidRPr="0013396E">
              <w:rPr>
                <w:b/>
                <w:lang w:val="es-ES"/>
              </w:rPr>
              <w:t xml:space="preserve">(RNWFL </w:t>
            </w:r>
            <w:r w:rsidRPr="0013396E">
              <w:rPr>
                <w:b/>
                <w:i/>
                <w:iCs/>
                <w:vertAlign w:val="subscript"/>
                <w:lang w:val="es-ES"/>
              </w:rPr>
              <w:t xml:space="preserve">b, y </w:t>
            </w:r>
            <w:r w:rsidRPr="0013396E">
              <w:rPr>
                <w:b/>
                <w:lang w:val="es-ES"/>
              </w:rPr>
              <w:t xml:space="preserve">* RTLMP </w:t>
            </w:r>
            <w:r w:rsidRPr="0013396E">
              <w:rPr>
                <w:b/>
                <w:i/>
                <w:vertAlign w:val="subscript"/>
                <w:lang w:val="es-ES"/>
              </w:rPr>
              <w:t>b</w:t>
            </w:r>
            <w:r w:rsidRPr="0013396E">
              <w:rPr>
                <w:b/>
                <w:i/>
                <w:iCs/>
                <w:vertAlign w:val="subscript"/>
                <w:lang w:val="es-ES"/>
              </w:rPr>
              <w:t>, y</w:t>
            </w:r>
            <w:r w:rsidRPr="0013396E">
              <w:rPr>
                <w:b/>
                <w:lang w:val="es-ES"/>
              </w:rPr>
              <w:t>)</w:t>
            </w:r>
            <w:r w:rsidRPr="0013396E">
              <w:rPr>
                <w:b/>
              </w:rPr>
              <w:t xml:space="preserve"> + RTRDP)]</w:t>
            </w:r>
          </w:p>
          <w:p w14:paraId="5AAB63E3" w14:textId="77777777" w:rsidR="006C5B5E" w:rsidRPr="0013396E" w:rsidRDefault="006C5B5E" w:rsidP="006C5B5E">
            <w:pPr>
              <w:spacing w:after="240"/>
              <w:ind w:left="720"/>
              <w:rPr>
                <w:iCs/>
              </w:rPr>
            </w:pPr>
            <w:r w:rsidRPr="0013396E">
              <w:rPr>
                <w:iCs/>
              </w:rPr>
              <w:t xml:space="preserve">The </w:t>
            </w:r>
            <w:r w:rsidRPr="0013396E">
              <w:t>CLR Load</w:t>
            </w:r>
            <w:r w:rsidRPr="0013396E">
              <w:rPr>
                <w:iCs/>
              </w:rPr>
              <w:t xml:space="preserve"> is settled as follows: </w:t>
            </w:r>
          </w:p>
          <w:p w14:paraId="7C23F49F" w14:textId="77777777" w:rsidR="006C5B5E" w:rsidRPr="0013396E" w:rsidRDefault="006C5B5E" w:rsidP="006C5B5E">
            <w:pPr>
              <w:tabs>
                <w:tab w:val="left" w:pos="2340"/>
                <w:tab w:val="left" w:pos="2880"/>
              </w:tabs>
              <w:spacing w:after="240"/>
              <w:ind w:left="2880" w:hanging="2160"/>
              <w:rPr>
                <w:b/>
                <w:bCs/>
              </w:rPr>
            </w:pPr>
            <w:r w:rsidRPr="0013396E">
              <w:rPr>
                <w:b/>
                <w:bCs/>
              </w:rPr>
              <w:t xml:space="preserve">CLRAMTTOT </w:t>
            </w:r>
            <w:r w:rsidRPr="0013396E">
              <w:rPr>
                <w:b/>
                <w:bCs/>
                <w:i/>
                <w:vertAlign w:val="subscript"/>
              </w:rPr>
              <w:t>q, r, p</w:t>
            </w:r>
            <w:r w:rsidRPr="0013396E">
              <w:rPr>
                <w:b/>
                <w:bCs/>
                <w:i/>
                <w:iCs/>
                <w:vertAlign w:val="subscript"/>
                <w:lang w:val="es-ES"/>
              </w:rPr>
              <w:tab/>
            </w:r>
            <w:r w:rsidRPr="0013396E">
              <w:rPr>
                <w:b/>
                <w:bCs/>
                <w:lang w:val="es-ES"/>
              </w:rPr>
              <w:t xml:space="preserve">= </w:t>
            </w:r>
            <w:r w:rsidRPr="0013396E">
              <w:rPr>
                <w:noProof/>
                <w:position w:val="-20"/>
              </w:rPr>
              <w:drawing>
                <wp:inline distT="0" distB="0" distL="0" distR="0" wp14:anchorId="3696D135" wp14:editId="52E4B911">
                  <wp:extent cx="180975" cy="259080"/>
                  <wp:effectExtent l="0" t="0" r="0" b="0"/>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122" cstate="print">
                            <a:extLst>
                              <a:ext uri="{28A0092B-C50C-407E-A947-70E740481C1C}">
                                <a14:useLocalDpi xmlns:a14="http://schemas.microsoft.com/office/drawing/2010/main" val="0"/>
                              </a:ext>
                            </a:extLst>
                          </a:blip>
                          <a:srcRect/>
                          <a:stretch>
                            <a:fillRect/>
                          </a:stretch>
                        </pic:blipFill>
                        <pic:spPr bwMode="auto">
                          <a:xfrm>
                            <a:off x="0" y="0"/>
                            <a:ext cx="180975" cy="259080"/>
                          </a:xfrm>
                          <a:prstGeom prst="rect">
                            <a:avLst/>
                          </a:prstGeom>
                          <a:noFill/>
                          <a:ln>
                            <a:noFill/>
                          </a:ln>
                        </pic:spPr>
                      </pic:pic>
                    </a:graphicData>
                  </a:graphic>
                </wp:inline>
              </w:drawing>
            </w:r>
            <w:r w:rsidRPr="0013396E">
              <w:rPr>
                <w:b/>
                <w:bCs/>
              </w:rPr>
              <w:t xml:space="preserve"> (RTRMPRCLR</w:t>
            </w:r>
            <w:r w:rsidRPr="0013396E">
              <w:rPr>
                <w:b/>
                <w:bCs/>
                <w:i/>
                <w:vertAlign w:val="subscript"/>
              </w:rPr>
              <w:t xml:space="preserve"> b </w:t>
            </w:r>
            <w:r w:rsidRPr="0013396E">
              <w:rPr>
                <w:b/>
                <w:bCs/>
              </w:rPr>
              <w:t>* MEBCL</w:t>
            </w:r>
            <w:r w:rsidRPr="0013396E">
              <w:rPr>
                <w:bCs/>
              </w:rPr>
              <w:t xml:space="preserve"> </w:t>
            </w:r>
            <w:r w:rsidRPr="0013396E">
              <w:rPr>
                <w:b/>
                <w:bCs/>
                <w:i/>
                <w:vertAlign w:val="subscript"/>
              </w:rPr>
              <w:t>q, r, b</w:t>
            </w:r>
            <w:r w:rsidRPr="0013396E">
              <w:rPr>
                <w:b/>
                <w:bCs/>
              </w:rPr>
              <w:t>)</w:t>
            </w:r>
          </w:p>
          <w:p w14:paraId="0A6C6CF4" w14:textId="77777777" w:rsidR="006C5B5E" w:rsidRPr="0013396E" w:rsidRDefault="006C5B5E" w:rsidP="006C5B5E">
            <w:pPr>
              <w:tabs>
                <w:tab w:val="left" w:pos="2340"/>
                <w:tab w:val="left" w:pos="2880"/>
              </w:tabs>
              <w:spacing w:after="240"/>
              <w:ind w:left="2880" w:hanging="2160"/>
              <w:rPr>
                <w:b/>
                <w:bCs/>
              </w:rPr>
            </w:pPr>
            <w:r w:rsidRPr="0013396E">
              <w:rPr>
                <w:b/>
                <w:bCs/>
              </w:rPr>
              <w:t xml:space="preserve">Where: </w:t>
            </w:r>
          </w:p>
          <w:p w14:paraId="7C9C8369" w14:textId="77777777" w:rsidR="006C5B5E" w:rsidRPr="0013396E" w:rsidRDefault="006C5B5E" w:rsidP="006C5B5E">
            <w:pPr>
              <w:tabs>
                <w:tab w:val="left" w:pos="1230"/>
                <w:tab w:val="left" w:pos="2340"/>
              </w:tabs>
              <w:spacing w:before="240" w:after="240"/>
              <w:ind w:left="3600" w:hanging="2430"/>
            </w:pPr>
            <w:r w:rsidRPr="0013396E">
              <w:t>MEBCL</w:t>
            </w:r>
            <w:r w:rsidRPr="0013396E">
              <w:rPr>
                <w:vertAlign w:val="subscript"/>
              </w:rPr>
              <w:t xml:space="preserve"> </w:t>
            </w:r>
            <w:r w:rsidRPr="0013396E">
              <w:rPr>
                <w:i/>
                <w:iCs/>
                <w:vertAlign w:val="subscript"/>
              </w:rPr>
              <w:t>q, r, b</w:t>
            </w:r>
            <w:r w:rsidRPr="0013396E">
              <w:tab/>
              <w:t>=</w:t>
            </w:r>
            <w:r w:rsidRPr="0013396E">
              <w:tab/>
              <w:t>MEBCLFG</w:t>
            </w:r>
            <w:r w:rsidRPr="0013396E">
              <w:rPr>
                <w:vertAlign w:val="subscript"/>
              </w:rPr>
              <w:t xml:space="preserve"> </w:t>
            </w:r>
            <w:r w:rsidRPr="0013396E">
              <w:rPr>
                <w:i/>
                <w:iCs/>
                <w:vertAlign w:val="subscript"/>
              </w:rPr>
              <w:t>q, r, b</w:t>
            </w:r>
            <w:r w:rsidRPr="0013396E">
              <w:t xml:space="preserve"> + MEBCLSG</w:t>
            </w:r>
            <w:r w:rsidRPr="0013396E">
              <w:rPr>
                <w:vertAlign w:val="subscript"/>
              </w:rPr>
              <w:t xml:space="preserve"> </w:t>
            </w:r>
            <w:r w:rsidRPr="0013396E">
              <w:rPr>
                <w:i/>
                <w:iCs/>
                <w:vertAlign w:val="subscript"/>
              </w:rPr>
              <w:t>q, r, b</w:t>
            </w:r>
            <w:r w:rsidRPr="0013396E">
              <w:rPr>
                <w:vertAlign w:val="subscript"/>
              </w:rPr>
              <w:t xml:space="preserve"> </w:t>
            </w:r>
            <w:r w:rsidRPr="0013396E">
              <w:t xml:space="preserve"> </w:t>
            </w:r>
          </w:p>
          <w:p w14:paraId="1B6A4AE2" w14:textId="77777777" w:rsidR="006C5B5E" w:rsidRPr="0013396E" w:rsidRDefault="006C5B5E" w:rsidP="006C5B5E">
            <w:pPr>
              <w:tabs>
                <w:tab w:val="left" w:pos="2340"/>
                <w:tab w:val="left" w:pos="3420"/>
              </w:tabs>
              <w:spacing w:after="240"/>
              <w:ind w:left="3420" w:hanging="2700"/>
              <w:rPr>
                <w:bCs/>
              </w:rPr>
            </w:pPr>
            <w:r w:rsidRPr="0013396E">
              <w:t>The total CLR Load is included in the Real-Time AML per QSE.</w:t>
            </w:r>
          </w:p>
          <w:p w14:paraId="57C77DC4" w14:textId="77777777" w:rsidR="006C5B5E" w:rsidRPr="0013396E" w:rsidRDefault="006C5B5E" w:rsidP="006C5B5E">
            <w:pPr>
              <w:tabs>
                <w:tab w:val="left" w:pos="2340"/>
                <w:tab w:val="left" w:pos="3420"/>
              </w:tabs>
              <w:spacing w:after="240"/>
              <w:ind w:left="3420" w:hanging="2700"/>
              <w:rPr>
                <w:b/>
                <w:bCs/>
              </w:rPr>
            </w:pPr>
            <w:r w:rsidRPr="0013396E">
              <w:rPr>
                <w:bCs/>
              </w:rPr>
              <w:t>Where</w:t>
            </w:r>
            <w:r w:rsidRPr="0013396E">
              <w:rPr>
                <w:bCs/>
                <w:iCs/>
              </w:rPr>
              <w:t xml:space="preserve"> the price for Settlement Meter is determined as follows:</w:t>
            </w:r>
          </w:p>
          <w:p w14:paraId="1B30B4DA" w14:textId="77777777" w:rsidR="006C5B5E" w:rsidRPr="0013396E" w:rsidRDefault="006C5B5E" w:rsidP="006C5B5E">
            <w:pPr>
              <w:spacing w:after="240"/>
              <w:ind w:left="2880" w:hanging="2160"/>
              <w:rPr>
                <w:b/>
                <w:lang w:val="es-ES"/>
              </w:rPr>
            </w:pPr>
            <w:r w:rsidRPr="0013396E">
              <w:rPr>
                <w:b/>
                <w:lang w:val="es-ES"/>
              </w:rPr>
              <w:lastRenderedPageBreak/>
              <w:t>RTRMPRCLR</w:t>
            </w:r>
            <w:r w:rsidRPr="0013396E">
              <w:rPr>
                <w:b/>
                <w:i/>
                <w:iCs/>
                <w:vertAlign w:val="subscript"/>
                <w:lang w:val="es-ES"/>
              </w:rPr>
              <w:t xml:space="preserve"> b</w:t>
            </w:r>
            <w:r w:rsidRPr="0013396E">
              <w:rPr>
                <w:b/>
                <w:lang w:val="es-ES"/>
              </w:rPr>
              <w:t xml:space="preserve"> </w:t>
            </w:r>
            <w:r w:rsidRPr="0013396E">
              <w:rPr>
                <w:b/>
                <w:lang w:val="es-ES"/>
              </w:rPr>
              <w:tab/>
              <w:t xml:space="preserve">= </w:t>
            </w:r>
            <w:r w:rsidRPr="0013396E">
              <w:rPr>
                <w:b/>
              </w:rPr>
              <w:t>Max [-$251, (</w:t>
            </w:r>
            <w:r w:rsidRPr="0013396E">
              <w:rPr>
                <w:rFonts w:ascii="Times New Roman Bold" w:hAnsi="Times New Roman Bold"/>
                <w:b/>
                <w:noProof/>
                <w:position w:val="-18"/>
              </w:rPr>
              <w:drawing>
                <wp:inline distT="0" distB="0" distL="0" distR="0" wp14:anchorId="2B9CA0B6" wp14:editId="32CE304C">
                  <wp:extent cx="146685" cy="293370"/>
                  <wp:effectExtent l="0" t="0" r="0" b="0"/>
                  <wp:docPr id="90" name="Picture 136" descr="image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image010"/>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13396E">
              <w:rPr>
                <w:b/>
                <w:lang w:val="es-ES"/>
              </w:rPr>
              <w:t xml:space="preserve">(RNWFL </w:t>
            </w:r>
            <w:r w:rsidRPr="0013396E">
              <w:rPr>
                <w:b/>
                <w:i/>
                <w:iCs/>
                <w:vertAlign w:val="subscript"/>
                <w:lang w:val="es-ES"/>
              </w:rPr>
              <w:t xml:space="preserve">b, y </w:t>
            </w:r>
            <w:r w:rsidRPr="0013396E">
              <w:rPr>
                <w:b/>
                <w:lang w:val="es-ES"/>
              </w:rPr>
              <w:t xml:space="preserve">* RTLMP </w:t>
            </w:r>
            <w:r w:rsidRPr="0013396E">
              <w:rPr>
                <w:b/>
                <w:i/>
                <w:vertAlign w:val="subscript"/>
                <w:lang w:val="es-ES"/>
              </w:rPr>
              <w:t>b</w:t>
            </w:r>
            <w:r w:rsidRPr="0013396E">
              <w:rPr>
                <w:b/>
                <w:i/>
                <w:iCs/>
                <w:vertAlign w:val="subscript"/>
                <w:lang w:val="es-ES"/>
              </w:rPr>
              <w:t>, y</w:t>
            </w:r>
            <w:r w:rsidRPr="0013396E">
              <w:rPr>
                <w:b/>
                <w:lang w:val="es-ES"/>
              </w:rPr>
              <w:t xml:space="preserve">) </w:t>
            </w:r>
            <w:r w:rsidRPr="0013396E">
              <w:rPr>
                <w:b/>
              </w:rPr>
              <w:t>+ RTRDP)]</w:t>
            </w:r>
          </w:p>
          <w:p w14:paraId="20939C7B" w14:textId="77777777" w:rsidR="00423D31" w:rsidRPr="0013396E" w:rsidRDefault="00423D31" w:rsidP="00423D31">
            <w:pPr>
              <w:spacing w:after="240"/>
              <w:ind w:firstLine="720"/>
            </w:pPr>
            <w:r w:rsidRPr="0013396E">
              <w:t>Where the weighting factor for the Electrical Bus associated with the meter is:</w:t>
            </w:r>
          </w:p>
          <w:p w14:paraId="59E6DBCC" w14:textId="3A46ECE1" w:rsidR="00423D31" w:rsidRPr="0013396E" w:rsidRDefault="00423D31" w:rsidP="00423D31">
            <w:pPr>
              <w:spacing w:after="240"/>
              <w:ind w:firstLine="720"/>
              <w:rPr>
                <w:b/>
                <w:lang w:val="es-ES"/>
              </w:rPr>
            </w:pPr>
            <w:r w:rsidRPr="0013396E">
              <w:rPr>
                <w:b/>
                <w:lang w:val="es-ES"/>
              </w:rPr>
              <w:t xml:space="preserve">RNWFL </w:t>
            </w:r>
            <w:r w:rsidRPr="0013396E">
              <w:rPr>
                <w:b/>
                <w:i/>
                <w:iCs/>
                <w:vertAlign w:val="subscript"/>
                <w:lang w:val="es-ES"/>
              </w:rPr>
              <w:t xml:space="preserve">b, y </w:t>
            </w:r>
            <w:r w:rsidRPr="0013396E">
              <w:rPr>
                <w:b/>
                <w:i/>
                <w:iCs/>
                <w:vertAlign w:val="subscript"/>
                <w:lang w:val="es-ES"/>
              </w:rPr>
              <w:tab/>
            </w:r>
            <w:r w:rsidRPr="0013396E">
              <w:rPr>
                <w:b/>
                <w:i/>
                <w:iCs/>
                <w:vertAlign w:val="subscript"/>
                <w:lang w:val="es-ES"/>
              </w:rPr>
              <w:tab/>
            </w:r>
            <w:r w:rsidRPr="0013396E">
              <w:rPr>
                <w:b/>
                <w:lang w:val="es-ES"/>
              </w:rPr>
              <w:t>= [Max (0.001,</w:t>
            </w:r>
            <w:r w:rsidR="006F7954" w:rsidRPr="0013396E">
              <w:rPr>
                <w:b/>
                <w:lang w:val="es-ES"/>
              </w:rPr>
              <w:t xml:space="preserve"> ABS(</w:t>
            </w:r>
            <w:r w:rsidRPr="0013396E">
              <w:rPr>
                <w:b/>
                <w:lang w:val="es-ES"/>
              </w:rPr>
              <w:t xml:space="preserve"> </w:t>
            </w:r>
            <w:r w:rsidRPr="0013396E">
              <w:rPr>
                <w:noProof/>
                <w:position w:val="-18"/>
              </w:rPr>
              <w:drawing>
                <wp:inline distT="0" distB="0" distL="0" distR="0" wp14:anchorId="686E41B8" wp14:editId="68DC270D">
                  <wp:extent cx="142875" cy="270510"/>
                  <wp:effectExtent l="0" t="0" r="9525" b="0"/>
                  <wp:docPr id="2090" name="Picture 47"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image001"/>
                          <pic:cNvPicPr>
                            <a:picLocks noChangeAspect="1" noChangeArrowheads="1"/>
                          </pic:cNvPicPr>
                        </pic:nvPicPr>
                        <pic:blipFill>
                          <a:blip r:embed="rId124">
                            <a:extLst>
                              <a:ext uri="{28A0092B-C50C-407E-A947-70E740481C1C}">
                                <a14:useLocalDpi xmlns:a14="http://schemas.microsoft.com/office/drawing/2010/main" val="0"/>
                              </a:ext>
                            </a:extLst>
                          </a:blip>
                          <a:srcRect/>
                          <a:stretch>
                            <a:fillRect/>
                          </a:stretch>
                        </pic:blipFill>
                        <pic:spPr bwMode="auto">
                          <a:xfrm>
                            <a:off x="0" y="0"/>
                            <a:ext cx="142875" cy="270510"/>
                          </a:xfrm>
                          <a:prstGeom prst="rect">
                            <a:avLst/>
                          </a:prstGeom>
                          <a:noFill/>
                          <a:ln>
                            <a:noFill/>
                          </a:ln>
                        </pic:spPr>
                      </pic:pic>
                    </a:graphicData>
                  </a:graphic>
                </wp:inline>
              </w:drawing>
            </w:r>
            <w:r w:rsidR="006F7954" w:rsidRPr="0013396E">
              <w:rPr>
                <w:b/>
                <w:lang w:val="es-ES"/>
              </w:rPr>
              <w:t xml:space="preserve">Min(0, </w:t>
            </w:r>
            <w:r w:rsidRPr="0013396E">
              <w:rPr>
                <w:b/>
                <w:lang w:val="es-ES"/>
              </w:rPr>
              <w:t>BP</w:t>
            </w:r>
            <w:r w:rsidRPr="0013396E">
              <w:rPr>
                <w:b/>
                <w:bCs/>
                <w:i/>
                <w:iCs/>
                <w:vertAlign w:val="subscript"/>
                <w:lang w:val="es-ES"/>
              </w:rPr>
              <w:t xml:space="preserve"> r,</w:t>
            </w:r>
            <w:r w:rsidRPr="0013396E">
              <w:rPr>
                <w:b/>
                <w:i/>
                <w:iCs/>
                <w:vertAlign w:val="subscript"/>
                <w:lang w:val="es-ES"/>
              </w:rPr>
              <w:t xml:space="preserve"> y</w:t>
            </w:r>
            <w:r w:rsidRPr="0013396E">
              <w:rPr>
                <w:b/>
                <w:lang w:val="es-ES"/>
              </w:rPr>
              <w:t>)</w:t>
            </w:r>
            <w:r w:rsidR="006F7954" w:rsidRPr="0013396E">
              <w:rPr>
                <w:b/>
                <w:lang w:val="es-ES"/>
              </w:rPr>
              <w:t>))</w:t>
            </w:r>
            <w:r w:rsidRPr="0013396E">
              <w:rPr>
                <w:b/>
                <w:lang w:val="es-ES"/>
              </w:rPr>
              <w:t xml:space="preserve"> * TLMP </w:t>
            </w:r>
            <w:r w:rsidRPr="0013396E">
              <w:rPr>
                <w:b/>
                <w:i/>
                <w:iCs/>
                <w:vertAlign w:val="subscript"/>
                <w:lang w:val="es-ES"/>
              </w:rPr>
              <w:t>y</w:t>
            </w:r>
            <w:r w:rsidRPr="0013396E">
              <w:rPr>
                <w:b/>
                <w:lang w:val="es-ES"/>
              </w:rPr>
              <w:t xml:space="preserve">] / </w:t>
            </w:r>
          </w:p>
          <w:p w14:paraId="088B0C09" w14:textId="4DFA51FF" w:rsidR="00423D31" w:rsidRPr="0013396E" w:rsidRDefault="00423D31" w:rsidP="00423D31">
            <w:pPr>
              <w:spacing w:after="240"/>
              <w:ind w:firstLine="720"/>
              <w:rPr>
                <w:b/>
                <w:lang w:val="es-ES"/>
              </w:rPr>
            </w:pPr>
            <w:r w:rsidRPr="0013396E">
              <w:rPr>
                <w:b/>
                <w:lang w:val="es-ES"/>
              </w:rPr>
              <w:tab/>
            </w:r>
            <w:r w:rsidRPr="0013396E">
              <w:rPr>
                <w:b/>
                <w:lang w:val="es-ES"/>
              </w:rPr>
              <w:tab/>
            </w:r>
            <w:r w:rsidRPr="0013396E">
              <w:rPr>
                <w:b/>
                <w:lang w:val="es-ES"/>
              </w:rPr>
              <w:tab/>
              <w:t>[</w:t>
            </w:r>
            <w:r w:rsidRPr="0013396E">
              <w:rPr>
                <w:rFonts w:ascii="Times New Roman Bold" w:hAnsi="Times New Roman Bold"/>
                <w:b/>
                <w:noProof/>
                <w:position w:val="-18"/>
              </w:rPr>
              <w:drawing>
                <wp:inline distT="0" distB="0" distL="0" distR="0" wp14:anchorId="60D31D8C" wp14:editId="1E217F6B">
                  <wp:extent cx="142875" cy="294005"/>
                  <wp:effectExtent l="0" t="0" r="9525" b="0"/>
                  <wp:docPr id="2091" name="Picture 48" descr="image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image010"/>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bwMode="auto">
                          <a:xfrm>
                            <a:off x="0" y="0"/>
                            <a:ext cx="142875" cy="294005"/>
                          </a:xfrm>
                          <a:prstGeom prst="rect">
                            <a:avLst/>
                          </a:prstGeom>
                          <a:noFill/>
                          <a:ln>
                            <a:noFill/>
                          </a:ln>
                        </pic:spPr>
                      </pic:pic>
                    </a:graphicData>
                  </a:graphic>
                </wp:inline>
              </w:drawing>
            </w:r>
            <w:r w:rsidRPr="0013396E">
              <w:rPr>
                <w:b/>
                <w:lang w:val="es-ES"/>
              </w:rPr>
              <w:t>Max (0.001,</w:t>
            </w:r>
            <w:r w:rsidR="006F7954" w:rsidRPr="0013396E">
              <w:rPr>
                <w:b/>
                <w:lang w:val="es-ES"/>
              </w:rPr>
              <w:t xml:space="preserve"> ABS(</w:t>
            </w:r>
            <w:r w:rsidRPr="0013396E">
              <w:rPr>
                <w:b/>
                <w:lang w:val="es-ES"/>
              </w:rPr>
              <w:t xml:space="preserve"> </w:t>
            </w:r>
            <w:r w:rsidRPr="0013396E">
              <w:rPr>
                <w:noProof/>
                <w:position w:val="-18"/>
              </w:rPr>
              <w:drawing>
                <wp:inline distT="0" distB="0" distL="0" distR="0" wp14:anchorId="0621F382" wp14:editId="5F876837">
                  <wp:extent cx="142875" cy="270510"/>
                  <wp:effectExtent l="0" t="0" r="9525" b="0"/>
                  <wp:docPr id="2093" name="Picture 49"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image001"/>
                          <pic:cNvPicPr>
                            <a:picLocks noChangeAspect="1" noChangeArrowheads="1"/>
                          </pic:cNvPicPr>
                        </pic:nvPicPr>
                        <pic:blipFill>
                          <a:blip r:embed="rId124">
                            <a:extLst>
                              <a:ext uri="{28A0092B-C50C-407E-A947-70E740481C1C}">
                                <a14:useLocalDpi xmlns:a14="http://schemas.microsoft.com/office/drawing/2010/main" val="0"/>
                              </a:ext>
                            </a:extLst>
                          </a:blip>
                          <a:srcRect/>
                          <a:stretch>
                            <a:fillRect/>
                          </a:stretch>
                        </pic:blipFill>
                        <pic:spPr bwMode="auto">
                          <a:xfrm>
                            <a:off x="0" y="0"/>
                            <a:ext cx="142875" cy="270510"/>
                          </a:xfrm>
                          <a:prstGeom prst="rect">
                            <a:avLst/>
                          </a:prstGeom>
                          <a:noFill/>
                          <a:ln>
                            <a:noFill/>
                          </a:ln>
                        </pic:spPr>
                      </pic:pic>
                    </a:graphicData>
                  </a:graphic>
                </wp:inline>
              </w:drawing>
            </w:r>
            <w:r w:rsidRPr="0013396E">
              <w:rPr>
                <w:b/>
                <w:lang w:val="es-ES"/>
              </w:rPr>
              <w:t xml:space="preserve"> </w:t>
            </w:r>
            <w:r w:rsidR="006F7954" w:rsidRPr="0013396E">
              <w:rPr>
                <w:b/>
                <w:lang w:val="es-ES"/>
              </w:rPr>
              <w:t xml:space="preserve">Min(0, </w:t>
            </w:r>
            <w:r w:rsidRPr="0013396E">
              <w:rPr>
                <w:b/>
                <w:lang w:val="es-ES"/>
              </w:rPr>
              <w:t>BP</w:t>
            </w:r>
            <w:r w:rsidRPr="0013396E">
              <w:rPr>
                <w:b/>
                <w:i/>
                <w:iCs/>
                <w:vertAlign w:val="subscript"/>
                <w:lang w:val="es-ES"/>
              </w:rPr>
              <w:t xml:space="preserve"> </w:t>
            </w:r>
            <w:r w:rsidRPr="0013396E">
              <w:rPr>
                <w:b/>
                <w:bCs/>
                <w:i/>
                <w:iCs/>
                <w:vertAlign w:val="subscript"/>
                <w:lang w:val="es-ES"/>
              </w:rPr>
              <w:t>r,</w:t>
            </w:r>
            <w:r w:rsidRPr="0013396E">
              <w:rPr>
                <w:b/>
                <w:i/>
                <w:iCs/>
                <w:vertAlign w:val="subscript"/>
                <w:lang w:val="es-ES"/>
              </w:rPr>
              <w:t xml:space="preserve"> y</w:t>
            </w:r>
            <w:r w:rsidRPr="0013396E">
              <w:rPr>
                <w:b/>
                <w:lang w:val="es-ES"/>
              </w:rPr>
              <w:t>)</w:t>
            </w:r>
            <w:r w:rsidR="006F7954" w:rsidRPr="0013396E">
              <w:rPr>
                <w:b/>
                <w:lang w:val="es-ES"/>
              </w:rPr>
              <w:t>))</w:t>
            </w:r>
            <w:r w:rsidRPr="0013396E">
              <w:rPr>
                <w:b/>
                <w:lang w:val="es-ES"/>
              </w:rPr>
              <w:t xml:space="preserve"> * TLMP </w:t>
            </w:r>
            <w:r w:rsidRPr="0013396E">
              <w:rPr>
                <w:b/>
                <w:i/>
                <w:iCs/>
                <w:vertAlign w:val="subscript"/>
                <w:lang w:val="es-ES"/>
              </w:rPr>
              <w:t>y</w:t>
            </w:r>
            <w:r w:rsidRPr="0013396E">
              <w:rPr>
                <w:b/>
                <w:lang w:val="es-ES"/>
              </w:rPr>
              <w:t>]</w:t>
            </w:r>
          </w:p>
          <w:p w14:paraId="59597076" w14:textId="77777777" w:rsidR="00423D31" w:rsidRPr="0013396E" w:rsidRDefault="00423D31" w:rsidP="00423D31">
            <w:pPr>
              <w:spacing w:after="240"/>
            </w:pPr>
            <w:r w:rsidRPr="0013396E">
              <w:t>Where:</w:t>
            </w:r>
          </w:p>
          <w:p w14:paraId="3F326894" w14:textId="769D3A00" w:rsidR="00423D31" w:rsidRPr="0013396E" w:rsidRDefault="00423D31" w:rsidP="00423D31">
            <w:pPr>
              <w:spacing w:after="240"/>
              <w:ind w:left="720"/>
            </w:pPr>
            <w:r w:rsidRPr="0013396E">
              <w:t>RTRDP =</w:t>
            </w:r>
            <w:r w:rsidRPr="0013396E">
              <w:tab/>
            </w:r>
            <w:r w:rsidRPr="0013396E">
              <w:tab/>
            </w:r>
            <w:r w:rsidRPr="0013396E">
              <w:rPr>
                <w:position w:val="-22"/>
              </w:rPr>
              <w:object w:dxaOrig="225" w:dyaOrig="465" w14:anchorId="32D7EA4D">
                <v:shape id="_x0000_i1113" type="#_x0000_t75" style="width:12pt;height:18.6pt" o:ole="">
                  <v:imagedata r:id="rId20" o:title=""/>
                </v:shape>
                <o:OLEObject Type="Embed" ProgID="Equation.3" ShapeID="_x0000_i1113" DrawAspect="Content" ObjectID="_1836311392" r:id="rId129"/>
              </w:object>
            </w:r>
            <w:r w:rsidRPr="0013396E">
              <w:t xml:space="preserve">(RNWF </w:t>
            </w:r>
            <w:r w:rsidRPr="0013396E">
              <w:rPr>
                <w:i/>
                <w:iCs/>
                <w:vertAlign w:val="subscript"/>
              </w:rPr>
              <w:t xml:space="preserve"> y </w:t>
            </w:r>
            <w:r w:rsidRPr="0013396E">
              <w:t>* RTRDPA</w:t>
            </w:r>
            <w:r w:rsidRPr="0013396E">
              <w:rPr>
                <w:i/>
                <w:iCs/>
                <w:vertAlign w:val="subscript"/>
              </w:rPr>
              <w:t xml:space="preserve"> y</w:t>
            </w:r>
            <w:r w:rsidRPr="0013396E">
              <w:t>)</w:t>
            </w:r>
          </w:p>
          <w:p w14:paraId="0BE2C438" w14:textId="77777777" w:rsidR="00423D31" w:rsidRPr="0013396E" w:rsidRDefault="00423D31" w:rsidP="00423D31">
            <w:pPr>
              <w:spacing w:after="240"/>
              <w:ind w:firstLine="720"/>
            </w:pPr>
            <w:r w:rsidRPr="0013396E">
              <w:t xml:space="preserve">RNWF </w:t>
            </w:r>
            <w:r w:rsidRPr="0013396E">
              <w:rPr>
                <w:i/>
                <w:vertAlign w:val="subscript"/>
              </w:rPr>
              <w:t xml:space="preserve">y </w:t>
            </w:r>
            <w:r w:rsidRPr="0013396E">
              <w:t>=</w:t>
            </w:r>
            <w:r w:rsidRPr="0013396E">
              <w:tab/>
            </w:r>
            <w:r w:rsidRPr="0013396E">
              <w:tab/>
              <w:t xml:space="preserve">TLMP </w:t>
            </w:r>
            <w:r w:rsidRPr="0013396E">
              <w:rPr>
                <w:i/>
                <w:vertAlign w:val="subscript"/>
              </w:rPr>
              <w:t>y</w:t>
            </w:r>
            <w:r w:rsidRPr="0013396E">
              <w:t xml:space="preserve"> </w:t>
            </w:r>
            <w:r w:rsidRPr="0013396E">
              <w:rPr>
                <w:color w:val="000000"/>
                <w:sz w:val="32"/>
                <w:szCs w:val="32"/>
              </w:rPr>
              <w:t>/</w:t>
            </w:r>
            <w:r w:rsidRPr="0013396E">
              <w:rPr>
                <w:color w:val="000000"/>
              </w:rPr>
              <w:t xml:space="preserve"> </w:t>
            </w:r>
            <w:r w:rsidRPr="0013396E">
              <w:rPr>
                <w:position w:val="-22"/>
              </w:rPr>
              <w:object w:dxaOrig="225" w:dyaOrig="465" w14:anchorId="204454BB">
                <v:shape id="_x0000_i1114" type="#_x0000_t75" style="width:12pt;height:18.6pt" o:ole="">
                  <v:imagedata r:id="rId20" o:title=""/>
                </v:shape>
                <o:OLEObject Type="Embed" ProgID="Equation.3" ShapeID="_x0000_i1114" DrawAspect="Content" ObjectID="_1836311393" r:id="rId130"/>
              </w:object>
            </w:r>
            <w:r w:rsidRPr="0013396E">
              <w:t xml:space="preserve">TLMP </w:t>
            </w:r>
            <w:r w:rsidRPr="0013396E">
              <w:rPr>
                <w:i/>
                <w:vertAlign w:val="subscript"/>
              </w:rPr>
              <w:t>y</w:t>
            </w:r>
          </w:p>
          <w:p w14:paraId="158E52A4" w14:textId="43C73740" w:rsidR="00423D31" w:rsidRPr="0013396E" w:rsidRDefault="00423D31" w:rsidP="00423D31">
            <w:pPr>
              <w:pStyle w:val="BodyTextNumbered"/>
              <w:spacing w:before="120"/>
              <w:ind w:firstLine="0"/>
            </w:pPr>
            <w:r w:rsidRPr="0013396E">
              <w:t xml:space="preserve">The summation is over all </w:t>
            </w:r>
            <w:r w:rsidR="00632873" w:rsidRPr="0013396E">
              <w:t xml:space="preserve">CLR (that is not an ALR) or </w:t>
            </w:r>
            <w:r w:rsidRPr="0013396E">
              <w:t xml:space="preserve">ESR Load </w:t>
            </w:r>
            <w:r w:rsidRPr="0013396E">
              <w:rPr>
                <w:i/>
                <w:iCs/>
              </w:rPr>
              <w:t>r</w:t>
            </w:r>
            <w:r w:rsidRPr="0013396E">
              <w:t xml:space="preserve"> associated to the individual meter.  The determination of which Resources are associated to an individual meter is static and based on the normal system configuration of the generation site code, </w:t>
            </w:r>
            <w:r w:rsidRPr="0013396E">
              <w:rPr>
                <w:i/>
              </w:rPr>
              <w:t>gsc</w:t>
            </w:r>
            <w:r w:rsidRPr="0013396E">
              <w:t>.</w:t>
            </w:r>
          </w:p>
          <w:p w14:paraId="10051D32" w14:textId="77777777" w:rsidR="00423D31" w:rsidRPr="0013396E" w:rsidRDefault="00423D31" w:rsidP="00423D31">
            <w:r w:rsidRPr="0013396E">
              <w:t>The above variables are defined as follows:</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086"/>
              <w:gridCol w:w="1231"/>
              <w:gridCol w:w="5791"/>
            </w:tblGrid>
            <w:tr w:rsidR="008050FF" w:rsidRPr="0013396E" w14:paraId="5A268B01" w14:textId="77777777" w:rsidTr="00806724">
              <w:trPr>
                <w:cantSplit/>
                <w:tblHeader/>
              </w:trPr>
              <w:tc>
                <w:tcPr>
                  <w:tcW w:w="1145" w:type="pct"/>
                </w:tcPr>
                <w:p w14:paraId="1EF42B87" w14:textId="77777777" w:rsidR="008050FF" w:rsidRPr="0013396E" w:rsidRDefault="008050FF" w:rsidP="008050FF">
                  <w:pPr>
                    <w:pStyle w:val="TableHead"/>
                  </w:pPr>
                  <w:r w:rsidRPr="0013396E">
                    <w:t>Variable</w:t>
                  </w:r>
                </w:p>
              </w:tc>
              <w:tc>
                <w:tcPr>
                  <w:tcW w:w="676" w:type="pct"/>
                </w:tcPr>
                <w:p w14:paraId="18368F18" w14:textId="77777777" w:rsidR="008050FF" w:rsidRPr="0013396E" w:rsidRDefault="008050FF" w:rsidP="008050FF">
                  <w:pPr>
                    <w:pStyle w:val="TableHead"/>
                  </w:pPr>
                  <w:r w:rsidRPr="0013396E">
                    <w:t>Unit</w:t>
                  </w:r>
                </w:p>
              </w:tc>
              <w:tc>
                <w:tcPr>
                  <w:tcW w:w="3179" w:type="pct"/>
                </w:tcPr>
                <w:p w14:paraId="001C5647" w14:textId="77777777" w:rsidR="008050FF" w:rsidRPr="0013396E" w:rsidRDefault="008050FF" w:rsidP="008050FF">
                  <w:pPr>
                    <w:pStyle w:val="TableHead"/>
                  </w:pPr>
                  <w:r w:rsidRPr="0013396E">
                    <w:t>Description</w:t>
                  </w:r>
                </w:p>
              </w:tc>
            </w:tr>
            <w:tr w:rsidR="008050FF" w:rsidRPr="0013396E" w14:paraId="2BBF187D" w14:textId="77777777" w:rsidTr="00806724">
              <w:trPr>
                <w:cantSplit/>
              </w:trPr>
              <w:tc>
                <w:tcPr>
                  <w:tcW w:w="1145" w:type="pct"/>
                </w:tcPr>
                <w:p w14:paraId="13AF7B76" w14:textId="77777777" w:rsidR="008050FF" w:rsidRPr="0013396E" w:rsidRDefault="008050FF" w:rsidP="008050FF">
                  <w:pPr>
                    <w:pStyle w:val="tablebody0"/>
                  </w:pPr>
                  <w:r w:rsidRPr="0013396E">
                    <w:t xml:space="preserve">RTLMP </w:t>
                  </w:r>
                  <w:r w:rsidRPr="0013396E">
                    <w:rPr>
                      <w:i/>
                      <w:vertAlign w:val="subscript"/>
                    </w:rPr>
                    <w:t>b, y</w:t>
                  </w:r>
                </w:p>
              </w:tc>
              <w:tc>
                <w:tcPr>
                  <w:tcW w:w="676" w:type="pct"/>
                </w:tcPr>
                <w:p w14:paraId="4E20146A" w14:textId="77777777" w:rsidR="008050FF" w:rsidRPr="0013396E" w:rsidRDefault="008050FF" w:rsidP="008050FF">
                  <w:pPr>
                    <w:pStyle w:val="tablebody0"/>
                  </w:pPr>
                  <w:r w:rsidRPr="0013396E">
                    <w:t>$/MWh</w:t>
                  </w:r>
                </w:p>
              </w:tc>
              <w:tc>
                <w:tcPr>
                  <w:tcW w:w="3179" w:type="pct"/>
                </w:tcPr>
                <w:p w14:paraId="3FBC0957" w14:textId="77777777" w:rsidR="008050FF" w:rsidRPr="0013396E" w:rsidRDefault="008050FF" w:rsidP="008050FF">
                  <w:pPr>
                    <w:pStyle w:val="tablebody0"/>
                  </w:pPr>
                  <w:r w:rsidRPr="0013396E">
                    <w:rPr>
                      <w:i/>
                    </w:rPr>
                    <w:t>Real-Time Locational Marginal Price at bus per interval</w:t>
                  </w:r>
                  <w:r w:rsidRPr="0013396E">
                    <w:sym w:font="Symbol" w:char="F0BE"/>
                  </w:r>
                  <w:r w:rsidRPr="0013396E">
                    <w:t xml:space="preserve">The Real-Time LMP for the meter at Electrical Bus </w:t>
                  </w:r>
                  <w:r w:rsidRPr="0013396E">
                    <w:rPr>
                      <w:i/>
                    </w:rPr>
                    <w:t>b</w:t>
                  </w:r>
                  <w:r w:rsidRPr="0013396E">
                    <w:t xml:space="preserve">, for the SCED interval </w:t>
                  </w:r>
                  <w:r w:rsidRPr="0013396E">
                    <w:rPr>
                      <w:i/>
                    </w:rPr>
                    <w:t>y</w:t>
                  </w:r>
                  <w:r w:rsidRPr="0013396E">
                    <w:t>.</w:t>
                  </w:r>
                </w:p>
              </w:tc>
            </w:tr>
            <w:tr w:rsidR="008050FF" w:rsidRPr="0013396E" w14:paraId="3417003F" w14:textId="77777777" w:rsidTr="00806724">
              <w:trPr>
                <w:cantSplit/>
              </w:trPr>
              <w:tc>
                <w:tcPr>
                  <w:tcW w:w="1145" w:type="pct"/>
                </w:tcPr>
                <w:p w14:paraId="5D1B2AA2" w14:textId="77777777" w:rsidR="008050FF" w:rsidRPr="0013396E" w:rsidRDefault="008050FF" w:rsidP="008050FF">
                  <w:pPr>
                    <w:pStyle w:val="tablebody0"/>
                  </w:pPr>
                  <w:r w:rsidRPr="0013396E">
                    <w:t xml:space="preserve">TLMP </w:t>
                  </w:r>
                  <w:r w:rsidRPr="0013396E">
                    <w:rPr>
                      <w:i/>
                      <w:vertAlign w:val="subscript"/>
                    </w:rPr>
                    <w:t>y</w:t>
                  </w:r>
                </w:p>
              </w:tc>
              <w:tc>
                <w:tcPr>
                  <w:tcW w:w="676" w:type="pct"/>
                </w:tcPr>
                <w:p w14:paraId="763F5DAB" w14:textId="77777777" w:rsidR="008050FF" w:rsidRPr="0013396E" w:rsidRDefault="008050FF" w:rsidP="008050FF">
                  <w:pPr>
                    <w:pStyle w:val="tablebody0"/>
                    <w:rPr>
                      <w:iCs/>
                    </w:rPr>
                  </w:pPr>
                  <w:r w:rsidRPr="0013396E">
                    <w:t>second</w:t>
                  </w:r>
                </w:p>
              </w:tc>
              <w:tc>
                <w:tcPr>
                  <w:tcW w:w="3179" w:type="pct"/>
                </w:tcPr>
                <w:p w14:paraId="77F95AA2" w14:textId="77777777" w:rsidR="008050FF" w:rsidRPr="0013396E" w:rsidRDefault="008050FF" w:rsidP="008050FF">
                  <w:pPr>
                    <w:pStyle w:val="tablebody0"/>
                  </w:pPr>
                  <w:r w:rsidRPr="0013396E">
                    <w:rPr>
                      <w:i/>
                      <w:iCs/>
                    </w:rPr>
                    <w:t xml:space="preserve">Duration of </w:t>
                  </w:r>
                  <w:r w:rsidRPr="0013396E">
                    <w:rPr>
                      <w:i/>
                    </w:rPr>
                    <w:t>SCED</w:t>
                  </w:r>
                  <w:r w:rsidRPr="0013396E">
                    <w:rPr>
                      <w:i/>
                      <w:iCs/>
                    </w:rPr>
                    <w:t xml:space="preserve"> interval per interval</w:t>
                  </w:r>
                  <w:r w:rsidRPr="0013396E">
                    <w:sym w:font="Symbol" w:char="F0BE"/>
                  </w:r>
                  <w:r w:rsidRPr="0013396E">
                    <w:t xml:space="preserve">The duration of the SCED interval </w:t>
                  </w:r>
                  <w:r w:rsidRPr="0013396E">
                    <w:rPr>
                      <w:i/>
                      <w:iCs/>
                    </w:rPr>
                    <w:t>y</w:t>
                  </w:r>
                  <w:r w:rsidRPr="0013396E">
                    <w:t>.</w:t>
                  </w:r>
                </w:p>
              </w:tc>
            </w:tr>
            <w:tr w:rsidR="008050FF" w:rsidRPr="0013396E" w14:paraId="2CCD175C" w14:textId="77777777" w:rsidTr="00806724">
              <w:trPr>
                <w:cantSplit/>
              </w:trPr>
              <w:tc>
                <w:tcPr>
                  <w:tcW w:w="1145" w:type="pct"/>
                </w:tcPr>
                <w:p w14:paraId="5E463421" w14:textId="77777777" w:rsidR="008050FF" w:rsidRPr="0013396E" w:rsidRDefault="008050FF" w:rsidP="008050FF">
                  <w:pPr>
                    <w:pStyle w:val="tablebody0"/>
                  </w:pPr>
                  <w:r w:rsidRPr="0013396E">
                    <w:t>RTRDP</w:t>
                  </w:r>
                </w:p>
              </w:tc>
              <w:tc>
                <w:tcPr>
                  <w:tcW w:w="676" w:type="pct"/>
                </w:tcPr>
                <w:p w14:paraId="464AAC61" w14:textId="77777777" w:rsidR="008050FF" w:rsidRPr="0013396E" w:rsidRDefault="008050FF" w:rsidP="008050FF">
                  <w:pPr>
                    <w:pStyle w:val="tablebody0"/>
                  </w:pPr>
                  <w:r w:rsidRPr="0013396E">
                    <w:t>$/MWh</w:t>
                  </w:r>
                </w:p>
              </w:tc>
              <w:tc>
                <w:tcPr>
                  <w:tcW w:w="3179" w:type="pct"/>
                </w:tcPr>
                <w:p w14:paraId="39C3EFA3" w14:textId="142E5814" w:rsidR="008050FF" w:rsidRPr="0013396E" w:rsidRDefault="008050FF" w:rsidP="00EC5231">
                  <w:pPr>
                    <w:pStyle w:val="tablebody0"/>
                    <w:rPr>
                      <w:i/>
                    </w:rPr>
                  </w:pPr>
                  <w:r w:rsidRPr="0013396E">
                    <w:rPr>
                      <w:i/>
                    </w:rPr>
                    <w:t>Real-Time Reliability Deployment Price</w:t>
                  </w:r>
                  <w:r w:rsidR="00EC5231" w:rsidRPr="0013396E">
                    <w:rPr>
                      <w:i/>
                    </w:rPr>
                    <w:t xml:space="preserve"> for Energy</w:t>
                  </w:r>
                  <w:r w:rsidRPr="0013396E">
                    <w:rPr>
                      <w:i/>
                    </w:rPr>
                    <w:t xml:space="preserve"> </w:t>
                  </w:r>
                  <w:r w:rsidRPr="0013396E">
                    <w:sym w:font="Symbol" w:char="F0BE"/>
                  </w:r>
                  <w:r w:rsidRPr="0013396E">
                    <w:t xml:space="preserve">The Real-Time price for the 15-minute Settlement Interval, reflecting the impact of reliability deployments on energy prices that is calculated </w:t>
                  </w:r>
                  <w:r w:rsidRPr="0013396E">
                    <w:rPr>
                      <w:bCs/>
                    </w:rPr>
                    <w:t>from the Real-</w:t>
                  </w:r>
                  <w:r w:rsidR="00EC5231" w:rsidRPr="0013396E">
                    <w:rPr>
                      <w:bCs/>
                    </w:rPr>
                    <w:t>T</w:t>
                  </w:r>
                  <w:r w:rsidRPr="0013396E">
                    <w:rPr>
                      <w:bCs/>
                    </w:rPr>
                    <w:t>ime Reliability Deployment Price Adder</w:t>
                  </w:r>
                  <w:r w:rsidR="00EC5231" w:rsidRPr="0013396E">
                    <w:rPr>
                      <w:bCs/>
                    </w:rPr>
                    <w:t xml:space="preserve"> for Energy</w:t>
                  </w:r>
                  <w:r w:rsidRPr="0013396E">
                    <w:t>.</w:t>
                  </w:r>
                </w:p>
              </w:tc>
            </w:tr>
            <w:tr w:rsidR="008050FF" w:rsidRPr="0013396E" w14:paraId="6363ECD8" w14:textId="77777777" w:rsidTr="00806724">
              <w:trPr>
                <w:cantSplit/>
              </w:trPr>
              <w:tc>
                <w:tcPr>
                  <w:tcW w:w="1145" w:type="pct"/>
                </w:tcPr>
                <w:p w14:paraId="5305E16A" w14:textId="50F5A6FF" w:rsidR="008050FF" w:rsidRPr="0013396E" w:rsidRDefault="008050FF" w:rsidP="008050FF">
                  <w:pPr>
                    <w:pStyle w:val="tablebody0"/>
                  </w:pPr>
                  <w:r w:rsidRPr="0013396E">
                    <w:t>RTRDPA</w:t>
                  </w:r>
                  <w:r w:rsidRPr="0013396E">
                    <w:rPr>
                      <w:vertAlign w:val="subscript"/>
                    </w:rPr>
                    <w:t xml:space="preserve"> </w:t>
                  </w:r>
                  <w:r w:rsidRPr="0013396E">
                    <w:rPr>
                      <w:i/>
                      <w:vertAlign w:val="subscript"/>
                    </w:rPr>
                    <w:t>y</w:t>
                  </w:r>
                </w:p>
              </w:tc>
              <w:tc>
                <w:tcPr>
                  <w:tcW w:w="676" w:type="pct"/>
                </w:tcPr>
                <w:p w14:paraId="23A573CE" w14:textId="77777777" w:rsidR="008050FF" w:rsidRPr="0013396E" w:rsidRDefault="008050FF" w:rsidP="008050FF">
                  <w:pPr>
                    <w:pStyle w:val="tablebody0"/>
                  </w:pPr>
                  <w:r w:rsidRPr="0013396E">
                    <w:t>$/MWh</w:t>
                  </w:r>
                </w:p>
              </w:tc>
              <w:tc>
                <w:tcPr>
                  <w:tcW w:w="3179" w:type="pct"/>
                </w:tcPr>
                <w:p w14:paraId="1D586694" w14:textId="5610573F" w:rsidR="008050FF" w:rsidRPr="0013396E" w:rsidRDefault="008050FF" w:rsidP="00EC5231">
                  <w:pPr>
                    <w:pStyle w:val="tablebody0"/>
                    <w:rPr>
                      <w:i/>
                    </w:rPr>
                  </w:pPr>
                  <w:r w:rsidRPr="0013396E">
                    <w:rPr>
                      <w:i/>
                    </w:rPr>
                    <w:t>Real-Time Reliability Deployment Price Adder</w:t>
                  </w:r>
                  <w:r w:rsidR="00EC5231" w:rsidRPr="0013396E">
                    <w:rPr>
                      <w:i/>
                    </w:rPr>
                    <w:t xml:space="preserve"> for Energy</w:t>
                  </w:r>
                  <w:r w:rsidRPr="0013396E">
                    <w:rPr>
                      <w:i/>
                    </w:rPr>
                    <w:t xml:space="preserve"> </w:t>
                  </w:r>
                  <w:r w:rsidRPr="0013396E">
                    <w:sym w:font="Symbol" w:char="F0BE"/>
                  </w:r>
                  <w:r w:rsidRPr="0013396E">
                    <w:t xml:space="preserve">The Real-Time </w:t>
                  </w:r>
                  <w:r w:rsidR="00EC5231" w:rsidRPr="0013396E">
                    <w:t>p</w:t>
                  </w:r>
                  <w:r w:rsidRPr="0013396E">
                    <w:t xml:space="preserve">rice </w:t>
                  </w:r>
                  <w:r w:rsidR="00EC5231" w:rsidRPr="0013396E">
                    <w:t>a</w:t>
                  </w:r>
                  <w:r w:rsidRPr="0013396E">
                    <w:t xml:space="preserve">dder that captures the impact of reliability deployments on energy prices for the SCED interval </w:t>
                  </w:r>
                  <w:r w:rsidRPr="0013396E">
                    <w:rPr>
                      <w:i/>
                    </w:rPr>
                    <w:t>y</w:t>
                  </w:r>
                  <w:r w:rsidRPr="0013396E">
                    <w:t>.</w:t>
                  </w:r>
                </w:p>
              </w:tc>
            </w:tr>
            <w:tr w:rsidR="008050FF" w:rsidRPr="0013396E" w14:paraId="7CD1A681" w14:textId="77777777" w:rsidTr="00806724">
              <w:trPr>
                <w:cantSplit/>
              </w:trPr>
              <w:tc>
                <w:tcPr>
                  <w:tcW w:w="1145" w:type="pct"/>
                </w:tcPr>
                <w:p w14:paraId="0B81F356" w14:textId="77777777" w:rsidR="008050FF" w:rsidRPr="0013396E" w:rsidRDefault="008050FF" w:rsidP="008050FF">
                  <w:pPr>
                    <w:pStyle w:val="tablebody0"/>
                  </w:pPr>
                  <w:r w:rsidRPr="0013396E">
                    <w:t xml:space="preserve">RNWF </w:t>
                  </w:r>
                  <w:r w:rsidRPr="0013396E">
                    <w:rPr>
                      <w:i/>
                      <w:vertAlign w:val="subscript"/>
                    </w:rPr>
                    <w:t>y</w:t>
                  </w:r>
                </w:p>
              </w:tc>
              <w:tc>
                <w:tcPr>
                  <w:tcW w:w="676" w:type="pct"/>
                </w:tcPr>
                <w:p w14:paraId="1360EE0E" w14:textId="77777777" w:rsidR="008050FF" w:rsidRPr="0013396E" w:rsidRDefault="008050FF" w:rsidP="008050FF">
                  <w:pPr>
                    <w:pStyle w:val="tablebody0"/>
                  </w:pPr>
                  <w:r w:rsidRPr="0013396E">
                    <w:t>none</w:t>
                  </w:r>
                </w:p>
              </w:tc>
              <w:tc>
                <w:tcPr>
                  <w:tcW w:w="3179" w:type="pct"/>
                </w:tcPr>
                <w:p w14:paraId="08995154" w14:textId="4BEFF53C" w:rsidR="008050FF" w:rsidRPr="0013396E" w:rsidRDefault="008050FF" w:rsidP="008050FF">
                  <w:pPr>
                    <w:pStyle w:val="tablebody0"/>
                    <w:rPr>
                      <w:i/>
                    </w:rPr>
                  </w:pPr>
                  <w:r w:rsidRPr="0013396E">
                    <w:rPr>
                      <w:i/>
                    </w:rPr>
                    <w:t>Resource Node Weighting Factor per interval</w:t>
                  </w:r>
                  <w:r w:rsidRPr="0013396E">
                    <w:sym w:font="Symbol" w:char="F0BE"/>
                  </w:r>
                  <w:r w:rsidRPr="0013396E">
                    <w:t xml:space="preserve">The weight used in the </w:t>
                  </w:r>
                  <w:r w:rsidR="006F7954" w:rsidRPr="0013396E">
                    <w:t>Real-Time Reliability Deployment price</w:t>
                  </w:r>
                  <w:r w:rsidRPr="0013396E">
                    <w:t xml:space="preserve"> calculation for the portion of the SCED interval </w:t>
                  </w:r>
                  <w:r w:rsidRPr="0013396E">
                    <w:rPr>
                      <w:i/>
                    </w:rPr>
                    <w:t>y</w:t>
                  </w:r>
                  <w:r w:rsidRPr="0013396E">
                    <w:t xml:space="preserve"> within the Settlement Interval.</w:t>
                  </w:r>
                </w:p>
              </w:tc>
            </w:tr>
            <w:tr w:rsidR="008050FF" w:rsidRPr="0013396E" w14:paraId="413EA4AB" w14:textId="77777777" w:rsidTr="00806724">
              <w:trPr>
                <w:cantSplit/>
              </w:trPr>
              <w:tc>
                <w:tcPr>
                  <w:tcW w:w="1145" w:type="pct"/>
                </w:tcPr>
                <w:p w14:paraId="11ED9C66" w14:textId="77777777" w:rsidR="008050FF" w:rsidRPr="0013396E" w:rsidRDefault="008050FF" w:rsidP="008050FF">
                  <w:pPr>
                    <w:pStyle w:val="tablebody0"/>
                  </w:pPr>
                  <w:r w:rsidRPr="0013396E">
                    <w:t>MEBL</w:t>
                  </w:r>
                  <w:r w:rsidRPr="0013396E">
                    <w:rPr>
                      <w:vertAlign w:val="subscript"/>
                    </w:rPr>
                    <w:t xml:space="preserve"> </w:t>
                  </w:r>
                  <w:r w:rsidRPr="0013396E">
                    <w:rPr>
                      <w:i/>
                      <w:vertAlign w:val="subscript"/>
                    </w:rPr>
                    <w:t>q,r,b</w:t>
                  </w:r>
                </w:p>
              </w:tc>
              <w:tc>
                <w:tcPr>
                  <w:tcW w:w="676" w:type="pct"/>
                </w:tcPr>
                <w:p w14:paraId="6395C081" w14:textId="77777777" w:rsidR="008050FF" w:rsidRPr="0013396E" w:rsidRDefault="008050FF" w:rsidP="008050FF">
                  <w:pPr>
                    <w:pStyle w:val="tablebody0"/>
                  </w:pPr>
                  <w:r w:rsidRPr="0013396E">
                    <w:t>MWh</w:t>
                  </w:r>
                </w:p>
              </w:tc>
              <w:tc>
                <w:tcPr>
                  <w:tcW w:w="3179" w:type="pct"/>
                </w:tcPr>
                <w:p w14:paraId="030711B3" w14:textId="7FFA5CCF" w:rsidR="008050FF" w:rsidRPr="0013396E" w:rsidRDefault="008050FF" w:rsidP="008050FF">
                  <w:pPr>
                    <w:pStyle w:val="tablebody0"/>
                    <w:rPr>
                      <w:i/>
                      <w:iCs/>
                    </w:rPr>
                  </w:pPr>
                  <w:r w:rsidRPr="0013396E">
                    <w:rPr>
                      <w:i/>
                    </w:rPr>
                    <w:t xml:space="preserve">Metered Energy for Wholesale Storage Load at </w:t>
                  </w:r>
                  <w:r w:rsidR="00632873" w:rsidRPr="0013396E">
                    <w:rPr>
                      <w:i/>
                    </w:rPr>
                    <w:t>B</w:t>
                  </w:r>
                  <w:r w:rsidRPr="0013396E">
                    <w:rPr>
                      <w:i/>
                    </w:rPr>
                    <w:t>us</w:t>
                  </w:r>
                  <w:r w:rsidRPr="0013396E">
                    <w:sym w:font="Symbol" w:char="F0BE"/>
                  </w:r>
                  <w:r w:rsidRPr="0013396E">
                    <w:t xml:space="preserve">The WSL energy metered by the Settlement Meter which measures WSL for the 15-minute Settlement Interval represented as a negative value, for the QSE </w:t>
                  </w:r>
                  <w:r w:rsidRPr="0013396E">
                    <w:rPr>
                      <w:i/>
                    </w:rPr>
                    <w:t>q</w:t>
                  </w:r>
                  <w:r w:rsidRPr="0013396E">
                    <w:t xml:space="preserve">, Resource </w:t>
                  </w:r>
                  <w:r w:rsidRPr="0013396E">
                    <w:rPr>
                      <w:i/>
                    </w:rPr>
                    <w:t>r</w:t>
                  </w:r>
                  <w:r w:rsidRPr="0013396E">
                    <w:t xml:space="preserve">, at bus </w:t>
                  </w:r>
                  <w:r w:rsidRPr="0013396E">
                    <w:rPr>
                      <w:i/>
                    </w:rPr>
                    <w:t>b</w:t>
                  </w:r>
                  <w:r w:rsidRPr="0013396E">
                    <w:t xml:space="preserve">.  </w:t>
                  </w:r>
                </w:p>
              </w:tc>
            </w:tr>
            <w:tr w:rsidR="00632873" w:rsidRPr="0013396E" w14:paraId="706DA1C8" w14:textId="77777777" w:rsidTr="00806724">
              <w:trPr>
                <w:cantSplit/>
              </w:trPr>
              <w:tc>
                <w:tcPr>
                  <w:tcW w:w="1145" w:type="pct"/>
                </w:tcPr>
                <w:p w14:paraId="0E2C68CD" w14:textId="30052DF0" w:rsidR="00632873" w:rsidRPr="0013396E" w:rsidRDefault="00632873" w:rsidP="00632873">
                  <w:pPr>
                    <w:pStyle w:val="tablebody0"/>
                  </w:pPr>
                  <w:r w:rsidRPr="0013396E">
                    <w:t xml:space="preserve">MEBCL </w:t>
                  </w:r>
                  <w:r w:rsidRPr="0013396E">
                    <w:rPr>
                      <w:i/>
                      <w:vertAlign w:val="subscript"/>
                    </w:rPr>
                    <w:t>q, r, b</w:t>
                  </w:r>
                </w:p>
              </w:tc>
              <w:tc>
                <w:tcPr>
                  <w:tcW w:w="676" w:type="pct"/>
                </w:tcPr>
                <w:p w14:paraId="58BD2629" w14:textId="51C023A8" w:rsidR="00632873" w:rsidRPr="0013396E" w:rsidRDefault="00632873" w:rsidP="00632873">
                  <w:pPr>
                    <w:pStyle w:val="tablebody0"/>
                  </w:pPr>
                  <w:r w:rsidRPr="0013396E">
                    <w:t>MWh</w:t>
                  </w:r>
                </w:p>
              </w:tc>
              <w:tc>
                <w:tcPr>
                  <w:tcW w:w="3179" w:type="pct"/>
                </w:tcPr>
                <w:p w14:paraId="6B6DDABE" w14:textId="5324CB35" w:rsidR="00632873" w:rsidRPr="0013396E" w:rsidRDefault="00632873" w:rsidP="00632873">
                  <w:pPr>
                    <w:pStyle w:val="tablebody0"/>
                    <w:rPr>
                      <w:i/>
                    </w:rPr>
                  </w:pPr>
                  <w:r w:rsidRPr="0013396E">
                    <w:rPr>
                      <w:i/>
                    </w:rPr>
                    <w:t xml:space="preserve">Calculated Metered Energy for CLR Load at Bus </w:t>
                  </w:r>
                  <w:r w:rsidRPr="0013396E">
                    <w:t xml:space="preserve">- The calculated CLR Load, adjusted for UFE, for the 15-minute Settlement Interval represented as a negative value, for the QSE </w:t>
                  </w:r>
                  <w:r w:rsidRPr="0013396E">
                    <w:rPr>
                      <w:i/>
                    </w:rPr>
                    <w:t>q</w:t>
                  </w:r>
                  <w:r w:rsidRPr="0013396E">
                    <w:t xml:space="preserve">, Resource </w:t>
                  </w:r>
                  <w:r w:rsidRPr="0013396E">
                    <w:rPr>
                      <w:i/>
                    </w:rPr>
                    <w:t>r</w:t>
                  </w:r>
                  <w:r w:rsidRPr="0013396E">
                    <w:t xml:space="preserve">, at bus </w:t>
                  </w:r>
                  <w:r w:rsidRPr="0013396E">
                    <w:rPr>
                      <w:i/>
                    </w:rPr>
                    <w:t>b</w:t>
                  </w:r>
                  <w:r w:rsidRPr="0013396E">
                    <w:t xml:space="preserve">.  </w:t>
                  </w:r>
                  <w:r w:rsidRPr="0013396E">
                    <w:rPr>
                      <w:i/>
                    </w:rPr>
                    <w:t xml:space="preserve"> </w:t>
                  </w:r>
                </w:p>
              </w:tc>
            </w:tr>
            <w:tr w:rsidR="00632873" w:rsidRPr="0013396E" w14:paraId="2C6A28A7" w14:textId="77777777" w:rsidTr="00806724">
              <w:trPr>
                <w:cantSplit/>
              </w:trPr>
              <w:tc>
                <w:tcPr>
                  <w:tcW w:w="1145" w:type="pct"/>
                </w:tcPr>
                <w:p w14:paraId="38E4721D" w14:textId="45948EAA" w:rsidR="00632873" w:rsidRPr="0013396E" w:rsidRDefault="00632873" w:rsidP="00632873">
                  <w:pPr>
                    <w:pStyle w:val="tablebody0"/>
                  </w:pPr>
                  <w:r w:rsidRPr="0013396E">
                    <w:lastRenderedPageBreak/>
                    <w:t xml:space="preserve">MEBCLFG </w:t>
                  </w:r>
                  <w:r w:rsidRPr="0013396E">
                    <w:rPr>
                      <w:i/>
                      <w:vertAlign w:val="subscript"/>
                    </w:rPr>
                    <w:t>q, r, b</w:t>
                  </w:r>
                </w:p>
              </w:tc>
              <w:tc>
                <w:tcPr>
                  <w:tcW w:w="676" w:type="pct"/>
                </w:tcPr>
                <w:p w14:paraId="2EFA9123" w14:textId="6F31E480" w:rsidR="00632873" w:rsidRPr="0013396E" w:rsidRDefault="00632873" w:rsidP="00632873">
                  <w:pPr>
                    <w:pStyle w:val="tablebody0"/>
                  </w:pPr>
                  <w:r w:rsidRPr="0013396E">
                    <w:t>MWh</w:t>
                  </w:r>
                </w:p>
              </w:tc>
              <w:tc>
                <w:tcPr>
                  <w:tcW w:w="3179" w:type="pct"/>
                </w:tcPr>
                <w:p w14:paraId="5D9EB3F2" w14:textId="6817ED0C" w:rsidR="00632873" w:rsidRPr="0013396E" w:rsidRDefault="00632873" w:rsidP="00632873">
                  <w:pPr>
                    <w:pStyle w:val="tablebody0"/>
                    <w:rPr>
                      <w:i/>
                    </w:rPr>
                  </w:pPr>
                  <w:r w:rsidRPr="0013396E">
                    <w:rPr>
                      <w:i/>
                    </w:rPr>
                    <w:t>Adjusted Metered Energy for CLR Load supplied from the grid at Bus (Calculated)</w:t>
                  </w:r>
                  <w:r w:rsidRPr="0013396E">
                    <w:t xml:space="preserve">—The portion of energy metered by the Settlement Meter which measures CLR Load supplied from the grid that is adjusted for losses, for the 15-minute Settlement Interval represented as a negative value, for the QSE </w:t>
                  </w:r>
                  <w:r w:rsidRPr="0013396E">
                    <w:rPr>
                      <w:i/>
                    </w:rPr>
                    <w:t>q</w:t>
                  </w:r>
                  <w:r w:rsidRPr="0013396E">
                    <w:t xml:space="preserve">, Resource </w:t>
                  </w:r>
                  <w:r w:rsidRPr="0013396E">
                    <w:rPr>
                      <w:i/>
                    </w:rPr>
                    <w:t>r</w:t>
                  </w:r>
                  <w:r w:rsidRPr="0013396E">
                    <w:t xml:space="preserve">, at bus </w:t>
                  </w:r>
                  <w:r w:rsidRPr="0013396E">
                    <w:rPr>
                      <w:i/>
                    </w:rPr>
                    <w:t>b</w:t>
                  </w:r>
                  <w:r w:rsidRPr="0013396E">
                    <w:t>.</w:t>
                  </w:r>
                </w:p>
              </w:tc>
            </w:tr>
            <w:tr w:rsidR="00632873" w:rsidRPr="0013396E" w14:paraId="01149654" w14:textId="77777777" w:rsidTr="00806724">
              <w:trPr>
                <w:cantSplit/>
              </w:trPr>
              <w:tc>
                <w:tcPr>
                  <w:tcW w:w="1145" w:type="pct"/>
                </w:tcPr>
                <w:p w14:paraId="7FA64B0E" w14:textId="78EDCA96" w:rsidR="00632873" w:rsidRPr="0013396E" w:rsidRDefault="00632873" w:rsidP="00632873">
                  <w:pPr>
                    <w:pStyle w:val="tablebody0"/>
                  </w:pPr>
                  <w:r w:rsidRPr="0013396E">
                    <w:t xml:space="preserve">MEBCLSG </w:t>
                  </w:r>
                  <w:r w:rsidRPr="0013396E">
                    <w:rPr>
                      <w:i/>
                      <w:vertAlign w:val="subscript"/>
                    </w:rPr>
                    <w:t>q, r, b</w:t>
                  </w:r>
                </w:p>
              </w:tc>
              <w:tc>
                <w:tcPr>
                  <w:tcW w:w="676" w:type="pct"/>
                </w:tcPr>
                <w:p w14:paraId="299A67BA" w14:textId="5581C58A" w:rsidR="00632873" w:rsidRPr="0013396E" w:rsidRDefault="00632873" w:rsidP="00632873">
                  <w:pPr>
                    <w:pStyle w:val="tablebody0"/>
                  </w:pPr>
                  <w:r w:rsidRPr="0013396E">
                    <w:t>MWh</w:t>
                  </w:r>
                </w:p>
              </w:tc>
              <w:tc>
                <w:tcPr>
                  <w:tcW w:w="3179" w:type="pct"/>
                </w:tcPr>
                <w:p w14:paraId="238A05FE" w14:textId="6E843272" w:rsidR="00632873" w:rsidRPr="0013396E" w:rsidRDefault="00632873" w:rsidP="00632873">
                  <w:pPr>
                    <w:pStyle w:val="tablebody0"/>
                    <w:rPr>
                      <w:i/>
                    </w:rPr>
                  </w:pPr>
                  <w:r w:rsidRPr="0013396E">
                    <w:rPr>
                      <w:i/>
                    </w:rPr>
                    <w:t xml:space="preserve">Metered Energy for CLR Load supplied from co-located generation with Net Metering arrangement, at Bus (Calculated) </w:t>
                  </w:r>
                  <w:r w:rsidRPr="0013396E">
                    <w:t xml:space="preserve">—The portion of energy metered by the Settlement Meter which measures CLR Load supplied from the co-located generation with Net Metering arrangement. This is not adjusted for losses, for the 15-minute Settlement Interval represented as a negative value, for the QSE </w:t>
                  </w:r>
                  <w:r w:rsidRPr="0013396E">
                    <w:rPr>
                      <w:i/>
                    </w:rPr>
                    <w:t>q</w:t>
                  </w:r>
                  <w:r w:rsidRPr="0013396E">
                    <w:t xml:space="preserve">, Resource </w:t>
                  </w:r>
                  <w:r w:rsidRPr="0013396E">
                    <w:rPr>
                      <w:i/>
                    </w:rPr>
                    <w:t>r</w:t>
                  </w:r>
                  <w:r w:rsidRPr="0013396E">
                    <w:t xml:space="preserve">, at bus </w:t>
                  </w:r>
                  <w:r w:rsidRPr="0013396E">
                    <w:rPr>
                      <w:i/>
                    </w:rPr>
                    <w:t>b</w:t>
                  </w:r>
                  <w:r w:rsidRPr="0013396E">
                    <w:t>.</w:t>
                  </w:r>
                </w:p>
              </w:tc>
            </w:tr>
            <w:tr w:rsidR="008050FF" w:rsidRPr="0013396E" w14:paraId="05682B65" w14:textId="77777777" w:rsidTr="00806724">
              <w:trPr>
                <w:cantSplit/>
              </w:trPr>
              <w:tc>
                <w:tcPr>
                  <w:tcW w:w="1145" w:type="pct"/>
                </w:tcPr>
                <w:p w14:paraId="1B400726" w14:textId="77777777" w:rsidR="008050FF" w:rsidRPr="0013396E" w:rsidRDefault="008050FF" w:rsidP="008050FF">
                  <w:pPr>
                    <w:pStyle w:val="tablebody0"/>
                  </w:pPr>
                  <w:r w:rsidRPr="0013396E">
                    <w:t xml:space="preserve">MEBR </w:t>
                  </w:r>
                  <w:r w:rsidRPr="0013396E">
                    <w:rPr>
                      <w:i/>
                      <w:vertAlign w:val="subscript"/>
                    </w:rPr>
                    <w:t>q, r, b</w:t>
                  </w:r>
                </w:p>
              </w:tc>
              <w:tc>
                <w:tcPr>
                  <w:tcW w:w="676" w:type="pct"/>
                </w:tcPr>
                <w:p w14:paraId="025EEAD1" w14:textId="77777777" w:rsidR="008050FF" w:rsidRPr="0013396E" w:rsidRDefault="008050FF" w:rsidP="008050FF">
                  <w:pPr>
                    <w:pStyle w:val="tablebody0"/>
                  </w:pPr>
                  <w:r w:rsidRPr="0013396E">
                    <w:t>MWh</w:t>
                  </w:r>
                </w:p>
              </w:tc>
              <w:tc>
                <w:tcPr>
                  <w:tcW w:w="3179" w:type="pct"/>
                </w:tcPr>
                <w:p w14:paraId="0E62F546" w14:textId="5A4D3779" w:rsidR="008050FF" w:rsidRPr="0013396E" w:rsidRDefault="00632873" w:rsidP="00674579">
                  <w:pPr>
                    <w:pStyle w:val="tablebody0"/>
                    <w:rPr>
                      <w:i/>
                    </w:rPr>
                  </w:pPr>
                  <w:r w:rsidRPr="0013396E">
                    <w:rPr>
                      <w:i/>
                    </w:rPr>
                    <w:t xml:space="preserve">Calculated </w:t>
                  </w:r>
                  <w:r w:rsidR="008050FF" w:rsidRPr="0013396E">
                    <w:rPr>
                      <w:i/>
                    </w:rPr>
                    <w:t xml:space="preserve">Metered Energy for Energy Storage Resource Load at Bus </w:t>
                  </w:r>
                  <w:r w:rsidR="008050FF" w:rsidRPr="0013396E">
                    <w:t xml:space="preserve">- The </w:t>
                  </w:r>
                  <w:r w:rsidRPr="0013396E">
                    <w:t>calculated</w:t>
                  </w:r>
                  <w:r w:rsidR="008050FF" w:rsidRPr="0013396E">
                    <w:t xml:space="preserve"> </w:t>
                  </w:r>
                  <w:r w:rsidR="00674579" w:rsidRPr="0013396E">
                    <w:t>Non-WSL ESR Charging Load</w:t>
                  </w:r>
                  <w:r w:rsidRPr="0013396E">
                    <w:t>, adjusted for UFE,</w:t>
                  </w:r>
                  <w:r w:rsidR="008050FF" w:rsidRPr="0013396E">
                    <w:t xml:space="preserve"> for the 15-minute Settlement Interval represented as a negative value, for the QSE </w:t>
                  </w:r>
                  <w:r w:rsidR="008050FF" w:rsidRPr="0013396E">
                    <w:rPr>
                      <w:i/>
                    </w:rPr>
                    <w:t>q</w:t>
                  </w:r>
                  <w:r w:rsidR="008050FF" w:rsidRPr="0013396E">
                    <w:t xml:space="preserve">, Resource </w:t>
                  </w:r>
                  <w:r w:rsidR="008050FF" w:rsidRPr="0013396E">
                    <w:rPr>
                      <w:i/>
                    </w:rPr>
                    <w:t>r</w:t>
                  </w:r>
                  <w:r w:rsidR="008050FF" w:rsidRPr="0013396E">
                    <w:t xml:space="preserve">, at bus </w:t>
                  </w:r>
                  <w:r w:rsidR="008050FF" w:rsidRPr="0013396E">
                    <w:rPr>
                      <w:i/>
                    </w:rPr>
                    <w:t>b</w:t>
                  </w:r>
                  <w:r w:rsidR="008050FF" w:rsidRPr="0013396E">
                    <w:t xml:space="preserve">.  </w:t>
                  </w:r>
                  <w:r w:rsidR="008050FF" w:rsidRPr="0013396E">
                    <w:rPr>
                      <w:i/>
                    </w:rPr>
                    <w:t xml:space="preserve"> </w:t>
                  </w:r>
                </w:p>
              </w:tc>
            </w:tr>
            <w:tr w:rsidR="00632873" w:rsidRPr="0013396E" w14:paraId="46C35888" w14:textId="77777777" w:rsidTr="00806724">
              <w:trPr>
                <w:cantSplit/>
              </w:trPr>
              <w:tc>
                <w:tcPr>
                  <w:tcW w:w="1145" w:type="pct"/>
                </w:tcPr>
                <w:p w14:paraId="38CAE539" w14:textId="4DAA9259" w:rsidR="00632873" w:rsidRPr="0013396E" w:rsidRDefault="00632873" w:rsidP="00632873">
                  <w:pPr>
                    <w:pStyle w:val="tablebody0"/>
                  </w:pPr>
                  <w:r w:rsidRPr="0013396E">
                    <w:t xml:space="preserve">MEBRFG </w:t>
                  </w:r>
                  <w:r w:rsidRPr="0013396E">
                    <w:rPr>
                      <w:i/>
                      <w:vertAlign w:val="subscript"/>
                    </w:rPr>
                    <w:t>q, r, b</w:t>
                  </w:r>
                </w:p>
              </w:tc>
              <w:tc>
                <w:tcPr>
                  <w:tcW w:w="676" w:type="pct"/>
                </w:tcPr>
                <w:p w14:paraId="5AC87C5E" w14:textId="23BD5080" w:rsidR="00632873" w:rsidRPr="0013396E" w:rsidRDefault="00632873" w:rsidP="00632873">
                  <w:pPr>
                    <w:pStyle w:val="tablebody0"/>
                  </w:pPr>
                  <w:r w:rsidRPr="0013396E">
                    <w:t>MWh</w:t>
                  </w:r>
                </w:p>
              </w:tc>
              <w:tc>
                <w:tcPr>
                  <w:tcW w:w="3179" w:type="pct"/>
                </w:tcPr>
                <w:p w14:paraId="585818FC" w14:textId="30C6151E" w:rsidR="00632873" w:rsidRPr="0013396E" w:rsidRDefault="00632873" w:rsidP="00632873">
                  <w:pPr>
                    <w:pStyle w:val="tablebody0"/>
                    <w:rPr>
                      <w:i/>
                    </w:rPr>
                  </w:pPr>
                  <w:r w:rsidRPr="0013396E">
                    <w:rPr>
                      <w:i/>
                    </w:rPr>
                    <w:t xml:space="preserve">Adjusted Metered Energy for Energy Storage Resource Load supplied from the grid at Bus (Calculated) </w:t>
                  </w:r>
                  <w:r w:rsidRPr="0013396E">
                    <w:t xml:space="preserve">—The portion of energy metered by the Settlement Meter which measures Non-WSL ESR Charging Load supplied from the grid that is adjusted for losses, for the 15-minute Settlement Interval represented as a negative value, for the QSE </w:t>
                  </w:r>
                  <w:r w:rsidRPr="0013396E">
                    <w:rPr>
                      <w:i/>
                    </w:rPr>
                    <w:t>q</w:t>
                  </w:r>
                  <w:r w:rsidRPr="0013396E">
                    <w:t xml:space="preserve">, Resource </w:t>
                  </w:r>
                  <w:r w:rsidRPr="0013396E">
                    <w:rPr>
                      <w:i/>
                    </w:rPr>
                    <w:t>r</w:t>
                  </w:r>
                  <w:r w:rsidRPr="0013396E">
                    <w:t xml:space="preserve">, at bus </w:t>
                  </w:r>
                  <w:r w:rsidRPr="0013396E">
                    <w:rPr>
                      <w:i/>
                    </w:rPr>
                    <w:t>b</w:t>
                  </w:r>
                  <w:r w:rsidRPr="0013396E">
                    <w:t>.</w:t>
                  </w:r>
                </w:p>
              </w:tc>
            </w:tr>
            <w:tr w:rsidR="00632873" w:rsidRPr="0013396E" w14:paraId="396B2F05" w14:textId="77777777" w:rsidTr="00806724">
              <w:trPr>
                <w:cantSplit/>
              </w:trPr>
              <w:tc>
                <w:tcPr>
                  <w:tcW w:w="1145" w:type="pct"/>
                </w:tcPr>
                <w:p w14:paraId="4F284334" w14:textId="3A24F8D7" w:rsidR="00632873" w:rsidRPr="0013396E" w:rsidRDefault="00632873" w:rsidP="00632873">
                  <w:pPr>
                    <w:pStyle w:val="tablebody0"/>
                  </w:pPr>
                  <w:r w:rsidRPr="0013396E">
                    <w:t xml:space="preserve">MEBRSG </w:t>
                  </w:r>
                  <w:r w:rsidRPr="0013396E">
                    <w:rPr>
                      <w:i/>
                      <w:vertAlign w:val="subscript"/>
                    </w:rPr>
                    <w:t>q, r, b</w:t>
                  </w:r>
                </w:p>
              </w:tc>
              <w:tc>
                <w:tcPr>
                  <w:tcW w:w="676" w:type="pct"/>
                </w:tcPr>
                <w:p w14:paraId="56A70E03" w14:textId="376B1AE2" w:rsidR="00632873" w:rsidRPr="0013396E" w:rsidRDefault="00632873" w:rsidP="00632873">
                  <w:pPr>
                    <w:pStyle w:val="tablebody0"/>
                  </w:pPr>
                  <w:r w:rsidRPr="0013396E">
                    <w:t>MWh</w:t>
                  </w:r>
                </w:p>
              </w:tc>
              <w:tc>
                <w:tcPr>
                  <w:tcW w:w="3179" w:type="pct"/>
                </w:tcPr>
                <w:p w14:paraId="61D1670C" w14:textId="22F33495" w:rsidR="00632873" w:rsidRPr="0013396E" w:rsidRDefault="00632873" w:rsidP="00632873">
                  <w:pPr>
                    <w:pStyle w:val="tablebody0"/>
                    <w:rPr>
                      <w:i/>
                    </w:rPr>
                  </w:pPr>
                  <w:r w:rsidRPr="0013396E">
                    <w:rPr>
                      <w:i/>
                    </w:rPr>
                    <w:t xml:space="preserve">Metered Energy for Energy Storage Resource Load supplied from co-located generation with Net Metering arrangement, at Bus (Calculated) </w:t>
                  </w:r>
                  <w:r w:rsidRPr="0013396E">
                    <w:t xml:space="preserve">—The portion of energy metered by the Settlement Meter which measures Non-WSL ESR Charging Load supplied from the co-located generation with Net Metering arrangement.  This is not adjusted for losses, for the 15-minute Settlement Interval represented as a negative value, for the QSE </w:t>
                  </w:r>
                  <w:r w:rsidRPr="0013396E">
                    <w:rPr>
                      <w:i/>
                    </w:rPr>
                    <w:t>q</w:t>
                  </w:r>
                  <w:r w:rsidRPr="0013396E">
                    <w:t xml:space="preserve">, Resource </w:t>
                  </w:r>
                  <w:r w:rsidRPr="0013396E">
                    <w:rPr>
                      <w:i/>
                    </w:rPr>
                    <w:t>r</w:t>
                  </w:r>
                  <w:r w:rsidRPr="0013396E">
                    <w:t xml:space="preserve">, at bus </w:t>
                  </w:r>
                  <w:r w:rsidRPr="0013396E">
                    <w:rPr>
                      <w:i/>
                    </w:rPr>
                    <w:t>b</w:t>
                  </w:r>
                  <w:r w:rsidRPr="0013396E">
                    <w:t>.</w:t>
                  </w:r>
                </w:p>
              </w:tc>
            </w:tr>
            <w:tr w:rsidR="008050FF" w:rsidRPr="0013396E" w14:paraId="1B546241" w14:textId="77777777" w:rsidTr="00806724">
              <w:trPr>
                <w:cantSplit/>
              </w:trPr>
              <w:tc>
                <w:tcPr>
                  <w:tcW w:w="1145" w:type="pct"/>
                </w:tcPr>
                <w:p w14:paraId="08556536" w14:textId="77777777" w:rsidR="008050FF" w:rsidRPr="0013396E" w:rsidRDefault="008050FF" w:rsidP="008050FF">
                  <w:pPr>
                    <w:pStyle w:val="tablebody0"/>
                    <w:rPr>
                      <w:i/>
                    </w:rPr>
                  </w:pPr>
                  <w:r w:rsidRPr="0013396E">
                    <w:t>WSLAMTTOT</w:t>
                  </w:r>
                  <w:r w:rsidRPr="0013396E">
                    <w:rPr>
                      <w:vertAlign w:val="subscript"/>
                    </w:rPr>
                    <w:t xml:space="preserve"> </w:t>
                  </w:r>
                  <w:r w:rsidRPr="0013396E">
                    <w:rPr>
                      <w:i/>
                      <w:vertAlign w:val="subscript"/>
                    </w:rPr>
                    <w:t>q, r, p</w:t>
                  </w:r>
                </w:p>
              </w:tc>
              <w:tc>
                <w:tcPr>
                  <w:tcW w:w="676" w:type="pct"/>
                </w:tcPr>
                <w:p w14:paraId="4F187FD7" w14:textId="77777777" w:rsidR="008050FF" w:rsidRPr="0013396E" w:rsidRDefault="008050FF" w:rsidP="008050FF">
                  <w:pPr>
                    <w:pStyle w:val="tablebody0"/>
                  </w:pPr>
                  <w:r w:rsidRPr="0013396E">
                    <w:t>$</w:t>
                  </w:r>
                </w:p>
              </w:tc>
              <w:tc>
                <w:tcPr>
                  <w:tcW w:w="3179" w:type="pct"/>
                </w:tcPr>
                <w:p w14:paraId="79ED2FEC" w14:textId="77777777" w:rsidR="008050FF" w:rsidRPr="0013396E" w:rsidRDefault="008050FF" w:rsidP="008050FF">
                  <w:pPr>
                    <w:pStyle w:val="tablebody0"/>
                  </w:pPr>
                  <w:r w:rsidRPr="0013396E">
                    <w:rPr>
                      <w:i/>
                    </w:rPr>
                    <w:t>Wholesale Storage Load Settlement</w:t>
                  </w:r>
                  <w:r w:rsidRPr="0013396E">
                    <w:t>—</w:t>
                  </w:r>
                  <w:r w:rsidRPr="0013396E">
                    <w:rPr>
                      <w:iCs/>
                    </w:rPr>
                    <w:t xml:space="preserve">The total payment or charge to QSE </w:t>
                  </w:r>
                  <w:r w:rsidRPr="0013396E">
                    <w:rPr>
                      <w:i/>
                      <w:iCs/>
                    </w:rPr>
                    <w:t>q</w:t>
                  </w:r>
                  <w:r w:rsidRPr="0013396E">
                    <w:rPr>
                      <w:iCs/>
                    </w:rPr>
                    <w:t xml:space="preserve">, Resource </w:t>
                  </w:r>
                  <w:r w:rsidRPr="0013396E">
                    <w:rPr>
                      <w:i/>
                      <w:iCs/>
                    </w:rPr>
                    <w:t>r</w:t>
                  </w:r>
                  <w:r w:rsidRPr="0013396E">
                    <w:rPr>
                      <w:iCs/>
                    </w:rPr>
                    <w:t xml:space="preserve">, at Settlement Point </w:t>
                  </w:r>
                  <w:r w:rsidRPr="0013396E">
                    <w:rPr>
                      <w:i/>
                      <w:iCs/>
                    </w:rPr>
                    <w:t>p</w:t>
                  </w:r>
                  <w:r w:rsidRPr="0013396E">
                    <w:rPr>
                      <w:iCs/>
                    </w:rPr>
                    <w:t xml:space="preserve">, </w:t>
                  </w:r>
                  <w:r w:rsidRPr="0013396E">
                    <w:t xml:space="preserve">for WSL </w:t>
                  </w:r>
                  <w:r w:rsidRPr="0013396E">
                    <w:rPr>
                      <w:iCs/>
                    </w:rPr>
                    <w:t>for each 15-minute Settlement Interval.</w:t>
                  </w:r>
                </w:p>
              </w:tc>
            </w:tr>
            <w:tr w:rsidR="00632873" w:rsidRPr="0013396E" w14:paraId="184227D9" w14:textId="77777777" w:rsidTr="00806724">
              <w:trPr>
                <w:cantSplit/>
              </w:trPr>
              <w:tc>
                <w:tcPr>
                  <w:tcW w:w="1145" w:type="pct"/>
                </w:tcPr>
                <w:p w14:paraId="3AAA069B" w14:textId="00AE2F8C" w:rsidR="00632873" w:rsidRPr="0013396E" w:rsidRDefault="00632873" w:rsidP="00632873">
                  <w:pPr>
                    <w:pStyle w:val="tablebody0"/>
                  </w:pPr>
                  <w:r w:rsidRPr="0013396E">
                    <w:t>CLRAMTTOT</w:t>
                  </w:r>
                  <w:r w:rsidRPr="0013396E">
                    <w:rPr>
                      <w:vertAlign w:val="subscript"/>
                    </w:rPr>
                    <w:t xml:space="preserve"> </w:t>
                  </w:r>
                  <w:r w:rsidRPr="0013396E">
                    <w:rPr>
                      <w:i/>
                      <w:vertAlign w:val="subscript"/>
                    </w:rPr>
                    <w:t>q, r, p</w:t>
                  </w:r>
                </w:p>
              </w:tc>
              <w:tc>
                <w:tcPr>
                  <w:tcW w:w="676" w:type="pct"/>
                </w:tcPr>
                <w:p w14:paraId="27CC3509" w14:textId="3562C6CE" w:rsidR="00632873" w:rsidRPr="0013396E" w:rsidRDefault="00632873" w:rsidP="00632873">
                  <w:pPr>
                    <w:pStyle w:val="tablebody0"/>
                  </w:pPr>
                  <w:r w:rsidRPr="0013396E">
                    <w:t>$</w:t>
                  </w:r>
                </w:p>
              </w:tc>
              <w:tc>
                <w:tcPr>
                  <w:tcW w:w="3179" w:type="pct"/>
                </w:tcPr>
                <w:p w14:paraId="601B741B" w14:textId="2971A87A" w:rsidR="00632873" w:rsidRPr="0013396E" w:rsidRDefault="00632873" w:rsidP="00632873">
                  <w:pPr>
                    <w:pStyle w:val="tablebody0"/>
                    <w:rPr>
                      <w:i/>
                    </w:rPr>
                  </w:pPr>
                  <w:r w:rsidRPr="0013396E">
                    <w:rPr>
                      <w:i/>
                    </w:rPr>
                    <w:t>CLR Load Settlement</w:t>
                  </w:r>
                  <w:r w:rsidRPr="0013396E">
                    <w:t>—</w:t>
                  </w:r>
                  <w:r w:rsidRPr="0013396E">
                    <w:rPr>
                      <w:iCs/>
                    </w:rPr>
                    <w:t xml:space="preserve">The total payment or charge to QSE </w:t>
                  </w:r>
                  <w:r w:rsidRPr="0013396E">
                    <w:rPr>
                      <w:i/>
                      <w:iCs/>
                    </w:rPr>
                    <w:t>q</w:t>
                  </w:r>
                  <w:r w:rsidRPr="0013396E">
                    <w:rPr>
                      <w:iCs/>
                    </w:rPr>
                    <w:t xml:space="preserve">, Resource </w:t>
                  </w:r>
                  <w:r w:rsidRPr="0013396E">
                    <w:rPr>
                      <w:i/>
                      <w:iCs/>
                    </w:rPr>
                    <w:t>r</w:t>
                  </w:r>
                  <w:r w:rsidRPr="0013396E">
                    <w:rPr>
                      <w:iCs/>
                    </w:rPr>
                    <w:t xml:space="preserve">, at Settlement Point </w:t>
                  </w:r>
                  <w:r w:rsidRPr="0013396E">
                    <w:rPr>
                      <w:i/>
                      <w:iCs/>
                    </w:rPr>
                    <w:t>p</w:t>
                  </w:r>
                  <w:r w:rsidRPr="0013396E">
                    <w:rPr>
                      <w:iCs/>
                    </w:rPr>
                    <w:t xml:space="preserve">, </w:t>
                  </w:r>
                  <w:r w:rsidRPr="0013396E">
                    <w:t xml:space="preserve">for CLR Load </w:t>
                  </w:r>
                  <w:r w:rsidRPr="0013396E">
                    <w:rPr>
                      <w:iCs/>
                    </w:rPr>
                    <w:t>for each 15-minute Settlement Interval.</w:t>
                  </w:r>
                </w:p>
              </w:tc>
            </w:tr>
            <w:tr w:rsidR="008050FF" w:rsidRPr="0013396E" w14:paraId="6FDC7E83" w14:textId="77777777" w:rsidTr="00806724">
              <w:trPr>
                <w:cantSplit/>
              </w:trPr>
              <w:tc>
                <w:tcPr>
                  <w:tcW w:w="1145" w:type="pct"/>
                </w:tcPr>
                <w:p w14:paraId="0F4A1249" w14:textId="77777777" w:rsidR="008050FF" w:rsidRPr="0013396E" w:rsidRDefault="008050FF" w:rsidP="008050FF">
                  <w:pPr>
                    <w:pStyle w:val="tablebody0"/>
                  </w:pPr>
                  <w:r w:rsidRPr="0013396E">
                    <w:t>ESRNWSLAMTTOT</w:t>
                  </w:r>
                  <w:r w:rsidRPr="0013396E">
                    <w:rPr>
                      <w:vertAlign w:val="subscript"/>
                    </w:rPr>
                    <w:t xml:space="preserve"> </w:t>
                  </w:r>
                  <w:r w:rsidRPr="0013396E">
                    <w:rPr>
                      <w:i/>
                      <w:vertAlign w:val="subscript"/>
                    </w:rPr>
                    <w:t>q, r, p</w:t>
                  </w:r>
                </w:p>
              </w:tc>
              <w:tc>
                <w:tcPr>
                  <w:tcW w:w="676" w:type="pct"/>
                </w:tcPr>
                <w:p w14:paraId="27AC369D" w14:textId="77777777" w:rsidR="008050FF" w:rsidRPr="0013396E" w:rsidRDefault="008050FF" w:rsidP="008050FF">
                  <w:pPr>
                    <w:pStyle w:val="tablebody0"/>
                  </w:pPr>
                  <w:r w:rsidRPr="0013396E">
                    <w:t>$</w:t>
                  </w:r>
                </w:p>
              </w:tc>
              <w:tc>
                <w:tcPr>
                  <w:tcW w:w="3179" w:type="pct"/>
                </w:tcPr>
                <w:p w14:paraId="14B7F270" w14:textId="1856B720" w:rsidR="008050FF" w:rsidRPr="0013396E" w:rsidRDefault="008050FF" w:rsidP="00674579">
                  <w:pPr>
                    <w:pStyle w:val="tablebody0"/>
                    <w:rPr>
                      <w:i/>
                    </w:rPr>
                  </w:pPr>
                  <w:r w:rsidRPr="0013396E">
                    <w:rPr>
                      <w:i/>
                    </w:rPr>
                    <w:t>Energy Storage Resource Non-WSL Settlement</w:t>
                  </w:r>
                  <w:r w:rsidRPr="0013396E">
                    <w:t>—</w:t>
                  </w:r>
                  <w:r w:rsidRPr="0013396E">
                    <w:rPr>
                      <w:iCs/>
                    </w:rPr>
                    <w:t xml:space="preserve">The total payment or charge to QSE </w:t>
                  </w:r>
                  <w:r w:rsidRPr="0013396E">
                    <w:rPr>
                      <w:i/>
                      <w:iCs/>
                    </w:rPr>
                    <w:t>q</w:t>
                  </w:r>
                  <w:r w:rsidRPr="0013396E">
                    <w:rPr>
                      <w:iCs/>
                    </w:rPr>
                    <w:t xml:space="preserve">, Resource </w:t>
                  </w:r>
                  <w:r w:rsidRPr="0013396E">
                    <w:rPr>
                      <w:i/>
                      <w:iCs/>
                    </w:rPr>
                    <w:t>r</w:t>
                  </w:r>
                  <w:r w:rsidRPr="0013396E">
                    <w:rPr>
                      <w:iCs/>
                    </w:rPr>
                    <w:t xml:space="preserve">, at Settlement Point </w:t>
                  </w:r>
                  <w:r w:rsidRPr="0013396E">
                    <w:rPr>
                      <w:i/>
                      <w:iCs/>
                    </w:rPr>
                    <w:t>p</w:t>
                  </w:r>
                  <w:r w:rsidRPr="0013396E">
                    <w:rPr>
                      <w:iCs/>
                    </w:rPr>
                    <w:t xml:space="preserve">, </w:t>
                  </w:r>
                  <w:r w:rsidRPr="0013396E">
                    <w:t xml:space="preserve">for </w:t>
                  </w:r>
                  <w:r w:rsidR="00674579" w:rsidRPr="0013396E">
                    <w:t>Non-WSL ESR Charging Load</w:t>
                  </w:r>
                  <w:r w:rsidRPr="0013396E">
                    <w:t xml:space="preserve"> </w:t>
                  </w:r>
                  <w:r w:rsidRPr="0013396E">
                    <w:rPr>
                      <w:iCs/>
                    </w:rPr>
                    <w:t>for each 15-minute Settlement Interval.</w:t>
                  </w:r>
                </w:p>
              </w:tc>
            </w:tr>
            <w:tr w:rsidR="008050FF" w:rsidRPr="0013396E" w14:paraId="431951BF" w14:textId="77777777" w:rsidTr="00806724">
              <w:trPr>
                <w:cantSplit/>
              </w:trPr>
              <w:tc>
                <w:tcPr>
                  <w:tcW w:w="1145" w:type="pct"/>
                </w:tcPr>
                <w:p w14:paraId="78EE60E5" w14:textId="77777777" w:rsidR="008050FF" w:rsidRPr="0013396E" w:rsidRDefault="008050FF" w:rsidP="008050FF">
                  <w:pPr>
                    <w:pStyle w:val="tablebody0"/>
                    <w:rPr>
                      <w:i/>
                    </w:rPr>
                  </w:pPr>
                  <w:r w:rsidRPr="0013396E">
                    <w:rPr>
                      <w:lang w:val="es-ES"/>
                    </w:rPr>
                    <w:t>RNWFL</w:t>
                  </w:r>
                  <w:r w:rsidRPr="0013396E">
                    <w:rPr>
                      <w:vertAlign w:val="subscript"/>
                    </w:rPr>
                    <w:t xml:space="preserve"> </w:t>
                  </w:r>
                  <w:r w:rsidRPr="0013396E">
                    <w:rPr>
                      <w:i/>
                      <w:iCs/>
                      <w:vertAlign w:val="subscript"/>
                      <w:lang w:val="es-ES"/>
                    </w:rPr>
                    <w:t>b, y</w:t>
                  </w:r>
                </w:p>
              </w:tc>
              <w:tc>
                <w:tcPr>
                  <w:tcW w:w="676" w:type="pct"/>
                </w:tcPr>
                <w:p w14:paraId="6C083463" w14:textId="77777777" w:rsidR="008050FF" w:rsidRPr="0013396E" w:rsidRDefault="008050FF" w:rsidP="008050FF">
                  <w:pPr>
                    <w:pStyle w:val="tablebody0"/>
                  </w:pPr>
                  <w:r w:rsidRPr="0013396E">
                    <w:t>none</w:t>
                  </w:r>
                </w:p>
              </w:tc>
              <w:tc>
                <w:tcPr>
                  <w:tcW w:w="3179" w:type="pct"/>
                </w:tcPr>
                <w:p w14:paraId="11CEBC45" w14:textId="0D4EFE6C" w:rsidR="008050FF" w:rsidRPr="0013396E" w:rsidRDefault="008050FF" w:rsidP="008050FF">
                  <w:pPr>
                    <w:pStyle w:val="tablebody0"/>
                  </w:pPr>
                  <w:r w:rsidRPr="0013396E">
                    <w:rPr>
                      <w:i/>
                      <w:iCs/>
                    </w:rPr>
                    <w:t xml:space="preserve">Net meter Weighting Factor per interval </w:t>
                  </w:r>
                  <w:r w:rsidRPr="0013396E">
                    <w:rPr>
                      <w:i/>
                    </w:rPr>
                    <w:t>for the Energy Metered as Energy Storage Resource Load</w:t>
                  </w:r>
                  <w:r w:rsidR="00632873" w:rsidRPr="0013396E">
                    <w:rPr>
                      <w:i/>
                    </w:rPr>
                    <w:t xml:space="preserve"> or CLR Load</w:t>
                  </w:r>
                  <w:r w:rsidRPr="0013396E">
                    <w:rPr>
                      <w:rFonts w:ascii="Symbol" w:hAnsi="Symbol"/>
                    </w:rPr>
                    <w:t></w:t>
                  </w:r>
                  <w:r w:rsidRPr="0013396E">
                    <w:rPr>
                      <w:rFonts w:ascii="Symbol" w:hAnsi="Symbol"/>
                    </w:rPr>
                    <w:t></w:t>
                  </w:r>
                  <w:r w:rsidRPr="0013396E">
                    <w:t xml:space="preserve">The weight factor used in net meter price calculation for meters in Electrical Bus </w:t>
                  </w:r>
                  <w:r w:rsidRPr="0013396E">
                    <w:rPr>
                      <w:i/>
                    </w:rPr>
                    <w:t>b</w:t>
                  </w:r>
                  <w:r w:rsidRPr="0013396E">
                    <w:t xml:space="preserve">, for the SCED interval </w:t>
                  </w:r>
                  <w:r w:rsidRPr="0013396E">
                    <w:rPr>
                      <w:i/>
                      <w:iCs/>
                    </w:rPr>
                    <w:t>y</w:t>
                  </w:r>
                  <w:r w:rsidRPr="0013396E">
                    <w:t>, for the ESR Load associated with an ESR</w:t>
                  </w:r>
                  <w:r w:rsidR="00632873" w:rsidRPr="0013396E">
                    <w:t xml:space="preserve"> or for the CLR Load associated with a CLR that is not an ALR</w:t>
                  </w:r>
                  <w:r w:rsidRPr="0013396E">
                    <w:t>.  The weighting factor used in the net meter price calculation shall not be recalculated after the fact due to revisions in the association of Resources to Settlement Meters.</w:t>
                  </w:r>
                </w:p>
              </w:tc>
            </w:tr>
            <w:tr w:rsidR="008050FF" w:rsidRPr="0013396E" w14:paraId="10800B91" w14:textId="77777777" w:rsidTr="00806724">
              <w:trPr>
                <w:cantSplit/>
              </w:trPr>
              <w:tc>
                <w:tcPr>
                  <w:tcW w:w="1145" w:type="pct"/>
                </w:tcPr>
                <w:p w14:paraId="3D61EC72" w14:textId="77777777" w:rsidR="008050FF" w:rsidRPr="0013396E" w:rsidRDefault="008050FF" w:rsidP="008050FF">
                  <w:pPr>
                    <w:pStyle w:val="tablebody0"/>
                    <w:rPr>
                      <w:i/>
                    </w:rPr>
                  </w:pPr>
                  <w:r w:rsidRPr="0013396E">
                    <w:t>RTRMPRESR</w:t>
                  </w:r>
                  <w:r w:rsidRPr="0013396E">
                    <w:rPr>
                      <w:vertAlign w:val="subscript"/>
                    </w:rPr>
                    <w:t xml:space="preserve"> </w:t>
                  </w:r>
                  <w:r w:rsidRPr="0013396E">
                    <w:rPr>
                      <w:i/>
                      <w:vertAlign w:val="subscript"/>
                    </w:rPr>
                    <w:t>b</w:t>
                  </w:r>
                </w:p>
              </w:tc>
              <w:tc>
                <w:tcPr>
                  <w:tcW w:w="676" w:type="pct"/>
                </w:tcPr>
                <w:p w14:paraId="70B8A601" w14:textId="77777777" w:rsidR="008050FF" w:rsidRPr="0013396E" w:rsidRDefault="008050FF" w:rsidP="008050FF">
                  <w:pPr>
                    <w:pStyle w:val="tablebody0"/>
                  </w:pPr>
                  <w:r w:rsidRPr="0013396E">
                    <w:t>$/MWh</w:t>
                  </w:r>
                </w:p>
              </w:tc>
              <w:tc>
                <w:tcPr>
                  <w:tcW w:w="3179" w:type="pct"/>
                </w:tcPr>
                <w:p w14:paraId="76C57756" w14:textId="5E9238F3" w:rsidR="008050FF" w:rsidRPr="0013396E" w:rsidRDefault="008050FF" w:rsidP="008050FF">
                  <w:pPr>
                    <w:pStyle w:val="tablebody0"/>
                  </w:pPr>
                  <w:r w:rsidRPr="0013396E">
                    <w:rPr>
                      <w:i/>
                    </w:rPr>
                    <w:t>Real-Time Price for the Energy Metered as Energy Storage Resource Load at bus</w:t>
                  </w:r>
                  <w:r w:rsidRPr="0013396E">
                    <w:sym w:font="Symbol" w:char="F0BE"/>
                  </w:r>
                  <w:r w:rsidRPr="0013396E">
                    <w:t>The Real-Time price for the Settlement Meter which measures E</w:t>
                  </w:r>
                  <w:r w:rsidR="005755D9" w:rsidRPr="0013396E">
                    <w:t>SR L</w:t>
                  </w:r>
                  <w:r w:rsidRPr="0013396E">
                    <w:t xml:space="preserve">oad at Electrical Bus </w:t>
                  </w:r>
                  <w:r w:rsidRPr="0013396E">
                    <w:rPr>
                      <w:i/>
                    </w:rPr>
                    <w:t>b</w:t>
                  </w:r>
                  <w:r w:rsidRPr="0013396E">
                    <w:t>, for the 15-minute Settlement Interval.</w:t>
                  </w:r>
                </w:p>
              </w:tc>
            </w:tr>
            <w:tr w:rsidR="00632873" w:rsidRPr="0013396E" w14:paraId="7F0DCB9A" w14:textId="77777777" w:rsidTr="00806724">
              <w:trPr>
                <w:cantSplit/>
              </w:trPr>
              <w:tc>
                <w:tcPr>
                  <w:tcW w:w="1145" w:type="pct"/>
                </w:tcPr>
                <w:p w14:paraId="2949F603" w14:textId="5CB31754" w:rsidR="00632873" w:rsidRPr="0013396E" w:rsidRDefault="00632873" w:rsidP="00632873">
                  <w:pPr>
                    <w:pStyle w:val="tablebody0"/>
                  </w:pPr>
                  <w:r w:rsidRPr="0013396E">
                    <w:lastRenderedPageBreak/>
                    <w:t>RTRMPRCLR</w:t>
                  </w:r>
                  <w:r w:rsidRPr="0013396E">
                    <w:rPr>
                      <w:vertAlign w:val="subscript"/>
                    </w:rPr>
                    <w:t xml:space="preserve"> </w:t>
                  </w:r>
                  <w:r w:rsidRPr="0013396E">
                    <w:rPr>
                      <w:i/>
                      <w:vertAlign w:val="subscript"/>
                    </w:rPr>
                    <w:t>b</w:t>
                  </w:r>
                </w:p>
              </w:tc>
              <w:tc>
                <w:tcPr>
                  <w:tcW w:w="676" w:type="pct"/>
                </w:tcPr>
                <w:p w14:paraId="156F925B" w14:textId="5D92CAE7" w:rsidR="00632873" w:rsidRPr="0013396E" w:rsidRDefault="00632873" w:rsidP="00632873">
                  <w:pPr>
                    <w:pStyle w:val="tablebody0"/>
                  </w:pPr>
                  <w:r w:rsidRPr="0013396E">
                    <w:t>$/MWh</w:t>
                  </w:r>
                </w:p>
              </w:tc>
              <w:tc>
                <w:tcPr>
                  <w:tcW w:w="3179" w:type="pct"/>
                </w:tcPr>
                <w:p w14:paraId="744E688C" w14:textId="637EF481" w:rsidR="00632873" w:rsidRPr="0013396E" w:rsidRDefault="00632873" w:rsidP="00632873">
                  <w:pPr>
                    <w:pStyle w:val="tablebody0"/>
                    <w:rPr>
                      <w:i/>
                    </w:rPr>
                  </w:pPr>
                  <w:r w:rsidRPr="0013396E">
                    <w:rPr>
                      <w:i/>
                    </w:rPr>
                    <w:t>Real-Time Price for the CLR Energy Metered at bus</w:t>
                  </w:r>
                  <w:r w:rsidRPr="0013396E">
                    <w:sym w:font="Symbol" w:char="F0BE"/>
                  </w:r>
                  <w:r w:rsidRPr="0013396E">
                    <w:t xml:space="preserve">The Real-Time price for the Settlement Meter which measures CLR Load at Electrical Bus </w:t>
                  </w:r>
                  <w:r w:rsidRPr="0013396E">
                    <w:rPr>
                      <w:i/>
                    </w:rPr>
                    <w:t>b</w:t>
                  </w:r>
                  <w:r w:rsidRPr="0013396E">
                    <w:t>, for the 15-minute Settlement Interval.</w:t>
                  </w:r>
                </w:p>
              </w:tc>
            </w:tr>
            <w:tr w:rsidR="008050FF" w:rsidRPr="0013396E" w14:paraId="596556FC" w14:textId="77777777" w:rsidTr="00806724">
              <w:trPr>
                <w:cantSplit/>
              </w:trPr>
              <w:tc>
                <w:tcPr>
                  <w:tcW w:w="1145" w:type="pct"/>
                </w:tcPr>
                <w:p w14:paraId="1B486DC1" w14:textId="77777777" w:rsidR="008050FF" w:rsidRPr="0013396E" w:rsidRDefault="008050FF" w:rsidP="008050FF">
                  <w:pPr>
                    <w:pStyle w:val="tablebody0"/>
                    <w:rPr>
                      <w:lang w:val="es-ES"/>
                    </w:rPr>
                  </w:pPr>
                  <w:r w:rsidRPr="0013396E">
                    <w:t xml:space="preserve">BP </w:t>
                  </w:r>
                  <w:r w:rsidRPr="0013396E">
                    <w:rPr>
                      <w:i/>
                      <w:vertAlign w:val="subscript"/>
                    </w:rPr>
                    <w:t>r, y</w:t>
                  </w:r>
                </w:p>
              </w:tc>
              <w:tc>
                <w:tcPr>
                  <w:tcW w:w="676" w:type="pct"/>
                </w:tcPr>
                <w:p w14:paraId="44A741CE" w14:textId="77777777" w:rsidR="008050FF" w:rsidRPr="0013396E" w:rsidRDefault="008050FF" w:rsidP="008050FF">
                  <w:pPr>
                    <w:pStyle w:val="tablebody0"/>
                  </w:pPr>
                  <w:r w:rsidRPr="0013396E">
                    <w:t>MW</w:t>
                  </w:r>
                </w:p>
              </w:tc>
              <w:tc>
                <w:tcPr>
                  <w:tcW w:w="3179" w:type="pct"/>
                </w:tcPr>
                <w:p w14:paraId="5F945A9E" w14:textId="77777777" w:rsidR="008050FF" w:rsidRPr="0013396E" w:rsidRDefault="008050FF" w:rsidP="008050FF">
                  <w:pPr>
                    <w:pStyle w:val="tablebody0"/>
                    <w:rPr>
                      <w:i/>
                    </w:rPr>
                  </w:pPr>
                  <w:r w:rsidRPr="0013396E">
                    <w:rPr>
                      <w:i/>
                    </w:rPr>
                    <w:t>Base Point per Resource per interval</w:t>
                  </w:r>
                  <w:r w:rsidRPr="0013396E">
                    <w:t xml:space="preserve"> - The Base Point of Resource </w:t>
                  </w:r>
                  <w:r w:rsidRPr="0013396E">
                    <w:rPr>
                      <w:i/>
                    </w:rPr>
                    <w:t>r</w:t>
                  </w:r>
                  <w:r w:rsidRPr="0013396E">
                    <w:t xml:space="preserve">, for the SCED interval </w:t>
                  </w:r>
                  <w:r w:rsidRPr="0013396E">
                    <w:rPr>
                      <w:i/>
                    </w:rPr>
                    <w:t>y</w:t>
                  </w:r>
                  <w:r w:rsidRPr="0013396E">
                    <w:t xml:space="preserve">.  </w:t>
                  </w:r>
                </w:p>
              </w:tc>
            </w:tr>
            <w:tr w:rsidR="008050FF" w:rsidRPr="0013396E" w14:paraId="1B8D91FE" w14:textId="77777777" w:rsidTr="00806724">
              <w:trPr>
                <w:cantSplit/>
              </w:trPr>
              <w:tc>
                <w:tcPr>
                  <w:tcW w:w="1145" w:type="pct"/>
                </w:tcPr>
                <w:p w14:paraId="1FC6D77E" w14:textId="77777777" w:rsidR="008050FF" w:rsidRPr="0013396E" w:rsidRDefault="008050FF" w:rsidP="008050FF">
                  <w:pPr>
                    <w:pStyle w:val="tablebody0"/>
                    <w:rPr>
                      <w:i/>
                    </w:rPr>
                  </w:pPr>
                  <w:r w:rsidRPr="0013396E">
                    <w:rPr>
                      <w:i/>
                    </w:rPr>
                    <w:t>q</w:t>
                  </w:r>
                </w:p>
              </w:tc>
              <w:tc>
                <w:tcPr>
                  <w:tcW w:w="676" w:type="pct"/>
                </w:tcPr>
                <w:p w14:paraId="2A45BD5D" w14:textId="77777777" w:rsidR="008050FF" w:rsidRPr="0013396E" w:rsidRDefault="008050FF" w:rsidP="008050FF">
                  <w:pPr>
                    <w:pStyle w:val="tablebody0"/>
                  </w:pPr>
                  <w:r w:rsidRPr="0013396E">
                    <w:t>none</w:t>
                  </w:r>
                </w:p>
              </w:tc>
              <w:tc>
                <w:tcPr>
                  <w:tcW w:w="3179" w:type="pct"/>
                </w:tcPr>
                <w:p w14:paraId="507E624A" w14:textId="77777777" w:rsidR="008050FF" w:rsidRPr="0013396E" w:rsidRDefault="008050FF" w:rsidP="008050FF">
                  <w:pPr>
                    <w:pStyle w:val="tablebody0"/>
                  </w:pPr>
                  <w:r w:rsidRPr="0013396E">
                    <w:t>A QSE.</w:t>
                  </w:r>
                </w:p>
              </w:tc>
            </w:tr>
            <w:tr w:rsidR="008050FF" w:rsidRPr="0013396E" w14:paraId="20449987" w14:textId="77777777" w:rsidTr="00806724">
              <w:trPr>
                <w:cantSplit/>
              </w:trPr>
              <w:tc>
                <w:tcPr>
                  <w:tcW w:w="1145" w:type="pct"/>
                </w:tcPr>
                <w:p w14:paraId="21268056" w14:textId="77777777" w:rsidR="008050FF" w:rsidRPr="0013396E" w:rsidRDefault="008050FF" w:rsidP="008050FF">
                  <w:pPr>
                    <w:pStyle w:val="tablebody0"/>
                    <w:rPr>
                      <w:i/>
                    </w:rPr>
                  </w:pPr>
                  <w:r w:rsidRPr="0013396E">
                    <w:rPr>
                      <w:i/>
                    </w:rPr>
                    <w:t>gsc</w:t>
                  </w:r>
                </w:p>
              </w:tc>
              <w:tc>
                <w:tcPr>
                  <w:tcW w:w="676" w:type="pct"/>
                </w:tcPr>
                <w:p w14:paraId="5D162C85" w14:textId="77777777" w:rsidR="008050FF" w:rsidRPr="0013396E" w:rsidRDefault="008050FF" w:rsidP="008050FF">
                  <w:pPr>
                    <w:pStyle w:val="tablebody0"/>
                  </w:pPr>
                  <w:r w:rsidRPr="0013396E">
                    <w:t>none</w:t>
                  </w:r>
                </w:p>
              </w:tc>
              <w:tc>
                <w:tcPr>
                  <w:tcW w:w="3179" w:type="pct"/>
                </w:tcPr>
                <w:p w14:paraId="36B6DCE2" w14:textId="77777777" w:rsidR="008050FF" w:rsidRPr="0013396E" w:rsidRDefault="008050FF" w:rsidP="008050FF">
                  <w:pPr>
                    <w:pStyle w:val="tablebody0"/>
                  </w:pPr>
                  <w:r w:rsidRPr="0013396E">
                    <w:t>A generation site code.</w:t>
                  </w:r>
                </w:p>
              </w:tc>
            </w:tr>
            <w:tr w:rsidR="008050FF" w:rsidRPr="0013396E" w14:paraId="0B9F442B" w14:textId="77777777" w:rsidTr="00806724">
              <w:trPr>
                <w:cantSplit/>
              </w:trPr>
              <w:tc>
                <w:tcPr>
                  <w:tcW w:w="1145" w:type="pct"/>
                </w:tcPr>
                <w:p w14:paraId="02C29834" w14:textId="77777777" w:rsidR="008050FF" w:rsidRPr="0013396E" w:rsidRDefault="008050FF" w:rsidP="008050FF">
                  <w:pPr>
                    <w:pStyle w:val="tablebody0"/>
                    <w:rPr>
                      <w:i/>
                    </w:rPr>
                  </w:pPr>
                  <w:r w:rsidRPr="0013396E">
                    <w:rPr>
                      <w:i/>
                    </w:rPr>
                    <w:t>r</w:t>
                  </w:r>
                </w:p>
              </w:tc>
              <w:tc>
                <w:tcPr>
                  <w:tcW w:w="676" w:type="pct"/>
                </w:tcPr>
                <w:p w14:paraId="7E55B34A" w14:textId="77777777" w:rsidR="008050FF" w:rsidRPr="0013396E" w:rsidRDefault="008050FF" w:rsidP="008050FF">
                  <w:pPr>
                    <w:pStyle w:val="tablebody0"/>
                  </w:pPr>
                  <w:r w:rsidRPr="0013396E">
                    <w:t>none</w:t>
                  </w:r>
                </w:p>
              </w:tc>
              <w:tc>
                <w:tcPr>
                  <w:tcW w:w="3179" w:type="pct"/>
                </w:tcPr>
                <w:p w14:paraId="38CC2B20" w14:textId="33108617" w:rsidR="008050FF" w:rsidRPr="0013396E" w:rsidRDefault="006F7954" w:rsidP="006F7954">
                  <w:pPr>
                    <w:pStyle w:val="tablebody0"/>
                  </w:pPr>
                  <w:r w:rsidRPr="0013396E">
                    <w:t>A</w:t>
                  </w:r>
                  <w:r w:rsidR="008050FF" w:rsidRPr="0013396E">
                    <w:t xml:space="preserve"> </w:t>
                  </w:r>
                  <w:r w:rsidR="00632873" w:rsidRPr="0013396E">
                    <w:t xml:space="preserve">CLR (that is not an ALR) or an </w:t>
                  </w:r>
                  <w:r w:rsidR="008050FF" w:rsidRPr="0013396E">
                    <w:t xml:space="preserve">ESR.  </w:t>
                  </w:r>
                </w:p>
              </w:tc>
            </w:tr>
            <w:tr w:rsidR="008050FF" w:rsidRPr="0013396E" w14:paraId="09C69740" w14:textId="77777777" w:rsidTr="00806724">
              <w:trPr>
                <w:cantSplit/>
              </w:trPr>
              <w:tc>
                <w:tcPr>
                  <w:tcW w:w="1145" w:type="pct"/>
                </w:tcPr>
                <w:p w14:paraId="7806DB6B" w14:textId="77777777" w:rsidR="008050FF" w:rsidRPr="0013396E" w:rsidRDefault="008050FF" w:rsidP="008050FF">
                  <w:pPr>
                    <w:pStyle w:val="tablebody0"/>
                    <w:rPr>
                      <w:i/>
                    </w:rPr>
                  </w:pPr>
                  <w:r w:rsidRPr="0013396E">
                    <w:rPr>
                      <w:i/>
                    </w:rPr>
                    <w:t>p</w:t>
                  </w:r>
                </w:p>
              </w:tc>
              <w:tc>
                <w:tcPr>
                  <w:tcW w:w="676" w:type="pct"/>
                </w:tcPr>
                <w:p w14:paraId="3A1C81BF" w14:textId="77777777" w:rsidR="008050FF" w:rsidRPr="0013396E" w:rsidRDefault="008050FF" w:rsidP="008050FF">
                  <w:pPr>
                    <w:pStyle w:val="tablebody0"/>
                  </w:pPr>
                  <w:r w:rsidRPr="0013396E">
                    <w:t>none</w:t>
                  </w:r>
                </w:p>
              </w:tc>
              <w:tc>
                <w:tcPr>
                  <w:tcW w:w="3179" w:type="pct"/>
                </w:tcPr>
                <w:p w14:paraId="72AA492F" w14:textId="77777777" w:rsidR="008050FF" w:rsidRPr="0013396E" w:rsidRDefault="008050FF" w:rsidP="008050FF">
                  <w:pPr>
                    <w:pStyle w:val="tablebody0"/>
                  </w:pPr>
                  <w:r w:rsidRPr="0013396E">
                    <w:t>A Resource Node Settlement Point.</w:t>
                  </w:r>
                </w:p>
              </w:tc>
            </w:tr>
            <w:tr w:rsidR="008050FF" w:rsidRPr="0013396E" w14:paraId="3C4AE6FB" w14:textId="77777777" w:rsidTr="00806724">
              <w:trPr>
                <w:cantSplit/>
              </w:trPr>
              <w:tc>
                <w:tcPr>
                  <w:tcW w:w="1145" w:type="pct"/>
                </w:tcPr>
                <w:p w14:paraId="22A51971" w14:textId="77777777" w:rsidR="008050FF" w:rsidRPr="0013396E" w:rsidRDefault="008050FF" w:rsidP="008050FF">
                  <w:pPr>
                    <w:pStyle w:val="tablebody0"/>
                    <w:rPr>
                      <w:i/>
                    </w:rPr>
                  </w:pPr>
                  <w:r w:rsidRPr="0013396E">
                    <w:rPr>
                      <w:i/>
                    </w:rPr>
                    <w:t>y</w:t>
                  </w:r>
                </w:p>
              </w:tc>
              <w:tc>
                <w:tcPr>
                  <w:tcW w:w="676" w:type="pct"/>
                </w:tcPr>
                <w:p w14:paraId="32CDB774" w14:textId="77777777" w:rsidR="008050FF" w:rsidRPr="0013396E" w:rsidRDefault="008050FF" w:rsidP="008050FF">
                  <w:pPr>
                    <w:pStyle w:val="tablebody0"/>
                  </w:pPr>
                  <w:r w:rsidRPr="0013396E">
                    <w:t>none</w:t>
                  </w:r>
                </w:p>
              </w:tc>
              <w:tc>
                <w:tcPr>
                  <w:tcW w:w="3179" w:type="pct"/>
                </w:tcPr>
                <w:p w14:paraId="1903A7D9" w14:textId="77777777" w:rsidR="008050FF" w:rsidRPr="0013396E" w:rsidRDefault="008050FF" w:rsidP="008050FF">
                  <w:pPr>
                    <w:pStyle w:val="tablebody0"/>
                  </w:pPr>
                  <w:r w:rsidRPr="0013396E">
                    <w:t>A SCED interval in the 15-minute Settlement Interval.  The summation is over the total number of SCED runs that cover the 15-minute Settlement Interval.</w:t>
                  </w:r>
                </w:p>
              </w:tc>
            </w:tr>
            <w:tr w:rsidR="008050FF" w:rsidRPr="0013396E" w14:paraId="3915E447" w14:textId="77777777" w:rsidTr="00806724">
              <w:trPr>
                <w:cantSplit/>
              </w:trPr>
              <w:tc>
                <w:tcPr>
                  <w:tcW w:w="1145" w:type="pct"/>
                </w:tcPr>
                <w:p w14:paraId="208BF909" w14:textId="77777777" w:rsidR="008050FF" w:rsidRPr="0013396E" w:rsidRDefault="008050FF" w:rsidP="008050FF">
                  <w:pPr>
                    <w:pStyle w:val="tablebody0"/>
                    <w:rPr>
                      <w:i/>
                    </w:rPr>
                  </w:pPr>
                  <w:r w:rsidRPr="0013396E">
                    <w:rPr>
                      <w:i/>
                    </w:rPr>
                    <w:t>b</w:t>
                  </w:r>
                </w:p>
              </w:tc>
              <w:tc>
                <w:tcPr>
                  <w:tcW w:w="676" w:type="pct"/>
                </w:tcPr>
                <w:p w14:paraId="34DD9D8B" w14:textId="77777777" w:rsidR="008050FF" w:rsidRPr="0013396E" w:rsidRDefault="008050FF" w:rsidP="008050FF">
                  <w:pPr>
                    <w:pStyle w:val="tablebody0"/>
                  </w:pPr>
                  <w:r w:rsidRPr="0013396E">
                    <w:t>none</w:t>
                  </w:r>
                </w:p>
              </w:tc>
              <w:tc>
                <w:tcPr>
                  <w:tcW w:w="3179" w:type="pct"/>
                </w:tcPr>
                <w:p w14:paraId="34F1BE14" w14:textId="77777777" w:rsidR="008050FF" w:rsidRPr="0013396E" w:rsidRDefault="008050FF" w:rsidP="008050FF">
                  <w:pPr>
                    <w:pStyle w:val="tablebody0"/>
                  </w:pPr>
                  <w:r w:rsidRPr="0013396E">
                    <w:t>An Electrical Bus.</w:t>
                  </w:r>
                </w:p>
              </w:tc>
            </w:tr>
          </w:tbl>
          <w:p w14:paraId="1DD9EBC2" w14:textId="36509CCC" w:rsidR="00423D31" w:rsidRPr="0013396E" w:rsidRDefault="00423D31" w:rsidP="00423D31">
            <w:pPr>
              <w:pStyle w:val="FormulaBold"/>
              <w:ind w:left="0" w:firstLine="0"/>
            </w:pPr>
          </w:p>
        </w:tc>
      </w:tr>
    </w:tbl>
    <w:p w14:paraId="311AE23B" w14:textId="77777777" w:rsidR="007844A1" w:rsidRPr="0013396E" w:rsidRDefault="007844A1" w:rsidP="007844A1">
      <w:pPr>
        <w:widowControl w:val="0"/>
        <w:spacing w:before="240" w:after="120"/>
        <w:ind w:left="720" w:hanging="720"/>
      </w:pPr>
      <w:r w:rsidRPr="0013396E">
        <w:lastRenderedPageBreak/>
        <w:t>(4)</w:t>
      </w:r>
      <w:r w:rsidRPr="0013396E">
        <w:tab/>
        <w:t>The total payment or charge to a Facility with a net metering arrangement for each 15-minute Settlement Interval shall be calculated as follows:</w:t>
      </w:r>
    </w:p>
    <w:p w14:paraId="6F65AFD9" w14:textId="77777777" w:rsidR="007844A1" w:rsidRPr="0013396E" w:rsidRDefault="007844A1" w:rsidP="007844A1">
      <w:pPr>
        <w:widowControl w:val="0"/>
        <w:spacing w:after="240"/>
        <w:ind w:left="720"/>
        <w:rPr>
          <w:b/>
        </w:rPr>
      </w:pPr>
      <w:r w:rsidRPr="0013396E">
        <w:rPr>
          <w:b/>
        </w:rPr>
        <w:t>NMRTETOT</w:t>
      </w:r>
      <w:r w:rsidRPr="0013396E">
        <w:rPr>
          <w:b/>
          <w:i/>
          <w:vertAlign w:val="subscript"/>
        </w:rPr>
        <w:t xml:space="preserve"> gsc</w:t>
      </w:r>
      <w:r w:rsidRPr="0013396E">
        <w:rPr>
          <w:b/>
        </w:rPr>
        <w:t xml:space="preserve"> </w:t>
      </w:r>
      <w:r w:rsidRPr="0013396E">
        <w:rPr>
          <w:b/>
        </w:rPr>
        <w:tab/>
        <w:t xml:space="preserve">= </w:t>
      </w:r>
      <w:r w:rsidRPr="0013396E">
        <w:rPr>
          <w:b/>
        </w:rPr>
        <w:tab/>
        <w:t>Max (0, (</w:t>
      </w:r>
      <w:r w:rsidRPr="0013396E">
        <w:rPr>
          <w:b/>
          <w:position w:val="-20"/>
        </w:rPr>
        <w:object w:dxaOrig="225" w:dyaOrig="435" w14:anchorId="22F14A9B">
          <v:shape id="_x0000_i1115" type="#_x0000_t75" style="width:12pt;height:30pt" o:ole="">
            <v:imagedata r:id="rId131" o:title=""/>
          </v:shape>
          <o:OLEObject Type="Embed" ProgID="Equation.3" ShapeID="_x0000_i1115" DrawAspect="Content" ObjectID="_1836311394" r:id="rId132"/>
        </w:object>
      </w:r>
      <w:r w:rsidRPr="0013396E">
        <w:rPr>
          <w:b/>
          <w:position w:val="-20"/>
        </w:rPr>
        <w:t xml:space="preserve"> </w:t>
      </w:r>
      <w:r w:rsidRPr="0013396E">
        <w:rPr>
          <w:b/>
        </w:rPr>
        <w:t xml:space="preserve">(MEB </w:t>
      </w:r>
      <w:r w:rsidRPr="0013396E">
        <w:rPr>
          <w:b/>
          <w:i/>
          <w:vertAlign w:val="subscript"/>
        </w:rPr>
        <w:t xml:space="preserve">gsc, b </w:t>
      </w:r>
      <w:r w:rsidRPr="0013396E">
        <w:rPr>
          <w:b/>
          <w:i/>
        </w:rPr>
        <w:t>+</w:t>
      </w:r>
      <w:r w:rsidRPr="0013396E">
        <w:rPr>
          <w:b/>
        </w:rPr>
        <w:t xml:space="preserve"> MEBC </w:t>
      </w:r>
      <w:r w:rsidRPr="0013396E">
        <w:rPr>
          <w:b/>
          <w:i/>
          <w:vertAlign w:val="subscript"/>
        </w:rPr>
        <w:t>gsc, b</w:t>
      </w:r>
      <w:r w:rsidRPr="0013396E">
        <w:rPr>
          <w:b/>
        </w:rPr>
        <w:t>)))</w:t>
      </w:r>
    </w:p>
    <w:p w14:paraId="2B17FD70" w14:textId="77777777" w:rsidR="007844A1" w:rsidRPr="0013396E" w:rsidRDefault="007844A1" w:rsidP="007844A1">
      <w:pPr>
        <w:widowControl w:val="0"/>
        <w:spacing w:after="240"/>
        <w:ind w:left="720"/>
      </w:pPr>
      <w:r w:rsidRPr="0013396E">
        <w:t>If NMRTETOT</w:t>
      </w:r>
      <w:r w:rsidRPr="0013396E">
        <w:rPr>
          <w:i/>
          <w:vertAlign w:val="subscript"/>
        </w:rPr>
        <w:t xml:space="preserve"> gsc</w:t>
      </w:r>
      <w:r w:rsidRPr="0013396E">
        <w:t xml:space="preserve"> = 0 for a 15-minute Settlement Interval, then</w:t>
      </w:r>
    </w:p>
    <w:p w14:paraId="526270DA" w14:textId="77777777" w:rsidR="007844A1" w:rsidRPr="0013396E" w:rsidRDefault="007844A1" w:rsidP="007844A1">
      <w:pPr>
        <w:widowControl w:val="0"/>
        <w:spacing w:after="240"/>
        <w:ind w:left="720"/>
      </w:pPr>
      <w:r w:rsidRPr="0013396E">
        <w:t>The Load that is not WSL is included in the Real-Time AML per QSE.</w:t>
      </w:r>
    </w:p>
    <w:p w14:paraId="259039C2" w14:textId="77777777" w:rsidR="007844A1" w:rsidRPr="0013396E" w:rsidRDefault="007844A1" w:rsidP="007844A1">
      <w:pPr>
        <w:widowControl w:val="0"/>
        <w:spacing w:after="240"/>
        <w:ind w:left="720"/>
      </w:pPr>
      <w:r w:rsidRPr="0013396E">
        <w:t>Otherwise, when NMRTETOT</w:t>
      </w:r>
      <w:r w:rsidRPr="0013396E">
        <w:rPr>
          <w:i/>
          <w:vertAlign w:val="subscript"/>
        </w:rPr>
        <w:t xml:space="preserve"> gsc </w:t>
      </w:r>
      <w:r w:rsidRPr="0013396E">
        <w:rPr>
          <w:b/>
        </w:rPr>
        <w:t>&gt;</w:t>
      </w:r>
      <w:r w:rsidRPr="0013396E">
        <w:t xml:space="preserve"> 0 for a 15-minute Settlement Interval, then</w:t>
      </w:r>
    </w:p>
    <w:p w14:paraId="290483CC" w14:textId="77777777" w:rsidR="007844A1" w:rsidRPr="0013396E" w:rsidRDefault="007844A1" w:rsidP="007844A1">
      <w:pPr>
        <w:widowControl w:val="0"/>
        <w:tabs>
          <w:tab w:val="left" w:pos="2250"/>
          <w:tab w:val="left" w:pos="3150"/>
          <w:tab w:val="left" w:pos="3960"/>
        </w:tabs>
        <w:spacing w:after="240"/>
        <w:ind w:left="3960" w:hanging="3240"/>
        <w:rPr>
          <w:b/>
          <w:bCs/>
        </w:rPr>
      </w:pPr>
      <w:r w:rsidRPr="0013396E">
        <w:rPr>
          <w:b/>
          <w:bCs/>
        </w:rPr>
        <w:t xml:space="preserve">NMSAMTTOT </w:t>
      </w:r>
      <w:r w:rsidRPr="0013396E">
        <w:rPr>
          <w:bCs/>
          <w:i/>
          <w:sz w:val="28"/>
          <w:szCs w:val="28"/>
          <w:vertAlign w:val="subscript"/>
        </w:rPr>
        <w:t>gsc</w:t>
      </w:r>
      <w:r w:rsidRPr="0013396E">
        <w:rPr>
          <w:b/>
          <w:bCs/>
        </w:rPr>
        <w:tab/>
        <w:t>=</w:t>
      </w:r>
      <w:r w:rsidRPr="0013396E">
        <w:rPr>
          <w:b/>
          <w:bCs/>
        </w:rPr>
        <w:tab/>
      </w:r>
      <w:r w:rsidRPr="0013396E">
        <w:rPr>
          <w:b/>
          <w:bCs/>
          <w:position w:val="-20"/>
        </w:rPr>
        <w:object w:dxaOrig="225" w:dyaOrig="435" w14:anchorId="1DC7D615">
          <v:shape id="_x0000_i1116" type="#_x0000_t75" style="width:12pt;height:30pt" o:ole="">
            <v:imagedata r:id="rId126" o:title=""/>
          </v:shape>
          <o:OLEObject Type="Embed" ProgID="Equation.3" ShapeID="_x0000_i1116" DrawAspect="Content" ObjectID="_1836311395" r:id="rId133"/>
        </w:object>
      </w:r>
      <w:r w:rsidRPr="0013396E">
        <w:rPr>
          <w:b/>
          <w:bCs/>
        </w:rPr>
        <w:t xml:space="preserve"> [(RTRMPR</w:t>
      </w:r>
      <w:r w:rsidRPr="0013396E">
        <w:rPr>
          <w:b/>
          <w:bCs/>
          <w:i/>
          <w:vertAlign w:val="subscript"/>
        </w:rPr>
        <w:t xml:space="preserve"> b</w:t>
      </w:r>
      <w:r w:rsidRPr="0013396E">
        <w:rPr>
          <w:b/>
          <w:bCs/>
        </w:rPr>
        <w:t xml:space="preserve"> * MEB </w:t>
      </w:r>
      <w:r w:rsidRPr="0013396E">
        <w:rPr>
          <w:b/>
          <w:bCs/>
          <w:i/>
          <w:vertAlign w:val="subscript"/>
        </w:rPr>
        <w:t>gsc, b</w:t>
      </w:r>
      <w:r w:rsidRPr="0013396E">
        <w:rPr>
          <w:b/>
          <w:bCs/>
        </w:rPr>
        <w:t xml:space="preserve">) + (RTRMPR </w:t>
      </w:r>
      <w:r w:rsidRPr="0013396E">
        <w:rPr>
          <w:b/>
          <w:bCs/>
          <w:i/>
          <w:vertAlign w:val="subscript"/>
        </w:rPr>
        <w:t>b</w:t>
      </w:r>
      <w:r w:rsidRPr="0013396E">
        <w:rPr>
          <w:b/>
          <w:bCs/>
        </w:rPr>
        <w:t xml:space="preserve"> * MEBC </w:t>
      </w:r>
      <w:r w:rsidRPr="0013396E">
        <w:rPr>
          <w:b/>
          <w:bCs/>
          <w:i/>
          <w:vertAlign w:val="subscript"/>
        </w:rPr>
        <w:t>gsc, b</w:t>
      </w:r>
      <w:r w:rsidRPr="0013396E">
        <w:rPr>
          <w:b/>
          <w:bCs/>
          <w:lang w:val="es-ES"/>
        </w:rPr>
        <w:t>)]</w:t>
      </w:r>
      <w:r w:rsidRPr="0013396E">
        <w:rPr>
          <w:b/>
          <w:bCs/>
        </w:rPr>
        <w:t xml:space="preserve">  </w:t>
      </w:r>
    </w:p>
    <w:p w14:paraId="2D40E50E" w14:textId="77777777" w:rsidR="007844A1" w:rsidRPr="0013396E" w:rsidRDefault="007844A1" w:rsidP="007844A1">
      <w:pPr>
        <w:widowControl w:val="0"/>
        <w:tabs>
          <w:tab w:val="left" w:pos="2250"/>
          <w:tab w:val="left" w:pos="3150"/>
          <w:tab w:val="left" w:pos="3960"/>
        </w:tabs>
        <w:spacing w:after="240"/>
        <w:ind w:left="2882" w:hanging="2162"/>
        <w:rPr>
          <w:bCs/>
          <w:iCs/>
        </w:rPr>
      </w:pPr>
      <w:r w:rsidRPr="0013396E">
        <w:rPr>
          <w:bCs/>
          <w:iCs/>
        </w:rPr>
        <w:t>Where</w:t>
      </w:r>
      <w:r w:rsidRPr="0013396E">
        <w:rPr>
          <w:bCs/>
        </w:rPr>
        <w:t xml:space="preserve"> the price for Settlement Meter is determined as follows</w:t>
      </w:r>
      <w:r w:rsidRPr="0013396E">
        <w:rPr>
          <w:b/>
          <w:bCs/>
        </w:rPr>
        <w:t>:</w:t>
      </w:r>
    </w:p>
    <w:p w14:paraId="2DA0098D" w14:textId="77777777" w:rsidR="007844A1" w:rsidRPr="0013396E" w:rsidRDefault="007844A1" w:rsidP="007844A1">
      <w:pPr>
        <w:tabs>
          <w:tab w:val="left" w:pos="2250"/>
          <w:tab w:val="left" w:pos="3150"/>
          <w:tab w:val="left" w:pos="3960"/>
        </w:tabs>
        <w:spacing w:after="240"/>
        <w:ind w:left="3960" w:hanging="3240"/>
        <w:rPr>
          <w:bCs/>
        </w:rPr>
      </w:pPr>
      <w:r w:rsidRPr="0013396E">
        <w:rPr>
          <w:b/>
          <w:bCs/>
          <w:lang w:val="es-ES"/>
        </w:rPr>
        <w:t>RTRMPR</w:t>
      </w:r>
      <w:r w:rsidRPr="0013396E">
        <w:rPr>
          <w:b/>
          <w:bCs/>
          <w:i/>
          <w:iCs/>
          <w:vertAlign w:val="subscript"/>
          <w:lang w:val="es-ES"/>
        </w:rPr>
        <w:t xml:space="preserve"> b</w:t>
      </w:r>
      <w:r w:rsidRPr="0013396E">
        <w:rPr>
          <w:bCs/>
          <w:lang w:val="es-ES"/>
        </w:rPr>
        <w:t xml:space="preserve"> </w:t>
      </w:r>
      <w:r w:rsidRPr="0013396E">
        <w:rPr>
          <w:bCs/>
          <w:lang w:val="es-ES"/>
        </w:rPr>
        <w:tab/>
      </w:r>
      <w:r w:rsidRPr="0013396E">
        <w:rPr>
          <w:bCs/>
          <w:lang w:val="es-ES"/>
        </w:rPr>
        <w:tab/>
        <w:t>=</w:t>
      </w:r>
      <w:r w:rsidRPr="0013396E">
        <w:rPr>
          <w:bCs/>
          <w:lang w:val="es-ES"/>
        </w:rPr>
        <w:tab/>
      </w:r>
      <w:r w:rsidRPr="0013396E">
        <w:rPr>
          <w:b/>
          <w:bCs/>
        </w:rPr>
        <w:t>Max [-$251, (</w:t>
      </w:r>
      <w:r w:rsidRPr="0013396E">
        <w:rPr>
          <w:rFonts w:ascii="Times New Roman Bold" w:hAnsi="Times New Roman Bold"/>
          <w:b/>
          <w:bCs/>
          <w:noProof/>
          <w:position w:val="-18"/>
        </w:rPr>
        <w:drawing>
          <wp:inline distT="0" distB="0" distL="0" distR="0" wp14:anchorId="77C1E340" wp14:editId="6438047C">
            <wp:extent cx="142875" cy="295275"/>
            <wp:effectExtent l="0" t="0" r="9525" b="9525"/>
            <wp:docPr id="1356485929" name="Picture 55" descr="image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image010"/>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bwMode="auto">
                    <a:xfrm>
                      <a:off x="0" y="0"/>
                      <a:ext cx="142875" cy="295275"/>
                    </a:xfrm>
                    <a:prstGeom prst="rect">
                      <a:avLst/>
                    </a:prstGeom>
                    <a:noFill/>
                    <a:ln>
                      <a:noFill/>
                    </a:ln>
                  </pic:spPr>
                </pic:pic>
              </a:graphicData>
            </a:graphic>
          </wp:inline>
        </w:drawing>
      </w:r>
      <w:r w:rsidRPr="0013396E">
        <w:rPr>
          <w:b/>
          <w:bCs/>
          <w:lang w:val="es-ES"/>
        </w:rPr>
        <w:t xml:space="preserve">(RNWF </w:t>
      </w:r>
      <w:r w:rsidRPr="0013396E">
        <w:rPr>
          <w:b/>
          <w:bCs/>
          <w:i/>
          <w:iCs/>
          <w:vertAlign w:val="subscript"/>
          <w:lang w:val="es-ES"/>
        </w:rPr>
        <w:t xml:space="preserve">b, y </w:t>
      </w:r>
      <w:r w:rsidRPr="0013396E">
        <w:rPr>
          <w:b/>
          <w:bCs/>
          <w:lang w:val="es-ES"/>
        </w:rPr>
        <w:t xml:space="preserve">* RTLMP </w:t>
      </w:r>
      <w:r w:rsidRPr="0013396E">
        <w:rPr>
          <w:b/>
          <w:bCs/>
          <w:i/>
          <w:iCs/>
          <w:vertAlign w:val="subscript"/>
          <w:lang w:val="es-ES"/>
        </w:rPr>
        <w:t>b, y</w:t>
      </w:r>
      <w:r w:rsidRPr="0013396E">
        <w:rPr>
          <w:b/>
          <w:bCs/>
          <w:lang w:val="es-ES"/>
        </w:rPr>
        <w:t xml:space="preserve">) </w:t>
      </w:r>
      <w:r w:rsidRPr="0013396E">
        <w:rPr>
          <w:b/>
          <w:bCs/>
        </w:rPr>
        <w:t>+ RTRDP)]</w:t>
      </w:r>
    </w:p>
    <w:p w14:paraId="6F9B3A4A" w14:textId="77777777" w:rsidR="007844A1" w:rsidRPr="0013396E" w:rsidRDefault="007844A1" w:rsidP="007844A1">
      <w:pPr>
        <w:widowControl w:val="0"/>
        <w:spacing w:after="240"/>
        <w:ind w:firstLine="720"/>
      </w:pPr>
      <w:r w:rsidRPr="0013396E">
        <w:t>Where the weighting factor for the Electrical Bus associated with the meter is:</w:t>
      </w:r>
    </w:p>
    <w:p w14:paraId="31182172" w14:textId="77777777" w:rsidR="007844A1" w:rsidRPr="0013396E" w:rsidRDefault="007844A1" w:rsidP="007844A1">
      <w:pPr>
        <w:widowControl w:val="0"/>
        <w:spacing w:after="240"/>
        <w:ind w:left="720"/>
        <w:rPr>
          <w:b/>
          <w:shd w:val="clear" w:color="auto" w:fill="FFFF00"/>
          <w:lang w:val="es-ES"/>
        </w:rPr>
      </w:pPr>
      <w:r w:rsidRPr="0013396E">
        <w:rPr>
          <w:b/>
          <w:lang w:val="es-ES"/>
        </w:rPr>
        <w:t xml:space="preserve">RNWF </w:t>
      </w:r>
      <w:r w:rsidRPr="0013396E">
        <w:rPr>
          <w:b/>
          <w:i/>
          <w:iCs/>
          <w:vertAlign w:val="subscript"/>
          <w:lang w:val="es-ES"/>
        </w:rPr>
        <w:t xml:space="preserve">b, y </w:t>
      </w:r>
      <w:r w:rsidRPr="0013396E">
        <w:rPr>
          <w:b/>
          <w:i/>
          <w:iCs/>
          <w:vertAlign w:val="subscript"/>
          <w:lang w:val="es-ES"/>
        </w:rPr>
        <w:tab/>
      </w:r>
      <w:r w:rsidRPr="0013396E">
        <w:rPr>
          <w:b/>
          <w:i/>
          <w:iCs/>
          <w:vertAlign w:val="subscript"/>
          <w:lang w:val="es-ES"/>
        </w:rPr>
        <w:tab/>
      </w:r>
      <w:r w:rsidRPr="0013396E">
        <w:rPr>
          <w:b/>
          <w:lang w:val="es-ES"/>
        </w:rPr>
        <w:t xml:space="preserve">= [Max (0.001, </w:t>
      </w:r>
      <w:r w:rsidRPr="0013396E">
        <w:rPr>
          <w:position w:val="-18"/>
        </w:rPr>
        <w:object w:dxaOrig="225" w:dyaOrig="420" w14:anchorId="166C98D5">
          <v:shape id="_x0000_i1117" type="#_x0000_t75" style="width:12pt;height:29.4pt" o:ole="">
            <v:imagedata r:id="rId134" o:title=""/>
          </v:shape>
          <o:OLEObject Type="Embed" ProgID="Equation.3" ShapeID="_x0000_i1117" DrawAspect="Content" ObjectID="_1836311396" r:id="rId135"/>
        </w:object>
      </w:r>
      <w:r w:rsidRPr="0013396E">
        <w:rPr>
          <w:b/>
        </w:rPr>
        <w:t>Max (0,</w:t>
      </w:r>
      <w:r w:rsidRPr="0013396E">
        <w:t xml:space="preserve"> </w:t>
      </w:r>
      <w:r w:rsidRPr="0013396E">
        <w:rPr>
          <w:b/>
          <w:lang w:val="es-ES"/>
        </w:rPr>
        <w:t>BP</w:t>
      </w:r>
      <w:r w:rsidRPr="0013396E">
        <w:rPr>
          <w:b/>
          <w:i/>
          <w:iCs/>
          <w:vertAlign w:val="subscript"/>
          <w:lang w:val="es-ES"/>
        </w:rPr>
        <w:t xml:space="preserve"> r, y</w:t>
      </w:r>
      <w:r w:rsidRPr="0013396E">
        <w:rPr>
          <w:b/>
          <w:lang w:val="es-ES"/>
        </w:rPr>
        <w:t xml:space="preserve">)) * TLMP </w:t>
      </w:r>
      <w:r w:rsidRPr="0013396E">
        <w:rPr>
          <w:b/>
          <w:i/>
          <w:iCs/>
          <w:vertAlign w:val="subscript"/>
          <w:lang w:val="es-ES"/>
        </w:rPr>
        <w:t>y</w:t>
      </w:r>
      <w:r w:rsidRPr="0013396E">
        <w:rPr>
          <w:b/>
          <w:lang w:val="es-ES"/>
        </w:rPr>
        <w:t>] /</w:t>
      </w:r>
      <w:r w:rsidRPr="0013396E">
        <w:rPr>
          <w:b/>
          <w:shd w:val="clear" w:color="auto" w:fill="FFFF00"/>
          <w:lang w:val="es-ES"/>
        </w:rPr>
        <w:t xml:space="preserve"> </w:t>
      </w:r>
    </w:p>
    <w:p w14:paraId="05C7CFEF" w14:textId="77777777" w:rsidR="007844A1" w:rsidRPr="0013396E" w:rsidRDefault="007844A1" w:rsidP="007844A1">
      <w:pPr>
        <w:widowControl w:val="0"/>
        <w:spacing w:after="240"/>
        <w:ind w:left="2700"/>
        <w:rPr>
          <w:b/>
          <w:lang w:val="es-ES"/>
        </w:rPr>
      </w:pPr>
      <w:r w:rsidRPr="0013396E">
        <w:rPr>
          <w:b/>
          <w:lang w:val="es-ES"/>
        </w:rPr>
        <w:tab/>
      </w:r>
      <w:r w:rsidRPr="0013396E">
        <w:rPr>
          <w:b/>
          <w:lang w:val="es-ES"/>
        </w:rPr>
        <w:tab/>
        <w:t>[</w:t>
      </w:r>
      <w:r w:rsidRPr="0013396E">
        <w:rPr>
          <w:rFonts w:ascii="Times New Roman Bold" w:hAnsi="Times New Roman Bold"/>
          <w:b/>
          <w:noProof/>
          <w:position w:val="-18"/>
        </w:rPr>
        <w:drawing>
          <wp:inline distT="0" distB="0" distL="0" distR="0" wp14:anchorId="5410FB29" wp14:editId="2A80463D">
            <wp:extent cx="142875" cy="295275"/>
            <wp:effectExtent l="0" t="0" r="9525" b="9525"/>
            <wp:docPr id="493838416" name="Picture 57" descr="image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image010"/>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bwMode="auto">
                    <a:xfrm>
                      <a:off x="0" y="0"/>
                      <a:ext cx="142875" cy="295275"/>
                    </a:xfrm>
                    <a:prstGeom prst="rect">
                      <a:avLst/>
                    </a:prstGeom>
                    <a:noFill/>
                    <a:ln>
                      <a:noFill/>
                    </a:ln>
                  </pic:spPr>
                </pic:pic>
              </a:graphicData>
            </a:graphic>
          </wp:inline>
        </w:drawing>
      </w:r>
      <w:r w:rsidRPr="0013396E">
        <w:rPr>
          <w:b/>
          <w:lang w:val="es-ES"/>
        </w:rPr>
        <w:t xml:space="preserve">Max (0.001, </w:t>
      </w:r>
      <w:r w:rsidRPr="0013396E">
        <w:rPr>
          <w:position w:val="-18"/>
        </w:rPr>
        <w:object w:dxaOrig="225" w:dyaOrig="420" w14:anchorId="5F2FD581">
          <v:shape id="_x0000_i1118" type="#_x0000_t75" style="width:12pt;height:29.4pt" o:ole="">
            <v:imagedata r:id="rId134" o:title=""/>
          </v:shape>
          <o:OLEObject Type="Embed" ProgID="Equation.3" ShapeID="_x0000_i1118" DrawAspect="Content" ObjectID="_1836311397" r:id="rId136"/>
        </w:object>
      </w:r>
      <w:r w:rsidRPr="0013396E">
        <w:rPr>
          <w:b/>
        </w:rPr>
        <w:t>Max (0,</w:t>
      </w:r>
      <w:r w:rsidRPr="0013396E">
        <w:t xml:space="preserve"> </w:t>
      </w:r>
      <w:r w:rsidRPr="0013396E">
        <w:rPr>
          <w:b/>
          <w:lang w:val="es-ES"/>
        </w:rPr>
        <w:t>BP</w:t>
      </w:r>
      <w:r w:rsidRPr="0013396E">
        <w:rPr>
          <w:b/>
          <w:i/>
          <w:iCs/>
          <w:vertAlign w:val="subscript"/>
          <w:lang w:val="es-ES"/>
        </w:rPr>
        <w:t xml:space="preserve"> r, y</w:t>
      </w:r>
      <w:r w:rsidRPr="0013396E">
        <w:rPr>
          <w:b/>
          <w:lang w:val="es-ES"/>
        </w:rPr>
        <w:t xml:space="preserve">)) * TLMP </w:t>
      </w:r>
      <w:r w:rsidRPr="0013396E">
        <w:rPr>
          <w:b/>
          <w:i/>
          <w:iCs/>
          <w:vertAlign w:val="subscript"/>
          <w:lang w:val="es-ES"/>
        </w:rPr>
        <w:t>y</w:t>
      </w:r>
      <w:r w:rsidRPr="0013396E">
        <w:rPr>
          <w:b/>
          <w:lang w:val="es-ES"/>
        </w:rPr>
        <w:t>]</w:t>
      </w:r>
    </w:p>
    <w:p w14:paraId="5D80BC2B" w14:textId="77777777" w:rsidR="007844A1" w:rsidRPr="0013396E" w:rsidRDefault="007844A1" w:rsidP="007844A1">
      <w:pPr>
        <w:widowControl w:val="0"/>
        <w:spacing w:after="160" w:line="240" w:lineRule="exact"/>
        <w:rPr>
          <w:rFonts w:ascii="Verdana" w:hAnsi="Verdana"/>
          <w:sz w:val="16"/>
        </w:rPr>
      </w:pPr>
      <w:r w:rsidRPr="0013396E">
        <w:t>Where:</w:t>
      </w:r>
    </w:p>
    <w:p w14:paraId="2EBFAE3D" w14:textId="77777777" w:rsidR="007844A1" w:rsidRPr="0013396E" w:rsidRDefault="007844A1" w:rsidP="007844A1">
      <w:pPr>
        <w:spacing w:after="240"/>
        <w:ind w:left="720"/>
      </w:pPr>
      <w:r w:rsidRPr="0013396E">
        <w:tab/>
        <w:t xml:space="preserve">RTRDP </w:t>
      </w:r>
      <w:r w:rsidRPr="0013396E">
        <w:tab/>
      </w:r>
      <w:r w:rsidRPr="0013396E">
        <w:tab/>
        <w:t>=</w:t>
      </w:r>
      <w:r w:rsidRPr="0013396E">
        <w:tab/>
      </w:r>
      <w:r w:rsidRPr="0013396E">
        <w:tab/>
      </w:r>
      <w:r w:rsidRPr="0013396E">
        <w:rPr>
          <w:position w:val="-22"/>
        </w:rPr>
        <w:object w:dxaOrig="225" w:dyaOrig="465" w14:anchorId="491EA38F">
          <v:shape id="_x0000_i1119" type="#_x0000_t75" style="width:24pt;height:18.6pt" o:ole="">
            <v:imagedata r:id="rId20" o:title=""/>
          </v:shape>
          <o:OLEObject Type="Embed" ProgID="Equation.3" ShapeID="_x0000_i1119" DrawAspect="Content" ObjectID="_1836311398" r:id="rId137"/>
        </w:object>
      </w:r>
      <w:r w:rsidRPr="0013396E">
        <w:t xml:space="preserve">(RNWF </w:t>
      </w:r>
      <w:r w:rsidRPr="0013396E">
        <w:rPr>
          <w:i/>
          <w:iCs/>
          <w:vertAlign w:val="subscript"/>
        </w:rPr>
        <w:t xml:space="preserve"> y </w:t>
      </w:r>
      <w:r w:rsidRPr="0013396E">
        <w:t>* RTRDPA</w:t>
      </w:r>
      <w:r w:rsidRPr="0013396E">
        <w:rPr>
          <w:i/>
          <w:iCs/>
          <w:vertAlign w:val="subscript"/>
        </w:rPr>
        <w:t xml:space="preserve"> y</w:t>
      </w:r>
      <w:r w:rsidRPr="0013396E">
        <w:t>)</w:t>
      </w:r>
    </w:p>
    <w:p w14:paraId="0A8C343A" w14:textId="77777777" w:rsidR="007844A1" w:rsidRPr="0013396E" w:rsidRDefault="007844A1" w:rsidP="007844A1">
      <w:pPr>
        <w:widowControl w:val="0"/>
        <w:spacing w:after="240"/>
        <w:ind w:left="720"/>
        <w:rPr>
          <w:lang w:val="es-ES"/>
        </w:rPr>
      </w:pPr>
      <w:r w:rsidRPr="0013396E">
        <w:lastRenderedPageBreak/>
        <w:tab/>
        <w:t xml:space="preserve">RNWF </w:t>
      </w:r>
      <w:r w:rsidRPr="0013396E">
        <w:rPr>
          <w:i/>
          <w:vertAlign w:val="subscript"/>
        </w:rPr>
        <w:t>y</w:t>
      </w:r>
      <w:r w:rsidRPr="0013396E">
        <w:rPr>
          <w:i/>
          <w:vertAlign w:val="subscript"/>
        </w:rPr>
        <w:tab/>
      </w:r>
      <w:r w:rsidRPr="0013396E">
        <w:rPr>
          <w:i/>
          <w:vertAlign w:val="subscript"/>
        </w:rPr>
        <w:tab/>
      </w:r>
      <w:r w:rsidRPr="0013396E">
        <w:t>=</w:t>
      </w:r>
      <w:r w:rsidRPr="0013396E">
        <w:tab/>
      </w:r>
      <w:r w:rsidRPr="0013396E">
        <w:tab/>
        <w:t xml:space="preserve">TLMP </w:t>
      </w:r>
      <w:r w:rsidRPr="0013396E">
        <w:rPr>
          <w:i/>
          <w:vertAlign w:val="subscript"/>
        </w:rPr>
        <w:t>y</w:t>
      </w:r>
      <w:r w:rsidRPr="0013396E">
        <w:t xml:space="preserve"> </w:t>
      </w:r>
      <w:r w:rsidRPr="0013396E">
        <w:rPr>
          <w:color w:val="000000"/>
          <w:sz w:val="32"/>
          <w:szCs w:val="32"/>
        </w:rPr>
        <w:t>/</w:t>
      </w:r>
      <w:r w:rsidRPr="0013396E">
        <w:rPr>
          <w:color w:val="000000"/>
        </w:rPr>
        <w:t xml:space="preserve"> </w:t>
      </w:r>
      <w:r w:rsidRPr="0013396E">
        <w:rPr>
          <w:position w:val="-22"/>
        </w:rPr>
        <w:object w:dxaOrig="225" w:dyaOrig="465" w14:anchorId="37757BCB">
          <v:shape id="_x0000_i1120" type="#_x0000_t75" style="width:24pt;height:18.6pt" o:ole="">
            <v:imagedata r:id="rId20" o:title=""/>
          </v:shape>
          <o:OLEObject Type="Embed" ProgID="Equation.3" ShapeID="_x0000_i1120" DrawAspect="Content" ObjectID="_1836311399" r:id="rId138"/>
        </w:object>
      </w:r>
      <w:r w:rsidRPr="0013396E">
        <w:t xml:space="preserve">TLMP </w:t>
      </w:r>
      <w:r w:rsidRPr="0013396E">
        <w:rPr>
          <w:i/>
          <w:vertAlign w:val="subscript"/>
        </w:rPr>
        <w:t>y</w:t>
      </w:r>
    </w:p>
    <w:p w14:paraId="3FBC5549" w14:textId="77777777" w:rsidR="007844A1" w:rsidRPr="0013396E" w:rsidRDefault="007844A1" w:rsidP="007844A1">
      <w:pPr>
        <w:widowControl w:val="0"/>
        <w:spacing w:after="240"/>
        <w:ind w:left="720"/>
        <w:rPr>
          <w:i/>
          <w:iCs/>
          <w:shd w:val="clear" w:color="auto" w:fill="FFFF00"/>
          <w:vertAlign w:val="subscript"/>
        </w:rPr>
      </w:pPr>
      <w:r w:rsidRPr="0013396E">
        <w:t xml:space="preserve">The summation is over all Resources </w:t>
      </w:r>
      <w:r w:rsidRPr="0013396E">
        <w:rPr>
          <w:i/>
        </w:rPr>
        <w:t>r</w:t>
      </w:r>
      <w:r w:rsidRPr="0013396E">
        <w:t xml:space="preserve"> associated to the individual meter.  The determination of which Resources are associated to an individual meter is static and based on the normal system configuration of the generation site code, </w:t>
      </w:r>
      <w:r w:rsidRPr="0013396E">
        <w:rPr>
          <w:i/>
        </w:rPr>
        <w:t>gsc</w:t>
      </w:r>
      <w:r w:rsidRPr="0013396E">
        <w:t>.</w:t>
      </w:r>
    </w:p>
    <w:p w14:paraId="37209E8C" w14:textId="77777777" w:rsidR="007844A1" w:rsidRPr="0013396E" w:rsidRDefault="007844A1" w:rsidP="007844A1">
      <w:pPr>
        <w:widowControl w:val="0"/>
      </w:pPr>
      <w:r w:rsidRPr="0013396E">
        <w:t>The above variables are defined as follows:</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141"/>
        <w:gridCol w:w="1262"/>
        <w:gridCol w:w="5945"/>
      </w:tblGrid>
      <w:tr w:rsidR="007844A1" w:rsidRPr="0013396E" w14:paraId="13081C74" w14:textId="77777777" w:rsidTr="0099759E">
        <w:trPr>
          <w:cantSplit/>
          <w:tblHeader/>
        </w:trPr>
        <w:tc>
          <w:tcPr>
            <w:tcW w:w="1145" w:type="pct"/>
          </w:tcPr>
          <w:p w14:paraId="796F3035" w14:textId="77777777" w:rsidR="007844A1" w:rsidRPr="0013396E" w:rsidRDefault="007844A1" w:rsidP="0099759E">
            <w:pPr>
              <w:widowControl w:val="0"/>
              <w:spacing w:after="120"/>
              <w:rPr>
                <w:b/>
                <w:iCs/>
                <w:sz w:val="20"/>
              </w:rPr>
            </w:pPr>
            <w:r w:rsidRPr="0013396E">
              <w:rPr>
                <w:b/>
                <w:iCs/>
                <w:sz w:val="20"/>
              </w:rPr>
              <w:t>Variable</w:t>
            </w:r>
          </w:p>
        </w:tc>
        <w:tc>
          <w:tcPr>
            <w:tcW w:w="675" w:type="pct"/>
          </w:tcPr>
          <w:p w14:paraId="399948CE" w14:textId="77777777" w:rsidR="007844A1" w:rsidRPr="0013396E" w:rsidRDefault="007844A1" w:rsidP="0099759E">
            <w:pPr>
              <w:widowControl w:val="0"/>
              <w:spacing w:after="120"/>
              <w:rPr>
                <w:b/>
                <w:iCs/>
                <w:sz w:val="20"/>
              </w:rPr>
            </w:pPr>
            <w:r w:rsidRPr="0013396E">
              <w:rPr>
                <w:b/>
                <w:iCs/>
                <w:sz w:val="20"/>
              </w:rPr>
              <w:t>Unit</w:t>
            </w:r>
          </w:p>
        </w:tc>
        <w:tc>
          <w:tcPr>
            <w:tcW w:w="3180" w:type="pct"/>
          </w:tcPr>
          <w:p w14:paraId="488AE1E0" w14:textId="77777777" w:rsidR="007844A1" w:rsidRPr="0013396E" w:rsidRDefault="007844A1" w:rsidP="0099759E">
            <w:pPr>
              <w:widowControl w:val="0"/>
              <w:spacing w:after="120"/>
              <w:rPr>
                <w:b/>
                <w:iCs/>
                <w:sz w:val="20"/>
              </w:rPr>
            </w:pPr>
            <w:r w:rsidRPr="0013396E">
              <w:rPr>
                <w:b/>
                <w:iCs/>
                <w:sz w:val="20"/>
              </w:rPr>
              <w:t>Description</w:t>
            </w:r>
          </w:p>
        </w:tc>
      </w:tr>
      <w:tr w:rsidR="007844A1" w:rsidRPr="0013396E" w14:paraId="2BE72FAB" w14:textId="77777777" w:rsidTr="0099759E">
        <w:trPr>
          <w:cantSplit/>
        </w:trPr>
        <w:tc>
          <w:tcPr>
            <w:tcW w:w="1145" w:type="pct"/>
          </w:tcPr>
          <w:p w14:paraId="39384BF5" w14:textId="77777777" w:rsidR="007844A1" w:rsidRPr="0013396E" w:rsidRDefault="007844A1" w:rsidP="0099759E">
            <w:pPr>
              <w:widowControl w:val="0"/>
              <w:spacing w:after="60"/>
              <w:rPr>
                <w:i/>
                <w:sz w:val="20"/>
              </w:rPr>
            </w:pPr>
            <w:r w:rsidRPr="0013396E">
              <w:rPr>
                <w:sz w:val="20"/>
              </w:rPr>
              <w:t xml:space="preserve">NMRTETOT </w:t>
            </w:r>
            <w:r w:rsidRPr="0013396E">
              <w:rPr>
                <w:i/>
                <w:sz w:val="20"/>
                <w:vertAlign w:val="subscript"/>
              </w:rPr>
              <w:t>gsc</w:t>
            </w:r>
          </w:p>
        </w:tc>
        <w:tc>
          <w:tcPr>
            <w:tcW w:w="675" w:type="pct"/>
          </w:tcPr>
          <w:p w14:paraId="3FC6CA39" w14:textId="77777777" w:rsidR="007844A1" w:rsidRPr="0013396E" w:rsidRDefault="007844A1" w:rsidP="0099759E">
            <w:pPr>
              <w:widowControl w:val="0"/>
              <w:spacing w:after="60"/>
              <w:rPr>
                <w:sz w:val="20"/>
              </w:rPr>
            </w:pPr>
            <w:r w:rsidRPr="0013396E">
              <w:rPr>
                <w:sz w:val="20"/>
              </w:rPr>
              <w:t>MWh</w:t>
            </w:r>
          </w:p>
        </w:tc>
        <w:tc>
          <w:tcPr>
            <w:tcW w:w="3180" w:type="pct"/>
          </w:tcPr>
          <w:p w14:paraId="4848CCD7" w14:textId="77777777" w:rsidR="007844A1" w:rsidRPr="0013396E" w:rsidRDefault="007844A1" w:rsidP="0099759E">
            <w:pPr>
              <w:widowControl w:val="0"/>
              <w:spacing w:after="60"/>
              <w:rPr>
                <w:sz w:val="20"/>
              </w:rPr>
            </w:pPr>
            <w:r w:rsidRPr="0013396E">
              <w:rPr>
                <w:i/>
                <w:sz w:val="20"/>
              </w:rPr>
              <w:t>Net Meter Real-Time Energy Total</w:t>
            </w:r>
            <w:r w:rsidRPr="0013396E">
              <w:rPr>
                <w:sz w:val="20"/>
              </w:rPr>
              <w:t xml:space="preserve">—The net sum for all Settlement Meters included in generation site code </w:t>
            </w:r>
            <w:r w:rsidRPr="0013396E">
              <w:rPr>
                <w:i/>
                <w:sz w:val="20"/>
              </w:rPr>
              <w:t>gsc</w:t>
            </w:r>
            <w:r w:rsidRPr="0013396E">
              <w:rPr>
                <w:sz w:val="20"/>
              </w:rPr>
              <w:t xml:space="preserve">.  A positive value indicates an injection of power to the ERCOT System. </w:t>
            </w:r>
          </w:p>
        </w:tc>
      </w:tr>
      <w:tr w:rsidR="007844A1" w:rsidRPr="0013396E" w14:paraId="7B4088C0" w14:textId="77777777" w:rsidTr="0099759E">
        <w:trPr>
          <w:cantSplit/>
        </w:trPr>
        <w:tc>
          <w:tcPr>
            <w:tcW w:w="1145" w:type="pct"/>
          </w:tcPr>
          <w:p w14:paraId="5F1C8B9C" w14:textId="77777777" w:rsidR="007844A1" w:rsidRPr="0013396E" w:rsidRDefault="007844A1" w:rsidP="0099759E">
            <w:pPr>
              <w:widowControl w:val="0"/>
              <w:spacing w:after="60"/>
              <w:rPr>
                <w:sz w:val="20"/>
              </w:rPr>
            </w:pPr>
            <w:r w:rsidRPr="0013396E">
              <w:rPr>
                <w:sz w:val="20"/>
              </w:rPr>
              <w:t>NMSAMTTOT</w:t>
            </w:r>
            <w:r w:rsidRPr="0013396E">
              <w:rPr>
                <w:sz w:val="20"/>
                <w:vertAlign w:val="subscript"/>
              </w:rPr>
              <w:t xml:space="preserve"> </w:t>
            </w:r>
            <w:r w:rsidRPr="0013396E">
              <w:rPr>
                <w:i/>
                <w:sz w:val="20"/>
                <w:vertAlign w:val="subscript"/>
              </w:rPr>
              <w:t>gsc</w:t>
            </w:r>
          </w:p>
        </w:tc>
        <w:tc>
          <w:tcPr>
            <w:tcW w:w="675" w:type="pct"/>
          </w:tcPr>
          <w:p w14:paraId="6524CD5D" w14:textId="77777777" w:rsidR="007844A1" w:rsidRPr="0013396E" w:rsidRDefault="007844A1" w:rsidP="0099759E">
            <w:pPr>
              <w:widowControl w:val="0"/>
              <w:spacing w:after="60"/>
              <w:rPr>
                <w:sz w:val="20"/>
              </w:rPr>
            </w:pPr>
            <w:r w:rsidRPr="0013396E">
              <w:rPr>
                <w:sz w:val="20"/>
              </w:rPr>
              <w:t>$</w:t>
            </w:r>
          </w:p>
        </w:tc>
        <w:tc>
          <w:tcPr>
            <w:tcW w:w="3180" w:type="pct"/>
          </w:tcPr>
          <w:p w14:paraId="4FE765FD" w14:textId="77777777" w:rsidR="007844A1" w:rsidRPr="0013396E" w:rsidRDefault="007844A1" w:rsidP="0099759E">
            <w:pPr>
              <w:widowControl w:val="0"/>
              <w:spacing w:after="60"/>
              <w:rPr>
                <w:i/>
                <w:sz w:val="20"/>
              </w:rPr>
            </w:pPr>
            <w:r w:rsidRPr="0013396E">
              <w:rPr>
                <w:i/>
                <w:sz w:val="20"/>
              </w:rPr>
              <w:t>Net Metering Settlement</w:t>
            </w:r>
            <w:r w:rsidRPr="0013396E">
              <w:rPr>
                <w:sz w:val="20"/>
              </w:rPr>
              <w:t>—The total payment or charge to a generation site with a net metering arrangement.</w:t>
            </w:r>
          </w:p>
        </w:tc>
      </w:tr>
      <w:tr w:rsidR="007844A1" w:rsidRPr="0013396E" w14:paraId="7EF6C8BA" w14:textId="77777777" w:rsidTr="0099759E">
        <w:trPr>
          <w:cantSplit/>
        </w:trPr>
        <w:tc>
          <w:tcPr>
            <w:tcW w:w="1145" w:type="pct"/>
          </w:tcPr>
          <w:p w14:paraId="75CB38E4" w14:textId="77777777" w:rsidR="007844A1" w:rsidRPr="0013396E" w:rsidRDefault="007844A1" w:rsidP="0099759E">
            <w:pPr>
              <w:widowControl w:val="0"/>
              <w:spacing w:after="60"/>
              <w:rPr>
                <w:sz w:val="20"/>
              </w:rPr>
            </w:pPr>
            <w:r w:rsidRPr="0013396E">
              <w:rPr>
                <w:sz w:val="20"/>
              </w:rPr>
              <w:t xml:space="preserve">RTRMPR </w:t>
            </w:r>
            <w:r w:rsidRPr="0013396E">
              <w:rPr>
                <w:sz w:val="20"/>
                <w:vertAlign w:val="subscript"/>
              </w:rPr>
              <w:t xml:space="preserve"> </w:t>
            </w:r>
            <w:r w:rsidRPr="0013396E">
              <w:rPr>
                <w:i/>
                <w:sz w:val="20"/>
                <w:vertAlign w:val="subscript"/>
              </w:rPr>
              <w:t>b</w:t>
            </w:r>
          </w:p>
        </w:tc>
        <w:tc>
          <w:tcPr>
            <w:tcW w:w="675" w:type="pct"/>
          </w:tcPr>
          <w:p w14:paraId="10526882" w14:textId="77777777" w:rsidR="007844A1" w:rsidRPr="0013396E" w:rsidRDefault="007844A1" w:rsidP="0099759E">
            <w:pPr>
              <w:widowControl w:val="0"/>
              <w:spacing w:after="60"/>
              <w:rPr>
                <w:i/>
                <w:sz w:val="20"/>
              </w:rPr>
            </w:pPr>
            <w:r w:rsidRPr="0013396E">
              <w:rPr>
                <w:sz w:val="20"/>
              </w:rPr>
              <w:t>$/MWh</w:t>
            </w:r>
          </w:p>
        </w:tc>
        <w:tc>
          <w:tcPr>
            <w:tcW w:w="3180" w:type="pct"/>
          </w:tcPr>
          <w:p w14:paraId="4480096F" w14:textId="77777777" w:rsidR="007844A1" w:rsidRPr="0013396E" w:rsidRDefault="007844A1" w:rsidP="0099759E">
            <w:pPr>
              <w:widowControl w:val="0"/>
              <w:spacing w:after="60"/>
              <w:rPr>
                <w:sz w:val="20"/>
              </w:rPr>
            </w:pPr>
            <w:r w:rsidRPr="0013396E">
              <w:rPr>
                <w:i/>
                <w:sz w:val="20"/>
              </w:rPr>
              <w:t>Real-Time Price for the Energy Metered for each Resource meter at bus</w:t>
            </w:r>
            <w:r w:rsidRPr="0013396E">
              <w:rPr>
                <w:sz w:val="20"/>
              </w:rPr>
              <w:sym w:font="Symbol" w:char="F0BE"/>
            </w:r>
            <w:r w:rsidRPr="0013396E">
              <w:rPr>
                <w:sz w:val="20"/>
              </w:rPr>
              <w:t xml:space="preserve">The Real-Time price for the Settlement Meter at Electrical Bus </w:t>
            </w:r>
            <w:r w:rsidRPr="0013396E">
              <w:rPr>
                <w:i/>
                <w:sz w:val="20"/>
              </w:rPr>
              <w:t>b</w:t>
            </w:r>
            <w:r w:rsidRPr="0013396E">
              <w:rPr>
                <w:sz w:val="20"/>
              </w:rPr>
              <w:t>, for the 15-minute Settlement Interval.</w:t>
            </w:r>
          </w:p>
        </w:tc>
      </w:tr>
      <w:tr w:rsidR="007844A1" w:rsidRPr="0013396E" w14:paraId="457B4A25" w14:textId="77777777" w:rsidTr="0099759E">
        <w:trPr>
          <w:cantSplit/>
        </w:trPr>
        <w:tc>
          <w:tcPr>
            <w:tcW w:w="1145" w:type="pct"/>
          </w:tcPr>
          <w:p w14:paraId="5C7F8CDE" w14:textId="77777777" w:rsidR="007844A1" w:rsidRPr="0013396E" w:rsidRDefault="007844A1" w:rsidP="0099759E">
            <w:pPr>
              <w:widowControl w:val="0"/>
              <w:spacing w:after="60"/>
              <w:rPr>
                <w:sz w:val="20"/>
              </w:rPr>
            </w:pPr>
            <w:r w:rsidRPr="0013396E">
              <w:rPr>
                <w:sz w:val="20"/>
              </w:rPr>
              <w:t xml:space="preserve">MEB </w:t>
            </w:r>
            <w:r w:rsidRPr="0013396E">
              <w:rPr>
                <w:i/>
                <w:sz w:val="20"/>
                <w:vertAlign w:val="subscript"/>
              </w:rPr>
              <w:t>gsc, b</w:t>
            </w:r>
          </w:p>
        </w:tc>
        <w:tc>
          <w:tcPr>
            <w:tcW w:w="675" w:type="pct"/>
          </w:tcPr>
          <w:p w14:paraId="244BFFE2" w14:textId="77777777" w:rsidR="007844A1" w:rsidRPr="0013396E" w:rsidRDefault="007844A1" w:rsidP="0099759E">
            <w:pPr>
              <w:widowControl w:val="0"/>
              <w:spacing w:after="60"/>
              <w:rPr>
                <w:sz w:val="20"/>
              </w:rPr>
            </w:pPr>
            <w:r w:rsidRPr="0013396E">
              <w:rPr>
                <w:sz w:val="20"/>
              </w:rPr>
              <w:t>MWh</w:t>
            </w:r>
          </w:p>
        </w:tc>
        <w:tc>
          <w:tcPr>
            <w:tcW w:w="3180" w:type="pct"/>
          </w:tcPr>
          <w:p w14:paraId="653AB4C3" w14:textId="38CEDAF8" w:rsidR="007844A1" w:rsidRPr="0013396E" w:rsidRDefault="007844A1" w:rsidP="0099759E">
            <w:pPr>
              <w:widowControl w:val="0"/>
              <w:spacing w:after="60"/>
              <w:rPr>
                <w:i/>
                <w:sz w:val="16"/>
              </w:rPr>
            </w:pPr>
            <w:r w:rsidRPr="0013396E">
              <w:rPr>
                <w:i/>
                <w:sz w:val="20"/>
              </w:rPr>
              <w:t>Metered Energy at Bus</w:t>
            </w:r>
            <w:r w:rsidRPr="0013396E">
              <w:rPr>
                <w:sz w:val="20"/>
              </w:rPr>
              <w:sym w:font="Symbol" w:char="F0BE"/>
            </w:r>
            <w:r w:rsidRPr="0013396E">
              <w:rPr>
                <w:sz w:val="20"/>
              </w:rPr>
              <w:t>The metered energy by the Settlement Meter which is not upstream from another Settlement Meter which measures ESR Load for the 15-minute Settlement Interval.  A positive value represents energy produced, and a negative value represents energy withdrawn.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5705"/>
            </w:tblGrid>
            <w:tr w:rsidR="007844A1" w:rsidRPr="009658B2" w14:paraId="6574237E" w14:textId="77777777" w:rsidTr="0099759E">
              <w:trPr>
                <w:trHeight w:val="206"/>
              </w:trPr>
              <w:tc>
                <w:tcPr>
                  <w:tcW w:w="5000" w:type="pct"/>
                  <w:shd w:val="pct12" w:color="auto" w:fill="auto"/>
                </w:tcPr>
                <w:p w14:paraId="18358046" w14:textId="77777777" w:rsidR="007844A1" w:rsidRPr="0013396E" w:rsidRDefault="007844A1" w:rsidP="007844A1">
                  <w:pPr>
                    <w:pStyle w:val="Instructions"/>
                    <w:spacing w:before="120"/>
                    <w:ind w:right="-114"/>
                  </w:pPr>
                  <w:r w:rsidRPr="0013396E">
                    <w:t xml:space="preserve">[NPRR1188:  Replace </w:t>
                  </w:r>
                  <w:r>
                    <w:t>the description</w:t>
                  </w:r>
                  <w:r w:rsidRPr="0013396E">
                    <w:t xml:space="preserve"> above with the following upon system implementation:]</w:t>
                  </w:r>
                </w:p>
                <w:p w14:paraId="5786B254" w14:textId="613945EE" w:rsidR="007844A1" w:rsidRPr="007844A1" w:rsidRDefault="007844A1" w:rsidP="007844A1">
                  <w:pPr>
                    <w:widowControl w:val="0"/>
                    <w:spacing w:after="60"/>
                    <w:rPr>
                      <w:i/>
                      <w:sz w:val="16"/>
                    </w:rPr>
                  </w:pPr>
                  <w:r w:rsidRPr="0013396E">
                    <w:rPr>
                      <w:i/>
                      <w:sz w:val="20"/>
                    </w:rPr>
                    <w:t>Metered Energy at Bus</w:t>
                  </w:r>
                  <w:r w:rsidRPr="0013396E">
                    <w:rPr>
                      <w:sz w:val="20"/>
                    </w:rPr>
                    <w:sym w:font="Symbol" w:char="F0BE"/>
                  </w:r>
                  <w:r w:rsidRPr="0013396E">
                    <w:rPr>
                      <w:sz w:val="20"/>
                    </w:rPr>
                    <w:t>The metered energy by the Settlement Meter which is not upstream from another Settlement Meter which measures CLR (that is not an ALR) or ESR Load for the 15-minute Settlement Interval.  A positive value represents energy produced, and a negative value represents energy withdrawn.</w:t>
                  </w:r>
                </w:p>
              </w:tc>
            </w:tr>
          </w:tbl>
          <w:p w14:paraId="12A455C6" w14:textId="6BF65C2A" w:rsidR="007844A1" w:rsidRPr="0013396E" w:rsidRDefault="007844A1" w:rsidP="0099759E">
            <w:pPr>
              <w:widowControl w:val="0"/>
              <w:spacing w:after="60"/>
              <w:rPr>
                <w:i/>
                <w:sz w:val="16"/>
              </w:rPr>
            </w:pPr>
          </w:p>
        </w:tc>
      </w:tr>
      <w:tr w:rsidR="007844A1" w:rsidRPr="0013396E" w14:paraId="4F8B19B9" w14:textId="77777777" w:rsidTr="0099759E">
        <w:trPr>
          <w:cantSplit/>
        </w:trPr>
        <w:tc>
          <w:tcPr>
            <w:tcW w:w="1145" w:type="pct"/>
          </w:tcPr>
          <w:p w14:paraId="25D856A5" w14:textId="77777777" w:rsidR="007844A1" w:rsidRPr="0013396E" w:rsidRDefault="007844A1" w:rsidP="0099759E">
            <w:pPr>
              <w:widowControl w:val="0"/>
              <w:spacing w:after="60"/>
              <w:rPr>
                <w:sz w:val="20"/>
              </w:rPr>
            </w:pPr>
            <w:r w:rsidRPr="0013396E">
              <w:rPr>
                <w:sz w:val="20"/>
              </w:rPr>
              <w:t>RTRDP</w:t>
            </w:r>
          </w:p>
        </w:tc>
        <w:tc>
          <w:tcPr>
            <w:tcW w:w="675" w:type="pct"/>
          </w:tcPr>
          <w:p w14:paraId="7780AC50" w14:textId="77777777" w:rsidR="007844A1" w:rsidRPr="0013396E" w:rsidRDefault="007844A1" w:rsidP="0099759E">
            <w:pPr>
              <w:widowControl w:val="0"/>
              <w:spacing w:after="60"/>
              <w:rPr>
                <w:sz w:val="20"/>
              </w:rPr>
            </w:pPr>
            <w:r w:rsidRPr="0013396E">
              <w:rPr>
                <w:sz w:val="20"/>
              </w:rPr>
              <w:t>$/MWh</w:t>
            </w:r>
          </w:p>
        </w:tc>
        <w:tc>
          <w:tcPr>
            <w:tcW w:w="3180" w:type="pct"/>
          </w:tcPr>
          <w:p w14:paraId="1E5F77FE" w14:textId="77777777" w:rsidR="007844A1" w:rsidRPr="0013396E" w:rsidRDefault="007844A1" w:rsidP="0099759E">
            <w:pPr>
              <w:widowControl w:val="0"/>
              <w:spacing w:after="60"/>
              <w:rPr>
                <w:i/>
                <w:sz w:val="20"/>
              </w:rPr>
            </w:pPr>
            <w:r w:rsidRPr="0013396E">
              <w:rPr>
                <w:i/>
                <w:sz w:val="20"/>
              </w:rPr>
              <w:t>Real-Time Reliability Deployment Price for Energy</w:t>
            </w:r>
            <w:r w:rsidRPr="0013396E">
              <w:rPr>
                <w:sz w:val="20"/>
              </w:rPr>
              <w:sym w:font="Symbol" w:char="F0BE"/>
            </w:r>
            <w:r w:rsidRPr="0013396E">
              <w:rPr>
                <w:sz w:val="20"/>
              </w:rPr>
              <w:t xml:space="preserve">The Real-Time price for the 15-minute Settlement Interval, reflecting the impact of reliability deployments on energy prices that is calculated </w:t>
            </w:r>
            <w:r w:rsidRPr="0013396E">
              <w:rPr>
                <w:bCs/>
                <w:sz w:val="20"/>
              </w:rPr>
              <w:t>from the Real-Time Reliability Deployment Price Adder for Energy</w:t>
            </w:r>
            <w:r w:rsidRPr="0013396E">
              <w:rPr>
                <w:sz w:val="20"/>
              </w:rPr>
              <w:t>.</w:t>
            </w:r>
          </w:p>
        </w:tc>
      </w:tr>
      <w:tr w:rsidR="007844A1" w:rsidRPr="0013396E" w14:paraId="077C664A" w14:textId="77777777" w:rsidTr="0099759E">
        <w:trPr>
          <w:cantSplit/>
        </w:trPr>
        <w:tc>
          <w:tcPr>
            <w:tcW w:w="1145" w:type="pct"/>
          </w:tcPr>
          <w:p w14:paraId="2666AEDE" w14:textId="77777777" w:rsidR="007844A1" w:rsidRPr="0013396E" w:rsidRDefault="007844A1" w:rsidP="0099759E">
            <w:pPr>
              <w:widowControl w:val="0"/>
              <w:spacing w:after="60"/>
              <w:rPr>
                <w:sz w:val="20"/>
              </w:rPr>
            </w:pPr>
            <w:r w:rsidRPr="0013396E">
              <w:rPr>
                <w:sz w:val="20"/>
              </w:rPr>
              <w:t>RTRDPA</w:t>
            </w:r>
            <w:r w:rsidRPr="0013396E">
              <w:rPr>
                <w:sz w:val="20"/>
                <w:vertAlign w:val="subscript"/>
              </w:rPr>
              <w:t xml:space="preserve"> </w:t>
            </w:r>
            <w:r w:rsidRPr="0013396E">
              <w:rPr>
                <w:i/>
                <w:sz w:val="20"/>
                <w:vertAlign w:val="subscript"/>
              </w:rPr>
              <w:t>y</w:t>
            </w:r>
          </w:p>
        </w:tc>
        <w:tc>
          <w:tcPr>
            <w:tcW w:w="675" w:type="pct"/>
          </w:tcPr>
          <w:p w14:paraId="4C4F3A43" w14:textId="77777777" w:rsidR="007844A1" w:rsidRPr="0013396E" w:rsidRDefault="007844A1" w:rsidP="0099759E">
            <w:pPr>
              <w:widowControl w:val="0"/>
              <w:spacing w:after="60"/>
              <w:rPr>
                <w:sz w:val="20"/>
              </w:rPr>
            </w:pPr>
            <w:r w:rsidRPr="0013396E">
              <w:rPr>
                <w:sz w:val="20"/>
              </w:rPr>
              <w:t>$/MWh</w:t>
            </w:r>
          </w:p>
        </w:tc>
        <w:tc>
          <w:tcPr>
            <w:tcW w:w="3180" w:type="pct"/>
          </w:tcPr>
          <w:p w14:paraId="167AFE59" w14:textId="77777777" w:rsidR="007844A1" w:rsidRPr="0013396E" w:rsidRDefault="007844A1" w:rsidP="0099759E">
            <w:pPr>
              <w:widowControl w:val="0"/>
              <w:spacing w:after="60"/>
              <w:rPr>
                <w:i/>
                <w:sz w:val="20"/>
              </w:rPr>
            </w:pPr>
            <w:r w:rsidRPr="0013396E">
              <w:rPr>
                <w:i/>
                <w:sz w:val="20"/>
              </w:rPr>
              <w:t xml:space="preserve">Real-Time Reliability Deployment Price Adder for Energy </w:t>
            </w:r>
            <w:r w:rsidRPr="0013396E">
              <w:rPr>
                <w:sz w:val="20"/>
              </w:rPr>
              <w:sym w:font="Symbol" w:char="F0BE"/>
            </w:r>
            <w:r w:rsidRPr="0013396E">
              <w:rPr>
                <w:sz w:val="20"/>
              </w:rPr>
              <w:t xml:space="preserve">The Real-Time price adder that captures the impact of reliability deployments on energy prices for the SCED interval </w:t>
            </w:r>
            <w:r w:rsidRPr="0013396E">
              <w:rPr>
                <w:i/>
                <w:sz w:val="20"/>
              </w:rPr>
              <w:t>y</w:t>
            </w:r>
            <w:r w:rsidRPr="0013396E">
              <w:rPr>
                <w:sz w:val="20"/>
              </w:rPr>
              <w:t>.</w:t>
            </w:r>
          </w:p>
        </w:tc>
      </w:tr>
      <w:tr w:rsidR="007844A1" w:rsidRPr="0013396E" w14:paraId="4ECA2264" w14:textId="77777777" w:rsidTr="0099759E">
        <w:trPr>
          <w:cantSplit/>
        </w:trPr>
        <w:tc>
          <w:tcPr>
            <w:tcW w:w="1145" w:type="pct"/>
          </w:tcPr>
          <w:p w14:paraId="4A6CE313" w14:textId="77777777" w:rsidR="007844A1" w:rsidRPr="0013396E" w:rsidRDefault="007844A1" w:rsidP="0099759E">
            <w:pPr>
              <w:widowControl w:val="0"/>
              <w:spacing w:after="60"/>
              <w:rPr>
                <w:sz w:val="20"/>
              </w:rPr>
            </w:pPr>
            <w:r w:rsidRPr="0013396E">
              <w:rPr>
                <w:sz w:val="20"/>
              </w:rPr>
              <w:t>RNWF</w:t>
            </w:r>
            <w:r w:rsidRPr="0013396E">
              <w:rPr>
                <w:i/>
                <w:sz w:val="20"/>
              </w:rPr>
              <w:t xml:space="preserve"> </w:t>
            </w:r>
            <w:r w:rsidRPr="0013396E">
              <w:rPr>
                <w:i/>
                <w:sz w:val="20"/>
                <w:vertAlign w:val="subscript"/>
              </w:rPr>
              <w:t>y</w:t>
            </w:r>
          </w:p>
        </w:tc>
        <w:tc>
          <w:tcPr>
            <w:tcW w:w="675" w:type="pct"/>
          </w:tcPr>
          <w:p w14:paraId="4E502099" w14:textId="77777777" w:rsidR="007844A1" w:rsidRPr="0013396E" w:rsidRDefault="007844A1" w:rsidP="0099759E">
            <w:pPr>
              <w:widowControl w:val="0"/>
              <w:spacing w:after="60"/>
              <w:rPr>
                <w:sz w:val="20"/>
              </w:rPr>
            </w:pPr>
            <w:r w:rsidRPr="0013396E">
              <w:rPr>
                <w:sz w:val="20"/>
              </w:rPr>
              <w:t>none</w:t>
            </w:r>
          </w:p>
        </w:tc>
        <w:tc>
          <w:tcPr>
            <w:tcW w:w="3180" w:type="pct"/>
          </w:tcPr>
          <w:p w14:paraId="72FF7F78" w14:textId="77777777" w:rsidR="007844A1" w:rsidRPr="0013396E" w:rsidRDefault="007844A1" w:rsidP="0099759E">
            <w:pPr>
              <w:widowControl w:val="0"/>
              <w:spacing w:after="60"/>
              <w:rPr>
                <w:i/>
                <w:sz w:val="20"/>
              </w:rPr>
            </w:pPr>
            <w:r w:rsidRPr="0013396E">
              <w:rPr>
                <w:i/>
                <w:sz w:val="20"/>
              </w:rPr>
              <w:t>Resource Node Weighting Factor per interval</w:t>
            </w:r>
            <w:r w:rsidRPr="0013396E">
              <w:rPr>
                <w:sz w:val="20"/>
              </w:rPr>
              <w:sym w:font="Symbol" w:char="F0BE"/>
            </w:r>
            <w:r w:rsidRPr="0013396E">
              <w:rPr>
                <w:sz w:val="20"/>
              </w:rPr>
              <w:t xml:space="preserve">The weight used in the Resource Node Settlement Point Price calculation for the portion of the SCED interval </w:t>
            </w:r>
            <w:r w:rsidRPr="0013396E">
              <w:rPr>
                <w:i/>
                <w:sz w:val="20"/>
              </w:rPr>
              <w:t>y</w:t>
            </w:r>
            <w:r w:rsidRPr="0013396E">
              <w:rPr>
                <w:sz w:val="20"/>
              </w:rPr>
              <w:t xml:space="preserve"> within the Settlement Interval.</w:t>
            </w:r>
          </w:p>
        </w:tc>
      </w:tr>
      <w:tr w:rsidR="007844A1" w:rsidRPr="0013396E" w14:paraId="66B03928" w14:textId="77777777" w:rsidTr="0099759E">
        <w:trPr>
          <w:cantSplit/>
        </w:trPr>
        <w:tc>
          <w:tcPr>
            <w:tcW w:w="1145" w:type="pct"/>
          </w:tcPr>
          <w:p w14:paraId="3B9643A6" w14:textId="77777777" w:rsidR="007844A1" w:rsidRPr="0013396E" w:rsidRDefault="007844A1" w:rsidP="0099759E">
            <w:pPr>
              <w:widowControl w:val="0"/>
              <w:spacing w:after="60"/>
              <w:rPr>
                <w:sz w:val="20"/>
              </w:rPr>
            </w:pPr>
            <w:r w:rsidRPr="0013396E">
              <w:rPr>
                <w:sz w:val="20"/>
              </w:rPr>
              <w:t xml:space="preserve">RTLMP </w:t>
            </w:r>
            <w:r w:rsidRPr="0013396E">
              <w:rPr>
                <w:i/>
                <w:sz w:val="20"/>
                <w:vertAlign w:val="subscript"/>
              </w:rPr>
              <w:t>b, y</w:t>
            </w:r>
          </w:p>
        </w:tc>
        <w:tc>
          <w:tcPr>
            <w:tcW w:w="675" w:type="pct"/>
          </w:tcPr>
          <w:p w14:paraId="0EAE11AC" w14:textId="77777777" w:rsidR="007844A1" w:rsidRPr="0013396E" w:rsidRDefault="007844A1" w:rsidP="0099759E">
            <w:pPr>
              <w:widowControl w:val="0"/>
              <w:spacing w:after="60"/>
              <w:rPr>
                <w:sz w:val="20"/>
              </w:rPr>
            </w:pPr>
            <w:r w:rsidRPr="0013396E">
              <w:rPr>
                <w:sz w:val="20"/>
              </w:rPr>
              <w:t>$/MWh</w:t>
            </w:r>
          </w:p>
        </w:tc>
        <w:tc>
          <w:tcPr>
            <w:tcW w:w="3180" w:type="pct"/>
          </w:tcPr>
          <w:p w14:paraId="46E8A935" w14:textId="77777777" w:rsidR="007844A1" w:rsidRPr="0013396E" w:rsidRDefault="007844A1" w:rsidP="0099759E">
            <w:pPr>
              <w:widowControl w:val="0"/>
              <w:spacing w:after="60"/>
              <w:rPr>
                <w:sz w:val="20"/>
              </w:rPr>
            </w:pPr>
            <w:r w:rsidRPr="0013396E">
              <w:rPr>
                <w:i/>
                <w:sz w:val="20"/>
              </w:rPr>
              <w:t>Real-Time Locational Marginal Price at bus per interval</w:t>
            </w:r>
            <w:r w:rsidRPr="0013396E">
              <w:rPr>
                <w:sz w:val="20"/>
              </w:rPr>
              <w:sym w:font="Symbol" w:char="F0BE"/>
            </w:r>
            <w:r w:rsidRPr="0013396E">
              <w:rPr>
                <w:sz w:val="20"/>
              </w:rPr>
              <w:t xml:space="preserve">The Real-Time LMP for the meter at Electrical Bus </w:t>
            </w:r>
            <w:r w:rsidRPr="0013396E">
              <w:rPr>
                <w:i/>
                <w:sz w:val="20"/>
              </w:rPr>
              <w:t>b</w:t>
            </w:r>
            <w:r w:rsidRPr="0013396E">
              <w:rPr>
                <w:sz w:val="20"/>
              </w:rPr>
              <w:t xml:space="preserve">, for the SCED interval </w:t>
            </w:r>
            <w:r w:rsidRPr="0013396E">
              <w:rPr>
                <w:i/>
                <w:sz w:val="20"/>
              </w:rPr>
              <w:t>y</w:t>
            </w:r>
            <w:r w:rsidRPr="0013396E">
              <w:rPr>
                <w:sz w:val="20"/>
              </w:rPr>
              <w:t>.</w:t>
            </w:r>
          </w:p>
        </w:tc>
      </w:tr>
      <w:tr w:rsidR="007844A1" w:rsidRPr="0013396E" w14:paraId="4A8B05F1" w14:textId="77777777" w:rsidTr="0099759E">
        <w:trPr>
          <w:cantSplit/>
        </w:trPr>
        <w:tc>
          <w:tcPr>
            <w:tcW w:w="1145" w:type="pct"/>
          </w:tcPr>
          <w:p w14:paraId="118DAABF" w14:textId="77777777" w:rsidR="007844A1" w:rsidRPr="0013396E" w:rsidRDefault="007844A1" w:rsidP="0099759E">
            <w:pPr>
              <w:widowControl w:val="0"/>
              <w:spacing w:after="60"/>
              <w:rPr>
                <w:sz w:val="20"/>
              </w:rPr>
            </w:pPr>
            <w:r w:rsidRPr="0013396E">
              <w:rPr>
                <w:sz w:val="20"/>
              </w:rPr>
              <w:t xml:space="preserve">TLMP </w:t>
            </w:r>
            <w:r w:rsidRPr="0013396E">
              <w:rPr>
                <w:i/>
                <w:sz w:val="20"/>
                <w:vertAlign w:val="subscript"/>
              </w:rPr>
              <w:t>y</w:t>
            </w:r>
          </w:p>
        </w:tc>
        <w:tc>
          <w:tcPr>
            <w:tcW w:w="675" w:type="pct"/>
          </w:tcPr>
          <w:p w14:paraId="02DC147E" w14:textId="77777777" w:rsidR="007844A1" w:rsidRPr="0013396E" w:rsidRDefault="007844A1" w:rsidP="0099759E">
            <w:pPr>
              <w:widowControl w:val="0"/>
              <w:spacing w:after="60"/>
              <w:rPr>
                <w:iCs/>
                <w:sz w:val="20"/>
              </w:rPr>
            </w:pPr>
            <w:r w:rsidRPr="0013396E">
              <w:rPr>
                <w:sz w:val="20"/>
              </w:rPr>
              <w:t>second</w:t>
            </w:r>
          </w:p>
        </w:tc>
        <w:tc>
          <w:tcPr>
            <w:tcW w:w="3180" w:type="pct"/>
          </w:tcPr>
          <w:p w14:paraId="500AD49A" w14:textId="77777777" w:rsidR="007844A1" w:rsidRPr="0013396E" w:rsidRDefault="007844A1" w:rsidP="0099759E">
            <w:pPr>
              <w:widowControl w:val="0"/>
              <w:spacing w:after="60"/>
              <w:rPr>
                <w:sz w:val="20"/>
              </w:rPr>
            </w:pPr>
            <w:r w:rsidRPr="0013396E">
              <w:rPr>
                <w:i/>
                <w:iCs/>
                <w:sz w:val="20"/>
              </w:rPr>
              <w:t xml:space="preserve">Duration of </w:t>
            </w:r>
            <w:r w:rsidRPr="0013396E">
              <w:rPr>
                <w:i/>
                <w:sz w:val="20"/>
              </w:rPr>
              <w:t>SCED</w:t>
            </w:r>
            <w:r w:rsidRPr="0013396E">
              <w:rPr>
                <w:i/>
                <w:iCs/>
                <w:sz w:val="20"/>
              </w:rPr>
              <w:t xml:space="preserve"> interval per interval</w:t>
            </w:r>
            <w:r w:rsidRPr="0013396E">
              <w:rPr>
                <w:sz w:val="20"/>
              </w:rPr>
              <w:sym w:font="Symbol" w:char="F0BE"/>
            </w:r>
            <w:r w:rsidRPr="0013396E">
              <w:rPr>
                <w:sz w:val="20"/>
              </w:rPr>
              <w:t xml:space="preserve">The duration of the SCED interval </w:t>
            </w:r>
            <w:r w:rsidRPr="0013396E">
              <w:rPr>
                <w:i/>
                <w:iCs/>
                <w:sz w:val="20"/>
              </w:rPr>
              <w:t>y</w:t>
            </w:r>
            <w:r w:rsidRPr="0013396E">
              <w:rPr>
                <w:sz w:val="20"/>
              </w:rPr>
              <w:t>.</w:t>
            </w:r>
          </w:p>
        </w:tc>
      </w:tr>
      <w:tr w:rsidR="007844A1" w:rsidRPr="0013396E" w14:paraId="44320F4E" w14:textId="77777777" w:rsidTr="0099759E">
        <w:trPr>
          <w:cantSplit/>
        </w:trPr>
        <w:tc>
          <w:tcPr>
            <w:tcW w:w="1145" w:type="pct"/>
          </w:tcPr>
          <w:p w14:paraId="526FD1E8" w14:textId="77777777" w:rsidR="007844A1" w:rsidRPr="0013396E" w:rsidRDefault="007844A1" w:rsidP="0099759E">
            <w:pPr>
              <w:widowControl w:val="0"/>
              <w:spacing w:after="60"/>
              <w:rPr>
                <w:sz w:val="20"/>
              </w:rPr>
            </w:pPr>
            <w:r w:rsidRPr="0013396E">
              <w:rPr>
                <w:sz w:val="20"/>
              </w:rPr>
              <w:t xml:space="preserve">RNWF </w:t>
            </w:r>
            <w:r w:rsidRPr="0013396E">
              <w:rPr>
                <w:i/>
                <w:sz w:val="20"/>
                <w:vertAlign w:val="subscript"/>
              </w:rPr>
              <w:t>b, y</w:t>
            </w:r>
          </w:p>
        </w:tc>
        <w:tc>
          <w:tcPr>
            <w:tcW w:w="675" w:type="pct"/>
          </w:tcPr>
          <w:p w14:paraId="26D48594" w14:textId="77777777" w:rsidR="007844A1" w:rsidRPr="0013396E" w:rsidRDefault="007844A1" w:rsidP="0099759E">
            <w:pPr>
              <w:widowControl w:val="0"/>
              <w:spacing w:after="60"/>
              <w:rPr>
                <w:sz w:val="20"/>
              </w:rPr>
            </w:pPr>
            <w:r w:rsidRPr="0013396E">
              <w:rPr>
                <w:sz w:val="20"/>
              </w:rPr>
              <w:t>none</w:t>
            </w:r>
          </w:p>
        </w:tc>
        <w:tc>
          <w:tcPr>
            <w:tcW w:w="3180" w:type="pct"/>
          </w:tcPr>
          <w:p w14:paraId="42153F81" w14:textId="77777777" w:rsidR="007844A1" w:rsidRPr="0013396E" w:rsidRDefault="007844A1" w:rsidP="0099759E">
            <w:pPr>
              <w:widowControl w:val="0"/>
              <w:spacing w:after="60"/>
              <w:rPr>
                <w:i/>
                <w:iCs/>
                <w:sz w:val="20"/>
              </w:rPr>
            </w:pPr>
            <w:r w:rsidRPr="0013396E">
              <w:rPr>
                <w:i/>
                <w:iCs/>
                <w:sz w:val="20"/>
              </w:rPr>
              <w:t>Net meter Weighting Factor per interval</w:t>
            </w:r>
            <w:r w:rsidRPr="0013396E">
              <w:rPr>
                <w:rFonts w:ascii="Symbol" w:hAnsi="Symbol"/>
                <w:sz w:val="20"/>
              </w:rPr>
              <w:t></w:t>
            </w:r>
            <w:r w:rsidRPr="0013396E">
              <w:rPr>
                <w:sz w:val="20"/>
              </w:rPr>
              <w:t xml:space="preserve">The weight factor used in net meter price calculation for meters in Electrical Bus </w:t>
            </w:r>
            <w:r w:rsidRPr="0013396E">
              <w:rPr>
                <w:i/>
                <w:sz w:val="20"/>
              </w:rPr>
              <w:t>b</w:t>
            </w:r>
            <w:r w:rsidRPr="0013396E">
              <w:rPr>
                <w:sz w:val="20"/>
              </w:rPr>
              <w:t xml:space="preserve">, for the SCED interval </w:t>
            </w:r>
            <w:r w:rsidRPr="0013396E">
              <w:rPr>
                <w:i/>
                <w:iCs/>
                <w:sz w:val="20"/>
              </w:rPr>
              <w:t>y</w:t>
            </w:r>
            <w:r w:rsidRPr="0013396E">
              <w:rPr>
                <w:sz w:val="20"/>
              </w:rPr>
              <w:t>.  The weighting factor used in the net meter price calculation shall not be recalculated after the fact due to revisions in the association of Resources to Settlement Meters.</w:t>
            </w:r>
          </w:p>
        </w:tc>
      </w:tr>
      <w:tr w:rsidR="007844A1" w:rsidRPr="0013396E" w14:paraId="0EB942D9" w14:textId="77777777" w:rsidTr="0099759E">
        <w:trPr>
          <w:cantSplit/>
        </w:trPr>
        <w:tc>
          <w:tcPr>
            <w:tcW w:w="1145" w:type="pct"/>
          </w:tcPr>
          <w:p w14:paraId="4F81FC33" w14:textId="77777777" w:rsidR="007844A1" w:rsidRPr="0013396E" w:rsidRDefault="007844A1" w:rsidP="0099759E">
            <w:pPr>
              <w:widowControl w:val="0"/>
              <w:spacing w:after="60"/>
              <w:rPr>
                <w:sz w:val="20"/>
              </w:rPr>
            </w:pPr>
            <w:r w:rsidRPr="0013396E">
              <w:rPr>
                <w:sz w:val="20"/>
              </w:rPr>
              <w:lastRenderedPageBreak/>
              <w:t xml:space="preserve">BP </w:t>
            </w:r>
            <w:r w:rsidRPr="0013396E">
              <w:rPr>
                <w:i/>
                <w:sz w:val="20"/>
                <w:vertAlign w:val="subscript"/>
              </w:rPr>
              <w:t>r, y</w:t>
            </w:r>
          </w:p>
        </w:tc>
        <w:tc>
          <w:tcPr>
            <w:tcW w:w="675" w:type="pct"/>
          </w:tcPr>
          <w:p w14:paraId="48B51AB3" w14:textId="77777777" w:rsidR="007844A1" w:rsidRPr="0013396E" w:rsidRDefault="007844A1" w:rsidP="0099759E">
            <w:pPr>
              <w:widowControl w:val="0"/>
              <w:spacing w:after="60"/>
              <w:rPr>
                <w:sz w:val="20"/>
              </w:rPr>
            </w:pPr>
            <w:r w:rsidRPr="0013396E">
              <w:rPr>
                <w:sz w:val="20"/>
              </w:rPr>
              <w:t>MW</w:t>
            </w:r>
          </w:p>
        </w:tc>
        <w:tc>
          <w:tcPr>
            <w:tcW w:w="3180" w:type="pct"/>
          </w:tcPr>
          <w:p w14:paraId="66CE2DA0" w14:textId="77777777" w:rsidR="007844A1" w:rsidRPr="0013396E" w:rsidRDefault="007844A1" w:rsidP="0099759E">
            <w:pPr>
              <w:widowControl w:val="0"/>
              <w:spacing w:after="60"/>
              <w:rPr>
                <w:i/>
                <w:iCs/>
                <w:sz w:val="20"/>
              </w:rPr>
            </w:pPr>
            <w:r w:rsidRPr="0013396E">
              <w:rPr>
                <w:i/>
                <w:iCs/>
                <w:sz w:val="20"/>
              </w:rPr>
              <w:t>Base Point per Resource per interval</w:t>
            </w:r>
            <w:r w:rsidRPr="0013396E">
              <w:rPr>
                <w:rFonts w:ascii="Symbol" w:hAnsi="Symbol"/>
                <w:sz w:val="20"/>
              </w:rPr>
              <w:t></w:t>
            </w:r>
            <w:r w:rsidRPr="0013396E">
              <w:rPr>
                <w:sz w:val="20"/>
              </w:rPr>
              <w:t xml:space="preserve">The Base Point of Resource </w:t>
            </w:r>
            <w:r w:rsidRPr="0013396E">
              <w:rPr>
                <w:i/>
                <w:sz w:val="20"/>
              </w:rPr>
              <w:t>r,</w:t>
            </w:r>
            <w:r w:rsidRPr="0013396E">
              <w:rPr>
                <w:sz w:val="20"/>
              </w:rPr>
              <w:t xml:space="preserve"> for the SCED interval </w:t>
            </w:r>
            <w:r w:rsidRPr="0013396E">
              <w:rPr>
                <w:i/>
                <w:iCs/>
                <w:sz w:val="20"/>
              </w:rPr>
              <w:t>y</w:t>
            </w:r>
            <w:r w:rsidRPr="0013396E">
              <w:rPr>
                <w:sz w:val="20"/>
              </w:rPr>
              <w:t xml:space="preserve">.  Where for a Combined Cycle Train, the Resource </w:t>
            </w:r>
            <w:r w:rsidRPr="0013396E">
              <w:rPr>
                <w:i/>
                <w:sz w:val="20"/>
              </w:rPr>
              <w:t xml:space="preserve">r </w:t>
            </w:r>
            <w:r w:rsidRPr="0013396E">
              <w:rPr>
                <w:sz w:val="20"/>
              </w:rPr>
              <w:t>is a Combined Cycle Generation Resource within the Combined Cycle Train.</w:t>
            </w:r>
          </w:p>
        </w:tc>
      </w:tr>
      <w:tr w:rsidR="007844A1" w:rsidRPr="0013396E" w14:paraId="7871ECF7" w14:textId="77777777" w:rsidTr="0099759E">
        <w:trPr>
          <w:cantSplit/>
        </w:trPr>
        <w:tc>
          <w:tcPr>
            <w:tcW w:w="1145" w:type="pct"/>
          </w:tcPr>
          <w:p w14:paraId="74462BA3" w14:textId="77777777" w:rsidR="007844A1" w:rsidRPr="0013396E" w:rsidRDefault="007844A1" w:rsidP="0099759E">
            <w:pPr>
              <w:widowControl w:val="0"/>
              <w:spacing w:after="60"/>
              <w:rPr>
                <w:i/>
                <w:sz w:val="20"/>
              </w:rPr>
            </w:pPr>
            <w:r w:rsidRPr="0013396E">
              <w:rPr>
                <w:sz w:val="20"/>
              </w:rPr>
              <w:t>MEBC</w:t>
            </w:r>
            <w:r w:rsidRPr="0013396E">
              <w:rPr>
                <w:sz w:val="20"/>
                <w:vertAlign w:val="subscript"/>
              </w:rPr>
              <w:t xml:space="preserve"> </w:t>
            </w:r>
            <w:r w:rsidRPr="0013396E">
              <w:rPr>
                <w:i/>
                <w:sz w:val="20"/>
                <w:vertAlign w:val="subscript"/>
              </w:rPr>
              <w:t>gsc, b</w:t>
            </w:r>
          </w:p>
        </w:tc>
        <w:tc>
          <w:tcPr>
            <w:tcW w:w="675" w:type="pct"/>
          </w:tcPr>
          <w:p w14:paraId="4304FDE2" w14:textId="77777777" w:rsidR="007844A1" w:rsidRPr="0013396E" w:rsidRDefault="007844A1" w:rsidP="0099759E">
            <w:pPr>
              <w:widowControl w:val="0"/>
              <w:spacing w:after="60"/>
              <w:rPr>
                <w:sz w:val="20"/>
              </w:rPr>
            </w:pPr>
            <w:r w:rsidRPr="0013396E">
              <w:rPr>
                <w:sz w:val="20"/>
              </w:rPr>
              <w:t>MWh</w:t>
            </w:r>
          </w:p>
        </w:tc>
        <w:tc>
          <w:tcPr>
            <w:tcW w:w="3180" w:type="pct"/>
          </w:tcPr>
          <w:p w14:paraId="097A9E0C" w14:textId="08B6EB39" w:rsidR="007844A1" w:rsidRPr="0013396E" w:rsidRDefault="007844A1" w:rsidP="0099759E">
            <w:pPr>
              <w:widowControl w:val="0"/>
              <w:spacing w:after="60"/>
              <w:rPr>
                <w:sz w:val="20"/>
              </w:rPr>
            </w:pPr>
            <w:r w:rsidRPr="0013396E">
              <w:rPr>
                <w:i/>
                <w:sz w:val="20"/>
              </w:rPr>
              <w:t xml:space="preserve">Metered Energy at Bus (Calculated) </w:t>
            </w:r>
            <w:r w:rsidRPr="0013396E">
              <w:rPr>
                <w:sz w:val="20"/>
              </w:rPr>
              <w:sym w:font="Symbol" w:char="F0BE"/>
            </w:r>
            <w:r w:rsidRPr="0013396E">
              <w:rPr>
                <w:sz w:val="20"/>
              </w:rPr>
              <w:t xml:space="preserve"> The calculated energy for the 15-minute Settlement Interval for a Settlement Meter which is upstream from another Settlement Meter which measures ESR Load.  A positive value represents energy produced, and a negative value represents energy withdrawn.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5705"/>
            </w:tblGrid>
            <w:tr w:rsidR="007844A1" w:rsidRPr="009658B2" w14:paraId="1003E523" w14:textId="77777777" w:rsidTr="0099759E">
              <w:trPr>
                <w:trHeight w:val="206"/>
              </w:trPr>
              <w:tc>
                <w:tcPr>
                  <w:tcW w:w="5000" w:type="pct"/>
                  <w:shd w:val="pct12" w:color="auto" w:fill="auto"/>
                </w:tcPr>
                <w:p w14:paraId="400DE65C" w14:textId="77777777" w:rsidR="007844A1" w:rsidRPr="0013396E" w:rsidRDefault="007844A1" w:rsidP="007844A1">
                  <w:pPr>
                    <w:pStyle w:val="Instructions"/>
                    <w:spacing w:before="120"/>
                    <w:ind w:right="-114"/>
                  </w:pPr>
                  <w:r w:rsidRPr="0013396E">
                    <w:t xml:space="preserve">[NPRR1188:  Replace </w:t>
                  </w:r>
                  <w:r>
                    <w:t>the description</w:t>
                  </w:r>
                  <w:r w:rsidRPr="0013396E">
                    <w:t xml:space="preserve"> above with the following upon system implementation:]</w:t>
                  </w:r>
                </w:p>
                <w:p w14:paraId="704B3382" w14:textId="60B1E254" w:rsidR="007844A1" w:rsidRPr="007844A1" w:rsidRDefault="007844A1" w:rsidP="007844A1">
                  <w:pPr>
                    <w:widowControl w:val="0"/>
                    <w:spacing w:after="60"/>
                    <w:rPr>
                      <w:sz w:val="20"/>
                    </w:rPr>
                  </w:pPr>
                  <w:r w:rsidRPr="0013396E">
                    <w:rPr>
                      <w:i/>
                      <w:sz w:val="20"/>
                    </w:rPr>
                    <w:t xml:space="preserve">Metered Energy at Bus (Calculated) </w:t>
                  </w:r>
                  <w:r w:rsidRPr="0013396E">
                    <w:rPr>
                      <w:sz w:val="20"/>
                    </w:rPr>
                    <w:sym w:font="Symbol" w:char="F0BE"/>
                  </w:r>
                  <w:r w:rsidRPr="0013396E">
                    <w:rPr>
                      <w:sz w:val="20"/>
                    </w:rPr>
                    <w:t xml:space="preserve"> The calculated energy for the 15-minute Settlement Interval for a Settlement Meter which is upstream from another Settlement Meter which measures CLR (that is not an ALR) or ESR Load.  A positive value represents energy produced, and a negative value represents energy withdrawn.  This is not adjusted for losses and UFE.</w:t>
                  </w:r>
                </w:p>
              </w:tc>
            </w:tr>
          </w:tbl>
          <w:p w14:paraId="318C8FB5" w14:textId="2E22D60E" w:rsidR="007844A1" w:rsidRPr="0013396E" w:rsidRDefault="007844A1" w:rsidP="0099759E">
            <w:pPr>
              <w:widowControl w:val="0"/>
              <w:spacing w:after="60"/>
              <w:rPr>
                <w:sz w:val="20"/>
              </w:rPr>
            </w:pPr>
          </w:p>
        </w:tc>
      </w:tr>
      <w:tr w:rsidR="007844A1" w:rsidRPr="0013396E" w14:paraId="79F23D86" w14:textId="77777777" w:rsidTr="0099759E">
        <w:trPr>
          <w:cantSplit/>
        </w:trPr>
        <w:tc>
          <w:tcPr>
            <w:tcW w:w="1145" w:type="pct"/>
          </w:tcPr>
          <w:p w14:paraId="459CB43E" w14:textId="77777777" w:rsidR="007844A1" w:rsidRPr="0013396E" w:rsidRDefault="007844A1" w:rsidP="0099759E">
            <w:pPr>
              <w:widowControl w:val="0"/>
              <w:spacing w:after="60"/>
              <w:rPr>
                <w:i/>
                <w:sz w:val="20"/>
              </w:rPr>
            </w:pPr>
            <w:r w:rsidRPr="0013396E">
              <w:rPr>
                <w:i/>
                <w:sz w:val="20"/>
              </w:rPr>
              <w:t>gsc</w:t>
            </w:r>
          </w:p>
        </w:tc>
        <w:tc>
          <w:tcPr>
            <w:tcW w:w="675" w:type="pct"/>
          </w:tcPr>
          <w:p w14:paraId="27BB99BF" w14:textId="77777777" w:rsidR="007844A1" w:rsidRPr="0013396E" w:rsidRDefault="007844A1" w:rsidP="0099759E">
            <w:pPr>
              <w:widowControl w:val="0"/>
              <w:spacing w:after="60"/>
              <w:rPr>
                <w:sz w:val="20"/>
              </w:rPr>
            </w:pPr>
            <w:r w:rsidRPr="0013396E">
              <w:rPr>
                <w:sz w:val="20"/>
              </w:rPr>
              <w:t>none</w:t>
            </w:r>
          </w:p>
        </w:tc>
        <w:tc>
          <w:tcPr>
            <w:tcW w:w="3180" w:type="pct"/>
          </w:tcPr>
          <w:p w14:paraId="63060B74" w14:textId="77777777" w:rsidR="007844A1" w:rsidRPr="0013396E" w:rsidRDefault="007844A1" w:rsidP="0099759E">
            <w:pPr>
              <w:widowControl w:val="0"/>
              <w:spacing w:after="60"/>
              <w:rPr>
                <w:sz w:val="20"/>
              </w:rPr>
            </w:pPr>
            <w:r w:rsidRPr="0013396E">
              <w:rPr>
                <w:sz w:val="20"/>
              </w:rPr>
              <w:t>A generation site code.</w:t>
            </w:r>
          </w:p>
        </w:tc>
      </w:tr>
      <w:tr w:rsidR="007844A1" w:rsidRPr="0013396E" w14:paraId="6B0E0D4F" w14:textId="77777777" w:rsidTr="0099759E">
        <w:trPr>
          <w:cantSplit/>
        </w:trPr>
        <w:tc>
          <w:tcPr>
            <w:tcW w:w="1145" w:type="pct"/>
          </w:tcPr>
          <w:p w14:paraId="5D2F3C75" w14:textId="77777777" w:rsidR="007844A1" w:rsidRPr="0013396E" w:rsidRDefault="007844A1" w:rsidP="0099759E">
            <w:pPr>
              <w:widowControl w:val="0"/>
              <w:spacing w:after="60"/>
              <w:rPr>
                <w:i/>
                <w:sz w:val="20"/>
              </w:rPr>
            </w:pPr>
            <w:r w:rsidRPr="0013396E">
              <w:rPr>
                <w:i/>
                <w:sz w:val="20"/>
              </w:rPr>
              <w:t>r</w:t>
            </w:r>
          </w:p>
        </w:tc>
        <w:tc>
          <w:tcPr>
            <w:tcW w:w="675" w:type="pct"/>
          </w:tcPr>
          <w:p w14:paraId="782F3B3A" w14:textId="77777777" w:rsidR="007844A1" w:rsidRPr="0013396E" w:rsidRDefault="007844A1" w:rsidP="0099759E">
            <w:pPr>
              <w:widowControl w:val="0"/>
              <w:spacing w:after="60"/>
              <w:rPr>
                <w:sz w:val="20"/>
              </w:rPr>
            </w:pPr>
            <w:r w:rsidRPr="0013396E">
              <w:rPr>
                <w:sz w:val="20"/>
              </w:rPr>
              <w:t>none</w:t>
            </w:r>
          </w:p>
        </w:tc>
        <w:tc>
          <w:tcPr>
            <w:tcW w:w="3180" w:type="pct"/>
          </w:tcPr>
          <w:p w14:paraId="47002165" w14:textId="77777777" w:rsidR="007844A1" w:rsidRPr="0013396E" w:rsidRDefault="007844A1" w:rsidP="0099759E">
            <w:pPr>
              <w:widowControl w:val="0"/>
              <w:spacing w:after="60"/>
              <w:rPr>
                <w:sz w:val="20"/>
              </w:rPr>
            </w:pPr>
            <w:r w:rsidRPr="0013396E">
              <w:rPr>
                <w:sz w:val="20"/>
              </w:rPr>
              <w:t xml:space="preserve">A Generation Resource or ESR that is located at the Facility with net metering.  </w:t>
            </w:r>
          </w:p>
        </w:tc>
      </w:tr>
      <w:tr w:rsidR="007844A1" w:rsidRPr="0013396E" w14:paraId="0D8DABEE" w14:textId="77777777" w:rsidTr="0099759E">
        <w:trPr>
          <w:cantSplit/>
        </w:trPr>
        <w:tc>
          <w:tcPr>
            <w:tcW w:w="1145" w:type="pct"/>
          </w:tcPr>
          <w:p w14:paraId="152185F0" w14:textId="77777777" w:rsidR="007844A1" w:rsidRPr="0013396E" w:rsidRDefault="007844A1" w:rsidP="0099759E">
            <w:pPr>
              <w:widowControl w:val="0"/>
              <w:spacing w:after="60"/>
              <w:rPr>
                <w:i/>
                <w:sz w:val="20"/>
              </w:rPr>
            </w:pPr>
            <w:r w:rsidRPr="0013396E">
              <w:rPr>
                <w:i/>
                <w:sz w:val="20"/>
              </w:rPr>
              <w:t>y</w:t>
            </w:r>
          </w:p>
        </w:tc>
        <w:tc>
          <w:tcPr>
            <w:tcW w:w="675" w:type="pct"/>
          </w:tcPr>
          <w:p w14:paraId="421C13F1" w14:textId="77777777" w:rsidR="007844A1" w:rsidRPr="0013396E" w:rsidRDefault="007844A1" w:rsidP="0099759E">
            <w:pPr>
              <w:widowControl w:val="0"/>
              <w:spacing w:after="60"/>
              <w:rPr>
                <w:sz w:val="20"/>
              </w:rPr>
            </w:pPr>
            <w:r w:rsidRPr="0013396E">
              <w:rPr>
                <w:sz w:val="20"/>
              </w:rPr>
              <w:t>none</w:t>
            </w:r>
          </w:p>
        </w:tc>
        <w:tc>
          <w:tcPr>
            <w:tcW w:w="3180" w:type="pct"/>
          </w:tcPr>
          <w:p w14:paraId="4A35D087" w14:textId="77777777" w:rsidR="007844A1" w:rsidRPr="0013396E" w:rsidRDefault="007844A1" w:rsidP="0099759E">
            <w:pPr>
              <w:widowControl w:val="0"/>
              <w:spacing w:after="60"/>
              <w:rPr>
                <w:sz w:val="20"/>
              </w:rPr>
            </w:pPr>
            <w:r w:rsidRPr="0013396E">
              <w:rPr>
                <w:sz w:val="20"/>
              </w:rPr>
              <w:t>A SCED interval in the 15-minute Settlement Interval.  The summation is over the total number of SCED runs that cover the 15-minute Settlement Interval.</w:t>
            </w:r>
          </w:p>
        </w:tc>
      </w:tr>
      <w:tr w:rsidR="007844A1" w:rsidRPr="0013396E" w14:paraId="5A9DEE0A" w14:textId="77777777" w:rsidTr="0099759E">
        <w:trPr>
          <w:cantSplit/>
        </w:trPr>
        <w:tc>
          <w:tcPr>
            <w:tcW w:w="1145" w:type="pct"/>
          </w:tcPr>
          <w:p w14:paraId="0F09779F" w14:textId="77777777" w:rsidR="007844A1" w:rsidRPr="0013396E" w:rsidRDefault="007844A1" w:rsidP="0099759E">
            <w:pPr>
              <w:widowControl w:val="0"/>
              <w:spacing w:after="60"/>
              <w:rPr>
                <w:i/>
                <w:sz w:val="20"/>
              </w:rPr>
            </w:pPr>
            <w:r w:rsidRPr="0013396E">
              <w:rPr>
                <w:i/>
                <w:sz w:val="20"/>
              </w:rPr>
              <w:t>b</w:t>
            </w:r>
          </w:p>
        </w:tc>
        <w:tc>
          <w:tcPr>
            <w:tcW w:w="675" w:type="pct"/>
          </w:tcPr>
          <w:p w14:paraId="793EBE0A" w14:textId="77777777" w:rsidR="007844A1" w:rsidRPr="0013396E" w:rsidRDefault="007844A1" w:rsidP="0099759E">
            <w:pPr>
              <w:widowControl w:val="0"/>
              <w:spacing w:after="60"/>
              <w:rPr>
                <w:sz w:val="20"/>
              </w:rPr>
            </w:pPr>
            <w:r w:rsidRPr="0013396E">
              <w:rPr>
                <w:sz w:val="20"/>
              </w:rPr>
              <w:t>none</w:t>
            </w:r>
          </w:p>
        </w:tc>
        <w:tc>
          <w:tcPr>
            <w:tcW w:w="3180" w:type="pct"/>
          </w:tcPr>
          <w:p w14:paraId="770D7712" w14:textId="77777777" w:rsidR="007844A1" w:rsidRPr="0013396E" w:rsidRDefault="007844A1" w:rsidP="0099759E">
            <w:pPr>
              <w:widowControl w:val="0"/>
              <w:spacing w:after="60"/>
              <w:rPr>
                <w:sz w:val="20"/>
              </w:rPr>
            </w:pPr>
            <w:r w:rsidRPr="0013396E">
              <w:rPr>
                <w:sz w:val="20"/>
              </w:rPr>
              <w:t>An Electrical Bus.</w:t>
            </w:r>
          </w:p>
        </w:tc>
      </w:tr>
    </w:tbl>
    <w:p w14:paraId="68E7C60E" w14:textId="77777777" w:rsidR="007844A1" w:rsidRPr="0013396E" w:rsidRDefault="007844A1" w:rsidP="007844A1">
      <w:pPr>
        <w:widowControl w:val="0"/>
        <w:spacing w:before="240" w:after="120"/>
        <w:ind w:left="720" w:hanging="720"/>
      </w:pPr>
      <w:r w:rsidRPr="0013396E">
        <w:t>(5)</w:t>
      </w:r>
      <w:r w:rsidRPr="0013396E">
        <w:tab/>
        <w:t>The Generation Resource or ESR SCADA Splitting Percentage for each Resource within a net metering arrangement for the 15-minute Settlement Interval is calculated as follows:</w:t>
      </w:r>
    </w:p>
    <w:p w14:paraId="1EA5E93F" w14:textId="77777777" w:rsidR="007844A1" w:rsidRPr="0013396E" w:rsidRDefault="007844A1" w:rsidP="007844A1">
      <w:pPr>
        <w:spacing w:before="120" w:after="120"/>
        <w:ind w:firstLine="720"/>
        <w:jc w:val="both"/>
        <w:rPr>
          <w:b/>
          <w:vertAlign w:val="subscript"/>
          <w:lang w:val="pt-BR"/>
        </w:rPr>
      </w:pPr>
      <w:r w:rsidRPr="0013396E">
        <w:rPr>
          <w:b/>
          <w:lang w:val="pt-BR"/>
        </w:rPr>
        <w:t xml:space="preserve">GSPLITPER </w:t>
      </w:r>
      <w:r w:rsidRPr="0013396E">
        <w:rPr>
          <w:b/>
          <w:i/>
          <w:vertAlign w:val="subscript"/>
          <w:lang w:val="pt-BR"/>
        </w:rPr>
        <w:t>q</w:t>
      </w:r>
      <w:r w:rsidRPr="0013396E">
        <w:rPr>
          <w:rFonts w:ascii="Times New Roman Bold" w:hAnsi="Times New Roman Bold"/>
          <w:b/>
          <w:i/>
          <w:vertAlign w:val="subscript"/>
          <w:lang w:val="pt-BR"/>
        </w:rPr>
        <w:t xml:space="preserve">,  </w:t>
      </w:r>
      <w:r w:rsidRPr="0013396E">
        <w:rPr>
          <w:b/>
          <w:i/>
          <w:vertAlign w:val="subscript"/>
          <w:lang w:val="pt-BR"/>
        </w:rPr>
        <w:t>r, gsc, p</w:t>
      </w:r>
      <w:r w:rsidRPr="0013396E">
        <w:rPr>
          <w:b/>
          <w:lang w:val="pt-BR"/>
        </w:rPr>
        <w:t xml:space="preserve"> </w:t>
      </w:r>
      <w:r w:rsidRPr="0013396E">
        <w:rPr>
          <w:b/>
          <w:lang w:val="pt-BR"/>
        </w:rPr>
        <w:tab/>
        <w:t xml:space="preserve">= Max(GSSPLITSCA </w:t>
      </w:r>
      <w:r w:rsidRPr="0013396E">
        <w:rPr>
          <w:b/>
          <w:i/>
          <w:vertAlign w:val="subscript"/>
          <w:lang w:val="pt-BR"/>
        </w:rPr>
        <w:t>r</w:t>
      </w:r>
      <w:r w:rsidRPr="0013396E">
        <w:rPr>
          <w:b/>
          <w:iCs/>
          <w:lang w:val="pt-BR"/>
        </w:rPr>
        <w:t>, 0)</w:t>
      </w:r>
      <w:r w:rsidRPr="0013396E">
        <w:rPr>
          <w:b/>
          <w:lang w:val="pt-BR"/>
        </w:rPr>
        <w:t xml:space="preserve"> / </w:t>
      </w:r>
      <w:r w:rsidRPr="0013396E">
        <w:rPr>
          <w:position w:val="-18"/>
        </w:rPr>
        <w:object w:dxaOrig="255" w:dyaOrig="495" w14:anchorId="29D19903">
          <v:shape id="_x0000_i1121" type="#_x0000_t75" style="width:12pt;height:29.4pt" o:ole="">
            <v:imagedata r:id="rId103" o:title=""/>
          </v:shape>
          <o:OLEObject Type="Embed" ProgID="Equation.3" ShapeID="_x0000_i1121" DrawAspect="Content" ObjectID="_1836311400" r:id="rId139"/>
        </w:object>
      </w:r>
      <w:r w:rsidRPr="0013396E">
        <w:rPr>
          <w:b/>
          <w:bCs/>
        </w:rPr>
        <w:t>Max(</w:t>
      </w:r>
      <w:r w:rsidRPr="0013396E">
        <w:rPr>
          <w:b/>
          <w:lang w:val="pt-BR"/>
        </w:rPr>
        <w:t xml:space="preserve">GSSPLITSCA </w:t>
      </w:r>
      <w:r w:rsidRPr="0013396E">
        <w:rPr>
          <w:b/>
          <w:i/>
          <w:vertAlign w:val="subscript"/>
          <w:lang w:val="pt-BR"/>
        </w:rPr>
        <w:t>r</w:t>
      </w:r>
      <w:r w:rsidRPr="0013396E">
        <w:rPr>
          <w:b/>
          <w:iCs/>
          <w:lang w:val="pt-BR"/>
        </w:rPr>
        <w:t>, 0)</w:t>
      </w:r>
    </w:p>
    <w:p w14:paraId="5DF1C76A" w14:textId="77777777" w:rsidR="007844A1" w:rsidRPr="0013396E" w:rsidRDefault="007844A1" w:rsidP="007844A1">
      <w:pPr>
        <w:spacing w:before="120"/>
      </w:pPr>
      <w:r w:rsidRPr="0013396E">
        <w:t>The above variables are defined as follows:</w:t>
      </w: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1"/>
        <w:gridCol w:w="826"/>
        <w:gridCol w:w="5884"/>
      </w:tblGrid>
      <w:tr w:rsidR="007844A1" w:rsidRPr="0013396E" w14:paraId="00883F2F" w14:textId="77777777" w:rsidTr="0099759E">
        <w:trPr>
          <w:cantSplit/>
          <w:tblHeader/>
        </w:trPr>
        <w:tc>
          <w:tcPr>
            <w:tcW w:w="2361" w:type="dxa"/>
            <w:tcBorders>
              <w:top w:val="single" w:sz="4" w:space="0" w:color="auto"/>
              <w:left w:val="single" w:sz="4" w:space="0" w:color="auto"/>
              <w:bottom w:val="single" w:sz="4" w:space="0" w:color="auto"/>
              <w:right w:val="single" w:sz="4" w:space="0" w:color="auto"/>
            </w:tcBorders>
            <w:hideMark/>
          </w:tcPr>
          <w:p w14:paraId="1F7C09D2" w14:textId="77777777" w:rsidR="007844A1" w:rsidRPr="0013396E" w:rsidRDefault="007844A1" w:rsidP="0099759E">
            <w:pPr>
              <w:spacing w:after="120"/>
              <w:rPr>
                <w:b/>
                <w:iCs/>
                <w:sz w:val="20"/>
              </w:rPr>
            </w:pPr>
            <w:r w:rsidRPr="0013396E">
              <w:rPr>
                <w:b/>
                <w:iCs/>
                <w:sz w:val="20"/>
              </w:rPr>
              <w:t>Variable</w:t>
            </w:r>
          </w:p>
        </w:tc>
        <w:tc>
          <w:tcPr>
            <w:tcW w:w="826" w:type="dxa"/>
            <w:tcBorders>
              <w:top w:val="single" w:sz="4" w:space="0" w:color="auto"/>
              <w:left w:val="single" w:sz="4" w:space="0" w:color="auto"/>
              <w:bottom w:val="single" w:sz="4" w:space="0" w:color="auto"/>
              <w:right w:val="single" w:sz="4" w:space="0" w:color="auto"/>
            </w:tcBorders>
            <w:hideMark/>
          </w:tcPr>
          <w:p w14:paraId="74918EBC" w14:textId="77777777" w:rsidR="007844A1" w:rsidRPr="0013396E" w:rsidRDefault="007844A1" w:rsidP="0099759E">
            <w:pPr>
              <w:spacing w:after="120"/>
              <w:rPr>
                <w:b/>
                <w:iCs/>
                <w:sz w:val="20"/>
              </w:rPr>
            </w:pPr>
            <w:r w:rsidRPr="0013396E">
              <w:rPr>
                <w:b/>
                <w:iCs/>
                <w:sz w:val="20"/>
              </w:rPr>
              <w:t>Unit</w:t>
            </w:r>
          </w:p>
        </w:tc>
        <w:tc>
          <w:tcPr>
            <w:tcW w:w="5884" w:type="dxa"/>
            <w:tcBorders>
              <w:top w:val="single" w:sz="4" w:space="0" w:color="auto"/>
              <w:left w:val="single" w:sz="4" w:space="0" w:color="auto"/>
              <w:bottom w:val="single" w:sz="4" w:space="0" w:color="auto"/>
              <w:right w:val="single" w:sz="4" w:space="0" w:color="auto"/>
            </w:tcBorders>
            <w:hideMark/>
          </w:tcPr>
          <w:p w14:paraId="0F1DAD26" w14:textId="77777777" w:rsidR="007844A1" w:rsidRPr="0013396E" w:rsidRDefault="007844A1" w:rsidP="0099759E">
            <w:pPr>
              <w:spacing w:after="120"/>
              <w:rPr>
                <w:b/>
                <w:iCs/>
                <w:sz w:val="20"/>
              </w:rPr>
            </w:pPr>
            <w:r w:rsidRPr="0013396E">
              <w:rPr>
                <w:b/>
                <w:iCs/>
                <w:sz w:val="20"/>
              </w:rPr>
              <w:t>Definition</w:t>
            </w:r>
          </w:p>
        </w:tc>
      </w:tr>
      <w:tr w:rsidR="007844A1" w:rsidRPr="0013396E" w14:paraId="5EE14616" w14:textId="77777777" w:rsidTr="0099759E">
        <w:trPr>
          <w:cantSplit/>
        </w:trPr>
        <w:tc>
          <w:tcPr>
            <w:tcW w:w="2361" w:type="dxa"/>
            <w:tcBorders>
              <w:top w:val="single" w:sz="4" w:space="0" w:color="auto"/>
              <w:left w:val="single" w:sz="4" w:space="0" w:color="auto"/>
              <w:bottom w:val="single" w:sz="4" w:space="0" w:color="auto"/>
              <w:right w:val="single" w:sz="4" w:space="0" w:color="auto"/>
            </w:tcBorders>
            <w:hideMark/>
          </w:tcPr>
          <w:p w14:paraId="05ECA048" w14:textId="77777777" w:rsidR="007844A1" w:rsidRPr="0013396E" w:rsidRDefault="007844A1" w:rsidP="0099759E">
            <w:pPr>
              <w:spacing w:after="60"/>
              <w:rPr>
                <w:iCs/>
                <w:sz w:val="20"/>
              </w:rPr>
            </w:pPr>
            <w:r w:rsidRPr="0013396E">
              <w:rPr>
                <w:iCs/>
                <w:sz w:val="20"/>
              </w:rPr>
              <w:t xml:space="preserve">GSPLITPER </w:t>
            </w:r>
            <w:r w:rsidRPr="0013396E">
              <w:rPr>
                <w:i/>
                <w:iCs/>
                <w:sz w:val="20"/>
                <w:vertAlign w:val="subscript"/>
              </w:rPr>
              <w:t>q, r, gsc, p</w:t>
            </w:r>
          </w:p>
        </w:tc>
        <w:tc>
          <w:tcPr>
            <w:tcW w:w="826" w:type="dxa"/>
            <w:tcBorders>
              <w:top w:val="single" w:sz="4" w:space="0" w:color="auto"/>
              <w:left w:val="single" w:sz="4" w:space="0" w:color="auto"/>
              <w:bottom w:val="single" w:sz="4" w:space="0" w:color="auto"/>
              <w:right w:val="single" w:sz="4" w:space="0" w:color="auto"/>
            </w:tcBorders>
            <w:hideMark/>
          </w:tcPr>
          <w:p w14:paraId="61CD9218" w14:textId="77777777" w:rsidR="007844A1" w:rsidRPr="0013396E" w:rsidRDefault="007844A1" w:rsidP="0099759E">
            <w:pPr>
              <w:spacing w:after="60"/>
              <w:rPr>
                <w:iCs/>
                <w:sz w:val="20"/>
              </w:rPr>
            </w:pPr>
            <w:r w:rsidRPr="0013396E">
              <w:rPr>
                <w:iCs/>
                <w:sz w:val="20"/>
              </w:rPr>
              <w:t>none</w:t>
            </w:r>
          </w:p>
        </w:tc>
        <w:tc>
          <w:tcPr>
            <w:tcW w:w="5884" w:type="dxa"/>
            <w:tcBorders>
              <w:top w:val="single" w:sz="4" w:space="0" w:color="auto"/>
              <w:left w:val="single" w:sz="4" w:space="0" w:color="auto"/>
              <w:bottom w:val="single" w:sz="4" w:space="0" w:color="auto"/>
              <w:right w:val="single" w:sz="4" w:space="0" w:color="auto"/>
            </w:tcBorders>
            <w:hideMark/>
          </w:tcPr>
          <w:p w14:paraId="266A80F0" w14:textId="77777777" w:rsidR="007844A1" w:rsidRPr="0013396E" w:rsidRDefault="007844A1" w:rsidP="0099759E">
            <w:pPr>
              <w:spacing w:after="60"/>
              <w:rPr>
                <w:iCs/>
                <w:sz w:val="20"/>
              </w:rPr>
            </w:pPr>
            <w:r w:rsidRPr="0013396E">
              <w:rPr>
                <w:i/>
                <w:iCs/>
                <w:sz w:val="20"/>
              </w:rPr>
              <w:t>Generation Resource SCADA Splitting Percentage</w:t>
            </w:r>
            <w:r w:rsidRPr="0013396E">
              <w:rPr>
                <w:iCs/>
                <w:sz w:val="20"/>
              </w:rPr>
              <w:t xml:space="preserve">—The generation allocation percentage for Resource </w:t>
            </w:r>
            <w:r w:rsidRPr="0013396E">
              <w:rPr>
                <w:i/>
                <w:iCs/>
                <w:sz w:val="20"/>
              </w:rPr>
              <w:t>r</w:t>
            </w:r>
            <w:r w:rsidRPr="0013396E">
              <w:rPr>
                <w:iCs/>
                <w:sz w:val="20"/>
              </w:rPr>
              <w:t xml:space="preserve"> that is part of a generation site code </w:t>
            </w:r>
            <w:r w:rsidRPr="0013396E">
              <w:rPr>
                <w:i/>
                <w:iCs/>
                <w:sz w:val="20"/>
              </w:rPr>
              <w:t>gsc</w:t>
            </w:r>
            <w:r w:rsidRPr="0013396E">
              <w:rPr>
                <w:iCs/>
                <w:sz w:val="20"/>
              </w:rPr>
              <w:t xml:space="preserve"> for the QSE </w:t>
            </w:r>
            <w:r w:rsidRPr="0013396E">
              <w:rPr>
                <w:i/>
                <w:iCs/>
                <w:sz w:val="20"/>
              </w:rPr>
              <w:t>q</w:t>
            </w:r>
            <w:r w:rsidRPr="0013396E">
              <w:rPr>
                <w:iCs/>
                <w:sz w:val="20"/>
              </w:rPr>
              <w:t xml:space="preserve"> at Settlement Point </w:t>
            </w:r>
            <w:r w:rsidRPr="0013396E">
              <w:rPr>
                <w:i/>
                <w:iCs/>
                <w:sz w:val="20"/>
              </w:rPr>
              <w:t>p</w:t>
            </w:r>
            <w:r w:rsidRPr="0013396E">
              <w:rPr>
                <w:iCs/>
                <w:sz w:val="20"/>
              </w:rPr>
              <w:t xml:space="preserve">.  GSPLITPER is calculated by taking the positive SCADA values (GSSPLITSCA) for a particular Generation Resource or ESR </w:t>
            </w:r>
            <w:r w:rsidRPr="0013396E">
              <w:rPr>
                <w:i/>
                <w:iCs/>
                <w:sz w:val="20"/>
              </w:rPr>
              <w:t>r</w:t>
            </w:r>
            <w:r w:rsidRPr="0013396E">
              <w:rPr>
                <w:iCs/>
                <w:sz w:val="20"/>
              </w:rPr>
              <w:t xml:space="preserve"> that is part of a net metering configuration and dividing by the sum of all positive SCADA values for all Resources that are included in the net metering configuration for each interval.  Where for a Combined Cycle Train, the Resource </w:t>
            </w:r>
            <w:r w:rsidRPr="0013396E">
              <w:rPr>
                <w:i/>
                <w:iCs/>
                <w:sz w:val="20"/>
              </w:rPr>
              <w:t xml:space="preserve">r </w:t>
            </w:r>
            <w:r w:rsidRPr="0013396E">
              <w:rPr>
                <w:iCs/>
                <w:sz w:val="20"/>
              </w:rPr>
              <w:t>is the Combined Cycle Train.</w:t>
            </w:r>
          </w:p>
        </w:tc>
      </w:tr>
      <w:tr w:rsidR="007844A1" w:rsidRPr="0013396E" w14:paraId="4286898B" w14:textId="77777777" w:rsidTr="0099759E">
        <w:trPr>
          <w:cantSplit/>
        </w:trPr>
        <w:tc>
          <w:tcPr>
            <w:tcW w:w="2361" w:type="dxa"/>
            <w:tcBorders>
              <w:top w:val="single" w:sz="4" w:space="0" w:color="auto"/>
              <w:left w:val="single" w:sz="4" w:space="0" w:color="auto"/>
              <w:bottom w:val="single" w:sz="4" w:space="0" w:color="auto"/>
              <w:right w:val="single" w:sz="4" w:space="0" w:color="auto"/>
            </w:tcBorders>
            <w:hideMark/>
          </w:tcPr>
          <w:p w14:paraId="034A9E1A" w14:textId="77777777" w:rsidR="007844A1" w:rsidRPr="0013396E" w:rsidRDefault="007844A1" w:rsidP="0099759E">
            <w:pPr>
              <w:spacing w:after="60"/>
              <w:rPr>
                <w:iCs/>
                <w:sz w:val="20"/>
              </w:rPr>
            </w:pPr>
            <w:r w:rsidRPr="0013396E">
              <w:rPr>
                <w:iCs/>
                <w:sz w:val="20"/>
              </w:rPr>
              <w:t xml:space="preserve">GSSPLITSCA </w:t>
            </w:r>
            <w:r w:rsidRPr="0013396E">
              <w:rPr>
                <w:i/>
                <w:iCs/>
                <w:sz w:val="20"/>
                <w:vertAlign w:val="subscript"/>
              </w:rPr>
              <w:t>r</w:t>
            </w:r>
          </w:p>
        </w:tc>
        <w:tc>
          <w:tcPr>
            <w:tcW w:w="826" w:type="dxa"/>
            <w:tcBorders>
              <w:top w:val="single" w:sz="4" w:space="0" w:color="auto"/>
              <w:left w:val="single" w:sz="4" w:space="0" w:color="auto"/>
              <w:bottom w:val="single" w:sz="4" w:space="0" w:color="auto"/>
              <w:right w:val="single" w:sz="4" w:space="0" w:color="auto"/>
            </w:tcBorders>
            <w:hideMark/>
          </w:tcPr>
          <w:p w14:paraId="609FF255" w14:textId="77777777" w:rsidR="007844A1" w:rsidRPr="0013396E" w:rsidRDefault="007844A1" w:rsidP="0099759E">
            <w:pPr>
              <w:spacing w:after="60"/>
              <w:rPr>
                <w:iCs/>
                <w:sz w:val="20"/>
              </w:rPr>
            </w:pPr>
            <w:r w:rsidRPr="0013396E">
              <w:rPr>
                <w:iCs/>
                <w:sz w:val="20"/>
              </w:rPr>
              <w:t>MWh</w:t>
            </w:r>
          </w:p>
        </w:tc>
        <w:tc>
          <w:tcPr>
            <w:tcW w:w="5884" w:type="dxa"/>
            <w:tcBorders>
              <w:top w:val="single" w:sz="4" w:space="0" w:color="auto"/>
              <w:left w:val="single" w:sz="4" w:space="0" w:color="auto"/>
              <w:bottom w:val="single" w:sz="4" w:space="0" w:color="auto"/>
              <w:right w:val="single" w:sz="4" w:space="0" w:color="auto"/>
            </w:tcBorders>
            <w:hideMark/>
          </w:tcPr>
          <w:p w14:paraId="73208B22" w14:textId="77777777" w:rsidR="007844A1" w:rsidRPr="0013396E" w:rsidRDefault="007844A1" w:rsidP="0099759E">
            <w:pPr>
              <w:spacing w:after="60"/>
              <w:rPr>
                <w:iCs/>
                <w:sz w:val="20"/>
              </w:rPr>
            </w:pPr>
            <w:r w:rsidRPr="0013396E">
              <w:rPr>
                <w:i/>
                <w:iCs/>
                <w:sz w:val="20"/>
              </w:rPr>
              <w:t>Generation Resource SCADA Net Real Power provided via Telemetry</w:t>
            </w:r>
            <w:r w:rsidRPr="0013396E">
              <w:rPr>
                <w:iCs/>
                <w:sz w:val="20"/>
              </w:rPr>
              <w:t xml:space="preserve">—The positive net real power provided via telemetry per Resource within the net metering arrangement, integrated for the 15-minute Settlement Interval.  Where for a Combined Cycle Train, the Resource </w:t>
            </w:r>
            <w:r w:rsidRPr="0013396E">
              <w:rPr>
                <w:i/>
                <w:iCs/>
                <w:sz w:val="20"/>
              </w:rPr>
              <w:t>r</w:t>
            </w:r>
            <w:r w:rsidRPr="0013396E">
              <w:rPr>
                <w:iCs/>
                <w:sz w:val="20"/>
              </w:rPr>
              <w:t xml:space="preserve"> is the Combined Cycle Train.</w:t>
            </w:r>
          </w:p>
        </w:tc>
      </w:tr>
      <w:tr w:rsidR="007844A1" w:rsidRPr="0013396E" w14:paraId="4872D9A0" w14:textId="77777777" w:rsidTr="0099759E">
        <w:trPr>
          <w:cantSplit/>
        </w:trPr>
        <w:tc>
          <w:tcPr>
            <w:tcW w:w="2361" w:type="dxa"/>
            <w:tcBorders>
              <w:top w:val="single" w:sz="4" w:space="0" w:color="auto"/>
              <w:left w:val="single" w:sz="4" w:space="0" w:color="auto"/>
              <w:bottom w:val="single" w:sz="4" w:space="0" w:color="auto"/>
              <w:right w:val="single" w:sz="4" w:space="0" w:color="auto"/>
            </w:tcBorders>
            <w:hideMark/>
          </w:tcPr>
          <w:p w14:paraId="3E576C71" w14:textId="77777777" w:rsidR="007844A1" w:rsidRPr="0013396E" w:rsidRDefault="007844A1" w:rsidP="0099759E">
            <w:pPr>
              <w:spacing w:after="60"/>
              <w:rPr>
                <w:i/>
                <w:iCs/>
                <w:sz w:val="20"/>
              </w:rPr>
            </w:pPr>
            <w:r w:rsidRPr="0013396E">
              <w:rPr>
                <w:i/>
                <w:iCs/>
                <w:sz w:val="20"/>
              </w:rPr>
              <w:t>gsc</w:t>
            </w:r>
          </w:p>
        </w:tc>
        <w:tc>
          <w:tcPr>
            <w:tcW w:w="826" w:type="dxa"/>
            <w:tcBorders>
              <w:top w:val="single" w:sz="4" w:space="0" w:color="auto"/>
              <w:left w:val="single" w:sz="4" w:space="0" w:color="auto"/>
              <w:bottom w:val="single" w:sz="4" w:space="0" w:color="auto"/>
              <w:right w:val="single" w:sz="4" w:space="0" w:color="auto"/>
            </w:tcBorders>
            <w:hideMark/>
          </w:tcPr>
          <w:p w14:paraId="3AE807D0" w14:textId="77777777" w:rsidR="007844A1" w:rsidRPr="0013396E" w:rsidRDefault="007844A1" w:rsidP="0099759E">
            <w:pPr>
              <w:spacing w:after="60"/>
              <w:rPr>
                <w:iCs/>
                <w:sz w:val="20"/>
              </w:rPr>
            </w:pPr>
            <w:r w:rsidRPr="0013396E">
              <w:rPr>
                <w:iCs/>
                <w:sz w:val="20"/>
              </w:rPr>
              <w:t>none</w:t>
            </w:r>
          </w:p>
        </w:tc>
        <w:tc>
          <w:tcPr>
            <w:tcW w:w="5884" w:type="dxa"/>
            <w:tcBorders>
              <w:top w:val="single" w:sz="4" w:space="0" w:color="auto"/>
              <w:left w:val="single" w:sz="4" w:space="0" w:color="auto"/>
              <w:bottom w:val="single" w:sz="4" w:space="0" w:color="auto"/>
              <w:right w:val="single" w:sz="4" w:space="0" w:color="auto"/>
            </w:tcBorders>
            <w:hideMark/>
          </w:tcPr>
          <w:p w14:paraId="72808B74" w14:textId="77777777" w:rsidR="007844A1" w:rsidRPr="0013396E" w:rsidRDefault="007844A1" w:rsidP="0099759E">
            <w:pPr>
              <w:spacing w:after="60"/>
              <w:rPr>
                <w:iCs/>
                <w:sz w:val="20"/>
              </w:rPr>
            </w:pPr>
            <w:r w:rsidRPr="0013396E">
              <w:rPr>
                <w:iCs/>
                <w:sz w:val="20"/>
              </w:rPr>
              <w:t>A generation site code.</w:t>
            </w:r>
          </w:p>
        </w:tc>
      </w:tr>
      <w:tr w:rsidR="007844A1" w:rsidRPr="0013396E" w14:paraId="6B17C847" w14:textId="77777777" w:rsidTr="0099759E">
        <w:trPr>
          <w:cantSplit/>
        </w:trPr>
        <w:tc>
          <w:tcPr>
            <w:tcW w:w="2361" w:type="dxa"/>
            <w:tcBorders>
              <w:top w:val="single" w:sz="4" w:space="0" w:color="auto"/>
              <w:left w:val="single" w:sz="4" w:space="0" w:color="auto"/>
              <w:bottom w:val="single" w:sz="4" w:space="0" w:color="auto"/>
              <w:right w:val="single" w:sz="4" w:space="0" w:color="auto"/>
            </w:tcBorders>
            <w:hideMark/>
          </w:tcPr>
          <w:p w14:paraId="7913ABF5" w14:textId="77777777" w:rsidR="007844A1" w:rsidRPr="0013396E" w:rsidRDefault="007844A1" w:rsidP="0099759E">
            <w:pPr>
              <w:spacing w:after="60"/>
              <w:rPr>
                <w:i/>
                <w:iCs/>
                <w:sz w:val="20"/>
              </w:rPr>
            </w:pPr>
            <w:r w:rsidRPr="0013396E">
              <w:rPr>
                <w:i/>
                <w:iCs/>
                <w:sz w:val="20"/>
              </w:rPr>
              <w:lastRenderedPageBreak/>
              <w:t>r</w:t>
            </w:r>
          </w:p>
        </w:tc>
        <w:tc>
          <w:tcPr>
            <w:tcW w:w="826" w:type="dxa"/>
            <w:tcBorders>
              <w:top w:val="single" w:sz="4" w:space="0" w:color="auto"/>
              <w:left w:val="single" w:sz="4" w:space="0" w:color="auto"/>
              <w:bottom w:val="single" w:sz="4" w:space="0" w:color="auto"/>
              <w:right w:val="single" w:sz="4" w:space="0" w:color="auto"/>
            </w:tcBorders>
            <w:hideMark/>
          </w:tcPr>
          <w:p w14:paraId="02B8D83C" w14:textId="77777777" w:rsidR="007844A1" w:rsidRPr="0013396E" w:rsidRDefault="007844A1" w:rsidP="0099759E">
            <w:pPr>
              <w:spacing w:after="60"/>
              <w:rPr>
                <w:iCs/>
                <w:sz w:val="20"/>
              </w:rPr>
            </w:pPr>
            <w:r w:rsidRPr="0013396E">
              <w:rPr>
                <w:iCs/>
                <w:sz w:val="20"/>
              </w:rPr>
              <w:t>none</w:t>
            </w:r>
          </w:p>
        </w:tc>
        <w:tc>
          <w:tcPr>
            <w:tcW w:w="5884" w:type="dxa"/>
            <w:tcBorders>
              <w:top w:val="single" w:sz="4" w:space="0" w:color="auto"/>
              <w:left w:val="single" w:sz="4" w:space="0" w:color="auto"/>
              <w:bottom w:val="single" w:sz="4" w:space="0" w:color="auto"/>
              <w:right w:val="single" w:sz="4" w:space="0" w:color="auto"/>
            </w:tcBorders>
            <w:hideMark/>
          </w:tcPr>
          <w:p w14:paraId="084C1D96" w14:textId="77777777" w:rsidR="007844A1" w:rsidRPr="0013396E" w:rsidRDefault="007844A1" w:rsidP="0099759E">
            <w:pPr>
              <w:spacing w:after="60"/>
              <w:rPr>
                <w:iCs/>
                <w:sz w:val="20"/>
              </w:rPr>
            </w:pPr>
            <w:r w:rsidRPr="0013396E">
              <w:rPr>
                <w:iCs/>
                <w:sz w:val="20"/>
              </w:rPr>
              <w:t xml:space="preserve">A Generation Resource or ESR that is located at the Facility with net metering.  </w:t>
            </w:r>
          </w:p>
        </w:tc>
      </w:tr>
      <w:tr w:rsidR="007844A1" w:rsidRPr="0013396E" w14:paraId="06BDDDB4" w14:textId="77777777" w:rsidTr="0099759E">
        <w:trPr>
          <w:cantSplit/>
        </w:trPr>
        <w:tc>
          <w:tcPr>
            <w:tcW w:w="2361" w:type="dxa"/>
            <w:tcBorders>
              <w:top w:val="single" w:sz="4" w:space="0" w:color="auto"/>
              <w:left w:val="single" w:sz="4" w:space="0" w:color="auto"/>
              <w:bottom w:val="single" w:sz="4" w:space="0" w:color="auto"/>
              <w:right w:val="single" w:sz="4" w:space="0" w:color="auto"/>
            </w:tcBorders>
            <w:hideMark/>
          </w:tcPr>
          <w:p w14:paraId="0A6B32E3" w14:textId="77777777" w:rsidR="007844A1" w:rsidRPr="0013396E" w:rsidRDefault="007844A1" w:rsidP="0099759E">
            <w:pPr>
              <w:spacing w:after="60"/>
              <w:rPr>
                <w:i/>
                <w:iCs/>
                <w:sz w:val="20"/>
              </w:rPr>
            </w:pPr>
            <w:r w:rsidRPr="0013396E">
              <w:rPr>
                <w:i/>
                <w:iCs/>
                <w:sz w:val="20"/>
              </w:rPr>
              <w:t>q</w:t>
            </w:r>
          </w:p>
        </w:tc>
        <w:tc>
          <w:tcPr>
            <w:tcW w:w="826" w:type="dxa"/>
            <w:tcBorders>
              <w:top w:val="single" w:sz="4" w:space="0" w:color="auto"/>
              <w:left w:val="single" w:sz="4" w:space="0" w:color="auto"/>
              <w:bottom w:val="single" w:sz="4" w:space="0" w:color="auto"/>
              <w:right w:val="single" w:sz="4" w:space="0" w:color="auto"/>
            </w:tcBorders>
            <w:hideMark/>
          </w:tcPr>
          <w:p w14:paraId="4D8BF6C5" w14:textId="77777777" w:rsidR="007844A1" w:rsidRPr="0013396E" w:rsidRDefault="007844A1" w:rsidP="0099759E">
            <w:pPr>
              <w:spacing w:after="60"/>
              <w:rPr>
                <w:iCs/>
                <w:sz w:val="20"/>
              </w:rPr>
            </w:pPr>
            <w:r w:rsidRPr="0013396E">
              <w:rPr>
                <w:iCs/>
                <w:sz w:val="20"/>
              </w:rPr>
              <w:t>none</w:t>
            </w:r>
          </w:p>
        </w:tc>
        <w:tc>
          <w:tcPr>
            <w:tcW w:w="5884" w:type="dxa"/>
            <w:tcBorders>
              <w:top w:val="single" w:sz="4" w:space="0" w:color="auto"/>
              <w:left w:val="single" w:sz="4" w:space="0" w:color="auto"/>
              <w:bottom w:val="single" w:sz="4" w:space="0" w:color="auto"/>
              <w:right w:val="single" w:sz="4" w:space="0" w:color="auto"/>
            </w:tcBorders>
            <w:hideMark/>
          </w:tcPr>
          <w:p w14:paraId="0D86C846" w14:textId="77777777" w:rsidR="007844A1" w:rsidRPr="0013396E" w:rsidRDefault="007844A1" w:rsidP="0099759E">
            <w:pPr>
              <w:spacing w:after="60"/>
              <w:rPr>
                <w:iCs/>
                <w:sz w:val="20"/>
              </w:rPr>
            </w:pPr>
            <w:r w:rsidRPr="0013396E">
              <w:rPr>
                <w:iCs/>
                <w:sz w:val="20"/>
              </w:rPr>
              <w:t>A QSE.</w:t>
            </w:r>
          </w:p>
        </w:tc>
      </w:tr>
      <w:tr w:rsidR="007844A1" w:rsidRPr="0013396E" w14:paraId="7CCD93B7" w14:textId="77777777" w:rsidTr="0099759E">
        <w:trPr>
          <w:cantSplit/>
        </w:trPr>
        <w:tc>
          <w:tcPr>
            <w:tcW w:w="2361" w:type="dxa"/>
            <w:tcBorders>
              <w:top w:val="single" w:sz="4" w:space="0" w:color="auto"/>
              <w:left w:val="single" w:sz="4" w:space="0" w:color="auto"/>
              <w:bottom w:val="single" w:sz="4" w:space="0" w:color="auto"/>
              <w:right w:val="single" w:sz="4" w:space="0" w:color="auto"/>
            </w:tcBorders>
            <w:hideMark/>
          </w:tcPr>
          <w:p w14:paraId="3CEF05AD" w14:textId="77777777" w:rsidR="007844A1" w:rsidRPr="0013396E" w:rsidRDefault="007844A1" w:rsidP="0099759E">
            <w:pPr>
              <w:spacing w:after="60"/>
              <w:rPr>
                <w:i/>
                <w:iCs/>
                <w:sz w:val="20"/>
              </w:rPr>
            </w:pPr>
            <w:r w:rsidRPr="0013396E">
              <w:rPr>
                <w:i/>
                <w:iCs/>
                <w:sz w:val="20"/>
              </w:rPr>
              <w:t>p</w:t>
            </w:r>
          </w:p>
        </w:tc>
        <w:tc>
          <w:tcPr>
            <w:tcW w:w="826" w:type="dxa"/>
            <w:tcBorders>
              <w:top w:val="single" w:sz="4" w:space="0" w:color="auto"/>
              <w:left w:val="single" w:sz="4" w:space="0" w:color="auto"/>
              <w:bottom w:val="single" w:sz="4" w:space="0" w:color="auto"/>
              <w:right w:val="single" w:sz="4" w:space="0" w:color="auto"/>
            </w:tcBorders>
            <w:hideMark/>
          </w:tcPr>
          <w:p w14:paraId="38B99C09" w14:textId="77777777" w:rsidR="007844A1" w:rsidRPr="0013396E" w:rsidRDefault="007844A1" w:rsidP="0099759E">
            <w:pPr>
              <w:spacing w:after="60"/>
              <w:rPr>
                <w:iCs/>
                <w:sz w:val="20"/>
              </w:rPr>
            </w:pPr>
            <w:r w:rsidRPr="0013396E">
              <w:rPr>
                <w:iCs/>
                <w:sz w:val="20"/>
              </w:rPr>
              <w:t>none</w:t>
            </w:r>
          </w:p>
        </w:tc>
        <w:tc>
          <w:tcPr>
            <w:tcW w:w="5884" w:type="dxa"/>
            <w:tcBorders>
              <w:top w:val="single" w:sz="4" w:space="0" w:color="auto"/>
              <w:left w:val="single" w:sz="4" w:space="0" w:color="auto"/>
              <w:bottom w:val="single" w:sz="4" w:space="0" w:color="auto"/>
              <w:right w:val="single" w:sz="4" w:space="0" w:color="auto"/>
            </w:tcBorders>
            <w:hideMark/>
          </w:tcPr>
          <w:p w14:paraId="43A3C51C" w14:textId="77777777" w:rsidR="007844A1" w:rsidRPr="0013396E" w:rsidRDefault="007844A1" w:rsidP="0099759E">
            <w:pPr>
              <w:spacing w:after="60"/>
              <w:rPr>
                <w:iCs/>
                <w:sz w:val="20"/>
              </w:rPr>
            </w:pPr>
            <w:r w:rsidRPr="0013396E">
              <w:rPr>
                <w:iCs/>
                <w:sz w:val="20"/>
              </w:rPr>
              <w:t>A Resource Node Settlement Point.</w:t>
            </w:r>
          </w:p>
        </w:tc>
      </w:tr>
    </w:tbl>
    <w:p w14:paraId="6D83F27A" w14:textId="56DD4CCD" w:rsidR="001F04FD" w:rsidRPr="0013396E" w:rsidRDefault="001F04FD" w:rsidP="001F04FD">
      <w:pPr>
        <w:pStyle w:val="BodyTextNumbered"/>
        <w:spacing w:before="240"/>
      </w:pPr>
      <w:r w:rsidRPr="0013396E">
        <w:t>(6)</w:t>
      </w:r>
      <w:r w:rsidRPr="0013396E">
        <w:tab/>
        <w:t>The total net payments and charges to each QSE for Energy Imbalance Service at all Resource Node Settlement Points for the 15-minute Settlement Interval is calculated as follows:</w:t>
      </w:r>
    </w:p>
    <w:p w14:paraId="79FA2C4D" w14:textId="77777777" w:rsidR="001F04FD" w:rsidRPr="0013396E" w:rsidRDefault="001F04FD" w:rsidP="001F04FD">
      <w:pPr>
        <w:pStyle w:val="FormulaBold"/>
      </w:pPr>
      <w:r w:rsidRPr="0013396E">
        <w:t xml:space="preserve">RTEIAMTQSETOT </w:t>
      </w:r>
      <w:r w:rsidRPr="0013396E">
        <w:rPr>
          <w:i/>
          <w:vertAlign w:val="subscript"/>
        </w:rPr>
        <w:t>q</w:t>
      </w:r>
      <w:r w:rsidRPr="0013396E">
        <w:tab/>
        <w:t>=</w:t>
      </w:r>
      <w:r w:rsidRPr="0013396E">
        <w:tab/>
      </w:r>
      <w:r w:rsidRPr="0013396E">
        <w:rPr>
          <w:position w:val="-22"/>
        </w:rPr>
        <w:object w:dxaOrig="225" w:dyaOrig="465" w14:anchorId="61654585">
          <v:shape id="_x0000_i1122" type="#_x0000_t75" style="width:12pt;height:18.6pt" o:ole="">
            <v:imagedata r:id="rId140" o:title=""/>
          </v:shape>
          <o:OLEObject Type="Embed" ProgID="Equation.3" ShapeID="_x0000_i1122" DrawAspect="Content" ObjectID="_1836311401" r:id="rId141"/>
        </w:object>
      </w:r>
      <w:r w:rsidRPr="0013396E">
        <w:t xml:space="preserve"> RTEIAMT </w:t>
      </w:r>
      <w:r w:rsidRPr="0013396E">
        <w:rPr>
          <w:i/>
          <w:vertAlign w:val="subscript"/>
        </w:rPr>
        <w:t>q, p</w:t>
      </w:r>
    </w:p>
    <w:p w14:paraId="0D827B17" w14:textId="77777777" w:rsidR="001F04FD" w:rsidRPr="0013396E" w:rsidRDefault="001F04FD" w:rsidP="001F04FD">
      <w:r w:rsidRPr="0013396E">
        <w:t>The above variables are defined as follows:</w:t>
      </w: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5"/>
        <w:gridCol w:w="832"/>
        <w:gridCol w:w="6074"/>
      </w:tblGrid>
      <w:tr w:rsidR="001F04FD" w:rsidRPr="0013396E" w14:paraId="6E4FC206" w14:textId="77777777" w:rsidTr="00AC4DEE">
        <w:trPr>
          <w:cantSplit/>
          <w:tblHeader/>
        </w:trPr>
        <w:tc>
          <w:tcPr>
            <w:tcW w:w="2165" w:type="dxa"/>
          </w:tcPr>
          <w:p w14:paraId="61B8D13C" w14:textId="77777777" w:rsidR="001F04FD" w:rsidRPr="0013396E" w:rsidRDefault="001F04FD" w:rsidP="00AC4DEE">
            <w:pPr>
              <w:pStyle w:val="TableHead"/>
            </w:pPr>
            <w:r w:rsidRPr="0013396E">
              <w:t>Variable</w:t>
            </w:r>
          </w:p>
        </w:tc>
        <w:tc>
          <w:tcPr>
            <w:tcW w:w="832" w:type="dxa"/>
          </w:tcPr>
          <w:p w14:paraId="0A3FC743" w14:textId="77777777" w:rsidR="001F04FD" w:rsidRPr="0013396E" w:rsidRDefault="001F04FD" w:rsidP="00AC4DEE">
            <w:pPr>
              <w:pStyle w:val="TableHead"/>
            </w:pPr>
            <w:r w:rsidRPr="0013396E">
              <w:t>Unit</w:t>
            </w:r>
          </w:p>
        </w:tc>
        <w:tc>
          <w:tcPr>
            <w:tcW w:w="6074" w:type="dxa"/>
          </w:tcPr>
          <w:p w14:paraId="4BCC0E5C" w14:textId="77777777" w:rsidR="001F04FD" w:rsidRPr="0013396E" w:rsidRDefault="001F04FD" w:rsidP="00AC4DEE">
            <w:pPr>
              <w:pStyle w:val="TableHead"/>
            </w:pPr>
            <w:r w:rsidRPr="0013396E">
              <w:t>Definition</w:t>
            </w:r>
          </w:p>
        </w:tc>
      </w:tr>
      <w:tr w:rsidR="001F04FD" w:rsidRPr="0013396E" w14:paraId="4A9D5B76" w14:textId="77777777" w:rsidTr="00AC4DEE">
        <w:trPr>
          <w:cantSplit/>
        </w:trPr>
        <w:tc>
          <w:tcPr>
            <w:tcW w:w="2165" w:type="dxa"/>
          </w:tcPr>
          <w:p w14:paraId="04D361E2" w14:textId="77777777" w:rsidR="001F04FD" w:rsidRPr="0013396E" w:rsidRDefault="001F04FD" w:rsidP="00AC4DEE">
            <w:pPr>
              <w:pStyle w:val="TableBody"/>
            </w:pPr>
            <w:r w:rsidRPr="0013396E">
              <w:t xml:space="preserve">RTEIAMTQSETOT </w:t>
            </w:r>
            <w:r w:rsidRPr="0013396E">
              <w:rPr>
                <w:i/>
                <w:vertAlign w:val="subscript"/>
              </w:rPr>
              <w:t>q</w:t>
            </w:r>
          </w:p>
        </w:tc>
        <w:tc>
          <w:tcPr>
            <w:tcW w:w="832" w:type="dxa"/>
          </w:tcPr>
          <w:p w14:paraId="3C5EDEC3" w14:textId="77777777" w:rsidR="001F04FD" w:rsidRPr="0013396E" w:rsidRDefault="001F04FD" w:rsidP="00AC4DEE">
            <w:pPr>
              <w:pStyle w:val="TableBody"/>
            </w:pPr>
            <w:r w:rsidRPr="0013396E">
              <w:t>$</w:t>
            </w:r>
          </w:p>
        </w:tc>
        <w:tc>
          <w:tcPr>
            <w:tcW w:w="6074" w:type="dxa"/>
          </w:tcPr>
          <w:p w14:paraId="1E94B981" w14:textId="77777777" w:rsidR="001F04FD" w:rsidRPr="0013396E" w:rsidRDefault="001F04FD" w:rsidP="00AC4DEE">
            <w:pPr>
              <w:pStyle w:val="TableBody"/>
            </w:pPr>
            <w:r w:rsidRPr="0013396E">
              <w:rPr>
                <w:i/>
              </w:rPr>
              <w:t>Real-Time Energy Imbalance Amount QSE Total per QSE</w:t>
            </w:r>
            <w:r w:rsidRPr="0013396E">
              <w:sym w:font="Symbol" w:char="F0BE"/>
            </w:r>
            <w:r w:rsidRPr="0013396E">
              <w:t xml:space="preserve">The total net payments and charges to QSE </w:t>
            </w:r>
            <w:r w:rsidRPr="0013396E">
              <w:rPr>
                <w:i/>
              </w:rPr>
              <w:t>q</w:t>
            </w:r>
            <w:r w:rsidRPr="0013396E">
              <w:t xml:space="preserve"> for Real-Time Energy Imbalance Service at all Resource Node Settlement Points for the 15-minute Settlement Interval.</w:t>
            </w:r>
          </w:p>
        </w:tc>
      </w:tr>
      <w:tr w:rsidR="001F04FD" w:rsidRPr="0013396E" w14:paraId="35539610" w14:textId="77777777" w:rsidTr="00AC4DEE">
        <w:trPr>
          <w:cantSplit/>
        </w:trPr>
        <w:tc>
          <w:tcPr>
            <w:tcW w:w="2165" w:type="dxa"/>
          </w:tcPr>
          <w:p w14:paraId="11CA904B" w14:textId="77777777" w:rsidR="001F04FD" w:rsidRPr="0013396E" w:rsidRDefault="001F04FD" w:rsidP="00AC4DEE">
            <w:pPr>
              <w:pStyle w:val="TableBody"/>
            </w:pPr>
            <w:r w:rsidRPr="0013396E">
              <w:t xml:space="preserve">RTEIAMT </w:t>
            </w:r>
            <w:r w:rsidRPr="0013396E">
              <w:rPr>
                <w:i/>
                <w:vertAlign w:val="subscript"/>
              </w:rPr>
              <w:t>q, p</w:t>
            </w:r>
          </w:p>
        </w:tc>
        <w:tc>
          <w:tcPr>
            <w:tcW w:w="832" w:type="dxa"/>
          </w:tcPr>
          <w:p w14:paraId="230E393B" w14:textId="77777777" w:rsidR="001F04FD" w:rsidRPr="0013396E" w:rsidRDefault="001F04FD" w:rsidP="00AC4DEE">
            <w:pPr>
              <w:pStyle w:val="TableBody"/>
            </w:pPr>
            <w:r w:rsidRPr="0013396E">
              <w:t>$</w:t>
            </w:r>
          </w:p>
        </w:tc>
        <w:tc>
          <w:tcPr>
            <w:tcW w:w="6074" w:type="dxa"/>
          </w:tcPr>
          <w:p w14:paraId="73B657CF" w14:textId="77777777" w:rsidR="001F04FD" w:rsidRPr="0013396E" w:rsidRDefault="001F04FD" w:rsidP="00AC4DEE">
            <w:pPr>
              <w:pStyle w:val="TableBody"/>
            </w:pPr>
            <w:r w:rsidRPr="0013396E">
              <w:rPr>
                <w:i/>
              </w:rPr>
              <w:t>Real-Time Energy Imbalance Amount per QSE per Settlement Point</w:t>
            </w:r>
            <w:r w:rsidRPr="0013396E">
              <w:t xml:space="preserve">—The payment or charge to QSE </w:t>
            </w:r>
            <w:r w:rsidRPr="0013396E">
              <w:rPr>
                <w:i/>
              </w:rPr>
              <w:t>q</w:t>
            </w:r>
            <w:r w:rsidRPr="0013396E">
              <w:t xml:space="preserve"> for Real-Time Energy Imbalance Service at Settlement Point </w:t>
            </w:r>
            <w:r w:rsidRPr="0013396E">
              <w:rPr>
                <w:i/>
              </w:rPr>
              <w:t>p</w:t>
            </w:r>
            <w:r w:rsidRPr="0013396E">
              <w:t>, for the 15-minute Settlement Interval.</w:t>
            </w:r>
          </w:p>
        </w:tc>
      </w:tr>
      <w:tr w:rsidR="001F04FD" w:rsidRPr="0013396E" w14:paraId="281BEB12" w14:textId="77777777" w:rsidTr="00AC4DEE">
        <w:trPr>
          <w:cantSplit/>
        </w:trPr>
        <w:tc>
          <w:tcPr>
            <w:tcW w:w="2165" w:type="dxa"/>
            <w:tcBorders>
              <w:top w:val="single" w:sz="4" w:space="0" w:color="auto"/>
              <w:left w:val="single" w:sz="4" w:space="0" w:color="auto"/>
              <w:bottom w:val="single" w:sz="4" w:space="0" w:color="auto"/>
              <w:right w:val="single" w:sz="4" w:space="0" w:color="auto"/>
            </w:tcBorders>
          </w:tcPr>
          <w:p w14:paraId="62B0B303" w14:textId="77777777" w:rsidR="001F04FD" w:rsidRPr="0013396E" w:rsidRDefault="001F04FD" w:rsidP="00AC4DEE">
            <w:pPr>
              <w:pStyle w:val="TableBody"/>
              <w:rPr>
                <w:i/>
              </w:rPr>
            </w:pPr>
            <w:r w:rsidRPr="0013396E">
              <w:rPr>
                <w:i/>
              </w:rPr>
              <w:t>q</w:t>
            </w:r>
          </w:p>
        </w:tc>
        <w:tc>
          <w:tcPr>
            <w:tcW w:w="832" w:type="dxa"/>
            <w:tcBorders>
              <w:top w:val="single" w:sz="4" w:space="0" w:color="auto"/>
              <w:left w:val="single" w:sz="4" w:space="0" w:color="auto"/>
              <w:bottom w:val="single" w:sz="4" w:space="0" w:color="auto"/>
              <w:right w:val="single" w:sz="4" w:space="0" w:color="auto"/>
            </w:tcBorders>
          </w:tcPr>
          <w:p w14:paraId="2FD053B5" w14:textId="77777777" w:rsidR="001F04FD" w:rsidRPr="0013396E" w:rsidRDefault="001F04FD" w:rsidP="00AC4DEE">
            <w:pPr>
              <w:pStyle w:val="TableBody"/>
            </w:pPr>
            <w:r w:rsidRPr="0013396E">
              <w:t>none</w:t>
            </w:r>
          </w:p>
        </w:tc>
        <w:tc>
          <w:tcPr>
            <w:tcW w:w="6074" w:type="dxa"/>
            <w:tcBorders>
              <w:top w:val="single" w:sz="4" w:space="0" w:color="auto"/>
              <w:left w:val="single" w:sz="4" w:space="0" w:color="auto"/>
              <w:bottom w:val="single" w:sz="4" w:space="0" w:color="auto"/>
              <w:right w:val="single" w:sz="4" w:space="0" w:color="auto"/>
            </w:tcBorders>
          </w:tcPr>
          <w:p w14:paraId="66280385" w14:textId="77777777" w:rsidR="001F04FD" w:rsidRPr="0013396E" w:rsidRDefault="001F04FD" w:rsidP="00AC4DEE">
            <w:pPr>
              <w:pStyle w:val="TableBody"/>
            </w:pPr>
            <w:r w:rsidRPr="0013396E">
              <w:t>A QSE.</w:t>
            </w:r>
          </w:p>
        </w:tc>
      </w:tr>
      <w:tr w:rsidR="001F04FD" w:rsidRPr="0013396E" w14:paraId="6CC45A06" w14:textId="77777777" w:rsidTr="00AC4DEE">
        <w:trPr>
          <w:cantSplit/>
        </w:trPr>
        <w:tc>
          <w:tcPr>
            <w:tcW w:w="2165" w:type="dxa"/>
            <w:tcBorders>
              <w:top w:val="single" w:sz="4" w:space="0" w:color="auto"/>
              <w:left w:val="single" w:sz="4" w:space="0" w:color="auto"/>
              <w:bottom w:val="single" w:sz="4" w:space="0" w:color="auto"/>
              <w:right w:val="single" w:sz="4" w:space="0" w:color="auto"/>
            </w:tcBorders>
          </w:tcPr>
          <w:p w14:paraId="5215DEA4" w14:textId="77777777" w:rsidR="001F04FD" w:rsidRPr="0013396E" w:rsidRDefault="001F04FD" w:rsidP="00AC4DEE">
            <w:pPr>
              <w:pStyle w:val="TableBody"/>
              <w:rPr>
                <w:i/>
              </w:rPr>
            </w:pPr>
            <w:r w:rsidRPr="0013396E">
              <w:rPr>
                <w:i/>
              </w:rPr>
              <w:t>p</w:t>
            </w:r>
          </w:p>
        </w:tc>
        <w:tc>
          <w:tcPr>
            <w:tcW w:w="832" w:type="dxa"/>
            <w:tcBorders>
              <w:top w:val="single" w:sz="4" w:space="0" w:color="auto"/>
              <w:left w:val="single" w:sz="4" w:space="0" w:color="auto"/>
              <w:bottom w:val="single" w:sz="4" w:space="0" w:color="auto"/>
              <w:right w:val="single" w:sz="4" w:space="0" w:color="auto"/>
            </w:tcBorders>
          </w:tcPr>
          <w:p w14:paraId="2C0B0FE6" w14:textId="77777777" w:rsidR="001F04FD" w:rsidRPr="0013396E" w:rsidRDefault="001F04FD" w:rsidP="00AC4DEE">
            <w:pPr>
              <w:pStyle w:val="TableBody"/>
            </w:pPr>
            <w:r w:rsidRPr="0013396E">
              <w:t>none</w:t>
            </w:r>
          </w:p>
        </w:tc>
        <w:tc>
          <w:tcPr>
            <w:tcW w:w="6074" w:type="dxa"/>
            <w:tcBorders>
              <w:top w:val="single" w:sz="4" w:space="0" w:color="auto"/>
              <w:left w:val="single" w:sz="4" w:space="0" w:color="auto"/>
              <w:bottom w:val="single" w:sz="4" w:space="0" w:color="auto"/>
              <w:right w:val="single" w:sz="4" w:space="0" w:color="auto"/>
            </w:tcBorders>
          </w:tcPr>
          <w:p w14:paraId="3F6DA79F" w14:textId="77777777" w:rsidR="001F04FD" w:rsidRPr="0013396E" w:rsidRDefault="001F04FD" w:rsidP="00AC4DEE">
            <w:pPr>
              <w:pStyle w:val="TableBody"/>
            </w:pPr>
            <w:r w:rsidRPr="0013396E">
              <w:t>A Resource Node Settlement Point.</w:t>
            </w:r>
          </w:p>
        </w:tc>
      </w:tr>
    </w:tbl>
    <w:p w14:paraId="43BE7B29" w14:textId="77777777" w:rsidR="001F04FD" w:rsidRPr="0013396E" w:rsidRDefault="001F04FD" w:rsidP="001F04FD">
      <w:pPr>
        <w:pStyle w:val="H4"/>
        <w:spacing w:before="480"/>
        <w:ind w:left="1267" w:hanging="1267"/>
      </w:pPr>
      <w:bookmarkStart w:id="1574" w:name="_Toc397505014"/>
      <w:bookmarkStart w:id="1575" w:name="_Toc402357142"/>
      <w:bookmarkStart w:id="1576" w:name="_Toc422486520"/>
      <w:bookmarkStart w:id="1577" w:name="_Toc433093372"/>
      <w:bookmarkStart w:id="1578" w:name="_Toc433093530"/>
      <w:bookmarkStart w:id="1579" w:name="_Toc440874758"/>
      <w:bookmarkStart w:id="1580" w:name="_Toc448142313"/>
      <w:bookmarkStart w:id="1581" w:name="_Toc448142470"/>
      <w:bookmarkStart w:id="1582" w:name="_Toc458770311"/>
      <w:bookmarkStart w:id="1583" w:name="_Toc459294279"/>
      <w:bookmarkStart w:id="1584" w:name="_Toc463262772"/>
      <w:bookmarkStart w:id="1585" w:name="_Toc468286845"/>
      <w:bookmarkStart w:id="1586" w:name="_Toc481502888"/>
      <w:bookmarkStart w:id="1587" w:name="_Toc496080056"/>
      <w:bookmarkStart w:id="1588" w:name="_Toc214878966"/>
      <w:r w:rsidRPr="0013396E">
        <w:t>6.6.3.2</w:t>
      </w:r>
      <w:r w:rsidRPr="0013396E">
        <w:tab/>
        <w:t>Real-Time Energy Imbalance Payment or Charge at a Load Zone</w:t>
      </w:r>
      <w:bookmarkEnd w:id="1565"/>
      <w:bookmarkEnd w:id="1566"/>
      <w:bookmarkEnd w:id="1567"/>
      <w:bookmarkEnd w:id="1568"/>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p>
    <w:p w14:paraId="7D87ABC8" w14:textId="77777777" w:rsidR="001F04FD" w:rsidRPr="0013396E" w:rsidRDefault="001F04FD" w:rsidP="001F04FD">
      <w:pPr>
        <w:pStyle w:val="BodyTextNumbered"/>
      </w:pPr>
      <w:r w:rsidRPr="0013396E">
        <w:t>(1)</w:t>
      </w:r>
      <w:r w:rsidRPr="0013396E">
        <w:tab/>
        <w:t xml:space="preserve">The payment or charge to each QSE for Energy Imbalance Service is calculated based on the Real-Time Settlement Point Price for the following amounts at a particular Load Zone Settlement Point: </w:t>
      </w:r>
    </w:p>
    <w:p w14:paraId="58D61A54" w14:textId="77777777" w:rsidR="001F04FD" w:rsidRPr="0013396E" w:rsidRDefault="001F04FD" w:rsidP="001F04FD">
      <w:pPr>
        <w:pStyle w:val="BodyTextNumbered"/>
        <w:ind w:left="1440"/>
      </w:pPr>
      <w:r w:rsidRPr="0013396E">
        <w:t>(a)</w:t>
      </w:r>
      <w:r w:rsidRPr="0013396E">
        <w:tab/>
        <w:t xml:space="preserve">The amount of its Self-Schedules with sink specified at the Settlement Point; plus </w:t>
      </w:r>
    </w:p>
    <w:p w14:paraId="28BD0054" w14:textId="77777777" w:rsidR="001F04FD" w:rsidRPr="0013396E" w:rsidRDefault="001F04FD" w:rsidP="001F04FD">
      <w:pPr>
        <w:pStyle w:val="BodyTextNumbered"/>
        <w:ind w:left="1440"/>
      </w:pPr>
      <w:r w:rsidRPr="0013396E">
        <w:t>(b)</w:t>
      </w:r>
      <w:r w:rsidRPr="0013396E">
        <w:tab/>
        <w:t xml:space="preserve">The amount of its DAM Energy Bids cleared in the DAM at the Settlement Point; plus </w:t>
      </w:r>
    </w:p>
    <w:p w14:paraId="75C25AFF" w14:textId="77777777" w:rsidR="001F04FD" w:rsidRPr="0013396E" w:rsidRDefault="001F04FD" w:rsidP="001F04FD">
      <w:pPr>
        <w:pStyle w:val="BodyTextNumbered"/>
        <w:ind w:left="1440"/>
      </w:pPr>
      <w:r w:rsidRPr="0013396E">
        <w:t>(c)</w:t>
      </w:r>
      <w:r w:rsidRPr="0013396E">
        <w:tab/>
        <w:t xml:space="preserve">The amount of its Energy Trades at the Settlement Point where the QSE is the buyer; minus </w:t>
      </w:r>
    </w:p>
    <w:p w14:paraId="3C29E997" w14:textId="77777777" w:rsidR="001F04FD" w:rsidRPr="0013396E" w:rsidRDefault="001F04FD" w:rsidP="001F04FD">
      <w:pPr>
        <w:pStyle w:val="BodyTextNumbered"/>
        <w:ind w:left="1440"/>
      </w:pPr>
      <w:r w:rsidRPr="0013396E">
        <w:t>(d)</w:t>
      </w:r>
      <w:r w:rsidRPr="0013396E">
        <w:tab/>
        <w:t xml:space="preserve">The amount of its Self-Schedules with source specified at the Settlement Point; minus </w:t>
      </w:r>
    </w:p>
    <w:p w14:paraId="2EF3108F" w14:textId="77777777" w:rsidR="001F04FD" w:rsidRPr="0013396E" w:rsidRDefault="001F04FD" w:rsidP="001F04FD">
      <w:pPr>
        <w:pStyle w:val="BodyTextNumbered"/>
        <w:ind w:left="1440"/>
      </w:pPr>
      <w:r w:rsidRPr="0013396E">
        <w:t>(e)</w:t>
      </w:r>
      <w:r w:rsidRPr="0013396E">
        <w:tab/>
        <w:t xml:space="preserve">The amount of its energy offers cleared in the DAM at the Settlement Point; minus </w:t>
      </w:r>
    </w:p>
    <w:p w14:paraId="3DCF1B76" w14:textId="77777777" w:rsidR="001F04FD" w:rsidRPr="0013396E" w:rsidRDefault="001F04FD" w:rsidP="001F04FD">
      <w:pPr>
        <w:pStyle w:val="BodyTextNumbered"/>
        <w:ind w:left="1440"/>
      </w:pPr>
      <w:r w:rsidRPr="0013396E">
        <w:t>(f)</w:t>
      </w:r>
      <w:r w:rsidRPr="0013396E">
        <w:tab/>
        <w:t xml:space="preserve">The amount of its Energy Trades at the Settlement Point where the QSE is the seller; minus </w:t>
      </w:r>
    </w:p>
    <w:p w14:paraId="4D5D4BB8" w14:textId="11F207E0" w:rsidR="001F04FD" w:rsidRPr="0013396E" w:rsidRDefault="001F04FD" w:rsidP="001F04FD">
      <w:pPr>
        <w:pStyle w:val="BodyTextNumbered"/>
        <w:ind w:left="1440"/>
      </w:pPr>
      <w:r w:rsidRPr="0013396E">
        <w:lastRenderedPageBreak/>
        <w:t>(g)</w:t>
      </w:r>
      <w:r w:rsidRPr="0013396E">
        <w:tab/>
        <w:t>Its AML at the Settlement Point</w:t>
      </w:r>
      <w:r w:rsidR="003963CD" w:rsidRPr="0013396E">
        <w:t xml:space="preserve"> excluding Non-WSL ESR Charging Load</w:t>
      </w:r>
      <w:r w:rsidRPr="0013396E">
        <w:t>; plus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632873" w:rsidRPr="0013396E" w14:paraId="58F10FFE" w14:textId="77777777" w:rsidTr="00632873">
        <w:trPr>
          <w:trHeight w:val="566"/>
        </w:trPr>
        <w:tc>
          <w:tcPr>
            <w:tcW w:w="9350" w:type="dxa"/>
            <w:shd w:val="pct12" w:color="auto" w:fill="auto"/>
          </w:tcPr>
          <w:p w14:paraId="180101FD" w14:textId="33E21669" w:rsidR="00632873" w:rsidRPr="0013396E" w:rsidRDefault="00632873" w:rsidP="00F5593C">
            <w:pPr>
              <w:pStyle w:val="Instructions"/>
              <w:spacing w:before="60"/>
            </w:pPr>
            <w:r w:rsidRPr="0013396E">
              <w:t>[NPRR1188:  Replace item (g) above with the following upon system implementation:]</w:t>
            </w:r>
          </w:p>
          <w:p w14:paraId="79B61282" w14:textId="250141B0" w:rsidR="00632873" w:rsidRPr="0013396E" w:rsidRDefault="00632873" w:rsidP="00632873">
            <w:pPr>
              <w:spacing w:after="240"/>
              <w:ind w:left="1440" w:hanging="720"/>
            </w:pPr>
            <w:r w:rsidRPr="0013396E">
              <w:t>(g)</w:t>
            </w:r>
            <w:r w:rsidRPr="0013396E">
              <w:tab/>
              <w:t>Its AML at the Settlement Point excluding Non-WSL ESR Charging Load and CLR Load of a CLR (that is not an ALR); plus</w:t>
            </w:r>
          </w:p>
        </w:tc>
      </w:tr>
    </w:tbl>
    <w:p w14:paraId="25A6A974" w14:textId="4789CAED" w:rsidR="000E55F3" w:rsidRPr="0013396E" w:rsidRDefault="001F04FD" w:rsidP="004116AE">
      <w:pPr>
        <w:spacing w:before="240" w:after="240"/>
        <w:ind w:left="1440" w:hanging="720"/>
      </w:pPr>
      <w:r w:rsidRPr="0013396E">
        <w:t>(h)</w:t>
      </w:r>
      <w:r w:rsidRPr="0013396E">
        <w:tab/>
      </w:r>
      <w:r w:rsidR="000E55F3" w:rsidRPr="0013396E">
        <w:t>The aggregated generation of its Settlement Only Transmission Self-Generators (SOTSGs) at the Settlement Point.  SOTSG sites will be represented as a single unit in the ERCOT Settlement system.</w:t>
      </w:r>
      <w:r w:rsidR="001C0176" w:rsidRPr="0013396E">
        <w:t>; plus</w:t>
      </w:r>
    </w:p>
    <w:p w14:paraId="0F2EA11F" w14:textId="0C532EC7" w:rsidR="001F04FD" w:rsidRPr="0013396E" w:rsidRDefault="000E55F3" w:rsidP="00776B44">
      <w:pPr>
        <w:spacing w:after="240"/>
        <w:ind w:left="1440" w:hanging="720"/>
      </w:pPr>
      <w:r w:rsidRPr="0013396E">
        <w:t>(i)        The aggregated generation of its Settlement Only Distribution Generators (SODGs) and Settlement Only Transmission Generators (SOTGs) that have elected to retain Load Zone pricing in accordance with Section 6.6.3.</w:t>
      </w:r>
      <w:r w:rsidR="00720B34" w:rsidRPr="0013396E">
        <w:t>8</w:t>
      </w:r>
      <w:r w:rsidRPr="0013396E">
        <w:t>, Real-Time Payment or Charge for Energy from a Settlement Only Distribution Generator (SODG) or a Settlement Only Transmission Generator (SOTG).  SODG and SOTG sites will be represented as a single unit in the ERCOT Settlement system</w:t>
      </w:r>
      <w:r w:rsidR="001C0176" w:rsidRPr="0013396E">
        <w:t>; plus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AD13EE" w:rsidRPr="0013396E" w14:paraId="5B4B429D" w14:textId="77777777" w:rsidTr="00BE136C">
        <w:trPr>
          <w:trHeight w:val="566"/>
        </w:trPr>
        <w:tc>
          <w:tcPr>
            <w:tcW w:w="9350" w:type="dxa"/>
            <w:shd w:val="pct12" w:color="auto" w:fill="auto"/>
          </w:tcPr>
          <w:p w14:paraId="0AE7DC7C" w14:textId="5BFDE3CE" w:rsidR="00AD13EE" w:rsidRPr="0013396E" w:rsidRDefault="00AD13EE" w:rsidP="00A16AF1">
            <w:pPr>
              <w:pStyle w:val="Instructions"/>
              <w:spacing w:before="60"/>
            </w:pPr>
            <w:r w:rsidRPr="0013396E">
              <w:t>[</w:t>
            </w:r>
            <w:r w:rsidR="00B44DD8" w:rsidRPr="0013396E">
              <w:t>NPRR995</w:t>
            </w:r>
            <w:r w:rsidRPr="0013396E">
              <w:t>:  Replace</w:t>
            </w:r>
            <w:r w:rsidR="006465B2" w:rsidRPr="0013396E">
              <w:t xml:space="preserve"> </w:t>
            </w:r>
            <w:r w:rsidR="00BE136C" w:rsidRPr="0013396E">
              <w:t xml:space="preserve">paragraph </w:t>
            </w:r>
            <w:r w:rsidRPr="0013396E">
              <w:t>(</w:t>
            </w:r>
            <w:r w:rsidR="00BE136C" w:rsidRPr="0013396E">
              <w:t>i</w:t>
            </w:r>
            <w:r w:rsidRPr="0013396E">
              <w:t>) above with the following upon system implementation:]</w:t>
            </w:r>
          </w:p>
          <w:p w14:paraId="7C6C216D" w14:textId="0F9FBE71" w:rsidR="007332D0" w:rsidRPr="0013396E" w:rsidRDefault="00DE74B1" w:rsidP="00925E7F">
            <w:pPr>
              <w:spacing w:after="240"/>
              <w:ind w:left="1440" w:hanging="720"/>
            </w:pPr>
            <w:r w:rsidRPr="0013396E">
              <w:t>(i)        The aggregated generation of its Settlement Only Distribution Generators (SODGs) and Settlement Only Transmission Generators (SOTGs) that have elected to retain Load Zone pricing in accordance with Section 6.6.3.</w:t>
            </w:r>
            <w:r w:rsidR="0076227F" w:rsidRPr="0013396E">
              <w:t>8</w:t>
            </w:r>
            <w:r w:rsidRPr="0013396E">
              <w:t>, Real-Time Payment or Charge for Energy from a Settlement Only Distribution Generator (SODG)</w:t>
            </w:r>
            <w:r w:rsidR="00341E22" w:rsidRPr="0013396E">
              <w:t>,</w:t>
            </w:r>
            <w:r w:rsidRPr="0013396E">
              <w:t xml:space="preserve"> Settlement Only Transmission Generator (SOTG)</w:t>
            </w:r>
            <w:r w:rsidR="00341E22" w:rsidRPr="0013396E">
              <w:t>, Settlement Only Distribution Energy Storage System (SODESS), or Settlement Only Transmission Energy Storage System (SOTESS)</w:t>
            </w:r>
            <w:r w:rsidRPr="0013396E">
              <w:t>.  SODG</w:t>
            </w:r>
            <w:r w:rsidR="00341E22" w:rsidRPr="0013396E">
              <w:t>,</w:t>
            </w:r>
            <w:r w:rsidRPr="0013396E">
              <w:t xml:space="preserve"> SOTG</w:t>
            </w:r>
            <w:r w:rsidR="006465B2" w:rsidRPr="0013396E">
              <w:t>, Settlement Only Distribution Energy Storage System (SODESS), and Settlement Only Transmission Energy Storage System (SOTESS)</w:t>
            </w:r>
            <w:r w:rsidRPr="0013396E">
              <w:t xml:space="preserve"> sites will be represented as a single unit in the ERCOT Settlement system</w:t>
            </w:r>
            <w:r w:rsidR="001C0176" w:rsidRPr="0013396E">
              <w:t>; plus</w:t>
            </w:r>
          </w:p>
        </w:tc>
      </w:tr>
    </w:tbl>
    <w:p w14:paraId="3DA9229F" w14:textId="77777777" w:rsidR="00BE136C" w:rsidRPr="0013396E" w:rsidRDefault="00BE136C" w:rsidP="00BE136C">
      <w:pPr>
        <w:spacing w:before="240" w:after="240"/>
        <w:ind w:left="1440" w:hanging="720"/>
      </w:pPr>
      <w:r w:rsidRPr="0013396E">
        <w:t>(j)        The aggregated generation of its Energy Storage System (ESS) SODGs and SOTGs at sites where the ESS capacity constitutes more than 50% of the total SODG or SOTG nameplate capacity, as confirmed by an affidavit submitted by the Resource Entity for the site.  SODG and SOTG sites will be represented as a single unit in the ERCOT Settlement system.</w:t>
      </w:r>
    </w:p>
    <w:p w14:paraId="71477027" w14:textId="54AAF5EB" w:rsidR="001F04FD" w:rsidRPr="0013396E" w:rsidRDefault="001F04FD" w:rsidP="008D7D6C">
      <w:pPr>
        <w:pStyle w:val="BodyTextNumbered"/>
        <w:spacing w:before="240"/>
        <w:rPr>
          <w:iCs/>
        </w:rPr>
      </w:pPr>
      <w:r w:rsidRPr="0013396E">
        <w:rPr>
          <w:iCs/>
        </w:rPr>
        <w:t>(2)</w:t>
      </w:r>
      <w:r w:rsidRPr="0013396E">
        <w:rPr>
          <w:iCs/>
        </w:rPr>
        <w:tab/>
        <w:t>The payment or charge to each QSE for Energy Imbalance Service at a Load Zone for a given 15-minute Settlement Interval is calculated as follows:</w:t>
      </w:r>
    </w:p>
    <w:p w14:paraId="5CA67051" w14:textId="560687F6" w:rsidR="001F04FD" w:rsidRPr="0013396E" w:rsidRDefault="001F04FD" w:rsidP="001F04FD">
      <w:pPr>
        <w:pStyle w:val="FormulaBold"/>
        <w:ind w:left="3150" w:hanging="2430"/>
        <w:rPr>
          <w:sz w:val="32"/>
        </w:rPr>
      </w:pPr>
      <w:r w:rsidRPr="0013396E">
        <w:t xml:space="preserve">RTEIAMT </w:t>
      </w:r>
      <w:r w:rsidRPr="0013396E">
        <w:rPr>
          <w:i/>
          <w:vertAlign w:val="subscript"/>
        </w:rPr>
        <w:t>q, p</w:t>
      </w:r>
      <w:r w:rsidRPr="0013396E">
        <w:tab/>
        <w:t>=</w:t>
      </w:r>
      <w:r w:rsidRPr="0013396E">
        <w:tab/>
        <w:t xml:space="preserve">(-1) * </w:t>
      </w:r>
      <w:r w:rsidRPr="0013396E">
        <w:rPr>
          <w:sz w:val="32"/>
        </w:rPr>
        <w:t>{[</w:t>
      </w:r>
      <w:r w:rsidRPr="0013396E">
        <w:t xml:space="preserve">RTSPP </w:t>
      </w:r>
      <w:r w:rsidRPr="0013396E">
        <w:rPr>
          <w:i/>
          <w:vertAlign w:val="subscript"/>
        </w:rPr>
        <w:t>p</w:t>
      </w:r>
      <w:r w:rsidRPr="0013396E">
        <w:t xml:space="preserve"> * [(SSSK </w:t>
      </w:r>
      <w:r w:rsidRPr="0013396E">
        <w:rPr>
          <w:i/>
          <w:vertAlign w:val="subscript"/>
        </w:rPr>
        <w:t>q, p</w:t>
      </w:r>
      <w:r w:rsidRPr="0013396E">
        <w:t xml:space="preserve"> * ¼) + (DAEP </w:t>
      </w:r>
      <w:r w:rsidRPr="0013396E">
        <w:rPr>
          <w:i/>
          <w:vertAlign w:val="subscript"/>
        </w:rPr>
        <w:t>q, p</w:t>
      </w:r>
      <w:r w:rsidRPr="0013396E">
        <w:t xml:space="preserve"> * ¼) + (RTQQEP </w:t>
      </w:r>
      <w:r w:rsidRPr="0013396E">
        <w:rPr>
          <w:i/>
          <w:vertAlign w:val="subscript"/>
        </w:rPr>
        <w:t>q, p</w:t>
      </w:r>
      <w:r w:rsidRPr="0013396E">
        <w:t xml:space="preserve"> * ¼) – (SSSR </w:t>
      </w:r>
      <w:r w:rsidRPr="0013396E">
        <w:rPr>
          <w:i/>
          <w:vertAlign w:val="subscript"/>
        </w:rPr>
        <w:t>q, p</w:t>
      </w:r>
      <w:r w:rsidRPr="0013396E">
        <w:t xml:space="preserve"> * ¼) – (DAES </w:t>
      </w:r>
      <w:r w:rsidRPr="0013396E">
        <w:rPr>
          <w:i/>
          <w:vertAlign w:val="subscript"/>
        </w:rPr>
        <w:t>q, p</w:t>
      </w:r>
      <w:r w:rsidRPr="0013396E">
        <w:t xml:space="preserve"> * ¼) – </w:t>
      </w:r>
      <w:r w:rsidRPr="0013396E">
        <w:lastRenderedPageBreak/>
        <w:t xml:space="preserve">(RTQQES </w:t>
      </w:r>
      <w:r w:rsidRPr="0013396E">
        <w:rPr>
          <w:i/>
          <w:vertAlign w:val="subscript"/>
        </w:rPr>
        <w:t>q, p</w:t>
      </w:r>
      <w:r w:rsidRPr="0013396E">
        <w:t xml:space="preserve"> * ¼)]</w:t>
      </w:r>
      <w:r w:rsidRPr="0013396E">
        <w:rPr>
          <w:sz w:val="32"/>
          <w:szCs w:val="32"/>
        </w:rPr>
        <w:t xml:space="preserve">] </w:t>
      </w:r>
      <w:r w:rsidRPr="0013396E">
        <w:t xml:space="preserve">+ </w:t>
      </w:r>
      <w:r w:rsidRPr="0013396E">
        <w:rPr>
          <w:sz w:val="32"/>
        </w:rPr>
        <w:t>[</w:t>
      </w:r>
      <w:r w:rsidRPr="0013396E">
        <w:t>RTSPPEW</w:t>
      </w:r>
      <w:r w:rsidRPr="0013396E">
        <w:rPr>
          <w:i/>
          <w:vertAlign w:val="subscript"/>
        </w:rPr>
        <w:t xml:space="preserve"> p</w:t>
      </w:r>
      <w:r w:rsidRPr="0013396E">
        <w:t xml:space="preserve"> * (RTMG</w:t>
      </w:r>
      <w:r w:rsidR="00BE136C" w:rsidRPr="0013396E">
        <w:t>SOGZ</w:t>
      </w:r>
      <w:r w:rsidRPr="0013396E">
        <w:t xml:space="preserve"> </w:t>
      </w:r>
      <w:r w:rsidRPr="0013396E">
        <w:rPr>
          <w:i/>
          <w:vertAlign w:val="subscript"/>
        </w:rPr>
        <w:t>q, p</w:t>
      </w:r>
      <w:r w:rsidRPr="0013396E">
        <w:t xml:space="preserve"> – </w:t>
      </w:r>
      <w:r w:rsidR="003963CD" w:rsidRPr="0013396E">
        <w:t>(</w:t>
      </w:r>
      <w:r w:rsidRPr="0013396E">
        <w:t xml:space="preserve">RTAML </w:t>
      </w:r>
      <w:r w:rsidRPr="0013396E">
        <w:rPr>
          <w:i/>
          <w:vertAlign w:val="subscript"/>
        </w:rPr>
        <w:t>q, p</w:t>
      </w:r>
      <w:r w:rsidR="003963CD" w:rsidRPr="0013396E">
        <w:rPr>
          <w:bCs w:val="0"/>
        </w:rPr>
        <w:t xml:space="preserve"> – RTAMLESRNW </w:t>
      </w:r>
      <w:r w:rsidR="003963CD" w:rsidRPr="0013396E">
        <w:rPr>
          <w:bCs w:val="0"/>
          <w:i/>
          <w:vertAlign w:val="subscript"/>
        </w:rPr>
        <w:t>q, p</w:t>
      </w:r>
      <w:r w:rsidR="003963CD" w:rsidRPr="0013396E">
        <w:rPr>
          <w:bCs w:val="0"/>
        </w:rPr>
        <w:t>)</w:t>
      </w:r>
      <w:r w:rsidRPr="0013396E">
        <w:t>)</w:t>
      </w:r>
      <w:r w:rsidRPr="0013396E">
        <w:rPr>
          <w:sz w:val="28"/>
          <w:szCs w:val="28"/>
        </w:rPr>
        <w:t>]</w:t>
      </w:r>
      <w:r w:rsidRPr="0013396E">
        <w:rPr>
          <w:sz w:val="3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7C0BC2" w:rsidRPr="0013396E" w14:paraId="5421604C" w14:textId="77777777" w:rsidTr="008B123E">
        <w:trPr>
          <w:trHeight w:val="206"/>
        </w:trPr>
        <w:tc>
          <w:tcPr>
            <w:tcW w:w="9576" w:type="dxa"/>
            <w:shd w:val="pct12" w:color="auto" w:fill="auto"/>
          </w:tcPr>
          <w:p w14:paraId="782FBFD8" w14:textId="3E43243E" w:rsidR="007C0BC2" w:rsidRPr="0013396E" w:rsidRDefault="007C0BC2" w:rsidP="008B123E">
            <w:pPr>
              <w:pStyle w:val="Instructions"/>
              <w:spacing w:before="120"/>
            </w:pPr>
            <w:r w:rsidRPr="0013396E">
              <w:t>[</w:t>
            </w:r>
            <w:r w:rsidR="00341E22" w:rsidRPr="0013396E">
              <w:t>NPRR995</w:t>
            </w:r>
            <w:r w:rsidR="001C0176" w:rsidRPr="0013396E">
              <w:t xml:space="preserve"> and NPRR1188</w:t>
            </w:r>
            <w:r w:rsidRPr="0013396E">
              <w:t xml:space="preserve">:  Replace </w:t>
            </w:r>
            <w:r w:rsidR="001C0176" w:rsidRPr="0013396E">
              <w:t xml:space="preserve">applicable portions of </w:t>
            </w:r>
            <w:r w:rsidRPr="0013396E">
              <w:t xml:space="preserve">the formula “RTEIAMT </w:t>
            </w:r>
            <w:r w:rsidRPr="0013396E">
              <w:rPr>
                <w:vertAlign w:val="subscript"/>
              </w:rPr>
              <w:t>q, p</w:t>
            </w:r>
            <w:r w:rsidRPr="0013396E">
              <w:t>” above with the following upon system implementation:]</w:t>
            </w:r>
          </w:p>
          <w:p w14:paraId="5ADFBB4D" w14:textId="7E697A82" w:rsidR="007C0BC2" w:rsidRPr="0013396E" w:rsidRDefault="007C0BC2" w:rsidP="007C0BC2">
            <w:pPr>
              <w:tabs>
                <w:tab w:val="left" w:pos="2250"/>
                <w:tab w:val="left" w:pos="3150"/>
                <w:tab w:val="left" w:pos="3960"/>
              </w:tabs>
              <w:spacing w:after="240"/>
              <w:ind w:left="3150" w:hanging="2430"/>
              <w:rPr>
                <w:b/>
                <w:bCs/>
                <w:sz w:val="32"/>
              </w:rPr>
            </w:pPr>
            <w:r w:rsidRPr="0013396E">
              <w:rPr>
                <w:b/>
                <w:bCs/>
              </w:rPr>
              <w:t xml:space="preserve">RTEIAMT </w:t>
            </w:r>
            <w:r w:rsidRPr="0013396E">
              <w:rPr>
                <w:b/>
                <w:bCs/>
                <w:i/>
                <w:vertAlign w:val="subscript"/>
              </w:rPr>
              <w:t>q, p</w:t>
            </w:r>
            <w:r w:rsidRPr="0013396E">
              <w:rPr>
                <w:b/>
                <w:bCs/>
              </w:rPr>
              <w:tab/>
              <w:t>=</w:t>
            </w:r>
            <w:r w:rsidRPr="0013396E">
              <w:rPr>
                <w:b/>
                <w:bCs/>
              </w:rPr>
              <w:tab/>
              <w:t xml:space="preserve">(-1) * </w:t>
            </w:r>
            <w:r w:rsidRPr="0013396E">
              <w:rPr>
                <w:b/>
                <w:bCs/>
                <w:sz w:val="32"/>
              </w:rPr>
              <w:t>{[</w:t>
            </w:r>
            <w:r w:rsidRPr="0013396E">
              <w:rPr>
                <w:b/>
                <w:bCs/>
              </w:rPr>
              <w:t xml:space="preserve">RTSPP </w:t>
            </w:r>
            <w:r w:rsidRPr="0013396E">
              <w:rPr>
                <w:b/>
                <w:bCs/>
                <w:i/>
                <w:vertAlign w:val="subscript"/>
              </w:rPr>
              <w:t>p</w:t>
            </w:r>
            <w:r w:rsidRPr="0013396E">
              <w:rPr>
                <w:b/>
                <w:bCs/>
              </w:rPr>
              <w:t xml:space="preserve"> * [(SSSK </w:t>
            </w:r>
            <w:r w:rsidRPr="0013396E">
              <w:rPr>
                <w:b/>
                <w:bCs/>
                <w:i/>
                <w:vertAlign w:val="subscript"/>
              </w:rPr>
              <w:t>q, p</w:t>
            </w:r>
            <w:r w:rsidRPr="0013396E">
              <w:rPr>
                <w:b/>
                <w:bCs/>
              </w:rPr>
              <w:t xml:space="preserve"> * ¼) + (DAEP </w:t>
            </w:r>
            <w:r w:rsidRPr="0013396E">
              <w:rPr>
                <w:b/>
                <w:bCs/>
                <w:i/>
                <w:vertAlign w:val="subscript"/>
              </w:rPr>
              <w:t>q, p</w:t>
            </w:r>
            <w:r w:rsidRPr="0013396E">
              <w:rPr>
                <w:b/>
                <w:bCs/>
              </w:rPr>
              <w:t xml:space="preserve"> * ¼) + (RTQQEP </w:t>
            </w:r>
            <w:r w:rsidRPr="0013396E">
              <w:rPr>
                <w:b/>
                <w:bCs/>
                <w:i/>
                <w:vertAlign w:val="subscript"/>
              </w:rPr>
              <w:t>q, p</w:t>
            </w:r>
            <w:r w:rsidRPr="0013396E">
              <w:rPr>
                <w:b/>
                <w:bCs/>
              </w:rPr>
              <w:t xml:space="preserve"> * ¼) – (SSSR </w:t>
            </w:r>
            <w:r w:rsidRPr="0013396E">
              <w:rPr>
                <w:b/>
                <w:bCs/>
                <w:i/>
                <w:vertAlign w:val="subscript"/>
              </w:rPr>
              <w:t>q, p</w:t>
            </w:r>
            <w:r w:rsidRPr="0013396E">
              <w:rPr>
                <w:b/>
                <w:bCs/>
              </w:rPr>
              <w:t xml:space="preserve"> * ¼) – (DAES </w:t>
            </w:r>
            <w:r w:rsidRPr="0013396E">
              <w:rPr>
                <w:b/>
                <w:bCs/>
                <w:i/>
                <w:vertAlign w:val="subscript"/>
              </w:rPr>
              <w:t>q, p</w:t>
            </w:r>
            <w:r w:rsidRPr="0013396E">
              <w:rPr>
                <w:b/>
                <w:bCs/>
              </w:rPr>
              <w:t xml:space="preserve"> * ¼) – (RTQQES </w:t>
            </w:r>
            <w:r w:rsidRPr="0013396E">
              <w:rPr>
                <w:b/>
                <w:bCs/>
                <w:i/>
                <w:vertAlign w:val="subscript"/>
              </w:rPr>
              <w:t>q, p</w:t>
            </w:r>
            <w:r w:rsidRPr="0013396E">
              <w:rPr>
                <w:b/>
                <w:bCs/>
              </w:rPr>
              <w:t xml:space="preserve"> * ¼)]</w:t>
            </w:r>
            <w:r w:rsidRPr="0013396E">
              <w:rPr>
                <w:b/>
                <w:bCs/>
                <w:sz w:val="32"/>
                <w:szCs w:val="32"/>
              </w:rPr>
              <w:t xml:space="preserve">] </w:t>
            </w:r>
            <w:r w:rsidRPr="0013396E">
              <w:rPr>
                <w:b/>
                <w:bCs/>
              </w:rPr>
              <w:t xml:space="preserve">+ </w:t>
            </w:r>
            <w:r w:rsidRPr="0013396E">
              <w:rPr>
                <w:b/>
                <w:bCs/>
                <w:sz w:val="32"/>
              </w:rPr>
              <w:t>[</w:t>
            </w:r>
            <w:r w:rsidRPr="0013396E">
              <w:rPr>
                <w:b/>
                <w:bCs/>
              </w:rPr>
              <w:t>RTSPPEW</w:t>
            </w:r>
            <w:r w:rsidRPr="0013396E">
              <w:rPr>
                <w:b/>
                <w:bCs/>
                <w:i/>
                <w:vertAlign w:val="subscript"/>
              </w:rPr>
              <w:t xml:space="preserve"> p</w:t>
            </w:r>
            <w:r w:rsidRPr="0013396E">
              <w:rPr>
                <w:b/>
                <w:bCs/>
              </w:rPr>
              <w:t xml:space="preserve"> * (RTMGSOGZ </w:t>
            </w:r>
            <w:r w:rsidRPr="0013396E">
              <w:rPr>
                <w:b/>
                <w:bCs/>
                <w:i/>
                <w:vertAlign w:val="subscript"/>
              </w:rPr>
              <w:t>q, p</w:t>
            </w:r>
            <w:r w:rsidRPr="0013396E">
              <w:rPr>
                <w:b/>
                <w:bCs/>
              </w:rPr>
              <w:t xml:space="preserve"> – </w:t>
            </w:r>
            <w:r w:rsidR="008050FF" w:rsidRPr="0013396E">
              <w:rPr>
                <w:b/>
                <w:bCs/>
              </w:rPr>
              <w:t>(</w:t>
            </w:r>
            <w:r w:rsidRPr="0013396E">
              <w:rPr>
                <w:b/>
                <w:bCs/>
              </w:rPr>
              <w:t xml:space="preserve">RTAML </w:t>
            </w:r>
            <w:r w:rsidRPr="0013396E">
              <w:rPr>
                <w:b/>
                <w:bCs/>
                <w:i/>
                <w:vertAlign w:val="subscript"/>
              </w:rPr>
              <w:t>q, p</w:t>
            </w:r>
            <w:r w:rsidR="008050FF" w:rsidRPr="0013396E">
              <w:rPr>
                <w:b/>
                <w:bCs/>
              </w:rPr>
              <w:t xml:space="preserve"> </w:t>
            </w:r>
            <w:r w:rsidR="001C0176" w:rsidRPr="0013396E">
              <w:rPr>
                <w:b/>
                <w:bCs/>
              </w:rPr>
              <w:t xml:space="preserve">– RTAMLCLRL </w:t>
            </w:r>
            <w:r w:rsidR="001C0176" w:rsidRPr="0013396E">
              <w:rPr>
                <w:b/>
                <w:bCs/>
                <w:i/>
                <w:vertAlign w:val="subscript"/>
              </w:rPr>
              <w:t>q, p</w:t>
            </w:r>
            <w:r w:rsidR="001C0176" w:rsidRPr="0013396E">
              <w:rPr>
                <w:b/>
                <w:bCs/>
              </w:rPr>
              <w:t xml:space="preserve"> </w:t>
            </w:r>
            <w:r w:rsidR="008050FF" w:rsidRPr="0013396E">
              <w:rPr>
                <w:b/>
                <w:bCs/>
              </w:rPr>
              <w:t xml:space="preserve">– RTAMLESRNW </w:t>
            </w:r>
            <w:r w:rsidR="008050FF" w:rsidRPr="0013396E">
              <w:rPr>
                <w:b/>
                <w:bCs/>
                <w:i/>
                <w:vertAlign w:val="subscript"/>
              </w:rPr>
              <w:t>q, p</w:t>
            </w:r>
            <w:r w:rsidR="00341E22" w:rsidRPr="0013396E">
              <w:rPr>
                <w:b/>
                <w:bCs/>
              </w:rPr>
              <w:t xml:space="preserve"> – RTAMLNWSOL </w:t>
            </w:r>
            <w:r w:rsidR="00341E22" w:rsidRPr="0013396E">
              <w:rPr>
                <w:b/>
                <w:bCs/>
                <w:i/>
                <w:vertAlign w:val="subscript"/>
              </w:rPr>
              <w:t>q, p</w:t>
            </w:r>
            <w:r w:rsidRPr="0013396E">
              <w:rPr>
                <w:b/>
                <w:bCs/>
              </w:rPr>
              <w:t>)</w:t>
            </w:r>
            <w:r w:rsidR="008050FF" w:rsidRPr="0013396E">
              <w:rPr>
                <w:b/>
                <w:bCs/>
              </w:rPr>
              <w:t>)</w:t>
            </w:r>
            <w:r w:rsidRPr="0013396E">
              <w:rPr>
                <w:b/>
                <w:bCs/>
                <w:sz w:val="28"/>
                <w:szCs w:val="28"/>
              </w:rPr>
              <w:t>]</w:t>
            </w:r>
            <w:r w:rsidRPr="0013396E">
              <w:rPr>
                <w:b/>
                <w:bCs/>
                <w:sz w:val="32"/>
              </w:rPr>
              <w:t xml:space="preserve">} </w:t>
            </w:r>
          </w:p>
        </w:tc>
      </w:tr>
    </w:tbl>
    <w:p w14:paraId="1F782FF5" w14:textId="77777777" w:rsidR="001F04FD" w:rsidRPr="0013396E" w:rsidRDefault="001F04FD" w:rsidP="004A39F9">
      <w:pPr>
        <w:pStyle w:val="FormulaBold"/>
        <w:spacing w:before="240"/>
        <w:ind w:left="3150" w:hanging="2430"/>
        <w:rPr>
          <w:b w:val="0"/>
        </w:rPr>
      </w:pPr>
      <w:r w:rsidRPr="0013396E">
        <w:rPr>
          <w:b w:val="0"/>
        </w:rPr>
        <w:t>And</w:t>
      </w:r>
    </w:p>
    <w:p w14:paraId="60D49681" w14:textId="1AFC610E" w:rsidR="001F04FD" w:rsidRPr="0013396E" w:rsidRDefault="001F04FD" w:rsidP="001F04FD">
      <w:pPr>
        <w:pStyle w:val="FormulaBold"/>
        <w:ind w:left="3150" w:hanging="2430"/>
        <w:rPr>
          <w:sz w:val="32"/>
        </w:rPr>
      </w:pPr>
      <w:r w:rsidRPr="0013396E">
        <w:t>LZIMBAL</w:t>
      </w:r>
      <w:r w:rsidRPr="0013396E">
        <w:rPr>
          <w:i/>
          <w:vertAlign w:val="subscript"/>
        </w:rPr>
        <w:t xml:space="preserve"> </w:t>
      </w:r>
      <w:r w:rsidR="007C0BC2" w:rsidRPr="0013396E">
        <w:rPr>
          <w:i/>
          <w:vertAlign w:val="subscript"/>
        </w:rPr>
        <w:t>q, p</w:t>
      </w:r>
      <w:r w:rsidR="007C0BC2" w:rsidRPr="0013396E">
        <w:rPr>
          <w:i/>
          <w:vertAlign w:val="subscript"/>
        </w:rPr>
        <w:tab/>
        <w:t>=</w:t>
      </w:r>
      <w:r w:rsidR="007C0BC2" w:rsidRPr="0013396E">
        <w:rPr>
          <w:i/>
          <w:vertAlign w:val="subscript"/>
        </w:rPr>
        <w:tab/>
      </w:r>
      <w:r w:rsidRPr="0013396E">
        <w:t xml:space="preserve">(SSSK </w:t>
      </w:r>
      <w:r w:rsidRPr="0013396E">
        <w:rPr>
          <w:i/>
          <w:vertAlign w:val="subscript"/>
        </w:rPr>
        <w:t>q, p</w:t>
      </w:r>
      <w:r w:rsidRPr="0013396E">
        <w:t xml:space="preserve"> * ¼) + (DAEP </w:t>
      </w:r>
      <w:r w:rsidRPr="0013396E">
        <w:rPr>
          <w:i/>
          <w:vertAlign w:val="subscript"/>
        </w:rPr>
        <w:t>q, p</w:t>
      </w:r>
      <w:r w:rsidRPr="0013396E">
        <w:t xml:space="preserve"> * ¼) + (RTQQEP </w:t>
      </w:r>
      <w:r w:rsidRPr="0013396E">
        <w:rPr>
          <w:i/>
          <w:vertAlign w:val="subscript"/>
        </w:rPr>
        <w:t>q, p</w:t>
      </w:r>
      <w:r w:rsidRPr="0013396E">
        <w:t xml:space="preserve"> * ¼) – (SSSR </w:t>
      </w:r>
      <w:r w:rsidRPr="0013396E">
        <w:rPr>
          <w:i/>
          <w:vertAlign w:val="subscript"/>
        </w:rPr>
        <w:t>q, p</w:t>
      </w:r>
      <w:r w:rsidRPr="0013396E">
        <w:t xml:space="preserve"> * ¼) – (DAES </w:t>
      </w:r>
      <w:r w:rsidRPr="0013396E">
        <w:rPr>
          <w:i/>
          <w:vertAlign w:val="subscript"/>
        </w:rPr>
        <w:t>q, p</w:t>
      </w:r>
      <w:r w:rsidRPr="0013396E">
        <w:t xml:space="preserve"> * ¼) – (RTQQES </w:t>
      </w:r>
      <w:r w:rsidRPr="0013396E">
        <w:rPr>
          <w:i/>
          <w:vertAlign w:val="subscript"/>
        </w:rPr>
        <w:t>q, p</w:t>
      </w:r>
      <w:r w:rsidRPr="0013396E">
        <w:t xml:space="preserve"> * ¼) – </w:t>
      </w:r>
      <w:r w:rsidR="003963CD" w:rsidRPr="0013396E">
        <w:t>(</w:t>
      </w:r>
      <w:r w:rsidRPr="0013396E">
        <w:t xml:space="preserve">RTAML </w:t>
      </w:r>
      <w:r w:rsidRPr="0013396E">
        <w:rPr>
          <w:i/>
          <w:vertAlign w:val="subscript"/>
        </w:rPr>
        <w:t>q, p</w:t>
      </w:r>
      <w:r w:rsidR="003963CD" w:rsidRPr="0013396E">
        <w:rPr>
          <w:bCs w:val="0"/>
        </w:rPr>
        <w:t xml:space="preserve"> – RTAMLESRNW </w:t>
      </w:r>
      <w:r w:rsidR="003963CD" w:rsidRPr="0013396E">
        <w:rPr>
          <w:bCs w:val="0"/>
          <w:i/>
          <w:vertAlign w:val="subscript"/>
        </w:rPr>
        <w:t>q, p</w:t>
      </w:r>
      <w:r w:rsidR="003963CD" w:rsidRPr="0013396E">
        <w:rPr>
          <w:bCs w:val="0"/>
        </w:rPr>
        <w:t>)</w:t>
      </w:r>
      <w:r w:rsidRPr="0013396E">
        <w:rPr>
          <w:sz w:val="32"/>
        </w:rPr>
        <w:t xml:space="preserve"> </w:t>
      </w:r>
      <w:r w:rsidRPr="0013396E">
        <w:t>+ RTMG</w:t>
      </w:r>
      <w:r w:rsidR="00BE136C" w:rsidRPr="0013396E">
        <w:t>SOGZ</w:t>
      </w:r>
      <w:r w:rsidRPr="0013396E">
        <w:t xml:space="preserve"> </w:t>
      </w:r>
      <w:r w:rsidRPr="0013396E">
        <w:rPr>
          <w:i/>
          <w:vertAlign w:val="subscript"/>
        </w:rPr>
        <w:t>q, 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7C0BC2" w:rsidRPr="0013396E" w14:paraId="3A4D6ABA" w14:textId="77777777" w:rsidTr="008B123E">
        <w:trPr>
          <w:trHeight w:val="206"/>
        </w:trPr>
        <w:tc>
          <w:tcPr>
            <w:tcW w:w="9576" w:type="dxa"/>
            <w:shd w:val="pct12" w:color="auto" w:fill="auto"/>
          </w:tcPr>
          <w:p w14:paraId="569EBE29" w14:textId="5FE59DDC" w:rsidR="007C0BC2" w:rsidRPr="0013396E" w:rsidRDefault="007C0BC2" w:rsidP="008B123E">
            <w:pPr>
              <w:pStyle w:val="Instructions"/>
              <w:spacing w:before="120"/>
            </w:pPr>
            <w:r w:rsidRPr="0013396E">
              <w:t>[</w:t>
            </w:r>
            <w:r w:rsidR="00341E22" w:rsidRPr="0013396E">
              <w:t>NPRR995</w:t>
            </w:r>
            <w:r w:rsidR="001C0176" w:rsidRPr="0013396E">
              <w:t xml:space="preserve"> and NPRR1188</w:t>
            </w:r>
            <w:r w:rsidRPr="0013396E">
              <w:t>:  Replace</w:t>
            </w:r>
            <w:r w:rsidR="001C0176" w:rsidRPr="0013396E">
              <w:t xml:space="preserve"> applicable portions of</w:t>
            </w:r>
            <w:r w:rsidR="00341E22" w:rsidRPr="0013396E">
              <w:t xml:space="preserve"> </w:t>
            </w:r>
            <w:r w:rsidRPr="0013396E">
              <w:t>the formula “LZIMBAL</w:t>
            </w:r>
            <w:r w:rsidRPr="0013396E">
              <w:rPr>
                <w:vertAlign w:val="subscript"/>
              </w:rPr>
              <w:t xml:space="preserve"> q, p</w:t>
            </w:r>
            <w:r w:rsidRPr="0013396E">
              <w:t>” above with the following upon system implementation:]</w:t>
            </w:r>
          </w:p>
          <w:p w14:paraId="22F208EE" w14:textId="5D762D41" w:rsidR="007C0BC2" w:rsidRPr="0013396E" w:rsidRDefault="007C0BC2" w:rsidP="007C0BC2">
            <w:pPr>
              <w:tabs>
                <w:tab w:val="left" w:pos="2250"/>
                <w:tab w:val="left" w:pos="3150"/>
                <w:tab w:val="left" w:pos="3960"/>
              </w:tabs>
              <w:spacing w:after="240"/>
              <w:ind w:left="3150" w:hanging="2430"/>
              <w:rPr>
                <w:b/>
                <w:bCs/>
                <w:sz w:val="32"/>
              </w:rPr>
            </w:pPr>
            <w:r w:rsidRPr="0013396E">
              <w:rPr>
                <w:b/>
                <w:bCs/>
              </w:rPr>
              <w:t>LZIMBAL</w:t>
            </w:r>
            <w:r w:rsidRPr="0013396E">
              <w:rPr>
                <w:b/>
                <w:bCs/>
                <w:i/>
                <w:vertAlign w:val="subscript"/>
              </w:rPr>
              <w:t xml:space="preserve"> q, p</w:t>
            </w:r>
            <w:r w:rsidRPr="0013396E">
              <w:rPr>
                <w:b/>
                <w:bCs/>
                <w:i/>
                <w:vertAlign w:val="subscript"/>
              </w:rPr>
              <w:tab/>
              <w:t>=</w:t>
            </w:r>
            <w:r w:rsidRPr="0013396E">
              <w:rPr>
                <w:b/>
                <w:bCs/>
                <w:i/>
                <w:vertAlign w:val="subscript"/>
              </w:rPr>
              <w:tab/>
            </w:r>
            <w:r w:rsidRPr="0013396E">
              <w:rPr>
                <w:b/>
                <w:bCs/>
              </w:rPr>
              <w:t xml:space="preserve">(SSSK </w:t>
            </w:r>
            <w:r w:rsidRPr="0013396E">
              <w:rPr>
                <w:b/>
                <w:bCs/>
                <w:i/>
                <w:vertAlign w:val="subscript"/>
              </w:rPr>
              <w:t>q, p</w:t>
            </w:r>
            <w:r w:rsidRPr="0013396E">
              <w:rPr>
                <w:b/>
                <w:bCs/>
              </w:rPr>
              <w:t xml:space="preserve"> * ¼) + (DAEP </w:t>
            </w:r>
            <w:r w:rsidRPr="0013396E">
              <w:rPr>
                <w:b/>
                <w:bCs/>
                <w:i/>
                <w:vertAlign w:val="subscript"/>
              </w:rPr>
              <w:t>q, p</w:t>
            </w:r>
            <w:r w:rsidRPr="0013396E">
              <w:rPr>
                <w:b/>
                <w:bCs/>
              </w:rPr>
              <w:t xml:space="preserve"> * ¼) + (RTQQEP </w:t>
            </w:r>
            <w:r w:rsidRPr="0013396E">
              <w:rPr>
                <w:b/>
                <w:bCs/>
                <w:i/>
                <w:vertAlign w:val="subscript"/>
              </w:rPr>
              <w:t>q, p</w:t>
            </w:r>
            <w:r w:rsidRPr="0013396E">
              <w:rPr>
                <w:b/>
                <w:bCs/>
              </w:rPr>
              <w:t xml:space="preserve"> * ¼) – (SSSR </w:t>
            </w:r>
            <w:r w:rsidRPr="0013396E">
              <w:rPr>
                <w:b/>
                <w:bCs/>
                <w:i/>
                <w:vertAlign w:val="subscript"/>
              </w:rPr>
              <w:t>q, p</w:t>
            </w:r>
            <w:r w:rsidRPr="0013396E">
              <w:rPr>
                <w:b/>
                <w:bCs/>
              </w:rPr>
              <w:t xml:space="preserve"> * ¼) – (DAES </w:t>
            </w:r>
            <w:r w:rsidRPr="0013396E">
              <w:rPr>
                <w:b/>
                <w:bCs/>
                <w:i/>
                <w:vertAlign w:val="subscript"/>
              </w:rPr>
              <w:t>q, p</w:t>
            </w:r>
            <w:r w:rsidRPr="0013396E">
              <w:rPr>
                <w:b/>
                <w:bCs/>
              </w:rPr>
              <w:t xml:space="preserve"> * ¼) – (RTQQES </w:t>
            </w:r>
            <w:r w:rsidRPr="0013396E">
              <w:rPr>
                <w:b/>
                <w:bCs/>
                <w:i/>
                <w:vertAlign w:val="subscript"/>
              </w:rPr>
              <w:t>q, p</w:t>
            </w:r>
            <w:r w:rsidRPr="0013396E">
              <w:rPr>
                <w:b/>
                <w:bCs/>
              </w:rPr>
              <w:t xml:space="preserve"> * ¼) – </w:t>
            </w:r>
            <w:r w:rsidR="008050FF" w:rsidRPr="0013396E">
              <w:rPr>
                <w:b/>
                <w:bCs/>
              </w:rPr>
              <w:t>(</w:t>
            </w:r>
            <w:r w:rsidRPr="0013396E">
              <w:rPr>
                <w:b/>
                <w:bCs/>
              </w:rPr>
              <w:t xml:space="preserve">RTAML </w:t>
            </w:r>
            <w:r w:rsidRPr="0013396E">
              <w:rPr>
                <w:b/>
                <w:bCs/>
                <w:i/>
                <w:vertAlign w:val="subscript"/>
              </w:rPr>
              <w:t>q, p</w:t>
            </w:r>
            <w:r w:rsidRPr="0013396E">
              <w:rPr>
                <w:b/>
                <w:bCs/>
                <w:sz w:val="32"/>
              </w:rPr>
              <w:t xml:space="preserve"> </w:t>
            </w:r>
            <w:r w:rsidR="001C0176" w:rsidRPr="0013396E">
              <w:rPr>
                <w:b/>
                <w:bCs/>
              </w:rPr>
              <w:t xml:space="preserve">– RTAMLCLRL </w:t>
            </w:r>
            <w:r w:rsidR="001C0176" w:rsidRPr="0013396E">
              <w:rPr>
                <w:b/>
                <w:bCs/>
                <w:i/>
                <w:vertAlign w:val="subscript"/>
              </w:rPr>
              <w:t>q, p</w:t>
            </w:r>
            <w:r w:rsidR="001C0176" w:rsidRPr="0013396E">
              <w:rPr>
                <w:b/>
                <w:bCs/>
              </w:rPr>
              <w:t xml:space="preserve"> </w:t>
            </w:r>
            <w:r w:rsidR="008050FF" w:rsidRPr="0013396E">
              <w:rPr>
                <w:b/>
                <w:bCs/>
              </w:rPr>
              <w:t>–</w:t>
            </w:r>
            <w:r w:rsidR="008050FF" w:rsidRPr="0013396E">
              <w:rPr>
                <w:b/>
                <w:bCs/>
                <w:i/>
              </w:rPr>
              <w:t xml:space="preserve"> </w:t>
            </w:r>
            <w:r w:rsidR="008050FF" w:rsidRPr="0013396E">
              <w:rPr>
                <w:b/>
                <w:bCs/>
              </w:rPr>
              <w:t xml:space="preserve">RTAMLESRNW </w:t>
            </w:r>
            <w:r w:rsidR="008050FF" w:rsidRPr="0013396E">
              <w:rPr>
                <w:b/>
                <w:bCs/>
                <w:i/>
                <w:vertAlign w:val="subscript"/>
              </w:rPr>
              <w:t>q, p</w:t>
            </w:r>
            <w:r w:rsidR="00341E22" w:rsidRPr="0013396E">
              <w:rPr>
                <w:b/>
                <w:bCs/>
              </w:rPr>
              <w:t xml:space="preserve"> – RTAMLNWSOL </w:t>
            </w:r>
            <w:r w:rsidR="00341E22" w:rsidRPr="0013396E">
              <w:rPr>
                <w:b/>
                <w:bCs/>
                <w:i/>
                <w:vertAlign w:val="subscript"/>
              </w:rPr>
              <w:t>q, p</w:t>
            </w:r>
            <w:r w:rsidR="008050FF" w:rsidRPr="0013396E">
              <w:rPr>
                <w:b/>
                <w:bCs/>
              </w:rPr>
              <w:t xml:space="preserve">) </w:t>
            </w:r>
            <w:r w:rsidRPr="0013396E">
              <w:rPr>
                <w:b/>
                <w:bCs/>
              </w:rPr>
              <w:t xml:space="preserve">+ RTMGSOGZ </w:t>
            </w:r>
            <w:r w:rsidRPr="0013396E">
              <w:rPr>
                <w:b/>
                <w:bCs/>
                <w:i/>
                <w:vertAlign w:val="subscript"/>
              </w:rPr>
              <w:t>q, p</w:t>
            </w:r>
          </w:p>
        </w:tc>
      </w:tr>
    </w:tbl>
    <w:p w14:paraId="47043A5C" w14:textId="77777777" w:rsidR="001F04FD" w:rsidRPr="0013396E" w:rsidRDefault="001F04FD" w:rsidP="004A39F9">
      <w:pPr>
        <w:spacing w:before="240"/>
      </w:pPr>
      <w:r w:rsidRPr="0013396E">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630"/>
        <w:gridCol w:w="853"/>
        <w:gridCol w:w="6867"/>
      </w:tblGrid>
      <w:tr w:rsidR="001F04FD" w:rsidRPr="0013396E" w14:paraId="6B844741" w14:textId="77777777" w:rsidTr="00341E22">
        <w:trPr>
          <w:tblHeader/>
        </w:trPr>
        <w:tc>
          <w:tcPr>
            <w:tcW w:w="872" w:type="pct"/>
          </w:tcPr>
          <w:p w14:paraId="083FBEA1" w14:textId="77777777" w:rsidR="001F04FD" w:rsidRPr="0013396E" w:rsidRDefault="001F04FD" w:rsidP="00AC4DEE">
            <w:pPr>
              <w:pStyle w:val="TableHead"/>
            </w:pPr>
            <w:r w:rsidRPr="0013396E">
              <w:t>Variable</w:t>
            </w:r>
          </w:p>
        </w:tc>
        <w:tc>
          <w:tcPr>
            <w:tcW w:w="456" w:type="pct"/>
          </w:tcPr>
          <w:p w14:paraId="1080ECD9" w14:textId="77777777" w:rsidR="001F04FD" w:rsidRPr="0013396E" w:rsidRDefault="001F04FD" w:rsidP="00AC4DEE">
            <w:pPr>
              <w:pStyle w:val="TableHead"/>
            </w:pPr>
            <w:r w:rsidRPr="0013396E">
              <w:t>Unit</w:t>
            </w:r>
          </w:p>
        </w:tc>
        <w:tc>
          <w:tcPr>
            <w:tcW w:w="3672" w:type="pct"/>
          </w:tcPr>
          <w:p w14:paraId="3D0B09D0" w14:textId="77777777" w:rsidR="001F04FD" w:rsidRPr="0013396E" w:rsidRDefault="001F04FD" w:rsidP="00AC4DEE">
            <w:pPr>
              <w:pStyle w:val="TableHead"/>
            </w:pPr>
            <w:r w:rsidRPr="0013396E">
              <w:t>Description</w:t>
            </w:r>
          </w:p>
        </w:tc>
      </w:tr>
      <w:tr w:rsidR="001F04FD" w:rsidRPr="0013396E" w14:paraId="3341284A" w14:textId="77777777" w:rsidTr="00341E22">
        <w:tc>
          <w:tcPr>
            <w:tcW w:w="872" w:type="pct"/>
          </w:tcPr>
          <w:p w14:paraId="4CAE6885" w14:textId="77777777" w:rsidR="001F04FD" w:rsidRPr="0013396E" w:rsidRDefault="001F04FD" w:rsidP="00AC4DEE">
            <w:pPr>
              <w:pStyle w:val="TableBody"/>
            </w:pPr>
            <w:r w:rsidRPr="0013396E">
              <w:t xml:space="preserve">RTEIAMT </w:t>
            </w:r>
            <w:r w:rsidRPr="0013396E">
              <w:rPr>
                <w:i/>
                <w:vertAlign w:val="subscript"/>
              </w:rPr>
              <w:t>q, p</w:t>
            </w:r>
          </w:p>
        </w:tc>
        <w:tc>
          <w:tcPr>
            <w:tcW w:w="456" w:type="pct"/>
          </w:tcPr>
          <w:p w14:paraId="59ECA356" w14:textId="77777777" w:rsidR="001F04FD" w:rsidRPr="0013396E" w:rsidRDefault="001F04FD" w:rsidP="00AC4DEE">
            <w:pPr>
              <w:pStyle w:val="TableBody"/>
            </w:pPr>
            <w:r w:rsidRPr="0013396E">
              <w:t>$</w:t>
            </w:r>
          </w:p>
        </w:tc>
        <w:tc>
          <w:tcPr>
            <w:tcW w:w="3672" w:type="pct"/>
          </w:tcPr>
          <w:p w14:paraId="6642FF18" w14:textId="77777777" w:rsidR="001F04FD" w:rsidRPr="0013396E" w:rsidRDefault="001F04FD" w:rsidP="00AC4DEE">
            <w:pPr>
              <w:pStyle w:val="TableBody"/>
            </w:pPr>
            <w:r w:rsidRPr="0013396E">
              <w:rPr>
                <w:i/>
              </w:rPr>
              <w:t>Real-Time Energy Imbalance Amount per QSE per Settlement Point</w:t>
            </w:r>
            <w:r w:rsidRPr="0013396E">
              <w:t xml:space="preserve">—The payment or charge to QSE </w:t>
            </w:r>
            <w:r w:rsidRPr="0013396E">
              <w:rPr>
                <w:i/>
              </w:rPr>
              <w:t>q</w:t>
            </w:r>
            <w:r w:rsidRPr="0013396E">
              <w:t xml:space="preserve"> for Real-Time Energy Imbalance Service at Settlement Point </w:t>
            </w:r>
            <w:r w:rsidRPr="0013396E">
              <w:rPr>
                <w:i/>
              </w:rPr>
              <w:t>p</w:t>
            </w:r>
            <w:r w:rsidRPr="0013396E">
              <w:t>, for the 15-minute Settlement Interval.</w:t>
            </w:r>
          </w:p>
        </w:tc>
      </w:tr>
      <w:tr w:rsidR="001F04FD" w:rsidRPr="0013396E" w14:paraId="0295C3B2" w14:textId="77777777" w:rsidTr="00341E22">
        <w:tc>
          <w:tcPr>
            <w:tcW w:w="872" w:type="pct"/>
          </w:tcPr>
          <w:p w14:paraId="65B3804A" w14:textId="77777777" w:rsidR="001F04FD" w:rsidRPr="0013396E" w:rsidRDefault="001F04FD" w:rsidP="00AC4DEE">
            <w:pPr>
              <w:pStyle w:val="TableBody"/>
            </w:pPr>
            <w:r w:rsidRPr="0013396E">
              <w:t xml:space="preserve">RTSPP </w:t>
            </w:r>
            <w:r w:rsidRPr="0013396E">
              <w:rPr>
                <w:i/>
                <w:vertAlign w:val="subscript"/>
              </w:rPr>
              <w:t>p</w:t>
            </w:r>
          </w:p>
        </w:tc>
        <w:tc>
          <w:tcPr>
            <w:tcW w:w="456" w:type="pct"/>
          </w:tcPr>
          <w:p w14:paraId="324D75D1" w14:textId="77777777" w:rsidR="001F04FD" w:rsidRPr="0013396E" w:rsidRDefault="001F04FD" w:rsidP="00AC4DEE">
            <w:pPr>
              <w:pStyle w:val="TableBody"/>
            </w:pPr>
            <w:r w:rsidRPr="0013396E">
              <w:t>$/MWh</w:t>
            </w:r>
          </w:p>
        </w:tc>
        <w:tc>
          <w:tcPr>
            <w:tcW w:w="3672" w:type="pct"/>
          </w:tcPr>
          <w:p w14:paraId="60ADB215" w14:textId="77777777" w:rsidR="001F04FD" w:rsidRPr="0013396E" w:rsidRDefault="001F04FD" w:rsidP="00AC4DEE">
            <w:pPr>
              <w:pStyle w:val="TableBody"/>
            </w:pPr>
            <w:r w:rsidRPr="0013396E">
              <w:rPr>
                <w:i/>
              </w:rPr>
              <w:t>Real-Time Settlement Point Price per Settlement Point</w:t>
            </w:r>
            <w:r w:rsidRPr="0013396E">
              <w:t xml:space="preserve">—The Real-Time Settlement Point Price at Settlement Point </w:t>
            </w:r>
            <w:r w:rsidRPr="0013396E">
              <w:rPr>
                <w:i/>
              </w:rPr>
              <w:t>p</w:t>
            </w:r>
            <w:r w:rsidRPr="0013396E">
              <w:t>, for the 15-minute Settlement Interval.</w:t>
            </w:r>
          </w:p>
        </w:tc>
      </w:tr>
      <w:tr w:rsidR="001F04FD" w:rsidRPr="0013396E" w14:paraId="320BDD1D" w14:textId="77777777" w:rsidTr="00341E22">
        <w:tc>
          <w:tcPr>
            <w:tcW w:w="872" w:type="pct"/>
          </w:tcPr>
          <w:p w14:paraId="46814500" w14:textId="77777777" w:rsidR="001F04FD" w:rsidRPr="0013396E" w:rsidRDefault="001F04FD" w:rsidP="00AC4DEE">
            <w:pPr>
              <w:pStyle w:val="TableBody"/>
            </w:pPr>
            <w:r w:rsidRPr="0013396E">
              <w:t>LZIMBAL</w:t>
            </w:r>
            <w:r w:rsidRPr="0013396E">
              <w:rPr>
                <w:i/>
                <w:vertAlign w:val="subscript"/>
              </w:rPr>
              <w:t xml:space="preserve"> q, p</w:t>
            </w:r>
          </w:p>
        </w:tc>
        <w:tc>
          <w:tcPr>
            <w:tcW w:w="456" w:type="pct"/>
          </w:tcPr>
          <w:p w14:paraId="6840F9D3" w14:textId="77777777" w:rsidR="001F04FD" w:rsidRPr="0013396E" w:rsidRDefault="001F04FD" w:rsidP="00AC4DEE">
            <w:pPr>
              <w:pStyle w:val="TableBody"/>
            </w:pPr>
            <w:r w:rsidRPr="0013396E">
              <w:t>MWh</w:t>
            </w:r>
          </w:p>
        </w:tc>
        <w:tc>
          <w:tcPr>
            <w:tcW w:w="3672" w:type="pct"/>
          </w:tcPr>
          <w:p w14:paraId="1FBD08EB" w14:textId="77777777" w:rsidR="001F04FD" w:rsidRPr="0013396E" w:rsidRDefault="001F04FD" w:rsidP="00AC4DEE">
            <w:pPr>
              <w:pStyle w:val="TableBody"/>
              <w:rPr>
                <w:i/>
              </w:rPr>
            </w:pPr>
            <w:r w:rsidRPr="0013396E">
              <w:rPr>
                <w:i/>
              </w:rPr>
              <w:t>Load Zone Energy Imbalance per QSE per Settlement Point</w:t>
            </w:r>
            <w:r w:rsidRPr="0013396E">
              <w:t xml:space="preserve">—The Load Zone volumetric imbalance for QSE </w:t>
            </w:r>
            <w:r w:rsidRPr="0013396E">
              <w:rPr>
                <w:i/>
              </w:rPr>
              <w:t>q</w:t>
            </w:r>
            <w:r w:rsidRPr="0013396E">
              <w:t xml:space="preserve"> for Real-Time Energy Imbalance Service at Settlement Point </w:t>
            </w:r>
            <w:r w:rsidRPr="0013396E">
              <w:rPr>
                <w:i/>
              </w:rPr>
              <w:t>p</w:t>
            </w:r>
            <w:r w:rsidRPr="0013396E">
              <w:t>, for the 15-minute Settlement Interval.</w:t>
            </w:r>
          </w:p>
        </w:tc>
      </w:tr>
      <w:tr w:rsidR="001F04FD" w:rsidRPr="0013396E" w14:paraId="6984027C" w14:textId="77777777" w:rsidTr="00341E22">
        <w:tc>
          <w:tcPr>
            <w:tcW w:w="872" w:type="pct"/>
          </w:tcPr>
          <w:p w14:paraId="0C2E6ECA" w14:textId="77777777" w:rsidR="001F04FD" w:rsidRPr="0013396E" w:rsidRDefault="001F04FD" w:rsidP="00AC4DEE">
            <w:pPr>
              <w:pStyle w:val="TableBody"/>
            </w:pPr>
            <w:r w:rsidRPr="0013396E">
              <w:t xml:space="preserve">RTSPPEW </w:t>
            </w:r>
            <w:r w:rsidRPr="0013396E">
              <w:rPr>
                <w:i/>
                <w:vertAlign w:val="subscript"/>
              </w:rPr>
              <w:t>p</w:t>
            </w:r>
          </w:p>
        </w:tc>
        <w:tc>
          <w:tcPr>
            <w:tcW w:w="456" w:type="pct"/>
          </w:tcPr>
          <w:p w14:paraId="6C5CF945" w14:textId="77777777" w:rsidR="001F04FD" w:rsidRPr="0013396E" w:rsidRDefault="001F04FD" w:rsidP="00AC4DEE">
            <w:pPr>
              <w:pStyle w:val="TableBody"/>
            </w:pPr>
            <w:r w:rsidRPr="0013396E">
              <w:t>$/MWh</w:t>
            </w:r>
          </w:p>
        </w:tc>
        <w:tc>
          <w:tcPr>
            <w:tcW w:w="3672" w:type="pct"/>
          </w:tcPr>
          <w:p w14:paraId="45D3CD9E" w14:textId="72A19002" w:rsidR="001F04FD" w:rsidRPr="0013396E" w:rsidRDefault="001F04FD" w:rsidP="00AC4DEE">
            <w:pPr>
              <w:pStyle w:val="TableBody"/>
              <w:rPr>
                <w:i/>
              </w:rPr>
            </w:pPr>
            <w:r w:rsidRPr="0013396E">
              <w:rPr>
                <w:i/>
              </w:rPr>
              <w:t>Real-Time Settlement Point Price Energy-Weighted</w:t>
            </w:r>
            <w:r w:rsidRPr="0013396E">
              <w:sym w:font="Symbol" w:char="F0BE"/>
            </w:r>
            <w:r w:rsidRPr="0013396E">
              <w:t xml:space="preserve">The Real-Time Settlement Point Price at the Settlement Point </w:t>
            </w:r>
            <w:r w:rsidRPr="0013396E">
              <w:rPr>
                <w:i/>
              </w:rPr>
              <w:t>p</w:t>
            </w:r>
            <w:r w:rsidRPr="0013396E">
              <w:t>, for the 15-minute Settlement Interval that is weighted by the State Estimated Load for the Load Zone of each SCED interval within the 15-minute Settlement Interval.</w:t>
            </w:r>
          </w:p>
        </w:tc>
      </w:tr>
      <w:tr w:rsidR="001F04FD" w:rsidRPr="0013396E" w14:paraId="062A48B9" w14:textId="77777777" w:rsidTr="00341E22">
        <w:tc>
          <w:tcPr>
            <w:tcW w:w="872" w:type="pct"/>
          </w:tcPr>
          <w:p w14:paraId="086031F5" w14:textId="77777777" w:rsidR="001F04FD" w:rsidRPr="0013396E" w:rsidRDefault="001F04FD" w:rsidP="00AC4DEE">
            <w:pPr>
              <w:pStyle w:val="TableBody"/>
            </w:pPr>
            <w:r w:rsidRPr="0013396E">
              <w:lastRenderedPageBreak/>
              <w:t xml:space="preserve">RTAML </w:t>
            </w:r>
            <w:r w:rsidRPr="0013396E">
              <w:rPr>
                <w:i/>
                <w:vertAlign w:val="subscript"/>
              </w:rPr>
              <w:t>q, p</w:t>
            </w:r>
          </w:p>
        </w:tc>
        <w:tc>
          <w:tcPr>
            <w:tcW w:w="456" w:type="pct"/>
          </w:tcPr>
          <w:p w14:paraId="6D692E7C" w14:textId="77777777" w:rsidR="001F04FD" w:rsidRPr="0013396E" w:rsidRDefault="001F04FD" w:rsidP="00AC4DEE">
            <w:pPr>
              <w:pStyle w:val="TableBody"/>
            </w:pPr>
            <w:r w:rsidRPr="0013396E">
              <w:t>MWh</w:t>
            </w:r>
          </w:p>
        </w:tc>
        <w:tc>
          <w:tcPr>
            <w:tcW w:w="3672" w:type="pct"/>
          </w:tcPr>
          <w:p w14:paraId="77294ADF" w14:textId="77777777" w:rsidR="001F04FD" w:rsidRPr="0013396E" w:rsidRDefault="001F04FD" w:rsidP="00AC4DEE">
            <w:pPr>
              <w:pStyle w:val="TableBody"/>
            </w:pPr>
            <w:r w:rsidRPr="0013396E">
              <w:rPr>
                <w:i/>
              </w:rPr>
              <w:t>Real-Time Adjusted Metered Load per QSE per Settlement Point</w:t>
            </w:r>
            <w:r w:rsidRPr="0013396E">
              <w:t xml:space="preserve">—The sum of the AML at the Electrical Buses that are included in Settlement Point </w:t>
            </w:r>
            <w:r w:rsidRPr="0013396E">
              <w:rPr>
                <w:i/>
              </w:rPr>
              <w:t>p</w:t>
            </w:r>
            <w:r w:rsidRPr="0013396E">
              <w:t xml:space="preserve"> represented by QSE </w:t>
            </w:r>
            <w:r w:rsidRPr="0013396E">
              <w:rPr>
                <w:i/>
              </w:rPr>
              <w:t>q</w:t>
            </w:r>
            <w:r w:rsidRPr="0013396E">
              <w:t xml:space="preserve"> for the 15-minute Settlement Interval.</w:t>
            </w:r>
          </w:p>
        </w:tc>
      </w:tr>
      <w:tr w:rsidR="001C0176" w:rsidRPr="0013396E" w14:paraId="33241641" w14:textId="77777777" w:rsidTr="001C0176">
        <w:tc>
          <w:tcPr>
            <w:tcW w:w="5000" w:type="pct"/>
            <w:gridSpan w:val="3"/>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110"/>
            </w:tblGrid>
            <w:tr w:rsidR="001C0176" w:rsidRPr="0013396E" w14:paraId="1BBB9949" w14:textId="77777777" w:rsidTr="00F5593C">
              <w:trPr>
                <w:trHeight w:val="566"/>
              </w:trPr>
              <w:tc>
                <w:tcPr>
                  <w:tcW w:w="9576" w:type="dxa"/>
                  <w:shd w:val="pct12" w:color="auto" w:fill="auto"/>
                </w:tcPr>
                <w:p w14:paraId="3C62E153" w14:textId="1127954B" w:rsidR="001C0176" w:rsidRPr="0013396E" w:rsidRDefault="001C0176" w:rsidP="001C0176">
                  <w:pPr>
                    <w:pStyle w:val="Instructions"/>
                    <w:spacing w:before="60"/>
                  </w:pPr>
                  <w:r w:rsidRPr="0013396E">
                    <w:t>[NPRR1188:  Insert the variable “</w:t>
                  </w:r>
                  <w:r w:rsidRPr="0013396E">
                    <w:rPr>
                      <w:bCs/>
                    </w:rPr>
                    <w:t xml:space="preserve">RTAMLCLRL </w:t>
                  </w:r>
                  <w:r w:rsidRPr="0013396E">
                    <w:rPr>
                      <w:bCs/>
                      <w:vertAlign w:val="subscript"/>
                    </w:rPr>
                    <w:t>q, p</w:t>
                  </w:r>
                  <w:r w:rsidRPr="0013396E">
                    <w:t>” below upon system implementation:]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643"/>
                    <w:gridCol w:w="697"/>
                    <w:gridCol w:w="6530"/>
                  </w:tblGrid>
                  <w:tr w:rsidR="001C0176" w:rsidRPr="0013396E" w14:paraId="51C1E146" w14:textId="77777777" w:rsidTr="001C0176">
                    <w:tc>
                      <w:tcPr>
                        <w:tcW w:w="926" w:type="pct"/>
                      </w:tcPr>
                      <w:p w14:paraId="386AF04A" w14:textId="77792128" w:rsidR="001C0176" w:rsidRPr="0013396E" w:rsidRDefault="001C0176" w:rsidP="001C0176">
                        <w:pPr>
                          <w:pStyle w:val="TableBody"/>
                        </w:pPr>
                        <w:r w:rsidRPr="0013396E">
                          <w:rPr>
                            <w:bCs/>
                          </w:rPr>
                          <w:t xml:space="preserve">RTAMLCLRL </w:t>
                        </w:r>
                        <w:r w:rsidRPr="0013396E">
                          <w:rPr>
                            <w:bCs/>
                            <w:i/>
                            <w:vertAlign w:val="subscript"/>
                          </w:rPr>
                          <w:t>q, p</w:t>
                        </w:r>
                      </w:p>
                    </w:tc>
                    <w:tc>
                      <w:tcPr>
                        <w:tcW w:w="393" w:type="pct"/>
                      </w:tcPr>
                      <w:p w14:paraId="79911721" w14:textId="1CC2727A" w:rsidR="001C0176" w:rsidRPr="0013396E" w:rsidRDefault="001C0176" w:rsidP="001C0176">
                        <w:pPr>
                          <w:pStyle w:val="TableBody"/>
                        </w:pPr>
                        <w:r w:rsidRPr="0013396E">
                          <w:t>MWh</w:t>
                        </w:r>
                      </w:p>
                    </w:tc>
                    <w:tc>
                      <w:tcPr>
                        <w:tcW w:w="3682" w:type="pct"/>
                      </w:tcPr>
                      <w:p w14:paraId="4E313B6F" w14:textId="128B16F7" w:rsidR="001C0176" w:rsidRPr="0013396E" w:rsidRDefault="001C0176" w:rsidP="001C0176">
                        <w:pPr>
                          <w:pStyle w:val="TableBody"/>
                        </w:pPr>
                        <w:r w:rsidRPr="0013396E">
                          <w:rPr>
                            <w:i/>
                          </w:rPr>
                          <w:t>Real-Time Adjusted Metered Load for CLR Load per QSE per Settlement Point</w:t>
                        </w:r>
                        <w:r w:rsidRPr="0013396E">
                          <w:t xml:space="preserve">—The sum of the AML for the CLR Load from CLRs (that are not ALRs) at the Electrical Buses that are included in Settlement Point </w:t>
                        </w:r>
                        <w:r w:rsidRPr="0013396E">
                          <w:rPr>
                            <w:i/>
                          </w:rPr>
                          <w:t>p</w:t>
                        </w:r>
                        <w:r w:rsidRPr="0013396E">
                          <w:t xml:space="preserve"> represented by QSE </w:t>
                        </w:r>
                        <w:r w:rsidRPr="0013396E">
                          <w:rPr>
                            <w:i/>
                          </w:rPr>
                          <w:t>q</w:t>
                        </w:r>
                        <w:r w:rsidRPr="0013396E">
                          <w:t xml:space="preserve"> for the 15-minute Settlement Interval, represented as a positive value. </w:t>
                        </w:r>
                      </w:p>
                    </w:tc>
                  </w:tr>
                </w:tbl>
                <w:p w14:paraId="15EC0D01" w14:textId="77777777" w:rsidR="001C0176" w:rsidRPr="0013396E" w:rsidRDefault="001C0176" w:rsidP="001C0176">
                  <w:pPr>
                    <w:pStyle w:val="TableBody"/>
                  </w:pPr>
                </w:p>
              </w:tc>
            </w:tr>
          </w:tbl>
          <w:p w14:paraId="5C834612" w14:textId="77777777" w:rsidR="001C0176" w:rsidRPr="0013396E" w:rsidRDefault="001C0176" w:rsidP="003963CD">
            <w:pPr>
              <w:pStyle w:val="TableBody"/>
              <w:rPr>
                <w:i/>
                <w:iCs w:val="0"/>
              </w:rPr>
            </w:pPr>
          </w:p>
        </w:tc>
      </w:tr>
      <w:tr w:rsidR="003963CD" w:rsidRPr="0013396E" w14:paraId="079B7473" w14:textId="77777777" w:rsidTr="00341E22">
        <w:tc>
          <w:tcPr>
            <w:tcW w:w="872" w:type="pct"/>
          </w:tcPr>
          <w:p w14:paraId="2508C9DC" w14:textId="39227735" w:rsidR="003963CD" w:rsidRPr="0013396E" w:rsidRDefault="003963CD" w:rsidP="003963CD">
            <w:pPr>
              <w:pStyle w:val="TableBody"/>
            </w:pPr>
            <w:r w:rsidRPr="0013396E">
              <w:rPr>
                <w:bCs/>
              </w:rPr>
              <w:t xml:space="preserve">RTAMLESRNW </w:t>
            </w:r>
            <w:r w:rsidRPr="0013396E">
              <w:rPr>
                <w:bCs/>
                <w:i/>
                <w:vertAlign w:val="subscript"/>
              </w:rPr>
              <w:t>q, p</w:t>
            </w:r>
          </w:p>
        </w:tc>
        <w:tc>
          <w:tcPr>
            <w:tcW w:w="456" w:type="pct"/>
          </w:tcPr>
          <w:p w14:paraId="5D34D303" w14:textId="7A43FD19" w:rsidR="003963CD" w:rsidRPr="0013396E" w:rsidRDefault="003963CD" w:rsidP="003963CD">
            <w:pPr>
              <w:pStyle w:val="TableBody"/>
            </w:pPr>
            <w:r w:rsidRPr="0013396E">
              <w:rPr>
                <w:iCs w:val="0"/>
              </w:rPr>
              <w:t>MWh</w:t>
            </w:r>
          </w:p>
        </w:tc>
        <w:tc>
          <w:tcPr>
            <w:tcW w:w="3672" w:type="pct"/>
          </w:tcPr>
          <w:p w14:paraId="4E900EFA" w14:textId="1D51A7EA" w:rsidR="003963CD" w:rsidRPr="0013396E" w:rsidRDefault="003963CD" w:rsidP="003963CD">
            <w:pPr>
              <w:pStyle w:val="TableBody"/>
              <w:rPr>
                <w:i/>
              </w:rPr>
            </w:pPr>
            <w:r w:rsidRPr="0013396E">
              <w:rPr>
                <w:i/>
                <w:iCs w:val="0"/>
              </w:rPr>
              <w:t>Real-Time Adjusted Metered Load for ESR Non-WSL per QSE per Settlement Point</w:t>
            </w:r>
            <w:r w:rsidRPr="0013396E">
              <w:rPr>
                <w:iCs w:val="0"/>
              </w:rPr>
              <w:t xml:space="preserve">—The sum of the AML for the </w:t>
            </w:r>
            <w:r w:rsidRPr="0013396E">
              <w:t>Non-WSL ESR Charging Load</w:t>
            </w:r>
            <w:r w:rsidRPr="0013396E">
              <w:rPr>
                <w:iCs w:val="0"/>
              </w:rPr>
              <w:t xml:space="preserve"> at the Electrical Buses that are included in Settlement Point </w:t>
            </w:r>
            <w:r w:rsidRPr="0013396E">
              <w:rPr>
                <w:i/>
                <w:iCs w:val="0"/>
              </w:rPr>
              <w:t>p</w:t>
            </w:r>
            <w:r w:rsidRPr="0013396E">
              <w:rPr>
                <w:iCs w:val="0"/>
              </w:rPr>
              <w:t xml:space="preserve"> represented by QSE </w:t>
            </w:r>
            <w:r w:rsidRPr="0013396E">
              <w:rPr>
                <w:i/>
                <w:iCs w:val="0"/>
              </w:rPr>
              <w:t>q</w:t>
            </w:r>
            <w:r w:rsidRPr="0013396E">
              <w:rPr>
                <w:iCs w:val="0"/>
              </w:rPr>
              <w:t xml:space="preserve"> for the 15-minute Settlement Interval, represented as a positive value. </w:t>
            </w:r>
          </w:p>
        </w:tc>
      </w:tr>
      <w:tr w:rsidR="00341E22" w:rsidRPr="0013396E" w14:paraId="34BFCBFA" w14:textId="77777777" w:rsidTr="00341E22">
        <w:tc>
          <w:tcPr>
            <w:tcW w:w="5000" w:type="pct"/>
            <w:gridSpan w:val="3"/>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110"/>
            </w:tblGrid>
            <w:tr w:rsidR="00341E22" w:rsidRPr="0013396E" w14:paraId="73599B7C" w14:textId="77777777" w:rsidTr="00425355">
              <w:trPr>
                <w:trHeight w:val="566"/>
              </w:trPr>
              <w:tc>
                <w:tcPr>
                  <w:tcW w:w="9576" w:type="dxa"/>
                  <w:shd w:val="pct12" w:color="auto" w:fill="auto"/>
                </w:tcPr>
                <w:p w14:paraId="0982A79E" w14:textId="48E98466" w:rsidR="00341E22" w:rsidRPr="0013396E" w:rsidRDefault="00341E22" w:rsidP="00341E22">
                  <w:pPr>
                    <w:pStyle w:val="Instructions"/>
                    <w:spacing w:before="60"/>
                  </w:pPr>
                  <w:r w:rsidRPr="0013396E">
                    <w:t xml:space="preserve">[NPRR995:  </w:t>
                  </w:r>
                  <w:r w:rsidR="00031AC3" w:rsidRPr="0013396E">
                    <w:t xml:space="preserve">Insert the </w:t>
                  </w:r>
                  <w:r w:rsidRPr="0013396E">
                    <w:t>variable “</w:t>
                  </w:r>
                  <w:r w:rsidR="00031AC3" w:rsidRPr="0013396E">
                    <w:t>RTAMLNWSOL</w:t>
                  </w:r>
                  <w:r w:rsidR="00031AC3" w:rsidRPr="0013396E">
                    <w:rPr>
                      <w:vertAlign w:val="subscript"/>
                    </w:rPr>
                    <w:t xml:space="preserve"> q, p</w:t>
                  </w:r>
                  <w:r w:rsidRPr="0013396E">
                    <w:t xml:space="preserve">” </w:t>
                  </w:r>
                  <w:r w:rsidR="00031AC3" w:rsidRPr="0013396E">
                    <w:t>below</w:t>
                  </w:r>
                  <w:r w:rsidRPr="0013396E">
                    <w:t xml:space="preserve"> upon system implementation:]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642"/>
                    <w:gridCol w:w="697"/>
                    <w:gridCol w:w="6531"/>
                  </w:tblGrid>
                  <w:tr w:rsidR="00031AC3" w:rsidRPr="0013396E" w14:paraId="5ACEC66C" w14:textId="77777777" w:rsidTr="00031AC3">
                    <w:tc>
                      <w:tcPr>
                        <w:tcW w:w="808" w:type="pct"/>
                      </w:tcPr>
                      <w:p w14:paraId="74651D68" w14:textId="490F4223" w:rsidR="00031AC3" w:rsidRPr="0013396E" w:rsidRDefault="00031AC3" w:rsidP="00031AC3">
                        <w:pPr>
                          <w:pStyle w:val="TableBody"/>
                        </w:pPr>
                        <w:r w:rsidRPr="0013396E">
                          <w:rPr>
                            <w:bCs/>
                            <w:iCs w:val="0"/>
                          </w:rPr>
                          <w:t xml:space="preserve">RTAMLNWSOL </w:t>
                        </w:r>
                        <w:r w:rsidRPr="0013396E">
                          <w:rPr>
                            <w:bCs/>
                            <w:i/>
                            <w:iCs w:val="0"/>
                            <w:vertAlign w:val="subscript"/>
                          </w:rPr>
                          <w:t>q, p</w:t>
                        </w:r>
                      </w:p>
                    </w:tc>
                    <w:tc>
                      <w:tcPr>
                        <w:tcW w:w="393" w:type="pct"/>
                      </w:tcPr>
                      <w:p w14:paraId="662603C8" w14:textId="6592561D" w:rsidR="00031AC3" w:rsidRPr="0013396E" w:rsidRDefault="00031AC3" w:rsidP="00031AC3">
                        <w:pPr>
                          <w:pStyle w:val="TableBody"/>
                        </w:pPr>
                        <w:r w:rsidRPr="0013396E">
                          <w:t>MWh</w:t>
                        </w:r>
                      </w:p>
                    </w:tc>
                    <w:tc>
                      <w:tcPr>
                        <w:tcW w:w="3799" w:type="pct"/>
                      </w:tcPr>
                      <w:p w14:paraId="5B6C0A2A" w14:textId="1228B0D1" w:rsidR="00031AC3" w:rsidRPr="0013396E" w:rsidRDefault="00031AC3" w:rsidP="00031AC3">
                        <w:pPr>
                          <w:pStyle w:val="TableBody"/>
                        </w:pPr>
                        <w:r w:rsidRPr="0013396E">
                          <w:rPr>
                            <w:i/>
                          </w:rPr>
                          <w:t>Real-Time Adjusted Metered Load for Non-WSL Settlement Only</w:t>
                        </w:r>
                        <w:r w:rsidRPr="0013396E">
                          <w:t xml:space="preserve"> </w:t>
                        </w:r>
                        <w:r w:rsidRPr="0013396E">
                          <w:rPr>
                            <w:i/>
                          </w:rPr>
                          <w:t>Charging Load per QSE per Settlement Point</w:t>
                        </w:r>
                        <w:r w:rsidRPr="0013396E">
                          <w:t xml:space="preserve">—The sum of the AML for the Non-WSL Settlement Only Charging Load for the SODESS or SOTESS site that are included in Settlement Point </w:t>
                        </w:r>
                        <w:r w:rsidRPr="0013396E">
                          <w:rPr>
                            <w:i/>
                          </w:rPr>
                          <w:t>p</w:t>
                        </w:r>
                        <w:r w:rsidRPr="0013396E">
                          <w:t xml:space="preserve"> represented by QSE </w:t>
                        </w:r>
                        <w:r w:rsidRPr="0013396E">
                          <w:rPr>
                            <w:i/>
                          </w:rPr>
                          <w:t>q</w:t>
                        </w:r>
                        <w:r w:rsidRPr="0013396E">
                          <w:t xml:space="preserve"> for the 15-minute Settlement Interval, represented as a positive value. </w:t>
                        </w:r>
                      </w:p>
                    </w:tc>
                  </w:tr>
                </w:tbl>
                <w:p w14:paraId="499EFCEB" w14:textId="77777777" w:rsidR="00341E22" w:rsidRPr="0013396E" w:rsidRDefault="00341E22" w:rsidP="00341E22">
                  <w:pPr>
                    <w:pStyle w:val="TableBody"/>
                  </w:pPr>
                </w:p>
              </w:tc>
            </w:tr>
          </w:tbl>
          <w:p w14:paraId="1430F1FA" w14:textId="77777777" w:rsidR="00341E22" w:rsidRPr="0013396E" w:rsidRDefault="00341E22" w:rsidP="00AC4DEE">
            <w:pPr>
              <w:pStyle w:val="TableBody"/>
              <w:rPr>
                <w:i/>
              </w:rPr>
            </w:pPr>
          </w:p>
        </w:tc>
      </w:tr>
      <w:tr w:rsidR="001F04FD" w:rsidRPr="0013396E" w14:paraId="0DE84FAB" w14:textId="77777777" w:rsidTr="00341E22">
        <w:tc>
          <w:tcPr>
            <w:tcW w:w="872" w:type="pct"/>
          </w:tcPr>
          <w:p w14:paraId="1F34907D" w14:textId="77777777" w:rsidR="001F04FD" w:rsidRPr="0013396E" w:rsidRDefault="001F04FD" w:rsidP="00AC4DEE">
            <w:pPr>
              <w:pStyle w:val="TableBody"/>
            </w:pPr>
            <w:r w:rsidRPr="0013396E">
              <w:t xml:space="preserve">SSSK </w:t>
            </w:r>
            <w:r w:rsidRPr="0013396E">
              <w:rPr>
                <w:i/>
                <w:vertAlign w:val="subscript"/>
              </w:rPr>
              <w:t>q, p</w:t>
            </w:r>
          </w:p>
        </w:tc>
        <w:tc>
          <w:tcPr>
            <w:tcW w:w="456" w:type="pct"/>
          </w:tcPr>
          <w:p w14:paraId="3E97D67D" w14:textId="77777777" w:rsidR="001F04FD" w:rsidRPr="0013396E" w:rsidRDefault="001F04FD" w:rsidP="00AC4DEE">
            <w:pPr>
              <w:pStyle w:val="TableBody"/>
            </w:pPr>
            <w:r w:rsidRPr="0013396E">
              <w:t>MW</w:t>
            </w:r>
          </w:p>
        </w:tc>
        <w:tc>
          <w:tcPr>
            <w:tcW w:w="3672" w:type="pct"/>
          </w:tcPr>
          <w:p w14:paraId="620C5366" w14:textId="77777777" w:rsidR="001F04FD" w:rsidRPr="0013396E" w:rsidRDefault="001F04FD" w:rsidP="00AC4DEE">
            <w:pPr>
              <w:pStyle w:val="TableBody"/>
            </w:pPr>
            <w:r w:rsidRPr="0013396E">
              <w:rPr>
                <w:i/>
              </w:rPr>
              <w:t>Self-Schedule with Sink at Settlement Point per QSE per Settlement Point</w:t>
            </w:r>
            <w:r w:rsidRPr="0013396E">
              <w:t xml:space="preserve">—The QSE </w:t>
            </w:r>
            <w:r w:rsidRPr="0013396E">
              <w:rPr>
                <w:i/>
              </w:rPr>
              <w:t>q</w:t>
            </w:r>
            <w:r w:rsidRPr="0013396E">
              <w:t xml:space="preserve">’s Self-Schedule with sink at Settlement Point </w:t>
            </w:r>
            <w:r w:rsidRPr="0013396E">
              <w:rPr>
                <w:i/>
              </w:rPr>
              <w:t>p</w:t>
            </w:r>
            <w:r w:rsidRPr="0013396E">
              <w:t>, for the 15-minute Settlement Interval.</w:t>
            </w:r>
          </w:p>
        </w:tc>
      </w:tr>
      <w:tr w:rsidR="001F04FD" w:rsidRPr="0013396E" w14:paraId="16348D12" w14:textId="77777777" w:rsidTr="00341E22">
        <w:tc>
          <w:tcPr>
            <w:tcW w:w="872" w:type="pct"/>
          </w:tcPr>
          <w:p w14:paraId="2444FDE8" w14:textId="77777777" w:rsidR="001F04FD" w:rsidRPr="0013396E" w:rsidRDefault="001F04FD" w:rsidP="00AC4DEE">
            <w:pPr>
              <w:pStyle w:val="TableBody"/>
            </w:pPr>
            <w:r w:rsidRPr="0013396E">
              <w:t xml:space="preserve">DAEP </w:t>
            </w:r>
            <w:r w:rsidRPr="0013396E">
              <w:rPr>
                <w:i/>
                <w:vertAlign w:val="subscript"/>
              </w:rPr>
              <w:t>q, p</w:t>
            </w:r>
          </w:p>
        </w:tc>
        <w:tc>
          <w:tcPr>
            <w:tcW w:w="456" w:type="pct"/>
          </w:tcPr>
          <w:p w14:paraId="05CD7C42" w14:textId="77777777" w:rsidR="001F04FD" w:rsidRPr="0013396E" w:rsidRDefault="001F04FD" w:rsidP="00AC4DEE">
            <w:pPr>
              <w:pStyle w:val="TableBody"/>
            </w:pPr>
            <w:r w:rsidRPr="0013396E">
              <w:t>MW</w:t>
            </w:r>
          </w:p>
        </w:tc>
        <w:tc>
          <w:tcPr>
            <w:tcW w:w="3672" w:type="pct"/>
          </w:tcPr>
          <w:p w14:paraId="07176976" w14:textId="77777777" w:rsidR="001C0176" w:rsidRPr="0013396E" w:rsidRDefault="001F04FD" w:rsidP="00AC4DEE">
            <w:pPr>
              <w:pStyle w:val="TableBody"/>
            </w:pPr>
            <w:r w:rsidRPr="0013396E">
              <w:rPr>
                <w:i/>
              </w:rPr>
              <w:t>Day-Ahead Energy Purchase per QSE per Settlement Point</w:t>
            </w:r>
            <w:r w:rsidRPr="0013396E">
              <w:t xml:space="preserve">—The QSE </w:t>
            </w:r>
            <w:r w:rsidRPr="0013396E">
              <w:rPr>
                <w:i/>
              </w:rPr>
              <w:t>q</w:t>
            </w:r>
            <w:r w:rsidRPr="0013396E">
              <w:t xml:space="preserve">’s DAM Energy Bids at Settlement Point </w:t>
            </w:r>
            <w:r w:rsidRPr="0013396E">
              <w:rPr>
                <w:i/>
              </w:rPr>
              <w:t>p</w:t>
            </w:r>
            <w:r w:rsidRPr="0013396E">
              <w:t xml:space="preserve"> cleared in the DAM, for the hour that includes the 15-minute Settlement Interval.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6627"/>
            </w:tblGrid>
            <w:tr w:rsidR="001C0176" w:rsidRPr="0013396E" w14:paraId="235CAE34" w14:textId="77777777" w:rsidTr="00F5593C">
              <w:trPr>
                <w:trHeight w:val="206"/>
              </w:trPr>
              <w:tc>
                <w:tcPr>
                  <w:tcW w:w="0" w:type="auto"/>
                  <w:shd w:val="pct12" w:color="auto" w:fill="auto"/>
                </w:tcPr>
                <w:p w14:paraId="283587DF" w14:textId="3FB0235B" w:rsidR="001C0176" w:rsidRPr="0013396E" w:rsidRDefault="001C0176" w:rsidP="001C0176">
                  <w:pPr>
                    <w:pStyle w:val="Instructions"/>
                    <w:spacing w:before="120"/>
                  </w:pPr>
                  <w:r w:rsidRPr="0013396E">
                    <w:t>[NPRR1188:  Replace the description above with the following upon system implementation:]</w:t>
                  </w:r>
                </w:p>
                <w:p w14:paraId="28AA2BBD" w14:textId="52704B6D" w:rsidR="001C0176" w:rsidRPr="0013396E" w:rsidRDefault="001C0176" w:rsidP="001C0176">
                  <w:pPr>
                    <w:pStyle w:val="TableBody"/>
                  </w:pPr>
                  <w:r w:rsidRPr="0013396E">
                    <w:rPr>
                      <w:i/>
                    </w:rPr>
                    <w:t>Day-Ahead Energy Purchase per QSE per Settlement Point</w:t>
                  </w:r>
                  <w:r w:rsidRPr="0013396E">
                    <w:t xml:space="preserve">—The QSE </w:t>
                  </w:r>
                  <w:r w:rsidRPr="0013396E">
                    <w:rPr>
                      <w:i/>
                    </w:rPr>
                    <w:t>q</w:t>
                  </w:r>
                  <w:r w:rsidRPr="0013396E">
                    <w:t xml:space="preserve">’s DAM Energy Bids and Energy Bid Curves at Settlement Point </w:t>
                  </w:r>
                  <w:r w:rsidRPr="0013396E">
                    <w:rPr>
                      <w:i/>
                    </w:rPr>
                    <w:t>p</w:t>
                  </w:r>
                  <w:r w:rsidRPr="0013396E">
                    <w:t xml:space="preserve"> cleared in the DAM, for the hour that includes the 15-minute Settlement Interval.</w:t>
                  </w:r>
                </w:p>
              </w:tc>
            </w:tr>
          </w:tbl>
          <w:p w14:paraId="3724B4B0" w14:textId="66F6047F" w:rsidR="001F04FD" w:rsidRPr="0013396E" w:rsidRDefault="001F04FD" w:rsidP="00AC4DEE">
            <w:pPr>
              <w:pStyle w:val="TableBody"/>
            </w:pPr>
          </w:p>
        </w:tc>
      </w:tr>
      <w:tr w:rsidR="001F04FD" w:rsidRPr="0013396E" w14:paraId="6B0E539E" w14:textId="77777777" w:rsidTr="00341E22">
        <w:tc>
          <w:tcPr>
            <w:tcW w:w="872" w:type="pct"/>
          </w:tcPr>
          <w:p w14:paraId="7914A9CD" w14:textId="77777777" w:rsidR="001F04FD" w:rsidRPr="0013396E" w:rsidRDefault="001F04FD" w:rsidP="00AC4DEE">
            <w:pPr>
              <w:pStyle w:val="TableBody"/>
            </w:pPr>
            <w:r w:rsidRPr="0013396E">
              <w:t xml:space="preserve">RTQQEP </w:t>
            </w:r>
            <w:r w:rsidRPr="0013396E">
              <w:rPr>
                <w:i/>
                <w:vertAlign w:val="subscript"/>
              </w:rPr>
              <w:t>q, p</w:t>
            </w:r>
            <w:r w:rsidRPr="0013396E">
              <w:t xml:space="preserve"> </w:t>
            </w:r>
          </w:p>
        </w:tc>
        <w:tc>
          <w:tcPr>
            <w:tcW w:w="456" w:type="pct"/>
          </w:tcPr>
          <w:p w14:paraId="28C31B81" w14:textId="77777777" w:rsidR="001F04FD" w:rsidRPr="0013396E" w:rsidRDefault="001F04FD" w:rsidP="00AC4DEE">
            <w:pPr>
              <w:pStyle w:val="TableBody"/>
            </w:pPr>
            <w:r w:rsidRPr="0013396E">
              <w:t>MW</w:t>
            </w:r>
          </w:p>
        </w:tc>
        <w:tc>
          <w:tcPr>
            <w:tcW w:w="3672" w:type="pct"/>
          </w:tcPr>
          <w:p w14:paraId="6002EB6B" w14:textId="77777777" w:rsidR="001F04FD" w:rsidRPr="0013396E" w:rsidRDefault="001F04FD" w:rsidP="00AC4DEE">
            <w:pPr>
              <w:pStyle w:val="TableBody"/>
            </w:pPr>
            <w:r w:rsidRPr="0013396E">
              <w:rPr>
                <w:i/>
              </w:rPr>
              <w:t>Real-Time QSE-to-QSE Energy Purchase per QSE per Settlement Point</w:t>
            </w:r>
            <w:r w:rsidRPr="0013396E">
              <w:sym w:font="Symbol" w:char="F0BE"/>
            </w:r>
            <w:r w:rsidRPr="0013396E">
              <w:t xml:space="preserve">The amount of MW bought by QSE </w:t>
            </w:r>
            <w:r w:rsidRPr="0013396E">
              <w:rPr>
                <w:i/>
              </w:rPr>
              <w:t>q</w:t>
            </w:r>
            <w:r w:rsidRPr="0013396E">
              <w:t xml:space="preserve"> through Energy Trades at Settlement Point </w:t>
            </w:r>
            <w:r w:rsidRPr="0013396E">
              <w:rPr>
                <w:i/>
              </w:rPr>
              <w:t>p</w:t>
            </w:r>
            <w:r w:rsidRPr="0013396E">
              <w:t>, for the 15-minute Settlement Interval.</w:t>
            </w:r>
          </w:p>
        </w:tc>
      </w:tr>
      <w:tr w:rsidR="001F04FD" w:rsidRPr="0013396E" w14:paraId="0397A95E" w14:textId="77777777" w:rsidTr="00341E22">
        <w:tc>
          <w:tcPr>
            <w:tcW w:w="872" w:type="pct"/>
          </w:tcPr>
          <w:p w14:paraId="1FAAB5E2" w14:textId="77777777" w:rsidR="001F04FD" w:rsidRPr="0013396E" w:rsidRDefault="001F04FD" w:rsidP="00AC4DEE">
            <w:pPr>
              <w:pStyle w:val="TableBody"/>
            </w:pPr>
            <w:r w:rsidRPr="0013396E">
              <w:t xml:space="preserve">SSSR </w:t>
            </w:r>
            <w:r w:rsidRPr="0013396E">
              <w:rPr>
                <w:i/>
                <w:vertAlign w:val="subscript"/>
              </w:rPr>
              <w:t>q, p</w:t>
            </w:r>
          </w:p>
        </w:tc>
        <w:tc>
          <w:tcPr>
            <w:tcW w:w="456" w:type="pct"/>
          </w:tcPr>
          <w:p w14:paraId="73105EB7" w14:textId="77777777" w:rsidR="001F04FD" w:rsidRPr="0013396E" w:rsidRDefault="001F04FD" w:rsidP="00AC4DEE">
            <w:pPr>
              <w:pStyle w:val="TableBody"/>
            </w:pPr>
            <w:r w:rsidRPr="0013396E">
              <w:t>MW</w:t>
            </w:r>
          </w:p>
        </w:tc>
        <w:tc>
          <w:tcPr>
            <w:tcW w:w="3672" w:type="pct"/>
          </w:tcPr>
          <w:p w14:paraId="560E747C" w14:textId="77777777" w:rsidR="001F04FD" w:rsidRPr="0013396E" w:rsidRDefault="001F04FD" w:rsidP="00AC4DEE">
            <w:pPr>
              <w:pStyle w:val="TableBody"/>
            </w:pPr>
            <w:r w:rsidRPr="0013396E">
              <w:rPr>
                <w:i/>
              </w:rPr>
              <w:t>Self-Schedule with Source at Settlement Point per QSE per Settlement Point</w:t>
            </w:r>
            <w:r w:rsidRPr="0013396E">
              <w:t xml:space="preserve">—The QSE </w:t>
            </w:r>
            <w:r w:rsidRPr="0013396E">
              <w:rPr>
                <w:i/>
              </w:rPr>
              <w:t>q</w:t>
            </w:r>
            <w:r w:rsidRPr="0013396E">
              <w:t xml:space="preserve">’s Self-Schedule with source at Settlement Point </w:t>
            </w:r>
            <w:r w:rsidRPr="0013396E">
              <w:rPr>
                <w:i/>
              </w:rPr>
              <w:t>p</w:t>
            </w:r>
            <w:r w:rsidRPr="0013396E">
              <w:t>, for the 15-minute Settlement Interval.</w:t>
            </w:r>
          </w:p>
        </w:tc>
      </w:tr>
      <w:tr w:rsidR="001F04FD" w:rsidRPr="0013396E" w14:paraId="658BD197" w14:textId="77777777" w:rsidTr="00341E22">
        <w:tc>
          <w:tcPr>
            <w:tcW w:w="872" w:type="pct"/>
          </w:tcPr>
          <w:p w14:paraId="6C493956" w14:textId="77777777" w:rsidR="001F04FD" w:rsidRPr="0013396E" w:rsidRDefault="001F04FD" w:rsidP="00AC4DEE">
            <w:pPr>
              <w:pStyle w:val="TableBody"/>
            </w:pPr>
            <w:r w:rsidRPr="0013396E">
              <w:t xml:space="preserve">DAES </w:t>
            </w:r>
            <w:r w:rsidRPr="0013396E">
              <w:rPr>
                <w:i/>
                <w:vertAlign w:val="subscript"/>
              </w:rPr>
              <w:t>q, p</w:t>
            </w:r>
          </w:p>
        </w:tc>
        <w:tc>
          <w:tcPr>
            <w:tcW w:w="456" w:type="pct"/>
          </w:tcPr>
          <w:p w14:paraId="50298F4D" w14:textId="77777777" w:rsidR="001F04FD" w:rsidRPr="0013396E" w:rsidRDefault="001F04FD" w:rsidP="00AC4DEE">
            <w:pPr>
              <w:pStyle w:val="TableBody"/>
            </w:pPr>
            <w:r w:rsidRPr="0013396E">
              <w:t>MW</w:t>
            </w:r>
          </w:p>
        </w:tc>
        <w:tc>
          <w:tcPr>
            <w:tcW w:w="3672" w:type="pct"/>
          </w:tcPr>
          <w:p w14:paraId="656B6EF0" w14:textId="77777777" w:rsidR="001F04FD" w:rsidRPr="0013396E" w:rsidRDefault="001F04FD" w:rsidP="00AC4DEE">
            <w:pPr>
              <w:pStyle w:val="TableBody"/>
            </w:pPr>
            <w:r w:rsidRPr="0013396E">
              <w:rPr>
                <w:i/>
              </w:rPr>
              <w:t>Day-Ahead Energy Sale per QSE per Settlement Point</w:t>
            </w:r>
            <w:r w:rsidRPr="0013396E">
              <w:t xml:space="preserve">—The QSE </w:t>
            </w:r>
            <w:r w:rsidRPr="0013396E">
              <w:rPr>
                <w:i/>
              </w:rPr>
              <w:t>q</w:t>
            </w:r>
            <w:r w:rsidRPr="0013396E">
              <w:t xml:space="preserve">’s energy offers at Settlement Point </w:t>
            </w:r>
            <w:r w:rsidRPr="0013396E">
              <w:rPr>
                <w:i/>
              </w:rPr>
              <w:t>p</w:t>
            </w:r>
            <w:r w:rsidRPr="0013396E">
              <w:t xml:space="preserve"> cleared in the DAM, for the hour that includes the 15-minute Settlement Interval.</w:t>
            </w:r>
          </w:p>
        </w:tc>
      </w:tr>
      <w:tr w:rsidR="001F04FD" w:rsidRPr="0013396E" w14:paraId="777C3B70" w14:textId="77777777" w:rsidTr="00341E22">
        <w:tc>
          <w:tcPr>
            <w:tcW w:w="872" w:type="pct"/>
          </w:tcPr>
          <w:p w14:paraId="3FF476FB" w14:textId="77777777" w:rsidR="001F04FD" w:rsidRPr="0013396E" w:rsidRDefault="001F04FD" w:rsidP="00AC4DEE">
            <w:pPr>
              <w:pStyle w:val="TableBody"/>
            </w:pPr>
            <w:r w:rsidRPr="0013396E">
              <w:lastRenderedPageBreak/>
              <w:t xml:space="preserve">RTQQES </w:t>
            </w:r>
            <w:r w:rsidRPr="0013396E">
              <w:rPr>
                <w:i/>
                <w:vertAlign w:val="subscript"/>
              </w:rPr>
              <w:t>q, p</w:t>
            </w:r>
            <w:r w:rsidRPr="0013396E">
              <w:t xml:space="preserve"> </w:t>
            </w:r>
          </w:p>
        </w:tc>
        <w:tc>
          <w:tcPr>
            <w:tcW w:w="456" w:type="pct"/>
          </w:tcPr>
          <w:p w14:paraId="20854EF5" w14:textId="77777777" w:rsidR="001F04FD" w:rsidRPr="0013396E" w:rsidRDefault="001F04FD" w:rsidP="00AC4DEE">
            <w:pPr>
              <w:pStyle w:val="TableBody"/>
            </w:pPr>
            <w:r w:rsidRPr="0013396E">
              <w:t>MW</w:t>
            </w:r>
          </w:p>
        </w:tc>
        <w:tc>
          <w:tcPr>
            <w:tcW w:w="3672" w:type="pct"/>
          </w:tcPr>
          <w:p w14:paraId="3532C354" w14:textId="77777777" w:rsidR="001F04FD" w:rsidRPr="0013396E" w:rsidRDefault="001F04FD" w:rsidP="00AC4DEE">
            <w:pPr>
              <w:pStyle w:val="TableBody"/>
            </w:pPr>
            <w:r w:rsidRPr="0013396E">
              <w:rPr>
                <w:i/>
              </w:rPr>
              <w:t>Real-Time QSE-to-QSE Energy Sale per QSE per Settlement Point</w:t>
            </w:r>
            <w:r w:rsidRPr="0013396E">
              <w:sym w:font="Symbol" w:char="F0BE"/>
            </w:r>
            <w:r w:rsidRPr="0013396E">
              <w:t xml:space="preserve">The amount of MW sold by QSE </w:t>
            </w:r>
            <w:r w:rsidRPr="0013396E">
              <w:rPr>
                <w:i/>
              </w:rPr>
              <w:t>q</w:t>
            </w:r>
            <w:r w:rsidRPr="0013396E">
              <w:t xml:space="preserve"> through Energy Trades at Settlement Point </w:t>
            </w:r>
            <w:r w:rsidRPr="0013396E">
              <w:rPr>
                <w:i/>
              </w:rPr>
              <w:t>p</w:t>
            </w:r>
            <w:r w:rsidRPr="0013396E">
              <w:t>, for the 15-minute Settlement Interval.</w:t>
            </w:r>
          </w:p>
        </w:tc>
      </w:tr>
      <w:tr w:rsidR="001F04FD" w:rsidRPr="0013396E" w14:paraId="54BCE417" w14:textId="77777777" w:rsidTr="00341E22">
        <w:tc>
          <w:tcPr>
            <w:tcW w:w="872" w:type="pct"/>
          </w:tcPr>
          <w:p w14:paraId="7401344A" w14:textId="3269B0C6" w:rsidR="001F04FD" w:rsidRPr="0013396E" w:rsidRDefault="001F04FD" w:rsidP="00AC4DEE">
            <w:pPr>
              <w:pStyle w:val="TableBody"/>
            </w:pPr>
            <w:r w:rsidRPr="0013396E">
              <w:t>RTMG</w:t>
            </w:r>
            <w:r w:rsidR="00BE136C" w:rsidRPr="0013396E">
              <w:t>SOGZ</w:t>
            </w:r>
            <w:r w:rsidRPr="0013396E">
              <w:t xml:space="preserve"> </w:t>
            </w:r>
            <w:r w:rsidRPr="0013396E">
              <w:rPr>
                <w:i/>
                <w:vertAlign w:val="subscript"/>
              </w:rPr>
              <w:t>q, p</w:t>
            </w:r>
          </w:p>
        </w:tc>
        <w:tc>
          <w:tcPr>
            <w:tcW w:w="456" w:type="pct"/>
          </w:tcPr>
          <w:p w14:paraId="6D3FFDC8" w14:textId="77777777" w:rsidR="001F04FD" w:rsidRPr="0013396E" w:rsidRDefault="001F04FD" w:rsidP="00AC4DEE">
            <w:pPr>
              <w:pStyle w:val="TableBody"/>
            </w:pPr>
            <w:r w:rsidRPr="0013396E">
              <w:t>MWh</w:t>
            </w:r>
          </w:p>
        </w:tc>
        <w:tc>
          <w:tcPr>
            <w:tcW w:w="3672" w:type="pct"/>
          </w:tcPr>
          <w:p w14:paraId="1EC3B329" w14:textId="516B7BFD" w:rsidR="001F04FD" w:rsidRPr="0013396E" w:rsidRDefault="001F04FD" w:rsidP="00CE3A65">
            <w:pPr>
              <w:pStyle w:val="TableBody"/>
              <w:rPr>
                <w:i/>
              </w:rPr>
            </w:pPr>
            <w:r w:rsidRPr="0013396E">
              <w:rPr>
                <w:i/>
              </w:rPr>
              <w:t xml:space="preserve">Real-Time Metered Generation from </w:t>
            </w:r>
            <w:r w:rsidR="00844FE5" w:rsidRPr="0013396E">
              <w:rPr>
                <w:i/>
              </w:rPr>
              <w:t>Settlement Only</w:t>
            </w:r>
            <w:r w:rsidRPr="0013396E">
              <w:rPr>
                <w:i/>
              </w:rPr>
              <w:t xml:space="preserve"> </w:t>
            </w:r>
            <w:r w:rsidR="00844FE5" w:rsidRPr="0013396E">
              <w:rPr>
                <w:i/>
              </w:rPr>
              <w:t>G</w:t>
            </w:r>
            <w:r w:rsidRPr="0013396E">
              <w:rPr>
                <w:i/>
              </w:rPr>
              <w:t xml:space="preserve">enerators </w:t>
            </w:r>
            <w:r w:rsidR="00BE136C" w:rsidRPr="0013396E">
              <w:rPr>
                <w:i/>
              </w:rPr>
              <w:t xml:space="preserve">Zonal </w:t>
            </w:r>
            <w:r w:rsidRPr="0013396E">
              <w:rPr>
                <w:i/>
              </w:rPr>
              <w:t>per QSE per Settlement Point</w:t>
            </w:r>
            <w:r w:rsidRPr="0013396E">
              <w:t xml:space="preserve">—The total Real-Time energy produced by </w:t>
            </w:r>
            <w:r w:rsidR="00844FE5" w:rsidRPr="0013396E">
              <w:t>SO</w:t>
            </w:r>
            <w:r w:rsidR="00BE136C" w:rsidRPr="0013396E">
              <w:t>TS</w:t>
            </w:r>
            <w:r w:rsidR="00844FE5" w:rsidRPr="0013396E">
              <w:t>Gs</w:t>
            </w:r>
            <w:r w:rsidRPr="0013396E">
              <w:t xml:space="preserve"> represented by QSE </w:t>
            </w:r>
            <w:r w:rsidRPr="0013396E">
              <w:rPr>
                <w:i/>
              </w:rPr>
              <w:t>q</w:t>
            </w:r>
            <w:r w:rsidRPr="0013396E">
              <w:t xml:space="preserve"> in Load Zone Settlement Point </w:t>
            </w:r>
            <w:r w:rsidRPr="0013396E">
              <w:rPr>
                <w:i/>
              </w:rPr>
              <w:t>p</w:t>
            </w:r>
            <w:r w:rsidRPr="0013396E">
              <w:t>, for the 15-minute Settlement Interval.</w:t>
            </w:r>
            <w:r w:rsidR="00BE136C" w:rsidRPr="0013396E">
              <w:rPr>
                <w:iCs w:val="0"/>
              </w:rPr>
              <w:t xml:space="preserve">  </w:t>
            </w:r>
            <w:r w:rsidR="00BE136C" w:rsidRPr="0013396E">
              <w:t xml:space="preserve">MWh quantities for ESS SODGs and SOTGs at sites where the ESS capacity constitutes more than 50% of the total SOG nameplate capacity will be included in this value.  </w:t>
            </w:r>
            <w:r w:rsidR="00BE136C" w:rsidRPr="0013396E">
              <w:rPr>
                <w:iCs w:val="0"/>
              </w:rPr>
              <w:t>MWh quantities for SODGs and SOTGs that have opted out of nodal pricing pursuant to Section 6.6.3.</w:t>
            </w:r>
            <w:r w:rsidR="0076227F" w:rsidRPr="0013396E">
              <w:rPr>
                <w:iCs w:val="0"/>
              </w:rPr>
              <w:t>8</w:t>
            </w:r>
            <w:r w:rsidR="00CE3A65" w:rsidRPr="0013396E">
              <w:rPr>
                <w:iCs w:val="0"/>
              </w:rPr>
              <w:t xml:space="preserve"> </w:t>
            </w:r>
            <w:r w:rsidR="00BE136C" w:rsidRPr="0013396E">
              <w:rPr>
                <w:iCs w:val="0"/>
              </w:rPr>
              <w:t>will also be included in this value.</w:t>
            </w:r>
          </w:p>
        </w:tc>
      </w:tr>
      <w:tr w:rsidR="001F04FD" w:rsidRPr="0013396E" w14:paraId="1C4A2773" w14:textId="77777777" w:rsidTr="00341E22">
        <w:tc>
          <w:tcPr>
            <w:tcW w:w="872" w:type="pct"/>
          </w:tcPr>
          <w:p w14:paraId="5F48D79E" w14:textId="77777777" w:rsidR="001F04FD" w:rsidRPr="0013396E" w:rsidRDefault="001F04FD" w:rsidP="00AC4DEE">
            <w:pPr>
              <w:pStyle w:val="TableBody"/>
              <w:rPr>
                <w:i/>
              </w:rPr>
            </w:pPr>
            <w:r w:rsidRPr="0013396E">
              <w:rPr>
                <w:i/>
              </w:rPr>
              <w:t>q</w:t>
            </w:r>
          </w:p>
        </w:tc>
        <w:tc>
          <w:tcPr>
            <w:tcW w:w="456" w:type="pct"/>
          </w:tcPr>
          <w:p w14:paraId="0884AC0F" w14:textId="77777777" w:rsidR="001F04FD" w:rsidRPr="0013396E" w:rsidRDefault="001F04FD" w:rsidP="00AC4DEE">
            <w:pPr>
              <w:pStyle w:val="TableBody"/>
            </w:pPr>
            <w:r w:rsidRPr="0013396E">
              <w:t>none</w:t>
            </w:r>
          </w:p>
        </w:tc>
        <w:tc>
          <w:tcPr>
            <w:tcW w:w="3672" w:type="pct"/>
          </w:tcPr>
          <w:p w14:paraId="64C95EE3" w14:textId="77777777" w:rsidR="001F04FD" w:rsidRPr="0013396E" w:rsidRDefault="001F04FD" w:rsidP="00AC4DEE">
            <w:pPr>
              <w:pStyle w:val="TableBody"/>
            </w:pPr>
            <w:r w:rsidRPr="0013396E">
              <w:t>A QSE.</w:t>
            </w:r>
          </w:p>
        </w:tc>
      </w:tr>
      <w:tr w:rsidR="001F04FD" w:rsidRPr="0013396E" w14:paraId="25E7C483" w14:textId="77777777" w:rsidTr="00341E22">
        <w:tc>
          <w:tcPr>
            <w:tcW w:w="872" w:type="pct"/>
          </w:tcPr>
          <w:p w14:paraId="63D8195A" w14:textId="77777777" w:rsidR="001F04FD" w:rsidRPr="0013396E" w:rsidRDefault="001F04FD" w:rsidP="00AC4DEE">
            <w:pPr>
              <w:pStyle w:val="TableBody"/>
              <w:rPr>
                <w:i/>
              </w:rPr>
            </w:pPr>
            <w:r w:rsidRPr="0013396E">
              <w:rPr>
                <w:i/>
              </w:rPr>
              <w:t>p</w:t>
            </w:r>
          </w:p>
        </w:tc>
        <w:tc>
          <w:tcPr>
            <w:tcW w:w="456" w:type="pct"/>
          </w:tcPr>
          <w:p w14:paraId="745182D6" w14:textId="77777777" w:rsidR="001F04FD" w:rsidRPr="0013396E" w:rsidRDefault="001F04FD" w:rsidP="00AC4DEE">
            <w:pPr>
              <w:pStyle w:val="TableBody"/>
            </w:pPr>
            <w:r w:rsidRPr="0013396E">
              <w:t>none</w:t>
            </w:r>
          </w:p>
        </w:tc>
        <w:tc>
          <w:tcPr>
            <w:tcW w:w="3672" w:type="pct"/>
          </w:tcPr>
          <w:p w14:paraId="76153038" w14:textId="77777777" w:rsidR="001F04FD" w:rsidRPr="0013396E" w:rsidRDefault="001F04FD" w:rsidP="00AC4DEE">
            <w:pPr>
              <w:pStyle w:val="TableBody"/>
            </w:pPr>
            <w:r w:rsidRPr="0013396E">
              <w:t>A Load Zone Settlement Point.</w:t>
            </w:r>
          </w:p>
        </w:tc>
      </w:tr>
    </w:tbl>
    <w:p w14:paraId="476AAC48" w14:textId="77777777" w:rsidR="001F04FD" w:rsidRPr="0013396E" w:rsidRDefault="001F04FD" w:rsidP="001F04FD">
      <w:pPr>
        <w:pStyle w:val="BodyTextNumbered"/>
        <w:spacing w:before="240"/>
      </w:pPr>
      <w:r w:rsidRPr="0013396E">
        <w:t>(3)</w:t>
      </w:r>
      <w:r w:rsidRPr="0013396E">
        <w:tab/>
        <w:t>The total net payments and charges to each QSE for Energy Imbalance Service at all Load Zones for the 15-minute Settlement Interval is calculated as follows:</w:t>
      </w:r>
    </w:p>
    <w:p w14:paraId="62602610" w14:textId="77777777" w:rsidR="001F04FD" w:rsidRPr="0013396E" w:rsidRDefault="001F04FD" w:rsidP="001F04FD">
      <w:pPr>
        <w:pStyle w:val="FormulaBold"/>
      </w:pPr>
      <w:r w:rsidRPr="0013396E">
        <w:t xml:space="preserve">RTEIAMTQSETOT </w:t>
      </w:r>
      <w:r w:rsidRPr="0013396E">
        <w:rPr>
          <w:i/>
          <w:vertAlign w:val="subscript"/>
        </w:rPr>
        <w:t>q</w:t>
      </w:r>
      <w:r w:rsidRPr="0013396E">
        <w:tab/>
        <w:t>=</w:t>
      </w:r>
      <w:r w:rsidRPr="0013396E">
        <w:tab/>
      </w:r>
      <w:r w:rsidRPr="0013396E">
        <w:rPr>
          <w:position w:val="-22"/>
        </w:rPr>
        <w:object w:dxaOrig="225" w:dyaOrig="465" w14:anchorId="0528E05A">
          <v:shape id="_x0000_i1123" type="#_x0000_t75" style="width:12pt;height:18.6pt" o:ole="">
            <v:imagedata r:id="rId140" o:title=""/>
          </v:shape>
          <o:OLEObject Type="Embed" ProgID="Equation.3" ShapeID="_x0000_i1123" DrawAspect="Content" ObjectID="_1836311402" r:id="rId142"/>
        </w:object>
      </w:r>
      <w:r w:rsidRPr="0013396E">
        <w:t xml:space="preserve">RTEIAMT </w:t>
      </w:r>
      <w:r w:rsidRPr="0013396E">
        <w:rPr>
          <w:i/>
          <w:vertAlign w:val="subscript"/>
        </w:rPr>
        <w:t>q, p</w:t>
      </w:r>
    </w:p>
    <w:p w14:paraId="1DA120D6" w14:textId="77777777" w:rsidR="001F04FD" w:rsidRPr="0013396E" w:rsidRDefault="001F04FD" w:rsidP="001F04FD">
      <w:r w:rsidRPr="0013396E">
        <w:t>The above variables are defined as follows:</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5"/>
        <w:gridCol w:w="832"/>
        <w:gridCol w:w="6358"/>
      </w:tblGrid>
      <w:tr w:rsidR="001F04FD" w:rsidRPr="0013396E" w14:paraId="6E86037F" w14:textId="77777777" w:rsidTr="002401F7">
        <w:tc>
          <w:tcPr>
            <w:tcW w:w="2165" w:type="dxa"/>
          </w:tcPr>
          <w:p w14:paraId="4975703B" w14:textId="77777777" w:rsidR="001F04FD" w:rsidRPr="0013396E" w:rsidRDefault="001F04FD" w:rsidP="00AC4DEE">
            <w:pPr>
              <w:pStyle w:val="TableHead"/>
            </w:pPr>
            <w:r w:rsidRPr="0013396E">
              <w:t>Variable</w:t>
            </w:r>
          </w:p>
        </w:tc>
        <w:tc>
          <w:tcPr>
            <w:tcW w:w="832" w:type="dxa"/>
          </w:tcPr>
          <w:p w14:paraId="395F7401" w14:textId="77777777" w:rsidR="001F04FD" w:rsidRPr="0013396E" w:rsidRDefault="001F04FD" w:rsidP="00AC4DEE">
            <w:pPr>
              <w:pStyle w:val="TableHead"/>
            </w:pPr>
            <w:r w:rsidRPr="0013396E">
              <w:t>Unit</w:t>
            </w:r>
          </w:p>
        </w:tc>
        <w:tc>
          <w:tcPr>
            <w:tcW w:w="6358" w:type="dxa"/>
          </w:tcPr>
          <w:p w14:paraId="1DF22BC6" w14:textId="77777777" w:rsidR="001F04FD" w:rsidRPr="0013396E" w:rsidRDefault="001F04FD" w:rsidP="00AC4DEE">
            <w:pPr>
              <w:pStyle w:val="TableHead"/>
            </w:pPr>
            <w:r w:rsidRPr="0013396E">
              <w:t>Definition</w:t>
            </w:r>
          </w:p>
        </w:tc>
      </w:tr>
      <w:tr w:rsidR="001F04FD" w:rsidRPr="0013396E" w14:paraId="255AE27B" w14:textId="77777777" w:rsidTr="002401F7">
        <w:tc>
          <w:tcPr>
            <w:tcW w:w="2165" w:type="dxa"/>
          </w:tcPr>
          <w:p w14:paraId="264124A9" w14:textId="77777777" w:rsidR="001F04FD" w:rsidRPr="0013396E" w:rsidRDefault="001F04FD" w:rsidP="00AC4DEE">
            <w:pPr>
              <w:pStyle w:val="TableBody"/>
            </w:pPr>
            <w:r w:rsidRPr="0013396E">
              <w:t xml:space="preserve">RTEIAMTQSETOT </w:t>
            </w:r>
            <w:r w:rsidRPr="0013396E">
              <w:rPr>
                <w:i/>
                <w:vertAlign w:val="subscript"/>
              </w:rPr>
              <w:t>q</w:t>
            </w:r>
          </w:p>
        </w:tc>
        <w:tc>
          <w:tcPr>
            <w:tcW w:w="832" w:type="dxa"/>
          </w:tcPr>
          <w:p w14:paraId="2C28353F" w14:textId="77777777" w:rsidR="001F04FD" w:rsidRPr="0013396E" w:rsidRDefault="001F04FD" w:rsidP="00AC4DEE">
            <w:pPr>
              <w:pStyle w:val="TableBody"/>
            </w:pPr>
            <w:r w:rsidRPr="0013396E">
              <w:t>$</w:t>
            </w:r>
          </w:p>
        </w:tc>
        <w:tc>
          <w:tcPr>
            <w:tcW w:w="6358" w:type="dxa"/>
          </w:tcPr>
          <w:p w14:paraId="1D8F812A" w14:textId="77777777" w:rsidR="001F04FD" w:rsidRPr="0013396E" w:rsidRDefault="001F04FD" w:rsidP="00AC4DEE">
            <w:pPr>
              <w:pStyle w:val="TableBody"/>
            </w:pPr>
            <w:r w:rsidRPr="0013396E">
              <w:rPr>
                <w:i/>
              </w:rPr>
              <w:t>Real-Time Energy Imbalance Amount QSE Total per QSE</w:t>
            </w:r>
            <w:r w:rsidRPr="0013396E">
              <w:sym w:font="Symbol" w:char="F0BE"/>
            </w:r>
            <w:r w:rsidRPr="0013396E">
              <w:t xml:space="preserve">The total net payments and charges to QSE </w:t>
            </w:r>
            <w:r w:rsidRPr="0013396E">
              <w:rPr>
                <w:i/>
              </w:rPr>
              <w:t>q</w:t>
            </w:r>
            <w:r w:rsidRPr="0013396E">
              <w:t xml:space="preserve"> for Real-Time Energy Imbalance Service at all Load Zone Settlement Points for the 15-minute Settlement Interval.</w:t>
            </w:r>
          </w:p>
        </w:tc>
      </w:tr>
      <w:tr w:rsidR="001F04FD" w:rsidRPr="0013396E" w14:paraId="77F60E64" w14:textId="77777777" w:rsidTr="002401F7">
        <w:tc>
          <w:tcPr>
            <w:tcW w:w="2165" w:type="dxa"/>
          </w:tcPr>
          <w:p w14:paraId="2AAF4155" w14:textId="77777777" w:rsidR="001F04FD" w:rsidRPr="0013396E" w:rsidRDefault="001F04FD" w:rsidP="00AC4DEE">
            <w:pPr>
              <w:pStyle w:val="TableBody"/>
            </w:pPr>
            <w:r w:rsidRPr="0013396E">
              <w:t xml:space="preserve">RTEIAMT </w:t>
            </w:r>
            <w:r w:rsidRPr="0013396E">
              <w:rPr>
                <w:i/>
                <w:vertAlign w:val="subscript"/>
              </w:rPr>
              <w:t>q, p</w:t>
            </w:r>
          </w:p>
        </w:tc>
        <w:tc>
          <w:tcPr>
            <w:tcW w:w="832" w:type="dxa"/>
          </w:tcPr>
          <w:p w14:paraId="206A19A5" w14:textId="77777777" w:rsidR="001F04FD" w:rsidRPr="0013396E" w:rsidRDefault="001F04FD" w:rsidP="00AC4DEE">
            <w:pPr>
              <w:pStyle w:val="TableBody"/>
            </w:pPr>
            <w:r w:rsidRPr="0013396E">
              <w:t>$</w:t>
            </w:r>
          </w:p>
        </w:tc>
        <w:tc>
          <w:tcPr>
            <w:tcW w:w="6358" w:type="dxa"/>
          </w:tcPr>
          <w:p w14:paraId="21669886" w14:textId="77777777" w:rsidR="001F04FD" w:rsidRPr="0013396E" w:rsidRDefault="001F04FD" w:rsidP="00AC4DEE">
            <w:pPr>
              <w:pStyle w:val="TableBody"/>
            </w:pPr>
            <w:r w:rsidRPr="0013396E">
              <w:rPr>
                <w:i/>
              </w:rPr>
              <w:t>Real-Time Energy Imbalance Amount per QSE per Settlement Point</w:t>
            </w:r>
            <w:r w:rsidRPr="0013396E">
              <w:t xml:space="preserve">—The charge to QSE </w:t>
            </w:r>
            <w:r w:rsidRPr="0013396E">
              <w:rPr>
                <w:i/>
              </w:rPr>
              <w:t>q</w:t>
            </w:r>
            <w:r w:rsidRPr="0013396E">
              <w:t xml:space="preserve"> for Real-Time Energy Imbalance Service at Settlement Point </w:t>
            </w:r>
            <w:r w:rsidRPr="0013396E">
              <w:rPr>
                <w:i/>
              </w:rPr>
              <w:t>p</w:t>
            </w:r>
            <w:r w:rsidRPr="0013396E">
              <w:t>, for the 15-minute Settlement Interval.</w:t>
            </w:r>
          </w:p>
        </w:tc>
      </w:tr>
      <w:tr w:rsidR="001F04FD" w:rsidRPr="0013396E" w14:paraId="4E9A5F76" w14:textId="77777777" w:rsidTr="002401F7">
        <w:tc>
          <w:tcPr>
            <w:tcW w:w="2165" w:type="dxa"/>
            <w:tcBorders>
              <w:top w:val="single" w:sz="4" w:space="0" w:color="auto"/>
              <w:left w:val="single" w:sz="4" w:space="0" w:color="auto"/>
              <w:bottom w:val="single" w:sz="4" w:space="0" w:color="auto"/>
              <w:right w:val="single" w:sz="4" w:space="0" w:color="auto"/>
            </w:tcBorders>
          </w:tcPr>
          <w:p w14:paraId="3592F7A2" w14:textId="77777777" w:rsidR="001F04FD" w:rsidRPr="0013396E" w:rsidRDefault="001F04FD" w:rsidP="00AC4DEE">
            <w:pPr>
              <w:pStyle w:val="TableBody"/>
              <w:rPr>
                <w:i/>
              </w:rPr>
            </w:pPr>
            <w:r w:rsidRPr="0013396E">
              <w:rPr>
                <w:i/>
              </w:rPr>
              <w:t>q</w:t>
            </w:r>
          </w:p>
        </w:tc>
        <w:tc>
          <w:tcPr>
            <w:tcW w:w="832" w:type="dxa"/>
            <w:tcBorders>
              <w:top w:val="single" w:sz="4" w:space="0" w:color="auto"/>
              <w:left w:val="single" w:sz="4" w:space="0" w:color="auto"/>
              <w:bottom w:val="single" w:sz="4" w:space="0" w:color="auto"/>
              <w:right w:val="single" w:sz="4" w:space="0" w:color="auto"/>
            </w:tcBorders>
          </w:tcPr>
          <w:p w14:paraId="6232CB81" w14:textId="77777777" w:rsidR="001F04FD" w:rsidRPr="0013396E" w:rsidRDefault="001F04FD" w:rsidP="00AC4DEE">
            <w:pPr>
              <w:pStyle w:val="TableBody"/>
            </w:pPr>
            <w:r w:rsidRPr="0013396E">
              <w:t>none</w:t>
            </w:r>
          </w:p>
        </w:tc>
        <w:tc>
          <w:tcPr>
            <w:tcW w:w="6358" w:type="dxa"/>
            <w:tcBorders>
              <w:top w:val="single" w:sz="4" w:space="0" w:color="auto"/>
              <w:left w:val="single" w:sz="4" w:space="0" w:color="auto"/>
              <w:bottom w:val="single" w:sz="4" w:space="0" w:color="auto"/>
              <w:right w:val="single" w:sz="4" w:space="0" w:color="auto"/>
            </w:tcBorders>
          </w:tcPr>
          <w:p w14:paraId="51B602E8" w14:textId="77777777" w:rsidR="001F04FD" w:rsidRPr="0013396E" w:rsidRDefault="001F04FD" w:rsidP="00AC4DEE">
            <w:pPr>
              <w:pStyle w:val="TableBody"/>
            </w:pPr>
            <w:r w:rsidRPr="0013396E">
              <w:t>A QSE.</w:t>
            </w:r>
          </w:p>
        </w:tc>
      </w:tr>
      <w:tr w:rsidR="001F04FD" w:rsidRPr="0013396E" w14:paraId="6ABD2B2A" w14:textId="77777777" w:rsidTr="002401F7">
        <w:tc>
          <w:tcPr>
            <w:tcW w:w="2165" w:type="dxa"/>
            <w:tcBorders>
              <w:top w:val="single" w:sz="4" w:space="0" w:color="auto"/>
              <w:left w:val="single" w:sz="4" w:space="0" w:color="auto"/>
              <w:bottom w:val="single" w:sz="4" w:space="0" w:color="auto"/>
              <w:right w:val="single" w:sz="4" w:space="0" w:color="auto"/>
            </w:tcBorders>
          </w:tcPr>
          <w:p w14:paraId="134D2243" w14:textId="77777777" w:rsidR="001F04FD" w:rsidRPr="0013396E" w:rsidRDefault="001F04FD" w:rsidP="00AC4DEE">
            <w:pPr>
              <w:pStyle w:val="TableBody"/>
              <w:rPr>
                <w:i/>
              </w:rPr>
            </w:pPr>
            <w:r w:rsidRPr="0013396E">
              <w:rPr>
                <w:i/>
              </w:rPr>
              <w:t>p</w:t>
            </w:r>
          </w:p>
        </w:tc>
        <w:tc>
          <w:tcPr>
            <w:tcW w:w="832" w:type="dxa"/>
            <w:tcBorders>
              <w:top w:val="single" w:sz="4" w:space="0" w:color="auto"/>
              <w:left w:val="single" w:sz="4" w:space="0" w:color="auto"/>
              <w:bottom w:val="single" w:sz="4" w:space="0" w:color="auto"/>
              <w:right w:val="single" w:sz="4" w:space="0" w:color="auto"/>
            </w:tcBorders>
          </w:tcPr>
          <w:p w14:paraId="11282980" w14:textId="77777777" w:rsidR="001F04FD" w:rsidRPr="0013396E" w:rsidRDefault="001F04FD" w:rsidP="00AC4DEE">
            <w:pPr>
              <w:pStyle w:val="TableBody"/>
            </w:pPr>
            <w:r w:rsidRPr="0013396E">
              <w:t>none</w:t>
            </w:r>
          </w:p>
        </w:tc>
        <w:tc>
          <w:tcPr>
            <w:tcW w:w="6358" w:type="dxa"/>
            <w:tcBorders>
              <w:top w:val="single" w:sz="4" w:space="0" w:color="auto"/>
              <w:left w:val="single" w:sz="4" w:space="0" w:color="auto"/>
              <w:bottom w:val="single" w:sz="4" w:space="0" w:color="auto"/>
              <w:right w:val="single" w:sz="4" w:space="0" w:color="auto"/>
            </w:tcBorders>
          </w:tcPr>
          <w:p w14:paraId="4CCCE014" w14:textId="77777777" w:rsidR="001F04FD" w:rsidRPr="0013396E" w:rsidRDefault="001F04FD" w:rsidP="00AC4DEE">
            <w:pPr>
              <w:pStyle w:val="TableBody"/>
            </w:pPr>
            <w:r w:rsidRPr="0013396E">
              <w:t>A Load Zone Settlement Point.</w:t>
            </w:r>
          </w:p>
        </w:tc>
      </w:tr>
    </w:tbl>
    <w:p w14:paraId="762DEA88" w14:textId="77777777" w:rsidR="001F04FD" w:rsidRPr="0013396E" w:rsidRDefault="001F04FD" w:rsidP="001F04FD">
      <w:pPr>
        <w:pStyle w:val="H4"/>
        <w:spacing w:before="480"/>
        <w:ind w:left="1267" w:hanging="1267"/>
      </w:pPr>
      <w:bookmarkStart w:id="1589" w:name="_Toc118199817"/>
      <w:bookmarkStart w:id="1590" w:name="_Toc118200329"/>
      <w:bookmarkStart w:id="1591" w:name="_Toc118908572"/>
      <w:bookmarkStart w:id="1592" w:name="_Toc119180743"/>
      <w:bookmarkStart w:id="1593" w:name="_Toc397505015"/>
      <w:bookmarkStart w:id="1594" w:name="_Toc402357143"/>
      <w:bookmarkStart w:id="1595" w:name="_Toc422486521"/>
      <w:bookmarkStart w:id="1596" w:name="_Toc433093373"/>
      <w:bookmarkStart w:id="1597" w:name="_Toc433093531"/>
      <w:bookmarkStart w:id="1598" w:name="_Toc440874759"/>
      <w:bookmarkStart w:id="1599" w:name="_Toc448142314"/>
      <w:bookmarkStart w:id="1600" w:name="_Toc448142471"/>
      <w:bookmarkStart w:id="1601" w:name="_Toc458770312"/>
      <w:bookmarkStart w:id="1602" w:name="_Toc459294280"/>
      <w:bookmarkStart w:id="1603" w:name="_Toc463262773"/>
      <w:bookmarkStart w:id="1604" w:name="_Toc468286846"/>
      <w:bookmarkStart w:id="1605" w:name="_Toc481502889"/>
      <w:bookmarkStart w:id="1606" w:name="_Toc496080057"/>
      <w:bookmarkStart w:id="1607" w:name="_Toc214878967"/>
      <w:r w:rsidRPr="0013396E">
        <w:t>6.6.3.3</w:t>
      </w:r>
      <w:r w:rsidRPr="0013396E">
        <w:tab/>
        <w:t>Real-Time Energy Imbalance Payment or Charge at a Hub</w:t>
      </w:r>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p>
    <w:p w14:paraId="5A8B6269" w14:textId="77777777" w:rsidR="001F04FD" w:rsidRPr="0013396E" w:rsidRDefault="001F04FD" w:rsidP="001F04FD">
      <w:pPr>
        <w:pStyle w:val="BodyTextNumbered"/>
      </w:pPr>
      <w:r w:rsidRPr="0013396E">
        <w:t>(1)</w:t>
      </w:r>
      <w:r w:rsidRPr="0013396E">
        <w:tab/>
        <w:t xml:space="preserve">The payment or charge to each QSE for Energy Imbalance Service is calculated based on the Real-Time Settlement Point Price for the following amounts at a particular Hub Settlement Point: </w:t>
      </w:r>
    </w:p>
    <w:p w14:paraId="304B2B7D" w14:textId="77777777" w:rsidR="001F04FD" w:rsidRPr="0013396E" w:rsidRDefault="001F04FD" w:rsidP="001F04FD">
      <w:pPr>
        <w:pStyle w:val="BodyTextNumbered"/>
        <w:ind w:left="1440"/>
      </w:pPr>
      <w:r w:rsidRPr="0013396E">
        <w:t>(a)</w:t>
      </w:r>
      <w:r w:rsidRPr="0013396E">
        <w:tab/>
        <w:t xml:space="preserve">The amount of its Self-Schedules with sink specified at the Settlement Point; plus </w:t>
      </w:r>
    </w:p>
    <w:p w14:paraId="4ED02FFA" w14:textId="77777777" w:rsidR="001F04FD" w:rsidRPr="0013396E" w:rsidRDefault="001F04FD" w:rsidP="001F04FD">
      <w:pPr>
        <w:pStyle w:val="BodyTextNumbered"/>
        <w:ind w:left="1440"/>
      </w:pPr>
      <w:r w:rsidRPr="0013396E">
        <w:t>(b)</w:t>
      </w:r>
      <w:r w:rsidRPr="0013396E">
        <w:tab/>
        <w:t xml:space="preserve">The amount of its DAM Energy Bids cleared in the DAM at the Settlement Point; plus </w:t>
      </w:r>
    </w:p>
    <w:p w14:paraId="23CD744C" w14:textId="77777777" w:rsidR="001F04FD" w:rsidRPr="0013396E" w:rsidRDefault="001F04FD" w:rsidP="001F04FD">
      <w:pPr>
        <w:pStyle w:val="BodyTextNumbered"/>
        <w:ind w:left="1440"/>
      </w:pPr>
      <w:r w:rsidRPr="0013396E">
        <w:t>(c)</w:t>
      </w:r>
      <w:r w:rsidRPr="0013396E">
        <w:tab/>
        <w:t xml:space="preserve">The amount of its Energy Trades at the Settlement Point where the QSE is the buyer; minus </w:t>
      </w:r>
    </w:p>
    <w:p w14:paraId="1BF33F5C" w14:textId="77777777" w:rsidR="001F04FD" w:rsidRPr="0013396E" w:rsidRDefault="001F04FD" w:rsidP="001F04FD">
      <w:pPr>
        <w:pStyle w:val="BodyTextNumbered"/>
        <w:ind w:left="1440"/>
      </w:pPr>
      <w:r w:rsidRPr="0013396E">
        <w:t>(d)</w:t>
      </w:r>
      <w:r w:rsidRPr="0013396E">
        <w:tab/>
        <w:t xml:space="preserve">The amount of its Self-Schedules with source specified at the Settlement Point; minus </w:t>
      </w:r>
    </w:p>
    <w:p w14:paraId="5DD2654A" w14:textId="77777777" w:rsidR="001F04FD" w:rsidRPr="0013396E" w:rsidRDefault="001F04FD" w:rsidP="001F04FD">
      <w:pPr>
        <w:pStyle w:val="BodyTextNumbered"/>
        <w:ind w:left="1440"/>
      </w:pPr>
      <w:r w:rsidRPr="0013396E">
        <w:lastRenderedPageBreak/>
        <w:t>(e)</w:t>
      </w:r>
      <w:r w:rsidRPr="0013396E">
        <w:tab/>
        <w:t xml:space="preserve">The amount of its energy offers cleared in the DAM at the Settlement Point; minus </w:t>
      </w:r>
    </w:p>
    <w:p w14:paraId="6B84C2EA" w14:textId="77777777" w:rsidR="001F04FD" w:rsidRPr="0013396E" w:rsidRDefault="001F04FD" w:rsidP="001F04FD">
      <w:pPr>
        <w:pStyle w:val="BodyTextNumbered"/>
        <w:ind w:left="1440"/>
      </w:pPr>
      <w:r w:rsidRPr="0013396E">
        <w:t>(f)</w:t>
      </w:r>
      <w:r w:rsidRPr="0013396E">
        <w:tab/>
        <w:t xml:space="preserve">The amount of its Energy Trades at the Settlement Point where the QSE is the seller. </w:t>
      </w:r>
    </w:p>
    <w:p w14:paraId="5F366E96" w14:textId="77777777" w:rsidR="001F04FD" w:rsidRPr="0013396E" w:rsidRDefault="001F04FD" w:rsidP="001F04FD">
      <w:pPr>
        <w:pStyle w:val="BodyTextNumbered"/>
        <w:rPr>
          <w:iCs/>
        </w:rPr>
      </w:pPr>
      <w:r w:rsidRPr="0013396E">
        <w:rPr>
          <w:iCs/>
        </w:rPr>
        <w:t>(2)</w:t>
      </w:r>
      <w:r w:rsidRPr="0013396E">
        <w:rPr>
          <w:iCs/>
        </w:rPr>
        <w:tab/>
        <w:t>The payment or charge to each QSE for Energy Imbalance Service at a Hub for a given 15-minute Settlement Interval is calculated as follows:</w:t>
      </w:r>
    </w:p>
    <w:p w14:paraId="463D59C4" w14:textId="77777777" w:rsidR="001F04FD" w:rsidRPr="0013396E" w:rsidRDefault="001F04FD" w:rsidP="001F04FD">
      <w:pPr>
        <w:pStyle w:val="FormulaBold"/>
        <w:ind w:left="3240" w:hanging="2520"/>
        <w:rPr>
          <w:sz w:val="32"/>
        </w:rPr>
      </w:pPr>
      <w:r w:rsidRPr="0013396E">
        <w:t xml:space="preserve">RTEIAMT </w:t>
      </w:r>
      <w:r w:rsidRPr="0013396E">
        <w:rPr>
          <w:i/>
          <w:vertAlign w:val="subscript"/>
        </w:rPr>
        <w:t>q, p</w:t>
      </w:r>
      <w:r w:rsidRPr="0013396E">
        <w:tab/>
        <w:t>=</w:t>
      </w:r>
      <w:r w:rsidRPr="0013396E">
        <w:tab/>
        <w:t xml:space="preserve">(-1) * RTSPP </w:t>
      </w:r>
      <w:r w:rsidRPr="0013396E">
        <w:rPr>
          <w:i/>
          <w:vertAlign w:val="subscript"/>
        </w:rPr>
        <w:t>p</w:t>
      </w:r>
      <w:r w:rsidRPr="0013396E">
        <w:t xml:space="preserve"> * </w:t>
      </w:r>
      <w:r w:rsidRPr="0013396E">
        <w:rPr>
          <w:sz w:val="32"/>
        </w:rPr>
        <w:t>{</w:t>
      </w:r>
      <w:r w:rsidRPr="0013396E">
        <w:t xml:space="preserve">(SSSK </w:t>
      </w:r>
      <w:r w:rsidRPr="0013396E">
        <w:rPr>
          <w:i/>
          <w:vertAlign w:val="subscript"/>
        </w:rPr>
        <w:t>q, p</w:t>
      </w:r>
      <w:r w:rsidRPr="0013396E">
        <w:t xml:space="preserve"> * ¼) + (DAEP </w:t>
      </w:r>
      <w:r w:rsidRPr="0013396E">
        <w:rPr>
          <w:i/>
          <w:vertAlign w:val="subscript"/>
        </w:rPr>
        <w:t>q, p</w:t>
      </w:r>
      <w:r w:rsidRPr="0013396E">
        <w:t xml:space="preserve"> * ¼) + (RTQQEP </w:t>
      </w:r>
      <w:r w:rsidRPr="0013396E">
        <w:rPr>
          <w:i/>
          <w:vertAlign w:val="subscript"/>
        </w:rPr>
        <w:t>q, p</w:t>
      </w:r>
      <w:r w:rsidRPr="0013396E">
        <w:t xml:space="preserve"> * ¼) – (SSSR </w:t>
      </w:r>
      <w:r w:rsidRPr="0013396E">
        <w:rPr>
          <w:i/>
          <w:vertAlign w:val="subscript"/>
        </w:rPr>
        <w:t>q, p</w:t>
      </w:r>
      <w:r w:rsidRPr="0013396E">
        <w:t xml:space="preserve"> * ¼) – (DAES </w:t>
      </w:r>
      <w:r w:rsidRPr="0013396E">
        <w:rPr>
          <w:i/>
          <w:vertAlign w:val="subscript"/>
        </w:rPr>
        <w:t>q, p</w:t>
      </w:r>
      <w:r w:rsidRPr="0013396E">
        <w:t xml:space="preserve"> * ¼) – (RTQQES </w:t>
      </w:r>
      <w:r w:rsidRPr="0013396E">
        <w:rPr>
          <w:i/>
          <w:vertAlign w:val="subscript"/>
        </w:rPr>
        <w:t>q, p</w:t>
      </w:r>
      <w:r w:rsidRPr="0013396E">
        <w:t xml:space="preserve"> * ¼)</w:t>
      </w:r>
      <w:r w:rsidRPr="0013396E">
        <w:rPr>
          <w:sz w:val="32"/>
        </w:rPr>
        <w:t>}</w:t>
      </w:r>
    </w:p>
    <w:p w14:paraId="3AA995E9" w14:textId="77777777" w:rsidR="001F04FD" w:rsidRPr="0013396E" w:rsidRDefault="001F04FD" w:rsidP="001F04FD">
      <w:pPr>
        <w:pStyle w:val="FormulaBold"/>
        <w:ind w:left="3150" w:hanging="2430"/>
        <w:rPr>
          <w:b w:val="0"/>
        </w:rPr>
      </w:pPr>
      <w:r w:rsidRPr="0013396E">
        <w:rPr>
          <w:b w:val="0"/>
        </w:rPr>
        <w:t>And</w:t>
      </w:r>
    </w:p>
    <w:p w14:paraId="16E8E017" w14:textId="77777777" w:rsidR="001F04FD" w:rsidRPr="0013396E" w:rsidRDefault="001F04FD" w:rsidP="001F04FD">
      <w:pPr>
        <w:pStyle w:val="FormulaBold"/>
        <w:ind w:left="3240" w:hanging="2520"/>
      </w:pPr>
      <w:r w:rsidRPr="0013396E">
        <w:t>HBIMBAL</w:t>
      </w:r>
      <w:r w:rsidRPr="0013396E">
        <w:rPr>
          <w:i/>
          <w:vertAlign w:val="subscript"/>
        </w:rPr>
        <w:t xml:space="preserve"> q, p</w:t>
      </w:r>
      <w:r w:rsidRPr="0013396E">
        <w:rPr>
          <w:i/>
          <w:vertAlign w:val="subscript"/>
        </w:rPr>
        <w:tab/>
        <w:t>=</w:t>
      </w:r>
      <w:r w:rsidRPr="0013396E">
        <w:rPr>
          <w:i/>
          <w:vertAlign w:val="subscript"/>
        </w:rPr>
        <w:tab/>
      </w:r>
      <w:r w:rsidRPr="0013396E">
        <w:t xml:space="preserve">(SSSK </w:t>
      </w:r>
      <w:r w:rsidRPr="0013396E">
        <w:rPr>
          <w:i/>
          <w:vertAlign w:val="subscript"/>
        </w:rPr>
        <w:t>q, p</w:t>
      </w:r>
      <w:r w:rsidRPr="0013396E">
        <w:t xml:space="preserve"> * ¼) + (DAEP </w:t>
      </w:r>
      <w:r w:rsidRPr="0013396E">
        <w:rPr>
          <w:i/>
          <w:vertAlign w:val="subscript"/>
        </w:rPr>
        <w:t>q, p</w:t>
      </w:r>
      <w:r w:rsidRPr="0013396E">
        <w:t xml:space="preserve"> * ¼) + (RTQQEP </w:t>
      </w:r>
      <w:r w:rsidRPr="0013396E">
        <w:rPr>
          <w:i/>
          <w:vertAlign w:val="subscript"/>
        </w:rPr>
        <w:t>q, p</w:t>
      </w:r>
      <w:r w:rsidRPr="0013396E">
        <w:t xml:space="preserve"> * ¼) – (SSSR </w:t>
      </w:r>
      <w:r w:rsidRPr="0013396E">
        <w:rPr>
          <w:i/>
          <w:vertAlign w:val="subscript"/>
        </w:rPr>
        <w:t>q, p</w:t>
      </w:r>
      <w:r w:rsidRPr="0013396E">
        <w:t xml:space="preserve"> * ¼) – (DAES </w:t>
      </w:r>
      <w:r w:rsidRPr="0013396E">
        <w:rPr>
          <w:i/>
          <w:vertAlign w:val="subscript"/>
        </w:rPr>
        <w:t>q, p</w:t>
      </w:r>
      <w:r w:rsidRPr="0013396E">
        <w:t xml:space="preserve"> * ¼) – (RTQQES </w:t>
      </w:r>
      <w:r w:rsidRPr="0013396E">
        <w:rPr>
          <w:i/>
          <w:vertAlign w:val="subscript"/>
        </w:rPr>
        <w:t>q, p</w:t>
      </w:r>
      <w:r w:rsidRPr="0013396E">
        <w:t xml:space="preserve"> * ¼)</w:t>
      </w:r>
    </w:p>
    <w:p w14:paraId="7EE9A107" w14:textId="77777777" w:rsidR="001F04FD" w:rsidRPr="0013396E" w:rsidRDefault="001F04FD" w:rsidP="001F04FD">
      <w:r w:rsidRPr="0013396E">
        <w:t>The above variables are defined as follows:</w:t>
      </w: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630"/>
        <w:gridCol w:w="853"/>
        <w:gridCol w:w="7357"/>
      </w:tblGrid>
      <w:tr w:rsidR="001F04FD" w:rsidRPr="0013396E" w14:paraId="234B116E" w14:textId="77777777" w:rsidTr="00AC4DEE">
        <w:trPr>
          <w:tblHeader/>
        </w:trPr>
        <w:tc>
          <w:tcPr>
            <w:tcW w:w="1630" w:type="dxa"/>
          </w:tcPr>
          <w:p w14:paraId="63D37F1B" w14:textId="77777777" w:rsidR="001F04FD" w:rsidRPr="0013396E" w:rsidRDefault="001F04FD" w:rsidP="00AC4DEE">
            <w:pPr>
              <w:pStyle w:val="TableHead"/>
            </w:pPr>
            <w:r w:rsidRPr="0013396E">
              <w:t>Variable</w:t>
            </w:r>
          </w:p>
        </w:tc>
        <w:tc>
          <w:tcPr>
            <w:tcW w:w="0" w:type="auto"/>
          </w:tcPr>
          <w:p w14:paraId="43C0087F" w14:textId="77777777" w:rsidR="001F04FD" w:rsidRPr="0013396E" w:rsidRDefault="001F04FD" w:rsidP="00AC4DEE">
            <w:pPr>
              <w:pStyle w:val="TableHead"/>
            </w:pPr>
            <w:r w:rsidRPr="0013396E">
              <w:t>Unit</w:t>
            </w:r>
          </w:p>
        </w:tc>
        <w:tc>
          <w:tcPr>
            <w:tcW w:w="0" w:type="auto"/>
          </w:tcPr>
          <w:p w14:paraId="3912DA3C" w14:textId="77777777" w:rsidR="001F04FD" w:rsidRPr="0013396E" w:rsidRDefault="001F04FD" w:rsidP="00AC4DEE">
            <w:pPr>
              <w:pStyle w:val="TableHead"/>
            </w:pPr>
            <w:r w:rsidRPr="0013396E">
              <w:t>Description</w:t>
            </w:r>
          </w:p>
        </w:tc>
      </w:tr>
      <w:tr w:rsidR="001F04FD" w:rsidRPr="0013396E" w14:paraId="20AF4026" w14:textId="77777777" w:rsidTr="00AC4DEE">
        <w:tc>
          <w:tcPr>
            <w:tcW w:w="1630" w:type="dxa"/>
          </w:tcPr>
          <w:p w14:paraId="11E87671" w14:textId="77777777" w:rsidR="001F04FD" w:rsidRPr="0013396E" w:rsidRDefault="001F04FD" w:rsidP="00AC4DEE">
            <w:pPr>
              <w:pStyle w:val="TableBody"/>
            </w:pPr>
            <w:r w:rsidRPr="0013396E">
              <w:t xml:space="preserve">RTEIAMT </w:t>
            </w:r>
            <w:r w:rsidRPr="0013396E">
              <w:rPr>
                <w:i/>
                <w:vertAlign w:val="subscript"/>
              </w:rPr>
              <w:t>q, p</w:t>
            </w:r>
          </w:p>
        </w:tc>
        <w:tc>
          <w:tcPr>
            <w:tcW w:w="0" w:type="auto"/>
          </w:tcPr>
          <w:p w14:paraId="1E14797C" w14:textId="77777777" w:rsidR="001F04FD" w:rsidRPr="0013396E" w:rsidRDefault="001F04FD" w:rsidP="00AC4DEE">
            <w:pPr>
              <w:pStyle w:val="TableBody"/>
            </w:pPr>
            <w:r w:rsidRPr="0013396E">
              <w:t>$</w:t>
            </w:r>
          </w:p>
        </w:tc>
        <w:tc>
          <w:tcPr>
            <w:tcW w:w="0" w:type="auto"/>
          </w:tcPr>
          <w:p w14:paraId="128558E0" w14:textId="77777777" w:rsidR="001F04FD" w:rsidRPr="0013396E" w:rsidRDefault="001F04FD" w:rsidP="00AC4DEE">
            <w:pPr>
              <w:pStyle w:val="TableBody"/>
            </w:pPr>
            <w:r w:rsidRPr="0013396E">
              <w:rPr>
                <w:i/>
              </w:rPr>
              <w:t>Real-Time Energy Imbalance Amount per QSE per Settlement Point</w:t>
            </w:r>
            <w:r w:rsidRPr="0013396E">
              <w:t xml:space="preserve">—The payment or charge to QSE </w:t>
            </w:r>
            <w:r w:rsidRPr="0013396E">
              <w:rPr>
                <w:i/>
              </w:rPr>
              <w:t>q</w:t>
            </w:r>
            <w:r w:rsidRPr="0013396E">
              <w:t xml:space="preserve"> for Real-Time Energy Imbalance Service at Settlement Point </w:t>
            </w:r>
            <w:r w:rsidRPr="0013396E">
              <w:rPr>
                <w:i/>
              </w:rPr>
              <w:t>p</w:t>
            </w:r>
            <w:r w:rsidRPr="0013396E">
              <w:t>, for the 15-minute Settlement Interval.</w:t>
            </w:r>
          </w:p>
        </w:tc>
      </w:tr>
      <w:tr w:rsidR="001F04FD" w:rsidRPr="0013396E" w14:paraId="6CC896DA" w14:textId="77777777" w:rsidTr="00AC4DEE">
        <w:tc>
          <w:tcPr>
            <w:tcW w:w="1630" w:type="dxa"/>
          </w:tcPr>
          <w:p w14:paraId="7E3CC32C" w14:textId="77777777" w:rsidR="001F04FD" w:rsidRPr="0013396E" w:rsidRDefault="001F04FD" w:rsidP="00AC4DEE">
            <w:pPr>
              <w:pStyle w:val="TableBody"/>
            </w:pPr>
            <w:r w:rsidRPr="0013396E">
              <w:t>HBIMBAL</w:t>
            </w:r>
            <w:r w:rsidRPr="0013396E">
              <w:rPr>
                <w:i/>
                <w:vertAlign w:val="subscript"/>
              </w:rPr>
              <w:t xml:space="preserve"> q, p</w:t>
            </w:r>
          </w:p>
        </w:tc>
        <w:tc>
          <w:tcPr>
            <w:tcW w:w="0" w:type="auto"/>
          </w:tcPr>
          <w:p w14:paraId="7C187939" w14:textId="77777777" w:rsidR="001F04FD" w:rsidRPr="0013396E" w:rsidRDefault="001F04FD" w:rsidP="00AC4DEE">
            <w:pPr>
              <w:pStyle w:val="TableBody"/>
            </w:pPr>
            <w:r w:rsidRPr="0013396E">
              <w:t>MWh</w:t>
            </w:r>
          </w:p>
        </w:tc>
        <w:tc>
          <w:tcPr>
            <w:tcW w:w="0" w:type="auto"/>
          </w:tcPr>
          <w:p w14:paraId="51EF84DB" w14:textId="77777777" w:rsidR="001F04FD" w:rsidRPr="0013396E" w:rsidRDefault="001F04FD" w:rsidP="00AC4DEE">
            <w:pPr>
              <w:pStyle w:val="TableBody"/>
              <w:rPr>
                <w:i/>
              </w:rPr>
            </w:pPr>
            <w:r w:rsidRPr="0013396E">
              <w:rPr>
                <w:i/>
              </w:rPr>
              <w:t>Hub Energy Imbalance per QSE per Settlement Point</w:t>
            </w:r>
            <w:r w:rsidRPr="0013396E">
              <w:t xml:space="preserve">—The Hub volumetric imbalance for QSE </w:t>
            </w:r>
            <w:r w:rsidRPr="0013396E">
              <w:rPr>
                <w:i/>
              </w:rPr>
              <w:t>q</w:t>
            </w:r>
            <w:r w:rsidRPr="0013396E">
              <w:t xml:space="preserve"> for Real-Time Energy Imbalance Service at Settlement Point </w:t>
            </w:r>
            <w:r w:rsidRPr="0013396E">
              <w:rPr>
                <w:i/>
              </w:rPr>
              <w:t>p</w:t>
            </w:r>
            <w:r w:rsidRPr="0013396E">
              <w:t>, for the 15-minute Settlement Interval.</w:t>
            </w:r>
          </w:p>
        </w:tc>
      </w:tr>
      <w:tr w:rsidR="001F04FD" w:rsidRPr="0013396E" w14:paraId="646092E7" w14:textId="77777777" w:rsidTr="00AC4DEE">
        <w:tc>
          <w:tcPr>
            <w:tcW w:w="1630" w:type="dxa"/>
          </w:tcPr>
          <w:p w14:paraId="66502C78" w14:textId="77777777" w:rsidR="001F04FD" w:rsidRPr="0013396E" w:rsidRDefault="001F04FD" w:rsidP="00AC4DEE">
            <w:pPr>
              <w:pStyle w:val="TableBody"/>
            </w:pPr>
            <w:r w:rsidRPr="0013396E">
              <w:t>RTSPP</w:t>
            </w:r>
            <w:r w:rsidRPr="0013396E">
              <w:rPr>
                <w:i/>
              </w:rPr>
              <w:t xml:space="preserve"> </w:t>
            </w:r>
            <w:r w:rsidRPr="0013396E">
              <w:rPr>
                <w:i/>
                <w:vertAlign w:val="subscript"/>
              </w:rPr>
              <w:t>p</w:t>
            </w:r>
          </w:p>
        </w:tc>
        <w:tc>
          <w:tcPr>
            <w:tcW w:w="0" w:type="auto"/>
          </w:tcPr>
          <w:p w14:paraId="2CC6DA6D" w14:textId="77777777" w:rsidR="001F04FD" w:rsidRPr="0013396E" w:rsidRDefault="001F04FD" w:rsidP="00AC4DEE">
            <w:pPr>
              <w:pStyle w:val="TableBody"/>
            </w:pPr>
            <w:r w:rsidRPr="0013396E">
              <w:t>$/MWh</w:t>
            </w:r>
          </w:p>
        </w:tc>
        <w:tc>
          <w:tcPr>
            <w:tcW w:w="0" w:type="auto"/>
          </w:tcPr>
          <w:p w14:paraId="63B6517A" w14:textId="77777777" w:rsidR="001F04FD" w:rsidRPr="0013396E" w:rsidRDefault="001F04FD" w:rsidP="00AC4DEE">
            <w:pPr>
              <w:pStyle w:val="TableBody"/>
            </w:pPr>
            <w:r w:rsidRPr="0013396E">
              <w:rPr>
                <w:i/>
              </w:rPr>
              <w:t>Real-Time Settlement Point Price per Settlement Point</w:t>
            </w:r>
            <w:r w:rsidRPr="0013396E">
              <w:t xml:space="preserve">—The Real-Time Settlement Point Price at Settlement Point </w:t>
            </w:r>
            <w:r w:rsidRPr="0013396E">
              <w:rPr>
                <w:i/>
              </w:rPr>
              <w:t>p</w:t>
            </w:r>
            <w:r w:rsidRPr="0013396E">
              <w:t>, for the 15-minute Settlement Interval.</w:t>
            </w:r>
          </w:p>
        </w:tc>
      </w:tr>
      <w:tr w:rsidR="001F04FD" w:rsidRPr="0013396E" w14:paraId="09CCBEA0" w14:textId="77777777" w:rsidTr="00AC4DEE">
        <w:tc>
          <w:tcPr>
            <w:tcW w:w="1630" w:type="dxa"/>
          </w:tcPr>
          <w:p w14:paraId="67F0A319" w14:textId="77777777" w:rsidR="001F04FD" w:rsidRPr="0013396E" w:rsidRDefault="001F04FD" w:rsidP="00AC4DEE">
            <w:pPr>
              <w:pStyle w:val="TableBody"/>
            </w:pPr>
            <w:r w:rsidRPr="0013396E">
              <w:t xml:space="preserve">SSSK </w:t>
            </w:r>
            <w:r w:rsidRPr="0013396E">
              <w:rPr>
                <w:i/>
                <w:vertAlign w:val="subscript"/>
              </w:rPr>
              <w:t>q, p</w:t>
            </w:r>
          </w:p>
        </w:tc>
        <w:tc>
          <w:tcPr>
            <w:tcW w:w="0" w:type="auto"/>
          </w:tcPr>
          <w:p w14:paraId="15ADE79A" w14:textId="77777777" w:rsidR="001F04FD" w:rsidRPr="0013396E" w:rsidRDefault="001F04FD" w:rsidP="00AC4DEE">
            <w:pPr>
              <w:pStyle w:val="TableBody"/>
            </w:pPr>
            <w:r w:rsidRPr="0013396E">
              <w:t>MW</w:t>
            </w:r>
          </w:p>
        </w:tc>
        <w:tc>
          <w:tcPr>
            <w:tcW w:w="0" w:type="auto"/>
          </w:tcPr>
          <w:p w14:paraId="4B9AB98A" w14:textId="77777777" w:rsidR="001F04FD" w:rsidRPr="0013396E" w:rsidRDefault="001F04FD" w:rsidP="00AC4DEE">
            <w:pPr>
              <w:pStyle w:val="TableBody"/>
            </w:pPr>
            <w:r w:rsidRPr="0013396E">
              <w:rPr>
                <w:i/>
              </w:rPr>
              <w:t>Self-Schedule with Sink at Settlement Point per QSE per Settlement Point</w:t>
            </w:r>
            <w:r w:rsidRPr="0013396E">
              <w:t xml:space="preserve">—The QSE </w:t>
            </w:r>
            <w:r w:rsidRPr="0013396E">
              <w:rPr>
                <w:i/>
              </w:rPr>
              <w:t>q</w:t>
            </w:r>
            <w:r w:rsidRPr="0013396E">
              <w:t xml:space="preserve">’s Self-Schedule with sink at Settlement Point </w:t>
            </w:r>
            <w:r w:rsidRPr="0013396E">
              <w:rPr>
                <w:i/>
              </w:rPr>
              <w:t>p</w:t>
            </w:r>
            <w:r w:rsidRPr="0013396E">
              <w:t>, for the 15-minute Settlement Interval.</w:t>
            </w:r>
          </w:p>
        </w:tc>
      </w:tr>
      <w:tr w:rsidR="001F04FD" w:rsidRPr="0013396E" w14:paraId="05F5471B" w14:textId="77777777" w:rsidTr="00AC4DEE">
        <w:tc>
          <w:tcPr>
            <w:tcW w:w="1630" w:type="dxa"/>
          </w:tcPr>
          <w:p w14:paraId="0EB9AB49" w14:textId="77777777" w:rsidR="001F04FD" w:rsidRPr="0013396E" w:rsidRDefault="001F04FD" w:rsidP="00AC4DEE">
            <w:pPr>
              <w:pStyle w:val="TableBody"/>
            </w:pPr>
            <w:r w:rsidRPr="0013396E">
              <w:t xml:space="preserve">DAEP </w:t>
            </w:r>
            <w:r w:rsidRPr="0013396E">
              <w:rPr>
                <w:i/>
                <w:vertAlign w:val="subscript"/>
              </w:rPr>
              <w:t>q, p</w:t>
            </w:r>
          </w:p>
        </w:tc>
        <w:tc>
          <w:tcPr>
            <w:tcW w:w="0" w:type="auto"/>
          </w:tcPr>
          <w:p w14:paraId="03ECDAFA" w14:textId="77777777" w:rsidR="001F04FD" w:rsidRPr="0013396E" w:rsidRDefault="001F04FD" w:rsidP="00AC4DEE">
            <w:pPr>
              <w:pStyle w:val="TableBody"/>
            </w:pPr>
            <w:r w:rsidRPr="0013396E">
              <w:t>MW</w:t>
            </w:r>
          </w:p>
        </w:tc>
        <w:tc>
          <w:tcPr>
            <w:tcW w:w="0" w:type="auto"/>
          </w:tcPr>
          <w:p w14:paraId="309958ED" w14:textId="77777777" w:rsidR="001F04FD" w:rsidRPr="0013396E" w:rsidRDefault="001F04FD" w:rsidP="00AC4DEE">
            <w:pPr>
              <w:pStyle w:val="TableBody"/>
            </w:pPr>
            <w:r w:rsidRPr="0013396E">
              <w:rPr>
                <w:i/>
              </w:rPr>
              <w:t>Day-Ahead Energy Purchase per QSE per Settlement Point</w:t>
            </w:r>
            <w:r w:rsidRPr="0013396E">
              <w:t xml:space="preserve">—The QSE </w:t>
            </w:r>
            <w:r w:rsidRPr="0013396E">
              <w:rPr>
                <w:i/>
              </w:rPr>
              <w:t>q</w:t>
            </w:r>
            <w:r w:rsidRPr="0013396E">
              <w:t xml:space="preserve">’s DAM Energy Bids at Settlement Point </w:t>
            </w:r>
            <w:r w:rsidRPr="0013396E">
              <w:rPr>
                <w:i/>
              </w:rPr>
              <w:t>p</w:t>
            </w:r>
            <w:r w:rsidRPr="0013396E">
              <w:t xml:space="preserve"> cleared in the DAM, for the hour that includes the 15-minute Settlement Interval.</w:t>
            </w:r>
          </w:p>
        </w:tc>
      </w:tr>
      <w:tr w:rsidR="001F04FD" w:rsidRPr="0013396E" w14:paraId="48CC7493" w14:textId="77777777" w:rsidTr="00AC4DEE">
        <w:tc>
          <w:tcPr>
            <w:tcW w:w="1630" w:type="dxa"/>
          </w:tcPr>
          <w:p w14:paraId="2DB58378" w14:textId="77777777" w:rsidR="001F04FD" w:rsidRPr="0013396E" w:rsidRDefault="001F04FD" w:rsidP="00AC4DEE">
            <w:pPr>
              <w:pStyle w:val="TableBody"/>
            </w:pPr>
            <w:r w:rsidRPr="0013396E">
              <w:t xml:space="preserve">RTQQEP </w:t>
            </w:r>
            <w:r w:rsidRPr="0013396E">
              <w:rPr>
                <w:i/>
                <w:vertAlign w:val="subscript"/>
              </w:rPr>
              <w:t>q, p</w:t>
            </w:r>
            <w:r w:rsidRPr="0013396E">
              <w:t xml:space="preserve"> </w:t>
            </w:r>
          </w:p>
        </w:tc>
        <w:tc>
          <w:tcPr>
            <w:tcW w:w="0" w:type="auto"/>
          </w:tcPr>
          <w:p w14:paraId="27814FF6" w14:textId="77777777" w:rsidR="001F04FD" w:rsidRPr="0013396E" w:rsidRDefault="001F04FD" w:rsidP="00AC4DEE">
            <w:pPr>
              <w:pStyle w:val="TableBody"/>
            </w:pPr>
            <w:r w:rsidRPr="0013396E">
              <w:t>MW</w:t>
            </w:r>
          </w:p>
        </w:tc>
        <w:tc>
          <w:tcPr>
            <w:tcW w:w="0" w:type="auto"/>
          </w:tcPr>
          <w:p w14:paraId="26E56124" w14:textId="77777777" w:rsidR="001F04FD" w:rsidRPr="0013396E" w:rsidRDefault="001F04FD" w:rsidP="00AC4DEE">
            <w:pPr>
              <w:pStyle w:val="TableBody"/>
            </w:pPr>
            <w:r w:rsidRPr="0013396E">
              <w:rPr>
                <w:i/>
              </w:rPr>
              <w:t>Real-Time QSE-to-QSE Energy Purchase per QSE per Settlement Point</w:t>
            </w:r>
            <w:r w:rsidRPr="0013396E">
              <w:sym w:font="Symbol" w:char="F0BE"/>
            </w:r>
            <w:r w:rsidRPr="0013396E">
              <w:t xml:space="preserve">The amount of MW bought by QSE </w:t>
            </w:r>
            <w:r w:rsidRPr="0013396E">
              <w:rPr>
                <w:i/>
              </w:rPr>
              <w:t>q</w:t>
            </w:r>
            <w:r w:rsidRPr="0013396E">
              <w:t xml:space="preserve"> through Energy Trades at Settlement Point </w:t>
            </w:r>
            <w:r w:rsidRPr="0013396E">
              <w:rPr>
                <w:i/>
              </w:rPr>
              <w:t>p</w:t>
            </w:r>
            <w:r w:rsidRPr="0013396E">
              <w:t>, for the 15-minute Settlement Interval.</w:t>
            </w:r>
          </w:p>
        </w:tc>
      </w:tr>
      <w:tr w:rsidR="001F04FD" w:rsidRPr="0013396E" w14:paraId="466E9464" w14:textId="77777777" w:rsidTr="00AC4DEE">
        <w:tc>
          <w:tcPr>
            <w:tcW w:w="1630" w:type="dxa"/>
          </w:tcPr>
          <w:p w14:paraId="66A104B7" w14:textId="77777777" w:rsidR="001F04FD" w:rsidRPr="0013396E" w:rsidRDefault="001F04FD" w:rsidP="00AC4DEE">
            <w:pPr>
              <w:pStyle w:val="TableBody"/>
            </w:pPr>
            <w:r w:rsidRPr="0013396E">
              <w:t xml:space="preserve">SSSR </w:t>
            </w:r>
            <w:r w:rsidRPr="0013396E">
              <w:rPr>
                <w:i/>
                <w:vertAlign w:val="subscript"/>
              </w:rPr>
              <w:t>q, p</w:t>
            </w:r>
          </w:p>
        </w:tc>
        <w:tc>
          <w:tcPr>
            <w:tcW w:w="0" w:type="auto"/>
          </w:tcPr>
          <w:p w14:paraId="4A3ECE1A" w14:textId="77777777" w:rsidR="001F04FD" w:rsidRPr="0013396E" w:rsidRDefault="001F04FD" w:rsidP="00AC4DEE">
            <w:pPr>
              <w:pStyle w:val="TableBody"/>
            </w:pPr>
            <w:r w:rsidRPr="0013396E">
              <w:t>MW</w:t>
            </w:r>
          </w:p>
        </w:tc>
        <w:tc>
          <w:tcPr>
            <w:tcW w:w="0" w:type="auto"/>
          </w:tcPr>
          <w:p w14:paraId="66758B51" w14:textId="77777777" w:rsidR="001F04FD" w:rsidRPr="0013396E" w:rsidRDefault="001F04FD" w:rsidP="00AC4DEE">
            <w:pPr>
              <w:pStyle w:val="TableBody"/>
            </w:pPr>
            <w:r w:rsidRPr="0013396E">
              <w:rPr>
                <w:i/>
              </w:rPr>
              <w:t>Self-Schedule with Source at Settlement Point per QSE per Settlement Point</w:t>
            </w:r>
            <w:r w:rsidRPr="0013396E">
              <w:t xml:space="preserve">—The QSE </w:t>
            </w:r>
            <w:r w:rsidRPr="0013396E">
              <w:rPr>
                <w:i/>
              </w:rPr>
              <w:t>q</w:t>
            </w:r>
            <w:r w:rsidRPr="0013396E">
              <w:t xml:space="preserve">’s Self-Schedule with source at Settlement Point </w:t>
            </w:r>
            <w:r w:rsidRPr="0013396E">
              <w:rPr>
                <w:i/>
              </w:rPr>
              <w:t>p</w:t>
            </w:r>
            <w:r w:rsidRPr="0013396E">
              <w:t>, for the 15-minute Settlement Interval.</w:t>
            </w:r>
          </w:p>
        </w:tc>
      </w:tr>
      <w:tr w:rsidR="001F04FD" w:rsidRPr="0013396E" w14:paraId="7556032D" w14:textId="77777777" w:rsidTr="00AC4DEE">
        <w:tc>
          <w:tcPr>
            <w:tcW w:w="1630" w:type="dxa"/>
          </w:tcPr>
          <w:p w14:paraId="1B3FA4BC" w14:textId="77777777" w:rsidR="001F04FD" w:rsidRPr="0013396E" w:rsidRDefault="001F04FD" w:rsidP="00AC4DEE">
            <w:pPr>
              <w:pStyle w:val="TableBody"/>
            </w:pPr>
            <w:r w:rsidRPr="0013396E">
              <w:t xml:space="preserve">DAES </w:t>
            </w:r>
            <w:r w:rsidRPr="0013396E">
              <w:rPr>
                <w:i/>
                <w:vertAlign w:val="subscript"/>
              </w:rPr>
              <w:t>q, p</w:t>
            </w:r>
          </w:p>
        </w:tc>
        <w:tc>
          <w:tcPr>
            <w:tcW w:w="0" w:type="auto"/>
          </w:tcPr>
          <w:p w14:paraId="739F830E" w14:textId="77777777" w:rsidR="001F04FD" w:rsidRPr="0013396E" w:rsidRDefault="001F04FD" w:rsidP="00AC4DEE">
            <w:pPr>
              <w:pStyle w:val="TableBody"/>
            </w:pPr>
            <w:r w:rsidRPr="0013396E">
              <w:t>MW</w:t>
            </w:r>
          </w:p>
        </w:tc>
        <w:tc>
          <w:tcPr>
            <w:tcW w:w="0" w:type="auto"/>
          </w:tcPr>
          <w:p w14:paraId="4973AA38" w14:textId="77777777" w:rsidR="001F04FD" w:rsidRPr="0013396E" w:rsidRDefault="001F04FD" w:rsidP="00AC4DEE">
            <w:pPr>
              <w:pStyle w:val="TableBody"/>
            </w:pPr>
            <w:r w:rsidRPr="0013396E">
              <w:rPr>
                <w:i/>
              </w:rPr>
              <w:t>Day-Ahead Energy Sale per QSE per Settlement Point</w:t>
            </w:r>
            <w:r w:rsidRPr="0013396E">
              <w:t xml:space="preserve">—The QSE </w:t>
            </w:r>
            <w:r w:rsidRPr="0013396E">
              <w:rPr>
                <w:i/>
              </w:rPr>
              <w:t>q</w:t>
            </w:r>
            <w:r w:rsidRPr="0013396E">
              <w:t xml:space="preserve">’s Energy Offers at Settlement Point </w:t>
            </w:r>
            <w:r w:rsidRPr="0013396E">
              <w:rPr>
                <w:i/>
              </w:rPr>
              <w:t>p</w:t>
            </w:r>
            <w:r w:rsidRPr="0013396E">
              <w:t xml:space="preserve"> cleared in the DAM, for the hour that includes the 15-minute Settlement Interval.</w:t>
            </w:r>
          </w:p>
        </w:tc>
      </w:tr>
      <w:tr w:rsidR="001F04FD" w:rsidRPr="0013396E" w14:paraId="70AEB87A" w14:textId="77777777" w:rsidTr="00AC4DEE">
        <w:tc>
          <w:tcPr>
            <w:tcW w:w="1630" w:type="dxa"/>
          </w:tcPr>
          <w:p w14:paraId="7FC4D792" w14:textId="77777777" w:rsidR="001F04FD" w:rsidRPr="0013396E" w:rsidRDefault="001F04FD" w:rsidP="00AC4DEE">
            <w:pPr>
              <w:pStyle w:val="TableBody"/>
            </w:pPr>
            <w:r w:rsidRPr="0013396E">
              <w:t xml:space="preserve">RTQQES </w:t>
            </w:r>
            <w:r w:rsidRPr="0013396E">
              <w:rPr>
                <w:i/>
                <w:vertAlign w:val="subscript"/>
              </w:rPr>
              <w:t>q, p</w:t>
            </w:r>
            <w:r w:rsidRPr="0013396E">
              <w:t xml:space="preserve"> </w:t>
            </w:r>
          </w:p>
        </w:tc>
        <w:tc>
          <w:tcPr>
            <w:tcW w:w="0" w:type="auto"/>
          </w:tcPr>
          <w:p w14:paraId="3D8EF08E" w14:textId="77777777" w:rsidR="001F04FD" w:rsidRPr="0013396E" w:rsidRDefault="001F04FD" w:rsidP="00AC4DEE">
            <w:pPr>
              <w:pStyle w:val="TableBody"/>
            </w:pPr>
            <w:r w:rsidRPr="0013396E">
              <w:t>MW</w:t>
            </w:r>
          </w:p>
        </w:tc>
        <w:tc>
          <w:tcPr>
            <w:tcW w:w="0" w:type="auto"/>
          </w:tcPr>
          <w:p w14:paraId="2FAF3C72" w14:textId="77777777" w:rsidR="001F04FD" w:rsidRPr="0013396E" w:rsidRDefault="001F04FD" w:rsidP="00AC4DEE">
            <w:pPr>
              <w:pStyle w:val="TableBody"/>
            </w:pPr>
            <w:r w:rsidRPr="0013396E">
              <w:rPr>
                <w:i/>
              </w:rPr>
              <w:t>Real-Time QSE-to-QSE Energy Sale per QSE per Settlement Point</w:t>
            </w:r>
            <w:r w:rsidRPr="0013396E">
              <w:sym w:font="Symbol" w:char="F0BE"/>
            </w:r>
            <w:r w:rsidRPr="0013396E">
              <w:t xml:space="preserve">The amount of MW sold by QSE </w:t>
            </w:r>
            <w:r w:rsidRPr="0013396E">
              <w:rPr>
                <w:i/>
              </w:rPr>
              <w:t>q</w:t>
            </w:r>
            <w:r w:rsidRPr="0013396E">
              <w:t xml:space="preserve"> through Energy Trades at Settlement Point </w:t>
            </w:r>
            <w:r w:rsidRPr="0013396E">
              <w:rPr>
                <w:i/>
              </w:rPr>
              <w:t>p</w:t>
            </w:r>
            <w:r w:rsidRPr="0013396E">
              <w:t>, for the 15-minute Settlement Interval.</w:t>
            </w:r>
          </w:p>
        </w:tc>
      </w:tr>
      <w:tr w:rsidR="001F04FD" w:rsidRPr="0013396E" w14:paraId="05FC7EE0" w14:textId="77777777" w:rsidTr="00AC4DEE">
        <w:tc>
          <w:tcPr>
            <w:tcW w:w="1630" w:type="dxa"/>
          </w:tcPr>
          <w:p w14:paraId="79E82311" w14:textId="77777777" w:rsidR="001F04FD" w:rsidRPr="0013396E" w:rsidRDefault="001F04FD" w:rsidP="00AC4DEE">
            <w:pPr>
              <w:pStyle w:val="TableBody"/>
              <w:rPr>
                <w:i/>
              </w:rPr>
            </w:pPr>
            <w:r w:rsidRPr="0013396E">
              <w:rPr>
                <w:i/>
              </w:rPr>
              <w:t>q</w:t>
            </w:r>
          </w:p>
        </w:tc>
        <w:tc>
          <w:tcPr>
            <w:tcW w:w="0" w:type="auto"/>
          </w:tcPr>
          <w:p w14:paraId="59964207" w14:textId="77777777" w:rsidR="001F04FD" w:rsidRPr="0013396E" w:rsidRDefault="001F04FD" w:rsidP="00AC4DEE">
            <w:pPr>
              <w:pStyle w:val="TableBody"/>
            </w:pPr>
            <w:r w:rsidRPr="0013396E">
              <w:t>none</w:t>
            </w:r>
          </w:p>
        </w:tc>
        <w:tc>
          <w:tcPr>
            <w:tcW w:w="0" w:type="auto"/>
          </w:tcPr>
          <w:p w14:paraId="746FF44F" w14:textId="77777777" w:rsidR="001F04FD" w:rsidRPr="0013396E" w:rsidRDefault="001F04FD" w:rsidP="00AC4DEE">
            <w:pPr>
              <w:pStyle w:val="TableBody"/>
            </w:pPr>
            <w:r w:rsidRPr="0013396E">
              <w:t>A QSE.</w:t>
            </w:r>
          </w:p>
        </w:tc>
      </w:tr>
      <w:tr w:rsidR="001F04FD" w:rsidRPr="0013396E" w14:paraId="70942CEB" w14:textId="77777777" w:rsidTr="00AC4DEE">
        <w:tc>
          <w:tcPr>
            <w:tcW w:w="1630" w:type="dxa"/>
          </w:tcPr>
          <w:p w14:paraId="429C1ABC" w14:textId="77777777" w:rsidR="001F04FD" w:rsidRPr="0013396E" w:rsidRDefault="001F04FD" w:rsidP="00AC4DEE">
            <w:pPr>
              <w:pStyle w:val="TableBody"/>
              <w:rPr>
                <w:i/>
              </w:rPr>
            </w:pPr>
            <w:r w:rsidRPr="0013396E">
              <w:rPr>
                <w:i/>
              </w:rPr>
              <w:t>p</w:t>
            </w:r>
          </w:p>
        </w:tc>
        <w:tc>
          <w:tcPr>
            <w:tcW w:w="0" w:type="auto"/>
          </w:tcPr>
          <w:p w14:paraId="79BA8372" w14:textId="77777777" w:rsidR="001F04FD" w:rsidRPr="0013396E" w:rsidRDefault="001F04FD" w:rsidP="00AC4DEE">
            <w:pPr>
              <w:pStyle w:val="TableBody"/>
            </w:pPr>
            <w:r w:rsidRPr="0013396E">
              <w:t>none</w:t>
            </w:r>
          </w:p>
        </w:tc>
        <w:tc>
          <w:tcPr>
            <w:tcW w:w="0" w:type="auto"/>
          </w:tcPr>
          <w:p w14:paraId="0351B4DD" w14:textId="77777777" w:rsidR="001F04FD" w:rsidRPr="0013396E" w:rsidRDefault="001F04FD" w:rsidP="00AC4DEE">
            <w:pPr>
              <w:pStyle w:val="TableBody"/>
            </w:pPr>
            <w:r w:rsidRPr="0013396E">
              <w:t>A Hub Settlement Point.</w:t>
            </w:r>
          </w:p>
        </w:tc>
      </w:tr>
    </w:tbl>
    <w:p w14:paraId="7F8C1AC5" w14:textId="77777777" w:rsidR="001F04FD" w:rsidRPr="0013396E" w:rsidRDefault="001F04FD" w:rsidP="001F04FD">
      <w:pPr>
        <w:pStyle w:val="BodyTextNumbered"/>
        <w:spacing w:before="240"/>
      </w:pPr>
      <w:r w:rsidRPr="0013396E">
        <w:lastRenderedPageBreak/>
        <w:t>(3)</w:t>
      </w:r>
      <w:r w:rsidRPr="0013396E">
        <w:tab/>
        <w:t>The total net payments and charges to each QSE for Energy Imbalance Service at all Hubs for the 15-minute Settlement Interval is calculated as follows:</w:t>
      </w:r>
    </w:p>
    <w:p w14:paraId="3CEC01F6" w14:textId="77777777" w:rsidR="001F04FD" w:rsidRPr="0013396E" w:rsidRDefault="001F04FD" w:rsidP="001F04FD">
      <w:pPr>
        <w:ind w:left="720"/>
        <w:rPr>
          <w:b/>
        </w:rPr>
      </w:pPr>
      <w:r w:rsidRPr="0013396E">
        <w:rPr>
          <w:b/>
        </w:rPr>
        <w:t xml:space="preserve">RTEIAMTQSETOT </w:t>
      </w:r>
      <w:r w:rsidRPr="0013396E">
        <w:rPr>
          <w:b/>
          <w:i/>
          <w:vertAlign w:val="subscript"/>
        </w:rPr>
        <w:t>q</w:t>
      </w:r>
      <w:r w:rsidRPr="0013396E">
        <w:rPr>
          <w:b/>
        </w:rPr>
        <w:tab/>
        <w:t>=</w:t>
      </w:r>
      <w:r w:rsidRPr="0013396E">
        <w:rPr>
          <w:b/>
        </w:rPr>
        <w:tab/>
      </w:r>
      <w:r w:rsidRPr="0013396E">
        <w:rPr>
          <w:b/>
          <w:position w:val="-22"/>
        </w:rPr>
        <w:object w:dxaOrig="225" w:dyaOrig="465" w14:anchorId="0C3398CB">
          <v:shape id="_x0000_i1124" type="#_x0000_t75" style="width:12pt;height:18.6pt" o:ole="">
            <v:imagedata r:id="rId140" o:title=""/>
          </v:shape>
          <o:OLEObject Type="Embed" ProgID="Equation.3" ShapeID="_x0000_i1124" DrawAspect="Content" ObjectID="_1836311403" r:id="rId143"/>
        </w:object>
      </w:r>
      <w:r w:rsidRPr="0013396E">
        <w:rPr>
          <w:b/>
        </w:rPr>
        <w:t xml:space="preserve">RTEIAMT </w:t>
      </w:r>
      <w:r w:rsidRPr="0013396E">
        <w:rPr>
          <w:b/>
          <w:i/>
          <w:vertAlign w:val="subscript"/>
        </w:rPr>
        <w:t>q, p</w:t>
      </w:r>
    </w:p>
    <w:p w14:paraId="451400BA" w14:textId="77777777" w:rsidR="001F04FD" w:rsidRPr="0013396E" w:rsidRDefault="001F04FD" w:rsidP="001F04FD">
      <w:r w:rsidRPr="0013396E">
        <w:t>The above variables are defined as follows:</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5"/>
        <w:gridCol w:w="832"/>
        <w:gridCol w:w="6831"/>
      </w:tblGrid>
      <w:tr w:rsidR="001F04FD" w:rsidRPr="0013396E" w14:paraId="779F6507" w14:textId="77777777" w:rsidTr="00AC4DEE">
        <w:tc>
          <w:tcPr>
            <w:tcW w:w="2165" w:type="dxa"/>
          </w:tcPr>
          <w:p w14:paraId="2B6CA88D" w14:textId="77777777" w:rsidR="001F04FD" w:rsidRPr="0013396E" w:rsidRDefault="001F04FD" w:rsidP="00AC4DEE">
            <w:pPr>
              <w:pStyle w:val="TableHead"/>
            </w:pPr>
            <w:r w:rsidRPr="0013396E">
              <w:t>Variable</w:t>
            </w:r>
          </w:p>
        </w:tc>
        <w:tc>
          <w:tcPr>
            <w:tcW w:w="832" w:type="dxa"/>
          </w:tcPr>
          <w:p w14:paraId="028AFFEB" w14:textId="77777777" w:rsidR="001F04FD" w:rsidRPr="0013396E" w:rsidRDefault="001F04FD" w:rsidP="00AC4DEE">
            <w:pPr>
              <w:pStyle w:val="TableHead"/>
            </w:pPr>
            <w:r w:rsidRPr="0013396E">
              <w:t>Unit</w:t>
            </w:r>
          </w:p>
        </w:tc>
        <w:tc>
          <w:tcPr>
            <w:tcW w:w="6831" w:type="dxa"/>
          </w:tcPr>
          <w:p w14:paraId="298893EB" w14:textId="77777777" w:rsidR="001F04FD" w:rsidRPr="0013396E" w:rsidRDefault="001F04FD" w:rsidP="00AC4DEE">
            <w:pPr>
              <w:pStyle w:val="TableHead"/>
            </w:pPr>
            <w:r w:rsidRPr="0013396E">
              <w:t>Definition</w:t>
            </w:r>
          </w:p>
        </w:tc>
      </w:tr>
      <w:tr w:rsidR="001F04FD" w:rsidRPr="0013396E" w14:paraId="66966675" w14:textId="77777777" w:rsidTr="00AC4DEE">
        <w:tc>
          <w:tcPr>
            <w:tcW w:w="2165" w:type="dxa"/>
          </w:tcPr>
          <w:p w14:paraId="38F3B966" w14:textId="77777777" w:rsidR="001F04FD" w:rsidRPr="0013396E" w:rsidRDefault="001F04FD" w:rsidP="00AC4DEE">
            <w:pPr>
              <w:pStyle w:val="TableBody"/>
            </w:pPr>
            <w:r w:rsidRPr="0013396E">
              <w:t xml:space="preserve">RTEIAMTQSETOT </w:t>
            </w:r>
            <w:r w:rsidRPr="0013396E">
              <w:rPr>
                <w:i/>
                <w:vertAlign w:val="subscript"/>
              </w:rPr>
              <w:t>q</w:t>
            </w:r>
          </w:p>
        </w:tc>
        <w:tc>
          <w:tcPr>
            <w:tcW w:w="832" w:type="dxa"/>
          </w:tcPr>
          <w:p w14:paraId="791C61A2" w14:textId="77777777" w:rsidR="001F04FD" w:rsidRPr="0013396E" w:rsidRDefault="001F04FD" w:rsidP="00AC4DEE">
            <w:pPr>
              <w:pStyle w:val="TableBody"/>
            </w:pPr>
            <w:r w:rsidRPr="0013396E">
              <w:t>$</w:t>
            </w:r>
          </w:p>
        </w:tc>
        <w:tc>
          <w:tcPr>
            <w:tcW w:w="6831" w:type="dxa"/>
          </w:tcPr>
          <w:p w14:paraId="50DA6D0D" w14:textId="77777777" w:rsidR="001F04FD" w:rsidRPr="0013396E" w:rsidRDefault="001F04FD" w:rsidP="00AC4DEE">
            <w:pPr>
              <w:pStyle w:val="TableBody"/>
            </w:pPr>
            <w:r w:rsidRPr="0013396E">
              <w:rPr>
                <w:i/>
              </w:rPr>
              <w:t>Real-Time Energy Imbalance Amount QSE Total per QSE</w:t>
            </w:r>
            <w:r w:rsidRPr="0013396E">
              <w:sym w:font="Symbol" w:char="F0BE"/>
            </w:r>
            <w:r w:rsidRPr="0013396E">
              <w:t xml:space="preserve">The total net payments and charges to QSE </w:t>
            </w:r>
            <w:r w:rsidRPr="0013396E">
              <w:rPr>
                <w:i/>
              </w:rPr>
              <w:t>q</w:t>
            </w:r>
            <w:r w:rsidRPr="0013396E">
              <w:t xml:space="preserve"> for Real-Time Energy Imbalance at all Hub Settlement Points for the 15-minute Settlement Interval.</w:t>
            </w:r>
          </w:p>
        </w:tc>
      </w:tr>
      <w:tr w:rsidR="001F04FD" w:rsidRPr="0013396E" w14:paraId="2D8441B1" w14:textId="77777777" w:rsidTr="00AC4DEE">
        <w:tc>
          <w:tcPr>
            <w:tcW w:w="2165" w:type="dxa"/>
          </w:tcPr>
          <w:p w14:paraId="32E5956F" w14:textId="77777777" w:rsidR="001F04FD" w:rsidRPr="0013396E" w:rsidRDefault="001F04FD" w:rsidP="00AC4DEE">
            <w:pPr>
              <w:pStyle w:val="TableBody"/>
            </w:pPr>
            <w:r w:rsidRPr="0013396E">
              <w:t xml:space="preserve">RTEIAMT </w:t>
            </w:r>
            <w:r w:rsidRPr="0013396E">
              <w:rPr>
                <w:i/>
                <w:vertAlign w:val="subscript"/>
              </w:rPr>
              <w:t>q, p</w:t>
            </w:r>
          </w:p>
        </w:tc>
        <w:tc>
          <w:tcPr>
            <w:tcW w:w="832" w:type="dxa"/>
          </w:tcPr>
          <w:p w14:paraId="2CA291A0" w14:textId="77777777" w:rsidR="001F04FD" w:rsidRPr="0013396E" w:rsidRDefault="001F04FD" w:rsidP="00AC4DEE">
            <w:pPr>
              <w:pStyle w:val="TableBody"/>
            </w:pPr>
            <w:r w:rsidRPr="0013396E">
              <w:t>$</w:t>
            </w:r>
          </w:p>
        </w:tc>
        <w:tc>
          <w:tcPr>
            <w:tcW w:w="6831" w:type="dxa"/>
          </w:tcPr>
          <w:p w14:paraId="73B979D8" w14:textId="77777777" w:rsidR="001F04FD" w:rsidRPr="0013396E" w:rsidRDefault="001F04FD" w:rsidP="00AC4DEE">
            <w:pPr>
              <w:pStyle w:val="TableBody"/>
            </w:pPr>
            <w:r w:rsidRPr="0013396E">
              <w:rPr>
                <w:i/>
              </w:rPr>
              <w:t>Real-Time Energy Imbalance Amount per QSE per Settlement Point</w:t>
            </w:r>
            <w:r w:rsidRPr="0013396E">
              <w:t xml:space="preserve">—The charge to QSE </w:t>
            </w:r>
            <w:r w:rsidRPr="0013396E">
              <w:rPr>
                <w:i/>
              </w:rPr>
              <w:t>q</w:t>
            </w:r>
            <w:r w:rsidRPr="0013396E">
              <w:t xml:space="preserve"> for the Real-Time Energy Imbalance at Settlement Point </w:t>
            </w:r>
            <w:r w:rsidRPr="0013396E">
              <w:rPr>
                <w:i/>
              </w:rPr>
              <w:t>p</w:t>
            </w:r>
            <w:r w:rsidRPr="0013396E">
              <w:t>, for the 15-minute Settlement Interval.</w:t>
            </w:r>
          </w:p>
        </w:tc>
      </w:tr>
      <w:tr w:rsidR="001F04FD" w:rsidRPr="0013396E" w14:paraId="3F0939C4" w14:textId="77777777" w:rsidTr="00AC4DEE">
        <w:tc>
          <w:tcPr>
            <w:tcW w:w="2165" w:type="dxa"/>
            <w:tcBorders>
              <w:top w:val="single" w:sz="4" w:space="0" w:color="auto"/>
              <w:left w:val="single" w:sz="4" w:space="0" w:color="auto"/>
              <w:bottom w:val="single" w:sz="4" w:space="0" w:color="auto"/>
              <w:right w:val="single" w:sz="4" w:space="0" w:color="auto"/>
            </w:tcBorders>
          </w:tcPr>
          <w:p w14:paraId="45D8DE45" w14:textId="77777777" w:rsidR="001F04FD" w:rsidRPr="0013396E" w:rsidRDefault="001F04FD" w:rsidP="00AC4DEE">
            <w:pPr>
              <w:pStyle w:val="TableBody"/>
              <w:rPr>
                <w:i/>
              </w:rPr>
            </w:pPr>
            <w:r w:rsidRPr="0013396E">
              <w:rPr>
                <w:i/>
              </w:rPr>
              <w:t>q</w:t>
            </w:r>
          </w:p>
        </w:tc>
        <w:tc>
          <w:tcPr>
            <w:tcW w:w="832" w:type="dxa"/>
            <w:tcBorders>
              <w:top w:val="single" w:sz="4" w:space="0" w:color="auto"/>
              <w:left w:val="single" w:sz="4" w:space="0" w:color="auto"/>
              <w:bottom w:val="single" w:sz="4" w:space="0" w:color="auto"/>
              <w:right w:val="single" w:sz="4" w:space="0" w:color="auto"/>
            </w:tcBorders>
          </w:tcPr>
          <w:p w14:paraId="2BD3D509" w14:textId="77777777" w:rsidR="001F04FD" w:rsidRPr="0013396E" w:rsidRDefault="001F04FD" w:rsidP="00AC4DEE">
            <w:pPr>
              <w:pStyle w:val="TableBody"/>
            </w:pPr>
            <w:r w:rsidRPr="0013396E">
              <w:t>none</w:t>
            </w:r>
          </w:p>
        </w:tc>
        <w:tc>
          <w:tcPr>
            <w:tcW w:w="6831" w:type="dxa"/>
            <w:tcBorders>
              <w:top w:val="single" w:sz="4" w:space="0" w:color="auto"/>
              <w:left w:val="single" w:sz="4" w:space="0" w:color="auto"/>
              <w:bottom w:val="single" w:sz="4" w:space="0" w:color="auto"/>
              <w:right w:val="single" w:sz="4" w:space="0" w:color="auto"/>
            </w:tcBorders>
          </w:tcPr>
          <w:p w14:paraId="78A0772F" w14:textId="77777777" w:rsidR="001F04FD" w:rsidRPr="0013396E" w:rsidRDefault="001F04FD" w:rsidP="00AC4DEE">
            <w:pPr>
              <w:pStyle w:val="TableBody"/>
            </w:pPr>
            <w:r w:rsidRPr="0013396E">
              <w:t>A QSE.</w:t>
            </w:r>
          </w:p>
        </w:tc>
      </w:tr>
      <w:tr w:rsidR="001F04FD" w:rsidRPr="0013396E" w14:paraId="13A0C10B" w14:textId="77777777" w:rsidTr="00AC4DEE">
        <w:tc>
          <w:tcPr>
            <w:tcW w:w="2165" w:type="dxa"/>
            <w:tcBorders>
              <w:top w:val="single" w:sz="4" w:space="0" w:color="auto"/>
              <w:left w:val="single" w:sz="4" w:space="0" w:color="auto"/>
              <w:bottom w:val="single" w:sz="4" w:space="0" w:color="auto"/>
              <w:right w:val="single" w:sz="4" w:space="0" w:color="auto"/>
            </w:tcBorders>
          </w:tcPr>
          <w:p w14:paraId="5FF9D910" w14:textId="77777777" w:rsidR="001F04FD" w:rsidRPr="0013396E" w:rsidRDefault="001F04FD" w:rsidP="00AC4DEE">
            <w:pPr>
              <w:pStyle w:val="TableBody"/>
              <w:rPr>
                <w:i/>
              </w:rPr>
            </w:pPr>
            <w:r w:rsidRPr="0013396E">
              <w:rPr>
                <w:i/>
              </w:rPr>
              <w:t>p</w:t>
            </w:r>
          </w:p>
        </w:tc>
        <w:tc>
          <w:tcPr>
            <w:tcW w:w="832" w:type="dxa"/>
            <w:tcBorders>
              <w:top w:val="single" w:sz="4" w:space="0" w:color="auto"/>
              <w:left w:val="single" w:sz="4" w:space="0" w:color="auto"/>
              <w:bottom w:val="single" w:sz="4" w:space="0" w:color="auto"/>
              <w:right w:val="single" w:sz="4" w:space="0" w:color="auto"/>
            </w:tcBorders>
          </w:tcPr>
          <w:p w14:paraId="0F0911E2" w14:textId="77777777" w:rsidR="001F04FD" w:rsidRPr="0013396E" w:rsidRDefault="001F04FD" w:rsidP="00AC4DEE">
            <w:pPr>
              <w:pStyle w:val="TableBody"/>
            </w:pPr>
            <w:r w:rsidRPr="0013396E">
              <w:t>none</w:t>
            </w:r>
          </w:p>
        </w:tc>
        <w:tc>
          <w:tcPr>
            <w:tcW w:w="6831" w:type="dxa"/>
            <w:tcBorders>
              <w:top w:val="single" w:sz="4" w:space="0" w:color="auto"/>
              <w:left w:val="single" w:sz="4" w:space="0" w:color="auto"/>
              <w:bottom w:val="single" w:sz="4" w:space="0" w:color="auto"/>
              <w:right w:val="single" w:sz="4" w:space="0" w:color="auto"/>
            </w:tcBorders>
          </w:tcPr>
          <w:p w14:paraId="69FFC11F" w14:textId="77777777" w:rsidR="001F04FD" w:rsidRPr="0013396E" w:rsidRDefault="001F04FD" w:rsidP="00AC4DEE">
            <w:pPr>
              <w:pStyle w:val="TableBody"/>
            </w:pPr>
            <w:r w:rsidRPr="0013396E">
              <w:t>A Hub Settlement Point.</w:t>
            </w:r>
          </w:p>
        </w:tc>
      </w:tr>
    </w:tbl>
    <w:p w14:paraId="191A835D" w14:textId="77777777" w:rsidR="001F04FD" w:rsidRPr="0013396E" w:rsidRDefault="001F04FD" w:rsidP="001F04FD">
      <w:pPr>
        <w:pStyle w:val="H4"/>
        <w:spacing w:before="480"/>
        <w:ind w:left="1267" w:hanging="1267"/>
      </w:pPr>
      <w:bookmarkStart w:id="1608" w:name="_Toc397505016"/>
      <w:bookmarkStart w:id="1609" w:name="_Toc402357144"/>
      <w:bookmarkStart w:id="1610" w:name="_Toc422486522"/>
      <w:bookmarkStart w:id="1611" w:name="_Toc433093374"/>
      <w:bookmarkStart w:id="1612" w:name="_Toc433093532"/>
      <w:bookmarkStart w:id="1613" w:name="_Toc440874760"/>
      <w:bookmarkStart w:id="1614" w:name="_Toc448142315"/>
      <w:bookmarkStart w:id="1615" w:name="_Toc448142472"/>
      <w:bookmarkStart w:id="1616" w:name="_Toc458770313"/>
      <w:bookmarkStart w:id="1617" w:name="_Toc459294281"/>
      <w:bookmarkStart w:id="1618" w:name="_Toc463262774"/>
      <w:bookmarkStart w:id="1619" w:name="_Toc468286847"/>
      <w:bookmarkStart w:id="1620" w:name="_Toc481502890"/>
      <w:bookmarkStart w:id="1621" w:name="_Toc496080058"/>
      <w:bookmarkStart w:id="1622" w:name="_Toc214878968"/>
      <w:bookmarkStart w:id="1623" w:name="_Toc87951788"/>
      <w:bookmarkStart w:id="1624" w:name="_Toc109009393"/>
      <w:bookmarkEnd w:id="1569"/>
      <w:bookmarkEnd w:id="1570"/>
      <w:r w:rsidRPr="0013396E">
        <w:t>6.6.3.4</w:t>
      </w:r>
      <w:r w:rsidRPr="0013396E">
        <w:tab/>
        <w:t>Real-Time Energy Payment for DC Tie Import</w:t>
      </w:r>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p>
    <w:p w14:paraId="292E3B63" w14:textId="77777777" w:rsidR="001F04FD" w:rsidRPr="0013396E" w:rsidRDefault="001F04FD" w:rsidP="001F04FD">
      <w:pPr>
        <w:pStyle w:val="BodyTextNumbered"/>
      </w:pPr>
      <w:r w:rsidRPr="0013396E">
        <w:t>(1)</w:t>
      </w:r>
      <w:r w:rsidRPr="0013396E">
        <w:tab/>
        <w:t>The payment to each QSE for energy imported into the ERCOT System through each DC Tie is calculated based on the Real-Time Settlement Point Price at the DC Tie Settlement Point.  The payment for a given 15-minute Settlement Interval is calculated as follows:</w:t>
      </w:r>
    </w:p>
    <w:p w14:paraId="6DA90C12" w14:textId="77777777" w:rsidR="001F04FD" w:rsidRPr="0013396E" w:rsidRDefault="001F04FD" w:rsidP="001F04FD">
      <w:pPr>
        <w:pStyle w:val="FormulaBold"/>
      </w:pPr>
      <w:r w:rsidRPr="0013396E">
        <w:t xml:space="preserve">RTDCIMPAMT </w:t>
      </w:r>
      <w:r w:rsidRPr="0013396E">
        <w:rPr>
          <w:i/>
          <w:vertAlign w:val="subscript"/>
        </w:rPr>
        <w:t>q, p</w:t>
      </w:r>
      <w:r w:rsidRPr="0013396E">
        <w:tab/>
        <w:t>=</w:t>
      </w:r>
      <w:r w:rsidRPr="0013396E">
        <w:tab/>
        <w:t xml:space="preserve">(-1) * RTSPP </w:t>
      </w:r>
      <w:r w:rsidRPr="0013396E">
        <w:rPr>
          <w:i/>
          <w:vertAlign w:val="subscript"/>
        </w:rPr>
        <w:t>p</w:t>
      </w:r>
      <w:r w:rsidRPr="0013396E">
        <w:t xml:space="preserve"> * (RTDCIMP </w:t>
      </w:r>
      <w:r w:rsidRPr="0013396E">
        <w:rPr>
          <w:i/>
          <w:vertAlign w:val="subscript"/>
        </w:rPr>
        <w:t>q, p</w:t>
      </w:r>
      <w:r w:rsidRPr="0013396E">
        <w:t xml:space="preserve"> * ¼)</w:t>
      </w:r>
    </w:p>
    <w:p w14:paraId="0940F6D8" w14:textId="77777777" w:rsidR="001F04FD" w:rsidRPr="0013396E" w:rsidRDefault="001F04FD" w:rsidP="001F04FD">
      <w:r w:rsidRPr="0013396E">
        <w:t>The above variables are defined as follows:</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909"/>
        <w:gridCol w:w="853"/>
        <w:gridCol w:w="7066"/>
      </w:tblGrid>
      <w:tr w:rsidR="001F04FD" w:rsidRPr="0013396E" w14:paraId="1FB36B2F" w14:textId="77777777" w:rsidTr="00AC4DEE">
        <w:tc>
          <w:tcPr>
            <w:tcW w:w="1909" w:type="dxa"/>
          </w:tcPr>
          <w:p w14:paraId="1C4A69F4" w14:textId="77777777" w:rsidR="001F04FD" w:rsidRPr="0013396E" w:rsidRDefault="001F04FD" w:rsidP="00AC4DEE">
            <w:pPr>
              <w:pStyle w:val="TableHead"/>
            </w:pPr>
            <w:r w:rsidRPr="0013396E">
              <w:t>Variable</w:t>
            </w:r>
          </w:p>
        </w:tc>
        <w:tc>
          <w:tcPr>
            <w:tcW w:w="0" w:type="auto"/>
          </w:tcPr>
          <w:p w14:paraId="6DCF72EE" w14:textId="77777777" w:rsidR="001F04FD" w:rsidRPr="0013396E" w:rsidRDefault="001F04FD" w:rsidP="00AC4DEE">
            <w:pPr>
              <w:pStyle w:val="TableHead"/>
            </w:pPr>
            <w:r w:rsidRPr="0013396E">
              <w:t>Unit</w:t>
            </w:r>
          </w:p>
        </w:tc>
        <w:tc>
          <w:tcPr>
            <w:tcW w:w="0" w:type="auto"/>
          </w:tcPr>
          <w:p w14:paraId="4A7904A1" w14:textId="77777777" w:rsidR="001F04FD" w:rsidRPr="0013396E" w:rsidRDefault="001F04FD" w:rsidP="00AC4DEE">
            <w:pPr>
              <w:pStyle w:val="TableHead"/>
            </w:pPr>
            <w:r w:rsidRPr="0013396E">
              <w:t>Description</w:t>
            </w:r>
          </w:p>
        </w:tc>
      </w:tr>
      <w:tr w:rsidR="001F04FD" w:rsidRPr="0013396E" w14:paraId="7151D7C7" w14:textId="77777777" w:rsidTr="00AC4DEE">
        <w:tc>
          <w:tcPr>
            <w:tcW w:w="1909" w:type="dxa"/>
          </w:tcPr>
          <w:p w14:paraId="4123A39F" w14:textId="77777777" w:rsidR="001F04FD" w:rsidRPr="0013396E" w:rsidRDefault="001F04FD" w:rsidP="00AC4DEE">
            <w:pPr>
              <w:pStyle w:val="TableBody"/>
            </w:pPr>
            <w:r w:rsidRPr="0013396E">
              <w:t xml:space="preserve">RTDCIMPAMT </w:t>
            </w:r>
            <w:r w:rsidRPr="0013396E">
              <w:rPr>
                <w:i/>
                <w:vertAlign w:val="subscript"/>
              </w:rPr>
              <w:t>q, p</w:t>
            </w:r>
          </w:p>
        </w:tc>
        <w:tc>
          <w:tcPr>
            <w:tcW w:w="0" w:type="auto"/>
          </w:tcPr>
          <w:p w14:paraId="0F48D16C" w14:textId="77777777" w:rsidR="001F04FD" w:rsidRPr="0013396E" w:rsidRDefault="001F04FD" w:rsidP="00AC4DEE">
            <w:pPr>
              <w:pStyle w:val="TableBody"/>
            </w:pPr>
            <w:r w:rsidRPr="0013396E">
              <w:t>$</w:t>
            </w:r>
          </w:p>
        </w:tc>
        <w:tc>
          <w:tcPr>
            <w:tcW w:w="0" w:type="auto"/>
          </w:tcPr>
          <w:p w14:paraId="7796DAB9" w14:textId="77777777" w:rsidR="001F04FD" w:rsidRPr="0013396E" w:rsidRDefault="001F04FD" w:rsidP="00AC4DEE">
            <w:pPr>
              <w:pStyle w:val="TableBody"/>
            </w:pPr>
            <w:r w:rsidRPr="0013396E">
              <w:rPr>
                <w:i/>
              </w:rPr>
              <w:t>Real-Time DC Import Amount per QSE per Settlement Point</w:t>
            </w:r>
            <w:r w:rsidRPr="0013396E">
              <w:t xml:space="preserve">—The payment to QSE </w:t>
            </w:r>
            <w:r w:rsidRPr="0013396E">
              <w:rPr>
                <w:i/>
              </w:rPr>
              <w:t>q</w:t>
            </w:r>
            <w:r w:rsidRPr="0013396E">
              <w:t xml:space="preserve"> for DC Tie import through DC Tie </w:t>
            </w:r>
            <w:r w:rsidRPr="0013396E">
              <w:rPr>
                <w:i/>
              </w:rPr>
              <w:t>p</w:t>
            </w:r>
            <w:r w:rsidRPr="0013396E">
              <w:t>, for the 15-minute Settlement Interval.</w:t>
            </w:r>
          </w:p>
        </w:tc>
      </w:tr>
      <w:tr w:rsidR="001F04FD" w:rsidRPr="0013396E" w14:paraId="3C85EDB5" w14:textId="77777777" w:rsidTr="00AC4DEE">
        <w:tc>
          <w:tcPr>
            <w:tcW w:w="1909" w:type="dxa"/>
          </w:tcPr>
          <w:p w14:paraId="6BCFCEC6" w14:textId="77777777" w:rsidR="001F04FD" w:rsidRPr="0013396E" w:rsidRDefault="001F04FD" w:rsidP="00AC4DEE">
            <w:pPr>
              <w:pStyle w:val="TableBody"/>
            </w:pPr>
            <w:r w:rsidRPr="0013396E">
              <w:t xml:space="preserve">RTSPP </w:t>
            </w:r>
            <w:r w:rsidRPr="0013396E">
              <w:rPr>
                <w:i/>
                <w:vertAlign w:val="subscript"/>
              </w:rPr>
              <w:t>p</w:t>
            </w:r>
          </w:p>
        </w:tc>
        <w:tc>
          <w:tcPr>
            <w:tcW w:w="0" w:type="auto"/>
          </w:tcPr>
          <w:p w14:paraId="1E3C67E9" w14:textId="77777777" w:rsidR="001F04FD" w:rsidRPr="0013396E" w:rsidRDefault="001F04FD" w:rsidP="00AC4DEE">
            <w:pPr>
              <w:pStyle w:val="TableBody"/>
            </w:pPr>
            <w:r w:rsidRPr="0013396E">
              <w:t>$/MWh</w:t>
            </w:r>
          </w:p>
        </w:tc>
        <w:tc>
          <w:tcPr>
            <w:tcW w:w="0" w:type="auto"/>
          </w:tcPr>
          <w:p w14:paraId="0E6B115E" w14:textId="77777777" w:rsidR="001F04FD" w:rsidRPr="0013396E" w:rsidRDefault="001F04FD" w:rsidP="00AC4DEE">
            <w:pPr>
              <w:pStyle w:val="TableBody"/>
            </w:pPr>
            <w:r w:rsidRPr="0013396E">
              <w:rPr>
                <w:i/>
              </w:rPr>
              <w:t>Real-Time Settlement Point Price per Settlement Point</w:t>
            </w:r>
            <w:r w:rsidRPr="0013396E">
              <w:t xml:space="preserve">—The Real-Time Settlement Point Price at Settlement Point </w:t>
            </w:r>
            <w:r w:rsidRPr="0013396E">
              <w:rPr>
                <w:i/>
              </w:rPr>
              <w:t>p</w:t>
            </w:r>
            <w:r w:rsidRPr="0013396E">
              <w:t>, for the 15-minute Settlement Interval.</w:t>
            </w:r>
          </w:p>
        </w:tc>
      </w:tr>
      <w:tr w:rsidR="001F04FD" w:rsidRPr="0013396E" w14:paraId="7F2EAA26" w14:textId="77777777" w:rsidTr="00AC4DEE">
        <w:tc>
          <w:tcPr>
            <w:tcW w:w="1909" w:type="dxa"/>
          </w:tcPr>
          <w:p w14:paraId="78FD192F" w14:textId="77777777" w:rsidR="001F04FD" w:rsidRPr="0013396E" w:rsidRDefault="001F04FD" w:rsidP="00AC4DEE">
            <w:pPr>
              <w:pStyle w:val="TableBody"/>
            </w:pPr>
            <w:r w:rsidRPr="0013396E">
              <w:t xml:space="preserve">RTDCIMP </w:t>
            </w:r>
            <w:r w:rsidRPr="0013396E">
              <w:rPr>
                <w:i/>
                <w:vertAlign w:val="subscript"/>
              </w:rPr>
              <w:t>q, p</w:t>
            </w:r>
          </w:p>
        </w:tc>
        <w:tc>
          <w:tcPr>
            <w:tcW w:w="0" w:type="auto"/>
          </w:tcPr>
          <w:p w14:paraId="20BC1783" w14:textId="77777777" w:rsidR="001F04FD" w:rsidRPr="0013396E" w:rsidRDefault="001F04FD" w:rsidP="00AC4DEE">
            <w:pPr>
              <w:pStyle w:val="TableBody"/>
            </w:pPr>
            <w:r w:rsidRPr="0013396E">
              <w:t>MW</w:t>
            </w:r>
          </w:p>
        </w:tc>
        <w:tc>
          <w:tcPr>
            <w:tcW w:w="0" w:type="auto"/>
          </w:tcPr>
          <w:p w14:paraId="2A501158" w14:textId="77777777" w:rsidR="0093699B" w:rsidRPr="0013396E" w:rsidRDefault="001F04FD" w:rsidP="00AC4DEE">
            <w:pPr>
              <w:pStyle w:val="TableBody"/>
            </w:pPr>
            <w:r w:rsidRPr="0013396E">
              <w:rPr>
                <w:i/>
              </w:rPr>
              <w:t>Real-Time DC Import per QSE per Settlement Point</w:t>
            </w:r>
            <w:r w:rsidRPr="0013396E">
              <w:t xml:space="preserve">—The aggregated DC Tie Schedule submitted by QSE </w:t>
            </w:r>
            <w:r w:rsidRPr="0013396E">
              <w:rPr>
                <w:i/>
              </w:rPr>
              <w:t>q</w:t>
            </w:r>
            <w:r w:rsidRPr="0013396E">
              <w:t xml:space="preserve"> as an importer into the ERCOT System through DC Tie </w:t>
            </w:r>
            <w:r w:rsidRPr="0013396E">
              <w:rPr>
                <w:i/>
              </w:rPr>
              <w:t>p</w:t>
            </w:r>
            <w:r w:rsidRPr="0013396E">
              <w:t>, for the 15-minute Settlement Interval.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6826"/>
            </w:tblGrid>
            <w:tr w:rsidR="0093699B" w:rsidRPr="0013396E" w14:paraId="0D892E4D" w14:textId="77777777" w:rsidTr="00426634">
              <w:trPr>
                <w:trHeight w:val="206"/>
              </w:trPr>
              <w:tc>
                <w:tcPr>
                  <w:tcW w:w="0" w:type="auto"/>
                  <w:shd w:val="pct12" w:color="auto" w:fill="auto"/>
                </w:tcPr>
                <w:p w14:paraId="5CB61F94" w14:textId="43BF8A4E" w:rsidR="0093699B" w:rsidRPr="0013396E" w:rsidRDefault="0093699B" w:rsidP="0093699B">
                  <w:pPr>
                    <w:pStyle w:val="Instructions"/>
                    <w:spacing w:before="120"/>
                  </w:pPr>
                  <w:r w:rsidRPr="0013396E">
                    <w:t>[NPRR1032:  Replace the description above with the following upon system implementation:]</w:t>
                  </w:r>
                </w:p>
                <w:p w14:paraId="51E65CF6" w14:textId="6B94AFD0" w:rsidR="0093699B" w:rsidRPr="0013396E" w:rsidRDefault="0093699B" w:rsidP="0093699B">
                  <w:pPr>
                    <w:pStyle w:val="TableBody"/>
                  </w:pPr>
                  <w:r w:rsidRPr="0013396E">
                    <w:rPr>
                      <w:i/>
                    </w:rPr>
                    <w:t>Real-Time DC Import per QSE per Settlement Point</w:t>
                  </w:r>
                  <w:r w:rsidRPr="0013396E">
                    <w:t xml:space="preserve">—The aggregated final, approved DC Tie Schedule submitted by QSE </w:t>
                  </w:r>
                  <w:r w:rsidRPr="0013396E">
                    <w:rPr>
                      <w:i/>
                    </w:rPr>
                    <w:t>q</w:t>
                  </w:r>
                  <w:r w:rsidRPr="0013396E">
                    <w:t xml:space="preserve"> as an importer into the ERCOT System through DC Tie </w:t>
                  </w:r>
                  <w:r w:rsidRPr="0013396E">
                    <w:rPr>
                      <w:i/>
                    </w:rPr>
                    <w:t>p</w:t>
                  </w:r>
                  <w:r w:rsidRPr="0013396E">
                    <w:t>, for the 15-minute Settlement Interval.</w:t>
                  </w:r>
                </w:p>
              </w:tc>
            </w:tr>
          </w:tbl>
          <w:p w14:paraId="6ADEC4BE" w14:textId="7E875EE2" w:rsidR="001F04FD" w:rsidRPr="0013396E" w:rsidRDefault="001F04FD" w:rsidP="00AC4DEE">
            <w:pPr>
              <w:pStyle w:val="TableBody"/>
            </w:pPr>
          </w:p>
        </w:tc>
      </w:tr>
      <w:tr w:rsidR="001F04FD" w:rsidRPr="0013396E" w14:paraId="567E9D37" w14:textId="77777777" w:rsidTr="00AC4DEE">
        <w:tc>
          <w:tcPr>
            <w:tcW w:w="1909" w:type="dxa"/>
          </w:tcPr>
          <w:p w14:paraId="3C428132" w14:textId="77777777" w:rsidR="001F04FD" w:rsidRPr="0013396E" w:rsidRDefault="001F04FD" w:rsidP="00AC4DEE">
            <w:pPr>
              <w:pStyle w:val="TableBody"/>
              <w:rPr>
                <w:i/>
              </w:rPr>
            </w:pPr>
            <w:r w:rsidRPr="0013396E">
              <w:rPr>
                <w:i/>
              </w:rPr>
              <w:t>q</w:t>
            </w:r>
          </w:p>
        </w:tc>
        <w:tc>
          <w:tcPr>
            <w:tcW w:w="0" w:type="auto"/>
          </w:tcPr>
          <w:p w14:paraId="5E632BB6" w14:textId="77777777" w:rsidR="001F04FD" w:rsidRPr="0013396E" w:rsidRDefault="001F04FD" w:rsidP="00AC4DEE">
            <w:pPr>
              <w:pStyle w:val="TableBody"/>
            </w:pPr>
            <w:r w:rsidRPr="0013396E">
              <w:t>none</w:t>
            </w:r>
          </w:p>
        </w:tc>
        <w:tc>
          <w:tcPr>
            <w:tcW w:w="0" w:type="auto"/>
          </w:tcPr>
          <w:p w14:paraId="1D90C913" w14:textId="77777777" w:rsidR="001F04FD" w:rsidRPr="0013396E" w:rsidRDefault="001F04FD" w:rsidP="00AC4DEE">
            <w:pPr>
              <w:pStyle w:val="TableBody"/>
              <w:rPr>
                <w:i/>
              </w:rPr>
            </w:pPr>
            <w:r w:rsidRPr="0013396E">
              <w:t>A QSE.</w:t>
            </w:r>
          </w:p>
        </w:tc>
      </w:tr>
      <w:tr w:rsidR="001F04FD" w:rsidRPr="0013396E" w14:paraId="360BF231" w14:textId="77777777" w:rsidTr="00AC4DEE">
        <w:tc>
          <w:tcPr>
            <w:tcW w:w="1909" w:type="dxa"/>
          </w:tcPr>
          <w:p w14:paraId="5262337A" w14:textId="77777777" w:rsidR="001F04FD" w:rsidRPr="0013396E" w:rsidRDefault="001F04FD" w:rsidP="00AC4DEE">
            <w:pPr>
              <w:pStyle w:val="TableBody"/>
              <w:rPr>
                <w:i/>
              </w:rPr>
            </w:pPr>
            <w:r w:rsidRPr="0013396E">
              <w:rPr>
                <w:i/>
              </w:rPr>
              <w:t>p</w:t>
            </w:r>
          </w:p>
        </w:tc>
        <w:tc>
          <w:tcPr>
            <w:tcW w:w="0" w:type="auto"/>
          </w:tcPr>
          <w:p w14:paraId="1C5DA9C3" w14:textId="77777777" w:rsidR="001F04FD" w:rsidRPr="0013396E" w:rsidRDefault="001F04FD" w:rsidP="00AC4DEE">
            <w:pPr>
              <w:pStyle w:val="TableBody"/>
            </w:pPr>
            <w:r w:rsidRPr="0013396E">
              <w:t>none</w:t>
            </w:r>
          </w:p>
        </w:tc>
        <w:tc>
          <w:tcPr>
            <w:tcW w:w="0" w:type="auto"/>
          </w:tcPr>
          <w:p w14:paraId="50465A88" w14:textId="77777777" w:rsidR="001F04FD" w:rsidRPr="0013396E" w:rsidRDefault="001F04FD" w:rsidP="00AC4DEE">
            <w:pPr>
              <w:pStyle w:val="TableBody"/>
              <w:rPr>
                <w:i/>
                <w:lang w:val="fr-FR"/>
              </w:rPr>
            </w:pPr>
            <w:r w:rsidRPr="0013396E">
              <w:rPr>
                <w:lang w:val="fr-FR"/>
              </w:rPr>
              <w:t>A DC Tie Settlement Point.</w:t>
            </w:r>
          </w:p>
        </w:tc>
      </w:tr>
    </w:tbl>
    <w:p w14:paraId="03571307" w14:textId="77777777" w:rsidR="001F04FD" w:rsidRPr="0013396E" w:rsidRDefault="001F04FD" w:rsidP="001F04FD">
      <w:pPr>
        <w:rPr>
          <w:lang w:val="fr-FR"/>
        </w:rPr>
      </w:pPr>
    </w:p>
    <w:p w14:paraId="3E81A31F" w14:textId="77777777" w:rsidR="001F04FD" w:rsidRPr="0013396E" w:rsidRDefault="001F04FD" w:rsidP="001F04FD">
      <w:pPr>
        <w:pStyle w:val="BodyTextNumbered"/>
      </w:pPr>
      <w:r w:rsidRPr="0013396E">
        <w:t>(2)</w:t>
      </w:r>
      <w:r w:rsidRPr="0013396E">
        <w:tab/>
        <w:t>ERCOT shall pay each QSE for energy imported into the ERCOT System during a declared Emergency Condition through each DC Tie in response to an ERCOT Dispatch Instruction.  The payment for a given 15-minute Settlement Interval is calculated as follows:</w:t>
      </w:r>
    </w:p>
    <w:p w14:paraId="0E5BC337" w14:textId="77777777" w:rsidR="001F04FD" w:rsidRPr="0013396E" w:rsidRDefault="001F04FD" w:rsidP="001F04FD">
      <w:pPr>
        <w:pStyle w:val="FormulaBold"/>
      </w:pPr>
      <w:r w:rsidRPr="0013396E">
        <w:lastRenderedPageBreak/>
        <w:t xml:space="preserve">RTEDCIMPAMT </w:t>
      </w:r>
      <w:r w:rsidRPr="0013396E">
        <w:rPr>
          <w:i/>
          <w:vertAlign w:val="subscript"/>
        </w:rPr>
        <w:t>q, p</w:t>
      </w:r>
      <w:r w:rsidRPr="0013396E">
        <w:tab/>
        <w:t>=</w:t>
      </w:r>
      <w:r w:rsidRPr="0013396E">
        <w:tab/>
        <w:t xml:space="preserve">(-1) * Max {RTSPP </w:t>
      </w:r>
      <w:r w:rsidRPr="0013396E">
        <w:rPr>
          <w:i/>
          <w:vertAlign w:val="subscript"/>
        </w:rPr>
        <w:t>p</w:t>
      </w:r>
      <w:r w:rsidRPr="0013396E">
        <w:t xml:space="preserve">, (VEEPDCTP </w:t>
      </w:r>
      <w:r w:rsidRPr="0013396E">
        <w:rPr>
          <w:i/>
          <w:vertAlign w:val="subscript"/>
        </w:rPr>
        <w:t>q, p</w:t>
      </w:r>
      <w:r w:rsidRPr="0013396E">
        <w:rPr>
          <w:vertAlign w:val="subscript"/>
        </w:rPr>
        <w:t xml:space="preserve"> </w:t>
      </w:r>
      <w:r w:rsidRPr="0013396E">
        <w:t xml:space="preserve">* CAEDCT)}* (RTEDCIMP </w:t>
      </w:r>
      <w:r w:rsidRPr="0013396E">
        <w:rPr>
          <w:i/>
          <w:vertAlign w:val="subscript"/>
        </w:rPr>
        <w:t>q, p</w:t>
      </w:r>
      <w:r w:rsidRPr="0013396E">
        <w:t xml:space="preserve"> * ¼)</w:t>
      </w:r>
    </w:p>
    <w:p w14:paraId="715CDE7C" w14:textId="77777777" w:rsidR="001F04FD" w:rsidRPr="0013396E" w:rsidRDefault="001F04FD" w:rsidP="001F04FD">
      <w:r w:rsidRPr="0013396E">
        <w:t>The above variables are defined as follows:</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005"/>
        <w:gridCol w:w="1080"/>
        <w:gridCol w:w="6743"/>
      </w:tblGrid>
      <w:tr w:rsidR="001F04FD" w:rsidRPr="0013396E" w14:paraId="5F925FB3" w14:textId="77777777" w:rsidTr="00AC4DEE">
        <w:tc>
          <w:tcPr>
            <w:tcW w:w="2005" w:type="dxa"/>
          </w:tcPr>
          <w:p w14:paraId="12D01C28" w14:textId="77777777" w:rsidR="001F04FD" w:rsidRPr="0013396E" w:rsidRDefault="001F04FD" w:rsidP="00AC4DEE">
            <w:pPr>
              <w:pStyle w:val="TableHead"/>
            </w:pPr>
            <w:r w:rsidRPr="0013396E">
              <w:t>Variable</w:t>
            </w:r>
          </w:p>
        </w:tc>
        <w:tc>
          <w:tcPr>
            <w:tcW w:w="1080" w:type="dxa"/>
          </w:tcPr>
          <w:p w14:paraId="54D4ED97" w14:textId="77777777" w:rsidR="001F04FD" w:rsidRPr="0013396E" w:rsidRDefault="001F04FD" w:rsidP="00AC4DEE">
            <w:pPr>
              <w:pStyle w:val="TableHead"/>
            </w:pPr>
            <w:r w:rsidRPr="0013396E">
              <w:t>Unit</w:t>
            </w:r>
          </w:p>
        </w:tc>
        <w:tc>
          <w:tcPr>
            <w:tcW w:w="6743" w:type="dxa"/>
          </w:tcPr>
          <w:p w14:paraId="07ABA981" w14:textId="77777777" w:rsidR="001F04FD" w:rsidRPr="0013396E" w:rsidRDefault="001F04FD" w:rsidP="00AC4DEE">
            <w:pPr>
              <w:pStyle w:val="TableHead"/>
            </w:pPr>
            <w:r w:rsidRPr="0013396E">
              <w:t>Description</w:t>
            </w:r>
          </w:p>
        </w:tc>
      </w:tr>
      <w:tr w:rsidR="001F04FD" w:rsidRPr="0013396E" w14:paraId="58E47691" w14:textId="77777777" w:rsidTr="00AC4DEE">
        <w:tc>
          <w:tcPr>
            <w:tcW w:w="2005" w:type="dxa"/>
          </w:tcPr>
          <w:p w14:paraId="0D6E4BD1" w14:textId="77777777" w:rsidR="001F04FD" w:rsidRPr="0013396E" w:rsidRDefault="001F04FD" w:rsidP="00AC4DEE">
            <w:pPr>
              <w:pStyle w:val="TableBody"/>
            </w:pPr>
            <w:r w:rsidRPr="0013396E">
              <w:t xml:space="preserve">RTEDCIMPAMT </w:t>
            </w:r>
            <w:r w:rsidRPr="0013396E">
              <w:rPr>
                <w:i/>
                <w:vertAlign w:val="subscript"/>
              </w:rPr>
              <w:t>q, p</w:t>
            </w:r>
          </w:p>
        </w:tc>
        <w:tc>
          <w:tcPr>
            <w:tcW w:w="1080" w:type="dxa"/>
          </w:tcPr>
          <w:p w14:paraId="5B5F5915" w14:textId="77777777" w:rsidR="001F04FD" w:rsidRPr="0013396E" w:rsidRDefault="001F04FD" w:rsidP="00AC4DEE">
            <w:pPr>
              <w:pStyle w:val="TableBody"/>
            </w:pPr>
            <w:r w:rsidRPr="0013396E">
              <w:t>$</w:t>
            </w:r>
          </w:p>
        </w:tc>
        <w:tc>
          <w:tcPr>
            <w:tcW w:w="6743" w:type="dxa"/>
          </w:tcPr>
          <w:p w14:paraId="73E95165" w14:textId="77777777" w:rsidR="001F04FD" w:rsidRPr="0013396E" w:rsidRDefault="001F04FD" w:rsidP="00AC4DEE">
            <w:pPr>
              <w:pStyle w:val="TableBody"/>
            </w:pPr>
            <w:r w:rsidRPr="0013396E">
              <w:rPr>
                <w:i/>
              </w:rPr>
              <w:t>Real-Time Emergency DC Import Amount per QSE per Settlement Point</w:t>
            </w:r>
            <w:r w:rsidRPr="0013396E">
              <w:t xml:space="preserve">—The payment to QSE </w:t>
            </w:r>
            <w:r w:rsidRPr="0013396E">
              <w:rPr>
                <w:i/>
              </w:rPr>
              <w:t>q</w:t>
            </w:r>
            <w:r w:rsidRPr="0013396E">
              <w:t xml:space="preserve"> for emergency DC Tie import through DC Tie </w:t>
            </w:r>
            <w:r w:rsidRPr="0013396E">
              <w:rPr>
                <w:i/>
              </w:rPr>
              <w:t>p</w:t>
            </w:r>
            <w:r w:rsidRPr="0013396E">
              <w:t>, for the 15-minute Settlement Interval.</w:t>
            </w:r>
          </w:p>
        </w:tc>
      </w:tr>
      <w:tr w:rsidR="001F04FD" w:rsidRPr="0013396E" w14:paraId="52E2E123" w14:textId="77777777" w:rsidTr="00AC4DEE">
        <w:tc>
          <w:tcPr>
            <w:tcW w:w="2005" w:type="dxa"/>
          </w:tcPr>
          <w:p w14:paraId="4FA581A6" w14:textId="77777777" w:rsidR="001F04FD" w:rsidRPr="0013396E" w:rsidRDefault="001F04FD" w:rsidP="00AC4DEE">
            <w:pPr>
              <w:pStyle w:val="TableBody"/>
            </w:pPr>
            <w:r w:rsidRPr="0013396E">
              <w:t xml:space="preserve">RTSPP </w:t>
            </w:r>
            <w:r w:rsidRPr="0013396E">
              <w:rPr>
                <w:i/>
                <w:vertAlign w:val="subscript"/>
              </w:rPr>
              <w:t>p</w:t>
            </w:r>
          </w:p>
        </w:tc>
        <w:tc>
          <w:tcPr>
            <w:tcW w:w="1080" w:type="dxa"/>
          </w:tcPr>
          <w:p w14:paraId="1B6BA981" w14:textId="77777777" w:rsidR="001F04FD" w:rsidRPr="0013396E" w:rsidRDefault="001F04FD" w:rsidP="00AC4DEE">
            <w:pPr>
              <w:pStyle w:val="TableBody"/>
            </w:pPr>
            <w:r w:rsidRPr="0013396E">
              <w:t>$/MWh</w:t>
            </w:r>
          </w:p>
        </w:tc>
        <w:tc>
          <w:tcPr>
            <w:tcW w:w="6743" w:type="dxa"/>
          </w:tcPr>
          <w:p w14:paraId="0C52786F" w14:textId="0B6CA269" w:rsidR="001F04FD" w:rsidRPr="0013396E" w:rsidRDefault="001F04FD" w:rsidP="00AC4DEE">
            <w:pPr>
              <w:pStyle w:val="TableBody"/>
            </w:pPr>
            <w:r w:rsidRPr="0013396E">
              <w:rPr>
                <w:i/>
              </w:rPr>
              <w:t>Real-Time Settlement Point Price per Settlement Point</w:t>
            </w:r>
            <w:r w:rsidRPr="0013396E">
              <w:t>—The Real-Time S</w:t>
            </w:r>
            <w:r w:rsidR="00082248" w:rsidRPr="0013396E">
              <w:t xml:space="preserve">ettlement </w:t>
            </w:r>
            <w:r w:rsidRPr="0013396E">
              <w:t>P</w:t>
            </w:r>
            <w:r w:rsidR="00082248" w:rsidRPr="0013396E">
              <w:t xml:space="preserve">oint </w:t>
            </w:r>
            <w:r w:rsidRPr="0013396E">
              <w:t>P</w:t>
            </w:r>
            <w:r w:rsidR="00082248" w:rsidRPr="0013396E">
              <w:t>rice</w:t>
            </w:r>
            <w:r w:rsidRPr="0013396E">
              <w:t xml:space="preserve"> at Settlement Point </w:t>
            </w:r>
            <w:r w:rsidRPr="0013396E">
              <w:rPr>
                <w:i/>
              </w:rPr>
              <w:t>p</w:t>
            </w:r>
            <w:r w:rsidRPr="0013396E">
              <w:t>, for the 15-minute Settlement Interval.</w:t>
            </w:r>
          </w:p>
        </w:tc>
      </w:tr>
      <w:tr w:rsidR="001F04FD" w:rsidRPr="0013396E" w14:paraId="1137C0B4" w14:textId="77777777" w:rsidTr="00AC4DEE">
        <w:tc>
          <w:tcPr>
            <w:tcW w:w="2005" w:type="dxa"/>
          </w:tcPr>
          <w:p w14:paraId="64E3D900" w14:textId="77777777" w:rsidR="001F04FD" w:rsidRPr="0013396E" w:rsidRDefault="001F04FD" w:rsidP="00AC4DEE">
            <w:pPr>
              <w:pStyle w:val="TableBody"/>
            </w:pPr>
            <w:r w:rsidRPr="0013396E">
              <w:t>FIP</w:t>
            </w:r>
          </w:p>
        </w:tc>
        <w:tc>
          <w:tcPr>
            <w:tcW w:w="1080" w:type="dxa"/>
          </w:tcPr>
          <w:p w14:paraId="1408B450" w14:textId="77777777" w:rsidR="001F04FD" w:rsidRPr="0013396E" w:rsidRDefault="001F04FD" w:rsidP="00AC4DEE">
            <w:pPr>
              <w:pStyle w:val="TableBody"/>
            </w:pPr>
            <w:r w:rsidRPr="0013396E">
              <w:t>$/MMBtu</w:t>
            </w:r>
          </w:p>
        </w:tc>
        <w:tc>
          <w:tcPr>
            <w:tcW w:w="6743" w:type="dxa"/>
          </w:tcPr>
          <w:p w14:paraId="2CFA1657" w14:textId="77777777" w:rsidR="001F04FD" w:rsidRPr="0013396E" w:rsidRDefault="001F04FD" w:rsidP="00AC4DEE">
            <w:pPr>
              <w:pStyle w:val="TableBody"/>
            </w:pPr>
            <w:r w:rsidRPr="0013396E">
              <w:rPr>
                <w:i/>
              </w:rPr>
              <w:t>Fuel Index Price</w:t>
            </w:r>
            <w:r w:rsidRPr="0013396E">
              <w:t>—As defined in Section 2, Definitions and Acronyms.</w:t>
            </w:r>
          </w:p>
        </w:tc>
      </w:tr>
      <w:tr w:rsidR="001F04FD" w:rsidRPr="0013396E" w14:paraId="71589684" w14:textId="77777777" w:rsidTr="00AC4DEE">
        <w:tc>
          <w:tcPr>
            <w:tcW w:w="2005" w:type="dxa"/>
          </w:tcPr>
          <w:p w14:paraId="22E87C9A" w14:textId="77777777" w:rsidR="001F04FD" w:rsidRPr="0013396E" w:rsidRDefault="001F04FD" w:rsidP="00AC4DEE">
            <w:pPr>
              <w:pStyle w:val="TableBody"/>
            </w:pPr>
            <w:r w:rsidRPr="0013396E">
              <w:t xml:space="preserve">RTEDCIMP </w:t>
            </w:r>
            <w:r w:rsidRPr="0013396E">
              <w:rPr>
                <w:i/>
                <w:vertAlign w:val="subscript"/>
              </w:rPr>
              <w:t>q, p</w:t>
            </w:r>
          </w:p>
        </w:tc>
        <w:tc>
          <w:tcPr>
            <w:tcW w:w="1080" w:type="dxa"/>
          </w:tcPr>
          <w:p w14:paraId="4C00F729" w14:textId="77777777" w:rsidR="001F04FD" w:rsidRPr="0013396E" w:rsidRDefault="001F04FD" w:rsidP="00AC4DEE">
            <w:pPr>
              <w:pStyle w:val="TableBody"/>
            </w:pPr>
            <w:r w:rsidRPr="0013396E">
              <w:t>MW</w:t>
            </w:r>
          </w:p>
        </w:tc>
        <w:tc>
          <w:tcPr>
            <w:tcW w:w="6743" w:type="dxa"/>
          </w:tcPr>
          <w:p w14:paraId="5C16CA37" w14:textId="77777777" w:rsidR="001F04FD" w:rsidRPr="0013396E" w:rsidRDefault="001F04FD" w:rsidP="00AC4DEE">
            <w:pPr>
              <w:pStyle w:val="TableBody"/>
              <w:rPr>
                <w:i/>
              </w:rPr>
            </w:pPr>
            <w:r w:rsidRPr="0013396E">
              <w:rPr>
                <w:i/>
              </w:rPr>
              <w:t>Real-Time Emergency DC Import per QSE per Settlement Point</w:t>
            </w:r>
            <w:r w:rsidRPr="0013396E">
              <w:t xml:space="preserve">—The aggregated DC Tie Schedule for emergency energy imported by QSE </w:t>
            </w:r>
            <w:r w:rsidRPr="0013396E">
              <w:rPr>
                <w:i/>
              </w:rPr>
              <w:t>q</w:t>
            </w:r>
            <w:r w:rsidRPr="0013396E">
              <w:t xml:space="preserve"> into the ERCOT System during Emergency Conditions through DC Tie </w:t>
            </w:r>
            <w:r w:rsidRPr="0013396E">
              <w:rPr>
                <w:i/>
              </w:rPr>
              <w:t>p</w:t>
            </w:r>
            <w:r w:rsidRPr="0013396E">
              <w:t>, for the 15-minute Settlement Interval.</w:t>
            </w:r>
          </w:p>
        </w:tc>
      </w:tr>
      <w:tr w:rsidR="001F04FD" w:rsidRPr="0013396E" w14:paraId="6EBEC13A" w14:textId="77777777" w:rsidTr="00AC4DEE">
        <w:tc>
          <w:tcPr>
            <w:tcW w:w="2005" w:type="dxa"/>
          </w:tcPr>
          <w:p w14:paraId="6E932D6D" w14:textId="77777777" w:rsidR="001F04FD" w:rsidRPr="0013396E" w:rsidRDefault="001F04FD" w:rsidP="00AC4DEE">
            <w:pPr>
              <w:pStyle w:val="TableBody"/>
              <w:rPr>
                <w:b/>
                <w:i/>
                <w:vertAlign w:val="subscript"/>
              </w:rPr>
            </w:pPr>
            <w:r w:rsidRPr="0013396E">
              <w:t xml:space="preserve">VEEPDCTP </w:t>
            </w:r>
            <w:r w:rsidRPr="0013396E">
              <w:rPr>
                <w:i/>
                <w:vertAlign w:val="subscript"/>
              </w:rPr>
              <w:t>q, p</w:t>
            </w:r>
          </w:p>
        </w:tc>
        <w:tc>
          <w:tcPr>
            <w:tcW w:w="1080" w:type="dxa"/>
          </w:tcPr>
          <w:p w14:paraId="1F42A8F5" w14:textId="77777777" w:rsidR="001F04FD" w:rsidRPr="0013396E" w:rsidRDefault="001F04FD" w:rsidP="00AC4DEE">
            <w:pPr>
              <w:pStyle w:val="TableBody"/>
            </w:pPr>
            <w:r w:rsidRPr="0013396E">
              <w:t>$/MWh</w:t>
            </w:r>
          </w:p>
        </w:tc>
        <w:tc>
          <w:tcPr>
            <w:tcW w:w="6743" w:type="dxa"/>
          </w:tcPr>
          <w:p w14:paraId="5B588A4E" w14:textId="77777777" w:rsidR="001F04FD" w:rsidRPr="0013396E" w:rsidRDefault="001F04FD" w:rsidP="00AC4DEE">
            <w:pPr>
              <w:pStyle w:val="TableBody"/>
            </w:pPr>
            <w:r w:rsidRPr="0013396E">
              <w:rPr>
                <w:i/>
              </w:rPr>
              <w:t>Verified Emergency Energy Price at DC Tie Point</w:t>
            </w:r>
            <w:r w:rsidRPr="0013396E">
              <w:t xml:space="preserve">—The ERCOT verified cost for the energy imported by QSE </w:t>
            </w:r>
            <w:r w:rsidRPr="0013396E">
              <w:rPr>
                <w:i/>
              </w:rPr>
              <w:t>q</w:t>
            </w:r>
            <w:r w:rsidRPr="0013396E">
              <w:t xml:space="preserve"> into the ERCOT System during declared Emergency Condition through a DC Tie </w:t>
            </w:r>
            <w:r w:rsidRPr="0013396E">
              <w:rPr>
                <w:i/>
              </w:rPr>
              <w:t>p</w:t>
            </w:r>
            <w:r w:rsidRPr="0013396E">
              <w:t xml:space="preserve"> as instructed by a Dispatch Instruction.</w:t>
            </w:r>
          </w:p>
        </w:tc>
      </w:tr>
      <w:tr w:rsidR="001F04FD" w:rsidRPr="0013396E" w14:paraId="4A37CB2A" w14:textId="77777777" w:rsidTr="00AC4DEE">
        <w:tc>
          <w:tcPr>
            <w:tcW w:w="2005" w:type="dxa"/>
          </w:tcPr>
          <w:p w14:paraId="2707C7AE" w14:textId="77777777" w:rsidR="001F04FD" w:rsidRPr="0013396E" w:rsidRDefault="001F04FD" w:rsidP="00AC4DEE">
            <w:pPr>
              <w:pStyle w:val="TableBody"/>
            </w:pPr>
            <w:r w:rsidRPr="0013396E">
              <w:t>CAEDCT</w:t>
            </w:r>
          </w:p>
        </w:tc>
        <w:tc>
          <w:tcPr>
            <w:tcW w:w="1080" w:type="dxa"/>
          </w:tcPr>
          <w:p w14:paraId="7084308E" w14:textId="77777777" w:rsidR="001F04FD" w:rsidRPr="0013396E" w:rsidRDefault="001F04FD" w:rsidP="00AC4DEE">
            <w:pPr>
              <w:pStyle w:val="TableBody"/>
            </w:pPr>
            <w:r w:rsidRPr="0013396E">
              <w:t>#</w:t>
            </w:r>
          </w:p>
        </w:tc>
        <w:tc>
          <w:tcPr>
            <w:tcW w:w="6743" w:type="dxa"/>
          </w:tcPr>
          <w:p w14:paraId="1A47A954" w14:textId="77777777" w:rsidR="001F04FD" w:rsidRPr="0013396E" w:rsidRDefault="001F04FD" w:rsidP="00AC4DEE">
            <w:pPr>
              <w:pStyle w:val="TableBody"/>
              <w:rPr>
                <w:i/>
              </w:rPr>
            </w:pPr>
            <w:r w:rsidRPr="0013396E">
              <w:rPr>
                <w:i/>
              </w:rPr>
              <w:t>Cost Adder for Emergency DC Tie Import</w:t>
            </w:r>
            <w:r w:rsidRPr="0013396E">
              <w:t>—A multiplier of 1.10.</w:t>
            </w:r>
          </w:p>
        </w:tc>
      </w:tr>
      <w:tr w:rsidR="001F04FD" w:rsidRPr="0013396E" w14:paraId="0A2EB0D0" w14:textId="77777777" w:rsidTr="00AC4DEE">
        <w:tc>
          <w:tcPr>
            <w:tcW w:w="2005" w:type="dxa"/>
          </w:tcPr>
          <w:p w14:paraId="5979E751" w14:textId="77777777" w:rsidR="001F04FD" w:rsidRPr="0013396E" w:rsidRDefault="001F04FD" w:rsidP="00AC4DEE">
            <w:pPr>
              <w:pStyle w:val="TableBody"/>
              <w:rPr>
                <w:i/>
              </w:rPr>
            </w:pPr>
            <w:r w:rsidRPr="0013396E">
              <w:rPr>
                <w:i/>
              </w:rPr>
              <w:t>q</w:t>
            </w:r>
          </w:p>
        </w:tc>
        <w:tc>
          <w:tcPr>
            <w:tcW w:w="1080" w:type="dxa"/>
          </w:tcPr>
          <w:p w14:paraId="34ABFF32" w14:textId="77777777" w:rsidR="001F04FD" w:rsidRPr="0013396E" w:rsidRDefault="001F04FD" w:rsidP="00AC4DEE">
            <w:pPr>
              <w:pStyle w:val="TableBody"/>
            </w:pPr>
            <w:r w:rsidRPr="0013396E">
              <w:t>none</w:t>
            </w:r>
          </w:p>
        </w:tc>
        <w:tc>
          <w:tcPr>
            <w:tcW w:w="6743" w:type="dxa"/>
          </w:tcPr>
          <w:p w14:paraId="4569E2CD" w14:textId="77777777" w:rsidR="001F04FD" w:rsidRPr="0013396E" w:rsidRDefault="001F04FD" w:rsidP="00AC4DEE">
            <w:pPr>
              <w:pStyle w:val="TableBody"/>
              <w:rPr>
                <w:i/>
                <w:lang w:val="fr-FR"/>
              </w:rPr>
            </w:pPr>
            <w:r w:rsidRPr="0013396E">
              <w:t>A QSE.</w:t>
            </w:r>
          </w:p>
        </w:tc>
      </w:tr>
      <w:tr w:rsidR="001F04FD" w:rsidRPr="0013396E" w14:paraId="7775A626" w14:textId="77777777" w:rsidTr="00AC4DEE">
        <w:tc>
          <w:tcPr>
            <w:tcW w:w="2005" w:type="dxa"/>
          </w:tcPr>
          <w:p w14:paraId="3C41C2FA" w14:textId="77777777" w:rsidR="001F04FD" w:rsidRPr="0013396E" w:rsidRDefault="001F04FD" w:rsidP="00AC4DEE">
            <w:pPr>
              <w:pStyle w:val="TableBody"/>
              <w:rPr>
                <w:i/>
              </w:rPr>
            </w:pPr>
            <w:r w:rsidRPr="0013396E">
              <w:rPr>
                <w:i/>
              </w:rPr>
              <w:t>p</w:t>
            </w:r>
          </w:p>
        </w:tc>
        <w:tc>
          <w:tcPr>
            <w:tcW w:w="1080" w:type="dxa"/>
          </w:tcPr>
          <w:p w14:paraId="41E1B920" w14:textId="77777777" w:rsidR="001F04FD" w:rsidRPr="0013396E" w:rsidRDefault="001F04FD" w:rsidP="00AC4DEE">
            <w:pPr>
              <w:pStyle w:val="TableBody"/>
            </w:pPr>
            <w:r w:rsidRPr="0013396E">
              <w:t>none</w:t>
            </w:r>
          </w:p>
        </w:tc>
        <w:tc>
          <w:tcPr>
            <w:tcW w:w="6743" w:type="dxa"/>
          </w:tcPr>
          <w:p w14:paraId="0B87E555" w14:textId="77777777" w:rsidR="001F04FD" w:rsidRPr="0013396E" w:rsidRDefault="001F04FD" w:rsidP="00AC4DEE">
            <w:pPr>
              <w:pStyle w:val="TableBody"/>
              <w:rPr>
                <w:lang w:val="fr-FR"/>
              </w:rPr>
            </w:pPr>
            <w:r w:rsidRPr="0013396E">
              <w:rPr>
                <w:lang w:val="fr-FR"/>
              </w:rPr>
              <w:t>A DC Tie Settlement Point.</w:t>
            </w:r>
          </w:p>
        </w:tc>
      </w:tr>
    </w:tbl>
    <w:p w14:paraId="7773E973" w14:textId="77777777" w:rsidR="001F04FD" w:rsidRPr="0013396E" w:rsidRDefault="001F04FD" w:rsidP="001F04FD">
      <w:pPr>
        <w:pStyle w:val="BodyTextNumbered"/>
        <w:spacing w:after="0"/>
        <w:rPr>
          <w:lang w:val="fr-FR"/>
        </w:rPr>
      </w:pPr>
    </w:p>
    <w:p w14:paraId="34CFE57A" w14:textId="77777777" w:rsidR="001F04FD" w:rsidRPr="0013396E" w:rsidRDefault="001F04FD" w:rsidP="001F04FD">
      <w:pPr>
        <w:pStyle w:val="BodyTextNumbered"/>
      </w:pPr>
      <w:r w:rsidRPr="0013396E">
        <w:t>(3)</w:t>
      </w:r>
      <w:r w:rsidRPr="0013396E">
        <w:tab/>
        <w:t>The total of the payments to each QSE for all energy imported into the ERCOT System through DC Ties for the 15-minute Settlement Interval is calculated as follows:</w:t>
      </w:r>
    </w:p>
    <w:p w14:paraId="26A3472C" w14:textId="77777777" w:rsidR="001F04FD" w:rsidRPr="0013396E" w:rsidRDefault="001F04FD" w:rsidP="001F04FD">
      <w:pPr>
        <w:pStyle w:val="FormulaBold"/>
      </w:pPr>
      <w:r w:rsidRPr="0013396E">
        <w:t xml:space="preserve">RTDCIMPAMTQSETOT </w:t>
      </w:r>
      <w:r w:rsidRPr="0013396E">
        <w:rPr>
          <w:i/>
          <w:vertAlign w:val="subscript"/>
        </w:rPr>
        <w:t>q, p</w:t>
      </w:r>
      <w:r w:rsidRPr="0013396E">
        <w:tab/>
        <w:t>=</w:t>
      </w:r>
      <w:r w:rsidRPr="0013396E">
        <w:tab/>
      </w:r>
      <w:r w:rsidRPr="0013396E">
        <w:rPr>
          <w:position w:val="-22"/>
        </w:rPr>
        <w:object w:dxaOrig="225" w:dyaOrig="465" w14:anchorId="32794AC9">
          <v:shape id="_x0000_i1125" type="#_x0000_t75" style="width:12pt;height:18.6pt" o:ole="">
            <v:imagedata r:id="rId140" o:title=""/>
          </v:shape>
          <o:OLEObject Type="Embed" ProgID="Equation.3" ShapeID="_x0000_i1125" DrawAspect="Content" ObjectID="_1836311404" r:id="rId144"/>
        </w:object>
      </w:r>
      <w:r w:rsidRPr="0013396E">
        <w:t xml:space="preserve">(RTDCIMPAMT </w:t>
      </w:r>
      <w:r w:rsidRPr="0013396E">
        <w:rPr>
          <w:i/>
          <w:vertAlign w:val="subscript"/>
        </w:rPr>
        <w:t>q, p</w:t>
      </w:r>
      <w:r w:rsidRPr="0013396E">
        <w:t xml:space="preserve">+ RTEDCIMPAMT </w:t>
      </w:r>
      <w:r w:rsidRPr="0013396E">
        <w:rPr>
          <w:i/>
          <w:vertAlign w:val="subscript"/>
        </w:rPr>
        <w:t>q, p</w:t>
      </w:r>
      <w:r w:rsidRPr="0013396E">
        <w:t>)</w:t>
      </w:r>
    </w:p>
    <w:p w14:paraId="60EE3242" w14:textId="77777777" w:rsidR="001F04FD" w:rsidRPr="0013396E" w:rsidRDefault="001F04FD" w:rsidP="001F04FD">
      <w:r w:rsidRPr="0013396E">
        <w:t>The above variables are defined as follows:</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630"/>
        <w:gridCol w:w="6570"/>
      </w:tblGrid>
      <w:tr w:rsidR="001F04FD" w:rsidRPr="0013396E" w14:paraId="42963CEE" w14:textId="77777777" w:rsidTr="00AC4DEE">
        <w:trPr>
          <w:tblHeader/>
        </w:trPr>
        <w:tc>
          <w:tcPr>
            <w:tcW w:w="2628" w:type="dxa"/>
          </w:tcPr>
          <w:p w14:paraId="2D0AEE90" w14:textId="77777777" w:rsidR="001F04FD" w:rsidRPr="0013396E" w:rsidRDefault="001F04FD" w:rsidP="00AC4DEE">
            <w:pPr>
              <w:pStyle w:val="TableHead"/>
            </w:pPr>
            <w:r w:rsidRPr="0013396E">
              <w:t>Variable</w:t>
            </w:r>
          </w:p>
        </w:tc>
        <w:tc>
          <w:tcPr>
            <w:tcW w:w="630" w:type="dxa"/>
          </w:tcPr>
          <w:p w14:paraId="176EC2F6" w14:textId="77777777" w:rsidR="001F04FD" w:rsidRPr="0013396E" w:rsidRDefault="001F04FD" w:rsidP="00AC4DEE">
            <w:pPr>
              <w:pStyle w:val="TableHead"/>
            </w:pPr>
            <w:r w:rsidRPr="0013396E">
              <w:t>Unit</w:t>
            </w:r>
          </w:p>
        </w:tc>
        <w:tc>
          <w:tcPr>
            <w:tcW w:w="6570" w:type="dxa"/>
          </w:tcPr>
          <w:p w14:paraId="0F3A1722" w14:textId="77777777" w:rsidR="001F04FD" w:rsidRPr="0013396E" w:rsidRDefault="001F04FD" w:rsidP="00AC4DEE">
            <w:pPr>
              <w:pStyle w:val="TableHead"/>
            </w:pPr>
            <w:r w:rsidRPr="0013396E">
              <w:t>Definition</w:t>
            </w:r>
          </w:p>
        </w:tc>
      </w:tr>
      <w:tr w:rsidR="001F04FD" w:rsidRPr="0013396E" w14:paraId="2E617BA2" w14:textId="77777777" w:rsidTr="00AC4DEE">
        <w:tc>
          <w:tcPr>
            <w:tcW w:w="2628" w:type="dxa"/>
          </w:tcPr>
          <w:p w14:paraId="18AC5E8A" w14:textId="77777777" w:rsidR="001F04FD" w:rsidRPr="0013396E" w:rsidRDefault="001F04FD" w:rsidP="00AC4DEE">
            <w:pPr>
              <w:pStyle w:val="TableBody"/>
            </w:pPr>
            <w:r w:rsidRPr="0013396E">
              <w:t xml:space="preserve">RTDCIMPAMTQSETOT </w:t>
            </w:r>
            <w:r w:rsidRPr="0013396E">
              <w:rPr>
                <w:i/>
                <w:vertAlign w:val="subscript"/>
              </w:rPr>
              <w:t>q, p</w:t>
            </w:r>
          </w:p>
        </w:tc>
        <w:tc>
          <w:tcPr>
            <w:tcW w:w="630" w:type="dxa"/>
          </w:tcPr>
          <w:p w14:paraId="27B39313" w14:textId="77777777" w:rsidR="001F04FD" w:rsidRPr="0013396E" w:rsidRDefault="001F04FD" w:rsidP="00AC4DEE">
            <w:pPr>
              <w:pStyle w:val="TableBody"/>
            </w:pPr>
            <w:r w:rsidRPr="0013396E">
              <w:t>$</w:t>
            </w:r>
          </w:p>
        </w:tc>
        <w:tc>
          <w:tcPr>
            <w:tcW w:w="6570" w:type="dxa"/>
          </w:tcPr>
          <w:p w14:paraId="2F1E098F" w14:textId="77777777" w:rsidR="001F04FD" w:rsidRPr="0013396E" w:rsidRDefault="001F04FD" w:rsidP="00AC4DEE">
            <w:pPr>
              <w:pStyle w:val="TableBody"/>
            </w:pPr>
            <w:r w:rsidRPr="0013396E">
              <w:rPr>
                <w:i/>
              </w:rPr>
              <w:t>Real-Time DC Import Amount QSE Total per QSE</w:t>
            </w:r>
            <w:r w:rsidRPr="0013396E">
              <w:sym w:font="Symbol" w:char="F0BE"/>
            </w:r>
            <w:r w:rsidRPr="0013396E">
              <w:t xml:space="preserve">The total of the payments to QSE </w:t>
            </w:r>
            <w:r w:rsidRPr="0013396E">
              <w:rPr>
                <w:i/>
              </w:rPr>
              <w:t>q</w:t>
            </w:r>
            <w:r w:rsidRPr="0013396E">
              <w:t xml:space="preserve"> for energy imported into the ERCOT System through DC Ties </w:t>
            </w:r>
            <w:r w:rsidRPr="0013396E">
              <w:rPr>
                <w:i/>
              </w:rPr>
              <w:t xml:space="preserve">p, </w:t>
            </w:r>
            <w:r w:rsidRPr="0013396E">
              <w:t>for the 15-minute Settlement Interval.</w:t>
            </w:r>
          </w:p>
        </w:tc>
      </w:tr>
      <w:tr w:rsidR="001F04FD" w:rsidRPr="0013396E" w14:paraId="3DFCDE1D" w14:textId="77777777" w:rsidTr="00AC4DEE">
        <w:tc>
          <w:tcPr>
            <w:tcW w:w="2628" w:type="dxa"/>
          </w:tcPr>
          <w:p w14:paraId="6CD0B0AB" w14:textId="77777777" w:rsidR="001F04FD" w:rsidRPr="0013396E" w:rsidRDefault="001F04FD" w:rsidP="00AC4DEE">
            <w:pPr>
              <w:pStyle w:val="TableBody"/>
            </w:pPr>
            <w:r w:rsidRPr="0013396E">
              <w:t xml:space="preserve">RTDCIMPAMT </w:t>
            </w:r>
            <w:r w:rsidRPr="0013396E">
              <w:rPr>
                <w:i/>
                <w:vertAlign w:val="subscript"/>
              </w:rPr>
              <w:t>q, p</w:t>
            </w:r>
          </w:p>
        </w:tc>
        <w:tc>
          <w:tcPr>
            <w:tcW w:w="630" w:type="dxa"/>
          </w:tcPr>
          <w:p w14:paraId="1D168084" w14:textId="77777777" w:rsidR="001F04FD" w:rsidRPr="0013396E" w:rsidRDefault="001F04FD" w:rsidP="00AC4DEE">
            <w:pPr>
              <w:pStyle w:val="TableBody"/>
            </w:pPr>
            <w:r w:rsidRPr="0013396E">
              <w:t>$</w:t>
            </w:r>
          </w:p>
        </w:tc>
        <w:tc>
          <w:tcPr>
            <w:tcW w:w="6570" w:type="dxa"/>
          </w:tcPr>
          <w:p w14:paraId="034D0D1E" w14:textId="77777777" w:rsidR="001F04FD" w:rsidRPr="0013396E" w:rsidRDefault="001F04FD" w:rsidP="00AC4DEE">
            <w:pPr>
              <w:pStyle w:val="TableBody"/>
            </w:pPr>
            <w:r w:rsidRPr="0013396E">
              <w:rPr>
                <w:i/>
              </w:rPr>
              <w:t>Real-Time DC Import Amount per QSE per Settlement Point</w:t>
            </w:r>
            <w:r w:rsidRPr="0013396E">
              <w:t xml:space="preserve">—The payment to QSE </w:t>
            </w:r>
            <w:r w:rsidRPr="0013396E">
              <w:rPr>
                <w:i/>
              </w:rPr>
              <w:t>q</w:t>
            </w:r>
            <w:r w:rsidRPr="0013396E">
              <w:t xml:space="preserve"> for DC Tie import through DC Tie </w:t>
            </w:r>
            <w:r w:rsidRPr="0013396E">
              <w:rPr>
                <w:i/>
              </w:rPr>
              <w:t>p</w:t>
            </w:r>
            <w:r w:rsidRPr="0013396E">
              <w:t>, for the 15-minute Settlement Interval.</w:t>
            </w:r>
          </w:p>
        </w:tc>
      </w:tr>
      <w:tr w:rsidR="001F04FD" w:rsidRPr="0013396E" w14:paraId="43C02C58" w14:textId="77777777" w:rsidTr="00AC4DEE">
        <w:tc>
          <w:tcPr>
            <w:tcW w:w="2628" w:type="dxa"/>
          </w:tcPr>
          <w:p w14:paraId="28E1CA71" w14:textId="77777777" w:rsidR="001F04FD" w:rsidRPr="0013396E" w:rsidRDefault="001F04FD" w:rsidP="00AC4DEE">
            <w:pPr>
              <w:pStyle w:val="TableBody"/>
            </w:pPr>
            <w:r w:rsidRPr="0013396E">
              <w:t xml:space="preserve">RTEDCIMPAMT </w:t>
            </w:r>
            <w:r w:rsidRPr="0013396E">
              <w:rPr>
                <w:i/>
                <w:vertAlign w:val="subscript"/>
              </w:rPr>
              <w:t>q, p</w:t>
            </w:r>
          </w:p>
        </w:tc>
        <w:tc>
          <w:tcPr>
            <w:tcW w:w="630" w:type="dxa"/>
          </w:tcPr>
          <w:p w14:paraId="79201B9A" w14:textId="77777777" w:rsidR="001F04FD" w:rsidRPr="0013396E" w:rsidRDefault="001F04FD" w:rsidP="00AC4DEE">
            <w:pPr>
              <w:pStyle w:val="TableBody"/>
            </w:pPr>
            <w:r w:rsidRPr="0013396E">
              <w:t>$</w:t>
            </w:r>
          </w:p>
        </w:tc>
        <w:tc>
          <w:tcPr>
            <w:tcW w:w="6570" w:type="dxa"/>
          </w:tcPr>
          <w:p w14:paraId="5FCFD8E1" w14:textId="77777777" w:rsidR="001F04FD" w:rsidRPr="0013396E" w:rsidRDefault="001F04FD" w:rsidP="00AC4DEE">
            <w:pPr>
              <w:pStyle w:val="TableBody"/>
              <w:rPr>
                <w:i/>
              </w:rPr>
            </w:pPr>
            <w:r w:rsidRPr="0013396E">
              <w:rPr>
                <w:i/>
              </w:rPr>
              <w:t>Real-Time Emergency DC Import Amount per QSE per Settlement Point</w:t>
            </w:r>
            <w:r w:rsidRPr="0013396E">
              <w:sym w:font="Symbol" w:char="F0BE"/>
            </w:r>
            <w:r w:rsidRPr="0013396E">
              <w:t xml:space="preserve">The payment to QSE </w:t>
            </w:r>
            <w:r w:rsidRPr="0013396E">
              <w:rPr>
                <w:i/>
              </w:rPr>
              <w:t>q</w:t>
            </w:r>
            <w:r w:rsidRPr="0013396E">
              <w:t xml:space="preserve"> for emergency DC Tie import through DC Tie </w:t>
            </w:r>
            <w:r w:rsidRPr="0013396E">
              <w:rPr>
                <w:i/>
              </w:rPr>
              <w:t>p</w:t>
            </w:r>
            <w:r w:rsidRPr="0013396E">
              <w:t>, for the 15-minute Settlement Interval.</w:t>
            </w:r>
          </w:p>
        </w:tc>
      </w:tr>
      <w:tr w:rsidR="001F04FD" w:rsidRPr="0013396E" w14:paraId="13FD07BE" w14:textId="77777777" w:rsidTr="00AC4DEE">
        <w:tc>
          <w:tcPr>
            <w:tcW w:w="2628" w:type="dxa"/>
            <w:tcBorders>
              <w:top w:val="single" w:sz="4" w:space="0" w:color="auto"/>
              <w:left w:val="single" w:sz="4" w:space="0" w:color="auto"/>
              <w:bottom w:val="single" w:sz="4" w:space="0" w:color="auto"/>
              <w:right w:val="single" w:sz="4" w:space="0" w:color="auto"/>
            </w:tcBorders>
          </w:tcPr>
          <w:p w14:paraId="3E72086E" w14:textId="77777777" w:rsidR="001F04FD" w:rsidRPr="0013396E" w:rsidRDefault="001F04FD" w:rsidP="00AC4DEE">
            <w:pPr>
              <w:pStyle w:val="TableBody"/>
              <w:rPr>
                <w:i/>
              </w:rPr>
            </w:pPr>
            <w:r w:rsidRPr="0013396E">
              <w:rPr>
                <w:i/>
              </w:rPr>
              <w:t>q</w:t>
            </w:r>
          </w:p>
        </w:tc>
        <w:tc>
          <w:tcPr>
            <w:tcW w:w="630" w:type="dxa"/>
            <w:tcBorders>
              <w:top w:val="single" w:sz="4" w:space="0" w:color="auto"/>
              <w:left w:val="single" w:sz="4" w:space="0" w:color="auto"/>
              <w:bottom w:val="single" w:sz="4" w:space="0" w:color="auto"/>
              <w:right w:val="single" w:sz="4" w:space="0" w:color="auto"/>
            </w:tcBorders>
          </w:tcPr>
          <w:p w14:paraId="37BA4358" w14:textId="77777777" w:rsidR="001F04FD" w:rsidRPr="0013396E" w:rsidRDefault="001F04FD" w:rsidP="00AC4DEE">
            <w:pPr>
              <w:pStyle w:val="TableBody"/>
            </w:pPr>
            <w:r w:rsidRPr="0013396E">
              <w:t>none</w:t>
            </w:r>
          </w:p>
        </w:tc>
        <w:tc>
          <w:tcPr>
            <w:tcW w:w="6570" w:type="dxa"/>
            <w:tcBorders>
              <w:top w:val="single" w:sz="4" w:space="0" w:color="auto"/>
              <w:left w:val="single" w:sz="4" w:space="0" w:color="auto"/>
              <w:bottom w:val="single" w:sz="4" w:space="0" w:color="auto"/>
              <w:right w:val="single" w:sz="4" w:space="0" w:color="auto"/>
            </w:tcBorders>
          </w:tcPr>
          <w:p w14:paraId="7FB66992" w14:textId="77777777" w:rsidR="001F04FD" w:rsidRPr="0013396E" w:rsidRDefault="001F04FD" w:rsidP="00AC4DEE">
            <w:pPr>
              <w:pStyle w:val="TableBody"/>
            </w:pPr>
            <w:r w:rsidRPr="0013396E">
              <w:t>A QSE.</w:t>
            </w:r>
          </w:p>
        </w:tc>
      </w:tr>
      <w:tr w:rsidR="001F04FD" w:rsidRPr="0013396E" w14:paraId="7E0C3CA3" w14:textId="77777777" w:rsidTr="00AC4DEE">
        <w:tc>
          <w:tcPr>
            <w:tcW w:w="2628" w:type="dxa"/>
            <w:tcBorders>
              <w:top w:val="single" w:sz="4" w:space="0" w:color="auto"/>
              <w:left w:val="single" w:sz="4" w:space="0" w:color="auto"/>
              <w:bottom w:val="single" w:sz="4" w:space="0" w:color="auto"/>
              <w:right w:val="single" w:sz="4" w:space="0" w:color="auto"/>
            </w:tcBorders>
          </w:tcPr>
          <w:p w14:paraId="6D1EC7AE" w14:textId="77777777" w:rsidR="001F04FD" w:rsidRPr="0013396E" w:rsidRDefault="001F04FD" w:rsidP="00AC4DEE">
            <w:pPr>
              <w:pStyle w:val="TableBody"/>
              <w:rPr>
                <w:i/>
              </w:rPr>
            </w:pPr>
            <w:r w:rsidRPr="0013396E">
              <w:rPr>
                <w:i/>
              </w:rPr>
              <w:t>p</w:t>
            </w:r>
          </w:p>
        </w:tc>
        <w:tc>
          <w:tcPr>
            <w:tcW w:w="630" w:type="dxa"/>
            <w:tcBorders>
              <w:top w:val="single" w:sz="4" w:space="0" w:color="auto"/>
              <w:left w:val="single" w:sz="4" w:space="0" w:color="auto"/>
              <w:bottom w:val="single" w:sz="4" w:space="0" w:color="auto"/>
              <w:right w:val="single" w:sz="4" w:space="0" w:color="auto"/>
            </w:tcBorders>
          </w:tcPr>
          <w:p w14:paraId="50DF5F3D" w14:textId="77777777" w:rsidR="001F04FD" w:rsidRPr="0013396E" w:rsidRDefault="001F04FD" w:rsidP="00AC4DEE">
            <w:pPr>
              <w:pStyle w:val="TableBody"/>
            </w:pPr>
            <w:r w:rsidRPr="0013396E">
              <w:t>none</w:t>
            </w:r>
          </w:p>
        </w:tc>
        <w:tc>
          <w:tcPr>
            <w:tcW w:w="6570" w:type="dxa"/>
            <w:tcBorders>
              <w:top w:val="single" w:sz="4" w:space="0" w:color="auto"/>
              <w:left w:val="single" w:sz="4" w:space="0" w:color="auto"/>
              <w:bottom w:val="single" w:sz="4" w:space="0" w:color="auto"/>
              <w:right w:val="single" w:sz="4" w:space="0" w:color="auto"/>
            </w:tcBorders>
          </w:tcPr>
          <w:p w14:paraId="245578E9" w14:textId="77777777" w:rsidR="001F04FD" w:rsidRPr="0013396E" w:rsidRDefault="001F04FD" w:rsidP="00AC4DEE">
            <w:pPr>
              <w:pStyle w:val="TableBody"/>
              <w:rPr>
                <w:lang w:val="fr-FR"/>
              </w:rPr>
            </w:pPr>
            <w:r w:rsidRPr="0013396E">
              <w:rPr>
                <w:lang w:val="fr-FR"/>
              </w:rPr>
              <w:t>A DC Tie Settlement Point.</w:t>
            </w:r>
          </w:p>
        </w:tc>
      </w:tr>
    </w:tbl>
    <w:p w14:paraId="367F29AF" w14:textId="77777777" w:rsidR="001F04FD" w:rsidRPr="0013396E" w:rsidRDefault="001F04FD" w:rsidP="001F04FD">
      <w:pPr>
        <w:pStyle w:val="H4"/>
        <w:spacing w:before="480"/>
        <w:ind w:left="1267" w:hanging="1267"/>
      </w:pPr>
      <w:bookmarkStart w:id="1625" w:name="_Toc397505017"/>
      <w:bookmarkStart w:id="1626" w:name="_Toc402357145"/>
      <w:bookmarkStart w:id="1627" w:name="_Toc422486523"/>
      <w:bookmarkStart w:id="1628" w:name="_Toc433093375"/>
      <w:bookmarkStart w:id="1629" w:name="_Toc433093533"/>
      <w:bookmarkStart w:id="1630" w:name="_Toc440874761"/>
      <w:bookmarkStart w:id="1631" w:name="_Toc448142316"/>
      <w:bookmarkStart w:id="1632" w:name="_Toc448142473"/>
      <w:bookmarkStart w:id="1633" w:name="_Toc458770314"/>
      <w:bookmarkStart w:id="1634" w:name="_Toc459294282"/>
      <w:bookmarkStart w:id="1635" w:name="_Toc463262775"/>
      <w:bookmarkStart w:id="1636" w:name="_Toc468286848"/>
      <w:bookmarkStart w:id="1637" w:name="_Toc481502891"/>
      <w:bookmarkStart w:id="1638" w:name="_Toc496080059"/>
      <w:bookmarkStart w:id="1639" w:name="_Toc214878969"/>
      <w:r w:rsidRPr="0013396E">
        <w:lastRenderedPageBreak/>
        <w:t>6.6.3.5</w:t>
      </w:r>
      <w:r w:rsidRPr="0013396E">
        <w:tab/>
        <w:t>Real-Time Payment for a Block Load Transfer Point</w:t>
      </w:r>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p>
    <w:p w14:paraId="476EEAC7" w14:textId="2E0956CE" w:rsidR="001F04FD" w:rsidRPr="0013396E" w:rsidRDefault="001F04FD" w:rsidP="001F04FD">
      <w:pPr>
        <w:pStyle w:val="BodyTextNumbered"/>
      </w:pPr>
      <w:r w:rsidRPr="0013396E">
        <w:t>(1)</w:t>
      </w:r>
      <w:r w:rsidRPr="0013396E">
        <w:tab/>
        <w:t xml:space="preserve">ERCOT shall pay each QSE for the energy delivered to an ERCOT Load through a Block Load Transfer (BLT) Point that is </w:t>
      </w:r>
      <w:r w:rsidR="00C830CE" w:rsidRPr="0013396E">
        <w:t xml:space="preserve">registered for Settlement when that Load is </w:t>
      </w:r>
      <w:r w:rsidRPr="0013396E">
        <w:t>moved from the ERCOT Control Area to a non-ERCOT Control Area.  The payment for a given 15-minute Settlement Interval is calculated as follows:</w:t>
      </w:r>
    </w:p>
    <w:p w14:paraId="0531A3B9" w14:textId="77777777" w:rsidR="001F04FD" w:rsidRPr="0013396E" w:rsidRDefault="001F04FD" w:rsidP="001F04FD">
      <w:pPr>
        <w:pStyle w:val="FormulaBold"/>
        <w:ind w:left="3240" w:hanging="2520"/>
      </w:pPr>
      <w:r w:rsidRPr="0013396E">
        <w:t xml:space="preserve">BLTRAMT </w:t>
      </w:r>
      <w:r w:rsidRPr="0013396E">
        <w:rPr>
          <w:i/>
          <w:vertAlign w:val="subscript"/>
        </w:rPr>
        <w:t>q, bltp, p</w:t>
      </w:r>
      <w:r w:rsidRPr="0013396E">
        <w:t xml:space="preserve"> = </w:t>
      </w:r>
      <w:r w:rsidRPr="0013396E">
        <w:tab/>
        <w:t xml:space="preserve">(-1) * MAX {RTSPPEW </w:t>
      </w:r>
      <w:r w:rsidRPr="0013396E">
        <w:rPr>
          <w:i/>
          <w:vertAlign w:val="subscript"/>
        </w:rPr>
        <w:t>p</w:t>
      </w:r>
      <w:r w:rsidRPr="0013396E">
        <w:t xml:space="preserve">, (VEEPBLTP </w:t>
      </w:r>
      <w:r w:rsidRPr="0013396E">
        <w:rPr>
          <w:i/>
          <w:vertAlign w:val="subscript"/>
        </w:rPr>
        <w:t>q, bltp</w:t>
      </w:r>
      <w:r w:rsidRPr="0013396E">
        <w:t xml:space="preserve">) </w:t>
      </w:r>
      <w:r w:rsidRPr="0013396E">
        <w:rPr>
          <w:i/>
        </w:rPr>
        <w:t>*</w:t>
      </w:r>
      <w:r w:rsidRPr="0013396E">
        <w:t xml:space="preserve"> CABLT} * BLTR </w:t>
      </w:r>
      <w:r w:rsidRPr="0013396E">
        <w:rPr>
          <w:i/>
          <w:vertAlign w:val="subscript"/>
        </w:rPr>
        <w:t>q, p, bltp</w:t>
      </w:r>
      <w:r w:rsidRPr="0013396E">
        <w:t xml:space="preserve"> </w:t>
      </w:r>
    </w:p>
    <w:p w14:paraId="5C629200" w14:textId="77777777" w:rsidR="001F04FD" w:rsidRPr="0013396E" w:rsidRDefault="001F04FD" w:rsidP="001F04FD">
      <w:r w:rsidRPr="0013396E">
        <w:t>The above variables are defined as follows: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82"/>
        <w:gridCol w:w="1571"/>
        <w:gridCol w:w="5752"/>
      </w:tblGrid>
      <w:tr w:rsidR="001F04FD" w:rsidRPr="0013396E" w14:paraId="55D0CE7C" w14:textId="77777777" w:rsidTr="009F62BA">
        <w:tc>
          <w:tcPr>
            <w:tcW w:w="2466" w:type="dxa"/>
          </w:tcPr>
          <w:p w14:paraId="4C87E0C4" w14:textId="77777777" w:rsidR="001F04FD" w:rsidRPr="0013396E" w:rsidRDefault="001F04FD" w:rsidP="00AC4DEE">
            <w:pPr>
              <w:pStyle w:val="TableHead"/>
            </w:pPr>
            <w:r w:rsidRPr="0013396E">
              <w:t>Variable</w:t>
            </w:r>
          </w:p>
        </w:tc>
        <w:tc>
          <w:tcPr>
            <w:tcW w:w="1639" w:type="dxa"/>
          </w:tcPr>
          <w:p w14:paraId="13C6A615" w14:textId="77777777" w:rsidR="001F04FD" w:rsidRPr="0013396E" w:rsidRDefault="001F04FD" w:rsidP="00AC4DEE">
            <w:pPr>
              <w:pStyle w:val="TableHead"/>
            </w:pPr>
            <w:r w:rsidRPr="0013396E">
              <w:t>Unit</w:t>
            </w:r>
          </w:p>
        </w:tc>
        <w:tc>
          <w:tcPr>
            <w:tcW w:w="5700" w:type="dxa"/>
          </w:tcPr>
          <w:p w14:paraId="46DE362A" w14:textId="77777777" w:rsidR="001F04FD" w:rsidRPr="0013396E" w:rsidRDefault="001F04FD" w:rsidP="00AC4DEE">
            <w:pPr>
              <w:pStyle w:val="TableHead"/>
            </w:pPr>
            <w:r w:rsidRPr="0013396E">
              <w:t>Definition</w:t>
            </w:r>
          </w:p>
        </w:tc>
      </w:tr>
      <w:tr w:rsidR="001F04FD" w:rsidRPr="0013396E" w14:paraId="65628531" w14:textId="77777777" w:rsidTr="009F62BA">
        <w:tc>
          <w:tcPr>
            <w:tcW w:w="2466" w:type="dxa"/>
          </w:tcPr>
          <w:p w14:paraId="468E5419" w14:textId="77777777" w:rsidR="001F04FD" w:rsidRPr="0013396E" w:rsidRDefault="001F04FD" w:rsidP="00AC4DEE">
            <w:pPr>
              <w:pStyle w:val="TableBody"/>
            </w:pPr>
            <w:r w:rsidRPr="0013396E">
              <w:t xml:space="preserve">BLTRAMT </w:t>
            </w:r>
            <w:r w:rsidRPr="0013396E">
              <w:rPr>
                <w:i/>
                <w:vertAlign w:val="subscript"/>
              </w:rPr>
              <w:t>q, bltp, p</w:t>
            </w:r>
          </w:p>
        </w:tc>
        <w:tc>
          <w:tcPr>
            <w:tcW w:w="1639" w:type="dxa"/>
          </w:tcPr>
          <w:p w14:paraId="5D3D0FE2" w14:textId="77777777" w:rsidR="001F04FD" w:rsidRPr="0013396E" w:rsidRDefault="001F04FD" w:rsidP="00AC4DEE">
            <w:pPr>
              <w:pStyle w:val="TableBody"/>
            </w:pPr>
            <w:r w:rsidRPr="0013396E">
              <w:t>$</w:t>
            </w:r>
          </w:p>
        </w:tc>
        <w:tc>
          <w:tcPr>
            <w:tcW w:w="5700" w:type="dxa"/>
          </w:tcPr>
          <w:p w14:paraId="0A9731EA" w14:textId="77777777" w:rsidR="001F04FD" w:rsidRPr="0013396E" w:rsidRDefault="001F04FD" w:rsidP="00AC4DEE">
            <w:pPr>
              <w:pStyle w:val="TableBody"/>
            </w:pPr>
            <w:r w:rsidRPr="0013396E">
              <w:rPr>
                <w:i/>
              </w:rPr>
              <w:t>Block Load Transfer Resource Amount per QSE per Settlement Point per BLT Point</w:t>
            </w:r>
            <w:r w:rsidRPr="0013396E">
              <w:sym w:font="Symbol" w:char="F0BE"/>
            </w:r>
            <w:r w:rsidRPr="0013396E">
              <w:t xml:space="preserve">The payment to QSE </w:t>
            </w:r>
            <w:r w:rsidRPr="0013396E">
              <w:rPr>
                <w:i/>
              </w:rPr>
              <w:t>q</w:t>
            </w:r>
            <w:r w:rsidRPr="0013396E">
              <w:t xml:space="preserve"> for the BLT Resource that delivers energy to Load Zone </w:t>
            </w:r>
            <w:r w:rsidRPr="0013396E">
              <w:rPr>
                <w:i/>
              </w:rPr>
              <w:t>p</w:t>
            </w:r>
            <w:r w:rsidRPr="0013396E">
              <w:t xml:space="preserve"> through BLT Point </w:t>
            </w:r>
            <w:r w:rsidRPr="0013396E">
              <w:rPr>
                <w:i/>
              </w:rPr>
              <w:t>bltp</w:t>
            </w:r>
            <w:r w:rsidRPr="0013396E">
              <w:t>, for the 15-minute Settlement Interval.</w:t>
            </w:r>
          </w:p>
        </w:tc>
      </w:tr>
      <w:tr w:rsidR="001F04FD" w:rsidRPr="0013396E" w14:paraId="5CCC006A" w14:textId="77777777" w:rsidTr="009F62BA">
        <w:tc>
          <w:tcPr>
            <w:tcW w:w="2466" w:type="dxa"/>
          </w:tcPr>
          <w:p w14:paraId="0F9CA8EE" w14:textId="77777777" w:rsidR="001F04FD" w:rsidRPr="0013396E" w:rsidRDefault="001F04FD" w:rsidP="00AC4DEE">
            <w:pPr>
              <w:pStyle w:val="TableBody"/>
            </w:pPr>
            <w:r w:rsidRPr="0013396E">
              <w:t xml:space="preserve">RTSPPEW </w:t>
            </w:r>
            <w:r w:rsidRPr="0013396E">
              <w:rPr>
                <w:i/>
                <w:vertAlign w:val="subscript"/>
              </w:rPr>
              <w:t>p</w:t>
            </w:r>
          </w:p>
        </w:tc>
        <w:tc>
          <w:tcPr>
            <w:tcW w:w="1639" w:type="dxa"/>
          </w:tcPr>
          <w:p w14:paraId="08097D2B" w14:textId="77777777" w:rsidR="001F04FD" w:rsidRPr="0013396E" w:rsidRDefault="001F04FD" w:rsidP="00AC4DEE">
            <w:pPr>
              <w:pStyle w:val="TableBody"/>
            </w:pPr>
            <w:r w:rsidRPr="0013396E">
              <w:t>$/MWh</w:t>
            </w:r>
          </w:p>
        </w:tc>
        <w:tc>
          <w:tcPr>
            <w:tcW w:w="5700" w:type="dxa"/>
          </w:tcPr>
          <w:p w14:paraId="6F1391C4" w14:textId="77777777" w:rsidR="001F04FD" w:rsidRPr="0013396E" w:rsidRDefault="001F04FD" w:rsidP="00AC4DEE">
            <w:pPr>
              <w:pStyle w:val="TableBody"/>
            </w:pPr>
            <w:r w:rsidRPr="0013396E">
              <w:rPr>
                <w:i/>
              </w:rPr>
              <w:t>Real-Time Settlement Point Price per Settlement Point Energy-Weighted</w:t>
            </w:r>
            <w:r w:rsidRPr="0013396E">
              <w:sym w:font="Symbol" w:char="F0BE"/>
            </w:r>
            <w:r w:rsidRPr="0013396E">
              <w:t xml:space="preserve">The Real-Time Settlement Point Price at Settlement Point </w:t>
            </w:r>
            <w:r w:rsidRPr="0013396E">
              <w:rPr>
                <w:i/>
              </w:rPr>
              <w:t>p</w:t>
            </w:r>
            <w:r w:rsidRPr="0013396E">
              <w:t>, for the 15-minute Settlement Interval, that is weighted by the state estimated Load of the Load Zone of each SCED interval within the 15-minute Settlement Internal.</w:t>
            </w:r>
          </w:p>
        </w:tc>
      </w:tr>
      <w:tr w:rsidR="001F04FD" w:rsidRPr="0013396E" w14:paraId="5BADFCC4" w14:textId="77777777" w:rsidTr="009F62BA">
        <w:tc>
          <w:tcPr>
            <w:tcW w:w="2466" w:type="dxa"/>
          </w:tcPr>
          <w:p w14:paraId="1938D839" w14:textId="77777777" w:rsidR="001F04FD" w:rsidRPr="0013396E" w:rsidRDefault="001F04FD" w:rsidP="00AC4DEE">
            <w:pPr>
              <w:pStyle w:val="TableBody"/>
            </w:pPr>
            <w:r w:rsidRPr="0013396E">
              <w:t xml:space="preserve">VEEPBLTP </w:t>
            </w:r>
            <w:r w:rsidRPr="0013396E">
              <w:rPr>
                <w:i/>
                <w:vertAlign w:val="subscript"/>
              </w:rPr>
              <w:t>q, bltp</w:t>
            </w:r>
          </w:p>
        </w:tc>
        <w:tc>
          <w:tcPr>
            <w:tcW w:w="1639" w:type="dxa"/>
          </w:tcPr>
          <w:p w14:paraId="34CBC3E5" w14:textId="77777777" w:rsidR="001F04FD" w:rsidRPr="0013396E" w:rsidRDefault="001F04FD" w:rsidP="00AC4DEE">
            <w:pPr>
              <w:pStyle w:val="TableBody"/>
            </w:pPr>
            <w:r w:rsidRPr="0013396E">
              <w:t>$/MWh</w:t>
            </w:r>
          </w:p>
        </w:tc>
        <w:tc>
          <w:tcPr>
            <w:tcW w:w="5700" w:type="dxa"/>
          </w:tcPr>
          <w:p w14:paraId="08270315" w14:textId="298D2F25" w:rsidR="001F04FD" w:rsidRPr="0013396E" w:rsidRDefault="001F04FD" w:rsidP="00C830CE">
            <w:pPr>
              <w:pStyle w:val="TableBody"/>
              <w:rPr>
                <w:i/>
              </w:rPr>
            </w:pPr>
            <w:r w:rsidRPr="0013396E">
              <w:rPr>
                <w:i/>
              </w:rPr>
              <w:t>Verified Emergency Energy Price at BLT Point</w:t>
            </w:r>
            <w:r w:rsidRPr="0013396E">
              <w:sym w:font="Symbol" w:char="F0BE"/>
            </w:r>
            <w:r w:rsidRPr="0013396E">
              <w:t xml:space="preserve">The ERCOT verified cost for the energy delivered to an ERCOT Load through BLT Point </w:t>
            </w:r>
            <w:r w:rsidRPr="0013396E">
              <w:rPr>
                <w:i/>
              </w:rPr>
              <w:t>bltp</w:t>
            </w:r>
            <w:r w:rsidRPr="0013396E">
              <w:t>.</w:t>
            </w:r>
          </w:p>
        </w:tc>
      </w:tr>
      <w:tr w:rsidR="001F04FD" w:rsidRPr="0013396E" w14:paraId="6DFE5F19" w14:textId="77777777" w:rsidTr="009F62BA">
        <w:tc>
          <w:tcPr>
            <w:tcW w:w="2466" w:type="dxa"/>
          </w:tcPr>
          <w:p w14:paraId="3CC6D7A0" w14:textId="77777777" w:rsidR="001F04FD" w:rsidRPr="0013396E" w:rsidRDefault="001F04FD" w:rsidP="00AC4DEE">
            <w:pPr>
              <w:pStyle w:val="TableBody"/>
            </w:pPr>
            <w:r w:rsidRPr="0013396E">
              <w:t>CABLT</w:t>
            </w:r>
          </w:p>
        </w:tc>
        <w:tc>
          <w:tcPr>
            <w:tcW w:w="1639" w:type="dxa"/>
          </w:tcPr>
          <w:p w14:paraId="334AE899" w14:textId="57390E8D" w:rsidR="001F04FD" w:rsidRPr="0013396E" w:rsidRDefault="00154FF3" w:rsidP="001A1946">
            <w:pPr>
              <w:pStyle w:val="TableBody"/>
            </w:pPr>
            <w:r w:rsidRPr="0013396E">
              <w:t>none</w:t>
            </w:r>
          </w:p>
        </w:tc>
        <w:tc>
          <w:tcPr>
            <w:tcW w:w="5700" w:type="dxa"/>
          </w:tcPr>
          <w:p w14:paraId="5BC9F665" w14:textId="77777777" w:rsidR="001F04FD" w:rsidRPr="0013396E" w:rsidRDefault="001F04FD" w:rsidP="00AC4DEE">
            <w:pPr>
              <w:pStyle w:val="TableBody"/>
              <w:rPr>
                <w:i/>
              </w:rPr>
            </w:pPr>
            <w:r w:rsidRPr="0013396E">
              <w:rPr>
                <w:i/>
              </w:rPr>
              <w:t>Cost Adder for Block Load Transfer</w:t>
            </w:r>
            <w:r w:rsidRPr="0013396E">
              <w:sym w:font="Symbol" w:char="F0BE"/>
            </w:r>
            <w:r w:rsidRPr="0013396E">
              <w:t>A multiplier of 1.10.</w:t>
            </w:r>
          </w:p>
        </w:tc>
      </w:tr>
      <w:tr w:rsidR="001F04FD" w:rsidRPr="0013396E" w14:paraId="1B02AB48" w14:textId="77777777" w:rsidTr="009F62BA">
        <w:tc>
          <w:tcPr>
            <w:tcW w:w="2602" w:type="dxa"/>
          </w:tcPr>
          <w:p w14:paraId="52933D30" w14:textId="77777777" w:rsidR="001F04FD" w:rsidRPr="0013396E" w:rsidRDefault="001F04FD" w:rsidP="00AC4DEE">
            <w:pPr>
              <w:pStyle w:val="TableBody"/>
            </w:pPr>
            <w:r w:rsidRPr="0013396E">
              <w:t xml:space="preserve">BLTR </w:t>
            </w:r>
            <w:r w:rsidRPr="0013396E">
              <w:rPr>
                <w:vertAlign w:val="subscript"/>
              </w:rPr>
              <w:t xml:space="preserve"> </w:t>
            </w:r>
            <w:r w:rsidRPr="0013396E">
              <w:rPr>
                <w:i/>
                <w:vertAlign w:val="subscript"/>
              </w:rPr>
              <w:t>q, p, bltp</w:t>
            </w:r>
          </w:p>
        </w:tc>
        <w:tc>
          <w:tcPr>
            <w:tcW w:w="1046" w:type="dxa"/>
          </w:tcPr>
          <w:p w14:paraId="759F450F" w14:textId="77777777" w:rsidR="001F04FD" w:rsidRPr="0013396E" w:rsidRDefault="001F04FD" w:rsidP="00AC4DEE">
            <w:pPr>
              <w:pStyle w:val="TableBody"/>
            </w:pPr>
            <w:r w:rsidRPr="0013396E">
              <w:t>MWh</w:t>
            </w:r>
          </w:p>
        </w:tc>
        <w:tc>
          <w:tcPr>
            <w:tcW w:w="6157" w:type="dxa"/>
          </w:tcPr>
          <w:p w14:paraId="7A293C7E" w14:textId="77777777" w:rsidR="001F04FD" w:rsidRPr="0013396E" w:rsidRDefault="001F04FD" w:rsidP="00AC4DEE">
            <w:pPr>
              <w:pStyle w:val="TableBody"/>
            </w:pPr>
            <w:r w:rsidRPr="0013396E">
              <w:rPr>
                <w:i/>
              </w:rPr>
              <w:t>Block Load Transfer Resource per QSE per Settlement Point per BLT Point</w:t>
            </w:r>
            <w:r w:rsidRPr="0013396E">
              <w:sym w:font="Symbol" w:char="F0BE"/>
            </w:r>
            <w:r w:rsidRPr="0013396E">
              <w:t xml:space="preserve">The energy delivered to an ERCOT Load in Load Zone </w:t>
            </w:r>
            <w:r w:rsidRPr="0013396E">
              <w:rPr>
                <w:i/>
              </w:rPr>
              <w:t>p</w:t>
            </w:r>
            <w:r w:rsidRPr="0013396E">
              <w:t xml:space="preserve"> through BLT Point </w:t>
            </w:r>
            <w:r w:rsidRPr="0013396E">
              <w:rPr>
                <w:i/>
              </w:rPr>
              <w:t>bltp</w:t>
            </w:r>
            <w:r w:rsidRPr="0013396E">
              <w:t xml:space="preserve"> represented by QSE </w:t>
            </w:r>
            <w:r w:rsidRPr="0013396E">
              <w:rPr>
                <w:i/>
              </w:rPr>
              <w:t>q</w:t>
            </w:r>
            <w:r w:rsidRPr="0013396E">
              <w:t xml:space="preserve">, for the 15-minute Settlement Interval.  </w:t>
            </w:r>
          </w:p>
        </w:tc>
      </w:tr>
      <w:tr w:rsidR="001F04FD" w:rsidRPr="0013396E" w14:paraId="0271F4B9" w14:textId="77777777" w:rsidTr="009F62BA">
        <w:tc>
          <w:tcPr>
            <w:tcW w:w="2602" w:type="dxa"/>
          </w:tcPr>
          <w:p w14:paraId="5071A639" w14:textId="77777777" w:rsidR="001F04FD" w:rsidRPr="0013396E" w:rsidRDefault="001F04FD" w:rsidP="00AC4DEE">
            <w:pPr>
              <w:pStyle w:val="TableBody"/>
              <w:rPr>
                <w:i/>
              </w:rPr>
            </w:pPr>
            <w:r w:rsidRPr="0013396E">
              <w:rPr>
                <w:i/>
              </w:rPr>
              <w:t>q</w:t>
            </w:r>
          </w:p>
        </w:tc>
        <w:tc>
          <w:tcPr>
            <w:tcW w:w="1046" w:type="dxa"/>
          </w:tcPr>
          <w:p w14:paraId="3302B3F9" w14:textId="77777777" w:rsidR="001F04FD" w:rsidRPr="0013396E" w:rsidRDefault="001F04FD" w:rsidP="00AC4DEE">
            <w:pPr>
              <w:pStyle w:val="TableBody"/>
            </w:pPr>
            <w:r w:rsidRPr="0013396E">
              <w:t>none</w:t>
            </w:r>
          </w:p>
        </w:tc>
        <w:tc>
          <w:tcPr>
            <w:tcW w:w="6157" w:type="dxa"/>
          </w:tcPr>
          <w:p w14:paraId="09BF1414" w14:textId="77777777" w:rsidR="001F04FD" w:rsidRPr="0013396E" w:rsidRDefault="001F04FD" w:rsidP="00AC4DEE">
            <w:pPr>
              <w:pStyle w:val="TableBody"/>
              <w:rPr>
                <w:i/>
              </w:rPr>
            </w:pPr>
            <w:r w:rsidRPr="0013396E">
              <w:t>A QSE.</w:t>
            </w:r>
          </w:p>
        </w:tc>
      </w:tr>
      <w:tr w:rsidR="001F04FD" w:rsidRPr="0013396E" w14:paraId="50E0F326" w14:textId="77777777" w:rsidTr="009F62BA">
        <w:tc>
          <w:tcPr>
            <w:tcW w:w="2602" w:type="dxa"/>
          </w:tcPr>
          <w:p w14:paraId="68C60C2F" w14:textId="77777777" w:rsidR="001F04FD" w:rsidRPr="0013396E" w:rsidRDefault="001F04FD" w:rsidP="00AC4DEE">
            <w:pPr>
              <w:pStyle w:val="TableBody"/>
              <w:rPr>
                <w:i/>
              </w:rPr>
            </w:pPr>
            <w:r w:rsidRPr="0013396E">
              <w:rPr>
                <w:i/>
              </w:rPr>
              <w:t>p</w:t>
            </w:r>
          </w:p>
        </w:tc>
        <w:tc>
          <w:tcPr>
            <w:tcW w:w="1046" w:type="dxa"/>
          </w:tcPr>
          <w:p w14:paraId="10CE6303" w14:textId="77777777" w:rsidR="001F04FD" w:rsidRPr="0013396E" w:rsidRDefault="001F04FD" w:rsidP="00AC4DEE">
            <w:pPr>
              <w:pStyle w:val="TableBody"/>
            </w:pPr>
            <w:r w:rsidRPr="0013396E">
              <w:t>none</w:t>
            </w:r>
          </w:p>
        </w:tc>
        <w:tc>
          <w:tcPr>
            <w:tcW w:w="6157" w:type="dxa"/>
          </w:tcPr>
          <w:p w14:paraId="58B91ED7" w14:textId="77777777" w:rsidR="001F04FD" w:rsidRPr="0013396E" w:rsidRDefault="001F04FD" w:rsidP="00AC4DEE">
            <w:pPr>
              <w:pStyle w:val="TableBody"/>
              <w:rPr>
                <w:i/>
              </w:rPr>
            </w:pPr>
            <w:r w:rsidRPr="0013396E">
              <w:t>A Load Zone Settlement Point.</w:t>
            </w:r>
          </w:p>
        </w:tc>
      </w:tr>
      <w:tr w:rsidR="001F04FD" w:rsidRPr="0013396E" w14:paraId="2ACB41A7" w14:textId="77777777" w:rsidTr="009F62BA">
        <w:tc>
          <w:tcPr>
            <w:tcW w:w="2602" w:type="dxa"/>
          </w:tcPr>
          <w:p w14:paraId="60DCD8DC" w14:textId="77777777" w:rsidR="001F04FD" w:rsidRPr="0013396E" w:rsidRDefault="001F04FD" w:rsidP="00AC4DEE">
            <w:pPr>
              <w:pStyle w:val="TableBody"/>
              <w:rPr>
                <w:i/>
              </w:rPr>
            </w:pPr>
            <w:r w:rsidRPr="0013396E">
              <w:rPr>
                <w:i/>
              </w:rPr>
              <w:t>bltp</w:t>
            </w:r>
          </w:p>
        </w:tc>
        <w:tc>
          <w:tcPr>
            <w:tcW w:w="1046" w:type="dxa"/>
          </w:tcPr>
          <w:p w14:paraId="13786AE2" w14:textId="77777777" w:rsidR="001F04FD" w:rsidRPr="0013396E" w:rsidRDefault="001F04FD" w:rsidP="00AC4DEE">
            <w:pPr>
              <w:pStyle w:val="TableBody"/>
            </w:pPr>
            <w:r w:rsidRPr="0013396E">
              <w:t>none</w:t>
            </w:r>
          </w:p>
        </w:tc>
        <w:tc>
          <w:tcPr>
            <w:tcW w:w="6157" w:type="dxa"/>
          </w:tcPr>
          <w:p w14:paraId="0DA9165A" w14:textId="77777777" w:rsidR="001F04FD" w:rsidRPr="0013396E" w:rsidRDefault="001F04FD" w:rsidP="00AC4DEE">
            <w:pPr>
              <w:pStyle w:val="TableBody"/>
            </w:pPr>
            <w:r w:rsidRPr="0013396E">
              <w:t>A BLT Point.</w:t>
            </w:r>
          </w:p>
        </w:tc>
      </w:tr>
    </w:tbl>
    <w:p w14:paraId="52A27E08" w14:textId="77777777" w:rsidR="001F04FD" w:rsidRPr="0013396E" w:rsidRDefault="001F04FD" w:rsidP="001F04FD">
      <w:pPr>
        <w:pStyle w:val="BodyTextNumbered"/>
        <w:spacing w:before="240"/>
      </w:pPr>
      <w:bookmarkStart w:id="1640" w:name="_Toc87951789"/>
      <w:bookmarkStart w:id="1641" w:name="_Toc109009394"/>
      <w:bookmarkEnd w:id="1623"/>
      <w:bookmarkEnd w:id="1624"/>
      <w:r w:rsidRPr="0013396E">
        <w:t>(2)</w:t>
      </w:r>
      <w:r w:rsidRPr="0013396E">
        <w:tab/>
        <w:t>The total of the payments to each QSE for all energy delivered to ERCOT Loads through BLT Points for the 15-minute Settlement Interval is calculated as follows:</w:t>
      </w:r>
    </w:p>
    <w:p w14:paraId="3EC9D4FE" w14:textId="77777777" w:rsidR="001F04FD" w:rsidRPr="0013396E" w:rsidRDefault="001F04FD" w:rsidP="001F04FD">
      <w:pPr>
        <w:pStyle w:val="FormulaBold"/>
      </w:pPr>
      <w:r w:rsidRPr="0013396E">
        <w:t xml:space="preserve">BLTRAMTQSETOT </w:t>
      </w:r>
      <w:r w:rsidRPr="0013396E">
        <w:rPr>
          <w:i/>
          <w:vertAlign w:val="subscript"/>
        </w:rPr>
        <w:t>q</w:t>
      </w:r>
      <w:r w:rsidRPr="0013396E">
        <w:tab/>
        <w:t>=</w:t>
      </w:r>
      <w:r w:rsidRPr="0013396E">
        <w:tab/>
      </w:r>
      <w:r w:rsidRPr="0013396E">
        <w:rPr>
          <w:position w:val="-22"/>
        </w:rPr>
        <w:object w:dxaOrig="225" w:dyaOrig="465" w14:anchorId="7236CCD8">
          <v:shape id="_x0000_i1126" type="#_x0000_t75" style="width:12pt;height:18.6pt" o:ole="">
            <v:imagedata r:id="rId140" o:title=""/>
          </v:shape>
          <o:OLEObject Type="Embed" ProgID="Equation.3" ShapeID="_x0000_i1126" DrawAspect="Content" ObjectID="_1836311405" r:id="rId145"/>
        </w:object>
      </w:r>
      <w:r w:rsidRPr="0013396E">
        <w:rPr>
          <w:position w:val="-22"/>
        </w:rPr>
        <w:object w:dxaOrig="300" w:dyaOrig="465" w14:anchorId="3B5D73C7">
          <v:shape id="_x0000_i1127" type="#_x0000_t75" style="width:12pt;height:18.6pt" o:ole="">
            <v:imagedata r:id="rId146" o:title=""/>
          </v:shape>
          <o:OLEObject Type="Embed" ProgID="Equation.3" ShapeID="_x0000_i1127" DrawAspect="Content" ObjectID="_1836311406" r:id="rId147"/>
        </w:object>
      </w:r>
      <w:r w:rsidRPr="0013396E">
        <w:t xml:space="preserve">BLTRAMT </w:t>
      </w:r>
      <w:r w:rsidRPr="0013396E">
        <w:rPr>
          <w:i/>
          <w:vertAlign w:val="subscript"/>
        </w:rPr>
        <w:t>q, bltp, p</w:t>
      </w:r>
    </w:p>
    <w:p w14:paraId="5FFCF72D" w14:textId="77777777" w:rsidR="001F04FD" w:rsidRPr="0013396E" w:rsidRDefault="001F04FD" w:rsidP="001F04FD">
      <w:r w:rsidRPr="0013396E">
        <w:t>The above variables are defined as follows:</w:t>
      </w:r>
    </w:p>
    <w:tbl>
      <w:tblPr>
        <w:tblW w:w="52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810"/>
        <w:gridCol w:w="6300"/>
      </w:tblGrid>
      <w:tr w:rsidR="001F04FD" w:rsidRPr="0013396E" w14:paraId="6DC62B05" w14:textId="77777777" w:rsidTr="002401F7">
        <w:tc>
          <w:tcPr>
            <w:tcW w:w="1374" w:type="pct"/>
          </w:tcPr>
          <w:p w14:paraId="06A37090" w14:textId="77777777" w:rsidR="001F04FD" w:rsidRPr="0013396E" w:rsidRDefault="001F04FD" w:rsidP="00AC4DEE">
            <w:pPr>
              <w:pStyle w:val="TableHead"/>
            </w:pPr>
            <w:r w:rsidRPr="0013396E">
              <w:t>Variable</w:t>
            </w:r>
          </w:p>
        </w:tc>
        <w:tc>
          <w:tcPr>
            <w:tcW w:w="413" w:type="pct"/>
          </w:tcPr>
          <w:p w14:paraId="4721F76A" w14:textId="77777777" w:rsidR="001F04FD" w:rsidRPr="0013396E" w:rsidRDefault="001F04FD" w:rsidP="00AC4DEE">
            <w:pPr>
              <w:pStyle w:val="TableHead"/>
            </w:pPr>
            <w:r w:rsidRPr="0013396E">
              <w:t>Unit</w:t>
            </w:r>
          </w:p>
        </w:tc>
        <w:tc>
          <w:tcPr>
            <w:tcW w:w="3213" w:type="pct"/>
          </w:tcPr>
          <w:p w14:paraId="7D1D72B3" w14:textId="77777777" w:rsidR="001F04FD" w:rsidRPr="0013396E" w:rsidRDefault="001F04FD" w:rsidP="00AC4DEE">
            <w:pPr>
              <w:pStyle w:val="TableHead"/>
            </w:pPr>
            <w:r w:rsidRPr="0013396E">
              <w:t>Definition</w:t>
            </w:r>
          </w:p>
        </w:tc>
      </w:tr>
      <w:tr w:rsidR="001F04FD" w:rsidRPr="0013396E" w14:paraId="72490416" w14:textId="77777777" w:rsidTr="002401F7">
        <w:tc>
          <w:tcPr>
            <w:tcW w:w="1374" w:type="pct"/>
          </w:tcPr>
          <w:p w14:paraId="666D5188" w14:textId="77777777" w:rsidR="001F04FD" w:rsidRPr="0013396E" w:rsidRDefault="001F04FD" w:rsidP="00AC4DEE">
            <w:pPr>
              <w:pStyle w:val="TableBody"/>
            </w:pPr>
            <w:r w:rsidRPr="0013396E">
              <w:t xml:space="preserve">BLTRAMTQSETOT </w:t>
            </w:r>
            <w:r w:rsidRPr="0013396E">
              <w:rPr>
                <w:i/>
                <w:vertAlign w:val="subscript"/>
              </w:rPr>
              <w:t>q</w:t>
            </w:r>
          </w:p>
        </w:tc>
        <w:tc>
          <w:tcPr>
            <w:tcW w:w="413" w:type="pct"/>
          </w:tcPr>
          <w:p w14:paraId="0ADDABD8" w14:textId="77777777" w:rsidR="001F04FD" w:rsidRPr="0013396E" w:rsidRDefault="001F04FD" w:rsidP="00AC4DEE">
            <w:pPr>
              <w:pStyle w:val="TableBody"/>
            </w:pPr>
            <w:r w:rsidRPr="0013396E">
              <w:t>$</w:t>
            </w:r>
          </w:p>
        </w:tc>
        <w:tc>
          <w:tcPr>
            <w:tcW w:w="3213" w:type="pct"/>
          </w:tcPr>
          <w:p w14:paraId="75164459" w14:textId="77777777" w:rsidR="001F04FD" w:rsidRPr="0013396E" w:rsidRDefault="001F04FD" w:rsidP="00AC4DEE">
            <w:pPr>
              <w:pStyle w:val="TableBody"/>
            </w:pPr>
            <w:r w:rsidRPr="0013396E">
              <w:rPr>
                <w:i/>
              </w:rPr>
              <w:t>Block Load Transfer Resource Amount QSE Total per QSE</w:t>
            </w:r>
            <w:r w:rsidRPr="0013396E">
              <w:sym w:font="Symbol" w:char="F0BE"/>
            </w:r>
            <w:r w:rsidRPr="0013396E">
              <w:t xml:space="preserve">The total of the payments to QSE </w:t>
            </w:r>
            <w:r w:rsidRPr="0013396E">
              <w:rPr>
                <w:i/>
              </w:rPr>
              <w:t>q</w:t>
            </w:r>
            <w:r w:rsidRPr="0013396E">
              <w:t xml:space="preserve"> for energy delivered into the ERCOT System through BLT Points for the 15-minute Settlement Interval.</w:t>
            </w:r>
          </w:p>
        </w:tc>
      </w:tr>
      <w:tr w:rsidR="001F04FD" w:rsidRPr="0013396E" w14:paraId="766047D9" w14:textId="77777777" w:rsidTr="002401F7">
        <w:tc>
          <w:tcPr>
            <w:tcW w:w="1374" w:type="pct"/>
          </w:tcPr>
          <w:p w14:paraId="762EC6A3" w14:textId="77777777" w:rsidR="001F04FD" w:rsidRPr="0013396E" w:rsidRDefault="001F04FD" w:rsidP="00AC4DEE">
            <w:pPr>
              <w:pStyle w:val="TableBody"/>
            </w:pPr>
            <w:r w:rsidRPr="0013396E">
              <w:t xml:space="preserve">BLTRAMT </w:t>
            </w:r>
            <w:r w:rsidRPr="0013396E">
              <w:rPr>
                <w:i/>
                <w:vertAlign w:val="subscript"/>
              </w:rPr>
              <w:t>q, bltp , p</w:t>
            </w:r>
          </w:p>
        </w:tc>
        <w:tc>
          <w:tcPr>
            <w:tcW w:w="413" w:type="pct"/>
          </w:tcPr>
          <w:p w14:paraId="7B8744C9" w14:textId="77777777" w:rsidR="001F04FD" w:rsidRPr="0013396E" w:rsidRDefault="001F04FD" w:rsidP="00AC4DEE">
            <w:pPr>
              <w:pStyle w:val="TableBody"/>
            </w:pPr>
            <w:r w:rsidRPr="0013396E">
              <w:t>$</w:t>
            </w:r>
          </w:p>
        </w:tc>
        <w:tc>
          <w:tcPr>
            <w:tcW w:w="3213" w:type="pct"/>
          </w:tcPr>
          <w:p w14:paraId="0F66D0AD" w14:textId="77777777" w:rsidR="001F04FD" w:rsidRPr="0013396E" w:rsidRDefault="001F04FD" w:rsidP="00AC4DEE">
            <w:pPr>
              <w:pStyle w:val="TableBody"/>
            </w:pPr>
            <w:r w:rsidRPr="0013396E">
              <w:rPr>
                <w:i/>
              </w:rPr>
              <w:t>Block Load Transfer Resource Amount per QSE per Settlement Point per BLT Point</w:t>
            </w:r>
            <w:r w:rsidRPr="0013396E">
              <w:t xml:space="preserve">—The payment to QSE </w:t>
            </w:r>
            <w:r w:rsidRPr="0013396E">
              <w:rPr>
                <w:i/>
              </w:rPr>
              <w:t>q</w:t>
            </w:r>
            <w:r w:rsidRPr="0013396E">
              <w:t xml:space="preserve"> for the BLT Resource at BLT Point </w:t>
            </w:r>
            <w:r w:rsidRPr="0013396E">
              <w:rPr>
                <w:i/>
              </w:rPr>
              <w:t>bltp</w:t>
            </w:r>
            <w:r w:rsidRPr="0013396E">
              <w:t xml:space="preserve">, which delivers energy to Load Zone </w:t>
            </w:r>
            <w:r w:rsidRPr="0013396E">
              <w:rPr>
                <w:i/>
              </w:rPr>
              <w:t>p</w:t>
            </w:r>
            <w:r w:rsidRPr="0013396E">
              <w:t>, for the 15-minute Settlement Interval.</w:t>
            </w:r>
          </w:p>
        </w:tc>
      </w:tr>
      <w:tr w:rsidR="001F04FD" w:rsidRPr="0013396E" w14:paraId="15755154" w14:textId="77777777" w:rsidTr="002401F7">
        <w:tc>
          <w:tcPr>
            <w:tcW w:w="1374" w:type="pct"/>
            <w:tcBorders>
              <w:top w:val="single" w:sz="4" w:space="0" w:color="auto"/>
              <w:left w:val="single" w:sz="4" w:space="0" w:color="auto"/>
              <w:bottom w:val="single" w:sz="4" w:space="0" w:color="auto"/>
              <w:right w:val="single" w:sz="4" w:space="0" w:color="auto"/>
            </w:tcBorders>
          </w:tcPr>
          <w:p w14:paraId="66B14937" w14:textId="77777777" w:rsidR="001F04FD" w:rsidRPr="0013396E" w:rsidRDefault="001F04FD" w:rsidP="00AC4DEE">
            <w:pPr>
              <w:pStyle w:val="TableBody"/>
              <w:rPr>
                <w:i/>
              </w:rPr>
            </w:pPr>
            <w:r w:rsidRPr="0013396E">
              <w:rPr>
                <w:i/>
              </w:rPr>
              <w:t>q</w:t>
            </w:r>
          </w:p>
        </w:tc>
        <w:tc>
          <w:tcPr>
            <w:tcW w:w="413" w:type="pct"/>
            <w:tcBorders>
              <w:top w:val="single" w:sz="4" w:space="0" w:color="auto"/>
              <w:left w:val="single" w:sz="4" w:space="0" w:color="auto"/>
              <w:bottom w:val="single" w:sz="4" w:space="0" w:color="auto"/>
              <w:right w:val="single" w:sz="4" w:space="0" w:color="auto"/>
            </w:tcBorders>
          </w:tcPr>
          <w:p w14:paraId="3A52A6B6" w14:textId="77777777" w:rsidR="001F04FD" w:rsidRPr="0013396E" w:rsidRDefault="001F04FD" w:rsidP="00AC4DEE">
            <w:pPr>
              <w:pStyle w:val="TableBody"/>
            </w:pPr>
            <w:r w:rsidRPr="0013396E">
              <w:t>none</w:t>
            </w:r>
          </w:p>
        </w:tc>
        <w:tc>
          <w:tcPr>
            <w:tcW w:w="3213" w:type="pct"/>
            <w:tcBorders>
              <w:top w:val="single" w:sz="4" w:space="0" w:color="auto"/>
              <w:left w:val="single" w:sz="4" w:space="0" w:color="auto"/>
              <w:bottom w:val="single" w:sz="4" w:space="0" w:color="auto"/>
              <w:right w:val="single" w:sz="4" w:space="0" w:color="auto"/>
            </w:tcBorders>
          </w:tcPr>
          <w:p w14:paraId="0FD264E5" w14:textId="77777777" w:rsidR="001F04FD" w:rsidRPr="0013396E" w:rsidRDefault="001F04FD" w:rsidP="00AC4DEE">
            <w:pPr>
              <w:pStyle w:val="TableBody"/>
            </w:pPr>
            <w:r w:rsidRPr="0013396E">
              <w:t>A QSE.</w:t>
            </w:r>
          </w:p>
        </w:tc>
      </w:tr>
      <w:tr w:rsidR="001F04FD" w:rsidRPr="0013396E" w14:paraId="451C0D24" w14:textId="77777777" w:rsidTr="002401F7">
        <w:tc>
          <w:tcPr>
            <w:tcW w:w="1374" w:type="pct"/>
            <w:tcBorders>
              <w:top w:val="single" w:sz="4" w:space="0" w:color="auto"/>
              <w:left w:val="single" w:sz="4" w:space="0" w:color="auto"/>
              <w:bottom w:val="single" w:sz="4" w:space="0" w:color="auto"/>
              <w:right w:val="single" w:sz="4" w:space="0" w:color="auto"/>
            </w:tcBorders>
          </w:tcPr>
          <w:p w14:paraId="50BDB677" w14:textId="77777777" w:rsidR="001F04FD" w:rsidRPr="0013396E" w:rsidRDefault="001F04FD" w:rsidP="00AC4DEE">
            <w:pPr>
              <w:pStyle w:val="TableBody"/>
              <w:rPr>
                <w:i/>
              </w:rPr>
            </w:pPr>
            <w:r w:rsidRPr="0013396E">
              <w:rPr>
                <w:i/>
              </w:rPr>
              <w:lastRenderedPageBreak/>
              <w:t>p</w:t>
            </w:r>
          </w:p>
        </w:tc>
        <w:tc>
          <w:tcPr>
            <w:tcW w:w="413" w:type="pct"/>
            <w:tcBorders>
              <w:top w:val="single" w:sz="4" w:space="0" w:color="auto"/>
              <w:left w:val="single" w:sz="4" w:space="0" w:color="auto"/>
              <w:bottom w:val="single" w:sz="4" w:space="0" w:color="auto"/>
              <w:right w:val="single" w:sz="4" w:space="0" w:color="auto"/>
            </w:tcBorders>
          </w:tcPr>
          <w:p w14:paraId="190DE0DA" w14:textId="77777777" w:rsidR="001F04FD" w:rsidRPr="0013396E" w:rsidRDefault="001F04FD" w:rsidP="00AC4DEE">
            <w:pPr>
              <w:pStyle w:val="TableBody"/>
            </w:pPr>
            <w:r w:rsidRPr="0013396E">
              <w:t>none</w:t>
            </w:r>
          </w:p>
        </w:tc>
        <w:tc>
          <w:tcPr>
            <w:tcW w:w="3213" w:type="pct"/>
            <w:tcBorders>
              <w:top w:val="single" w:sz="4" w:space="0" w:color="auto"/>
              <w:left w:val="single" w:sz="4" w:space="0" w:color="auto"/>
              <w:bottom w:val="single" w:sz="4" w:space="0" w:color="auto"/>
              <w:right w:val="single" w:sz="4" w:space="0" w:color="auto"/>
            </w:tcBorders>
          </w:tcPr>
          <w:p w14:paraId="4477DB12" w14:textId="77777777" w:rsidR="001F04FD" w:rsidRPr="0013396E" w:rsidRDefault="001F04FD" w:rsidP="00AC4DEE">
            <w:pPr>
              <w:pStyle w:val="TableBody"/>
            </w:pPr>
            <w:r w:rsidRPr="0013396E">
              <w:t>A Load Zone Settlement Point.</w:t>
            </w:r>
          </w:p>
        </w:tc>
      </w:tr>
      <w:tr w:rsidR="001F04FD" w:rsidRPr="0013396E" w14:paraId="248AD7C8" w14:textId="77777777" w:rsidTr="002401F7">
        <w:tc>
          <w:tcPr>
            <w:tcW w:w="1374" w:type="pct"/>
            <w:tcBorders>
              <w:top w:val="single" w:sz="4" w:space="0" w:color="auto"/>
              <w:left w:val="single" w:sz="4" w:space="0" w:color="auto"/>
              <w:bottom w:val="single" w:sz="4" w:space="0" w:color="auto"/>
              <w:right w:val="single" w:sz="4" w:space="0" w:color="auto"/>
            </w:tcBorders>
          </w:tcPr>
          <w:p w14:paraId="6031027B" w14:textId="77777777" w:rsidR="001F04FD" w:rsidRPr="0013396E" w:rsidRDefault="001F04FD" w:rsidP="00AC4DEE">
            <w:pPr>
              <w:pStyle w:val="TableBody"/>
              <w:rPr>
                <w:i/>
              </w:rPr>
            </w:pPr>
            <w:r w:rsidRPr="0013396E">
              <w:rPr>
                <w:i/>
              </w:rPr>
              <w:t>bltp</w:t>
            </w:r>
          </w:p>
        </w:tc>
        <w:tc>
          <w:tcPr>
            <w:tcW w:w="413" w:type="pct"/>
            <w:tcBorders>
              <w:top w:val="single" w:sz="4" w:space="0" w:color="auto"/>
              <w:left w:val="single" w:sz="4" w:space="0" w:color="auto"/>
              <w:bottom w:val="single" w:sz="4" w:space="0" w:color="auto"/>
              <w:right w:val="single" w:sz="4" w:space="0" w:color="auto"/>
            </w:tcBorders>
          </w:tcPr>
          <w:p w14:paraId="533911CF" w14:textId="77777777" w:rsidR="001F04FD" w:rsidRPr="0013396E" w:rsidRDefault="001F04FD" w:rsidP="00AC4DEE">
            <w:pPr>
              <w:pStyle w:val="TableBody"/>
            </w:pPr>
            <w:r w:rsidRPr="0013396E">
              <w:t>none</w:t>
            </w:r>
          </w:p>
        </w:tc>
        <w:tc>
          <w:tcPr>
            <w:tcW w:w="3213" w:type="pct"/>
            <w:tcBorders>
              <w:top w:val="single" w:sz="4" w:space="0" w:color="auto"/>
              <w:left w:val="single" w:sz="4" w:space="0" w:color="auto"/>
              <w:bottom w:val="single" w:sz="4" w:space="0" w:color="auto"/>
              <w:right w:val="single" w:sz="4" w:space="0" w:color="auto"/>
            </w:tcBorders>
          </w:tcPr>
          <w:p w14:paraId="4F6D05F8" w14:textId="77777777" w:rsidR="001F04FD" w:rsidRPr="0013396E" w:rsidRDefault="001F04FD" w:rsidP="00AC4DEE">
            <w:pPr>
              <w:pStyle w:val="TableBody"/>
            </w:pPr>
            <w:r w:rsidRPr="0013396E">
              <w:t>A BLT Point.</w:t>
            </w:r>
          </w:p>
        </w:tc>
      </w:tr>
    </w:tbl>
    <w:p w14:paraId="7D84E194" w14:textId="28566374" w:rsidR="001F04FD" w:rsidRPr="0013396E" w:rsidRDefault="001F04FD" w:rsidP="00910734">
      <w:pPr>
        <w:pStyle w:val="BodyTextNumbered"/>
        <w:spacing w:before="240"/>
        <w:rPr>
          <w:b/>
        </w:rPr>
      </w:pPr>
      <w:bookmarkStart w:id="1642" w:name="_Toc341692791"/>
      <w:bookmarkStart w:id="1643" w:name="_Toc343592296"/>
      <w:bookmarkStart w:id="1644" w:name="_Toc348355903"/>
      <w:bookmarkStart w:id="1645" w:name="_Toc349820434"/>
      <w:bookmarkStart w:id="1646" w:name="_Toc109009398"/>
      <w:bookmarkStart w:id="1647" w:name="_Toc87951793"/>
      <w:bookmarkEnd w:id="1640"/>
      <w:bookmarkEnd w:id="1641"/>
      <w:r w:rsidRPr="0013396E">
        <w:t>(3)</w:t>
      </w:r>
      <w:r w:rsidRPr="0013396E">
        <w:tab/>
        <w:t>For the purpose of Settlement, ERCOT shall treat the energy associated with the Presidio Exception like energy delivered to an ERCOT Load through a BLT Point that is moved from the ERCOT Control Area to a non-ERCOT Control Area, by allowing for compensation of verified costs associated with the energy.  After receipt and verification of the invoiced cost associated with the Presidio Exception, ERCOT shall compensate for the energy associated with the Presidio Exception using the monthly verified cost multiplied by the Cost Adder for Block Load Transfer defined in paragraph (1) above.  ERCOT shall uplift the cost to QSEs representing Load using the monthly LRS per QSE as defined in Section 7.5.7, Method for Distributing CRR Auction Revenues.  Costs associated with the Presidio Exception must be submitted to ERCOT within 90 days of the last day of the month that the costs were incurred.</w:t>
      </w:r>
      <w:bookmarkEnd w:id="1642"/>
      <w:bookmarkEnd w:id="1643"/>
      <w:bookmarkEnd w:id="1644"/>
      <w:bookmarkEnd w:id="1645"/>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76"/>
      </w:tblGrid>
      <w:tr w:rsidR="00154FF3" w:rsidRPr="0013396E" w14:paraId="76375C3B" w14:textId="77777777" w:rsidTr="00663874">
        <w:trPr>
          <w:trHeight w:val="206"/>
        </w:trPr>
        <w:tc>
          <w:tcPr>
            <w:tcW w:w="9576" w:type="dxa"/>
            <w:shd w:val="pct12" w:color="auto" w:fill="auto"/>
          </w:tcPr>
          <w:p w14:paraId="1726CC8B" w14:textId="02479159" w:rsidR="00154FF3" w:rsidRPr="0013396E" w:rsidRDefault="00154FF3" w:rsidP="00663874">
            <w:pPr>
              <w:pStyle w:val="Instructions"/>
              <w:spacing w:before="120"/>
            </w:pPr>
            <w:r w:rsidRPr="0013396E">
              <w:t>[NPRR1030:  Replace paragraph (3) above with the following upon system implementation:]</w:t>
            </w:r>
          </w:p>
          <w:p w14:paraId="4681A22C" w14:textId="22092D38" w:rsidR="00154FF3" w:rsidRPr="0013396E" w:rsidRDefault="00154FF3" w:rsidP="00910734">
            <w:pPr>
              <w:pStyle w:val="BodyTextNumbered"/>
              <w:spacing w:before="240"/>
              <w:rPr>
                <w:b/>
              </w:rPr>
            </w:pPr>
            <w:bookmarkStart w:id="1648" w:name="_Toc65151737"/>
            <w:r w:rsidRPr="0013396E">
              <w:t>(3)</w:t>
            </w:r>
            <w:r w:rsidRPr="0013396E">
              <w:tab/>
              <w:t>For the purpose of Settlement, ERCOT shall treat the energy associated with the Presidio Exception like energy delivered to an ERCOT Load through a BLT Point that is moved from the ERCOT Control Area to a non-ERCOT Control Area, by allowing for compensation of verified costs associated with the energy.  After receipt and verification of the invoiced cost associated with the Presidio Exception, ERCOT shall compensate for the energy associated with the Presidio Exception using the monthly verified cost multiplied by the Cost Adder for Block Load Transfer defined in paragraph (1) above.  ERCOT shall uplift the cost to QSEs representing Load using the same methodology as defined in Section 7.5.7, Method for Distributing CRR Auction Revenues.  Costs associated with the Presidio Exception must be submitted to ERCOT within 90 days of the last day of the month that the costs were incurred.</w:t>
            </w:r>
            <w:bookmarkEnd w:id="1648"/>
          </w:p>
        </w:tc>
      </w:tr>
    </w:tbl>
    <w:p w14:paraId="6DCEE75E" w14:textId="01E372AD" w:rsidR="001F04FD" w:rsidRPr="0013396E" w:rsidRDefault="001F04FD" w:rsidP="003A5AC3">
      <w:pPr>
        <w:pStyle w:val="List"/>
        <w:spacing w:before="240"/>
      </w:pPr>
      <w:r w:rsidRPr="0013396E">
        <w:t>(a)</w:t>
      </w:r>
      <w:r w:rsidRPr="0013396E">
        <w:tab/>
        <w:t>The monthly payment to be calculated as follows:</w:t>
      </w:r>
    </w:p>
    <w:p w14:paraId="358F040D" w14:textId="77777777" w:rsidR="001F04FD" w:rsidRPr="0013396E" w:rsidRDefault="001F04FD" w:rsidP="001F04FD">
      <w:pPr>
        <w:pStyle w:val="List"/>
        <w:rPr>
          <w:b/>
          <w:bCs/>
        </w:rPr>
      </w:pPr>
      <w:r w:rsidRPr="0013396E">
        <w:rPr>
          <w:b/>
          <w:bCs/>
        </w:rPr>
        <w:tab/>
        <w:t xml:space="preserve">MBLTAMT </w:t>
      </w:r>
      <w:r w:rsidRPr="0013396E">
        <w:rPr>
          <w:b/>
          <w:bCs/>
          <w:i/>
          <w:vertAlign w:val="subscript"/>
        </w:rPr>
        <w:t>q, p</w:t>
      </w:r>
      <w:r w:rsidRPr="0013396E">
        <w:rPr>
          <w:b/>
          <w:bCs/>
        </w:rPr>
        <w:t xml:space="preserve"> = </w:t>
      </w:r>
      <w:r w:rsidRPr="0013396E">
        <w:rPr>
          <w:b/>
          <w:bCs/>
        </w:rPr>
        <w:tab/>
        <w:t xml:space="preserve">(-1) * VMEBLTP </w:t>
      </w:r>
      <w:r w:rsidRPr="0013396E">
        <w:rPr>
          <w:b/>
          <w:i/>
          <w:iCs/>
          <w:sz w:val="20"/>
          <w:vertAlign w:val="subscript"/>
        </w:rPr>
        <w:t>q, p</w:t>
      </w:r>
      <w:r w:rsidRPr="0013396E">
        <w:rPr>
          <w:b/>
          <w:bCs/>
          <w:i/>
          <w:vertAlign w:val="subscript"/>
        </w:rPr>
        <w:t xml:space="preserve"> </w:t>
      </w:r>
      <w:r w:rsidRPr="0013396E">
        <w:rPr>
          <w:b/>
          <w:bCs/>
        </w:rPr>
        <w:t xml:space="preserve"> </w:t>
      </w:r>
      <w:r w:rsidRPr="0013396E">
        <w:rPr>
          <w:b/>
          <w:bCs/>
          <w:i/>
        </w:rPr>
        <w:t>*</w:t>
      </w:r>
      <w:r w:rsidRPr="0013396E">
        <w:rPr>
          <w:b/>
          <w:bCs/>
        </w:rPr>
        <w:t xml:space="preserve"> CABLT</w:t>
      </w:r>
    </w:p>
    <w:p w14:paraId="4A9B26C9" w14:textId="77777777" w:rsidR="001F04FD" w:rsidRPr="0013396E" w:rsidRDefault="001F04FD" w:rsidP="001F04FD">
      <w:r w:rsidRPr="0013396E">
        <w:t>The above variables are defined as follows: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581"/>
        <w:gridCol w:w="1146"/>
        <w:gridCol w:w="6078"/>
      </w:tblGrid>
      <w:tr w:rsidR="001F04FD" w:rsidRPr="0013396E" w14:paraId="71EC8D53" w14:textId="77777777" w:rsidTr="009B7C62">
        <w:tc>
          <w:tcPr>
            <w:tcW w:w="2581" w:type="dxa"/>
          </w:tcPr>
          <w:p w14:paraId="3D2BD279" w14:textId="77777777" w:rsidR="001F04FD" w:rsidRPr="0013396E" w:rsidRDefault="001F04FD" w:rsidP="00AC4DEE">
            <w:pPr>
              <w:spacing w:after="120"/>
              <w:rPr>
                <w:b/>
                <w:iCs/>
                <w:sz w:val="20"/>
              </w:rPr>
            </w:pPr>
            <w:r w:rsidRPr="0013396E">
              <w:rPr>
                <w:b/>
                <w:iCs/>
                <w:sz w:val="20"/>
              </w:rPr>
              <w:t>Variable</w:t>
            </w:r>
          </w:p>
        </w:tc>
        <w:tc>
          <w:tcPr>
            <w:tcW w:w="1146" w:type="dxa"/>
          </w:tcPr>
          <w:p w14:paraId="5536438C" w14:textId="77777777" w:rsidR="001F04FD" w:rsidRPr="0013396E" w:rsidRDefault="001F04FD" w:rsidP="00AC4DEE">
            <w:pPr>
              <w:spacing w:after="120"/>
              <w:rPr>
                <w:b/>
                <w:iCs/>
                <w:sz w:val="20"/>
              </w:rPr>
            </w:pPr>
            <w:r w:rsidRPr="0013396E">
              <w:rPr>
                <w:b/>
                <w:iCs/>
                <w:sz w:val="20"/>
              </w:rPr>
              <w:t>Unit</w:t>
            </w:r>
          </w:p>
        </w:tc>
        <w:tc>
          <w:tcPr>
            <w:tcW w:w="6078" w:type="dxa"/>
          </w:tcPr>
          <w:p w14:paraId="1DCA38AA" w14:textId="77777777" w:rsidR="001F04FD" w:rsidRPr="0013396E" w:rsidRDefault="001F04FD" w:rsidP="00AC4DEE">
            <w:pPr>
              <w:spacing w:after="120"/>
              <w:rPr>
                <w:b/>
                <w:iCs/>
                <w:sz w:val="20"/>
              </w:rPr>
            </w:pPr>
            <w:r w:rsidRPr="0013396E">
              <w:rPr>
                <w:b/>
                <w:iCs/>
                <w:sz w:val="20"/>
              </w:rPr>
              <w:t>Definition</w:t>
            </w:r>
          </w:p>
        </w:tc>
      </w:tr>
      <w:tr w:rsidR="001F04FD" w:rsidRPr="0013396E" w14:paraId="59EFE851" w14:textId="77777777" w:rsidTr="009B7C62">
        <w:tc>
          <w:tcPr>
            <w:tcW w:w="2581" w:type="dxa"/>
          </w:tcPr>
          <w:p w14:paraId="1AF69281" w14:textId="77777777" w:rsidR="001F04FD" w:rsidRPr="0013396E" w:rsidRDefault="001F04FD" w:rsidP="00AC4DEE">
            <w:pPr>
              <w:spacing w:after="60"/>
              <w:rPr>
                <w:iCs/>
                <w:sz w:val="20"/>
              </w:rPr>
            </w:pPr>
            <w:r w:rsidRPr="0013396E">
              <w:rPr>
                <w:iCs/>
                <w:sz w:val="20"/>
              </w:rPr>
              <w:t xml:space="preserve">MBLTAMT </w:t>
            </w:r>
            <w:r w:rsidRPr="0013396E">
              <w:rPr>
                <w:i/>
                <w:iCs/>
                <w:sz w:val="20"/>
                <w:vertAlign w:val="subscript"/>
              </w:rPr>
              <w:t>q, p</w:t>
            </w:r>
          </w:p>
        </w:tc>
        <w:tc>
          <w:tcPr>
            <w:tcW w:w="1146" w:type="dxa"/>
          </w:tcPr>
          <w:p w14:paraId="005F2154" w14:textId="77777777" w:rsidR="001F04FD" w:rsidRPr="0013396E" w:rsidRDefault="001F04FD" w:rsidP="00AC4DEE">
            <w:pPr>
              <w:spacing w:after="60"/>
              <w:rPr>
                <w:iCs/>
                <w:sz w:val="20"/>
              </w:rPr>
            </w:pPr>
            <w:r w:rsidRPr="0013396E">
              <w:rPr>
                <w:iCs/>
                <w:sz w:val="20"/>
              </w:rPr>
              <w:t>$</w:t>
            </w:r>
          </w:p>
        </w:tc>
        <w:tc>
          <w:tcPr>
            <w:tcW w:w="6078" w:type="dxa"/>
          </w:tcPr>
          <w:p w14:paraId="5C8E4B69" w14:textId="77777777" w:rsidR="001F04FD" w:rsidRPr="0013396E" w:rsidRDefault="001F04FD" w:rsidP="00AC4DEE">
            <w:pPr>
              <w:spacing w:after="60"/>
              <w:rPr>
                <w:i/>
                <w:iCs/>
                <w:sz w:val="20"/>
              </w:rPr>
            </w:pPr>
            <w:r w:rsidRPr="0013396E">
              <w:rPr>
                <w:i/>
                <w:iCs/>
                <w:sz w:val="20"/>
              </w:rPr>
              <w:t>Monthly Block Load Transfer Amount per QSE per Settlement Point</w:t>
            </w:r>
            <w:r w:rsidRPr="0013396E">
              <w:rPr>
                <w:iCs/>
                <w:sz w:val="20"/>
              </w:rPr>
              <w:sym w:font="Symbol" w:char="F0BE"/>
            </w:r>
            <w:r w:rsidRPr="0013396E">
              <w:rPr>
                <w:iCs/>
                <w:sz w:val="20"/>
              </w:rPr>
              <w:t xml:space="preserve">The payment to QSE </w:t>
            </w:r>
            <w:r w:rsidRPr="0013396E">
              <w:rPr>
                <w:i/>
                <w:iCs/>
                <w:sz w:val="20"/>
              </w:rPr>
              <w:t>q</w:t>
            </w:r>
            <w:r w:rsidRPr="0013396E">
              <w:rPr>
                <w:iCs/>
                <w:sz w:val="20"/>
              </w:rPr>
              <w:t xml:space="preserve"> for the delivered energy to Load Zone </w:t>
            </w:r>
            <w:r w:rsidRPr="0013396E">
              <w:rPr>
                <w:i/>
                <w:iCs/>
                <w:sz w:val="20"/>
              </w:rPr>
              <w:t>p</w:t>
            </w:r>
            <w:r w:rsidRPr="0013396E">
              <w:rPr>
                <w:iCs/>
                <w:sz w:val="20"/>
              </w:rPr>
              <w:t xml:space="preserve"> for the month.</w:t>
            </w:r>
          </w:p>
        </w:tc>
      </w:tr>
      <w:tr w:rsidR="001F04FD" w:rsidRPr="0013396E" w14:paraId="70A7C8B6" w14:textId="77777777" w:rsidTr="009B7C62">
        <w:tc>
          <w:tcPr>
            <w:tcW w:w="2581" w:type="dxa"/>
          </w:tcPr>
          <w:p w14:paraId="63B0463D" w14:textId="77777777" w:rsidR="001F04FD" w:rsidRPr="0013396E" w:rsidRDefault="001F04FD" w:rsidP="00AC4DEE">
            <w:pPr>
              <w:spacing w:after="60"/>
              <w:rPr>
                <w:iCs/>
                <w:sz w:val="20"/>
              </w:rPr>
            </w:pPr>
            <w:r w:rsidRPr="0013396E">
              <w:rPr>
                <w:iCs/>
                <w:sz w:val="20"/>
              </w:rPr>
              <w:t xml:space="preserve">VMEBLTP </w:t>
            </w:r>
            <w:r w:rsidRPr="0013396E">
              <w:rPr>
                <w:i/>
                <w:iCs/>
                <w:sz w:val="20"/>
                <w:vertAlign w:val="subscript"/>
              </w:rPr>
              <w:t>q, p</w:t>
            </w:r>
          </w:p>
        </w:tc>
        <w:tc>
          <w:tcPr>
            <w:tcW w:w="1146" w:type="dxa"/>
          </w:tcPr>
          <w:p w14:paraId="7C8371B1" w14:textId="77777777" w:rsidR="001F04FD" w:rsidRPr="0013396E" w:rsidRDefault="001F04FD" w:rsidP="00AC4DEE">
            <w:pPr>
              <w:spacing w:after="60"/>
              <w:rPr>
                <w:iCs/>
                <w:sz w:val="20"/>
              </w:rPr>
            </w:pPr>
            <w:r w:rsidRPr="0013396E">
              <w:rPr>
                <w:iCs/>
                <w:sz w:val="20"/>
              </w:rPr>
              <w:t>$/MWh</w:t>
            </w:r>
          </w:p>
        </w:tc>
        <w:tc>
          <w:tcPr>
            <w:tcW w:w="6078" w:type="dxa"/>
          </w:tcPr>
          <w:p w14:paraId="59AD83D8" w14:textId="77777777" w:rsidR="001F04FD" w:rsidRPr="0013396E" w:rsidRDefault="001F04FD" w:rsidP="00AC4DEE">
            <w:pPr>
              <w:spacing w:after="60"/>
              <w:rPr>
                <w:i/>
                <w:iCs/>
                <w:sz w:val="20"/>
              </w:rPr>
            </w:pPr>
            <w:r w:rsidRPr="0013396E">
              <w:rPr>
                <w:i/>
                <w:iCs/>
                <w:sz w:val="20"/>
              </w:rPr>
              <w:t>Verified Monthly Energy Cost</w:t>
            </w:r>
            <w:r w:rsidRPr="0013396E">
              <w:rPr>
                <w:iCs/>
                <w:sz w:val="20"/>
              </w:rPr>
              <w:sym w:font="Symbol" w:char="F0BE"/>
            </w:r>
            <w:r w:rsidRPr="0013396E">
              <w:rPr>
                <w:iCs/>
                <w:sz w:val="20"/>
              </w:rPr>
              <w:t>The ERCOT verified monthly cost for the energy delivered to an ERCOT Load as determined by an invoice submitted to ERCOT.</w:t>
            </w:r>
          </w:p>
        </w:tc>
      </w:tr>
      <w:tr w:rsidR="001F04FD" w:rsidRPr="0013396E" w14:paraId="2C630273" w14:textId="77777777" w:rsidTr="009B7C62">
        <w:tc>
          <w:tcPr>
            <w:tcW w:w="2581" w:type="dxa"/>
          </w:tcPr>
          <w:p w14:paraId="6FCBE6C0" w14:textId="77777777" w:rsidR="001F04FD" w:rsidRPr="0013396E" w:rsidRDefault="001F04FD" w:rsidP="00AC4DEE">
            <w:pPr>
              <w:spacing w:after="60"/>
              <w:rPr>
                <w:iCs/>
                <w:sz w:val="20"/>
              </w:rPr>
            </w:pPr>
            <w:r w:rsidRPr="0013396E">
              <w:rPr>
                <w:iCs/>
                <w:sz w:val="20"/>
              </w:rPr>
              <w:t>CABLT</w:t>
            </w:r>
          </w:p>
        </w:tc>
        <w:tc>
          <w:tcPr>
            <w:tcW w:w="1146" w:type="dxa"/>
          </w:tcPr>
          <w:p w14:paraId="7C603EAB" w14:textId="29C544D4" w:rsidR="001F04FD" w:rsidRPr="0013396E" w:rsidRDefault="00154FF3" w:rsidP="009B7C62">
            <w:pPr>
              <w:spacing w:after="60"/>
              <w:rPr>
                <w:iCs/>
                <w:sz w:val="20"/>
              </w:rPr>
            </w:pPr>
            <w:r w:rsidRPr="0013396E">
              <w:rPr>
                <w:iCs/>
                <w:sz w:val="20"/>
              </w:rPr>
              <w:t>none</w:t>
            </w:r>
          </w:p>
        </w:tc>
        <w:tc>
          <w:tcPr>
            <w:tcW w:w="6078" w:type="dxa"/>
          </w:tcPr>
          <w:p w14:paraId="13512E1E" w14:textId="77777777" w:rsidR="001F04FD" w:rsidRPr="0013396E" w:rsidRDefault="001F04FD" w:rsidP="00AC4DEE">
            <w:pPr>
              <w:spacing w:after="60"/>
              <w:rPr>
                <w:i/>
                <w:iCs/>
                <w:sz w:val="20"/>
              </w:rPr>
            </w:pPr>
            <w:r w:rsidRPr="0013396E">
              <w:rPr>
                <w:i/>
                <w:iCs/>
                <w:sz w:val="20"/>
              </w:rPr>
              <w:t>Cost Adder for Block Load Transfer</w:t>
            </w:r>
            <w:r w:rsidRPr="0013396E">
              <w:rPr>
                <w:iCs/>
                <w:sz w:val="20"/>
              </w:rPr>
              <w:sym w:font="Symbol" w:char="F0BE"/>
            </w:r>
            <w:r w:rsidRPr="0013396E">
              <w:rPr>
                <w:iCs/>
                <w:sz w:val="20"/>
              </w:rPr>
              <w:t>A multiplier of 1.10.</w:t>
            </w:r>
          </w:p>
        </w:tc>
      </w:tr>
      <w:tr w:rsidR="001F04FD" w:rsidRPr="0013396E" w14:paraId="673A495A" w14:textId="77777777" w:rsidTr="009B7C62">
        <w:tc>
          <w:tcPr>
            <w:tcW w:w="2581" w:type="dxa"/>
          </w:tcPr>
          <w:p w14:paraId="6D61CF8A" w14:textId="77777777" w:rsidR="001F04FD" w:rsidRPr="0013396E" w:rsidRDefault="001F04FD" w:rsidP="00AC4DEE">
            <w:pPr>
              <w:spacing w:after="60"/>
              <w:rPr>
                <w:i/>
                <w:iCs/>
                <w:sz w:val="20"/>
              </w:rPr>
            </w:pPr>
            <w:r w:rsidRPr="0013396E">
              <w:rPr>
                <w:i/>
                <w:iCs/>
                <w:sz w:val="20"/>
              </w:rPr>
              <w:t>q</w:t>
            </w:r>
          </w:p>
        </w:tc>
        <w:tc>
          <w:tcPr>
            <w:tcW w:w="1146" w:type="dxa"/>
          </w:tcPr>
          <w:p w14:paraId="5C63D233" w14:textId="77777777" w:rsidR="001F04FD" w:rsidRPr="0013396E" w:rsidRDefault="001F04FD" w:rsidP="00AC4DEE">
            <w:pPr>
              <w:spacing w:after="60"/>
              <w:rPr>
                <w:iCs/>
                <w:sz w:val="20"/>
              </w:rPr>
            </w:pPr>
            <w:r w:rsidRPr="0013396E">
              <w:rPr>
                <w:iCs/>
                <w:sz w:val="20"/>
              </w:rPr>
              <w:t>none</w:t>
            </w:r>
          </w:p>
        </w:tc>
        <w:tc>
          <w:tcPr>
            <w:tcW w:w="6078" w:type="dxa"/>
          </w:tcPr>
          <w:p w14:paraId="7C83CC1C" w14:textId="77777777" w:rsidR="001F04FD" w:rsidRPr="0013396E" w:rsidRDefault="001F04FD" w:rsidP="00AC4DEE">
            <w:pPr>
              <w:spacing w:after="60"/>
              <w:rPr>
                <w:i/>
                <w:iCs/>
                <w:sz w:val="20"/>
              </w:rPr>
            </w:pPr>
            <w:r w:rsidRPr="0013396E">
              <w:rPr>
                <w:iCs/>
                <w:sz w:val="20"/>
              </w:rPr>
              <w:t>A QSE.</w:t>
            </w:r>
          </w:p>
        </w:tc>
      </w:tr>
      <w:tr w:rsidR="001F04FD" w:rsidRPr="0013396E" w14:paraId="1C5E8D6D" w14:textId="77777777" w:rsidTr="009B7C62">
        <w:tc>
          <w:tcPr>
            <w:tcW w:w="2581" w:type="dxa"/>
          </w:tcPr>
          <w:p w14:paraId="421CF336" w14:textId="77777777" w:rsidR="001F04FD" w:rsidRPr="0013396E" w:rsidRDefault="001F04FD" w:rsidP="00AC4DEE">
            <w:pPr>
              <w:spacing w:after="60"/>
              <w:rPr>
                <w:i/>
                <w:iCs/>
                <w:sz w:val="20"/>
              </w:rPr>
            </w:pPr>
            <w:r w:rsidRPr="0013396E">
              <w:rPr>
                <w:i/>
                <w:iCs/>
                <w:sz w:val="20"/>
              </w:rPr>
              <w:t>p</w:t>
            </w:r>
          </w:p>
        </w:tc>
        <w:tc>
          <w:tcPr>
            <w:tcW w:w="1146" w:type="dxa"/>
          </w:tcPr>
          <w:p w14:paraId="6BAB3F92" w14:textId="77777777" w:rsidR="001F04FD" w:rsidRPr="0013396E" w:rsidRDefault="001F04FD" w:rsidP="00AC4DEE">
            <w:pPr>
              <w:spacing w:after="60"/>
              <w:rPr>
                <w:iCs/>
                <w:sz w:val="20"/>
              </w:rPr>
            </w:pPr>
            <w:r w:rsidRPr="0013396E">
              <w:rPr>
                <w:iCs/>
                <w:sz w:val="20"/>
              </w:rPr>
              <w:t>none</w:t>
            </w:r>
          </w:p>
        </w:tc>
        <w:tc>
          <w:tcPr>
            <w:tcW w:w="6078" w:type="dxa"/>
          </w:tcPr>
          <w:p w14:paraId="23B2C5E4" w14:textId="77777777" w:rsidR="001F04FD" w:rsidRPr="0013396E" w:rsidRDefault="001F04FD" w:rsidP="00AC4DEE">
            <w:pPr>
              <w:spacing w:after="60"/>
              <w:rPr>
                <w:i/>
                <w:iCs/>
                <w:sz w:val="20"/>
              </w:rPr>
            </w:pPr>
            <w:r w:rsidRPr="0013396E">
              <w:rPr>
                <w:iCs/>
                <w:sz w:val="20"/>
              </w:rPr>
              <w:t>A Load Zone Settlement Point.</w:t>
            </w:r>
          </w:p>
        </w:tc>
      </w:tr>
    </w:tbl>
    <w:p w14:paraId="72646104" w14:textId="77777777" w:rsidR="001F04FD" w:rsidRPr="0013396E" w:rsidRDefault="001F04FD" w:rsidP="001F04FD">
      <w:pPr>
        <w:pStyle w:val="List"/>
        <w:spacing w:before="240"/>
      </w:pPr>
      <w:r w:rsidRPr="0013396E">
        <w:lastRenderedPageBreak/>
        <w:t>(b)</w:t>
      </w:r>
      <w:r w:rsidRPr="0013396E">
        <w:tab/>
        <w:t>The total of the payments to each QSE for all energy delivered to ERCOT Loads through BLT Points for the 15-minute Settlement Interval is calculated as follows:</w:t>
      </w:r>
    </w:p>
    <w:p w14:paraId="0FEACF2A" w14:textId="0F194321" w:rsidR="001F04FD" w:rsidRPr="0013396E" w:rsidRDefault="001F04FD" w:rsidP="001F04FD">
      <w:pPr>
        <w:tabs>
          <w:tab w:val="left" w:pos="1440"/>
          <w:tab w:val="left" w:pos="3150"/>
          <w:tab w:val="left" w:pos="3960"/>
        </w:tabs>
        <w:spacing w:after="240"/>
        <w:ind w:left="3960" w:hanging="3240"/>
        <w:rPr>
          <w:position w:val="-30"/>
        </w:rPr>
      </w:pPr>
      <w:r w:rsidRPr="0013396E">
        <w:rPr>
          <w:b/>
          <w:bCs/>
        </w:rPr>
        <w:tab/>
        <w:t xml:space="preserve">MBLTAMTQSETOT </w:t>
      </w:r>
      <w:r w:rsidRPr="0013396E">
        <w:rPr>
          <w:b/>
          <w:bCs/>
          <w:i/>
          <w:vertAlign w:val="subscript"/>
        </w:rPr>
        <w:t>q</w:t>
      </w:r>
      <w:r w:rsidRPr="0013396E">
        <w:rPr>
          <w:b/>
          <w:bCs/>
        </w:rPr>
        <w:tab/>
        <w:t>=</w:t>
      </w:r>
      <w:r w:rsidRPr="0013396E">
        <w:rPr>
          <w:b/>
          <w:bCs/>
        </w:rPr>
        <w:tab/>
      </w:r>
      <w:r w:rsidR="00A94020" w:rsidRPr="0013396E">
        <w:rPr>
          <w:b/>
          <w:noProof/>
          <w:position w:val="-22"/>
        </w:rPr>
        <w:drawing>
          <wp:inline distT="0" distB="0" distL="0" distR="0" wp14:anchorId="0B2F7622" wp14:editId="0D18E516">
            <wp:extent cx="142875" cy="295275"/>
            <wp:effectExtent l="0" t="0" r="9525" b="9525"/>
            <wp:docPr id="7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8" cstate="print">
                      <a:extLst>
                        <a:ext uri="{28A0092B-C50C-407E-A947-70E740481C1C}">
                          <a14:useLocalDpi xmlns:a14="http://schemas.microsoft.com/office/drawing/2010/main" val="0"/>
                        </a:ext>
                      </a:extLst>
                    </a:blip>
                    <a:srcRect/>
                    <a:stretch>
                      <a:fillRect/>
                    </a:stretch>
                  </pic:blipFill>
                  <pic:spPr bwMode="auto">
                    <a:xfrm>
                      <a:off x="0" y="0"/>
                      <a:ext cx="142875" cy="295275"/>
                    </a:xfrm>
                    <a:prstGeom prst="rect">
                      <a:avLst/>
                    </a:prstGeom>
                    <a:noFill/>
                    <a:ln>
                      <a:noFill/>
                    </a:ln>
                  </pic:spPr>
                </pic:pic>
              </a:graphicData>
            </a:graphic>
          </wp:inline>
        </w:drawing>
      </w:r>
      <w:r w:rsidRPr="0013396E">
        <w:rPr>
          <w:b/>
          <w:bCs/>
        </w:rPr>
        <w:t xml:space="preserve"> MBLTAMT </w:t>
      </w:r>
      <w:r w:rsidRPr="0013396E">
        <w:rPr>
          <w:b/>
          <w:bCs/>
          <w:i/>
          <w:vertAlign w:val="subscript"/>
        </w:rPr>
        <w:t>q, p</w:t>
      </w:r>
      <w:r w:rsidRPr="0013396E">
        <w:t> </w:t>
      </w:r>
      <w:r w:rsidRPr="0013396E" w:rsidDel="00665566">
        <w:rPr>
          <w:position w:val="-30"/>
        </w:rPr>
        <w:t xml:space="preserve"> </w:t>
      </w:r>
    </w:p>
    <w:p w14:paraId="3E1A49B6" w14:textId="77777777" w:rsidR="001F04FD" w:rsidRPr="0013396E" w:rsidRDefault="001F04FD" w:rsidP="001F04FD">
      <w:pPr>
        <w:tabs>
          <w:tab w:val="left" w:pos="2250"/>
          <w:tab w:val="left" w:pos="3150"/>
          <w:tab w:val="left" w:pos="3960"/>
        </w:tabs>
      </w:pPr>
      <w:r w:rsidRPr="0013396E">
        <w:t>The above variables are defined as follows:</w:t>
      </w:r>
    </w:p>
    <w:tbl>
      <w:tblPr>
        <w:tblW w:w="52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0"/>
        <w:gridCol w:w="606"/>
        <w:gridCol w:w="6908"/>
      </w:tblGrid>
      <w:tr w:rsidR="001F04FD" w:rsidRPr="0013396E" w14:paraId="5C46C342" w14:textId="77777777" w:rsidTr="002401F7">
        <w:tc>
          <w:tcPr>
            <w:tcW w:w="1168" w:type="pct"/>
          </w:tcPr>
          <w:p w14:paraId="118AA196" w14:textId="77777777" w:rsidR="001F04FD" w:rsidRPr="0013396E" w:rsidRDefault="001F04FD" w:rsidP="00AC4DEE">
            <w:pPr>
              <w:spacing w:after="120"/>
              <w:rPr>
                <w:b/>
                <w:iCs/>
                <w:sz w:val="20"/>
              </w:rPr>
            </w:pPr>
            <w:r w:rsidRPr="0013396E">
              <w:rPr>
                <w:b/>
                <w:iCs/>
                <w:sz w:val="20"/>
              </w:rPr>
              <w:t>Variable</w:t>
            </w:r>
          </w:p>
        </w:tc>
        <w:tc>
          <w:tcPr>
            <w:tcW w:w="309" w:type="pct"/>
          </w:tcPr>
          <w:p w14:paraId="0E65C280" w14:textId="77777777" w:rsidR="001F04FD" w:rsidRPr="0013396E" w:rsidRDefault="001F04FD" w:rsidP="00AC4DEE">
            <w:pPr>
              <w:spacing w:after="120"/>
              <w:rPr>
                <w:b/>
                <w:iCs/>
                <w:sz w:val="20"/>
              </w:rPr>
            </w:pPr>
            <w:r w:rsidRPr="0013396E">
              <w:rPr>
                <w:b/>
                <w:iCs/>
                <w:sz w:val="20"/>
              </w:rPr>
              <w:t>Unit</w:t>
            </w:r>
          </w:p>
        </w:tc>
        <w:tc>
          <w:tcPr>
            <w:tcW w:w="3523" w:type="pct"/>
          </w:tcPr>
          <w:p w14:paraId="70E35528" w14:textId="77777777" w:rsidR="001F04FD" w:rsidRPr="0013396E" w:rsidRDefault="001F04FD" w:rsidP="00AC4DEE">
            <w:pPr>
              <w:spacing w:after="120"/>
              <w:rPr>
                <w:b/>
                <w:iCs/>
                <w:sz w:val="20"/>
              </w:rPr>
            </w:pPr>
            <w:r w:rsidRPr="0013396E">
              <w:rPr>
                <w:b/>
                <w:iCs/>
                <w:sz w:val="20"/>
              </w:rPr>
              <w:t>Definition</w:t>
            </w:r>
          </w:p>
        </w:tc>
      </w:tr>
      <w:tr w:rsidR="001F04FD" w:rsidRPr="0013396E" w14:paraId="1C423B2B" w14:textId="77777777" w:rsidTr="002401F7">
        <w:tc>
          <w:tcPr>
            <w:tcW w:w="1168" w:type="pct"/>
          </w:tcPr>
          <w:p w14:paraId="21BDB231" w14:textId="77777777" w:rsidR="001F04FD" w:rsidRPr="0013396E" w:rsidRDefault="001F04FD" w:rsidP="00AC4DEE">
            <w:pPr>
              <w:spacing w:after="60"/>
              <w:rPr>
                <w:iCs/>
                <w:sz w:val="20"/>
              </w:rPr>
            </w:pPr>
            <w:r w:rsidRPr="0013396E">
              <w:rPr>
                <w:iCs/>
                <w:sz w:val="20"/>
              </w:rPr>
              <w:t xml:space="preserve">MBLTAMTQSETOT </w:t>
            </w:r>
            <w:r w:rsidRPr="0013396E">
              <w:rPr>
                <w:i/>
                <w:iCs/>
                <w:sz w:val="20"/>
                <w:vertAlign w:val="subscript"/>
              </w:rPr>
              <w:t>q</w:t>
            </w:r>
          </w:p>
        </w:tc>
        <w:tc>
          <w:tcPr>
            <w:tcW w:w="309" w:type="pct"/>
          </w:tcPr>
          <w:p w14:paraId="0569B4E8" w14:textId="77777777" w:rsidR="001F04FD" w:rsidRPr="0013396E" w:rsidRDefault="001F04FD" w:rsidP="00AC4DEE">
            <w:pPr>
              <w:spacing w:after="60"/>
              <w:rPr>
                <w:iCs/>
                <w:sz w:val="20"/>
              </w:rPr>
            </w:pPr>
            <w:r w:rsidRPr="0013396E">
              <w:rPr>
                <w:iCs/>
                <w:sz w:val="20"/>
              </w:rPr>
              <w:t>$</w:t>
            </w:r>
          </w:p>
        </w:tc>
        <w:tc>
          <w:tcPr>
            <w:tcW w:w="3523" w:type="pct"/>
          </w:tcPr>
          <w:p w14:paraId="434DD71D" w14:textId="77777777" w:rsidR="001F04FD" w:rsidRPr="0013396E" w:rsidRDefault="001F04FD" w:rsidP="00AC4DEE">
            <w:pPr>
              <w:spacing w:after="60"/>
              <w:rPr>
                <w:iCs/>
                <w:sz w:val="20"/>
              </w:rPr>
            </w:pPr>
            <w:r w:rsidRPr="0013396E">
              <w:rPr>
                <w:i/>
                <w:iCs/>
                <w:sz w:val="20"/>
              </w:rPr>
              <w:t>Monthly Block Load Transfer Amount QSE Total per QSE</w:t>
            </w:r>
            <w:r w:rsidRPr="0013396E">
              <w:rPr>
                <w:iCs/>
                <w:sz w:val="20"/>
              </w:rPr>
              <w:sym w:font="Symbol" w:char="F0BE"/>
            </w:r>
            <w:r w:rsidRPr="0013396E">
              <w:rPr>
                <w:iCs/>
                <w:sz w:val="20"/>
              </w:rPr>
              <w:t xml:space="preserve">The total of the payments to QSE </w:t>
            </w:r>
            <w:r w:rsidRPr="0013396E">
              <w:rPr>
                <w:i/>
                <w:iCs/>
                <w:sz w:val="20"/>
              </w:rPr>
              <w:t>q</w:t>
            </w:r>
            <w:r w:rsidRPr="0013396E">
              <w:rPr>
                <w:iCs/>
                <w:sz w:val="20"/>
              </w:rPr>
              <w:t xml:space="preserve"> for energy delivered into the ERCOT System for the month.</w:t>
            </w:r>
          </w:p>
        </w:tc>
      </w:tr>
      <w:tr w:rsidR="001F04FD" w:rsidRPr="0013396E" w14:paraId="70EAAB67" w14:textId="77777777" w:rsidTr="002401F7">
        <w:tc>
          <w:tcPr>
            <w:tcW w:w="1168" w:type="pct"/>
          </w:tcPr>
          <w:p w14:paraId="33E4ACF9" w14:textId="619F5981" w:rsidR="001F04FD" w:rsidRPr="0013396E" w:rsidRDefault="001F04FD" w:rsidP="0065571F">
            <w:pPr>
              <w:spacing w:after="60"/>
              <w:rPr>
                <w:iCs/>
                <w:sz w:val="20"/>
              </w:rPr>
            </w:pPr>
            <w:r w:rsidRPr="0013396E">
              <w:rPr>
                <w:iCs/>
                <w:sz w:val="20"/>
              </w:rPr>
              <w:t xml:space="preserve">MBLTAMT </w:t>
            </w:r>
            <w:r w:rsidRPr="0013396E">
              <w:rPr>
                <w:i/>
                <w:iCs/>
                <w:sz w:val="20"/>
                <w:vertAlign w:val="subscript"/>
              </w:rPr>
              <w:t>q, p</w:t>
            </w:r>
          </w:p>
        </w:tc>
        <w:tc>
          <w:tcPr>
            <w:tcW w:w="309" w:type="pct"/>
          </w:tcPr>
          <w:p w14:paraId="66CCA9D1" w14:textId="77777777" w:rsidR="001F04FD" w:rsidRPr="0013396E" w:rsidRDefault="001F04FD" w:rsidP="00AC4DEE">
            <w:pPr>
              <w:spacing w:after="60"/>
              <w:rPr>
                <w:iCs/>
                <w:sz w:val="20"/>
              </w:rPr>
            </w:pPr>
            <w:r w:rsidRPr="0013396E">
              <w:rPr>
                <w:iCs/>
                <w:sz w:val="20"/>
              </w:rPr>
              <w:t>$</w:t>
            </w:r>
          </w:p>
        </w:tc>
        <w:tc>
          <w:tcPr>
            <w:tcW w:w="3523" w:type="pct"/>
          </w:tcPr>
          <w:p w14:paraId="549B9D34" w14:textId="77777777" w:rsidR="001F04FD" w:rsidRPr="0013396E" w:rsidRDefault="001F04FD" w:rsidP="00AC4DEE">
            <w:pPr>
              <w:spacing w:after="60"/>
              <w:rPr>
                <w:iCs/>
                <w:sz w:val="20"/>
              </w:rPr>
            </w:pPr>
            <w:r w:rsidRPr="0013396E">
              <w:rPr>
                <w:i/>
                <w:iCs/>
                <w:sz w:val="20"/>
              </w:rPr>
              <w:t>Monthly Block Load Transfer Amount per QSE per Settlement Point</w:t>
            </w:r>
            <w:r w:rsidRPr="0013396E">
              <w:rPr>
                <w:iCs/>
                <w:sz w:val="20"/>
              </w:rPr>
              <w:sym w:font="Symbol" w:char="F0BE"/>
            </w:r>
            <w:r w:rsidRPr="0013396E">
              <w:rPr>
                <w:iCs/>
                <w:sz w:val="20"/>
              </w:rPr>
              <w:t xml:space="preserve">The payment to QSE </w:t>
            </w:r>
            <w:r w:rsidRPr="0013396E">
              <w:rPr>
                <w:i/>
                <w:iCs/>
                <w:sz w:val="20"/>
              </w:rPr>
              <w:t>q</w:t>
            </w:r>
            <w:r w:rsidRPr="0013396E">
              <w:rPr>
                <w:iCs/>
                <w:sz w:val="20"/>
              </w:rPr>
              <w:t xml:space="preserve"> for the delivered energy to Load Zone </w:t>
            </w:r>
            <w:r w:rsidRPr="0013396E">
              <w:rPr>
                <w:i/>
                <w:iCs/>
                <w:sz w:val="20"/>
              </w:rPr>
              <w:t>p</w:t>
            </w:r>
            <w:r w:rsidRPr="0013396E">
              <w:rPr>
                <w:iCs/>
                <w:sz w:val="20"/>
              </w:rPr>
              <w:t xml:space="preserve"> for the month.</w:t>
            </w:r>
          </w:p>
        </w:tc>
      </w:tr>
      <w:tr w:rsidR="001F04FD" w:rsidRPr="0013396E" w14:paraId="798196AF" w14:textId="77777777" w:rsidTr="002401F7">
        <w:tc>
          <w:tcPr>
            <w:tcW w:w="1168" w:type="pct"/>
            <w:tcBorders>
              <w:top w:val="single" w:sz="4" w:space="0" w:color="auto"/>
              <w:left w:val="single" w:sz="4" w:space="0" w:color="auto"/>
              <w:bottom w:val="single" w:sz="4" w:space="0" w:color="auto"/>
              <w:right w:val="single" w:sz="4" w:space="0" w:color="auto"/>
            </w:tcBorders>
          </w:tcPr>
          <w:p w14:paraId="75BE949D" w14:textId="77777777" w:rsidR="001F04FD" w:rsidRPr="0013396E" w:rsidRDefault="001F04FD" w:rsidP="00AC4DEE">
            <w:pPr>
              <w:spacing w:after="60"/>
              <w:rPr>
                <w:i/>
                <w:iCs/>
                <w:sz w:val="20"/>
              </w:rPr>
            </w:pPr>
            <w:r w:rsidRPr="0013396E">
              <w:rPr>
                <w:i/>
                <w:iCs/>
                <w:sz w:val="20"/>
              </w:rPr>
              <w:t>q</w:t>
            </w:r>
          </w:p>
        </w:tc>
        <w:tc>
          <w:tcPr>
            <w:tcW w:w="309" w:type="pct"/>
            <w:tcBorders>
              <w:top w:val="single" w:sz="4" w:space="0" w:color="auto"/>
              <w:left w:val="single" w:sz="4" w:space="0" w:color="auto"/>
              <w:bottom w:val="single" w:sz="4" w:space="0" w:color="auto"/>
              <w:right w:val="single" w:sz="4" w:space="0" w:color="auto"/>
            </w:tcBorders>
          </w:tcPr>
          <w:p w14:paraId="2B58312A" w14:textId="77777777" w:rsidR="001F04FD" w:rsidRPr="0013396E" w:rsidRDefault="001F04FD" w:rsidP="00AC4DEE">
            <w:pPr>
              <w:spacing w:after="60"/>
              <w:rPr>
                <w:iCs/>
                <w:sz w:val="20"/>
              </w:rPr>
            </w:pPr>
            <w:r w:rsidRPr="0013396E">
              <w:rPr>
                <w:iCs/>
                <w:sz w:val="20"/>
              </w:rPr>
              <w:t>none</w:t>
            </w:r>
          </w:p>
        </w:tc>
        <w:tc>
          <w:tcPr>
            <w:tcW w:w="3523" w:type="pct"/>
            <w:tcBorders>
              <w:top w:val="single" w:sz="4" w:space="0" w:color="auto"/>
              <w:left w:val="single" w:sz="4" w:space="0" w:color="auto"/>
              <w:bottom w:val="single" w:sz="4" w:space="0" w:color="auto"/>
              <w:right w:val="single" w:sz="4" w:space="0" w:color="auto"/>
            </w:tcBorders>
          </w:tcPr>
          <w:p w14:paraId="7162E1E9" w14:textId="77777777" w:rsidR="001F04FD" w:rsidRPr="0013396E" w:rsidRDefault="001F04FD" w:rsidP="00AC4DEE">
            <w:pPr>
              <w:spacing w:after="60"/>
              <w:rPr>
                <w:iCs/>
                <w:sz w:val="20"/>
              </w:rPr>
            </w:pPr>
            <w:r w:rsidRPr="0013396E">
              <w:rPr>
                <w:iCs/>
                <w:sz w:val="20"/>
              </w:rPr>
              <w:t>A QSE.</w:t>
            </w:r>
          </w:p>
        </w:tc>
      </w:tr>
      <w:tr w:rsidR="001F04FD" w:rsidRPr="0013396E" w14:paraId="4457E886" w14:textId="77777777" w:rsidTr="002401F7">
        <w:tc>
          <w:tcPr>
            <w:tcW w:w="1168" w:type="pct"/>
            <w:tcBorders>
              <w:top w:val="single" w:sz="4" w:space="0" w:color="auto"/>
              <w:left w:val="single" w:sz="4" w:space="0" w:color="auto"/>
              <w:bottom w:val="single" w:sz="4" w:space="0" w:color="auto"/>
              <w:right w:val="single" w:sz="4" w:space="0" w:color="auto"/>
            </w:tcBorders>
          </w:tcPr>
          <w:p w14:paraId="7B7EBF44" w14:textId="77777777" w:rsidR="001F04FD" w:rsidRPr="0013396E" w:rsidRDefault="001F04FD" w:rsidP="00AC4DEE">
            <w:pPr>
              <w:spacing w:after="60"/>
              <w:rPr>
                <w:i/>
                <w:iCs/>
                <w:sz w:val="20"/>
              </w:rPr>
            </w:pPr>
            <w:r w:rsidRPr="0013396E">
              <w:rPr>
                <w:i/>
                <w:iCs/>
                <w:sz w:val="20"/>
              </w:rPr>
              <w:t>p</w:t>
            </w:r>
          </w:p>
        </w:tc>
        <w:tc>
          <w:tcPr>
            <w:tcW w:w="309" w:type="pct"/>
            <w:tcBorders>
              <w:top w:val="single" w:sz="4" w:space="0" w:color="auto"/>
              <w:left w:val="single" w:sz="4" w:space="0" w:color="auto"/>
              <w:bottom w:val="single" w:sz="4" w:space="0" w:color="auto"/>
              <w:right w:val="single" w:sz="4" w:space="0" w:color="auto"/>
            </w:tcBorders>
          </w:tcPr>
          <w:p w14:paraId="487C921B" w14:textId="77777777" w:rsidR="001F04FD" w:rsidRPr="0013396E" w:rsidRDefault="001F04FD" w:rsidP="00AC4DEE">
            <w:pPr>
              <w:spacing w:after="60"/>
              <w:rPr>
                <w:iCs/>
                <w:sz w:val="20"/>
              </w:rPr>
            </w:pPr>
            <w:r w:rsidRPr="0013396E">
              <w:rPr>
                <w:iCs/>
                <w:sz w:val="20"/>
              </w:rPr>
              <w:t>none</w:t>
            </w:r>
          </w:p>
        </w:tc>
        <w:tc>
          <w:tcPr>
            <w:tcW w:w="3523" w:type="pct"/>
            <w:tcBorders>
              <w:top w:val="single" w:sz="4" w:space="0" w:color="auto"/>
              <w:left w:val="single" w:sz="4" w:space="0" w:color="auto"/>
              <w:bottom w:val="single" w:sz="4" w:space="0" w:color="auto"/>
              <w:right w:val="single" w:sz="4" w:space="0" w:color="auto"/>
            </w:tcBorders>
          </w:tcPr>
          <w:p w14:paraId="6DFE0021" w14:textId="77777777" w:rsidR="001F04FD" w:rsidRPr="0013396E" w:rsidRDefault="001F04FD" w:rsidP="00AC4DEE">
            <w:pPr>
              <w:spacing w:after="60"/>
              <w:rPr>
                <w:iCs/>
                <w:sz w:val="20"/>
              </w:rPr>
            </w:pPr>
            <w:r w:rsidRPr="0013396E">
              <w:rPr>
                <w:iCs/>
                <w:sz w:val="20"/>
              </w:rPr>
              <w:t>A Load Zone Settlement Point.</w:t>
            </w:r>
          </w:p>
        </w:tc>
      </w:tr>
    </w:tbl>
    <w:p w14:paraId="7B80444D" w14:textId="77777777" w:rsidR="001F04FD" w:rsidRPr="0013396E" w:rsidRDefault="001F04FD" w:rsidP="001F04FD">
      <w:pPr>
        <w:pStyle w:val="List"/>
        <w:spacing w:before="240"/>
      </w:pPr>
      <w:r w:rsidRPr="0013396E">
        <w:t>(c)</w:t>
      </w:r>
      <w:r w:rsidRPr="0013396E">
        <w:tab/>
        <w:t>ERCOT shall calculate each QSE’s monthly BLT charge as follows:</w:t>
      </w:r>
    </w:p>
    <w:p w14:paraId="02C94632" w14:textId="77777777" w:rsidR="001F04FD" w:rsidRPr="0013396E" w:rsidRDefault="001F04FD" w:rsidP="001F04FD">
      <w:pPr>
        <w:pStyle w:val="FormulaBold"/>
        <w:ind w:left="1440" w:hanging="720"/>
      </w:pPr>
      <w:r w:rsidRPr="0013396E">
        <w:rPr>
          <w:lang w:val="pt-BR"/>
        </w:rPr>
        <w:tab/>
        <w:t xml:space="preserve">LAMBLTAMT </w:t>
      </w:r>
      <w:r w:rsidRPr="0013396E">
        <w:rPr>
          <w:i/>
          <w:vertAlign w:val="subscript"/>
          <w:lang w:val="pt-BR"/>
        </w:rPr>
        <w:t>q</w:t>
      </w:r>
      <w:r w:rsidRPr="0013396E">
        <w:t xml:space="preserve"> = (-1) * MLRS </w:t>
      </w:r>
      <w:r w:rsidRPr="0013396E">
        <w:rPr>
          <w:i/>
          <w:vertAlign w:val="subscript"/>
        </w:rPr>
        <w:t>q</w:t>
      </w:r>
      <w:r w:rsidRPr="0013396E">
        <w:rPr>
          <w:vertAlign w:val="subscript"/>
        </w:rPr>
        <w:t xml:space="preserve"> </w:t>
      </w:r>
      <w:r w:rsidRPr="0013396E">
        <w:t>* MBLTAMTTOT</w:t>
      </w:r>
    </w:p>
    <w:p w14:paraId="7E96A854" w14:textId="77777777" w:rsidR="001F04FD" w:rsidRPr="0013396E" w:rsidRDefault="001F04FD" w:rsidP="001F04FD">
      <w:pPr>
        <w:pStyle w:val="FormulaBold"/>
        <w:ind w:left="1440" w:hanging="720"/>
      </w:pPr>
      <w:r w:rsidRPr="0013396E">
        <w:tab/>
        <w:t>MBLTAMTTOT</w:t>
      </w:r>
      <w:r w:rsidRPr="0013396E">
        <w:rPr>
          <w:rFonts w:ascii="Times New Roman Bold" w:hAnsi="Times New Roman Bold"/>
        </w:rPr>
        <w:t xml:space="preserve"> = </w:t>
      </w:r>
      <w:r w:rsidRPr="0013396E">
        <w:rPr>
          <w:position w:val="-22"/>
        </w:rPr>
        <w:object w:dxaOrig="180" w:dyaOrig="465" w14:anchorId="36D3ABDA">
          <v:shape id="_x0000_i1128" type="#_x0000_t75" style="width:6pt;height:18.6pt" o:ole="">
            <v:imagedata r:id="rId149" o:title=""/>
          </v:shape>
          <o:OLEObject Type="Embed" ProgID="Equation.3" ShapeID="_x0000_i1128" DrawAspect="Content" ObjectID="_1836311407" r:id="rId150"/>
        </w:object>
      </w:r>
      <w:r w:rsidRPr="0013396E">
        <w:rPr>
          <w:position w:val="-22"/>
        </w:rPr>
        <w:t xml:space="preserve"> </w:t>
      </w:r>
      <w:r w:rsidRPr="0013396E">
        <w:t>MBLTAMTQSETOT</w:t>
      </w:r>
      <w:r w:rsidRPr="0013396E">
        <w:rPr>
          <w:i/>
          <w:vertAlign w:val="subscript"/>
        </w:rPr>
        <w:t xml:space="preserve"> q</w:t>
      </w:r>
      <w:r w:rsidRPr="0013396E">
        <w:t xml:space="preserve"> </w:t>
      </w:r>
    </w:p>
    <w:p w14:paraId="74C4993F" w14:textId="77777777" w:rsidR="001F04FD" w:rsidRPr="0013396E" w:rsidRDefault="001F04FD" w:rsidP="00154FF3">
      <w:pPr>
        <w:tabs>
          <w:tab w:val="left" w:pos="2250"/>
          <w:tab w:val="left" w:pos="3150"/>
          <w:tab w:val="left" w:pos="3960"/>
        </w:tabs>
      </w:pPr>
      <w:r w:rsidRPr="0013396E">
        <w:t>The above variables are defined as follows: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55"/>
        <w:gridCol w:w="898"/>
        <w:gridCol w:w="6452"/>
      </w:tblGrid>
      <w:tr w:rsidR="001F04FD" w:rsidRPr="0013396E" w14:paraId="05EF6954" w14:textId="77777777" w:rsidTr="00154FF3">
        <w:tc>
          <w:tcPr>
            <w:tcW w:w="1252" w:type="pct"/>
          </w:tcPr>
          <w:p w14:paraId="35380B09" w14:textId="77777777" w:rsidR="001F04FD" w:rsidRPr="0013396E" w:rsidRDefault="001F04FD" w:rsidP="00AC4DEE">
            <w:pPr>
              <w:pStyle w:val="TableHead"/>
            </w:pPr>
            <w:r w:rsidRPr="0013396E">
              <w:t>Variable</w:t>
            </w:r>
          </w:p>
        </w:tc>
        <w:tc>
          <w:tcPr>
            <w:tcW w:w="458" w:type="pct"/>
          </w:tcPr>
          <w:p w14:paraId="420C2991" w14:textId="77777777" w:rsidR="001F04FD" w:rsidRPr="0013396E" w:rsidRDefault="001F04FD" w:rsidP="00AC4DEE">
            <w:pPr>
              <w:pStyle w:val="TableHead"/>
            </w:pPr>
            <w:r w:rsidRPr="0013396E">
              <w:t>Unit</w:t>
            </w:r>
          </w:p>
        </w:tc>
        <w:tc>
          <w:tcPr>
            <w:tcW w:w="3290" w:type="pct"/>
          </w:tcPr>
          <w:p w14:paraId="67A37C96" w14:textId="77777777" w:rsidR="001F04FD" w:rsidRPr="0013396E" w:rsidRDefault="001F04FD" w:rsidP="00AC4DEE">
            <w:pPr>
              <w:pStyle w:val="TableHead"/>
            </w:pPr>
            <w:r w:rsidRPr="0013396E">
              <w:t>Description</w:t>
            </w:r>
          </w:p>
        </w:tc>
      </w:tr>
      <w:tr w:rsidR="001F04FD" w:rsidRPr="0013396E" w14:paraId="11091B60" w14:textId="77777777" w:rsidTr="00154FF3">
        <w:trPr>
          <w:cantSplit/>
          <w:trHeight w:val="692"/>
        </w:trPr>
        <w:tc>
          <w:tcPr>
            <w:tcW w:w="1252" w:type="pct"/>
          </w:tcPr>
          <w:p w14:paraId="4CA85F08" w14:textId="77777777" w:rsidR="001F04FD" w:rsidRPr="0013396E" w:rsidRDefault="001F04FD" w:rsidP="00AC4DEE">
            <w:pPr>
              <w:pStyle w:val="TableBody"/>
            </w:pPr>
            <w:r w:rsidRPr="0013396E">
              <w:t xml:space="preserve">MLRS </w:t>
            </w:r>
            <w:r w:rsidRPr="0013396E">
              <w:rPr>
                <w:i/>
                <w:vertAlign w:val="subscript"/>
              </w:rPr>
              <w:t>q</w:t>
            </w:r>
          </w:p>
        </w:tc>
        <w:tc>
          <w:tcPr>
            <w:tcW w:w="458" w:type="pct"/>
          </w:tcPr>
          <w:p w14:paraId="7252937D" w14:textId="77777777" w:rsidR="001F04FD" w:rsidRPr="0013396E" w:rsidRDefault="001F04FD" w:rsidP="00AC4DEE">
            <w:pPr>
              <w:pStyle w:val="TableBody"/>
            </w:pPr>
            <w:r w:rsidRPr="0013396E">
              <w:t>none</w:t>
            </w:r>
          </w:p>
        </w:tc>
        <w:tc>
          <w:tcPr>
            <w:tcW w:w="3290" w:type="pct"/>
          </w:tcPr>
          <w:p w14:paraId="64F11D97" w14:textId="77777777" w:rsidR="001F04FD" w:rsidRPr="0013396E" w:rsidRDefault="001F04FD" w:rsidP="00AC4DEE">
            <w:pPr>
              <w:pStyle w:val="TableBody"/>
            </w:pPr>
            <w:r w:rsidRPr="0013396E">
              <w:rPr>
                <w:i/>
              </w:rPr>
              <w:t>Monthly Load Ratio Share per QSE</w:t>
            </w:r>
            <w:r w:rsidRPr="0013396E">
              <w:t xml:space="preserve">—The LRS calculated for QSE </w:t>
            </w:r>
            <w:r w:rsidRPr="0013396E">
              <w:rPr>
                <w:i/>
              </w:rPr>
              <w:t>q</w:t>
            </w:r>
            <w:r w:rsidRPr="0013396E">
              <w:t xml:space="preserve"> for the peak-Load 15-minute Settlement Interval in the month.  See Section 6.6.2.2, QSE Load Ratio Share for a 15-Minute Settlement Interval.</w:t>
            </w:r>
          </w:p>
        </w:tc>
      </w:tr>
      <w:tr w:rsidR="001F04FD" w:rsidRPr="0013396E" w:rsidDel="00F954FC" w14:paraId="56F6C99F" w14:textId="77777777" w:rsidTr="00154FF3">
        <w:trPr>
          <w:cantSplit/>
        </w:trPr>
        <w:tc>
          <w:tcPr>
            <w:tcW w:w="1252" w:type="pct"/>
          </w:tcPr>
          <w:p w14:paraId="256BEC79" w14:textId="77777777" w:rsidR="001F04FD" w:rsidRPr="0013396E" w:rsidDel="00F954FC" w:rsidRDefault="001F04FD" w:rsidP="00AC4DEE">
            <w:pPr>
              <w:pStyle w:val="TableBody"/>
            </w:pPr>
            <w:r w:rsidRPr="0013396E">
              <w:rPr>
                <w:iCs w:val="0"/>
              </w:rPr>
              <w:t xml:space="preserve">MBLTAMTQSETOT </w:t>
            </w:r>
            <w:r w:rsidRPr="0013396E">
              <w:rPr>
                <w:i/>
                <w:iCs w:val="0"/>
                <w:vertAlign w:val="subscript"/>
              </w:rPr>
              <w:t>q</w:t>
            </w:r>
          </w:p>
        </w:tc>
        <w:tc>
          <w:tcPr>
            <w:tcW w:w="458" w:type="pct"/>
          </w:tcPr>
          <w:p w14:paraId="385B9315" w14:textId="77777777" w:rsidR="001F04FD" w:rsidRPr="0013396E" w:rsidRDefault="001F04FD" w:rsidP="00AC4DEE">
            <w:pPr>
              <w:pStyle w:val="VariableDefinition"/>
              <w:spacing w:after="60"/>
              <w:ind w:left="0" w:firstLine="0"/>
              <w:rPr>
                <w:sz w:val="20"/>
              </w:rPr>
            </w:pPr>
            <w:r w:rsidRPr="0013396E">
              <w:rPr>
                <w:iCs w:val="0"/>
                <w:sz w:val="20"/>
              </w:rPr>
              <w:t>$</w:t>
            </w:r>
          </w:p>
        </w:tc>
        <w:tc>
          <w:tcPr>
            <w:tcW w:w="3290" w:type="pct"/>
          </w:tcPr>
          <w:p w14:paraId="2C265E27" w14:textId="77777777" w:rsidR="001F04FD" w:rsidRPr="0013396E" w:rsidDel="00F954FC" w:rsidRDefault="001F04FD" w:rsidP="00AC4DEE">
            <w:pPr>
              <w:pStyle w:val="VariableDefinition"/>
              <w:spacing w:after="60"/>
              <w:ind w:left="0" w:firstLine="0"/>
              <w:rPr>
                <w:sz w:val="20"/>
              </w:rPr>
            </w:pPr>
            <w:r w:rsidRPr="0013396E">
              <w:rPr>
                <w:i/>
                <w:iCs w:val="0"/>
                <w:sz w:val="20"/>
              </w:rPr>
              <w:t>Monthly Block Load Transfer Amount QSE Total per QSE</w:t>
            </w:r>
            <w:r w:rsidRPr="0013396E">
              <w:rPr>
                <w:iCs w:val="0"/>
                <w:sz w:val="20"/>
              </w:rPr>
              <w:sym w:font="Symbol" w:char="F0BE"/>
            </w:r>
            <w:r w:rsidRPr="0013396E">
              <w:rPr>
                <w:iCs w:val="0"/>
                <w:sz w:val="20"/>
              </w:rPr>
              <w:t xml:space="preserve">The total of the payments to QSE </w:t>
            </w:r>
            <w:r w:rsidRPr="0013396E">
              <w:rPr>
                <w:i/>
                <w:iCs w:val="0"/>
                <w:sz w:val="20"/>
              </w:rPr>
              <w:t>q</w:t>
            </w:r>
            <w:r w:rsidRPr="0013396E">
              <w:rPr>
                <w:iCs w:val="0"/>
                <w:sz w:val="20"/>
              </w:rPr>
              <w:t xml:space="preserve"> for energy delivered into the ERCOT System for the month.</w:t>
            </w:r>
          </w:p>
        </w:tc>
      </w:tr>
      <w:tr w:rsidR="001F04FD" w:rsidRPr="0013396E" w14:paraId="2961EF7C" w14:textId="77777777" w:rsidTr="00154FF3">
        <w:trPr>
          <w:cantSplit/>
        </w:trPr>
        <w:tc>
          <w:tcPr>
            <w:tcW w:w="1252" w:type="pct"/>
          </w:tcPr>
          <w:p w14:paraId="54A1AF3A" w14:textId="77777777" w:rsidR="001F04FD" w:rsidRPr="0013396E" w:rsidRDefault="001F04FD" w:rsidP="00AC4DEE">
            <w:pPr>
              <w:pStyle w:val="TableBody"/>
            </w:pPr>
            <w:r w:rsidRPr="0013396E">
              <w:t xml:space="preserve">LAMBLTAMT </w:t>
            </w:r>
            <w:r w:rsidRPr="0013396E">
              <w:rPr>
                <w:i/>
                <w:vertAlign w:val="subscript"/>
              </w:rPr>
              <w:t>q</w:t>
            </w:r>
          </w:p>
        </w:tc>
        <w:tc>
          <w:tcPr>
            <w:tcW w:w="458" w:type="pct"/>
          </w:tcPr>
          <w:p w14:paraId="59CC3570" w14:textId="77777777" w:rsidR="001F04FD" w:rsidRPr="0013396E" w:rsidRDefault="001F04FD" w:rsidP="00AC4DEE">
            <w:pPr>
              <w:pStyle w:val="VariableDefinition"/>
              <w:tabs>
                <w:tab w:val="clear" w:pos="2160"/>
                <w:tab w:val="left" w:pos="2880"/>
              </w:tabs>
              <w:spacing w:after="60"/>
              <w:ind w:left="0" w:firstLine="0"/>
              <w:rPr>
                <w:sz w:val="20"/>
              </w:rPr>
            </w:pPr>
            <w:r w:rsidRPr="0013396E">
              <w:rPr>
                <w:sz w:val="20"/>
              </w:rPr>
              <w:t>$</w:t>
            </w:r>
          </w:p>
        </w:tc>
        <w:tc>
          <w:tcPr>
            <w:tcW w:w="3290" w:type="pct"/>
          </w:tcPr>
          <w:p w14:paraId="0A2ADCB6" w14:textId="77777777" w:rsidR="001F04FD" w:rsidRPr="0013396E" w:rsidRDefault="001F04FD" w:rsidP="00AC4DEE">
            <w:pPr>
              <w:pStyle w:val="VariableDefinition"/>
              <w:tabs>
                <w:tab w:val="clear" w:pos="2160"/>
                <w:tab w:val="left" w:pos="2880"/>
              </w:tabs>
              <w:spacing w:after="60"/>
              <w:ind w:left="0" w:firstLine="0"/>
              <w:rPr>
                <w:sz w:val="20"/>
              </w:rPr>
            </w:pPr>
            <w:r w:rsidRPr="0013396E">
              <w:rPr>
                <w:i/>
                <w:sz w:val="20"/>
              </w:rPr>
              <w:t>Load-Allocated Monthly BLT Amount</w:t>
            </w:r>
            <w:r w:rsidRPr="0013396E">
              <w:rPr>
                <w:sz w:val="20"/>
              </w:rPr>
              <w:t xml:space="preserve"> </w:t>
            </w:r>
            <w:r w:rsidRPr="0013396E">
              <w:rPr>
                <w:i/>
                <w:sz w:val="20"/>
              </w:rPr>
              <w:t>per QSE</w:t>
            </w:r>
            <w:r w:rsidRPr="0013396E">
              <w:t>—</w:t>
            </w:r>
            <w:r w:rsidRPr="0013396E">
              <w:rPr>
                <w:sz w:val="20"/>
              </w:rPr>
              <w:t>Monthly BLT charge for QSE</w:t>
            </w:r>
            <w:r w:rsidRPr="0013396E">
              <w:rPr>
                <w:bCs/>
                <w:sz w:val="20"/>
              </w:rPr>
              <w:t xml:space="preserve"> </w:t>
            </w:r>
            <w:r w:rsidRPr="0013396E">
              <w:rPr>
                <w:bCs/>
                <w:i/>
                <w:sz w:val="20"/>
              </w:rPr>
              <w:t>q</w:t>
            </w:r>
            <w:r w:rsidRPr="0013396E">
              <w:rPr>
                <w:sz w:val="20"/>
              </w:rPr>
              <w:t>.</w:t>
            </w:r>
          </w:p>
        </w:tc>
      </w:tr>
      <w:tr w:rsidR="001F04FD" w:rsidRPr="0013396E" w14:paraId="768FF47F" w14:textId="77777777" w:rsidTr="00154FF3">
        <w:trPr>
          <w:cantSplit/>
        </w:trPr>
        <w:tc>
          <w:tcPr>
            <w:tcW w:w="1252" w:type="pct"/>
          </w:tcPr>
          <w:p w14:paraId="2D2D38D2" w14:textId="77777777" w:rsidR="001F04FD" w:rsidRPr="0013396E" w:rsidRDefault="001F04FD" w:rsidP="00AC4DEE">
            <w:pPr>
              <w:pStyle w:val="TableBody"/>
            </w:pPr>
            <w:r w:rsidRPr="0013396E">
              <w:t xml:space="preserve">MBLTAMTTOT </w:t>
            </w:r>
          </w:p>
        </w:tc>
        <w:tc>
          <w:tcPr>
            <w:tcW w:w="458" w:type="pct"/>
          </w:tcPr>
          <w:p w14:paraId="3AE9A2C9" w14:textId="77777777" w:rsidR="001F04FD" w:rsidRPr="0013396E" w:rsidRDefault="001F04FD" w:rsidP="00AC4DEE">
            <w:pPr>
              <w:pStyle w:val="VariableDefinition"/>
              <w:tabs>
                <w:tab w:val="clear" w:pos="2160"/>
                <w:tab w:val="left" w:pos="2880"/>
              </w:tabs>
              <w:spacing w:after="60"/>
              <w:ind w:left="0" w:firstLine="0"/>
              <w:rPr>
                <w:sz w:val="20"/>
              </w:rPr>
            </w:pPr>
            <w:r w:rsidRPr="0013396E">
              <w:rPr>
                <w:sz w:val="20"/>
              </w:rPr>
              <w:t>$</w:t>
            </w:r>
          </w:p>
        </w:tc>
        <w:tc>
          <w:tcPr>
            <w:tcW w:w="3290" w:type="pct"/>
          </w:tcPr>
          <w:p w14:paraId="3016D256" w14:textId="77777777" w:rsidR="001F04FD" w:rsidRPr="0013396E" w:rsidRDefault="001F04FD" w:rsidP="00AC4DEE">
            <w:pPr>
              <w:pStyle w:val="VariableDefinition"/>
              <w:tabs>
                <w:tab w:val="clear" w:pos="2160"/>
                <w:tab w:val="left" w:pos="2880"/>
              </w:tabs>
              <w:spacing w:after="60"/>
              <w:ind w:left="0" w:firstLine="0"/>
              <w:rPr>
                <w:sz w:val="20"/>
              </w:rPr>
            </w:pPr>
            <w:r w:rsidRPr="0013396E">
              <w:rPr>
                <w:i/>
                <w:sz w:val="20"/>
              </w:rPr>
              <w:t>Monthly BLT Amount ERCOT wide Total</w:t>
            </w:r>
            <w:r w:rsidRPr="0013396E">
              <w:t>—</w:t>
            </w:r>
            <w:r w:rsidRPr="0013396E">
              <w:rPr>
                <w:sz w:val="20"/>
              </w:rPr>
              <w:t>The total monthly BLT charge for all QSEs.</w:t>
            </w:r>
          </w:p>
        </w:tc>
      </w:tr>
      <w:tr w:rsidR="001F04FD" w:rsidRPr="0013396E" w14:paraId="349FBA1D" w14:textId="77777777" w:rsidTr="00154FF3">
        <w:trPr>
          <w:cantSplit/>
          <w:trHeight w:val="323"/>
        </w:trPr>
        <w:tc>
          <w:tcPr>
            <w:tcW w:w="1252" w:type="pct"/>
          </w:tcPr>
          <w:p w14:paraId="0BA3A261" w14:textId="77777777" w:rsidR="001F04FD" w:rsidRPr="0013396E" w:rsidRDefault="001F04FD" w:rsidP="00AC4DEE">
            <w:pPr>
              <w:pStyle w:val="TableBody"/>
            </w:pPr>
            <w:r w:rsidRPr="0013396E">
              <w:rPr>
                <w:i/>
              </w:rPr>
              <w:t>q</w:t>
            </w:r>
          </w:p>
        </w:tc>
        <w:tc>
          <w:tcPr>
            <w:tcW w:w="458" w:type="pct"/>
          </w:tcPr>
          <w:p w14:paraId="1F9908A1" w14:textId="77777777" w:rsidR="001F04FD" w:rsidRPr="0013396E" w:rsidRDefault="001F04FD" w:rsidP="00AC4DEE">
            <w:pPr>
              <w:pStyle w:val="VariableDefinition"/>
              <w:tabs>
                <w:tab w:val="clear" w:pos="2160"/>
                <w:tab w:val="left" w:pos="2880"/>
              </w:tabs>
              <w:spacing w:after="60"/>
              <w:ind w:left="0" w:firstLine="0"/>
              <w:rPr>
                <w:sz w:val="20"/>
              </w:rPr>
            </w:pPr>
            <w:r w:rsidRPr="0013396E">
              <w:rPr>
                <w:sz w:val="20"/>
              </w:rPr>
              <w:t>none</w:t>
            </w:r>
          </w:p>
        </w:tc>
        <w:tc>
          <w:tcPr>
            <w:tcW w:w="3290" w:type="pct"/>
          </w:tcPr>
          <w:p w14:paraId="4CECD477" w14:textId="77777777" w:rsidR="001F04FD" w:rsidRPr="0013396E" w:rsidRDefault="001F04FD" w:rsidP="00AC4DEE">
            <w:pPr>
              <w:pStyle w:val="VariableDefinition"/>
              <w:tabs>
                <w:tab w:val="clear" w:pos="2160"/>
                <w:tab w:val="left" w:pos="2880"/>
              </w:tabs>
              <w:spacing w:after="60"/>
              <w:ind w:left="0" w:firstLine="0"/>
              <w:rPr>
                <w:i/>
                <w:sz w:val="20"/>
              </w:rPr>
            </w:pPr>
            <w:r w:rsidRPr="0013396E">
              <w:rPr>
                <w:sz w:val="20"/>
              </w:rPr>
              <w:t>A QSE.</w:t>
            </w:r>
          </w:p>
        </w:tc>
      </w:tr>
    </w:tbl>
    <w:p w14:paraId="6076FF3D" w14:textId="77777777" w:rsidR="00154FF3" w:rsidRPr="0013396E" w:rsidRDefault="00154FF3"/>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10045"/>
      </w:tblGrid>
      <w:tr w:rsidR="00154FF3" w:rsidRPr="0013396E" w14:paraId="3A00B29A" w14:textId="77777777" w:rsidTr="00154FF3">
        <w:trPr>
          <w:trHeight w:val="206"/>
        </w:trPr>
        <w:tc>
          <w:tcPr>
            <w:tcW w:w="5000" w:type="pct"/>
            <w:shd w:val="pct12" w:color="auto" w:fill="auto"/>
          </w:tcPr>
          <w:p w14:paraId="72A4EB4F" w14:textId="1196C33C" w:rsidR="00154FF3" w:rsidRPr="0013396E" w:rsidRDefault="00154FF3" w:rsidP="00663874">
            <w:pPr>
              <w:pStyle w:val="Instructions"/>
              <w:spacing w:before="120"/>
            </w:pPr>
            <w:bookmarkStart w:id="1649" w:name="_Toc397505018"/>
            <w:bookmarkStart w:id="1650" w:name="_Toc402357146"/>
            <w:bookmarkStart w:id="1651" w:name="_Toc422486524"/>
            <w:bookmarkStart w:id="1652" w:name="_Toc433093376"/>
            <w:bookmarkStart w:id="1653" w:name="_Toc433093534"/>
            <w:bookmarkStart w:id="1654" w:name="_Toc440874762"/>
            <w:bookmarkStart w:id="1655" w:name="_Toc448142317"/>
            <w:bookmarkStart w:id="1656" w:name="_Toc448142474"/>
            <w:bookmarkStart w:id="1657" w:name="_Toc458770315"/>
            <w:bookmarkStart w:id="1658" w:name="_Toc459294283"/>
            <w:bookmarkStart w:id="1659" w:name="_Toc463262776"/>
            <w:bookmarkStart w:id="1660" w:name="_Toc468286849"/>
            <w:bookmarkStart w:id="1661" w:name="_Toc481502892"/>
            <w:bookmarkStart w:id="1662" w:name="_Toc496080060"/>
            <w:r w:rsidRPr="0013396E">
              <w:t>[NPRR1030:  Replace paragraph (c) above with the following upon system implementation:]</w:t>
            </w:r>
          </w:p>
          <w:p w14:paraId="684F4774" w14:textId="77777777" w:rsidR="00154FF3" w:rsidRPr="0013396E" w:rsidRDefault="00154FF3" w:rsidP="00154FF3">
            <w:pPr>
              <w:pStyle w:val="List"/>
              <w:spacing w:before="240"/>
            </w:pPr>
            <w:r w:rsidRPr="0013396E">
              <w:t>(c)</w:t>
            </w:r>
            <w:r w:rsidRPr="0013396E">
              <w:tab/>
              <w:t>ERCOT shall calculate each QSE’s monthly BLT charge as follows:</w:t>
            </w:r>
          </w:p>
          <w:p w14:paraId="447517EA" w14:textId="77777777" w:rsidR="00154FF3" w:rsidRPr="0013396E" w:rsidRDefault="00154FF3" w:rsidP="009F62BA">
            <w:pPr>
              <w:pStyle w:val="BodyText"/>
              <w:ind w:left="1440"/>
              <w:rPr>
                <w:b/>
              </w:rPr>
            </w:pPr>
            <w:r w:rsidRPr="0013396E">
              <w:rPr>
                <w:b/>
                <w:lang w:val="pt-BR"/>
              </w:rPr>
              <w:t xml:space="preserve">LAMBLTAMT </w:t>
            </w:r>
            <w:r w:rsidRPr="0013396E">
              <w:rPr>
                <w:b/>
                <w:i/>
                <w:vertAlign w:val="subscript"/>
                <w:lang w:val="pt-BR"/>
              </w:rPr>
              <w:t>q</w:t>
            </w:r>
            <w:r w:rsidRPr="0013396E">
              <w:rPr>
                <w:b/>
              </w:rPr>
              <w:t xml:space="preserve">   =   (-1) * (</w:t>
            </w:r>
            <w:r w:rsidRPr="0013396E">
              <w:rPr>
                <w:b/>
                <w:lang w:val="pt-BR"/>
              </w:rPr>
              <w:t xml:space="preserve">MBLTDC </w:t>
            </w:r>
            <w:r w:rsidRPr="0013396E">
              <w:rPr>
                <w:b/>
                <w:i/>
                <w:vertAlign w:val="subscript"/>
                <w:lang w:val="pt-BR"/>
              </w:rPr>
              <w:t>q</w:t>
            </w:r>
            <w:r w:rsidRPr="0013396E">
              <w:rPr>
                <w:b/>
              </w:rPr>
              <w:t xml:space="preserve"> + </w:t>
            </w:r>
            <w:r w:rsidRPr="0013396E">
              <w:rPr>
                <w:b/>
                <w:lang w:val="pt-BR"/>
              </w:rPr>
              <w:t xml:space="preserve">MBLTNDC </w:t>
            </w:r>
            <w:r w:rsidRPr="0013396E">
              <w:rPr>
                <w:b/>
                <w:i/>
                <w:vertAlign w:val="subscript"/>
                <w:lang w:val="pt-BR"/>
              </w:rPr>
              <w:t>q</w:t>
            </w:r>
            <w:r w:rsidRPr="0013396E">
              <w:rPr>
                <w:b/>
                <w:lang w:val="pt-BR"/>
              </w:rPr>
              <w:t>)</w:t>
            </w:r>
          </w:p>
          <w:p w14:paraId="5B233FA0" w14:textId="77777777" w:rsidR="00154FF3" w:rsidRPr="0013396E" w:rsidRDefault="00154FF3" w:rsidP="009F62BA">
            <w:pPr>
              <w:pStyle w:val="BodyText"/>
              <w:ind w:left="1440"/>
            </w:pPr>
            <w:r w:rsidRPr="0013396E">
              <w:t>Where:</w:t>
            </w:r>
          </w:p>
          <w:p w14:paraId="724CD23C" w14:textId="77777777" w:rsidR="00154FF3" w:rsidRPr="0013396E" w:rsidRDefault="00154FF3" w:rsidP="009F62BA">
            <w:pPr>
              <w:pStyle w:val="FormulaBold"/>
              <w:ind w:left="4680"/>
              <w:rPr>
                <w:b w:val="0"/>
              </w:rPr>
            </w:pPr>
            <w:r w:rsidRPr="0013396E">
              <w:rPr>
                <w:b w:val="0"/>
                <w:lang w:val="pt-BR"/>
              </w:rPr>
              <w:t xml:space="preserve">MBLTNDC </w:t>
            </w:r>
            <w:r w:rsidRPr="0013396E">
              <w:rPr>
                <w:b w:val="0"/>
                <w:i/>
                <w:vertAlign w:val="subscript"/>
                <w:lang w:val="pt-BR"/>
              </w:rPr>
              <w:t>q</w:t>
            </w:r>
            <w:r w:rsidRPr="0013396E">
              <w:rPr>
                <w:b w:val="0"/>
              </w:rPr>
              <w:t xml:space="preserve">   =   MLRS </w:t>
            </w:r>
            <w:r w:rsidRPr="0013396E">
              <w:rPr>
                <w:b w:val="0"/>
                <w:i/>
                <w:vertAlign w:val="subscript"/>
              </w:rPr>
              <w:t>q</w:t>
            </w:r>
            <w:r w:rsidRPr="0013396E">
              <w:rPr>
                <w:b w:val="0"/>
                <w:vertAlign w:val="subscript"/>
              </w:rPr>
              <w:t xml:space="preserve"> </w:t>
            </w:r>
            <w:r w:rsidRPr="0013396E">
              <w:rPr>
                <w:b w:val="0"/>
              </w:rPr>
              <w:t xml:space="preserve">* (MBLTAMTTOT - </w:t>
            </w:r>
            <w:r w:rsidRPr="0013396E">
              <w:rPr>
                <w:b w:val="0"/>
                <w:position w:val="-22"/>
              </w:rPr>
              <w:object w:dxaOrig="225" w:dyaOrig="465" w14:anchorId="2B3428EC">
                <v:shape id="_x0000_i1129" type="#_x0000_t75" style="width:6pt;height:18.6pt" o:ole="">
                  <v:imagedata r:id="rId77" o:title=""/>
                </v:shape>
                <o:OLEObject Type="Embed" ProgID="Equation.3" ShapeID="_x0000_i1129" DrawAspect="Content" ObjectID="_1836311408" r:id="rId151"/>
              </w:object>
            </w:r>
            <w:r w:rsidRPr="0013396E">
              <w:rPr>
                <w:b w:val="0"/>
                <w:lang w:val="pt-BR"/>
              </w:rPr>
              <w:t xml:space="preserve">MBLTDC </w:t>
            </w:r>
            <w:r w:rsidRPr="0013396E">
              <w:rPr>
                <w:b w:val="0"/>
                <w:i/>
                <w:vertAlign w:val="subscript"/>
                <w:lang w:val="pt-BR"/>
              </w:rPr>
              <w:t>q</w:t>
            </w:r>
            <w:r w:rsidRPr="0013396E">
              <w:rPr>
                <w:b w:val="0"/>
              </w:rPr>
              <w:t>)</w:t>
            </w:r>
          </w:p>
          <w:p w14:paraId="082A4455" w14:textId="77777777" w:rsidR="00154FF3" w:rsidRPr="0013396E" w:rsidRDefault="00154FF3" w:rsidP="009F62BA">
            <w:pPr>
              <w:pStyle w:val="FormulaBold"/>
              <w:ind w:left="4680"/>
              <w:rPr>
                <w:b w:val="0"/>
              </w:rPr>
            </w:pPr>
            <w:r w:rsidRPr="0013396E">
              <w:rPr>
                <w:b w:val="0"/>
                <w:lang w:val="pt-BR"/>
              </w:rPr>
              <w:lastRenderedPageBreak/>
              <w:t xml:space="preserve">MBLTDC </w:t>
            </w:r>
            <w:r w:rsidRPr="0013396E">
              <w:rPr>
                <w:b w:val="0"/>
                <w:i/>
                <w:vertAlign w:val="subscript"/>
                <w:lang w:val="pt-BR"/>
              </w:rPr>
              <w:t>q</w:t>
            </w:r>
            <w:r w:rsidRPr="0013396E">
              <w:rPr>
                <w:b w:val="0"/>
              </w:rPr>
              <w:t xml:space="preserve">      =  DCMLRS </w:t>
            </w:r>
            <w:r w:rsidRPr="0013396E">
              <w:rPr>
                <w:b w:val="0"/>
                <w:i/>
                <w:vertAlign w:val="subscript"/>
              </w:rPr>
              <w:t>q</w:t>
            </w:r>
            <w:r w:rsidRPr="0013396E">
              <w:rPr>
                <w:b w:val="0"/>
                <w:vertAlign w:val="subscript"/>
              </w:rPr>
              <w:t xml:space="preserve"> </w:t>
            </w:r>
            <w:r w:rsidRPr="0013396E">
              <w:rPr>
                <w:b w:val="0"/>
              </w:rPr>
              <w:t>* MBLTAMTTOT</w:t>
            </w:r>
          </w:p>
          <w:p w14:paraId="588C2028" w14:textId="77777777" w:rsidR="00154FF3" w:rsidRPr="0013396E" w:rsidRDefault="00154FF3" w:rsidP="009F62BA">
            <w:pPr>
              <w:pStyle w:val="FormulaBold"/>
              <w:ind w:left="4680"/>
              <w:rPr>
                <w:b w:val="0"/>
              </w:rPr>
            </w:pPr>
            <w:r w:rsidRPr="0013396E">
              <w:rPr>
                <w:b w:val="0"/>
              </w:rPr>
              <w:t>MBLTAMTTOT</w:t>
            </w:r>
            <w:r w:rsidRPr="0013396E">
              <w:rPr>
                <w:rFonts w:ascii="Times New Roman Bold" w:hAnsi="Times New Roman Bold"/>
                <w:b w:val="0"/>
              </w:rPr>
              <w:t xml:space="preserve">   =  </w:t>
            </w:r>
            <w:r w:rsidRPr="0013396E">
              <w:rPr>
                <w:b w:val="0"/>
                <w:position w:val="-22"/>
              </w:rPr>
              <w:object w:dxaOrig="180" w:dyaOrig="465" w14:anchorId="0B12B8FC">
                <v:shape id="_x0000_i1130" type="#_x0000_t75" style="width:6pt;height:18.6pt" o:ole="">
                  <v:imagedata r:id="rId149" o:title=""/>
                </v:shape>
                <o:OLEObject Type="Embed" ProgID="Equation.3" ShapeID="_x0000_i1130" DrawAspect="Content" ObjectID="_1836311409" r:id="rId152"/>
              </w:object>
            </w:r>
            <w:r w:rsidRPr="0013396E">
              <w:rPr>
                <w:b w:val="0"/>
                <w:position w:val="-22"/>
              </w:rPr>
              <w:t xml:space="preserve"> </w:t>
            </w:r>
            <w:r w:rsidRPr="0013396E">
              <w:rPr>
                <w:b w:val="0"/>
              </w:rPr>
              <w:t>MBLTAMTQSETOT</w:t>
            </w:r>
            <w:r w:rsidRPr="0013396E">
              <w:rPr>
                <w:b w:val="0"/>
                <w:i/>
                <w:vertAlign w:val="subscript"/>
              </w:rPr>
              <w:t xml:space="preserve"> q</w:t>
            </w:r>
            <w:r w:rsidRPr="0013396E">
              <w:rPr>
                <w:b w:val="0"/>
              </w:rPr>
              <w:t xml:space="preserve"> </w:t>
            </w:r>
          </w:p>
          <w:p w14:paraId="12BA8FFA" w14:textId="77777777" w:rsidR="00154FF3" w:rsidRPr="0013396E" w:rsidRDefault="00154FF3" w:rsidP="00154FF3">
            <w:pPr>
              <w:tabs>
                <w:tab w:val="left" w:pos="2250"/>
                <w:tab w:val="left" w:pos="3150"/>
                <w:tab w:val="left" w:pos="3960"/>
              </w:tabs>
            </w:pPr>
            <w:r w:rsidRPr="0013396E">
              <w:t>The above variables are defined as follows: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55"/>
              <w:gridCol w:w="898"/>
              <w:gridCol w:w="6452"/>
            </w:tblGrid>
            <w:tr w:rsidR="00154FF3" w:rsidRPr="0013396E" w14:paraId="0456DB7A" w14:textId="77777777" w:rsidTr="00663874">
              <w:tc>
                <w:tcPr>
                  <w:tcW w:w="1252" w:type="pct"/>
                </w:tcPr>
                <w:p w14:paraId="4968A889" w14:textId="77777777" w:rsidR="00154FF3" w:rsidRPr="0013396E" w:rsidRDefault="00154FF3" w:rsidP="00154FF3">
                  <w:pPr>
                    <w:pStyle w:val="TableHead"/>
                  </w:pPr>
                  <w:r w:rsidRPr="0013396E">
                    <w:t>Variable</w:t>
                  </w:r>
                </w:p>
              </w:tc>
              <w:tc>
                <w:tcPr>
                  <w:tcW w:w="458" w:type="pct"/>
                </w:tcPr>
                <w:p w14:paraId="4F166FE7" w14:textId="77777777" w:rsidR="00154FF3" w:rsidRPr="0013396E" w:rsidRDefault="00154FF3" w:rsidP="00154FF3">
                  <w:pPr>
                    <w:pStyle w:val="TableHead"/>
                  </w:pPr>
                  <w:r w:rsidRPr="0013396E">
                    <w:t>Unit</w:t>
                  </w:r>
                </w:p>
              </w:tc>
              <w:tc>
                <w:tcPr>
                  <w:tcW w:w="3290" w:type="pct"/>
                </w:tcPr>
                <w:p w14:paraId="2ACFE37C" w14:textId="77777777" w:rsidR="00154FF3" w:rsidRPr="0013396E" w:rsidRDefault="00154FF3" w:rsidP="00154FF3">
                  <w:pPr>
                    <w:pStyle w:val="TableHead"/>
                  </w:pPr>
                  <w:r w:rsidRPr="0013396E">
                    <w:t>Description</w:t>
                  </w:r>
                </w:p>
              </w:tc>
            </w:tr>
            <w:tr w:rsidR="00154FF3" w:rsidRPr="0013396E" w14:paraId="7E4F61CE" w14:textId="77777777" w:rsidTr="00663874">
              <w:trPr>
                <w:cantSplit/>
              </w:trPr>
              <w:tc>
                <w:tcPr>
                  <w:tcW w:w="1252" w:type="pct"/>
                </w:tcPr>
                <w:p w14:paraId="132E791E" w14:textId="77777777" w:rsidR="00154FF3" w:rsidRPr="0013396E" w:rsidRDefault="00154FF3" w:rsidP="00154FF3">
                  <w:pPr>
                    <w:pStyle w:val="TableBody"/>
                  </w:pPr>
                  <w:r w:rsidRPr="0013396E">
                    <w:t xml:space="preserve">LAMBLTAMT </w:t>
                  </w:r>
                  <w:r w:rsidRPr="0013396E">
                    <w:rPr>
                      <w:i/>
                      <w:vertAlign w:val="subscript"/>
                    </w:rPr>
                    <w:t>q</w:t>
                  </w:r>
                </w:p>
              </w:tc>
              <w:tc>
                <w:tcPr>
                  <w:tcW w:w="458" w:type="pct"/>
                </w:tcPr>
                <w:p w14:paraId="78E9244D" w14:textId="77777777" w:rsidR="00154FF3" w:rsidRPr="0013396E" w:rsidRDefault="00154FF3" w:rsidP="00154FF3">
                  <w:pPr>
                    <w:pStyle w:val="VariableDefinition"/>
                    <w:tabs>
                      <w:tab w:val="clear" w:pos="2160"/>
                      <w:tab w:val="left" w:pos="2880"/>
                    </w:tabs>
                    <w:spacing w:after="60"/>
                    <w:ind w:left="0" w:firstLine="0"/>
                    <w:rPr>
                      <w:sz w:val="20"/>
                    </w:rPr>
                  </w:pPr>
                  <w:r w:rsidRPr="0013396E">
                    <w:rPr>
                      <w:sz w:val="20"/>
                    </w:rPr>
                    <w:t>$</w:t>
                  </w:r>
                </w:p>
              </w:tc>
              <w:tc>
                <w:tcPr>
                  <w:tcW w:w="3290" w:type="pct"/>
                </w:tcPr>
                <w:p w14:paraId="232284DA" w14:textId="39398F04" w:rsidR="00154FF3" w:rsidRPr="0013396E" w:rsidRDefault="00154FF3" w:rsidP="00AA16B3">
                  <w:pPr>
                    <w:pStyle w:val="VariableDefinition"/>
                    <w:tabs>
                      <w:tab w:val="clear" w:pos="2160"/>
                      <w:tab w:val="left" w:pos="2880"/>
                    </w:tabs>
                    <w:spacing w:after="60"/>
                    <w:ind w:left="0" w:firstLine="0"/>
                    <w:rPr>
                      <w:sz w:val="20"/>
                    </w:rPr>
                  </w:pPr>
                  <w:r w:rsidRPr="0013396E">
                    <w:rPr>
                      <w:i/>
                      <w:sz w:val="20"/>
                    </w:rPr>
                    <w:t>Load-Allocated Monthly BLT Amount</w:t>
                  </w:r>
                  <w:r w:rsidRPr="0013396E">
                    <w:rPr>
                      <w:sz w:val="20"/>
                    </w:rPr>
                    <w:t xml:space="preserve"> </w:t>
                  </w:r>
                  <w:r w:rsidRPr="0013396E">
                    <w:rPr>
                      <w:i/>
                      <w:sz w:val="20"/>
                    </w:rPr>
                    <w:t>per QSE</w:t>
                  </w:r>
                  <w:r w:rsidRPr="0013396E">
                    <w:t>—</w:t>
                  </w:r>
                  <w:r w:rsidRPr="0013396E">
                    <w:rPr>
                      <w:sz w:val="20"/>
                    </w:rPr>
                    <w:t>Sum of the monthly BLT charges for Loads and DC Tie exports for QSE</w:t>
                  </w:r>
                  <w:r w:rsidRPr="0013396E">
                    <w:rPr>
                      <w:bCs/>
                      <w:sz w:val="20"/>
                    </w:rPr>
                    <w:t xml:space="preserve"> </w:t>
                  </w:r>
                  <w:r w:rsidRPr="0013396E">
                    <w:rPr>
                      <w:bCs/>
                      <w:i/>
                      <w:sz w:val="20"/>
                    </w:rPr>
                    <w:t>q</w:t>
                  </w:r>
                  <w:r w:rsidRPr="0013396E">
                    <w:rPr>
                      <w:sz w:val="20"/>
                    </w:rPr>
                    <w:t>.</w:t>
                  </w:r>
                </w:p>
              </w:tc>
            </w:tr>
            <w:tr w:rsidR="00154FF3" w:rsidRPr="0013396E" w14:paraId="2FC3F1A8" w14:textId="77777777" w:rsidTr="00663874">
              <w:trPr>
                <w:cantSplit/>
                <w:trHeight w:val="692"/>
              </w:trPr>
              <w:tc>
                <w:tcPr>
                  <w:tcW w:w="1252" w:type="pct"/>
                </w:tcPr>
                <w:p w14:paraId="46680808" w14:textId="77777777" w:rsidR="00154FF3" w:rsidRPr="0013396E" w:rsidRDefault="00154FF3" w:rsidP="00154FF3">
                  <w:pPr>
                    <w:pStyle w:val="TableBody"/>
                  </w:pPr>
                  <w:r w:rsidRPr="0013396E">
                    <w:t>DCMLRS</w:t>
                  </w:r>
                  <w:r w:rsidRPr="0013396E">
                    <w:rPr>
                      <w:i/>
                      <w:vertAlign w:val="subscript"/>
                    </w:rPr>
                    <w:t xml:space="preserve"> q</w:t>
                  </w:r>
                </w:p>
              </w:tc>
              <w:tc>
                <w:tcPr>
                  <w:tcW w:w="458" w:type="pct"/>
                </w:tcPr>
                <w:p w14:paraId="2008FFD6" w14:textId="77777777" w:rsidR="00154FF3" w:rsidRPr="0013396E" w:rsidRDefault="00154FF3" w:rsidP="00154FF3">
                  <w:pPr>
                    <w:pStyle w:val="TableBody"/>
                  </w:pPr>
                  <w:r w:rsidRPr="0013396E">
                    <w:t>none</w:t>
                  </w:r>
                </w:p>
              </w:tc>
              <w:tc>
                <w:tcPr>
                  <w:tcW w:w="3290" w:type="pct"/>
                </w:tcPr>
                <w:p w14:paraId="144B81EC" w14:textId="04BDCC0B" w:rsidR="00154FF3" w:rsidRPr="0013396E" w:rsidRDefault="00154FF3" w:rsidP="001335E7">
                  <w:pPr>
                    <w:pStyle w:val="TableBody"/>
                    <w:rPr>
                      <w:i/>
                    </w:rPr>
                  </w:pPr>
                  <w:r w:rsidRPr="0013396E">
                    <w:rPr>
                      <w:i/>
                    </w:rPr>
                    <w:t>DC Tie Export Monthly Load Ratio Share per QSE</w:t>
                  </w:r>
                  <w:r w:rsidRPr="0013396E">
                    <w:t xml:space="preserve">—The ratio share calculated for QSE </w:t>
                  </w:r>
                  <w:r w:rsidRPr="0013396E">
                    <w:rPr>
                      <w:i/>
                    </w:rPr>
                    <w:t>q</w:t>
                  </w:r>
                  <w:r w:rsidRPr="0013396E">
                    <w:t xml:space="preserve"> with DC Tie Exports for the calendar month.</w:t>
                  </w:r>
                </w:p>
              </w:tc>
            </w:tr>
            <w:tr w:rsidR="00154FF3" w:rsidRPr="0013396E" w14:paraId="16C835C3" w14:textId="77777777" w:rsidTr="00154FF3">
              <w:trPr>
                <w:cantSplit/>
                <w:trHeight w:val="593"/>
              </w:trPr>
              <w:tc>
                <w:tcPr>
                  <w:tcW w:w="1252" w:type="pct"/>
                </w:tcPr>
                <w:p w14:paraId="0B1A9958" w14:textId="77777777" w:rsidR="00154FF3" w:rsidRPr="0013396E" w:rsidRDefault="00154FF3" w:rsidP="00154FF3">
                  <w:pPr>
                    <w:pStyle w:val="TableBody"/>
                  </w:pPr>
                  <w:r w:rsidRPr="0013396E">
                    <w:t xml:space="preserve">MLRS </w:t>
                  </w:r>
                  <w:r w:rsidRPr="0013396E">
                    <w:rPr>
                      <w:i/>
                      <w:vertAlign w:val="subscript"/>
                    </w:rPr>
                    <w:t>q</w:t>
                  </w:r>
                </w:p>
              </w:tc>
              <w:tc>
                <w:tcPr>
                  <w:tcW w:w="458" w:type="pct"/>
                </w:tcPr>
                <w:p w14:paraId="16797A3F" w14:textId="77777777" w:rsidR="00154FF3" w:rsidRPr="0013396E" w:rsidRDefault="00154FF3" w:rsidP="00154FF3">
                  <w:pPr>
                    <w:pStyle w:val="TableBody"/>
                  </w:pPr>
                  <w:r w:rsidRPr="0013396E">
                    <w:t>none</w:t>
                  </w:r>
                </w:p>
              </w:tc>
              <w:tc>
                <w:tcPr>
                  <w:tcW w:w="3290" w:type="pct"/>
                </w:tcPr>
                <w:p w14:paraId="4D537BFB" w14:textId="4B484C4D" w:rsidR="00154FF3" w:rsidRPr="0013396E" w:rsidRDefault="00154FF3" w:rsidP="00154FF3">
                  <w:pPr>
                    <w:pStyle w:val="TableBody"/>
                  </w:pPr>
                  <w:r w:rsidRPr="0013396E">
                    <w:rPr>
                      <w:i/>
                    </w:rPr>
                    <w:t>Monthly Load Ratio Share per QSE</w:t>
                  </w:r>
                  <w:r w:rsidRPr="0013396E">
                    <w:t xml:space="preserve">—The ratio share of Loads excluding DC Tie Exports for QSE </w:t>
                  </w:r>
                  <w:r w:rsidRPr="0013396E">
                    <w:rPr>
                      <w:i/>
                    </w:rPr>
                    <w:t>q,</w:t>
                  </w:r>
                  <w:r w:rsidRPr="0013396E">
                    <w:t xml:space="preserve"> for the peak Load 15-minute Settlement Interval.  </w:t>
                  </w:r>
                </w:p>
              </w:tc>
            </w:tr>
            <w:tr w:rsidR="00154FF3" w:rsidRPr="0013396E" w:rsidDel="00F954FC" w14:paraId="04B86F3D" w14:textId="77777777" w:rsidTr="00663874">
              <w:trPr>
                <w:cantSplit/>
              </w:trPr>
              <w:tc>
                <w:tcPr>
                  <w:tcW w:w="1252" w:type="pct"/>
                </w:tcPr>
                <w:p w14:paraId="19C32AB2" w14:textId="77777777" w:rsidR="00154FF3" w:rsidRPr="0013396E" w:rsidDel="00F954FC" w:rsidRDefault="00154FF3" w:rsidP="00154FF3">
                  <w:pPr>
                    <w:pStyle w:val="TableBody"/>
                  </w:pPr>
                  <w:r w:rsidRPr="0013396E">
                    <w:rPr>
                      <w:iCs w:val="0"/>
                    </w:rPr>
                    <w:t xml:space="preserve">MBLTAMTQSETOT </w:t>
                  </w:r>
                  <w:r w:rsidRPr="0013396E">
                    <w:rPr>
                      <w:i/>
                      <w:iCs w:val="0"/>
                      <w:vertAlign w:val="subscript"/>
                    </w:rPr>
                    <w:t>q</w:t>
                  </w:r>
                </w:p>
              </w:tc>
              <w:tc>
                <w:tcPr>
                  <w:tcW w:w="458" w:type="pct"/>
                </w:tcPr>
                <w:p w14:paraId="6F49B29F" w14:textId="77777777" w:rsidR="00154FF3" w:rsidRPr="0013396E" w:rsidRDefault="00154FF3" w:rsidP="00154FF3">
                  <w:pPr>
                    <w:pStyle w:val="VariableDefinition"/>
                    <w:spacing w:after="60"/>
                    <w:ind w:left="0" w:firstLine="0"/>
                    <w:rPr>
                      <w:sz w:val="20"/>
                    </w:rPr>
                  </w:pPr>
                  <w:r w:rsidRPr="0013396E">
                    <w:rPr>
                      <w:iCs w:val="0"/>
                      <w:sz w:val="20"/>
                    </w:rPr>
                    <w:t>$</w:t>
                  </w:r>
                </w:p>
              </w:tc>
              <w:tc>
                <w:tcPr>
                  <w:tcW w:w="3290" w:type="pct"/>
                </w:tcPr>
                <w:p w14:paraId="7956744C" w14:textId="77777777" w:rsidR="00154FF3" w:rsidRPr="0013396E" w:rsidDel="00F954FC" w:rsidRDefault="00154FF3" w:rsidP="00154FF3">
                  <w:pPr>
                    <w:pStyle w:val="VariableDefinition"/>
                    <w:spacing w:after="60"/>
                    <w:ind w:left="0" w:firstLine="0"/>
                    <w:rPr>
                      <w:sz w:val="20"/>
                    </w:rPr>
                  </w:pPr>
                  <w:r w:rsidRPr="0013396E">
                    <w:rPr>
                      <w:i/>
                      <w:iCs w:val="0"/>
                      <w:sz w:val="20"/>
                    </w:rPr>
                    <w:t>Monthly Block Load Transfer Amount QSE Total per QSE</w:t>
                  </w:r>
                  <w:r w:rsidRPr="0013396E">
                    <w:rPr>
                      <w:iCs w:val="0"/>
                      <w:sz w:val="20"/>
                    </w:rPr>
                    <w:sym w:font="Symbol" w:char="F0BE"/>
                  </w:r>
                  <w:r w:rsidRPr="0013396E">
                    <w:rPr>
                      <w:iCs w:val="0"/>
                      <w:sz w:val="20"/>
                    </w:rPr>
                    <w:t xml:space="preserve">The total of the payments to QSE </w:t>
                  </w:r>
                  <w:r w:rsidRPr="0013396E">
                    <w:rPr>
                      <w:i/>
                      <w:iCs w:val="0"/>
                      <w:sz w:val="20"/>
                    </w:rPr>
                    <w:t>q</w:t>
                  </w:r>
                  <w:r w:rsidRPr="0013396E">
                    <w:rPr>
                      <w:iCs w:val="0"/>
                      <w:sz w:val="20"/>
                    </w:rPr>
                    <w:t xml:space="preserve"> for energy delivered into the ERCOT System for the month.</w:t>
                  </w:r>
                </w:p>
              </w:tc>
            </w:tr>
            <w:tr w:rsidR="00154FF3" w:rsidRPr="0013396E" w14:paraId="20D83EAF" w14:textId="77777777" w:rsidTr="00663874">
              <w:trPr>
                <w:cantSplit/>
              </w:trPr>
              <w:tc>
                <w:tcPr>
                  <w:tcW w:w="1252" w:type="pct"/>
                </w:tcPr>
                <w:p w14:paraId="329032BB" w14:textId="77777777" w:rsidR="00154FF3" w:rsidRPr="0013396E" w:rsidRDefault="00154FF3" w:rsidP="00154FF3">
                  <w:pPr>
                    <w:pStyle w:val="TableBody"/>
                  </w:pPr>
                  <w:r w:rsidRPr="0013396E">
                    <w:t xml:space="preserve">MBLTDC </w:t>
                  </w:r>
                  <w:r w:rsidRPr="0013396E">
                    <w:rPr>
                      <w:i/>
                      <w:vertAlign w:val="subscript"/>
                    </w:rPr>
                    <w:t>q</w:t>
                  </w:r>
                </w:p>
              </w:tc>
              <w:tc>
                <w:tcPr>
                  <w:tcW w:w="458" w:type="pct"/>
                </w:tcPr>
                <w:p w14:paraId="60F6F2EB" w14:textId="77777777" w:rsidR="00154FF3" w:rsidRPr="0013396E" w:rsidRDefault="00154FF3" w:rsidP="00154FF3">
                  <w:pPr>
                    <w:pStyle w:val="VariableDefinition"/>
                    <w:tabs>
                      <w:tab w:val="clear" w:pos="2160"/>
                      <w:tab w:val="left" w:pos="2880"/>
                    </w:tabs>
                    <w:spacing w:after="60"/>
                    <w:ind w:left="0" w:firstLine="0"/>
                    <w:rPr>
                      <w:sz w:val="20"/>
                    </w:rPr>
                  </w:pPr>
                  <w:r w:rsidRPr="0013396E">
                    <w:rPr>
                      <w:sz w:val="20"/>
                    </w:rPr>
                    <w:t>$</w:t>
                  </w:r>
                </w:p>
              </w:tc>
              <w:tc>
                <w:tcPr>
                  <w:tcW w:w="3290" w:type="pct"/>
                </w:tcPr>
                <w:p w14:paraId="7CD20A0B" w14:textId="00496D3C" w:rsidR="00154FF3" w:rsidRPr="0013396E" w:rsidRDefault="00154FF3" w:rsidP="001335E7">
                  <w:pPr>
                    <w:pStyle w:val="VariableDefinition"/>
                    <w:tabs>
                      <w:tab w:val="clear" w:pos="2160"/>
                      <w:tab w:val="left" w:pos="2880"/>
                    </w:tabs>
                    <w:spacing w:after="60"/>
                    <w:ind w:left="0" w:firstLine="0"/>
                    <w:rPr>
                      <w:i/>
                      <w:sz w:val="20"/>
                    </w:rPr>
                  </w:pPr>
                  <w:r w:rsidRPr="0013396E">
                    <w:rPr>
                      <w:i/>
                      <w:sz w:val="20"/>
                    </w:rPr>
                    <w:t>Monthly BLT Amount</w:t>
                  </w:r>
                  <w:r w:rsidRPr="0013396E">
                    <w:rPr>
                      <w:sz w:val="20"/>
                    </w:rPr>
                    <w:t xml:space="preserve"> </w:t>
                  </w:r>
                  <w:r w:rsidRPr="0013396E">
                    <w:rPr>
                      <w:i/>
                      <w:sz w:val="20"/>
                    </w:rPr>
                    <w:t>for DC Tie Exports</w:t>
                  </w:r>
                  <w:r w:rsidRPr="0013396E">
                    <w:rPr>
                      <w:sz w:val="20"/>
                    </w:rPr>
                    <w:t xml:space="preserve"> </w:t>
                  </w:r>
                  <w:r w:rsidRPr="0013396E">
                    <w:rPr>
                      <w:i/>
                      <w:sz w:val="20"/>
                    </w:rPr>
                    <w:t>per QSE</w:t>
                  </w:r>
                  <w:r w:rsidRPr="0013396E">
                    <w:t>—</w:t>
                  </w:r>
                  <w:r w:rsidRPr="0013396E">
                    <w:rPr>
                      <w:sz w:val="20"/>
                    </w:rPr>
                    <w:t>Monthly BLT amount for DC Tie exports for QSE</w:t>
                  </w:r>
                  <w:r w:rsidRPr="0013396E">
                    <w:rPr>
                      <w:bCs/>
                      <w:sz w:val="20"/>
                    </w:rPr>
                    <w:t xml:space="preserve"> </w:t>
                  </w:r>
                  <w:r w:rsidRPr="0013396E">
                    <w:rPr>
                      <w:bCs/>
                      <w:i/>
                      <w:sz w:val="20"/>
                    </w:rPr>
                    <w:t>q</w:t>
                  </w:r>
                  <w:r w:rsidRPr="0013396E">
                    <w:rPr>
                      <w:sz w:val="20"/>
                    </w:rPr>
                    <w:t>.</w:t>
                  </w:r>
                </w:p>
              </w:tc>
            </w:tr>
            <w:tr w:rsidR="00154FF3" w:rsidRPr="0013396E" w14:paraId="1408ED8D" w14:textId="77777777" w:rsidTr="00663874">
              <w:trPr>
                <w:cantSplit/>
              </w:trPr>
              <w:tc>
                <w:tcPr>
                  <w:tcW w:w="1252" w:type="pct"/>
                </w:tcPr>
                <w:p w14:paraId="22E98EA0" w14:textId="77777777" w:rsidR="00154FF3" w:rsidRPr="0013396E" w:rsidRDefault="00154FF3" w:rsidP="00154FF3">
                  <w:pPr>
                    <w:pStyle w:val="TableBody"/>
                  </w:pPr>
                  <w:r w:rsidRPr="0013396E">
                    <w:t xml:space="preserve">MBLTNDC </w:t>
                  </w:r>
                  <w:r w:rsidRPr="0013396E">
                    <w:rPr>
                      <w:i/>
                      <w:vertAlign w:val="subscript"/>
                    </w:rPr>
                    <w:t>q</w:t>
                  </w:r>
                </w:p>
              </w:tc>
              <w:tc>
                <w:tcPr>
                  <w:tcW w:w="458" w:type="pct"/>
                </w:tcPr>
                <w:p w14:paraId="75115BCD" w14:textId="77777777" w:rsidR="00154FF3" w:rsidRPr="0013396E" w:rsidRDefault="00154FF3" w:rsidP="00154FF3">
                  <w:pPr>
                    <w:pStyle w:val="VariableDefinition"/>
                    <w:tabs>
                      <w:tab w:val="clear" w:pos="2160"/>
                      <w:tab w:val="left" w:pos="2880"/>
                    </w:tabs>
                    <w:spacing w:after="60"/>
                    <w:ind w:left="0" w:firstLine="0"/>
                    <w:rPr>
                      <w:sz w:val="20"/>
                    </w:rPr>
                  </w:pPr>
                  <w:r w:rsidRPr="0013396E">
                    <w:rPr>
                      <w:sz w:val="20"/>
                    </w:rPr>
                    <w:t>$</w:t>
                  </w:r>
                </w:p>
              </w:tc>
              <w:tc>
                <w:tcPr>
                  <w:tcW w:w="3290" w:type="pct"/>
                </w:tcPr>
                <w:p w14:paraId="35FBB2D9" w14:textId="7AD25BC3" w:rsidR="00154FF3" w:rsidRPr="0013396E" w:rsidRDefault="00154FF3" w:rsidP="00154FF3">
                  <w:pPr>
                    <w:pStyle w:val="VariableDefinition"/>
                    <w:tabs>
                      <w:tab w:val="clear" w:pos="2160"/>
                      <w:tab w:val="left" w:pos="2880"/>
                    </w:tabs>
                    <w:spacing w:after="60"/>
                    <w:ind w:left="0" w:firstLine="0"/>
                    <w:rPr>
                      <w:sz w:val="20"/>
                    </w:rPr>
                  </w:pPr>
                  <w:r w:rsidRPr="0013396E">
                    <w:rPr>
                      <w:i/>
                      <w:sz w:val="20"/>
                    </w:rPr>
                    <w:t>Monthly BLT Amount for Non-DC Tie Loads</w:t>
                  </w:r>
                  <w:r w:rsidRPr="0013396E">
                    <w:rPr>
                      <w:sz w:val="20"/>
                    </w:rPr>
                    <w:t xml:space="preserve"> </w:t>
                  </w:r>
                  <w:r w:rsidRPr="0013396E">
                    <w:rPr>
                      <w:i/>
                      <w:sz w:val="20"/>
                    </w:rPr>
                    <w:t>per QSE</w:t>
                  </w:r>
                  <w:r w:rsidRPr="0013396E">
                    <w:t>—</w:t>
                  </w:r>
                  <w:r w:rsidRPr="0013396E">
                    <w:rPr>
                      <w:sz w:val="20"/>
                    </w:rPr>
                    <w:t>Monthly BLT amount for Loads (excluding DC Tie exports) for QSE</w:t>
                  </w:r>
                  <w:r w:rsidRPr="0013396E">
                    <w:rPr>
                      <w:bCs/>
                      <w:sz w:val="20"/>
                    </w:rPr>
                    <w:t xml:space="preserve"> </w:t>
                  </w:r>
                  <w:r w:rsidRPr="0013396E">
                    <w:rPr>
                      <w:bCs/>
                      <w:i/>
                      <w:sz w:val="20"/>
                    </w:rPr>
                    <w:t>q</w:t>
                  </w:r>
                  <w:r w:rsidRPr="0013396E">
                    <w:rPr>
                      <w:sz w:val="20"/>
                    </w:rPr>
                    <w:t>.</w:t>
                  </w:r>
                </w:p>
              </w:tc>
            </w:tr>
            <w:tr w:rsidR="00154FF3" w:rsidRPr="0013396E" w14:paraId="4A410B8B" w14:textId="77777777" w:rsidTr="00663874">
              <w:trPr>
                <w:cantSplit/>
              </w:trPr>
              <w:tc>
                <w:tcPr>
                  <w:tcW w:w="1252" w:type="pct"/>
                </w:tcPr>
                <w:p w14:paraId="358DEEF9" w14:textId="77777777" w:rsidR="00154FF3" w:rsidRPr="0013396E" w:rsidRDefault="00154FF3" w:rsidP="00154FF3">
                  <w:pPr>
                    <w:pStyle w:val="TableBody"/>
                  </w:pPr>
                  <w:r w:rsidRPr="0013396E">
                    <w:t xml:space="preserve">MBLTAMTTOT </w:t>
                  </w:r>
                </w:p>
              </w:tc>
              <w:tc>
                <w:tcPr>
                  <w:tcW w:w="458" w:type="pct"/>
                </w:tcPr>
                <w:p w14:paraId="21159B81" w14:textId="77777777" w:rsidR="00154FF3" w:rsidRPr="0013396E" w:rsidRDefault="00154FF3" w:rsidP="00154FF3">
                  <w:pPr>
                    <w:pStyle w:val="VariableDefinition"/>
                    <w:tabs>
                      <w:tab w:val="clear" w:pos="2160"/>
                      <w:tab w:val="left" w:pos="2880"/>
                    </w:tabs>
                    <w:spacing w:after="60"/>
                    <w:ind w:left="0" w:firstLine="0"/>
                    <w:rPr>
                      <w:sz w:val="20"/>
                    </w:rPr>
                  </w:pPr>
                  <w:r w:rsidRPr="0013396E">
                    <w:rPr>
                      <w:sz w:val="20"/>
                    </w:rPr>
                    <w:t>$</w:t>
                  </w:r>
                </w:p>
              </w:tc>
              <w:tc>
                <w:tcPr>
                  <w:tcW w:w="3290" w:type="pct"/>
                </w:tcPr>
                <w:p w14:paraId="54FB5D8F" w14:textId="77777777" w:rsidR="00154FF3" w:rsidRPr="0013396E" w:rsidRDefault="00154FF3" w:rsidP="00154FF3">
                  <w:pPr>
                    <w:pStyle w:val="VariableDefinition"/>
                    <w:tabs>
                      <w:tab w:val="clear" w:pos="2160"/>
                      <w:tab w:val="left" w:pos="2880"/>
                    </w:tabs>
                    <w:spacing w:after="60"/>
                    <w:ind w:left="0" w:firstLine="0"/>
                    <w:rPr>
                      <w:sz w:val="20"/>
                    </w:rPr>
                  </w:pPr>
                  <w:r w:rsidRPr="0013396E">
                    <w:rPr>
                      <w:i/>
                      <w:sz w:val="20"/>
                    </w:rPr>
                    <w:t>Monthly BLT Amount ERCOT wide Total</w:t>
                  </w:r>
                  <w:r w:rsidRPr="0013396E">
                    <w:t>—</w:t>
                  </w:r>
                  <w:r w:rsidRPr="0013396E">
                    <w:rPr>
                      <w:sz w:val="20"/>
                    </w:rPr>
                    <w:t>The total monthly BLT payment for all QSEs.</w:t>
                  </w:r>
                </w:p>
              </w:tc>
            </w:tr>
            <w:tr w:rsidR="00154FF3" w:rsidRPr="0013396E" w14:paraId="0B7965F0" w14:textId="77777777" w:rsidTr="00663874">
              <w:trPr>
                <w:cantSplit/>
                <w:trHeight w:val="323"/>
              </w:trPr>
              <w:tc>
                <w:tcPr>
                  <w:tcW w:w="1252" w:type="pct"/>
                </w:tcPr>
                <w:p w14:paraId="3C64B01C" w14:textId="77777777" w:rsidR="00154FF3" w:rsidRPr="0013396E" w:rsidRDefault="00154FF3" w:rsidP="00154FF3">
                  <w:pPr>
                    <w:pStyle w:val="TableBody"/>
                  </w:pPr>
                  <w:r w:rsidRPr="0013396E">
                    <w:rPr>
                      <w:i/>
                    </w:rPr>
                    <w:t>q</w:t>
                  </w:r>
                </w:p>
              </w:tc>
              <w:tc>
                <w:tcPr>
                  <w:tcW w:w="458" w:type="pct"/>
                </w:tcPr>
                <w:p w14:paraId="7DC4E920" w14:textId="77777777" w:rsidR="00154FF3" w:rsidRPr="0013396E" w:rsidRDefault="00154FF3" w:rsidP="00154FF3">
                  <w:pPr>
                    <w:pStyle w:val="VariableDefinition"/>
                    <w:tabs>
                      <w:tab w:val="clear" w:pos="2160"/>
                      <w:tab w:val="left" w:pos="2880"/>
                    </w:tabs>
                    <w:spacing w:after="60"/>
                    <w:ind w:left="0" w:firstLine="0"/>
                    <w:rPr>
                      <w:sz w:val="20"/>
                    </w:rPr>
                  </w:pPr>
                  <w:r w:rsidRPr="0013396E">
                    <w:rPr>
                      <w:sz w:val="20"/>
                    </w:rPr>
                    <w:t>none</w:t>
                  </w:r>
                </w:p>
              </w:tc>
              <w:tc>
                <w:tcPr>
                  <w:tcW w:w="3290" w:type="pct"/>
                </w:tcPr>
                <w:p w14:paraId="0630715B" w14:textId="77777777" w:rsidR="00154FF3" w:rsidRPr="0013396E" w:rsidRDefault="00154FF3" w:rsidP="00154FF3">
                  <w:pPr>
                    <w:pStyle w:val="VariableDefinition"/>
                    <w:tabs>
                      <w:tab w:val="clear" w:pos="2160"/>
                      <w:tab w:val="left" w:pos="2880"/>
                    </w:tabs>
                    <w:spacing w:after="60"/>
                    <w:ind w:left="0" w:firstLine="0"/>
                    <w:rPr>
                      <w:i/>
                      <w:sz w:val="20"/>
                    </w:rPr>
                  </w:pPr>
                  <w:r w:rsidRPr="0013396E">
                    <w:rPr>
                      <w:sz w:val="20"/>
                    </w:rPr>
                    <w:t>A QSE.</w:t>
                  </w:r>
                </w:p>
              </w:tc>
            </w:tr>
          </w:tbl>
          <w:p w14:paraId="3BE42232" w14:textId="109EF06E" w:rsidR="00154FF3" w:rsidRPr="0013396E" w:rsidRDefault="00154FF3" w:rsidP="00663874">
            <w:pPr>
              <w:pStyle w:val="H4"/>
              <w:ind w:left="720" w:hanging="720"/>
              <w:rPr>
                <w:b w:val="0"/>
              </w:rPr>
            </w:pPr>
          </w:p>
        </w:tc>
      </w:tr>
    </w:tbl>
    <w:p w14:paraId="7129E4CA" w14:textId="6A01025F" w:rsidR="00C57701" w:rsidRPr="0013396E" w:rsidRDefault="00C57701" w:rsidP="006B72E9">
      <w:pPr>
        <w:keepNext/>
        <w:widowControl w:val="0"/>
        <w:tabs>
          <w:tab w:val="left" w:pos="1260"/>
        </w:tabs>
        <w:spacing w:before="480" w:after="240"/>
        <w:ind w:left="1267" w:hanging="1267"/>
        <w:outlineLvl w:val="3"/>
        <w:rPr>
          <w:b/>
        </w:rPr>
      </w:pPr>
      <w:bookmarkStart w:id="1663" w:name="_Toc481502895"/>
      <w:bookmarkStart w:id="1664" w:name="_Toc496080063"/>
      <w:bookmarkStart w:id="1665" w:name="_Toc214878970"/>
      <w:bookmarkStart w:id="1666" w:name="_Toc118908577"/>
      <w:bookmarkStart w:id="1667" w:name="_Toc119180748"/>
      <w:bookmarkStart w:id="1668" w:name="_Toc397505019"/>
      <w:bookmarkStart w:id="1669" w:name="_Toc402357147"/>
      <w:bookmarkStart w:id="1670" w:name="_Toc422486527"/>
      <w:bookmarkStart w:id="1671" w:name="_Toc433093380"/>
      <w:bookmarkStart w:id="1672" w:name="_Toc433093538"/>
      <w:bookmarkStart w:id="1673" w:name="_Toc440874768"/>
      <w:bookmarkStart w:id="1674" w:name="_Toc87951794"/>
      <w:bookmarkStart w:id="1675" w:name="_Toc109009400"/>
      <w:bookmarkEnd w:id="1646"/>
      <w:bookmarkEnd w:id="1647"/>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r w:rsidRPr="0013396E">
        <w:rPr>
          <w:b/>
        </w:rPr>
        <w:lastRenderedPageBreak/>
        <w:t>6.6.3.</w:t>
      </w:r>
      <w:r w:rsidR="00A01A2C" w:rsidRPr="0013396E">
        <w:rPr>
          <w:b/>
        </w:rPr>
        <w:t>6</w:t>
      </w:r>
      <w:r w:rsidRPr="0013396E">
        <w:rPr>
          <w:b/>
        </w:rPr>
        <w:tab/>
        <w:t>Real-Time High Dispatch Limit Override Energy Payment</w:t>
      </w:r>
      <w:bookmarkEnd w:id="1663"/>
      <w:bookmarkEnd w:id="1664"/>
      <w:bookmarkEnd w:id="1665"/>
      <w:r w:rsidRPr="0013396E">
        <w:rPr>
          <w:b/>
        </w:rPr>
        <w:t xml:space="preserve">  </w:t>
      </w:r>
    </w:p>
    <w:p w14:paraId="225C6F91" w14:textId="7B6C6F12" w:rsidR="00B361A1" w:rsidRPr="0013396E" w:rsidRDefault="00B361A1" w:rsidP="00B361A1">
      <w:pPr>
        <w:spacing w:after="240"/>
        <w:ind w:left="720" w:hanging="720"/>
        <w:rPr>
          <w:color w:val="000000"/>
        </w:rPr>
      </w:pPr>
      <w:r w:rsidRPr="0013396E">
        <w:rPr>
          <w:color w:val="000000"/>
        </w:rPr>
        <w:t>(1)</w:t>
      </w:r>
      <w:r w:rsidRPr="0013396E">
        <w:rPr>
          <w:color w:val="000000"/>
        </w:rPr>
        <w:tab/>
        <w:t>If ERCOT directs a Generation Resource or ES</w:t>
      </w:r>
      <w:r w:rsidR="00602196">
        <w:rPr>
          <w:color w:val="000000"/>
        </w:rPr>
        <w:t>R</w:t>
      </w:r>
      <w:r w:rsidRPr="0013396E">
        <w:rPr>
          <w:color w:val="000000"/>
        </w:rPr>
        <w:t xml:space="preserve"> to reduce real power output by employing a manual High Dispatch Limit (HDL) override, or issues a Verbal Dispatch Instruction (VDI) to a Generation Resource or ESR to adjust its operation to produce the same effect, and the reduction causes the QSE to suffer a demonstrable financial loss, the QSE may be eligible for a Real-Time High Dispatch Limit Override Energy Payment, as calculated below, upon providing documented proof of that loss.  In order to qualify for this payment the QSE must:</w:t>
      </w:r>
    </w:p>
    <w:p w14:paraId="4F30C6EC" w14:textId="77777777" w:rsidR="00B361A1" w:rsidRPr="0013396E" w:rsidRDefault="00B361A1" w:rsidP="00B361A1">
      <w:pPr>
        <w:spacing w:after="240"/>
        <w:ind w:left="1440" w:hanging="720"/>
      </w:pPr>
      <w:r w:rsidRPr="0013396E">
        <w:t>(a)</w:t>
      </w:r>
      <w:r w:rsidRPr="0013396E">
        <w:tab/>
        <w:t>Have complied with ERCOT Dispatch Instructions to reduce real power output;</w:t>
      </w:r>
    </w:p>
    <w:p w14:paraId="1D4C1CE2" w14:textId="77777777" w:rsidR="00B361A1" w:rsidRPr="0013396E" w:rsidRDefault="00B361A1" w:rsidP="00B361A1">
      <w:pPr>
        <w:spacing w:after="240"/>
        <w:ind w:left="1440" w:hanging="720"/>
      </w:pPr>
      <w:r w:rsidRPr="0013396E">
        <w:t>(b)</w:t>
      </w:r>
      <w:r w:rsidRPr="0013396E">
        <w:tab/>
        <w:t>Have either received a SCED Base Point equal to the Resource’s HDL override value or received a SCED Base Point less than the Resource’s output level at the time of the instruction but greater than or equal to the instructed operating level specified in the VDI, during the 15-minute Settlement Interval;</w:t>
      </w:r>
    </w:p>
    <w:p w14:paraId="0BFCD914" w14:textId="77777777" w:rsidR="00B361A1" w:rsidRPr="0013396E" w:rsidRDefault="00B361A1" w:rsidP="00B361A1">
      <w:pPr>
        <w:spacing w:after="240"/>
        <w:ind w:left="1440" w:hanging="720"/>
      </w:pPr>
      <w:r w:rsidRPr="0013396E">
        <w:t>(c)</w:t>
      </w:r>
      <w:r w:rsidRPr="0013396E">
        <w:tab/>
        <w:t>Have incurred a demonstrable financial loss (excluding lost opportunity costs) caused by the HDL override associated with one of the following:</w:t>
      </w:r>
    </w:p>
    <w:p w14:paraId="7E2098F9" w14:textId="77777777" w:rsidR="00B361A1" w:rsidRPr="0013396E" w:rsidRDefault="00B361A1" w:rsidP="00B361A1">
      <w:pPr>
        <w:spacing w:after="240"/>
        <w:ind w:left="2160" w:hanging="720"/>
      </w:pPr>
      <w:r w:rsidRPr="0013396E">
        <w:t>(i)</w:t>
      </w:r>
      <w:r w:rsidRPr="0013396E">
        <w:tab/>
        <w:t>Variable cost components of DAM obligations;</w:t>
      </w:r>
    </w:p>
    <w:p w14:paraId="439977F3" w14:textId="77777777" w:rsidR="00B361A1" w:rsidRPr="0013396E" w:rsidRDefault="00B361A1" w:rsidP="00B361A1">
      <w:pPr>
        <w:spacing w:after="240"/>
        <w:ind w:left="2160" w:hanging="720"/>
      </w:pPr>
      <w:r w:rsidRPr="0013396E">
        <w:lastRenderedPageBreak/>
        <w:t>(ii)</w:t>
      </w:r>
      <w:r w:rsidRPr="0013396E">
        <w:tab/>
        <w:t>QSEs representing only Generation Resources in their portfolio with an HDL override for a Resource with a bilateral contract to sell energy at its Resource Node; or</w:t>
      </w:r>
    </w:p>
    <w:p w14:paraId="719B89E7" w14:textId="236FC9A8" w:rsidR="00B361A1" w:rsidRPr="0013396E" w:rsidRDefault="00B361A1" w:rsidP="00B361A1">
      <w:pPr>
        <w:spacing w:after="240"/>
        <w:ind w:left="2160" w:hanging="720"/>
      </w:pPr>
      <w:r w:rsidRPr="0013396E">
        <w:t>(iii)</w:t>
      </w:r>
      <w:r w:rsidRPr="0013396E">
        <w:tab/>
        <w:t>Incremental costs incurred by a QSE in the RTM to serve its Load if the HDL override for a Resource in the same QSE portfolio as the Load, causes the QSE to be short energy compared to its Load; and</w:t>
      </w:r>
    </w:p>
    <w:p w14:paraId="770660F2" w14:textId="77777777" w:rsidR="00B361A1" w:rsidRPr="0013396E" w:rsidRDefault="00B361A1" w:rsidP="00B361A1">
      <w:pPr>
        <w:spacing w:after="240"/>
        <w:ind w:left="1440" w:hanging="720"/>
      </w:pPr>
      <w:r w:rsidRPr="0013396E">
        <w:t>(d)</w:t>
      </w:r>
      <w:r w:rsidRPr="0013396E">
        <w:tab/>
        <w:t xml:space="preserve">File a timely Settlement and billing dispute in accordance with Section 9.14, Settlement and Billing Dispute Process, including the following items: </w:t>
      </w:r>
    </w:p>
    <w:p w14:paraId="4AC211D5" w14:textId="77777777" w:rsidR="00B361A1" w:rsidRPr="0013396E" w:rsidRDefault="00B361A1" w:rsidP="00B361A1">
      <w:pPr>
        <w:spacing w:after="240"/>
        <w:ind w:left="2160" w:hanging="720"/>
      </w:pPr>
      <w:r w:rsidRPr="0013396E">
        <w:t>(i)</w:t>
      </w:r>
      <w:r w:rsidRPr="0013396E">
        <w:tab/>
        <w:t>An attestation signed by an officer or executive with authority to bind the QSE;</w:t>
      </w:r>
    </w:p>
    <w:p w14:paraId="12330434" w14:textId="77777777" w:rsidR="00B361A1" w:rsidRPr="0013396E" w:rsidRDefault="00B361A1" w:rsidP="00B361A1">
      <w:pPr>
        <w:spacing w:after="240"/>
        <w:ind w:left="2160" w:hanging="720"/>
      </w:pPr>
      <w:r w:rsidRPr="0013396E">
        <w:t>(ii)</w:t>
      </w:r>
      <w:r w:rsidRPr="0013396E">
        <w:tab/>
        <w:t>The dollar amount and calculation of the financial loss by Settlement Interval;</w:t>
      </w:r>
    </w:p>
    <w:p w14:paraId="4A3500FA" w14:textId="77777777" w:rsidR="00B361A1" w:rsidRPr="0013396E" w:rsidRDefault="00B361A1" w:rsidP="00B361A1">
      <w:pPr>
        <w:spacing w:after="240"/>
        <w:ind w:left="2160" w:hanging="720"/>
      </w:pPr>
      <w:r w:rsidRPr="0013396E">
        <w:t>(iii)</w:t>
      </w:r>
      <w:r w:rsidRPr="0013396E">
        <w:tab/>
        <w:t xml:space="preserve">An explanation of the nature of the loss and how it was attributable to the HDL override or equivalent VDI issued by ERCOT; and </w:t>
      </w:r>
    </w:p>
    <w:p w14:paraId="6E735899" w14:textId="77777777" w:rsidR="00B361A1" w:rsidRPr="0013396E" w:rsidRDefault="00B361A1" w:rsidP="00B361A1">
      <w:pPr>
        <w:spacing w:after="240"/>
        <w:ind w:left="2160" w:hanging="720"/>
      </w:pPr>
      <w:r w:rsidRPr="0013396E">
        <w:t>(iv)</w:t>
      </w:r>
      <w:r w:rsidRPr="0013396E">
        <w:tab/>
        <w:t>Sufficient documentation to support the QSE’s calculation of the amount of the financial loss.</w:t>
      </w:r>
    </w:p>
    <w:p w14:paraId="5A1AE75B" w14:textId="77777777" w:rsidR="00B361A1" w:rsidRPr="0013396E" w:rsidRDefault="00B361A1" w:rsidP="00B361A1">
      <w:pPr>
        <w:spacing w:after="240"/>
        <w:ind w:left="720" w:hanging="720"/>
        <w:rPr>
          <w:color w:val="000000"/>
        </w:rPr>
      </w:pPr>
      <w:r w:rsidRPr="0013396E">
        <w:rPr>
          <w:color w:val="000000"/>
        </w:rPr>
        <w:t>(2)</w:t>
      </w:r>
      <w:r w:rsidRPr="0013396E">
        <w:rPr>
          <w:color w:val="000000"/>
        </w:rPr>
        <w:tab/>
        <w:t xml:space="preserve">Notwithstanding the attestation requirement described in paragraph (1)(d) above, for QSEs filing </w:t>
      </w:r>
      <w:r w:rsidRPr="0013396E">
        <w:t xml:space="preserve">a demonstrable financial loss per paragraph (1)(c)(iii) above, the attestation must also </w:t>
      </w:r>
      <w:r w:rsidRPr="0013396E">
        <w:rPr>
          <w:color w:val="000000"/>
        </w:rPr>
        <w:t>state that the Resource with the HDL override was serving the Load in the same QSE portfolio as the Resource, at the time the HDL override was issued.</w:t>
      </w:r>
    </w:p>
    <w:p w14:paraId="552A7EF9" w14:textId="77777777" w:rsidR="00B361A1" w:rsidRPr="0013396E" w:rsidRDefault="00B361A1" w:rsidP="00B361A1">
      <w:pPr>
        <w:spacing w:after="240"/>
        <w:ind w:left="720" w:hanging="720"/>
        <w:rPr>
          <w:color w:val="000000"/>
        </w:rPr>
      </w:pPr>
      <w:r w:rsidRPr="0013396E">
        <w:rPr>
          <w:color w:val="000000"/>
        </w:rPr>
        <w:t>(3)        If the total Settlement amount of High Dispatch Limit Override Energy Payments exceeds $3.5 million in a calendar year, ERCOT will report to the Technical Advisory Committee (TAC) the causes of the payments and provide recommendations on how to reduce the costs both operationally and based on the eligible demonstrable financial loss criteria in paragraph (1)(c) above.</w:t>
      </w:r>
    </w:p>
    <w:p w14:paraId="5A560C65" w14:textId="77777777" w:rsidR="00B361A1" w:rsidRPr="0013396E" w:rsidRDefault="00B361A1" w:rsidP="00B361A1">
      <w:pPr>
        <w:spacing w:after="240"/>
        <w:ind w:left="720" w:hanging="720"/>
        <w:rPr>
          <w:color w:val="000000"/>
        </w:rPr>
      </w:pPr>
      <w:r w:rsidRPr="0013396E">
        <w:rPr>
          <w:color w:val="000000"/>
        </w:rPr>
        <w:t>(4)</w:t>
      </w:r>
      <w:r w:rsidRPr="0013396E">
        <w:rPr>
          <w:color w:val="000000"/>
        </w:rPr>
        <w:tab/>
        <w:t xml:space="preserve">ERCOT may request additional supporting documentation or explanation with respect to the submitted materials within 15 Business Days of receipt.  Additional information requested by ERCOT must be provided by the QSE within 15 Business Days of ERCOT’s request.  ERCOT will provide Notice of its acceptance or rejection of the claim for the High Dispatch Limit Override Energy Payment within 15 Business Days of the updated submission. </w:t>
      </w:r>
    </w:p>
    <w:p w14:paraId="322654C9" w14:textId="77777777" w:rsidR="00B361A1" w:rsidRPr="0013396E" w:rsidRDefault="00B361A1" w:rsidP="00B361A1">
      <w:pPr>
        <w:spacing w:after="240"/>
        <w:ind w:left="720" w:hanging="720"/>
        <w:rPr>
          <w:color w:val="000000"/>
        </w:rPr>
      </w:pPr>
      <w:r w:rsidRPr="0013396E">
        <w:rPr>
          <w:color w:val="000000"/>
        </w:rPr>
        <w:t>(5)</w:t>
      </w:r>
      <w:r w:rsidRPr="0013396E">
        <w:rPr>
          <w:color w:val="000000"/>
        </w:rPr>
        <w:tab/>
        <w:t>The Energy Offer Curve or Energy Bid/Offer Curve used to calculate the Real-Time High Dispatch Limit Override Energy Payment will be the most recent valid Energy Offer Curve or Energy Bid/Offer Curve received by ERCOT that was effective for the disputed interval(s) when the HDL override or equivalent VDI was issued.  If no curve exists for the interval being disputed, ERCOT will use the most recent valid Energy Offer Curve or Energy Bid/Offer Curve received before the HDL override or equivalent VDI was issued for an interval prior to the disputed interval(s).</w:t>
      </w:r>
    </w:p>
    <w:p w14:paraId="038F718C" w14:textId="77777777" w:rsidR="00B361A1" w:rsidRPr="0013396E" w:rsidRDefault="00B361A1" w:rsidP="00B361A1">
      <w:pPr>
        <w:spacing w:after="240"/>
        <w:ind w:left="720" w:hanging="720"/>
        <w:rPr>
          <w:color w:val="000000"/>
        </w:rPr>
      </w:pPr>
      <w:r w:rsidRPr="0013396E">
        <w:rPr>
          <w:color w:val="000000"/>
        </w:rPr>
        <w:lastRenderedPageBreak/>
        <w:t>(6)</w:t>
      </w:r>
      <w:r w:rsidRPr="0013396E">
        <w:rPr>
          <w:color w:val="000000"/>
        </w:rPr>
        <w:tab/>
        <w:t>The amount recoverable under this section shall be offset by any Ancillary Service Imbalance revenues received by the QSE that the QSE would not have earned had ERCOT not issued an HDL override.</w:t>
      </w:r>
    </w:p>
    <w:p w14:paraId="3103C920" w14:textId="77777777" w:rsidR="00B361A1" w:rsidRPr="0013396E" w:rsidRDefault="00B361A1" w:rsidP="00B361A1">
      <w:pPr>
        <w:spacing w:after="240"/>
        <w:ind w:left="720" w:hanging="720"/>
        <w:rPr>
          <w:color w:val="000000"/>
        </w:rPr>
      </w:pPr>
      <w:r w:rsidRPr="0013396E">
        <w:rPr>
          <w:color w:val="000000"/>
        </w:rPr>
        <w:tab/>
        <w:t xml:space="preserve">The payment shall be calculated as follows:  </w:t>
      </w:r>
    </w:p>
    <w:p w14:paraId="79478C1D" w14:textId="77777777" w:rsidR="00B361A1" w:rsidRPr="0013396E" w:rsidRDefault="00B361A1" w:rsidP="00B361A1">
      <w:pPr>
        <w:tabs>
          <w:tab w:val="left" w:pos="1440"/>
          <w:tab w:val="left" w:pos="2340"/>
        </w:tabs>
        <w:spacing w:after="240"/>
        <w:ind w:left="3420" w:right="415" w:hanging="2700"/>
        <w:jc w:val="both"/>
        <w:rPr>
          <w:b/>
          <w:bCs/>
          <w:lang w:val="pt-BR"/>
        </w:rPr>
      </w:pPr>
      <w:r w:rsidRPr="0013396E">
        <w:rPr>
          <w:b/>
          <w:bCs/>
          <w:lang w:val="pt-BR"/>
        </w:rPr>
        <w:t xml:space="preserve">HDLOEAMT </w:t>
      </w:r>
      <w:r w:rsidRPr="0013396E">
        <w:rPr>
          <w:b/>
          <w:bCs/>
          <w:i/>
          <w:vertAlign w:val="subscript"/>
          <w:lang w:val="es-ES"/>
        </w:rPr>
        <w:t xml:space="preserve">q, r, p, i </w:t>
      </w:r>
      <w:r w:rsidRPr="0013396E">
        <w:rPr>
          <w:b/>
          <w:bCs/>
          <w:lang w:val="pt-BR"/>
        </w:rPr>
        <w:t xml:space="preserve">=  </w:t>
      </w:r>
      <w:r w:rsidRPr="0013396E">
        <w:rPr>
          <w:b/>
          <w:bCs/>
          <w:lang w:val="pt-BR"/>
        </w:rPr>
        <w:tab/>
      </w:r>
      <w:r w:rsidRPr="0013396E">
        <w:rPr>
          <w:b/>
          <w:bCs/>
        </w:rPr>
        <w:t>(-1) * Min {HDLOAL</w:t>
      </w:r>
      <w:r w:rsidRPr="0013396E">
        <w:rPr>
          <w:b/>
          <w:bCs/>
          <w:i/>
          <w:vertAlign w:val="subscript"/>
          <w:lang w:val="pt-BR"/>
        </w:rPr>
        <w:t xml:space="preserve"> q, r, p, i</w:t>
      </w:r>
      <w:r w:rsidRPr="0013396E">
        <w:rPr>
          <w:b/>
          <w:bCs/>
          <w:i/>
          <w:iCs/>
          <w:vertAlign w:val="subscript"/>
        </w:rPr>
        <w:t>,</w:t>
      </w:r>
      <w:r w:rsidRPr="0013396E">
        <w:rPr>
          <w:b/>
          <w:bCs/>
        </w:rPr>
        <w:t xml:space="preserve"> Max(0, ((RTSPP </w:t>
      </w:r>
      <w:r w:rsidRPr="0013396E">
        <w:rPr>
          <w:b/>
          <w:bCs/>
          <w:i/>
          <w:vertAlign w:val="subscript"/>
        </w:rPr>
        <w:t>p, i</w:t>
      </w:r>
      <w:r w:rsidRPr="0013396E">
        <w:rPr>
          <w:b/>
          <w:bCs/>
          <w:lang w:val="pt-BR"/>
        </w:rPr>
        <w:t xml:space="preserve"> </w:t>
      </w:r>
      <w:r w:rsidRPr="0013396E">
        <w:rPr>
          <w:b/>
          <w:bCs/>
        </w:rPr>
        <w:t xml:space="preserve"> </w:t>
      </w:r>
      <w:r w:rsidRPr="0013396E">
        <w:rPr>
          <w:b/>
          <w:bCs/>
          <w:lang w:val="pt-BR"/>
        </w:rPr>
        <w:t xml:space="preserve">– </w:t>
      </w:r>
      <w:r w:rsidRPr="0013396E">
        <w:rPr>
          <w:b/>
          <w:bCs/>
        </w:rPr>
        <w:t>RTRDP</w:t>
      </w:r>
      <w:r w:rsidRPr="0013396E">
        <w:rPr>
          <w:b/>
          <w:bCs/>
          <w:i/>
          <w:vertAlign w:val="subscript"/>
        </w:rPr>
        <w:t xml:space="preserve"> i</w:t>
      </w:r>
      <w:r w:rsidRPr="0013396E">
        <w:rPr>
          <w:b/>
          <w:bCs/>
          <w:lang w:val="pt-BR"/>
        </w:rPr>
        <w:t xml:space="preserve"> – RTEOCOST </w:t>
      </w:r>
      <w:r w:rsidRPr="0013396E">
        <w:rPr>
          <w:b/>
          <w:bCs/>
          <w:i/>
          <w:vertAlign w:val="subscript"/>
          <w:lang w:val="pt-BR"/>
        </w:rPr>
        <w:t>q, r, i</w:t>
      </w:r>
      <w:r w:rsidRPr="0013396E">
        <w:rPr>
          <w:b/>
          <w:bCs/>
          <w:lang w:val="pt-BR"/>
        </w:rPr>
        <w:t>) * HDLOQTY</w:t>
      </w:r>
      <w:r w:rsidRPr="0013396E">
        <w:rPr>
          <w:b/>
          <w:bCs/>
          <w:i/>
          <w:vertAlign w:val="subscript"/>
        </w:rPr>
        <w:t xml:space="preserve"> q, r, p, i</w:t>
      </w:r>
      <w:r w:rsidRPr="0013396E">
        <w:rPr>
          <w:b/>
          <w:bCs/>
          <w:lang w:val="pt-BR"/>
        </w:rPr>
        <w:t>))}</w:t>
      </w:r>
    </w:p>
    <w:p w14:paraId="48D73D47" w14:textId="77777777" w:rsidR="00B361A1" w:rsidRPr="0013396E" w:rsidRDefault="00B361A1" w:rsidP="00B361A1">
      <w:pPr>
        <w:tabs>
          <w:tab w:val="left" w:pos="1440"/>
          <w:tab w:val="left" w:pos="2340"/>
        </w:tabs>
        <w:spacing w:before="240" w:after="240"/>
        <w:ind w:left="3420" w:hanging="2700"/>
        <w:jc w:val="both"/>
        <w:rPr>
          <w:bCs/>
          <w:lang w:val="pt-BR"/>
        </w:rPr>
      </w:pPr>
      <w:r w:rsidRPr="0013396E">
        <w:rPr>
          <w:bCs/>
          <w:lang w:val="pt-BR"/>
        </w:rPr>
        <w:t>Where:</w:t>
      </w:r>
    </w:p>
    <w:p w14:paraId="0456B9AB" w14:textId="77777777" w:rsidR="00B361A1" w:rsidRPr="0013396E" w:rsidRDefault="00B361A1" w:rsidP="00B361A1">
      <w:pPr>
        <w:spacing w:after="240"/>
        <w:ind w:firstLine="720"/>
        <w:rPr>
          <w:b/>
          <w:iCs/>
          <w:lang w:val="pt-BR"/>
        </w:rPr>
      </w:pPr>
      <w:r w:rsidRPr="0013396E">
        <w:rPr>
          <w:iCs/>
          <w:lang w:val="pt-BR"/>
        </w:rPr>
        <w:t>HDLOQTY</w:t>
      </w:r>
      <w:r w:rsidRPr="0013396E">
        <w:rPr>
          <w:i/>
          <w:iCs/>
          <w:vertAlign w:val="subscript"/>
        </w:rPr>
        <w:t xml:space="preserve"> q, r, p, i</w:t>
      </w:r>
      <w:r w:rsidRPr="0013396E">
        <w:rPr>
          <w:iCs/>
          <w:lang w:val="pt-BR"/>
        </w:rPr>
        <w:t xml:space="preserve">       =  Max(0, (¼ (HDLO</w:t>
      </w:r>
      <w:r w:rsidRPr="0013396E">
        <w:rPr>
          <w:iCs/>
        </w:rPr>
        <w:t>BRKP</w:t>
      </w:r>
      <w:r w:rsidRPr="0013396E">
        <w:rPr>
          <w:i/>
          <w:iCs/>
          <w:vertAlign w:val="subscript"/>
        </w:rPr>
        <w:t xml:space="preserve"> q, r, p, i</w:t>
      </w:r>
      <w:r w:rsidRPr="0013396E">
        <w:rPr>
          <w:iCs/>
          <w:lang w:val="pt-BR"/>
        </w:rPr>
        <w:t xml:space="preserve"> – </w:t>
      </w:r>
      <w:r w:rsidRPr="0013396E">
        <w:rPr>
          <w:iCs/>
        </w:rPr>
        <w:t xml:space="preserve">AVGHDL </w:t>
      </w:r>
      <w:r w:rsidRPr="0013396E">
        <w:rPr>
          <w:i/>
          <w:iCs/>
          <w:vertAlign w:val="subscript"/>
          <w:lang w:val="es-ES"/>
        </w:rPr>
        <w:t>q, r, p, i</w:t>
      </w:r>
      <w:r w:rsidRPr="0013396E">
        <w:rPr>
          <w:iCs/>
          <w:lang w:val="pt-BR"/>
        </w:rPr>
        <w:t>)))</w:t>
      </w:r>
    </w:p>
    <w:p w14:paraId="0E1D85AE" w14:textId="77777777" w:rsidR="00B361A1" w:rsidRPr="0013396E" w:rsidRDefault="00B361A1" w:rsidP="00B361A1">
      <w:pPr>
        <w:tabs>
          <w:tab w:val="left" w:pos="1440"/>
          <w:tab w:val="left" w:pos="2340"/>
        </w:tabs>
        <w:spacing w:after="240"/>
        <w:ind w:left="3420" w:hanging="2700"/>
        <w:jc w:val="both"/>
        <w:rPr>
          <w:bCs/>
          <w:lang w:val="pt-BR"/>
        </w:rPr>
      </w:pPr>
      <w:r w:rsidRPr="0013396E">
        <w:rPr>
          <w:bCs/>
        </w:rPr>
        <w:t>HDLOBRKP</w:t>
      </w:r>
      <w:r w:rsidRPr="0013396E">
        <w:rPr>
          <w:bCs/>
          <w:lang w:val="pt-BR"/>
        </w:rPr>
        <w:t xml:space="preserve"> </w:t>
      </w:r>
      <w:r w:rsidRPr="0013396E">
        <w:rPr>
          <w:bCs/>
          <w:i/>
          <w:vertAlign w:val="subscript"/>
          <w:lang w:val="es-ES"/>
        </w:rPr>
        <w:t xml:space="preserve">q, r, p, i </w:t>
      </w:r>
      <w:r w:rsidRPr="0013396E">
        <w:rPr>
          <w:bCs/>
          <w:vertAlign w:val="subscript"/>
          <w:lang w:val="es-MX"/>
        </w:rPr>
        <w:t xml:space="preserve">     </w:t>
      </w:r>
      <w:r w:rsidRPr="0013396E">
        <w:rPr>
          <w:bCs/>
        </w:rPr>
        <w:t>=  Min(AVGHSL</w:t>
      </w:r>
      <w:r w:rsidRPr="0013396E">
        <w:rPr>
          <w:bCs/>
          <w:lang w:val="es-MX"/>
        </w:rPr>
        <w:t xml:space="preserve"> </w:t>
      </w:r>
      <w:r w:rsidRPr="0013396E">
        <w:rPr>
          <w:bCs/>
          <w:i/>
          <w:vertAlign w:val="subscript"/>
          <w:lang w:val="es-ES"/>
        </w:rPr>
        <w:t>q, r, p, i</w:t>
      </w:r>
      <w:r w:rsidRPr="0013396E">
        <w:rPr>
          <w:bCs/>
        </w:rPr>
        <w:t>, HDLOBRKPCP</w:t>
      </w:r>
      <w:r w:rsidRPr="0013396E">
        <w:rPr>
          <w:bCs/>
          <w:lang w:val="es-MX"/>
        </w:rPr>
        <w:t xml:space="preserve"> </w:t>
      </w:r>
      <w:r w:rsidRPr="0013396E">
        <w:rPr>
          <w:bCs/>
          <w:i/>
          <w:vertAlign w:val="subscript"/>
          <w:lang w:val="es-ES"/>
        </w:rPr>
        <w:t>q, r, p, i</w:t>
      </w:r>
      <w:r w:rsidRPr="0013396E">
        <w:rPr>
          <w:bCs/>
          <w:lang w:val="pt-BR"/>
        </w:rPr>
        <w:t>)</w:t>
      </w:r>
    </w:p>
    <w:p w14:paraId="1D9E0C4D" w14:textId="77777777" w:rsidR="00B361A1" w:rsidRPr="0013396E" w:rsidRDefault="00B361A1" w:rsidP="00B361A1">
      <w:pPr>
        <w:spacing w:before="120"/>
      </w:pPr>
      <w:r w:rsidRPr="0013396E">
        <w:t>The above variables are defined as follows:</w:t>
      </w:r>
    </w:p>
    <w:tbl>
      <w:tblPr>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3"/>
        <w:gridCol w:w="862"/>
        <w:gridCol w:w="6565"/>
      </w:tblGrid>
      <w:tr w:rsidR="00B361A1" w:rsidRPr="0013396E" w14:paraId="486D954C" w14:textId="77777777" w:rsidTr="0099759E">
        <w:trPr>
          <w:cantSplit/>
          <w:trHeight w:val="146"/>
          <w:tblHeader/>
        </w:trPr>
        <w:tc>
          <w:tcPr>
            <w:tcW w:w="906" w:type="pct"/>
            <w:tcBorders>
              <w:top w:val="single" w:sz="4" w:space="0" w:color="auto"/>
              <w:left w:val="single" w:sz="4" w:space="0" w:color="auto"/>
              <w:bottom w:val="single" w:sz="4" w:space="0" w:color="auto"/>
              <w:right w:val="single" w:sz="4" w:space="0" w:color="auto"/>
            </w:tcBorders>
            <w:hideMark/>
          </w:tcPr>
          <w:p w14:paraId="534AA044" w14:textId="77777777" w:rsidR="00B361A1" w:rsidRPr="0013396E" w:rsidRDefault="00B361A1" w:rsidP="0099759E">
            <w:pPr>
              <w:spacing w:after="240"/>
              <w:rPr>
                <w:b/>
                <w:iCs/>
                <w:sz w:val="20"/>
              </w:rPr>
            </w:pPr>
            <w:r w:rsidRPr="0013396E">
              <w:rPr>
                <w:b/>
                <w:iCs/>
                <w:sz w:val="20"/>
              </w:rPr>
              <w:t>Variable</w:t>
            </w:r>
          </w:p>
        </w:tc>
        <w:tc>
          <w:tcPr>
            <w:tcW w:w="475" w:type="pct"/>
            <w:tcBorders>
              <w:top w:val="single" w:sz="4" w:space="0" w:color="auto"/>
              <w:left w:val="single" w:sz="4" w:space="0" w:color="auto"/>
              <w:bottom w:val="single" w:sz="4" w:space="0" w:color="auto"/>
              <w:right w:val="single" w:sz="4" w:space="0" w:color="auto"/>
            </w:tcBorders>
            <w:hideMark/>
          </w:tcPr>
          <w:p w14:paraId="70F336AE" w14:textId="77777777" w:rsidR="00B361A1" w:rsidRPr="0013396E" w:rsidRDefault="00B361A1" w:rsidP="0099759E">
            <w:pPr>
              <w:spacing w:after="240"/>
              <w:rPr>
                <w:b/>
                <w:iCs/>
                <w:sz w:val="20"/>
              </w:rPr>
            </w:pPr>
            <w:r w:rsidRPr="0013396E">
              <w:rPr>
                <w:b/>
                <w:iCs/>
                <w:sz w:val="20"/>
              </w:rPr>
              <w:t>Unit</w:t>
            </w:r>
          </w:p>
        </w:tc>
        <w:tc>
          <w:tcPr>
            <w:tcW w:w="3619" w:type="pct"/>
            <w:tcBorders>
              <w:top w:val="single" w:sz="4" w:space="0" w:color="auto"/>
              <w:left w:val="single" w:sz="4" w:space="0" w:color="auto"/>
              <w:bottom w:val="single" w:sz="4" w:space="0" w:color="auto"/>
              <w:right w:val="single" w:sz="4" w:space="0" w:color="auto"/>
            </w:tcBorders>
            <w:hideMark/>
          </w:tcPr>
          <w:p w14:paraId="3D859338" w14:textId="77777777" w:rsidR="00B361A1" w:rsidRPr="0013396E" w:rsidRDefault="00B361A1" w:rsidP="0099759E">
            <w:pPr>
              <w:spacing w:after="240"/>
              <w:rPr>
                <w:b/>
                <w:iCs/>
                <w:sz w:val="20"/>
              </w:rPr>
            </w:pPr>
            <w:r w:rsidRPr="0013396E">
              <w:rPr>
                <w:b/>
                <w:iCs/>
                <w:sz w:val="20"/>
              </w:rPr>
              <w:t>Definition</w:t>
            </w:r>
          </w:p>
        </w:tc>
      </w:tr>
      <w:tr w:rsidR="00B361A1" w:rsidRPr="0013396E" w14:paraId="077BB8D8" w14:textId="77777777" w:rsidTr="0099759E">
        <w:trPr>
          <w:cantSplit/>
          <w:trHeight w:val="146"/>
        </w:trPr>
        <w:tc>
          <w:tcPr>
            <w:tcW w:w="906" w:type="pct"/>
            <w:tcBorders>
              <w:top w:val="single" w:sz="4" w:space="0" w:color="auto"/>
              <w:left w:val="single" w:sz="4" w:space="0" w:color="auto"/>
              <w:bottom w:val="single" w:sz="4" w:space="0" w:color="auto"/>
              <w:right w:val="single" w:sz="4" w:space="0" w:color="auto"/>
            </w:tcBorders>
            <w:hideMark/>
          </w:tcPr>
          <w:p w14:paraId="2F05692A" w14:textId="77777777" w:rsidR="00B361A1" w:rsidRPr="0013396E" w:rsidRDefault="00B361A1" w:rsidP="0099759E">
            <w:pPr>
              <w:spacing w:after="60"/>
              <w:rPr>
                <w:iCs/>
                <w:sz w:val="20"/>
              </w:rPr>
            </w:pPr>
            <w:r w:rsidRPr="0013396E">
              <w:rPr>
                <w:bCs/>
                <w:sz w:val="20"/>
              </w:rPr>
              <w:t>HDLOAL</w:t>
            </w:r>
            <w:r w:rsidRPr="0013396E">
              <w:rPr>
                <w:b/>
                <w:i/>
                <w:iCs/>
                <w:sz w:val="20"/>
                <w:vertAlign w:val="subscript"/>
                <w:lang w:val="es-ES"/>
              </w:rPr>
              <w:t xml:space="preserve"> q, r, p, i</w:t>
            </w:r>
          </w:p>
        </w:tc>
        <w:tc>
          <w:tcPr>
            <w:tcW w:w="475" w:type="pct"/>
            <w:tcBorders>
              <w:top w:val="single" w:sz="4" w:space="0" w:color="auto"/>
              <w:left w:val="single" w:sz="4" w:space="0" w:color="auto"/>
              <w:bottom w:val="single" w:sz="4" w:space="0" w:color="auto"/>
              <w:right w:val="single" w:sz="4" w:space="0" w:color="auto"/>
            </w:tcBorders>
            <w:hideMark/>
          </w:tcPr>
          <w:p w14:paraId="7DA040F4" w14:textId="77777777" w:rsidR="00B361A1" w:rsidRPr="0013396E" w:rsidRDefault="00B361A1" w:rsidP="0099759E">
            <w:pPr>
              <w:spacing w:after="60"/>
              <w:rPr>
                <w:iCs/>
                <w:sz w:val="20"/>
              </w:rPr>
            </w:pPr>
            <w:r w:rsidRPr="0013396E">
              <w:rPr>
                <w:iCs/>
                <w:sz w:val="20"/>
              </w:rPr>
              <w:t>$</w:t>
            </w:r>
          </w:p>
        </w:tc>
        <w:tc>
          <w:tcPr>
            <w:tcW w:w="3619" w:type="pct"/>
            <w:tcBorders>
              <w:top w:val="single" w:sz="4" w:space="0" w:color="auto"/>
              <w:left w:val="single" w:sz="4" w:space="0" w:color="auto"/>
              <w:bottom w:val="single" w:sz="4" w:space="0" w:color="auto"/>
              <w:right w:val="single" w:sz="4" w:space="0" w:color="auto"/>
            </w:tcBorders>
            <w:hideMark/>
          </w:tcPr>
          <w:p w14:paraId="07E8C289" w14:textId="77777777" w:rsidR="00B361A1" w:rsidRPr="0013396E" w:rsidRDefault="00B361A1" w:rsidP="0099759E">
            <w:pPr>
              <w:spacing w:after="60"/>
              <w:rPr>
                <w:i/>
                <w:iCs/>
                <w:sz w:val="20"/>
              </w:rPr>
            </w:pPr>
            <w:r w:rsidRPr="0013396E">
              <w:rPr>
                <w:i/>
                <w:iCs/>
                <w:sz w:val="20"/>
              </w:rPr>
              <w:t>High Dispatch Limit override attested losses</w:t>
            </w:r>
            <w:r w:rsidRPr="0013396E">
              <w:rPr>
                <w:iCs/>
                <w:sz w:val="20"/>
              </w:rPr>
              <w:t xml:space="preserve">—The financial loss to the Resource </w:t>
            </w:r>
            <w:r w:rsidRPr="0013396E">
              <w:rPr>
                <w:i/>
                <w:sz w:val="20"/>
              </w:rPr>
              <w:t>r</w:t>
            </w:r>
            <w:r w:rsidRPr="0013396E">
              <w:rPr>
                <w:iCs/>
                <w:sz w:val="20"/>
              </w:rPr>
              <w:t xml:space="preserve"> represented by QSE </w:t>
            </w:r>
            <w:r w:rsidRPr="0013396E">
              <w:rPr>
                <w:i/>
                <w:sz w:val="20"/>
              </w:rPr>
              <w:t>q</w:t>
            </w:r>
            <w:r w:rsidRPr="0013396E">
              <w:rPr>
                <w:iCs/>
                <w:sz w:val="20"/>
              </w:rPr>
              <w:t xml:space="preserve"> due to the HDL override as attested by the QSE in accordance with paragraph (1)(d) above.  For a combined cycle Resource, </w:t>
            </w:r>
            <w:r w:rsidRPr="0013396E">
              <w:rPr>
                <w:i/>
                <w:iCs/>
                <w:sz w:val="20"/>
              </w:rPr>
              <w:t>r</w:t>
            </w:r>
            <w:r w:rsidRPr="0013396E">
              <w:rPr>
                <w:iCs/>
                <w:sz w:val="20"/>
              </w:rPr>
              <w:t xml:space="preserve"> is a Combined Cycle Train.</w:t>
            </w:r>
          </w:p>
        </w:tc>
      </w:tr>
      <w:tr w:rsidR="00B361A1" w:rsidRPr="0013396E" w14:paraId="6FC801D7" w14:textId="77777777" w:rsidTr="0099759E">
        <w:trPr>
          <w:cantSplit/>
          <w:trHeight w:val="146"/>
        </w:trPr>
        <w:tc>
          <w:tcPr>
            <w:tcW w:w="906" w:type="pct"/>
            <w:tcBorders>
              <w:top w:val="single" w:sz="4" w:space="0" w:color="auto"/>
              <w:left w:val="single" w:sz="4" w:space="0" w:color="auto"/>
              <w:bottom w:val="single" w:sz="4" w:space="0" w:color="auto"/>
              <w:right w:val="single" w:sz="4" w:space="0" w:color="auto"/>
            </w:tcBorders>
            <w:hideMark/>
          </w:tcPr>
          <w:p w14:paraId="306EFD5A" w14:textId="77777777" w:rsidR="00B361A1" w:rsidRPr="0013396E" w:rsidRDefault="00B361A1" w:rsidP="0099759E">
            <w:pPr>
              <w:spacing w:after="60"/>
              <w:rPr>
                <w:iCs/>
                <w:sz w:val="20"/>
              </w:rPr>
            </w:pPr>
            <w:r w:rsidRPr="0013396E">
              <w:rPr>
                <w:iCs/>
                <w:sz w:val="20"/>
              </w:rPr>
              <w:t xml:space="preserve">HDLOEAMT </w:t>
            </w:r>
            <w:r w:rsidRPr="0013396E">
              <w:rPr>
                <w:b/>
                <w:i/>
                <w:iCs/>
                <w:sz w:val="20"/>
                <w:vertAlign w:val="subscript"/>
                <w:lang w:val="es-ES"/>
              </w:rPr>
              <w:t>q, r, p, i</w:t>
            </w:r>
          </w:p>
        </w:tc>
        <w:tc>
          <w:tcPr>
            <w:tcW w:w="475" w:type="pct"/>
            <w:tcBorders>
              <w:top w:val="single" w:sz="4" w:space="0" w:color="auto"/>
              <w:left w:val="single" w:sz="4" w:space="0" w:color="auto"/>
              <w:bottom w:val="single" w:sz="4" w:space="0" w:color="auto"/>
              <w:right w:val="single" w:sz="4" w:space="0" w:color="auto"/>
            </w:tcBorders>
            <w:hideMark/>
          </w:tcPr>
          <w:p w14:paraId="2CFA3918" w14:textId="77777777" w:rsidR="00B361A1" w:rsidRPr="0013396E" w:rsidRDefault="00B361A1" w:rsidP="0099759E">
            <w:pPr>
              <w:spacing w:after="60"/>
              <w:rPr>
                <w:iCs/>
                <w:sz w:val="20"/>
              </w:rPr>
            </w:pPr>
            <w:r w:rsidRPr="0013396E">
              <w:rPr>
                <w:iCs/>
                <w:sz w:val="20"/>
              </w:rPr>
              <w:t>$</w:t>
            </w:r>
          </w:p>
        </w:tc>
        <w:tc>
          <w:tcPr>
            <w:tcW w:w="3619" w:type="pct"/>
            <w:tcBorders>
              <w:top w:val="single" w:sz="4" w:space="0" w:color="auto"/>
              <w:left w:val="single" w:sz="4" w:space="0" w:color="auto"/>
              <w:bottom w:val="single" w:sz="4" w:space="0" w:color="auto"/>
              <w:right w:val="single" w:sz="4" w:space="0" w:color="auto"/>
            </w:tcBorders>
            <w:hideMark/>
          </w:tcPr>
          <w:p w14:paraId="166D0791" w14:textId="77777777" w:rsidR="00B361A1" w:rsidRPr="0013396E" w:rsidRDefault="00B361A1" w:rsidP="0099759E">
            <w:pPr>
              <w:spacing w:after="60"/>
              <w:rPr>
                <w:iCs/>
                <w:sz w:val="20"/>
              </w:rPr>
            </w:pPr>
            <w:r w:rsidRPr="0013396E">
              <w:rPr>
                <w:i/>
                <w:iCs/>
                <w:sz w:val="20"/>
              </w:rPr>
              <w:t>High Dispatch Limit override energy amount per QSE per Generation Resource</w:t>
            </w:r>
            <w:r w:rsidRPr="0013396E">
              <w:rPr>
                <w:iCs/>
                <w:sz w:val="20"/>
              </w:rPr>
              <w:t xml:space="preserve">—The payment to QSE </w:t>
            </w:r>
            <w:r w:rsidRPr="0013396E">
              <w:rPr>
                <w:i/>
                <w:iCs/>
                <w:sz w:val="20"/>
              </w:rPr>
              <w:t>q</w:t>
            </w:r>
            <w:r w:rsidRPr="0013396E">
              <w:rPr>
                <w:iCs/>
                <w:sz w:val="20"/>
              </w:rPr>
              <w:t xml:space="preserve"> for an ERCOT-issued HDL override or equivalent VDI for Resource </w:t>
            </w:r>
            <w:r w:rsidRPr="0013396E">
              <w:rPr>
                <w:i/>
                <w:iCs/>
                <w:sz w:val="20"/>
              </w:rPr>
              <w:t>r</w:t>
            </w:r>
            <w:r w:rsidRPr="0013396E">
              <w:rPr>
                <w:iCs/>
                <w:sz w:val="20"/>
              </w:rPr>
              <w:t xml:space="preserve"> at Settlement Point </w:t>
            </w:r>
            <w:r w:rsidRPr="0013396E">
              <w:rPr>
                <w:i/>
                <w:iCs/>
                <w:sz w:val="20"/>
              </w:rPr>
              <w:t xml:space="preserve">p </w:t>
            </w:r>
            <w:r w:rsidRPr="0013396E">
              <w:rPr>
                <w:iCs/>
                <w:sz w:val="20"/>
              </w:rPr>
              <w:t xml:space="preserve">for the 15-minute Settlement Interval </w:t>
            </w:r>
            <w:r w:rsidRPr="0013396E">
              <w:rPr>
                <w:i/>
                <w:iCs/>
                <w:sz w:val="20"/>
              </w:rPr>
              <w:t>i</w:t>
            </w:r>
            <w:r w:rsidRPr="0013396E">
              <w:rPr>
                <w:iCs/>
                <w:sz w:val="20"/>
              </w:rPr>
              <w:t xml:space="preserve">.  For a combined cycle Resource, </w:t>
            </w:r>
            <w:r w:rsidRPr="0013396E">
              <w:rPr>
                <w:i/>
                <w:iCs/>
                <w:sz w:val="20"/>
              </w:rPr>
              <w:t>r</w:t>
            </w:r>
            <w:r w:rsidRPr="0013396E">
              <w:rPr>
                <w:iCs/>
                <w:sz w:val="20"/>
              </w:rPr>
              <w:t xml:space="preserve"> is a Combined Cycle Train.</w:t>
            </w:r>
          </w:p>
        </w:tc>
      </w:tr>
      <w:tr w:rsidR="00B361A1" w:rsidRPr="0013396E" w14:paraId="15A3D320" w14:textId="77777777" w:rsidTr="0099759E">
        <w:trPr>
          <w:cantSplit/>
          <w:trHeight w:val="146"/>
        </w:trPr>
        <w:tc>
          <w:tcPr>
            <w:tcW w:w="906" w:type="pct"/>
            <w:tcBorders>
              <w:top w:val="single" w:sz="4" w:space="0" w:color="auto"/>
              <w:left w:val="single" w:sz="4" w:space="0" w:color="auto"/>
              <w:bottom w:val="single" w:sz="4" w:space="0" w:color="auto"/>
              <w:right w:val="single" w:sz="4" w:space="0" w:color="auto"/>
            </w:tcBorders>
            <w:hideMark/>
          </w:tcPr>
          <w:p w14:paraId="66FB8FD6" w14:textId="77777777" w:rsidR="00B361A1" w:rsidRPr="0013396E" w:rsidRDefault="00B361A1" w:rsidP="0099759E">
            <w:pPr>
              <w:spacing w:after="60"/>
              <w:rPr>
                <w:iCs/>
                <w:sz w:val="20"/>
              </w:rPr>
            </w:pPr>
            <w:r w:rsidRPr="0013396E">
              <w:rPr>
                <w:iCs/>
                <w:sz w:val="20"/>
              </w:rPr>
              <w:t xml:space="preserve">HDLOBRKP </w:t>
            </w:r>
            <w:r w:rsidRPr="0013396E">
              <w:rPr>
                <w:b/>
                <w:i/>
                <w:iCs/>
                <w:sz w:val="20"/>
                <w:vertAlign w:val="subscript"/>
                <w:lang w:val="es-ES"/>
              </w:rPr>
              <w:t>q, r, p, i</w:t>
            </w:r>
          </w:p>
        </w:tc>
        <w:tc>
          <w:tcPr>
            <w:tcW w:w="475" w:type="pct"/>
            <w:tcBorders>
              <w:top w:val="single" w:sz="4" w:space="0" w:color="auto"/>
              <w:left w:val="single" w:sz="4" w:space="0" w:color="auto"/>
              <w:bottom w:val="single" w:sz="4" w:space="0" w:color="auto"/>
              <w:right w:val="single" w:sz="4" w:space="0" w:color="auto"/>
            </w:tcBorders>
            <w:hideMark/>
          </w:tcPr>
          <w:p w14:paraId="5BC9F2F6" w14:textId="77777777" w:rsidR="00B361A1" w:rsidRPr="0013396E" w:rsidRDefault="00B361A1" w:rsidP="0099759E">
            <w:pPr>
              <w:spacing w:after="60"/>
              <w:rPr>
                <w:iCs/>
                <w:sz w:val="20"/>
              </w:rPr>
            </w:pPr>
            <w:r w:rsidRPr="0013396E">
              <w:rPr>
                <w:iCs/>
                <w:sz w:val="20"/>
              </w:rPr>
              <w:t>MW</w:t>
            </w:r>
          </w:p>
        </w:tc>
        <w:tc>
          <w:tcPr>
            <w:tcW w:w="3619" w:type="pct"/>
            <w:tcBorders>
              <w:top w:val="single" w:sz="4" w:space="0" w:color="auto"/>
              <w:left w:val="single" w:sz="4" w:space="0" w:color="auto"/>
              <w:bottom w:val="single" w:sz="4" w:space="0" w:color="auto"/>
              <w:right w:val="single" w:sz="4" w:space="0" w:color="auto"/>
            </w:tcBorders>
            <w:hideMark/>
          </w:tcPr>
          <w:p w14:paraId="6D7AA89F" w14:textId="77777777" w:rsidR="00B361A1" w:rsidRPr="0013396E" w:rsidRDefault="00B361A1" w:rsidP="0099759E">
            <w:pPr>
              <w:spacing w:after="60"/>
              <w:rPr>
                <w:i/>
                <w:iCs/>
                <w:sz w:val="20"/>
              </w:rPr>
            </w:pPr>
            <w:r w:rsidRPr="0013396E">
              <w:rPr>
                <w:i/>
                <w:iCs/>
                <w:sz w:val="20"/>
              </w:rPr>
              <w:t>High Dispatch Limit override break point per QSE per Resource</w:t>
            </w:r>
            <w:r w:rsidRPr="0013396E">
              <w:rPr>
                <w:iCs/>
                <w:sz w:val="20"/>
              </w:rPr>
              <w:t xml:space="preserve">—The point on the Energy Offer Curve or Energy Bid/Offer Curve corresponding to the lesser of the AVGHSL or the interception between the RTSPP of the Resource </w:t>
            </w:r>
            <w:r w:rsidRPr="0013396E">
              <w:rPr>
                <w:i/>
                <w:iCs/>
                <w:sz w:val="20"/>
              </w:rPr>
              <w:t>r</w:t>
            </w:r>
            <w:r w:rsidRPr="0013396E">
              <w:rPr>
                <w:iCs/>
                <w:sz w:val="20"/>
              </w:rPr>
              <w:t xml:space="preserve"> represented by QSE </w:t>
            </w:r>
            <w:r w:rsidRPr="0013396E">
              <w:rPr>
                <w:i/>
                <w:iCs/>
                <w:sz w:val="20"/>
              </w:rPr>
              <w:t>q</w:t>
            </w:r>
            <w:r w:rsidRPr="0013396E">
              <w:rPr>
                <w:iCs/>
                <w:sz w:val="20"/>
              </w:rPr>
              <w:t xml:space="preserve"> minus the Real-Time Reliability Deployment Price for Energy and the Energy Offer Curve Cost Cap of Resource </w:t>
            </w:r>
            <w:r w:rsidRPr="0013396E">
              <w:rPr>
                <w:i/>
                <w:iCs/>
                <w:sz w:val="20"/>
              </w:rPr>
              <w:t>r</w:t>
            </w:r>
            <w:r w:rsidRPr="0013396E">
              <w:rPr>
                <w:iCs/>
                <w:sz w:val="20"/>
              </w:rPr>
              <w:t xml:space="preserve"> represented by QSE </w:t>
            </w:r>
            <w:r w:rsidRPr="0013396E">
              <w:rPr>
                <w:i/>
                <w:iCs/>
                <w:sz w:val="20"/>
              </w:rPr>
              <w:t>q</w:t>
            </w:r>
            <w:r w:rsidRPr="0013396E">
              <w:rPr>
                <w:iCs/>
                <w:sz w:val="20"/>
              </w:rPr>
              <w:t xml:space="preserve">, for the 15-minute Settlement Interval </w:t>
            </w:r>
            <w:r w:rsidRPr="0013396E">
              <w:rPr>
                <w:i/>
                <w:iCs/>
                <w:sz w:val="20"/>
              </w:rPr>
              <w:t>i</w:t>
            </w:r>
            <w:r w:rsidRPr="0013396E">
              <w:rPr>
                <w:iCs/>
                <w:sz w:val="20"/>
              </w:rPr>
              <w:t xml:space="preserve">.  For a combined cycle Resource, </w:t>
            </w:r>
            <w:r w:rsidRPr="0013396E">
              <w:rPr>
                <w:i/>
                <w:iCs/>
                <w:sz w:val="20"/>
              </w:rPr>
              <w:t>r</w:t>
            </w:r>
            <w:r w:rsidRPr="0013396E">
              <w:rPr>
                <w:iCs/>
                <w:sz w:val="20"/>
              </w:rPr>
              <w:t xml:space="preserve"> is a Combined Cycle Train.</w:t>
            </w:r>
          </w:p>
        </w:tc>
      </w:tr>
      <w:tr w:rsidR="00B361A1" w:rsidRPr="0013396E" w14:paraId="50244F03" w14:textId="77777777" w:rsidTr="0099759E">
        <w:trPr>
          <w:cantSplit/>
          <w:trHeight w:val="146"/>
        </w:trPr>
        <w:tc>
          <w:tcPr>
            <w:tcW w:w="906" w:type="pct"/>
            <w:tcBorders>
              <w:top w:val="single" w:sz="4" w:space="0" w:color="auto"/>
              <w:left w:val="single" w:sz="4" w:space="0" w:color="auto"/>
              <w:bottom w:val="single" w:sz="4" w:space="0" w:color="auto"/>
              <w:right w:val="single" w:sz="4" w:space="0" w:color="auto"/>
            </w:tcBorders>
            <w:hideMark/>
          </w:tcPr>
          <w:p w14:paraId="48E733BD" w14:textId="77777777" w:rsidR="00B361A1" w:rsidRPr="0013396E" w:rsidRDefault="00B361A1" w:rsidP="0099759E">
            <w:pPr>
              <w:spacing w:after="60"/>
              <w:rPr>
                <w:iCs/>
                <w:sz w:val="20"/>
              </w:rPr>
            </w:pPr>
            <w:r w:rsidRPr="0013396E">
              <w:rPr>
                <w:iCs/>
                <w:sz w:val="20"/>
              </w:rPr>
              <w:t xml:space="preserve">AVGHDL </w:t>
            </w:r>
            <w:r w:rsidRPr="0013396E">
              <w:rPr>
                <w:b/>
                <w:i/>
                <w:iCs/>
                <w:sz w:val="20"/>
                <w:vertAlign w:val="subscript"/>
                <w:lang w:val="es-ES"/>
              </w:rPr>
              <w:t>q, r, p, i</w:t>
            </w:r>
          </w:p>
        </w:tc>
        <w:tc>
          <w:tcPr>
            <w:tcW w:w="475" w:type="pct"/>
            <w:tcBorders>
              <w:top w:val="single" w:sz="4" w:space="0" w:color="auto"/>
              <w:left w:val="single" w:sz="4" w:space="0" w:color="auto"/>
              <w:bottom w:val="single" w:sz="4" w:space="0" w:color="auto"/>
              <w:right w:val="single" w:sz="4" w:space="0" w:color="auto"/>
            </w:tcBorders>
            <w:hideMark/>
          </w:tcPr>
          <w:p w14:paraId="68B8AD94" w14:textId="77777777" w:rsidR="00B361A1" w:rsidRPr="0013396E" w:rsidRDefault="00B361A1" w:rsidP="0099759E">
            <w:pPr>
              <w:spacing w:after="60"/>
              <w:rPr>
                <w:iCs/>
                <w:sz w:val="20"/>
              </w:rPr>
            </w:pPr>
            <w:r w:rsidRPr="0013396E">
              <w:rPr>
                <w:iCs/>
                <w:sz w:val="20"/>
              </w:rPr>
              <w:t>MW</w:t>
            </w:r>
          </w:p>
        </w:tc>
        <w:tc>
          <w:tcPr>
            <w:tcW w:w="3619" w:type="pct"/>
            <w:tcBorders>
              <w:top w:val="single" w:sz="4" w:space="0" w:color="auto"/>
              <w:left w:val="single" w:sz="4" w:space="0" w:color="auto"/>
              <w:bottom w:val="single" w:sz="4" w:space="0" w:color="auto"/>
              <w:right w:val="single" w:sz="4" w:space="0" w:color="auto"/>
            </w:tcBorders>
            <w:hideMark/>
          </w:tcPr>
          <w:p w14:paraId="0FE7F164" w14:textId="77777777" w:rsidR="00B361A1" w:rsidRPr="0013396E" w:rsidRDefault="00B361A1" w:rsidP="005A7D8E">
            <w:pPr>
              <w:spacing w:after="60"/>
              <w:rPr>
                <w:color w:val="002060"/>
                <w:sz w:val="20"/>
              </w:rPr>
            </w:pPr>
            <w:r w:rsidRPr="0013396E">
              <w:rPr>
                <w:i/>
                <w:iCs/>
                <w:color w:val="000000"/>
                <w:sz w:val="20"/>
              </w:rPr>
              <w:t>Average High Dispatch Limit per QSE per Settlement Point per Resource</w:t>
            </w:r>
            <w:r w:rsidRPr="0013396E">
              <w:rPr>
                <w:color w:val="000000"/>
                <w:sz w:val="20"/>
              </w:rPr>
              <w:t>—The time-weighted average of all 4-second HDL values calculated by the Resource Limit Calculato</w:t>
            </w:r>
            <w:r w:rsidRPr="0013396E">
              <w:rPr>
                <w:sz w:val="20"/>
              </w:rPr>
              <w:t xml:space="preserve">r, subject to the maximum of the manual HDL override or equivalent VDI and the telemetered output, for </w:t>
            </w:r>
            <w:r w:rsidRPr="0013396E">
              <w:rPr>
                <w:color w:val="000000"/>
                <w:sz w:val="20"/>
              </w:rPr>
              <w:t xml:space="preserve">the Generation Resource or ESR </w:t>
            </w:r>
            <w:r w:rsidRPr="0013396E">
              <w:rPr>
                <w:i/>
                <w:iCs/>
                <w:color w:val="000000"/>
                <w:sz w:val="20"/>
              </w:rPr>
              <w:t>r</w:t>
            </w:r>
            <w:r w:rsidRPr="0013396E">
              <w:rPr>
                <w:color w:val="000000"/>
                <w:sz w:val="20"/>
              </w:rPr>
              <w:t xml:space="preserve"> represented by QSE </w:t>
            </w:r>
            <w:r w:rsidRPr="0013396E">
              <w:rPr>
                <w:i/>
                <w:iCs/>
                <w:color w:val="000000"/>
                <w:sz w:val="20"/>
              </w:rPr>
              <w:t>q</w:t>
            </w:r>
            <w:r w:rsidRPr="0013396E">
              <w:rPr>
                <w:color w:val="000000"/>
                <w:sz w:val="20"/>
              </w:rPr>
              <w:t xml:space="preserve"> at Settlement Point </w:t>
            </w:r>
            <w:r w:rsidRPr="0013396E">
              <w:rPr>
                <w:i/>
                <w:iCs/>
                <w:color w:val="000000"/>
                <w:sz w:val="20"/>
              </w:rPr>
              <w:t>p</w:t>
            </w:r>
            <w:r w:rsidRPr="0013396E">
              <w:rPr>
                <w:color w:val="000000"/>
                <w:sz w:val="20"/>
              </w:rPr>
              <w:t xml:space="preserve"> within the 15-minute Settlement Interval </w:t>
            </w:r>
            <w:r w:rsidRPr="0013396E">
              <w:rPr>
                <w:i/>
                <w:iCs/>
                <w:color w:val="000000"/>
                <w:sz w:val="20"/>
              </w:rPr>
              <w:t>i</w:t>
            </w:r>
            <w:r w:rsidRPr="0013396E">
              <w:rPr>
                <w:color w:val="000000"/>
                <w:sz w:val="20"/>
              </w:rPr>
              <w:t>.  For a Combined</w:t>
            </w:r>
            <w:r w:rsidRPr="0013396E">
              <w:rPr>
                <w:sz w:val="20"/>
              </w:rPr>
              <w:t xml:space="preserve"> Cycle Train, the Resource </w:t>
            </w:r>
            <w:r w:rsidRPr="0013396E">
              <w:rPr>
                <w:i/>
                <w:sz w:val="20"/>
              </w:rPr>
              <w:t xml:space="preserve">r </w:t>
            </w:r>
            <w:r w:rsidRPr="0013396E">
              <w:rPr>
                <w:sz w:val="20"/>
              </w:rPr>
              <w:t>is a Combined Cycle Train.</w:t>
            </w:r>
            <w:r w:rsidRPr="0013396E">
              <w:t xml:space="preserve">  </w:t>
            </w:r>
          </w:p>
        </w:tc>
      </w:tr>
      <w:tr w:rsidR="00B361A1" w:rsidRPr="0013396E" w14:paraId="3DCD438B" w14:textId="77777777" w:rsidTr="0099759E">
        <w:trPr>
          <w:cantSplit/>
          <w:trHeight w:val="1430"/>
        </w:trPr>
        <w:tc>
          <w:tcPr>
            <w:tcW w:w="906" w:type="pct"/>
            <w:tcBorders>
              <w:top w:val="single" w:sz="4" w:space="0" w:color="auto"/>
              <w:left w:val="single" w:sz="4" w:space="0" w:color="auto"/>
              <w:bottom w:val="single" w:sz="4" w:space="0" w:color="auto"/>
              <w:right w:val="single" w:sz="4" w:space="0" w:color="auto"/>
            </w:tcBorders>
            <w:hideMark/>
          </w:tcPr>
          <w:p w14:paraId="1BF7FD16" w14:textId="77777777" w:rsidR="00B361A1" w:rsidRPr="0013396E" w:rsidRDefault="00B361A1" w:rsidP="0099759E">
            <w:pPr>
              <w:spacing w:after="60"/>
              <w:rPr>
                <w:iCs/>
                <w:color w:val="000000"/>
                <w:sz w:val="20"/>
                <w:lang w:val="es-MX"/>
              </w:rPr>
            </w:pPr>
            <w:r w:rsidRPr="0013396E">
              <w:rPr>
                <w:iCs/>
                <w:color w:val="000000"/>
                <w:sz w:val="20"/>
              </w:rPr>
              <w:t xml:space="preserve">AVGHSL </w:t>
            </w:r>
            <w:r w:rsidRPr="0013396E">
              <w:rPr>
                <w:b/>
                <w:bCs/>
                <w:i/>
                <w:color w:val="000000"/>
                <w:sz w:val="20"/>
                <w:vertAlign w:val="subscript"/>
                <w:lang w:val="es-ES"/>
              </w:rPr>
              <w:t>q, r, p, i</w:t>
            </w:r>
          </w:p>
        </w:tc>
        <w:tc>
          <w:tcPr>
            <w:tcW w:w="475" w:type="pct"/>
            <w:tcBorders>
              <w:top w:val="single" w:sz="4" w:space="0" w:color="auto"/>
              <w:left w:val="single" w:sz="4" w:space="0" w:color="auto"/>
              <w:bottom w:val="single" w:sz="4" w:space="0" w:color="auto"/>
              <w:right w:val="single" w:sz="4" w:space="0" w:color="auto"/>
            </w:tcBorders>
            <w:hideMark/>
          </w:tcPr>
          <w:p w14:paraId="13B4E40D" w14:textId="77777777" w:rsidR="00B361A1" w:rsidRPr="0013396E" w:rsidRDefault="00B361A1" w:rsidP="0099759E">
            <w:pPr>
              <w:spacing w:after="60"/>
              <w:rPr>
                <w:iCs/>
                <w:color w:val="000000"/>
                <w:sz w:val="20"/>
              </w:rPr>
            </w:pPr>
            <w:r w:rsidRPr="0013396E">
              <w:rPr>
                <w:iCs/>
                <w:color w:val="000000"/>
                <w:sz w:val="20"/>
              </w:rPr>
              <w:t>MW</w:t>
            </w:r>
          </w:p>
        </w:tc>
        <w:tc>
          <w:tcPr>
            <w:tcW w:w="3619" w:type="pct"/>
            <w:tcBorders>
              <w:top w:val="single" w:sz="4" w:space="0" w:color="auto"/>
              <w:left w:val="single" w:sz="4" w:space="0" w:color="auto"/>
              <w:bottom w:val="single" w:sz="4" w:space="0" w:color="auto"/>
              <w:right w:val="single" w:sz="4" w:space="0" w:color="auto"/>
            </w:tcBorders>
            <w:hideMark/>
          </w:tcPr>
          <w:p w14:paraId="1D9D7CE6" w14:textId="77777777" w:rsidR="00B361A1" w:rsidRPr="0013396E" w:rsidRDefault="00B361A1" w:rsidP="0099759E">
            <w:pPr>
              <w:spacing w:after="60"/>
              <w:rPr>
                <w:i/>
                <w:iCs/>
                <w:color w:val="000000"/>
                <w:sz w:val="20"/>
              </w:rPr>
            </w:pPr>
            <w:r w:rsidRPr="0013396E">
              <w:rPr>
                <w:i/>
                <w:color w:val="000000"/>
                <w:sz w:val="20"/>
              </w:rPr>
              <w:t>Average High Sustained Limit per QSE per Settlement Point per Resource</w:t>
            </w:r>
            <w:r w:rsidRPr="0013396E">
              <w:rPr>
                <w:iCs/>
                <w:color w:val="000000"/>
                <w:sz w:val="20"/>
              </w:rPr>
              <w:t xml:space="preserve">—The time-weighted average High Sustained Limit (HSL) for the Generation Resource or ESR </w:t>
            </w:r>
            <w:r w:rsidRPr="0013396E">
              <w:rPr>
                <w:i/>
                <w:color w:val="000000"/>
                <w:sz w:val="20"/>
              </w:rPr>
              <w:t>r</w:t>
            </w:r>
            <w:r w:rsidRPr="0013396E">
              <w:rPr>
                <w:iCs/>
                <w:color w:val="000000"/>
                <w:sz w:val="20"/>
              </w:rPr>
              <w:t xml:space="preserve"> represented by QSE </w:t>
            </w:r>
            <w:r w:rsidRPr="0013396E">
              <w:rPr>
                <w:i/>
                <w:color w:val="000000"/>
                <w:sz w:val="20"/>
              </w:rPr>
              <w:t>q</w:t>
            </w:r>
            <w:r w:rsidRPr="0013396E">
              <w:rPr>
                <w:iCs/>
                <w:color w:val="000000"/>
                <w:sz w:val="20"/>
              </w:rPr>
              <w:t xml:space="preserve"> at Settlement Point </w:t>
            </w:r>
            <w:r w:rsidRPr="0013396E">
              <w:rPr>
                <w:i/>
                <w:color w:val="000000"/>
                <w:sz w:val="20"/>
              </w:rPr>
              <w:t>p</w:t>
            </w:r>
            <w:r w:rsidRPr="0013396E">
              <w:rPr>
                <w:iCs/>
                <w:color w:val="000000"/>
                <w:sz w:val="20"/>
              </w:rPr>
              <w:t xml:space="preserve"> within the 15-minute Settlement Interval </w:t>
            </w:r>
            <w:r w:rsidRPr="0013396E">
              <w:rPr>
                <w:i/>
                <w:color w:val="000000"/>
                <w:sz w:val="20"/>
              </w:rPr>
              <w:t>i</w:t>
            </w:r>
            <w:r w:rsidRPr="0013396E">
              <w:rPr>
                <w:iCs/>
                <w:color w:val="000000"/>
                <w:sz w:val="20"/>
              </w:rPr>
              <w:t>.  For a Combined</w:t>
            </w:r>
            <w:r w:rsidRPr="0013396E">
              <w:rPr>
                <w:iCs/>
                <w:sz w:val="20"/>
              </w:rPr>
              <w:t xml:space="preserve"> Cycle Train, the Resource </w:t>
            </w:r>
            <w:r w:rsidRPr="0013396E">
              <w:rPr>
                <w:i/>
                <w:iCs/>
                <w:sz w:val="20"/>
              </w:rPr>
              <w:t xml:space="preserve">r </w:t>
            </w:r>
            <w:r w:rsidRPr="0013396E">
              <w:rPr>
                <w:iCs/>
                <w:sz w:val="20"/>
              </w:rPr>
              <w:t xml:space="preserve">is a Combined Cycle Train.  </w:t>
            </w:r>
            <w:r w:rsidRPr="0013396E">
              <w:rPr>
                <w:sz w:val="20"/>
              </w:rPr>
              <w:t xml:space="preserve">In the case of a VDI that is equivalent to an HDL override, this value is set equal to the HSL of </w:t>
            </w:r>
            <w:r w:rsidRPr="0013396E">
              <w:rPr>
                <w:color w:val="000000"/>
                <w:sz w:val="20"/>
              </w:rPr>
              <w:t xml:space="preserve">Generation Resource, or ESR </w:t>
            </w:r>
            <w:r w:rsidRPr="0013396E">
              <w:rPr>
                <w:i/>
                <w:iCs/>
                <w:color w:val="000000"/>
                <w:sz w:val="20"/>
              </w:rPr>
              <w:t>r</w:t>
            </w:r>
            <w:r w:rsidRPr="0013396E">
              <w:rPr>
                <w:color w:val="000000"/>
                <w:sz w:val="20"/>
              </w:rPr>
              <w:t xml:space="preserve"> at the time that the VDI is issued to the QSE.</w:t>
            </w:r>
          </w:p>
        </w:tc>
      </w:tr>
      <w:tr w:rsidR="00B361A1" w:rsidRPr="0013396E" w14:paraId="1DEEF2DB" w14:textId="77777777" w:rsidTr="0099759E">
        <w:trPr>
          <w:cantSplit/>
          <w:trHeight w:val="1154"/>
        </w:trPr>
        <w:tc>
          <w:tcPr>
            <w:tcW w:w="906" w:type="pct"/>
            <w:tcBorders>
              <w:top w:val="single" w:sz="4" w:space="0" w:color="auto"/>
              <w:left w:val="single" w:sz="4" w:space="0" w:color="auto"/>
              <w:bottom w:val="single" w:sz="4" w:space="0" w:color="auto"/>
              <w:right w:val="single" w:sz="4" w:space="0" w:color="auto"/>
            </w:tcBorders>
            <w:hideMark/>
          </w:tcPr>
          <w:p w14:paraId="06A509FC" w14:textId="77777777" w:rsidR="00B361A1" w:rsidRPr="0013396E" w:rsidRDefault="00B361A1" w:rsidP="0099759E">
            <w:pPr>
              <w:spacing w:after="60"/>
              <w:rPr>
                <w:iCs/>
                <w:sz w:val="20"/>
              </w:rPr>
            </w:pPr>
            <w:r w:rsidRPr="0013396E">
              <w:rPr>
                <w:iCs/>
                <w:sz w:val="20"/>
              </w:rPr>
              <w:lastRenderedPageBreak/>
              <w:t>HDLOBRKPCP</w:t>
            </w:r>
            <w:r w:rsidRPr="0013396E">
              <w:rPr>
                <w:b/>
                <w:iCs/>
                <w:sz w:val="20"/>
                <w:lang w:val="es-MX"/>
              </w:rPr>
              <w:t xml:space="preserve"> </w:t>
            </w:r>
            <w:r w:rsidRPr="0013396E">
              <w:rPr>
                <w:i/>
                <w:iCs/>
                <w:sz w:val="20"/>
                <w:vertAlign w:val="subscript"/>
              </w:rPr>
              <w:t>q, r, p, i</w:t>
            </w:r>
          </w:p>
        </w:tc>
        <w:tc>
          <w:tcPr>
            <w:tcW w:w="475" w:type="pct"/>
            <w:tcBorders>
              <w:top w:val="single" w:sz="4" w:space="0" w:color="auto"/>
              <w:left w:val="single" w:sz="4" w:space="0" w:color="auto"/>
              <w:bottom w:val="single" w:sz="4" w:space="0" w:color="auto"/>
              <w:right w:val="single" w:sz="4" w:space="0" w:color="auto"/>
            </w:tcBorders>
            <w:hideMark/>
          </w:tcPr>
          <w:p w14:paraId="047CBDE6" w14:textId="77777777" w:rsidR="00B361A1" w:rsidRPr="0013396E" w:rsidRDefault="00B361A1" w:rsidP="0099759E">
            <w:pPr>
              <w:spacing w:after="60"/>
              <w:rPr>
                <w:iCs/>
                <w:sz w:val="20"/>
              </w:rPr>
            </w:pPr>
            <w:r w:rsidRPr="0013396E">
              <w:rPr>
                <w:iCs/>
                <w:sz w:val="20"/>
              </w:rPr>
              <w:t>MW</w:t>
            </w:r>
          </w:p>
        </w:tc>
        <w:tc>
          <w:tcPr>
            <w:tcW w:w="3619" w:type="pct"/>
            <w:tcBorders>
              <w:top w:val="single" w:sz="4" w:space="0" w:color="auto"/>
              <w:left w:val="single" w:sz="4" w:space="0" w:color="auto"/>
              <w:bottom w:val="single" w:sz="4" w:space="0" w:color="auto"/>
              <w:right w:val="single" w:sz="4" w:space="0" w:color="auto"/>
            </w:tcBorders>
            <w:hideMark/>
          </w:tcPr>
          <w:p w14:paraId="408DE09E" w14:textId="77777777" w:rsidR="00B361A1" w:rsidRPr="0013396E" w:rsidRDefault="00B361A1" w:rsidP="005A7D8E">
            <w:pPr>
              <w:spacing w:after="60"/>
              <w:rPr>
                <w:i/>
                <w:sz w:val="20"/>
              </w:rPr>
            </w:pPr>
            <w:r w:rsidRPr="0013396E">
              <w:rPr>
                <w:i/>
                <w:sz w:val="20"/>
              </w:rPr>
              <w:t>High Dispatch Limit override break point</w:t>
            </w:r>
            <w:r w:rsidRPr="0013396E">
              <w:rPr>
                <w:i/>
              </w:rPr>
              <w:t xml:space="preserve"> </w:t>
            </w:r>
            <w:r w:rsidRPr="0013396E">
              <w:rPr>
                <w:i/>
                <w:sz w:val="20"/>
              </w:rPr>
              <w:t>at clearing price per QSE per Resource</w:t>
            </w:r>
            <w:r w:rsidRPr="0013396E">
              <w:rPr>
                <w:sz w:val="20"/>
              </w:rPr>
              <w:t xml:space="preserve">—The MW value on the Energy Offer Curve or Energy Bid/Offer Curve corresponding to the Real-Time Settlement Point Price of Resource </w:t>
            </w:r>
            <w:r w:rsidRPr="0013396E">
              <w:rPr>
                <w:i/>
                <w:sz w:val="20"/>
              </w:rPr>
              <w:t>r</w:t>
            </w:r>
            <w:r w:rsidRPr="0013396E">
              <w:rPr>
                <w:sz w:val="20"/>
              </w:rPr>
              <w:t xml:space="preserve"> represented by QSE </w:t>
            </w:r>
            <w:r w:rsidRPr="0013396E">
              <w:rPr>
                <w:i/>
                <w:sz w:val="20"/>
              </w:rPr>
              <w:t>q</w:t>
            </w:r>
            <w:r w:rsidRPr="0013396E">
              <w:rPr>
                <w:sz w:val="20"/>
              </w:rPr>
              <w:t xml:space="preserve"> at Settlement Point </w:t>
            </w:r>
            <w:r w:rsidRPr="0013396E">
              <w:rPr>
                <w:i/>
                <w:sz w:val="20"/>
              </w:rPr>
              <w:t>p</w:t>
            </w:r>
            <w:r w:rsidRPr="0013396E">
              <w:rPr>
                <w:sz w:val="20"/>
              </w:rPr>
              <w:t xml:space="preserve"> minus the Real-Time Reliability Deployment Price for Energy.  For a combined cycle Resource, </w:t>
            </w:r>
            <w:r w:rsidRPr="0013396E">
              <w:rPr>
                <w:i/>
                <w:sz w:val="20"/>
              </w:rPr>
              <w:t>r</w:t>
            </w:r>
            <w:r w:rsidRPr="0013396E">
              <w:rPr>
                <w:sz w:val="20"/>
              </w:rPr>
              <w:t xml:space="preserve"> is a Combined Cycle Train.</w:t>
            </w:r>
          </w:p>
        </w:tc>
      </w:tr>
      <w:tr w:rsidR="00B361A1" w:rsidRPr="0013396E" w14:paraId="70EB08B1" w14:textId="77777777" w:rsidTr="0099759E">
        <w:trPr>
          <w:cantSplit/>
          <w:trHeight w:val="1229"/>
        </w:trPr>
        <w:tc>
          <w:tcPr>
            <w:tcW w:w="906" w:type="pct"/>
            <w:tcBorders>
              <w:top w:val="single" w:sz="4" w:space="0" w:color="auto"/>
              <w:left w:val="single" w:sz="4" w:space="0" w:color="auto"/>
              <w:bottom w:val="single" w:sz="4" w:space="0" w:color="auto"/>
              <w:right w:val="single" w:sz="4" w:space="0" w:color="auto"/>
            </w:tcBorders>
            <w:hideMark/>
          </w:tcPr>
          <w:p w14:paraId="72E76CC9" w14:textId="77777777" w:rsidR="00B361A1" w:rsidRPr="0013396E" w:rsidRDefault="00B361A1" w:rsidP="0099759E">
            <w:pPr>
              <w:spacing w:after="60"/>
              <w:rPr>
                <w:iCs/>
                <w:sz w:val="20"/>
              </w:rPr>
            </w:pPr>
            <w:r w:rsidRPr="0013396E">
              <w:rPr>
                <w:sz w:val="20"/>
              </w:rPr>
              <w:t xml:space="preserve">RTEOCOST </w:t>
            </w:r>
            <w:r w:rsidRPr="0013396E">
              <w:rPr>
                <w:i/>
                <w:sz w:val="20"/>
                <w:vertAlign w:val="subscript"/>
              </w:rPr>
              <w:t>q, r, i</w:t>
            </w:r>
          </w:p>
        </w:tc>
        <w:tc>
          <w:tcPr>
            <w:tcW w:w="475" w:type="pct"/>
            <w:tcBorders>
              <w:top w:val="single" w:sz="4" w:space="0" w:color="auto"/>
              <w:left w:val="single" w:sz="4" w:space="0" w:color="auto"/>
              <w:bottom w:val="single" w:sz="4" w:space="0" w:color="auto"/>
              <w:right w:val="single" w:sz="4" w:space="0" w:color="auto"/>
            </w:tcBorders>
            <w:hideMark/>
          </w:tcPr>
          <w:p w14:paraId="334541D2" w14:textId="77777777" w:rsidR="00B361A1" w:rsidRPr="0013396E" w:rsidRDefault="00B361A1" w:rsidP="0099759E">
            <w:pPr>
              <w:spacing w:after="60"/>
              <w:rPr>
                <w:iCs/>
                <w:sz w:val="20"/>
              </w:rPr>
            </w:pPr>
            <w:r w:rsidRPr="0013396E">
              <w:rPr>
                <w:sz w:val="20"/>
              </w:rPr>
              <w:t>$/MWh</w:t>
            </w:r>
          </w:p>
        </w:tc>
        <w:tc>
          <w:tcPr>
            <w:tcW w:w="3619" w:type="pct"/>
            <w:tcBorders>
              <w:top w:val="single" w:sz="4" w:space="0" w:color="auto"/>
              <w:left w:val="single" w:sz="4" w:space="0" w:color="auto"/>
              <w:bottom w:val="single" w:sz="4" w:space="0" w:color="auto"/>
              <w:right w:val="single" w:sz="4" w:space="0" w:color="auto"/>
            </w:tcBorders>
            <w:hideMark/>
          </w:tcPr>
          <w:p w14:paraId="02FAF739" w14:textId="77777777" w:rsidR="00B361A1" w:rsidRPr="0013396E" w:rsidRDefault="00B361A1" w:rsidP="0099759E">
            <w:pPr>
              <w:spacing w:after="60"/>
              <w:rPr>
                <w:iCs/>
                <w:sz w:val="20"/>
              </w:rPr>
            </w:pPr>
            <w:r w:rsidRPr="0013396E">
              <w:rPr>
                <w:i/>
                <w:sz w:val="20"/>
              </w:rPr>
              <w:t>Real-Time Energy Offer Curve Cost Cap</w:t>
            </w:r>
            <w:r w:rsidRPr="0013396E">
              <w:rPr>
                <w:i/>
                <w:iCs/>
                <w:noProof/>
                <w:sz w:val="20"/>
              </w:rPr>
              <w:t>—</w:t>
            </w:r>
            <w:r w:rsidRPr="0013396E">
              <w:rPr>
                <w:sz w:val="20"/>
              </w:rPr>
              <w:t xml:space="preserve">The Energy Offer Curve Cost Cap for Resource </w:t>
            </w:r>
            <w:r w:rsidRPr="0013396E">
              <w:rPr>
                <w:i/>
                <w:sz w:val="20"/>
              </w:rPr>
              <w:t>r</w:t>
            </w:r>
            <w:r w:rsidRPr="0013396E">
              <w:rPr>
                <w:sz w:val="20"/>
              </w:rPr>
              <w:t xml:space="preserve"> represented by QSE </w:t>
            </w:r>
            <w:r w:rsidRPr="0013396E">
              <w:rPr>
                <w:i/>
                <w:sz w:val="20"/>
              </w:rPr>
              <w:t>q</w:t>
            </w:r>
            <w:r w:rsidRPr="0013396E">
              <w:rPr>
                <w:sz w:val="20"/>
              </w:rPr>
              <w:t xml:space="preserve">, for the Resource’s generation above the Low Sustained Limit (LSL) for the Settlement Interval </w:t>
            </w:r>
            <w:r w:rsidRPr="0013396E">
              <w:rPr>
                <w:i/>
                <w:sz w:val="20"/>
              </w:rPr>
              <w:t>i</w:t>
            </w:r>
            <w:r w:rsidRPr="0013396E">
              <w:rPr>
                <w:sz w:val="20"/>
              </w:rPr>
              <w:t xml:space="preserve">.  See Section 4.4.9.3.3, Energy Offer Curve Cost Caps. Where for a Combined Cycle Train, the Resource </w:t>
            </w:r>
            <w:r w:rsidRPr="0013396E">
              <w:rPr>
                <w:i/>
                <w:sz w:val="20"/>
              </w:rPr>
              <w:t>r</w:t>
            </w:r>
            <w:r w:rsidRPr="0013396E">
              <w:rPr>
                <w:sz w:val="20"/>
              </w:rPr>
              <w:t xml:space="preserve"> is the Combined Cycle Train.</w:t>
            </w:r>
          </w:p>
        </w:tc>
      </w:tr>
      <w:tr w:rsidR="00B361A1" w:rsidRPr="0013396E" w14:paraId="1A4AC909" w14:textId="77777777" w:rsidTr="0099759E">
        <w:trPr>
          <w:cantSplit/>
          <w:trHeight w:val="944"/>
        </w:trPr>
        <w:tc>
          <w:tcPr>
            <w:tcW w:w="906" w:type="pct"/>
            <w:tcBorders>
              <w:top w:val="single" w:sz="4" w:space="0" w:color="auto"/>
              <w:left w:val="single" w:sz="4" w:space="0" w:color="auto"/>
              <w:bottom w:val="single" w:sz="4" w:space="0" w:color="auto"/>
              <w:right w:val="single" w:sz="4" w:space="0" w:color="auto"/>
            </w:tcBorders>
            <w:hideMark/>
          </w:tcPr>
          <w:p w14:paraId="03B956FB" w14:textId="77777777" w:rsidR="00B361A1" w:rsidRPr="0013396E" w:rsidRDefault="00B361A1" w:rsidP="0099759E">
            <w:pPr>
              <w:spacing w:after="60"/>
              <w:rPr>
                <w:iCs/>
                <w:sz w:val="20"/>
              </w:rPr>
            </w:pPr>
            <w:r w:rsidRPr="0013396E">
              <w:rPr>
                <w:iCs/>
                <w:noProof/>
                <w:sz w:val="20"/>
              </w:rPr>
              <w:t xml:space="preserve">HDLOQTY </w:t>
            </w:r>
            <w:r w:rsidRPr="0013396E">
              <w:rPr>
                <w:i/>
                <w:iCs/>
                <w:sz w:val="20"/>
                <w:vertAlign w:val="subscript"/>
              </w:rPr>
              <w:t>q, r, p, i</w:t>
            </w:r>
          </w:p>
        </w:tc>
        <w:tc>
          <w:tcPr>
            <w:tcW w:w="475" w:type="pct"/>
            <w:tcBorders>
              <w:top w:val="single" w:sz="4" w:space="0" w:color="auto"/>
              <w:left w:val="single" w:sz="4" w:space="0" w:color="auto"/>
              <w:bottom w:val="single" w:sz="4" w:space="0" w:color="auto"/>
              <w:right w:val="single" w:sz="4" w:space="0" w:color="auto"/>
            </w:tcBorders>
            <w:hideMark/>
          </w:tcPr>
          <w:p w14:paraId="784A9C25" w14:textId="77777777" w:rsidR="00B361A1" w:rsidRPr="0013396E" w:rsidRDefault="00B361A1" w:rsidP="0099759E">
            <w:pPr>
              <w:spacing w:after="60"/>
              <w:rPr>
                <w:iCs/>
                <w:sz w:val="20"/>
              </w:rPr>
            </w:pPr>
            <w:r w:rsidRPr="0013396E">
              <w:rPr>
                <w:iCs/>
                <w:sz w:val="20"/>
              </w:rPr>
              <w:t>MWh</w:t>
            </w:r>
          </w:p>
        </w:tc>
        <w:tc>
          <w:tcPr>
            <w:tcW w:w="3619" w:type="pct"/>
            <w:tcBorders>
              <w:top w:val="single" w:sz="4" w:space="0" w:color="auto"/>
              <w:left w:val="single" w:sz="4" w:space="0" w:color="auto"/>
              <w:bottom w:val="single" w:sz="4" w:space="0" w:color="auto"/>
              <w:right w:val="single" w:sz="4" w:space="0" w:color="auto"/>
            </w:tcBorders>
            <w:hideMark/>
          </w:tcPr>
          <w:p w14:paraId="615523C9" w14:textId="77777777" w:rsidR="00B361A1" w:rsidRPr="0013396E" w:rsidRDefault="00B361A1" w:rsidP="0099759E">
            <w:pPr>
              <w:spacing w:after="60"/>
              <w:rPr>
                <w:iCs/>
                <w:sz w:val="20"/>
              </w:rPr>
            </w:pPr>
            <w:r w:rsidRPr="0013396E">
              <w:rPr>
                <w:i/>
                <w:iCs/>
                <w:noProof/>
                <w:sz w:val="20"/>
              </w:rPr>
              <w:t xml:space="preserve">High Dispatch Limit override </w:t>
            </w:r>
            <w:r w:rsidRPr="0013396E">
              <w:rPr>
                <w:i/>
                <w:iCs/>
                <w:sz w:val="20"/>
              </w:rPr>
              <w:t>quantity per QSE per Generation Resource</w:t>
            </w:r>
            <w:r w:rsidRPr="0013396E">
              <w:rPr>
                <w:i/>
                <w:iCs/>
                <w:noProof/>
                <w:sz w:val="20"/>
              </w:rPr>
              <w:t>—</w:t>
            </w:r>
            <w:r w:rsidRPr="0013396E">
              <w:rPr>
                <w:iCs/>
                <w:sz w:val="20"/>
              </w:rPr>
              <w:t xml:space="preserve">The difference between the HDLOBRKP and the AVGHDL due to an ERCOT-issued HDL override or equivalent VDI for Resource </w:t>
            </w:r>
            <w:r w:rsidRPr="0013396E">
              <w:rPr>
                <w:i/>
                <w:iCs/>
                <w:sz w:val="20"/>
              </w:rPr>
              <w:t>r</w:t>
            </w:r>
            <w:r w:rsidRPr="0013396E">
              <w:rPr>
                <w:iCs/>
                <w:sz w:val="20"/>
              </w:rPr>
              <w:t xml:space="preserve"> represented by QSE </w:t>
            </w:r>
            <w:r w:rsidRPr="0013396E">
              <w:rPr>
                <w:i/>
                <w:iCs/>
                <w:sz w:val="20"/>
              </w:rPr>
              <w:t>q</w:t>
            </w:r>
            <w:r w:rsidRPr="0013396E">
              <w:rPr>
                <w:iCs/>
                <w:sz w:val="20"/>
              </w:rPr>
              <w:t xml:space="preserve"> at Settlement Point </w:t>
            </w:r>
            <w:r w:rsidRPr="0013396E">
              <w:rPr>
                <w:i/>
                <w:iCs/>
                <w:sz w:val="20"/>
              </w:rPr>
              <w:t>p</w:t>
            </w:r>
            <w:r w:rsidRPr="0013396E">
              <w:rPr>
                <w:iCs/>
                <w:sz w:val="20"/>
              </w:rPr>
              <w:t xml:space="preserve"> for the 15-minute Settlement Interval </w:t>
            </w:r>
            <w:r w:rsidRPr="0013396E">
              <w:rPr>
                <w:i/>
                <w:iCs/>
                <w:sz w:val="20"/>
              </w:rPr>
              <w:t>i</w:t>
            </w:r>
            <w:r w:rsidRPr="0013396E">
              <w:rPr>
                <w:iCs/>
                <w:sz w:val="20"/>
              </w:rPr>
              <w:t xml:space="preserve">.  For a combined cycle Resource, </w:t>
            </w:r>
            <w:r w:rsidRPr="0013396E">
              <w:rPr>
                <w:i/>
                <w:iCs/>
                <w:sz w:val="20"/>
              </w:rPr>
              <w:t>r</w:t>
            </w:r>
            <w:r w:rsidRPr="0013396E">
              <w:rPr>
                <w:iCs/>
                <w:sz w:val="20"/>
              </w:rPr>
              <w:t xml:space="preserve"> is a Combined Cycle Train.</w:t>
            </w:r>
          </w:p>
        </w:tc>
      </w:tr>
      <w:tr w:rsidR="00B361A1" w:rsidRPr="0013396E" w14:paraId="60AA114A" w14:textId="77777777" w:rsidTr="0099759E">
        <w:trPr>
          <w:cantSplit/>
          <w:trHeight w:val="773"/>
        </w:trPr>
        <w:tc>
          <w:tcPr>
            <w:tcW w:w="906" w:type="pct"/>
            <w:tcBorders>
              <w:top w:val="single" w:sz="4" w:space="0" w:color="auto"/>
              <w:left w:val="single" w:sz="4" w:space="0" w:color="auto"/>
              <w:bottom w:val="single" w:sz="4" w:space="0" w:color="auto"/>
              <w:right w:val="single" w:sz="4" w:space="0" w:color="auto"/>
            </w:tcBorders>
            <w:hideMark/>
          </w:tcPr>
          <w:p w14:paraId="420F3124" w14:textId="77777777" w:rsidR="00B361A1" w:rsidRPr="0013396E" w:rsidRDefault="00B361A1" w:rsidP="0099759E">
            <w:pPr>
              <w:spacing w:after="60"/>
              <w:rPr>
                <w:iCs/>
                <w:sz w:val="20"/>
                <w:lang w:val="es-MX"/>
              </w:rPr>
            </w:pPr>
            <w:r w:rsidRPr="0013396E">
              <w:rPr>
                <w:iCs/>
                <w:sz w:val="20"/>
              </w:rPr>
              <w:t xml:space="preserve">RTSPP </w:t>
            </w:r>
            <w:r w:rsidRPr="0013396E">
              <w:rPr>
                <w:i/>
                <w:iCs/>
                <w:sz w:val="20"/>
                <w:vertAlign w:val="subscript"/>
              </w:rPr>
              <w:t>p, i</w:t>
            </w:r>
          </w:p>
        </w:tc>
        <w:tc>
          <w:tcPr>
            <w:tcW w:w="475" w:type="pct"/>
            <w:tcBorders>
              <w:top w:val="single" w:sz="4" w:space="0" w:color="auto"/>
              <w:left w:val="single" w:sz="4" w:space="0" w:color="auto"/>
              <w:bottom w:val="single" w:sz="4" w:space="0" w:color="auto"/>
              <w:right w:val="single" w:sz="4" w:space="0" w:color="auto"/>
            </w:tcBorders>
            <w:hideMark/>
          </w:tcPr>
          <w:p w14:paraId="5BDD07DF" w14:textId="77777777" w:rsidR="00B361A1" w:rsidRPr="0013396E" w:rsidRDefault="00B361A1" w:rsidP="0099759E">
            <w:pPr>
              <w:spacing w:after="60"/>
              <w:rPr>
                <w:iCs/>
                <w:sz w:val="20"/>
              </w:rPr>
            </w:pPr>
            <w:r w:rsidRPr="0013396E">
              <w:rPr>
                <w:iCs/>
                <w:sz w:val="20"/>
              </w:rPr>
              <w:t>$/MWh</w:t>
            </w:r>
          </w:p>
        </w:tc>
        <w:tc>
          <w:tcPr>
            <w:tcW w:w="3619" w:type="pct"/>
            <w:tcBorders>
              <w:top w:val="single" w:sz="4" w:space="0" w:color="auto"/>
              <w:left w:val="single" w:sz="4" w:space="0" w:color="auto"/>
              <w:bottom w:val="single" w:sz="4" w:space="0" w:color="auto"/>
              <w:right w:val="single" w:sz="4" w:space="0" w:color="auto"/>
            </w:tcBorders>
            <w:hideMark/>
          </w:tcPr>
          <w:p w14:paraId="4983CF07" w14:textId="77777777" w:rsidR="00B361A1" w:rsidRPr="0013396E" w:rsidRDefault="00B361A1" w:rsidP="0099759E">
            <w:pPr>
              <w:spacing w:after="60"/>
              <w:rPr>
                <w:i/>
                <w:iCs/>
                <w:sz w:val="20"/>
              </w:rPr>
            </w:pPr>
            <w:r w:rsidRPr="0013396E">
              <w:rPr>
                <w:i/>
                <w:iCs/>
                <w:sz w:val="20"/>
              </w:rPr>
              <w:t>Real-Time Settlement Point Price per Settlement Point</w:t>
            </w:r>
            <w:r w:rsidRPr="0013396E">
              <w:rPr>
                <w:iCs/>
                <w:sz w:val="20"/>
              </w:rPr>
              <w:t xml:space="preserve">—The Real-Time Settlement Point Price at Settlement Point </w:t>
            </w:r>
            <w:r w:rsidRPr="0013396E">
              <w:rPr>
                <w:i/>
                <w:iCs/>
                <w:sz w:val="20"/>
              </w:rPr>
              <w:t>p</w:t>
            </w:r>
            <w:r w:rsidRPr="0013396E">
              <w:rPr>
                <w:iCs/>
                <w:sz w:val="20"/>
              </w:rPr>
              <w:t xml:space="preserve">, for the 15-minute Settlement Interval </w:t>
            </w:r>
            <w:r w:rsidRPr="0013396E">
              <w:rPr>
                <w:i/>
                <w:iCs/>
                <w:sz w:val="20"/>
              </w:rPr>
              <w:t>i</w:t>
            </w:r>
            <w:r w:rsidRPr="0013396E">
              <w:rPr>
                <w:iCs/>
                <w:sz w:val="20"/>
              </w:rPr>
              <w:t>.</w:t>
            </w:r>
          </w:p>
        </w:tc>
      </w:tr>
      <w:tr w:rsidR="00B361A1" w:rsidRPr="0013396E" w14:paraId="3CD179BA" w14:textId="77777777" w:rsidTr="0099759E">
        <w:trPr>
          <w:cantSplit/>
          <w:trHeight w:val="773"/>
        </w:trPr>
        <w:tc>
          <w:tcPr>
            <w:tcW w:w="906" w:type="pct"/>
            <w:tcBorders>
              <w:top w:val="single" w:sz="4" w:space="0" w:color="auto"/>
              <w:left w:val="single" w:sz="4" w:space="0" w:color="auto"/>
              <w:bottom w:val="single" w:sz="4" w:space="0" w:color="auto"/>
              <w:right w:val="single" w:sz="4" w:space="0" w:color="auto"/>
            </w:tcBorders>
            <w:hideMark/>
          </w:tcPr>
          <w:p w14:paraId="7766243D" w14:textId="77777777" w:rsidR="00B361A1" w:rsidRPr="0013396E" w:rsidRDefault="00B361A1" w:rsidP="0099759E">
            <w:pPr>
              <w:spacing w:after="60"/>
              <w:rPr>
                <w:iCs/>
                <w:sz w:val="20"/>
              </w:rPr>
            </w:pPr>
            <w:r w:rsidRPr="0013396E">
              <w:rPr>
                <w:iCs/>
                <w:sz w:val="20"/>
              </w:rPr>
              <w:t>RTRDP</w:t>
            </w:r>
            <w:r w:rsidRPr="0013396E">
              <w:rPr>
                <w:i/>
                <w:iCs/>
                <w:sz w:val="20"/>
                <w:vertAlign w:val="subscript"/>
              </w:rPr>
              <w:t xml:space="preserve"> i</w:t>
            </w:r>
          </w:p>
        </w:tc>
        <w:tc>
          <w:tcPr>
            <w:tcW w:w="475" w:type="pct"/>
            <w:tcBorders>
              <w:top w:val="single" w:sz="4" w:space="0" w:color="auto"/>
              <w:left w:val="single" w:sz="4" w:space="0" w:color="auto"/>
              <w:bottom w:val="single" w:sz="4" w:space="0" w:color="auto"/>
              <w:right w:val="single" w:sz="4" w:space="0" w:color="auto"/>
            </w:tcBorders>
            <w:hideMark/>
          </w:tcPr>
          <w:p w14:paraId="248928A1" w14:textId="77777777" w:rsidR="00B361A1" w:rsidRPr="0013396E" w:rsidRDefault="00B361A1" w:rsidP="0099759E">
            <w:pPr>
              <w:spacing w:after="60"/>
              <w:rPr>
                <w:iCs/>
                <w:sz w:val="20"/>
              </w:rPr>
            </w:pPr>
            <w:r w:rsidRPr="0013396E">
              <w:rPr>
                <w:iCs/>
                <w:sz w:val="20"/>
              </w:rPr>
              <w:t>$/MWh</w:t>
            </w:r>
          </w:p>
        </w:tc>
        <w:tc>
          <w:tcPr>
            <w:tcW w:w="3619" w:type="pct"/>
            <w:tcBorders>
              <w:top w:val="single" w:sz="4" w:space="0" w:color="auto"/>
              <w:left w:val="single" w:sz="4" w:space="0" w:color="auto"/>
              <w:bottom w:val="single" w:sz="4" w:space="0" w:color="auto"/>
              <w:right w:val="single" w:sz="4" w:space="0" w:color="auto"/>
            </w:tcBorders>
            <w:hideMark/>
          </w:tcPr>
          <w:p w14:paraId="3CE874B1" w14:textId="77777777" w:rsidR="00B361A1" w:rsidRPr="0013396E" w:rsidRDefault="00B361A1" w:rsidP="0099759E">
            <w:pPr>
              <w:spacing w:after="60"/>
              <w:rPr>
                <w:i/>
                <w:iCs/>
                <w:sz w:val="20"/>
              </w:rPr>
            </w:pPr>
            <w:r w:rsidRPr="0013396E">
              <w:rPr>
                <w:i/>
                <w:iCs/>
                <w:sz w:val="20"/>
              </w:rPr>
              <w:t>Real-Time Reliability Deployment Price</w:t>
            </w:r>
            <w:r w:rsidRPr="0013396E">
              <w:rPr>
                <w:iCs/>
                <w:sz w:val="20"/>
              </w:rPr>
              <w:t xml:space="preserve"> </w:t>
            </w:r>
            <w:r w:rsidRPr="0013396E">
              <w:rPr>
                <w:i/>
                <w:iCs/>
                <w:sz w:val="20"/>
              </w:rPr>
              <w:t>for Energy</w:t>
            </w:r>
            <w:r w:rsidRPr="0013396E">
              <w:rPr>
                <w:iCs/>
                <w:sz w:val="20"/>
              </w:rPr>
              <w:sym w:font="Symbol" w:char="F0BE"/>
            </w:r>
            <w:r w:rsidRPr="0013396E">
              <w:rPr>
                <w:iCs/>
                <w:sz w:val="20"/>
              </w:rPr>
              <w:t xml:space="preserve">The Real-Time price for the 15-minute Settlement Interval </w:t>
            </w:r>
            <w:r w:rsidRPr="0013396E">
              <w:rPr>
                <w:i/>
                <w:iCs/>
                <w:sz w:val="20"/>
              </w:rPr>
              <w:t>i</w:t>
            </w:r>
            <w:r w:rsidRPr="0013396E">
              <w:rPr>
                <w:iCs/>
                <w:sz w:val="20"/>
              </w:rPr>
              <w:t>, reflecting the impact of reliability deployments on energy prices that is calculated from the Real-Time Reliability Deployment Price Adder for Energy.</w:t>
            </w:r>
          </w:p>
        </w:tc>
      </w:tr>
      <w:tr w:rsidR="00B361A1" w:rsidRPr="0013396E" w14:paraId="70B6BBCC" w14:textId="77777777" w:rsidTr="0099759E">
        <w:trPr>
          <w:cantSplit/>
          <w:trHeight w:val="289"/>
        </w:trPr>
        <w:tc>
          <w:tcPr>
            <w:tcW w:w="906" w:type="pct"/>
            <w:tcBorders>
              <w:top w:val="single" w:sz="4" w:space="0" w:color="auto"/>
              <w:left w:val="single" w:sz="4" w:space="0" w:color="auto"/>
              <w:bottom w:val="single" w:sz="4" w:space="0" w:color="auto"/>
              <w:right w:val="single" w:sz="4" w:space="0" w:color="auto"/>
            </w:tcBorders>
            <w:hideMark/>
          </w:tcPr>
          <w:p w14:paraId="4B379CBA" w14:textId="77777777" w:rsidR="00B361A1" w:rsidRPr="0013396E" w:rsidRDefault="00B361A1" w:rsidP="0099759E">
            <w:pPr>
              <w:spacing w:after="60"/>
              <w:rPr>
                <w:i/>
                <w:iCs/>
                <w:sz w:val="20"/>
              </w:rPr>
            </w:pPr>
            <w:r w:rsidRPr="0013396E">
              <w:rPr>
                <w:i/>
                <w:iCs/>
                <w:sz w:val="20"/>
              </w:rPr>
              <w:t>q</w:t>
            </w:r>
          </w:p>
        </w:tc>
        <w:tc>
          <w:tcPr>
            <w:tcW w:w="475" w:type="pct"/>
            <w:tcBorders>
              <w:top w:val="single" w:sz="4" w:space="0" w:color="auto"/>
              <w:left w:val="single" w:sz="4" w:space="0" w:color="auto"/>
              <w:bottom w:val="single" w:sz="4" w:space="0" w:color="auto"/>
              <w:right w:val="single" w:sz="4" w:space="0" w:color="auto"/>
            </w:tcBorders>
            <w:hideMark/>
          </w:tcPr>
          <w:p w14:paraId="2F846257" w14:textId="77777777" w:rsidR="00B361A1" w:rsidRPr="0013396E" w:rsidRDefault="00B361A1" w:rsidP="0099759E">
            <w:pPr>
              <w:spacing w:after="60"/>
              <w:rPr>
                <w:iCs/>
                <w:sz w:val="20"/>
              </w:rPr>
            </w:pPr>
            <w:r w:rsidRPr="0013396E">
              <w:rPr>
                <w:iCs/>
                <w:sz w:val="20"/>
              </w:rPr>
              <w:t>none</w:t>
            </w:r>
          </w:p>
        </w:tc>
        <w:tc>
          <w:tcPr>
            <w:tcW w:w="3619" w:type="pct"/>
            <w:tcBorders>
              <w:top w:val="single" w:sz="4" w:space="0" w:color="auto"/>
              <w:left w:val="single" w:sz="4" w:space="0" w:color="auto"/>
              <w:bottom w:val="single" w:sz="4" w:space="0" w:color="auto"/>
              <w:right w:val="single" w:sz="4" w:space="0" w:color="auto"/>
            </w:tcBorders>
            <w:hideMark/>
          </w:tcPr>
          <w:p w14:paraId="04BD641F" w14:textId="77777777" w:rsidR="00B361A1" w:rsidRPr="0013396E" w:rsidRDefault="00B361A1" w:rsidP="0099759E">
            <w:pPr>
              <w:spacing w:after="60"/>
              <w:rPr>
                <w:i/>
                <w:sz w:val="20"/>
              </w:rPr>
            </w:pPr>
            <w:r w:rsidRPr="0013396E">
              <w:rPr>
                <w:iCs/>
                <w:sz w:val="20"/>
              </w:rPr>
              <w:t>A QSE.</w:t>
            </w:r>
          </w:p>
        </w:tc>
      </w:tr>
      <w:tr w:rsidR="00B361A1" w:rsidRPr="0013396E" w14:paraId="75A6E30E" w14:textId="77777777" w:rsidTr="0099759E">
        <w:trPr>
          <w:cantSplit/>
          <w:trHeight w:val="289"/>
        </w:trPr>
        <w:tc>
          <w:tcPr>
            <w:tcW w:w="906" w:type="pct"/>
            <w:tcBorders>
              <w:top w:val="single" w:sz="4" w:space="0" w:color="auto"/>
              <w:left w:val="single" w:sz="4" w:space="0" w:color="auto"/>
              <w:bottom w:val="single" w:sz="4" w:space="0" w:color="auto"/>
              <w:right w:val="single" w:sz="4" w:space="0" w:color="auto"/>
            </w:tcBorders>
            <w:hideMark/>
          </w:tcPr>
          <w:p w14:paraId="2D4F6657" w14:textId="77777777" w:rsidR="00B361A1" w:rsidRPr="0013396E" w:rsidRDefault="00B361A1" w:rsidP="0099759E">
            <w:pPr>
              <w:spacing w:after="60"/>
              <w:rPr>
                <w:i/>
                <w:iCs/>
                <w:sz w:val="20"/>
              </w:rPr>
            </w:pPr>
            <w:r w:rsidRPr="0013396E">
              <w:rPr>
                <w:i/>
                <w:iCs/>
                <w:sz w:val="20"/>
              </w:rPr>
              <w:t>r</w:t>
            </w:r>
          </w:p>
        </w:tc>
        <w:tc>
          <w:tcPr>
            <w:tcW w:w="475" w:type="pct"/>
            <w:tcBorders>
              <w:top w:val="single" w:sz="4" w:space="0" w:color="auto"/>
              <w:left w:val="single" w:sz="4" w:space="0" w:color="auto"/>
              <w:bottom w:val="single" w:sz="4" w:space="0" w:color="auto"/>
              <w:right w:val="single" w:sz="4" w:space="0" w:color="auto"/>
            </w:tcBorders>
            <w:hideMark/>
          </w:tcPr>
          <w:p w14:paraId="5A15DA5E" w14:textId="77777777" w:rsidR="00B361A1" w:rsidRPr="0013396E" w:rsidRDefault="00B361A1" w:rsidP="0099759E">
            <w:pPr>
              <w:spacing w:after="60"/>
              <w:rPr>
                <w:iCs/>
                <w:sz w:val="20"/>
              </w:rPr>
            </w:pPr>
            <w:r w:rsidRPr="0013396E">
              <w:rPr>
                <w:iCs/>
                <w:sz w:val="20"/>
              </w:rPr>
              <w:t>none</w:t>
            </w:r>
          </w:p>
        </w:tc>
        <w:tc>
          <w:tcPr>
            <w:tcW w:w="3619" w:type="pct"/>
            <w:tcBorders>
              <w:top w:val="single" w:sz="4" w:space="0" w:color="auto"/>
              <w:left w:val="single" w:sz="4" w:space="0" w:color="auto"/>
              <w:bottom w:val="single" w:sz="4" w:space="0" w:color="auto"/>
              <w:right w:val="single" w:sz="4" w:space="0" w:color="auto"/>
            </w:tcBorders>
            <w:hideMark/>
          </w:tcPr>
          <w:p w14:paraId="13671BEC" w14:textId="77777777" w:rsidR="00B361A1" w:rsidRPr="0013396E" w:rsidRDefault="00B361A1" w:rsidP="0099759E">
            <w:pPr>
              <w:spacing w:after="60"/>
              <w:rPr>
                <w:i/>
                <w:sz w:val="20"/>
              </w:rPr>
            </w:pPr>
            <w:r w:rsidRPr="0013396E">
              <w:rPr>
                <w:iCs/>
                <w:sz w:val="20"/>
              </w:rPr>
              <w:t>A Generation Resource or ESR.</w:t>
            </w:r>
          </w:p>
        </w:tc>
      </w:tr>
      <w:tr w:rsidR="00B361A1" w:rsidRPr="0013396E" w14:paraId="7F670CCD" w14:textId="77777777" w:rsidTr="0099759E">
        <w:trPr>
          <w:cantSplit/>
          <w:trHeight w:val="289"/>
        </w:trPr>
        <w:tc>
          <w:tcPr>
            <w:tcW w:w="906" w:type="pct"/>
            <w:tcBorders>
              <w:top w:val="single" w:sz="4" w:space="0" w:color="auto"/>
              <w:left w:val="single" w:sz="4" w:space="0" w:color="auto"/>
              <w:bottom w:val="single" w:sz="4" w:space="0" w:color="auto"/>
              <w:right w:val="single" w:sz="4" w:space="0" w:color="auto"/>
            </w:tcBorders>
            <w:hideMark/>
          </w:tcPr>
          <w:p w14:paraId="1E618461" w14:textId="77777777" w:rsidR="00B361A1" w:rsidRPr="0013396E" w:rsidRDefault="00B361A1" w:rsidP="0099759E">
            <w:pPr>
              <w:spacing w:after="60"/>
              <w:rPr>
                <w:i/>
                <w:iCs/>
                <w:sz w:val="20"/>
              </w:rPr>
            </w:pPr>
            <w:r w:rsidRPr="0013396E">
              <w:rPr>
                <w:i/>
                <w:iCs/>
                <w:sz w:val="20"/>
              </w:rPr>
              <w:t>p</w:t>
            </w:r>
          </w:p>
        </w:tc>
        <w:tc>
          <w:tcPr>
            <w:tcW w:w="475" w:type="pct"/>
            <w:tcBorders>
              <w:top w:val="single" w:sz="4" w:space="0" w:color="auto"/>
              <w:left w:val="single" w:sz="4" w:space="0" w:color="auto"/>
              <w:bottom w:val="single" w:sz="4" w:space="0" w:color="auto"/>
              <w:right w:val="single" w:sz="4" w:space="0" w:color="auto"/>
            </w:tcBorders>
            <w:hideMark/>
          </w:tcPr>
          <w:p w14:paraId="1E202D1F" w14:textId="77777777" w:rsidR="00B361A1" w:rsidRPr="0013396E" w:rsidRDefault="00B361A1" w:rsidP="0099759E">
            <w:pPr>
              <w:spacing w:after="60"/>
              <w:rPr>
                <w:iCs/>
                <w:sz w:val="20"/>
              </w:rPr>
            </w:pPr>
            <w:r w:rsidRPr="0013396E">
              <w:rPr>
                <w:iCs/>
                <w:sz w:val="20"/>
              </w:rPr>
              <w:t>none</w:t>
            </w:r>
          </w:p>
        </w:tc>
        <w:tc>
          <w:tcPr>
            <w:tcW w:w="3619" w:type="pct"/>
            <w:tcBorders>
              <w:top w:val="single" w:sz="4" w:space="0" w:color="auto"/>
              <w:left w:val="single" w:sz="4" w:space="0" w:color="auto"/>
              <w:bottom w:val="single" w:sz="4" w:space="0" w:color="auto"/>
              <w:right w:val="single" w:sz="4" w:space="0" w:color="auto"/>
            </w:tcBorders>
            <w:hideMark/>
          </w:tcPr>
          <w:p w14:paraId="536FB45C" w14:textId="77777777" w:rsidR="00B361A1" w:rsidRPr="0013396E" w:rsidRDefault="00B361A1" w:rsidP="0099759E">
            <w:pPr>
              <w:spacing w:after="60"/>
              <w:rPr>
                <w:iCs/>
                <w:sz w:val="20"/>
              </w:rPr>
            </w:pPr>
            <w:r w:rsidRPr="0013396E">
              <w:rPr>
                <w:iCs/>
                <w:sz w:val="20"/>
              </w:rPr>
              <w:t>A Resource Node Settlement Point.</w:t>
            </w:r>
          </w:p>
        </w:tc>
      </w:tr>
      <w:tr w:rsidR="00B361A1" w:rsidRPr="0013396E" w14:paraId="53BB72B4" w14:textId="77777777" w:rsidTr="0099759E">
        <w:trPr>
          <w:cantSplit/>
          <w:trHeight w:val="242"/>
        </w:trPr>
        <w:tc>
          <w:tcPr>
            <w:tcW w:w="906" w:type="pct"/>
            <w:tcBorders>
              <w:top w:val="single" w:sz="4" w:space="0" w:color="auto"/>
              <w:left w:val="single" w:sz="4" w:space="0" w:color="auto"/>
              <w:bottom w:val="single" w:sz="4" w:space="0" w:color="auto"/>
              <w:right w:val="single" w:sz="4" w:space="0" w:color="auto"/>
            </w:tcBorders>
            <w:hideMark/>
          </w:tcPr>
          <w:p w14:paraId="2F631D71" w14:textId="77777777" w:rsidR="00B361A1" w:rsidRPr="0013396E" w:rsidRDefault="00B361A1" w:rsidP="0099759E">
            <w:pPr>
              <w:spacing w:after="60"/>
              <w:rPr>
                <w:i/>
                <w:iCs/>
                <w:sz w:val="20"/>
              </w:rPr>
            </w:pPr>
            <w:r w:rsidRPr="0013396E">
              <w:rPr>
                <w:i/>
                <w:iCs/>
                <w:sz w:val="20"/>
              </w:rPr>
              <w:t>i</w:t>
            </w:r>
          </w:p>
        </w:tc>
        <w:tc>
          <w:tcPr>
            <w:tcW w:w="475" w:type="pct"/>
            <w:tcBorders>
              <w:top w:val="single" w:sz="4" w:space="0" w:color="auto"/>
              <w:left w:val="single" w:sz="4" w:space="0" w:color="auto"/>
              <w:bottom w:val="single" w:sz="4" w:space="0" w:color="auto"/>
              <w:right w:val="single" w:sz="4" w:space="0" w:color="auto"/>
            </w:tcBorders>
            <w:hideMark/>
          </w:tcPr>
          <w:p w14:paraId="086D5364" w14:textId="77777777" w:rsidR="00B361A1" w:rsidRPr="0013396E" w:rsidRDefault="00B361A1" w:rsidP="0099759E">
            <w:pPr>
              <w:spacing w:after="60"/>
              <w:rPr>
                <w:iCs/>
                <w:sz w:val="20"/>
              </w:rPr>
            </w:pPr>
            <w:r w:rsidRPr="0013396E">
              <w:rPr>
                <w:iCs/>
                <w:sz w:val="20"/>
              </w:rPr>
              <w:t>none</w:t>
            </w:r>
          </w:p>
        </w:tc>
        <w:tc>
          <w:tcPr>
            <w:tcW w:w="3619" w:type="pct"/>
            <w:tcBorders>
              <w:top w:val="single" w:sz="4" w:space="0" w:color="auto"/>
              <w:left w:val="single" w:sz="4" w:space="0" w:color="auto"/>
              <w:bottom w:val="single" w:sz="4" w:space="0" w:color="auto"/>
              <w:right w:val="single" w:sz="4" w:space="0" w:color="auto"/>
            </w:tcBorders>
            <w:hideMark/>
          </w:tcPr>
          <w:p w14:paraId="6524E6E9" w14:textId="77777777" w:rsidR="00B361A1" w:rsidRPr="0013396E" w:rsidRDefault="00B361A1" w:rsidP="0099759E">
            <w:pPr>
              <w:spacing w:after="60"/>
              <w:rPr>
                <w:iCs/>
                <w:sz w:val="20"/>
              </w:rPr>
            </w:pPr>
            <w:r w:rsidRPr="0013396E">
              <w:rPr>
                <w:iCs/>
                <w:sz w:val="20"/>
              </w:rPr>
              <w:t>A 15-minute Settlement Interval.</w:t>
            </w:r>
          </w:p>
        </w:tc>
      </w:tr>
    </w:tbl>
    <w:p w14:paraId="592C391B" w14:textId="77777777" w:rsidR="00B361A1" w:rsidRPr="0013396E" w:rsidRDefault="00B361A1" w:rsidP="00B361A1">
      <w:pPr>
        <w:spacing w:before="240" w:after="240"/>
        <w:ind w:left="720" w:hanging="720"/>
      </w:pPr>
      <w:r w:rsidRPr="0013396E">
        <w:t>(7)</w:t>
      </w:r>
      <w:r w:rsidRPr="0013396E">
        <w:tab/>
        <w:t>The total compensation to each QSE for an HDL override for the 15-minute Settlement Interval is calculated as follows:</w:t>
      </w:r>
    </w:p>
    <w:p w14:paraId="1097B939" w14:textId="77777777" w:rsidR="00B361A1" w:rsidRPr="0013396E" w:rsidRDefault="00B361A1" w:rsidP="00B361A1">
      <w:pPr>
        <w:spacing w:after="240"/>
        <w:ind w:left="720" w:firstLine="720"/>
        <w:rPr>
          <w:b/>
          <w:i/>
          <w:vertAlign w:val="subscript"/>
          <w:lang w:val="es-ES"/>
        </w:rPr>
      </w:pPr>
      <w:r w:rsidRPr="0013396E">
        <w:rPr>
          <w:b/>
        </w:rPr>
        <w:t>HDLOEAMTQSETOT</w:t>
      </w:r>
      <w:r w:rsidRPr="0013396E">
        <w:rPr>
          <w:b/>
          <w:i/>
          <w:vertAlign w:val="subscript"/>
          <w:lang w:val="es-ES"/>
        </w:rPr>
        <w:t xml:space="preserve"> q, i </w:t>
      </w:r>
      <w:r w:rsidRPr="0013396E">
        <w:rPr>
          <w:b/>
        </w:rPr>
        <w:t xml:space="preserve"> =  </w:t>
      </w:r>
      <w:r w:rsidRPr="0013396E">
        <w:rPr>
          <w:b/>
          <w:noProof/>
          <w:position w:val="-28"/>
        </w:rPr>
        <w:drawing>
          <wp:inline distT="0" distB="0" distL="0" distR="0" wp14:anchorId="54202A07" wp14:editId="70F93EDC">
            <wp:extent cx="293370" cy="431165"/>
            <wp:effectExtent l="0" t="0" r="0" b="6985"/>
            <wp:docPr id="1465811812" name="Picture 14658118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153" cstate="print">
                      <a:extLst>
                        <a:ext uri="{28A0092B-C50C-407E-A947-70E740481C1C}">
                          <a14:useLocalDpi xmlns:a14="http://schemas.microsoft.com/office/drawing/2010/main" val="0"/>
                        </a:ext>
                      </a:extLst>
                    </a:blip>
                    <a:srcRect/>
                    <a:stretch>
                      <a:fillRect/>
                    </a:stretch>
                  </pic:blipFill>
                  <pic:spPr bwMode="auto">
                    <a:xfrm>
                      <a:off x="0" y="0"/>
                      <a:ext cx="293370" cy="431165"/>
                    </a:xfrm>
                    <a:prstGeom prst="rect">
                      <a:avLst/>
                    </a:prstGeom>
                    <a:noFill/>
                    <a:ln>
                      <a:noFill/>
                    </a:ln>
                  </pic:spPr>
                </pic:pic>
              </a:graphicData>
            </a:graphic>
          </wp:inline>
        </w:drawing>
      </w:r>
      <w:r w:rsidRPr="0013396E">
        <w:rPr>
          <w:b/>
          <w:noProof/>
          <w:position w:val="-30"/>
        </w:rPr>
        <w:drawing>
          <wp:inline distT="0" distB="0" distL="0" distR="0" wp14:anchorId="24ED627A" wp14:editId="41E7B32B">
            <wp:extent cx="293370" cy="457200"/>
            <wp:effectExtent l="0" t="0" r="0" b="0"/>
            <wp:docPr id="166594205" name="Picture 166594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154" cstate="print">
                      <a:extLst>
                        <a:ext uri="{28A0092B-C50C-407E-A947-70E740481C1C}">
                          <a14:useLocalDpi xmlns:a14="http://schemas.microsoft.com/office/drawing/2010/main" val="0"/>
                        </a:ext>
                      </a:extLst>
                    </a:blip>
                    <a:srcRect/>
                    <a:stretch>
                      <a:fillRect/>
                    </a:stretch>
                  </pic:blipFill>
                  <pic:spPr bwMode="auto">
                    <a:xfrm>
                      <a:off x="0" y="0"/>
                      <a:ext cx="293370" cy="457200"/>
                    </a:xfrm>
                    <a:prstGeom prst="rect">
                      <a:avLst/>
                    </a:prstGeom>
                    <a:noFill/>
                    <a:ln>
                      <a:noFill/>
                    </a:ln>
                  </pic:spPr>
                </pic:pic>
              </a:graphicData>
            </a:graphic>
          </wp:inline>
        </w:drawing>
      </w:r>
      <w:r w:rsidRPr="0013396E">
        <w:rPr>
          <w:b/>
        </w:rPr>
        <w:t>HDLOEAMT</w:t>
      </w:r>
      <w:r w:rsidRPr="0013396E">
        <w:rPr>
          <w:b/>
          <w:i/>
          <w:vertAlign w:val="subscript"/>
          <w:lang w:val="es-ES"/>
        </w:rPr>
        <w:t xml:space="preserve"> q, r, p, i</w:t>
      </w:r>
    </w:p>
    <w:p w14:paraId="27A96F37" w14:textId="77777777" w:rsidR="00B361A1" w:rsidRPr="0013396E" w:rsidRDefault="00B361A1" w:rsidP="00B361A1">
      <w:pPr>
        <w:spacing w:before="120"/>
      </w:pPr>
      <w:r w:rsidRPr="0013396E">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2"/>
        <w:gridCol w:w="886"/>
        <w:gridCol w:w="6162"/>
      </w:tblGrid>
      <w:tr w:rsidR="00B361A1" w:rsidRPr="0013396E" w14:paraId="3516AA83" w14:textId="77777777" w:rsidTr="0099759E">
        <w:trPr>
          <w:cantSplit/>
          <w:tblHeader/>
        </w:trPr>
        <w:tc>
          <w:tcPr>
            <w:tcW w:w="1231" w:type="pct"/>
            <w:tcBorders>
              <w:top w:val="single" w:sz="4" w:space="0" w:color="auto"/>
              <w:left w:val="single" w:sz="4" w:space="0" w:color="auto"/>
              <w:bottom w:val="single" w:sz="4" w:space="0" w:color="auto"/>
              <w:right w:val="single" w:sz="4" w:space="0" w:color="auto"/>
            </w:tcBorders>
            <w:hideMark/>
          </w:tcPr>
          <w:p w14:paraId="2A1C4A9A" w14:textId="77777777" w:rsidR="00B361A1" w:rsidRPr="0013396E" w:rsidRDefault="00B361A1" w:rsidP="0099759E">
            <w:pPr>
              <w:spacing w:after="240"/>
              <w:rPr>
                <w:b/>
                <w:iCs/>
                <w:sz w:val="20"/>
              </w:rPr>
            </w:pPr>
            <w:r w:rsidRPr="0013396E">
              <w:rPr>
                <w:b/>
                <w:iCs/>
                <w:sz w:val="20"/>
              </w:rPr>
              <w:t>Variable</w:t>
            </w:r>
          </w:p>
        </w:tc>
        <w:tc>
          <w:tcPr>
            <w:tcW w:w="474" w:type="pct"/>
            <w:tcBorders>
              <w:top w:val="single" w:sz="4" w:space="0" w:color="auto"/>
              <w:left w:val="single" w:sz="4" w:space="0" w:color="auto"/>
              <w:bottom w:val="single" w:sz="4" w:space="0" w:color="auto"/>
              <w:right w:val="single" w:sz="4" w:space="0" w:color="auto"/>
            </w:tcBorders>
            <w:hideMark/>
          </w:tcPr>
          <w:p w14:paraId="1A66C393" w14:textId="77777777" w:rsidR="00B361A1" w:rsidRPr="0013396E" w:rsidRDefault="00B361A1" w:rsidP="0099759E">
            <w:pPr>
              <w:spacing w:after="240"/>
              <w:rPr>
                <w:b/>
                <w:iCs/>
                <w:sz w:val="20"/>
              </w:rPr>
            </w:pPr>
            <w:r w:rsidRPr="0013396E">
              <w:rPr>
                <w:b/>
                <w:iCs/>
                <w:sz w:val="20"/>
              </w:rPr>
              <w:t>Unit</w:t>
            </w:r>
          </w:p>
        </w:tc>
        <w:tc>
          <w:tcPr>
            <w:tcW w:w="3295" w:type="pct"/>
            <w:tcBorders>
              <w:top w:val="single" w:sz="4" w:space="0" w:color="auto"/>
              <w:left w:val="single" w:sz="4" w:space="0" w:color="auto"/>
              <w:bottom w:val="single" w:sz="4" w:space="0" w:color="auto"/>
              <w:right w:val="single" w:sz="4" w:space="0" w:color="auto"/>
            </w:tcBorders>
            <w:hideMark/>
          </w:tcPr>
          <w:p w14:paraId="736998C5" w14:textId="77777777" w:rsidR="00B361A1" w:rsidRPr="0013396E" w:rsidRDefault="00B361A1" w:rsidP="0099759E">
            <w:pPr>
              <w:spacing w:after="240"/>
              <w:rPr>
                <w:b/>
                <w:iCs/>
                <w:sz w:val="20"/>
              </w:rPr>
            </w:pPr>
            <w:r w:rsidRPr="0013396E">
              <w:rPr>
                <w:b/>
                <w:iCs/>
                <w:sz w:val="20"/>
              </w:rPr>
              <w:t>Definition</w:t>
            </w:r>
          </w:p>
        </w:tc>
      </w:tr>
      <w:tr w:rsidR="00B361A1" w:rsidRPr="0013396E" w14:paraId="107FEA1B" w14:textId="77777777" w:rsidTr="0099759E">
        <w:trPr>
          <w:cantSplit/>
        </w:trPr>
        <w:tc>
          <w:tcPr>
            <w:tcW w:w="1231" w:type="pct"/>
            <w:tcBorders>
              <w:top w:val="single" w:sz="4" w:space="0" w:color="auto"/>
              <w:left w:val="single" w:sz="4" w:space="0" w:color="auto"/>
              <w:bottom w:val="single" w:sz="4" w:space="0" w:color="auto"/>
              <w:right w:val="single" w:sz="4" w:space="0" w:color="auto"/>
            </w:tcBorders>
            <w:hideMark/>
          </w:tcPr>
          <w:p w14:paraId="419841A0" w14:textId="77777777" w:rsidR="00B361A1" w:rsidRPr="0013396E" w:rsidRDefault="00B361A1" w:rsidP="0099759E">
            <w:pPr>
              <w:spacing w:after="60"/>
              <w:rPr>
                <w:iCs/>
                <w:sz w:val="20"/>
              </w:rPr>
            </w:pPr>
            <w:r w:rsidRPr="0013396E">
              <w:rPr>
                <w:iCs/>
                <w:sz w:val="20"/>
              </w:rPr>
              <w:t xml:space="preserve">HDLOEAMT </w:t>
            </w:r>
            <w:r w:rsidRPr="0013396E">
              <w:rPr>
                <w:i/>
                <w:iCs/>
                <w:sz w:val="20"/>
                <w:vertAlign w:val="subscript"/>
              </w:rPr>
              <w:t>q, r, p, i</w:t>
            </w:r>
          </w:p>
        </w:tc>
        <w:tc>
          <w:tcPr>
            <w:tcW w:w="474" w:type="pct"/>
            <w:tcBorders>
              <w:top w:val="single" w:sz="4" w:space="0" w:color="auto"/>
              <w:left w:val="single" w:sz="4" w:space="0" w:color="auto"/>
              <w:bottom w:val="single" w:sz="4" w:space="0" w:color="auto"/>
              <w:right w:val="single" w:sz="4" w:space="0" w:color="auto"/>
            </w:tcBorders>
            <w:hideMark/>
          </w:tcPr>
          <w:p w14:paraId="091A6F65" w14:textId="77777777" w:rsidR="00B361A1" w:rsidRPr="0013396E" w:rsidRDefault="00B361A1" w:rsidP="0099759E">
            <w:pPr>
              <w:spacing w:after="60"/>
              <w:rPr>
                <w:iCs/>
                <w:sz w:val="20"/>
              </w:rPr>
            </w:pPr>
            <w:r w:rsidRPr="0013396E">
              <w:rPr>
                <w:iCs/>
                <w:sz w:val="20"/>
              </w:rPr>
              <w:t>$</w:t>
            </w:r>
          </w:p>
        </w:tc>
        <w:tc>
          <w:tcPr>
            <w:tcW w:w="3295" w:type="pct"/>
            <w:tcBorders>
              <w:top w:val="single" w:sz="4" w:space="0" w:color="auto"/>
              <w:left w:val="single" w:sz="4" w:space="0" w:color="auto"/>
              <w:bottom w:val="single" w:sz="4" w:space="0" w:color="auto"/>
              <w:right w:val="single" w:sz="4" w:space="0" w:color="auto"/>
            </w:tcBorders>
            <w:hideMark/>
          </w:tcPr>
          <w:p w14:paraId="5630281E" w14:textId="77777777" w:rsidR="00B361A1" w:rsidRPr="0013396E" w:rsidRDefault="00B361A1" w:rsidP="0099759E">
            <w:pPr>
              <w:spacing w:after="60"/>
              <w:rPr>
                <w:iCs/>
                <w:sz w:val="20"/>
              </w:rPr>
            </w:pPr>
            <w:r w:rsidRPr="0013396E">
              <w:rPr>
                <w:i/>
                <w:iCs/>
                <w:sz w:val="20"/>
              </w:rPr>
              <w:t>High Dispatch Limit override energy amount per QSE per Resource</w:t>
            </w:r>
            <w:r w:rsidRPr="0013396E">
              <w:rPr>
                <w:iCs/>
                <w:sz w:val="20"/>
              </w:rPr>
              <w:t xml:space="preserve">—The payment to QSE </w:t>
            </w:r>
            <w:r w:rsidRPr="0013396E">
              <w:rPr>
                <w:i/>
                <w:iCs/>
                <w:sz w:val="20"/>
              </w:rPr>
              <w:t>q</w:t>
            </w:r>
            <w:r w:rsidRPr="0013396E">
              <w:rPr>
                <w:iCs/>
                <w:sz w:val="20"/>
              </w:rPr>
              <w:t xml:space="preserve"> for an ERCOT-issued HDL override or equivalent VDI for Resource </w:t>
            </w:r>
            <w:r w:rsidRPr="0013396E">
              <w:rPr>
                <w:i/>
                <w:iCs/>
                <w:sz w:val="20"/>
              </w:rPr>
              <w:t>r</w:t>
            </w:r>
            <w:r w:rsidRPr="0013396E">
              <w:rPr>
                <w:iCs/>
                <w:sz w:val="20"/>
              </w:rPr>
              <w:t xml:space="preserve"> at Settlement Point </w:t>
            </w:r>
            <w:r w:rsidRPr="0013396E">
              <w:rPr>
                <w:i/>
                <w:iCs/>
                <w:sz w:val="20"/>
              </w:rPr>
              <w:t xml:space="preserve">p </w:t>
            </w:r>
            <w:r w:rsidRPr="0013396E">
              <w:rPr>
                <w:iCs/>
                <w:sz w:val="20"/>
              </w:rPr>
              <w:t xml:space="preserve">for the 15-minute Settlement Interval </w:t>
            </w:r>
            <w:r w:rsidRPr="0013396E">
              <w:rPr>
                <w:i/>
                <w:iCs/>
                <w:sz w:val="20"/>
              </w:rPr>
              <w:t>i</w:t>
            </w:r>
            <w:r w:rsidRPr="0013396E">
              <w:rPr>
                <w:iCs/>
                <w:sz w:val="20"/>
              </w:rPr>
              <w:t xml:space="preserve">.  For a combined cycle Resource, </w:t>
            </w:r>
            <w:r w:rsidRPr="0013396E">
              <w:rPr>
                <w:i/>
                <w:iCs/>
                <w:sz w:val="20"/>
              </w:rPr>
              <w:t>r</w:t>
            </w:r>
            <w:r w:rsidRPr="0013396E">
              <w:rPr>
                <w:iCs/>
                <w:sz w:val="20"/>
              </w:rPr>
              <w:t xml:space="preserve"> is a Combined Cycle Train.</w:t>
            </w:r>
          </w:p>
        </w:tc>
      </w:tr>
      <w:tr w:rsidR="00B361A1" w:rsidRPr="0013396E" w14:paraId="76CFFD1F" w14:textId="77777777" w:rsidTr="0099759E">
        <w:trPr>
          <w:cantSplit/>
        </w:trPr>
        <w:tc>
          <w:tcPr>
            <w:tcW w:w="1231" w:type="pct"/>
            <w:tcBorders>
              <w:top w:val="single" w:sz="4" w:space="0" w:color="auto"/>
              <w:left w:val="single" w:sz="4" w:space="0" w:color="auto"/>
              <w:bottom w:val="single" w:sz="4" w:space="0" w:color="auto"/>
              <w:right w:val="single" w:sz="4" w:space="0" w:color="auto"/>
            </w:tcBorders>
            <w:hideMark/>
          </w:tcPr>
          <w:p w14:paraId="1644D42B" w14:textId="77777777" w:rsidR="00B361A1" w:rsidRPr="0013396E" w:rsidRDefault="00B361A1" w:rsidP="0099759E">
            <w:pPr>
              <w:spacing w:after="60"/>
              <w:rPr>
                <w:iCs/>
                <w:sz w:val="20"/>
              </w:rPr>
            </w:pPr>
            <w:r w:rsidRPr="0013396E">
              <w:rPr>
                <w:iCs/>
                <w:sz w:val="20"/>
              </w:rPr>
              <w:t xml:space="preserve">HDLOEAMTQSETOT </w:t>
            </w:r>
            <w:r w:rsidRPr="0013396E">
              <w:rPr>
                <w:rFonts w:ascii="Times New Roman Bold" w:hAnsi="Times New Roman Bold"/>
                <w:i/>
                <w:iCs/>
                <w:sz w:val="20"/>
                <w:vertAlign w:val="subscript"/>
              </w:rPr>
              <w:t>q,</w:t>
            </w:r>
            <w:r w:rsidRPr="0013396E">
              <w:rPr>
                <w:i/>
                <w:iCs/>
                <w:sz w:val="20"/>
              </w:rPr>
              <w:t xml:space="preserve"> </w:t>
            </w:r>
            <w:r w:rsidRPr="0013396E">
              <w:rPr>
                <w:i/>
                <w:iCs/>
                <w:sz w:val="20"/>
                <w:vertAlign w:val="subscript"/>
              </w:rPr>
              <w:t>i</w:t>
            </w:r>
          </w:p>
        </w:tc>
        <w:tc>
          <w:tcPr>
            <w:tcW w:w="474" w:type="pct"/>
            <w:tcBorders>
              <w:top w:val="single" w:sz="4" w:space="0" w:color="auto"/>
              <w:left w:val="single" w:sz="4" w:space="0" w:color="auto"/>
              <w:bottom w:val="single" w:sz="4" w:space="0" w:color="auto"/>
              <w:right w:val="single" w:sz="4" w:space="0" w:color="auto"/>
            </w:tcBorders>
            <w:hideMark/>
          </w:tcPr>
          <w:p w14:paraId="698C3E99" w14:textId="77777777" w:rsidR="00B361A1" w:rsidRPr="0013396E" w:rsidRDefault="00B361A1" w:rsidP="0099759E">
            <w:pPr>
              <w:spacing w:after="60"/>
              <w:rPr>
                <w:i/>
                <w:iCs/>
                <w:sz w:val="20"/>
              </w:rPr>
            </w:pPr>
            <w:r w:rsidRPr="0013396E">
              <w:rPr>
                <w:iCs/>
                <w:sz w:val="20"/>
              </w:rPr>
              <w:t>$</w:t>
            </w:r>
          </w:p>
        </w:tc>
        <w:tc>
          <w:tcPr>
            <w:tcW w:w="3295" w:type="pct"/>
            <w:tcBorders>
              <w:top w:val="single" w:sz="4" w:space="0" w:color="auto"/>
              <w:left w:val="single" w:sz="4" w:space="0" w:color="auto"/>
              <w:bottom w:val="single" w:sz="4" w:space="0" w:color="auto"/>
              <w:right w:val="single" w:sz="4" w:space="0" w:color="auto"/>
            </w:tcBorders>
            <w:hideMark/>
          </w:tcPr>
          <w:p w14:paraId="444A70A3" w14:textId="77777777" w:rsidR="00B361A1" w:rsidRPr="0013396E" w:rsidRDefault="00B361A1" w:rsidP="0099759E">
            <w:pPr>
              <w:spacing w:after="60"/>
              <w:rPr>
                <w:iCs/>
                <w:sz w:val="20"/>
              </w:rPr>
            </w:pPr>
            <w:r w:rsidRPr="0013396E">
              <w:rPr>
                <w:i/>
                <w:iCs/>
                <w:sz w:val="20"/>
              </w:rPr>
              <w:t>High Dispatch Limit override energy amount QSE total per QSE</w:t>
            </w:r>
            <w:r w:rsidRPr="0013396E">
              <w:rPr>
                <w:iCs/>
                <w:sz w:val="20"/>
              </w:rPr>
              <w:t xml:space="preserve">—The total of the energy payments to QSE </w:t>
            </w:r>
            <w:r w:rsidRPr="0013396E">
              <w:rPr>
                <w:i/>
                <w:iCs/>
                <w:sz w:val="20"/>
              </w:rPr>
              <w:t>q</w:t>
            </w:r>
            <w:r w:rsidRPr="0013396E">
              <w:rPr>
                <w:iCs/>
                <w:sz w:val="20"/>
              </w:rPr>
              <w:t xml:space="preserve"> as compensation for HDL overrides for this QSE for the 15-minute Settlement Interval </w:t>
            </w:r>
            <w:r w:rsidRPr="0013396E">
              <w:rPr>
                <w:i/>
                <w:iCs/>
                <w:sz w:val="20"/>
              </w:rPr>
              <w:t>i</w:t>
            </w:r>
            <w:r w:rsidRPr="0013396E">
              <w:rPr>
                <w:iCs/>
                <w:sz w:val="20"/>
              </w:rPr>
              <w:t>.</w:t>
            </w:r>
          </w:p>
        </w:tc>
      </w:tr>
      <w:tr w:rsidR="00B361A1" w:rsidRPr="0013396E" w14:paraId="0C6E31E9" w14:textId="77777777" w:rsidTr="0099759E">
        <w:trPr>
          <w:cantSplit/>
        </w:trPr>
        <w:tc>
          <w:tcPr>
            <w:tcW w:w="1231" w:type="pct"/>
            <w:tcBorders>
              <w:top w:val="single" w:sz="4" w:space="0" w:color="auto"/>
              <w:left w:val="single" w:sz="4" w:space="0" w:color="auto"/>
              <w:bottom w:val="single" w:sz="4" w:space="0" w:color="auto"/>
              <w:right w:val="single" w:sz="4" w:space="0" w:color="auto"/>
            </w:tcBorders>
            <w:hideMark/>
          </w:tcPr>
          <w:p w14:paraId="242E7B49" w14:textId="77777777" w:rsidR="00B361A1" w:rsidRPr="0013396E" w:rsidRDefault="00B361A1" w:rsidP="0099759E">
            <w:pPr>
              <w:spacing w:after="60"/>
              <w:rPr>
                <w:i/>
                <w:iCs/>
                <w:sz w:val="20"/>
              </w:rPr>
            </w:pPr>
            <w:r w:rsidRPr="0013396E">
              <w:rPr>
                <w:i/>
                <w:iCs/>
                <w:sz w:val="20"/>
              </w:rPr>
              <w:t>q</w:t>
            </w:r>
          </w:p>
        </w:tc>
        <w:tc>
          <w:tcPr>
            <w:tcW w:w="474" w:type="pct"/>
            <w:tcBorders>
              <w:top w:val="single" w:sz="4" w:space="0" w:color="auto"/>
              <w:left w:val="single" w:sz="4" w:space="0" w:color="auto"/>
              <w:bottom w:val="single" w:sz="4" w:space="0" w:color="auto"/>
              <w:right w:val="single" w:sz="4" w:space="0" w:color="auto"/>
            </w:tcBorders>
            <w:hideMark/>
          </w:tcPr>
          <w:p w14:paraId="263C5E16" w14:textId="77777777" w:rsidR="00B361A1" w:rsidRPr="0013396E" w:rsidRDefault="00B361A1" w:rsidP="0099759E">
            <w:pPr>
              <w:spacing w:after="60"/>
              <w:rPr>
                <w:iCs/>
                <w:sz w:val="20"/>
              </w:rPr>
            </w:pPr>
            <w:r w:rsidRPr="0013396E">
              <w:rPr>
                <w:iCs/>
                <w:sz w:val="20"/>
              </w:rPr>
              <w:t>none</w:t>
            </w:r>
          </w:p>
        </w:tc>
        <w:tc>
          <w:tcPr>
            <w:tcW w:w="3295" w:type="pct"/>
            <w:tcBorders>
              <w:top w:val="single" w:sz="4" w:space="0" w:color="auto"/>
              <w:left w:val="single" w:sz="4" w:space="0" w:color="auto"/>
              <w:bottom w:val="single" w:sz="4" w:space="0" w:color="auto"/>
              <w:right w:val="single" w:sz="4" w:space="0" w:color="auto"/>
            </w:tcBorders>
            <w:hideMark/>
          </w:tcPr>
          <w:p w14:paraId="74F23F2A" w14:textId="77777777" w:rsidR="00B361A1" w:rsidRPr="0013396E" w:rsidRDefault="00B361A1" w:rsidP="0099759E">
            <w:pPr>
              <w:spacing w:after="60"/>
              <w:rPr>
                <w:iCs/>
                <w:sz w:val="20"/>
              </w:rPr>
            </w:pPr>
            <w:r w:rsidRPr="0013396E">
              <w:rPr>
                <w:iCs/>
                <w:sz w:val="20"/>
              </w:rPr>
              <w:t>A QSE.</w:t>
            </w:r>
          </w:p>
        </w:tc>
      </w:tr>
      <w:tr w:rsidR="00B361A1" w:rsidRPr="0013396E" w14:paraId="68ECBA35" w14:textId="77777777" w:rsidTr="0099759E">
        <w:trPr>
          <w:cantSplit/>
        </w:trPr>
        <w:tc>
          <w:tcPr>
            <w:tcW w:w="1231" w:type="pct"/>
            <w:tcBorders>
              <w:top w:val="single" w:sz="4" w:space="0" w:color="auto"/>
              <w:left w:val="single" w:sz="4" w:space="0" w:color="auto"/>
              <w:bottom w:val="single" w:sz="4" w:space="0" w:color="auto"/>
              <w:right w:val="single" w:sz="4" w:space="0" w:color="auto"/>
            </w:tcBorders>
            <w:hideMark/>
          </w:tcPr>
          <w:p w14:paraId="7A7D70A9" w14:textId="77777777" w:rsidR="00B361A1" w:rsidRPr="0013396E" w:rsidRDefault="00B361A1" w:rsidP="0099759E">
            <w:pPr>
              <w:spacing w:after="60"/>
              <w:rPr>
                <w:i/>
                <w:iCs/>
                <w:sz w:val="20"/>
              </w:rPr>
            </w:pPr>
            <w:r w:rsidRPr="0013396E">
              <w:rPr>
                <w:i/>
                <w:iCs/>
                <w:sz w:val="20"/>
              </w:rPr>
              <w:t>r</w:t>
            </w:r>
          </w:p>
        </w:tc>
        <w:tc>
          <w:tcPr>
            <w:tcW w:w="474" w:type="pct"/>
            <w:tcBorders>
              <w:top w:val="single" w:sz="4" w:space="0" w:color="auto"/>
              <w:left w:val="single" w:sz="4" w:space="0" w:color="auto"/>
              <w:bottom w:val="single" w:sz="4" w:space="0" w:color="auto"/>
              <w:right w:val="single" w:sz="4" w:space="0" w:color="auto"/>
            </w:tcBorders>
            <w:hideMark/>
          </w:tcPr>
          <w:p w14:paraId="39580C5D" w14:textId="77777777" w:rsidR="00B361A1" w:rsidRPr="0013396E" w:rsidRDefault="00B361A1" w:rsidP="0099759E">
            <w:pPr>
              <w:spacing w:after="60"/>
              <w:rPr>
                <w:iCs/>
                <w:sz w:val="20"/>
              </w:rPr>
            </w:pPr>
            <w:r w:rsidRPr="0013396E">
              <w:rPr>
                <w:iCs/>
                <w:sz w:val="20"/>
              </w:rPr>
              <w:t>none</w:t>
            </w:r>
          </w:p>
        </w:tc>
        <w:tc>
          <w:tcPr>
            <w:tcW w:w="3295" w:type="pct"/>
            <w:tcBorders>
              <w:top w:val="single" w:sz="4" w:space="0" w:color="auto"/>
              <w:left w:val="single" w:sz="4" w:space="0" w:color="auto"/>
              <w:bottom w:val="single" w:sz="4" w:space="0" w:color="auto"/>
              <w:right w:val="single" w:sz="4" w:space="0" w:color="auto"/>
            </w:tcBorders>
            <w:hideMark/>
          </w:tcPr>
          <w:p w14:paraId="01DF2720" w14:textId="77777777" w:rsidR="00B361A1" w:rsidRPr="0013396E" w:rsidRDefault="00B361A1" w:rsidP="0099759E">
            <w:pPr>
              <w:spacing w:after="60"/>
              <w:rPr>
                <w:iCs/>
                <w:sz w:val="20"/>
              </w:rPr>
            </w:pPr>
            <w:r w:rsidRPr="0013396E">
              <w:rPr>
                <w:iCs/>
                <w:sz w:val="20"/>
              </w:rPr>
              <w:t>A Generation Resource or ESR.</w:t>
            </w:r>
          </w:p>
        </w:tc>
      </w:tr>
      <w:tr w:rsidR="00B361A1" w:rsidRPr="0013396E" w14:paraId="11C180D8" w14:textId="77777777" w:rsidTr="0099759E">
        <w:trPr>
          <w:cantSplit/>
        </w:trPr>
        <w:tc>
          <w:tcPr>
            <w:tcW w:w="1231" w:type="pct"/>
            <w:tcBorders>
              <w:top w:val="single" w:sz="4" w:space="0" w:color="auto"/>
              <w:left w:val="single" w:sz="4" w:space="0" w:color="auto"/>
              <w:bottom w:val="single" w:sz="4" w:space="0" w:color="auto"/>
              <w:right w:val="single" w:sz="4" w:space="0" w:color="auto"/>
            </w:tcBorders>
            <w:hideMark/>
          </w:tcPr>
          <w:p w14:paraId="5CB07D50" w14:textId="77777777" w:rsidR="00B361A1" w:rsidRPr="0013396E" w:rsidRDefault="00B361A1" w:rsidP="0099759E">
            <w:pPr>
              <w:spacing w:after="60"/>
              <w:rPr>
                <w:i/>
                <w:iCs/>
                <w:sz w:val="20"/>
              </w:rPr>
            </w:pPr>
            <w:r w:rsidRPr="0013396E">
              <w:rPr>
                <w:i/>
                <w:iCs/>
                <w:sz w:val="20"/>
              </w:rPr>
              <w:t>p</w:t>
            </w:r>
          </w:p>
        </w:tc>
        <w:tc>
          <w:tcPr>
            <w:tcW w:w="474" w:type="pct"/>
            <w:tcBorders>
              <w:top w:val="single" w:sz="4" w:space="0" w:color="auto"/>
              <w:left w:val="single" w:sz="4" w:space="0" w:color="auto"/>
              <w:bottom w:val="single" w:sz="4" w:space="0" w:color="auto"/>
              <w:right w:val="single" w:sz="4" w:space="0" w:color="auto"/>
            </w:tcBorders>
            <w:hideMark/>
          </w:tcPr>
          <w:p w14:paraId="79C452C8" w14:textId="77777777" w:rsidR="00B361A1" w:rsidRPr="0013396E" w:rsidRDefault="00B361A1" w:rsidP="0099759E">
            <w:pPr>
              <w:spacing w:after="60"/>
              <w:rPr>
                <w:iCs/>
                <w:sz w:val="20"/>
              </w:rPr>
            </w:pPr>
            <w:r w:rsidRPr="0013396E">
              <w:rPr>
                <w:iCs/>
                <w:sz w:val="20"/>
              </w:rPr>
              <w:t>none</w:t>
            </w:r>
          </w:p>
        </w:tc>
        <w:tc>
          <w:tcPr>
            <w:tcW w:w="3295" w:type="pct"/>
            <w:tcBorders>
              <w:top w:val="single" w:sz="4" w:space="0" w:color="auto"/>
              <w:left w:val="single" w:sz="4" w:space="0" w:color="auto"/>
              <w:bottom w:val="single" w:sz="4" w:space="0" w:color="auto"/>
              <w:right w:val="single" w:sz="4" w:space="0" w:color="auto"/>
            </w:tcBorders>
            <w:hideMark/>
          </w:tcPr>
          <w:p w14:paraId="7BA8B1FF" w14:textId="77777777" w:rsidR="00B361A1" w:rsidRPr="0013396E" w:rsidRDefault="00B361A1" w:rsidP="0099759E">
            <w:pPr>
              <w:spacing w:after="60"/>
              <w:rPr>
                <w:iCs/>
                <w:sz w:val="18"/>
                <w:szCs w:val="18"/>
              </w:rPr>
            </w:pPr>
            <w:r w:rsidRPr="0013396E">
              <w:rPr>
                <w:iCs/>
                <w:sz w:val="20"/>
              </w:rPr>
              <w:t>A Resource Node Settlement Point.</w:t>
            </w:r>
          </w:p>
        </w:tc>
      </w:tr>
      <w:tr w:rsidR="00B361A1" w:rsidRPr="0013396E" w14:paraId="03E71BBF" w14:textId="77777777" w:rsidTr="0099759E">
        <w:trPr>
          <w:cantSplit/>
        </w:trPr>
        <w:tc>
          <w:tcPr>
            <w:tcW w:w="1231" w:type="pct"/>
            <w:tcBorders>
              <w:top w:val="single" w:sz="4" w:space="0" w:color="auto"/>
              <w:left w:val="single" w:sz="4" w:space="0" w:color="auto"/>
              <w:bottom w:val="single" w:sz="4" w:space="0" w:color="auto"/>
              <w:right w:val="single" w:sz="4" w:space="0" w:color="auto"/>
            </w:tcBorders>
            <w:hideMark/>
          </w:tcPr>
          <w:p w14:paraId="4778A606" w14:textId="77777777" w:rsidR="00B361A1" w:rsidRPr="0013396E" w:rsidRDefault="00B361A1" w:rsidP="0099759E">
            <w:pPr>
              <w:spacing w:after="60"/>
              <w:rPr>
                <w:i/>
                <w:iCs/>
                <w:sz w:val="20"/>
              </w:rPr>
            </w:pPr>
            <w:r w:rsidRPr="0013396E">
              <w:rPr>
                <w:i/>
                <w:iCs/>
                <w:sz w:val="20"/>
              </w:rPr>
              <w:lastRenderedPageBreak/>
              <w:t>i</w:t>
            </w:r>
          </w:p>
        </w:tc>
        <w:tc>
          <w:tcPr>
            <w:tcW w:w="474" w:type="pct"/>
            <w:tcBorders>
              <w:top w:val="single" w:sz="4" w:space="0" w:color="auto"/>
              <w:left w:val="single" w:sz="4" w:space="0" w:color="auto"/>
              <w:bottom w:val="single" w:sz="4" w:space="0" w:color="auto"/>
              <w:right w:val="single" w:sz="4" w:space="0" w:color="auto"/>
            </w:tcBorders>
            <w:hideMark/>
          </w:tcPr>
          <w:p w14:paraId="7A861FEC" w14:textId="77777777" w:rsidR="00B361A1" w:rsidRPr="0013396E" w:rsidRDefault="00B361A1" w:rsidP="0099759E">
            <w:pPr>
              <w:spacing w:after="60"/>
              <w:rPr>
                <w:iCs/>
                <w:sz w:val="20"/>
              </w:rPr>
            </w:pPr>
            <w:r w:rsidRPr="0013396E">
              <w:rPr>
                <w:iCs/>
                <w:sz w:val="20"/>
              </w:rPr>
              <w:t>none</w:t>
            </w:r>
          </w:p>
        </w:tc>
        <w:tc>
          <w:tcPr>
            <w:tcW w:w="3295" w:type="pct"/>
            <w:tcBorders>
              <w:top w:val="single" w:sz="4" w:space="0" w:color="auto"/>
              <w:left w:val="single" w:sz="4" w:space="0" w:color="auto"/>
              <w:bottom w:val="single" w:sz="4" w:space="0" w:color="auto"/>
              <w:right w:val="single" w:sz="4" w:space="0" w:color="auto"/>
            </w:tcBorders>
            <w:hideMark/>
          </w:tcPr>
          <w:p w14:paraId="0683A895" w14:textId="77777777" w:rsidR="00B361A1" w:rsidRPr="0013396E" w:rsidRDefault="00B361A1" w:rsidP="0099759E">
            <w:pPr>
              <w:spacing w:after="60"/>
              <w:rPr>
                <w:iCs/>
                <w:sz w:val="20"/>
              </w:rPr>
            </w:pPr>
            <w:r w:rsidRPr="0013396E">
              <w:rPr>
                <w:iCs/>
                <w:sz w:val="20"/>
              </w:rPr>
              <w:t>A 15-minute Settlement Interval.</w:t>
            </w:r>
          </w:p>
        </w:tc>
      </w:tr>
    </w:tbl>
    <w:p w14:paraId="4FEE20F0" w14:textId="77777777" w:rsidR="00F85B9C" w:rsidRPr="0013396E" w:rsidRDefault="00F85B9C" w:rsidP="00F85B9C">
      <w:pPr>
        <w:pStyle w:val="BodyText"/>
        <w:spacing w:after="0"/>
      </w:pPr>
      <w:bookmarkStart w:id="1676" w:name="_Toc481502896"/>
      <w:bookmarkStart w:id="1677" w:name="_Toc496080064"/>
    </w:p>
    <w:p w14:paraId="3BC3C208" w14:textId="43C4EF39" w:rsidR="00C57701" w:rsidRPr="0013396E" w:rsidRDefault="00C57701" w:rsidP="005A7D8E">
      <w:pPr>
        <w:pStyle w:val="H4"/>
      </w:pPr>
      <w:bookmarkStart w:id="1678" w:name="_Toc214878971"/>
      <w:r w:rsidRPr="0013396E">
        <w:t>6.6.3.</w:t>
      </w:r>
      <w:r w:rsidR="00720B34" w:rsidRPr="0013396E">
        <w:t>7</w:t>
      </w:r>
      <w:r w:rsidRPr="0013396E">
        <w:tab/>
        <w:t>Real-Time High Dispatch Limit Override Energy Charge</w:t>
      </w:r>
      <w:bookmarkEnd w:id="1676"/>
      <w:bookmarkEnd w:id="1677"/>
      <w:bookmarkEnd w:id="1678"/>
      <w:r w:rsidRPr="0013396E">
        <w:t xml:space="preserve"> </w:t>
      </w:r>
    </w:p>
    <w:p w14:paraId="5FF770A4" w14:textId="751A2915" w:rsidR="00C57701" w:rsidRPr="0013396E" w:rsidRDefault="00C57701" w:rsidP="00C57701">
      <w:pPr>
        <w:pStyle w:val="BodyTextNumbered"/>
      </w:pPr>
      <w:r w:rsidRPr="0013396E">
        <w:t xml:space="preserve">(1) </w:t>
      </w:r>
      <w:r w:rsidRPr="0013396E">
        <w:tab/>
        <w:t>ERCOT shall allocate to QSEs on a</w:t>
      </w:r>
      <w:r w:rsidR="00B55F80" w:rsidRPr="0013396E">
        <w:t>n</w:t>
      </w:r>
      <w:r w:rsidRPr="0013396E">
        <w:t xml:space="preserve"> LRS basis the total amount of the payment specified in Section 6.6.3.</w:t>
      </w:r>
      <w:r w:rsidR="00720B34" w:rsidRPr="0013396E">
        <w:t>6</w:t>
      </w:r>
      <w:r w:rsidRPr="0013396E">
        <w:t>, Real-Time High Dispatch Limit Override Energy Payment.  The charge to each QSE for a given 15-minute Settlement Interval is calculated as follows:</w:t>
      </w:r>
    </w:p>
    <w:p w14:paraId="32A92536" w14:textId="77777777" w:rsidR="00C57701" w:rsidRPr="0013396E" w:rsidRDefault="00C57701" w:rsidP="00C57701">
      <w:pPr>
        <w:pStyle w:val="FormulaBold"/>
      </w:pPr>
      <w:r w:rsidRPr="0013396E">
        <w:t>LAHDLOEAMT</w:t>
      </w:r>
      <w:r w:rsidRPr="0013396E">
        <w:rPr>
          <w:i/>
          <w:vertAlign w:val="subscript"/>
          <w:lang w:val="es-ES"/>
        </w:rPr>
        <w:t xml:space="preserve"> q, i </w:t>
      </w:r>
      <w:r w:rsidRPr="0013396E">
        <w:t xml:space="preserve">       =</w:t>
      </w:r>
      <w:r w:rsidRPr="0013396E">
        <w:tab/>
        <w:t xml:space="preserve">(-1) * HDLOEAMTTOT * LRS </w:t>
      </w:r>
      <w:r w:rsidRPr="0013396E">
        <w:rPr>
          <w:i/>
          <w:vertAlign w:val="subscript"/>
          <w:lang w:val="es-ES"/>
        </w:rPr>
        <w:t xml:space="preserve">q, i </w:t>
      </w:r>
      <w:r w:rsidRPr="0013396E">
        <w:t xml:space="preserve"> </w:t>
      </w:r>
    </w:p>
    <w:p w14:paraId="1E055618" w14:textId="77777777" w:rsidR="00C57701" w:rsidRPr="0013396E" w:rsidRDefault="00C57701" w:rsidP="00C57701">
      <w:pPr>
        <w:pStyle w:val="BodyText"/>
      </w:pPr>
      <w:r w:rsidRPr="0013396E">
        <w:t>Where:</w:t>
      </w:r>
    </w:p>
    <w:p w14:paraId="4DC4A984" w14:textId="77777777" w:rsidR="00C57701" w:rsidRPr="0013396E" w:rsidRDefault="00C57701" w:rsidP="00C57701">
      <w:pPr>
        <w:pStyle w:val="Formula"/>
        <w:ind w:left="2880" w:hanging="2160"/>
        <w:rPr>
          <w:i/>
          <w:vertAlign w:val="subscript"/>
        </w:rPr>
      </w:pPr>
      <w:r w:rsidRPr="0013396E">
        <w:t>HDLOEAMTTOT</w:t>
      </w:r>
      <w:r w:rsidRPr="0013396E">
        <w:rPr>
          <w:i/>
          <w:vertAlign w:val="subscript"/>
          <w:lang w:val="es-ES"/>
        </w:rPr>
        <w:t>i</w:t>
      </w:r>
      <w:r w:rsidRPr="0013396E">
        <w:t xml:space="preserve"> </w:t>
      </w:r>
      <w:r w:rsidRPr="0013396E">
        <w:tab/>
        <w:t>=</w:t>
      </w:r>
      <w:r w:rsidRPr="0013396E">
        <w:tab/>
      </w:r>
      <w:r w:rsidRPr="0013396E">
        <w:rPr>
          <w:position w:val="-22"/>
        </w:rPr>
        <w:object w:dxaOrig="220" w:dyaOrig="460" w14:anchorId="43ECF7BD">
          <v:shape id="_x0000_i1131" type="#_x0000_t75" style="width:6pt;height:18pt" o:ole="">
            <v:imagedata r:id="rId155" o:title=""/>
          </v:shape>
          <o:OLEObject Type="Embed" ProgID="Equation.3" ShapeID="_x0000_i1131" DrawAspect="Content" ObjectID="_1836311410" r:id="rId156"/>
        </w:object>
      </w:r>
      <w:r w:rsidRPr="0013396E">
        <w:t xml:space="preserve"> HDLOEAMTQSETOT</w:t>
      </w:r>
      <w:r w:rsidRPr="0013396E">
        <w:rPr>
          <w:i/>
          <w:vertAlign w:val="subscript"/>
          <w:lang w:val="es-ES"/>
        </w:rPr>
        <w:t xml:space="preserve"> q, i</w:t>
      </w:r>
      <w:r w:rsidRPr="0013396E">
        <w:rPr>
          <w:b/>
          <w:i/>
          <w:vertAlign w:val="subscript"/>
          <w:lang w:val="es-ES"/>
        </w:rPr>
        <w:t xml:space="preserve"> </w:t>
      </w:r>
      <w:r w:rsidRPr="0013396E">
        <w:rPr>
          <w:b/>
        </w:rPr>
        <w:t xml:space="preserve"> </w:t>
      </w:r>
    </w:p>
    <w:p w14:paraId="0CA7FBC8" w14:textId="77777777" w:rsidR="00C57701" w:rsidRPr="0013396E" w:rsidRDefault="00C57701" w:rsidP="00C57701">
      <w:r w:rsidRPr="0013396E">
        <w:t>The above variables are defined as follows:</w:t>
      </w:r>
    </w:p>
    <w:tbl>
      <w:tblPr>
        <w:tblW w:w="9576"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4"/>
        <w:gridCol w:w="737"/>
        <w:gridCol w:w="6425"/>
      </w:tblGrid>
      <w:tr w:rsidR="00C57701" w:rsidRPr="0013396E" w14:paraId="08C1DC31" w14:textId="77777777" w:rsidTr="00925E7F">
        <w:trPr>
          <w:tblHeader/>
        </w:trPr>
        <w:tc>
          <w:tcPr>
            <w:tcW w:w="2414" w:type="dxa"/>
          </w:tcPr>
          <w:p w14:paraId="2372DE6E" w14:textId="77777777" w:rsidR="00C57701" w:rsidRPr="0013396E" w:rsidRDefault="00C57701" w:rsidP="00EC4D68">
            <w:pPr>
              <w:pStyle w:val="TableHead"/>
            </w:pPr>
            <w:r w:rsidRPr="0013396E">
              <w:t>Variable</w:t>
            </w:r>
          </w:p>
        </w:tc>
        <w:tc>
          <w:tcPr>
            <w:tcW w:w="737" w:type="dxa"/>
          </w:tcPr>
          <w:p w14:paraId="08CBF356" w14:textId="77777777" w:rsidR="00C57701" w:rsidRPr="0013396E" w:rsidRDefault="00C57701" w:rsidP="00EC4D68">
            <w:pPr>
              <w:pStyle w:val="TableHead"/>
            </w:pPr>
            <w:r w:rsidRPr="0013396E">
              <w:t>Unit</w:t>
            </w:r>
          </w:p>
        </w:tc>
        <w:tc>
          <w:tcPr>
            <w:tcW w:w="6425" w:type="dxa"/>
          </w:tcPr>
          <w:p w14:paraId="1342E7C3" w14:textId="77777777" w:rsidR="00C57701" w:rsidRPr="0013396E" w:rsidRDefault="00C57701" w:rsidP="00EC4D68">
            <w:pPr>
              <w:pStyle w:val="TableHead"/>
            </w:pPr>
            <w:r w:rsidRPr="0013396E">
              <w:t>Definition</w:t>
            </w:r>
          </w:p>
        </w:tc>
      </w:tr>
      <w:tr w:rsidR="00C57701" w:rsidRPr="0013396E" w14:paraId="1DAD5DD0" w14:textId="77777777" w:rsidTr="00925E7F">
        <w:trPr>
          <w:cantSplit/>
        </w:trPr>
        <w:tc>
          <w:tcPr>
            <w:tcW w:w="2414" w:type="dxa"/>
          </w:tcPr>
          <w:p w14:paraId="1028E7B2" w14:textId="77777777" w:rsidR="00C57701" w:rsidRPr="0013396E" w:rsidRDefault="00C57701" w:rsidP="00EC4D68">
            <w:pPr>
              <w:pStyle w:val="TableBody"/>
            </w:pPr>
            <w:r w:rsidRPr="0013396E">
              <w:t xml:space="preserve">LAHDLOPEAMT </w:t>
            </w:r>
            <w:r w:rsidRPr="0013396E">
              <w:rPr>
                <w:i/>
                <w:vertAlign w:val="subscript"/>
              </w:rPr>
              <w:t>q</w:t>
            </w:r>
            <w:r w:rsidRPr="0013396E">
              <w:rPr>
                <w:vertAlign w:val="subscript"/>
              </w:rPr>
              <w:t xml:space="preserve"> </w:t>
            </w:r>
          </w:p>
        </w:tc>
        <w:tc>
          <w:tcPr>
            <w:tcW w:w="737" w:type="dxa"/>
          </w:tcPr>
          <w:p w14:paraId="0C4D4B5E" w14:textId="77777777" w:rsidR="00C57701" w:rsidRPr="0013396E" w:rsidRDefault="00C57701" w:rsidP="00EC4D68">
            <w:pPr>
              <w:pStyle w:val="TableBody"/>
            </w:pPr>
            <w:r w:rsidRPr="0013396E">
              <w:t>$</w:t>
            </w:r>
          </w:p>
        </w:tc>
        <w:tc>
          <w:tcPr>
            <w:tcW w:w="6425" w:type="dxa"/>
          </w:tcPr>
          <w:p w14:paraId="0C51155E" w14:textId="77777777" w:rsidR="00C57701" w:rsidRPr="0013396E" w:rsidRDefault="00C57701" w:rsidP="00EC4D68">
            <w:pPr>
              <w:pStyle w:val="TableBody"/>
            </w:pPr>
            <w:r w:rsidRPr="0013396E">
              <w:rPr>
                <w:i/>
              </w:rPr>
              <w:t>Load-Allocated High Dispatch Limit override energy amount per QSE</w:t>
            </w:r>
            <w:r w:rsidRPr="0013396E">
              <w:t xml:space="preserve">—The charge to QSE </w:t>
            </w:r>
            <w:r w:rsidRPr="0013396E">
              <w:rPr>
                <w:i/>
              </w:rPr>
              <w:t>q</w:t>
            </w:r>
            <w:r w:rsidRPr="0013396E">
              <w:t xml:space="preserve"> for an HDL override, for the 15-minute Settlement Interval.</w:t>
            </w:r>
          </w:p>
        </w:tc>
      </w:tr>
      <w:tr w:rsidR="00C57701" w:rsidRPr="0013396E" w14:paraId="575EDF39" w14:textId="77777777" w:rsidTr="00925E7F">
        <w:trPr>
          <w:cantSplit/>
        </w:trPr>
        <w:tc>
          <w:tcPr>
            <w:tcW w:w="2414" w:type="dxa"/>
          </w:tcPr>
          <w:p w14:paraId="1EF4C3EA" w14:textId="77777777" w:rsidR="00C57701" w:rsidRPr="0013396E" w:rsidRDefault="00C57701" w:rsidP="00EC4D68">
            <w:pPr>
              <w:pStyle w:val="TableBody"/>
            </w:pPr>
            <w:r w:rsidRPr="0013396E">
              <w:t>HDLOEAMTTOT</w:t>
            </w:r>
            <w:r w:rsidRPr="0013396E">
              <w:rPr>
                <w:i/>
                <w:vertAlign w:val="subscript"/>
                <w:lang w:val="es-ES"/>
              </w:rPr>
              <w:t xml:space="preserve"> i</w:t>
            </w:r>
            <w:r w:rsidRPr="0013396E">
              <w:rPr>
                <w:b/>
                <w:i/>
                <w:vertAlign w:val="subscript"/>
                <w:lang w:val="es-ES"/>
              </w:rPr>
              <w:t xml:space="preserve"> </w:t>
            </w:r>
            <w:r w:rsidRPr="0013396E">
              <w:rPr>
                <w:b/>
              </w:rPr>
              <w:t xml:space="preserve"> </w:t>
            </w:r>
          </w:p>
        </w:tc>
        <w:tc>
          <w:tcPr>
            <w:tcW w:w="737" w:type="dxa"/>
          </w:tcPr>
          <w:p w14:paraId="2F0CA932" w14:textId="77777777" w:rsidR="00C57701" w:rsidRPr="0013396E" w:rsidRDefault="00C57701" w:rsidP="00EC4D68">
            <w:pPr>
              <w:pStyle w:val="TableBody"/>
            </w:pPr>
            <w:r w:rsidRPr="0013396E">
              <w:t>$</w:t>
            </w:r>
          </w:p>
        </w:tc>
        <w:tc>
          <w:tcPr>
            <w:tcW w:w="6425" w:type="dxa"/>
          </w:tcPr>
          <w:p w14:paraId="13C3BE0E" w14:textId="77777777" w:rsidR="00C57701" w:rsidRPr="0013396E" w:rsidRDefault="00C57701" w:rsidP="00EC4D68">
            <w:pPr>
              <w:pStyle w:val="TableBody"/>
              <w:rPr>
                <w:i/>
              </w:rPr>
            </w:pPr>
            <w:r w:rsidRPr="0013396E">
              <w:rPr>
                <w:i/>
              </w:rPr>
              <w:t>High Dispatch Limit energy amount total</w:t>
            </w:r>
            <w:r w:rsidRPr="0013396E">
              <w:t xml:space="preserve">—The total of payments to all QSEs for HDL overrides, for the 15-minute Settlement Interval </w:t>
            </w:r>
            <w:r w:rsidRPr="0013396E">
              <w:rPr>
                <w:i/>
              </w:rPr>
              <w:t>i</w:t>
            </w:r>
            <w:r w:rsidRPr="0013396E">
              <w:t>.</w:t>
            </w:r>
          </w:p>
        </w:tc>
      </w:tr>
      <w:tr w:rsidR="00C57701" w:rsidRPr="0013396E" w14:paraId="15AA135D" w14:textId="77777777" w:rsidTr="00925E7F">
        <w:trPr>
          <w:cantSplit/>
        </w:trPr>
        <w:tc>
          <w:tcPr>
            <w:tcW w:w="2414" w:type="dxa"/>
          </w:tcPr>
          <w:p w14:paraId="6DA67A20" w14:textId="77777777" w:rsidR="00C57701" w:rsidRPr="0013396E" w:rsidRDefault="00C57701" w:rsidP="00EC4D68">
            <w:pPr>
              <w:pStyle w:val="TableBody"/>
            </w:pPr>
            <w:r w:rsidRPr="0013396E">
              <w:t xml:space="preserve">HDLOEAMTQSETOT </w:t>
            </w:r>
            <w:r w:rsidRPr="0013396E">
              <w:rPr>
                <w:i/>
                <w:vertAlign w:val="subscript"/>
                <w:lang w:val="es-ES"/>
              </w:rPr>
              <w:t>q, i</w:t>
            </w:r>
            <w:r w:rsidRPr="0013396E">
              <w:rPr>
                <w:b/>
                <w:i/>
                <w:vertAlign w:val="subscript"/>
                <w:lang w:val="es-ES"/>
              </w:rPr>
              <w:t xml:space="preserve"> </w:t>
            </w:r>
            <w:r w:rsidRPr="0013396E">
              <w:rPr>
                <w:b/>
              </w:rPr>
              <w:t xml:space="preserve"> </w:t>
            </w:r>
          </w:p>
        </w:tc>
        <w:tc>
          <w:tcPr>
            <w:tcW w:w="737" w:type="dxa"/>
          </w:tcPr>
          <w:p w14:paraId="26A81776" w14:textId="77777777" w:rsidR="00C57701" w:rsidRPr="0013396E" w:rsidRDefault="00C57701" w:rsidP="00EC4D68">
            <w:pPr>
              <w:pStyle w:val="TableBody"/>
            </w:pPr>
            <w:r w:rsidRPr="0013396E">
              <w:t>$</w:t>
            </w:r>
          </w:p>
        </w:tc>
        <w:tc>
          <w:tcPr>
            <w:tcW w:w="6425" w:type="dxa"/>
          </w:tcPr>
          <w:p w14:paraId="1998CAD5" w14:textId="77777777" w:rsidR="00C57701" w:rsidRPr="0013396E" w:rsidRDefault="00C57701" w:rsidP="00EC4D68">
            <w:pPr>
              <w:pStyle w:val="TableBody"/>
              <w:rPr>
                <w:i/>
              </w:rPr>
            </w:pPr>
            <w:r w:rsidRPr="0013396E">
              <w:rPr>
                <w:i/>
              </w:rPr>
              <w:t>High Dispatch Limit override energy amount QSE total per QSE</w:t>
            </w:r>
            <w:r w:rsidRPr="0013396E">
              <w:t xml:space="preserve">—The total of the energy payments to QSE </w:t>
            </w:r>
            <w:r w:rsidRPr="0013396E">
              <w:rPr>
                <w:i/>
              </w:rPr>
              <w:t>q</w:t>
            </w:r>
            <w:r w:rsidRPr="0013396E">
              <w:t xml:space="preserve"> as compensation for an HDL override for this QSE for the 15-minute Settlement Interval </w:t>
            </w:r>
            <w:r w:rsidRPr="0013396E">
              <w:rPr>
                <w:i/>
              </w:rPr>
              <w:t>i</w:t>
            </w:r>
            <w:r w:rsidRPr="0013396E">
              <w:t>.</w:t>
            </w:r>
          </w:p>
        </w:tc>
      </w:tr>
      <w:tr w:rsidR="00C57701" w:rsidRPr="0013396E" w14:paraId="2C86EAA2" w14:textId="77777777" w:rsidTr="00925E7F">
        <w:trPr>
          <w:cantSplit/>
        </w:trPr>
        <w:tc>
          <w:tcPr>
            <w:tcW w:w="2414" w:type="dxa"/>
          </w:tcPr>
          <w:p w14:paraId="38B5A34A" w14:textId="77777777" w:rsidR="00C57701" w:rsidRPr="0013396E" w:rsidRDefault="00C57701" w:rsidP="00EC4D68">
            <w:pPr>
              <w:pStyle w:val="TableBody"/>
            </w:pPr>
            <w:r w:rsidRPr="0013396E">
              <w:t xml:space="preserve">LRS </w:t>
            </w:r>
            <w:r w:rsidRPr="0013396E">
              <w:rPr>
                <w:i/>
                <w:vertAlign w:val="subscript"/>
                <w:lang w:val="es-ES"/>
              </w:rPr>
              <w:t>q, i</w:t>
            </w:r>
            <w:r w:rsidRPr="0013396E">
              <w:rPr>
                <w:b/>
                <w:i/>
                <w:vertAlign w:val="subscript"/>
                <w:lang w:val="es-ES"/>
              </w:rPr>
              <w:t xml:space="preserve"> </w:t>
            </w:r>
            <w:r w:rsidRPr="0013396E">
              <w:rPr>
                <w:b/>
              </w:rPr>
              <w:t xml:space="preserve"> </w:t>
            </w:r>
          </w:p>
        </w:tc>
        <w:tc>
          <w:tcPr>
            <w:tcW w:w="737" w:type="dxa"/>
          </w:tcPr>
          <w:p w14:paraId="2B4612D2" w14:textId="77777777" w:rsidR="00C57701" w:rsidRPr="0013396E" w:rsidRDefault="00C57701" w:rsidP="00EC4D68">
            <w:pPr>
              <w:pStyle w:val="TableBody"/>
            </w:pPr>
            <w:r w:rsidRPr="0013396E">
              <w:t>none</w:t>
            </w:r>
          </w:p>
        </w:tc>
        <w:tc>
          <w:tcPr>
            <w:tcW w:w="6425" w:type="dxa"/>
          </w:tcPr>
          <w:p w14:paraId="3A4CB9F6" w14:textId="77777777" w:rsidR="00C57701" w:rsidRPr="0013396E" w:rsidRDefault="00C57701" w:rsidP="00EC4D68">
            <w:pPr>
              <w:pStyle w:val="TableBody"/>
            </w:pPr>
            <w:r w:rsidRPr="0013396E">
              <w:rPr>
                <w:i/>
              </w:rPr>
              <w:t>The Load Ratio Share</w:t>
            </w:r>
            <w:r w:rsidRPr="0013396E">
              <w:t xml:space="preserve"> calculated for QSE </w:t>
            </w:r>
            <w:r w:rsidRPr="0013396E">
              <w:rPr>
                <w:i/>
              </w:rPr>
              <w:t>q</w:t>
            </w:r>
            <w:r w:rsidRPr="0013396E">
              <w:t xml:space="preserve"> for the 15-minute Settlement Interval </w:t>
            </w:r>
            <w:r w:rsidRPr="0013396E">
              <w:rPr>
                <w:i/>
              </w:rPr>
              <w:t>i</w:t>
            </w:r>
            <w:r w:rsidRPr="0013396E">
              <w:t>.  See Section 6.6.2.2, QSE Load Ratio Share for a 15-Minute Settlement Interval.</w:t>
            </w:r>
          </w:p>
        </w:tc>
      </w:tr>
      <w:tr w:rsidR="00C57701" w:rsidRPr="0013396E" w14:paraId="5172CE38" w14:textId="77777777" w:rsidTr="00925E7F">
        <w:trPr>
          <w:cantSplit/>
        </w:trPr>
        <w:tc>
          <w:tcPr>
            <w:tcW w:w="2414" w:type="dxa"/>
            <w:tcBorders>
              <w:top w:val="single" w:sz="4" w:space="0" w:color="auto"/>
              <w:left w:val="single" w:sz="4" w:space="0" w:color="auto"/>
              <w:bottom w:val="single" w:sz="4" w:space="0" w:color="auto"/>
              <w:right w:val="single" w:sz="4" w:space="0" w:color="auto"/>
            </w:tcBorders>
          </w:tcPr>
          <w:p w14:paraId="4EE421A4" w14:textId="77777777" w:rsidR="00C57701" w:rsidRPr="0013396E" w:rsidRDefault="00C57701" w:rsidP="00EC4D68">
            <w:pPr>
              <w:pStyle w:val="TableBody"/>
              <w:rPr>
                <w:i/>
              </w:rPr>
            </w:pPr>
            <w:r w:rsidRPr="0013396E">
              <w:rPr>
                <w:i/>
              </w:rPr>
              <w:t>q</w:t>
            </w:r>
          </w:p>
        </w:tc>
        <w:tc>
          <w:tcPr>
            <w:tcW w:w="737" w:type="dxa"/>
            <w:tcBorders>
              <w:top w:val="single" w:sz="4" w:space="0" w:color="auto"/>
              <w:left w:val="single" w:sz="4" w:space="0" w:color="auto"/>
              <w:bottom w:val="single" w:sz="4" w:space="0" w:color="auto"/>
              <w:right w:val="single" w:sz="4" w:space="0" w:color="auto"/>
            </w:tcBorders>
          </w:tcPr>
          <w:p w14:paraId="20EB73C9" w14:textId="77777777" w:rsidR="00C57701" w:rsidRPr="0013396E" w:rsidRDefault="00C57701" w:rsidP="00EC4D68">
            <w:pPr>
              <w:pStyle w:val="TableBody"/>
            </w:pPr>
            <w:r w:rsidRPr="0013396E">
              <w:t>none</w:t>
            </w:r>
          </w:p>
        </w:tc>
        <w:tc>
          <w:tcPr>
            <w:tcW w:w="6425" w:type="dxa"/>
            <w:tcBorders>
              <w:top w:val="single" w:sz="4" w:space="0" w:color="auto"/>
              <w:left w:val="single" w:sz="4" w:space="0" w:color="auto"/>
              <w:bottom w:val="single" w:sz="4" w:space="0" w:color="auto"/>
              <w:right w:val="single" w:sz="4" w:space="0" w:color="auto"/>
            </w:tcBorders>
          </w:tcPr>
          <w:p w14:paraId="03C5AC62" w14:textId="77777777" w:rsidR="00C57701" w:rsidRPr="0013396E" w:rsidRDefault="00C57701" w:rsidP="00EC4D68">
            <w:pPr>
              <w:pStyle w:val="TableBody"/>
            </w:pPr>
            <w:r w:rsidRPr="0013396E">
              <w:t>A QSE.</w:t>
            </w:r>
          </w:p>
        </w:tc>
      </w:tr>
      <w:tr w:rsidR="00C57701" w:rsidRPr="0013396E" w14:paraId="50003014" w14:textId="77777777" w:rsidTr="00925E7F">
        <w:trPr>
          <w:cantSplit/>
        </w:trPr>
        <w:tc>
          <w:tcPr>
            <w:tcW w:w="2414" w:type="dxa"/>
            <w:tcBorders>
              <w:top w:val="single" w:sz="4" w:space="0" w:color="auto"/>
              <w:left w:val="single" w:sz="4" w:space="0" w:color="auto"/>
              <w:bottom w:val="single" w:sz="4" w:space="0" w:color="auto"/>
              <w:right w:val="single" w:sz="4" w:space="0" w:color="auto"/>
            </w:tcBorders>
          </w:tcPr>
          <w:p w14:paraId="3C5E1109" w14:textId="77777777" w:rsidR="00C57701" w:rsidRPr="0013396E" w:rsidRDefault="00C57701" w:rsidP="00EC4D68">
            <w:pPr>
              <w:pStyle w:val="TableBody"/>
            </w:pPr>
            <w:r w:rsidRPr="0013396E">
              <w:rPr>
                <w:i/>
              </w:rPr>
              <w:t>i</w:t>
            </w:r>
          </w:p>
        </w:tc>
        <w:tc>
          <w:tcPr>
            <w:tcW w:w="737" w:type="dxa"/>
            <w:tcBorders>
              <w:top w:val="single" w:sz="4" w:space="0" w:color="auto"/>
              <w:left w:val="single" w:sz="4" w:space="0" w:color="auto"/>
              <w:bottom w:val="single" w:sz="4" w:space="0" w:color="auto"/>
              <w:right w:val="single" w:sz="4" w:space="0" w:color="auto"/>
            </w:tcBorders>
          </w:tcPr>
          <w:p w14:paraId="7FC0662D" w14:textId="77777777" w:rsidR="00C57701" w:rsidRPr="0013396E" w:rsidRDefault="00C57701" w:rsidP="00EC4D68">
            <w:pPr>
              <w:pStyle w:val="TableBody"/>
            </w:pPr>
            <w:r w:rsidRPr="0013396E">
              <w:t>none</w:t>
            </w:r>
          </w:p>
        </w:tc>
        <w:tc>
          <w:tcPr>
            <w:tcW w:w="6425" w:type="dxa"/>
            <w:tcBorders>
              <w:top w:val="single" w:sz="4" w:space="0" w:color="auto"/>
              <w:left w:val="single" w:sz="4" w:space="0" w:color="auto"/>
              <w:bottom w:val="single" w:sz="4" w:space="0" w:color="auto"/>
              <w:right w:val="single" w:sz="4" w:space="0" w:color="auto"/>
            </w:tcBorders>
          </w:tcPr>
          <w:p w14:paraId="131CB95F" w14:textId="77777777" w:rsidR="00C57701" w:rsidRPr="0013396E" w:rsidRDefault="00C57701" w:rsidP="00EC4D68">
            <w:pPr>
              <w:pStyle w:val="TableBody"/>
            </w:pPr>
            <w:r w:rsidRPr="0013396E">
              <w:t>A 15-minute Settlement Interval.</w:t>
            </w:r>
          </w:p>
        </w:tc>
      </w:tr>
    </w:tbl>
    <w:p w14:paraId="23B56615" w14:textId="07A7007F" w:rsidR="00925E7F" w:rsidRPr="0013396E" w:rsidRDefault="00925E7F" w:rsidP="00925E7F">
      <w:pPr>
        <w:keepNext/>
        <w:widowControl w:val="0"/>
        <w:tabs>
          <w:tab w:val="left" w:pos="1260"/>
        </w:tabs>
        <w:spacing w:before="480" w:after="240"/>
        <w:ind w:left="1260" w:hanging="1260"/>
        <w:outlineLvl w:val="3"/>
        <w:rPr>
          <w:b/>
          <w:bCs/>
          <w:snapToGrid w:val="0"/>
        </w:rPr>
      </w:pPr>
      <w:bookmarkStart w:id="1679" w:name="_Toc214878972"/>
      <w:r w:rsidRPr="0013396E">
        <w:rPr>
          <w:b/>
          <w:bCs/>
          <w:snapToGrid w:val="0"/>
        </w:rPr>
        <w:t>6.6.3.</w:t>
      </w:r>
      <w:r w:rsidR="00720B34" w:rsidRPr="0013396E">
        <w:rPr>
          <w:b/>
          <w:bCs/>
          <w:snapToGrid w:val="0"/>
        </w:rPr>
        <w:t>8</w:t>
      </w:r>
      <w:r w:rsidRPr="0013396E">
        <w:rPr>
          <w:b/>
          <w:bCs/>
          <w:snapToGrid w:val="0"/>
        </w:rPr>
        <w:tab/>
        <w:t>Real-Time Payment or Charge for Energy from a Settlement Only Distribution Generator (SODG) or a Settlement Only Transmission Generator (SOTG)</w:t>
      </w:r>
      <w:bookmarkEnd w:id="1679"/>
      <w:r w:rsidRPr="0013396E">
        <w:rPr>
          <w:b/>
          <w:bCs/>
          <w:snapToGrid w:val="0"/>
        </w:rPr>
        <w:t xml:space="preserve"> </w:t>
      </w:r>
    </w:p>
    <w:p w14:paraId="0A67FC26" w14:textId="4FCE0B4D" w:rsidR="00925E7F" w:rsidRPr="0013396E" w:rsidRDefault="00925E7F" w:rsidP="00925E7F">
      <w:pPr>
        <w:widowControl w:val="0"/>
        <w:spacing w:after="240"/>
        <w:ind w:left="720" w:hanging="720"/>
      </w:pPr>
      <w:r w:rsidRPr="0013396E">
        <w:t>(1)</w:t>
      </w:r>
      <w:r w:rsidRPr="0013396E">
        <w:tab/>
        <w:t>The payment or charge to each QSE for energy from an SODG or an SOTG shall be based on an identified nodal energy price, RTESOGPR, as described in this subsection, with the following exceptions:</w:t>
      </w:r>
    </w:p>
    <w:p w14:paraId="5240EAFC" w14:textId="77777777" w:rsidR="00925E7F" w:rsidRPr="0013396E" w:rsidRDefault="00925E7F" w:rsidP="00925E7F">
      <w:pPr>
        <w:pStyle w:val="List"/>
      </w:pPr>
      <w:r w:rsidRPr="0013396E">
        <w:t>(a)</w:t>
      </w:r>
      <w:r w:rsidRPr="0013396E">
        <w:tab/>
        <w:t xml:space="preserve">An SODG or SOTG that has opted out of nodal pricing as described in paragraph (5) below; or </w:t>
      </w:r>
    </w:p>
    <w:p w14:paraId="0119F3EC" w14:textId="42F8738B" w:rsidR="00925E7F" w:rsidRPr="0013396E" w:rsidRDefault="00925E7F" w:rsidP="00925E7F">
      <w:pPr>
        <w:pStyle w:val="List"/>
      </w:pPr>
      <w:r w:rsidRPr="0013396E">
        <w:t>(b)</w:t>
      </w:r>
      <w:r w:rsidRPr="0013396E">
        <w:tab/>
        <w:t>Any site with one or more ESS SODGs or SOTGs where the ESS capacity constitutes more than 50% of the site’s total SOG nameplate capacity.</w:t>
      </w:r>
    </w:p>
    <w:p w14:paraId="5BAF525D" w14:textId="07F1320B" w:rsidR="00925E7F" w:rsidRPr="0013396E" w:rsidRDefault="00925E7F" w:rsidP="00925E7F">
      <w:pPr>
        <w:widowControl w:val="0"/>
        <w:spacing w:after="240"/>
        <w:ind w:left="720" w:hanging="720"/>
      </w:pPr>
      <w:r w:rsidRPr="0013396E">
        <w:t>(2)</w:t>
      </w:r>
      <w:r w:rsidRPr="0013396E">
        <w:tab/>
        <w:t xml:space="preserve">For an SODG, the price used as the basis for the 15-minute Real-Time price calculation is </w:t>
      </w:r>
      <w:r w:rsidRPr="0013396E">
        <w:lastRenderedPageBreak/>
        <w:t>the time-weighted price at the Electrical Bus associated with this mapped Load in the Network Operations Model.  For an SOTG, the price used as the basis for the 15-minute Real-Time price calculation is the time-weighted price at the Electrical Bus as determined by ERCOT in review of the meter location of the SOTG in the Network Operations Model.  SODG and SOTG sites will be represented as a single unit in the ERCOT Settlement system.</w:t>
      </w:r>
    </w:p>
    <w:p w14:paraId="6FF7AB60" w14:textId="77777777" w:rsidR="00925E7F" w:rsidRPr="0013396E" w:rsidRDefault="00925E7F" w:rsidP="00925E7F">
      <w:pPr>
        <w:widowControl w:val="0"/>
        <w:spacing w:after="240"/>
        <w:ind w:left="720" w:hanging="720"/>
      </w:pPr>
      <w:r w:rsidRPr="0013396E">
        <w:t>(3)</w:t>
      </w:r>
      <w:r w:rsidRPr="0013396E">
        <w:tab/>
        <w:t>For an SODG or an SOTG, the total payment or charge for each 15-minute Settlement Interval shall be calculated as follows:</w:t>
      </w:r>
    </w:p>
    <w:p w14:paraId="2CE62C1E" w14:textId="77777777" w:rsidR="00925E7F" w:rsidRPr="0013396E" w:rsidRDefault="00925E7F" w:rsidP="00925E7F">
      <w:pPr>
        <w:pStyle w:val="FormulaBold"/>
      </w:pPr>
      <w:r w:rsidRPr="0013396E">
        <w:t>MEBSOGNET</w:t>
      </w:r>
      <w:r w:rsidRPr="0013396E">
        <w:rPr>
          <w:i/>
          <w:sz w:val="28"/>
          <w:szCs w:val="28"/>
          <w:vertAlign w:val="subscript"/>
        </w:rPr>
        <w:t xml:space="preserve"> q,</w:t>
      </w:r>
      <w:r w:rsidRPr="0013396E">
        <w:t xml:space="preserve"> </w:t>
      </w:r>
      <w:r w:rsidRPr="0013396E">
        <w:rPr>
          <w:i/>
          <w:sz w:val="28"/>
          <w:szCs w:val="28"/>
          <w:vertAlign w:val="subscript"/>
        </w:rPr>
        <w:t>gsc</w:t>
      </w:r>
      <w:r w:rsidRPr="0013396E">
        <w:t xml:space="preserve"> =   Max(0, </w:t>
      </w:r>
      <w:r w:rsidRPr="0013396E">
        <w:rPr>
          <w:position w:val="-20"/>
        </w:rPr>
        <w:object w:dxaOrig="225" w:dyaOrig="435" w14:anchorId="50FD9FBE">
          <v:shape id="_x0000_i1132" type="#_x0000_t75" style="width:12pt;height:24pt" o:ole="">
            <v:imagedata r:id="rId157" o:title=""/>
          </v:shape>
          <o:OLEObject Type="Embed" ProgID="Equation.3" ShapeID="_x0000_i1132" DrawAspect="Content" ObjectID="_1836311411" r:id="rId158"/>
        </w:object>
      </w:r>
      <w:r w:rsidRPr="0013396E">
        <w:t>MEBSOG</w:t>
      </w:r>
      <w:r w:rsidRPr="0013396E">
        <w:rPr>
          <w:i/>
          <w:vertAlign w:val="subscript"/>
        </w:rPr>
        <w:t xml:space="preserve"> q, gsc, b</w:t>
      </w:r>
      <w:r w:rsidRPr="0013396E">
        <w:t>)</w:t>
      </w:r>
    </w:p>
    <w:p w14:paraId="15374A8D" w14:textId="77777777" w:rsidR="00925E7F" w:rsidRPr="0013396E" w:rsidRDefault="00925E7F" w:rsidP="00925E7F">
      <w:pPr>
        <w:pStyle w:val="BodyTextNumbered"/>
        <w:widowControl w:val="0"/>
        <w:ind w:firstLine="0"/>
      </w:pPr>
      <w:r w:rsidRPr="0013396E">
        <w:t>If MEBSOGNET</w:t>
      </w:r>
      <w:r w:rsidRPr="0013396E">
        <w:rPr>
          <w:i/>
          <w:sz w:val="28"/>
          <w:szCs w:val="28"/>
          <w:vertAlign w:val="subscript"/>
        </w:rPr>
        <w:t xml:space="preserve"> </w:t>
      </w:r>
      <w:r w:rsidRPr="0013396E">
        <w:rPr>
          <w:i/>
          <w:vertAlign w:val="subscript"/>
        </w:rPr>
        <w:t>q, gsc</w:t>
      </w:r>
      <w:r w:rsidRPr="0013396E">
        <w:t xml:space="preserve"> = 0 for a 15-minute Settlement Interval, then</w:t>
      </w:r>
    </w:p>
    <w:p w14:paraId="0533B9ED" w14:textId="77777777" w:rsidR="00925E7F" w:rsidRPr="0013396E" w:rsidRDefault="00925E7F" w:rsidP="00925E7F">
      <w:pPr>
        <w:pStyle w:val="BodyTextNumbered"/>
        <w:widowControl w:val="0"/>
        <w:ind w:firstLine="0"/>
      </w:pPr>
      <w:r w:rsidRPr="0013396E">
        <w:t>The Load is included in the Real-Time AML per QSE and is included in the Real-Time energy imbalance payment or charge at a Load Zone.</w:t>
      </w:r>
    </w:p>
    <w:p w14:paraId="2C705D24" w14:textId="77777777" w:rsidR="00925E7F" w:rsidRPr="0013396E" w:rsidRDefault="00925E7F" w:rsidP="00925E7F">
      <w:pPr>
        <w:pStyle w:val="FormulaBold"/>
      </w:pPr>
      <w:r w:rsidRPr="0013396E">
        <w:rPr>
          <w:b w:val="0"/>
          <w:bCs w:val="0"/>
          <w:szCs w:val="20"/>
        </w:rPr>
        <w:t>Otherwise, when MEBSOGNET</w:t>
      </w:r>
      <w:r w:rsidRPr="0013396E">
        <w:rPr>
          <w:i/>
          <w:vertAlign w:val="subscript"/>
        </w:rPr>
        <w:t xml:space="preserve"> q, gsc</w:t>
      </w:r>
      <w:r w:rsidRPr="0013396E">
        <w:rPr>
          <w:b w:val="0"/>
        </w:rPr>
        <w:t xml:space="preserve"> &gt; 0 for a 15-minute Settlement Interval, then</w:t>
      </w:r>
    </w:p>
    <w:p w14:paraId="0B767545" w14:textId="2531038C" w:rsidR="00925E7F" w:rsidRPr="0013396E" w:rsidRDefault="00925E7F" w:rsidP="00925E7F">
      <w:pPr>
        <w:tabs>
          <w:tab w:val="left" w:pos="2250"/>
          <w:tab w:val="left" w:pos="3150"/>
          <w:tab w:val="left" w:pos="3960"/>
        </w:tabs>
        <w:spacing w:after="240"/>
        <w:ind w:left="3960" w:hanging="3240"/>
        <w:rPr>
          <w:b/>
          <w:bCs/>
          <w:iCs/>
        </w:rPr>
      </w:pPr>
      <w:r w:rsidRPr="0013396E">
        <w:rPr>
          <w:b/>
          <w:bCs/>
          <w:szCs w:val="24"/>
        </w:rPr>
        <w:t xml:space="preserve">RTESOGSAMT </w:t>
      </w:r>
      <w:r w:rsidRPr="0013396E">
        <w:rPr>
          <w:b/>
          <w:bCs/>
          <w:i/>
          <w:sz w:val="28"/>
          <w:szCs w:val="28"/>
          <w:vertAlign w:val="subscript"/>
        </w:rPr>
        <w:t>q,</w:t>
      </w:r>
      <w:r w:rsidRPr="0013396E">
        <w:rPr>
          <w:b/>
          <w:bCs/>
          <w:szCs w:val="24"/>
        </w:rPr>
        <w:t xml:space="preserve"> </w:t>
      </w:r>
      <w:r w:rsidRPr="0013396E">
        <w:rPr>
          <w:b/>
          <w:bCs/>
          <w:i/>
          <w:sz w:val="28"/>
          <w:szCs w:val="28"/>
          <w:vertAlign w:val="subscript"/>
        </w:rPr>
        <w:t>gsc</w:t>
      </w:r>
      <w:r w:rsidRPr="0013396E">
        <w:rPr>
          <w:b/>
          <w:bCs/>
          <w:szCs w:val="24"/>
        </w:rPr>
        <w:tab/>
        <w:t>=</w:t>
      </w:r>
      <w:r w:rsidRPr="0013396E">
        <w:rPr>
          <w:b/>
          <w:bCs/>
          <w:szCs w:val="24"/>
        </w:rPr>
        <w:tab/>
        <w:t>(-1) * [</w:t>
      </w:r>
      <w:r w:rsidRPr="0013396E">
        <w:rPr>
          <w:b/>
          <w:bCs/>
          <w:position w:val="-20"/>
          <w:szCs w:val="24"/>
        </w:rPr>
        <w:object w:dxaOrig="225" w:dyaOrig="435" w14:anchorId="1E10A868">
          <v:shape id="_x0000_i1133" type="#_x0000_t75" style="width:12pt;height:30pt" o:ole="">
            <v:imagedata r:id="rId157" o:title=""/>
          </v:shape>
          <o:OLEObject Type="Embed" ProgID="Equation.3" ShapeID="_x0000_i1133" DrawAspect="Content" ObjectID="_1836311412" r:id="rId159"/>
        </w:object>
      </w:r>
      <w:r w:rsidRPr="0013396E">
        <w:rPr>
          <w:b/>
          <w:bCs/>
          <w:szCs w:val="24"/>
        </w:rPr>
        <w:t xml:space="preserve">( RTESOGPR </w:t>
      </w:r>
      <w:r w:rsidRPr="0013396E">
        <w:rPr>
          <w:b/>
          <w:bCs/>
          <w:i/>
          <w:szCs w:val="24"/>
          <w:vertAlign w:val="subscript"/>
        </w:rPr>
        <w:t xml:space="preserve">b </w:t>
      </w:r>
      <w:r w:rsidRPr="0013396E">
        <w:rPr>
          <w:b/>
          <w:bCs/>
          <w:szCs w:val="24"/>
        </w:rPr>
        <w:t xml:space="preserve">* MEBSOG </w:t>
      </w:r>
      <w:r w:rsidRPr="0013396E">
        <w:rPr>
          <w:b/>
          <w:bCs/>
          <w:i/>
          <w:szCs w:val="24"/>
          <w:vertAlign w:val="subscript"/>
        </w:rPr>
        <w:t>q, gsc, b</w:t>
      </w:r>
      <w:r w:rsidRPr="0013396E">
        <w:rPr>
          <w:b/>
          <w:bCs/>
          <w:szCs w:val="24"/>
        </w:rPr>
        <w:t xml:space="preserve">)] </w:t>
      </w:r>
    </w:p>
    <w:p w14:paraId="5A7D810D" w14:textId="77777777" w:rsidR="00925E7F" w:rsidRPr="0013396E" w:rsidRDefault="00925E7F" w:rsidP="00925E7F">
      <w:pPr>
        <w:tabs>
          <w:tab w:val="left" w:pos="2250"/>
          <w:tab w:val="left" w:pos="3150"/>
          <w:tab w:val="left" w:pos="3960"/>
        </w:tabs>
        <w:spacing w:after="240"/>
        <w:ind w:left="3960" w:hanging="3240"/>
        <w:rPr>
          <w:iCs/>
          <w:szCs w:val="24"/>
        </w:rPr>
      </w:pPr>
      <w:r w:rsidRPr="0013396E">
        <w:rPr>
          <w:iCs/>
        </w:rPr>
        <w:t>Where</w:t>
      </w:r>
      <w:r w:rsidRPr="0013396E">
        <w:t xml:space="preserve"> the price for the SOTG or SODG is determined as follows:</w:t>
      </w:r>
    </w:p>
    <w:p w14:paraId="1BCCB747" w14:textId="3EEE046A" w:rsidR="00925E7F" w:rsidRPr="0013396E" w:rsidRDefault="00925E7F" w:rsidP="00925E7F">
      <w:pPr>
        <w:tabs>
          <w:tab w:val="left" w:pos="2250"/>
          <w:tab w:val="left" w:pos="3150"/>
          <w:tab w:val="left" w:pos="3960"/>
        </w:tabs>
        <w:spacing w:after="240"/>
        <w:ind w:left="3960" w:hanging="3240"/>
        <w:rPr>
          <w:b/>
          <w:bCs/>
          <w:szCs w:val="24"/>
        </w:rPr>
      </w:pPr>
      <w:r w:rsidRPr="0013396E">
        <w:rPr>
          <w:b/>
          <w:bCs/>
          <w:szCs w:val="24"/>
        </w:rPr>
        <w:t>RTESOGPR</w:t>
      </w:r>
      <w:r w:rsidRPr="0013396E">
        <w:rPr>
          <w:b/>
          <w:bCs/>
          <w:i/>
          <w:iCs/>
          <w:szCs w:val="24"/>
          <w:vertAlign w:val="subscript"/>
        </w:rPr>
        <w:t xml:space="preserve"> b</w:t>
      </w:r>
      <w:r w:rsidRPr="0013396E">
        <w:rPr>
          <w:b/>
          <w:bCs/>
          <w:szCs w:val="24"/>
        </w:rPr>
        <w:t xml:space="preserve"> </w:t>
      </w:r>
      <w:r w:rsidRPr="0013396E">
        <w:rPr>
          <w:b/>
          <w:bCs/>
          <w:szCs w:val="24"/>
        </w:rPr>
        <w:tab/>
        <w:t>=</w:t>
      </w:r>
      <w:r w:rsidRPr="0013396E">
        <w:rPr>
          <w:b/>
          <w:bCs/>
          <w:szCs w:val="24"/>
        </w:rPr>
        <w:tab/>
        <w:t xml:space="preserve">Max [-$251, </w:t>
      </w:r>
      <w:r w:rsidRPr="0013396E">
        <w:rPr>
          <w:b/>
          <w:bCs/>
          <w:position w:val="-22"/>
          <w:szCs w:val="24"/>
        </w:rPr>
        <w:object w:dxaOrig="225" w:dyaOrig="465" w14:anchorId="00195C93">
          <v:shape id="_x0000_i1134" type="#_x0000_t75" style="width:12pt;height:29.4pt" o:ole="">
            <v:imagedata r:id="rId160" o:title=""/>
          </v:shape>
          <o:OLEObject Type="Embed" ProgID="Equation.3" ShapeID="_x0000_i1134" DrawAspect="Content" ObjectID="_1836311413" r:id="rId161"/>
        </w:object>
      </w:r>
      <w:r w:rsidRPr="0013396E">
        <w:rPr>
          <w:b/>
          <w:bCs/>
          <w:szCs w:val="24"/>
        </w:rPr>
        <w:t>((SDWF</w:t>
      </w:r>
      <w:r w:rsidRPr="0013396E">
        <w:rPr>
          <w:b/>
          <w:bCs/>
          <w:i/>
          <w:iCs/>
          <w:szCs w:val="24"/>
          <w:vertAlign w:val="subscript"/>
        </w:rPr>
        <w:t xml:space="preserve"> y </w:t>
      </w:r>
      <w:r w:rsidRPr="0013396E">
        <w:rPr>
          <w:b/>
          <w:bCs/>
          <w:szCs w:val="24"/>
        </w:rPr>
        <w:t xml:space="preserve">* RTLMP </w:t>
      </w:r>
      <w:r w:rsidRPr="0013396E">
        <w:rPr>
          <w:b/>
          <w:bCs/>
          <w:i/>
          <w:iCs/>
          <w:szCs w:val="24"/>
          <w:vertAlign w:val="subscript"/>
        </w:rPr>
        <w:t>b, y</w:t>
      </w:r>
      <w:r w:rsidRPr="0013396E">
        <w:rPr>
          <w:b/>
          <w:bCs/>
          <w:szCs w:val="24"/>
        </w:rPr>
        <w:t>) + RTRDP)]</w:t>
      </w:r>
    </w:p>
    <w:p w14:paraId="179FD352" w14:textId="77777777" w:rsidR="00925E7F" w:rsidRPr="0013396E" w:rsidRDefault="00925E7F" w:rsidP="00925E7F">
      <w:pPr>
        <w:widowControl w:val="0"/>
        <w:spacing w:after="240" w:line="240" w:lineRule="exact"/>
        <w:ind w:firstLine="720"/>
        <w:rPr>
          <w:rFonts w:ascii="Verdana" w:hAnsi="Verdana"/>
          <w:sz w:val="16"/>
          <w:szCs w:val="24"/>
        </w:rPr>
      </w:pPr>
      <w:r w:rsidRPr="0013396E">
        <w:rPr>
          <w:szCs w:val="24"/>
        </w:rPr>
        <w:t>Where:</w:t>
      </w:r>
    </w:p>
    <w:p w14:paraId="22E26085" w14:textId="77777777" w:rsidR="00925E7F" w:rsidRPr="0013396E" w:rsidRDefault="00925E7F" w:rsidP="00925E7F">
      <w:pPr>
        <w:spacing w:after="240"/>
        <w:ind w:left="1440"/>
      </w:pPr>
      <w:r w:rsidRPr="0013396E">
        <w:t>RTRDP</w:t>
      </w:r>
      <w:r w:rsidRPr="0013396E">
        <w:tab/>
        <w:t>=</w:t>
      </w:r>
      <w:r w:rsidRPr="0013396E">
        <w:tab/>
      </w:r>
      <w:r w:rsidRPr="0013396E">
        <w:rPr>
          <w:position w:val="-22"/>
        </w:rPr>
        <w:object w:dxaOrig="225" w:dyaOrig="465" w14:anchorId="10798930">
          <v:shape id="_x0000_i1135" type="#_x0000_t75" style="width:12pt;height:29.4pt" o:ole="">
            <v:imagedata r:id="rId160" o:title=""/>
          </v:shape>
          <o:OLEObject Type="Embed" ProgID="Equation.3" ShapeID="_x0000_i1135" DrawAspect="Content" ObjectID="_1836311414" r:id="rId162"/>
        </w:object>
      </w:r>
      <w:r w:rsidRPr="0013396E">
        <w:t>(SDWF</w:t>
      </w:r>
      <w:r w:rsidRPr="0013396E">
        <w:rPr>
          <w:i/>
          <w:iCs/>
          <w:vertAlign w:val="subscript"/>
        </w:rPr>
        <w:t xml:space="preserve"> y </w:t>
      </w:r>
      <w:r w:rsidRPr="0013396E">
        <w:t>* RTORDPA</w:t>
      </w:r>
      <w:r w:rsidRPr="0013396E">
        <w:rPr>
          <w:i/>
          <w:iCs/>
          <w:vertAlign w:val="subscript"/>
        </w:rPr>
        <w:t xml:space="preserve"> y</w:t>
      </w:r>
      <w:r w:rsidRPr="0013396E">
        <w:t>)</w:t>
      </w:r>
    </w:p>
    <w:p w14:paraId="619DA1C9" w14:textId="77777777" w:rsidR="00925E7F" w:rsidRPr="0013396E" w:rsidRDefault="00925E7F" w:rsidP="00925E7F">
      <w:pPr>
        <w:widowControl w:val="0"/>
        <w:spacing w:after="240"/>
        <w:ind w:left="720"/>
        <w:rPr>
          <w:szCs w:val="24"/>
          <w:lang w:val="es-ES"/>
        </w:rPr>
      </w:pPr>
      <w:r w:rsidRPr="0013396E">
        <w:rPr>
          <w:szCs w:val="24"/>
        </w:rPr>
        <w:tab/>
        <w:t xml:space="preserve">SDWF </w:t>
      </w:r>
      <w:r w:rsidRPr="0013396E">
        <w:rPr>
          <w:i/>
          <w:szCs w:val="24"/>
          <w:vertAlign w:val="subscript"/>
        </w:rPr>
        <w:t>y</w:t>
      </w:r>
      <w:r w:rsidRPr="0013396E">
        <w:rPr>
          <w:i/>
          <w:szCs w:val="24"/>
          <w:vertAlign w:val="subscript"/>
        </w:rPr>
        <w:tab/>
      </w:r>
      <w:r w:rsidRPr="0013396E">
        <w:rPr>
          <w:szCs w:val="24"/>
        </w:rPr>
        <w:t>=</w:t>
      </w:r>
      <w:r w:rsidRPr="0013396E">
        <w:rPr>
          <w:szCs w:val="24"/>
        </w:rPr>
        <w:tab/>
        <w:t xml:space="preserve">TLMP </w:t>
      </w:r>
      <w:r w:rsidRPr="0013396E">
        <w:rPr>
          <w:i/>
          <w:szCs w:val="24"/>
          <w:vertAlign w:val="subscript"/>
        </w:rPr>
        <w:t>y</w:t>
      </w:r>
      <w:r w:rsidRPr="0013396E">
        <w:rPr>
          <w:szCs w:val="24"/>
        </w:rPr>
        <w:t xml:space="preserve"> </w:t>
      </w:r>
      <w:r w:rsidRPr="0013396E">
        <w:rPr>
          <w:color w:val="000000"/>
          <w:sz w:val="32"/>
          <w:szCs w:val="32"/>
        </w:rPr>
        <w:t>/</w:t>
      </w:r>
      <w:r w:rsidRPr="0013396E">
        <w:rPr>
          <w:color w:val="000000"/>
          <w:szCs w:val="24"/>
        </w:rPr>
        <w:t xml:space="preserve"> </w:t>
      </w:r>
      <w:r w:rsidRPr="0013396E">
        <w:rPr>
          <w:position w:val="-22"/>
          <w:szCs w:val="24"/>
        </w:rPr>
        <w:object w:dxaOrig="225" w:dyaOrig="465" w14:anchorId="2190BE25">
          <v:shape id="_x0000_i1136" type="#_x0000_t75" style="width:12pt;height:29.4pt" o:ole="">
            <v:imagedata r:id="rId160" o:title=""/>
          </v:shape>
          <o:OLEObject Type="Embed" ProgID="Equation.3" ShapeID="_x0000_i1136" DrawAspect="Content" ObjectID="_1836311415" r:id="rId163"/>
        </w:object>
      </w:r>
      <w:r w:rsidRPr="0013396E">
        <w:rPr>
          <w:szCs w:val="24"/>
        </w:rPr>
        <w:t xml:space="preserve">TLMP </w:t>
      </w:r>
      <w:r w:rsidRPr="0013396E">
        <w:rPr>
          <w:i/>
          <w:szCs w:val="24"/>
          <w:vertAlign w:val="subscript"/>
        </w:rPr>
        <w:t>y</w:t>
      </w:r>
    </w:p>
    <w:p w14:paraId="77548331" w14:textId="77777777" w:rsidR="00925E7F" w:rsidRPr="0013396E" w:rsidRDefault="00925E7F" w:rsidP="00925E7F">
      <w:pPr>
        <w:widowControl w:val="0"/>
      </w:pPr>
      <w:r w:rsidRPr="0013396E">
        <w:t>The above variables are defined as follows:</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141"/>
        <w:gridCol w:w="1262"/>
        <w:gridCol w:w="5945"/>
      </w:tblGrid>
      <w:tr w:rsidR="00925E7F" w:rsidRPr="0013396E" w14:paraId="6D09D95F" w14:textId="77777777" w:rsidTr="00CB43C2">
        <w:trPr>
          <w:cantSplit/>
          <w:tblHeader/>
        </w:trPr>
        <w:tc>
          <w:tcPr>
            <w:tcW w:w="1145" w:type="pct"/>
          </w:tcPr>
          <w:p w14:paraId="0039F394" w14:textId="77777777" w:rsidR="00925E7F" w:rsidRPr="0013396E" w:rsidRDefault="00925E7F" w:rsidP="00925E7F">
            <w:pPr>
              <w:widowControl w:val="0"/>
              <w:spacing w:after="120"/>
              <w:rPr>
                <w:b/>
                <w:iCs/>
                <w:sz w:val="20"/>
              </w:rPr>
            </w:pPr>
            <w:r w:rsidRPr="0013396E">
              <w:rPr>
                <w:b/>
                <w:iCs/>
                <w:sz w:val="20"/>
              </w:rPr>
              <w:t>Variable</w:t>
            </w:r>
          </w:p>
        </w:tc>
        <w:tc>
          <w:tcPr>
            <w:tcW w:w="675" w:type="pct"/>
          </w:tcPr>
          <w:p w14:paraId="4A422325" w14:textId="77777777" w:rsidR="00925E7F" w:rsidRPr="0013396E" w:rsidRDefault="00925E7F" w:rsidP="00925E7F">
            <w:pPr>
              <w:widowControl w:val="0"/>
              <w:spacing w:after="120"/>
              <w:rPr>
                <w:b/>
                <w:iCs/>
                <w:sz w:val="20"/>
              </w:rPr>
            </w:pPr>
            <w:r w:rsidRPr="0013396E">
              <w:rPr>
                <w:b/>
                <w:iCs/>
                <w:sz w:val="20"/>
              </w:rPr>
              <w:t>Unit</w:t>
            </w:r>
          </w:p>
        </w:tc>
        <w:tc>
          <w:tcPr>
            <w:tcW w:w="3180" w:type="pct"/>
          </w:tcPr>
          <w:p w14:paraId="664B2CFD" w14:textId="77777777" w:rsidR="00925E7F" w:rsidRPr="0013396E" w:rsidRDefault="00925E7F" w:rsidP="00925E7F">
            <w:pPr>
              <w:widowControl w:val="0"/>
              <w:spacing w:after="120"/>
              <w:rPr>
                <w:b/>
                <w:iCs/>
                <w:sz w:val="20"/>
              </w:rPr>
            </w:pPr>
            <w:r w:rsidRPr="0013396E">
              <w:rPr>
                <w:b/>
                <w:iCs/>
                <w:sz w:val="20"/>
              </w:rPr>
              <w:t>Description</w:t>
            </w:r>
          </w:p>
        </w:tc>
      </w:tr>
      <w:tr w:rsidR="00925E7F" w:rsidRPr="0013396E" w14:paraId="444FD2A5" w14:textId="77777777" w:rsidTr="00CB43C2">
        <w:trPr>
          <w:cantSplit/>
        </w:trPr>
        <w:tc>
          <w:tcPr>
            <w:tcW w:w="1145" w:type="pct"/>
          </w:tcPr>
          <w:p w14:paraId="2DE50E32" w14:textId="77777777" w:rsidR="00925E7F" w:rsidRPr="0013396E" w:rsidRDefault="00925E7F" w:rsidP="00925E7F">
            <w:pPr>
              <w:widowControl w:val="0"/>
              <w:spacing w:after="60"/>
              <w:rPr>
                <w:sz w:val="20"/>
              </w:rPr>
            </w:pPr>
            <w:r w:rsidRPr="0013396E">
              <w:rPr>
                <w:sz w:val="20"/>
              </w:rPr>
              <w:t>RTESOGSAMT</w:t>
            </w:r>
            <w:r w:rsidRPr="0013396E">
              <w:rPr>
                <w:sz w:val="20"/>
                <w:vertAlign w:val="subscript"/>
              </w:rPr>
              <w:t xml:space="preserve"> </w:t>
            </w:r>
            <w:r w:rsidRPr="0013396E">
              <w:rPr>
                <w:i/>
                <w:sz w:val="20"/>
                <w:vertAlign w:val="subscript"/>
              </w:rPr>
              <w:t>q,</w:t>
            </w:r>
            <w:r w:rsidRPr="0013396E">
              <w:rPr>
                <w:sz w:val="20"/>
                <w:vertAlign w:val="subscript"/>
              </w:rPr>
              <w:t xml:space="preserve"> </w:t>
            </w:r>
            <w:r w:rsidRPr="0013396E">
              <w:rPr>
                <w:i/>
                <w:sz w:val="20"/>
                <w:vertAlign w:val="subscript"/>
              </w:rPr>
              <w:t>gsc</w:t>
            </w:r>
          </w:p>
        </w:tc>
        <w:tc>
          <w:tcPr>
            <w:tcW w:w="675" w:type="pct"/>
          </w:tcPr>
          <w:p w14:paraId="475E513B" w14:textId="77777777" w:rsidR="00925E7F" w:rsidRPr="0013396E" w:rsidRDefault="00925E7F" w:rsidP="00925E7F">
            <w:pPr>
              <w:widowControl w:val="0"/>
              <w:spacing w:after="60"/>
              <w:rPr>
                <w:sz w:val="20"/>
              </w:rPr>
            </w:pPr>
            <w:r w:rsidRPr="0013396E">
              <w:rPr>
                <w:sz w:val="20"/>
              </w:rPr>
              <w:t>$</w:t>
            </w:r>
          </w:p>
        </w:tc>
        <w:tc>
          <w:tcPr>
            <w:tcW w:w="3180" w:type="pct"/>
          </w:tcPr>
          <w:p w14:paraId="085F1FB3" w14:textId="77777777" w:rsidR="00925E7F" w:rsidRPr="0013396E" w:rsidRDefault="00925E7F" w:rsidP="00925E7F">
            <w:pPr>
              <w:widowControl w:val="0"/>
              <w:spacing w:after="60"/>
              <w:rPr>
                <w:i/>
                <w:sz w:val="20"/>
              </w:rPr>
            </w:pPr>
            <w:r w:rsidRPr="0013396E">
              <w:rPr>
                <w:i/>
                <w:sz w:val="20"/>
              </w:rPr>
              <w:t>Real-Time Energy for SODG and SOTG Site Amount</w:t>
            </w:r>
            <w:r w:rsidRPr="0013396E" w:rsidDel="006C2DC2">
              <w:rPr>
                <w:i/>
                <w:sz w:val="20"/>
              </w:rPr>
              <w:t xml:space="preserve"> </w:t>
            </w:r>
            <w:r w:rsidRPr="0013396E">
              <w:rPr>
                <w:sz w:val="20"/>
              </w:rPr>
              <w:t xml:space="preserve">—The total payment or charge to QSE </w:t>
            </w:r>
            <w:r w:rsidRPr="0013396E">
              <w:rPr>
                <w:i/>
                <w:sz w:val="20"/>
              </w:rPr>
              <w:t>q</w:t>
            </w:r>
            <w:r w:rsidRPr="0013396E">
              <w:rPr>
                <w:sz w:val="20"/>
              </w:rPr>
              <w:t xml:space="preserve"> for SODG or SOTG site</w:t>
            </w:r>
            <w:r w:rsidRPr="0013396E">
              <w:rPr>
                <w:i/>
                <w:sz w:val="20"/>
              </w:rPr>
              <w:t xml:space="preserve"> gsc</w:t>
            </w:r>
            <w:r w:rsidRPr="0013396E">
              <w:rPr>
                <w:sz w:val="20"/>
              </w:rPr>
              <w:t xml:space="preserve"> for the 15-minute Settlement Interval.</w:t>
            </w:r>
          </w:p>
        </w:tc>
      </w:tr>
      <w:tr w:rsidR="00925E7F" w:rsidRPr="0013396E" w14:paraId="30D15B08" w14:textId="77777777" w:rsidTr="00CB43C2">
        <w:trPr>
          <w:cantSplit/>
        </w:trPr>
        <w:tc>
          <w:tcPr>
            <w:tcW w:w="1145" w:type="pct"/>
          </w:tcPr>
          <w:p w14:paraId="4550DBC2" w14:textId="77777777" w:rsidR="00925E7F" w:rsidRPr="0013396E" w:rsidRDefault="00925E7F" w:rsidP="00925E7F">
            <w:pPr>
              <w:widowControl w:val="0"/>
              <w:spacing w:after="60"/>
              <w:rPr>
                <w:sz w:val="20"/>
              </w:rPr>
            </w:pPr>
            <w:r w:rsidRPr="0013396E">
              <w:rPr>
                <w:sz w:val="20"/>
              </w:rPr>
              <w:t xml:space="preserve">RTESOGPR </w:t>
            </w:r>
            <w:r w:rsidRPr="0013396E">
              <w:rPr>
                <w:i/>
                <w:sz w:val="20"/>
                <w:vertAlign w:val="subscript"/>
              </w:rPr>
              <w:t>b</w:t>
            </w:r>
          </w:p>
        </w:tc>
        <w:tc>
          <w:tcPr>
            <w:tcW w:w="675" w:type="pct"/>
          </w:tcPr>
          <w:p w14:paraId="4A0B76D2" w14:textId="77777777" w:rsidR="00925E7F" w:rsidRPr="0013396E" w:rsidRDefault="00925E7F" w:rsidP="00925E7F">
            <w:pPr>
              <w:widowControl w:val="0"/>
              <w:spacing w:after="60"/>
              <w:rPr>
                <w:i/>
                <w:sz w:val="20"/>
              </w:rPr>
            </w:pPr>
            <w:r w:rsidRPr="0013396E">
              <w:rPr>
                <w:sz w:val="20"/>
              </w:rPr>
              <w:t>$/MWh</w:t>
            </w:r>
          </w:p>
        </w:tc>
        <w:tc>
          <w:tcPr>
            <w:tcW w:w="3180" w:type="pct"/>
          </w:tcPr>
          <w:p w14:paraId="34DA2BDC" w14:textId="77777777" w:rsidR="00925E7F" w:rsidRPr="0013396E" w:rsidRDefault="00925E7F" w:rsidP="00925E7F">
            <w:pPr>
              <w:widowControl w:val="0"/>
              <w:spacing w:after="60"/>
              <w:rPr>
                <w:sz w:val="20"/>
              </w:rPr>
            </w:pPr>
            <w:r w:rsidRPr="0013396E">
              <w:rPr>
                <w:i/>
                <w:sz w:val="20"/>
              </w:rPr>
              <w:t xml:space="preserve">Real-Time Price for the Energy Metered for each SODG or SOTG Site </w:t>
            </w:r>
            <w:r w:rsidRPr="0013396E">
              <w:rPr>
                <w:sz w:val="20"/>
              </w:rPr>
              <w:sym w:font="Symbol" w:char="F0BE"/>
            </w:r>
            <w:r w:rsidRPr="0013396E">
              <w:rPr>
                <w:sz w:val="20"/>
              </w:rPr>
              <w:t xml:space="preserve">The Real-Time price at Electrical Bus </w:t>
            </w:r>
            <w:r w:rsidRPr="0013396E">
              <w:rPr>
                <w:i/>
                <w:sz w:val="20"/>
              </w:rPr>
              <w:t>b</w:t>
            </w:r>
            <w:r w:rsidRPr="0013396E">
              <w:rPr>
                <w:sz w:val="20"/>
              </w:rPr>
              <w:t xml:space="preserve"> for the Settlement Meter for the SODG or SOTG site for the 15-minute Settlement Interval.</w:t>
            </w:r>
          </w:p>
        </w:tc>
      </w:tr>
      <w:tr w:rsidR="00925E7F" w:rsidRPr="0013396E" w14:paraId="5ADA3295" w14:textId="77777777" w:rsidTr="00CB43C2">
        <w:trPr>
          <w:cantSplit/>
        </w:trPr>
        <w:tc>
          <w:tcPr>
            <w:tcW w:w="1145" w:type="pct"/>
          </w:tcPr>
          <w:p w14:paraId="73AE76F1" w14:textId="1C85C06A" w:rsidR="00925E7F" w:rsidRPr="0013396E" w:rsidRDefault="00925E7F" w:rsidP="00925E7F">
            <w:pPr>
              <w:widowControl w:val="0"/>
              <w:spacing w:after="60"/>
              <w:rPr>
                <w:sz w:val="20"/>
                <w:szCs w:val="16"/>
              </w:rPr>
            </w:pPr>
            <w:r w:rsidRPr="0013396E">
              <w:rPr>
                <w:sz w:val="20"/>
                <w:szCs w:val="16"/>
              </w:rPr>
              <w:t>MEBSOGNET</w:t>
            </w:r>
            <w:r w:rsidRPr="0013396E">
              <w:rPr>
                <w:i/>
                <w:sz w:val="20"/>
                <w:szCs w:val="16"/>
                <w:vertAlign w:val="subscript"/>
              </w:rPr>
              <w:t xml:space="preserve"> q, gsc</w:t>
            </w:r>
          </w:p>
        </w:tc>
        <w:tc>
          <w:tcPr>
            <w:tcW w:w="675" w:type="pct"/>
          </w:tcPr>
          <w:p w14:paraId="0715EC79" w14:textId="5233554F" w:rsidR="00925E7F" w:rsidRPr="0013396E" w:rsidRDefault="00925E7F" w:rsidP="00925E7F">
            <w:pPr>
              <w:widowControl w:val="0"/>
              <w:spacing w:after="60"/>
              <w:rPr>
                <w:sz w:val="20"/>
                <w:szCs w:val="16"/>
              </w:rPr>
            </w:pPr>
            <w:r w:rsidRPr="0013396E">
              <w:rPr>
                <w:sz w:val="20"/>
                <w:szCs w:val="16"/>
              </w:rPr>
              <w:t>MWh</w:t>
            </w:r>
          </w:p>
        </w:tc>
        <w:tc>
          <w:tcPr>
            <w:tcW w:w="3180" w:type="pct"/>
          </w:tcPr>
          <w:p w14:paraId="6F1D873D" w14:textId="165CA2E3" w:rsidR="00925E7F" w:rsidRPr="0013396E" w:rsidRDefault="00925E7F" w:rsidP="00925E7F">
            <w:pPr>
              <w:widowControl w:val="0"/>
              <w:spacing w:after="60"/>
              <w:rPr>
                <w:i/>
                <w:sz w:val="20"/>
                <w:szCs w:val="16"/>
              </w:rPr>
            </w:pPr>
            <w:r w:rsidRPr="0013396E">
              <w:rPr>
                <w:i/>
                <w:sz w:val="20"/>
                <w:szCs w:val="16"/>
              </w:rPr>
              <w:t xml:space="preserve">Net Metered energy at gsc for an SODG or SOTG Site </w:t>
            </w:r>
            <w:r w:rsidRPr="0013396E">
              <w:rPr>
                <w:sz w:val="20"/>
                <w:szCs w:val="16"/>
              </w:rPr>
              <w:sym w:font="Symbol" w:char="F0BE"/>
            </w:r>
            <w:r w:rsidRPr="0013396E">
              <w:rPr>
                <w:sz w:val="20"/>
                <w:szCs w:val="16"/>
              </w:rPr>
              <w:t>The net sum for all Settlement Meters for SODG or SOTG site</w:t>
            </w:r>
            <w:r w:rsidRPr="0013396E">
              <w:rPr>
                <w:i/>
                <w:sz w:val="20"/>
                <w:szCs w:val="16"/>
              </w:rPr>
              <w:t xml:space="preserve"> gsc</w:t>
            </w:r>
            <w:r w:rsidRPr="0013396E">
              <w:rPr>
                <w:sz w:val="20"/>
                <w:szCs w:val="16"/>
              </w:rPr>
              <w:t xml:space="preserve"> represented by QSE </w:t>
            </w:r>
            <w:r w:rsidRPr="0013396E">
              <w:rPr>
                <w:i/>
                <w:sz w:val="20"/>
                <w:szCs w:val="16"/>
              </w:rPr>
              <w:t>q</w:t>
            </w:r>
            <w:r w:rsidRPr="0013396E">
              <w:rPr>
                <w:sz w:val="20"/>
                <w:szCs w:val="16"/>
              </w:rPr>
              <w:t>.  A positive value indicates an injection of power to the ERCOT System.</w:t>
            </w:r>
          </w:p>
        </w:tc>
      </w:tr>
      <w:tr w:rsidR="00925E7F" w:rsidRPr="0013396E" w14:paraId="7F5BD9E2" w14:textId="77777777" w:rsidTr="00CB43C2">
        <w:trPr>
          <w:cantSplit/>
        </w:trPr>
        <w:tc>
          <w:tcPr>
            <w:tcW w:w="1145" w:type="pct"/>
          </w:tcPr>
          <w:p w14:paraId="6A9E2004" w14:textId="14F0B4ED" w:rsidR="00925E7F" w:rsidRPr="0013396E" w:rsidRDefault="00925E7F" w:rsidP="00925E7F">
            <w:pPr>
              <w:widowControl w:val="0"/>
              <w:spacing w:after="60"/>
              <w:rPr>
                <w:sz w:val="20"/>
              </w:rPr>
            </w:pPr>
            <w:r w:rsidRPr="0013396E">
              <w:rPr>
                <w:sz w:val="20"/>
              </w:rPr>
              <w:lastRenderedPageBreak/>
              <w:t xml:space="preserve">MEBSOG </w:t>
            </w:r>
            <w:r w:rsidRPr="0013396E">
              <w:rPr>
                <w:i/>
                <w:sz w:val="20"/>
                <w:vertAlign w:val="subscript"/>
              </w:rPr>
              <w:t>q,</w:t>
            </w:r>
            <w:r w:rsidRPr="0013396E">
              <w:rPr>
                <w:sz w:val="20"/>
              </w:rPr>
              <w:t xml:space="preserve"> </w:t>
            </w:r>
            <w:r w:rsidRPr="0013396E">
              <w:rPr>
                <w:i/>
                <w:sz w:val="20"/>
                <w:vertAlign w:val="subscript"/>
              </w:rPr>
              <w:t>gsc, b</w:t>
            </w:r>
          </w:p>
        </w:tc>
        <w:tc>
          <w:tcPr>
            <w:tcW w:w="675" w:type="pct"/>
          </w:tcPr>
          <w:p w14:paraId="4F3F18B0" w14:textId="77777777" w:rsidR="00925E7F" w:rsidRPr="0013396E" w:rsidRDefault="00925E7F" w:rsidP="00925E7F">
            <w:pPr>
              <w:widowControl w:val="0"/>
              <w:spacing w:after="60"/>
              <w:rPr>
                <w:sz w:val="20"/>
              </w:rPr>
            </w:pPr>
            <w:r w:rsidRPr="0013396E">
              <w:rPr>
                <w:sz w:val="20"/>
              </w:rPr>
              <w:t>MWh</w:t>
            </w:r>
          </w:p>
        </w:tc>
        <w:tc>
          <w:tcPr>
            <w:tcW w:w="3180" w:type="pct"/>
          </w:tcPr>
          <w:p w14:paraId="42A2EC9B" w14:textId="7A53B4C4" w:rsidR="00925E7F" w:rsidRPr="0013396E" w:rsidRDefault="00925E7F" w:rsidP="00925E7F">
            <w:pPr>
              <w:widowControl w:val="0"/>
              <w:spacing w:after="60"/>
              <w:rPr>
                <w:i/>
                <w:sz w:val="20"/>
              </w:rPr>
            </w:pPr>
            <w:r w:rsidRPr="0013396E">
              <w:rPr>
                <w:i/>
                <w:sz w:val="20"/>
              </w:rPr>
              <w:t xml:space="preserve">Metered energy at bus for an SODG or SOTG Site  </w:t>
            </w:r>
            <w:r w:rsidRPr="0013396E">
              <w:rPr>
                <w:sz w:val="20"/>
              </w:rPr>
              <w:sym w:font="Symbol" w:char="F0BE"/>
            </w:r>
            <w:r w:rsidRPr="0013396E">
              <w:rPr>
                <w:sz w:val="20"/>
              </w:rPr>
              <w:t xml:space="preserve">The metered energy by the Settlement Meter(s) at Electrical Bus </w:t>
            </w:r>
            <w:r w:rsidRPr="0013396E">
              <w:rPr>
                <w:i/>
                <w:sz w:val="20"/>
              </w:rPr>
              <w:t>b</w:t>
            </w:r>
            <w:r w:rsidRPr="0013396E">
              <w:rPr>
                <w:sz w:val="20"/>
              </w:rPr>
              <w:t xml:space="preserve"> for SODG or SOTG site</w:t>
            </w:r>
            <w:r w:rsidRPr="0013396E">
              <w:rPr>
                <w:i/>
                <w:sz w:val="20"/>
              </w:rPr>
              <w:t xml:space="preserve"> gsc</w:t>
            </w:r>
            <w:r w:rsidRPr="0013396E">
              <w:rPr>
                <w:sz w:val="20"/>
              </w:rPr>
              <w:t xml:space="preserve"> represented by QSE </w:t>
            </w:r>
            <w:r w:rsidRPr="0013396E">
              <w:rPr>
                <w:i/>
                <w:sz w:val="20"/>
              </w:rPr>
              <w:t>q</w:t>
            </w:r>
            <w:r w:rsidRPr="0013396E">
              <w:rPr>
                <w:sz w:val="20"/>
              </w:rPr>
              <w:t>.  A positive value represents energy produced, and a negative value represents energy consumed.</w:t>
            </w:r>
          </w:p>
        </w:tc>
      </w:tr>
      <w:tr w:rsidR="00925E7F" w:rsidRPr="0013396E" w14:paraId="5DCF5957" w14:textId="77777777" w:rsidTr="00CB43C2">
        <w:trPr>
          <w:cantSplit/>
        </w:trPr>
        <w:tc>
          <w:tcPr>
            <w:tcW w:w="1145" w:type="pct"/>
          </w:tcPr>
          <w:p w14:paraId="6DEB994F" w14:textId="77777777" w:rsidR="00925E7F" w:rsidRPr="0013396E" w:rsidRDefault="00925E7F" w:rsidP="00925E7F">
            <w:pPr>
              <w:widowControl w:val="0"/>
              <w:spacing w:after="60"/>
              <w:rPr>
                <w:sz w:val="20"/>
              </w:rPr>
            </w:pPr>
            <w:r w:rsidRPr="0013396E">
              <w:rPr>
                <w:sz w:val="20"/>
              </w:rPr>
              <w:t>RTRDP</w:t>
            </w:r>
          </w:p>
        </w:tc>
        <w:tc>
          <w:tcPr>
            <w:tcW w:w="675" w:type="pct"/>
          </w:tcPr>
          <w:p w14:paraId="02655EA5" w14:textId="77777777" w:rsidR="00925E7F" w:rsidRPr="0013396E" w:rsidRDefault="00925E7F" w:rsidP="00925E7F">
            <w:pPr>
              <w:widowControl w:val="0"/>
              <w:spacing w:after="60"/>
              <w:rPr>
                <w:sz w:val="20"/>
              </w:rPr>
            </w:pPr>
            <w:r w:rsidRPr="0013396E">
              <w:rPr>
                <w:sz w:val="20"/>
              </w:rPr>
              <w:t>$/MWh</w:t>
            </w:r>
          </w:p>
        </w:tc>
        <w:tc>
          <w:tcPr>
            <w:tcW w:w="3180" w:type="pct"/>
          </w:tcPr>
          <w:p w14:paraId="05EC85A2" w14:textId="6B623D7D" w:rsidR="00925E7F" w:rsidRPr="0013396E" w:rsidRDefault="00925E7F" w:rsidP="00925E7F">
            <w:pPr>
              <w:widowControl w:val="0"/>
              <w:spacing w:after="60"/>
              <w:rPr>
                <w:i/>
                <w:sz w:val="20"/>
              </w:rPr>
            </w:pPr>
            <w:r w:rsidRPr="0013396E">
              <w:rPr>
                <w:i/>
                <w:sz w:val="20"/>
              </w:rPr>
              <w:t>Real-Time Reliability Deployment Price</w:t>
            </w:r>
            <w:r w:rsidR="00B361A1">
              <w:rPr>
                <w:i/>
                <w:sz w:val="20"/>
              </w:rPr>
              <w:t xml:space="preserve"> for Energy</w:t>
            </w:r>
            <w:r w:rsidRPr="0013396E">
              <w:rPr>
                <w:i/>
                <w:sz w:val="20"/>
              </w:rPr>
              <w:t xml:space="preserve"> </w:t>
            </w:r>
            <w:r w:rsidRPr="0013396E">
              <w:rPr>
                <w:sz w:val="20"/>
              </w:rPr>
              <w:sym w:font="Symbol" w:char="F0BE"/>
            </w:r>
            <w:r w:rsidRPr="0013396E">
              <w:rPr>
                <w:sz w:val="20"/>
              </w:rPr>
              <w:t xml:space="preserve">The Real-Time price for the 15-minute Settlement Interval, reflecting the impact of reliability deployments on energy prices that is calculated </w:t>
            </w:r>
            <w:r w:rsidRPr="0013396E">
              <w:rPr>
                <w:bCs/>
                <w:sz w:val="20"/>
              </w:rPr>
              <w:t>from the Real-Time Reliability Deployment Price Adder</w:t>
            </w:r>
            <w:r w:rsidR="00B361A1">
              <w:rPr>
                <w:bCs/>
                <w:sz w:val="20"/>
              </w:rPr>
              <w:t xml:space="preserve"> for Energy</w:t>
            </w:r>
            <w:r w:rsidRPr="0013396E">
              <w:rPr>
                <w:sz w:val="20"/>
              </w:rPr>
              <w:t>.</w:t>
            </w:r>
          </w:p>
        </w:tc>
      </w:tr>
      <w:tr w:rsidR="00925E7F" w:rsidRPr="0013396E" w14:paraId="64A008BD" w14:textId="77777777" w:rsidTr="00CB43C2">
        <w:trPr>
          <w:cantSplit/>
        </w:trPr>
        <w:tc>
          <w:tcPr>
            <w:tcW w:w="1145" w:type="pct"/>
          </w:tcPr>
          <w:p w14:paraId="76A345FE" w14:textId="0EF2328E" w:rsidR="00925E7F" w:rsidRPr="0013396E" w:rsidRDefault="00925E7F" w:rsidP="00925E7F">
            <w:pPr>
              <w:widowControl w:val="0"/>
              <w:spacing w:after="60"/>
              <w:rPr>
                <w:sz w:val="20"/>
              </w:rPr>
            </w:pPr>
            <w:r w:rsidRPr="0013396E">
              <w:rPr>
                <w:sz w:val="20"/>
              </w:rPr>
              <w:t>RTRDPA</w:t>
            </w:r>
            <w:r w:rsidRPr="0013396E">
              <w:rPr>
                <w:sz w:val="20"/>
                <w:vertAlign w:val="subscript"/>
              </w:rPr>
              <w:t xml:space="preserve"> </w:t>
            </w:r>
            <w:r w:rsidRPr="0013396E">
              <w:rPr>
                <w:i/>
                <w:sz w:val="20"/>
                <w:vertAlign w:val="subscript"/>
              </w:rPr>
              <w:t>y</w:t>
            </w:r>
          </w:p>
        </w:tc>
        <w:tc>
          <w:tcPr>
            <w:tcW w:w="675" w:type="pct"/>
          </w:tcPr>
          <w:p w14:paraId="70C12BAA" w14:textId="77777777" w:rsidR="00925E7F" w:rsidRPr="0013396E" w:rsidRDefault="00925E7F" w:rsidP="00925E7F">
            <w:pPr>
              <w:widowControl w:val="0"/>
              <w:spacing w:after="60"/>
              <w:rPr>
                <w:sz w:val="20"/>
              </w:rPr>
            </w:pPr>
            <w:r w:rsidRPr="0013396E">
              <w:rPr>
                <w:sz w:val="20"/>
              </w:rPr>
              <w:t>$/MWh</w:t>
            </w:r>
          </w:p>
        </w:tc>
        <w:tc>
          <w:tcPr>
            <w:tcW w:w="3180" w:type="pct"/>
          </w:tcPr>
          <w:p w14:paraId="3DB5057B" w14:textId="62CDA68C" w:rsidR="00925E7F" w:rsidRPr="0013396E" w:rsidRDefault="00925E7F" w:rsidP="00925E7F">
            <w:pPr>
              <w:widowControl w:val="0"/>
              <w:spacing w:after="60"/>
              <w:rPr>
                <w:i/>
                <w:sz w:val="20"/>
              </w:rPr>
            </w:pPr>
            <w:r w:rsidRPr="0013396E">
              <w:rPr>
                <w:i/>
                <w:sz w:val="20"/>
              </w:rPr>
              <w:t>Real-Time Reliability Deployment Price Adder</w:t>
            </w:r>
            <w:r w:rsidR="00B361A1">
              <w:rPr>
                <w:i/>
                <w:sz w:val="20"/>
              </w:rPr>
              <w:t xml:space="preserve"> for Energy</w:t>
            </w:r>
            <w:r w:rsidRPr="0013396E">
              <w:rPr>
                <w:i/>
                <w:sz w:val="20"/>
              </w:rPr>
              <w:t xml:space="preserve"> </w:t>
            </w:r>
            <w:r w:rsidRPr="0013396E">
              <w:rPr>
                <w:sz w:val="20"/>
              </w:rPr>
              <w:sym w:font="Symbol" w:char="F0BE"/>
            </w:r>
            <w:r w:rsidRPr="0013396E">
              <w:rPr>
                <w:sz w:val="20"/>
              </w:rPr>
              <w:t xml:space="preserve">The Real-Time </w:t>
            </w:r>
            <w:r w:rsidR="00B361A1">
              <w:rPr>
                <w:sz w:val="20"/>
              </w:rPr>
              <w:t>p</w:t>
            </w:r>
            <w:r w:rsidRPr="0013396E">
              <w:rPr>
                <w:sz w:val="20"/>
              </w:rPr>
              <w:t xml:space="preserve">rice </w:t>
            </w:r>
            <w:r w:rsidR="00B361A1">
              <w:rPr>
                <w:sz w:val="20"/>
              </w:rPr>
              <w:t>a</w:t>
            </w:r>
            <w:r w:rsidRPr="0013396E">
              <w:rPr>
                <w:sz w:val="20"/>
              </w:rPr>
              <w:t xml:space="preserve">dder that captures the impact of reliability deployments on energy prices for the SCED interval </w:t>
            </w:r>
            <w:r w:rsidRPr="0013396E">
              <w:rPr>
                <w:i/>
                <w:sz w:val="20"/>
              </w:rPr>
              <w:t>y</w:t>
            </w:r>
            <w:r w:rsidRPr="0013396E">
              <w:rPr>
                <w:sz w:val="20"/>
              </w:rPr>
              <w:t>.</w:t>
            </w:r>
          </w:p>
        </w:tc>
      </w:tr>
      <w:tr w:rsidR="00925E7F" w:rsidRPr="0013396E" w14:paraId="68519C70" w14:textId="77777777" w:rsidTr="00CB43C2">
        <w:trPr>
          <w:cantSplit/>
        </w:trPr>
        <w:tc>
          <w:tcPr>
            <w:tcW w:w="1145" w:type="pct"/>
          </w:tcPr>
          <w:p w14:paraId="6A7C1851" w14:textId="77777777" w:rsidR="00925E7F" w:rsidRPr="0013396E" w:rsidRDefault="00925E7F" w:rsidP="00925E7F">
            <w:pPr>
              <w:widowControl w:val="0"/>
              <w:spacing w:after="60"/>
              <w:rPr>
                <w:sz w:val="20"/>
              </w:rPr>
            </w:pPr>
            <w:r w:rsidRPr="0013396E">
              <w:rPr>
                <w:sz w:val="20"/>
              </w:rPr>
              <w:t>SDWF</w:t>
            </w:r>
            <w:r w:rsidRPr="0013396E">
              <w:rPr>
                <w:i/>
                <w:sz w:val="20"/>
              </w:rPr>
              <w:t xml:space="preserve"> </w:t>
            </w:r>
            <w:r w:rsidRPr="0013396E">
              <w:rPr>
                <w:i/>
                <w:sz w:val="20"/>
                <w:vertAlign w:val="subscript"/>
              </w:rPr>
              <w:t>y</w:t>
            </w:r>
          </w:p>
        </w:tc>
        <w:tc>
          <w:tcPr>
            <w:tcW w:w="675" w:type="pct"/>
          </w:tcPr>
          <w:p w14:paraId="35BDDD94" w14:textId="77777777" w:rsidR="00925E7F" w:rsidRPr="0013396E" w:rsidRDefault="00925E7F" w:rsidP="00925E7F">
            <w:pPr>
              <w:widowControl w:val="0"/>
              <w:spacing w:after="60"/>
              <w:rPr>
                <w:sz w:val="20"/>
              </w:rPr>
            </w:pPr>
            <w:r w:rsidRPr="0013396E">
              <w:rPr>
                <w:sz w:val="20"/>
              </w:rPr>
              <w:t>None</w:t>
            </w:r>
          </w:p>
        </w:tc>
        <w:tc>
          <w:tcPr>
            <w:tcW w:w="3180" w:type="pct"/>
          </w:tcPr>
          <w:p w14:paraId="4FEA3DCC" w14:textId="77777777" w:rsidR="00925E7F" w:rsidRPr="0013396E" w:rsidRDefault="00925E7F" w:rsidP="00925E7F">
            <w:pPr>
              <w:widowControl w:val="0"/>
              <w:spacing w:after="60"/>
              <w:rPr>
                <w:i/>
                <w:sz w:val="20"/>
              </w:rPr>
            </w:pPr>
            <w:r w:rsidRPr="0013396E">
              <w:rPr>
                <w:i/>
                <w:sz w:val="20"/>
              </w:rPr>
              <w:t>SCED Duration Weighting Factor per interval</w:t>
            </w:r>
            <w:r w:rsidRPr="0013396E">
              <w:rPr>
                <w:sz w:val="20"/>
              </w:rPr>
              <w:sym w:font="Symbol" w:char="F0BE"/>
            </w:r>
            <w:r w:rsidRPr="0013396E">
              <w:rPr>
                <w:sz w:val="20"/>
              </w:rPr>
              <w:t xml:space="preserve">The weight used in the SODG or SOTG price calculation for the portion of the SCED interval </w:t>
            </w:r>
            <w:r w:rsidRPr="0013396E">
              <w:rPr>
                <w:i/>
                <w:sz w:val="20"/>
              </w:rPr>
              <w:t>y</w:t>
            </w:r>
            <w:r w:rsidRPr="0013396E">
              <w:rPr>
                <w:sz w:val="20"/>
              </w:rPr>
              <w:t xml:space="preserve"> within the Settlement Interval.</w:t>
            </w:r>
          </w:p>
        </w:tc>
      </w:tr>
      <w:tr w:rsidR="00925E7F" w:rsidRPr="0013396E" w14:paraId="1490CEFD" w14:textId="77777777" w:rsidTr="00CB43C2">
        <w:trPr>
          <w:cantSplit/>
        </w:trPr>
        <w:tc>
          <w:tcPr>
            <w:tcW w:w="1145" w:type="pct"/>
          </w:tcPr>
          <w:p w14:paraId="1DEB7305" w14:textId="77777777" w:rsidR="00925E7F" w:rsidRPr="0013396E" w:rsidRDefault="00925E7F" w:rsidP="00925E7F">
            <w:pPr>
              <w:widowControl w:val="0"/>
              <w:spacing w:after="60"/>
              <w:rPr>
                <w:sz w:val="20"/>
              </w:rPr>
            </w:pPr>
            <w:r w:rsidRPr="0013396E">
              <w:rPr>
                <w:sz w:val="20"/>
              </w:rPr>
              <w:t xml:space="preserve">RTLMP </w:t>
            </w:r>
            <w:r w:rsidRPr="0013396E">
              <w:rPr>
                <w:i/>
                <w:sz w:val="20"/>
                <w:vertAlign w:val="subscript"/>
              </w:rPr>
              <w:t>b, y</w:t>
            </w:r>
          </w:p>
        </w:tc>
        <w:tc>
          <w:tcPr>
            <w:tcW w:w="675" w:type="pct"/>
          </w:tcPr>
          <w:p w14:paraId="6CA843BB" w14:textId="77777777" w:rsidR="00925E7F" w:rsidRPr="0013396E" w:rsidRDefault="00925E7F" w:rsidP="00925E7F">
            <w:pPr>
              <w:widowControl w:val="0"/>
              <w:spacing w:after="60"/>
              <w:rPr>
                <w:sz w:val="20"/>
              </w:rPr>
            </w:pPr>
            <w:r w:rsidRPr="0013396E">
              <w:rPr>
                <w:sz w:val="20"/>
              </w:rPr>
              <w:t>$/MWh</w:t>
            </w:r>
          </w:p>
        </w:tc>
        <w:tc>
          <w:tcPr>
            <w:tcW w:w="3180" w:type="pct"/>
          </w:tcPr>
          <w:p w14:paraId="0E3B50A0" w14:textId="77777777" w:rsidR="00925E7F" w:rsidRPr="0013396E" w:rsidRDefault="00925E7F" w:rsidP="00925E7F">
            <w:pPr>
              <w:widowControl w:val="0"/>
              <w:spacing w:after="60"/>
              <w:rPr>
                <w:sz w:val="20"/>
              </w:rPr>
            </w:pPr>
            <w:r w:rsidRPr="0013396E">
              <w:rPr>
                <w:i/>
                <w:sz w:val="20"/>
              </w:rPr>
              <w:t>Real-Time Locational Marginal Price at bus per interval</w:t>
            </w:r>
            <w:r w:rsidRPr="0013396E">
              <w:rPr>
                <w:sz w:val="20"/>
              </w:rPr>
              <w:sym w:font="Symbol" w:char="F0BE"/>
            </w:r>
            <w:r w:rsidRPr="0013396E">
              <w:rPr>
                <w:sz w:val="20"/>
              </w:rPr>
              <w:t xml:space="preserve">The Real-Time LMP at Electrical Bus </w:t>
            </w:r>
            <w:r w:rsidRPr="0013396E">
              <w:rPr>
                <w:i/>
                <w:sz w:val="20"/>
              </w:rPr>
              <w:t>b</w:t>
            </w:r>
            <w:r w:rsidRPr="0013396E">
              <w:rPr>
                <w:sz w:val="20"/>
              </w:rPr>
              <w:t xml:space="preserve">, for the SCED interval </w:t>
            </w:r>
            <w:r w:rsidRPr="0013396E">
              <w:rPr>
                <w:i/>
                <w:sz w:val="20"/>
              </w:rPr>
              <w:t>y</w:t>
            </w:r>
            <w:r w:rsidRPr="0013396E">
              <w:rPr>
                <w:sz w:val="20"/>
              </w:rPr>
              <w:t>.</w:t>
            </w:r>
          </w:p>
        </w:tc>
      </w:tr>
      <w:tr w:rsidR="00925E7F" w:rsidRPr="0013396E" w14:paraId="18CB3D09" w14:textId="77777777" w:rsidTr="00CB43C2">
        <w:trPr>
          <w:cantSplit/>
        </w:trPr>
        <w:tc>
          <w:tcPr>
            <w:tcW w:w="1145" w:type="pct"/>
          </w:tcPr>
          <w:p w14:paraId="1261709E" w14:textId="77777777" w:rsidR="00925E7F" w:rsidRPr="0013396E" w:rsidRDefault="00925E7F" w:rsidP="00925E7F">
            <w:pPr>
              <w:widowControl w:val="0"/>
              <w:spacing w:after="60"/>
              <w:rPr>
                <w:sz w:val="20"/>
              </w:rPr>
            </w:pPr>
            <w:r w:rsidRPr="0013396E">
              <w:rPr>
                <w:sz w:val="20"/>
              </w:rPr>
              <w:t xml:space="preserve">TLMP </w:t>
            </w:r>
            <w:r w:rsidRPr="0013396E">
              <w:rPr>
                <w:i/>
                <w:sz w:val="20"/>
                <w:vertAlign w:val="subscript"/>
              </w:rPr>
              <w:t>y</w:t>
            </w:r>
          </w:p>
        </w:tc>
        <w:tc>
          <w:tcPr>
            <w:tcW w:w="675" w:type="pct"/>
          </w:tcPr>
          <w:p w14:paraId="3F2A136C" w14:textId="77777777" w:rsidR="00925E7F" w:rsidRPr="0013396E" w:rsidRDefault="00925E7F" w:rsidP="00925E7F">
            <w:pPr>
              <w:widowControl w:val="0"/>
              <w:spacing w:after="60"/>
              <w:rPr>
                <w:iCs/>
                <w:sz w:val="20"/>
              </w:rPr>
            </w:pPr>
            <w:r w:rsidRPr="0013396E">
              <w:rPr>
                <w:sz w:val="20"/>
              </w:rPr>
              <w:t>second</w:t>
            </w:r>
          </w:p>
        </w:tc>
        <w:tc>
          <w:tcPr>
            <w:tcW w:w="3180" w:type="pct"/>
          </w:tcPr>
          <w:p w14:paraId="4C37EEA6" w14:textId="77777777" w:rsidR="00925E7F" w:rsidRPr="0013396E" w:rsidRDefault="00925E7F" w:rsidP="00925E7F">
            <w:pPr>
              <w:widowControl w:val="0"/>
              <w:spacing w:after="60"/>
              <w:rPr>
                <w:sz w:val="20"/>
              </w:rPr>
            </w:pPr>
            <w:r w:rsidRPr="0013396E">
              <w:rPr>
                <w:i/>
                <w:iCs/>
                <w:sz w:val="20"/>
              </w:rPr>
              <w:t xml:space="preserve">Duration of </w:t>
            </w:r>
            <w:r w:rsidRPr="0013396E">
              <w:rPr>
                <w:i/>
                <w:sz w:val="20"/>
              </w:rPr>
              <w:t>SCED</w:t>
            </w:r>
            <w:r w:rsidRPr="0013396E">
              <w:rPr>
                <w:i/>
                <w:iCs/>
                <w:sz w:val="20"/>
              </w:rPr>
              <w:t xml:space="preserve"> interval per interval</w:t>
            </w:r>
            <w:r w:rsidRPr="0013396E">
              <w:rPr>
                <w:sz w:val="20"/>
              </w:rPr>
              <w:sym w:font="Symbol" w:char="F0BE"/>
            </w:r>
            <w:r w:rsidRPr="0013396E">
              <w:rPr>
                <w:sz w:val="20"/>
              </w:rPr>
              <w:t xml:space="preserve">The duration of the SCED interval </w:t>
            </w:r>
            <w:r w:rsidRPr="0013396E">
              <w:rPr>
                <w:i/>
                <w:iCs/>
                <w:sz w:val="20"/>
              </w:rPr>
              <w:t xml:space="preserve">y </w:t>
            </w:r>
            <w:r w:rsidRPr="0013396E">
              <w:rPr>
                <w:iCs/>
                <w:sz w:val="20"/>
              </w:rPr>
              <w:t>within the Settlement Interval</w:t>
            </w:r>
            <w:r w:rsidRPr="0013396E">
              <w:rPr>
                <w:sz w:val="20"/>
              </w:rPr>
              <w:t>.</w:t>
            </w:r>
          </w:p>
        </w:tc>
      </w:tr>
      <w:tr w:rsidR="00925E7F" w:rsidRPr="0013396E" w14:paraId="21C63360" w14:textId="77777777" w:rsidTr="00CB43C2">
        <w:trPr>
          <w:cantSplit/>
        </w:trPr>
        <w:tc>
          <w:tcPr>
            <w:tcW w:w="1145" w:type="pct"/>
          </w:tcPr>
          <w:p w14:paraId="47F136DE" w14:textId="77777777" w:rsidR="00925E7F" w:rsidRPr="0013396E" w:rsidRDefault="00925E7F" w:rsidP="00925E7F">
            <w:pPr>
              <w:widowControl w:val="0"/>
              <w:spacing w:after="60"/>
              <w:rPr>
                <w:i/>
                <w:sz w:val="20"/>
              </w:rPr>
            </w:pPr>
            <w:r w:rsidRPr="0013396E">
              <w:rPr>
                <w:i/>
                <w:sz w:val="20"/>
              </w:rPr>
              <w:t>gsc</w:t>
            </w:r>
          </w:p>
        </w:tc>
        <w:tc>
          <w:tcPr>
            <w:tcW w:w="675" w:type="pct"/>
          </w:tcPr>
          <w:p w14:paraId="0BD2D01F" w14:textId="77777777" w:rsidR="00925E7F" w:rsidRPr="0013396E" w:rsidRDefault="00925E7F" w:rsidP="00925E7F">
            <w:pPr>
              <w:widowControl w:val="0"/>
              <w:spacing w:after="60"/>
              <w:rPr>
                <w:sz w:val="20"/>
              </w:rPr>
            </w:pPr>
            <w:r w:rsidRPr="0013396E">
              <w:rPr>
                <w:sz w:val="20"/>
              </w:rPr>
              <w:t>none</w:t>
            </w:r>
          </w:p>
        </w:tc>
        <w:tc>
          <w:tcPr>
            <w:tcW w:w="3180" w:type="pct"/>
          </w:tcPr>
          <w:p w14:paraId="3186F733" w14:textId="77777777" w:rsidR="00925E7F" w:rsidRPr="0013396E" w:rsidRDefault="00925E7F" w:rsidP="00925E7F">
            <w:pPr>
              <w:widowControl w:val="0"/>
              <w:spacing w:after="60"/>
              <w:rPr>
                <w:sz w:val="20"/>
              </w:rPr>
            </w:pPr>
            <w:r w:rsidRPr="0013396E">
              <w:rPr>
                <w:sz w:val="20"/>
              </w:rPr>
              <w:t>A generation site code.</w:t>
            </w:r>
          </w:p>
        </w:tc>
      </w:tr>
      <w:tr w:rsidR="00925E7F" w:rsidRPr="0013396E" w14:paraId="0CBAA8EC" w14:textId="77777777" w:rsidTr="00CB43C2">
        <w:trPr>
          <w:cantSplit/>
        </w:trPr>
        <w:tc>
          <w:tcPr>
            <w:tcW w:w="1145" w:type="pct"/>
          </w:tcPr>
          <w:p w14:paraId="4BADA72A" w14:textId="77777777" w:rsidR="00925E7F" w:rsidRPr="0013396E" w:rsidRDefault="00925E7F" w:rsidP="00925E7F">
            <w:pPr>
              <w:widowControl w:val="0"/>
              <w:spacing w:after="60"/>
              <w:rPr>
                <w:i/>
                <w:sz w:val="20"/>
              </w:rPr>
            </w:pPr>
            <w:r w:rsidRPr="0013396E">
              <w:rPr>
                <w:i/>
                <w:sz w:val="20"/>
              </w:rPr>
              <w:t>b</w:t>
            </w:r>
          </w:p>
        </w:tc>
        <w:tc>
          <w:tcPr>
            <w:tcW w:w="675" w:type="pct"/>
          </w:tcPr>
          <w:p w14:paraId="5FF2E66D" w14:textId="77777777" w:rsidR="00925E7F" w:rsidRPr="0013396E" w:rsidRDefault="00925E7F" w:rsidP="00925E7F">
            <w:pPr>
              <w:widowControl w:val="0"/>
              <w:spacing w:after="60"/>
              <w:rPr>
                <w:sz w:val="20"/>
              </w:rPr>
            </w:pPr>
            <w:r w:rsidRPr="0013396E">
              <w:rPr>
                <w:sz w:val="20"/>
              </w:rPr>
              <w:t>none</w:t>
            </w:r>
          </w:p>
        </w:tc>
        <w:tc>
          <w:tcPr>
            <w:tcW w:w="3180" w:type="pct"/>
          </w:tcPr>
          <w:p w14:paraId="047EBA38" w14:textId="77777777" w:rsidR="00925E7F" w:rsidRPr="0013396E" w:rsidRDefault="00925E7F" w:rsidP="00925E7F">
            <w:pPr>
              <w:widowControl w:val="0"/>
              <w:spacing w:after="60"/>
              <w:rPr>
                <w:sz w:val="20"/>
              </w:rPr>
            </w:pPr>
            <w:r w:rsidRPr="0013396E">
              <w:rPr>
                <w:sz w:val="20"/>
              </w:rPr>
              <w:t>An Electrical Bus.</w:t>
            </w:r>
          </w:p>
        </w:tc>
      </w:tr>
      <w:tr w:rsidR="00925E7F" w:rsidRPr="0013396E" w14:paraId="22C53897" w14:textId="77777777" w:rsidTr="00CB43C2">
        <w:trPr>
          <w:cantSplit/>
        </w:trPr>
        <w:tc>
          <w:tcPr>
            <w:tcW w:w="1145" w:type="pct"/>
          </w:tcPr>
          <w:p w14:paraId="6FEF3083" w14:textId="77777777" w:rsidR="00925E7F" w:rsidRPr="0013396E" w:rsidRDefault="00925E7F" w:rsidP="00925E7F">
            <w:pPr>
              <w:widowControl w:val="0"/>
              <w:spacing w:after="60"/>
              <w:rPr>
                <w:i/>
                <w:sz w:val="20"/>
              </w:rPr>
            </w:pPr>
            <w:r w:rsidRPr="0013396E">
              <w:rPr>
                <w:i/>
                <w:sz w:val="20"/>
              </w:rPr>
              <w:t>y</w:t>
            </w:r>
          </w:p>
        </w:tc>
        <w:tc>
          <w:tcPr>
            <w:tcW w:w="675" w:type="pct"/>
          </w:tcPr>
          <w:p w14:paraId="4624F612" w14:textId="77777777" w:rsidR="00925E7F" w:rsidRPr="0013396E" w:rsidRDefault="00925E7F" w:rsidP="00925E7F">
            <w:pPr>
              <w:widowControl w:val="0"/>
              <w:spacing w:after="60"/>
              <w:rPr>
                <w:sz w:val="20"/>
              </w:rPr>
            </w:pPr>
            <w:r w:rsidRPr="0013396E">
              <w:rPr>
                <w:sz w:val="20"/>
              </w:rPr>
              <w:t>None</w:t>
            </w:r>
          </w:p>
        </w:tc>
        <w:tc>
          <w:tcPr>
            <w:tcW w:w="3180" w:type="pct"/>
          </w:tcPr>
          <w:p w14:paraId="1300DA59" w14:textId="77777777" w:rsidR="00925E7F" w:rsidRPr="0013396E" w:rsidRDefault="00925E7F" w:rsidP="00925E7F">
            <w:pPr>
              <w:widowControl w:val="0"/>
              <w:spacing w:after="60"/>
              <w:rPr>
                <w:sz w:val="20"/>
              </w:rPr>
            </w:pPr>
            <w:r w:rsidRPr="0013396E">
              <w:rPr>
                <w:sz w:val="20"/>
              </w:rPr>
              <w:t>A SCED interval in the 15-minute Settlement Interval.  The summation is over the total number of SCED runs that cover the 15-minute Settlement Interval.</w:t>
            </w:r>
          </w:p>
        </w:tc>
      </w:tr>
    </w:tbl>
    <w:p w14:paraId="0318AB70" w14:textId="77777777" w:rsidR="00925E7F" w:rsidRPr="0013396E" w:rsidRDefault="00925E7F" w:rsidP="00925E7F">
      <w:pPr>
        <w:spacing w:before="240" w:after="240"/>
        <w:ind w:left="720" w:hanging="720"/>
      </w:pPr>
      <w:r w:rsidRPr="0013396E">
        <w:t>(4)</w:t>
      </w:r>
      <w:r w:rsidRPr="0013396E">
        <w:tab/>
        <w:t>The total net payments and charges to each QSE for energy from SODGs and SOTGs for the 15-minute Settlement Interval is calculated as follows:</w:t>
      </w:r>
    </w:p>
    <w:p w14:paraId="64758C1A" w14:textId="77777777" w:rsidR="00925E7F" w:rsidRPr="0013396E" w:rsidRDefault="00925E7F" w:rsidP="00925E7F">
      <w:pPr>
        <w:tabs>
          <w:tab w:val="left" w:pos="2250"/>
          <w:tab w:val="left" w:pos="3150"/>
          <w:tab w:val="left" w:pos="3960"/>
        </w:tabs>
        <w:spacing w:after="240"/>
        <w:ind w:left="3960" w:hanging="3240"/>
        <w:rPr>
          <w:b/>
          <w:bCs/>
          <w:szCs w:val="24"/>
        </w:rPr>
      </w:pPr>
      <w:r w:rsidRPr="0013396E">
        <w:rPr>
          <w:b/>
          <w:bCs/>
          <w:szCs w:val="24"/>
        </w:rPr>
        <w:t xml:space="preserve">RTESOGAMTQSETOT </w:t>
      </w:r>
      <w:r w:rsidRPr="0013396E">
        <w:rPr>
          <w:b/>
          <w:bCs/>
          <w:i/>
          <w:szCs w:val="24"/>
          <w:vertAlign w:val="subscript"/>
        </w:rPr>
        <w:t>q</w:t>
      </w:r>
      <w:r w:rsidRPr="0013396E">
        <w:rPr>
          <w:b/>
          <w:bCs/>
          <w:szCs w:val="24"/>
        </w:rPr>
        <w:tab/>
        <w:t xml:space="preserve">= </w:t>
      </w:r>
      <w:r w:rsidRPr="0013396E">
        <w:rPr>
          <w:b/>
          <w:bCs/>
          <w:position w:val="-22"/>
          <w:szCs w:val="24"/>
        </w:rPr>
        <w:object w:dxaOrig="285" w:dyaOrig="450" w14:anchorId="48DB64C3">
          <v:shape id="_x0000_i1137" type="#_x0000_t75" style="width:12pt;height:24pt" o:ole="">
            <v:imagedata r:id="rId164" o:title=""/>
          </v:shape>
          <o:OLEObject Type="Embed" ProgID="Equation.3" ShapeID="_x0000_i1137" DrawAspect="Content" ObjectID="_1836311416" r:id="rId165"/>
        </w:object>
      </w:r>
      <w:r w:rsidRPr="0013396E">
        <w:rPr>
          <w:b/>
          <w:bCs/>
          <w:szCs w:val="24"/>
        </w:rPr>
        <w:t xml:space="preserve">RTESOGSAMT </w:t>
      </w:r>
      <w:r w:rsidRPr="0013396E">
        <w:rPr>
          <w:b/>
          <w:bCs/>
          <w:i/>
          <w:szCs w:val="24"/>
          <w:vertAlign w:val="subscript"/>
        </w:rPr>
        <w:t>q, gsc</w:t>
      </w:r>
    </w:p>
    <w:p w14:paraId="0C8CA5EE" w14:textId="77777777" w:rsidR="00925E7F" w:rsidRPr="0013396E" w:rsidRDefault="00925E7F" w:rsidP="00925E7F">
      <w:r w:rsidRPr="0013396E">
        <w:t>The above variables are defined as follows:</w:t>
      </w: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5"/>
        <w:gridCol w:w="700"/>
        <w:gridCol w:w="6036"/>
      </w:tblGrid>
      <w:tr w:rsidR="00925E7F" w:rsidRPr="0013396E" w14:paraId="78F51904" w14:textId="77777777" w:rsidTr="00CB43C2">
        <w:trPr>
          <w:cantSplit/>
          <w:tblHeader/>
        </w:trPr>
        <w:tc>
          <w:tcPr>
            <w:tcW w:w="2335" w:type="dxa"/>
          </w:tcPr>
          <w:p w14:paraId="0AC655D5" w14:textId="77777777" w:rsidR="00925E7F" w:rsidRPr="0013396E" w:rsidRDefault="00925E7F" w:rsidP="00925E7F">
            <w:pPr>
              <w:spacing w:after="120"/>
              <w:rPr>
                <w:b/>
                <w:iCs/>
                <w:sz w:val="20"/>
              </w:rPr>
            </w:pPr>
            <w:r w:rsidRPr="0013396E">
              <w:rPr>
                <w:b/>
                <w:iCs/>
                <w:sz w:val="20"/>
              </w:rPr>
              <w:t>Variable</w:t>
            </w:r>
          </w:p>
        </w:tc>
        <w:tc>
          <w:tcPr>
            <w:tcW w:w="700" w:type="dxa"/>
          </w:tcPr>
          <w:p w14:paraId="75D792F5" w14:textId="77777777" w:rsidR="00925E7F" w:rsidRPr="0013396E" w:rsidRDefault="00925E7F" w:rsidP="00925E7F">
            <w:pPr>
              <w:spacing w:after="120"/>
              <w:rPr>
                <w:b/>
                <w:iCs/>
                <w:sz w:val="20"/>
              </w:rPr>
            </w:pPr>
            <w:r w:rsidRPr="0013396E">
              <w:rPr>
                <w:b/>
                <w:iCs/>
                <w:sz w:val="20"/>
              </w:rPr>
              <w:t>Unit</w:t>
            </w:r>
          </w:p>
        </w:tc>
        <w:tc>
          <w:tcPr>
            <w:tcW w:w="6036" w:type="dxa"/>
          </w:tcPr>
          <w:p w14:paraId="6A2DC540" w14:textId="77777777" w:rsidR="00925E7F" w:rsidRPr="0013396E" w:rsidRDefault="00925E7F" w:rsidP="00925E7F">
            <w:pPr>
              <w:spacing w:after="120"/>
              <w:rPr>
                <w:b/>
                <w:iCs/>
                <w:sz w:val="20"/>
              </w:rPr>
            </w:pPr>
            <w:r w:rsidRPr="0013396E">
              <w:rPr>
                <w:b/>
                <w:iCs/>
                <w:sz w:val="20"/>
              </w:rPr>
              <w:t>Definition</w:t>
            </w:r>
          </w:p>
        </w:tc>
      </w:tr>
      <w:tr w:rsidR="00925E7F" w:rsidRPr="0013396E" w14:paraId="56D69343" w14:textId="77777777" w:rsidTr="00CB43C2">
        <w:trPr>
          <w:cantSplit/>
        </w:trPr>
        <w:tc>
          <w:tcPr>
            <w:tcW w:w="2335" w:type="dxa"/>
          </w:tcPr>
          <w:p w14:paraId="6DCD9673" w14:textId="77777777" w:rsidR="00925E7F" w:rsidRPr="0013396E" w:rsidRDefault="00925E7F" w:rsidP="00925E7F">
            <w:pPr>
              <w:spacing w:after="60"/>
              <w:rPr>
                <w:iCs/>
                <w:sz w:val="20"/>
              </w:rPr>
            </w:pPr>
            <w:r w:rsidRPr="0013396E">
              <w:rPr>
                <w:iCs/>
                <w:sz w:val="20"/>
              </w:rPr>
              <w:t xml:space="preserve">RTESOGAMTQSETOT </w:t>
            </w:r>
            <w:r w:rsidRPr="0013396E">
              <w:rPr>
                <w:i/>
                <w:iCs/>
                <w:sz w:val="20"/>
                <w:vertAlign w:val="subscript"/>
              </w:rPr>
              <w:t>q</w:t>
            </w:r>
          </w:p>
        </w:tc>
        <w:tc>
          <w:tcPr>
            <w:tcW w:w="700" w:type="dxa"/>
          </w:tcPr>
          <w:p w14:paraId="0311BE7B" w14:textId="77777777" w:rsidR="00925E7F" w:rsidRPr="0013396E" w:rsidRDefault="00925E7F" w:rsidP="00925E7F">
            <w:pPr>
              <w:spacing w:after="60"/>
              <w:rPr>
                <w:iCs/>
                <w:sz w:val="20"/>
              </w:rPr>
            </w:pPr>
            <w:r w:rsidRPr="0013396E">
              <w:rPr>
                <w:iCs/>
                <w:sz w:val="20"/>
              </w:rPr>
              <w:t>$</w:t>
            </w:r>
          </w:p>
        </w:tc>
        <w:tc>
          <w:tcPr>
            <w:tcW w:w="6036" w:type="dxa"/>
          </w:tcPr>
          <w:p w14:paraId="5AC51C2B" w14:textId="77777777" w:rsidR="00925E7F" w:rsidRPr="0013396E" w:rsidRDefault="00925E7F" w:rsidP="00925E7F">
            <w:pPr>
              <w:spacing w:after="60"/>
              <w:rPr>
                <w:iCs/>
                <w:sz w:val="20"/>
              </w:rPr>
            </w:pPr>
            <w:r w:rsidRPr="0013396E">
              <w:rPr>
                <w:i/>
                <w:iCs/>
                <w:sz w:val="20"/>
              </w:rPr>
              <w:t xml:space="preserve">Real-Time Energy Payment or Charge per QSE for Energy from SODGs and SOTGs </w:t>
            </w:r>
            <w:r w:rsidRPr="0013396E">
              <w:rPr>
                <w:iCs/>
                <w:sz w:val="20"/>
              </w:rPr>
              <w:t xml:space="preserve">—The payment or charge to QSE </w:t>
            </w:r>
            <w:r w:rsidRPr="0013396E">
              <w:rPr>
                <w:i/>
                <w:iCs/>
                <w:sz w:val="20"/>
              </w:rPr>
              <w:t>q</w:t>
            </w:r>
            <w:r w:rsidRPr="0013396E">
              <w:rPr>
                <w:iCs/>
                <w:sz w:val="20"/>
              </w:rPr>
              <w:t xml:space="preserve"> for Real-Time energy from SODGs and SOTGs, for the 15-minute Settlement Interval.</w:t>
            </w:r>
          </w:p>
        </w:tc>
      </w:tr>
      <w:tr w:rsidR="00925E7F" w:rsidRPr="0013396E" w14:paraId="18D8A7AF" w14:textId="77777777" w:rsidTr="00CB43C2">
        <w:trPr>
          <w:cantSplit/>
        </w:trPr>
        <w:tc>
          <w:tcPr>
            <w:tcW w:w="2335" w:type="dxa"/>
          </w:tcPr>
          <w:p w14:paraId="00DC4291" w14:textId="77777777" w:rsidR="00925E7F" w:rsidRPr="0013396E" w:rsidRDefault="00925E7F" w:rsidP="00925E7F">
            <w:pPr>
              <w:spacing w:after="60"/>
              <w:rPr>
                <w:iCs/>
                <w:sz w:val="20"/>
              </w:rPr>
            </w:pPr>
            <w:r w:rsidRPr="0013396E">
              <w:rPr>
                <w:iCs/>
                <w:sz w:val="20"/>
              </w:rPr>
              <w:t xml:space="preserve">RTESOGSAMT </w:t>
            </w:r>
            <w:r w:rsidRPr="0013396E">
              <w:rPr>
                <w:i/>
                <w:iCs/>
                <w:sz w:val="20"/>
                <w:vertAlign w:val="subscript"/>
              </w:rPr>
              <w:t>q, gsc</w:t>
            </w:r>
          </w:p>
        </w:tc>
        <w:tc>
          <w:tcPr>
            <w:tcW w:w="700" w:type="dxa"/>
          </w:tcPr>
          <w:p w14:paraId="1CF26442" w14:textId="77777777" w:rsidR="00925E7F" w:rsidRPr="0013396E" w:rsidRDefault="00925E7F" w:rsidP="00925E7F">
            <w:pPr>
              <w:spacing w:after="60"/>
              <w:rPr>
                <w:iCs/>
                <w:sz w:val="20"/>
              </w:rPr>
            </w:pPr>
            <w:r w:rsidRPr="0013396E">
              <w:rPr>
                <w:iCs/>
                <w:sz w:val="20"/>
              </w:rPr>
              <w:t>$</w:t>
            </w:r>
          </w:p>
        </w:tc>
        <w:tc>
          <w:tcPr>
            <w:tcW w:w="6036" w:type="dxa"/>
          </w:tcPr>
          <w:p w14:paraId="19FCF892" w14:textId="77777777" w:rsidR="00925E7F" w:rsidRPr="0013396E" w:rsidRDefault="00925E7F" w:rsidP="00925E7F">
            <w:pPr>
              <w:spacing w:after="60"/>
              <w:rPr>
                <w:iCs/>
                <w:sz w:val="20"/>
              </w:rPr>
            </w:pPr>
            <w:r w:rsidRPr="0013396E">
              <w:rPr>
                <w:i/>
                <w:iCs/>
                <w:sz w:val="20"/>
              </w:rPr>
              <w:t>Real-Time Energy for SODG and SOTG Site Amount</w:t>
            </w:r>
            <w:r w:rsidRPr="0013396E" w:rsidDel="006C2DC2">
              <w:rPr>
                <w:i/>
                <w:iCs/>
                <w:sz w:val="20"/>
              </w:rPr>
              <w:t xml:space="preserve"> </w:t>
            </w:r>
            <w:r w:rsidRPr="0013396E">
              <w:rPr>
                <w:iCs/>
                <w:sz w:val="20"/>
              </w:rPr>
              <w:t xml:space="preserve">—The total payment or charge to QSE </w:t>
            </w:r>
            <w:r w:rsidRPr="0013396E">
              <w:rPr>
                <w:i/>
                <w:iCs/>
                <w:sz w:val="20"/>
              </w:rPr>
              <w:t>q</w:t>
            </w:r>
            <w:r w:rsidRPr="0013396E">
              <w:rPr>
                <w:iCs/>
                <w:sz w:val="20"/>
              </w:rPr>
              <w:t xml:space="preserve"> for an SODG or SOTG site</w:t>
            </w:r>
            <w:r w:rsidRPr="0013396E">
              <w:rPr>
                <w:i/>
                <w:iCs/>
                <w:sz w:val="20"/>
              </w:rPr>
              <w:t xml:space="preserve"> gsc</w:t>
            </w:r>
            <w:r w:rsidRPr="0013396E">
              <w:rPr>
                <w:iCs/>
                <w:sz w:val="20"/>
              </w:rPr>
              <w:t xml:space="preserve"> for the 15-minute Settlement Interval.</w:t>
            </w:r>
          </w:p>
        </w:tc>
      </w:tr>
      <w:tr w:rsidR="00925E7F" w:rsidRPr="0013396E" w14:paraId="1D9D6F1A" w14:textId="77777777" w:rsidTr="00CB43C2">
        <w:trPr>
          <w:cantSplit/>
        </w:trPr>
        <w:tc>
          <w:tcPr>
            <w:tcW w:w="2335" w:type="dxa"/>
            <w:tcBorders>
              <w:top w:val="single" w:sz="4" w:space="0" w:color="auto"/>
              <w:left w:val="single" w:sz="4" w:space="0" w:color="auto"/>
              <w:bottom w:val="single" w:sz="4" w:space="0" w:color="auto"/>
              <w:right w:val="single" w:sz="4" w:space="0" w:color="auto"/>
            </w:tcBorders>
          </w:tcPr>
          <w:p w14:paraId="4AA5ADF7" w14:textId="77777777" w:rsidR="00925E7F" w:rsidRPr="0013396E" w:rsidRDefault="00925E7F" w:rsidP="00925E7F">
            <w:pPr>
              <w:spacing w:after="60"/>
              <w:rPr>
                <w:i/>
                <w:iCs/>
                <w:sz w:val="20"/>
              </w:rPr>
            </w:pPr>
            <w:r w:rsidRPr="0013396E">
              <w:rPr>
                <w:i/>
                <w:iCs/>
                <w:sz w:val="20"/>
              </w:rPr>
              <w:t>q</w:t>
            </w:r>
          </w:p>
        </w:tc>
        <w:tc>
          <w:tcPr>
            <w:tcW w:w="700" w:type="dxa"/>
            <w:tcBorders>
              <w:top w:val="single" w:sz="4" w:space="0" w:color="auto"/>
              <w:left w:val="single" w:sz="4" w:space="0" w:color="auto"/>
              <w:bottom w:val="single" w:sz="4" w:space="0" w:color="auto"/>
              <w:right w:val="single" w:sz="4" w:space="0" w:color="auto"/>
            </w:tcBorders>
          </w:tcPr>
          <w:p w14:paraId="510FC691" w14:textId="77777777" w:rsidR="00925E7F" w:rsidRPr="0013396E" w:rsidRDefault="00925E7F" w:rsidP="00925E7F">
            <w:pPr>
              <w:spacing w:after="60"/>
              <w:rPr>
                <w:iCs/>
                <w:sz w:val="20"/>
              </w:rPr>
            </w:pPr>
            <w:r w:rsidRPr="0013396E">
              <w:rPr>
                <w:iCs/>
                <w:sz w:val="20"/>
              </w:rPr>
              <w:t>none</w:t>
            </w:r>
          </w:p>
        </w:tc>
        <w:tc>
          <w:tcPr>
            <w:tcW w:w="6036" w:type="dxa"/>
            <w:tcBorders>
              <w:top w:val="single" w:sz="4" w:space="0" w:color="auto"/>
              <w:left w:val="single" w:sz="4" w:space="0" w:color="auto"/>
              <w:bottom w:val="single" w:sz="4" w:space="0" w:color="auto"/>
              <w:right w:val="single" w:sz="4" w:space="0" w:color="auto"/>
            </w:tcBorders>
          </w:tcPr>
          <w:p w14:paraId="65418523" w14:textId="77777777" w:rsidR="00925E7F" w:rsidRPr="0013396E" w:rsidRDefault="00925E7F" w:rsidP="00925E7F">
            <w:pPr>
              <w:spacing w:after="60"/>
              <w:rPr>
                <w:iCs/>
                <w:sz w:val="20"/>
              </w:rPr>
            </w:pPr>
            <w:r w:rsidRPr="0013396E">
              <w:rPr>
                <w:iCs/>
                <w:sz w:val="20"/>
              </w:rPr>
              <w:t>A QSE.</w:t>
            </w:r>
          </w:p>
        </w:tc>
      </w:tr>
      <w:tr w:rsidR="00925E7F" w:rsidRPr="0013396E" w14:paraId="568DDEEF" w14:textId="77777777" w:rsidTr="00CB43C2">
        <w:trPr>
          <w:cantSplit/>
        </w:trPr>
        <w:tc>
          <w:tcPr>
            <w:tcW w:w="2335" w:type="dxa"/>
            <w:tcBorders>
              <w:top w:val="single" w:sz="4" w:space="0" w:color="auto"/>
              <w:left w:val="single" w:sz="4" w:space="0" w:color="auto"/>
              <w:bottom w:val="single" w:sz="4" w:space="0" w:color="auto"/>
              <w:right w:val="single" w:sz="4" w:space="0" w:color="auto"/>
            </w:tcBorders>
          </w:tcPr>
          <w:p w14:paraId="3BBBF4B0" w14:textId="77777777" w:rsidR="00925E7F" w:rsidRPr="0013396E" w:rsidRDefault="00925E7F" w:rsidP="00925E7F">
            <w:pPr>
              <w:spacing w:after="60"/>
              <w:rPr>
                <w:i/>
                <w:iCs/>
                <w:sz w:val="20"/>
              </w:rPr>
            </w:pPr>
            <w:r w:rsidRPr="0013396E">
              <w:rPr>
                <w:i/>
                <w:iCs/>
                <w:sz w:val="20"/>
              </w:rPr>
              <w:t>gsc</w:t>
            </w:r>
          </w:p>
        </w:tc>
        <w:tc>
          <w:tcPr>
            <w:tcW w:w="700" w:type="dxa"/>
            <w:tcBorders>
              <w:top w:val="single" w:sz="4" w:space="0" w:color="auto"/>
              <w:left w:val="single" w:sz="4" w:space="0" w:color="auto"/>
              <w:bottom w:val="single" w:sz="4" w:space="0" w:color="auto"/>
              <w:right w:val="single" w:sz="4" w:space="0" w:color="auto"/>
            </w:tcBorders>
          </w:tcPr>
          <w:p w14:paraId="34A6DF47" w14:textId="77777777" w:rsidR="00925E7F" w:rsidRPr="0013396E" w:rsidRDefault="00925E7F" w:rsidP="00925E7F">
            <w:pPr>
              <w:spacing w:after="60"/>
              <w:rPr>
                <w:iCs/>
                <w:sz w:val="20"/>
              </w:rPr>
            </w:pPr>
            <w:r w:rsidRPr="0013396E">
              <w:rPr>
                <w:iCs/>
                <w:sz w:val="20"/>
              </w:rPr>
              <w:t>none</w:t>
            </w:r>
          </w:p>
        </w:tc>
        <w:tc>
          <w:tcPr>
            <w:tcW w:w="6036" w:type="dxa"/>
            <w:tcBorders>
              <w:top w:val="single" w:sz="4" w:space="0" w:color="auto"/>
              <w:left w:val="single" w:sz="4" w:space="0" w:color="auto"/>
              <w:bottom w:val="single" w:sz="4" w:space="0" w:color="auto"/>
              <w:right w:val="single" w:sz="4" w:space="0" w:color="auto"/>
            </w:tcBorders>
          </w:tcPr>
          <w:p w14:paraId="00D06A62" w14:textId="77777777" w:rsidR="00925E7F" w:rsidRPr="0013396E" w:rsidRDefault="00925E7F" w:rsidP="00925E7F">
            <w:pPr>
              <w:spacing w:after="60"/>
              <w:rPr>
                <w:iCs/>
                <w:sz w:val="20"/>
              </w:rPr>
            </w:pPr>
            <w:r w:rsidRPr="0013396E">
              <w:rPr>
                <w:iCs/>
                <w:sz w:val="20"/>
              </w:rPr>
              <w:t>A generation site code.</w:t>
            </w:r>
          </w:p>
        </w:tc>
      </w:tr>
    </w:tbl>
    <w:p w14:paraId="1BAE4C8C" w14:textId="77777777" w:rsidR="00925E7F" w:rsidRPr="0013396E" w:rsidRDefault="00925E7F" w:rsidP="00925E7F">
      <w:pPr>
        <w:widowControl w:val="0"/>
        <w:spacing w:before="240" w:after="240"/>
        <w:ind w:left="720" w:hanging="720"/>
      </w:pPr>
      <w:r w:rsidRPr="0013396E">
        <w:rPr>
          <w:bCs/>
        </w:rPr>
        <w:t xml:space="preserve">(5) </w:t>
      </w:r>
      <w:r w:rsidRPr="0013396E">
        <w:rPr>
          <w:bCs/>
        </w:rPr>
        <w:tab/>
        <w:t xml:space="preserve">Notwithstanding anything else in this Section except paragraphs (6) and (7) below, a Resource Entity may opt out of nodal pricing and continue Load Zone Settlement for any </w:t>
      </w:r>
      <w:r w:rsidRPr="0013396E">
        <w:t xml:space="preserve">SODG or SOTG if, by January 1, 2019, the SODG or SOTG was operational or was subject to a Power Purchase or Tolling Agreement (PPA) or Transmission and/or Distribution Service Provider (TDSP) interconnection agreement, or had an executed agreement with a developer.  By December 31, 2019, the Resource Entity must submit a </w:t>
      </w:r>
      <w:r w:rsidRPr="0013396E">
        <w:lastRenderedPageBreak/>
        <w:t xml:space="preserve">properly completed Section 23, Form N, Pricing Election for Settlement Only Distribution Generators and Settlement Only Transmission Generators.  Any SODG or SOTG relying on a PPA or TDSP interconnection agreement or agreement with a developer must also have achieved Initial Synchronization for the full Resource capacity before June 1, 2020 to be eligible to opt out of nodal pricing.  A Resource Entity must provide ERCOT documented proof of any PPA, TDSP interconnection agreement, or developer agreement that it relies on as a basis for any election under this paragraph.  This election is valid through the earlier of December 31, 2029 or the date on which the election is revoked pursuant to paragraph (8) of this Section.  On January 1, 2030, all SODGs and SOTGs will be subject to nodal pricing.  </w:t>
      </w:r>
    </w:p>
    <w:p w14:paraId="08BB4E03" w14:textId="77777777" w:rsidR="00925E7F" w:rsidRPr="0013396E" w:rsidRDefault="00925E7F" w:rsidP="00925E7F">
      <w:pPr>
        <w:widowControl w:val="0"/>
        <w:spacing w:after="240"/>
        <w:ind w:left="720" w:hanging="720"/>
      </w:pPr>
      <w:r w:rsidRPr="0013396E">
        <w:t>(6)</w:t>
      </w:r>
      <w:r w:rsidRPr="0013396E">
        <w:tab/>
        <w:t>For any SODG or SOTG for which the applicable Resource Entity has elected to opt out of nodal pricing, ERCOT shall settle the output of the SODG or SOTG using the Load Zone Settlement Point Price for the duration of the opt-out period so long as the SODG or SOTG is not physically modified for any purpose, including to increase the capacity of the unit or change the fuel type of the unit, except as necessary for routine maintenance or repairs to address normal wear and tear.</w:t>
      </w:r>
    </w:p>
    <w:p w14:paraId="14AC7094" w14:textId="77777777" w:rsidR="00925E7F" w:rsidRPr="0013396E" w:rsidRDefault="00925E7F" w:rsidP="00925E7F">
      <w:pPr>
        <w:widowControl w:val="0"/>
        <w:spacing w:after="240"/>
        <w:ind w:left="720" w:hanging="720"/>
      </w:pPr>
      <w:r w:rsidRPr="0013396E">
        <w:t>(7)</w:t>
      </w:r>
      <w:r w:rsidRPr="0013396E">
        <w:tab/>
        <w:t>If at any time ERCOT determines that the SODG or SOTG fails to meet the opt-out conditions in paragraph (6) above, ERCOT shall settle the output of the SODG or SOTG at the applicable nodal price as soon as practicable after providing written notice to the affected Resource Entity.</w:t>
      </w:r>
    </w:p>
    <w:p w14:paraId="32413C71" w14:textId="3667AD0A" w:rsidR="009058F4" w:rsidRPr="0013396E" w:rsidRDefault="00925E7F" w:rsidP="00925E7F">
      <w:pPr>
        <w:widowControl w:val="0"/>
        <w:spacing w:after="240"/>
        <w:ind w:left="720" w:hanging="720"/>
      </w:pPr>
      <w:r w:rsidRPr="0013396E">
        <w:rPr>
          <w:szCs w:val="24"/>
        </w:rPr>
        <w:t>(8)</w:t>
      </w:r>
      <w:r w:rsidRPr="0013396E">
        <w:rPr>
          <w:szCs w:val="24"/>
        </w:rPr>
        <w:tab/>
        <w:t xml:space="preserve">A Resource Entity that has opted out of nodal pricing for one or more SODGs or SOTGs pursuant to </w:t>
      </w:r>
      <w:r w:rsidRPr="0013396E">
        <w:t>paragraph</w:t>
      </w:r>
      <w:r w:rsidRPr="0013396E">
        <w:rPr>
          <w:szCs w:val="24"/>
        </w:rPr>
        <w:t xml:space="preserve"> (5) of this Section may withdraw that election and begin receiving applicable nodal pricing for one or more such generators by submitting a properly completed election form (Section 23, Form N).  An election of nodal pricing is irrevocable.  ERCOT will effectuate the transition of an SODG or SOTG to nodal </w:t>
      </w:r>
      <w:r w:rsidRPr="0013396E">
        <w:t>pricing</w:t>
      </w:r>
      <w:r w:rsidRPr="0013396E">
        <w:rPr>
          <w:szCs w:val="24"/>
        </w:rPr>
        <w:t xml:space="preserve"> in ERCOT Settlement systems as soon as practicable.</w:t>
      </w:r>
    </w:p>
    <w:tbl>
      <w:tblPr>
        <w:tblW w:w="9576"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76"/>
      </w:tblGrid>
      <w:tr w:rsidR="009058F4" w:rsidRPr="0013396E" w14:paraId="1D13C691" w14:textId="77777777" w:rsidTr="009058F4">
        <w:trPr>
          <w:trHeight w:val="206"/>
        </w:trPr>
        <w:tc>
          <w:tcPr>
            <w:tcW w:w="9576" w:type="dxa"/>
            <w:shd w:val="pct12" w:color="auto" w:fill="auto"/>
          </w:tcPr>
          <w:p w14:paraId="0BB89857" w14:textId="37A2065D" w:rsidR="009058F4" w:rsidRPr="0013396E" w:rsidRDefault="009058F4" w:rsidP="008B123E">
            <w:pPr>
              <w:pStyle w:val="Instructions"/>
              <w:spacing w:before="120"/>
            </w:pPr>
            <w:bookmarkStart w:id="1680" w:name="_Toc448142325"/>
            <w:bookmarkStart w:id="1681" w:name="_Toc448142482"/>
            <w:bookmarkStart w:id="1682" w:name="_Toc458770323"/>
            <w:bookmarkStart w:id="1683" w:name="_Toc459294291"/>
            <w:bookmarkStart w:id="1684" w:name="_Toc463262784"/>
            <w:bookmarkStart w:id="1685" w:name="_Toc468286857"/>
            <w:bookmarkStart w:id="1686" w:name="_Toc481502897"/>
            <w:bookmarkStart w:id="1687" w:name="_Toc496080065"/>
            <w:r w:rsidRPr="0013396E">
              <w:t>[</w:t>
            </w:r>
            <w:r w:rsidR="00031AC3" w:rsidRPr="0013396E">
              <w:t>NPRR995</w:t>
            </w:r>
            <w:r w:rsidRPr="0013396E">
              <w:t xml:space="preserve">:  </w:t>
            </w:r>
            <w:r w:rsidR="0024071F" w:rsidRPr="0013396E">
              <w:t>Replace</w:t>
            </w:r>
            <w:r w:rsidRPr="0013396E">
              <w:t xml:space="preserve"> Section 6.6.3.</w:t>
            </w:r>
            <w:r w:rsidR="00720B34" w:rsidRPr="0013396E">
              <w:t>8</w:t>
            </w:r>
            <w:r w:rsidRPr="0013396E">
              <w:t xml:space="preserve"> </w:t>
            </w:r>
            <w:r w:rsidR="0024071F" w:rsidRPr="0013396E">
              <w:t>above with the following</w:t>
            </w:r>
            <w:r w:rsidRPr="0013396E">
              <w:t xml:space="preserve"> upon system implementation:]</w:t>
            </w:r>
          </w:p>
          <w:p w14:paraId="43B8FA8D" w14:textId="76F41A11" w:rsidR="009058F4" w:rsidRPr="0013396E" w:rsidRDefault="009058F4" w:rsidP="009058F4">
            <w:pPr>
              <w:pStyle w:val="H4"/>
              <w:spacing w:before="480"/>
            </w:pPr>
            <w:bookmarkStart w:id="1688" w:name="_Toc17798734"/>
            <w:bookmarkStart w:id="1689" w:name="_Toc112417648"/>
            <w:bookmarkStart w:id="1690" w:name="_Toc119310317"/>
            <w:bookmarkStart w:id="1691" w:name="_Toc125966250"/>
            <w:bookmarkStart w:id="1692" w:name="_Toc135992348"/>
            <w:bookmarkStart w:id="1693" w:name="_Toc170303544"/>
            <w:bookmarkStart w:id="1694" w:name="_Toc175157448"/>
            <w:bookmarkStart w:id="1695" w:name="_Toc214878973"/>
            <w:r w:rsidRPr="0013396E">
              <w:t>6.6.3.</w:t>
            </w:r>
            <w:r w:rsidR="00720B34" w:rsidRPr="0013396E">
              <w:t>8</w:t>
            </w:r>
            <w:r w:rsidRPr="0013396E">
              <w:tab/>
              <w:t>Real-Time Payment or Charge for Energy from a Settlement Only Distribution Generator (SODG)</w:t>
            </w:r>
            <w:r w:rsidR="00031AC3" w:rsidRPr="0013396E">
              <w:t>,</w:t>
            </w:r>
            <w:r w:rsidRPr="0013396E">
              <w:t xml:space="preserve"> Settlement Only Transmission Generator (SOTG)</w:t>
            </w:r>
            <w:bookmarkEnd w:id="1688"/>
            <w:r w:rsidR="00031AC3" w:rsidRPr="0013396E">
              <w:t>, Settlement Only Distribution Energy Storage System (SODESS), or Settlement Only Transmission Energy Storage System (SOTESS)</w:t>
            </w:r>
            <w:bookmarkEnd w:id="1689"/>
            <w:bookmarkEnd w:id="1690"/>
            <w:bookmarkEnd w:id="1691"/>
            <w:bookmarkEnd w:id="1692"/>
            <w:bookmarkEnd w:id="1693"/>
            <w:bookmarkEnd w:id="1694"/>
            <w:bookmarkEnd w:id="1695"/>
            <w:r w:rsidRPr="0013396E">
              <w:t xml:space="preserve"> </w:t>
            </w:r>
          </w:p>
          <w:p w14:paraId="25D9D0F0" w14:textId="61E8D199" w:rsidR="007332D0" w:rsidRPr="0013396E" w:rsidRDefault="009058F4" w:rsidP="00985A9C">
            <w:pPr>
              <w:pStyle w:val="BodyTextNumbered"/>
              <w:widowControl w:val="0"/>
            </w:pPr>
            <w:r w:rsidRPr="0013396E">
              <w:t>(1)</w:t>
            </w:r>
            <w:r w:rsidRPr="0013396E">
              <w:tab/>
            </w:r>
            <w:r w:rsidR="007332D0" w:rsidRPr="0013396E">
              <w:t>T</w:t>
            </w:r>
            <w:r w:rsidRPr="0013396E">
              <w:t>he payment or charge to each QSE for energy from an SODG</w:t>
            </w:r>
            <w:r w:rsidR="00031AC3" w:rsidRPr="0013396E">
              <w:t>,</w:t>
            </w:r>
            <w:r w:rsidRPr="0013396E">
              <w:t xml:space="preserve"> SOTG</w:t>
            </w:r>
            <w:r w:rsidR="00031AC3" w:rsidRPr="0013396E">
              <w:t>, SODESS, or SOTESS</w:t>
            </w:r>
            <w:r w:rsidRPr="0013396E">
              <w:t xml:space="preserve"> shall be based on an identified nodal energy price, RTESOPR, as described in this subsection</w:t>
            </w:r>
            <w:r w:rsidR="007332D0" w:rsidRPr="0013396E">
              <w:t>, with the exception</w:t>
            </w:r>
            <w:r w:rsidR="00031AC3" w:rsidRPr="0013396E">
              <w:t xml:space="preserve"> of a</w:t>
            </w:r>
            <w:r w:rsidR="007332D0" w:rsidRPr="0013396E">
              <w:t>n SODG or SOTG that has opted out of nodal pricing as described in paragraph (</w:t>
            </w:r>
            <w:r w:rsidR="00031AC3" w:rsidRPr="0013396E">
              <w:t>7</w:t>
            </w:r>
            <w:r w:rsidR="007332D0" w:rsidRPr="0013396E">
              <w:t>) below</w:t>
            </w:r>
            <w:r w:rsidR="00031AC3" w:rsidRPr="0013396E">
              <w:t>.</w:t>
            </w:r>
          </w:p>
          <w:p w14:paraId="44BCAD61" w14:textId="0FB55B4B" w:rsidR="009058F4" w:rsidRPr="0013396E" w:rsidRDefault="009058F4" w:rsidP="007332D0">
            <w:pPr>
              <w:pStyle w:val="BodyTextNumbered"/>
              <w:widowControl w:val="0"/>
            </w:pPr>
            <w:r w:rsidRPr="0013396E">
              <w:t>(2)</w:t>
            </w:r>
            <w:r w:rsidRPr="0013396E">
              <w:tab/>
              <w:t>For an SODG</w:t>
            </w:r>
            <w:r w:rsidR="00031AC3" w:rsidRPr="0013396E">
              <w:t xml:space="preserve"> or an SODESS</w:t>
            </w:r>
            <w:r w:rsidRPr="0013396E">
              <w:t>, the price used as the basis for the 15-minute Real-Time price calculation is the time-weighted price at the Electrical Bus associated with this mapped Load in the Network Operations Model.  For an SOTG</w:t>
            </w:r>
            <w:r w:rsidR="00EC6A86" w:rsidRPr="0013396E">
              <w:t xml:space="preserve"> or an SOTESS</w:t>
            </w:r>
            <w:r w:rsidRPr="0013396E">
              <w:t xml:space="preserve">, the price </w:t>
            </w:r>
            <w:r w:rsidRPr="0013396E">
              <w:lastRenderedPageBreak/>
              <w:t xml:space="preserve">used as the basis for the 15-minute Real-Time price calculation is the time-weighted price at the Electrical Bus as determined by ERCOT in review of the meter location of the SOTG </w:t>
            </w:r>
            <w:r w:rsidR="00EC6A86" w:rsidRPr="0013396E">
              <w:t xml:space="preserve">or SOTESS </w:t>
            </w:r>
            <w:r w:rsidRPr="0013396E">
              <w:t xml:space="preserve">in the Network Operations Model.  </w:t>
            </w:r>
            <w:r w:rsidR="00EC6A86" w:rsidRPr="0013396E">
              <w:t xml:space="preserve">Load that is not WSL will be included in the Real-Time AML per QSE.  Each </w:t>
            </w:r>
            <w:r w:rsidRPr="0013396E">
              <w:t>SODG</w:t>
            </w:r>
            <w:r w:rsidR="00EC6A86" w:rsidRPr="0013396E">
              <w:t>,</w:t>
            </w:r>
            <w:r w:rsidRPr="0013396E">
              <w:t xml:space="preserve"> SOTG</w:t>
            </w:r>
            <w:r w:rsidR="00EC6A86" w:rsidRPr="0013396E">
              <w:t>, SODESS, and SOTESS</w:t>
            </w:r>
            <w:r w:rsidRPr="0013396E">
              <w:t xml:space="preserve"> site will be represented as a single unit in the ERCOT Settlement system.</w:t>
            </w:r>
          </w:p>
          <w:p w14:paraId="15544BD1" w14:textId="3B7C166D" w:rsidR="009058F4" w:rsidRPr="0013396E" w:rsidRDefault="009058F4" w:rsidP="009058F4">
            <w:pPr>
              <w:pStyle w:val="BodyTextNumbered"/>
              <w:widowControl w:val="0"/>
            </w:pPr>
            <w:r w:rsidRPr="0013396E">
              <w:t>(3)</w:t>
            </w:r>
            <w:r w:rsidRPr="0013396E">
              <w:tab/>
              <w:t>For an SODG</w:t>
            </w:r>
            <w:r w:rsidR="00EC6A86" w:rsidRPr="0013396E">
              <w:t>,</w:t>
            </w:r>
            <w:r w:rsidRPr="0013396E">
              <w:t xml:space="preserve"> SOTG, </w:t>
            </w:r>
            <w:r w:rsidR="00EC6A86" w:rsidRPr="0013396E">
              <w:t xml:space="preserve">SODESS, or SOTESS, </w:t>
            </w:r>
            <w:r w:rsidRPr="0013396E">
              <w:t>the total payment or charge for each 15-minute Settlement Interval shall be calculated as follows:</w:t>
            </w:r>
          </w:p>
          <w:p w14:paraId="4B4D46C0" w14:textId="77777777" w:rsidR="009C2EEB" w:rsidRPr="0013396E" w:rsidRDefault="009C2EEB" w:rsidP="009C2EEB">
            <w:pPr>
              <w:pStyle w:val="FormulaBold"/>
            </w:pPr>
            <w:r w:rsidRPr="0013396E">
              <w:t>MEBSOGNET</w:t>
            </w:r>
            <w:r w:rsidRPr="0013396E">
              <w:rPr>
                <w:i/>
                <w:sz w:val="28"/>
                <w:szCs w:val="28"/>
                <w:vertAlign w:val="subscript"/>
              </w:rPr>
              <w:t xml:space="preserve"> q,</w:t>
            </w:r>
            <w:r w:rsidRPr="0013396E">
              <w:t xml:space="preserve"> </w:t>
            </w:r>
            <w:r w:rsidRPr="0013396E">
              <w:rPr>
                <w:i/>
                <w:sz w:val="28"/>
                <w:szCs w:val="28"/>
                <w:vertAlign w:val="subscript"/>
              </w:rPr>
              <w:t>gsc</w:t>
            </w:r>
            <w:r w:rsidRPr="0013396E">
              <w:t xml:space="preserve"> =   Max(0, </w:t>
            </w:r>
            <w:r w:rsidRPr="0013396E">
              <w:rPr>
                <w:position w:val="-20"/>
              </w:rPr>
              <w:object w:dxaOrig="225" w:dyaOrig="435" w14:anchorId="7E317B1F">
                <v:shape id="_x0000_i1138" type="#_x0000_t75" style="width:12pt;height:24pt" o:ole="">
                  <v:imagedata r:id="rId157" o:title=""/>
                </v:shape>
                <o:OLEObject Type="Embed" ProgID="Equation.3" ShapeID="_x0000_i1138" DrawAspect="Content" ObjectID="_1836311417" r:id="rId166"/>
              </w:object>
            </w:r>
            <w:r w:rsidRPr="0013396E">
              <w:t>MEBSOG</w:t>
            </w:r>
            <w:r w:rsidRPr="0013396E">
              <w:rPr>
                <w:i/>
                <w:vertAlign w:val="subscript"/>
              </w:rPr>
              <w:t xml:space="preserve"> q, gsc, b</w:t>
            </w:r>
            <w:r w:rsidRPr="0013396E">
              <w:t>)</w:t>
            </w:r>
          </w:p>
          <w:p w14:paraId="6EA02291" w14:textId="77777777" w:rsidR="009C2EEB" w:rsidRPr="0013396E" w:rsidRDefault="009C2EEB" w:rsidP="009C2EEB">
            <w:pPr>
              <w:pStyle w:val="BodyTextNumbered"/>
              <w:widowControl w:val="0"/>
              <w:ind w:firstLine="0"/>
            </w:pPr>
            <w:r w:rsidRPr="0013396E">
              <w:t>If MEBSOGNET</w:t>
            </w:r>
            <w:r w:rsidRPr="0013396E">
              <w:rPr>
                <w:i/>
                <w:sz w:val="28"/>
                <w:szCs w:val="28"/>
                <w:vertAlign w:val="subscript"/>
              </w:rPr>
              <w:t xml:space="preserve"> </w:t>
            </w:r>
            <w:r w:rsidRPr="0013396E">
              <w:rPr>
                <w:i/>
                <w:vertAlign w:val="subscript"/>
              </w:rPr>
              <w:t>q, gsc</w:t>
            </w:r>
            <w:r w:rsidRPr="0013396E">
              <w:t xml:space="preserve"> = 0 for a 15-minute Settlement Interval, then</w:t>
            </w:r>
          </w:p>
          <w:p w14:paraId="105B0752" w14:textId="227526B2" w:rsidR="009C2EEB" w:rsidRPr="0013396E" w:rsidRDefault="009C2EEB" w:rsidP="009C2EEB">
            <w:pPr>
              <w:pStyle w:val="BodyTextNumbered"/>
              <w:widowControl w:val="0"/>
              <w:ind w:firstLine="0"/>
            </w:pPr>
            <w:r w:rsidRPr="0013396E">
              <w:t>The Load is included in the Real-Time AML per QSE</w:t>
            </w:r>
            <w:r w:rsidR="00EC6A86" w:rsidRPr="0013396E">
              <w:t>, excluding WSL</w:t>
            </w:r>
            <w:r w:rsidRPr="0013396E">
              <w:t>.</w:t>
            </w:r>
          </w:p>
          <w:p w14:paraId="0F3484F9" w14:textId="77777777" w:rsidR="009C2EEB" w:rsidRPr="0013396E" w:rsidRDefault="009C2EEB" w:rsidP="009C2EEB">
            <w:pPr>
              <w:pStyle w:val="FormulaBold"/>
            </w:pPr>
            <w:r w:rsidRPr="0013396E">
              <w:rPr>
                <w:b w:val="0"/>
                <w:bCs w:val="0"/>
                <w:szCs w:val="20"/>
              </w:rPr>
              <w:t>Otherwise, when MEBSOGNET</w:t>
            </w:r>
            <w:r w:rsidRPr="0013396E">
              <w:rPr>
                <w:i/>
                <w:vertAlign w:val="subscript"/>
              </w:rPr>
              <w:t xml:space="preserve"> q, gsc</w:t>
            </w:r>
            <w:r w:rsidRPr="0013396E">
              <w:rPr>
                <w:b w:val="0"/>
              </w:rPr>
              <w:t xml:space="preserve"> &gt; 0 for a 15-minute Settlement Interval, then</w:t>
            </w:r>
          </w:p>
          <w:p w14:paraId="5DED41C7" w14:textId="18726C8B" w:rsidR="009058F4" w:rsidRPr="0013396E" w:rsidRDefault="009058F4" w:rsidP="009058F4">
            <w:pPr>
              <w:pStyle w:val="FormulaBold"/>
              <w:rPr>
                <w:rStyle w:val="BodyTextChar"/>
                <w:iCs/>
              </w:rPr>
            </w:pPr>
            <w:r w:rsidRPr="0013396E">
              <w:t>RT</w:t>
            </w:r>
            <w:r w:rsidR="00EC6A86" w:rsidRPr="0013396E">
              <w:t>G</w:t>
            </w:r>
            <w:r w:rsidRPr="0013396E">
              <w:t xml:space="preserve">SOAMT </w:t>
            </w:r>
            <w:r w:rsidRPr="0013396E">
              <w:rPr>
                <w:i/>
                <w:sz w:val="28"/>
                <w:szCs w:val="28"/>
                <w:vertAlign w:val="subscript"/>
              </w:rPr>
              <w:t>q,</w:t>
            </w:r>
            <w:r w:rsidRPr="0013396E">
              <w:t xml:space="preserve"> </w:t>
            </w:r>
            <w:r w:rsidRPr="0013396E">
              <w:rPr>
                <w:i/>
                <w:sz w:val="28"/>
                <w:szCs w:val="28"/>
                <w:vertAlign w:val="subscript"/>
              </w:rPr>
              <w:t>gsc</w:t>
            </w:r>
            <w:r w:rsidRPr="0013396E">
              <w:tab/>
              <w:t>=</w:t>
            </w:r>
            <w:r w:rsidRPr="0013396E">
              <w:tab/>
              <w:t>(-1) * [</w:t>
            </w:r>
            <w:r w:rsidRPr="0013396E">
              <w:rPr>
                <w:position w:val="-20"/>
              </w:rPr>
              <w:object w:dxaOrig="225" w:dyaOrig="435" w14:anchorId="74E8ECBE">
                <v:shape id="_x0000_i1139" type="#_x0000_t75" style="width:12pt;height:18pt" o:ole="">
                  <v:imagedata r:id="rId157" o:title=""/>
                </v:shape>
                <o:OLEObject Type="Embed" ProgID="Equation.3" ShapeID="_x0000_i1139" DrawAspect="Content" ObjectID="_1836311418" r:id="rId167"/>
              </w:object>
            </w:r>
            <w:r w:rsidRPr="0013396E">
              <w:t xml:space="preserve">(RTESOPR </w:t>
            </w:r>
            <w:r w:rsidRPr="0013396E">
              <w:rPr>
                <w:i/>
                <w:vertAlign w:val="subscript"/>
              </w:rPr>
              <w:t xml:space="preserve">b </w:t>
            </w:r>
            <w:r w:rsidRPr="0013396E">
              <w:t xml:space="preserve">* </w:t>
            </w:r>
            <w:r w:rsidR="009C2EEB" w:rsidRPr="0013396E">
              <w:t>MEB</w:t>
            </w:r>
            <w:r w:rsidRPr="0013396E">
              <w:t xml:space="preserve">SOG </w:t>
            </w:r>
            <w:r w:rsidRPr="0013396E">
              <w:rPr>
                <w:i/>
                <w:vertAlign w:val="subscript"/>
              </w:rPr>
              <w:t>q, gsc, b</w:t>
            </w:r>
            <w:r w:rsidRPr="0013396E">
              <w:t xml:space="preserve">)] </w:t>
            </w:r>
          </w:p>
          <w:p w14:paraId="226270A0" w14:textId="77777777" w:rsidR="00EC6A86" w:rsidRPr="0013396E" w:rsidRDefault="00EC6A86" w:rsidP="00EC6A86">
            <w:pPr>
              <w:widowControl w:val="0"/>
              <w:spacing w:after="240"/>
              <w:ind w:left="720" w:hanging="720"/>
            </w:pPr>
            <w:r w:rsidRPr="0013396E">
              <w:t>(4)</w:t>
            </w:r>
            <w:r w:rsidRPr="0013396E">
              <w:tab/>
              <w:t>For an SODESS or SOTESS, the total payment or charge for each 15-minute Settlement Interval shall be calculated as follows:</w:t>
            </w:r>
          </w:p>
          <w:p w14:paraId="358764B8" w14:textId="4674E49E" w:rsidR="00EC6A86" w:rsidRPr="0013396E" w:rsidRDefault="00EC6A86" w:rsidP="00EC6A86">
            <w:pPr>
              <w:tabs>
                <w:tab w:val="left" w:pos="2250"/>
                <w:tab w:val="left" w:pos="3150"/>
                <w:tab w:val="left" w:pos="4027"/>
              </w:tabs>
              <w:spacing w:after="240"/>
              <w:ind w:left="3960" w:hanging="3240"/>
              <w:rPr>
                <w:b/>
                <w:bCs/>
                <w:szCs w:val="24"/>
              </w:rPr>
            </w:pPr>
            <w:r w:rsidRPr="0013396E">
              <w:rPr>
                <w:b/>
                <w:bCs/>
              </w:rPr>
              <w:t xml:space="preserve">RTWSLSOAMT </w:t>
            </w:r>
            <w:r w:rsidRPr="0013396E">
              <w:rPr>
                <w:b/>
                <w:bCs/>
                <w:i/>
                <w:vertAlign w:val="subscript"/>
              </w:rPr>
              <w:t>q, gsc</w:t>
            </w:r>
            <w:r w:rsidRPr="0013396E">
              <w:rPr>
                <w:b/>
                <w:bCs/>
              </w:rPr>
              <w:tab/>
              <w:t>=           (-1) * [</w:t>
            </w:r>
            <w:r w:rsidRPr="0013396E">
              <w:rPr>
                <w:b/>
                <w:noProof/>
                <w:position w:val="-20"/>
              </w:rPr>
              <w:drawing>
                <wp:inline distT="0" distB="0" distL="0" distR="0" wp14:anchorId="68A2DEBD" wp14:editId="425C4D9E">
                  <wp:extent cx="182880" cy="270510"/>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8" cstate="print">
                            <a:extLst>
                              <a:ext uri="{28A0092B-C50C-407E-A947-70E740481C1C}">
                                <a14:useLocalDpi xmlns:a14="http://schemas.microsoft.com/office/drawing/2010/main" val="0"/>
                              </a:ext>
                            </a:extLst>
                          </a:blip>
                          <a:srcRect/>
                          <a:stretch>
                            <a:fillRect/>
                          </a:stretch>
                        </pic:blipFill>
                        <pic:spPr bwMode="auto">
                          <a:xfrm>
                            <a:off x="0" y="0"/>
                            <a:ext cx="182880" cy="270510"/>
                          </a:xfrm>
                          <a:prstGeom prst="rect">
                            <a:avLst/>
                          </a:prstGeom>
                          <a:noFill/>
                          <a:ln>
                            <a:noFill/>
                          </a:ln>
                        </pic:spPr>
                      </pic:pic>
                    </a:graphicData>
                  </a:graphic>
                </wp:inline>
              </w:drawing>
            </w:r>
            <w:r w:rsidRPr="0013396E">
              <w:rPr>
                <w:b/>
                <w:bCs/>
              </w:rPr>
              <w:t xml:space="preserve">(RTESOPR </w:t>
            </w:r>
            <w:r w:rsidRPr="0013396E">
              <w:rPr>
                <w:b/>
                <w:bCs/>
                <w:i/>
                <w:vertAlign w:val="subscript"/>
              </w:rPr>
              <w:t>b</w:t>
            </w:r>
            <w:r w:rsidRPr="0013396E">
              <w:rPr>
                <w:b/>
                <w:bCs/>
              </w:rPr>
              <w:t xml:space="preserve"> * WSOL </w:t>
            </w:r>
            <w:r w:rsidRPr="0013396E">
              <w:rPr>
                <w:b/>
                <w:bCs/>
                <w:i/>
                <w:vertAlign w:val="subscript"/>
              </w:rPr>
              <w:t>q, gsc, b</w:t>
            </w:r>
            <w:r w:rsidRPr="0013396E">
              <w:rPr>
                <w:b/>
                <w:bCs/>
              </w:rPr>
              <w:t>)]</w:t>
            </w:r>
          </w:p>
          <w:p w14:paraId="262FC255" w14:textId="0D735B64" w:rsidR="00EC6A86" w:rsidRPr="0013396E" w:rsidRDefault="00EC6A86" w:rsidP="00EC6A86">
            <w:pPr>
              <w:tabs>
                <w:tab w:val="left" w:pos="2250"/>
                <w:tab w:val="left" w:pos="3150"/>
                <w:tab w:val="left" w:pos="3960"/>
              </w:tabs>
              <w:spacing w:after="240"/>
              <w:ind w:left="3960" w:hanging="3240"/>
              <w:rPr>
                <w:b/>
                <w:bCs/>
              </w:rPr>
            </w:pPr>
            <w:r w:rsidRPr="0013396E">
              <w:rPr>
                <w:b/>
                <w:bCs/>
              </w:rPr>
              <w:t xml:space="preserve">RTNWSLSOAMT </w:t>
            </w:r>
            <w:r w:rsidRPr="0013396E">
              <w:rPr>
                <w:b/>
                <w:bCs/>
                <w:i/>
                <w:vertAlign w:val="subscript"/>
              </w:rPr>
              <w:t>q, gsc</w:t>
            </w:r>
            <w:r w:rsidRPr="0013396E">
              <w:rPr>
                <w:b/>
                <w:bCs/>
                <w:vertAlign w:val="subscript"/>
              </w:rPr>
              <w:t xml:space="preserve">  </w:t>
            </w:r>
            <w:r w:rsidRPr="0013396E">
              <w:rPr>
                <w:b/>
                <w:bCs/>
              </w:rPr>
              <w:t>=          (-1) * [</w:t>
            </w:r>
            <w:r w:rsidRPr="0013396E">
              <w:rPr>
                <w:b/>
                <w:noProof/>
                <w:position w:val="-20"/>
              </w:rPr>
              <w:drawing>
                <wp:inline distT="0" distB="0" distL="0" distR="0" wp14:anchorId="4B47F3D8" wp14:editId="55BE8CBC">
                  <wp:extent cx="182880" cy="270510"/>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68" cstate="print">
                            <a:extLst>
                              <a:ext uri="{28A0092B-C50C-407E-A947-70E740481C1C}">
                                <a14:useLocalDpi xmlns:a14="http://schemas.microsoft.com/office/drawing/2010/main" val="0"/>
                              </a:ext>
                            </a:extLst>
                          </a:blip>
                          <a:srcRect/>
                          <a:stretch>
                            <a:fillRect/>
                          </a:stretch>
                        </pic:blipFill>
                        <pic:spPr bwMode="auto">
                          <a:xfrm>
                            <a:off x="0" y="0"/>
                            <a:ext cx="182880" cy="270510"/>
                          </a:xfrm>
                          <a:prstGeom prst="rect">
                            <a:avLst/>
                          </a:prstGeom>
                          <a:noFill/>
                          <a:ln>
                            <a:noFill/>
                          </a:ln>
                        </pic:spPr>
                      </pic:pic>
                    </a:graphicData>
                  </a:graphic>
                </wp:inline>
              </w:drawing>
            </w:r>
            <w:r w:rsidRPr="0013396E">
              <w:rPr>
                <w:b/>
                <w:bCs/>
              </w:rPr>
              <w:t xml:space="preserve">(RTESOPR </w:t>
            </w:r>
            <w:r w:rsidRPr="0013396E">
              <w:rPr>
                <w:b/>
                <w:bCs/>
                <w:i/>
                <w:vertAlign w:val="subscript"/>
              </w:rPr>
              <w:t>b</w:t>
            </w:r>
            <w:r w:rsidRPr="0013396E">
              <w:rPr>
                <w:b/>
                <w:bCs/>
              </w:rPr>
              <w:t xml:space="preserve"> * NWSOL </w:t>
            </w:r>
            <w:r w:rsidRPr="0013396E">
              <w:rPr>
                <w:b/>
                <w:bCs/>
                <w:i/>
                <w:vertAlign w:val="subscript"/>
              </w:rPr>
              <w:t>q, gsc, b</w:t>
            </w:r>
            <w:r w:rsidRPr="0013396E">
              <w:rPr>
                <w:b/>
                <w:bCs/>
              </w:rPr>
              <w:t>)]</w:t>
            </w:r>
          </w:p>
          <w:p w14:paraId="7201599D" w14:textId="7D5DFBAA" w:rsidR="009058F4" w:rsidRPr="0013396E" w:rsidRDefault="00EC6A86" w:rsidP="00EC6A86">
            <w:pPr>
              <w:widowControl w:val="0"/>
              <w:spacing w:after="240"/>
              <w:ind w:left="720" w:hanging="720"/>
              <w:rPr>
                <w:iCs/>
              </w:rPr>
            </w:pPr>
            <w:r w:rsidRPr="0013396E">
              <w:rPr>
                <w:rStyle w:val="BodyTextChar"/>
                <w:bCs/>
                <w:iCs/>
              </w:rPr>
              <w:t>(5)</w:t>
            </w:r>
            <w:r w:rsidRPr="0013396E">
              <w:t xml:space="preserve"> </w:t>
            </w:r>
            <w:r w:rsidRPr="0013396E">
              <w:tab/>
              <w:t>T</w:t>
            </w:r>
            <w:r w:rsidR="009058F4" w:rsidRPr="0013396E">
              <w:t>he</w:t>
            </w:r>
            <w:r w:rsidR="009058F4" w:rsidRPr="0013396E">
              <w:rPr>
                <w:rStyle w:val="BodyTextChar"/>
              </w:rPr>
              <w:t xml:space="preserve"> price for the SOTG</w:t>
            </w:r>
            <w:r w:rsidRPr="0013396E">
              <w:rPr>
                <w:rStyle w:val="BodyTextChar"/>
              </w:rPr>
              <w:t>,</w:t>
            </w:r>
            <w:r w:rsidR="009058F4" w:rsidRPr="0013396E">
              <w:rPr>
                <w:rStyle w:val="BodyTextChar"/>
              </w:rPr>
              <w:t xml:space="preserve"> SODG</w:t>
            </w:r>
            <w:r w:rsidRPr="0013396E">
              <w:rPr>
                <w:bCs/>
              </w:rPr>
              <w:t>, SODESS, or SOTESS</w:t>
            </w:r>
            <w:r w:rsidR="009058F4" w:rsidRPr="0013396E">
              <w:rPr>
                <w:rStyle w:val="BodyTextChar"/>
              </w:rPr>
              <w:t xml:space="preserve"> is determined as follows:</w:t>
            </w:r>
          </w:p>
          <w:p w14:paraId="38D7D293" w14:textId="198CB207" w:rsidR="009058F4" w:rsidRPr="0013396E" w:rsidRDefault="009058F4" w:rsidP="009058F4">
            <w:pPr>
              <w:pStyle w:val="FormulaBold"/>
            </w:pPr>
            <w:r w:rsidRPr="0013396E">
              <w:t>RTESOPR</w:t>
            </w:r>
            <w:r w:rsidRPr="0013396E">
              <w:rPr>
                <w:i/>
                <w:iCs/>
                <w:vertAlign w:val="subscript"/>
              </w:rPr>
              <w:t xml:space="preserve"> b</w:t>
            </w:r>
            <w:r w:rsidRPr="0013396E">
              <w:t xml:space="preserve"> </w:t>
            </w:r>
            <w:r w:rsidRPr="0013396E">
              <w:tab/>
              <w:t>=</w:t>
            </w:r>
            <w:r w:rsidRPr="0013396E">
              <w:tab/>
              <w:t xml:space="preserve">Max [-$251, </w:t>
            </w:r>
            <w:r w:rsidRPr="0013396E">
              <w:rPr>
                <w:position w:val="-22"/>
              </w:rPr>
              <w:object w:dxaOrig="225" w:dyaOrig="465" w14:anchorId="26CF221F">
                <v:shape id="_x0000_i1140" type="#_x0000_t75" style="width:12pt;height:29.4pt" o:ole="">
                  <v:imagedata r:id="rId160" o:title=""/>
                </v:shape>
                <o:OLEObject Type="Embed" ProgID="Equation.3" ShapeID="_x0000_i1140" DrawAspect="Content" ObjectID="_1836311419" r:id="rId169"/>
              </w:object>
            </w:r>
            <w:r w:rsidRPr="0013396E">
              <w:t>((SDWF</w:t>
            </w:r>
            <w:r w:rsidRPr="0013396E">
              <w:rPr>
                <w:i/>
                <w:iCs/>
                <w:vertAlign w:val="subscript"/>
              </w:rPr>
              <w:t xml:space="preserve"> y </w:t>
            </w:r>
            <w:r w:rsidRPr="0013396E">
              <w:t xml:space="preserve">* RTLMP </w:t>
            </w:r>
            <w:r w:rsidRPr="0013396E">
              <w:rPr>
                <w:i/>
                <w:iCs/>
                <w:vertAlign w:val="subscript"/>
              </w:rPr>
              <w:t>b, y</w:t>
            </w:r>
            <w:r w:rsidRPr="0013396E">
              <w:t>) + RTRDP)]</w:t>
            </w:r>
          </w:p>
          <w:p w14:paraId="4AB612AA" w14:textId="77777777" w:rsidR="009058F4" w:rsidRPr="0013396E" w:rsidRDefault="009058F4" w:rsidP="009058F4">
            <w:pPr>
              <w:pStyle w:val="Char3"/>
              <w:widowControl w:val="0"/>
              <w:spacing w:after="240"/>
              <w:ind w:firstLine="720"/>
              <w:rPr>
                <w:szCs w:val="24"/>
              </w:rPr>
            </w:pPr>
            <w:r w:rsidRPr="0013396E">
              <w:rPr>
                <w:rFonts w:ascii="Times New Roman" w:hAnsi="Times New Roman"/>
                <w:sz w:val="24"/>
                <w:szCs w:val="24"/>
              </w:rPr>
              <w:t>Where:</w:t>
            </w:r>
          </w:p>
          <w:p w14:paraId="2BD39A6B" w14:textId="38D53761" w:rsidR="009058F4" w:rsidRPr="0013396E" w:rsidRDefault="009058F4" w:rsidP="00EC6A86">
            <w:pPr>
              <w:spacing w:after="240"/>
              <w:ind w:left="720"/>
            </w:pPr>
            <w:r w:rsidRPr="0013396E">
              <w:tab/>
              <w:t>RTRDP</w:t>
            </w:r>
            <w:r w:rsidRPr="0013396E">
              <w:tab/>
              <w:t>=</w:t>
            </w:r>
            <w:r w:rsidRPr="0013396E">
              <w:tab/>
            </w:r>
            <w:r w:rsidRPr="0013396E">
              <w:rPr>
                <w:position w:val="-22"/>
              </w:rPr>
              <w:object w:dxaOrig="225" w:dyaOrig="465" w14:anchorId="48F3AF4B">
                <v:shape id="_x0000_i1141" type="#_x0000_t75" style="width:12pt;height:29.4pt" o:ole="">
                  <v:imagedata r:id="rId160" o:title=""/>
                </v:shape>
                <o:OLEObject Type="Embed" ProgID="Equation.3" ShapeID="_x0000_i1141" DrawAspect="Content" ObjectID="_1836311420" r:id="rId170"/>
              </w:object>
            </w:r>
            <w:r w:rsidRPr="0013396E">
              <w:t>(SDWF</w:t>
            </w:r>
            <w:r w:rsidRPr="0013396E">
              <w:rPr>
                <w:i/>
                <w:iCs/>
                <w:vertAlign w:val="subscript"/>
              </w:rPr>
              <w:t xml:space="preserve"> y </w:t>
            </w:r>
            <w:r w:rsidRPr="0013396E">
              <w:t>* RTRDPA</w:t>
            </w:r>
            <w:r w:rsidRPr="0013396E">
              <w:rPr>
                <w:i/>
                <w:iCs/>
                <w:vertAlign w:val="subscript"/>
              </w:rPr>
              <w:t xml:space="preserve"> y</w:t>
            </w:r>
            <w:r w:rsidRPr="0013396E">
              <w:t>)</w:t>
            </w:r>
          </w:p>
          <w:p w14:paraId="6FD7C14D" w14:textId="77777777" w:rsidR="009058F4" w:rsidRPr="0013396E" w:rsidRDefault="009058F4" w:rsidP="009058F4">
            <w:pPr>
              <w:pStyle w:val="formula0"/>
              <w:widowControl w:val="0"/>
              <w:spacing w:after="240"/>
              <w:ind w:firstLine="0"/>
              <w:rPr>
                <w:lang w:val="es-ES"/>
              </w:rPr>
            </w:pPr>
            <w:r w:rsidRPr="0013396E">
              <w:tab/>
              <w:t xml:space="preserve">SDWF </w:t>
            </w:r>
            <w:r w:rsidRPr="0013396E">
              <w:rPr>
                <w:i/>
                <w:vertAlign w:val="subscript"/>
              </w:rPr>
              <w:t>y</w:t>
            </w:r>
            <w:r w:rsidRPr="0013396E">
              <w:rPr>
                <w:i/>
                <w:vertAlign w:val="subscript"/>
              </w:rPr>
              <w:tab/>
            </w:r>
            <w:r w:rsidRPr="0013396E">
              <w:t>=</w:t>
            </w:r>
            <w:r w:rsidRPr="0013396E">
              <w:tab/>
              <w:t xml:space="preserve">TLMP </w:t>
            </w:r>
            <w:r w:rsidRPr="0013396E">
              <w:rPr>
                <w:i/>
                <w:vertAlign w:val="subscript"/>
              </w:rPr>
              <w:t>y</w:t>
            </w:r>
            <w:r w:rsidRPr="0013396E">
              <w:t xml:space="preserve"> </w:t>
            </w:r>
            <w:r w:rsidRPr="0013396E">
              <w:rPr>
                <w:color w:val="000000"/>
                <w:sz w:val="32"/>
                <w:szCs w:val="32"/>
              </w:rPr>
              <w:t>/</w:t>
            </w:r>
            <w:r w:rsidRPr="0013396E">
              <w:rPr>
                <w:color w:val="000000"/>
              </w:rPr>
              <w:t xml:space="preserve"> </w:t>
            </w:r>
            <w:r w:rsidRPr="0013396E">
              <w:rPr>
                <w:position w:val="-22"/>
              </w:rPr>
              <w:object w:dxaOrig="225" w:dyaOrig="465" w14:anchorId="4798B22D">
                <v:shape id="_x0000_i1142" type="#_x0000_t75" style="width:12pt;height:29.4pt" o:ole="">
                  <v:imagedata r:id="rId160" o:title=""/>
                </v:shape>
                <o:OLEObject Type="Embed" ProgID="Equation.3" ShapeID="_x0000_i1142" DrawAspect="Content" ObjectID="_1836311421" r:id="rId171"/>
              </w:object>
            </w:r>
            <w:r w:rsidRPr="0013396E">
              <w:t xml:space="preserve">TLMP </w:t>
            </w:r>
            <w:r w:rsidRPr="0013396E">
              <w:rPr>
                <w:i/>
                <w:vertAlign w:val="subscript"/>
              </w:rPr>
              <w:t>y</w:t>
            </w:r>
          </w:p>
          <w:p w14:paraId="431F9D49" w14:textId="77777777" w:rsidR="009058F4" w:rsidRPr="0013396E" w:rsidRDefault="009058F4" w:rsidP="009058F4">
            <w:pPr>
              <w:widowControl w:val="0"/>
            </w:pPr>
            <w:r w:rsidRPr="0013396E">
              <w:t>The above variables are defined as follows:</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138"/>
              <w:gridCol w:w="1260"/>
              <w:gridCol w:w="5936"/>
            </w:tblGrid>
            <w:tr w:rsidR="00760B74" w:rsidRPr="0013396E" w14:paraId="75EC28EE" w14:textId="77777777" w:rsidTr="008B123E">
              <w:trPr>
                <w:cantSplit/>
                <w:tblHeader/>
              </w:trPr>
              <w:tc>
                <w:tcPr>
                  <w:tcW w:w="1145" w:type="pct"/>
                </w:tcPr>
                <w:p w14:paraId="2EE1CC2B" w14:textId="77777777" w:rsidR="00760B74" w:rsidRPr="0013396E" w:rsidRDefault="00760B74" w:rsidP="00760B74">
                  <w:pPr>
                    <w:pStyle w:val="TableHead"/>
                    <w:widowControl w:val="0"/>
                  </w:pPr>
                  <w:r w:rsidRPr="0013396E">
                    <w:t>Variable</w:t>
                  </w:r>
                </w:p>
              </w:tc>
              <w:tc>
                <w:tcPr>
                  <w:tcW w:w="675" w:type="pct"/>
                </w:tcPr>
                <w:p w14:paraId="27624E83" w14:textId="77777777" w:rsidR="00760B74" w:rsidRPr="0013396E" w:rsidRDefault="00760B74" w:rsidP="00760B74">
                  <w:pPr>
                    <w:pStyle w:val="TableHead"/>
                    <w:widowControl w:val="0"/>
                  </w:pPr>
                  <w:r w:rsidRPr="0013396E">
                    <w:t>Unit</w:t>
                  </w:r>
                </w:p>
              </w:tc>
              <w:tc>
                <w:tcPr>
                  <w:tcW w:w="3180" w:type="pct"/>
                </w:tcPr>
                <w:p w14:paraId="016AB69C" w14:textId="77777777" w:rsidR="00760B74" w:rsidRPr="0013396E" w:rsidRDefault="00760B74" w:rsidP="00760B74">
                  <w:pPr>
                    <w:pStyle w:val="TableHead"/>
                    <w:widowControl w:val="0"/>
                  </w:pPr>
                  <w:r w:rsidRPr="0013396E">
                    <w:t>Description</w:t>
                  </w:r>
                </w:p>
              </w:tc>
            </w:tr>
            <w:tr w:rsidR="00760B74" w:rsidRPr="0013396E" w14:paraId="6B740C55" w14:textId="77777777" w:rsidTr="008B123E">
              <w:trPr>
                <w:cantSplit/>
              </w:trPr>
              <w:tc>
                <w:tcPr>
                  <w:tcW w:w="1145" w:type="pct"/>
                </w:tcPr>
                <w:p w14:paraId="7FEB1D62" w14:textId="3AD4E0CB" w:rsidR="00760B74" w:rsidRPr="0013396E" w:rsidRDefault="00760B74" w:rsidP="00760B74">
                  <w:pPr>
                    <w:pStyle w:val="tablebody0"/>
                    <w:widowControl w:val="0"/>
                  </w:pPr>
                  <w:r w:rsidRPr="0013396E">
                    <w:t>RT</w:t>
                  </w:r>
                  <w:r w:rsidR="00EC6A86" w:rsidRPr="0013396E">
                    <w:t>G</w:t>
                  </w:r>
                  <w:r w:rsidRPr="0013396E">
                    <w:t>SOAMT</w:t>
                  </w:r>
                  <w:r w:rsidRPr="0013396E">
                    <w:rPr>
                      <w:vertAlign w:val="subscript"/>
                    </w:rPr>
                    <w:t xml:space="preserve"> </w:t>
                  </w:r>
                  <w:r w:rsidRPr="0013396E">
                    <w:rPr>
                      <w:i/>
                      <w:vertAlign w:val="subscript"/>
                    </w:rPr>
                    <w:t>q,</w:t>
                  </w:r>
                  <w:r w:rsidRPr="0013396E">
                    <w:rPr>
                      <w:vertAlign w:val="subscript"/>
                    </w:rPr>
                    <w:t xml:space="preserve"> </w:t>
                  </w:r>
                  <w:r w:rsidRPr="0013396E">
                    <w:rPr>
                      <w:i/>
                      <w:vertAlign w:val="subscript"/>
                    </w:rPr>
                    <w:t>gsc</w:t>
                  </w:r>
                </w:p>
              </w:tc>
              <w:tc>
                <w:tcPr>
                  <w:tcW w:w="675" w:type="pct"/>
                </w:tcPr>
                <w:p w14:paraId="79D325C5" w14:textId="77777777" w:rsidR="00760B74" w:rsidRPr="0013396E" w:rsidRDefault="00760B74" w:rsidP="00760B74">
                  <w:pPr>
                    <w:pStyle w:val="tablebody0"/>
                    <w:widowControl w:val="0"/>
                  </w:pPr>
                  <w:r w:rsidRPr="0013396E">
                    <w:t>$</w:t>
                  </w:r>
                </w:p>
              </w:tc>
              <w:tc>
                <w:tcPr>
                  <w:tcW w:w="3180" w:type="pct"/>
                </w:tcPr>
                <w:p w14:paraId="345CE96F" w14:textId="5632A86D" w:rsidR="00760B74" w:rsidRPr="0013396E" w:rsidRDefault="00760B74" w:rsidP="00760B74">
                  <w:pPr>
                    <w:pStyle w:val="tablebody0"/>
                    <w:widowControl w:val="0"/>
                    <w:rPr>
                      <w:i/>
                    </w:rPr>
                  </w:pPr>
                  <w:r w:rsidRPr="0013396E">
                    <w:rPr>
                      <w:i/>
                    </w:rPr>
                    <w:t xml:space="preserve">Real-Time </w:t>
                  </w:r>
                  <w:r w:rsidR="00EC6A86" w:rsidRPr="0013396E">
                    <w:rPr>
                      <w:i/>
                    </w:rPr>
                    <w:t>Generation</w:t>
                  </w:r>
                  <w:r w:rsidRPr="0013396E">
                    <w:rPr>
                      <w:i/>
                    </w:rPr>
                    <w:t xml:space="preserve"> for SODG</w:t>
                  </w:r>
                  <w:r w:rsidR="00EC6A86" w:rsidRPr="0013396E">
                    <w:rPr>
                      <w:i/>
                    </w:rPr>
                    <w:t>,</w:t>
                  </w:r>
                  <w:r w:rsidRPr="0013396E">
                    <w:rPr>
                      <w:i/>
                    </w:rPr>
                    <w:t xml:space="preserve"> SOTG</w:t>
                  </w:r>
                  <w:r w:rsidR="00EC6A86" w:rsidRPr="0013396E">
                    <w:rPr>
                      <w:i/>
                    </w:rPr>
                    <w:t>, SODESS, or SOTESS</w:t>
                  </w:r>
                  <w:r w:rsidRPr="0013396E">
                    <w:rPr>
                      <w:i/>
                    </w:rPr>
                    <w:t xml:space="preserve"> Site Amount</w:t>
                  </w:r>
                  <w:r w:rsidRPr="0013396E" w:rsidDel="006C2DC2">
                    <w:rPr>
                      <w:i/>
                    </w:rPr>
                    <w:t xml:space="preserve"> </w:t>
                  </w:r>
                  <w:r w:rsidRPr="0013396E">
                    <w:t xml:space="preserve">—The total payment or charge </w:t>
                  </w:r>
                  <w:r w:rsidR="00EC6A86" w:rsidRPr="0013396E">
                    <w:t xml:space="preserve">for generation </w:t>
                  </w:r>
                  <w:r w:rsidRPr="0013396E">
                    <w:t xml:space="preserve">to QSE </w:t>
                  </w:r>
                  <w:r w:rsidRPr="0013396E">
                    <w:rPr>
                      <w:i/>
                    </w:rPr>
                    <w:t>q</w:t>
                  </w:r>
                  <w:r w:rsidRPr="0013396E">
                    <w:t xml:space="preserve"> for SODG</w:t>
                  </w:r>
                  <w:r w:rsidR="00EC6A86" w:rsidRPr="0013396E">
                    <w:t>,</w:t>
                  </w:r>
                  <w:r w:rsidRPr="0013396E">
                    <w:t xml:space="preserve"> SOTG</w:t>
                  </w:r>
                  <w:r w:rsidR="00EC6A86" w:rsidRPr="0013396E">
                    <w:t>, SODESS, or SOTESS</w:t>
                  </w:r>
                  <w:r w:rsidRPr="0013396E">
                    <w:t xml:space="preserve"> site</w:t>
                  </w:r>
                  <w:r w:rsidRPr="0013396E">
                    <w:rPr>
                      <w:i/>
                    </w:rPr>
                    <w:t xml:space="preserve"> gsc</w:t>
                  </w:r>
                  <w:r w:rsidRPr="0013396E">
                    <w:t xml:space="preserve"> for the 15-minute Settlement Interval.</w:t>
                  </w:r>
                </w:p>
              </w:tc>
            </w:tr>
            <w:tr w:rsidR="009032F5" w:rsidRPr="0013396E" w14:paraId="7EB16B7B" w14:textId="77777777" w:rsidTr="008B123E">
              <w:trPr>
                <w:cantSplit/>
              </w:trPr>
              <w:tc>
                <w:tcPr>
                  <w:tcW w:w="1145" w:type="pct"/>
                </w:tcPr>
                <w:p w14:paraId="14665E48" w14:textId="08C2692C" w:rsidR="009032F5" w:rsidRPr="0013396E" w:rsidRDefault="009032F5" w:rsidP="009032F5">
                  <w:pPr>
                    <w:pStyle w:val="tablebody0"/>
                    <w:widowControl w:val="0"/>
                  </w:pPr>
                  <w:r w:rsidRPr="0013396E">
                    <w:lastRenderedPageBreak/>
                    <w:t>RTWSLSOAMT</w:t>
                  </w:r>
                  <w:r w:rsidRPr="0013396E">
                    <w:rPr>
                      <w:vertAlign w:val="subscript"/>
                    </w:rPr>
                    <w:t xml:space="preserve"> </w:t>
                  </w:r>
                  <w:r w:rsidRPr="0013396E">
                    <w:rPr>
                      <w:i/>
                      <w:vertAlign w:val="subscript"/>
                    </w:rPr>
                    <w:t>q,</w:t>
                  </w:r>
                  <w:r w:rsidRPr="0013396E">
                    <w:rPr>
                      <w:vertAlign w:val="subscript"/>
                    </w:rPr>
                    <w:t xml:space="preserve"> </w:t>
                  </w:r>
                  <w:r w:rsidRPr="0013396E">
                    <w:rPr>
                      <w:i/>
                      <w:vertAlign w:val="subscript"/>
                    </w:rPr>
                    <w:t>gsc</w:t>
                  </w:r>
                </w:p>
              </w:tc>
              <w:tc>
                <w:tcPr>
                  <w:tcW w:w="675" w:type="pct"/>
                </w:tcPr>
                <w:p w14:paraId="363BB52B" w14:textId="25496E5D" w:rsidR="009032F5" w:rsidRPr="0013396E" w:rsidRDefault="009032F5" w:rsidP="009032F5">
                  <w:pPr>
                    <w:pStyle w:val="tablebody0"/>
                    <w:widowControl w:val="0"/>
                  </w:pPr>
                  <w:r w:rsidRPr="0013396E">
                    <w:t>$</w:t>
                  </w:r>
                </w:p>
              </w:tc>
              <w:tc>
                <w:tcPr>
                  <w:tcW w:w="3180" w:type="pct"/>
                </w:tcPr>
                <w:p w14:paraId="2BA1F143" w14:textId="0D1BB42A" w:rsidR="009032F5" w:rsidRPr="0013396E" w:rsidRDefault="009032F5" w:rsidP="009032F5">
                  <w:pPr>
                    <w:pStyle w:val="tablebody0"/>
                    <w:widowControl w:val="0"/>
                    <w:rPr>
                      <w:i/>
                    </w:rPr>
                  </w:pPr>
                  <w:r w:rsidRPr="0013396E">
                    <w:rPr>
                      <w:i/>
                    </w:rPr>
                    <w:t xml:space="preserve">Real-Time WSL for SODESS or SOTESS Site Amount </w:t>
                  </w:r>
                  <w:r w:rsidRPr="0013396E">
                    <w:t xml:space="preserve">—The total payment or charge for WSL to QSE </w:t>
                  </w:r>
                  <w:r w:rsidRPr="0013396E">
                    <w:rPr>
                      <w:i/>
                    </w:rPr>
                    <w:t>q</w:t>
                  </w:r>
                  <w:r w:rsidRPr="0013396E">
                    <w:t xml:space="preserve"> for the SODESS or SOTESS site</w:t>
                  </w:r>
                  <w:r w:rsidRPr="0013396E">
                    <w:rPr>
                      <w:i/>
                    </w:rPr>
                    <w:t xml:space="preserve"> gsc</w:t>
                  </w:r>
                  <w:r w:rsidRPr="0013396E">
                    <w:t xml:space="preserve"> for the 15-minute Settlement Interval. </w:t>
                  </w:r>
                </w:p>
              </w:tc>
            </w:tr>
            <w:tr w:rsidR="009032F5" w:rsidRPr="0013396E" w14:paraId="2F0F78D0" w14:textId="77777777" w:rsidTr="008B123E">
              <w:trPr>
                <w:cantSplit/>
              </w:trPr>
              <w:tc>
                <w:tcPr>
                  <w:tcW w:w="1145" w:type="pct"/>
                </w:tcPr>
                <w:p w14:paraId="55FCA1CD" w14:textId="7ADB6295" w:rsidR="009032F5" w:rsidRPr="0013396E" w:rsidRDefault="009032F5" w:rsidP="009032F5">
                  <w:pPr>
                    <w:pStyle w:val="tablebody0"/>
                    <w:widowControl w:val="0"/>
                  </w:pPr>
                  <w:r w:rsidRPr="0013396E">
                    <w:t>RTNWSLSOAMT</w:t>
                  </w:r>
                  <w:r w:rsidRPr="0013396E">
                    <w:rPr>
                      <w:vertAlign w:val="subscript"/>
                    </w:rPr>
                    <w:t xml:space="preserve"> </w:t>
                  </w:r>
                  <w:r w:rsidRPr="0013396E">
                    <w:rPr>
                      <w:i/>
                      <w:vertAlign w:val="subscript"/>
                    </w:rPr>
                    <w:t>q,</w:t>
                  </w:r>
                  <w:r w:rsidRPr="0013396E">
                    <w:rPr>
                      <w:vertAlign w:val="subscript"/>
                    </w:rPr>
                    <w:t xml:space="preserve"> </w:t>
                  </w:r>
                  <w:r w:rsidRPr="0013396E">
                    <w:rPr>
                      <w:i/>
                      <w:vertAlign w:val="subscript"/>
                    </w:rPr>
                    <w:t>gsc</w:t>
                  </w:r>
                </w:p>
              </w:tc>
              <w:tc>
                <w:tcPr>
                  <w:tcW w:w="675" w:type="pct"/>
                </w:tcPr>
                <w:p w14:paraId="57D80B1D" w14:textId="4D61D83A" w:rsidR="009032F5" w:rsidRPr="0013396E" w:rsidRDefault="009032F5" w:rsidP="009032F5">
                  <w:pPr>
                    <w:pStyle w:val="tablebody0"/>
                    <w:widowControl w:val="0"/>
                  </w:pPr>
                  <w:r w:rsidRPr="0013396E">
                    <w:t>$</w:t>
                  </w:r>
                </w:p>
              </w:tc>
              <w:tc>
                <w:tcPr>
                  <w:tcW w:w="3180" w:type="pct"/>
                </w:tcPr>
                <w:p w14:paraId="162F48FB" w14:textId="3DB10AB4" w:rsidR="009032F5" w:rsidRPr="0013396E" w:rsidRDefault="009032F5" w:rsidP="009032F5">
                  <w:pPr>
                    <w:pStyle w:val="tablebody0"/>
                    <w:widowControl w:val="0"/>
                    <w:rPr>
                      <w:i/>
                    </w:rPr>
                  </w:pPr>
                  <w:r w:rsidRPr="0013396E">
                    <w:rPr>
                      <w:i/>
                    </w:rPr>
                    <w:t xml:space="preserve">Real-Time Non-WSL for SODESS or SOTESS Site Amount </w:t>
                  </w:r>
                  <w:r w:rsidRPr="0013396E">
                    <w:t xml:space="preserve">—The total payment or charge for Non-WSL Settlement Only Charging Load to QSE </w:t>
                  </w:r>
                  <w:r w:rsidRPr="0013396E">
                    <w:rPr>
                      <w:i/>
                    </w:rPr>
                    <w:t>q</w:t>
                  </w:r>
                  <w:r w:rsidRPr="0013396E">
                    <w:t xml:space="preserve"> for the SODESS or SOTESS site</w:t>
                  </w:r>
                  <w:r w:rsidRPr="0013396E">
                    <w:rPr>
                      <w:i/>
                    </w:rPr>
                    <w:t xml:space="preserve"> gsc</w:t>
                  </w:r>
                  <w:r w:rsidRPr="0013396E">
                    <w:t xml:space="preserve"> for the 15-minute Settlement Interval. </w:t>
                  </w:r>
                </w:p>
              </w:tc>
            </w:tr>
            <w:tr w:rsidR="00760B74" w:rsidRPr="0013396E" w14:paraId="0B116769" w14:textId="77777777" w:rsidTr="008B123E">
              <w:trPr>
                <w:cantSplit/>
              </w:trPr>
              <w:tc>
                <w:tcPr>
                  <w:tcW w:w="1145" w:type="pct"/>
                </w:tcPr>
                <w:p w14:paraId="5E09FDE1" w14:textId="70743AF5" w:rsidR="00760B74" w:rsidRPr="0013396E" w:rsidRDefault="00760B74" w:rsidP="00760B74">
                  <w:pPr>
                    <w:pStyle w:val="tablebody0"/>
                    <w:widowControl w:val="0"/>
                  </w:pPr>
                  <w:r w:rsidRPr="0013396E">
                    <w:t xml:space="preserve">RTESOPR </w:t>
                  </w:r>
                  <w:r w:rsidRPr="0013396E">
                    <w:rPr>
                      <w:i/>
                      <w:vertAlign w:val="subscript"/>
                    </w:rPr>
                    <w:t>b</w:t>
                  </w:r>
                </w:p>
              </w:tc>
              <w:tc>
                <w:tcPr>
                  <w:tcW w:w="675" w:type="pct"/>
                </w:tcPr>
                <w:p w14:paraId="405D9B3F" w14:textId="77777777" w:rsidR="00760B74" w:rsidRPr="0013396E" w:rsidRDefault="00760B74" w:rsidP="00760B74">
                  <w:pPr>
                    <w:pStyle w:val="tablebody0"/>
                    <w:widowControl w:val="0"/>
                    <w:rPr>
                      <w:i/>
                    </w:rPr>
                  </w:pPr>
                  <w:r w:rsidRPr="0013396E">
                    <w:t>$/MWh</w:t>
                  </w:r>
                </w:p>
              </w:tc>
              <w:tc>
                <w:tcPr>
                  <w:tcW w:w="3180" w:type="pct"/>
                </w:tcPr>
                <w:p w14:paraId="6219990D" w14:textId="397F34C0" w:rsidR="00760B74" w:rsidRPr="0013396E" w:rsidRDefault="00760B74" w:rsidP="00760B74">
                  <w:pPr>
                    <w:pStyle w:val="tablebody0"/>
                    <w:widowControl w:val="0"/>
                  </w:pPr>
                  <w:r w:rsidRPr="0013396E">
                    <w:rPr>
                      <w:i/>
                    </w:rPr>
                    <w:t>Real-Time Price for the Energy Metered for each SODG</w:t>
                  </w:r>
                  <w:r w:rsidR="009032F5" w:rsidRPr="0013396E">
                    <w:rPr>
                      <w:i/>
                    </w:rPr>
                    <w:t>,</w:t>
                  </w:r>
                  <w:r w:rsidRPr="0013396E">
                    <w:rPr>
                      <w:i/>
                    </w:rPr>
                    <w:t xml:space="preserve"> SOTG</w:t>
                  </w:r>
                  <w:r w:rsidR="009032F5" w:rsidRPr="0013396E">
                    <w:rPr>
                      <w:i/>
                    </w:rPr>
                    <w:t>, SODESS, or SOTESS</w:t>
                  </w:r>
                  <w:r w:rsidRPr="0013396E">
                    <w:rPr>
                      <w:i/>
                    </w:rPr>
                    <w:t xml:space="preserve"> Site </w:t>
                  </w:r>
                  <w:r w:rsidRPr="0013396E">
                    <w:sym w:font="Symbol" w:char="F0BE"/>
                  </w:r>
                  <w:r w:rsidRPr="0013396E">
                    <w:t xml:space="preserve">The Real-Time price at Electrical Bus </w:t>
                  </w:r>
                  <w:r w:rsidRPr="0013396E">
                    <w:rPr>
                      <w:i/>
                    </w:rPr>
                    <w:t>b</w:t>
                  </w:r>
                  <w:r w:rsidRPr="0013396E">
                    <w:t xml:space="preserve"> for the Settlement Meter for the SODG</w:t>
                  </w:r>
                  <w:r w:rsidR="009032F5" w:rsidRPr="0013396E">
                    <w:t>,</w:t>
                  </w:r>
                  <w:r w:rsidRPr="0013396E">
                    <w:t xml:space="preserve"> SOTG</w:t>
                  </w:r>
                  <w:r w:rsidR="009032F5" w:rsidRPr="0013396E">
                    <w:t>, SODESS</w:t>
                  </w:r>
                  <w:r w:rsidR="009032F5" w:rsidRPr="0013396E">
                    <w:rPr>
                      <w:i/>
                    </w:rPr>
                    <w:t xml:space="preserve">, </w:t>
                  </w:r>
                  <w:r w:rsidR="009032F5" w:rsidRPr="0013396E">
                    <w:t>or SOTESS</w:t>
                  </w:r>
                  <w:r w:rsidRPr="0013396E">
                    <w:t xml:space="preserve"> site for the 15-minute Settlement Interval.</w:t>
                  </w:r>
                </w:p>
              </w:tc>
            </w:tr>
            <w:tr w:rsidR="009C2EEB" w:rsidRPr="0013396E" w14:paraId="09241B62" w14:textId="77777777" w:rsidTr="008B123E">
              <w:trPr>
                <w:cantSplit/>
              </w:trPr>
              <w:tc>
                <w:tcPr>
                  <w:tcW w:w="1145" w:type="pct"/>
                </w:tcPr>
                <w:p w14:paraId="753B75BC" w14:textId="068BDE92" w:rsidR="009C2EEB" w:rsidRPr="0013396E" w:rsidRDefault="009C2EEB" w:rsidP="009C2EEB">
                  <w:pPr>
                    <w:pStyle w:val="tablebody0"/>
                    <w:widowControl w:val="0"/>
                  </w:pPr>
                  <w:r w:rsidRPr="0013396E">
                    <w:t>MEBSOGNET</w:t>
                  </w:r>
                  <w:r w:rsidRPr="0013396E">
                    <w:rPr>
                      <w:i/>
                      <w:vertAlign w:val="subscript"/>
                    </w:rPr>
                    <w:t xml:space="preserve"> q, gsc</w:t>
                  </w:r>
                </w:p>
              </w:tc>
              <w:tc>
                <w:tcPr>
                  <w:tcW w:w="675" w:type="pct"/>
                </w:tcPr>
                <w:p w14:paraId="05209AFF" w14:textId="3EE6374B" w:rsidR="009C2EEB" w:rsidRPr="0013396E" w:rsidRDefault="009C2EEB" w:rsidP="009C2EEB">
                  <w:pPr>
                    <w:pStyle w:val="tablebody0"/>
                    <w:widowControl w:val="0"/>
                  </w:pPr>
                  <w:r w:rsidRPr="0013396E">
                    <w:t>MWh</w:t>
                  </w:r>
                </w:p>
              </w:tc>
              <w:tc>
                <w:tcPr>
                  <w:tcW w:w="3180" w:type="pct"/>
                </w:tcPr>
                <w:p w14:paraId="4EE6D91D" w14:textId="7D51955E" w:rsidR="009C2EEB" w:rsidRPr="0013396E" w:rsidRDefault="009C2EEB" w:rsidP="009C2EEB">
                  <w:pPr>
                    <w:pStyle w:val="tablebody0"/>
                    <w:widowControl w:val="0"/>
                    <w:rPr>
                      <w:i/>
                    </w:rPr>
                  </w:pPr>
                  <w:r w:rsidRPr="0013396E">
                    <w:rPr>
                      <w:i/>
                    </w:rPr>
                    <w:t>Net Metered energy at gsc for an SODG</w:t>
                  </w:r>
                  <w:r w:rsidR="009032F5" w:rsidRPr="0013396E">
                    <w:rPr>
                      <w:i/>
                    </w:rPr>
                    <w:t>,</w:t>
                  </w:r>
                  <w:r w:rsidRPr="0013396E">
                    <w:rPr>
                      <w:i/>
                    </w:rPr>
                    <w:t xml:space="preserve"> SOTG</w:t>
                  </w:r>
                  <w:r w:rsidR="009032F5" w:rsidRPr="0013396E">
                    <w:rPr>
                      <w:i/>
                    </w:rPr>
                    <w:t>, SODESS or SOTESS</w:t>
                  </w:r>
                  <w:r w:rsidRPr="0013396E">
                    <w:rPr>
                      <w:i/>
                    </w:rPr>
                    <w:t xml:space="preserve"> Site </w:t>
                  </w:r>
                  <w:r w:rsidRPr="0013396E">
                    <w:sym w:font="Symbol" w:char="F0BE"/>
                  </w:r>
                  <w:r w:rsidRPr="0013396E">
                    <w:t>The net sum for all Settlement Meters for SODG</w:t>
                  </w:r>
                  <w:r w:rsidR="009032F5" w:rsidRPr="0013396E">
                    <w:t>,</w:t>
                  </w:r>
                  <w:r w:rsidRPr="0013396E">
                    <w:t xml:space="preserve"> SOTG</w:t>
                  </w:r>
                  <w:r w:rsidR="009032F5" w:rsidRPr="0013396E">
                    <w:t>, SODESS, or SOTESS</w:t>
                  </w:r>
                  <w:r w:rsidRPr="0013396E">
                    <w:t xml:space="preserve"> site</w:t>
                  </w:r>
                  <w:r w:rsidRPr="0013396E">
                    <w:rPr>
                      <w:i/>
                    </w:rPr>
                    <w:t xml:space="preserve"> gsc</w:t>
                  </w:r>
                  <w:r w:rsidRPr="0013396E">
                    <w:t xml:space="preserve"> represented by QSE </w:t>
                  </w:r>
                  <w:r w:rsidRPr="0013396E">
                    <w:rPr>
                      <w:i/>
                    </w:rPr>
                    <w:t>q</w:t>
                  </w:r>
                  <w:r w:rsidRPr="0013396E">
                    <w:t>.  A positive value indicates an injection of power to the ERCOT System.</w:t>
                  </w:r>
                </w:p>
              </w:tc>
            </w:tr>
            <w:tr w:rsidR="00760B74" w:rsidRPr="0013396E" w14:paraId="26C7840B" w14:textId="77777777" w:rsidTr="008B123E">
              <w:trPr>
                <w:cantSplit/>
              </w:trPr>
              <w:tc>
                <w:tcPr>
                  <w:tcW w:w="1145" w:type="pct"/>
                </w:tcPr>
                <w:p w14:paraId="35B8D8E6" w14:textId="35647FE2" w:rsidR="00760B74" w:rsidRPr="0013396E" w:rsidRDefault="009C2EEB" w:rsidP="009C2EEB">
                  <w:pPr>
                    <w:pStyle w:val="tablebody0"/>
                    <w:widowControl w:val="0"/>
                  </w:pPr>
                  <w:r w:rsidRPr="0013396E">
                    <w:t>MEB</w:t>
                  </w:r>
                  <w:r w:rsidR="00760B74" w:rsidRPr="0013396E">
                    <w:t xml:space="preserve">SOG </w:t>
                  </w:r>
                  <w:r w:rsidR="00760B74" w:rsidRPr="0013396E">
                    <w:rPr>
                      <w:i/>
                      <w:vertAlign w:val="subscript"/>
                    </w:rPr>
                    <w:t>q,</w:t>
                  </w:r>
                  <w:r w:rsidR="00760B74" w:rsidRPr="0013396E">
                    <w:t xml:space="preserve"> </w:t>
                  </w:r>
                  <w:r w:rsidR="00760B74" w:rsidRPr="0013396E">
                    <w:rPr>
                      <w:i/>
                      <w:vertAlign w:val="subscript"/>
                    </w:rPr>
                    <w:t>gsc, b</w:t>
                  </w:r>
                </w:p>
              </w:tc>
              <w:tc>
                <w:tcPr>
                  <w:tcW w:w="675" w:type="pct"/>
                </w:tcPr>
                <w:p w14:paraId="0F65BA69" w14:textId="77777777" w:rsidR="00760B74" w:rsidRPr="0013396E" w:rsidRDefault="00760B74" w:rsidP="00760B74">
                  <w:pPr>
                    <w:pStyle w:val="tablebody0"/>
                    <w:widowControl w:val="0"/>
                  </w:pPr>
                  <w:r w:rsidRPr="0013396E">
                    <w:t>MWh</w:t>
                  </w:r>
                </w:p>
              </w:tc>
              <w:tc>
                <w:tcPr>
                  <w:tcW w:w="3180" w:type="pct"/>
                </w:tcPr>
                <w:p w14:paraId="4CAD133A" w14:textId="40D790F6" w:rsidR="00760B74" w:rsidRPr="0013396E" w:rsidRDefault="009C2EEB" w:rsidP="006612C7">
                  <w:pPr>
                    <w:pStyle w:val="tablebody0"/>
                    <w:widowControl w:val="0"/>
                    <w:rPr>
                      <w:i/>
                    </w:rPr>
                  </w:pPr>
                  <w:r w:rsidRPr="0013396E">
                    <w:rPr>
                      <w:i/>
                    </w:rPr>
                    <w:t>Metered energy at bus</w:t>
                  </w:r>
                  <w:r w:rsidR="00760B74" w:rsidRPr="0013396E">
                    <w:rPr>
                      <w:i/>
                    </w:rPr>
                    <w:t xml:space="preserve"> for an SODG</w:t>
                  </w:r>
                  <w:r w:rsidR="009032F5" w:rsidRPr="0013396E">
                    <w:rPr>
                      <w:i/>
                    </w:rPr>
                    <w:t>,</w:t>
                  </w:r>
                  <w:r w:rsidR="00760B74" w:rsidRPr="0013396E">
                    <w:rPr>
                      <w:i/>
                    </w:rPr>
                    <w:t xml:space="preserve"> SOTG</w:t>
                  </w:r>
                  <w:r w:rsidR="009032F5" w:rsidRPr="0013396E">
                    <w:rPr>
                      <w:i/>
                    </w:rPr>
                    <w:t>, SODESS, or SOTESS</w:t>
                  </w:r>
                  <w:r w:rsidR="00760B74" w:rsidRPr="0013396E">
                    <w:rPr>
                      <w:i/>
                    </w:rPr>
                    <w:t xml:space="preserve"> Site </w:t>
                  </w:r>
                  <w:r w:rsidR="00760B74" w:rsidRPr="0013396E">
                    <w:sym w:font="Symbol" w:char="F0BE"/>
                  </w:r>
                  <w:r w:rsidR="00760B74" w:rsidRPr="0013396E">
                    <w:t xml:space="preserve">The </w:t>
                  </w:r>
                  <w:r w:rsidRPr="0013396E">
                    <w:t>metered energy</w:t>
                  </w:r>
                  <w:r w:rsidR="00760B74" w:rsidRPr="0013396E">
                    <w:t xml:space="preserve"> by the Settlement Meter(s) at Electrical Bus </w:t>
                  </w:r>
                  <w:r w:rsidR="00760B74" w:rsidRPr="0013396E">
                    <w:rPr>
                      <w:i/>
                    </w:rPr>
                    <w:t>b</w:t>
                  </w:r>
                  <w:r w:rsidR="00760B74" w:rsidRPr="0013396E">
                    <w:t xml:space="preserve"> for SODG</w:t>
                  </w:r>
                  <w:r w:rsidR="009032F5" w:rsidRPr="0013396E">
                    <w:t>,</w:t>
                  </w:r>
                  <w:r w:rsidR="00760B74" w:rsidRPr="0013396E">
                    <w:t xml:space="preserve"> SOTG</w:t>
                  </w:r>
                  <w:r w:rsidR="00851766" w:rsidRPr="0013396E">
                    <w:t>, SODESS</w:t>
                  </w:r>
                  <w:r w:rsidR="00851766" w:rsidRPr="0013396E">
                    <w:rPr>
                      <w:i/>
                    </w:rPr>
                    <w:t xml:space="preserve">, </w:t>
                  </w:r>
                  <w:r w:rsidR="00851766" w:rsidRPr="0013396E">
                    <w:t>or</w:t>
                  </w:r>
                  <w:r w:rsidR="00851766" w:rsidRPr="0013396E">
                    <w:rPr>
                      <w:i/>
                    </w:rPr>
                    <w:t xml:space="preserve"> </w:t>
                  </w:r>
                  <w:r w:rsidR="00851766" w:rsidRPr="0013396E">
                    <w:t>SOTESS</w:t>
                  </w:r>
                  <w:r w:rsidR="00760B74" w:rsidRPr="0013396E">
                    <w:t xml:space="preserve"> site</w:t>
                  </w:r>
                  <w:r w:rsidR="00760B74" w:rsidRPr="0013396E">
                    <w:rPr>
                      <w:i/>
                    </w:rPr>
                    <w:t xml:space="preserve"> gsc</w:t>
                  </w:r>
                  <w:r w:rsidR="00760B74" w:rsidRPr="0013396E">
                    <w:t xml:space="preserve"> represented by QSE </w:t>
                  </w:r>
                  <w:r w:rsidR="00760B74" w:rsidRPr="0013396E">
                    <w:rPr>
                      <w:i/>
                    </w:rPr>
                    <w:t>q</w:t>
                  </w:r>
                  <w:r w:rsidR="00851766" w:rsidRPr="0013396E">
                    <w:t xml:space="preserve"> for the 15-minute Settlement Interval</w:t>
                  </w:r>
                  <w:r w:rsidR="00760B74" w:rsidRPr="0013396E">
                    <w:t>.</w:t>
                  </w:r>
                  <w:r w:rsidRPr="0013396E">
                    <w:t xml:space="preserve">  A positive value represents energy produced, and a negative value represents energy consumed.</w:t>
                  </w:r>
                </w:p>
              </w:tc>
            </w:tr>
            <w:tr w:rsidR="00851766" w:rsidRPr="0013396E" w14:paraId="275E213C" w14:textId="77777777" w:rsidTr="008B123E">
              <w:trPr>
                <w:cantSplit/>
              </w:trPr>
              <w:tc>
                <w:tcPr>
                  <w:tcW w:w="1145" w:type="pct"/>
                </w:tcPr>
                <w:p w14:paraId="6AE6D68A" w14:textId="541D13D1" w:rsidR="00851766" w:rsidRPr="0013396E" w:rsidRDefault="00851766" w:rsidP="00851766">
                  <w:pPr>
                    <w:pStyle w:val="tablebody0"/>
                    <w:widowControl w:val="0"/>
                  </w:pPr>
                  <w:r w:rsidRPr="0013396E">
                    <w:t xml:space="preserve">WSOL </w:t>
                  </w:r>
                  <w:r w:rsidRPr="0013396E">
                    <w:rPr>
                      <w:i/>
                      <w:vertAlign w:val="subscript"/>
                    </w:rPr>
                    <w:t>q, gsc, b</w:t>
                  </w:r>
                  <w:r w:rsidRPr="0013396E">
                    <w:t xml:space="preserve">  </w:t>
                  </w:r>
                </w:p>
              </w:tc>
              <w:tc>
                <w:tcPr>
                  <w:tcW w:w="675" w:type="pct"/>
                </w:tcPr>
                <w:p w14:paraId="34C14AB1" w14:textId="7A8E17C8" w:rsidR="00851766" w:rsidRPr="0013396E" w:rsidRDefault="00851766" w:rsidP="00851766">
                  <w:pPr>
                    <w:pStyle w:val="tablebody0"/>
                    <w:widowControl w:val="0"/>
                  </w:pPr>
                  <w:r w:rsidRPr="0013396E">
                    <w:t>MWh</w:t>
                  </w:r>
                </w:p>
              </w:tc>
              <w:tc>
                <w:tcPr>
                  <w:tcW w:w="3180" w:type="pct"/>
                </w:tcPr>
                <w:p w14:paraId="765B4B21" w14:textId="435DDCE0" w:rsidR="00851766" w:rsidRPr="0013396E" w:rsidRDefault="00851766" w:rsidP="00851766">
                  <w:pPr>
                    <w:pStyle w:val="tablebody0"/>
                    <w:widowControl w:val="0"/>
                    <w:rPr>
                      <w:i/>
                    </w:rPr>
                  </w:pPr>
                  <w:r w:rsidRPr="0013396E">
                    <w:rPr>
                      <w:i/>
                    </w:rPr>
                    <w:t>WSL for an SODESS or SOTESS Site</w:t>
                  </w:r>
                  <w:r w:rsidR="006465B2" w:rsidRPr="0013396E">
                    <w:sym w:font="Symbol" w:char="F0BE"/>
                  </w:r>
                  <w:r w:rsidRPr="0013396E">
                    <w:t xml:space="preserve">The WSL as measured for an SODESS or SOTESS site </w:t>
                  </w:r>
                  <w:r w:rsidRPr="0013396E">
                    <w:rPr>
                      <w:i/>
                    </w:rPr>
                    <w:t>gsc</w:t>
                  </w:r>
                  <w:r w:rsidRPr="0013396E">
                    <w:t xml:space="preserve"> at Electrical Bus </w:t>
                  </w:r>
                  <w:r w:rsidRPr="0013396E">
                    <w:rPr>
                      <w:i/>
                    </w:rPr>
                    <w:t>b</w:t>
                  </w:r>
                  <w:r w:rsidRPr="0013396E">
                    <w:t xml:space="preserve">, represented by QSE </w:t>
                  </w:r>
                  <w:r w:rsidRPr="0013396E">
                    <w:rPr>
                      <w:i/>
                    </w:rPr>
                    <w:t>q,</w:t>
                  </w:r>
                  <w:r w:rsidRPr="0013396E">
                    <w:t xml:space="preserve"> represented as a negative value, for the 15-minute Settlement Interval.</w:t>
                  </w:r>
                </w:p>
              </w:tc>
            </w:tr>
            <w:tr w:rsidR="00851766" w:rsidRPr="0013396E" w14:paraId="322D60B6" w14:textId="77777777" w:rsidTr="008B123E">
              <w:trPr>
                <w:cantSplit/>
              </w:trPr>
              <w:tc>
                <w:tcPr>
                  <w:tcW w:w="1145" w:type="pct"/>
                </w:tcPr>
                <w:p w14:paraId="677EEF37" w14:textId="23E5B384" w:rsidR="00851766" w:rsidRPr="0013396E" w:rsidRDefault="00851766" w:rsidP="00851766">
                  <w:pPr>
                    <w:pStyle w:val="tablebody0"/>
                    <w:widowControl w:val="0"/>
                  </w:pPr>
                  <w:r w:rsidRPr="0013396E">
                    <w:t xml:space="preserve">NWSOL </w:t>
                  </w:r>
                  <w:r w:rsidRPr="0013396E">
                    <w:rPr>
                      <w:i/>
                      <w:vertAlign w:val="subscript"/>
                    </w:rPr>
                    <w:t>q, gsc, b</w:t>
                  </w:r>
                  <w:r w:rsidRPr="0013396E">
                    <w:t xml:space="preserve">  </w:t>
                  </w:r>
                </w:p>
              </w:tc>
              <w:tc>
                <w:tcPr>
                  <w:tcW w:w="675" w:type="pct"/>
                </w:tcPr>
                <w:p w14:paraId="0BAC09B2" w14:textId="3E2496E2" w:rsidR="00851766" w:rsidRPr="0013396E" w:rsidRDefault="00851766" w:rsidP="00851766">
                  <w:pPr>
                    <w:pStyle w:val="tablebody0"/>
                    <w:widowControl w:val="0"/>
                  </w:pPr>
                  <w:r w:rsidRPr="0013396E">
                    <w:t>MWh</w:t>
                  </w:r>
                </w:p>
              </w:tc>
              <w:tc>
                <w:tcPr>
                  <w:tcW w:w="3180" w:type="pct"/>
                </w:tcPr>
                <w:p w14:paraId="61FC96AD" w14:textId="47CFBB2C" w:rsidR="00851766" w:rsidRPr="0013396E" w:rsidRDefault="00851766" w:rsidP="00851766">
                  <w:pPr>
                    <w:pStyle w:val="tablebody0"/>
                    <w:widowControl w:val="0"/>
                    <w:rPr>
                      <w:i/>
                    </w:rPr>
                  </w:pPr>
                  <w:r w:rsidRPr="0013396E">
                    <w:rPr>
                      <w:i/>
                    </w:rPr>
                    <w:t>Non-WSL Settlement Only Charging Load for an SODESS or SOTESS Site</w:t>
                  </w:r>
                  <w:r w:rsidR="006465B2" w:rsidRPr="0013396E">
                    <w:sym w:font="Symbol" w:char="F0BE"/>
                  </w:r>
                  <w:r w:rsidRPr="0013396E">
                    <w:t xml:space="preserve">The Non-WSL Settlement Only Charging Load as measured for an SODESS or SOTESS site </w:t>
                  </w:r>
                  <w:r w:rsidRPr="0013396E">
                    <w:rPr>
                      <w:i/>
                    </w:rPr>
                    <w:t>gsc</w:t>
                  </w:r>
                  <w:r w:rsidRPr="0013396E">
                    <w:t xml:space="preserve"> at Electrical Bus </w:t>
                  </w:r>
                  <w:r w:rsidRPr="0013396E">
                    <w:rPr>
                      <w:i/>
                    </w:rPr>
                    <w:t>b</w:t>
                  </w:r>
                  <w:r w:rsidRPr="0013396E">
                    <w:t xml:space="preserve">, represented by QSE </w:t>
                  </w:r>
                  <w:r w:rsidRPr="0013396E">
                    <w:rPr>
                      <w:i/>
                    </w:rPr>
                    <w:t>q,</w:t>
                  </w:r>
                  <w:r w:rsidRPr="0013396E">
                    <w:t xml:space="preserve"> represented as a negative value, for the 15-minute Settlement Interval.</w:t>
                  </w:r>
                </w:p>
              </w:tc>
            </w:tr>
            <w:tr w:rsidR="00760B74" w:rsidRPr="0013396E" w14:paraId="1D16B6B8" w14:textId="77777777" w:rsidTr="008B123E">
              <w:trPr>
                <w:cantSplit/>
              </w:trPr>
              <w:tc>
                <w:tcPr>
                  <w:tcW w:w="1145" w:type="pct"/>
                </w:tcPr>
                <w:p w14:paraId="23AD967F" w14:textId="77777777" w:rsidR="00760B74" w:rsidRPr="0013396E" w:rsidRDefault="00760B74" w:rsidP="00760B74">
                  <w:pPr>
                    <w:pStyle w:val="tablebody0"/>
                    <w:widowControl w:val="0"/>
                  </w:pPr>
                  <w:r w:rsidRPr="0013396E">
                    <w:t>RTRDP</w:t>
                  </w:r>
                </w:p>
              </w:tc>
              <w:tc>
                <w:tcPr>
                  <w:tcW w:w="675" w:type="pct"/>
                </w:tcPr>
                <w:p w14:paraId="557351E3" w14:textId="77777777" w:rsidR="00760B74" w:rsidRPr="0013396E" w:rsidRDefault="00760B74" w:rsidP="00760B74">
                  <w:pPr>
                    <w:pStyle w:val="tablebody0"/>
                    <w:widowControl w:val="0"/>
                  </w:pPr>
                  <w:r w:rsidRPr="0013396E">
                    <w:t>$/MWh</w:t>
                  </w:r>
                </w:p>
              </w:tc>
              <w:tc>
                <w:tcPr>
                  <w:tcW w:w="3180" w:type="pct"/>
                </w:tcPr>
                <w:p w14:paraId="441963CE" w14:textId="527F6F0B" w:rsidR="00760B74" w:rsidRPr="0013396E" w:rsidRDefault="00760B74" w:rsidP="001A78EC">
                  <w:pPr>
                    <w:pStyle w:val="tablebody0"/>
                    <w:widowControl w:val="0"/>
                    <w:rPr>
                      <w:i/>
                    </w:rPr>
                  </w:pPr>
                  <w:r w:rsidRPr="0013396E">
                    <w:rPr>
                      <w:i/>
                    </w:rPr>
                    <w:t>Real-Time Reliability Deployment Price</w:t>
                  </w:r>
                  <w:r w:rsidR="001A78EC" w:rsidRPr="0013396E">
                    <w:rPr>
                      <w:i/>
                    </w:rPr>
                    <w:t xml:space="preserve"> for Energy</w:t>
                  </w:r>
                  <w:r w:rsidRPr="0013396E">
                    <w:rPr>
                      <w:i/>
                    </w:rPr>
                    <w:t xml:space="preserve"> </w:t>
                  </w:r>
                  <w:r w:rsidRPr="0013396E">
                    <w:sym w:font="Symbol" w:char="F0BE"/>
                  </w:r>
                  <w:r w:rsidRPr="0013396E">
                    <w:t xml:space="preserve">The Real-Time price for the 15-minute Settlement Interval, reflecting the impact of reliability deployments on energy prices that is calculated </w:t>
                  </w:r>
                  <w:r w:rsidRPr="0013396E">
                    <w:rPr>
                      <w:bCs/>
                    </w:rPr>
                    <w:t>from the Real-Time Reliability Deployment Price Adder</w:t>
                  </w:r>
                  <w:r w:rsidR="001A78EC" w:rsidRPr="0013396E">
                    <w:rPr>
                      <w:bCs/>
                    </w:rPr>
                    <w:t xml:space="preserve"> for Energy</w:t>
                  </w:r>
                  <w:r w:rsidRPr="0013396E">
                    <w:t>.</w:t>
                  </w:r>
                </w:p>
              </w:tc>
            </w:tr>
            <w:tr w:rsidR="00760B74" w:rsidRPr="0013396E" w14:paraId="73B76A9E" w14:textId="77777777" w:rsidTr="008B123E">
              <w:trPr>
                <w:cantSplit/>
              </w:trPr>
              <w:tc>
                <w:tcPr>
                  <w:tcW w:w="1145" w:type="pct"/>
                </w:tcPr>
                <w:p w14:paraId="0B6C855E" w14:textId="7DD3C8A4" w:rsidR="00760B74" w:rsidRPr="0013396E" w:rsidRDefault="00760B74" w:rsidP="00760B74">
                  <w:pPr>
                    <w:pStyle w:val="tablebody0"/>
                    <w:widowControl w:val="0"/>
                  </w:pPr>
                  <w:r w:rsidRPr="0013396E">
                    <w:t>RTRDPA</w:t>
                  </w:r>
                  <w:r w:rsidRPr="0013396E">
                    <w:rPr>
                      <w:vertAlign w:val="subscript"/>
                    </w:rPr>
                    <w:t xml:space="preserve"> </w:t>
                  </w:r>
                  <w:r w:rsidRPr="0013396E">
                    <w:rPr>
                      <w:i/>
                      <w:vertAlign w:val="subscript"/>
                    </w:rPr>
                    <w:t>y</w:t>
                  </w:r>
                </w:p>
              </w:tc>
              <w:tc>
                <w:tcPr>
                  <w:tcW w:w="675" w:type="pct"/>
                </w:tcPr>
                <w:p w14:paraId="5D45166D" w14:textId="77777777" w:rsidR="00760B74" w:rsidRPr="0013396E" w:rsidRDefault="00760B74" w:rsidP="00760B74">
                  <w:pPr>
                    <w:pStyle w:val="tablebody0"/>
                    <w:widowControl w:val="0"/>
                  </w:pPr>
                  <w:r w:rsidRPr="0013396E">
                    <w:t>$/MWh</w:t>
                  </w:r>
                </w:p>
              </w:tc>
              <w:tc>
                <w:tcPr>
                  <w:tcW w:w="3180" w:type="pct"/>
                </w:tcPr>
                <w:p w14:paraId="3E7A450A" w14:textId="55E4ADF2" w:rsidR="00760B74" w:rsidRPr="0013396E" w:rsidRDefault="00760B74" w:rsidP="001A78EC">
                  <w:pPr>
                    <w:pStyle w:val="tablebody0"/>
                    <w:widowControl w:val="0"/>
                    <w:rPr>
                      <w:i/>
                    </w:rPr>
                  </w:pPr>
                  <w:r w:rsidRPr="0013396E">
                    <w:rPr>
                      <w:i/>
                    </w:rPr>
                    <w:t>Real-Time Reliability Deployment Price Adder</w:t>
                  </w:r>
                  <w:r w:rsidR="001A78EC" w:rsidRPr="0013396E">
                    <w:rPr>
                      <w:i/>
                    </w:rPr>
                    <w:t xml:space="preserve"> for Energy</w:t>
                  </w:r>
                  <w:r w:rsidRPr="0013396E">
                    <w:rPr>
                      <w:i/>
                    </w:rPr>
                    <w:t xml:space="preserve"> </w:t>
                  </w:r>
                  <w:r w:rsidRPr="0013396E">
                    <w:sym w:font="Symbol" w:char="F0BE"/>
                  </w:r>
                  <w:r w:rsidRPr="0013396E">
                    <w:t xml:space="preserve">The Real-Time </w:t>
                  </w:r>
                  <w:r w:rsidR="001A78EC" w:rsidRPr="0013396E">
                    <w:t>p</w:t>
                  </w:r>
                  <w:r w:rsidRPr="0013396E">
                    <w:t xml:space="preserve">rice </w:t>
                  </w:r>
                  <w:r w:rsidR="001A78EC" w:rsidRPr="0013396E">
                    <w:t>a</w:t>
                  </w:r>
                  <w:r w:rsidRPr="0013396E">
                    <w:t xml:space="preserve">dder that captures the impact of reliability deployments on energy prices for the SCED interval </w:t>
                  </w:r>
                  <w:r w:rsidRPr="0013396E">
                    <w:rPr>
                      <w:i/>
                    </w:rPr>
                    <w:t>y</w:t>
                  </w:r>
                  <w:r w:rsidRPr="0013396E">
                    <w:t>.</w:t>
                  </w:r>
                </w:p>
              </w:tc>
            </w:tr>
            <w:tr w:rsidR="00760B74" w:rsidRPr="0013396E" w14:paraId="55CA9938" w14:textId="77777777" w:rsidTr="008B123E">
              <w:trPr>
                <w:cantSplit/>
              </w:trPr>
              <w:tc>
                <w:tcPr>
                  <w:tcW w:w="1145" w:type="pct"/>
                </w:tcPr>
                <w:p w14:paraId="5E82355E" w14:textId="77777777" w:rsidR="00760B74" w:rsidRPr="0013396E" w:rsidRDefault="00760B74" w:rsidP="00760B74">
                  <w:pPr>
                    <w:pStyle w:val="tablebody0"/>
                    <w:widowControl w:val="0"/>
                  </w:pPr>
                  <w:r w:rsidRPr="0013396E">
                    <w:t>SDWF</w:t>
                  </w:r>
                  <w:r w:rsidRPr="0013396E">
                    <w:rPr>
                      <w:i/>
                    </w:rPr>
                    <w:t xml:space="preserve"> </w:t>
                  </w:r>
                  <w:r w:rsidRPr="0013396E">
                    <w:rPr>
                      <w:i/>
                      <w:vertAlign w:val="subscript"/>
                    </w:rPr>
                    <w:t>y</w:t>
                  </w:r>
                </w:p>
              </w:tc>
              <w:tc>
                <w:tcPr>
                  <w:tcW w:w="675" w:type="pct"/>
                </w:tcPr>
                <w:p w14:paraId="44464EA9" w14:textId="77777777" w:rsidR="00760B74" w:rsidRPr="0013396E" w:rsidRDefault="00C5632E" w:rsidP="00760B74">
                  <w:pPr>
                    <w:pStyle w:val="tablebody0"/>
                    <w:widowControl w:val="0"/>
                  </w:pPr>
                  <w:r w:rsidRPr="0013396E">
                    <w:t>N</w:t>
                  </w:r>
                  <w:r w:rsidR="00760B74" w:rsidRPr="0013396E">
                    <w:t>one</w:t>
                  </w:r>
                </w:p>
              </w:tc>
              <w:tc>
                <w:tcPr>
                  <w:tcW w:w="3180" w:type="pct"/>
                </w:tcPr>
                <w:p w14:paraId="5844785E" w14:textId="28E10BA1" w:rsidR="00760B74" w:rsidRPr="0013396E" w:rsidRDefault="00760B74" w:rsidP="00760B74">
                  <w:pPr>
                    <w:pStyle w:val="tablebody0"/>
                    <w:widowControl w:val="0"/>
                    <w:rPr>
                      <w:i/>
                    </w:rPr>
                  </w:pPr>
                  <w:r w:rsidRPr="0013396E">
                    <w:rPr>
                      <w:i/>
                    </w:rPr>
                    <w:t>SCED Duration Weighting Factor per interval</w:t>
                  </w:r>
                  <w:r w:rsidR="00E87687" w:rsidRPr="0013396E">
                    <w:rPr>
                      <w:i/>
                    </w:rPr>
                    <w:t xml:space="preserve"> </w:t>
                  </w:r>
                  <w:r w:rsidRPr="0013396E">
                    <w:sym w:font="Symbol" w:char="F0BE"/>
                  </w:r>
                  <w:r w:rsidRPr="0013396E">
                    <w:t>The weight used in the SODG</w:t>
                  </w:r>
                  <w:r w:rsidR="00851766" w:rsidRPr="0013396E">
                    <w:t>,</w:t>
                  </w:r>
                  <w:r w:rsidRPr="0013396E">
                    <w:t xml:space="preserve"> SOTG</w:t>
                  </w:r>
                  <w:r w:rsidR="00851766" w:rsidRPr="0013396E">
                    <w:t>, SODESS, or SOTESS</w:t>
                  </w:r>
                  <w:r w:rsidRPr="0013396E">
                    <w:t xml:space="preserve"> price calculation for the portion of the SCED interval </w:t>
                  </w:r>
                  <w:r w:rsidRPr="0013396E">
                    <w:rPr>
                      <w:i/>
                    </w:rPr>
                    <w:t>y</w:t>
                  </w:r>
                  <w:r w:rsidRPr="0013396E">
                    <w:t xml:space="preserve"> within the Settlement Interval.</w:t>
                  </w:r>
                </w:p>
              </w:tc>
            </w:tr>
            <w:tr w:rsidR="00760B74" w:rsidRPr="0013396E" w14:paraId="52059E1E" w14:textId="77777777" w:rsidTr="008B123E">
              <w:trPr>
                <w:cantSplit/>
              </w:trPr>
              <w:tc>
                <w:tcPr>
                  <w:tcW w:w="1145" w:type="pct"/>
                </w:tcPr>
                <w:p w14:paraId="5864E8D6" w14:textId="77777777" w:rsidR="00760B74" w:rsidRPr="0013396E" w:rsidRDefault="00760B74" w:rsidP="00760B74">
                  <w:pPr>
                    <w:pStyle w:val="tablebody0"/>
                    <w:widowControl w:val="0"/>
                  </w:pPr>
                  <w:r w:rsidRPr="0013396E">
                    <w:t xml:space="preserve">RTLMP </w:t>
                  </w:r>
                  <w:r w:rsidRPr="0013396E">
                    <w:rPr>
                      <w:i/>
                      <w:vertAlign w:val="subscript"/>
                    </w:rPr>
                    <w:t>b, y</w:t>
                  </w:r>
                </w:p>
              </w:tc>
              <w:tc>
                <w:tcPr>
                  <w:tcW w:w="675" w:type="pct"/>
                </w:tcPr>
                <w:p w14:paraId="32453E5F" w14:textId="77777777" w:rsidR="00760B74" w:rsidRPr="0013396E" w:rsidRDefault="00760B74" w:rsidP="00760B74">
                  <w:pPr>
                    <w:pStyle w:val="tablebody0"/>
                    <w:widowControl w:val="0"/>
                  </w:pPr>
                  <w:r w:rsidRPr="0013396E">
                    <w:t>$/MWh</w:t>
                  </w:r>
                </w:p>
              </w:tc>
              <w:tc>
                <w:tcPr>
                  <w:tcW w:w="3180" w:type="pct"/>
                </w:tcPr>
                <w:p w14:paraId="25769A2E" w14:textId="3ACC11EA" w:rsidR="00760B74" w:rsidRPr="0013396E" w:rsidRDefault="00760B74" w:rsidP="00760B74">
                  <w:pPr>
                    <w:pStyle w:val="tablebody0"/>
                    <w:widowControl w:val="0"/>
                  </w:pPr>
                  <w:r w:rsidRPr="0013396E">
                    <w:rPr>
                      <w:i/>
                    </w:rPr>
                    <w:t>Real-Time Locational Marginal Price at bus per interval</w:t>
                  </w:r>
                  <w:r w:rsidR="00E87687" w:rsidRPr="0013396E">
                    <w:rPr>
                      <w:i/>
                    </w:rPr>
                    <w:t xml:space="preserve"> </w:t>
                  </w:r>
                  <w:r w:rsidRPr="0013396E">
                    <w:sym w:font="Symbol" w:char="F0BE"/>
                  </w:r>
                  <w:r w:rsidRPr="0013396E">
                    <w:t xml:space="preserve">The Real-Time LMP at Electrical Bus </w:t>
                  </w:r>
                  <w:r w:rsidRPr="0013396E">
                    <w:rPr>
                      <w:i/>
                    </w:rPr>
                    <w:t>b</w:t>
                  </w:r>
                  <w:r w:rsidRPr="0013396E">
                    <w:t xml:space="preserve">, for the SCED interval </w:t>
                  </w:r>
                  <w:r w:rsidRPr="0013396E">
                    <w:rPr>
                      <w:i/>
                    </w:rPr>
                    <w:t>y</w:t>
                  </w:r>
                  <w:r w:rsidRPr="0013396E">
                    <w:t>.</w:t>
                  </w:r>
                </w:p>
              </w:tc>
            </w:tr>
            <w:tr w:rsidR="00760B74" w:rsidRPr="0013396E" w14:paraId="12933831" w14:textId="77777777" w:rsidTr="008B123E">
              <w:trPr>
                <w:cantSplit/>
              </w:trPr>
              <w:tc>
                <w:tcPr>
                  <w:tcW w:w="1145" w:type="pct"/>
                </w:tcPr>
                <w:p w14:paraId="3C8FC2B6" w14:textId="77777777" w:rsidR="00760B74" w:rsidRPr="0013396E" w:rsidRDefault="00760B74" w:rsidP="00760B74">
                  <w:pPr>
                    <w:pStyle w:val="tablebody0"/>
                    <w:widowControl w:val="0"/>
                  </w:pPr>
                  <w:r w:rsidRPr="0013396E">
                    <w:t xml:space="preserve">TLMP </w:t>
                  </w:r>
                  <w:r w:rsidRPr="0013396E">
                    <w:rPr>
                      <w:i/>
                      <w:vertAlign w:val="subscript"/>
                    </w:rPr>
                    <w:t>y</w:t>
                  </w:r>
                </w:p>
              </w:tc>
              <w:tc>
                <w:tcPr>
                  <w:tcW w:w="675" w:type="pct"/>
                </w:tcPr>
                <w:p w14:paraId="722D837A" w14:textId="77777777" w:rsidR="00760B74" w:rsidRPr="0013396E" w:rsidRDefault="00760B74" w:rsidP="00760B74">
                  <w:pPr>
                    <w:pStyle w:val="tablebody0"/>
                    <w:widowControl w:val="0"/>
                    <w:rPr>
                      <w:iCs/>
                    </w:rPr>
                  </w:pPr>
                  <w:r w:rsidRPr="0013396E">
                    <w:t>second</w:t>
                  </w:r>
                </w:p>
              </w:tc>
              <w:tc>
                <w:tcPr>
                  <w:tcW w:w="3180" w:type="pct"/>
                </w:tcPr>
                <w:p w14:paraId="5719C479" w14:textId="1A11F1C4" w:rsidR="00760B74" w:rsidRPr="0013396E" w:rsidRDefault="00760B74" w:rsidP="00760B74">
                  <w:pPr>
                    <w:pStyle w:val="tablebody0"/>
                    <w:widowControl w:val="0"/>
                  </w:pPr>
                  <w:r w:rsidRPr="0013396E">
                    <w:rPr>
                      <w:i/>
                      <w:iCs/>
                    </w:rPr>
                    <w:t xml:space="preserve">Duration of </w:t>
                  </w:r>
                  <w:r w:rsidRPr="0013396E">
                    <w:rPr>
                      <w:i/>
                    </w:rPr>
                    <w:t>SCED</w:t>
                  </w:r>
                  <w:r w:rsidRPr="0013396E">
                    <w:rPr>
                      <w:i/>
                      <w:iCs/>
                    </w:rPr>
                    <w:t xml:space="preserve"> interval per interval</w:t>
                  </w:r>
                  <w:r w:rsidR="00E87687" w:rsidRPr="0013396E">
                    <w:rPr>
                      <w:i/>
                      <w:iCs/>
                    </w:rPr>
                    <w:t xml:space="preserve"> </w:t>
                  </w:r>
                  <w:r w:rsidRPr="0013396E">
                    <w:sym w:font="Symbol" w:char="F0BE"/>
                  </w:r>
                  <w:r w:rsidRPr="0013396E">
                    <w:t xml:space="preserve">The duration of the SCED interval </w:t>
                  </w:r>
                  <w:r w:rsidRPr="0013396E">
                    <w:rPr>
                      <w:i/>
                      <w:iCs/>
                    </w:rPr>
                    <w:t xml:space="preserve">y </w:t>
                  </w:r>
                  <w:r w:rsidRPr="0013396E">
                    <w:rPr>
                      <w:iCs/>
                    </w:rPr>
                    <w:t>within the Settlement Interval</w:t>
                  </w:r>
                  <w:r w:rsidRPr="0013396E">
                    <w:t>.</w:t>
                  </w:r>
                </w:p>
              </w:tc>
            </w:tr>
            <w:tr w:rsidR="00760B74" w:rsidRPr="0013396E" w14:paraId="6897A192" w14:textId="77777777" w:rsidTr="008B123E">
              <w:trPr>
                <w:cantSplit/>
              </w:trPr>
              <w:tc>
                <w:tcPr>
                  <w:tcW w:w="1145" w:type="pct"/>
                </w:tcPr>
                <w:p w14:paraId="34DF684C" w14:textId="77777777" w:rsidR="00760B74" w:rsidRPr="0013396E" w:rsidRDefault="00760B74" w:rsidP="00760B74">
                  <w:pPr>
                    <w:pStyle w:val="tablebody0"/>
                    <w:widowControl w:val="0"/>
                    <w:rPr>
                      <w:i/>
                    </w:rPr>
                  </w:pPr>
                  <w:r w:rsidRPr="0013396E">
                    <w:rPr>
                      <w:i/>
                    </w:rPr>
                    <w:t>gsc</w:t>
                  </w:r>
                </w:p>
              </w:tc>
              <w:tc>
                <w:tcPr>
                  <w:tcW w:w="675" w:type="pct"/>
                </w:tcPr>
                <w:p w14:paraId="79B103CC" w14:textId="77777777" w:rsidR="00760B74" w:rsidRPr="0013396E" w:rsidRDefault="00760B74" w:rsidP="00760B74">
                  <w:pPr>
                    <w:pStyle w:val="tablebody0"/>
                    <w:widowControl w:val="0"/>
                  </w:pPr>
                  <w:r w:rsidRPr="0013396E">
                    <w:t>none</w:t>
                  </w:r>
                </w:p>
              </w:tc>
              <w:tc>
                <w:tcPr>
                  <w:tcW w:w="3180" w:type="pct"/>
                </w:tcPr>
                <w:p w14:paraId="16EBA14C" w14:textId="77777777" w:rsidR="00760B74" w:rsidRPr="0013396E" w:rsidRDefault="00760B74" w:rsidP="00760B74">
                  <w:pPr>
                    <w:pStyle w:val="tablebody0"/>
                    <w:widowControl w:val="0"/>
                  </w:pPr>
                  <w:r w:rsidRPr="0013396E">
                    <w:t>A generation site code.</w:t>
                  </w:r>
                </w:p>
              </w:tc>
            </w:tr>
            <w:tr w:rsidR="00760B74" w:rsidRPr="0013396E" w14:paraId="47807D14" w14:textId="77777777" w:rsidTr="008B123E">
              <w:trPr>
                <w:cantSplit/>
              </w:trPr>
              <w:tc>
                <w:tcPr>
                  <w:tcW w:w="1145" w:type="pct"/>
                </w:tcPr>
                <w:p w14:paraId="1C1E4A63" w14:textId="77777777" w:rsidR="00760B74" w:rsidRPr="0013396E" w:rsidRDefault="00760B74" w:rsidP="00760B74">
                  <w:pPr>
                    <w:pStyle w:val="tablebody0"/>
                    <w:widowControl w:val="0"/>
                    <w:rPr>
                      <w:i/>
                    </w:rPr>
                  </w:pPr>
                  <w:r w:rsidRPr="0013396E">
                    <w:rPr>
                      <w:i/>
                    </w:rPr>
                    <w:t>b</w:t>
                  </w:r>
                </w:p>
              </w:tc>
              <w:tc>
                <w:tcPr>
                  <w:tcW w:w="675" w:type="pct"/>
                </w:tcPr>
                <w:p w14:paraId="51188477" w14:textId="77777777" w:rsidR="00760B74" w:rsidRPr="0013396E" w:rsidRDefault="00760B74" w:rsidP="00760B74">
                  <w:pPr>
                    <w:pStyle w:val="tablebody0"/>
                    <w:widowControl w:val="0"/>
                  </w:pPr>
                  <w:r w:rsidRPr="0013396E">
                    <w:t>none</w:t>
                  </w:r>
                </w:p>
              </w:tc>
              <w:tc>
                <w:tcPr>
                  <w:tcW w:w="3180" w:type="pct"/>
                </w:tcPr>
                <w:p w14:paraId="349EB487" w14:textId="77777777" w:rsidR="00760B74" w:rsidRPr="0013396E" w:rsidRDefault="00760B74" w:rsidP="00760B74">
                  <w:pPr>
                    <w:pStyle w:val="tablebody0"/>
                    <w:widowControl w:val="0"/>
                  </w:pPr>
                  <w:r w:rsidRPr="0013396E">
                    <w:t>An Electrical Bus.</w:t>
                  </w:r>
                </w:p>
              </w:tc>
            </w:tr>
            <w:tr w:rsidR="00760B74" w:rsidRPr="0013396E" w14:paraId="614909DE" w14:textId="77777777" w:rsidTr="008B123E">
              <w:trPr>
                <w:cantSplit/>
              </w:trPr>
              <w:tc>
                <w:tcPr>
                  <w:tcW w:w="1145" w:type="pct"/>
                </w:tcPr>
                <w:p w14:paraId="274B4088" w14:textId="77777777" w:rsidR="00760B74" w:rsidRPr="0013396E" w:rsidRDefault="00760B74" w:rsidP="00760B74">
                  <w:pPr>
                    <w:pStyle w:val="tablebody0"/>
                    <w:widowControl w:val="0"/>
                    <w:rPr>
                      <w:i/>
                    </w:rPr>
                  </w:pPr>
                  <w:r w:rsidRPr="0013396E">
                    <w:rPr>
                      <w:i/>
                    </w:rPr>
                    <w:t>y</w:t>
                  </w:r>
                </w:p>
              </w:tc>
              <w:tc>
                <w:tcPr>
                  <w:tcW w:w="675" w:type="pct"/>
                </w:tcPr>
                <w:p w14:paraId="0CF77A33" w14:textId="77777777" w:rsidR="00760B74" w:rsidRPr="0013396E" w:rsidRDefault="00760B74" w:rsidP="00760B74">
                  <w:pPr>
                    <w:pStyle w:val="tablebody0"/>
                    <w:widowControl w:val="0"/>
                  </w:pPr>
                  <w:r w:rsidRPr="0013396E">
                    <w:t>None</w:t>
                  </w:r>
                </w:p>
              </w:tc>
              <w:tc>
                <w:tcPr>
                  <w:tcW w:w="3180" w:type="pct"/>
                </w:tcPr>
                <w:p w14:paraId="0D17B35F" w14:textId="77777777" w:rsidR="00760B74" w:rsidRPr="0013396E" w:rsidRDefault="00760B74" w:rsidP="00760B74">
                  <w:pPr>
                    <w:pStyle w:val="tablebody0"/>
                    <w:widowControl w:val="0"/>
                  </w:pPr>
                  <w:r w:rsidRPr="0013396E">
                    <w:t>A SCED interval in the 15-minute Settlement Interval.  The summation is over the total number of SCED runs that cover the 15-minute Settlement Interval.</w:t>
                  </w:r>
                </w:p>
              </w:tc>
            </w:tr>
          </w:tbl>
          <w:p w14:paraId="4A0C78FE" w14:textId="649ABE09" w:rsidR="00760B74" w:rsidRPr="0013396E" w:rsidRDefault="00760B74" w:rsidP="00760B74">
            <w:pPr>
              <w:pStyle w:val="BodyTextNumbered"/>
              <w:spacing w:before="240"/>
            </w:pPr>
            <w:r w:rsidRPr="0013396E">
              <w:lastRenderedPageBreak/>
              <w:t>(</w:t>
            </w:r>
            <w:r w:rsidR="00851766" w:rsidRPr="0013396E">
              <w:t>6</w:t>
            </w:r>
            <w:r w:rsidRPr="0013396E">
              <w:t>)</w:t>
            </w:r>
            <w:r w:rsidRPr="0013396E">
              <w:tab/>
              <w:t>The total net payments and charges to each QSE for energy from SODGs</w:t>
            </w:r>
            <w:r w:rsidR="00851766" w:rsidRPr="0013396E">
              <w:t>,</w:t>
            </w:r>
            <w:r w:rsidRPr="0013396E">
              <w:t xml:space="preserve"> SOTGs</w:t>
            </w:r>
            <w:r w:rsidR="00851766" w:rsidRPr="0013396E">
              <w:t>, SODESSs, or SOTESSs</w:t>
            </w:r>
            <w:r w:rsidRPr="0013396E">
              <w:t xml:space="preserve"> for the 15-minute Settlement Interval is calculated as follows:</w:t>
            </w:r>
          </w:p>
          <w:p w14:paraId="5B8A7EF7" w14:textId="0191F88E" w:rsidR="00760B74" w:rsidRPr="0013396E" w:rsidRDefault="00760B74" w:rsidP="00760B74">
            <w:pPr>
              <w:pStyle w:val="FormulaBold"/>
            </w:pPr>
            <w:r w:rsidRPr="0013396E">
              <w:t xml:space="preserve">RTESOAMTQSETOT </w:t>
            </w:r>
            <w:r w:rsidRPr="0013396E">
              <w:rPr>
                <w:i/>
                <w:vertAlign w:val="subscript"/>
              </w:rPr>
              <w:t>q</w:t>
            </w:r>
            <w:r w:rsidRPr="0013396E">
              <w:tab/>
              <w:t xml:space="preserve">= </w:t>
            </w:r>
            <w:r w:rsidRPr="0013396E">
              <w:rPr>
                <w:position w:val="-22"/>
              </w:rPr>
              <w:object w:dxaOrig="285" w:dyaOrig="450" w14:anchorId="47F851B2">
                <v:shape id="_x0000_i1143" type="#_x0000_t75" style="width:12pt;height:24pt" o:ole="">
                  <v:imagedata r:id="rId164" o:title=""/>
                </v:shape>
                <o:OLEObject Type="Embed" ProgID="Equation.3" ShapeID="_x0000_i1143" DrawAspect="Content" ObjectID="_1836311422" r:id="rId172"/>
              </w:object>
            </w:r>
            <w:r w:rsidR="00851766" w:rsidRPr="0013396E">
              <w:t>(</w:t>
            </w:r>
            <w:r w:rsidRPr="0013396E">
              <w:t>RT</w:t>
            </w:r>
            <w:r w:rsidR="00851766" w:rsidRPr="0013396E">
              <w:t>G</w:t>
            </w:r>
            <w:r w:rsidRPr="0013396E">
              <w:t xml:space="preserve">SOAMT </w:t>
            </w:r>
            <w:r w:rsidRPr="0013396E">
              <w:rPr>
                <w:i/>
                <w:vertAlign w:val="subscript"/>
              </w:rPr>
              <w:t>q, gsc</w:t>
            </w:r>
            <w:r w:rsidR="00851766" w:rsidRPr="0013396E">
              <w:t xml:space="preserve"> + RTWSLSOAMT </w:t>
            </w:r>
            <w:r w:rsidR="00851766" w:rsidRPr="0013396E">
              <w:rPr>
                <w:i/>
                <w:vertAlign w:val="subscript"/>
              </w:rPr>
              <w:t>q, gsc</w:t>
            </w:r>
            <w:r w:rsidR="00851766" w:rsidRPr="0013396E">
              <w:rPr>
                <w:vertAlign w:val="subscript"/>
              </w:rPr>
              <w:t xml:space="preserve"> </w:t>
            </w:r>
            <w:r w:rsidR="00851766" w:rsidRPr="0013396E">
              <w:t xml:space="preserve">+ RTNWSLSOAMT </w:t>
            </w:r>
            <w:r w:rsidR="00851766" w:rsidRPr="0013396E">
              <w:rPr>
                <w:i/>
                <w:vertAlign w:val="subscript"/>
              </w:rPr>
              <w:t>q, gsc</w:t>
            </w:r>
            <w:r w:rsidR="00851766" w:rsidRPr="0013396E">
              <w:t>)</w:t>
            </w:r>
          </w:p>
          <w:p w14:paraId="6B35A9A3" w14:textId="77777777" w:rsidR="00760B74" w:rsidRPr="0013396E" w:rsidRDefault="00760B74" w:rsidP="00760B74">
            <w:r w:rsidRPr="0013396E">
              <w:t>The above variables are defined as follows:</w:t>
            </w: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5"/>
              <w:gridCol w:w="700"/>
              <w:gridCol w:w="6036"/>
            </w:tblGrid>
            <w:tr w:rsidR="00F55D4D" w:rsidRPr="0013396E" w14:paraId="2E5925AD" w14:textId="77777777" w:rsidTr="008B123E">
              <w:trPr>
                <w:cantSplit/>
                <w:tblHeader/>
              </w:trPr>
              <w:tc>
                <w:tcPr>
                  <w:tcW w:w="2335" w:type="dxa"/>
                </w:tcPr>
                <w:p w14:paraId="04B9BF3D" w14:textId="77777777" w:rsidR="00F55D4D" w:rsidRPr="0013396E" w:rsidRDefault="00F55D4D" w:rsidP="00F55D4D">
                  <w:pPr>
                    <w:pStyle w:val="TableHead"/>
                  </w:pPr>
                  <w:r w:rsidRPr="0013396E">
                    <w:t>Variable</w:t>
                  </w:r>
                </w:p>
              </w:tc>
              <w:tc>
                <w:tcPr>
                  <w:tcW w:w="700" w:type="dxa"/>
                </w:tcPr>
                <w:p w14:paraId="64EA45B9" w14:textId="77777777" w:rsidR="00F55D4D" w:rsidRPr="0013396E" w:rsidRDefault="00F55D4D" w:rsidP="00F55D4D">
                  <w:pPr>
                    <w:pStyle w:val="TableHead"/>
                  </w:pPr>
                  <w:r w:rsidRPr="0013396E">
                    <w:t>Unit</w:t>
                  </w:r>
                </w:p>
              </w:tc>
              <w:tc>
                <w:tcPr>
                  <w:tcW w:w="6036" w:type="dxa"/>
                </w:tcPr>
                <w:p w14:paraId="0A81BDC0" w14:textId="77777777" w:rsidR="00F55D4D" w:rsidRPr="0013396E" w:rsidRDefault="00F55D4D" w:rsidP="00F55D4D">
                  <w:pPr>
                    <w:pStyle w:val="TableHead"/>
                  </w:pPr>
                  <w:r w:rsidRPr="0013396E">
                    <w:t>Definition</w:t>
                  </w:r>
                </w:p>
              </w:tc>
            </w:tr>
            <w:tr w:rsidR="00F55D4D" w:rsidRPr="0013396E" w14:paraId="59054906" w14:textId="77777777" w:rsidTr="008B123E">
              <w:trPr>
                <w:cantSplit/>
              </w:trPr>
              <w:tc>
                <w:tcPr>
                  <w:tcW w:w="2335" w:type="dxa"/>
                </w:tcPr>
                <w:p w14:paraId="2D0716CB" w14:textId="57F91588" w:rsidR="00F55D4D" w:rsidRPr="0013396E" w:rsidRDefault="00F55D4D" w:rsidP="00F55D4D">
                  <w:pPr>
                    <w:pStyle w:val="TableBody"/>
                  </w:pPr>
                  <w:r w:rsidRPr="0013396E">
                    <w:t xml:space="preserve">RTESOAMTQSETOT </w:t>
                  </w:r>
                  <w:r w:rsidRPr="0013396E">
                    <w:rPr>
                      <w:i/>
                      <w:vertAlign w:val="subscript"/>
                    </w:rPr>
                    <w:t>q</w:t>
                  </w:r>
                </w:p>
              </w:tc>
              <w:tc>
                <w:tcPr>
                  <w:tcW w:w="700" w:type="dxa"/>
                </w:tcPr>
                <w:p w14:paraId="04024563" w14:textId="77777777" w:rsidR="00F55D4D" w:rsidRPr="0013396E" w:rsidRDefault="00F55D4D" w:rsidP="00F55D4D">
                  <w:pPr>
                    <w:pStyle w:val="TableBody"/>
                  </w:pPr>
                  <w:r w:rsidRPr="0013396E">
                    <w:t>$</w:t>
                  </w:r>
                </w:p>
              </w:tc>
              <w:tc>
                <w:tcPr>
                  <w:tcW w:w="6036" w:type="dxa"/>
                </w:tcPr>
                <w:p w14:paraId="662CA00F" w14:textId="09AD3DD2" w:rsidR="00F55D4D" w:rsidRPr="0013396E" w:rsidRDefault="00F55D4D" w:rsidP="00F55D4D">
                  <w:pPr>
                    <w:pStyle w:val="TableBody"/>
                  </w:pPr>
                  <w:r w:rsidRPr="0013396E">
                    <w:rPr>
                      <w:i/>
                    </w:rPr>
                    <w:t>Real-Time Energy Payment or Charge per QSE for SODGs</w:t>
                  </w:r>
                  <w:r w:rsidR="00851766" w:rsidRPr="0013396E">
                    <w:rPr>
                      <w:i/>
                    </w:rPr>
                    <w:t>,</w:t>
                  </w:r>
                  <w:r w:rsidRPr="0013396E">
                    <w:rPr>
                      <w:i/>
                    </w:rPr>
                    <w:t xml:space="preserve"> SOTGs</w:t>
                  </w:r>
                  <w:r w:rsidR="00851766" w:rsidRPr="0013396E">
                    <w:rPr>
                      <w:i/>
                      <w:iCs w:val="0"/>
                    </w:rPr>
                    <w:t xml:space="preserve">, </w:t>
                  </w:r>
                  <w:r w:rsidR="00851766" w:rsidRPr="0013396E">
                    <w:rPr>
                      <w:i/>
                    </w:rPr>
                    <w:t>SODESSs, or SOTESSs</w:t>
                  </w:r>
                  <w:r w:rsidRPr="0013396E">
                    <w:rPr>
                      <w:i/>
                    </w:rPr>
                    <w:t xml:space="preserve"> </w:t>
                  </w:r>
                  <w:r w:rsidRPr="0013396E">
                    <w:t xml:space="preserve">—The payment or charge to QSE </w:t>
                  </w:r>
                  <w:r w:rsidRPr="0013396E">
                    <w:rPr>
                      <w:i/>
                    </w:rPr>
                    <w:t>q</w:t>
                  </w:r>
                  <w:r w:rsidRPr="0013396E">
                    <w:t xml:space="preserve"> for Real-Time energy from SODGs</w:t>
                  </w:r>
                  <w:r w:rsidR="00851766" w:rsidRPr="0013396E">
                    <w:t>,</w:t>
                  </w:r>
                  <w:r w:rsidRPr="0013396E">
                    <w:t xml:space="preserve"> SOTGs</w:t>
                  </w:r>
                  <w:r w:rsidR="00851766" w:rsidRPr="0013396E">
                    <w:t>, SODESSs, or SOTESSs</w:t>
                  </w:r>
                  <w:r w:rsidRPr="0013396E">
                    <w:t>, for the 15-minute Settlement Interval.</w:t>
                  </w:r>
                </w:p>
              </w:tc>
            </w:tr>
            <w:tr w:rsidR="00F55D4D" w:rsidRPr="0013396E" w14:paraId="15D5859B" w14:textId="77777777" w:rsidTr="008B123E">
              <w:trPr>
                <w:cantSplit/>
              </w:trPr>
              <w:tc>
                <w:tcPr>
                  <w:tcW w:w="2335" w:type="dxa"/>
                </w:tcPr>
                <w:p w14:paraId="3ACF4266" w14:textId="0B9CE9C2" w:rsidR="00F55D4D" w:rsidRPr="0013396E" w:rsidRDefault="00F55D4D" w:rsidP="00F55D4D">
                  <w:pPr>
                    <w:pStyle w:val="TableBody"/>
                  </w:pPr>
                  <w:r w:rsidRPr="0013396E">
                    <w:t>RT</w:t>
                  </w:r>
                  <w:r w:rsidR="00851766" w:rsidRPr="0013396E">
                    <w:t>G</w:t>
                  </w:r>
                  <w:r w:rsidRPr="0013396E">
                    <w:t xml:space="preserve">SOAMT </w:t>
                  </w:r>
                  <w:r w:rsidRPr="0013396E">
                    <w:rPr>
                      <w:i/>
                      <w:vertAlign w:val="subscript"/>
                    </w:rPr>
                    <w:t>q, gsc</w:t>
                  </w:r>
                </w:p>
              </w:tc>
              <w:tc>
                <w:tcPr>
                  <w:tcW w:w="700" w:type="dxa"/>
                </w:tcPr>
                <w:p w14:paraId="3C330704" w14:textId="77777777" w:rsidR="00F55D4D" w:rsidRPr="0013396E" w:rsidRDefault="00F55D4D" w:rsidP="00F55D4D">
                  <w:pPr>
                    <w:pStyle w:val="TableBody"/>
                  </w:pPr>
                  <w:r w:rsidRPr="0013396E">
                    <w:t>$</w:t>
                  </w:r>
                </w:p>
              </w:tc>
              <w:tc>
                <w:tcPr>
                  <w:tcW w:w="6036" w:type="dxa"/>
                </w:tcPr>
                <w:p w14:paraId="0CA0F4A1" w14:textId="2F71D87D" w:rsidR="00F55D4D" w:rsidRPr="0013396E" w:rsidRDefault="00F55D4D" w:rsidP="00F55D4D">
                  <w:pPr>
                    <w:pStyle w:val="TableBody"/>
                  </w:pPr>
                  <w:r w:rsidRPr="0013396E">
                    <w:rPr>
                      <w:i/>
                    </w:rPr>
                    <w:t xml:space="preserve">Real-Time </w:t>
                  </w:r>
                  <w:r w:rsidR="00851766" w:rsidRPr="0013396E">
                    <w:rPr>
                      <w:i/>
                    </w:rPr>
                    <w:t>Generation</w:t>
                  </w:r>
                  <w:r w:rsidRPr="0013396E">
                    <w:rPr>
                      <w:i/>
                    </w:rPr>
                    <w:t xml:space="preserve"> for SODG</w:t>
                  </w:r>
                  <w:r w:rsidR="00851766" w:rsidRPr="0013396E">
                    <w:rPr>
                      <w:i/>
                    </w:rPr>
                    <w:t>,</w:t>
                  </w:r>
                  <w:r w:rsidRPr="0013396E">
                    <w:rPr>
                      <w:i/>
                    </w:rPr>
                    <w:t xml:space="preserve"> SOTG</w:t>
                  </w:r>
                  <w:r w:rsidR="00851766" w:rsidRPr="0013396E">
                    <w:rPr>
                      <w:i/>
                      <w:iCs w:val="0"/>
                    </w:rPr>
                    <w:t xml:space="preserve">, </w:t>
                  </w:r>
                  <w:r w:rsidR="00851766" w:rsidRPr="0013396E">
                    <w:rPr>
                      <w:i/>
                    </w:rPr>
                    <w:t>SODESS, or SOTESS</w:t>
                  </w:r>
                  <w:r w:rsidRPr="0013396E">
                    <w:rPr>
                      <w:i/>
                    </w:rPr>
                    <w:t xml:space="preserve"> Site Amount</w:t>
                  </w:r>
                  <w:r w:rsidRPr="0013396E" w:rsidDel="006C2DC2">
                    <w:rPr>
                      <w:i/>
                    </w:rPr>
                    <w:t xml:space="preserve"> </w:t>
                  </w:r>
                  <w:r w:rsidRPr="0013396E">
                    <w:t xml:space="preserve">—The total payment or charge </w:t>
                  </w:r>
                  <w:r w:rsidR="00851766" w:rsidRPr="0013396E">
                    <w:t xml:space="preserve">for generation </w:t>
                  </w:r>
                  <w:r w:rsidRPr="0013396E">
                    <w:t xml:space="preserve">to QSE </w:t>
                  </w:r>
                  <w:r w:rsidRPr="0013396E">
                    <w:rPr>
                      <w:i/>
                    </w:rPr>
                    <w:t>q</w:t>
                  </w:r>
                  <w:r w:rsidRPr="0013396E">
                    <w:t xml:space="preserve"> for SODG</w:t>
                  </w:r>
                  <w:r w:rsidR="00851766" w:rsidRPr="0013396E">
                    <w:t>,</w:t>
                  </w:r>
                  <w:r w:rsidRPr="0013396E">
                    <w:t xml:space="preserve"> SOTG</w:t>
                  </w:r>
                  <w:r w:rsidR="00851766" w:rsidRPr="0013396E">
                    <w:rPr>
                      <w:iCs w:val="0"/>
                    </w:rPr>
                    <w:t xml:space="preserve">, </w:t>
                  </w:r>
                  <w:r w:rsidR="00851766" w:rsidRPr="0013396E">
                    <w:t>SODESS, or SOTESS</w:t>
                  </w:r>
                  <w:r w:rsidRPr="0013396E">
                    <w:t xml:space="preserve"> site</w:t>
                  </w:r>
                  <w:r w:rsidRPr="0013396E">
                    <w:rPr>
                      <w:i/>
                    </w:rPr>
                    <w:t xml:space="preserve"> gsc</w:t>
                  </w:r>
                  <w:r w:rsidRPr="0013396E">
                    <w:t xml:space="preserve"> for the 15-minute Settlement Interval.</w:t>
                  </w:r>
                </w:p>
              </w:tc>
            </w:tr>
            <w:tr w:rsidR="00851766" w:rsidRPr="0013396E" w14:paraId="178A746A" w14:textId="77777777" w:rsidTr="008B123E">
              <w:trPr>
                <w:cantSplit/>
              </w:trPr>
              <w:tc>
                <w:tcPr>
                  <w:tcW w:w="2335" w:type="dxa"/>
                </w:tcPr>
                <w:p w14:paraId="7D800659" w14:textId="3F783B30" w:rsidR="00851766" w:rsidRPr="0013396E" w:rsidRDefault="00851766" w:rsidP="00851766">
                  <w:pPr>
                    <w:pStyle w:val="TableBody"/>
                  </w:pPr>
                  <w:r w:rsidRPr="0013396E">
                    <w:t>RTWSLSOAMT</w:t>
                  </w:r>
                  <w:r w:rsidRPr="0013396E">
                    <w:rPr>
                      <w:vertAlign w:val="subscript"/>
                    </w:rPr>
                    <w:t xml:space="preserve"> </w:t>
                  </w:r>
                  <w:r w:rsidRPr="0013396E">
                    <w:rPr>
                      <w:i/>
                      <w:vertAlign w:val="subscript"/>
                    </w:rPr>
                    <w:t>q,</w:t>
                  </w:r>
                  <w:r w:rsidRPr="0013396E">
                    <w:rPr>
                      <w:vertAlign w:val="subscript"/>
                    </w:rPr>
                    <w:t xml:space="preserve"> </w:t>
                  </w:r>
                  <w:r w:rsidRPr="0013396E">
                    <w:rPr>
                      <w:i/>
                      <w:vertAlign w:val="subscript"/>
                    </w:rPr>
                    <w:t>gsc</w:t>
                  </w:r>
                </w:p>
              </w:tc>
              <w:tc>
                <w:tcPr>
                  <w:tcW w:w="700" w:type="dxa"/>
                </w:tcPr>
                <w:p w14:paraId="33807B78" w14:textId="028364DA" w:rsidR="00851766" w:rsidRPr="0013396E" w:rsidRDefault="00851766" w:rsidP="00851766">
                  <w:pPr>
                    <w:pStyle w:val="TableBody"/>
                  </w:pPr>
                  <w:r w:rsidRPr="0013396E">
                    <w:t>$</w:t>
                  </w:r>
                </w:p>
              </w:tc>
              <w:tc>
                <w:tcPr>
                  <w:tcW w:w="6036" w:type="dxa"/>
                </w:tcPr>
                <w:p w14:paraId="630D7D3D" w14:textId="05C0AC75" w:rsidR="00851766" w:rsidRPr="0013396E" w:rsidRDefault="00851766" w:rsidP="00851766">
                  <w:pPr>
                    <w:pStyle w:val="TableBody"/>
                    <w:rPr>
                      <w:i/>
                    </w:rPr>
                  </w:pPr>
                  <w:r w:rsidRPr="0013396E">
                    <w:rPr>
                      <w:i/>
                    </w:rPr>
                    <w:t xml:space="preserve">Real-Time WSL for SODESS or SOTESS Site Amount </w:t>
                  </w:r>
                  <w:r w:rsidRPr="0013396E">
                    <w:t xml:space="preserve">—The total payment or charge for WSL to QSE </w:t>
                  </w:r>
                  <w:r w:rsidRPr="0013396E">
                    <w:rPr>
                      <w:i/>
                    </w:rPr>
                    <w:t>q</w:t>
                  </w:r>
                  <w:r w:rsidRPr="0013396E">
                    <w:t xml:space="preserve"> for the SODESS or SOTESS site</w:t>
                  </w:r>
                  <w:r w:rsidRPr="0013396E">
                    <w:rPr>
                      <w:i/>
                    </w:rPr>
                    <w:t xml:space="preserve"> gsc</w:t>
                  </w:r>
                  <w:r w:rsidRPr="0013396E">
                    <w:t xml:space="preserve"> for the 15-minute Settlement Interval. </w:t>
                  </w:r>
                </w:p>
              </w:tc>
            </w:tr>
            <w:tr w:rsidR="00851766" w:rsidRPr="0013396E" w14:paraId="188F681E" w14:textId="77777777" w:rsidTr="008B123E">
              <w:trPr>
                <w:cantSplit/>
              </w:trPr>
              <w:tc>
                <w:tcPr>
                  <w:tcW w:w="2335" w:type="dxa"/>
                </w:tcPr>
                <w:p w14:paraId="0BF94F5F" w14:textId="4BA4ACE4" w:rsidR="00851766" w:rsidRPr="0013396E" w:rsidRDefault="00851766" w:rsidP="00851766">
                  <w:pPr>
                    <w:pStyle w:val="TableBody"/>
                  </w:pPr>
                  <w:r w:rsidRPr="0013396E">
                    <w:t>RTNWSLSOAMT</w:t>
                  </w:r>
                  <w:r w:rsidRPr="0013396E">
                    <w:rPr>
                      <w:vertAlign w:val="subscript"/>
                    </w:rPr>
                    <w:t xml:space="preserve"> </w:t>
                  </w:r>
                  <w:r w:rsidRPr="0013396E">
                    <w:rPr>
                      <w:i/>
                      <w:vertAlign w:val="subscript"/>
                    </w:rPr>
                    <w:t>q,</w:t>
                  </w:r>
                  <w:r w:rsidRPr="0013396E">
                    <w:rPr>
                      <w:vertAlign w:val="subscript"/>
                    </w:rPr>
                    <w:t xml:space="preserve"> </w:t>
                  </w:r>
                  <w:r w:rsidRPr="0013396E">
                    <w:rPr>
                      <w:i/>
                      <w:vertAlign w:val="subscript"/>
                    </w:rPr>
                    <w:t>gsc</w:t>
                  </w:r>
                </w:p>
              </w:tc>
              <w:tc>
                <w:tcPr>
                  <w:tcW w:w="700" w:type="dxa"/>
                </w:tcPr>
                <w:p w14:paraId="7666A4A2" w14:textId="078993FE" w:rsidR="00851766" w:rsidRPr="0013396E" w:rsidRDefault="00851766" w:rsidP="00851766">
                  <w:pPr>
                    <w:pStyle w:val="TableBody"/>
                  </w:pPr>
                  <w:r w:rsidRPr="0013396E">
                    <w:t>$</w:t>
                  </w:r>
                </w:p>
              </w:tc>
              <w:tc>
                <w:tcPr>
                  <w:tcW w:w="6036" w:type="dxa"/>
                </w:tcPr>
                <w:p w14:paraId="5AC6D2BC" w14:textId="43FF346A" w:rsidR="00851766" w:rsidRPr="0013396E" w:rsidRDefault="00851766" w:rsidP="00851766">
                  <w:pPr>
                    <w:pStyle w:val="TableBody"/>
                    <w:rPr>
                      <w:i/>
                    </w:rPr>
                  </w:pPr>
                  <w:r w:rsidRPr="0013396E">
                    <w:rPr>
                      <w:i/>
                    </w:rPr>
                    <w:t xml:space="preserve">Real-Time Non-WSL for SODESS or SOTESS Site Amount </w:t>
                  </w:r>
                  <w:r w:rsidRPr="0013396E">
                    <w:t xml:space="preserve">—The total payment or charge for Non-WSL Settlement Only Charging Load to QSE </w:t>
                  </w:r>
                  <w:r w:rsidRPr="0013396E">
                    <w:rPr>
                      <w:i/>
                    </w:rPr>
                    <w:t>q</w:t>
                  </w:r>
                  <w:r w:rsidRPr="0013396E">
                    <w:t xml:space="preserve"> for the SODESS or SOTESS site</w:t>
                  </w:r>
                  <w:r w:rsidRPr="0013396E">
                    <w:rPr>
                      <w:i/>
                    </w:rPr>
                    <w:t xml:space="preserve"> gsc</w:t>
                  </w:r>
                  <w:r w:rsidRPr="0013396E">
                    <w:t xml:space="preserve"> for the 15-minute Settlement Interval. </w:t>
                  </w:r>
                </w:p>
              </w:tc>
            </w:tr>
            <w:tr w:rsidR="00F55D4D" w:rsidRPr="0013396E" w14:paraId="2F98BD82" w14:textId="77777777" w:rsidTr="008B123E">
              <w:trPr>
                <w:cantSplit/>
              </w:trPr>
              <w:tc>
                <w:tcPr>
                  <w:tcW w:w="2335" w:type="dxa"/>
                  <w:tcBorders>
                    <w:top w:val="single" w:sz="4" w:space="0" w:color="auto"/>
                    <w:left w:val="single" w:sz="4" w:space="0" w:color="auto"/>
                    <w:bottom w:val="single" w:sz="4" w:space="0" w:color="auto"/>
                    <w:right w:val="single" w:sz="4" w:space="0" w:color="auto"/>
                  </w:tcBorders>
                </w:tcPr>
                <w:p w14:paraId="3B7338DE" w14:textId="77777777" w:rsidR="00F55D4D" w:rsidRPr="0013396E" w:rsidRDefault="00F55D4D" w:rsidP="00F55D4D">
                  <w:pPr>
                    <w:pStyle w:val="TableBody"/>
                    <w:rPr>
                      <w:i/>
                    </w:rPr>
                  </w:pPr>
                  <w:r w:rsidRPr="0013396E">
                    <w:rPr>
                      <w:i/>
                    </w:rPr>
                    <w:t>q</w:t>
                  </w:r>
                </w:p>
              </w:tc>
              <w:tc>
                <w:tcPr>
                  <w:tcW w:w="700" w:type="dxa"/>
                  <w:tcBorders>
                    <w:top w:val="single" w:sz="4" w:space="0" w:color="auto"/>
                    <w:left w:val="single" w:sz="4" w:space="0" w:color="auto"/>
                    <w:bottom w:val="single" w:sz="4" w:space="0" w:color="auto"/>
                    <w:right w:val="single" w:sz="4" w:space="0" w:color="auto"/>
                  </w:tcBorders>
                </w:tcPr>
                <w:p w14:paraId="4E5960E8" w14:textId="77777777" w:rsidR="00F55D4D" w:rsidRPr="0013396E" w:rsidRDefault="00F55D4D" w:rsidP="00F55D4D">
                  <w:pPr>
                    <w:pStyle w:val="TableBody"/>
                  </w:pPr>
                  <w:r w:rsidRPr="0013396E">
                    <w:t>none</w:t>
                  </w:r>
                </w:p>
              </w:tc>
              <w:tc>
                <w:tcPr>
                  <w:tcW w:w="6036" w:type="dxa"/>
                  <w:tcBorders>
                    <w:top w:val="single" w:sz="4" w:space="0" w:color="auto"/>
                    <w:left w:val="single" w:sz="4" w:space="0" w:color="auto"/>
                    <w:bottom w:val="single" w:sz="4" w:space="0" w:color="auto"/>
                    <w:right w:val="single" w:sz="4" w:space="0" w:color="auto"/>
                  </w:tcBorders>
                </w:tcPr>
                <w:p w14:paraId="55E79054" w14:textId="77777777" w:rsidR="00F55D4D" w:rsidRPr="0013396E" w:rsidRDefault="00F55D4D" w:rsidP="00F55D4D">
                  <w:pPr>
                    <w:pStyle w:val="TableBody"/>
                  </w:pPr>
                  <w:r w:rsidRPr="0013396E">
                    <w:t>A QSE.</w:t>
                  </w:r>
                </w:p>
              </w:tc>
            </w:tr>
            <w:tr w:rsidR="00F55D4D" w:rsidRPr="0013396E" w14:paraId="366DFDF8" w14:textId="77777777" w:rsidTr="008B123E">
              <w:trPr>
                <w:cantSplit/>
              </w:trPr>
              <w:tc>
                <w:tcPr>
                  <w:tcW w:w="2335" w:type="dxa"/>
                  <w:tcBorders>
                    <w:top w:val="single" w:sz="4" w:space="0" w:color="auto"/>
                    <w:left w:val="single" w:sz="4" w:space="0" w:color="auto"/>
                    <w:bottom w:val="single" w:sz="4" w:space="0" w:color="auto"/>
                    <w:right w:val="single" w:sz="4" w:space="0" w:color="auto"/>
                  </w:tcBorders>
                </w:tcPr>
                <w:p w14:paraId="11AAF9A6" w14:textId="77777777" w:rsidR="00F55D4D" w:rsidRPr="0013396E" w:rsidRDefault="00F55D4D" w:rsidP="00F55D4D">
                  <w:pPr>
                    <w:pStyle w:val="TableBody"/>
                    <w:rPr>
                      <w:i/>
                    </w:rPr>
                  </w:pPr>
                  <w:r w:rsidRPr="0013396E">
                    <w:rPr>
                      <w:i/>
                    </w:rPr>
                    <w:t>gsc</w:t>
                  </w:r>
                </w:p>
              </w:tc>
              <w:tc>
                <w:tcPr>
                  <w:tcW w:w="700" w:type="dxa"/>
                  <w:tcBorders>
                    <w:top w:val="single" w:sz="4" w:space="0" w:color="auto"/>
                    <w:left w:val="single" w:sz="4" w:space="0" w:color="auto"/>
                    <w:bottom w:val="single" w:sz="4" w:space="0" w:color="auto"/>
                    <w:right w:val="single" w:sz="4" w:space="0" w:color="auto"/>
                  </w:tcBorders>
                </w:tcPr>
                <w:p w14:paraId="67380B7A" w14:textId="77777777" w:rsidR="00F55D4D" w:rsidRPr="0013396E" w:rsidRDefault="00F55D4D" w:rsidP="00F55D4D">
                  <w:pPr>
                    <w:pStyle w:val="TableBody"/>
                  </w:pPr>
                  <w:r w:rsidRPr="0013396E">
                    <w:t>none</w:t>
                  </w:r>
                </w:p>
              </w:tc>
              <w:tc>
                <w:tcPr>
                  <w:tcW w:w="6036" w:type="dxa"/>
                  <w:tcBorders>
                    <w:top w:val="single" w:sz="4" w:space="0" w:color="auto"/>
                    <w:left w:val="single" w:sz="4" w:space="0" w:color="auto"/>
                    <w:bottom w:val="single" w:sz="4" w:space="0" w:color="auto"/>
                    <w:right w:val="single" w:sz="4" w:space="0" w:color="auto"/>
                  </w:tcBorders>
                </w:tcPr>
                <w:p w14:paraId="6C1D2DAC" w14:textId="77777777" w:rsidR="00F55D4D" w:rsidRPr="0013396E" w:rsidRDefault="00F55D4D" w:rsidP="00F55D4D">
                  <w:pPr>
                    <w:pStyle w:val="TableBody"/>
                  </w:pPr>
                  <w:r w:rsidRPr="0013396E">
                    <w:t>A generation site code.</w:t>
                  </w:r>
                </w:p>
              </w:tc>
            </w:tr>
          </w:tbl>
          <w:p w14:paraId="34B4EEE2" w14:textId="3884A0A2" w:rsidR="00F55D4D" w:rsidRPr="0013396E" w:rsidRDefault="00F55D4D" w:rsidP="00F55D4D">
            <w:pPr>
              <w:widowControl w:val="0"/>
              <w:spacing w:before="240" w:after="240"/>
              <w:ind w:left="720" w:hanging="720"/>
            </w:pPr>
            <w:r w:rsidRPr="0013396E">
              <w:rPr>
                <w:bCs/>
              </w:rPr>
              <w:t>(</w:t>
            </w:r>
            <w:r w:rsidR="00851766" w:rsidRPr="0013396E">
              <w:rPr>
                <w:bCs/>
              </w:rPr>
              <w:t>7</w:t>
            </w:r>
            <w:r w:rsidRPr="0013396E">
              <w:rPr>
                <w:bCs/>
              </w:rPr>
              <w:t xml:space="preserve">) </w:t>
            </w:r>
            <w:r w:rsidRPr="0013396E">
              <w:rPr>
                <w:bCs/>
              </w:rPr>
              <w:tab/>
              <w:t>Notwithstanding anything else in this Section except paragraphs (</w:t>
            </w:r>
            <w:r w:rsidR="00851766" w:rsidRPr="0013396E">
              <w:rPr>
                <w:bCs/>
              </w:rPr>
              <w:t>8</w:t>
            </w:r>
            <w:r w:rsidRPr="0013396E">
              <w:rPr>
                <w:bCs/>
              </w:rPr>
              <w:t>) and (</w:t>
            </w:r>
            <w:r w:rsidR="00851766" w:rsidRPr="0013396E">
              <w:rPr>
                <w:bCs/>
              </w:rPr>
              <w:t>9</w:t>
            </w:r>
            <w:r w:rsidRPr="0013396E">
              <w:rPr>
                <w:bCs/>
              </w:rPr>
              <w:t xml:space="preserve">) below, a Resource Entity may opt out of nodal pricing and continue Load Zone Settlement for any </w:t>
            </w:r>
            <w:r w:rsidRPr="0013396E">
              <w:t>SODG or SOTG if, by January 1, 2019, the SODG or SOTG was operational or was subject to a Power Purchase or Tolling Agreement (PPA) or Transmission and/or Distribution Service Provider (TDSP) interconnection agreement, or had an executed agreement with a developer.  By December 31, 2019, the Resource Entity must submit a properly completed Section 23, Form N, Pricing Election for Settlement Only Distribution Generators and Settlement Only Transmission Generators.  Any SODG or SOTG relying on a PPA or TDSP interconnection agreement or agreement with a developer must also have achieved Initial Synchronization for the full Resource capacity before June 1, 2020 to be eligible to opt out of nodal pricing.  A Resource Entity must provide ERCOT documented proof of any PPA, TDSP interconnection agreement, or developer agreement that it relies on as a basis for any election under this paragraph.  This election is valid through the earlier of December 31, 2029 or the date on which the election is revoked pursuant to paragraph (</w:t>
            </w:r>
            <w:r w:rsidR="00851766" w:rsidRPr="0013396E">
              <w:t>10</w:t>
            </w:r>
            <w:r w:rsidRPr="0013396E">
              <w:t xml:space="preserve">) of this Section.  On January 1, 2030, all SODGs and SOTGs will be subject to nodal pricing.  </w:t>
            </w:r>
          </w:p>
          <w:p w14:paraId="1C3D1B23" w14:textId="531344A9" w:rsidR="00F55D4D" w:rsidRPr="0013396E" w:rsidRDefault="00F55D4D" w:rsidP="00F55D4D">
            <w:pPr>
              <w:widowControl w:val="0"/>
              <w:spacing w:after="240"/>
              <w:ind w:left="720" w:hanging="720"/>
            </w:pPr>
            <w:r w:rsidRPr="0013396E">
              <w:t>(</w:t>
            </w:r>
            <w:r w:rsidR="00851766" w:rsidRPr="0013396E">
              <w:t>8</w:t>
            </w:r>
            <w:r w:rsidRPr="0013396E">
              <w:t>)</w:t>
            </w:r>
            <w:r w:rsidRPr="0013396E">
              <w:tab/>
              <w:t xml:space="preserve">For any SODG or SOTG for which the applicable Resource Entity has elected to opt out of nodal pricing, ERCOT shall settle the output of the SODG or SOTG using the Load Zone Settlement Point Price for the duration of the opt-out period so long as the SODG </w:t>
            </w:r>
            <w:r w:rsidRPr="0013396E">
              <w:lastRenderedPageBreak/>
              <w:t>or SOTG is not physically modified for any purpose, including to increase the capacity of the unit or change the fuel type of the unit, except as necessary for routine maintenance or repairs to address normal wear and tear.</w:t>
            </w:r>
          </w:p>
          <w:p w14:paraId="6F46C8AE" w14:textId="5457F10D" w:rsidR="00F55D4D" w:rsidRPr="0013396E" w:rsidRDefault="00F55D4D" w:rsidP="00F55D4D">
            <w:pPr>
              <w:widowControl w:val="0"/>
              <w:spacing w:after="240"/>
              <w:ind w:left="720" w:hanging="720"/>
            </w:pPr>
            <w:r w:rsidRPr="0013396E">
              <w:t>(</w:t>
            </w:r>
            <w:r w:rsidR="00851766" w:rsidRPr="0013396E">
              <w:t>9</w:t>
            </w:r>
            <w:r w:rsidRPr="0013396E">
              <w:t>)</w:t>
            </w:r>
            <w:r w:rsidRPr="0013396E">
              <w:tab/>
              <w:t>If at any time ERCOT determines that the SODG or SOTG fails to meet the opt-out conditions in paragraph (</w:t>
            </w:r>
            <w:r w:rsidR="00851766" w:rsidRPr="0013396E">
              <w:t>8</w:t>
            </w:r>
            <w:r w:rsidRPr="0013396E">
              <w:t>) above, ERCOT shall settle the output of the SODG or SOTG at the applicable nodal price as soon as practicable after providing written notice to the affected Resource Entity.</w:t>
            </w:r>
          </w:p>
          <w:p w14:paraId="098DB98B" w14:textId="17FFECC3" w:rsidR="009058F4" w:rsidRPr="0013396E" w:rsidRDefault="00F55D4D" w:rsidP="00F55D4D">
            <w:pPr>
              <w:widowControl w:val="0"/>
              <w:spacing w:after="240"/>
              <w:ind w:left="720" w:hanging="720"/>
            </w:pPr>
            <w:r w:rsidRPr="0013396E">
              <w:rPr>
                <w:szCs w:val="24"/>
              </w:rPr>
              <w:t>(</w:t>
            </w:r>
            <w:r w:rsidR="00851766" w:rsidRPr="0013396E">
              <w:rPr>
                <w:szCs w:val="24"/>
              </w:rPr>
              <w:t>10</w:t>
            </w:r>
            <w:r w:rsidRPr="0013396E">
              <w:rPr>
                <w:szCs w:val="24"/>
              </w:rPr>
              <w:t>)</w:t>
            </w:r>
            <w:r w:rsidRPr="0013396E">
              <w:rPr>
                <w:szCs w:val="24"/>
              </w:rPr>
              <w:tab/>
              <w:t>A Resource Entity that has opted out of nodal pricing for one or more SODGs or SOTGs pursuant to paragraph (</w:t>
            </w:r>
            <w:r w:rsidR="00851766" w:rsidRPr="0013396E">
              <w:rPr>
                <w:szCs w:val="24"/>
              </w:rPr>
              <w:t>7</w:t>
            </w:r>
            <w:r w:rsidRPr="0013396E">
              <w:rPr>
                <w:szCs w:val="24"/>
              </w:rPr>
              <w:t xml:space="preserve">) of this Section may withdraw that election and begin receiving applicable nodal pricing for one or more such generators by submitting a properly completed election form (Section 23, Form N).  An election of nodal pricing is irrevocable.  ERCOT will effectuate the transition of an SODG or SOTG to nodal </w:t>
            </w:r>
            <w:r w:rsidRPr="0013396E">
              <w:t>pricing</w:t>
            </w:r>
            <w:r w:rsidRPr="0013396E">
              <w:rPr>
                <w:szCs w:val="24"/>
              </w:rPr>
              <w:t xml:space="preserve"> in ERCOT Settlement systems as soon as practicable.</w:t>
            </w:r>
          </w:p>
        </w:tc>
      </w:tr>
    </w:tbl>
    <w:p w14:paraId="75AB124B" w14:textId="77777777" w:rsidR="00B6651E" w:rsidRPr="0013396E" w:rsidRDefault="00B6651E" w:rsidP="00E7745B">
      <w:pPr>
        <w:keepNext/>
        <w:widowControl w:val="0"/>
        <w:tabs>
          <w:tab w:val="left" w:pos="1260"/>
        </w:tabs>
        <w:spacing w:before="480" w:after="240"/>
        <w:ind w:left="1267" w:hanging="1267"/>
        <w:outlineLvl w:val="3"/>
        <w:rPr>
          <w:b/>
          <w:szCs w:val="24"/>
        </w:rPr>
      </w:pPr>
      <w:bookmarkStart w:id="1696" w:name="_Toc214878974"/>
      <w:bookmarkStart w:id="1697" w:name="_Hlk204327310"/>
      <w:r w:rsidRPr="0013396E">
        <w:rPr>
          <w:b/>
          <w:szCs w:val="24"/>
        </w:rPr>
        <w:lastRenderedPageBreak/>
        <w:t>6.6.3.9</w:t>
      </w:r>
      <w:r w:rsidRPr="0013396E">
        <w:rPr>
          <w:b/>
          <w:szCs w:val="24"/>
        </w:rPr>
        <w:tab/>
        <w:t>Real-Time Constraint Management Plan Cost Recovery Payment</w:t>
      </w:r>
      <w:bookmarkEnd w:id="1696"/>
      <w:r w:rsidRPr="0013396E">
        <w:rPr>
          <w:b/>
          <w:szCs w:val="24"/>
        </w:rPr>
        <w:t xml:space="preserve"> </w:t>
      </w:r>
    </w:p>
    <w:p w14:paraId="3EE9B923" w14:textId="63563174" w:rsidR="00B6651E" w:rsidRPr="0013396E" w:rsidRDefault="00B6651E" w:rsidP="00FF2663">
      <w:pPr>
        <w:spacing w:after="240"/>
        <w:ind w:left="720" w:hanging="720"/>
        <w:rPr>
          <w:color w:val="000000"/>
          <w:szCs w:val="24"/>
        </w:rPr>
      </w:pPr>
      <w:r w:rsidRPr="0013396E">
        <w:rPr>
          <w:color w:val="000000"/>
          <w:szCs w:val="24"/>
        </w:rPr>
        <w:t>(1)</w:t>
      </w:r>
      <w:r w:rsidRPr="0013396E">
        <w:rPr>
          <w:color w:val="000000"/>
          <w:szCs w:val="24"/>
        </w:rPr>
        <w:tab/>
        <w:t>If a Generation Resource trips Off-Line from a transmission equipment operation that would have normally not tripped the unit Off-Line but for the activation of a Constraint Management Plan (CMP) or a VDI issued by ERCOT</w:t>
      </w:r>
      <w:r w:rsidRPr="0013396E" w:rsidDel="000C1C0B">
        <w:rPr>
          <w:color w:val="000000"/>
          <w:szCs w:val="24"/>
        </w:rPr>
        <w:t xml:space="preserve"> </w:t>
      </w:r>
      <w:r w:rsidRPr="0013396E">
        <w:rPr>
          <w:color w:val="000000"/>
          <w:szCs w:val="24"/>
        </w:rPr>
        <w:t xml:space="preserve">which subjects a Generation Resource to N-1 contingency that could trip the Generation Resource Off-Line the QSE may be eligible for a Real-Time Constraint Management Plan Cost Recovery Payment, as calculated in paragraph (6) below, upon providing documented proof of the financial and repair cost.  A Generation Resource impacted by the CMP or VDI shall not be eligible for a CMP cost recovery payment under any of the following two conditions: </w:t>
      </w:r>
    </w:p>
    <w:p w14:paraId="27705127" w14:textId="77777777" w:rsidR="00B6651E" w:rsidRPr="0013396E" w:rsidRDefault="00B6651E" w:rsidP="00FF2663">
      <w:pPr>
        <w:spacing w:after="240"/>
        <w:ind w:left="1440" w:hanging="720"/>
        <w:rPr>
          <w:color w:val="000000"/>
          <w:szCs w:val="24"/>
        </w:rPr>
      </w:pPr>
      <w:r w:rsidRPr="0013396E">
        <w:rPr>
          <w:color w:val="000000"/>
          <w:szCs w:val="24"/>
        </w:rPr>
        <w:t>(a)</w:t>
      </w:r>
      <w:r w:rsidRPr="0013396E">
        <w:rPr>
          <w:color w:val="000000"/>
          <w:szCs w:val="24"/>
        </w:rPr>
        <w:tab/>
        <w:t xml:space="preserve">If the Resource Entity for this Generation Resource agreed with the CMP to subject the Generation </w:t>
      </w:r>
      <w:r w:rsidRPr="0013396E">
        <w:rPr>
          <w:szCs w:val="24"/>
        </w:rPr>
        <w:t>Resource</w:t>
      </w:r>
      <w:r w:rsidRPr="0013396E">
        <w:rPr>
          <w:color w:val="000000"/>
          <w:szCs w:val="24"/>
        </w:rPr>
        <w:t xml:space="preserve"> to the N-0 condition.  </w:t>
      </w:r>
    </w:p>
    <w:p w14:paraId="1AE60C0D" w14:textId="77777777" w:rsidR="00B6651E" w:rsidRPr="0013396E" w:rsidRDefault="00B6651E" w:rsidP="00FF2663">
      <w:pPr>
        <w:spacing w:after="240"/>
        <w:ind w:left="1440" w:hanging="720"/>
        <w:rPr>
          <w:szCs w:val="24"/>
        </w:rPr>
      </w:pPr>
      <w:r w:rsidRPr="0013396E">
        <w:rPr>
          <w:color w:val="000000"/>
          <w:szCs w:val="24"/>
        </w:rPr>
        <w:t>(b)</w:t>
      </w:r>
      <w:r w:rsidRPr="0013396E">
        <w:rPr>
          <w:color w:val="000000"/>
          <w:szCs w:val="24"/>
        </w:rPr>
        <w:tab/>
        <w:t>If ERCOT must issue a VDI to open the Generation Resource’s breaker due to the Generation Resource improperly following ERCOT instructions without notifying ERCOT that the CMP or VDI would physically harm the Resource.</w:t>
      </w:r>
    </w:p>
    <w:p w14:paraId="0669221F" w14:textId="77777777" w:rsidR="00B6651E" w:rsidRPr="0013396E" w:rsidRDefault="00B6651E" w:rsidP="00FF2663">
      <w:pPr>
        <w:spacing w:after="240"/>
        <w:ind w:left="720" w:hanging="720"/>
        <w:rPr>
          <w:szCs w:val="24"/>
        </w:rPr>
      </w:pPr>
      <w:r w:rsidRPr="0013396E">
        <w:rPr>
          <w:color w:val="000000"/>
          <w:szCs w:val="24"/>
        </w:rPr>
        <w:t>(2)</w:t>
      </w:r>
      <w:r w:rsidRPr="0013396E">
        <w:rPr>
          <w:color w:val="000000"/>
          <w:szCs w:val="24"/>
        </w:rPr>
        <w:tab/>
        <w:t>To qualify for a Constraint Management Plan Cost Recovery Payment the following conditions must be met:</w:t>
      </w:r>
    </w:p>
    <w:p w14:paraId="0A4EB91C" w14:textId="77777777" w:rsidR="00B6651E" w:rsidRPr="0013396E" w:rsidRDefault="00B6651E" w:rsidP="00FF2663">
      <w:pPr>
        <w:spacing w:after="240"/>
        <w:ind w:left="1440" w:hanging="720"/>
        <w:rPr>
          <w:szCs w:val="24"/>
        </w:rPr>
      </w:pPr>
      <w:r w:rsidRPr="0013396E">
        <w:rPr>
          <w:szCs w:val="24"/>
        </w:rPr>
        <w:t>(a)</w:t>
      </w:r>
      <w:r w:rsidRPr="0013396E">
        <w:rPr>
          <w:szCs w:val="24"/>
        </w:rPr>
        <w:tab/>
        <w:t xml:space="preserve">The </w:t>
      </w:r>
      <w:r w:rsidRPr="0013396E">
        <w:rPr>
          <w:color w:val="000000"/>
          <w:szCs w:val="24"/>
        </w:rPr>
        <w:t>CMP</w:t>
      </w:r>
      <w:r w:rsidRPr="0013396E">
        <w:rPr>
          <w:szCs w:val="24"/>
        </w:rPr>
        <w:t xml:space="preserve"> or VDI must have financially impacted the Generation Resource that tripped Off-Line;</w:t>
      </w:r>
    </w:p>
    <w:p w14:paraId="09202358" w14:textId="009DB033" w:rsidR="00B6651E" w:rsidRPr="0013396E" w:rsidRDefault="00B6651E" w:rsidP="00FF2663">
      <w:pPr>
        <w:spacing w:after="240"/>
        <w:ind w:left="1440" w:hanging="720"/>
        <w:rPr>
          <w:szCs w:val="24"/>
        </w:rPr>
      </w:pPr>
      <w:r w:rsidRPr="0013396E">
        <w:rPr>
          <w:szCs w:val="24"/>
        </w:rPr>
        <w:t>(b)</w:t>
      </w:r>
      <w:r w:rsidRPr="0013396E">
        <w:rPr>
          <w:szCs w:val="24"/>
        </w:rPr>
        <w:tab/>
        <w:t xml:space="preserve">The Generation Resource must have tripped Off-Line from a transmission equipment operation in an N-1 contingency following activation of a CMP directly impacting transmission equipment connected to the Generation Resource or an equivalent VDI issued by ERCOT to the Generation Resource or its Transmission Operator </w:t>
      </w:r>
      <w:r w:rsidR="002A367C" w:rsidRPr="0013396E">
        <w:rPr>
          <w:szCs w:val="24"/>
        </w:rPr>
        <w:t xml:space="preserve">(TO) </w:t>
      </w:r>
      <w:r w:rsidRPr="0013396E">
        <w:rPr>
          <w:szCs w:val="24"/>
        </w:rPr>
        <w:t>to operate equipment to produce the same effect; and</w:t>
      </w:r>
    </w:p>
    <w:p w14:paraId="30F894FA" w14:textId="77777777" w:rsidR="00B6651E" w:rsidRPr="0013396E" w:rsidRDefault="00B6651E" w:rsidP="00FF2663">
      <w:pPr>
        <w:spacing w:after="240"/>
        <w:ind w:left="1440" w:hanging="720"/>
        <w:rPr>
          <w:szCs w:val="24"/>
        </w:rPr>
      </w:pPr>
      <w:r w:rsidRPr="0013396E">
        <w:rPr>
          <w:szCs w:val="24"/>
        </w:rPr>
        <w:lastRenderedPageBreak/>
        <w:t>(c)</w:t>
      </w:r>
      <w:r w:rsidRPr="0013396E">
        <w:rPr>
          <w:szCs w:val="24"/>
        </w:rPr>
        <w:tab/>
      </w:r>
      <w:bookmarkStart w:id="1698" w:name="_Hlk204410987"/>
      <w:r w:rsidRPr="0013396E">
        <w:rPr>
          <w:szCs w:val="24"/>
        </w:rPr>
        <w:t xml:space="preserve">The QSE must file a timely Settlement and billing dispute, including the following items: </w:t>
      </w:r>
      <w:bookmarkEnd w:id="1698"/>
    </w:p>
    <w:p w14:paraId="4B780287" w14:textId="77777777" w:rsidR="00B6651E" w:rsidRPr="0013396E" w:rsidRDefault="00B6651E" w:rsidP="00FF2663">
      <w:pPr>
        <w:spacing w:after="240"/>
        <w:ind w:left="2160" w:hanging="720"/>
        <w:rPr>
          <w:szCs w:val="24"/>
        </w:rPr>
      </w:pPr>
      <w:r w:rsidRPr="0013396E">
        <w:rPr>
          <w:szCs w:val="24"/>
        </w:rPr>
        <w:t>(i)</w:t>
      </w:r>
      <w:r w:rsidRPr="0013396E">
        <w:rPr>
          <w:szCs w:val="24"/>
        </w:rPr>
        <w:tab/>
        <w:t>An attestation signed by an officer or executive with authority to bind the QSE;</w:t>
      </w:r>
    </w:p>
    <w:p w14:paraId="5605C85D" w14:textId="77777777" w:rsidR="00B6651E" w:rsidRPr="0013396E" w:rsidRDefault="00B6651E" w:rsidP="00FF2663">
      <w:pPr>
        <w:spacing w:after="240"/>
        <w:ind w:left="2160" w:hanging="720"/>
        <w:rPr>
          <w:szCs w:val="24"/>
        </w:rPr>
      </w:pPr>
      <w:r w:rsidRPr="0013396E">
        <w:rPr>
          <w:szCs w:val="24"/>
        </w:rPr>
        <w:t>(ii)</w:t>
      </w:r>
      <w:r w:rsidRPr="0013396E">
        <w:rPr>
          <w:szCs w:val="24"/>
        </w:rPr>
        <w:tab/>
        <w:t>The dollar amount and calculation of the demonstrable financial loss by Settlement Interval and the total repair cost for the CMP event, including:</w:t>
      </w:r>
    </w:p>
    <w:p w14:paraId="36E47107" w14:textId="77777777" w:rsidR="00B6651E" w:rsidRPr="0013396E" w:rsidRDefault="00B6651E" w:rsidP="00E7745B">
      <w:pPr>
        <w:spacing w:after="240"/>
        <w:ind w:left="2880" w:hanging="720"/>
        <w:rPr>
          <w:szCs w:val="24"/>
        </w:rPr>
      </w:pPr>
      <w:r w:rsidRPr="0013396E">
        <w:rPr>
          <w:szCs w:val="24"/>
        </w:rPr>
        <w:t>(A)</w:t>
      </w:r>
      <w:r w:rsidRPr="0013396E">
        <w:rPr>
          <w:szCs w:val="24"/>
        </w:rPr>
        <w:tab/>
        <w:t xml:space="preserve">Demonstrable financial losses (excluding lost opportunity costs) while Resource is in an Outage caused by the CMP or equivalent VDI unit trip Off-Line and with a Resource Status of OUT, associated with one of the following: </w:t>
      </w:r>
    </w:p>
    <w:p w14:paraId="74D0D9D4" w14:textId="77777777" w:rsidR="00B6651E" w:rsidRPr="0013396E" w:rsidRDefault="00B6651E" w:rsidP="00E7745B">
      <w:pPr>
        <w:spacing w:after="240"/>
        <w:ind w:left="3600" w:hanging="720"/>
        <w:rPr>
          <w:szCs w:val="24"/>
        </w:rPr>
      </w:pPr>
      <w:r w:rsidRPr="0013396E">
        <w:rPr>
          <w:szCs w:val="24"/>
        </w:rPr>
        <w:t>(1)</w:t>
      </w:r>
      <w:r w:rsidRPr="0013396E">
        <w:rPr>
          <w:szCs w:val="24"/>
        </w:rPr>
        <w:tab/>
        <w:t xml:space="preserve">QSEs representing Generation Resources in their portfolio with a bilateral contract to sell energy at its Resource Node; or </w:t>
      </w:r>
    </w:p>
    <w:p w14:paraId="0B419461" w14:textId="18D562B5" w:rsidR="00B6651E" w:rsidRPr="0013396E" w:rsidRDefault="00B6651E" w:rsidP="00E7745B">
      <w:pPr>
        <w:spacing w:after="240"/>
        <w:ind w:left="3600" w:hanging="720"/>
        <w:rPr>
          <w:szCs w:val="24"/>
        </w:rPr>
      </w:pPr>
      <w:r w:rsidRPr="0013396E">
        <w:rPr>
          <w:szCs w:val="24"/>
        </w:rPr>
        <w:t>(2)</w:t>
      </w:r>
      <w:r w:rsidRPr="0013396E">
        <w:rPr>
          <w:szCs w:val="24"/>
        </w:rPr>
        <w:tab/>
        <w:t xml:space="preserve">Incremental costs incurred by a QSE in the RTM to serve its Load if the </w:t>
      </w:r>
      <w:r w:rsidR="00E7745B" w:rsidRPr="0013396E">
        <w:rPr>
          <w:szCs w:val="24"/>
        </w:rPr>
        <w:t>O</w:t>
      </w:r>
      <w:r w:rsidRPr="0013396E">
        <w:rPr>
          <w:szCs w:val="24"/>
        </w:rPr>
        <w:t xml:space="preserve">utage for the Resource is in the same QSE portfolio as the Load, and causes the QSE to be short energy compared to its Load for the intervals affected by the </w:t>
      </w:r>
      <w:r w:rsidR="00E7745B" w:rsidRPr="0013396E">
        <w:rPr>
          <w:szCs w:val="24"/>
        </w:rPr>
        <w:t>O</w:t>
      </w:r>
      <w:r w:rsidRPr="0013396E">
        <w:rPr>
          <w:szCs w:val="24"/>
        </w:rPr>
        <w:t>utage; or</w:t>
      </w:r>
    </w:p>
    <w:p w14:paraId="6DE5F22D" w14:textId="77777777" w:rsidR="00B6651E" w:rsidRPr="0013396E" w:rsidRDefault="00B6651E" w:rsidP="00E7745B">
      <w:pPr>
        <w:spacing w:after="240"/>
        <w:ind w:left="3600" w:hanging="720"/>
        <w:rPr>
          <w:szCs w:val="24"/>
        </w:rPr>
      </w:pPr>
      <w:r w:rsidRPr="0013396E">
        <w:rPr>
          <w:szCs w:val="24"/>
        </w:rPr>
        <w:t>(3)</w:t>
      </w:r>
      <w:r w:rsidRPr="0013396E">
        <w:rPr>
          <w:szCs w:val="24"/>
        </w:rPr>
        <w:tab/>
        <w:t xml:space="preserve">Variable cost components of DAM obligations; and </w:t>
      </w:r>
    </w:p>
    <w:p w14:paraId="2988973E" w14:textId="77777777" w:rsidR="00B6651E" w:rsidRPr="0013396E" w:rsidRDefault="00B6651E" w:rsidP="00E7745B">
      <w:pPr>
        <w:spacing w:after="240"/>
        <w:ind w:left="2880" w:hanging="720"/>
        <w:rPr>
          <w:rFonts w:ascii="Aptos" w:hAnsi="Aptos"/>
          <w:szCs w:val="24"/>
        </w:rPr>
      </w:pPr>
      <w:r w:rsidRPr="0013396E">
        <w:rPr>
          <w:szCs w:val="24"/>
        </w:rPr>
        <w:t>(B)</w:t>
      </w:r>
      <w:r w:rsidRPr="0013396E">
        <w:rPr>
          <w:szCs w:val="24"/>
        </w:rPr>
        <w:tab/>
        <w:t>Actual costs incurred to repair the plant equipment directly attributable to the Forced Outage caused by the CMP activation or equivalent VDI.  The maximum amount recoverable shall be capped at $500,000 per event.  Such costs include, but are not limited to:</w:t>
      </w:r>
    </w:p>
    <w:p w14:paraId="781EF8C4" w14:textId="77777777" w:rsidR="00B6651E" w:rsidRPr="0013396E" w:rsidRDefault="00B6651E" w:rsidP="00E7745B">
      <w:pPr>
        <w:spacing w:after="240"/>
        <w:ind w:left="3600" w:hanging="720"/>
        <w:rPr>
          <w:szCs w:val="24"/>
        </w:rPr>
      </w:pPr>
      <w:r w:rsidRPr="0013396E">
        <w:rPr>
          <w:szCs w:val="24"/>
        </w:rPr>
        <w:t>(1)</w:t>
      </w:r>
      <w:r w:rsidRPr="0013396E">
        <w:rPr>
          <w:szCs w:val="24"/>
        </w:rPr>
        <w:tab/>
        <w:t>Costs associated with a Forced Outage if the result of the trip is due to the implementation of the CMP or equivalent VDI;</w:t>
      </w:r>
    </w:p>
    <w:p w14:paraId="573A6FD6" w14:textId="77777777" w:rsidR="00B6651E" w:rsidRPr="0013396E" w:rsidRDefault="00B6651E" w:rsidP="00E7745B">
      <w:pPr>
        <w:spacing w:after="240"/>
        <w:ind w:left="3600" w:hanging="720"/>
        <w:rPr>
          <w:szCs w:val="24"/>
        </w:rPr>
      </w:pPr>
      <w:r w:rsidRPr="0013396E">
        <w:rPr>
          <w:szCs w:val="24"/>
        </w:rPr>
        <w:t>(2)</w:t>
      </w:r>
      <w:r w:rsidRPr="0013396E">
        <w:rPr>
          <w:szCs w:val="24"/>
        </w:rPr>
        <w:tab/>
        <w:t>Additional staff or contractor time as a result of the Forced Outage;</w:t>
      </w:r>
    </w:p>
    <w:p w14:paraId="77E14FA9" w14:textId="77777777" w:rsidR="00B6651E" w:rsidRPr="0013396E" w:rsidRDefault="00B6651E" w:rsidP="00E7745B">
      <w:pPr>
        <w:spacing w:after="240"/>
        <w:ind w:left="3600" w:hanging="720"/>
        <w:rPr>
          <w:szCs w:val="24"/>
        </w:rPr>
      </w:pPr>
      <w:r w:rsidRPr="0013396E">
        <w:rPr>
          <w:szCs w:val="24"/>
        </w:rPr>
        <w:t>(3)</w:t>
      </w:r>
      <w:r w:rsidRPr="0013396E">
        <w:rPr>
          <w:szCs w:val="24"/>
        </w:rPr>
        <w:tab/>
        <w:t>Costs of equipment rental (including but not limited to cranes, manlifts, welding machines, etc.);</w:t>
      </w:r>
    </w:p>
    <w:p w14:paraId="19BA0E51" w14:textId="77777777" w:rsidR="00B6651E" w:rsidRPr="0013396E" w:rsidRDefault="00B6651E" w:rsidP="00E7745B">
      <w:pPr>
        <w:spacing w:after="240"/>
        <w:ind w:left="3600" w:hanging="720"/>
        <w:rPr>
          <w:szCs w:val="24"/>
        </w:rPr>
      </w:pPr>
      <w:r w:rsidRPr="0013396E">
        <w:rPr>
          <w:szCs w:val="24"/>
        </w:rPr>
        <w:t>(4)</w:t>
      </w:r>
      <w:r w:rsidRPr="0013396E">
        <w:rPr>
          <w:szCs w:val="24"/>
        </w:rPr>
        <w:tab/>
        <w:t>Costs of facility rentals and other incidental incremental costs incurred by the Resource or its QSE created by the Forced Outage; and</w:t>
      </w:r>
    </w:p>
    <w:p w14:paraId="11C40016" w14:textId="77777777" w:rsidR="00B6651E" w:rsidRPr="0013396E" w:rsidRDefault="00B6651E" w:rsidP="00E7745B">
      <w:pPr>
        <w:spacing w:after="240"/>
        <w:ind w:left="3600" w:hanging="720"/>
        <w:rPr>
          <w:szCs w:val="24"/>
        </w:rPr>
      </w:pPr>
      <w:r w:rsidRPr="0013396E">
        <w:rPr>
          <w:szCs w:val="24"/>
        </w:rPr>
        <w:t>(5)</w:t>
      </w:r>
      <w:r w:rsidRPr="0013396E">
        <w:rPr>
          <w:szCs w:val="24"/>
        </w:rPr>
        <w:tab/>
        <w:t>The cost of materials to be repaired that is a direct result of the Forced Outage.</w:t>
      </w:r>
    </w:p>
    <w:p w14:paraId="27440A7C" w14:textId="77777777" w:rsidR="00B6651E" w:rsidRPr="0013396E" w:rsidRDefault="00B6651E" w:rsidP="00E7745B">
      <w:pPr>
        <w:spacing w:after="240"/>
        <w:ind w:left="2880" w:hanging="720"/>
        <w:rPr>
          <w:szCs w:val="24"/>
        </w:rPr>
      </w:pPr>
      <w:r w:rsidRPr="0013396E">
        <w:rPr>
          <w:szCs w:val="24"/>
        </w:rPr>
        <w:lastRenderedPageBreak/>
        <w:t>(C)</w:t>
      </w:r>
      <w:r w:rsidRPr="0013396E">
        <w:rPr>
          <w:szCs w:val="24"/>
        </w:rPr>
        <w:tab/>
        <w:t>Costs covered under paragraphs (A) and (B) above do not include:</w:t>
      </w:r>
    </w:p>
    <w:p w14:paraId="7852FD40" w14:textId="77777777" w:rsidR="00B6651E" w:rsidRPr="0013396E" w:rsidRDefault="00B6651E" w:rsidP="00E7745B">
      <w:pPr>
        <w:spacing w:after="240"/>
        <w:ind w:left="3600" w:hanging="720"/>
        <w:rPr>
          <w:szCs w:val="24"/>
        </w:rPr>
      </w:pPr>
      <w:r w:rsidRPr="0013396E">
        <w:rPr>
          <w:szCs w:val="24"/>
        </w:rPr>
        <w:t>(1)</w:t>
      </w:r>
      <w:r w:rsidRPr="0013396E">
        <w:rPr>
          <w:szCs w:val="24"/>
        </w:rPr>
        <w:tab/>
        <w:t>Capital expenditures.</w:t>
      </w:r>
    </w:p>
    <w:p w14:paraId="22CA8806" w14:textId="77777777" w:rsidR="00B6651E" w:rsidRPr="0013396E" w:rsidRDefault="00B6651E" w:rsidP="00FF2663">
      <w:pPr>
        <w:spacing w:after="240"/>
        <w:ind w:left="2160" w:hanging="720"/>
        <w:rPr>
          <w:szCs w:val="24"/>
        </w:rPr>
      </w:pPr>
      <w:r w:rsidRPr="0013396E">
        <w:rPr>
          <w:szCs w:val="24"/>
        </w:rPr>
        <w:t>(iii)</w:t>
      </w:r>
      <w:r w:rsidRPr="0013396E">
        <w:rPr>
          <w:szCs w:val="24"/>
        </w:rPr>
        <w:tab/>
        <w:t xml:space="preserve">An explanation of the nature of the loss and how it was attributable to the CMP or equivalent VDI issued by ERCOT; and </w:t>
      </w:r>
    </w:p>
    <w:p w14:paraId="4ED106C0" w14:textId="77777777" w:rsidR="00B6651E" w:rsidRPr="0013396E" w:rsidRDefault="00B6651E" w:rsidP="00FF2663">
      <w:pPr>
        <w:spacing w:after="240"/>
        <w:ind w:left="2160" w:hanging="720"/>
        <w:rPr>
          <w:szCs w:val="24"/>
        </w:rPr>
      </w:pPr>
      <w:r w:rsidRPr="0013396E">
        <w:rPr>
          <w:szCs w:val="24"/>
        </w:rPr>
        <w:t>(iv)</w:t>
      </w:r>
      <w:r w:rsidRPr="0013396E">
        <w:rPr>
          <w:szCs w:val="24"/>
        </w:rPr>
        <w:tab/>
        <w:t>Sufficient documentation to support the QSE’s calculation of the amount of the financial loss.</w:t>
      </w:r>
    </w:p>
    <w:p w14:paraId="43FCD2E9" w14:textId="75B34859" w:rsidR="00B6651E" w:rsidRPr="0013396E" w:rsidRDefault="00B6651E" w:rsidP="00B6651E">
      <w:pPr>
        <w:spacing w:after="240"/>
        <w:ind w:left="720" w:hanging="720"/>
        <w:rPr>
          <w:szCs w:val="24"/>
        </w:rPr>
      </w:pPr>
      <w:r w:rsidRPr="0013396E">
        <w:rPr>
          <w:szCs w:val="24"/>
        </w:rPr>
        <w:t>(3)</w:t>
      </w:r>
      <w:r w:rsidRPr="0013396E">
        <w:rPr>
          <w:szCs w:val="24"/>
        </w:rPr>
        <w:tab/>
        <w:t xml:space="preserve">If the total Settlement amount of demonstrable financial losses included within </w:t>
      </w:r>
      <w:r w:rsidRPr="0013396E">
        <w:rPr>
          <w:color w:val="000000"/>
          <w:szCs w:val="24"/>
        </w:rPr>
        <w:t>Constraint Management Plan Cost Recovery Payments</w:t>
      </w:r>
      <w:r w:rsidRPr="0013396E">
        <w:rPr>
          <w:szCs w:val="24"/>
        </w:rPr>
        <w:t>, as defined in paragraph (2)(c)(ii)(A) above, exceeds $1.5 million in a calendar year, ERCOT will report to the TAC the causes of the payments and provide recommendations on how to reduce the costs based on the eligible demonstrable financial loss criteria in paragraph (2)(c)(ii)(A) above.</w:t>
      </w:r>
    </w:p>
    <w:p w14:paraId="55340258" w14:textId="77777777" w:rsidR="00B6651E" w:rsidRPr="0013396E" w:rsidRDefault="00B6651E" w:rsidP="00B6651E">
      <w:pPr>
        <w:spacing w:after="240"/>
        <w:ind w:left="720" w:hanging="720"/>
        <w:rPr>
          <w:szCs w:val="24"/>
        </w:rPr>
      </w:pPr>
      <w:r w:rsidRPr="0013396E">
        <w:rPr>
          <w:szCs w:val="24"/>
        </w:rPr>
        <w:t>(4)</w:t>
      </w:r>
      <w:r w:rsidRPr="0013396E">
        <w:rPr>
          <w:szCs w:val="24"/>
        </w:rPr>
        <w:tab/>
        <w:t>The period used to calculate the Constraint Management Plan Cost Recovery Payment calculation will start at the Settlement Interval of initial trip and will conclude in the Settlement Interval at the soonest of:</w:t>
      </w:r>
    </w:p>
    <w:p w14:paraId="474AD1AB" w14:textId="77777777" w:rsidR="00B6651E" w:rsidRPr="0013396E" w:rsidRDefault="00B6651E" w:rsidP="00B6651E">
      <w:pPr>
        <w:spacing w:after="240"/>
        <w:ind w:left="1440" w:hanging="720"/>
        <w:rPr>
          <w:szCs w:val="24"/>
        </w:rPr>
      </w:pPr>
      <w:r w:rsidRPr="0013396E">
        <w:rPr>
          <w:color w:val="000000"/>
          <w:szCs w:val="24"/>
        </w:rPr>
        <w:t>(a)</w:t>
      </w:r>
      <w:r w:rsidRPr="0013396E">
        <w:rPr>
          <w:color w:val="000000"/>
          <w:szCs w:val="24"/>
        </w:rPr>
        <w:tab/>
      </w:r>
      <w:r w:rsidRPr="0013396E">
        <w:rPr>
          <w:szCs w:val="24"/>
        </w:rPr>
        <w:t>The Generation Resource is On-Line and available for Dispatch as per telemetry; or</w:t>
      </w:r>
    </w:p>
    <w:p w14:paraId="1C5A75F3" w14:textId="77777777" w:rsidR="00B6651E" w:rsidRPr="0013396E" w:rsidRDefault="00B6651E" w:rsidP="00B6651E">
      <w:pPr>
        <w:spacing w:after="240"/>
        <w:ind w:left="1440" w:hanging="720"/>
        <w:rPr>
          <w:szCs w:val="24"/>
        </w:rPr>
      </w:pPr>
      <w:r w:rsidRPr="0013396E">
        <w:rPr>
          <w:szCs w:val="24"/>
        </w:rPr>
        <w:t>(b)</w:t>
      </w:r>
      <w:r w:rsidRPr="0013396E">
        <w:rPr>
          <w:szCs w:val="24"/>
        </w:rPr>
        <w:tab/>
        <w:t>Ninety-six Operating Hours after the Resource trips Off-Line.</w:t>
      </w:r>
    </w:p>
    <w:p w14:paraId="556BA32C" w14:textId="77777777" w:rsidR="00B6651E" w:rsidRPr="0013396E" w:rsidRDefault="00B6651E" w:rsidP="00B6651E">
      <w:pPr>
        <w:spacing w:after="240"/>
        <w:ind w:left="720" w:hanging="720"/>
        <w:rPr>
          <w:color w:val="000000"/>
          <w:szCs w:val="24"/>
        </w:rPr>
      </w:pPr>
      <w:r w:rsidRPr="0013396E">
        <w:rPr>
          <w:color w:val="000000"/>
          <w:szCs w:val="24"/>
        </w:rPr>
        <w:t>(5)</w:t>
      </w:r>
      <w:r w:rsidRPr="0013396E">
        <w:rPr>
          <w:color w:val="000000"/>
          <w:szCs w:val="24"/>
        </w:rPr>
        <w:tab/>
        <w:t xml:space="preserve">ERCOT may request additional supporting documentation or explanation with respect to the submitted materials within 60 Business Days of receipt.  Additional information requested by ERCOT must be provided by the QSE within 15 Business Days of ERCOT’s request.  ERCOT will provide Notice of its acceptance or rejection of the claim for the Real-Time Constraint Management Plan Energy Payment within 15 Business Days of the updated submission, or request additional clarification as needed. </w:t>
      </w:r>
    </w:p>
    <w:p w14:paraId="1D5FBC28" w14:textId="74829D4D" w:rsidR="00B6651E" w:rsidRPr="0013396E" w:rsidRDefault="00B6651E" w:rsidP="00B6651E">
      <w:pPr>
        <w:spacing w:after="240"/>
        <w:ind w:left="720" w:hanging="720"/>
        <w:rPr>
          <w:color w:val="000000"/>
          <w:szCs w:val="24"/>
        </w:rPr>
      </w:pPr>
      <w:r w:rsidRPr="0013396E">
        <w:rPr>
          <w:color w:val="000000"/>
          <w:szCs w:val="24"/>
        </w:rPr>
        <w:t>(6)</w:t>
      </w:r>
      <w:r w:rsidRPr="0013396E">
        <w:rPr>
          <w:color w:val="000000"/>
          <w:szCs w:val="24"/>
        </w:rPr>
        <w:tab/>
        <w:t xml:space="preserve">The Startup </w:t>
      </w:r>
      <w:r w:rsidR="00494238" w:rsidRPr="0013396E">
        <w:rPr>
          <w:color w:val="000000"/>
          <w:szCs w:val="24"/>
        </w:rPr>
        <w:t>C</w:t>
      </w:r>
      <w:r w:rsidRPr="0013396E">
        <w:rPr>
          <w:color w:val="000000"/>
          <w:szCs w:val="24"/>
        </w:rPr>
        <w:t xml:space="preserve">osts available for the Generation Resource will be based on the Resource’s Category Startup Offer Generic Cap unless ERCOT has approved verifiable unit-specific Startup Costs for the Resource.  If applicable, the calculated Verifiable Startup </w:t>
      </w:r>
      <w:r w:rsidR="00494238" w:rsidRPr="0013396E">
        <w:rPr>
          <w:color w:val="000000"/>
          <w:szCs w:val="24"/>
        </w:rPr>
        <w:t>C</w:t>
      </w:r>
      <w:r w:rsidRPr="0013396E">
        <w:rPr>
          <w:color w:val="000000"/>
          <w:szCs w:val="24"/>
        </w:rPr>
        <w:t xml:space="preserve">osts will be based on </w:t>
      </w:r>
      <w:r w:rsidR="00D013D7" w:rsidRPr="0013396E">
        <w:rPr>
          <w:color w:val="000000"/>
          <w:szCs w:val="24"/>
        </w:rPr>
        <w:t>Fuel Index Price (</w:t>
      </w:r>
      <w:r w:rsidRPr="0013396E">
        <w:rPr>
          <w:color w:val="000000"/>
          <w:szCs w:val="24"/>
        </w:rPr>
        <w:t>FIP</w:t>
      </w:r>
      <w:r w:rsidR="00D013D7" w:rsidRPr="0013396E">
        <w:rPr>
          <w:color w:val="000000"/>
          <w:szCs w:val="24"/>
        </w:rPr>
        <w:t>)</w:t>
      </w:r>
      <w:r w:rsidRPr="0013396E">
        <w:rPr>
          <w:color w:val="000000"/>
          <w:szCs w:val="24"/>
        </w:rPr>
        <w:t xml:space="preserve"> or </w:t>
      </w:r>
      <w:r w:rsidR="00D013D7" w:rsidRPr="0013396E">
        <w:rPr>
          <w:color w:val="000000"/>
          <w:szCs w:val="24"/>
        </w:rPr>
        <w:t>Fuel Oil Price (</w:t>
      </w:r>
      <w:r w:rsidRPr="0013396E">
        <w:rPr>
          <w:color w:val="000000"/>
          <w:szCs w:val="24"/>
        </w:rPr>
        <w:t>FOP</w:t>
      </w:r>
      <w:r w:rsidR="00D013D7" w:rsidRPr="0013396E">
        <w:rPr>
          <w:color w:val="000000"/>
          <w:szCs w:val="24"/>
        </w:rPr>
        <w:t>)</w:t>
      </w:r>
      <w:r w:rsidRPr="0013396E">
        <w:rPr>
          <w:color w:val="000000"/>
          <w:szCs w:val="24"/>
        </w:rPr>
        <w:t xml:space="preserve"> fuel prices for the Operating Day when the Resource tripped Off-Line.</w:t>
      </w:r>
    </w:p>
    <w:p w14:paraId="7CC216F4" w14:textId="77777777" w:rsidR="00B6651E" w:rsidRPr="0013396E" w:rsidRDefault="00B6651E" w:rsidP="00B6651E">
      <w:pPr>
        <w:spacing w:after="240"/>
        <w:ind w:left="720" w:hanging="720"/>
        <w:rPr>
          <w:color w:val="000000"/>
          <w:szCs w:val="24"/>
        </w:rPr>
      </w:pPr>
      <w:r w:rsidRPr="0013396E">
        <w:rPr>
          <w:color w:val="000000"/>
          <w:szCs w:val="24"/>
        </w:rPr>
        <w:t>(7)</w:t>
      </w:r>
      <w:r w:rsidRPr="0013396E">
        <w:rPr>
          <w:color w:val="000000"/>
          <w:szCs w:val="24"/>
        </w:rPr>
        <w:tab/>
        <w:t xml:space="preserve">The Constraint Management Plan Cost Recovery Payment shall be calculated for the period described in paragraph (4) above as follows:  </w:t>
      </w:r>
    </w:p>
    <w:p w14:paraId="3CF79955" w14:textId="79762E73" w:rsidR="00B6651E" w:rsidRPr="0013396E" w:rsidRDefault="00B6651E" w:rsidP="00B6651E">
      <w:pPr>
        <w:spacing w:after="240"/>
        <w:ind w:left="2160" w:hanging="1440"/>
        <w:rPr>
          <w:b/>
          <w:bCs/>
          <w:color w:val="000000"/>
          <w:szCs w:val="24"/>
        </w:rPr>
      </w:pPr>
      <w:r w:rsidRPr="0013396E">
        <w:rPr>
          <w:b/>
          <w:bCs/>
          <w:color w:val="000000"/>
          <w:szCs w:val="24"/>
        </w:rPr>
        <w:t>CMPCRAMT</w:t>
      </w:r>
      <w:r w:rsidRPr="0013396E">
        <w:rPr>
          <w:b/>
          <w:bCs/>
          <w:i/>
          <w:iCs/>
          <w:kern w:val="2"/>
          <w:sz w:val="20"/>
          <w:szCs w:val="24"/>
          <w:vertAlign w:val="subscript"/>
        </w:rPr>
        <w:t xml:space="preserve"> q, r, p, i</w:t>
      </w:r>
      <w:r w:rsidRPr="0013396E">
        <w:rPr>
          <w:b/>
          <w:bCs/>
          <w:color w:val="000000"/>
          <w:szCs w:val="24"/>
        </w:rPr>
        <w:t xml:space="preserve"> = (-1) * (</w:t>
      </w:r>
      <w:r w:rsidRPr="0013396E">
        <w:rPr>
          <w:b/>
          <w:bCs/>
          <w:szCs w:val="24"/>
        </w:rPr>
        <w:t xml:space="preserve">CMPFALA </w:t>
      </w:r>
      <w:r w:rsidRPr="0013396E">
        <w:rPr>
          <w:b/>
          <w:bCs/>
          <w:i/>
          <w:iCs/>
          <w:kern w:val="2"/>
          <w:sz w:val="20"/>
          <w:szCs w:val="24"/>
          <w:vertAlign w:val="subscript"/>
        </w:rPr>
        <w:t>q, r, p, i</w:t>
      </w:r>
      <w:r w:rsidRPr="0013396E">
        <w:rPr>
          <w:b/>
          <w:bCs/>
          <w:i/>
          <w:iCs/>
          <w:color w:val="000000"/>
          <w:szCs w:val="24"/>
          <w:vertAlign w:val="subscript"/>
        </w:rPr>
        <w:t xml:space="preserve"> </w:t>
      </w:r>
      <w:r w:rsidRPr="0013396E">
        <w:rPr>
          <w:b/>
          <w:bCs/>
          <w:color w:val="000000"/>
          <w:szCs w:val="24"/>
        </w:rPr>
        <w:t xml:space="preserve">+ </w:t>
      </w:r>
      <w:r w:rsidRPr="0013396E">
        <w:rPr>
          <w:b/>
          <w:bCs/>
          <w:szCs w:val="24"/>
        </w:rPr>
        <w:t xml:space="preserve">CMPRALA </w:t>
      </w:r>
      <w:r w:rsidRPr="0013396E">
        <w:rPr>
          <w:b/>
          <w:bCs/>
          <w:i/>
          <w:iCs/>
          <w:kern w:val="2"/>
          <w:sz w:val="20"/>
          <w:szCs w:val="24"/>
          <w:vertAlign w:val="subscript"/>
        </w:rPr>
        <w:t>q, r, p, i</w:t>
      </w:r>
      <w:r w:rsidRPr="0013396E" w:rsidDel="00613720">
        <w:rPr>
          <w:b/>
          <w:bCs/>
          <w:i/>
          <w:iCs/>
          <w:color w:val="000000"/>
          <w:szCs w:val="24"/>
          <w:vertAlign w:val="subscript"/>
        </w:rPr>
        <w:t xml:space="preserve"> </w:t>
      </w:r>
      <w:r w:rsidRPr="0013396E">
        <w:rPr>
          <w:b/>
          <w:bCs/>
          <w:color w:val="000000"/>
          <w:szCs w:val="24"/>
        </w:rPr>
        <w:t>+ CMPSUPR</w:t>
      </w:r>
      <w:r w:rsidRPr="0013396E">
        <w:rPr>
          <w:b/>
          <w:bCs/>
          <w:color w:val="000000"/>
          <w:szCs w:val="24"/>
          <w:vertAlign w:val="subscript"/>
        </w:rPr>
        <w:t xml:space="preserve"> </w:t>
      </w:r>
      <w:r w:rsidRPr="0013396E">
        <w:rPr>
          <w:b/>
          <w:bCs/>
          <w:i/>
          <w:iCs/>
          <w:kern w:val="2"/>
          <w:sz w:val="20"/>
          <w:szCs w:val="24"/>
          <w:vertAlign w:val="subscript"/>
        </w:rPr>
        <w:t>q, r, p, i</w:t>
      </w:r>
      <w:r w:rsidRPr="0013396E">
        <w:rPr>
          <w:b/>
          <w:bCs/>
          <w:color w:val="000000"/>
          <w:szCs w:val="24"/>
        </w:rPr>
        <w:t>)</w:t>
      </w:r>
    </w:p>
    <w:p w14:paraId="01C2341D" w14:textId="77777777" w:rsidR="00B6651E" w:rsidRPr="0013396E" w:rsidRDefault="00B6651E" w:rsidP="00494238">
      <w:pPr>
        <w:tabs>
          <w:tab w:val="left" w:pos="1440"/>
          <w:tab w:val="left" w:pos="2340"/>
        </w:tabs>
        <w:spacing w:after="240"/>
        <w:ind w:left="3420" w:hanging="2700"/>
        <w:rPr>
          <w:szCs w:val="24"/>
          <w:lang w:val="pt-BR"/>
        </w:rPr>
      </w:pPr>
      <w:r w:rsidRPr="0013396E">
        <w:rPr>
          <w:szCs w:val="24"/>
          <w:lang w:val="pt-BR"/>
        </w:rPr>
        <w:t xml:space="preserve">Where: </w:t>
      </w:r>
    </w:p>
    <w:p w14:paraId="1255F509" w14:textId="48380F3A" w:rsidR="00B6651E" w:rsidRPr="0013396E" w:rsidRDefault="00B6651E" w:rsidP="00494238">
      <w:pPr>
        <w:tabs>
          <w:tab w:val="left" w:pos="1440"/>
          <w:tab w:val="left" w:pos="2340"/>
        </w:tabs>
        <w:spacing w:after="240"/>
        <w:ind w:left="3420" w:hanging="2700"/>
        <w:rPr>
          <w:szCs w:val="24"/>
          <w:lang w:val="pt-BR"/>
        </w:rPr>
      </w:pPr>
      <w:r w:rsidRPr="0013396E">
        <w:rPr>
          <w:szCs w:val="24"/>
          <w:lang w:val="pt-BR"/>
        </w:rPr>
        <w:t xml:space="preserve">CMPFALA </w:t>
      </w:r>
      <w:r w:rsidRPr="0013396E">
        <w:rPr>
          <w:i/>
          <w:iCs/>
          <w:kern w:val="2"/>
          <w:sz w:val="20"/>
          <w:szCs w:val="24"/>
          <w:vertAlign w:val="subscript"/>
          <w:lang w:val="pt-BR"/>
        </w:rPr>
        <w:t>q, r, p, i</w:t>
      </w:r>
      <w:r w:rsidRPr="0013396E">
        <w:rPr>
          <w:i/>
          <w:szCs w:val="24"/>
          <w:vertAlign w:val="subscript"/>
          <w:lang w:val="pt-BR"/>
        </w:rPr>
        <w:t xml:space="preserve"> </w:t>
      </w:r>
      <w:r w:rsidRPr="0013396E">
        <w:rPr>
          <w:szCs w:val="24"/>
          <w:lang w:val="pt-BR"/>
        </w:rPr>
        <w:t xml:space="preserve">= Min (CMPFAL </w:t>
      </w:r>
      <w:r w:rsidRPr="0013396E">
        <w:rPr>
          <w:i/>
          <w:iCs/>
          <w:kern w:val="2"/>
          <w:sz w:val="20"/>
          <w:szCs w:val="24"/>
          <w:vertAlign w:val="subscript"/>
          <w:lang w:val="pt-BR"/>
        </w:rPr>
        <w:t>q, r, p, i</w:t>
      </w:r>
      <w:r w:rsidRPr="0013396E">
        <w:rPr>
          <w:i/>
          <w:iCs/>
          <w:sz w:val="20"/>
          <w:vertAlign w:val="subscript"/>
          <w:lang w:val="pt-BR"/>
        </w:rPr>
        <w:t>,</w:t>
      </w:r>
      <w:r w:rsidRPr="0013396E">
        <w:rPr>
          <w:szCs w:val="24"/>
          <w:lang w:val="pt-BR"/>
        </w:rPr>
        <w:t xml:space="preserve"> Max (0, (RTSPP </w:t>
      </w:r>
      <w:r w:rsidRPr="0013396E">
        <w:rPr>
          <w:i/>
          <w:iCs/>
          <w:kern w:val="2"/>
          <w:sz w:val="20"/>
          <w:szCs w:val="24"/>
          <w:vertAlign w:val="subscript"/>
          <w:lang w:val="pt-BR"/>
        </w:rPr>
        <w:t>p, i</w:t>
      </w:r>
      <w:r w:rsidRPr="0013396E" w:rsidDel="00613720">
        <w:rPr>
          <w:i/>
          <w:szCs w:val="24"/>
          <w:vertAlign w:val="subscript"/>
          <w:lang w:val="pt-BR"/>
        </w:rPr>
        <w:t xml:space="preserve"> </w:t>
      </w:r>
      <w:r w:rsidRPr="0013396E">
        <w:rPr>
          <w:szCs w:val="24"/>
          <w:lang w:val="pt-BR"/>
        </w:rPr>
        <w:t>– RTRSVPOR</w:t>
      </w:r>
      <w:r w:rsidRPr="0013396E">
        <w:rPr>
          <w:i/>
          <w:szCs w:val="24"/>
          <w:vertAlign w:val="subscript"/>
          <w:lang w:val="pt-BR"/>
        </w:rPr>
        <w:t xml:space="preserve"> </w:t>
      </w:r>
      <w:r w:rsidRPr="0013396E">
        <w:rPr>
          <w:i/>
          <w:iCs/>
          <w:kern w:val="2"/>
          <w:sz w:val="20"/>
          <w:szCs w:val="24"/>
          <w:vertAlign w:val="subscript"/>
          <w:lang w:val="pt-BR"/>
        </w:rPr>
        <w:t>i</w:t>
      </w:r>
      <w:r w:rsidRPr="0013396E" w:rsidDel="00613720">
        <w:rPr>
          <w:i/>
          <w:szCs w:val="24"/>
          <w:vertAlign w:val="subscript"/>
          <w:lang w:val="pt-BR"/>
        </w:rPr>
        <w:t xml:space="preserve"> </w:t>
      </w:r>
      <w:r w:rsidRPr="0013396E">
        <w:rPr>
          <w:szCs w:val="24"/>
          <w:lang w:val="pt-BR"/>
        </w:rPr>
        <w:t>– RTRDP</w:t>
      </w:r>
      <w:r w:rsidRPr="0013396E">
        <w:rPr>
          <w:i/>
          <w:szCs w:val="24"/>
          <w:vertAlign w:val="subscript"/>
          <w:lang w:val="pt-BR"/>
        </w:rPr>
        <w:t xml:space="preserve"> </w:t>
      </w:r>
      <w:r w:rsidRPr="0013396E">
        <w:rPr>
          <w:i/>
          <w:iCs/>
          <w:kern w:val="2"/>
          <w:sz w:val="20"/>
          <w:szCs w:val="24"/>
          <w:vertAlign w:val="subscript"/>
          <w:lang w:val="pt-BR"/>
        </w:rPr>
        <w:t>i</w:t>
      </w:r>
      <w:r w:rsidRPr="0013396E" w:rsidDel="00613720">
        <w:rPr>
          <w:i/>
          <w:szCs w:val="24"/>
          <w:vertAlign w:val="subscript"/>
          <w:lang w:val="pt-BR"/>
        </w:rPr>
        <w:t xml:space="preserve"> </w:t>
      </w:r>
      <w:r w:rsidRPr="0013396E">
        <w:rPr>
          <w:szCs w:val="24"/>
          <w:lang w:val="pt-BR"/>
        </w:rPr>
        <w:t xml:space="preserve">– RTEOCOST </w:t>
      </w:r>
      <w:r w:rsidRPr="0013396E">
        <w:rPr>
          <w:i/>
          <w:iCs/>
          <w:kern w:val="2"/>
          <w:sz w:val="20"/>
          <w:szCs w:val="24"/>
          <w:vertAlign w:val="subscript"/>
          <w:lang w:val="pt-BR"/>
        </w:rPr>
        <w:t>q, r, p, i</w:t>
      </w:r>
      <w:r w:rsidRPr="0013396E">
        <w:rPr>
          <w:szCs w:val="24"/>
          <w:lang w:val="pt-BR"/>
        </w:rPr>
        <w:t>) * (1/4) * CMPHSL</w:t>
      </w:r>
      <w:r w:rsidRPr="0013396E">
        <w:rPr>
          <w:i/>
          <w:szCs w:val="24"/>
          <w:vertAlign w:val="subscript"/>
          <w:lang w:val="pt-BR"/>
        </w:rPr>
        <w:t xml:space="preserve"> </w:t>
      </w:r>
      <w:r w:rsidRPr="0013396E">
        <w:rPr>
          <w:i/>
          <w:iCs/>
          <w:kern w:val="2"/>
          <w:sz w:val="20"/>
          <w:szCs w:val="24"/>
          <w:vertAlign w:val="subscript"/>
          <w:lang w:val="pt-BR"/>
        </w:rPr>
        <w:t>q, r, p, h</w:t>
      </w:r>
      <w:r w:rsidRPr="0013396E">
        <w:rPr>
          <w:szCs w:val="24"/>
          <w:lang w:val="pt-BR"/>
        </w:rPr>
        <w:t>))</w:t>
      </w:r>
    </w:p>
    <w:p w14:paraId="06A60C1A" w14:textId="77777777" w:rsidR="00B6651E" w:rsidRPr="0013396E" w:rsidRDefault="00B6651E" w:rsidP="00494238">
      <w:pPr>
        <w:tabs>
          <w:tab w:val="left" w:pos="1440"/>
          <w:tab w:val="left" w:pos="2340"/>
        </w:tabs>
        <w:spacing w:after="240"/>
        <w:ind w:left="3420" w:hanging="2700"/>
        <w:rPr>
          <w:szCs w:val="24"/>
        </w:rPr>
      </w:pPr>
      <w:r w:rsidRPr="0013396E">
        <w:rPr>
          <w:szCs w:val="24"/>
        </w:rPr>
        <w:lastRenderedPageBreak/>
        <w:t xml:space="preserve">And, </w:t>
      </w:r>
    </w:p>
    <w:p w14:paraId="2B2B03E9" w14:textId="77777777" w:rsidR="00B6651E" w:rsidRPr="0013396E" w:rsidRDefault="00B6651E" w:rsidP="00494238">
      <w:pPr>
        <w:tabs>
          <w:tab w:val="left" w:pos="1440"/>
          <w:tab w:val="left" w:pos="2340"/>
        </w:tabs>
        <w:spacing w:after="240"/>
        <w:ind w:left="720"/>
        <w:rPr>
          <w:color w:val="000000"/>
          <w:szCs w:val="24"/>
        </w:rPr>
      </w:pPr>
      <w:r w:rsidRPr="0013396E">
        <w:rPr>
          <w:color w:val="000000"/>
          <w:szCs w:val="24"/>
        </w:rPr>
        <w:t>Where the repair costs are allocated equally over the intervals corresponding to the period determined in paragraph (4) above:</w:t>
      </w:r>
    </w:p>
    <w:p w14:paraId="2C41B98B" w14:textId="03E5855C" w:rsidR="00B6651E" w:rsidRPr="0013396E" w:rsidRDefault="00B6651E" w:rsidP="00494238">
      <w:pPr>
        <w:tabs>
          <w:tab w:val="left" w:pos="1440"/>
          <w:tab w:val="left" w:pos="2340"/>
        </w:tabs>
        <w:spacing w:after="240"/>
        <w:ind w:left="3420" w:hanging="2700"/>
        <w:rPr>
          <w:szCs w:val="24"/>
        </w:rPr>
      </w:pPr>
      <w:r w:rsidRPr="0013396E">
        <w:rPr>
          <w:szCs w:val="24"/>
        </w:rPr>
        <w:t xml:space="preserve">CMPRALA </w:t>
      </w:r>
      <w:r w:rsidRPr="0013396E">
        <w:rPr>
          <w:i/>
          <w:iCs/>
          <w:kern w:val="2"/>
          <w:sz w:val="20"/>
          <w:szCs w:val="24"/>
          <w:vertAlign w:val="subscript"/>
        </w:rPr>
        <w:t>q, r, p, i</w:t>
      </w:r>
      <w:r w:rsidRPr="0013396E">
        <w:rPr>
          <w:i/>
          <w:szCs w:val="24"/>
          <w:vertAlign w:val="subscript"/>
        </w:rPr>
        <w:t xml:space="preserve"> </w:t>
      </w:r>
      <w:r w:rsidRPr="0013396E">
        <w:rPr>
          <w:szCs w:val="24"/>
          <w:lang w:val="pt-BR"/>
        </w:rPr>
        <w:t xml:space="preserve">= </w:t>
      </w:r>
      <w:r w:rsidRPr="0013396E">
        <w:rPr>
          <w:szCs w:val="24"/>
        </w:rPr>
        <w:t>Min ($500,000</w:t>
      </w:r>
      <w:r w:rsidRPr="0013396E">
        <w:rPr>
          <w:i/>
          <w:iCs/>
          <w:szCs w:val="24"/>
        </w:rPr>
        <w:t xml:space="preserve">, </w:t>
      </w:r>
      <w:r w:rsidRPr="0013396E">
        <w:rPr>
          <w:szCs w:val="24"/>
        </w:rPr>
        <w:t xml:space="preserve">CMPRAL </w:t>
      </w:r>
      <w:r w:rsidRPr="0013396E">
        <w:rPr>
          <w:i/>
          <w:iCs/>
          <w:kern w:val="2"/>
          <w:sz w:val="20"/>
          <w:szCs w:val="24"/>
          <w:vertAlign w:val="subscript"/>
        </w:rPr>
        <w:t>q, r, p</w:t>
      </w:r>
      <w:r w:rsidRPr="0013396E">
        <w:rPr>
          <w:szCs w:val="24"/>
        </w:rPr>
        <w:t>) / Total number of intervals in CMP period</w:t>
      </w:r>
    </w:p>
    <w:p w14:paraId="7077D04D" w14:textId="77777777" w:rsidR="00B6651E" w:rsidRPr="0013396E" w:rsidRDefault="00B6651E" w:rsidP="00494238">
      <w:pPr>
        <w:tabs>
          <w:tab w:val="left" w:pos="1440"/>
          <w:tab w:val="left" w:pos="2340"/>
        </w:tabs>
        <w:spacing w:after="240"/>
        <w:ind w:left="3420" w:hanging="2700"/>
        <w:rPr>
          <w:szCs w:val="24"/>
        </w:rPr>
      </w:pPr>
      <w:r w:rsidRPr="0013396E">
        <w:rPr>
          <w:szCs w:val="24"/>
        </w:rPr>
        <w:t xml:space="preserve">And, </w:t>
      </w:r>
    </w:p>
    <w:p w14:paraId="3F7F0CC3" w14:textId="0867D879" w:rsidR="00B6651E" w:rsidRPr="0013396E" w:rsidRDefault="00B6651E" w:rsidP="00494238">
      <w:pPr>
        <w:tabs>
          <w:tab w:val="left" w:pos="1440"/>
          <w:tab w:val="left" w:pos="2340"/>
        </w:tabs>
        <w:spacing w:after="240"/>
        <w:ind w:left="720"/>
        <w:rPr>
          <w:color w:val="000000"/>
          <w:szCs w:val="24"/>
        </w:rPr>
      </w:pPr>
      <w:r w:rsidRPr="0013396E">
        <w:rPr>
          <w:color w:val="000000"/>
          <w:szCs w:val="24"/>
        </w:rPr>
        <w:t xml:space="preserve">Where on the first Operating Day of the period determined in paragraph (4) above, a cold </w:t>
      </w:r>
      <w:r w:rsidR="00494238" w:rsidRPr="0013396E">
        <w:rPr>
          <w:color w:val="000000"/>
          <w:szCs w:val="24"/>
        </w:rPr>
        <w:t>S</w:t>
      </w:r>
      <w:r w:rsidRPr="0013396E">
        <w:rPr>
          <w:color w:val="000000"/>
          <w:szCs w:val="24"/>
        </w:rPr>
        <w:t xml:space="preserve">tartup </w:t>
      </w:r>
      <w:r w:rsidR="00494238" w:rsidRPr="0013396E">
        <w:rPr>
          <w:color w:val="000000"/>
          <w:szCs w:val="24"/>
        </w:rPr>
        <w:t>C</w:t>
      </w:r>
      <w:r w:rsidRPr="0013396E">
        <w:rPr>
          <w:color w:val="000000"/>
          <w:szCs w:val="24"/>
        </w:rPr>
        <w:t xml:space="preserve">ost is allocated evenly across the CMP event intervals.  Subsequent Operating Days in the CMP event will not have </w:t>
      </w:r>
      <w:r w:rsidR="00494238" w:rsidRPr="0013396E">
        <w:rPr>
          <w:color w:val="000000"/>
          <w:szCs w:val="24"/>
        </w:rPr>
        <w:t>S</w:t>
      </w:r>
      <w:r w:rsidRPr="0013396E">
        <w:rPr>
          <w:color w:val="000000"/>
          <w:szCs w:val="24"/>
        </w:rPr>
        <w:t xml:space="preserve">tartup </w:t>
      </w:r>
      <w:r w:rsidR="00494238" w:rsidRPr="0013396E">
        <w:rPr>
          <w:color w:val="000000"/>
          <w:szCs w:val="24"/>
        </w:rPr>
        <w:t>C</w:t>
      </w:r>
      <w:r w:rsidRPr="0013396E">
        <w:rPr>
          <w:color w:val="000000"/>
          <w:szCs w:val="24"/>
        </w:rPr>
        <w:t>ost allocations.</w:t>
      </w:r>
    </w:p>
    <w:p w14:paraId="0819792C" w14:textId="249C7C70" w:rsidR="00B6651E" w:rsidRPr="0013396E" w:rsidRDefault="00B6651E" w:rsidP="00494238">
      <w:pPr>
        <w:tabs>
          <w:tab w:val="left" w:pos="1440"/>
          <w:tab w:val="left" w:pos="2340"/>
        </w:tabs>
        <w:spacing w:after="240"/>
        <w:ind w:left="3420" w:hanging="2700"/>
        <w:rPr>
          <w:szCs w:val="24"/>
        </w:rPr>
      </w:pPr>
      <w:r w:rsidRPr="0013396E">
        <w:rPr>
          <w:szCs w:val="24"/>
        </w:rPr>
        <w:t xml:space="preserve">CMPSUPR </w:t>
      </w:r>
      <w:r w:rsidRPr="0013396E">
        <w:rPr>
          <w:i/>
          <w:iCs/>
          <w:kern w:val="2"/>
          <w:sz w:val="20"/>
          <w:szCs w:val="24"/>
          <w:vertAlign w:val="subscript"/>
        </w:rPr>
        <w:t>q, r, p, i</w:t>
      </w:r>
      <w:r w:rsidRPr="0013396E">
        <w:rPr>
          <w:kern w:val="2"/>
          <w:sz w:val="20"/>
          <w:szCs w:val="24"/>
        </w:rPr>
        <w:t xml:space="preserve"> </w:t>
      </w:r>
      <w:r w:rsidRPr="0013396E">
        <w:rPr>
          <w:szCs w:val="24"/>
          <w:lang w:val="pt-BR"/>
        </w:rPr>
        <w:t xml:space="preserve">= </w:t>
      </w:r>
      <w:r w:rsidRPr="0013396E">
        <w:rPr>
          <w:szCs w:val="24"/>
        </w:rPr>
        <w:t>CMPSUCAP</w:t>
      </w:r>
      <w:r w:rsidRPr="0013396E">
        <w:rPr>
          <w:bCs/>
          <w:iCs/>
          <w:szCs w:val="24"/>
        </w:rPr>
        <w:t xml:space="preserve"> </w:t>
      </w:r>
      <w:r w:rsidRPr="0013396E">
        <w:rPr>
          <w:bCs/>
          <w:i/>
          <w:iCs/>
          <w:kern w:val="2"/>
          <w:sz w:val="20"/>
          <w:szCs w:val="24"/>
          <w:vertAlign w:val="subscript"/>
        </w:rPr>
        <w:t>q, r, p, cold</w:t>
      </w:r>
      <w:r w:rsidRPr="0013396E">
        <w:rPr>
          <w:szCs w:val="24"/>
        </w:rPr>
        <w:t xml:space="preserve"> / Total number of CMP period intervals in the first Operating Day of the CMP event</w:t>
      </w:r>
    </w:p>
    <w:p w14:paraId="544A48C7" w14:textId="77777777" w:rsidR="00B6651E" w:rsidRPr="0013396E" w:rsidRDefault="00B6651E" w:rsidP="00B6651E">
      <w:pPr>
        <w:rPr>
          <w:color w:val="000000"/>
          <w:szCs w:val="24"/>
        </w:rPr>
      </w:pPr>
      <w:r w:rsidRPr="0013396E">
        <w:rPr>
          <w:color w:val="000000"/>
          <w:szCs w:val="24"/>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3"/>
        <w:gridCol w:w="860"/>
        <w:gridCol w:w="6627"/>
      </w:tblGrid>
      <w:tr w:rsidR="00B6651E" w:rsidRPr="0013396E" w14:paraId="0A5FCAFF" w14:textId="77777777" w:rsidTr="00E844EE">
        <w:trPr>
          <w:cantSplit/>
          <w:trHeight w:val="146"/>
          <w:tblHeader/>
        </w:trPr>
        <w:tc>
          <w:tcPr>
            <w:tcW w:w="996" w:type="pct"/>
            <w:tcBorders>
              <w:top w:val="single" w:sz="4" w:space="0" w:color="auto"/>
              <w:left w:val="single" w:sz="4" w:space="0" w:color="auto"/>
              <w:bottom w:val="single" w:sz="4" w:space="0" w:color="auto"/>
              <w:right w:val="single" w:sz="4" w:space="0" w:color="auto"/>
            </w:tcBorders>
            <w:hideMark/>
          </w:tcPr>
          <w:p w14:paraId="40D6D22F" w14:textId="77777777" w:rsidR="00B6651E" w:rsidRPr="0013396E" w:rsidRDefault="00B6651E" w:rsidP="00494238">
            <w:pPr>
              <w:spacing w:after="240"/>
              <w:rPr>
                <w:b/>
                <w:iCs/>
                <w:kern w:val="2"/>
                <w:sz w:val="20"/>
                <w:szCs w:val="24"/>
              </w:rPr>
            </w:pPr>
            <w:r w:rsidRPr="0013396E">
              <w:rPr>
                <w:b/>
                <w:iCs/>
                <w:kern w:val="2"/>
                <w:sz w:val="20"/>
                <w:szCs w:val="24"/>
              </w:rPr>
              <w:t>Variable</w:t>
            </w:r>
          </w:p>
        </w:tc>
        <w:tc>
          <w:tcPr>
            <w:tcW w:w="460" w:type="pct"/>
            <w:tcBorders>
              <w:top w:val="single" w:sz="4" w:space="0" w:color="auto"/>
              <w:left w:val="single" w:sz="4" w:space="0" w:color="auto"/>
              <w:bottom w:val="single" w:sz="4" w:space="0" w:color="auto"/>
              <w:right w:val="single" w:sz="4" w:space="0" w:color="auto"/>
            </w:tcBorders>
            <w:hideMark/>
          </w:tcPr>
          <w:p w14:paraId="0C4A3164" w14:textId="77777777" w:rsidR="00B6651E" w:rsidRPr="0013396E" w:rsidRDefault="00B6651E" w:rsidP="00494238">
            <w:pPr>
              <w:spacing w:after="240"/>
              <w:rPr>
                <w:b/>
                <w:iCs/>
                <w:kern w:val="2"/>
                <w:sz w:val="20"/>
                <w:szCs w:val="24"/>
              </w:rPr>
            </w:pPr>
            <w:r w:rsidRPr="0013396E">
              <w:rPr>
                <w:b/>
                <w:iCs/>
                <w:kern w:val="2"/>
                <w:sz w:val="20"/>
                <w:szCs w:val="24"/>
              </w:rPr>
              <w:t>Unit</w:t>
            </w:r>
          </w:p>
        </w:tc>
        <w:tc>
          <w:tcPr>
            <w:tcW w:w="3544" w:type="pct"/>
            <w:tcBorders>
              <w:top w:val="single" w:sz="4" w:space="0" w:color="auto"/>
              <w:left w:val="single" w:sz="4" w:space="0" w:color="auto"/>
              <w:bottom w:val="single" w:sz="4" w:space="0" w:color="auto"/>
              <w:right w:val="single" w:sz="4" w:space="0" w:color="auto"/>
            </w:tcBorders>
            <w:hideMark/>
          </w:tcPr>
          <w:p w14:paraId="1555746A" w14:textId="77777777" w:rsidR="00B6651E" w:rsidRPr="0013396E" w:rsidRDefault="00B6651E" w:rsidP="00494238">
            <w:pPr>
              <w:spacing w:after="240"/>
              <w:rPr>
                <w:b/>
                <w:iCs/>
                <w:kern w:val="2"/>
                <w:sz w:val="20"/>
                <w:szCs w:val="24"/>
              </w:rPr>
            </w:pPr>
            <w:r w:rsidRPr="0013396E">
              <w:rPr>
                <w:b/>
                <w:iCs/>
                <w:kern w:val="2"/>
                <w:sz w:val="20"/>
                <w:szCs w:val="24"/>
              </w:rPr>
              <w:t>Definition</w:t>
            </w:r>
          </w:p>
        </w:tc>
      </w:tr>
      <w:tr w:rsidR="00B6651E" w:rsidRPr="0013396E" w14:paraId="5A6E8231" w14:textId="77777777" w:rsidTr="00E844EE">
        <w:trPr>
          <w:cantSplit/>
          <w:trHeight w:val="146"/>
        </w:trPr>
        <w:tc>
          <w:tcPr>
            <w:tcW w:w="996" w:type="pct"/>
            <w:tcBorders>
              <w:top w:val="single" w:sz="4" w:space="0" w:color="auto"/>
              <w:left w:val="single" w:sz="4" w:space="0" w:color="auto"/>
              <w:bottom w:val="single" w:sz="4" w:space="0" w:color="auto"/>
              <w:right w:val="single" w:sz="4" w:space="0" w:color="auto"/>
            </w:tcBorders>
          </w:tcPr>
          <w:p w14:paraId="17FB4CDD" w14:textId="77777777" w:rsidR="00B6651E" w:rsidRPr="0013396E" w:rsidRDefault="00B6651E" w:rsidP="00494238">
            <w:pPr>
              <w:spacing w:after="60"/>
              <w:rPr>
                <w:iCs/>
                <w:kern w:val="2"/>
                <w:sz w:val="20"/>
                <w:szCs w:val="24"/>
              </w:rPr>
            </w:pPr>
            <w:r w:rsidRPr="0013396E">
              <w:rPr>
                <w:iCs/>
                <w:kern w:val="2"/>
                <w:sz w:val="20"/>
                <w:szCs w:val="24"/>
              </w:rPr>
              <w:t>CMPCRAMT</w:t>
            </w:r>
            <w:r w:rsidRPr="0013396E">
              <w:rPr>
                <w:bCs/>
                <w:i/>
                <w:iCs/>
                <w:kern w:val="2"/>
                <w:sz w:val="20"/>
                <w:szCs w:val="24"/>
                <w:vertAlign w:val="subscript"/>
              </w:rPr>
              <w:t xml:space="preserve"> q, r, p, i</w:t>
            </w:r>
          </w:p>
        </w:tc>
        <w:tc>
          <w:tcPr>
            <w:tcW w:w="460" w:type="pct"/>
            <w:tcBorders>
              <w:top w:val="single" w:sz="4" w:space="0" w:color="auto"/>
              <w:left w:val="single" w:sz="4" w:space="0" w:color="auto"/>
              <w:bottom w:val="single" w:sz="4" w:space="0" w:color="auto"/>
              <w:right w:val="single" w:sz="4" w:space="0" w:color="auto"/>
            </w:tcBorders>
          </w:tcPr>
          <w:p w14:paraId="1EC084EB" w14:textId="77777777" w:rsidR="00B6651E" w:rsidRPr="0013396E" w:rsidRDefault="00B6651E" w:rsidP="00494238">
            <w:pPr>
              <w:spacing w:after="60"/>
              <w:rPr>
                <w:iCs/>
                <w:kern w:val="2"/>
                <w:sz w:val="20"/>
                <w:szCs w:val="24"/>
              </w:rPr>
            </w:pPr>
            <w:r w:rsidRPr="0013396E">
              <w:rPr>
                <w:szCs w:val="24"/>
              </w:rPr>
              <w:t>$</w:t>
            </w:r>
          </w:p>
        </w:tc>
        <w:tc>
          <w:tcPr>
            <w:tcW w:w="3544" w:type="pct"/>
            <w:tcBorders>
              <w:top w:val="single" w:sz="4" w:space="0" w:color="auto"/>
              <w:left w:val="single" w:sz="4" w:space="0" w:color="auto"/>
              <w:bottom w:val="single" w:sz="4" w:space="0" w:color="auto"/>
              <w:right w:val="single" w:sz="4" w:space="0" w:color="auto"/>
            </w:tcBorders>
          </w:tcPr>
          <w:p w14:paraId="5AB7DB8C" w14:textId="18FA64AE" w:rsidR="00B6651E" w:rsidRPr="0013396E" w:rsidRDefault="00B6651E" w:rsidP="00494238">
            <w:pPr>
              <w:spacing w:after="60"/>
              <w:rPr>
                <w:i/>
                <w:iCs/>
                <w:kern w:val="2"/>
                <w:sz w:val="20"/>
                <w:szCs w:val="24"/>
              </w:rPr>
            </w:pPr>
            <w:r w:rsidRPr="0013396E">
              <w:rPr>
                <w:i/>
                <w:iCs/>
                <w:kern w:val="2"/>
                <w:sz w:val="20"/>
              </w:rPr>
              <w:t>Constraint Management Plan Cost Recovery Amount</w:t>
            </w:r>
            <w:r w:rsidRPr="0013396E">
              <w:rPr>
                <w:szCs w:val="24"/>
              </w:rPr>
              <w:t xml:space="preserve"> </w:t>
            </w:r>
            <w:r w:rsidRPr="0013396E">
              <w:rPr>
                <w:i/>
                <w:iCs/>
                <w:sz w:val="20"/>
              </w:rPr>
              <w:t>per QSE per Generation Resource</w:t>
            </w:r>
            <w:r w:rsidRPr="0013396E">
              <w:rPr>
                <w:sz w:val="20"/>
              </w:rPr>
              <w:t xml:space="preserve">—The payment to QSE </w:t>
            </w:r>
            <w:r w:rsidRPr="0013396E">
              <w:rPr>
                <w:i/>
                <w:iCs/>
                <w:sz w:val="20"/>
              </w:rPr>
              <w:t>q</w:t>
            </w:r>
            <w:r w:rsidRPr="0013396E">
              <w:rPr>
                <w:sz w:val="20"/>
              </w:rPr>
              <w:t xml:space="preserve"> during eligible intervals of a Resource</w:t>
            </w:r>
            <w:r w:rsidR="00891503" w:rsidRPr="0013396E">
              <w:rPr>
                <w:sz w:val="20"/>
              </w:rPr>
              <w:t xml:space="preserve"> </w:t>
            </w:r>
            <w:r w:rsidRPr="0013396E">
              <w:rPr>
                <w:sz w:val="20"/>
              </w:rPr>
              <w:t xml:space="preserve">trip offline from an </w:t>
            </w:r>
            <w:r w:rsidRPr="0013396E">
              <w:rPr>
                <w:iCs/>
                <w:kern w:val="2"/>
                <w:sz w:val="20"/>
                <w:szCs w:val="24"/>
              </w:rPr>
              <w:t>ERCOT-issued</w:t>
            </w:r>
            <w:r w:rsidRPr="0013396E">
              <w:rPr>
                <w:sz w:val="20"/>
              </w:rPr>
              <w:t xml:space="preserve"> CMP unit trip or equivalent VDI for Resource </w:t>
            </w:r>
            <w:r w:rsidRPr="0013396E">
              <w:rPr>
                <w:i/>
                <w:iCs/>
                <w:sz w:val="20"/>
              </w:rPr>
              <w:t>r</w:t>
            </w:r>
            <w:r w:rsidRPr="0013396E">
              <w:rPr>
                <w:sz w:val="20"/>
              </w:rPr>
              <w:t xml:space="preserve">, at Settlement Point </w:t>
            </w:r>
            <w:r w:rsidRPr="0013396E">
              <w:rPr>
                <w:i/>
                <w:iCs/>
                <w:sz w:val="20"/>
              </w:rPr>
              <w:t>p</w:t>
            </w:r>
            <w:r w:rsidRPr="0013396E">
              <w:rPr>
                <w:sz w:val="20"/>
              </w:rPr>
              <w:t xml:space="preserve"> for the 15-minute Settlement Interval </w:t>
            </w:r>
            <w:r w:rsidRPr="0013396E">
              <w:rPr>
                <w:i/>
                <w:iCs/>
                <w:sz w:val="20"/>
              </w:rPr>
              <w:t>i</w:t>
            </w:r>
            <w:r w:rsidRPr="0013396E">
              <w:rPr>
                <w:sz w:val="20"/>
              </w:rPr>
              <w:t xml:space="preserve">.  Where, for a Combined Cycle Resource, </w:t>
            </w:r>
            <w:r w:rsidRPr="0013396E">
              <w:rPr>
                <w:i/>
                <w:iCs/>
                <w:sz w:val="20"/>
              </w:rPr>
              <w:t>r</w:t>
            </w:r>
            <w:r w:rsidRPr="0013396E">
              <w:rPr>
                <w:sz w:val="20"/>
              </w:rPr>
              <w:t xml:space="preserve"> is a Combined Cycle Train.</w:t>
            </w:r>
          </w:p>
        </w:tc>
      </w:tr>
      <w:tr w:rsidR="00B6651E" w:rsidRPr="0013396E" w14:paraId="00272005" w14:textId="77777777" w:rsidTr="00E844EE">
        <w:trPr>
          <w:cantSplit/>
          <w:trHeight w:val="146"/>
        </w:trPr>
        <w:tc>
          <w:tcPr>
            <w:tcW w:w="996" w:type="pct"/>
            <w:tcBorders>
              <w:top w:val="single" w:sz="4" w:space="0" w:color="auto"/>
              <w:left w:val="single" w:sz="4" w:space="0" w:color="auto"/>
              <w:bottom w:val="single" w:sz="4" w:space="0" w:color="auto"/>
              <w:right w:val="single" w:sz="4" w:space="0" w:color="auto"/>
            </w:tcBorders>
          </w:tcPr>
          <w:p w14:paraId="5C858710" w14:textId="77777777" w:rsidR="00B6651E" w:rsidRPr="0013396E" w:rsidRDefault="00B6651E" w:rsidP="00494238">
            <w:pPr>
              <w:spacing w:after="60"/>
              <w:rPr>
                <w:iCs/>
                <w:kern w:val="2"/>
                <w:sz w:val="20"/>
                <w:szCs w:val="24"/>
              </w:rPr>
            </w:pPr>
            <w:r w:rsidRPr="0013396E">
              <w:rPr>
                <w:iCs/>
                <w:kern w:val="2"/>
                <w:sz w:val="20"/>
                <w:szCs w:val="24"/>
              </w:rPr>
              <w:t>CMPFALA</w:t>
            </w:r>
            <w:r w:rsidRPr="0013396E">
              <w:rPr>
                <w:szCs w:val="24"/>
              </w:rPr>
              <w:t xml:space="preserve"> </w:t>
            </w:r>
            <w:r w:rsidRPr="0013396E">
              <w:rPr>
                <w:bCs/>
                <w:i/>
                <w:iCs/>
                <w:kern w:val="2"/>
                <w:sz w:val="20"/>
                <w:szCs w:val="24"/>
                <w:vertAlign w:val="subscript"/>
              </w:rPr>
              <w:t>q, r, p, i</w:t>
            </w:r>
          </w:p>
        </w:tc>
        <w:tc>
          <w:tcPr>
            <w:tcW w:w="460" w:type="pct"/>
            <w:tcBorders>
              <w:top w:val="single" w:sz="4" w:space="0" w:color="auto"/>
              <w:left w:val="single" w:sz="4" w:space="0" w:color="auto"/>
              <w:bottom w:val="single" w:sz="4" w:space="0" w:color="auto"/>
              <w:right w:val="single" w:sz="4" w:space="0" w:color="auto"/>
            </w:tcBorders>
          </w:tcPr>
          <w:p w14:paraId="099B54EC" w14:textId="77777777" w:rsidR="00B6651E" w:rsidRPr="0013396E" w:rsidRDefault="00B6651E" w:rsidP="00494238">
            <w:pPr>
              <w:spacing w:after="60"/>
              <w:rPr>
                <w:szCs w:val="24"/>
              </w:rPr>
            </w:pPr>
            <w:r w:rsidRPr="0013396E">
              <w:rPr>
                <w:szCs w:val="24"/>
              </w:rPr>
              <w:t>$</w:t>
            </w:r>
          </w:p>
        </w:tc>
        <w:tc>
          <w:tcPr>
            <w:tcW w:w="3544" w:type="pct"/>
            <w:tcBorders>
              <w:top w:val="single" w:sz="4" w:space="0" w:color="auto"/>
              <w:left w:val="single" w:sz="4" w:space="0" w:color="auto"/>
              <w:bottom w:val="single" w:sz="4" w:space="0" w:color="auto"/>
              <w:right w:val="single" w:sz="4" w:space="0" w:color="auto"/>
            </w:tcBorders>
          </w:tcPr>
          <w:p w14:paraId="271588A0" w14:textId="08B96210" w:rsidR="00B6651E" w:rsidRPr="0013396E" w:rsidRDefault="00B6651E" w:rsidP="00494238">
            <w:pPr>
              <w:spacing w:after="60"/>
              <w:rPr>
                <w:i/>
                <w:iCs/>
                <w:kern w:val="2"/>
                <w:sz w:val="20"/>
              </w:rPr>
            </w:pPr>
            <w:r w:rsidRPr="0013396E">
              <w:rPr>
                <w:i/>
                <w:iCs/>
                <w:sz w:val="20"/>
              </w:rPr>
              <w:t xml:space="preserve">Constraint Management Plan Financial </w:t>
            </w:r>
            <w:r w:rsidRPr="0013396E">
              <w:rPr>
                <w:i/>
                <w:iCs/>
                <w:kern w:val="2"/>
                <w:sz w:val="20"/>
              </w:rPr>
              <w:t>Attested Losses</w:t>
            </w:r>
            <w:r w:rsidRPr="0013396E">
              <w:rPr>
                <w:i/>
                <w:iCs/>
                <w:sz w:val="20"/>
              </w:rPr>
              <w:t xml:space="preserve"> Allowed per QSE per Generation Resource</w:t>
            </w:r>
            <w:r w:rsidRPr="0013396E">
              <w:rPr>
                <w:sz w:val="20"/>
              </w:rPr>
              <w:t>—</w:t>
            </w:r>
            <w:r w:rsidRPr="0013396E">
              <w:rPr>
                <w:iCs/>
                <w:sz w:val="20"/>
                <w:szCs w:val="24"/>
              </w:rPr>
              <w:t xml:space="preserve">The payment for financial attested losses to QSE </w:t>
            </w:r>
            <w:r w:rsidRPr="0013396E">
              <w:rPr>
                <w:i/>
                <w:iCs/>
                <w:sz w:val="20"/>
                <w:szCs w:val="24"/>
              </w:rPr>
              <w:t>q</w:t>
            </w:r>
            <w:r w:rsidRPr="0013396E">
              <w:rPr>
                <w:iCs/>
                <w:sz w:val="20"/>
                <w:szCs w:val="24"/>
              </w:rPr>
              <w:t xml:space="preserve"> for an </w:t>
            </w:r>
            <w:r w:rsidRPr="0013396E">
              <w:rPr>
                <w:iCs/>
                <w:kern w:val="2"/>
                <w:sz w:val="20"/>
                <w:szCs w:val="24"/>
              </w:rPr>
              <w:t>ERCOT-issued</w:t>
            </w:r>
            <w:r w:rsidRPr="0013396E">
              <w:rPr>
                <w:iCs/>
                <w:sz w:val="20"/>
                <w:szCs w:val="24"/>
              </w:rPr>
              <w:t xml:space="preserve"> CMP unit trip or equivalent VDI for Generation Resource </w:t>
            </w:r>
            <w:r w:rsidRPr="0013396E">
              <w:rPr>
                <w:i/>
                <w:iCs/>
                <w:sz w:val="20"/>
                <w:szCs w:val="24"/>
              </w:rPr>
              <w:t>r,</w:t>
            </w:r>
            <w:r w:rsidRPr="0013396E">
              <w:rPr>
                <w:iCs/>
                <w:sz w:val="20"/>
                <w:szCs w:val="24"/>
              </w:rPr>
              <w:t xml:space="preserve"> at Settlement Point </w:t>
            </w:r>
            <w:r w:rsidRPr="0013396E">
              <w:rPr>
                <w:i/>
                <w:iCs/>
                <w:sz w:val="20"/>
                <w:szCs w:val="24"/>
              </w:rPr>
              <w:t xml:space="preserve">p </w:t>
            </w:r>
            <w:r w:rsidRPr="0013396E">
              <w:rPr>
                <w:iCs/>
                <w:sz w:val="20"/>
                <w:szCs w:val="24"/>
              </w:rPr>
              <w:t xml:space="preserve">for the 15-minute Settlement Interval </w:t>
            </w:r>
            <w:r w:rsidRPr="0013396E">
              <w:rPr>
                <w:i/>
                <w:iCs/>
                <w:sz w:val="20"/>
                <w:szCs w:val="24"/>
              </w:rPr>
              <w:t>i</w:t>
            </w:r>
            <w:r w:rsidRPr="0013396E">
              <w:rPr>
                <w:iCs/>
                <w:sz w:val="20"/>
                <w:szCs w:val="24"/>
              </w:rPr>
              <w:t xml:space="preserve">.  Where, for a Combined Cycle Resource, </w:t>
            </w:r>
            <w:r w:rsidRPr="0013396E">
              <w:rPr>
                <w:i/>
                <w:iCs/>
                <w:sz w:val="20"/>
                <w:szCs w:val="24"/>
              </w:rPr>
              <w:t>r</w:t>
            </w:r>
            <w:r w:rsidRPr="0013396E">
              <w:rPr>
                <w:iCs/>
                <w:sz w:val="20"/>
                <w:szCs w:val="24"/>
              </w:rPr>
              <w:t xml:space="preserve"> is a Combined Cycle Train.</w:t>
            </w:r>
          </w:p>
        </w:tc>
      </w:tr>
      <w:tr w:rsidR="00B6651E" w:rsidRPr="0013396E" w14:paraId="05AABEE3" w14:textId="77777777" w:rsidTr="00E844EE">
        <w:trPr>
          <w:cantSplit/>
          <w:trHeight w:val="146"/>
        </w:trPr>
        <w:tc>
          <w:tcPr>
            <w:tcW w:w="996" w:type="pct"/>
            <w:tcBorders>
              <w:top w:val="single" w:sz="4" w:space="0" w:color="auto"/>
              <w:left w:val="single" w:sz="4" w:space="0" w:color="auto"/>
              <w:bottom w:val="single" w:sz="4" w:space="0" w:color="auto"/>
              <w:right w:val="single" w:sz="4" w:space="0" w:color="auto"/>
            </w:tcBorders>
          </w:tcPr>
          <w:p w14:paraId="780414A3" w14:textId="77777777" w:rsidR="00B6651E" w:rsidRPr="0013396E" w:rsidRDefault="00B6651E" w:rsidP="00494238">
            <w:pPr>
              <w:spacing w:after="60"/>
              <w:rPr>
                <w:iCs/>
                <w:kern w:val="2"/>
                <w:sz w:val="20"/>
                <w:szCs w:val="24"/>
              </w:rPr>
            </w:pPr>
            <w:r w:rsidRPr="0013396E">
              <w:rPr>
                <w:sz w:val="20"/>
              </w:rPr>
              <w:t>CMPFAL</w:t>
            </w:r>
            <w:r w:rsidRPr="0013396E">
              <w:rPr>
                <w:szCs w:val="24"/>
              </w:rPr>
              <w:t xml:space="preserve"> </w:t>
            </w:r>
            <w:r w:rsidRPr="0013396E">
              <w:rPr>
                <w:bCs/>
                <w:i/>
                <w:iCs/>
                <w:kern w:val="2"/>
                <w:sz w:val="20"/>
                <w:szCs w:val="24"/>
                <w:vertAlign w:val="subscript"/>
              </w:rPr>
              <w:t>q, r, p, i</w:t>
            </w:r>
          </w:p>
        </w:tc>
        <w:tc>
          <w:tcPr>
            <w:tcW w:w="460" w:type="pct"/>
            <w:tcBorders>
              <w:top w:val="single" w:sz="4" w:space="0" w:color="auto"/>
              <w:left w:val="single" w:sz="4" w:space="0" w:color="auto"/>
              <w:bottom w:val="single" w:sz="4" w:space="0" w:color="auto"/>
              <w:right w:val="single" w:sz="4" w:space="0" w:color="auto"/>
            </w:tcBorders>
          </w:tcPr>
          <w:p w14:paraId="4F98B397" w14:textId="77777777" w:rsidR="00B6651E" w:rsidRPr="0013396E" w:rsidRDefault="00B6651E" w:rsidP="00494238">
            <w:pPr>
              <w:spacing w:after="60"/>
              <w:rPr>
                <w:iCs/>
                <w:kern w:val="2"/>
                <w:sz w:val="20"/>
                <w:szCs w:val="24"/>
              </w:rPr>
            </w:pPr>
            <w:r w:rsidRPr="0013396E">
              <w:rPr>
                <w:szCs w:val="24"/>
              </w:rPr>
              <w:t>$</w:t>
            </w:r>
          </w:p>
        </w:tc>
        <w:tc>
          <w:tcPr>
            <w:tcW w:w="3544" w:type="pct"/>
            <w:tcBorders>
              <w:top w:val="single" w:sz="4" w:space="0" w:color="auto"/>
              <w:left w:val="single" w:sz="4" w:space="0" w:color="auto"/>
              <w:bottom w:val="single" w:sz="4" w:space="0" w:color="auto"/>
              <w:right w:val="single" w:sz="4" w:space="0" w:color="auto"/>
            </w:tcBorders>
          </w:tcPr>
          <w:p w14:paraId="302E922E" w14:textId="044EF758" w:rsidR="00B6651E" w:rsidRPr="0013396E" w:rsidRDefault="00B6651E" w:rsidP="00494238">
            <w:pPr>
              <w:spacing w:after="60"/>
              <w:rPr>
                <w:i/>
                <w:iCs/>
                <w:kern w:val="2"/>
                <w:sz w:val="20"/>
              </w:rPr>
            </w:pPr>
            <w:r w:rsidRPr="0013396E">
              <w:rPr>
                <w:i/>
                <w:iCs/>
                <w:kern w:val="2"/>
                <w:sz w:val="20"/>
              </w:rPr>
              <w:t>Constraint Management Plan Demonstrable Financial Attested Losses</w:t>
            </w:r>
            <w:r w:rsidRPr="0013396E">
              <w:rPr>
                <w:sz w:val="20"/>
              </w:rPr>
              <w:t xml:space="preserve">—The demonstrable financial loss to QSE </w:t>
            </w:r>
            <w:r w:rsidRPr="0013396E">
              <w:rPr>
                <w:i/>
                <w:iCs/>
                <w:sz w:val="20"/>
              </w:rPr>
              <w:t>q</w:t>
            </w:r>
            <w:r w:rsidRPr="0013396E">
              <w:rPr>
                <w:sz w:val="20"/>
              </w:rPr>
              <w:t xml:space="preserve"> for Resource </w:t>
            </w:r>
            <w:r w:rsidRPr="0013396E">
              <w:rPr>
                <w:i/>
                <w:iCs/>
                <w:sz w:val="20"/>
              </w:rPr>
              <w:t xml:space="preserve">r, </w:t>
            </w:r>
            <w:r w:rsidRPr="0013396E">
              <w:rPr>
                <w:sz w:val="20"/>
              </w:rPr>
              <w:t xml:space="preserve">at Settlement Point </w:t>
            </w:r>
            <w:r w:rsidRPr="0013396E">
              <w:rPr>
                <w:i/>
                <w:iCs/>
                <w:sz w:val="20"/>
              </w:rPr>
              <w:t>p</w:t>
            </w:r>
            <w:r w:rsidRPr="0013396E">
              <w:rPr>
                <w:sz w:val="20"/>
              </w:rPr>
              <w:t xml:space="preserve"> due to </w:t>
            </w:r>
            <w:r w:rsidRPr="0013396E">
              <w:rPr>
                <w:iCs/>
                <w:sz w:val="20"/>
                <w:szCs w:val="24"/>
              </w:rPr>
              <w:t xml:space="preserve">an </w:t>
            </w:r>
            <w:r w:rsidRPr="0013396E">
              <w:rPr>
                <w:iCs/>
                <w:kern w:val="2"/>
                <w:sz w:val="20"/>
                <w:szCs w:val="24"/>
              </w:rPr>
              <w:t>ERCOT-issued</w:t>
            </w:r>
            <w:r w:rsidRPr="0013396E">
              <w:rPr>
                <w:iCs/>
                <w:sz w:val="20"/>
                <w:szCs w:val="24"/>
              </w:rPr>
              <w:t xml:space="preserve"> CMP unit trip or equivalent VDI, </w:t>
            </w:r>
            <w:r w:rsidRPr="0013396E">
              <w:rPr>
                <w:sz w:val="20"/>
              </w:rPr>
              <w:t>as attested by the QSE</w:t>
            </w:r>
            <w:r w:rsidR="004E28B2" w:rsidRPr="0013396E">
              <w:rPr>
                <w:sz w:val="20"/>
              </w:rPr>
              <w:t xml:space="preserve"> </w:t>
            </w:r>
            <w:r w:rsidRPr="0013396E">
              <w:rPr>
                <w:sz w:val="20"/>
              </w:rPr>
              <w:t xml:space="preserve">, and in accordance with costs described in paragraph (2)(c)(ii)(A) above, for the 15-minute Settlement Interval </w:t>
            </w:r>
            <w:r w:rsidRPr="0013396E">
              <w:rPr>
                <w:i/>
                <w:iCs/>
                <w:sz w:val="20"/>
              </w:rPr>
              <w:t>i</w:t>
            </w:r>
            <w:r w:rsidRPr="0013396E">
              <w:rPr>
                <w:sz w:val="20"/>
              </w:rPr>
              <w:t xml:space="preserve">. </w:t>
            </w:r>
            <w:r w:rsidR="00693022" w:rsidRPr="0013396E">
              <w:rPr>
                <w:sz w:val="20"/>
              </w:rPr>
              <w:t xml:space="preserve"> </w:t>
            </w:r>
            <w:r w:rsidRPr="0013396E">
              <w:rPr>
                <w:iCs/>
                <w:sz w:val="20"/>
                <w:szCs w:val="24"/>
              </w:rPr>
              <w:t xml:space="preserve">Where, for a </w:t>
            </w:r>
            <w:r w:rsidR="00446DBD" w:rsidRPr="0013396E">
              <w:rPr>
                <w:iCs/>
                <w:sz w:val="20"/>
                <w:szCs w:val="24"/>
              </w:rPr>
              <w:t>c</w:t>
            </w:r>
            <w:r w:rsidRPr="0013396E">
              <w:rPr>
                <w:iCs/>
                <w:sz w:val="20"/>
                <w:szCs w:val="24"/>
              </w:rPr>
              <w:t xml:space="preserve">ombined </w:t>
            </w:r>
            <w:r w:rsidR="00446DBD" w:rsidRPr="0013396E">
              <w:rPr>
                <w:iCs/>
                <w:sz w:val="20"/>
                <w:szCs w:val="24"/>
              </w:rPr>
              <w:t>c</w:t>
            </w:r>
            <w:r w:rsidRPr="0013396E">
              <w:rPr>
                <w:iCs/>
                <w:sz w:val="20"/>
                <w:szCs w:val="24"/>
              </w:rPr>
              <w:t xml:space="preserve">ycle Resource </w:t>
            </w:r>
            <w:r w:rsidRPr="0013396E">
              <w:rPr>
                <w:i/>
                <w:iCs/>
                <w:sz w:val="20"/>
                <w:szCs w:val="24"/>
              </w:rPr>
              <w:t>r</w:t>
            </w:r>
            <w:r w:rsidRPr="0013396E">
              <w:rPr>
                <w:iCs/>
                <w:sz w:val="20"/>
                <w:szCs w:val="24"/>
              </w:rPr>
              <w:t xml:space="preserve"> is a Combined Cycle Train.</w:t>
            </w:r>
          </w:p>
        </w:tc>
      </w:tr>
      <w:tr w:rsidR="00B6651E" w:rsidRPr="0013396E" w14:paraId="30865537" w14:textId="77777777" w:rsidTr="00E844EE">
        <w:trPr>
          <w:cantSplit/>
          <w:trHeight w:val="146"/>
        </w:trPr>
        <w:tc>
          <w:tcPr>
            <w:tcW w:w="996" w:type="pct"/>
            <w:tcBorders>
              <w:top w:val="single" w:sz="4" w:space="0" w:color="auto"/>
              <w:left w:val="single" w:sz="4" w:space="0" w:color="auto"/>
              <w:bottom w:val="single" w:sz="4" w:space="0" w:color="auto"/>
              <w:right w:val="single" w:sz="4" w:space="0" w:color="auto"/>
            </w:tcBorders>
          </w:tcPr>
          <w:p w14:paraId="0269CB95" w14:textId="77777777" w:rsidR="00B6651E" w:rsidRPr="0013396E" w:rsidRDefault="00B6651E" w:rsidP="00494238">
            <w:pPr>
              <w:spacing w:after="60"/>
              <w:rPr>
                <w:sz w:val="20"/>
              </w:rPr>
            </w:pPr>
            <w:r w:rsidRPr="0013396E">
              <w:rPr>
                <w:sz w:val="20"/>
              </w:rPr>
              <w:t>CMPRALA</w:t>
            </w:r>
            <w:r w:rsidRPr="0013396E">
              <w:rPr>
                <w:szCs w:val="24"/>
              </w:rPr>
              <w:t xml:space="preserve"> </w:t>
            </w:r>
            <w:r w:rsidRPr="0013396E">
              <w:rPr>
                <w:bCs/>
                <w:i/>
                <w:iCs/>
                <w:kern w:val="2"/>
                <w:sz w:val="20"/>
                <w:szCs w:val="24"/>
                <w:vertAlign w:val="subscript"/>
              </w:rPr>
              <w:t>q, r, p, i</w:t>
            </w:r>
          </w:p>
        </w:tc>
        <w:tc>
          <w:tcPr>
            <w:tcW w:w="460" w:type="pct"/>
            <w:tcBorders>
              <w:top w:val="single" w:sz="4" w:space="0" w:color="auto"/>
              <w:left w:val="single" w:sz="4" w:space="0" w:color="auto"/>
              <w:bottom w:val="single" w:sz="4" w:space="0" w:color="auto"/>
              <w:right w:val="single" w:sz="4" w:space="0" w:color="auto"/>
            </w:tcBorders>
          </w:tcPr>
          <w:p w14:paraId="2FB3C0B0" w14:textId="77777777" w:rsidR="00B6651E" w:rsidRPr="0013396E" w:rsidRDefault="00B6651E" w:rsidP="00494238">
            <w:pPr>
              <w:spacing w:after="60"/>
              <w:rPr>
                <w:szCs w:val="24"/>
              </w:rPr>
            </w:pPr>
            <w:r w:rsidRPr="0013396E">
              <w:rPr>
                <w:szCs w:val="24"/>
              </w:rPr>
              <w:t>$</w:t>
            </w:r>
          </w:p>
        </w:tc>
        <w:tc>
          <w:tcPr>
            <w:tcW w:w="3544" w:type="pct"/>
            <w:tcBorders>
              <w:top w:val="single" w:sz="4" w:space="0" w:color="auto"/>
              <w:left w:val="single" w:sz="4" w:space="0" w:color="auto"/>
              <w:bottom w:val="single" w:sz="4" w:space="0" w:color="auto"/>
              <w:right w:val="single" w:sz="4" w:space="0" w:color="auto"/>
            </w:tcBorders>
          </w:tcPr>
          <w:p w14:paraId="1DF3E434" w14:textId="6282C11F" w:rsidR="00B6651E" w:rsidRPr="0013396E" w:rsidRDefault="00B6651E" w:rsidP="00494238">
            <w:pPr>
              <w:spacing w:after="60"/>
              <w:rPr>
                <w:i/>
                <w:iCs/>
                <w:kern w:val="2"/>
                <w:sz w:val="20"/>
              </w:rPr>
            </w:pPr>
            <w:r w:rsidRPr="0013396E">
              <w:rPr>
                <w:i/>
                <w:iCs/>
                <w:kern w:val="2"/>
                <w:sz w:val="20"/>
              </w:rPr>
              <w:t>Constraint Management Plan Repair Cost Attested Losses Allowed per QSE per Generation Resource—</w:t>
            </w:r>
            <w:r w:rsidRPr="0013396E">
              <w:rPr>
                <w:kern w:val="2"/>
                <w:sz w:val="20"/>
              </w:rPr>
              <w:t xml:space="preserve">The payment for repair costs attested losses to QSE </w:t>
            </w:r>
            <w:r w:rsidRPr="0013396E">
              <w:rPr>
                <w:i/>
                <w:iCs/>
                <w:kern w:val="2"/>
                <w:sz w:val="20"/>
              </w:rPr>
              <w:t>q</w:t>
            </w:r>
            <w:r w:rsidRPr="0013396E">
              <w:rPr>
                <w:kern w:val="2"/>
                <w:sz w:val="20"/>
              </w:rPr>
              <w:t xml:space="preserve"> for an ERCOT-issued CMP unit trip or equivalent VDI for Generation Resource </w:t>
            </w:r>
            <w:r w:rsidRPr="0013396E">
              <w:rPr>
                <w:i/>
                <w:iCs/>
                <w:kern w:val="2"/>
                <w:sz w:val="20"/>
              </w:rPr>
              <w:t>r</w:t>
            </w:r>
            <w:r w:rsidRPr="0013396E">
              <w:rPr>
                <w:kern w:val="2"/>
                <w:sz w:val="20"/>
              </w:rPr>
              <w:t xml:space="preserve">, at Settlement Point </w:t>
            </w:r>
            <w:r w:rsidRPr="0013396E">
              <w:rPr>
                <w:i/>
                <w:iCs/>
                <w:kern w:val="2"/>
                <w:sz w:val="20"/>
              </w:rPr>
              <w:t>p</w:t>
            </w:r>
            <w:r w:rsidRPr="0013396E">
              <w:rPr>
                <w:kern w:val="2"/>
                <w:sz w:val="20"/>
              </w:rPr>
              <w:t xml:space="preserve"> for the 15-minute Settlement Interval </w:t>
            </w:r>
            <w:r w:rsidRPr="0013396E">
              <w:rPr>
                <w:i/>
                <w:iCs/>
                <w:kern w:val="2"/>
                <w:sz w:val="20"/>
              </w:rPr>
              <w:t>i</w:t>
            </w:r>
            <w:r w:rsidRPr="0013396E">
              <w:rPr>
                <w:kern w:val="2"/>
                <w:sz w:val="20"/>
              </w:rPr>
              <w:t xml:space="preserve">.  Where for a </w:t>
            </w:r>
            <w:r w:rsidR="00446DBD" w:rsidRPr="0013396E">
              <w:rPr>
                <w:kern w:val="2"/>
                <w:sz w:val="20"/>
              </w:rPr>
              <w:t>c</w:t>
            </w:r>
            <w:r w:rsidRPr="0013396E">
              <w:rPr>
                <w:kern w:val="2"/>
                <w:sz w:val="20"/>
              </w:rPr>
              <w:t xml:space="preserve">ombined </w:t>
            </w:r>
            <w:r w:rsidR="00446DBD" w:rsidRPr="0013396E">
              <w:rPr>
                <w:kern w:val="2"/>
                <w:sz w:val="20"/>
              </w:rPr>
              <w:t>c</w:t>
            </w:r>
            <w:r w:rsidRPr="0013396E">
              <w:rPr>
                <w:kern w:val="2"/>
                <w:sz w:val="20"/>
              </w:rPr>
              <w:t xml:space="preserve">ycle Resource, </w:t>
            </w:r>
            <w:r w:rsidRPr="0013396E">
              <w:rPr>
                <w:i/>
                <w:iCs/>
                <w:kern w:val="2"/>
                <w:sz w:val="20"/>
              </w:rPr>
              <w:t>r</w:t>
            </w:r>
            <w:r w:rsidRPr="0013396E">
              <w:rPr>
                <w:kern w:val="2"/>
                <w:sz w:val="20"/>
              </w:rPr>
              <w:t xml:space="preserve"> is a Combined Cycle Train.</w:t>
            </w:r>
          </w:p>
        </w:tc>
      </w:tr>
      <w:tr w:rsidR="00B6651E" w:rsidRPr="0013396E" w14:paraId="0FC15777" w14:textId="77777777" w:rsidTr="00E844EE">
        <w:trPr>
          <w:cantSplit/>
          <w:trHeight w:val="146"/>
        </w:trPr>
        <w:tc>
          <w:tcPr>
            <w:tcW w:w="996" w:type="pct"/>
            <w:tcBorders>
              <w:top w:val="single" w:sz="4" w:space="0" w:color="auto"/>
              <w:left w:val="single" w:sz="4" w:space="0" w:color="auto"/>
              <w:bottom w:val="single" w:sz="4" w:space="0" w:color="auto"/>
              <w:right w:val="single" w:sz="4" w:space="0" w:color="auto"/>
            </w:tcBorders>
          </w:tcPr>
          <w:p w14:paraId="2C7FECE8" w14:textId="77777777" w:rsidR="00B6651E" w:rsidRPr="0013396E" w:rsidRDefault="00B6651E" w:rsidP="00494238">
            <w:pPr>
              <w:spacing w:after="60"/>
              <w:rPr>
                <w:sz w:val="20"/>
              </w:rPr>
            </w:pPr>
            <w:r w:rsidRPr="0013396E">
              <w:rPr>
                <w:sz w:val="20"/>
              </w:rPr>
              <w:t>CMPRAL</w:t>
            </w:r>
            <w:r w:rsidRPr="0013396E">
              <w:rPr>
                <w:szCs w:val="24"/>
              </w:rPr>
              <w:t xml:space="preserve"> </w:t>
            </w:r>
            <w:r w:rsidRPr="0013396E">
              <w:rPr>
                <w:bCs/>
                <w:i/>
                <w:iCs/>
                <w:kern w:val="2"/>
                <w:sz w:val="20"/>
                <w:szCs w:val="24"/>
                <w:vertAlign w:val="subscript"/>
              </w:rPr>
              <w:t>q, r, p</w:t>
            </w:r>
          </w:p>
        </w:tc>
        <w:tc>
          <w:tcPr>
            <w:tcW w:w="460" w:type="pct"/>
            <w:tcBorders>
              <w:top w:val="single" w:sz="4" w:space="0" w:color="auto"/>
              <w:left w:val="single" w:sz="4" w:space="0" w:color="auto"/>
              <w:bottom w:val="single" w:sz="4" w:space="0" w:color="auto"/>
              <w:right w:val="single" w:sz="4" w:space="0" w:color="auto"/>
            </w:tcBorders>
          </w:tcPr>
          <w:p w14:paraId="42B05686" w14:textId="77777777" w:rsidR="00B6651E" w:rsidRPr="0013396E" w:rsidRDefault="00B6651E" w:rsidP="00494238">
            <w:pPr>
              <w:spacing w:after="60"/>
              <w:rPr>
                <w:szCs w:val="24"/>
              </w:rPr>
            </w:pPr>
            <w:r w:rsidRPr="0013396E">
              <w:rPr>
                <w:szCs w:val="24"/>
              </w:rPr>
              <w:t>$</w:t>
            </w:r>
          </w:p>
        </w:tc>
        <w:tc>
          <w:tcPr>
            <w:tcW w:w="3544" w:type="pct"/>
            <w:tcBorders>
              <w:top w:val="single" w:sz="4" w:space="0" w:color="auto"/>
              <w:left w:val="single" w:sz="4" w:space="0" w:color="auto"/>
              <w:bottom w:val="single" w:sz="4" w:space="0" w:color="auto"/>
              <w:right w:val="single" w:sz="4" w:space="0" w:color="auto"/>
            </w:tcBorders>
          </w:tcPr>
          <w:p w14:paraId="01F42F25" w14:textId="166A18DF" w:rsidR="00B6651E" w:rsidRPr="0013396E" w:rsidRDefault="00B6651E" w:rsidP="00494238">
            <w:pPr>
              <w:spacing w:after="60"/>
              <w:rPr>
                <w:kern w:val="2"/>
                <w:sz w:val="20"/>
              </w:rPr>
            </w:pPr>
            <w:r w:rsidRPr="0013396E">
              <w:rPr>
                <w:i/>
                <w:iCs/>
                <w:kern w:val="2"/>
                <w:sz w:val="20"/>
              </w:rPr>
              <w:t>Constraint Management Plan Repair Attested Losses</w:t>
            </w:r>
            <w:r w:rsidRPr="0013396E">
              <w:rPr>
                <w:kern w:val="2"/>
                <w:sz w:val="20"/>
              </w:rPr>
              <w:t xml:space="preserve">—The total Generation Resource </w:t>
            </w:r>
            <w:r w:rsidR="00847330" w:rsidRPr="0013396E">
              <w:rPr>
                <w:kern w:val="2"/>
                <w:sz w:val="20"/>
              </w:rPr>
              <w:t xml:space="preserve"> </w:t>
            </w:r>
            <w:r w:rsidRPr="0013396E">
              <w:rPr>
                <w:kern w:val="2"/>
                <w:sz w:val="20"/>
              </w:rPr>
              <w:t xml:space="preserve">repair cost due to trip </w:t>
            </w:r>
            <w:r w:rsidR="00494238" w:rsidRPr="0013396E">
              <w:rPr>
                <w:kern w:val="2"/>
                <w:sz w:val="20"/>
              </w:rPr>
              <w:t>O</w:t>
            </w:r>
            <w:r w:rsidRPr="0013396E">
              <w:rPr>
                <w:kern w:val="2"/>
                <w:sz w:val="20"/>
              </w:rPr>
              <w:t xml:space="preserve">ff-Line of Resource following implementation of an ERCOT-issued CMP or equivalent VDI as attested by the QSE </w:t>
            </w:r>
            <w:r w:rsidRPr="0013396E">
              <w:rPr>
                <w:i/>
                <w:iCs/>
                <w:kern w:val="2"/>
                <w:sz w:val="20"/>
              </w:rPr>
              <w:t>q</w:t>
            </w:r>
            <w:r w:rsidRPr="0013396E">
              <w:rPr>
                <w:kern w:val="2"/>
                <w:sz w:val="20"/>
              </w:rPr>
              <w:t xml:space="preserve"> and in accordance with costs described in paragraph (2)(c)(ii)(B) above.  For a </w:t>
            </w:r>
            <w:r w:rsidR="00683CF9" w:rsidRPr="0013396E">
              <w:rPr>
                <w:kern w:val="2"/>
                <w:sz w:val="20"/>
              </w:rPr>
              <w:t>C</w:t>
            </w:r>
            <w:r w:rsidRPr="0013396E">
              <w:rPr>
                <w:kern w:val="2"/>
                <w:sz w:val="20"/>
              </w:rPr>
              <w:t xml:space="preserve">ombined </w:t>
            </w:r>
            <w:r w:rsidR="00683CF9" w:rsidRPr="0013396E">
              <w:rPr>
                <w:kern w:val="2"/>
                <w:sz w:val="20"/>
              </w:rPr>
              <w:t>C</w:t>
            </w:r>
            <w:r w:rsidRPr="0013396E">
              <w:rPr>
                <w:kern w:val="2"/>
                <w:sz w:val="20"/>
              </w:rPr>
              <w:t xml:space="preserve">ycle Resource </w:t>
            </w:r>
            <w:r w:rsidRPr="0013396E">
              <w:rPr>
                <w:i/>
                <w:iCs/>
                <w:kern w:val="2"/>
                <w:sz w:val="20"/>
              </w:rPr>
              <w:t>r</w:t>
            </w:r>
            <w:r w:rsidRPr="0013396E">
              <w:rPr>
                <w:kern w:val="2"/>
                <w:sz w:val="20"/>
              </w:rPr>
              <w:t xml:space="preserve"> is a Combined Cycle Train.</w:t>
            </w:r>
          </w:p>
        </w:tc>
      </w:tr>
      <w:tr w:rsidR="00B6651E" w:rsidRPr="0013396E" w14:paraId="28ECFA4B" w14:textId="77777777" w:rsidTr="00E844EE">
        <w:trPr>
          <w:cantSplit/>
          <w:trHeight w:val="146"/>
        </w:trPr>
        <w:tc>
          <w:tcPr>
            <w:tcW w:w="996" w:type="pct"/>
            <w:tcBorders>
              <w:top w:val="single" w:sz="4" w:space="0" w:color="auto"/>
              <w:left w:val="single" w:sz="4" w:space="0" w:color="auto"/>
              <w:bottom w:val="single" w:sz="4" w:space="0" w:color="auto"/>
              <w:right w:val="single" w:sz="4" w:space="0" w:color="auto"/>
            </w:tcBorders>
          </w:tcPr>
          <w:p w14:paraId="07452C7B" w14:textId="77777777" w:rsidR="00B6651E" w:rsidRPr="0013396E" w:rsidRDefault="00B6651E" w:rsidP="00494238">
            <w:pPr>
              <w:spacing w:after="60"/>
              <w:rPr>
                <w:iCs/>
                <w:kern w:val="2"/>
                <w:sz w:val="20"/>
                <w:szCs w:val="24"/>
              </w:rPr>
            </w:pPr>
            <w:r w:rsidRPr="0013396E">
              <w:rPr>
                <w:iCs/>
                <w:kern w:val="2"/>
                <w:sz w:val="20"/>
                <w:szCs w:val="24"/>
              </w:rPr>
              <w:t xml:space="preserve">CMPSUPR </w:t>
            </w:r>
            <w:r w:rsidRPr="0013396E">
              <w:rPr>
                <w:bCs/>
                <w:i/>
                <w:iCs/>
                <w:kern w:val="2"/>
                <w:sz w:val="20"/>
                <w:szCs w:val="24"/>
                <w:vertAlign w:val="subscript"/>
              </w:rPr>
              <w:t>q, r, p, i</w:t>
            </w:r>
          </w:p>
        </w:tc>
        <w:tc>
          <w:tcPr>
            <w:tcW w:w="460" w:type="pct"/>
            <w:tcBorders>
              <w:top w:val="single" w:sz="4" w:space="0" w:color="auto"/>
              <w:left w:val="single" w:sz="4" w:space="0" w:color="auto"/>
              <w:bottom w:val="single" w:sz="4" w:space="0" w:color="auto"/>
              <w:right w:val="single" w:sz="4" w:space="0" w:color="auto"/>
            </w:tcBorders>
          </w:tcPr>
          <w:p w14:paraId="03C8104D" w14:textId="77777777" w:rsidR="00B6651E" w:rsidRPr="0013396E" w:rsidRDefault="00B6651E" w:rsidP="00494238">
            <w:pPr>
              <w:spacing w:after="60"/>
              <w:rPr>
                <w:iCs/>
                <w:kern w:val="2"/>
                <w:sz w:val="20"/>
                <w:szCs w:val="24"/>
              </w:rPr>
            </w:pPr>
            <w:r w:rsidRPr="0013396E">
              <w:rPr>
                <w:szCs w:val="24"/>
              </w:rPr>
              <w:t>$/Start</w:t>
            </w:r>
          </w:p>
        </w:tc>
        <w:tc>
          <w:tcPr>
            <w:tcW w:w="3544" w:type="pct"/>
            <w:tcBorders>
              <w:top w:val="single" w:sz="4" w:space="0" w:color="auto"/>
              <w:left w:val="single" w:sz="4" w:space="0" w:color="auto"/>
              <w:bottom w:val="single" w:sz="4" w:space="0" w:color="auto"/>
              <w:right w:val="single" w:sz="4" w:space="0" w:color="auto"/>
            </w:tcBorders>
          </w:tcPr>
          <w:p w14:paraId="2D26147E" w14:textId="67852F24" w:rsidR="00B6651E" w:rsidRPr="0013396E" w:rsidRDefault="00B6651E" w:rsidP="00494238">
            <w:pPr>
              <w:spacing w:after="60"/>
              <w:rPr>
                <w:i/>
                <w:iCs/>
                <w:kern w:val="2"/>
                <w:sz w:val="20"/>
                <w:szCs w:val="24"/>
              </w:rPr>
            </w:pPr>
            <w:r w:rsidRPr="0013396E">
              <w:rPr>
                <w:i/>
                <w:iCs/>
                <w:kern w:val="2"/>
                <w:sz w:val="20"/>
              </w:rPr>
              <w:t xml:space="preserve">Startup Price per </w:t>
            </w:r>
            <w:r w:rsidR="00D95082" w:rsidRPr="0013396E">
              <w:rPr>
                <w:i/>
                <w:iCs/>
                <w:kern w:val="2"/>
                <w:sz w:val="20"/>
              </w:rPr>
              <w:t>S</w:t>
            </w:r>
            <w:r w:rsidRPr="0013396E">
              <w:rPr>
                <w:i/>
                <w:iCs/>
                <w:kern w:val="2"/>
                <w:sz w:val="20"/>
              </w:rPr>
              <w:t>tart</w:t>
            </w:r>
            <w:r w:rsidRPr="0013396E">
              <w:rPr>
                <w:szCs w:val="24"/>
              </w:rPr>
              <w:t>—</w:t>
            </w:r>
            <w:r w:rsidRPr="0013396E">
              <w:rPr>
                <w:kern w:val="2"/>
                <w:sz w:val="20"/>
              </w:rPr>
              <w:t xml:space="preserve">The Settlement price for Resource </w:t>
            </w:r>
            <w:r w:rsidRPr="0013396E">
              <w:rPr>
                <w:i/>
                <w:iCs/>
                <w:kern w:val="2"/>
                <w:sz w:val="20"/>
              </w:rPr>
              <w:t>r</w:t>
            </w:r>
            <w:r w:rsidRPr="0013396E">
              <w:rPr>
                <w:kern w:val="2"/>
                <w:sz w:val="20"/>
              </w:rPr>
              <w:t xml:space="preserve"> represented by QSE </w:t>
            </w:r>
            <w:r w:rsidRPr="0013396E">
              <w:rPr>
                <w:i/>
                <w:iCs/>
                <w:kern w:val="2"/>
                <w:sz w:val="20"/>
              </w:rPr>
              <w:t>q</w:t>
            </w:r>
            <w:r w:rsidRPr="0013396E">
              <w:rPr>
                <w:kern w:val="2"/>
                <w:sz w:val="20"/>
              </w:rPr>
              <w:t xml:space="preserve"> for the cold start, for the 15-minute Settlement Interval</w:t>
            </w:r>
            <w:r w:rsidR="00446DBD" w:rsidRPr="0013396E">
              <w:rPr>
                <w:kern w:val="2"/>
                <w:sz w:val="20"/>
              </w:rPr>
              <w:t>.</w:t>
            </w:r>
            <w:r w:rsidRPr="0013396E">
              <w:rPr>
                <w:kern w:val="2"/>
                <w:sz w:val="20"/>
              </w:rPr>
              <w:t xml:space="preserve">  Where for a Combined Cycle Train, the Resource </w:t>
            </w:r>
            <w:r w:rsidRPr="0013396E">
              <w:rPr>
                <w:i/>
                <w:iCs/>
                <w:kern w:val="2"/>
                <w:sz w:val="20"/>
              </w:rPr>
              <w:t>r</w:t>
            </w:r>
            <w:r w:rsidRPr="0013396E">
              <w:rPr>
                <w:kern w:val="2"/>
                <w:sz w:val="20"/>
              </w:rPr>
              <w:t xml:space="preserve"> is a Combined Cycle Generation Resource within the Combined Cycle Train.</w:t>
            </w:r>
          </w:p>
        </w:tc>
      </w:tr>
      <w:tr w:rsidR="00B6651E" w:rsidRPr="0013396E" w14:paraId="082D6DAE" w14:textId="77777777" w:rsidTr="00E844EE">
        <w:trPr>
          <w:cantSplit/>
          <w:trHeight w:val="146"/>
        </w:trPr>
        <w:tc>
          <w:tcPr>
            <w:tcW w:w="996" w:type="pct"/>
            <w:tcBorders>
              <w:top w:val="single" w:sz="4" w:space="0" w:color="auto"/>
              <w:left w:val="single" w:sz="4" w:space="0" w:color="auto"/>
              <w:bottom w:val="single" w:sz="4" w:space="0" w:color="auto"/>
              <w:right w:val="single" w:sz="4" w:space="0" w:color="auto"/>
            </w:tcBorders>
          </w:tcPr>
          <w:p w14:paraId="264AE4E4" w14:textId="77777777" w:rsidR="00B6651E" w:rsidRPr="0013396E" w:rsidRDefault="00B6651E" w:rsidP="00494238">
            <w:pPr>
              <w:spacing w:after="60"/>
              <w:rPr>
                <w:iCs/>
                <w:kern w:val="2"/>
                <w:sz w:val="20"/>
                <w:szCs w:val="24"/>
              </w:rPr>
            </w:pPr>
            <w:r w:rsidRPr="0013396E">
              <w:rPr>
                <w:iCs/>
                <w:kern w:val="2"/>
                <w:sz w:val="20"/>
                <w:szCs w:val="24"/>
              </w:rPr>
              <w:lastRenderedPageBreak/>
              <w:t xml:space="preserve">RTEOCOST </w:t>
            </w:r>
            <w:r w:rsidRPr="0013396E">
              <w:rPr>
                <w:bCs/>
                <w:i/>
                <w:iCs/>
                <w:kern w:val="2"/>
                <w:sz w:val="20"/>
                <w:szCs w:val="24"/>
                <w:vertAlign w:val="subscript"/>
              </w:rPr>
              <w:t>q, r, p, i</w:t>
            </w:r>
          </w:p>
        </w:tc>
        <w:tc>
          <w:tcPr>
            <w:tcW w:w="460" w:type="pct"/>
            <w:tcBorders>
              <w:top w:val="single" w:sz="4" w:space="0" w:color="auto"/>
              <w:left w:val="single" w:sz="4" w:space="0" w:color="auto"/>
              <w:bottom w:val="single" w:sz="4" w:space="0" w:color="auto"/>
              <w:right w:val="single" w:sz="4" w:space="0" w:color="auto"/>
            </w:tcBorders>
          </w:tcPr>
          <w:p w14:paraId="223BC9E9" w14:textId="77777777" w:rsidR="00B6651E" w:rsidRPr="0013396E" w:rsidRDefault="00B6651E" w:rsidP="00494238">
            <w:pPr>
              <w:spacing w:after="60"/>
              <w:rPr>
                <w:iCs/>
                <w:kern w:val="2"/>
                <w:sz w:val="20"/>
                <w:szCs w:val="24"/>
              </w:rPr>
            </w:pPr>
            <w:r w:rsidRPr="0013396E">
              <w:rPr>
                <w:iCs/>
                <w:kern w:val="2"/>
                <w:sz w:val="20"/>
                <w:szCs w:val="24"/>
              </w:rPr>
              <w:t>$/MWh</w:t>
            </w:r>
          </w:p>
        </w:tc>
        <w:tc>
          <w:tcPr>
            <w:tcW w:w="3544" w:type="pct"/>
            <w:tcBorders>
              <w:top w:val="single" w:sz="4" w:space="0" w:color="auto"/>
              <w:left w:val="single" w:sz="4" w:space="0" w:color="auto"/>
              <w:bottom w:val="single" w:sz="4" w:space="0" w:color="auto"/>
              <w:right w:val="single" w:sz="4" w:space="0" w:color="auto"/>
            </w:tcBorders>
          </w:tcPr>
          <w:p w14:paraId="6ABDA345" w14:textId="4AA9D649" w:rsidR="00B6651E" w:rsidRPr="0013396E" w:rsidRDefault="00B6651E" w:rsidP="00494238">
            <w:pPr>
              <w:spacing w:after="60"/>
              <w:rPr>
                <w:iCs/>
                <w:kern w:val="2"/>
                <w:sz w:val="20"/>
                <w:szCs w:val="24"/>
              </w:rPr>
            </w:pPr>
            <w:r w:rsidRPr="0013396E">
              <w:rPr>
                <w:i/>
                <w:iCs/>
                <w:kern w:val="2"/>
                <w:sz w:val="20"/>
                <w:szCs w:val="24"/>
              </w:rPr>
              <w:t>Real-Time Energy Offer Curve Cost Cap</w:t>
            </w:r>
            <w:r w:rsidRPr="0013396E">
              <w:rPr>
                <w:iCs/>
                <w:kern w:val="2"/>
                <w:sz w:val="20"/>
                <w:szCs w:val="24"/>
              </w:rPr>
              <w:t xml:space="preserve">—The Energy Offer Curve Cost Cap for Resource </w:t>
            </w:r>
            <w:r w:rsidRPr="0013396E">
              <w:rPr>
                <w:i/>
                <w:kern w:val="2"/>
                <w:sz w:val="20"/>
                <w:szCs w:val="24"/>
              </w:rPr>
              <w:t>r</w:t>
            </w:r>
            <w:r w:rsidRPr="0013396E">
              <w:rPr>
                <w:iCs/>
                <w:kern w:val="2"/>
                <w:sz w:val="20"/>
                <w:szCs w:val="24"/>
              </w:rPr>
              <w:t xml:space="preserve"> represented by QSE </w:t>
            </w:r>
            <w:r w:rsidRPr="0013396E">
              <w:rPr>
                <w:i/>
                <w:kern w:val="2"/>
                <w:sz w:val="20"/>
                <w:szCs w:val="24"/>
              </w:rPr>
              <w:t>q</w:t>
            </w:r>
            <w:r w:rsidRPr="0013396E">
              <w:rPr>
                <w:iCs/>
                <w:kern w:val="2"/>
                <w:sz w:val="20"/>
                <w:szCs w:val="24"/>
              </w:rPr>
              <w:t>, for the Resource’s</w:t>
            </w:r>
            <w:r w:rsidR="00B2483C" w:rsidRPr="0013396E">
              <w:rPr>
                <w:iCs/>
                <w:kern w:val="2"/>
                <w:sz w:val="20"/>
                <w:szCs w:val="24"/>
              </w:rPr>
              <w:t xml:space="preserve"> </w:t>
            </w:r>
            <w:r w:rsidRPr="0013396E">
              <w:rPr>
                <w:iCs/>
                <w:kern w:val="2"/>
                <w:sz w:val="20"/>
                <w:szCs w:val="24"/>
              </w:rPr>
              <w:t xml:space="preserve">generation above the LSL for the Settlement Interval </w:t>
            </w:r>
            <w:r w:rsidRPr="0013396E">
              <w:rPr>
                <w:i/>
                <w:kern w:val="2"/>
                <w:sz w:val="20"/>
                <w:szCs w:val="24"/>
              </w:rPr>
              <w:t>i</w:t>
            </w:r>
            <w:r w:rsidRPr="0013396E">
              <w:rPr>
                <w:iCs/>
                <w:kern w:val="2"/>
                <w:sz w:val="20"/>
                <w:szCs w:val="24"/>
              </w:rPr>
              <w:t xml:space="preserve">.  See Section 4.4.9.3.3, Energy Offer Curve Cost Caps.  Where for a Combined Cycle Train, the Resource </w:t>
            </w:r>
            <w:r w:rsidRPr="0013396E">
              <w:rPr>
                <w:i/>
                <w:kern w:val="2"/>
                <w:sz w:val="20"/>
                <w:szCs w:val="24"/>
              </w:rPr>
              <w:t>r</w:t>
            </w:r>
            <w:r w:rsidRPr="0013396E">
              <w:rPr>
                <w:iCs/>
                <w:kern w:val="2"/>
                <w:sz w:val="20"/>
                <w:szCs w:val="24"/>
              </w:rPr>
              <w:t xml:space="preserve"> is the Combined Cycle Train.</w:t>
            </w:r>
          </w:p>
        </w:tc>
      </w:tr>
      <w:tr w:rsidR="00B6651E" w:rsidRPr="0013396E" w14:paraId="41954285" w14:textId="77777777" w:rsidTr="00E844EE">
        <w:trPr>
          <w:cantSplit/>
          <w:trHeight w:val="146"/>
        </w:trPr>
        <w:tc>
          <w:tcPr>
            <w:tcW w:w="996" w:type="pct"/>
            <w:tcBorders>
              <w:top w:val="single" w:sz="4" w:space="0" w:color="auto"/>
              <w:left w:val="single" w:sz="4" w:space="0" w:color="auto"/>
              <w:bottom w:val="single" w:sz="4" w:space="0" w:color="auto"/>
              <w:right w:val="single" w:sz="4" w:space="0" w:color="auto"/>
            </w:tcBorders>
          </w:tcPr>
          <w:p w14:paraId="51D556FF" w14:textId="77777777" w:rsidR="00B6651E" w:rsidRPr="0013396E" w:rsidDel="0018361F" w:rsidRDefault="00B6651E" w:rsidP="00494238">
            <w:pPr>
              <w:spacing w:after="60"/>
              <w:rPr>
                <w:iCs/>
                <w:kern w:val="2"/>
                <w:sz w:val="20"/>
                <w:szCs w:val="24"/>
              </w:rPr>
            </w:pPr>
            <w:r w:rsidRPr="0013396E">
              <w:rPr>
                <w:iCs/>
                <w:sz w:val="20"/>
                <w:szCs w:val="24"/>
              </w:rPr>
              <w:t xml:space="preserve">CMPHSL </w:t>
            </w:r>
            <w:r w:rsidRPr="0013396E">
              <w:rPr>
                <w:i/>
                <w:iCs/>
                <w:sz w:val="20"/>
                <w:szCs w:val="24"/>
                <w:vertAlign w:val="subscript"/>
              </w:rPr>
              <w:t>q, r, p, h</w:t>
            </w:r>
          </w:p>
        </w:tc>
        <w:tc>
          <w:tcPr>
            <w:tcW w:w="460" w:type="pct"/>
            <w:tcBorders>
              <w:top w:val="single" w:sz="4" w:space="0" w:color="auto"/>
              <w:left w:val="single" w:sz="4" w:space="0" w:color="auto"/>
              <w:bottom w:val="single" w:sz="4" w:space="0" w:color="auto"/>
              <w:right w:val="single" w:sz="4" w:space="0" w:color="auto"/>
            </w:tcBorders>
          </w:tcPr>
          <w:p w14:paraId="0077439E" w14:textId="77777777" w:rsidR="00B6651E" w:rsidRPr="0013396E" w:rsidDel="0018361F" w:rsidRDefault="00B6651E" w:rsidP="00494238">
            <w:pPr>
              <w:spacing w:after="60"/>
              <w:rPr>
                <w:iCs/>
                <w:kern w:val="2"/>
                <w:sz w:val="20"/>
                <w:szCs w:val="24"/>
              </w:rPr>
            </w:pPr>
            <w:r w:rsidRPr="0013396E">
              <w:rPr>
                <w:iCs/>
                <w:sz w:val="20"/>
                <w:szCs w:val="24"/>
              </w:rPr>
              <w:t>MW</w:t>
            </w:r>
          </w:p>
        </w:tc>
        <w:tc>
          <w:tcPr>
            <w:tcW w:w="3544" w:type="pct"/>
            <w:tcBorders>
              <w:top w:val="single" w:sz="4" w:space="0" w:color="auto"/>
              <w:left w:val="single" w:sz="4" w:space="0" w:color="auto"/>
              <w:bottom w:val="single" w:sz="4" w:space="0" w:color="auto"/>
              <w:right w:val="single" w:sz="4" w:space="0" w:color="auto"/>
            </w:tcBorders>
          </w:tcPr>
          <w:p w14:paraId="7A69A2BE" w14:textId="73D5A142" w:rsidR="00B6651E" w:rsidRPr="0013396E" w:rsidDel="0018361F" w:rsidRDefault="00B6651E" w:rsidP="00494238">
            <w:pPr>
              <w:spacing w:after="60"/>
              <w:rPr>
                <w:i/>
                <w:iCs/>
                <w:kern w:val="2"/>
                <w:sz w:val="20"/>
                <w:szCs w:val="24"/>
              </w:rPr>
            </w:pPr>
            <w:r w:rsidRPr="0013396E">
              <w:rPr>
                <w:i/>
                <w:iCs/>
                <w:sz w:val="20"/>
              </w:rPr>
              <w:t xml:space="preserve">Constraint Management Plan </w:t>
            </w:r>
            <w:r w:rsidRPr="0013396E">
              <w:rPr>
                <w:i/>
                <w:iCs/>
                <w:sz w:val="20"/>
                <w:szCs w:val="24"/>
              </w:rPr>
              <w:t>High Sustained Limit</w:t>
            </w:r>
            <w:r w:rsidRPr="0013396E">
              <w:rPr>
                <w:iCs/>
                <w:sz w:val="20"/>
                <w:szCs w:val="24"/>
              </w:rPr>
              <w:t>—</w:t>
            </w:r>
            <w:r w:rsidRPr="0013396E">
              <w:rPr>
                <w:iCs/>
                <w:kern w:val="2"/>
                <w:sz w:val="20"/>
                <w:szCs w:val="24"/>
              </w:rPr>
              <w:t xml:space="preserve">The High Sustained Limit (HSL) of Generation Resource </w:t>
            </w:r>
            <w:r w:rsidRPr="0013396E">
              <w:rPr>
                <w:i/>
                <w:kern w:val="2"/>
                <w:sz w:val="20"/>
                <w:szCs w:val="24"/>
              </w:rPr>
              <w:t>r</w:t>
            </w:r>
            <w:r w:rsidRPr="0013396E">
              <w:rPr>
                <w:iCs/>
                <w:kern w:val="2"/>
                <w:sz w:val="20"/>
                <w:szCs w:val="24"/>
              </w:rPr>
              <w:t xml:space="preserve"> represented by QSE </w:t>
            </w:r>
            <w:r w:rsidRPr="0013396E">
              <w:rPr>
                <w:i/>
                <w:kern w:val="2"/>
                <w:sz w:val="20"/>
                <w:szCs w:val="24"/>
              </w:rPr>
              <w:t>q</w:t>
            </w:r>
            <w:r w:rsidRPr="0013396E">
              <w:rPr>
                <w:iCs/>
                <w:kern w:val="2"/>
                <w:sz w:val="20"/>
                <w:szCs w:val="24"/>
              </w:rPr>
              <w:t xml:space="preserve">, as submitted in the Current Operating Plan (COP), for the hour </w:t>
            </w:r>
            <w:r w:rsidR="00494238" w:rsidRPr="0013396E">
              <w:rPr>
                <w:i/>
                <w:kern w:val="2"/>
                <w:sz w:val="20"/>
                <w:szCs w:val="24"/>
              </w:rPr>
              <w:t>h</w:t>
            </w:r>
            <w:r w:rsidR="00494238" w:rsidRPr="0013396E">
              <w:rPr>
                <w:iCs/>
                <w:kern w:val="2"/>
                <w:sz w:val="20"/>
                <w:szCs w:val="24"/>
              </w:rPr>
              <w:t xml:space="preserve"> </w:t>
            </w:r>
            <w:r w:rsidRPr="0013396E">
              <w:rPr>
                <w:iCs/>
                <w:kern w:val="2"/>
                <w:sz w:val="20"/>
                <w:szCs w:val="24"/>
              </w:rPr>
              <w:t>the Resource</w:t>
            </w:r>
            <w:r w:rsidR="00B2483C" w:rsidRPr="0013396E">
              <w:rPr>
                <w:iCs/>
                <w:kern w:val="2"/>
                <w:sz w:val="20"/>
                <w:szCs w:val="24"/>
              </w:rPr>
              <w:t xml:space="preserve"> </w:t>
            </w:r>
            <w:r w:rsidRPr="0013396E">
              <w:rPr>
                <w:iCs/>
                <w:kern w:val="2"/>
                <w:sz w:val="20"/>
                <w:szCs w:val="24"/>
              </w:rPr>
              <w:t xml:space="preserve">tripped </w:t>
            </w:r>
            <w:r w:rsidR="00494238" w:rsidRPr="0013396E">
              <w:rPr>
                <w:iCs/>
                <w:kern w:val="2"/>
                <w:sz w:val="20"/>
                <w:szCs w:val="24"/>
              </w:rPr>
              <w:t>O</w:t>
            </w:r>
            <w:r w:rsidRPr="0013396E">
              <w:rPr>
                <w:iCs/>
                <w:kern w:val="2"/>
                <w:sz w:val="20"/>
                <w:szCs w:val="24"/>
              </w:rPr>
              <w:t>ff-</w:t>
            </w:r>
            <w:r w:rsidR="00494238" w:rsidRPr="0013396E">
              <w:rPr>
                <w:iCs/>
                <w:kern w:val="2"/>
                <w:sz w:val="20"/>
                <w:szCs w:val="24"/>
              </w:rPr>
              <w:t>L</w:t>
            </w:r>
            <w:r w:rsidRPr="0013396E">
              <w:rPr>
                <w:iCs/>
                <w:kern w:val="2"/>
                <w:sz w:val="20"/>
                <w:szCs w:val="24"/>
              </w:rPr>
              <w:t xml:space="preserve">ine. </w:t>
            </w:r>
            <w:r w:rsidR="006D7B7D" w:rsidRPr="0013396E">
              <w:rPr>
                <w:iCs/>
                <w:kern w:val="2"/>
                <w:sz w:val="20"/>
                <w:szCs w:val="24"/>
              </w:rPr>
              <w:t xml:space="preserve"> </w:t>
            </w:r>
            <w:r w:rsidRPr="0013396E">
              <w:rPr>
                <w:iCs/>
                <w:kern w:val="2"/>
                <w:sz w:val="20"/>
                <w:szCs w:val="24"/>
              </w:rPr>
              <w:t xml:space="preserve">Where for a </w:t>
            </w:r>
            <w:r w:rsidR="00446DBD" w:rsidRPr="0013396E">
              <w:rPr>
                <w:iCs/>
                <w:kern w:val="2"/>
                <w:sz w:val="20"/>
                <w:szCs w:val="24"/>
              </w:rPr>
              <w:t>c</w:t>
            </w:r>
            <w:r w:rsidRPr="0013396E">
              <w:rPr>
                <w:iCs/>
                <w:kern w:val="2"/>
                <w:sz w:val="20"/>
                <w:szCs w:val="24"/>
              </w:rPr>
              <w:t xml:space="preserve">ombined </w:t>
            </w:r>
            <w:r w:rsidR="00446DBD" w:rsidRPr="0013396E">
              <w:rPr>
                <w:iCs/>
                <w:kern w:val="2"/>
                <w:sz w:val="20"/>
                <w:szCs w:val="24"/>
              </w:rPr>
              <w:t>c</w:t>
            </w:r>
            <w:r w:rsidRPr="0013396E">
              <w:rPr>
                <w:iCs/>
                <w:kern w:val="2"/>
                <w:sz w:val="20"/>
                <w:szCs w:val="24"/>
              </w:rPr>
              <w:t xml:space="preserve">ycle Resource </w:t>
            </w:r>
            <w:r w:rsidRPr="0013396E">
              <w:rPr>
                <w:i/>
                <w:kern w:val="2"/>
                <w:sz w:val="20"/>
                <w:szCs w:val="24"/>
              </w:rPr>
              <w:t>r</w:t>
            </w:r>
            <w:r w:rsidRPr="0013396E">
              <w:rPr>
                <w:iCs/>
                <w:kern w:val="2"/>
                <w:sz w:val="20"/>
                <w:szCs w:val="24"/>
              </w:rPr>
              <w:t xml:space="preserve"> is the Combined Cycle Generation Resource within the Combined Cycle Train that was online when the Resource tripped Off-Line.</w:t>
            </w:r>
          </w:p>
        </w:tc>
      </w:tr>
      <w:tr w:rsidR="00B6651E" w:rsidRPr="0013396E" w14:paraId="69C63AFD" w14:textId="77777777" w:rsidTr="00E844EE">
        <w:trPr>
          <w:cantSplit/>
          <w:trHeight w:val="146"/>
        </w:trPr>
        <w:tc>
          <w:tcPr>
            <w:tcW w:w="996" w:type="pct"/>
            <w:tcBorders>
              <w:top w:val="single" w:sz="4" w:space="0" w:color="auto"/>
              <w:left w:val="single" w:sz="4" w:space="0" w:color="auto"/>
              <w:bottom w:val="single" w:sz="4" w:space="0" w:color="auto"/>
              <w:right w:val="single" w:sz="4" w:space="0" w:color="auto"/>
            </w:tcBorders>
          </w:tcPr>
          <w:p w14:paraId="1625B220" w14:textId="77777777" w:rsidR="00B6651E" w:rsidRPr="0013396E" w:rsidRDefault="00B6651E" w:rsidP="00494238">
            <w:pPr>
              <w:spacing w:after="60"/>
              <w:rPr>
                <w:iCs/>
                <w:kern w:val="2"/>
                <w:sz w:val="20"/>
                <w:szCs w:val="24"/>
              </w:rPr>
            </w:pPr>
            <w:r w:rsidRPr="0013396E">
              <w:rPr>
                <w:iCs/>
                <w:kern w:val="2"/>
                <w:sz w:val="20"/>
                <w:szCs w:val="24"/>
              </w:rPr>
              <w:t xml:space="preserve">RTSPP </w:t>
            </w:r>
            <w:r w:rsidRPr="0013396E">
              <w:rPr>
                <w:bCs/>
                <w:i/>
                <w:iCs/>
                <w:kern w:val="2"/>
                <w:sz w:val="20"/>
                <w:szCs w:val="24"/>
                <w:vertAlign w:val="subscript"/>
              </w:rPr>
              <w:t>p, i</w:t>
            </w:r>
          </w:p>
        </w:tc>
        <w:tc>
          <w:tcPr>
            <w:tcW w:w="460" w:type="pct"/>
            <w:tcBorders>
              <w:top w:val="single" w:sz="4" w:space="0" w:color="auto"/>
              <w:left w:val="single" w:sz="4" w:space="0" w:color="auto"/>
              <w:bottom w:val="single" w:sz="4" w:space="0" w:color="auto"/>
              <w:right w:val="single" w:sz="4" w:space="0" w:color="auto"/>
            </w:tcBorders>
          </w:tcPr>
          <w:p w14:paraId="3F2F25E1" w14:textId="77777777" w:rsidR="00B6651E" w:rsidRPr="0013396E" w:rsidRDefault="00B6651E" w:rsidP="00494238">
            <w:pPr>
              <w:spacing w:after="60"/>
              <w:rPr>
                <w:iCs/>
                <w:kern w:val="2"/>
                <w:sz w:val="20"/>
                <w:szCs w:val="24"/>
              </w:rPr>
            </w:pPr>
            <w:r w:rsidRPr="0013396E">
              <w:rPr>
                <w:iCs/>
                <w:kern w:val="2"/>
                <w:sz w:val="20"/>
                <w:szCs w:val="24"/>
              </w:rPr>
              <w:t>$/MWh</w:t>
            </w:r>
          </w:p>
        </w:tc>
        <w:tc>
          <w:tcPr>
            <w:tcW w:w="3544" w:type="pct"/>
            <w:tcBorders>
              <w:top w:val="single" w:sz="4" w:space="0" w:color="auto"/>
              <w:left w:val="single" w:sz="4" w:space="0" w:color="auto"/>
              <w:bottom w:val="single" w:sz="4" w:space="0" w:color="auto"/>
              <w:right w:val="single" w:sz="4" w:space="0" w:color="auto"/>
            </w:tcBorders>
          </w:tcPr>
          <w:p w14:paraId="0ECD01AE" w14:textId="77777777" w:rsidR="00B6651E" w:rsidRPr="0013396E" w:rsidRDefault="00B6651E" w:rsidP="00494238">
            <w:pPr>
              <w:spacing w:after="60"/>
              <w:rPr>
                <w:iCs/>
                <w:kern w:val="2"/>
                <w:sz w:val="20"/>
                <w:szCs w:val="24"/>
              </w:rPr>
            </w:pPr>
            <w:r w:rsidRPr="0013396E">
              <w:rPr>
                <w:i/>
                <w:kern w:val="2"/>
                <w:sz w:val="20"/>
                <w:szCs w:val="24"/>
              </w:rPr>
              <w:t>Real-Time Settlement Point Price per Settlement Point</w:t>
            </w:r>
            <w:r w:rsidRPr="0013396E">
              <w:rPr>
                <w:iCs/>
                <w:kern w:val="2"/>
                <w:sz w:val="20"/>
                <w:szCs w:val="24"/>
              </w:rPr>
              <w:t xml:space="preserve">—The Real-Time Settlement Point Price at Settlement Point </w:t>
            </w:r>
            <w:r w:rsidRPr="0013396E">
              <w:rPr>
                <w:i/>
                <w:kern w:val="2"/>
                <w:sz w:val="20"/>
                <w:szCs w:val="24"/>
              </w:rPr>
              <w:t>p</w:t>
            </w:r>
            <w:r w:rsidRPr="0013396E">
              <w:rPr>
                <w:iCs/>
                <w:kern w:val="2"/>
                <w:sz w:val="20"/>
                <w:szCs w:val="24"/>
              </w:rPr>
              <w:t xml:space="preserve">, for the 15-minute Settlement Interval </w:t>
            </w:r>
            <w:r w:rsidRPr="0013396E">
              <w:rPr>
                <w:i/>
                <w:kern w:val="2"/>
                <w:sz w:val="20"/>
                <w:szCs w:val="24"/>
              </w:rPr>
              <w:t>i</w:t>
            </w:r>
            <w:r w:rsidRPr="0013396E">
              <w:rPr>
                <w:iCs/>
                <w:kern w:val="2"/>
                <w:sz w:val="20"/>
                <w:szCs w:val="24"/>
              </w:rPr>
              <w:t>.</w:t>
            </w:r>
          </w:p>
        </w:tc>
      </w:tr>
      <w:tr w:rsidR="00B6651E" w:rsidRPr="0013396E" w14:paraId="0ED8E525" w14:textId="77777777" w:rsidTr="00E844EE">
        <w:trPr>
          <w:cantSplit/>
          <w:trHeight w:val="146"/>
        </w:trPr>
        <w:tc>
          <w:tcPr>
            <w:tcW w:w="996" w:type="pct"/>
            <w:tcBorders>
              <w:top w:val="single" w:sz="4" w:space="0" w:color="auto"/>
              <w:left w:val="single" w:sz="4" w:space="0" w:color="auto"/>
              <w:bottom w:val="single" w:sz="4" w:space="0" w:color="auto"/>
              <w:right w:val="single" w:sz="4" w:space="0" w:color="auto"/>
            </w:tcBorders>
          </w:tcPr>
          <w:p w14:paraId="74D1E063" w14:textId="77777777" w:rsidR="00B6651E" w:rsidRPr="0013396E" w:rsidRDefault="00B6651E" w:rsidP="00494238">
            <w:pPr>
              <w:spacing w:after="60"/>
              <w:rPr>
                <w:iCs/>
                <w:kern w:val="2"/>
                <w:sz w:val="20"/>
                <w:szCs w:val="24"/>
              </w:rPr>
            </w:pPr>
            <w:r w:rsidRPr="0013396E">
              <w:rPr>
                <w:iCs/>
                <w:kern w:val="2"/>
                <w:sz w:val="20"/>
                <w:szCs w:val="24"/>
              </w:rPr>
              <w:t xml:space="preserve">RTRSVPOR </w:t>
            </w:r>
            <w:r w:rsidRPr="0013396E">
              <w:rPr>
                <w:bCs/>
                <w:i/>
                <w:iCs/>
                <w:kern w:val="2"/>
                <w:sz w:val="20"/>
                <w:szCs w:val="24"/>
                <w:vertAlign w:val="subscript"/>
              </w:rPr>
              <w:t>i</w:t>
            </w:r>
          </w:p>
        </w:tc>
        <w:tc>
          <w:tcPr>
            <w:tcW w:w="460" w:type="pct"/>
            <w:tcBorders>
              <w:top w:val="single" w:sz="4" w:space="0" w:color="auto"/>
              <w:left w:val="single" w:sz="4" w:space="0" w:color="auto"/>
              <w:bottom w:val="single" w:sz="4" w:space="0" w:color="auto"/>
              <w:right w:val="single" w:sz="4" w:space="0" w:color="auto"/>
            </w:tcBorders>
          </w:tcPr>
          <w:p w14:paraId="329A260F" w14:textId="77777777" w:rsidR="00B6651E" w:rsidRPr="0013396E" w:rsidRDefault="00B6651E" w:rsidP="00494238">
            <w:pPr>
              <w:spacing w:after="60"/>
              <w:rPr>
                <w:iCs/>
                <w:kern w:val="2"/>
                <w:sz w:val="20"/>
                <w:szCs w:val="24"/>
              </w:rPr>
            </w:pPr>
            <w:r w:rsidRPr="0013396E">
              <w:rPr>
                <w:iCs/>
                <w:kern w:val="2"/>
                <w:sz w:val="20"/>
                <w:szCs w:val="24"/>
              </w:rPr>
              <w:t>$/MWh</w:t>
            </w:r>
          </w:p>
        </w:tc>
        <w:tc>
          <w:tcPr>
            <w:tcW w:w="3544" w:type="pct"/>
            <w:tcBorders>
              <w:top w:val="single" w:sz="4" w:space="0" w:color="auto"/>
              <w:left w:val="single" w:sz="4" w:space="0" w:color="auto"/>
              <w:bottom w:val="single" w:sz="4" w:space="0" w:color="auto"/>
              <w:right w:val="single" w:sz="4" w:space="0" w:color="auto"/>
            </w:tcBorders>
          </w:tcPr>
          <w:p w14:paraId="5EB2DD19" w14:textId="61CBB11E" w:rsidR="00B6651E" w:rsidRPr="0013396E" w:rsidRDefault="00B6651E" w:rsidP="00494238">
            <w:pPr>
              <w:spacing w:after="60"/>
              <w:rPr>
                <w:iCs/>
                <w:kern w:val="2"/>
                <w:sz w:val="20"/>
                <w:szCs w:val="24"/>
              </w:rPr>
            </w:pPr>
            <w:r w:rsidRPr="0013396E">
              <w:rPr>
                <w:i/>
                <w:kern w:val="2"/>
                <w:sz w:val="20"/>
                <w:szCs w:val="24"/>
              </w:rPr>
              <w:t>Real-Time Reserve Price for On-Line Reserves</w:t>
            </w:r>
            <w:r w:rsidR="00384047" w:rsidRPr="0013396E">
              <w:rPr>
                <w:iCs/>
                <w:kern w:val="2"/>
                <w:sz w:val="20"/>
                <w:szCs w:val="24"/>
              </w:rPr>
              <w:t>—</w:t>
            </w:r>
            <w:r w:rsidRPr="0013396E">
              <w:rPr>
                <w:iCs/>
                <w:kern w:val="2"/>
                <w:sz w:val="20"/>
                <w:szCs w:val="24"/>
              </w:rPr>
              <w:t xml:space="preserve">The Real-Time Reserve Price for On-Line Reserves for the 15-minute Settlement Interval </w:t>
            </w:r>
            <w:r w:rsidRPr="0013396E">
              <w:rPr>
                <w:i/>
                <w:kern w:val="2"/>
                <w:sz w:val="20"/>
                <w:szCs w:val="24"/>
              </w:rPr>
              <w:t>i</w:t>
            </w:r>
            <w:r w:rsidRPr="0013396E">
              <w:rPr>
                <w:iCs/>
                <w:kern w:val="2"/>
                <w:sz w:val="20"/>
                <w:szCs w:val="24"/>
              </w:rPr>
              <w:t>.</w:t>
            </w:r>
          </w:p>
        </w:tc>
      </w:tr>
      <w:tr w:rsidR="00B6651E" w:rsidRPr="0013396E" w14:paraId="72CEE13C" w14:textId="77777777" w:rsidTr="00E844EE">
        <w:trPr>
          <w:cantSplit/>
          <w:trHeight w:val="146"/>
        </w:trPr>
        <w:tc>
          <w:tcPr>
            <w:tcW w:w="996" w:type="pct"/>
            <w:tcBorders>
              <w:top w:val="single" w:sz="4" w:space="0" w:color="auto"/>
              <w:left w:val="single" w:sz="4" w:space="0" w:color="auto"/>
              <w:bottom w:val="single" w:sz="4" w:space="0" w:color="auto"/>
              <w:right w:val="single" w:sz="4" w:space="0" w:color="auto"/>
            </w:tcBorders>
          </w:tcPr>
          <w:p w14:paraId="31DB86D9" w14:textId="77777777" w:rsidR="00B6651E" w:rsidRPr="0013396E" w:rsidRDefault="00B6651E" w:rsidP="00494238">
            <w:pPr>
              <w:spacing w:after="60"/>
              <w:rPr>
                <w:iCs/>
                <w:kern w:val="2"/>
                <w:sz w:val="20"/>
                <w:szCs w:val="24"/>
              </w:rPr>
            </w:pPr>
            <w:r w:rsidRPr="0013396E">
              <w:rPr>
                <w:iCs/>
                <w:kern w:val="2"/>
                <w:sz w:val="20"/>
                <w:szCs w:val="24"/>
              </w:rPr>
              <w:t>RTRDP</w:t>
            </w:r>
            <w:r w:rsidRPr="0013396E">
              <w:rPr>
                <w:bCs/>
                <w:i/>
                <w:iCs/>
                <w:kern w:val="2"/>
                <w:sz w:val="20"/>
                <w:szCs w:val="24"/>
                <w:vertAlign w:val="subscript"/>
              </w:rPr>
              <w:t xml:space="preserve"> i</w:t>
            </w:r>
          </w:p>
        </w:tc>
        <w:tc>
          <w:tcPr>
            <w:tcW w:w="460" w:type="pct"/>
            <w:tcBorders>
              <w:top w:val="single" w:sz="4" w:space="0" w:color="auto"/>
              <w:left w:val="single" w:sz="4" w:space="0" w:color="auto"/>
              <w:bottom w:val="single" w:sz="4" w:space="0" w:color="auto"/>
              <w:right w:val="single" w:sz="4" w:space="0" w:color="auto"/>
            </w:tcBorders>
          </w:tcPr>
          <w:p w14:paraId="4DD0F478" w14:textId="77777777" w:rsidR="00B6651E" w:rsidRPr="0013396E" w:rsidRDefault="00B6651E" w:rsidP="00494238">
            <w:pPr>
              <w:spacing w:after="60"/>
              <w:rPr>
                <w:iCs/>
                <w:kern w:val="2"/>
                <w:sz w:val="20"/>
                <w:szCs w:val="24"/>
              </w:rPr>
            </w:pPr>
            <w:r w:rsidRPr="0013396E">
              <w:rPr>
                <w:iCs/>
                <w:kern w:val="2"/>
                <w:sz w:val="20"/>
                <w:szCs w:val="24"/>
              </w:rPr>
              <w:t>$/MWh</w:t>
            </w:r>
          </w:p>
        </w:tc>
        <w:tc>
          <w:tcPr>
            <w:tcW w:w="3544" w:type="pct"/>
            <w:tcBorders>
              <w:top w:val="single" w:sz="4" w:space="0" w:color="auto"/>
              <w:left w:val="single" w:sz="4" w:space="0" w:color="auto"/>
              <w:bottom w:val="single" w:sz="4" w:space="0" w:color="auto"/>
              <w:right w:val="single" w:sz="4" w:space="0" w:color="auto"/>
            </w:tcBorders>
          </w:tcPr>
          <w:p w14:paraId="643F7DED" w14:textId="0D9951BD" w:rsidR="00B6651E" w:rsidRPr="0013396E" w:rsidRDefault="00B6651E" w:rsidP="00494238">
            <w:pPr>
              <w:spacing w:after="60"/>
              <w:rPr>
                <w:iCs/>
                <w:kern w:val="2"/>
                <w:sz w:val="20"/>
                <w:szCs w:val="24"/>
              </w:rPr>
            </w:pPr>
            <w:r w:rsidRPr="0013396E">
              <w:rPr>
                <w:i/>
                <w:kern w:val="2"/>
                <w:sz w:val="20"/>
                <w:szCs w:val="24"/>
              </w:rPr>
              <w:t>Real-Time On-Line Reliability Deployment Price</w:t>
            </w:r>
            <w:r w:rsidR="00D4102A" w:rsidRPr="0013396E">
              <w:rPr>
                <w:iCs/>
                <w:kern w:val="2"/>
                <w:sz w:val="20"/>
                <w:szCs w:val="24"/>
              </w:rPr>
              <w:t>—</w:t>
            </w:r>
            <w:r w:rsidRPr="0013396E">
              <w:rPr>
                <w:iCs/>
                <w:kern w:val="2"/>
                <w:sz w:val="20"/>
                <w:szCs w:val="24"/>
              </w:rPr>
              <w:t xml:space="preserve">The Real-Time price for the 15-minute Settlement Interval </w:t>
            </w:r>
            <w:r w:rsidRPr="0013396E">
              <w:rPr>
                <w:i/>
                <w:kern w:val="2"/>
                <w:sz w:val="20"/>
                <w:szCs w:val="24"/>
              </w:rPr>
              <w:t>i</w:t>
            </w:r>
            <w:r w:rsidRPr="0013396E">
              <w:rPr>
                <w:iCs/>
                <w:kern w:val="2"/>
                <w:sz w:val="20"/>
                <w:szCs w:val="24"/>
              </w:rPr>
              <w:t>, reflecting the impact of reliability deployments on energy prices that is calculated from the Real-Time On-Line Reliability Deployment Price Adder.</w:t>
            </w:r>
          </w:p>
        </w:tc>
      </w:tr>
      <w:tr w:rsidR="00B6651E" w:rsidRPr="0013396E" w14:paraId="67FCFD0B" w14:textId="77777777" w:rsidTr="00E844EE">
        <w:trPr>
          <w:cantSplit/>
          <w:trHeight w:val="146"/>
        </w:trPr>
        <w:tc>
          <w:tcPr>
            <w:tcW w:w="996" w:type="pct"/>
            <w:tcBorders>
              <w:top w:val="single" w:sz="4" w:space="0" w:color="auto"/>
              <w:left w:val="single" w:sz="4" w:space="0" w:color="auto"/>
              <w:bottom w:val="single" w:sz="4" w:space="0" w:color="auto"/>
              <w:right w:val="single" w:sz="4" w:space="0" w:color="auto"/>
            </w:tcBorders>
          </w:tcPr>
          <w:p w14:paraId="05A3A978" w14:textId="77777777" w:rsidR="00B6651E" w:rsidRPr="0013396E" w:rsidRDefault="00B6651E" w:rsidP="00494238">
            <w:pPr>
              <w:spacing w:after="60"/>
              <w:rPr>
                <w:iCs/>
                <w:kern w:val="2"/>
                <w:sz w:val="20"/>
                <w:szCs w:val="24"/>
              </w:rPr>
            </w:pPr>
            <w:r w:rsidRPr="0013396E">
              <w:rPr>
                <w:iCs/>
                <w:kern w:val="2"/>
                <w:sz w:val="20"/>
                <w:szCs w:val="24"/>
              </w:rPr>
              <w:t xml:space="preserve">CMPSUCAP </w:t>
            </w:r>
            <w:r w:rsidRPr="0013396E">
              <w:rPr>
                <w:bCs/>
                <w:i/>
                <w:iCs/>
                <w:kern w:val="2"/>
                <w:sz w:val="20"/>
                <w:szCs w:val="24"/>
                <w:vertAlign w:val="subscript"/>
              </w:rPr>
              <w:t>q, r, p, s</w:t>
            </w:r>
          </w:p>
        </w:tc>
        <w:tc>
          <w:tcPr>
            <w:tcW w:w="460" w:type="pct"/>
            <w:tcBorders>
              <w:top w:val="single" w:sz="4" w:space="0" w:color="auto"/>
              <w:left w:val="single" w:sz="4" w:space="0" w:color="auto"/>
              <w:bottom w:val="single" w:sz="4" w:space="0" w:color="auto"/>
              <w:right w:val="single" w:sz="4" w:space="0" w:color="auto"/>
            </w:tcBorders>
          </w:tcPr>
          <w:p w14:paraId="72A91F02" w14:textId="77777777" w:rsidR="00B6651E" w:rsidRPr="0013396E" w:rsidRDefault="00B6651E" w:rsidP="00494238">
            <w:pPr>
              <w:spacing w:after="60"/>
              <w:rPr>
                <w:iCs/>
                <w:kern w:val="2"/>
                <w:sz w:val="20"/>
                <w:szCs w:val="24"/>
              </w:rPr>
            </w:pPr>
            <w:r w:rsidRPr="0013396E">
              <w:rPr>
                <w:iCs/>
                <w:kern w:val="2"/>
                <w:sz w:val="20"/>
                <w:szCs w:val="24"/>
              </w:rPr>
              <w:t>$/Start</w:t>
            </w:r>
          </w:p>
        </w:tc>
        <w:tc>
          <w:tcPr>
            <w:tcW w:w="3544" w:type="pct"/>
            <w:tcBorders>
              <w:top w:val="single" w:sz="4" w:space="0" w:color="auto"/>
              <w:left w:val="single" w:sz="4" w:space="0" w:color="auto"/>
              <w:bottom w:val="single" w:sz="4" w:space="0" w:color="auto"/>
              <w:right w:val="single" w:sz="4" w:space="0" w:color="auto"/>
            </w:tcBorders>
          </w:tcPr>
          <w:p w14:paraId="5D177554" w14:textId="4C0F864C" w:rsidR="00B6651E" w:rsidRPr="0013396E" w:rsidRDefault="00B6651E" w:rsidP="00494238">
            <w:pPr>
              <w:spacing w:after="60"/>
              <w:rPr>
                <w:iCs/>
                <w:kern w:val="2"/>
                <w:sz w:val="20"/>
                <w:szCs w:val="24"/>
              </w:rPr>
            </w:pPr>
            <w:r w:rsidRPr="0013396E">
              <w:rPr>
                <w:i/>
                <w:iCs/>
                <w:sz w:val="20"/>
              </w:rPr>
              <w:t xml:space="preserve">Constraint Management Plan </w:t>
            </w:r>
            <w:r w:rsidRPr="0013396E">
              <w:rPr>
                <w:i/>
                <w:kern w:val="2"/>
                <w:sz w:val="20"/>
                <w:szCs w:val="24"/>
              </w:rPr>
              <w:t>Startup Cap</w:t>
            </w:r>
            <w:r w:rsidRPr="0013396E">
              <w:rPr>
                <w:iCs/>
                <w:kern w:val="2"/>
                <w:sz w:val="20"/>
                <w:szCs w:val="24"/>
              </w:rPr>
              <w:t>—The CMP cap is the Resource Category Startup Offer Generic Cap (RCGSC) unless ERCOT has approved verifiable unit-specific Startup Costs for that Resource, in which case the CMP startup cap will be verifiable unit-specific Startup Cost determined as described in Section 5.6.1</w:t>
            </w:r>
            <w:r w:rsidR="00C40597" w:rsidRPr="0013396E">
              <w:rPr>
                <w:iCs/>
                <w:kern w:val="2"/>
                <w:sz w:val="20"/>
                <w:szCs w:val="24"/>
              </w:rPr>
              <w:t>, Verifiable Costs</w:t>
            </w:r>
            <w:r w:rsidRPr="0013396E">
              <w:rPr>
                <w:iCs/>
                <w:kern w:val="2"/>
                <w:sz w:val="20"/>
                <w:szCs w:val="24"/>
              </w:rPr>
              <w:t xml:space="preserve">.  Where for a Combined Cycle Train, the Resource </w:t>
            </w:r>
            <w:r w:rsidRPr="0013396E">
              <w:rPr>
                <w:i/>
                <w:kern w:val="2"/>
                <w:sz w:val="20"/>
                <w:szCs w:val="24"/>
              </w:rPr>
              <w:t>r</w:t>
            </w:r>
            <w:r w:rsidRPr="0013396E">
              <w:rPr>
                <w:iCs/>
                <w:kern w:val="2"/>
                <w:sz w:val="20"/>
                <w:szCs w:val="24"/>
              </w:rPr>
              <w:t xml:space="preserve"> is a Combined Cycle Generation Resource within the Combined Cycle Train.</w:t>
            </w:r>
          </w:p>
        </w:tc>
      </w:tr>
      <w:tr w:rsidR="00B6651E" w:rsidRPr="0013396E" w14:paraId="35D7146D" w14:textId="77777777" w:rsidTr="00E844EE">
        <w:trPr>
          <w:cantSplit/>
          <w:trHeight w:val="289"/>
        </w:trPr>
        <w:tc>
          <w:tcPr>
            <w:tcW w:w="996" w:type="pct"/>
            <w:tcBorders>
              <w:top w:val="single" w:sz="4" w:space="0" w:color="auto"/>
              <w:left w:val="single" w:sz="4" w:space="0" w:color="auto"/>
              <w:bottom w:val="single" w:sz="4" w:space="0" w:color="auto"/>
              <w:right w:val="single" w:sz="4" w:space="0" w:color="auto"/>
            </w:tcBorders>
            <w:hideMark/>
          </w:tcPr>
          <w:p w14:paraId="6F846D8E" w14:textId="77777777" w:rsidR="00B6651E" w:rsidRPr="0013396E" w:rsidRDefault="00B6651E" w:rsidP="00494238">
            <w:pPr>
              <w:spacing w:after="60"/>
              <w:rPr>
                <w:i/>
                <w:iCs/>
                <w:kern w:val="2"/>
                <w:sz w:val="20"/>
                <w:szCs w:val="24"/>
              </w:rPr>
            </w:pPr>
            <w:r w:rsidRPr="0013396E">
              <w:rPr>
                <w:i/>
                <w:iCs/>
                <w:kern w:val="2"/>
                <w:sz w:val="20"/>
                <w:szCs w:val="24"/>
              </w:rPr>
              <w:t>q</w:t>
            </w:r>
          </w:p>
        </w:tc>
        <w:tc>
          <w:tcPr>
            <w:tcW w:w="460" w:type="pct"/>
            <w:tcBorders>
              <w:top w:val="single" w:sz="4" w:space="0" w:color="auto"/>
              <w:left w:val="single" w:sz="4" w:space="0" w:color="auto"/>
              <w:bottom w:val="single" w:sz="4" w:space="0" w:color="auto"/>
              <w:right w:val="single" w:sz="4" w:space="0" w:color="auto"/>
            </w:tcBorders>
            <w:hideMark/>
          </w:tcPr>
          <w:p w14:paraId="466BC344" w14:textId="77777777" w:rsidR="00B6651E" w:rsidRPr="0013396E" w:rsidRDefault="00B6651E" w:rsidP="00494238">
            <w:pPr>
              <w:spacing w:after="60"/>
              <w:rPr>
                <w:iCs/>
                <w:kern w:val="2"/>
                <w:sz w:val="20"/>
                <w:szCs w:val="24"/>
              </w:rPr>
            </w:pPr>
            <w:r w:rsidRPr="0013396E">
              <w:rPr>
                <w:iCs/>
                <w:kern w:val="2"/>
                <w:sz w:val="20"/>
                <w:szCs w:val="24"/>
              </w:rPr>
              <w:t>None</w:t>
            </w:r>
          </w:p>
        </w:tc>
        <w:tc>
          <w:tcPr>
            <w:tcW w:w="3544" w:type="pct"/>
            <w:tcBorders>
              <w:top w:val="single" w:sz="4" w:space="0" w:color="auto"/>
              <w:left w:val="single" w:sz="4" w:space="0" w:color="auto"/>
              <w:bottom w:val="single" w:sz="4" w:space="0" w:color="auto"/>
              <w:right w:val="single" w:sz="4" w:space="0" w:color="auto"/>
            </w:tcBorders>
            <w:hideMark/>
          </w:tcPr>
          <w:p w14:paraId="2F2EEA16" w14:textId="77777777" w:rsidR="00B6651E" w:rsidRPr="0013396E" w:rsidRDefault="00B6651E" w:rsidP="00494238">
            <w:pPr>
              <w:spacing w:after="60"/>
              <w:rPr>
                <w:i/>
                <w:kern w:val="2"/>
                <w:sz w:val="20"/>
                <w:szCs w:val="24"/>
              </w:rPr>
            </w:pPr>
            <w:r w:rsidRPr="0013396E">
              <w:rPr>
                <w:iCs/>
                <w:kern w:val="2"/>
                <w:sz w:val="20"/>
                <w:szCs w:val="24"/>
              </w:rPr>
              <w:t>A QSE.</w:t>
            </w:r>
          </w:p>
        </w:tc>
      </w:tr>
      <w:tr w:rsidR="00B6651E" w:rsidRPr="0013396E" w14:paraId="4E68A206" w14:textId="77777777" w:rsidTr="00E844EE">
        <w:trPr>
          <w:cantSplit/>
          <w:trHeight w:val="289"/>
        </w:trPr>
        <w:tc>
          <w:tcPr>
            <w:tcW w:w="996" w:type="pct"/>
            <w:tcBorders>
              <w:top w:val="single" w:sz="4" w:space="0" w:color="auto"/>
              <w:left w:val="single" w:sz="4" w:space="0" w:color="auto"/>
              <w:bottom w:val="single" w:sz="4" w:space="0" w:color="auto"/>
              <w:right w:val="single" w:sz="4" w:space="0" w:color="auto"/>
            </w:tcBorders>
            <w:hideMark/>
          </w:tcPr>
          <w:p w14:paraId="1737698D" w14:textId="77777777" w:rsidR="00B6651E" w:rsidRPr="0013396E" w:rsidRDefault="00B6651E" w:rsidP="00494238">
            <w:pPr>
              <w:spacing w:after="60"/>
              <w:rPr>
                <w:i/>
                <w:iCs/>
                <w:kern w:val="2"/>
                <w:sz w:val="20"/>
                <w:szCs w:val="24"/>
              </w:rPr>
            </w:pPr>
            <w:r w:rsidRPr="0013396E">
              <w:rPr>
                <w:i/>
                <w:iCs/>
                <w:kern w:val="2"/>
                <w:sz w:val="20"/>
                <w:szCs w:val="24"/>
              </w:rPr>
              <w:t>r</w:t>
            </w:r>
          </w:p>
        </w:tc>
        <w:tc>
          <w:tcPr>
            <w:tcW w:w="460" w:type="pct"/>
            <w:tcBorders>
              <w:top w:val="single" w:sz="4" w:space="0" w:color="auto"/>
              <w:left w:val="single" w:sz="4" w:space="0" w:color="auto"/>
              <w:bottom w:val="single" w:sz="4" w:space="0" w:color="auto"/>
              <w:right w:val="single" w:sz="4" w:space="0" w:color="auto"/>
            </w:tcBorders>
            <w:hideMark/>
          </w:tcPr>
          <w:p w14:paraId="43D8F26E" w14:textId="77777777" w:rsidR="00B6651E" w:rsidRPr="0013396E" w:rsidRDefault="00B6651E" w:rsidP="00494238">
            <w:pPr>
              <w:spacing w:after="60"/>
              <w:rPr>
                <w:iCs/>
                <w:kern w:val="2"/>
                <w:sz w:val="20"/>
                <w:szCs w:val="24"/>
              </w:rPr>
            </w:pPr>
            <w:r w:rsidRPr="0013396E">
              <w:rPr>
                <w:iCs/>
                <w:kern w:val="2"/>
                <w:sz w:val="20"/>
                <w:szCs w:val="24"/>
              </w:rPr>
              <w:t>None</w:t>
            </w:r>
          </w:p>
        </w:tc>
        <w:tc>
          <w:tcPr>
            <w:tcW w:w="3544" w:type="pct"/>
            <w:tcBorders>
              <w:top w:val="single" w:sz="4" w:space="0" w:color="auto"/>
              <w:left w:val="single" w:sz="4" w:space="0" w:color="auto"/>
              <w:bottom w:val="single" w:sz="4" w:space="0" w:color="auto"/>
              <w:right w:val="single" w:sz="4" w:space="0" w:color="auto"/>
            </w:tcBorders>
            <w:hideMark/>
          </w:tcPr>
          <w:p w14:paraId="74D9463E" w14:textId="77777777" w:rsidR="00B6651E" w:rsidRPr="0013396E" w:rsidRDefault="00B6651E" w:rsidP="00494238">
            <w:pPr>
              <w:spacing w:after="60"/>
              <w:rPr>
                <w:i/>
                <w:kern w:val="2"/>
                <w:sz w:val="20"/>
                <w:szCs w:val="24"/>
              </w:rPr>
            </w:pPr>
            <w:r w:rsidRPr="0013396E">
              <w:rPr>
                <w:iCs/>
                <w:kern w:val="2"/>
                <w:sz w:val="20"/>
                <w:szCs w:val="24"/>
              </w:rPr>
              <w:t>A Generation Resource.</w:t>
            </w:r>
          </w:p>
        </w:tc>
      </w:tr>
      <w:tr w:rsidR="00B6651E" w:rsidRPr="0013396E" w14:paraId="52070BBE" w14:textId="77777777" w:rsidTr="00E844EE">
        <w:trPr>
          <w:cantSplit/>
          <w:trHeight w:val="289"/>
        </w:trPr>
        <w:tc>
          <w:tcPr>
            <w:tcW w:w="996" w:type="pct"/>
            <w:tcBorders>
              <w:top w:val="single" w:sz="4" w:space="0" w:color="auto"/>
              <w:left w:val="single" w:sz="4" w:space="0" w:color="auto"/>
              <w:bottom w:val="single" w:sz="4" w:space="0" w:color="auto"/>
              <w:right w:val="single" w:sz="4" w:space="0" w:color="auto"/>
            </w:tcBorders>
            <w:hideMark/>
          </w:tcPr>
          <w:p w14:paraId="1F1C906E" w14:textId="77777777" w:rsidR="00B6651E" w:rsidRPr="0013396E" w:rsidRDefault="00B6651E" w:rsidP="00494238">
            <w:pPr>
              <w:spacing w:after="60"/>
              <w:rPr>
                <w:i/>
                <w:iCs/>
                <w:kern w:val="2"/>
                <w:sz w:val="20"/>
                <w:szCs w:val="24"/>
              </w:rPr>
            </w:pPr>
            <w:r w:rsidRPr="0013396E">
              <w:rPr>
                <w:i/>
                <w:iCs/>
                <w:kern w:val="2"/>
                <w:sz w:val="20"/>
                <w:szCs w:val="24"/>
              </w:rPr>
              <w:t>p</w:t>
            </w:r>
          </w:p>
        </w:tc>
        <w:tc>
          <w:tcPr>
            <w:tcW w:w="460" w:type="pct"/>
            <w:tcBorders>
              <w:top w:val="single" w:sz="4" w:space="0" w:color="auto"/>
              <w:left w:val="single" w:sz="4" w:space="0" w:color="auto"/>
              <w:bottom w:val="single" w:sz="4" w:space="0" w:color="auto"/>
              <w:right w:val="single" w:sz="4" w:space="0" w:color="auto"/>
            </w:tcBorders>
            <w:hideMark/>
          </w:tcPr>
          <w:p w14:paraId="25DD940B" w14:textId="77777777" w:rsidR="00B6651E" w:rsidRPr="0013396E" w:rsidRDefault="00B6651E" w:rsidP="00494238">
            <w:pPr>
              <w:spacing w:after="60"/>
              <w:rPr>
                <w:iCs/>
                <w:kern w:val="2"/>
                <w:sz w:val="20"/>
                <w:szCs w:val="24"/>
              </w:rPr>
            </w:pPr>
            <w:r w:rsidRPr="0013396E">
              <w:rPr>
                <w:iCs/>
                <w:kern w:val="2"/>
                <w:sz w:val="20"/>
                <w:szCs w:val="24"/>
              </w:rPr>
              <w:t>None</w:t>
            </w:r>
          </w:p>
        </w:tc>
        <w:tc>
          <w:tcPr>
            <w:tcW w:w="3544" w:type="pct"/>
            <w:tcBorders>
              <w:top w:val="single" w:sz="4" w:space="0" w:color="auto"/>
              <w:left w:val="single" w:sz="4" w:space="0" w:color="auto"/>
              <w:bottom w:val="single" w:sz="4" w:space="0" w:color="auto"/>
              <w:right w:val="single" w:sz="4" w:space="0" w:color="auto"/>
            </w:tcBorders>
            <w:hideMark/>
          </w:tcPr>
          <w:p w14:paraId="408539CC" w14:textId="77777777" w:rsidR="00B6651E" w:rsidRPr="0013396E" w:rsidRDefault="00B6651E" w:rsidP="00494238">
            <w:pPr>
              <w:spacing w:after="60"/>
              <w:rPr>
                <w:iCs/>
                <w:kern w:val="2"/>
                <w:sz w:val="20"/>
                <w:szCs w:val="24"/>
              </w:rPr>
            </w:pPr>
            <w:r w:rsidRPr="0013396E">
              <w:rPr>
                <w:iCs/>
                <w:kern w:val="2"/>
                <w:sz w:val="20"/>
                <w:szCs w:val="24"/>
              </w:rPr>
              <w:t>A Resource Node Settlement Point.</w:t>
            </w:r>
          </w:p>
        </w:tc>
      </w:tr>
      <w:tr w:rsidR="00B6651E" w:rsidRPr="0013396E" w14:paraId="027FA47B" w14:textId="77777777" w:rsidTr="00E844EE">
        <w:trPr>
          <w:cantSplit/>
          <w:trHeight w:val="242"/>
        </w:trPr>
        <w:tc>
          <w:tcPr>
            <w:tcW w:w="996" w:type="pct"/>
            <w:tcBorders>
              <w:top w:val="single" w:sz="4" w:space="0" w:color="auto"/>
              <w:left w:val="single" w:sz="4" w:space="0" w:color="auto"/>
              <w:bottom w:val="single" w:sz="4" w:space="0" w:color="auto"/>
              <w:right w:val="single" w:sz="4" w:space="0" w:color="auto"/>
            </w:tcBorders>
            <w:hideMark/>
          </w:tcPr>
          <w:p w14:paraId="735A608C" w14:textId="77777777" w:rsidR="00B6651E" w:rsidRPr="0013396E" w:rsidRDefault="00B6651E" w:rsidP="00494238">
            <w:pPr>
              <w:spacing w:after="60"/>
              <w:rPr>
                <w:i/>
                <w:iCs/>
                <w:kern w:val="2"/>
                <w:sz w:val="20"/>
                <w:szCs w:val="24"/>
              </w:rPr>
            </w:pPr>
            <w:r w:rsidRPr="0013396E">
              <w:rPr>
                <w:i/>
                <w:iCs/>
                <w:kern w:val="2"/>
                <w:sz w:val="20"/>
                <w:szCs w:val="24"/>
              </w:rPr>
              <w:t>i</w:t>
            </w:r>
          </w:p>
        </w:tc>
        <w:tc>
          <w:tcPr>
            <w:tcW w:w="460" w:type="pct"/>
            <w:tcBorders>
              <w:top w:val="single" w:sz="4" w:space="0" w:color="auto"/>
              <w:left w:val="single" w:sz="4" w:space="0" w:color="auto"/>
              <w:bottom w:val="single" w:sz="4" w:space="0" w:color="auto"/>
              <w:right w:val="single" w:sz="4" w:space="0" w:color="auto"/>
            </w:tcBorders>
            <w:hideMark/>
          </w:tcPr>
          <w:p w14:paraId="6D36C39B" w14:textId="77777777" w:rsidR="00B6651E" w:rsidRPr="0013396E" w:rsidRDefault="00B6651E" w:rsidP="00494238">
            <w:pPr>
              <w:spacing w:after="60"/>
              <w:rPr>
                <w:iCs/>
                <w:kern w:val="2"/>
                <w:sz w:val="20"/>
                <w:szCs w:val="24"/>
              </w:rPr>
            </w:pPr>
            <w:r w:rsidRPr="0013396E">
              <w:rPr>
                <w:iCs/>
                <w:kern w:val="2"/>
                <w:sz w:val="20"/>
                <w:szCs w:val="24"/>
              </w:rPr>
              <w:t>None</w:t>
            </w:r>
          </w:p>
        </w:tc>
        <w:tc>
          <w:tcPr>
            <w:tcW w:w="3544" w:type="pct"/>
            <w:tcBorders>
              <w:top w:val="single" w:sz="4" w:space="0" w:color="auto"/>
              <w:left w:val="single" w:sz="4" w:space="0" w:color="auto"/>
              <w:bottom w:val="single" w:sz="4" w:space="0" w:color="auto"/>
              <w:right w:val="single" w:sz="4" w:space="0" w:color="auto"/>
            </w:tcBorders>
            <w:hideMark/>
          </w:tcPr>
          <w:p w14:paraId="68FB0F1C" w14:textId="77777777" w:rsidR="00B6651E" w:rsidRPr="0013396E" w:rsidRDefault="00B6651E" w:rsidP="00494238">
            <w:pPr>
              <w:spacing w:after="60"/>
              <w:rPr>
                <w:iCs/>
                <w:kern w:val="2"/>
                <w:sz w:val="20"/>
                <w:szCs w:val="24"/>
              </w:rPr>
            </w:pPr>
            <w:r w:rsidRPr="0013396E">
              <w:rPr>
                <w:iCs/>
                <w:kern w:val="2"/>
                <w:sz w:val="20"/>
                <w:szCs w:val="24"/>
              </w:rPr>
              <w:t>A 15-minute Settlement Interval.</w:t>
            </w:r>
          </w:p>
        </w:tc>
      </w:tr>
      <w:tr w:rsidR="00B6651E" w:rsidRPr="0013396E" w14:paraId="15FC51F2" w14:textId="77777777" w:rsidTr="00E844EE">
        <w:trPr>
          <w:cantSplit/>
          <w:trHeight w:val="242"/>
        </w:trPr>
        <w:tc>
          <w:tcPr>
            <w:tcW w:w="996" w:type="pct"/>
            <w:tcBorders>
              <w:top w:val="single" w:sz="4" w:space="0" w:color="auto"/>
              <w:left w:val="single" w:sz="4" w:space="0" w:color="auto"/>
              <w:bottom w:val="single" w:sz="4" w:space="0" w:color="auto"/>
              <w:right w:val="single" w:sz="4" w:space="0" w:color="auto"/>
            </w:tcBorders>
            <w:hideMark/>
          </w:tcPr>
          <w:p w14:paraId="75D5A719" w14:textId="77777777" w:rsidR="00B6651E" w:rsidRPr="0013396E" w:rsidRDefault="00B6651E" w:rsidP="00494238">
            <w:pPr>
              <w:spacing w:after="60"/>
              <w:rPr>
                <w:i/>
                <w:iCs/>
                <w:kern w:val="2"/>
                <w:sz w:val="20"/>
                <w:szCs w:val="24"/>
              </w:rPr>
            </w:pPr>
            <w:r w:rsidRPr="0013396E">
              <w:rPr>
                <w:i/>
                <w:iCs/>
                <w:kern w:val="2"/>
                <w:sz w:val="20"/>
                <w:szCs w:val="24"/>
              </w:rPr>
              <w:t>h</w:t>
            </w:r>
          </w:p>
        </w:tc>
        <w:tc>
          <w:tcPr>
            <w:tcW w:w="460" w:type="pct"/>
            <w:tcBorders>
              <w:top w:val="single" w:sz="4" w:space="0" w:color="auto"/>
              <w:left w:val="single" w:sz="4" w:space="0" w:color="auto"/>
              <w:bottom w:val="single" w:sz="4" w:space="0" w:color="auto"/>
              <w:right w:val="single" w:sz="4" w:space="0" w:color="auto"/>
            </w:tcBorders>
            <w:hideMark/>
          </w:tcPr>
          <w:p w14:paraId="20784E91" w14:textId="77777777" w:rsidR="00B6651E" w:rsidRPr="0013396E" w:rsidRDefault="00B6651E" w:rsidP="00494238">
            <w:pPr>
              <w:spacing w:after="60"/>
              <w:rPr>
                <w:iCs/>
                <w:kern w:val="2"/>
                <w:sz w:val="20"/>
                <w:szCs w:val="24"/>
              </w:rPr>
            </w:pPr>
            <w:r w:rsidRPr="0013396E">
              <w:rPr>
                <w:iCs/>
                <w:kern w:val="2"/>
                <w:sz w:val="20"/>
                <w:szCs w:val="24"/>
              </w:rPr>
              <w:t>None</w:t>
            </w:r>
          </w:p>
        </w:tc>
        <w:tc>
          <w:tcPr>
            <w:tcW w:w="3544" w:type="pct"/>
            <w:tcBorders>
              <w:top w:val="single" w:sz="4" w:space="0" w:color="auto"/>
              <w:left w:val="single" w:sz="4" w:space="0" w:color="auto"/>
              <w:bottom w:val="single" w:sz="4" w:space="0" w:color="auto"/>
              <w:right w:val="single" w:sz="4" w:space="0" w:color="auto"/>
            </w:tcBorders>
            <w:hideMark/>
          </w:tcPr>
          <w:p w14:paraId="426ACB0C" w14:textId="77777777" w:rsidR="00B6651E" w:rsidRPr="0013396E" w:rsidRDefault="00B6651E" w:rsidP="00494238">
            <w:pPr>
              <w:spacing w:after="60"/>
              <w:rPr>
                <w:iCs/>
                <w:kern w:val="2"/>
                <w:sz w:val="20"/>
                <w:szCs w:val="24"/>
              </w:rPr>
            </w:pPr>
            <w:r w:rsidRPr="0013396E">
              <w:rPr>
                <w:iCs/>
                <w:kern w:val="2"/>
                <w:sz w:val="20"/>
                <w:szCs w:val="24"/>
              </w:rPr>
              <w:t>An Operating Hour.</w:t>
            </w:r>
          </w:p>
        </w:tc>
      </w:tr>
      <w:tr w:rsidR="00B6651E" w:rsidRPr="0013396E" w14:paraId="00823C82" w14:textId="77777777" w:rsidTr="00E844EE">
        <w:trPr>
          <w:cantSplit/>
          <w:trHeight w:val="242"/>
        </w:trPr>
        <w:tc>
          <w:tcPr>
            <w:tcW w:w="996" w:type="pct"/>
            <w:tcBorders>
              <w:top w:val="single" w:sz="4" w:space="0" w:color="auto"/>
              <w:left w:val="single" w:sz="4" w:space="0" w:color="auto"/>
              <w:bottom w:val="single" w:sz="4" w:space="0" w:color="auto"/>
              <w:right w:val="single" w:sz="4" w:space="0" w:color="auto"/>
            </w:tcBorders>
          </w:tcPr>
          <w:p w14:paraId="0BE06870" w14:textId="77777777" w:rsidR="00B6651E" w:rsidRPr="0013396E" w:rsidRDefault="00B6651E" w:rsidP="00494238">
            <w:pPr>
              <w:spacing w:after="60"/>
              <w:rPr>
                <w:i/>
                <w:iCs/>
                <w:kern w:val="2"/>
                <w:sz w:val="20"/>
                <w:szCs w:val="24"/>
              </w:rPr>
            </w:pPr>
            <w:r w:rsidRPr="0013396E">
              <w:rPr>
                <w:i/>
                <w:iCs/>
                <w:kern w:val="2"/>
                <w:sz w:val="20"/>
                <w:szCs w:val="24"/>
              </w:rPr>
              <w:t>cold</w:t>
            </w:r>
          </w:p>
        </w:tc>
        <w:tc>
          <w:tcPr>
            <w:tcW w:w="460" w:type="pct"/>
            <w:tcBorders>
              <w:top w:val="single" w:sz="4" w:space="0" w:color="auto"/>
              <w:left w:val="single" w:sz="4" w:space="0" w:color="auto"/>
              <w:bottom w:val="single" w:sz="4" w:space="0" w:color="auto"/>
              <w:right w:val="single" w:sz="4" w:space="0" w:color="auto"/>
            </w:tcBorders>
          </w:tcPr>
          <w:p w14:paraId="3B135B04" w14:textId="77777777" w:rsidR="00B6651E" w:rsidRPr="0013396E" w:rsidRDefault="00B6651E" w:rsidP="00494238">
            <w:pPr>
              <w:spacing w:after="60"/>
              <w:rPr>
                <w:iCs/>
                <w:kern w:val="2"/>
                <w:sz w:val="20"/>
                <w:szCs w:val="24"/>
              </w:rPr>
            </w:pPr>
            <w:r w:rsidRPr="0013396E">
              <w:rPr>
                <w:iCs/>
                <w:kern w:val="2"/>
                <w:sz w:val="20"/>
                <w:szCs w:val="24"/>
              </w:rPr>
              <w:t>None</w:t>
            </w:r>
          </w:p>
        </w:tc>
        <w:tc>
          <w:tcPr>
            <w:tcW w:w="3544" w:type="pct"/>
            <w:tcBorders>
              <w:top w:val="single" w:sz="4" w:space="0" w:color="auto"/>
              <w:left w:val="single" w:sz="4" w:space="0" w:color="auto"/>
              <w:bottom w:val="single" w:sz="4" w:space="0" w:color="auto"/>
              <w:right w:val="single" w:sz="4" w:space="0" w:color="auto"/>
            </w:tcBorders>
          </w:tcPr>
          <w:p w14:paraId="7097897C" w14:textId="2F2B6933" w:rsidR="00B6651E" w:rsidRPr="0013396E" w:rsidRDefault="00B6651E" w:rsidP="00494238">
            <w:pPr>
              <w:spacing w:after="60"/>
              <w:rPr>
                <w:iCs/>
                <w:kern w:val="2"/>
                <w:sz w:val="20"/>
                <w:szCs w:val="24"/>
              </w:rPr>
            </w:pPr>
            <w:r w:rsidRPr="0013396E">
              <w:rPr>
                <w:sz w:val="20"/>
              </w:rPr>
              <w:t>A cold start</w:t>
            </w:r>
            <w:r w:rsidR="00B94C14" w:rsidRPr="0013396E">
              <w:rPr>
                <w:sz w:val="20"/>
              </w:rPr>
              <w:t>.</w:t>
            </w:r>
            <w:r w:rsidRPr="0013396E">
              <w:rPr>
                <w:sz w:val="20"/>
              </w:rPr>
              <w:t xml:space="preserve"> </w:t>
            </w:r>
          </w:p>
        </w:tc>
      </w:tr>
    </w:tbl>
    <w:p w14:paraId="1F57EE6B" w14:textId="77777777" w:rsidR="00B6651E" w:rsidRPr="0013396E" w:rsidRDefault="00B6651E" w:rsidP="00B6651E">
      <w:pPr>
        <w:spacing w:before="240" w:after="240"/>
        <w:ind w:left="720" w:hanging="720"/>
        <w:rPr>
          <w:szCs w:val="24"/>
        </w:rPr>
      </w:pPr>
      <w:r w:rsidRPr="0013396E">
        <w:rPr>
          <w:szCs w:val="24"/>
        </w:rPr>
        <w:t>(8)</w:t>
      </w:r>
      <w:r w:rsidRPr="0013396E">
        <w:rPr>
          <w:szCs w:val="24"/>
        </w:rPr>
        <w:tab/>
        <w:t>The total compensation to each QSE for a trip Off-Line due to ERCOT CMP or equivalent VDI for the 15-minute Settlement Interval is calculated as follows:</w:t>
      </w:r>
    </w:p>
    <w:p w14:paraId="0B623247" w14:textId="77777777" w:rsidR="00B6651E" w:rsidRPr="0013396E" w:rsidRDefault="00B6651E" w:rsidP="00B6651E">
      <w:pPr>
        <w:spacing w:after="240"/>
        <w:ind w:left="720" w:firstLine="630"/>
        <w:rPr>
          <w:bCs/>
          <w:iCs/>
          <w:szCs w:val="24"/>
        </w:rPr>
      </w:pPr>
      <w:r w:rsidRPr="0013396E">
        <w:rPr>
          <w:b/>
          <w:szCs w:val="24"/>
        </w:rPr>
        <w:t>CMPCRAMTQSETOT</w:t>
      </w:r>
      <w:r w:rsidRPr="0013396E">
        <w:rPr>
          <w:b/>
          <w:i/>
          <w:szCs w:val="24"/>
          <w:vertAlign w:val="subscript"/>
        </w:rPr>
        <w:t xml:space="preserve"> q, i</w:t>
      </w:r>
      <w:r w:rsidRPr="0013396E">
        <w:rPr>
          <w:b/>
          <w:szCs w:val="24"/>
        </w:rPr>
        <w:t xml:space="preserve"> = </w:t>
      </w:r>
      <w:r w:rsidRPr="0013396E">
        <w:rPr>
          <w:b/>
          <w:noProof/>
          <w:position w:val="-28"/>
          <w:szCs w:val="24"/>
        </w:rPr>
        <w:drawing>
          <wp:inline distT="0" distB="0" distL="0" distR="0" wp14:anchorId="189847C3" wp14:editId="2505D1EB">
            <wp:extent cx="295275" cy="419100"/>
            <wp:effectExtent l="0" t="0" r="0" b="0"/>
            <wp:docPr id="11013010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3">
                      <a:extLst>
                        <a:ext uri="{28A0092B-C50C-407E-A947-70E740481C1C}">
                          <a14:useLocalDpi xmlns:a14="http://schemas.microsoft.com/office/drawing/2010/main" val="0"/>
                        </a:ext>
                      </a:extLst>
                    </a:blip>
                    <a:srcRect/>
                    <a:stretch>
                      <a:fillRect/>
                    </a:stretch>
                  </pic:blipFill>
                  <pic:spPr bwMode="auto">
                    <a:xfrm>
                      <a:off x="0" y="0"/>
                      <a:ext cx="295275" cy="419100"/>
                    </a:xfrm>
                    <a:prstGeom prst="rect">
                      <a:avLst/>
                    </a:prstGeom>
                    <a:noFill/>
                    <a:ln>
                      <a:noFill/>
                    </a:ln>
                  </pic:spPr>
                </pic:pic>
              </a:graphicData>
            </a:graphic>
          </wp:inline>
        </w:drawing>
      </w:r>
      <w:r w:rsidRPr="0013396E">
        <w:rPr>
          <w:b/>
          <w:noProof/>
          <w:position w:val="-30"/>
          <w:szCs w:val="24"/>
        </w:rPr>
        <w:drawing>
          <wp:inline distT="0" distB="0" distL="0" distR="0" wp14:anchorId="6B52E22F" wp14:editId="65BC1FA8">
            <wp:extent cx="295275" cy="457200"/>
            <wp:effectExtent l="0" t="0" r="0" b="0"/>
            <wp:docPr id="19399861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4">
                      <a:extLst>
                        <a:ext uri="{28A0092B-C50C-407E-A947-70E740481C1C}">
                          <a14:useLocalDpi xmlns:a14="http://schemas.microsoft.com/office/drawing/2010/main" val="0"/>
                        </a:ext>
                      </a:extLst>
                    </a:blip>
                    <a:srcRect/>
                    <a:stretch>
                      <a:fillRect/>
                    </a:stretch>
                  </pic:blipFill>
                  <pic:spPr bwMode="auto">
                    <a:xfrm>
                      <a:off x="0" y="0"/>
                      <a:ext cx="295275" cy="457200"/>
                    </a:xfrm>
                    <a:prstGeom prst="rect">
                      <a:avLst/>
                    </a:prstGeom>
                    <a:noFill/>
                    <a:ln>
                      <a:noFill/>
                    </a:ln>
                  </pic:spPr>
                </pic:pic>
              </a:graphicData>
            </a:graphic>
          </wp:inline>
        </w:drawing>
      </w:r>
      <w:r w:rsidRPr="0013396E">
        <w:rPr>
          <w:b/>
          <w:szCs w:val="24"/>
        </w:rPr>
        <w:t>CMPCRAMT</w:t>
      </w:r>
      <w:r w:rsidRPr="0013396E">
        <w:rPr>
          <w:b/>
          <w:i/>
          <w:szCs w:val="24"/>
          <w:vertAlign w:val="subscript"/>
        </w:rPr>
        <w:t xml:space="preserve"> q, r, p, i</w:t>
      </w:r>
    </w:p>
    <w:p w14:paraId="512F7DA2" w14:textId="77777777" w:rsidR="00B6651E" w:rsidRPr="0013396E" w:rsidRDefault="00B6651E" w:rsidP="00B6651E">
      <w:pPr>
        <w:spacing w:before="120"/>
        <w:rPr>
          <w:szCs w:val="24"/>
        </w:rPr>
      </w:pPr>
      <w:r w:rsidRPr="0013396E">
        <w:rPr>
          <w:szCs w:val="24"/>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2"/>
        <w:gridCol w:w="886"/>
        <w:gridCol w:w="6162"/>
      </w:tblGrid>
      <w:tr w:rsidR="00B6651E" w:rsidRPr="0013396E" w14:paraId="4FA398B0" w14:textId="77777777" w:rsidTr="00E844EE">
        <w:trPr>
          <w:cantSplit/>
          <w:tblHeader/>
        </w:trPr>
        <w:tc>
          <w:tcPr>
            <w:tcW w:w="1231" w:type="pct"/>
            <w:tcBorders>
              <w:top w:val="single" w:sz="4" w:space="0" w:color="auto"/>
              <w:left w:val="single" w:sz="4" w:space="0" w:color="auto"/>
              <w:bottom w:val="single" w:sz="4" w:space="0" w:color="auto"/>
              <w:right w:val="single" w:sz="4" w:space="0" w:color="auto"/>
            </w:tcBorders>
            <w:hideMark/>
          </w:tcPr>
          <w:p w14:paraId="25F39C03" w14:textId="77777777" w:rsidR="00B6651E" w:rsidRPr="0013396E" w:rsidRDefault="00B6651E" w:rsidP="00494238">
            <w:pPr>
              <w:spacing w:after="240"/>
              <w:rPr>
                <w:b/>
                <w:iCs/>
                <w:kern w:val="2"/>
                <w:sz w:val="20"/>
                <w:szCs w:val="24"/>
              </w:rPr>
            </w:pPr>
            <w:r w:rsidRPr="0013396E">
              <w:rPr>
                <w:b/>
                <w:iCs/>
                <w:kern w:val="2"/>
                <w:sz w:val="20"/>
                <w:szCs w:val="24"/>
              </w:rPr>
              <w:lastRenderedPageBreak/>
              <w:t>Variable</w:t>
            </w:r>
          </w:p>
        </w:tc>
        <w:tc>
          <w:tcPr>
            <w:tcW w:w="474" w:type="pct"/>
            <w:tcBorders>
              <w:top w:val="single" w:sz="4" w:space="0" w:color="auto"/>
              <w:left w:val="single" w:sz="4" w:space="0" w:color="auto"/>
              <w:bottom w:val="single" w:sz="4" w:space="0" w:color="auto"/>
              <w:right w:val="single" w:sz="4" w:space="0" w:color="auto"/>
            </w:tcBorders>
            <w:hideMark/>
          </w:tcPr>
          <w:p w14:paraId="0DB4ED52" w14:textId="77777777" w:rsidR="00B6651E" w:rsidRPr="0013396E" w:rsidRDefault="00B6651E" w:rsidP="00494238">
            <w:pPr>
              <w:spacing w:after="240"/>
              <w:rPr>
                <w:b/>
                <w:iCs/>
                <w:kern w:val="2"/>
                <w:sz w:val="20"/>
                <w:szCs w:val="24"/>
              </w:rPr>
            </w:pPr>
            <w:r w:rsidRPr="0013396E">
              <w:rPr>
                <w:b/>
                <w:iCs/>
                <w:kern w:val="2"/>
                <w:sz w:val="20"/>
                <w:szCs w:val="24"/>
              </w:rPr>
              <w:t>Unit</w:t>
            </w:r>
          </w:p>
        </w:tc>
        <w:tc>
          <w:tcPr>
            <w:tcW w:w="3295" w:type="pct"/>
            <w:tcBorders>
              <w:top w:val="single" w:sz="4" w:space="0" w:color="auto"/>
              <w:left w:val="single" w:sz="4" w:space="0" w:color="auto"/>
              <w:bottom w:val="single" w:sz="4" w:space="0" w:color="auto"/>
              <w:right w:val="single" w:sz="4" w:space="0" w:color="auto"/>
            </w:tcBorders>
            <w:hideMark/>
          </w:tcPr>
          <w:p w14:paraId="7101082D" w14:textId="77777777" w:rsidR="00B6651E" w:rsidRPr="0013396E" w:rsidRDefault="00B6651E" w:rsidP="00494238">
            <w:pPr>
              <w:spacing w:after="240"/>
              <w:rPr>
                <w:b/>
                <w:iCs/>
                <w:kern w:val="2"/>
                <w:sz w:val="20"/>
                <w:szCs w:val="24"/>
              </w:rPr>
            </w:pPr>
            <w:r w:rsidRPr="0013396E">
              <w:rPr>
                <w:b/>
                <w:iCs/>
                <w:kern w:val="2"/>
                <w:sz w:val="20"/>
                <w:szCs w:val="24"/>
              </w:rPr>
              <w:t>Definition</w:t>
            </w:r>
          </w:p>
        </w:tc>
      </w:tr>
      <w:tr w:rsidR="00B6651E" w:rsidRPr="0013396E" w14:paraId="096EFFF5" w14:textId="77777777" w:rsidTr="00E844EE">
        <w:trPr>
          <w:cantSplit/>
        </w:trPr>
        <w:tc>
          <w:tcPr>
            <w:tcW w:w="1231" w:type="pct"/>
            <w:tcBorders>
              <w:top w:val="single" w:sz="4" w:space="0" w:color="auto"/>
              <w:left w:val="single" w:sz="4" w:space="0" w:color="auto"/>
              <w:bottom w:val="single" w:sz="4" w:space="0" w:color="auto"/>
              <w:right w:val="single" w:sz="4" w:space="0" w:color="auto"/>
            </w:tcBorders>
            <w:hideMark/>
          </w:tcPr>
          <w:p w14:paraId="522578F8" w14:textId="77777777" w:rsidR="00B6651E" w:rsidRPr="0013396E" w:rsidRDefault="00B6651E" w:rsidP="00494238">
            <w:pPr>
              <w:spacing w:after="60"/>
              <w:rPr>
                <w:iCs/>
                <w:kern w:val="2"/>
                <w:sz w:val="20"/>
                <w:szCs w:val="24"/>
              </w:rPr>
            </w:pPr>
            <w:r w:rsidRPr="0013396E">
              <w:rPr>
                <w:iCs/>
                <w:kern w:val="2"/>
                <w:sz w:val="20"/>
                <w:szCs w:val="24"/>
              </w:rPr>
              <w:t xml:space="preserve">CMPCRAMT </w:t>
            </w:r>
            <w:r w:rsidRPr="0013396E">
              <w:rPr>
                <w:i/>
                <w:iCs/>
                <w:kern w:val="2"/>
                <w:sz w:val="20"/>
                <w:szCs w:val="24"/>
                <w:vertAlign w:val="subscript"/>
              </w:rPr>
              <w:t>q, r, p, i</w:t>
            </w:r>
          </w:p>
        </w:tc>
        <w:tc>
          <w:tcPr>
            <w:tcW w:w="474" w:type="pct"/>
            <w:tcBorders>
              <w:top w:val="single" w:sz="4" w:space="0" w:color="auto"/>
              <w:left w:val="single" w:sz="4" w:space="0" w:color="auto"/>
              <w:bottom w:val="single" w:sz="4" w:space="0" w:color="auto"/>
              <w:right w:val="single" w:sz="4" w:space="0" w:color="auto"/>
            </w:tcBorders>
            <w:hideMark/>
          </w:tcPr>
          <w:p w14:paraId="029EA48E" w14:textId="77777777" w:rsidR="00B6651E" w:rsidRPr="0013396E" w:rsidRDefault="00B6651E" w:rsidP="00494238">
            <w:pPr>
              <w:spacing w:after="60"/>
              <w:rPr>
                <w:iCs/>
                <w:kern w:val="2"/>
                <w:sz w:val="20"/>
                <w:szCs w:val="24"/>
              </w:rPr>
            </w:pPr>
            <w:r w:rsidRPr="0013396E">
              <w:rPr>
                <w:iCs/>
                <w:kern w:val="2"/>
                <w:sz w:val="20"/>
                <w:szCs w:val="24"/>
              </w:rPr>
              <w:t>$</w:t>
            </w:r>
          </w:p>
        </w:tc>
        <w:tc>
          <w:tcPr>
            <w:tcW w:w="3295" w:type="pct"/>
            <w:tcBorders>
              <w:top w:val="single" w:sz="4" w:space="0" w:color="auto"/>
              <w:left w:val="single" w:sz="4" w:space="0" w:color="auto"/>
              <w:bottom w:val="single" w:sz="4" w:space="0" w:color="auto"/>
              <w:right w:val="single" w:sz="4" w:space="0" w:color="auto"/>
            </w:tcBorders>
            <w:hideMark/>
          </w:tcPr>
          <w:p w14:paraId="1B1B82A0" w14:textId="069CBFBF" w:rsidR="00B6651E" w:rsidRPr="0013396E" w:rsidRDefault="00B6651E" w:rsidP="00494238">
            <w:pPr>
              <w:spacing w:after="60"/>
              <w:rPr>
                <w:iCs/>
                <w:kern w:val="2"/>
                <w:sz w:val="20"/>
                <w:szCs w:val="24"/>
              </w:rPr>
            </w:pPr>
            <w:r w:rsidRPr="0013396E">
              <w:rPr>
                <w:i/>
                <w:iCs/>
                <w:kern w:val="2"/>
                <w:sz w:val="20"/>
                <w:szCs w:val="24"/>
              </w:rPr>
              <w:t>Constraint Management Plan Cost Recovery Amount per QSE per Generation Resource</w:t>
            </w:r>
            <w:r w:rsidRPr="0013396E">
              <w:rPr>
                <w:iCs/>
                <w:kern w:val="2"/>
                <w:sz w:val="20"/>
                <w:szCs w:val="24"/>
              </w:rPr>
              <w:t xml:space="preserve">—The payment to QSE </w:t>
            </w:r>
            <w:r w:rsidRPr="0013396E">
              <w:rPr>
                <w:i/>
                <w:iCs/>
                <w:kern w:val="2"/>
                <w:sz w:val="20"/>
                <w:szCs w:val="24"/>
              </w:rPr>
              <w:t>q</w:t>
            </w:r>
            <w:r w:rsidRPr="0013396E">
              <w:rPr>
                <w:iCs/>
                <w:kern w:val="2"/>
                <w:sz w:val="20"/>
                <w:szCs w:val="24"/>
              </w:rPr>
              <w:t xml:space="preserve"> during eligible hours of a Resource trip Off-Line from an ERCOT-issued CMP unit trip or equivalent VDI for Generation Resource </w:t>
            </w:r>
            <w:r w:rsidRPr="0013396E">
              <w:rPr>
                <w:i/>
                <w:iCs/>
                <w:kern w:val="2"/>
                <w:sz w:val="20"/>
                <w:szCs w:val="24"/>
              </w:rPr>
              <w:t>r</w:t>
            </w:r>
            <w:r w:rsidRPr="0013396E">
              <w:rPr>
                <w:iCs/>
                <w:kern w:val="2"/>
                <w:sz w:val="20"/>
                <w:szCs w:val="24"/>
              </w:rPr>
              <w:t xml:space="preserve"> at Settlement Point </w:t>
            </w:r>
            <w:r w:rsidRPr="0013396E">
              <w:rPr>
                <w:i/>
                <w:iCs/>
                <w:kern w:val="2"/>
                <w:sz w:val="20"/>
                <w:szCs w:val="24"/>
              </w:rPr>
              <w:t xml:space="preserve">p </w:t>
            </w:r>
            <w:r w:rsidRPr="0013396E">
              <w:rPr>
                <w:iCs/>
                <w:kern w:val="2"/>
                <w:sz w:val="20"/>
                <w:szCs w:val="24"/>
              </w:rPr>
              <w:t xml:space="preserve">for the 15-minute Settlement Interval </w:t>
            </w:r>
            <w:r w:rsidRPr="0013396E">
              <w:rPr>
                <w:i/>
                <w:iCs/>
                <w:kern w:val="2"/>
                <w:sz w:val="20"/>
                <w:szCs w:val="24"/>
              </w:rPr>
              <w:t>i</w:t>
            </w:r>
            <w:r w:rsidRPr="0013396E">
              <w:rPr>
                <w:iCs/>
                <w:kern w:val="2"/>
                <w:sz w:val="20"/>
                <w:szCs w:val="24"/>
              </w:rPr>
              <w:t xml:space="preserve">.  For a </w:t>
            </w:r>
            <w:r w:rsidR="002A7971" w:rsidRPr="0013396E">
              <w:rPr>
                <w:iCs/>
                <w:kern w:val="2"/>
                <w:sz w:val="20"/>
                <w:szCs w:val="24"/>
              </w:rPr>
              <w:t>c</w:t>
            </w:r>
            <w:r w:rsidRPr="0013396E">
              <w:rPr>
                <w:iCs/>
                <w:kern w:val="2"/>
                <w:sz w:val="20"/>
                <w:szCs w:val="24"/>
              </w:rPr>
              <w:t xml:space="preserve">ombined </w:t>
            </w:r>
            <w:r w:rsidR="002A7971" w:rsidRPr="0013396E">
              <w:rPr>
                <w:iCs/>
                <w:kern w:val="2"/>
                <w:sz w:val="20"/>
                <w:szCs w:val="24"/>
              </w:rPr>
              <w:t>c</w:t>
            </w:r>
            <w:r w:rsidRPr="0013396E">
              <w:rPr>
                <w:iCs/>
                <w:kern w:val="2"/>
                <w:sz w:val="20"/>
                <w:szCs w:val="24"/>
              </w:rPr>
              <w:t xml:space="preserve">ycle Resource </w:t>
            </w:r>
            <w:r w:rsidRPr="0013396E">
              <w:rPr>
                <w:i/>
                <w:iCs/>
                <w:kern w:val="2"/>
                <w:sz w:val="20"/>
                <w:szCs w:val="24"/>
              </w:rPr>
              <w:t>r</w:t>
            </w:r>
            <w:r w:rsidRPr="0013396E">
              <w:rPr>
                <w:iCs/>
                <w:kern w:val="2"/>
                <w:sz w:val="20"/>
                <w:szCs w:val="24"/>
              </w:rPr>
              <w:t xml:space="preserve"> is a Combined Cycle Train.</w:t>
            </w:r>
          </w:p>
        </w:tc>
      </w:tr>
      <w:tr w:rsidR="00B6651E" w:rsidRPr="0013396E" w14:paraId="020409AE" w14:textId="77777777" w:rsidTr="00E844EE">
        <w:trPr>
          <w:cantSplit/>
        </w:trPr>
        <w:tc>
          <w:tcPr>
            <w:tcW w:w="1231" w:type="pct"/>
            <w:tcBorders>
              <w:top w:val="single" w:sz="4" w:space="0" w:color="auto"/>
              <w:left w:val="single" w:sz="4" w:space="0" w:color="auto"/>
              <w:bottom w:val="single" w:sz="4" w:space="0" w:color="auto"/>
              <w:right w:val="single" w:sz="4" w:space="0" w:color="auto"/>
            </w:tcBorders>
            <w:hideMark/>
          </w:tcPr>
          <w:p w14:paraId="025E1D98" w14:textId="77777777" w:rsidR="00B6651E" w:rsidRPr="0013396E" w:rsidRDefault="00B6651E" w:rsidP="00494238">
            <w:pPr>
              <w:spacing w:after="60"/>
              <w:rPr>
                <w:iCs/>
                <w:kern w:val="2"/>
                <w:sz w:val="20"/>
                <w:szCs w:val="24"/>
              </w:rPr>
            </w:pPr>
            <w:r w:rsidRPr="0013396E">
              <w:rPr>
                <w:iCs/>
                <w:kern w:val="2"/>
                <w:sz w:val="20"/>
                <w:szCs w:val="24"/>
              </w:rPr>
              <w:t>CMPCRAMTQSETOT</w:t>
            </w:r>
            <w:r w:rsidRPr="0013396E">
              <w:rPr>
                <w:iCs/>
                <w:kern w:val="2"/>
                <w:sz w:val="20"/>
                <w:szCs w:val="24"/>
                <w:vertAlign w:val="subscript"/>
              </w:rPr>
              <w:t xml:space="preserve"> </w:t>
            </w:r>
            <w:r w:rsidRPr="0013396E">
              <w:rPr>
                <w:i/>
                <w:kern w:val="2"/>
                <w:sz w:val="20"/>
                <w:szCs w:val="24"/>
                <w:vertAlign w:val="subscript"/>
              </w:rPr>
              <w:t>q</w:t>
            </w:r>
            <w:r w:rsidRPr="0013396E">
              <w:rPr>
                <w:rFonts w:ascii="Times New Roman Bold" w:hAnsi="Times New Roman Bold"/>
                <w:i/>
                <w:iCs/>
                <w:kern w:val="2"/>
                <w:sz w:val="20"/>
                <w:szCs w:val="24"/>
                <w:vertAlign w:val="subscript"/>
              </w:rPr>
              <w:t xml:space="preserve">, </w:t>
            </w:r>
            <w:r w:rsidRPr="0013396E">
              <w:rPr>
                <w:i/>
                <w:iCs/>
                <w:kern w:val="2"/>
                <w:sz w:val="20"/>
                <w:szCs w:val="24"/>
                <w:vertAlign w:val="subscript"/>
              </w:rPr>
              <w:t>i</w:t>
            </w:r>
          </w:p>
        </w:tc>
        <w:tc>
          <w:tcPr>
            <w:tcW w:w="474" w:type="pct"/>
            <w:tcBorders>
              <w:top w:val="single" w:sz="4" w:space="0" w:color="auto"/>
              <w:left w:val="single" w:sz="4" w:space="0" w:color="auto"/>
              <w:bottom w:val="single" w:sz="4" w:space="0" w:color="auto"/>
              <w:right w:val="single" w:sz="4" w:space="0" w:color="auto"/>
            </w:tcBorders>
            <w:hideMark/>
          </w:tcPr>
          <w:p w14:paraId="6FA1FD8C" w14:textId="77777777" w:rsidR="00B6651E" w:rsidRPr="0013396E" w:rsidRDefault="00B6651E" w:rsidP="00494238">
            <w:pPr>
              <w:spacing w:after="60"/>
              <w:rPr>
                <w:i/>
                <w:iCs/>
                <w:kern w:val="2"/>
                <w:sz w:val="20"/>
                <w:szCs w:val="24"/>
              </w:rPr>
            </w:pPr>
            <w:r w:rsidRPr="0013396E">
              <w:rPr>
                <w:iCs/>
                <w:kern w:val="2"/>
                <w:sz w:val="20"/>
                <w:szCs w:val="24"/>
              </w:rPr>
              <w:t>$</w:t>
            </w:r>
          </w:p>
        </w:tc>
        <w:tc>
          <w:tcPr>
            <w:tcW w:w="3295" w:type="pct"/>
            <w:tcBorders>
              <w:top w:val="single" w:sz="4" w:space="0" w:color="auto"/>
              <w:left w:val="single" w:sz="4" w:space="0" w:color="auto"/>
              <w:bottom w:val="single" w:sz="4" w:space="0" w:color="auto"/>
              <w:right w:val="single" w:sz="4" w:space="0" w:color="auto"/>
            </w:tcBorders>
            <w:hideMark/>
          </w:tcPr>
          <w:p w14:paraId="3488DFF2" w14:textId="77777777" w:rsidR="00B6651E" w:rsidRPr="0013396E" w:rsidRDefault="00B6651E" w:rsidP="00494238">
            <w:pPr>
              <w:spacing w:after="60"/>
              <w:rPr>
                <w:iCs/>
                <w:kern w:val="2"/>
                <w:sz w:val="20"/>
                <w:szCs w:val="24"/>
              </w:rPr>
            </w:pPr>
            <w:r w:rsidRPr="0013396E">
              <w:rPr>
                <w:i/>
                <w:iCs/>
                <w:kern w:val="2"/>
                <w:sz w:val="20"/>
                <w:szCs w:val="24"/>
              </w:rPr>
              <w:t>Constraint Management Plan Cost Recovery Amount QSE Total per QSE</w:t>
            </w:r>
            <w:r w:rsidRPr="0013396E">
              <w:rPr>
                <w:iCs/>
                <w:kern w:val="2"/>
                <w:sz w:val="20"/>
                <w:szCs w:val="24"/>
              </w:rPr>
              <w:t xml:space="preserve">—The total of the cost recovery payments to QSE </w:t>
            </w:r>
            <w:r w:rsidRPr="0013396E">
              <w:rPr>
                <w:i/>
                <w:iCs/>
                <w:kern w:val="2"/>
                <w:sz w:val="20"/>
                <w:szCs w:val="24"/>
              </w:rPr>
              <w:t>q</w:t>
            </w:r>
            <w:r w:rsidRPr="0013396E">
              <w:rPr>
                <w:iCs/>
                <w:kern w:val="2"/>
                <w:sz w:val="20"/>
                <w:szCs w:val="24"/>
              </w:rPr>
              <w:t xml:space="preserve"> due to an ERCOT-issued CMP or equivalent VDI for the 15-minute Settlement Interval </w:t>
            </w:r>
            <w:r w:rsidRPr="0013396E">
              <w:rPr>
                <w:i/>
                <w:iCs/>
                <w:kern w:val="2"/>
                <w:sz w:val="20"/>
                <w:szCs w:val="24"/>
              </w:rPr>
              <w:t>i</w:t>
            </w:r>
            <w:r w:rsidRPr="0013396E">
              <w:rPr>
                <w:iCs/>
                <w:kern w:val="2"/>
                <w:sz w:val="20"/>
                <w:szCs w:val="24"/>
              </w:rPr>
              <w:t>.</w:t>
            </w:r>
          </w:p>
        </w:tc>
      </w:tr>
      <w:tr w:rsidR="00B6651E" w:rsidRPr="0013396E" w14:paraId="09700DFD" w14:textId="77777777" w:rsidTr="00E844EE">
        <w:trPr>
          <w:cantSplit/>
        </w:trPr>
        <w:tc>
          <w:tcPr>
            <w:tcW w:w="1231" w:type="pct"/>
            <w:tcBorders>
              <w:top w:val="single" w:sz="4" w:space="0" w:color="auto"/>
              <w:left w:val="single" w:sz="4" w:space="0" w:color="auto"/>
              <w:bottom w:val="single" w:sz="4" w:space="0" w:color="auto"/>
              <w:right w:val="single" w:sz="4" w:space="0" w:color="auto"/>
            </w:tcBorders>
            <w:hideMark/>
          </w:tcPr>
          <w:p w14:paraId="6FF4059D" w14:textId="77777777" w:rsidR="00B6651E" w:rsidRPr="0013396E" w:rsidRDefault="00B6651E" w:rsidP="00494238">
            <w:pPr>
              <w:spacing w:after="60"/>
              <w:rPr>
                <w:i/>
                <w:iCs/>
                <w:kern w:val="2"/>
                <w:sz w:val="20"/>
                <w:szCs w:val="24"/>
              </w:rPr>
            </w:pPr>
            <w:r w:rsidRPr="0013396E">
              <w:rPr>
                <w:i/>
                <w:iCs/>
                <w:kern w:val="2"/>
                <w:sz w:val="20"/>
                <w:szCs w:val="24"/>
              </w:rPr>
              <w:t>q</w:t>
            </w:r>
          </w:p>
        </w:tc>
        <w:tc>
          <w:tcPr>
            <w:tcW w:w="474" w:type="pct"/>
            <w:tcBorders>
              <w:top w:val="single" w:sz="4" w:space="0" w:color="auto"/>
              <w:left w:val="single" w:sz="4" w:space="0" w:color="auto"/>
              <w:bottom w:val="single" w:sz="4" w:space="0" w:color="auto"/>
              <w:right w:val="single" w:sz="4" w:space="0" w:color="auto"/>
            </w:tcBorders>
            <w:hideMark/>
          </w:tcPr>
          <w:p w14:paraId="7F885B15" w14:textId="77777777" w:rsidR="00B6651E" w:rsidRPr="0013396E" w:rsidRDefault="00B6651E" w:rsidP="00494238">
            <w:pPr>
              <w:spacing w:after="60"/>
              <w:rPr>
                <w:iCs/>
                <w:kern w:val="2"/>
                <w:sz w:val="20"/>
                <w:szCs w:val="24"/>
              </w:rPr>
            </w:pPr>
            <w:r w:rsidRPr="0013396E">
              <w:rPr>
                <w:iCs/>
                <w:kern w:val="2"/>
                <w:sz w:val="20"/>
                <w:szCs w:val="24"/>
              </w:rPr>
              <w:t>none</w:t>
            </w:r>
          </w:p>
        </w:tc>
        <w:tc>
          <w:tcPr>
            <w:tcW w:w="3295" w:type="pct"/>
            <w:tcBorders>
              <w:top w:val="single" w:sz="4" w:space="0" w:color="auto"/>
              <w:left w:val="single" w:sz="4" w:space="0" w:color="auto"/>
              <w:bottom w:val="single" w:sz="4" w:space="0" w:color="auto"/>
              <w:right w:val="single" w:sz="4" w:space="0" w:color="auto"/>
            </w:tcBorders>
            <w:hideMark/>
          </w:tcPr>
          <w:p w14:paraId="2D1B3FEC" w14:textId="77777777" w:rsidR="00B6651E" w:rsidRPr="0013396E" w:rsidRDefault="00B6651E" w:rsidP="00494238">
            <w:pPr>
              <w:spacing w:after="60"/>
              <w:rPr>
                <w:iCs/>
                <w:kern w:val="2"/>
                <w:sz w:val="20"/>
                <w:szCs w:val="24"/>
              </w:rPr>
            </w:pPr>
            <w:r w:rsidRPr="0013396E">
              <w:rPr>
                <w:iCs/>
                <w:kern w:val="2"/>
                <w:sz w:val="20"/>
                <w:szCs w:val="24"/>
              </w:rPr>
              <w:t>A QSE.</w:t>
            </w:r>
          </w:p>
        </w:tc>
      </w:tr>
      <w:tr w:rsidR="00B6651E" w:rsidRPr="0013396E" w14:paraId="79DDCFB7" w14:textId="77777777" w:rsidTr="00E844EE">
        <w:trPr>
          <w:cantSplit/>
        </w:trPr>
        <w:tc>
          <w:tcPr>
            <w:tcW w:w="1231" w:type="pct"/>
            <w:tcBorders>
              <w:top w:val="single" w:sz="4" w:space="0" w:color="auto"/>
              <w:left w:val="single" w:sz="4" w:space="0" w:color="auto"/>
              <w:bottom w:val="single" w:sz="4" w:space="0" w:color="auto"/>
              <w:right w:val="single" w:sz="4" w:space="0" w:color="auto"/>
            </w:tcBorders>
            <w:hideMark/>
          </w:tcPr>
          <w:p w14:paraId="2AD560CD" w14:textId="77777777" w:rsidR="00B6651E" w:rsidRPr="0013396E" w:rsidRDefault="00B6651E" w:rsidP="00494238">
            <w:pPr>
              <w:spacing w:after="60"/>
              <w:rPr>
                <w:i/>
                <w:iCs/>
                <w:kern w:val="2"/>
                <w:sz w:val="20"/>
                <w:szCs w:val="24"/>
              </w:rPr>
            </w:pPr>
            <w:r w:rsidRPr="0013396E">
              <w:rPr>
                <w:i/>
                <w:iCs/>
                <w:kern w:val="2"/>
                <w:sz w:val="20"/>
                <w:szCs w:val="24"/>
              </w:rPr>
              <w:t>r</w:t>
            </w:r>
          </w:p>
        </w:tc>
        <w:tc>
          <w:tcPr>
            <w:tcW w:w="474" w:type="pct"/>
            <w:tcBorders>
              <w:top w:val="single" w:sz="4" w:space="0" w:color="auto"/>
              <w:left w:val="single" w:sz="4" w:space="0" w:color="auto"/>
              <w:bottom w:val="single" w:sz="4" w:space="0" w:color="auto"/>
              <w:right w:val="single" w:sz="4" w:space="0" w:color="auto"/>
            </w:tcBorders>
            <w:hideMark/>
          </w:tcPr>
          <w:p w14:paraId="56EF73A9" w14:textId="77777777" w:rsidR="00B6651E" w:rsidRPr="0013396E" w:rsidRDefault="00B6651E" w:rsidP="00494238">
            <w:pPr>
              <w:spacing w:after="60"/>
              <w:rPr>
                <w:iCs/>
                <w:kern w:val="2"/>
                <w:sz w:val="20"/>
                <w:szCs w:val="24"/>
              </w:rPr>
            </w:pPr>
            <w:r w:rsidRPr="0013396E">
              <w:rPr>
                <w:iCs/>
                <w:kern w:val="2"/>
                <w:sz w:val="20"/>
                <w:szCs w:val="24"/>
              </w:rPr>
              <w:t>none</w:t>
            </w:r>
          </w:p>
        </w:tc>
        <w:tc>
          <w:tcPr>
            <w:tcW w:w="3295" w:type="pct"/>
            <w:tcBorders>
              <w:top w:val="single" w:sz="4" w:space="0" w:color="auto"/>
              <w:left w:val="single" w:sz="4" w:space="0" w:color="auto"/>
              <w:bottom w:val="single" w:sz="4" w:space="0" w:color="auto"/>
              <w:right w:val="single" w:sz="4" w:space="0" w:color="auto"/>
            </w:tcBorders>
            <w:hideMark/>
          </w:tcPr>
          <w:p w14:paraId="3B34F668" w14:textId="77777777" w:rsidR="00B6651E" w:rsidRPr="0013396E" w:rsidRDefault="00B6651E" w:rsidP="00494238">
            <w:pPr>
              <w:spacing w:after="60"/>
              <w:rPr>
                <w:iCs/>
                <w:kern w:val="2"/>
                <w:sz w:val="20"/>
                <w:szCs w:val="24"/>
              </w:rPr>
            </w:pPr>
            <w:r w:rsidRPr="0013396E">
              <w:rPr>
                <w:iCs/>
                <w:kern w:val="2"/>
                <w:sz w:val="20"/>
                <w:szCs w:val="24"/>
              </w:rPr>
              <w:t>A Generation Resource.</w:t>
            </w:r>
          </w:p>
        </w:tc>
      </w:tr>
      <w:tr w:rsidR="00B6651E" w:rsidRPr="0013396E" w14:paraId="5DA8889E" w14:textId="77777777" w:rsidTr="00E844EE">
        <w:trPr>
          <w:cantSplit/>
        </w:trPr>
        <w:tc>
          <w:tcPr>
            <w:tcW w:w="1231" w:type="pct"/>
            <w:tcBorders>
              <w:top w:val="single" w:sz="4" w:space="0" w:color="auto"/>
              <w:left w:val="single" w:sz="4" w:space="0" w:color="auto"/>
              <w:bottom w:val="single" w:sz="4" w:space="0" w:color="auto"/>
              <w:right w:val="single" w:sz="4" w:space="0" w:color="auto"/>
            </w:tcBorders>
            <w:hideMark/>
          </w:tcPr>
          <w:p w14:paraId="4D769AD0" w14:textId="77777777" w:rsidR="00B6651E" w:rsidRPr="0013396E" w:rsidRDefault="00B6651E" w:rsidP="00494238">
            <w:pPr>
              <w:spacing w:after="60"/>
              <w:rPr>
                <w:i/>
                <w:iCs/>
                <w:kern w:val="2"/>
                <w:sz w:val="20"/>
                <w:szCs w:val="24"/>
              </w:rPr>
            </w:pPr>
            <w:r w:rsidRPr="0013396E">
              <w:rPr>
                <w:i/>
                <w:iCs/>
                <w:kern w:val="2"/>
                <w:sz w:val="20"/>
                <w:szCs w:val="24"/>
              </w:rPr>
              <w:t>p</w:t>
            </w:r>
          </w:p>
        </w:tc>
        <w:tc>
          <w:tcPr>
            <w:tcW w:w="474" w:type="pct"/>
            <w:tcBorders>
              <w:top w:val="single" w:sz="4" w:space="0" w:color="auto"/>
              <w:left w:val="single" w:sz="4" w:space="0" w:color="auto"/>
              <w:bottom w:val="single" w:sz="4" w:space="0" w:color="auto"/>
              <w:right w:val="single" w:sz="4" w:space="0" w:color="auto"/>
            </w:tcBorders>
            <w:hideMark/>
          </w:tcPr>
          <w:p w14:paraId="5A1DF6CD" w14:textId="77777777" w:rsidR="00B6651E" w:rsidRPr="0013396E" w:rsidRDefault="00B6651E" w:rsidP="00494238">
            <w:pPr>
              <w:spacing w:after="60"/>
              <w:rPr>
                <w:iCs/>
                <w:kern w:val="2"/>
                <w:sz w:val="20"/>
                <w:szCs w:val="24"/>
              </w:rPr>
            </w:pPr>
            <w:r w:rsidRPr="0013396E">
              <w:rPr>
                <w:iCs/>
                <w:kern w:val="2"/>
                <w:sz w:val="20"/>
                <w:szCs w:val="24"/>
              </w:rPr>
              <w:t>none</w:t>
            </w:r>
          </w:p>
        </w:tc>
        <w:tc>
          <w:tcPr>
            <w:tcW w:w="3295" w:type="pct"/>
            <w:tcBorders>
              <w:top w:val="single" w:sz="4" w:space="0" w:color="auto"/>
              <w:left w:val="single" w:sz="4" w:space="0" w:color="auto"/>
              <w:bottom w:val="single" w:sz="4" w:space="0" w:color="auto"/>
              <w:right w:val="single" w:sz="4" w:space="0" w:color="auto"/>
            </w:tcBorders>
            <w:hideMark/>
          </w:tcPr>
          <w:p w14:paraId="4A91FD20" w14:textId="77777777" w:rsidR="00B6651E" w:rsidRPr="0013396E" w:rsidRDefault="00B6651E" w:rsidP="00494238">
            <w:pPr>
              <w:spacing w:after="60"/>
              <w:rPr>
                <w:iCs/>
                <w:kern w:val="2"/>
                <w:sz w:val="18"/>
                <w:szCs w:val="18"/>
              </w:rPr>
            </w:pPr>
            <w:r w:rsidRPr="0013396E">
              <w:rPr>
                <w:iCs/>
                <w:kern w:val="2"/>
                <w:sz w:val="20"/>
                <w:szCs w:val="24"/>
              </w:rPr>
              <w:t>A Resource Node Settlement Point.</w:t>
            </w:r>
          </w:p>
        </w:tc>
      </w:tr>
      <w:tr w:rsidR="00B6651E" w:rsidRPr="0013396E" w14:paraId="15A0E012" w14:textId="77777777" w:rsidTr="00E844EE">
        <w:trPr>
          <w:cantSplit/>
        </w:trPr>
        <w:tc>
          <w:tcPr>
            <w:tcW w:w="1231" w:type="pct"/>
            <w:tcBorders>
              <w:top w:val="single" w:sz="4" w:space="0" w:color="auto"/>
              <w:left w:val="single" w:sz="4" w:space="0" w:color="auto"/>
              <w:bottom w:val="single" w:sz="4" w:space="0" w:color="auto"/>
              <w:right w:val="single" w:sz="4" w:space="0" w:color="auto"/>
            </w:tcBorders>
            <w:hideMark/>
          </w:tcPr>
          <w:p w14:paraId="258E06FE" w14:textId="77777777" w:rsidR="00B6651E" w:rsidRPr="0013396E" w:rsidRDefault="00B6651E" w:rsidP="00494238">
            <w:pPr>
              <w:spacing w:after="60"/>
              <w:rPr>
                <w:i/>
                <w:iCs/>
                <w:kern w:val="2"/>
                <w:sz w:val="20"/>
                <w:szCs w:val="24"/>
              </w:rPr>
            </w:pPr>
            <w:r w:rsidRPr="0013396E">
              <w:rPr>
                <w:i/>
                <w:iCs/>
                <w:kern w:val="2"/>
                <w:sz w:val="20"/>
                <w:szCs w:val="24"/>
              </w:rPr>
              <w:t>i</w:t>
            </w:r>
          </w:p>
        </w:tc>
        <w:tc>
          <w:tcPr>
            <w:tcW w:w="474" w:type="pct"/>
            <w:tcBorders>
              <w:top w:val="single" w:sz="4" w:space="0" w:color="auto"/>
              <w:left w:val="single" w:sz="4" w:space="0" w:color="auto"/>
              <w:bottom w:val="single" w:sz="4" w:space="0" w:color="auto"/>
              <w:right w:val="single" w:sz="4" w:space="0" w:color="auto"/>
            </w:tcBorders>
            <w:hideMark/>
          </w:tcPr>
          <w:p w14:paraId="54AEFFD6" w14:textId="77777777" w:rsidR="00B6651E" w:rsidRPr="0013396E" w:rsidRDefault="00B6651E" w:rsidP="00494238">
            <w:pPr>
              <w:spacing w:after="60"/>
              <w:rPr>
                <w:iCs/>
                <w:kern w:val="2"/>
                <w:sz w:val="20"/>
                <w:szCs w:val="24"/>
              </w:rPr>
            </w:pPr>
            <w:r w:rsidRPr="0013396E">
              <w:rPr>
                <w:iCs/>
                <w:kern w:val="2"/>
                <w:sz w:val="20"/>
                <w:szCs w:val="24"/>
              </w:rPr>
              <w:t>none</w:t>
            </w:r>
          </w:p>
        </w:tc>
        <w:tc>
          <w:tcPr>
            <w:tcW w:w="3295" w:type="pct"/>
            <w:tcBorders>
              <w:top w:val="single" w:sz="4" w:space="0" w:color="auto"/>
              <w:left w:val="single" w:sz="4" w:space="0" w:color="auto"/>
              <w:bottom w:val="single" w:sz="4" w:space="0" w:color="auto"/>
              <w:right w:val="single" w:sz="4" w:space="0" w:color="auto"/>
            </w:tcBorders>
            <w:hideMark/>
          </w:tcPr>
          <w:p w14:paraId="58998C1B" w14:textId="77777777" w:rsidR="00B6651E" w:rsidRPr="0013396E" w:rsidRDefault="00B6651E" w:rsidP="00494238">
            <w:pPr>
              <w:spacing w:after="60"/>
              <w:rPr>
                <w:iCs/>
                <w:kern w:val="2"/>
                <w:sz w:val="20"/>
                <w:szCs w:val="24"/>
              </w:rPr>
            </w:pPr>
            <w:r w:rsidRPr="0013396E">
              <w:rPr>
                <w:iCs/>
                <w:kern w:val="2"/>
                <w:sz w:val="20"/>
                <w:szCs w:val="24"/>
              </w:rPr>
              <w:t>A 15-minute Settlement Interval.</w:t>
            </w:r>
          </w:p>
        </w:tc>
      </w:tr>
    </w:tbl>
    <w:p w14:paraId="57C0DA78" w14:textId="77777777" w:rsidR="00B6651E" w:rsidRPr="0013396E" w:rsidRDefault="00B6651E" w:rsidP="00B6651E">
      <w:pPr>
        <w:keepNext/>
        <w:widowControl w:val="0"/>
        <w:tabs>
          <w:tab w:val="left" w:pos="1260"/>
        </w:tabs>
        <w:spacing w:before="480" w:after="240"/>
        <w:ind w:left="1260" w:hanging="1260"/>
        <w:outlineLvl w:val="3"/>
        <w:rPr>
          <w:b/>
          <w:bCs/>
          <w:snapToGrid w:val="0"/>
        </w:rPr>
      </w:pPr>
      <w:bookmarkStart w:id="1699" w:name="_Toc214878975"/>
      <w:r w:rsidRPr="0013396E">
        <w:rPr>
          <w:b/>
          <w:bCs/>
          <w:snapToGrid w:val="0"/>
        </w:rPr>
        <w:t>6.6.3.10</w:t>
      </w:r>
      <w:r w:rsidRPr="0013396E">
        <w:rPr>
          <w:b/>
          <w:bCs/>
          <w:snapToGrid w:val="0"/>
        </w:rPr>
        <w:tab/>
        <w:t>Real-Time Constraint Management Plan Cost Recovery Charge</w:t>
      </w:r>
      <w:bookmarkEnd w:id="1699"/>
      <w:r w:rsidRPr="0013396E">
        <w:rPr>
          <w:b/>
          <w:bCs/>
          <w:snapToGrid w:val="0"/>
        </w:rPr>
        <w:t xml:space="preserve"> </w:t>
      </w:r>
    </w:p>
    <w:p w14:paraId="1C8A15D2" w14:textId="546CD4EA" w:rsidR="00B6651E" w:rsidRPr="0013396E" w:rsidRDefault="00B6651E" w:rsidP="00B6651E">
      <w:pPr>
        <w:spacing w:after="240"/>
        <w:ind w:left="720" w:hanging="720"/>
        <w:rPr>
          <w:szCs w:val="24"/>
        </w:rPr>
      </w:pPr>
      <w:r w:rsidRPr="0013396E">
        <w:rPr>
          <w:szCs w:val="24"/>
        </w:rPr>
        <w:t>(1)</w:t>
      </w:r>
      <w:r w:rsidRPr="0013396E">
        <w:rPr>
          <w:szCs w:val="24"/>
        </w:rPr>
        <w:tab/>
        <w:t>ERCOT shall allocate to QSEs on an LRS basis the total amount of the payment specified in Section 6.6.3.9, Real-Time Constraint Management Plan Cost Recovery Payment.  The charge to each QSE for a given 15-minute Settlement Interval is calculated as follows:</w:t>
      </w:r>
    </w:p>
    <w:p w14:paraId="7873E62A" w14:textId="3E53882A" w:rsidR="00B6651E" w:rsidRPr="0013396E" w:rsidRDefault="00B6651E" w:rsidP="00B6651E">
      <w:pPr>
        <w:tabs>
          <w:tab w:val="left" w:pos="2340"/>
          <w:tab w:val="left" w:pos="3420"/>
        </w:tabs>
        <w:spacing w:after="240"/>
        <w:ind w:left="3420" w:hanging="2700"/>
        <w:rPr>
          <w:b/>
          <w:bCs/>
          <w:szCs w:val="24"/>
        </w:rPr>
      </w:pPr>
      <w:r w:rsidRPr="0013396E">
        <w:rPr>
          <w:b/>
          <w:bCs/>
          <w:szCs w:val="24"/>
        </w:rPr>
        <w:t>LACMPCRAMT</w:t>
      </w:r>
      <w:r w:rsidRPr="0013396E">
        <w:rPr>
          <w:b/>
          <w:bCs/>
          <w:i/>
          <w:szCs w:val="24"/>
          <w:vertAlign w:val="subscript"/>
        </w:rPr>
        <w:t xml:space="preserve"> q, i</w:t>
      </w:r>
      <w:r w:rsidRPr="0013396E">
        <w:rPr>
          <w:b/>
          <w:bCs/>
          <w:szCs w:val="24"/>
        </w:rPr>
        <w:t xml:space="preserve"> =</w:t>
      </w:r>
      <w:r w:rsidRPr="0013396E">
        <w:rPr>
          <w:b/>
          <w:bCs/>
          <w:szCs w:val="24"/>
        </w:rPr>
        <w:tab/>
        <w:t>(-1) * CMPCRAMTTOT</w:t>
      </w:r>
      <w:r w:rsidRPr="0013396E">
        <w:rPr>
          <w:b/>
          <w:bCs/>
          <w:i/>
          <w:szCs w:val="24"/>
          <w:vertAlign w:val="subscript"/>
        </w:rPr>
        <w:t xml:space="preserve"> i</w:t>
      </w:r>
      <w:r w:rsidRPr="0013396E">
        <w:rPr>
          <w:b/>
          <w:bCs/>
          <w:szCs w:val="24"/>
        </w:rPr>
        <w:t xml:space="preserve"> * LRS </w:t>
      </w:r>
      <w:r w:rsidRPr="0013396E">
        <w:rPr>
          <w:b/>
          <w:bCs/>
          <w:i/>
          <w:szCs w:val="24"/>
          <w:vertAlign w:val="subscript"/>
        </w:rPr>
        <w:t xml:space="preserve">q, i </w:t>
      </w:r>
      <w:r w:rsidRPr="0013396E">
        <w:rPr>
          <w:b/>
          <w:bCs/>
          <w:szCs w:val="24"/>
        </w:rPr>
        <w:t xml:space="preserve"> </w:t>
      </w:r>
    </w:p>
    <w:p w14:paraId="1151C109" w14:textId="77777777" w:rsidR="00B6651E" w:rsidRPr="0013396E" w:rsidRDefault="00B6651E" w:rsidP="00B6651E">
      <w:pPr>
        <w:spacing w:before="120" w:after="120"/>
        <w:ind w:left="720"/>
        <w:rPr>
          <w:szCs w:val="24"/>
        </w:rPr>
      </w:pPr>
      <w:r w:rsidRPr="0013396E">
        <w:rPr>
          <w:szCs w:val="24"/>
        </w:rPr>
        <w:t>Where:</w:t>
      </w:r>
    </w:p>
    <w:p w14:paraId="08673FC7" w14:textId="68767F12" w:rsidR="00B6651E" w:rsidRPr="0013396E" w:rsidRDefault="00B6651E" w:rsidP="00B6651E">
      <w:pPr>
        <w:tabs>
          <w:tab w:val="left" w:pos="2340"/>
          <w:tab w:val="left" w:pos="3420"/>
        </w:tabs>
        <w:spacing w:after="240"/>
        <w:ind w:left="2160" w:hanging="1440"/>
        <w:rPr>
          <w:bCs/>
          <w:i/>
          <w:szCs w:val="24"/>
          <w:vertAlign w:val="subscript"/>
        </w:rPr>
      </w:pPr>
      <w:r w:rsidRPr="0013396E">
        <w:rPr>
          <w:bCs/>
          <w:szCs w:val="24"/>
        </w:rPr>
        <w:t xml:space="preserve">CMPCRAMTTOT </w:t>
      </w:r>
      <w:r w:rsidRPr="0013396E">
        <w:rPr>
          <w:bCs/>
          <w:i/>
          <w:szCs w:val="24"/>
          <w:vertAlign w:val="subscript"/>
        </w:rPr>
        <w:t>i</w:t>
      </w:r>
      <w:r w:rsidRPr="0013396E">
        <w:rPr>
          <w:bCs/>
          <w:szCs w:val="24"/>
        </w:rPr>
        <w:t xml:space="preserve"> =</w:t>
      </w:r>
      <w:r w:rsidRPr="0013396E">
        <w:rPr>
          <w:bCs/>
          <w:szCs w:val="24"/>
        </w:rPr>
        <w:tab/>
      </w:r>
      <w:r w:rsidRPr="0013396E">
        <w:rPr>
          <w:bCs/>
          <w:position w:val="-22"/>
          <w:szCs w:val="24"/>
        </w:rPr>
        <w:object w:dxaOrig="120" w:dyaOrig="360" w14:anchorId="1A8EDC6D">
          <v:shape id="_x0000_i1144" type="#_x0000_t75" style="width:12pt;height:30pt" o:ole="">
            <v:imagedata r:id="rId155" o:title=""/>
          </v:shape>
          <o:OLEObject Type="Embed" ProgID="Equation.3" ShapeID="_x0000_i1144" DrawAspect="Content" ObjectID="_1836311423" r:id="rId173"/>
        </w:object>
      </w:r>
      <w:r w:rsidRPr="0013396E">
        <w:rPr>
          <w:bCs/>
          <w:szCs w:val="24"/>
        </w:rPr>
        <w:t xml:space="preserve"> CMPCRAMTQSETOT</w:t>
      </w:r>
      <w:r w:rsidRPr="0013396E">
        <w:rPr>
          <w:bCs/>
          <w:i/>
          <w:szCs w:val="24"/>
          <w:vertAlign w:val="subscript"/>
        </w:rPr>
        <w:t xml:space="preserve"> q, i</w:t>
      </w:r>
      <w:r w:rsidRPr="0013396E">
        <w:rPr>
          <w:b/>
          <w:bCs/>
          <w:i/>
          <w:szCs w:val="24"/>
          <w:vertAlign w:val="subscript"/>
        </w:rPr>
        <w:t xml:space="preserve"> </w:t>
      </w:r>
      <w:r w:rsidRPr="0013396E">
        <w:rPr>
          <w:b/>
          <w:bCs/>
          <w:szCs w:val="24"/>
        </w:rPr>
        <w:t xml:space="preserve"> </w:t>
      </w:r>
    </w:p>
    <w:p w14:paraId="7C067009" w14:textId="77777777" w:rsidR="00B6651E" w:rsidRPr="0013396E" w:rsidRDefault="00B6651E" w:rsidP="00B6651E">
      <w:pPr>
        <w:rPr>
          <w:szCs w:val="24"/>
        </w:rPr>
      </w:pPr>
      <w:r w:rsidRPr="0013396E">
        <w:rPr>
          <w:szCs w:val="24"/>
        </w:rPr>
        <w:t>The above variables are defined as follows:</w:t>
      </w:r>
    </w:p>
    <w:tbl>
      <w:tblPr>
        <w:tblW w:w="9576"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4"/>
        <w:gridCol w:w="737"/>
        <w:gridCol w:w="6425"/>
      </w:tblGrid>
      <w:tr w:rsidR="00B6651E" w:rsidRPr="0013396E" w14:paraId="5A0F1F36" w14:textId="77777777" w:rsidTr="00E844EE">
        <w:trPr>
          <w:tblHeader/>
        </w:trPr>
        <w:tc>
          <w:tcPr>
            <w:tcW w:w="2414" w:type="dxa"/>
            <w:tcBorders>
              <w:top w:val="single" w:sz="4" w:space="0" w:color="auto"/>
              <w:left w:val="single" w:sz="4" w:space="0" w:color="auto"/>
              <w:bottom w:val="single" w:sz="4" w:space="0" w:color="auto"/>
              <w:right w:val="single" w:sz="4" w:space="0" w:color="auto"/>
            </w:tcBorders>
            <w:hideMark/>
          </w:tcPr>
          <w:p w14:paraId="1E04F2B2" w14:textId="77777777" w:rsidR="00B6651E" w:rsidRPr="0013396E" w:rsidRDefault="00B6651E" w:rsidP="00B6651E">
            <w:pPr>
              <w:spacing w:after="120"/>
              <w:rPr>
                <w:b/>
                <w:iCs/>
                <w:sz w:val="20"/>
                <w:szCs w:val="24"/>
              </w:rPr>
            </w:pPr>
            <w:r w:rsidRPr="0013396E">
              <w:rPr>
                <w:b/>
                <w:iCs/>
                <w:sz w:val="20"/>
                <w:szCs w:val="24"/>
              </w:rPr>
              <w:t>Variable</w:t>
            </w:r>
          </w:p>
        </w:tc>
        <w:tc>
          <w:tcPr>
            <w:tcW w:w="737" w:type="dxa"/>
            <w:tcBorders>
              <w:top w:val="single" w:sz="4" w:space="0" w:color="auto"/>
              <w:left w:val="single" w:sz="4" w:space="0" w:color="auto"/>
              <w:bottom w:val="single" w:sz="4" w:space="0" w:color="auto"/>
              <w:right w:val="single" w:sz="4" w:space="0" w:color="auto"/>
            </w:tcBorders>
            <w:hideMark/>
          </w:tcPr>
          <w:p w14:paraId="3EDF6005" w14:textId="77777777" w:rsidR="00B6651E" w:rsidRPr="0013396E" w:rsidRDefault="00B6651E" w:rsidP="00B6651E">
            <w:pPr>
              <w:spacing w:after="120"/>
              <w:rPr>
                <w:b/>
                <w:iCs/>
                <w:sz w:val="20"/>
                <w:szCs w:val="24"/>
              </w:rPr>
            </w:pPr>
            <w:r w:rsidRPr="0013396E">
              <w:rPr>
                <w:b/>
                <w:iCs/>
                <w:sz w:val="20"/>
                <w:szCs w:val="24"/>
              </w:rPr>
              <w:t>Unit</w:t>
            </w:r>
          </w:p>
        </w:tc>
        <w:tc>
          <w:tcPr>
            <w:tcW w:w="6425" w:type="dxa"/>
            <w:tcBorders>
              <w:top w:val="single" w:sz="4" w:space="0" w:color="auto"/>
              <w:left w:val="single" w:sz="4" w:space="0" w:color="auto"/>
              <w:bottom w:val="single" w:sz="4" w:space="0" w:color="auto"/>
              <w:right w:val="single" w:sz="4" w:space="0" w:color="auto"/>
            </w:tcBorders>
            <w:hideMark/>
          </w:tcPr>
          <w:p w14:paraId="1A7372FD" w14:textId="77777777" w:rsidR="00B6651E" w:rsidRPr="0013396E" w:rsidRDefault="00B6651E" w:rsidP="00B6651E">
            <w:pPr>
              <w:spacing w:after="120"/>
              <w:rPr>
                <w:b/>
                <w:iCs/>
                <w:sz w:val="20"/>
                <w:szCs w:val="24"/>
              </w:rPr>
            </w:pPr>
            <w:r w:rsidRPr="0013396E">
              <w:rPr>
                <w:b/>
                <w:iCs/>
                <w:sz w:val="20"/>
                <w:szCs w:val="24"/>
              </w:rPr>
              <w:t>Definition</w:t>
            </w:r>
          </w:p>
        </w:tc>
      </w:tr>
      <w:tr w:rsidR="00B6651E" w:rsidRPr="0013396E" w14:paraId="543DB2DD" w14:textId="77777777" w:rsidTr="00E844EE">
        <w:trPr>
          <w:cantSplit/>
        </w:trPr>
        <w:tc>
          <w:tcPr>
            <w:tcW w:w="2414" w:type="dxa"/>
            <w:tcBorders>
              <w:top w:val="single" w:sz="4" w:space="0" w:color="auto"/>
              <w:left w:val="single" w:sz="4" w:space="0" w:color="auto"/>
              <w:bottom w:val="single" w:sz="4" w:space="0" w:color="auto"/>
              <w:right w:val="single" w:sz="4" w:space="0" w:color="auto"/>
            </w:tcBorders>
            <w:hideMark/>
          </w:tcPr>
          <w:p w14:paraId="112D4984" w14:textId="77777777" w:rsidR="00B6651E" w:rsidRPr="0013396E" w:rsidRDefault="00B6651E" w:rsidP="00B6651E">
            <w:pPr>
              <w:spacing w:after="60"/>
              <w:rPr>
                <w:iCs/>
                <w:sz w:val="20"/>
                <w:szCs w:val="24"/>
              </w:rPr>
            </w:pPr>
            <w:r w:rsidRPr="0013396E">
              <w:rPr>
                <w:iCs/>
                <w:sz w:val="20"/>
                <w:szCs w:val="24"/>
              </w:rPr>
              <w:t xml:space="preserve">LACMPCRAMT </w:t>
            </w:r>
            <w:r w:rsidRPr="0013396E">
              <w:rPr>
                <w:i/>
                <w:iCs/>
                <w:sz w:val="20"/>
                <w:szCs w:val="24"/>
                <w:vertAlign w:val="subscript"/>
              </w:rPr>
              <w:t>q, i</w:t>
            </w:r>
            <w:r w:rsidRPr="0013396E">
              <w:rPr>
                <w:iCs/>
                <w:sz w:val="20"/>
                <w:szCs w:val="24"/>
                <w:vertAlign w:val="subscript"/>
              </w:rPr>
              <w:t xml:space="preserve"> </w:t>
            </w:r>
          </w:p>
        </w:tc>
        <w:tc>
          <w:tcPr>
            <w:tcW w:w="737" w:type="dxa"/>
            <w:tcBorders>
              <w:top w:val="single" w:sz="4" w:space="0" w:color="auto"/>
              <w:left w:val="single" w:sz="4" w:space="0" w:color="auto"/>
              <w:bottom w:val="single" w:sz="4" w:space="0" w:color="auto"/>
              <w:right w:val="single" w:sz="4" w:space="0" w:color="auto"/>
            </w:tcBorders>
            <w:hideMark/>
          </w:tcPr>
          <w:p w14:paraId="1169F9D7" w14:textId="77777777" w:rsidR="00B6651E" w:rsidRPr="0013396E" w:rsidRDefault="00B6651E" w:rsidP="00B6651E">
            <w:pPr>
              <w:spacing w:after="60"/>
              <w:rPr>
                <w:iCs/>
                <w:sz w:val="20"/>
                <w:szCs w:val="24"/>
              </w:rPr>
            </w:pPr>
            <w:r w:rsidRPr="0013396E">
              <w:rPr>
                <w:iCs/>
                <w:sz w:val="20"/>
                <w:szCs w:val="24"/>
              </w:rPr>
              <w:t>$</w:t>
            </w:r>
          </w:p>
        </w:tc>
        <w:tc>
          <w:tcPr>
            <w:tcW w:w="6425" w:type="dxa"/>
            <w:tcBorders>
              <w:top w:val="single" w:sz="4" w:space="0" w:color="auto"/>
              <w:left w:val="single" w:sz="4" w:space="0" w:color="auto"/>
              <w:bottom w:val="single" w:sz="4" w:space="0" w:color="auto"/>
              <w:right w:val="single" w:sz="4" w:space="0" w:color="auto"/>
            </w:tcBorders>
            <w:hideMark/>
          </w:tcPr>
          <w:p w14:paraId="29A25904" w14:textId="77777777" w:rsidR="00B6651E" w:rsidRPr="0013396E" w:rsidRDefault="00B6651E" w:rsidP="00B6651E">
            <w:pPr>
              <w:spacing w:after="60"/>
              <w:rPr>
                <w:iCs/>
                <w:sz w:val="20"/>
                <w:szCs w:val="24"/>
              </w:rPr>
            </w:pPr>
            <w:r w:rsidRPr="0013396E">
              <w:rPr>
                <w:i/>
                <w:iCs/>
                <w:sz w:val="20"/>
                <w:szCs w:val="24"/>
              </w:rPr>
              <w:t>Load-Allocated Constraint Management Plan Cost Recovery Amount per QSE</w:t>
            </w:r>
            <w:r w:rsidRPr="0013396E">
              <w:rPr>
                <w:iCs/>
                <w:sz w:val="20"/>
                <w:szCs w:val="24"/>
              </w:rPr>
              <w:t xml:space="preserve">—The charge to QSE </w:t>
            </w:r>
            <w:r w:rsidRPr="0013396E">
              <w:rPr>
                <w:i/>
                <w:iCs/>
                <w:sz w:val="20"/>
                <w:szCs w:val="24"/>
              </w:rPr>
              <w:t>q</w:t>
            </w:r>
            <w:r w:rsidRPr="0013396E">
              <w:rPr>
                <w:iCs/>
                <w:sz w:val="20"/>
                <w:szCs w:val="24"/>
              </w:rPr>
              <w:t xml:space="preserve"> for Constraint Management Plan Cost Recovery Payment as identified in Section 6.6.3.9, for the 15-minute Settlement Interval </w:t>
            </w:r>
            <w:r w:rsidRPr="0013396E">
              <w:rPr>
                <w:i/>
                <w:sz w:val="20"/>
                <w:szCs w:val="24"/>
              </w:rPr>
              <w:t>i</w:t>
            </w:r>
            <w:r w:rsidRPr="0013396E">
              <w:rPr>
                <w:iCs/>
                <w:sz w:val="20"/>
                <w:szCs w:val="24"/>
              </w:rPr>
              <w:t>.</w:t>
            </w:r>
          </w:p>
        </w:tc>
      </w:tr>
      <w:tr w:rsidR="00B6651E" w:rsidRPr="0013396E" w14:paraId="118A6566" w14:textId="77777777" w:rsidTr="00E844EE">
        <w:trPr>
          <w:cantSplit/>
        </w:trPr>
        <w:tc>
          <w:tcPr>
            <w:tcW w:w="2414" w:type="dxa"/>
            <w:tcBorders>
              <w:top w:val="single" w:sz="4" w:space="0" w:color="auto"/>
              <w:left w:val="single" w:sz="4" w:space="0" w:color="auto"/>
              <w:bottom w:val="single" w:sz="4" w:space="0" w:color="auto"/>
              <w:right w:val="single" w:sz="4" w:space="0" w:color="auto"/>
            </w:tcBorders>
            <w:hideMark/>
          </w:tcPr>
          <w:p w14:paraId="5E039BE7" w14:textId="77777777" w:rsidR="00B6651E" w:rsidRPr="0013396E" w:rsidRDefault="00B6651E" w:rsidP="00B6651E">
            <w:pPr>
              <w:spacing w:after="60"/>
              <w:rPr>
                <w:iCs/>
                <w:sz w:val="20"/>
                <w:szCs w:val="24"/>
              </w:rPr>
            </w:pPr>
            <w:r w:rsidRPr="0013396E">
              <w:rPr>
                <w:iCs/>
                <w:sz w:val="20"/>
                <w:szCs w:val="24"/>
              </w:rPr>
              <w:t>CMPCRAMTTOT</w:t>
            </w:r>
            <w:r w:rsidRPr="0013396E">
              <w:rPr>
                <w:i/>
                <w:iCs/>
                <w:sz w:val="20"/>
                <w:szCs w:val="24"/>
                <w:vertAlign w:val="subscript"/>
                <w:lang w:val="es-ES"/>
              </w:rPr>
              <w:t xml:space="preserve"> i</w:t>
            </w:r>
            <w:r w:rsidRPr="0013396E">
              <w:rPr>
                <w:b/>
                <w:i/>
                <w:iCs/>
                <w:sz w:val="20"/>
                <w:szCs w:val="24"/>
                <w:vertAlign w:val="subscript"/>
                <w:lang w:val="es-ES"/>
              </w:rPr>
              <w:t xml:space="preserve"> </w:t>
            </w:r>
            <w:r w:rsidRPr="0013396E">
              <w:rPr>
                <w:b/>
                <w:iCs/>
                <w:sz w:val="20"/>
                <w:szCs w:val="24"/>
                <w:lang w:val="es-ES"/>
              </w:rPr>
              <w:t xml:space="preserve"> </w:t>
            </w:r>
          </w:p>
        </w:tc>
        <w:tc>
          <w:tcPr>
            <w:tcW w:w="737" w:type="dxa"/>
            <w:tcBorders>
              <w:top w:val="single" w:sz="4" w:space="0" w:color="auto"/>
              <w:left w:val="single" w:sz="4" w:space="0" w:color="auto"/>
              <w:bottom w:val="single" w:sz="4" w:space="0" w:color="auto"/>
              <w:right w:val="single" w:sz="4" w:space="0" w:color="auto"/>
            </w:tcBorders>
            <w:hideMark/>
          </w:tcPr>
          <w:p w14:paraId="4B80E208" w14:textId="77777777" w:rsidR="00B6651E" w:rsidRPr="0013396E" w:rsidRDefault="00B6651E" w:rsidP="00B6651E">
            <w:pPr>
              <w:spacing w:after="60"/>
              <w:rPr>
                <w:iCs/>
                <w:sz w:val="20"/>
                <w:szCs w:val="24"/>
              </w:rPr>
            </w:pPr>
            <w:r w:rsidRPr="0013396E">
              <w:rPr>
                <w:iCs/>
                <w:sz w:val="20"/>
                <w:szCs w:val="24"/>
              </w:rPr>
              <w:t>$</w:t>
            </w:r>
          </w:p>
        </w:tc>
        <w:tc>
          <w:tcPr>
            <w:tcW w:w="6425" w:type="dxa"/>
            <w:tcBorders>
              <w:top w:val="single" w:sz="4" w:space="0" w:color="auto"/>
              <w:left w:val="single" w:sz="4" w:space="0" w:color="auto"/>
              <w:bottom w:val="single" w:sz="4" w:space="0" w:color="auto"/>
              <w:right w:val="single" w:sz="4" w:space="0" w:color="auto"/>
            </w:tcBorders>
            <w:hideMark/>
          </w:tcPr>
          <w:p w14:paraId="2A6C2313" w14:textId="53D2660E" w:rsidR="00B6651E" w:rsidRPr="0013396E" w:rsidRDefault="00B6651E" w:rsidP="00B6651E">
            <w:pPr>
              <w:spacing w:after="60"/>
              <w:rPr>
                <w:i/>
                <w:iCs/>
                <w:sz w:val="20"/>
                <w:szCs w:val="24"/>
              </w:rPr>
            </w:pPr>
            <w:r w:rsidRPr="0013396E">
              <w:rPr>
                <w:i/>
                <w:iCs/>
                <w:sz w:val="20"/>
                <w:szCs w:val="24"/>
              </w:rPr>
              <w:t xml:space="preserve">Constraint Management Plan Cost Recovery Amount </w:t>
            </w:r>
            <w:r w:rsidR="00C01872" w:rsidRPr="0013396E">
              <w:rPr>
                <w:i/>
                <w:iCs/>
                <w:sz w:val="20"/>
                <w:szCs w:val="24"/>
              </w:rPr>
              <w:t>T</w:t>
            </w:r>
            <w:r w:rsidRPr="0013396E">
              <w:rPr>
                <w:i/>
                <w:iCs/>
                <w:sz w:val="20"/>
                <w:szCs w:val="24"/>
              </w:rPr>
              <w:t>otal</w:t>
            </w:r>
            <w:r w:rsidRPr="0013396E">
              <w:rPr>
                <w:iCs/>
                <w:sz w:val="20"/>
                <w:szCs w:val="24"/>
              </w:rPr>
              <w:t>—The total of payments to all QSEs</w:t>
            </w:r>
            <w:r w:rsidR="00FF7091" w:rsidRPr="0013396E">
              <w:rPr>
                <w:iCs/>
                <w:sz w:val="20"/>
                <w:szCs w:val="24"/>
              </w:rPr>
              <w:t xml:space="preserve"> </w:t>
            </w:r>
            <w:r w:rsidRPr="0013396E">
              <w:rPr>
                <w:iCs/>
                <w:sz w:val="20"/>
                <w:szCs w:val="24"/>
              </w:rPr>
              <w:t xml:space="preserve">Constraint Management Plan Cost Recovery Payments, for the 15-minute Settlement Interval </w:t>
            </w:r>
            <w:r w:rsidRPr="0013396E">
              <w:rPr>
                <w:i/>
                <w:iCs/>
                <w:sz w:val="20"/>
                <w:szCs w:val="24"/>
              </w:rPr>
              <w:t>i</w:t>
            </w:r>
            <w:r w:rsidRPr="0013396E">
              <w:rPr>
                <w:iCs/>
                <w:sz w:val="20"/>
                <w:szCs w:val="24"/>
              </w:rPr>
              <w:t>.</w:t>
            </w:r>
          </w:p>
        </w:tc>
      </w:tr>
      <w:tr w:rsidR="00B6651E" w:rsidRPr="0013396E" w14:paraId="092F496B" w14:textId="77777777" w:rsidTr="00E844EE">
        <w:trPr>
          <w:cantSplit/>
        </w:trPr>
        <w:tc>
          <w:tcPr>
            <w:tcW w:w="2414" w:type="dxa"/>
            <w:tcBorders>
              <w:top w:val="single" w:sz="4" w:space="0" w:color="auto"/>
              <w:left w:val="single" w:sz="4" w:space="0" w:color="auto"/>
              <w:bottom w:val="single" w:sz="4" w:space="0" w:color="auto"/>
              <w:right w:val="single" w:sz="4" w:space="0" w:color="auto"/>
            </w:tcBorders>
            <w:hideMark/>
          </w:tcPr>
          <w:p w14:paraId="0560B733" w14:textId="77777777" w:rsidR="00B6651E" w:rsidRPr="0013396E" w:rsidRDefault="00B6651E" w:rsidP="00B6651E">
            <w:pPr>
              <w:spacing w:after="60"/>
              <w:rPr>
                <w:iCs/>
                <w:sz w:val="20"/>
                <w:szCs w:val="24"/>
              </w:rPr>
            </w:pPr>
            <w:r w:rsidRPr="0013396E">
              <w:rPr>
                <w:iCs/>
                <w:sz w:val="20"/>
                <w:szCs w:val="24"/>
              </w:rPr>
              <w:t xml:space="preserve">CMPCRAMTQSETOT </w:t>
            </w:r>
            <w:r w:rsidRPr="0013396E">
              <w:rPr>
                <w:i/>
                <w:iCs/>
                <w:sz w:val="20"/>
                <w:szCs w:val="24"/>
                <w:vertAlign w:val="subscript"/>
                <w:lang w:val="es-ES"/>
              </w:rPr>
              <w:t>q, i</w:t>
            </w:r>
            <w:r w:rsidRPr="0013396E">
              <w:rPr>
                <w:b/>
                <w:i/>
                <w:iCs/>
                <w:sz w:val="20"/>
                <w:szCs w:val="24"/>
                <w:vertAlign w:val="subscript"/>
                <w:lang w:val="es-ES"/>
              </w:rPr>
              <w:t xml:space="preserve"> </w:t>
            </w:r>
            <w:r w:rsidRPr="0013396E">
              <w:rPr>
                <w:b/>
                <w:iCs/>
                <w:sz w:val="20"/>
                <w:szCs w:val="24"/>
                <w:lang w:val="es-ES"/>
              </w:rPr>
              <w:t xml:space="preserve"> </w:t>
            </w:r>
          </w:p>
        </w:tc>
        <w:tc>
          <w:tcPr>
            <w:tcW w:w="737" w:type="dxa"/>
            <w:tcBorders>
              <w:top w:val="single" w:sz="4" w:space="0" w:color="auto"/>
              <w:left w:val="single" w:sz="4" w:space="0" w:color="auto"/>
              <w:bottom w:val="single" w:sz="4" w:space="0" w:color="auto"/>
              <w:right w:val="single" w:sz="4" w:space="0" w:color="auto"/>
            </w:tcBorders>
            <w:hideMark/>
          </w:tcPr>
          <w:p w14:paraId="6A60DB65" w14:textId="77777777" w:rsidR="00B6651E" w:rsidRPr="0013396E" w:rsidRDefault="00B6651E" w:rsidP="00B6651E">
            <w:pPr>
              <w:spacing w:after="60"/>
              <w:rPr>
                <w:iCs/>
                <w:sz w:val="20"/>
                <w:szCs w:val="24"/>
              </w:rPr>
            </w:pPr>
            <w:r w:rsidRPr="0013396E">
              <w:rPr>
                <w:iCs/>
                <w:sz w:val="20"/>
                <w:szCs w:val="24"/>
              </w:rPr>
              <w:t>$</w:t>
            </w:r>
          </w:p>
        </w:tc>
        <w:tc>
          <w:tcPr>
            <w:tcW w:w="6425" w:type="dxa"/>
            <w:tcBorders>
              <w:top w:val="single" w:sz="4" w:space="0" w:color="auto"/>
              <w:left w:val="single" w:sz="4" w:space="0" w:color="auto"/>
              <w:bottom w:val="single" w:sz="4" w:space="0" w:color="auto"/>
              <w:right w:val="single" w:sz="4" w:space="0" w:color="auto"/>
            </w:tcBorders>
            <w:hideMark/>
          </w:tcPr>
          <w:p w14:paraId="20CD908E" w14:textId="7A675ECC" w:rsidR="00B6651E" w:rsidRPr="0013396E" w:rsidRDefault="00B6651E" w:rsidP="00B6651E">
            <w:pPr>
              <w:spacing w:after="60"/>
              <w:rPr>
                <w:i/>
                <w:iCs/>
                <w:sz w:val="20"/>
                <w:szCs w:val="24"/>
              </w:rPr>
            </w:pPr>
            <w:r w:rsidRPr="0013396E">
              <w:rPr>
                <w:i/>
                <w:iCs/>
                <w:sz w:val="20"/>
                <w:szCs w:val="24"/>
              </w:rPr>
              <w:t xml:space="preserve">Constraint Management Plan Cost Recovery Amount QSE </w:t>
            </w:r>
            <w:r w:rsidR="00C01872" w:rsidRPr="0013396E">
              <w:rPr>
                <w:i/>
                <w:iCs/>
                <w:sz w:val="20"/>
                <w:szCs w:val="24"/>
              </w:rPr>
              <w:t>T</w:t>
            </w:r>
            <w:r w:rsidRPr="0013396E">
              <w:rPr>
                <w:i/>
                <w:iCs/>
                <w:sz w:val="20"/>
                <w:szCs w:val="24"/>
              </w:rPr>
              <w:t>otal per QSE</w:t>
            </w:r>
            <w:r w:rsidRPr="0013396E">
              <w:rPr>
                <w:iCs/>
                <w:sz w:val="20"/>
                <w:szCs w:val="24"/>
              </w:rPr>
              <w:t xml:space="preserve">—The total of the Constraint Management Plan Cost Recovery Payments to QSE </w:t>
            </w:r>
            <w:r w:rsidRPr="0013396E">
              <w:rPr>
                <w:i/>
                <w:iCs/>
                <w:sz w:val="20"/>
                <w:szCs w:val="24"/>
              </w:rPr>
              <w:t>q</w:t>
            </w:r>
            <w:r w:rsidRPr="0013396E">
              <w:rPr>
                <w:iCs/>
                <w:sz w:val="20"/>
                <w:szCs w:val="24"/>
              </w:rPr>
              <w:t xml:space="preserve"> </w:t>
            </w:r>
            <w:r w:rsidRPr="0013396E">
              <w:rPr>
                <w:iCs/>
                <w:kern w:val="2"/>
                <w:sz w:val="20"/>
                <w:szCs w:val="24"/>
              </w:rPr>
              <w:t>due to an ERCOT-issued CMP or equivalent VDI</w:t>
            </w:r>
            <w:r w:rsidRPr="0013396E">
              <w:rPr>
                <w:iCs/>
                <w:sz w:val="20"/>
                <w:szCs w:val="24"/>
              </w:rPr>
              <w:t xml:space="preserve"> for the 15-minute Settlement Interval </w:t>
            </w:r>
            <w:r w:rsidRPr="0013396E">
              <w:rPr>
                <w:i/>
                <w:iCs/>
                <w:sz w:val="20"/>
                <w:szCs w:val="24"/>
              </w:rPr>
              <w:t>i</w:t>
            </w:r>
            <w:r w:rsidRPr="0013396E">
              <w:rPr>
                <w:iCs/>
                <w:sz w:val="20"/>
                <w:szCs w:val="24"/>
              </w:rPr>
              <w:t>.</w:t>
            </w:r>
          </w:p>
        </w:tc>
      </w:tr>
      <w:tr w:rsidR="00B6651E" w:rsidRPr="0013396E" w14:paraId="7F546482" w14:textId="77777777" w:rsidTr="00E844EE">
        <w:trPr>
          <w:cantSplit/>
        </w:trPr>
        <w:tc>
          <w:tcPr>
            <w:tcW w:w="2414" w:type="dxa"/>
            <w:tcBorders>
              <w:top w:val="single" w:sz="4" w:space="0" w:color="auto"/>
              <w:left w:val="single" w:sz="4" w:space="0" w:color="auto"/>
              <w:bottom w:val="single" w:sz="4" w:space="0" w:color="auto"/>
              <w:right w:val="single" w:sz="4" w:space="0" w:color="auto"/>
            </w:tcBorders>
            <w:hideMark/>
          </w:tcPr>
          <w:p w14:paraId="76203954" w14:textId="77777777" w:rsidR="00B6651E" w:rsidRPr="0013396E" w:rsidRDefault="00B6651E" w:rsidP="00B6651E">
            <w:pPr>
              <w:spacing w:after="60"/>
              <w:rPr>
                <w:iCs/>
                <w:sz w:val="20"/>
                <w:szCs w:val="24"/>
              </w:rPr>
            </w:pPr>
            <w:r w:rsidRPr="0013396E">
              <w:rPr>
                <w:iCs/>
                <w:sz w:val="20"/>
                <w:szCs w:val="24"/>
              </w:rPr>
              <w:t xml:space="preserve">LRS </w:t>
            </w:r>
            <w:r w:rsidRPr="0013396E">
              <w:rPr>
                <w:i/>
                <w:iCs/>
                <w:sz w:val="20"/>
                <w:szCs w:val="24"/>
                <w:vertAlign w:val="subscript"/>
                <w:lang w:val="es-ES"/>
              </w:rPr>
              <w:t>q, i</w:t>
            </w:r>
            <w:r w:rsidRPr="0013396E">
              <w:rPr>
                <w:b/>
                <w:i/>
                <w:iCs/>
                <w:sz w:val="20"/>
                <w:szCs w:val="24"/>
                <w:vertAlign w:val="subscript"/>
                <w:lang w:val="es-ES"/>
              </w:rPr>
              <w:t xml:space="preserve"> </w:t>
            </w:r>
            <w:r w:rsidRPr="0013396E">
              <w:rPr>
                <w:b/>
                <w:iCs/>
                <w:sz w:val="20"/>
                <w:szCs w:val="24"/>
                <w:lang w:val="es-ES"/>
              </w:rPr>
              <w:t xml:space="preserve"> </w:t>
            </w:r>
          </w:p>
        </w:tc>
        <w:tc>
          <w:tcPr>
            <w:tcW w:w="737" w:type="dxa"/>
            <w:tcBorders>
              <w:top w:val="single" w:sz="4" w:space="0" w:color="auto"/>
              <w:left w:val="single" w:sz="4" w:space="0" w:color="auto"/>
              <w:bottom w:val="single" w:sz="4" w:space="0" w:color="auto"/>
              <w:right w:val="single" w:sz="4" w:space="0" w:color="auto"/>
            </w:tcBorders>
            <w:hideMark/>
          </w:tcPr>
          <w:p w14:paraId="4D4432D7" w14:textId="77777777" w:rsidR="00B6651E" w:rsidRPr="0013396E" w:rsidRDefault="00B6651E" w:rsidP="00B6651E">
            <w:pPr>
              <w:spacing w:after="60"/>
              <w:rPr>
                <w:iCs/>
                <w:sz w:val="20"/>
                <w:szCs w:val="24"/>
              </w:rPr>
            </w:pPr>
            <w:r w:rsidRPr="0013396E">
              <w:rPr>
                <w:iCs/>
                <w:sz w:val="20"/>
                <w:szCs w:val="24"/>
              </w:rPr>
              <w:t>none</w:t>
            </w:r>
          </w:p>
        </w:tc>
        <w:tc>
          <w:tcPr>
            <w:tcW w:w="6425" w:type="dxa"/>
            <w:tcBorders>
              <w:top w:val="single" w:sz="4" w:space="0" w:color="auto"/>
              <w:left w:val="single" w:sz="4" w:space="0" w:color="auto"/>
              <w:bottom w:val="single" w:sz="4" w:space="0" w:color="auto"/>
              <w:right w:val="single" w:sz="4" w:space="0" w:color="auto"/>
            </w:tcBorders>
            <w:hideMark/>
          </w:tcPr>
          <w:p w14:paraId="4C5F4E87" w14:textId="77777777" w:rsidR="00B6651E" w:rsidRPr="0013396E" w:rsidRDefault="00B6651E" w:rsidP="00B6651E">
            <w:pPr>
              <w:spacing w:after="60"/>
              <w:rPr>
                <w:iCs/>
                <w:sz w:val="20"/>
                <w:szCs w:val="24"/>
              </w:rPr>
            </w:pPr>
            <w:r w:rsidRPr="0013396E">
              <w:rPr>
                <w:i/>
                <w:iCs/>
                <w:sz w:val="20"/>
                <w:szCs w:val="24"/>
              </w:rPr>
              <w:t>The Load Ratio Share</w:t>
            </w:r>
            <w:r w:rsidRPr="0013396E">
              <w:rPr>
                <w:iCs/>
                <w:sz w:val="20"/>
                <w:szCs w:val="24"/>
              </w:rPr>
              <w:t xml:space="preserve"> calculated for QSE </w:t>
            </w:r>
            <w:r w:rsidRPr="0013396E">
              <w:rPr>
                <w:i/>
                <w:iCs/>
                <w:sz w:val="20"/>
                <w:szCs w:val="24"/>
              </w:rPr>
              <w:t>q</w:t>
            </w:r>
            <w:r w:rsidRPr="0013396E">
              <w:rPr>
                <w:iCs/>
                <w:sz w:val="20"/>
                <w:szCs w:val="24"/>
              </w:rPr>
              <w:t xml:space="preserve"> for the 15-minute Settlement Interval </w:t>
            </w:r>
            <w:r w:rsidRPr="0013396E">
              <w:rPr>
                <w:i/>
                <w:iCs/>
                <w:sz w:val="20"/>
                <w:szCs w:val="24"/>
              </w:rPr>
              <w:t>i</w:t>
            </w:r>
            <w:r w:rsidRPr="0013396E">
              <w:rPr>
                <w:iCs/>
                <w:sz w:val="20"/>
                <w:szCs w:val="24"/>
              </w:rPr>
              <w:t>.  See Section 6.6.2.2, QSE Load Ratio Share for a 15-Minute Settlement Interval.</w:t>
            </w:r>
          </w:p>
        </w:tc>
      </w:tr>
      <w:tr w:rsidR="00B6651E" w:rsidRPr="0013396E" w14:paraId="435F66BB" w14:textId="77777777" w:rsidTr="00E844EE">
        <w:trPr>
          <w:cantSplit/>
        </w:trPr>
        <w:tc>
          <w:tcPr>
            <w:tcW w:w="2414" w:type="dxa"/>
            <w:tcBorders>
              <w:top w:val="single" w:sz="4" w:space="0" w:color="auto"/>
              <w:left w:val="single" w:sz="4" w:space="0" w:color="auto"/>
              <w:bottom w:val="single" w:sz="4" w:space="0" w:color="auto"/>
              <w:right w:val="single" w:sz="4" w:space="0" w:color="auto"/>
            </w:tcBorders>
            <w:hideMark/>
          </w:tcPr>
          <w:p w14:paraId="63A0DCC4" w14:textId="77777777" w:rsidR="00B6651E" w:rsidRPr="0013396E" w:rsidRDefault="00B6651E" w:rsidP="00B6651E">
            <w:pPr>
              <w:spacing w:after="60"/>
              <w:rPr>
                <w:i/>
                <w:iCs/>
                <w:sz w:val="20"/>
                <w:szCs w:val="24"/>
              </w:rPr>
            </w:pPr>
            <w:r w:rsidRPr="0013396E">
              <w:rPr>
                <w:i/>
                <w:iCs/>
                <w:sz w:val="20"/>
                <w:szCs w:val="24"/>
              </w:rPr>
              <w:t>q</w:t>
            </w:r>
          </w:p>
        </w:tc>
        <w:tc>
          <w:tcPr>
            <w:tcW w:w="737" w:type="dxa"/>
            <w:tcBorders>
              <w:top w:val="single" w:sz="4" w:space="0" w:color="auto"/>
              <w:left w:val="single" w:sz="4" w:space="0" w:color="auto"/>
              <w:bottom w:val="single" w:sz="4" w:space="0" w:color="auto"/>
              <w:right w:val="single" w:sz="4" w:space="0" w:color="auto"/>
            </w:tcBorders>
            <w:hideMark/>
          </w:tcPr>
          <w:p w14:paraId="2D4229B0" w14:textId="77777777" w:rsidR="00B6651E" w:rsidRPr="0013396E" w:rsidRDefault="00B6651E" w:rsidP="00B6651E">
            <w:pPr>
              <w:spacing w:after="60"/>
              <w:rPr>
                <w:iCs/>
                <w:sz w:val="20"/>
                <w:szCs w:val="24"/>
              </w:rPr>
            </w:pPr>
            <w:r w:rsidRPr="0013396E">
              <w:rPr>
                <w:iCs/>
                <w:sz w:val="20"/>
                <w:szCs w:val="24"/>
              </w:rPr>
              <w:t>none</w:t>
            </w:r>
          </w:p>
        </w:tc>
        <w:tc>
          <w:tcPr>
            <w:tcW w:w="6425" w:type="dxa"/>
            <w:tcBorders>
              <w:top w:val="single" w:sz="4" w:space="0" w:color="auto"/>
              <w:left w:val="single" w:sz="4" w:space="0" w:color="auto"/>
              <w:bottom w:val="single" w:sz="4" w:space="0" w:color="auto"/>
              <w:right w:val="single" w:sz="4" w:space="0" w:color="auto"/>
            </w:tcBorders>
            <w:hideMark/>
          </w:tcPr>
          <w:p w14:paraId="5E4620A6" w14:textId="77777777" w:rsidR="00B6651E" w:rsidRPr="0013396E" w:rsidRDefault="00B6651E" w:rsidP="00B6651E">
            <w:pPr>
              <w:spacing w:after="60"/>
              <w:rPr>
                <w:iCs/>
                <w:sz w:val="20"/>
                <w:szCs w:val="24"/>
              </w:rPr>
            </w:pPr>
            <w:r w:rsidRPr="0013396E">
              <w:rPr>
                <w:iCs/>
                <w:sz w:val="20"/>
                <w:szCs w:val="24"/>
              </w:rPr>
              <w:t>A QSE.</w:t>
            </w:r>
          </w:p>
        </w:tc>
      </w:tr>
      <w:tr w:rsidR="00B6651E" w:rsidRPr="0013396E" w14:paraId="271F1FE6" w14:textId="77777777" w:rsidTr="00E844EE">
        <w:trPr>
          <w:cantSplit/>
        </w:trPr>
        <w:tc>
          <w:tcPr>
            <w:tcW w:w="2414" w:type="dxa"/>
            <w:tcBorders>
              <w:top w:val="single" w:sz="4" w:space="0" w:color="auto"/>
              <w:left w:val="single" w:sz="4" w:space="0" w:color="auto"/>
              <w:bottom w:val="single" w:sz="4" w:space="0" w:color="auto"/>
              <w:right w:val="single" w:sz="4" w:space="0" w:color="auto"/>
            </w:tcBorders>
            <w:hideMark/>
          </w:tcPr>
          <w:p w14:paraId="3DF4F963" w14:textId="77777777" w:rsidR="00B6651E" w:rsidRPr="0013396E" w:rsidRDefault="00B6651E" w:rsidP="00B6651E">
            <w:pPr>
              <w:spacing w:after="60"/>
              <w:rPr>
                <w:iCs/>
                <w:sz w:val="20"/>
                <w:szCs w:val="24"/>
              </w:rPr>
            </w:pPr>
            <w:r w:rsidRPr="0013396E">
              <w:rPr>
                <w:i/>
                <w:iCs/>
                <w:sz w:val="20"/>
                <w:szCs w:val="24"/>
              </w:rPr>
              <w:t>i</w:t>
            </w:r>
          </w:p>
        </w:tc>
        <w:tc>
          <w:tcPr>
            <w:tcW w:w="737" w:type="dxa"/>
            <w:tcBorders>
              <w:top w:val="single" w:sz="4" w:space="0" w:color="auto"/>
              <w:left w:val="single" w:sz="4" w:space="0" w:color="auto"/>
              <w:bottom w:val="single" w:sz="4" w:space="0" w:color="auto"/>
              <w:right w:val="single" w:sz="4" w:space="0" w:color="auto"/>
            </w:tcBorders>
            <w:hideMark/>
          </w:tcPr>
          <w:p w14:paraId="7A10228E" w14:textId="77777777" w:rsidR="00B6651E" w:rsidRPr="0013396E" w:rsidRDefault="00B6651E" w:rsidP="00B6651E">
            <w:pPr>
              <w:spacing w:after="60"/>
              <w:rPr>
                <w:iCs/>
                <w:sz w:val="20"/>
                <w:szCs w:val="24"/>
              </w:rPr>
            </w:pPr>
            <w:r w:rsidRPr="0013396E">
              <w:rPr>
                <w:iCs/>
                <w:sz w:val="20"/>
                <w:szCs w:val="24"/>
              </w:rPr>
              <w:t>none</w:t>
            </w:r>
          </w:p>
        </w:tc>
        <w:tc>
          <w:tcPr>
            <w:tcW w:w="6425" w:type="dxa"/>
            <w:tcBorders>
              <w:top w:val="single" w:sz="4" w:space="0" w:color="auto"/>
              <w:left w:val="single" w:sz="4" w:space="0" w:color="auto"/>
              <w:bottom w:val="single" w:sz="4" w:space="0" w:color="auto"/>
              <w:right w:val="single" w:sz="4" w:space="0" w:color="auto"/>
            </w:tcBorders>
            <w:hideMark/>
          </w:tcPr>
          <w:p w14:paraId="580A8863" w14:textId="77777777" w:rsidR="00B6651E" w:rsidRPr="0013396E" w:rsidRDefault="00B6651E" w:rsidP="00B6651E">
            <w:pPr>
              <w:spacing w:after="60"/>
              <w:rPr>
                <w:iCs/>
                <w:sz w:val="20"/>
                <w:szCs w:val="24"/>
              </w:rPr>
            </w:pPr>
            <w:r w:rsidRPr="0013396E">
              <w:rPr>
                <w:iCs/>
                <w:sz w:val="20"/>
                <w:szCs w:val="24"/>
              </w:rPr>
              <w:t>A 15-minute Settlement Interval.</w:t>
            </w:r>
          </w:p>
        </w:tc>
      </w:tr>
    </w:tbl>
    <w:p w14:paraId="70177D8A" w14:textId="77777777" w:rsidR="00B6651E" w:rsidRPr="0013396E" w:rsidRDefault="00B6651E" w:rsidP="00B6651E">
      <w:pPr>
        <w:keepNext/>
        <w:widowControl w:val="0"/>
        <w:tabs>
          <w:tab w:val="left" w:pos="1260"/>
        </w:tabs>
        <w:spacing w:before="480" w:after="240"/>
        <w:ind w:left="1260" w:hanging="1260"/>
        <w:outlineLvl w:val="3"/>
        <w:rPr>
          <w:b/>
          <w:bCs/>
          <w:snapToGrid w:val="0"/>
        </w:rPr>
      </w:pPr>
      <w:bookmarkStart w:id="1700" w:name="_Toc135992440"/>
      <w:bookmarkStart w:id="1701" w:name="_Toc214878976"/>
      <w:r w:rsidRPr="0013396E">
        <w:rPr>
          <w:b/>
          <w:bCs/>
          <w:snapToGrid w:val="0"/>
        </w:rPr>
        <w:lastRenderedPageBreak/>
        <w:t>6.6.3.11</w:t>
      </w:r>
      <w:r w:rsidRPr="0013396E">
        <w:rPr>
          <w:b/>
          <w:bCs/>
          <w:snapToGrid w:val="0"/>
        </w:rPr>
        <w:tab/>
        <w:t xml:space="preserve">Miscellaneous Invoice for Cost Recovery Payments and Charges for </w:t>
      </w:r>
      <w:bookmarkEnd w:id="1700"/>
      <w:r w:rsidRPr="0013396E">
        <w:rPr>
          <w:b/>
          <w:bCs/>
          <w:snapToGrid w:val="0"/>
        </w:rPr>
        <w:t>a Real-Time Constraint Management Plan</w:t>
      </w:r>
      <w:bookmarkEnd w:id="1701"/>
      <w:r w:rsidRPr="0013396E">
        <w:rPr>
          <w:b/>
          <w:bCs/>
          <w:snapToGrid w:val="0"/>
        </w:rPr>
        <w:t xml:space="preserve">   </w:t>
      </w:r>
    </w:p>
    <w:p w14:paraId="5037FFCF" w14:textId="77777777" w:rsidR="00B6651E" w:rsidRPr="0013396E" w:rsidRDefault="00B6651E" w:rsidP="00B6651E">
      <w:pPr>
        <w:spacing w:after="240"/>
        <w:ind w:left="720" w:hanging="720"/>
        <w:rPr>
          <w:bCs/>
          <w:iCs/>
          <w:szCs w:val="24"/>
        </w:rPr>
      </w:pPr>
      <w:r w:rsidRPr="0013396E">
        <w:rPr>
          <w:bCs/>
          <w:iCs/>
          <w:szCs w:val="24"/>
        </w:rPr>
        <w:t>(1)</w:t>
      </w:r>
      <w:r w:rsidRPr="0013396E">
        <w:rPr>
          <w:bCs/>
          <w:iCs/>
          <w:szCs w:val="24"/>
        </w:rPr>
        <w:tab/>
        <w:t>Each</w:t>
      </w:r>
      <w:r w:rsidRPr="0013396E">
        <w:rPr>
          <w:szCs w:val="24"/>
        </w:rPr>
        <w:t xml:space="preserve"> approved dispute shall be settled as described in Section 9.14.2, Notice of Dispute</w:t>
      </w:r>
      <w:r w:rsidRPr="0013396E">
        <w:rPr>
          <w:bCs/>
          <w:iCs/>
          <w:szCs w:val="24"/>
        </w:rPr>
        <w:t>.</w:t>
      </w:r>
    </w:p>
    <w:p w14:paraId="0F5D789A" w14:textId="5618A7E2" w:rsidR="00B6651E" w:rsidRPr="0013396E" w:rsidRDefault="00B6651E" w:rsidP="00B6651E">
      <w:pPr>
        <w:spacing w:after="240"/>
        <w:ind w:left="720" w:hanging="720"/>
        <w:rPr>
          <w:bCs/>
          <w:szCs w:val="24"/>
        </w:rPr>
      </w:pPr>
      <w:r w:rsidRPr="0013396E">
        <w:rPr>
          <w:bCs/>
          <w:iCs/>
          <w:szCs w:val="24"/>
        </w:rPr>
        <w:t>(2)</w:t>
      </w:r>
      <w:r w:rsidRPr="0013396E">
        <w:rPr>
          <w:bCs/>
          <w:iCs/>
          <w:szCs w:val="24"/>
        </w:rPr>
        <w:tab/>
        <w:t xml:space="preserve">ERCOT shall issue a miscellaneous Invoice to the </w:t>
      </w:r>
      <w:r w:rsidRPr="0013396E">
        <w:rPr>
          <w:szCs w:val="24"/>
        </w:rPr>
        <w:t>QSE</w:t>
      </w:r>
      <w:r w:rsidRPr="0013396E">
        <w:rPr>
          <w:bCs/>
          <w:iCs/>
          <w:szCs w:val="24"/>
        </w:rPr>
        <w:t xml:space="preserve"> representing the Resource that has received a </w:t>
      </w:r>
      <w:r w:rsidR="003D016F" w:rsidRPr="0013396E">
        <w:rPr>
          <w:bCs/>
          <w:iCs/>
          <w:szCs w:val="24"/>
        </w:rPr>
        <w:t xml:space="preserve">CMP </w:t>
      </w:r>
      <w:r w:rsidRPr="0013396E">
        <w:rPr>
          <w:bCs/>
          <w:iCs/>
          <w:szCs w:val="24"/>
        </w:rPr>
        <w:t xml:space="preserve">payment, </w:t>
      </w:r>
      <w:r w:rsidRPr="0013396E">
        <w:rPr>
          <w:bCs/>
          <w:szCs w:val="24"/>
        </w:rPr>
        <w:t xml:space="preserve">as described in Section 6.6.3.9, Real-Time Constraint Management Plan </w:t>
      </w:r>
      <w:r w:rsidRPr="0013396E">
        <w:rPr>
          <w:bCs/>
          <w:iCs/>
          <w:szCs w:val="24"/>
        </w:rPr>
        <w:t>Cost Recovery</w:t>
      </w:r>
      <w:r w:rsidRPr="0013396E">
        <w:rPr>
          <w:bCs/>
          <w:szCs w:val="24"/>
        </w:rPr>
        <w:t xml:space="preserve"> Payment.</w:t>
      </w:r>
    </w:p>
    <w:p w14:paraId="0FE85B9A" w14:textId="77777777" w:rsidR="00B6651E" w:rsidRPr="0013396E" w:rsidRDefault="00B6651E" w:rsidP="00B6651E">
      <w:pPr>
        <w:spacing w:after="240"/>
        <w:ind w:left="720" w:hanging="720"/>
        <w:rPr>
          <w:bCs/>
          <w:iCs/>
          <w:szCs w:val="24"/>
        </w:rPr>
      </w:pPr>
      <w:r w:rsidRPr="0013396E">
        <w:rPr>
          <w:bCs/>
          <w:iCs/>
          <w:szCs w:val="24"/>
        </w:rPr>
        <w:t>(3)</w:t>
      </w:r>
      <w:r w:rsidRPr="0013396E">
        <w:rPr>
          <w:bCs/>
          <w:iCs/>
          <w:szCs w:val="24"/>
        </w:rPr>
        <w:tab/>
        <w:t xml:space="preserve">ERCOT shall issue a miscellaneous Invoice to the QSE representing Load based on the LRS as described in Section 6.6.3.10, Real-Time Constraint Management Plan Cost Recovery Charge. </w:t>
      </w:r>
    </w:p>
    <w:p w14:paraId="600EEA80" w14:textId="77777777" w:rsidR="00B6651E" w:rsidRPr="0013396E" w:rsidRDefault="00B6651E" w:rsidP="00B6651E">
      <w:pPr>
        <w:spacing w:after="240"/>
        <w:ind w:left="720" w:hanging="720"/>
        <w:rPr>
          <w:bCs/>
          <w:iCs/>
          <w:szCs w:val="24"/>
        </w:rPr>
      </w:pPr>
      <w:r w:rsidRPr="0013396E">
        <w:rPr>
          <w:bCs/>
          <w:iCs/>
          <w:szCs w:val="24"/>
        </w:rPr>
        <w:t>(4)</w:t>
      </w:r>
      <w:r w:rsidRPr="0013396E">
        <w:rPr>
          <w:bCs/>
          <w:iCs/>
          <w:szCs w:val="24"/>
        </w:rPr>
        <w:tab/>
        <w:t xml:space="preserve">ERCOT shall issue a one-time miscellaneous Invoice encompassing all Operating Days in each approved dispute using the most recent available Settlement data at the time the Invoices were issued. </w:t>
      </w:r>
    </w:p>
    <w:p w14:paraId="37471C3F" w14:textId="77777777" w:rsidR="00B6651E" w:rsidRPr="0013396E" w:rsidRDefault="00B6651E" w:rsidP="00B6651E">
      <w:pPr>
        <w:spacing w:after="240"/>
        <w:ind w:left="720" w:hanging="720"/>
        <w:rPr>
          <w:szCs w:val="24"/>
        </w:rPr>
      </w:pPr>
      <w:r w:rsidRPr="0013396E">
        <w:rPr>
          <w:szCs w:val="24"/>
        </w:rPr>
        <w:t>(5)</w:t>
      </w:r>
      <w:r w:rsidRPr="0013396E">
        <w:rPr>
          <w:szCs w:val="24"/>
        </w:rPr>
        <w:tab/>
        <w:t xml:space="preserve">ERCOT </w:t>
      </w:r>
      <w:r w:rsidRPr="0013396E">
        <w:rPr>
          <w:bCs/>
          <w:szCs w:val="24"/>
        </w:rPr>
        <w:t>shall</w:t>
      </w:r>
      <w:r w:rsidRPr="0013396E">
        <w:rPr>
          <w:szCs w:val="24"/>
        </w:rPr>
        <w:t xml:space="preserve"> issue a Market Notice in conjunction with the issuance of miscellaneous Invoices for payments or charges for Real-Time Constraint Management Plan Settlement.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B6651E" w:rsidRPr="0013396E" w14:paraId="0CE3C20E" w14:textId="77777777" w:rsidTr="00E844EE">
        <w:trPr>
          <w:trHeight w:val="386"/>
        </w:trPr>
        <w:tc>
          <w:tcPr>
            <w:tcW w:w="9350" w:type="dxa"/>
            <w:shd w:val="pct12" w:color="auto" w:fill="auto"/>
          </w:tcPr>
          <w:p w14:paraId="3E137E5E" w14:textId="77777777" w:rsidR="00B6651E" w:rsidRPr="0013396E" w:rsidRDefault="00B6651E" w:rsidP="00B6651E">
            <w:pPr>
              <w:spacing w:before="120" w:after="240"/>
              <w:rPr>
                <w:b/>
                <w:i/>
                <w:iCs/>
                <w:szCs w:val="24"/>
              </w:rPr>
            </w:pPr>
            <w:r w:rsidRPr="0013396E">
              <w:rPr>
                <w:b/>
                <w:i/>
                <w:iCs/>
                <w:szCs w:val="24"/>
              </w:rPr>
              <w:t>[NPRR1229:  Delete Section 6.6.3.11 above upon system implementation.]</w:t>
            </w:r>
          </w:p>
        </w:tc>
      </w:tr>
    </w:tbl>
    <w:p w14:paraId="1AB55D94" w14:textId="77777777" w:rsidR="001F04FD" w:rsidRPr="0013396E" w:rsidRDefault="001F04FD" w:rsidP="00020E00">
      <w:pPr>
        <w:pStyle w:val="H3"/>
        <w:spacing w:before="480"/>
      </w:pPr>
      <w:bookmarkStart w:id="1702" w:name="_Toc214878977"/>
      <w:bookmarkEnd w:id="1697"/>
      <w:r w:rsidRPr="0013396E">
        <w:t>6.6.4</w:t>
      </w:r>
      <w:r w:rsidRPr="0013396E">
        <w:tab/>
        <w:t>Real-Time Congestion Payment or Charge for Self-Schedules</w:t>
      </w:r>
      <w:bookmarkEnd w:id="1666"/>
      <w:bookmarkEnd w:id="1667"/>
      <w:bookmarkEnd w:id="1668"/>
      <w:bookmarkEnd w:id="1669"/>
      <w:bookmarkEnd w:id="1670"/>
      <w:bookmarkEnd w:id="1671"/>
      <w:bookmarkEnd w:id="1672"/>
      <w:bookmarkEnd w:id="1673"/>
      <w:bookmarkEnd w:id="1680"/>
      <w:bookmarkEnd w:id="1681"/>
      <w:bookmarkEnd w:id="1682"/>
      <w:bookmarkEnd w:id="1683"/>
      <w:bookmarkEnd w:id="1684"/>
      <w:bookmarkEnd w:id="1685"/>
      <w:bookmarkEnd w:id="1686"/>
      <w:bookmarkEnd w:id="1687"/>
      <w:bookmarkEnd w:id="1702"/>
      <w:r w:rsidRPr="0013396E">
        <w:t xml:space="preserve"> </w:t>
      </w:r>
    </w:p>
    <w:p w14:paraId="3AD3B362" w14:textId="02633EC8" w:rsidR="001F04FD" w:rsidRPr="0013396E" w:rsidRDefault="001F04FD" w:rsidP="001F04FD">
      <w:pPr>
        <w:pStyle w:val="BodyTextNumbered"/>
      </w:pPr>
      <w:r w:rsidRPr="0013396E">
        <w:t>(1)</w:t>
      </w:r>
      <w:r w:rsidRPr="0013396E">
        <w:tab/>
        <w:t>The congestion payment or charge to each QSE submitting a Self-Schedule calculated based on the difference in Real-Time S</w:t>
      </w:r>
      <w:r w:rsidR="008B66B5" w:rsidRPr="0013396E">
        <w:t xml:space="preserve">ettlement </w:t>
      </w:r>
      <w:r w:rsidRPr="0013396E">
        <w:t>P</w:t>
      </w:r>
      <w:r w:rsidR="008B66B5" w:rsidRPr="0013396E">
        <w:t xml:space="preserve">oint </w:t>
      </w:r>
      <w:r w:rsidRPr="0013396E">
        <w:t>P</w:t>
      </w:r>
      <w:r w:rsidR="008B66B5" w:rsidRPr="0013396E">
        <w:t>rice</w:t>
      </w:r>
      <w:r w:rsidRPr="0013396E">
        <w:t>s at the specified sink and the source of the Self-Schedule multiplied by the amount of the Self-Schedule.  The congestion charge to each QSE for each of its Self-Schedule for a given 15-minute Settlement Interval is calculated as follows:</w:t>
      </w:r>
    </w:p>
    <w:p w14:paraId="66958E6A" w14:textId="77777777" w:rsidR="001F04FD" w:rsidRPr="0013396E" w:rsidRDefault="001F04FD" w:rsidP="001F04FD">
      <w:pPr>
        <w:pStyle w:val="FormulaBold"/>
      </w:pPr>
      <w:r w:rsidRPr="0013396E">
        <w:t xml:space="preserve">RTCCAMT </w:t>
      </w:r>
      <w:r w:rsidRPr="0013396E">
        <w:rPr>
          <w:i/>
          <w:vertAlign w:val="subscript"/>
        </w:rPr>
        <w:t xml:space="preserve">q, s </w:t>
      </w:r>
      <w:r w:rsidRPr="0013396E">
        <w:tab/>
        <w:t>=</w:t>
      </w:r>
      <w:r w:rsidRPr="0013396E">
        <w:tab/>
        <w:t xml:space="preserve">(RTSPP </w:t>
      </w:r>
      <w:r w:rsidRPr="0013396E">
        <w:rPr>
          <w:i/>
          <w:vertAlign w:val="subscript"/>
        </w:rPr>
        <w:t>sink, s</w:t>
      </w:r>
      <w:r w:rsidRPr="0013396E">
        <w:t xml:space="preserve"> – RTSPP </w:t>
      </w:r>
      <w:r w:rsidRPr="0013396E">
        <w:rPr>
          <w:i/>
          <w:vertAlign w:val="subscript"/>
        </w:rPr>
        <w:t>source, s</w:t>
      </w:r>
      <w:r w:rsidRPr="0013396E">
        <w:t xml:space="preserve">) * (SSQ </w:t>
      </w:r>
      <w:r w:rsidRPr="0013396E">
        <w:rPr>
          <w:i/>
          <w:vertAlign w:val="subscript"/>
        </w:rPr>
        <w:t>q, s</w:t>
      </w:r>
      <w:r w:rsidRPr="0013396E">
        <w:t xml:space="preserve"> * ¼) </w:t>
      </w:r>
    </w:p>
    <w:p w14:paraId="12857438" w14:textId="77777777" w:rsidR="001F04FD" w:rsidRPr="0013396E" w:rsidRDefault="001F04FD" w:rsidP="001F04FD">
      <w:r w:rsidRPr="0013396E">
        <w:t>The above variables are defined as follows:</w:t>
      </w: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630"/>
        <w:gridCol w:w="853"/>
        <w:gridCol w:w="7357"/>
      </w:tblGrid>
      <w:tr w:rsidR="001F04FD" w:rsidRPr="0013396E" w14:paraId="66EA9B24" w14:textId="77777777" w:rsidTr="00AC4DEE">
        <w:tc>
          <w:tcPr>
            <w:tcW w:w="1630" w:type="dxa"/>
          </w:tcPr>
          <w:p w14:paraId="24C8378D" w14:textId="77777777" w:rsidR="001F04FD" w:rsidRPr="0013396E" w:rsidRDefault="001F04FD" w:rsidP="00AC4DEE">
            <w:pPr>
              <w:pStyle w:val="TableHead"/>
            </w:pPr>
            <w:r w:rsidRPr="0013396E">
              <w:t>Variable</w:t>
            </w:r>
          </w:p>
        </w:tc>
        <w:tc>
          <w:tcPr>
            <w:tcW w:w="0" w:type="auto"/>
          </w:tcPr>
          <w:p w14:paraId="3007E055" w14:textId="77777777" w:rsidR="001F04FD" w:rsidRPr="0013396E" w:rsidRDefault="001F04FD" w:rsidP="00AC4DEE">
            <w:pPr>
              <w:pStyle w:val="TableHead"/>
            </w:pPr>
            <w:r w:rsidRPr="0013396E">
              <w:t>Unit</w:t>
            </w:r>
          </w:p>
        </w:tc>
        <w:tc>
          <w:tcPr>
            <w:tcW w:w="0" w:type="auto"/>
          </w:tcPr>
          <w:p w14:paraId="3935FAFD" w14:textId="77777777" w:rsidR="001F04FD" w:rsidRPr="0013396E" w:rsidRDefault="001F04FD" w:rsidP="00AC4DEE">
            <w:pPr>
              <w:pStyle w:val="TableHead"/>
            </w:pPr>
            <w:r w:rsidRPr="0013396E">
              <w:t>Description</w:t>
            </w:r>
          </w:p>
        </w:tc>
      </w:tr>
      <w:tr w:rsidR="001F04FD" w:rsidRPr="0013396E" w14:paraId="7D556303" w14:textId="77777777" w:rsidTr="00AC4DEE">
        <w:tc>
          <w:tcPr>
            <w:tcW w:w="1630" w:type="dxa"/>
          </w:tcPr>
          <w:p w14:paraId="514EAF1C" w14:textId="77777777" w:rsidR="001F04FD" w:rsidRPr="0013396E" w:rsidRDefault="001F04FD" w:rsidP="00AC4DEE">
            <w:pPr>
              <w:pStyle w:val="TableBody"/>
            </w:pPr>
            <w:r w:rsidRPr="0013396E">
              <w:t xml:space="preserve">RTCCAMT </w:t>
            </w:r>
            <w:r w:rsidRPr="0013396E">
              <w:rPr>
                <w:i/>
                <w:vertAlign w:val="subscript"/>
              </w:rPr>
              <w:t>q, s</w:t>
            </w:r>
          </w:p>
        </w:tc>
        <w:tc>
          <w:tcPr>
            <w:tcW w:w="0" w:type="auto"/>
          </w:tcPr>
          <w:p w14:paraId="52A0A8C0" w14:textId="77777777" w:rsidR="001F04FD" w:rsidRPr="0013396E" w:rsidRDefault="001F04FD" w:rsidP="00AC4DEE">
            <w:pPr>
              <w:pStyle w:val="TableBody"/>
            </w:pPr>
            <w:r w:rsidRPr="0013396E">
              <w:t>$</w:t>
            </w:r>
          </w:p>
        </w:tc>
        <w:tc>
          <w:tcPr>
            <w:tcW w:w="0" w:type="auto"/>
          </w:tcPr>
          <w:p w14:paraId="7876B6F2" w14:textId="77777777" w:rsidR="001F04FD" w:rsidRPr="0013396E" w:rsidRDefault="001F04FD" w:rsidP="00AC4DEE">
            <w:pPr>
              <w:pStyle w:val="TableBody"/>
            </w:pPr>
            <w:r w:rsidRPr="0013396E">
              <w:rPr>
                <w:i/>
              </w:rPr>
              <w:t>Real-Time Congestion Cost Amount per QSE per Self-Schedule</w:t>
            </w:r>
            <w:r w:rsidRPr="0013396E">
              <w:t xml:space="preserve">—The congestion charge to QSE </w:t>
            </w:r>
            <w:r w:rsidRPr="0013396E">
              <w:rPr>
                <w:i/>
              </w:rPr>
              <w:t>q</w:t>
            </w:r>
            <w:r w:rsidRPr="0013396E">
              <w:t xml:space="preserve"> for its Self-Schedule </w:t>
            </w:r>
            <w:r w:rsidRPr="0013396E">
              <w:rPr>
                <w:i/>
              </w:rPr>
              <w:t>s</w:t>
            </w:r>
            <w:r w:rsidRPr="0013396E">
              <w:t>, for the 15-minute Settlement Interval.</w:t>
            </w:r>
          </w:p>
        </w:tc>
      </w:tr>
      <w:tr w:rsidR="001F04FD" w:rsidRPr="0013396E" w14:paraId="31604DB6" w14:textId="77777777" w:rsidTr="00AC4DEE">
        <w:tc>
          <w:tcPr>
            <w:tcW w:w="1630" w:type="dxa"/>
          </w:tcPr>
          <w:p w14:paraId="4FC46918" w14:textId="77777777" w:rsidR="001F04FD" w:rsidRPr="0013396E" w:rsidRDefault="001F04FD" w:rsidP="00AC4DEE">
            <w:pPr>
              <w:pStyle w:val="TableBody"/>
            </w:pPr>
            <w:r w:rsidRPr="0013396E">
              <w:t xml:space="preserve">RTSPP </w:t>
            </w:r>
            <w:r w:rsidRPr="0013396E">
              <w:rPr>
                <w:i/>
                <w:vertAlign w:val="subscript"/>
              </w:rPr>
              <w:t>sink, s</w:t>
            </w:r>
          </w:p>
        </w:tc>
        <w:tc>
          <w:tcPr>
            <w:tcW w:w="0" w:type="auto"/>
          </w:tcPr>
          <w:p w14:paraId="3D009310" w14:textId="77777777" w:rsidR="001F04FD" w:rsidRPr="0013396E" w:rsidRDefault="001F04FD" w:rsidP="00AC4DEE">
            <w:pPr>
              <w:pStyle w:val="TableBody"/>
            </w:pPr>
            <w:r w:rsidRPr="0013396E">
              <w:t>$/MWh</w:t>
            </w:r>
          </w:p>
        </w:tc>
        <w:tc>
          <w:tcPr>
            <w:tcW w:w="0" w:type="auto"/>
          </w:tcPr>
          <w:p w14:paraId="5A16A261" w14:textId="29F9B40A" w:rsidR="001F04FD" w:rsidRPr="0013396E" w:rsidRDefault="001F04FD" w:rsidP="00AC4DEE">
            <w:pPr>
              <w:pStyle w:val="TableBody"/>
            </w:pPr>
            <w:r w:rsidRPr="0013396E">
              <w:rPr>
                <w:i/>
              </w:rPr>
              <w:t>Real-Time Settlement Point Price at the Sink of Self-Schedule</w:t>
            </w:r>
            <w:r w:rsidRPr="0013396E">
              <w:t>—The Real-Time S</w:t>
            </w:r>
            <w:r w:rsidR="008B66B5" w:rsidRPr="0013396E">
              <w:t xml:space="preserve">ettlement </w:t>
            </w:r>
            <w:r w:rsidRPr="0013396E">
              <w:t>P</w:t>
            </w:r>
            <w:r w:rsidR="008B66B5" w:rsidRPr="0013396E">
              <w:t xml:space="preserve">oint </w:t>
            </w:r>
            <w:r w:rsidRPr="0013396E">
              <w:t>P</w:t>
            </w:r>
            <w:r w:rsidR="008B66B5" w:rsidRPr="0013396E">
              <w:t>rice</w:t>
            </w:r>
            <w:r w:rsidRPr="0013396E">
              <w:t xml:space="preserve"> at the sink of the Self-Schedule </w:t>
            </w:r>
            <w:r w:rsidRPr="0013396E">
              <w:rPr>
                <w:i/>
              </w:rPr>
              <w:t>s</w:t>
            </w:r>
            <w:r w:rsidRPr="0013396E">
              <w:t>, for the 15-minute Settlement Interval.</w:t>
            </w:r>
          </w:p>
        </w:tc>
      </w:tr>
      <w:tr w:rsidR="001F04FD" w:rsidRPr="0013396E" w14:paraId="7473FBF1" w14:textId="77777777" w:rsidTr="00AC4DEE">
        <w:tc>
          <w:tcPr>
            <w:tcW w:w="1630" w:type="dxa"/>
          </w:tcPr>
          <w:p w14:paraId="56921D3A" w14:textId="77777777" w:rsidR="001F04FD" w:rsidRPr="0013396E" w:rsidRDefault="001F04FD" w:rsidP="00AC4DEE">
            <w:pPr>
              <w:pStyle w:val="TableBody"/>
            </w:pPr>
            <w:r w:rsidRPr="0013396E">
              <w:t xml:space="preserve">RTSPP </w:t>
            </w:r>
            <w:r w:rsidRPr="0013396E">
              <w:rPr>
                <w:i/>
                <w:vertAlign w:val="subscript"/>
              </w:rPr>
              <w:t>source, s</w:t>
            </w:r>
          </w:p>
        </w:tc>
        <w:tc>
          <w:tcPr>
            <w:tcW w:w="0" w:type="auto"/>
          </w:tcPr>
          <w:p w14:paraId="3E78194E" w14:textId="77777777" w:rsidR="001F04FD" w:rsidRPr="0013396E" w:rsidRDefault="001F04FD" w:rsidP="00AC4DEE">
            <w:pPr>
              <w:pStyle w:val="TableBody"/>
            </w:pPr>
            <w:r w:rsidRPr="0013396E">
              <w:t>$/MWh</w:t>
            </w:r>
          </w:p>
        </w:tc>
        <w:tc>
          <w:tcPr>
            <w:tcW w:w="0" w:type="auto"/>
          </w:tcPr>
          <w:p w14:paraId="206F9A02" w14:textId="44DC1805" w:rsidR="001F04FD" w:rsidRPr="0013396E" w:rsidRDefault="001F04FD" w:rsidP="00AC4DEE">
            <w:pPr>
              <w:pStyle w:val="TableBody"/>
            </w:pPr>
            <w:r w:rsidRPr="0013396E">
              <w:rPr>
                <w:i/>
              </w:rPr>
              <w:t>Real-Time Settlement Point Price at the Source of Self-Schedule</w:t>
            </w:r>
            <w:r w:rsidRPr="0013396E">
              <w:t>—The Real-Time S</w:t>
            </w:r>
            <w:r w:rsidR="008B66B5" w:rsidRPr="0013396E">
              <w:t xml:space="preserve">ettlement </w:t>
            </w:r>
            <w:r w:rsidRPr="0013396E">
              <w:t>P</w:t>
            </w:r>
            <w:r w:rsidR="008B66B5" w:rsidRPr="0013396E">
              <w:t xml:space="preserve">oint </w:t>
            </w:r>
            <w:r w:rsidRPr="0013396E">
              <w:t>P</w:t>
            </w:r>
            <w:r w:rsidR="008B66B5" w:rsidRPr="0013396E">
              <w:t>rice</w:t>
            </w:r>
            <w:r w:rsidRPr="0013396E">
              <w:t xml:space="preserve"> at the source of the Self-Schedule </w:t>
            </w:r>
            <w:r w:rsidRPr="0013396E">
              <w:rPr>
                <w:i/>
              </w:rPr>
              <w:t>s</w:t>
            </w:r>
            <w:r w:rsidRPr="0013396E">
              <w:t>, for the 15-minute Settlement Interval.</w:t>
            </w:r>
          </w:p>
        </w:tc>
      </w:tr>
      <w:tr w:rsidR="001F04FD" w:rsidRPr="0013396E" w14:paraId="779D551E" w14:textId="77777777" w:rsidTr="00AC4DEE">
        <w:tc>
          <w:tcPr>
            <w:tcW w:w="1630" w:type="dxa"/>
          </w:tcPr>
          <w:p w14:paraId="209535C1" w14:textId="77777777" w:rsidR="001F04FD" w:rsidRPr="0013396E" w:rsidRDefault="001F04FD" w:rsidP="00AC4DEE">
            <w:pPr>
              <w:pStyle w:val="TableBody"/>
            </w:pPr>
            <w:r w:rsidRPr="0013396E">
              <w:t xml:space="preserve">SSQ </w:t>
            </w:r>
            <w:r w:rsidRPr="0013396E">
              <w:rPr>
                <w:i/>
                <w:vertAlign w:val="subscript"/>
              </w:rPr>
              <w:t>q,s</w:t>
            </w:r>
          </w:p>
        </w:tc>
        <w:tc>
          <w:tcPr>
            <w:tcW w:w="0" w:type="auto"/>
          </w:tcPr>
          <w:p w14:paraId="173BE17E" w14:textId="77777777" w:rsidR="001F04FD" w:rsidRPr="0013396E" w:rsidRDefault="001F04FD" w:rsidP="00AC4DEE">
            <w:pPr>
              <w:pStyle w:val="TableBody"/>
            </w:pPr>
            <w:r w:rsidRPr="0013396E">
              <w:t>MW</w:t>
            </w:r>
          </w:p>
        </w:tc>
        <w:tc>
          <w:tcPr>
            <w:tcW w:w="0" w:type="auto"/>
          </w:tcPr>
          <w:p w14:paraId="6F4650F9" w14:textId="77777777" w:rsidR="001F04FD" w:rsidRPr="0013396E" w:rsidRDefault="001F04FD" w:rsidP="00AC4DEE">
            <w:pPr>
              <w:pStyle w:val="TableBody"/>
            </w:pPr>
            <w:r w:rsidRPr="0013396E">
              <w:rPr>
                <w:i/>
              </w:rPr>
              <w:t>Self-Schedule Quantity per Self-Schedule</w:t>
            </w:r>
            <w:r w:rsidRPr="0013396E">
              <w:t xml:space="preserve">—The QSE </w:t>
            </w:r>
            <w:r w:rsidRPr="0013396E">
              <w:rPr>
                <w:i/>
              </w:rPr>
              <w:t>q</w:t>
            </w:r>
            <w:r w:rsidRPr="0013396E">
              <w:t xml:space="preserve">’s Self Schedule MW quantity for Self-Schedule </w:t>
            </w:r>
            <w:r w:rsidRPr="0013396E">
              <w:rPr>
                <w:i/>
              </w:rPr>
              <w:t>s</w:t>
            </w:r>
            <w:r w:rsidRPr="0013396E">
              <w:t>, for the 15-minute Settlement Interval.</w:t>
            </w:r>
          </w:p>
        </w:tc>
      </w:tr>
      <w:tr w:rsidR="001F04FD" w:rsidRPr="0013396E" w14:paraId="502562F0" w14:textId="77777777" w:rsidTr="00AC4DEE">
        <w:tc>
          <w:tcPr>
            <w:tcW w:w="1630" w:type="dxa"/>
          </w:tcPr>
          <w:p w14:paraId="69D7590E" w14:textId="77777777" w:rsidR="001F04FD" w:rsidRPr="0013396E" w:rsidRDefault="001F04FD" w:rsidP="00AC4DEE">
            <w:pPr>
              <w:pStyle w:val="TableBody"/>
              <w:rPr>
                <w:i/>
              </w:rPr>
            </w:pPr>
            <w:r w:rsidRPr="0013396E">
              <w:rPr>
                <w:i/>
              </w:rPr>
              <w:t>q</w:t>
            </w:r>
          </w:p>
        </w:tc>
        <w:tc>
          <w:tcPr>
            <w:tcW w:w="0" w:type="auto"/>
          </w:tcPr>
          <w:p w14:paraId="0580635A" w14:textId="77777777" w:rsidR="001F04FD" w:rsidRPr="0013396E" w:rsidRDefault="001F04FD" w:rsidP="00AC4DEE">
            <w:pPr>
              <w:pStyle w:val="TableBody"/>
            </w:pPr>
            <w:r w:rsidRPr="0013396E">
              <w:t>none</w:t>
            </w:r>
          </w:p>
        </w:tc>
        <w:tc>
          <w:tcPr>
            <w:tcW w:w="0" w:type="auto"/>
          </w:tcPr>
          <w:p w14:paraId="29703170" w14:textId="77777777" w:rsidR="001F04FD" w:rsidRPr="0013396E" w:rsidRDefault="001F04FD" w:rsidP="00AC4DEE">
            <w:pPr>
              <w:pStyle w:val="TableBody"/>
            </w:pPr>
            <w:r w:rsidRPr="0013396E">
              <w:t>A QSE.</w:t>
            </w:r>
          </w:p>
        </w:tc>
      </w:tr>
      <w:tr w:rsidR="001F04FD" w:rsidRPr="0013396E" w14:paraId="219656EC" w14:textId="77777777" w:rsidTr="00AC4DEE">
        <w:tc>
          <w:tcPr>
            <w:tcW w:w="1630" w:type="dxa"/>
          </w:tcPr>
          <w:p w14:paraId="45517571" w14:textId="77777777" w:rsidR="001F04FD" w:rsidRPr="0013396E" w:rsidRDefault="001F04FD" w:rsidP="00AC4DEE">
            <w:pPr>
              <w:pStyle w:val="TableBody"/>
              <w:rPr>
                <w:i/>
              </w:rPr>
            </w:pPr>
            <w:r w:rsidRPr="0013396E">
              <w:rPr>
                <w:i/>
              </w:rPr>
              <w:lastRenderedPageBreak/>
              <w:t>s</w:t>
            </w:r>
          </w:p>
        </w:tc>
        <w:tc>
          <w:tcPr>
            <w:tcW w:w="0" w:type="auto"/>
          </w:tcPr>
          <w:p w14:paraId="61134B3D" w14:textId="77777777" w:rsidR="001F04FD" w:rsidRPr="0013396E" w:rsidRDefault="001F04FD" w:rsidP="00AC4DEE">
            <w:pPr>
              <w:pStyle w:val="TableBody"/>
            </w:pPr>
            <w:r w:rsidRPr="0013396E">
              <w:t>none</w:t>
            </w:r>
          </w:p>
        </w:tc>
        <w:tc>
          <w:tcPr>
            <w:tcW w:w="0" w:type="auto"/>
          </w:tcPr>
          <w:p w14:paraId="3C3A3F2C" w14:textId="77777777" w:rsidR="001F04FD" w:rsidRPr="0013396E" w:rsidRDefault="001F04FD" w:rsidP="00AC4DEE">
            <w:pPr>
              <w:pStyle w:val="TableBody"/>
            </w:pPr>
            <w:r w:rsidRPr="0013396E">
              <w:t>A Self-Schedule.</w:t>
            </w:r>
          </w:p>
        </w:tc>
      </w:tr>
      <w:tr w:rsidR="001F04FD" w:rsidRPr="0013396E" w14:paraId="0DA8024B" w14:textId="77777777" w:rsidTr="00AC4DEE">
        <w:tc>
          <w:tcPr>
            <w:tcW w:w="1630" w:type="dxa"/>
            <w:tcBorders>
              <w:top w:val="single" w:sz="4" w:space="0" w:color="auto"/>
              <w:left w:val="single" w:sz="4" w:space="0" w:color="auto"/>
              <w:bottom w:val="single" w:sz="4" w:space="0" w:color="auto"/>
              <w:right w:val="single" w:sz="4" w:space="0" w:color="auto"/>
            </w:tcBorders>
          </w:tcPr>
          <w:p w14:paraId="1F9170B5" w14:textId="77777777" w:rsidR="001F04FD" w:rsidRPr="0013396E" w:rsidRDefault="001F04FD" w:rsidP="00AC4DEE">
            <w:pPr>
              <w:pStyle w:val="TableBody"/>
              <w:rPr>
                <w:i/>
              </w:rPr>
            </w:pPr>
            <w:r w:rsidRPr="0013396E">
              <w:rPr>
                <w:i/>
              </w:rPr>
              <w:t>sink</w:t>
            </w:r>
          </w:p>
        </w:tc>
        <w:tc>
          <w:tcPr>
            <w:tcW w:w="0" w:type="auto"/>
            <w:tcBorders>
              <w:top w:val="single" w:sz="4" w:space="0" w:color="auto"/>
              <w:left w:val="single" w:sz="4" w:space="0" w:color="auto"/>
              <w:bottom w:val="single" w:sz="4" w:space="0" w:color="auto"/>
              <w:right w:val="single" w:sz="4" w:space="0" w:color="auto"/>
            </w:tcBorders>
          </w:tcPr>
          <w:p w14:paraId="299D827B" w14:textId="77777777" w:rsidR="001F04FD" w:rsidRPr="0013396E" w:rsidRDefault="001F04FD" w:rsidP="00AC4DEE">
            <w:pPr>
              <w:pStyle w:val="TableBody"/>
            </w:pPr>
            <w:r w:rsidRPr="0013396E">
              <w:t>none</w:t>
            </w:r>
          </w:p>
        </w:tc>
        <w:tc>
          <w:tcPr>
            <w:tcW w:w="0" w:type="auto"/>
            <w:tcBorders>
              <w:top w:val="single" w:sz="4" w:space="0" w:color="auto"/>
              <w:left w:val="single" w:sz="4" w:space="0" w:color="auto"/>
              <w:bottom w:val="single" w:sz="4" w:space="0" w:color="auto"/>
              <w:right w:val="single" w:sz="4" w:space="0" w:color="auto"/>
            </w:tcBorders>
          </w:tcPr>
          <w:p w14:paraId="1AA38167" w14:textId="77777777" w:rsidR="001F04FD" w:rsidRPr="0013396E" w:rsidRDefault="001F04FD" w:rsidP="00AC4DEE">
            <w:pPr>
              <w:pStyle w:val="TableBody"/>
            </w:pPr>
            <w:r w:rsidRPr="0013396E">
              <w:t>Sink Settlement Point</w:t>
            </w:r>
          </w:p>
        </w:tc>
      </w:tr>
      <w:tr w:rsidR="001F04FD" w:rsidRPr="0013396E" w14:paraId="19AC52EE" w14:textId="77777777" w:rsidTr="00AC4DEE">
        <w:tc>
          <w:tcPr>
            <w:tcW w:w="1630" w:type="dxa"/>
            <w:tcBorders>
              <w:top w:val="single" w:sz="4" w:space="0" w:color="auto"/>
              <w:left w:val="single" w:sz="4" w:space="0" w:color="auto"/>
              <w:bottom w:val="single" w:sz="4" w:space="0" w:color="auto"/>
              <w:right w:val="single" w:sz="4" w:space="0" w:color="auto"/>
            </w:tcBorders>
          </w:tcPr>
          <w:p w14:paraId="016CC1BB" w14:textId="77777777" w:rsidR="001F04FD" w:rsidRPr="0013396E" w:rsidRDefault="001F04FD" w:rsidP="00AC4DEE">
            <w:pPr>
              <w:pStyle w:val="TableBody"/>
              <w:rPr>
                <w:i/>
              </w:rPr>
            </w:pPr>
            <w:r w:rsidRPr="0013396E">
              <w:rPr>
                <w:i/>
              </w:rPr>
              <w:t>source</w:t>
            </w:r>
          </w:p>
        </w:tc>
        <w:tc>
          <w:tcPr>
            <w:tcW w:w="0" w:type="auto"/>
            <w:tcBorders>
              <w:top w:val="single" w:sz="4" w:space="0" w:color="auto"/>
              <w:left w:val="single" w:sz="4" w:space="0" w:color="auto"/>
              <w:bottom w:val="single" w:sz="4" w:space="0" w:color="auto"/>
              <w:right w:val="single" w:sz="4" w:space="0" w:color="auto"/>
            </w:tcBorders>
          </w:tcPr>
          <w:p w14:paraId="4450C52D" w14:textId="77777777" w:rsidR="001F04FD" w:rsidRPr="0013396E" w:rsidRDefault="001F04FD" w:rsidP="00AC4DEE">
            <w:pPr>
              <w:pStyle w:val="TableBody"/>
            </w:pPr>
            <w:r w:rsidRPr="0013396E">
              <w:t>none</w:t>
            </w:r>
          </w:p>
        </w:tc>
        <w:tc>
          <w:tcPr>
            <w:tcW w:w="0" w:type="auto"/>
            <w:tcBorders>
              <w:top w:val="single" w:sz="4" w:space="0" w:color="auto"/>
              <w:left w:val="single" w:sz="4" w:space="0" w:color="auto"/>
              <w:bottom w:val="single" w:sz="4" w:space="0" w:color="auto"/>
              <w:right w:val="single" w:sz="4" w:space="0" w:color="auto"/>
            </w:tcBorders>
          </w:tcPr>
          <w:p w14:paraId="69A9298F" w14:textId="77777777" w:rsidR="001F04FD" w:rsidRPr="0013396E" w:rsidRDefault="001F04FD" w:rsidP="00AC4DEE">
            <w:pPr>
              <w:pStyle w:val="TableBody"/>
            </w:pPr>
            <w:r w:rsidRPr="0013396E">
              <w:t>Source Settlement Point</w:t>
            </w:r>
          </w:p>
        </w:tc>
      </w:tr>
    </w:tbl>
    <w:p w14:paraId="02F6313B" w14:textId="77777777" w:rsidR="001F04FD" w:rsidRPr="0013396E" w:rsidRDefault="001F04FD" w:rsidP="001F04FD"/>
    <w:p w14:paraId="39CB63D3" w14:textId="77777777" w:rsidR="001F04FD" w:rsidRPr="0013396E" w:rsidRDefault="001F04FD" w:rsidP="001F04FD">
      <w:pPr>
        <w:pStyle w:val="BodyTextNumbered"/>
      </w:pPr>
      <w:r w:rsidRPr="0013396E">
        <w:t>(2)</w:t>
      </w:r>
      <w:r w:rsidRPr="0013396E">
        <w:tab/>
        <w:t>The total net congestion payments and charges to each QSE for all its Self-Schedules for the 15-minute Settlement Interval is calculated as follows:</w:t>
      </w:r>
    </w:p>
    <w:p w14:paraId="4AC162C1" w14:textId="77777777" w:rsidR="001F04FD" w:rsidRPr="0013396E" w:rsidRDefault="001F04FD" w:rsidP="001F04FD">
      <w:pPr>
        <w:pStyle w:val="FormulaBold"/>
      </w:pPr>
      <w:r w:rsidRPr="0013396E">
        <w:t xml:space="preserve">RTCCAMTQSETOT </w:t>
      </w:r>
      <w:r w:rsidRPr="0013396E">
        <w:rPr>
          <w:i/>
          <w:vertAlign w:val="subscript"/>
        </w:rPr>
        <w:t>q</w:t>
      </w:r>
      <w:r w:rsidRPr="0013396E">
        <w:tab/>
        <w:t>=</w:t>
      </w:r>
      <w:r w:rsidRPr="0013396E">
        <w:tab/>
      </w:r>
      <w:r w:rsidRPr="0013396E">
        <w:rPr>
          <w:position w:val="-20"/>
        </w:rPr>
        <w:object w:dxaOrig="225" w:dyaOrig="435" w14:anchorId="1C630257">
          <v:shape id="_x0000_i1145" type="#_x0000_t75" style="width:12pt;height:18pt" o:ole="">
            <v:imagedata r:id="rId174" o:title=""/>
          </v:shape>
          <o:OLEObject Type="Embed" ProgID="Equation.3" ShapeID="_x0000_i1145" DrawAspect="Content" ObjectID="_1836311424" r:id="rId175"/>
        </w:object>
      </w:r>
      <w:r w:rsidRPr="0013396E">
        <w:t xml:space="preserve">RTCCAMT </w:t>
      </w:r>
      <w:r w:rsidRPr="0013396E">
        <w:rPr>
          <w:i/>
          <w:vertAlign w:val="subscript"/>
        </w:rPr>
        <w:t>q, s</w:t>
      </w:r>
    </w:p>
    <w:p w14:paraId="77F6736E" w14:textId="77777777" w:rsidR="001F04FD" w:rsidRPr="0013396E" w:rsidRDefault="001F04FD" w:rsidP="001F04FD">
      <w:r w:rsidRPr="0013396E">
        <w:t>The above variables are defined as follows:</w:t>
      </w: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5"/>
        <w:gridCol w:w="832"/>
        <w:gridCol w:w="6074"/>
      </w:tblGrid>
      <w:tr w:rsidR="001F04FD" w:rsidRPr="0013396E" w14:paraId="217B60A0" w14:textId="77777777" w:rsidTr="00AC4DEE">
        <w:trPr>
          <w:tblHeader/>
        </w:trPr>
        <w:tc>
          <w:tcPr>
            <w:tcW w:w="2165" w:type="dxa"/>
          </w:tcPr>
          <w:p w14:paraId="44B743B0" w14:textId="77777777" w:rsidR="001F04FD" w:rsidRPr="0013396E" w:rsidRDefault="001F04FD" w:rsidP="00AC4DEE">
            <w:pPr>
              <w:pStyle w:val="TableHead"/>
            </w:pPr>
            <w:r w:rsidRPr="0013396E">
              <w:t>Variable</w:t>
            </w:r>
          </w:p>
        </w:tc>
        <w:tc>
          <w:tcPr>
            <w:tcW w:w="832" w:type="dxa"/>
          </w:tcPr>
          <w:p w14:paraId="45AC932D" w14:textId="77777777" w:rsidR="001F04FD" w:rsidRPr="0013396E" w:rsidRDefault="001F04FD" w:rsidP="00AC4DEE">
            <w:pPr>
              <w:pStyle w:val="TableHead"/>
            </w:pPr>
            <w:r w:rsidRPr="0013396E">
              <w:t>Unit</w:t>
            </w:r>
          </w:p>
        </w:tc>
        <w:tc>
          <w:tcPr>
            <w:tcW w:w="6074" w:type="dxa"/>
          </w:tcPr>
          <w:p w14:paraId="0896EFD5" w14:textId="77777777" w:rsidR="001F04FD" w:rsidRPr="0013396E" w:rsidRDefault="001F04FD" w:rsidP="00AC4DEE">
            <w:pPr>
              <w:pStyle w:val="TableHead"/>
            </w:pPr>
            <w:r w:rsidRPr="0013396E">
              <w:t>Definition</w:t>
            </w:r>
          </w:p>
        </w:tc>
      </w:tr>
      <w:tr w:rsidR="001F04FD" w:rsidRPr="0013396E" w14:paraId="5D49E09F" w14:textId="77777777" w:rsidTr="00AC4DEE">
        <w:tc>
          <w:tcPr>
            <w:tcW w:w="2165" w:type="dxa"/>
          </w:tcPr>
          <w:p w14:paraId="15368DFA" w14:textId="77777777" w:rsidR="001F04FD" w:rsidRPr="0013396E" w:rsidRDefault="001F04FD" w:rsidP="00AC4DEE">
            <w:pPr>
              <w:pStyle w:val="TableBody"/>
            </w:pPr>
            <w:r w:rsidRPr="0013396E">
              <w:t xml:space="preserve">RTCCAMTQSETOT </w:t>
            </w:r>
            <w:r w:rsidRPr="0013396E">
              <w:rPr>
                <w:i/>
                <w:vertAlign w:val="subscript"/>
              </w:rPr>
              <w:t>q</w:t>
            </w:r>
          </w:p>
        </w:tc>
        <w:tc>
          <w:tcPr>
            <w:tcW w:w="832" w:type="dxa"/>
          </w:tcPr>
          <w:p w14:paraId="68F17DF8" w14:textId="77777777" w:rsidR="001F04FD" w:rsidRPr="0013396E" w:rsidRDefault="001F04FD" w:rsidP="00AC4DEE">
            <w:pPr>
              <w:pStyle w:val="TableBody"/>
            </w:pPr>
            <w:r w:rsidRPr="0013396E">
              <w:t>$</w:t>
            </w:r>
          </w:p>
        </w:tc>
        <w:tc>
          <w:tcPr>
            <w:tcW w:w="6074" w:type="dxa"/>
          </w:tcPr>
          <w:p w14:paraId="137A7E3F" w14:textId="77777777" w:rsidR="001F04FD" w:rsidRPr="0013396E" w:rsidRDefault="001F04FD" w:rsidP="00AC4DEE">
            <w:pPr>
              <w:pStyle w:val="TableBody"/>
            </w:pPr>
            <w:r w:rsidRPr="0013396E">
              <w:rPr>
                <w:i/>
              </w:rPr>
              <w:t>Real-Time Congestion Cost Amount QSE Total per QSE</w:t>
            </w:r>
            <w:r w:rsidRPr="0013396E">
              <w:sym w:font="Symbol" w:char="F0BE"/>
            </w:r>
            <w:r w:rsidRPr="0013396E">
              <w:t xml:space="preserve">The total net congestion payments and charges to QSE </w:t>
            </w:r>
            <w:r w:rsidRPr="0013396E">
              <w:rPr>
                <w:i/>
              </w:rPr>
              <w:t>q</w:t>
            </w:r>
            <w:r w:rsidRPr="0013396E">
              <w:t xml:space="preserve"> for its Self-Schedules for the 15-minute Settlement Interval.</w:t>
            </w:r>
          </w:p>
        </w:tc>
      </w:tr>
      <w:tr w:rsidR="001F04FD" w:rsidRPr="0013396E" w14:paraId="5B6D9186" w14:textId="77777777" w:rsidTr="00AC4DEE">
        <w:tc>
          <w:tcPr>
            <w:tcW w:w="2165" w:type="dxa"/>
          </w:tcPr>
          <w:p w14:paraId="763B1444" w14:textId="77777777" w:rsidR="001F04FD" w:rsidRPr="0013396E" w:rsidRDefault="001F04FD" w:rsidP="00AC4DEE">
            <w:pPr>
              <w:pStyle w:val="TableBody"/>
            </w:pPr>
            <w:r w:rsidRPr="0013396E">
              <w:t xml:space="preserve">RTCCAMT </w:t>
            </w:r>
            <w:r w:rsidRPr="0013396E">
              <w:rPr>
                <w:i/>
                <w:vertAlign w:val="subscript"/>
              </w:rPr>
              <w:t>q, s</w:t>
            </w:r>
          </w:p>
        </w:tc>
        <w:tc>
          <w:tcPr>
            <w:tcW w:w="832" w:type="dxa"/>
          </w:tcPr>
          <w:p w14:paraId="5385731B" w14:textId="77777777" w:rsidR="001F04FD" w:rsidRPr="0013396E" w:rsidRDefault="001F04FD" w:rsidP="00AC4DEE">
            <w:pPr>
              <w:pStyle w:val="TableBody"/>
            </w:pPr>
            <w:r w:rsidRPr="0013396E">
              <w:t>$</w:t>
            </w:r>
          </w:p>
        </w:tc>
        <w:tc>
          <w:tcPr>
            <w:tcW w:w="6074" w:type="dxa"/>
          </w:tcPr>
          <w:p w14:paraId="419DBD22" w14:textId="77777777" w:rsidR="001F04FD" w:rsidRPr="0013396E" w:rsidRDefault="001F04FD" w:rsidP="00AC4DEE">
            <w:pPr>
              <w:pStyle w:val="TableBody"/>
            </w:pPr>
            <w:r w:rsidRPr="0013396E">
              <w:rPr>
                <w:i/>
              </w:rPr>
              <w:t>Real-Time Congestion Cost Amount per QSE per Self-Schedule</w:t>
            </w:r>
            <w:r w:rsidRPr="0013396E">
              <w:t xml:space="preserve">—The congestion payment or charge to QSE </w:t>
            </w:r>
            <w:r w:rsidRPr="0013396E">
              <w:rPr>
                <w:i/>
              </w:rPr>
              <w:t>q</w:t>
            </w:r>
            <w:r w:rsidRPr="0013396E">
              <w:t xml:space="preserve"> for its Self-Schedule </w:t>
            </w:r>
            <w:r w:rsidRPr="0013396E">
              <w:rPr>
                <w:i/>
              </w:rPr>
              <w:t>s</w:t>
            </w:r>
            <w:r w:rsidRPr="0013396E">
              <w:t>, for the 15-minute Settlement Interval.</w:t>
            </w:r>
          </w:p>
        </w:tc>
      </w:tr>
      <w:tr w:rsidR="001F04FD" w:rsidRPr="0013396E" w14:paraId="1DD4321B" w14:textId="77777777" w:rsidTr="00AC4DEE">
        <w:tc>
          <w:tcPr>
            <w:tcW w:w="2165" w:type="dxa"/>
            <w:tcBorders>
              <w:top w:val="single" w:sz="4" w:space="0" w:color="auto"/>
              <w:left w:val="single" w:sz="4" w:space="0" w:color="auto"/>
              <w:bottom w:val="single" w:sz="4" w:space="0" w:color="auto"/>
              <w:right w:val="single" w:sz="4" w:space="0" w:color="auto"/>
            </w:tcBorders>
          </w:tcPr>
          <w:p w14:paraId="1574A929" w14:textId="77777777" w:rsidR="001F04FD" w:rsidRPr="0013396E" w:rsidRDefault="001F04FD" w:rsidP="00AC4DEE">
            <w:pPr>
              <w:pStyle w:val="TableBody"/>
              <w:rPr>
                <w:i/>
              </w:rPr>
            </w:pPr>
            <w:r w:rsidRPr="0013396E">
              <w:rPr>
                <w:i/>
              </w:rPr>
              <w:t>q</w:t>
            </w:r>
          </w:p>
        </w:tc>
        <w:tc>
          <w:tcPr>
            <w:tcW w:w="832" w:type="dxa"/>
            <w:tcBorders>
              <w:top w:val="single" w:sz="4" w:space="0" w:color="auto"/>
              <w:left w:val="single" w:sz="4" w:space="0" w:color="auto"/>
              <w:bottom w:val="single" w:sz="4" w:space="0" w:color="auto"/>
              <w:right w:val="single" w:sz="4" w:space="0" w:color="auto"/>
            </w:tcBorders>
          </w:tcPr>
          <w:p w14:paraId="378A3774" w14:textId="77777777" w:rsidR="001F04FD" w:rsidRPr="0013396E" w:rsidRDefault="001F04FD" w:rsidP="00AC4DEE">
            <w:pPr>
              <w:pStyle w:val="TableBody"/>
            </w:pPr>
            <w:r w:rsidRPr="0013396E">
              <w:t>none</w:t>
            </w:r>
          </w:p>
        </w:tc>
        <w:tc>
          <w:tcPr>
            <w:tcW w:w="6074" w:type="dxa"/>
            <w:tcBorders>
              <w:top w:val="single" w:sz="4" w:space="0" w:color="auto"/>
              <w:left w:val="single" w:sz="4" w:space="0" w:color="auto"/>
              <w:bottom w:val="single" w:sz="4" w:space="0" w:color="auto"/>
              <w:right w:val="single" w:sz="4" w:space="0" w:color="auto"/>
            </w:tcBorders>
          </w:tcPr>
          <w:p w14:paraId="4C7E2166" w14:textId="77777777" w:rsidR="001F04FD" w:rsidRPr="0013396E" w:rsidRDefault="001F04FD" w:rsidP="00AC4DEE">
            <w:pPr>
              <w:pStyle w:val="TableBody"/>
            </w:pPr>
            <w:r w:rsidRPr="0013396E">
              <w:t>A QSE.</w:t>
            </w:r>
          </w:p>
        </w:tc>
      </w:tr>
      <w:tr w:rsidR="001F04FD" w:rsidRPr="0013396E" w14:paraId="0523EA53" w14:textId="77777777" w:rsidTr="00AC4DEE">
        <w:tc>
          <w:tcPr>
            <w:tcW w:w="2165" w:type="dxa"/>
            <w:tcBorders>
              <w:top w:val="single" w:sz="4" w:space="0" w:color="auto"/>
              <w:left w:val="single" w:sz="4" w:space="0" w:color="auto"/>
              <w:bottom w:val="single" w:sz="4" w:space="0" w:color="auto"/>
              <w:right w:val="single" w:sz="4" w:space="0" w:color="auto"/>
            </w:tcBorders>
          </w:tcPr>
          <w:p w14:paraId="7092E66F" w14:textId="77777777" w:rsidR="001F04FD" w:rsidRPr="0013396E" w:rsidRDefault="001F04FD" w:rsidP="00AC4DEE">
            <w:pPr>
              <w:pStyle w:val="TableBody"/>
              <w:rPr>
                <w:i/>
              </w:rPr>
            </w:pPr>
            <w:r w:rsidRPr="0013396E">
              <w:rPr>
                <w:i/>
              </w:rPr>
              <w:t>s</w:t>
            </w:r>
          </w:p>
        </w:tc>
        <w:tc>
          <w:tcPr>
            <w:tcW w:w="832" w:type="dxa"/>
            <w:tcBorders>
              <w:top w:val="single" w:sz="4" w:space="0" w:color="auto"/>
              <w:left w:val="single" w:sz="4" w:space="0" w:color="auto"/>
              <w:bottom w:val="single" w:sz="4" w:space="0" w:color="auto"/>
              <w:right w:val="single" w:sz="4" w:space="0" w:color="auto"/>
            </w:tcBorders>
          </w:tcPr>
          <w:p w14:paraId="4E9F2C1B" w14:textId="77777777" w:rsidR="001F04FD" w:rsidRPr="0013396E" w:rsidRDefault="001F04FD" w:rsidP="00AC4DEE">
            <w:pPr>
              <w:pStyle w:val="TableBody"/>
            </w:pPr>
            <w:r w:rsidRPr="0013396E">
              <w:t>none</w:t>
            </w:r>
          </w:p>
        </w:tc>
        <w:tc>
          <w:tcPr>
            <w:tcW w:w="6074" w:type="dxa"/>
            <w:tcBorders>
              <w:top w:val="single" w:sz="4" w:space="0" w:color="auto"/>
              <w:left w:val="single" w:sz="4" w:space="0" w:color="auto"/>
              <w:bottom w:val="single" w:sz="4" w:space="0" w:color="auto"/>
              <w:right w:val="single" w:sz="4" w:space="0" w:color="auto"/>
            </w:tcBorders>
          </w:tcPr>
          <w:p w14:paraId="4B6BE458" w14:textId="77777777" w:rsidR="001F04FD" w:rsidRPr="0013396E" w:rsidRDefault="001F04FD" w:rsidP="00AC4DEE">
            <w:pPr>
              <w:pStyle w:val="TableBody"/>
            </w:pPr>
            <w:r w:rsidRPr="0013396E">
              <w:t>A Self-Schedule.</w:t>
            </w:r>
          </w:p>
        </w:tc>
      </w:tr>
    </w:tbl>
    <w:p w14:paraId="4DE12A46" w14:textId="5876E69D" w:rsidR="001F04FD" w:rsidRPr="0013396E" w:rsidRDefault="001F04FD" w:rsidP="001F04FD">
      <w:pPr>
        <w:pStyle w:val="H3"/>
        <w:spacing w:before="480"/>
        <w:rPr>
          <w:lang w:val="fr-FR"/>
        </w:rPr>
      </w:pPr>
      <w:bookmarkStart w:id="1703" w:name="_Toc397505020"/>
      <w:bookmarkStart w:id="1704" w:name="_Toc402357148"/>
      <w:bookmarkStart w:id="1705" w:name="_Toc422486528"/>
      <w:bookmarkStart w:id="1706" w:name="_Toc433093381"/>
      <w:bookmarkStart w:id="1707" w:name="_Toc433093539"/>
      <w:bookmarkStart w:id="1708" w:name="_Toc440874769"/>
      <w:bookmarkStart w:id="1709" w:name="_Toc448142326"/>
      <w:bookmarkStart w:id="1710" w:name="_Toc448142483"/>
      <w:bookmarkStart w:id="1711" w:name="_Toc458770324"/>
      <w:bookmarkStart w:id="1712" w:name="_Toc459294292"/>
      <w:bookmarkStart w:id="1713" w:name="_Toc463262785"/>
      <w:bookmarkStart w:id="1714" w:name="_Toc468286858"/>
      <w:bookmarkStart w:id="1715" w:name="_Toc481502898"/>
      <w:bookmarkStart w:id="1716" w:name="_Toc496080066"/>
      <w:bookmarkStart w:id="1717" w:name="_Toc214878978"/>
      <w:bookmarkStart w:id="1718" w:name="_Toc87951795"/>
      <w:bookmarkStart w:id="1719" w:name="_Toc109009401"/>
      <w:bookmarkEnd w:id="1674"/>
      <w:bookmarkEnd w:id="1675"/>
      <w:r w:rsidRPr="0013396E">
        <w:rPr>
          <w:lang w:val="fr-FR"/>
        </w:rPr>
        <w:t>6.6.5</w:t>
      </w:r>
      <w:r w:rsidRPr="0013396E">
        <w:rPr>
          <w:lang w:val="fr-FR"/>
        </w:rPr>
        <w:tab/>
      </w:r>
      <w:r w:rsidR="005A7D8E">
        <w:rPr>
          <w:lang w:val="fr-FR"/>
        </w:rPr>
        <w:t>Set</w:t>
      </w:r>
      <w:r w:rsidRPr="0013396E">
        <w:rPr>
          <w:lang w:val="fr-FR"/>
        </w:rPr>
        <w:t xml:space="preserve"> Point Deviation Charge</w:t>
      </w:r>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p>
    <w:p w14:paraId="521F9B24" w14:textId="450F7DFF" w:rsidR="001F04FD" w:rsidRPr="0013396E" w:rsidRDefault="001F04FD" w:rsidP="005A7D8E">
      <w:pPr>
        <w:pStyle w:val="H3"/>
        <w:outlineLvl w:val="3"/>
        <w:rPr>
          <w:i w:val="0"/>
          <w:lang w:val="fr-FR"/>
        </w:rPr>
      </w:pPr>
      <w:bookmarkStart w:id="1720" w:name="_Toc397505021"/>
      <w:bookmarkStart w:id="1721" w:name="_Toc402357149"/>
      <w:bookmarkStart w:id="1722" w:name="_Toc422486529"/>
      <w:bookmarkStart w:id="1723" w:name="_Toc433093382"/>
      <w:bookmarkStart w:id="1724" w:name="_Toc433093540"/>
      <w:bookmarkStart w:id="1725" w:name="_Toc440874770"/>
      <w:bookmarkStart w:id="1726" w:name="_Toc448142327"/>
      <w:bookmarkStart w:id="1727" w:name="_Toc448142484"/>
      <w:bookmarkStart w:id="1728" w:name="_Toc458770325"/>
      <w:bookmarkStart w:id="1729" w:name="_Toc459294293"/>
      <w:bookmarkStart w:id="1730" w:name="_Toc463262786"/>
      <w:bookmarkStart w:id="1731" w:name="_Toc468286859"/>
      <w:bookmarkStart w:id="1732" w:name="_Toc481502899"/>
      <w:bookmarkStart w:id="1733" w:name="_Toc496080067"/>
      <w:bookmarkStart w:id="1734" w:name="_Toc214878979"/>
      <w:bookmarkStart w:id="1735" w:name="_Hlk214544823"/>
      <w:r w:rsidRPr="0013396E">
        <w:rPr>
          <w:i w:val="0"/>
          <w:lang w:val="fr-FR"/>
        </w:rPr>
        <w:t>6.6.5.1</w:t>
      </w:r>
      <w:r w:rsidRPr="0013396E">
        <w:rPr>
          <w:i w:val="0"/>
          <w:lang w:val="fr-FR"/>
        </w:rPr>
        <w:tab/>
        <w:t xml:space="preserve">Resource </w:t>
      </w:r>
      <w:r w:rsidR="00341943">
        <w:rPr>
          <w:i w:val="0"/>
          <w:lang w:val="fr-FR"/>
        </w:rPr>
        <w:t>Set</w:t>
      </w:r>
      <w:r w:rsidRPr="0013396E">
        <w:rPr>
          <w:i w:val="0"/>
          <w:lang w:val="fr-FR"/>
        </w:rPr>
        <w:t xml:space="preserve"> Point Deviation Charge</w:t>
      </w:r>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p>
    <w:p w14:paraId="7BDA54E2" w14:textId="77777777" w:rsidR="00430C7E" w:rsidRDefault="001F04FD" w:rsidP="001F04FD">
      <w:pPr>
        <w:pStyle w:val="List"/>
        <w:ind w:left="720"/>
      </w:pPr>
      <w:r w:rsidRPr="0013396E">
        <w:t>(1)</w:t>
      </w:r>
      <w:r w:rsidRPr="0013396E">
        <w:tab/>
        <w:t>A QSE for a Generation Resource</w:t>
      </w:r>
      <w:r w:rsidR="00C4655F">
        <w:t>, ESR,</w:t>
      </w:r>
      <w:r w:rsidRPr="0013396E">
        <w:t xml:space="preserve"> or Controllable Load Resource </w:t>
      </w:r>
      <w:r w:rsidR="004874DF">
        <w:t xml:space="preserve">(CLR) </w:t>
      </w:r>
      <w:r w:rsidRPr="0013396E">
        <w:t xml:space="preserve">shall pay a </w:t>
      </w:r>
      <w:r w:rsidR="00341943">
        <w:t>Set</w:t>
      </w:r>
      <w:r w:rsidRPr="0013396E">
        <w:t xml:space="preserve"> Point Deviation Charge if the Resource did not follow </w:t>
      </w:r>
      <w:r w:rsidR="00341943">
        <w:t>Updated Desired Set Points (UDSPs)</w:t>
      </w:r>
      <w:r w:rsidRPr="0013396E">
        <w:t xml:space="preserve"> within defined tolerances, except when the </w:t>
      </w:r>
      <w:r w:rsidR="00341943">
        <w:t>UDSPs</w:t>
      </w:r>
      <w:r w:rsidRPr="0013396E">
        <w:t xml:space="preserve"> violate the Resource Parameters.  </w:t>
      </w:r>
    </w:p>
    <w:p w14:paraId="218F9A82" w14:textId="6285F2B2" w:rsidR="001F04FD" w:rsidRPr="0013396E" w:rsidRDefault="00430C7E" w:rsidP="001F04FD">
      <w:pPr>
        <w:pStyle w:val="List"/>
        <w:ind w:left="720"/>
      </w:pPr>
      <w:r>
        <w:t>(2)</w:t>
      </w:r>
      <w:r>
        <w:tab/>
      </w:r>
      <w:r w:rsidR="001F04FD" w:rsidRPr="0013396E">
        <w:t>The desired output from a Generation Resource</w:t>
      </w:r>
      <w:r w:rsidR="00C4655F">
        <w:t>, ESR,</w:t>
      </w:r>
      <w:r w:rsidR="001F04FD" w:rsidRPr="0013396E">
        <w:t xml:space="preserve"> or </w:t>
      </w:r>
      <w:r w:rsidR="00C4655F">
        <w:t>C</w:t>
      </w:r>
      <w:r w:rsidR="006B5869">
        <w:t>LR</w:t>
      </w:r>
      <w:r w:rsidR="001F04FD" w:rsidRPr="0013396E">
        <w:t xml:space="preserve"> during a 15-minute Settlement Interval is calculated as follows: </w:t>
      </w:r>
    </w:p>
    <w:p w14:paraId="1D272C52" w14:textId="65D06C52" w:rsidR="001F04FD" w:rsidRPr="0013396E" w:rsidRDefault="001F04FD" w:rsidP="000E5916">
      <w:pPr>
        <w:pStyle w:val="FormulaBold"/>
        <w:spacing w:before="240"/>
      </w:pPr>
      <w:r w:rsidRPr="0013396E">
        <w:t>AA</w:t>
      </w:r>
      <w:r w:rsidR="00341943">
        <w:t>S</w:t>
      </w:r>
      <w:r w:rsidRPr="0013396E">
        <w:t>P</w:t>
      </w:r>
      <w:r w:rsidRPr="0013396E">
        <w:rPr>
          <w:vertAlign w:val="subscript"/>
        </w:rPr>
        <w:t xml:space="preserve"> </w:t>
      </w:r>
      <w:r w:rsidRPr="0013396E">
        <w:rPr>
          <w:i/>
          <w:vertAlign w:val="subscript"/>
        </w:rPr>
        <w:t>q, r, p, i</w:t>
      </w:r>
      <w:r w:rsidRPr="0013396E">
        <w:tab/>
        <w:t>=</w:t>
      </w:r>
      <w:r w:rsidRPr="0013396E">
        <w:tab/>
      </w:r>
      <w:r w:rsidR="000F7537" w:rsidRPr="0013396E">
        <w:rPr>
          <w:b w:val="0"/>
          <w:position w:val="-22"/>
        </w:rPr>
        <w:object w:dxaOrig="210" w:dyaOrig="450" w14:anchorId="0DA99333">
          <v:shape id="_x0000_i1146" type="#_x0000_t75" style="width:11.4pt;height:24.6pt" o:ole="">
            <v:imagedata r:id="rId176" o:title=""/>
          </v:shape>
          <o:OLEObject Type="Embed" ProgID="Equation.3" ShapeID="_x0000_i1146" DrawAspect="Content" ObjectID="_1836311425" r:id="rId177"/>
        </w:object>
      </w:r>
      <w:r w:rsidRPr="0013396E">
        <w:t>AVG</w:t>
      </w:r>
      <w:r w:rsidR="00341943">
        <w:t>S</w:t>
      </w:r>
      <w:r w:rsidRPr="0013396E">
        <w:t>P</w:t>
      </w:r>
      <w:r w:rsidR="00341943">
        <w:t>5M</w:t>
      </w:r>
      <w:r w:rsidRPr="0013396E">
        <w:rPr>
          <w:vertAlign w:val="subscript"/>
        </w:rPr>
        <w:t xml:space="preserve"> </w:t>
      </w:r>
      <w:r w:rsidRPr="0013396E">
        <w:rPr>
          <w:i/>
          <w:vertAlign w:val="subscript"/>
        </w:rPr>
        <w:t>q, r, p, i</w:t>
      </w:r>
      <w:r w:rsidR="00341943">
        <w:rPr>
          <w:i/>
          <w:vertAlign w:val="subscript"/>
        </w:rPr>
        <w:t>, y</w:t>
      </w:r>
      <w:r w:rsidRPr="0013396E">
        <w:rPr>
          <w:vertAlign w:val="subscript"/>
        </w:rPr>
        <w:t xml:space="preserve"> </w:t>
      </w:r>
      <w:r w:rsidR="00341943" w:rsidRPr="0013396E">
        <w:rPr>
          <w:b w:val="0"/>
        </w:rPr>
        <w:t>/ 3</w:t>
      </w:r>
      <w:r w:rsidRPr="0013396E">
        <w:rPr>
          <w:vertAlign w:val="subscript"/>
        </w:rPr>
        <w:t xml:space="preserve">  </w:t>
      </w:r>
    </w:p>
    <w:p w14:paraId="5E4E6670" w14:textId="77777777" w:rsidR="001F04FD" w:rsidRPr="0013396E" w:rsidRDefault="001F04FD" w:rsidP="001F04FD">
      <w:r w:rsidRPr="0013396E">
        <w:t>The above variables are defined as follows:</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5"/>
        <w:gridCol w:w="720"/>
        <w:gridCol w:w="6845"/>
      </w:tblGrid>
      <w:tr w:rsidR="001F04FD" w:rsidRPr="0013396E" w14:paraId="311741FF" w14:textId="77777777" w:rsidTr="00FA433F">
        <w:trPr>
          <w:cantSplit/>
          <w:tblHeader/>
        </w:trPr>
        <w:tc>
          <w:tcPr>
            <w:tcW w:w="2155" w:type="dxa"/>
          </w:tcPr>
          <w:p w14:paraId="00BCCE34" w14:textId="77777777" w:rsidR="001F04FD" w:rsidRPr="0013396E" w:rsidRDefault="001F04FD" w:rsidP="00AC4DEE">
            <w:pPr>
              <w:pStyle w:val="TableHead"/>
            </w:pPr>
            <w:r w:rsidRPr="0013396E">
              <w:t>Variable</w:t>
            </w:r>
          </w:p>
        </w:tc>
        <w:tc>
          <w:tcPr>
            <w:tcW w:w="720" w:type="dxa"/>
          </w:tcPr>
          <w:p w14:paraId="663F4980" w14:textId="77777777" w:rsidR="001F04FD" w:rsidRPr="0013396E" w:rsidRDefault="001F04FD" w:rsidP="00AC4DEE">
            <w:pPr>
              <w:pStyle w:val="TableHead"/>
            </w:pPr>
            <w:r w:rsidRPr="0013396E">
              <w:t>Unit</w:t>
            </w:r>
          </w:p>
        </w:tc>
        <w:tc>
          <w:tcPr>
            <w:tcW w:w="6845" w:type="dxa"/>
          </w:tcPr>
          <w:p w14:paraId="24F39E93" w14:textId="77777777" w:rsidR="001F04FD" w:rsidRPr="0013396E" w:rsidRDefault="001F04FD" w:rsidP="00AC4DEE">
            <w:pPr>
              <w:pStyle w:val="TableHead"/>
            </w:pPr>
            <w:r w:rsidRPr="0013396E">
              <w:t>Definition</w:t>
            </w:r>
          </w:p>
        </w:tc>
      </w:tr>
      <w:tr w:rsidR="001F04FD" w:rsidRPr="0013396E" w14:paraId="18C4867D" w14:textId="77777777" w:rsidTr="00FA433F">
        <w:trPr>
          <w:cantSplit/>
        </w:trPr>
        <w:tc>
          <w:tcPr>
            <w:tcW w:w="2155" w:type="dxa"/>
          </w:tcPr>
          <w:p w14:paraId="644BB03F" w14:textId="59D333A7" w:rsidR="001F04FD" w:rsidRPr="0013396E" w:rsidRDefault="001F04FD" w:rsidP="00AC4DEE">
            <w:pPr>
              <w:pStyle w:val="TableBody"/>
              <w:rPr>
                <w:i/>
                <w:vertAlign w:val="subscript"/>
              </w:rPr>
            </w:pPr>
            <w:r w:rsidRPr="0013396E">
              <w:t>AA</w:t>
            </w:r>
            <w:r w:rsidR="00341943">
              <w:t>S</w:t>
            </w:r>
            <w:r w:rsidRPr="0013396E">
              <w:t xml:space="preserve">P </w:t>
            </w:r>
            <w:r w:rsidRPr="0013396E">
              <w:rPr>
                <w:i/>
                <w:vertAlign w:val="subscript"/>
              </w:rPr>
              <w:t>q, r, p, i</w:t>
            </w:r>
          </w:p>
        </w:tc>
        <w:tc>
          <w:tcPr>
            <w:tcW w:w="720" w:type="dxa"/>
          </w:tcPr>
          <w:p w14:paraId="46B54E35" w14:textId="77777777" w:rsidR="001F04FD" w:rsidRPr="0013396E" w:rsidRDefault="001F04FD" w:rsidP="00AC4DEE">
            <w:pPr>
              <w:pStyle w:val="TableBody"/>
            </w:pPr>
            <w:r w:rsidRPr="0013396E">
              <w:t>MW</w:t>
            </w:r>
          </w:p>
        </w:tc>
        <w:tc>
          <w:tcPr>
            <w:tcW w:w="6845" w:type="dxa"/>
          </w:tcPr>
          <w:p w14:paraId="3486219E" w14:textId="58985335" w:rsidR="001F04FD" w:rsidRPr="0013396E" w:rsidRDefault="00341943" w:rsidP="00AC4DEE">
            <w:pPr>
              <w:pStyle w:val="TableBody"/>
            </w:pPr>
            <w:r>
              <w:rPr>
                <w:i/>
              </w:rPr>
              <w:t>Average</w:t>
            </w:r>
            <w:r w:rsidR="001F04FD" w:rsidRPr="0013396E">
              <w:rPr>
                <w:i/>
              </w:rPr>
              <w:t xml:space="preserve"> Aggregated </w:t>
            </w:r>
            <w:r>
              <w:rPr>
                <w:i/>
              </w:rPr>
              <w:t>Set</w:t>
            </w:r>
            <w:r w:rsidR="001F04FD" w:rsidRPr="0013396E">
              <w:rPr>
                <w:i/>
              </w:rPr>
              <w:t xml:space="preserve"> Point per QSE per Settlement Point per Resource</w:t>
            </w:r>
            <w:r w:rsidR="001F04FD" w:rsidRPr="0013396E">
              <w:t xml:space="preserve">—The </w:t>
            </w:r>
            <w:r>
              <w:t xml:space="preserve">average of the </w:t>
            </w:r>
            <w:r w:rsidRPr="009612A9">
              <w:t>Average Five Minute Clock Interval Set Point (AVGSP5M)</w:t>
            </w:r>
            <w:r w:rsidR="001F04FD" w:rsidRPr="0013396E">
              <w:t xml:space="preserve"> of Resource </w:t>
            </w:r>
            <w:r w:rsidR="001F04FD" w:rsidRPr="0013396E">
              <w:rPr>
                <w:i/>
              </w:rPr>
              <w:t>r</w:t>
            </w:r>
            <w:r w:rsidR="001F04FD" w:rsidRPr="0013396E">
              <w:t xml:space="preserve"> represented by QSE </w:t>
            </w:r>
            <w:r w:rsidR="001F04FD" w:rsidRPr="0013396E">
              <w:rPr>
                <w:i/>
              </w:rPr>
              <w:t xml:space="preserve">q </w:t>
            </w:r>
            <w:r w:rsidR="001F04FD" w:rsidRPr="0013396E">
              <w:t xml:space="preserve">at Settlement Point </w:t>
            </w:r>
            <w:r w:rsidR="001F04FD" w:rsidRPr="0013396E">
              <w:rPr>
                <w:i/>
              </w:rPr>
              <w:t>p</w:t>
            </w:r>
            <w:r w:rsidR="001F04FD" w:rsidRPr="0013396E">
              <w:t xml:space="preserve">, for the 15-minute Settlement Interval </w:t>
            </w:r>
            <w:r w:rsidR="001F04FD" w:rsidRPr="0013396E">
              <w:rPr>
                <w:i/>
              </w:rPr>
              <w:t>i</w:t>
            </w:r>
            <w:r w:rsidR="001F04FD" w:rsidRPr="0013396E">
              <w:t>.  Where for a Combined Cycle Train, AA</w:t>
            </w:r>
            <w:r>
              <w:t>S</w:t>
            </w:r>
            <w:r w:rsidR="001F04FD" w:rsidRPr="0013396E">
              <w:t xml:space="preserve">P is calculated for the Combined Cycle Train considering all </w:t>
            </w:r>
            <w:r>
              <w:t>UDSPs</w:t>
            </w:r>
            <w:r w:rsidR="001F04FD" w:rsidRPr="0013396E">
              <w:t xml:space="preserve"> to any Combined Cycle Generation Resources within the Combined Cycle Train.</w:t>
            </w:r>
          </w:p>
        </w:tc>
      </w:tr>
      <w:tr w:rsidR="00341943" w:rsidRPr="0013396E" w14:paraId="33E2CCA8" w14:textId="77777777" w:rsidTr="00FA433F">
        <w:trPr>
          <w:cantSplit/>
        </w:trPr>
        <w:tc>
          <w:tcPr>
            <w:tcW w:w="2155" w:type="dxa"/>
          </w:tcPr>
          <w:p w14:paraId="02A399E4" w14:textId="1E6749D1" w:rsidR="00341943" w:rsidRPr="0013396E" w:rsidRDefault="00341943" w:rsidP="00341943">
            <w:pPr>
              <w:pStyle w:val="TableBody"/>
              <w:rPr>
                <w:lang w:val="es-MX"/>
              </w:rPr>
            </w:pPr>
            <w:r w:rsidRPr="00453D26">
              <w:lastRenderedPageBreak/>
              <w:t>AVGSP5M</w:t>
            </w:r>
            <w:r w:rsidRPr="00453D26">
              <w:rPr>
                <w:i/>
                <w:vertAlign w:val="subscript"/>
              </w:rPr>
              <w:t xml:space="preserve"> q, r, p, i, y</w:t>
            </w:r>
          </w:p>
        </w:tc>
        <w:tc>
          <w:tcPr>
            <w:tcW w:w="720" w:type="dxa"/>
          </w:tcPr>
          <w:p w14:paraId="59535FBF" w14:textId="7B87933D" w:rsidR="00341943" w:rsidRPr="0013396E" w:rsidRDefault="00341943" w:rsidP="00341943">
            <w:pPr>
              <w:pStyle w:val="TableBody"/>
            </w:pPr>
            <w:r w:rsidRPr="00453D26">
              <w:t>MW</w:t>
            </w:r>
          </w:p>
        </w:tc>
        <w:tc>
          <w:tcPr>
            <w:tcW w:w="6845" w:type="dxa"/>
          </w:tcPr>
          <w:p w14:paraId="6E8D0AC3" w14:textId="2878259E" w:rsidR="00341943" w:rsidRPr="0013396E" w:rsidRDefault="00341943" w:rsidP="00341943">
            <w:pPr>
              <w:pStyle w:val="TableBody"/>
              <w:spacing w:after="0"/>
              <w:rPr>
                <w:i/>
                <w:iCs w:val="0"/>
              </w:rPr>
            </w:pPr>
            <w:r>
              <w:rPr>
                <w:i/>
              </w:rPr>
              <w:t>Average Five Minute Clock Interval Set Point per QSE per Settlement Point per Resource –</w:t>
            </w:r>
            <w:r>
              <w:t xml:space="preserve">The time-weighted average of the Updated Desired Set Point (UDSP) that Resource </w:t>
            </w:r>
            <w:r>
              <w:rPr>
                <w:i/>
              </w:rPr>
              <w:t xml:space="preserve">r </w:t>
            </w:r>
            <w:r>
              <w:t xml:space="preserve">for QSE </w:t>
            </w:r>
            <w:r>
              <w:rPr>
                <w:i/>
              </w:rPr>
              <w:t xml:space="preserve">q </w:t>
            </w:r>
            <w:r>
              <w:t xml:space="preserve">at Settlement Point </w:t>
            </w:r>
            <w:r>
              <w:rPr>
                <w:i/>
              </w:rPr>
              <w:t xml:space="preserve">p </w:t>
            </w:r>
            <w:r>
              <w:t xml:space="preserve">should have produced, for the five-minute clock interval </w:t>
            </w:r>
            <w:r>
              <w:rPr>
                <w:i/>
              </w:rPr>
              <w:t xml:space="preserve">y </w:t>
            </w:r>
            <w:r>
              <w:t xml:space="preserve">within the 15-minute Settlement Interval </w:t>
            </w:r>
            <w:r>
              <w:rPr>
                <w:i/>
              </w:rPr>
              <w:t>i</w:t>
            </w:r>
            <w:r>
              <w:t>.  AVGSP5M is equal to the ASP value calculated for use in Generation Resource Energy Deployment Performance (GREDP)</w:t>
            </w:r>
            <w:r w:rsidR="00FF3B9A">
              <w:t>,</w:t>
            </w:r>
            <w:r>
              <w:t xml:space="preserve"> Controllable Load Resource Energy Deployment Performance (CLREDP), </w:t>
            </w:r>
            <w:r w:rsidR="00FF3B9A" w:rsidRPr="0092346E">
              <w:t>or Energy Storage Resource Energy Deployment Performance (ESREDP),</w:t>
            </w:r>
            <w:r w:rsidR="00FF3B9A">
              <w:t xml:space="preserve"> </w:t>
            </w:r>
            <w:r>
              <w:t>as described in Section 8.1.1.4.1, Regulation Service and Generation Resource/Controllable Load Resource</w:t>
            </w:r>
            <w:r w:rsidR="00FF3B9A">
              <w:t>/Energy Storage Resource</w:t>
            </w:r>
            <w:r>
              <w:t xml:space="preserve"> Energy Deployment Performance.</w:t>
            </w:r>
          </w:p>
        </w:tc>
      </w:tr>
      <w:tr w:rsidR="001F04FD" w:rsidRPr="0013396E" w14:paraId="29C1B6A3" w14:textId="77777777" w:rsidTr="00FA433F">
        <w:trPr>
          <w:cantSplit/>
        </w:trPr>
        <w:tc>
          <w:tcPr>
            <w:tcW w:w="2155" w:type="dxa"/>
          </w:tcPr>
          <w:p w14:paraId="18C46E00" w14:textId="77777777" w:rsidR="001F04FD" w:rsidRPr="0013396E" w:rsidRDefault="001F04FD" w:rsidP="00AC4DEE">
            <w:pPr>
              <w:pStyle w:val="TableBody"/>
              <w:rPr>
                <w:i/>
              </w:rPr>
            </w:pPr>
            <w:r w:rsidRPr="0013396E">
              <w:rPr>
                <w:i/>
              </w:rPr>
              <w:t>q</w:t>
            </w:r>
          </w:p>
        </w:tc>
        <w:tc>
          <w:tcPr>
            <w:tcW w:w="720" w:type="dxa"/>
          </w:tcPr>
          <w:p w14:paraId="42BCACEC" w14:textId="77777777" w:rsidR="001F04FD" w:rsidRPr="0013396E" w:rsidRDefault="001F04FD" w:rsidP="00AC4DEE">
            <w:pPr>
              <w:pStyle w:val="TableBody"/>
            </w:pPr>
            <w:r w:rsidRPr="0013396E">
              <w:t>none</w:t>
            </w:r>
          </w:p>
        </w:tc>
        <w:tc>
          <w:tcPr>
            <w:tcW w:w="6845" w:type="dxa"/>
          </w:tcPr>
          <w:p w14:paraId="5B42B90B" w14:textId="77777777" w:rsidR="001F04FD" w:rsidRPr="0013396E" w:rsidRDefault="001F04FD" w:rsidP="00AC4DEE">
            <w:pPr>
              <w:pStyle w:val="TableBody"/>
            </w:pPr>
            <w:r w:rsidRPr="0013396E">
              <w:t>A QSE.</w:t>
            </w:r>
          </w:p>
        </w:tc>
      </w:tr>
      <w:tr w:rsidR="001F04FD" w:rsidRPr="0013396E" w14:paraId="5C0F3C43" w14:textId="77777777" w:rsidTr="00FA433F">
        <w:trPr>
          <w:cantSplit/>
        </w:trPr>
        <w:tc>
          <w:tcPr>
            <w:tcW w:w="2155" w:type="dxa"/>
          </w:tcPr>
          <w:p w14:paraId="07884450" w14:textId="77777777" w:rsidR="001F04FD" w:rsidRPr="0013396E" w:rsidRDefault="001F04FD" w:rsidP="00AC4DEE">
            <w:pPr>
              <w:pStyle w:val="TableBody"/>
              <w:rPr>
                <w:i/>
              </w:rPr>
            </w:pPr>
            <w:r w:rsidRPr="0013396E">
              <w:rPr>
                <w:i/>
              </w:rPr>
              <w:t>p</w:t>
            </w:r>
          </w:p>
        </w:tc>
        <w:tc>
          <w:tcPr>
            <w:tcW w:w="720" w:type="dxa"/>
          </w:tcPr>
          <w:p w14:paraId="11B17447" w14:textId="77777777" w:rsidR="001F04FD" w:rsidRPr="0013396E" w:rsidRDefault="001F04FD" w:rsidP="00AC4DEE">
            <w:pPr>
              <w:pStyle w:val="TableBody"/>
            </w:pPr>
            <w:r w:rsidRPr="0013396E">
              <w:t>none</w:t>
            </w:r>
          </w:p>
        </w:tc>
        <w:tc>
          <w:tcPr>
            <w:tcW w:w="6845" w:type="dxa"/>
          </w:tcPr>
          <w:p w14:paraId="5FC678A5" w14:textId="77777777" w:rsidR="001F04FD" w:rsidRPr="0013396E" w:rsidRDefault="001F04FD" w:rsidP="00AC4DEE">
            <w:pPr>
              <w:pStyle w:val="TableBody"/>
            </w:pPr>
            <w:r w:rsidRPr="0013396E">
              <w:t>A Settlement Point.</w:t>
            </w:r>
          </w:p>
        </w:tc>
      </w:tr>
      <w:tr w:rsidR="001F04FD" w:rsidRPr="0013396E" w14:paraId="328D9A29" w14:textId="77777777" w:rsidTr="00FA433F">
        <w:trPr>
          <w:cantSplit/>
        </w:trPr>
        <w:tc>
          <w:tcPr>
            <w:tcW w:w="2155" w:type="dxa"/>
          </w:tcPr>
          <w:p w14:paraId="4F87CCE0" w14:textId="77777777" w:rsidR="001F04FD" w:rsidRPr="0013396E" w:rsidRDefault="001F04FD" w:rsidP="00AC4DEE">
            <w:pPr>
              <w:pStyle w:val="TableBody"/>
              <w:rPr>
                <w:i/>
              </w:rPr>
            </w:pPr>
            <w:r w:rsidRPr="0013396E">
              <w:rPr>
                <w:i/>
              </w:rPr>
              <w:t>r</w:t>
            </w:r>
          </w:p>
        </w:tc>
        <w:tc>
          <w:tcPr>
            <w:tcW w:w="720" w:type="dxa"/>
          </w:tcPr>
          <w:p w14:paraId="27CB94DA" w14:textId="77777777" w:rsidR="001F04FD" w:rsidRPr="0013396E" w:rsidRDefault="001F04FD" w:rsidP="00AC4DEE">
            <w:pPr>
              <w:pStyle w:val="TableBody"/>
            </w:pPr>
            <w:r w:rsidRPr="0013396E">
              <w:t>none</w:t>
            </w:r>
          </w:p>
        </w:tc>
        <w:tc>
          <w:tcPr>
            <w:tcW w:w="6845" w:type="dxa"/>
          </w:tcPr>
          <w:p w14:paraId="481A431D" w14:textId="2DA03C5C" w:rsidR="001F04FD" w:rsidRPr="0013396E" w:rsidRDefault="001F04FD" w:rsidP="00AC4DEE">
            <w:pPr>
              <w:pStyle w:val="TableBody"/>
            </w:pPr>
            <w:r w:rsidRPr="0013396E">
              <w:rPr>
                <w:lang w:val="fr-FR"/>
              </w:rPr>
              <w:t>A Generation Resource</w:t>
            </w:r>
            <w:r w:rsidR="00FF3B9A">
              <w:rPr>
                <w:lang w:val="fr-FR"/>
              </w:rPr>
              <w:t>, ESR,</w:t>
            </w:r>
            <w:r w:rsidRPr="0013396E">
              <w:rPr>
                <w:lang w:val="fr-FR"/>
              </w:rPr>
              <w:t xml:space="preserve"> or Controllable Load Resource.</w:t>
            </w:r>
          </w:p>
        </w:tc>
      </w:tr>
      <w:tr w:rsidR="001F04FD" w:rsidRPr="0013396E" w14:paraId="00E6689A" w14:textId="77777777" w:rsidTr="00FA433F">
        <w:trPr>
          <w:cantSplit/>
        </w:trPr>
        <w:tc>
          <w:tcPr>
            <w:tcW w:w="2155" w:type="dxa"/>
          </w:tcPr>
          <w:p w14:paraId="7D5FDC93" w14:textId="77777777" w:rsidR="001F04FD" w:rsidRPr="0013396E" w:rsidRDefault="001F04FD" w:rsidP="00AC4DEE">
            <w:pPr>
              <w:pStyle w:val="TableBody"/>
              <w:rPr>
                <w:i/>
              </w:rPr>
            </w:pPr>
            <w:r w:rsidRPr="0013396E">
              <w:rPr>
                <w:i/>
              </w:rPr>
              <w:t>i</w:t>
            </w:r>
          </w:p>
        </w:tc>
        <w:tc>
          <w:tcPr>
            <w:tcW w:w="720" w:type="dxa"/>
          </w:tcPr>
          <w:p w14:paraId="619DF0C1" w14:textId="77777777" w:rsidR="001F04FD" w:rsidRPr="0013396E" w:rsidRDefault="001F04FD" w:rsidP="00AC4DEE">
            <w:pPr>
              <w:pStyle w:val="TableBody"/>
            </w:pPr>
            <w:r w:rsidRPr="0013396E">
              <w:t>None</w:t>
            </w:r>
          </w:p>
        </w:tc>
        <w:tc>
          <w:tcPr>
            <w:tcW w:w="6845" w:type="dxa"/>
          </w:tcPr>
          <w:p w14:paraId="032A17F9" w14:textId="0E197999" w:rsidR="001F04FD" w:rsidRPr="0013396E" w:rsidRDefault="001F04FD" w:rsidP="00AC4DEE">
            <w:pPr>
              <w:pStyle w:val="TableBody"/>
            </w:pPr>
            <w:r w:rsidRPr="0013396E">
              <w:t>A 15-minute Settlement Interval</w:t>
            </w:r>
          </w:p>
        </w:tc>
      </w:tr>
      <w:tr w:rsidR="001F04FD" w:rsidRPr="0013396E" w14:paraId="56D94F1C" w14:textId="77777777" w:rsidTr="00FA433F">
        <w:trPr>
          <w:cantSplit/>
        </w:trPr>
        <w:tc>
          <w:tcPr>
            <w:tcW w:w="2155" w:type="dxa"/>
          </w:tcPr>
          <w:p w14:paraId="224797D1" w14:textId="77777777" w:rsidR="001F04FD" w:rsidRPr="0013396E" w:rsidRDefault="001F04FD" w:rsidP="00AC4DEE">
            <w:pPr>
              <w:pStyle w:val="TableBody"/>
              <w:rPr>
                <w:i/>
              </w:rPr>
            </w:pPr>
            <w:r w:rsidRPr="0013396E">
              <w:rPr>
                <w:i/>
              </w:rPr>
              <w:t>y</w:t>
            </w:r>
          </w:p>
        </w:tc>
        <w:tc>
          <w:tcPr>
            <w:tcW w:w="720" w:type="dxa"/>
          </w:tcPr>
          <w:p w14:paraId="2F97FC6C" w14:textId="77777777" w:rsidR="001F04FD" w:rsidRPr="0013396E" w:rsidRDefault="001F04FD" w:rsidP="00AC4DEE">
            <w:pPr>
              <w:pStyle w:val="TableBody"/>
            </w:pPr>
            <w:r w:rsidRPr="0013396E">
              <w:t>none</w:t>
            </w:r>
          </w:p>
        </w:tc>
        <w:tc>
          <w:tcPr>
            <w:tcW w:w="6845" w:type="dxa"/>
          </w:tcPr>
          <w:p w14:paraId="74BB7736" w14:textId="77777777" w:rsidR="001F04FD" w:rsidRPr="0013396E" w:rsidRDefault="001F04FD" w:rsidP="00AC4DEE">
            <w:pPr>
              <w:pStyle w:val="TableBody"/>
            </w:pPr>
            <w:r w:rsidRPr="0013396E">
              <w:t xml:space="preserve">A five-minute clock interval in the Settlement Interval.  </w:t>
            </w:r>
          </w:p>
        </w:tc>
      </w:tr>
    </w:tbl>
    <w:p w14:paraId="388736AA" w14:textId="77777777" w:rsidR="0006793C" w:rsidRPr="00576B1F" w:rsidRDefault="0006793C" w:rsidP="00576B1F">
      <w:pPr>
        <w:pStyle w:val="H3"/>
        <w:outlineLvl w:val="3"/>
        <w:rPr>
          <w:i w:val="0"/>
          <w:lang w:val="fr-FR"/>
        </w:rPr>
      </w:pPr>
      <w:bookmarkStart w:id="1736" w:name="_Toc214878980"/>
      <w:bookmarkStart w:id="1737" w:name="_Toc402357151"/>
      <w:bookmarkStart w:id="1738" w:name="_Toc422486531"/>
      <w:bookmarkStart w:id="1739" w:name="_Toc433093384"/>
      <w:bookmarkStart w:id="1740" w:name="_Toc433093542"/>
      <w:bookmarkStart w:id="1741" w:name="_Toc440874772"/>
      <w:bookmarkStart w:id="1742" w:name="_Toc448142329"/>
      <w:bookmarkStart w:id="1743" w:name="_Toc448142486"/>
      <w:bookmarkStart w:id="1744" w:name="_Toc458770327"/>
      <w:bookmarkStart w:id="1745" w:name="_Toc459294295"/>
      <w:bookmarkStart w:id="1746" w:name="_Toc463262788"/>
      <w:bookmarkStart w:id="1747" w:name="_Toc468286861"/>
      <w:bookmarkStart w:id="1748" w:name="_Toc481502901"/>
      <w:bookmarkStart w:id="1749" w:name="_Toc496080069"/>
      <w:bookmarkEnd w:id="1735"/>
      <w:bookmarkEnd w:id="1718"/>
      <w:bookmarkEnd w:id="1719"/>
      <w:r w:rsidRPr="00576B1F">
        <w:rPr>
          <w:i w:val="0"/>
          <w:lang w:val="fr-FR"/>
        </w:rPr>
        <w:t>6.6.5.2</w:t>
      </w:r>
      <w:r w:rsidRPr="00576B1F">
        <w:rPr>
          <w:i w:val="0"/>
          <w:lang w:val="fr-FR"/>
        </w:rPr>
        <w:tab/>
        <w:t>Set Point Deviation Charge for Over Generation</w:t>
      </w:r>
      <w:bookmarkEnd w:id="1736"/>
    </w:p>
    <w:p w14:paraId="3648F86B" w14:textId="1FCC08DF" w:rsidR="0006793C" w:rsidRPr="0013396E" w:rsidRDefault="0006793C" w:rsidP="0006793C">
      <w:pPr>
        <w:pStyle w:val="BodyTextNumbered"/>
      </w:pPr>
      <w:r w:rsidRPr="0013396E">
        <w:t>(1)</w:t>
      </w:r>
      <w:r w:rsidRPr="0013396E">
        <w:tab/>
        <w:t>ERCOT shall charge a QSE for a Generation Resource for over-generation that exceeds the following tolerance.  The tolerance is the greater of:</w:t>
      </w:r>
    </w:p>
    <w:p w14:paraId="286EE07D" w14:textId="77777777" w:rsidR="0006793C" w:rsidRPr="0013396E" w:rsidRDefault="0006793C" w:rsidP="0006793C">
      <w:pPr>
        <w:pStyle w:val="BodyTextNumbered"/>
        <w:ind w:left="1440"/>
      </w:pPr>
      <w:r w:rsidRPr="0013396E">
        <w:t>(a)</w:t>
      </w:r>
      <w:r w:rsidRPr="0013396E">
        <w:tab/>
        <w:t>5% of the AASP in the Settlement Interval; or</w:t>
      </w:r>
    </w:p>
    <w:p w14:paraId="40A6D70E" w14:textId="77777777" w:rsidR="0006793C" w:rsidRPr="0013396E" w:rsidRDefault="0006793C" w:rsidP="0006793C">
      <w:pPr>
        <w:pStyle w:val="BodyTextNumbered"/>
        <w:ind w:left="1440"/>
      </w:pPr>
      <w:r w:rsidRPr="0013396E">
        <w:t>(b)</w:t>
      </w:r>
      <w:r w:rsidRPr="0013396E">
        <w:tab/>
        <w:t xml:space="preserve">Five MW above the AASP in the Settlement Interval. </w:t>
      </w:r>
    </w:p>
    <w:p w14:paraId="7DE2AA2F" w14:textId="5914C363" w:rsidR="0006793C" w:rsidRPr="0013396E" w:rsidRDefault="0006793C" w:rsidP="0006793C">
      <w:pPr>
        <w:pStyle w:val="BodyTextNumbered"/>
        <w:rPr>
          <w:iCs/>
        </w:rPr>
      </w:pPr>
      <w:r w:rsidRPr="0013396E">
        <w:rPr>
          <w:iCs/>
        </w:rPr>
        <w:t>(</w:t>
      </w:r>
      <w:r w:rsidR="000F78EE">
        <w:rPr>
          <w:iCs/>
        </w:rPr>
        <w:t>2</w:t>
      </w:r>
      <w:r w:rsidRPr="0013396E">
        <w:rPr>
          <w:iCs/>
        </w:rPr>
        <w:t>)</w:t>
      </w:r>
      <w:r w:rsidRPr="0013396E">
        <w:rPr>
          <w:iCs/>
        </w:rPr>
        <w:tab/>
        <w:t>The over-generation charge to each QSE for each Generation Resource at each Resource Node Settlement Point is calculated as follows:</w:t>
      </w:r>
    </w:p>
    <w:p w14:paraId="7BA7C422" w14:textId="77777777" w:rsidR="0006793C" w:rsidRPr="0013396E" w:rsidRDefault="0006793C" w:rsidP="0006793C">
      <w:pPr>
        <w:pStyle w:val="FormulaBold"/>
      </w:pPr>
      <w:r w:rsidRPr="0013396E">
        <w:t xml:space="preserve">SPDAMT </w:t>
      </w:r>
      <w:r w:rsidRPr="0013396E">
        <w:rPr>
          <w:i/>
          <w:iCs/>
          <w:vertAlign w:val="subscript"/>
          <w:lang w:val="es-ES"/>
        </w:rPr>
        <w:t xml:space="preserve">q, r, p, i </w:t>
      </w:r>
      <w:r w:rsidRPr="0013396E">
        <w:tab/>
        <w:t>=</w:t>
      </w:r>
      <w:r w:rsidRPr="0013396E">
        <w:tab/>
        <w:t xml:space="preserve">Max (PR1, RTSPP </w:t>
      </w:r>
      <w:r w:rsidRPr="0013396E">
        <w:rPr>
          <w:i/>
          <w:vertAlign w:val="subscript"/>
        </w:rPr>
        <w:t>p, i</w:t>
      </w:r>
      <w:r w:rsidRPr="0013396E">
        <w:t>) * OGEN</w:t>
      </w:r>
      <w:r w:rsidRPr="0013396E">
        <w:rPr>
          <w:i/>
          <w:iCs/>
          <w:vertAlign w:val="subscript"/>
          <w:lang w:val="es-ES"/>
        </w:rPr>
        <w:t xml:space="preserve"> q, r, p, i </w:t>
      </w:r>
      <w:r w:rsidRPr="0013396E">
        <w:rPr>
          <w:rFonts w:ascii="Times New Roman Bold" w:hAnsi="Times New Roman Bold"/>
          <w:iCs/>
          <w:lang w:val="es-ES"/>
        </w:rPr>
        <w:t xml:space="preserve"> </w:t>
      </w:r>
    </w:p>
    <w:p w14:paraId="6E1C3E51" w14:textId="77777777" w:rsidR="0006793C" w:rsidRPr="0013396E" w:rsidRDefault="0006793C" w:rsidP="0006793C">
      <w:pPr>
        <w:pStyle w:val="FormulaBold"/>
        <w:rPr>
          <w:b w:val="0"/>
        </w:rPr>
      </w:pPr>
      <w:r w:rsidRPr="0013396E">
        <w:rPr>
          <w:b w:val="0"/>
        </w:rPr>
        <w:t>Where:</w:t>
      </w:r>
    </w:p>
    <w:p w14:paraId="4C8F8DE7" w14:textId="77777777" w:rsidR="0006793C" w:rsidRPr="0013396E" w:rsidRDefault="0006793C" w:rsidP="0006793C">
      <w:pPr>
        <w:pStyle w:val="FormulaBold"/>
        <w:rPr>
          <w:b w:val="0"/>
          <w:caps/>
        </w:rPr>
      </w:pPr>
      <w:r w:rsidRPr="0013396E">
        <w:rPr>
          <w:b w:val="0"/>
        </w:rPr>
        <w:t>OGEN</w:t>
      </w:r>
      <w:r w:rsidRPr="0013396E">
        <w:rPr>
          <w:b w:val="0"/>
          <w:i/>
          <w:iCs/>
          <w:vertAlign w:val="subscript"/>
          <w:lang w:val="es-ES"/>
        </w:rPr>
        <w:t xml:space="preserve"> q, r, p, i </w:t>
      </w:r>
      <w:r w:rsidRPr="0013396E">
        <w:rPr>
          <w:b w:val="0"/>
        </w:rPr>
        <w:t xml:space="preserve"> = Max [0, (TWTG </w:t>
      </w:r>
      <w:r w:rsidRPr="0013396E">
        <w:rPr>
          <w:b w:val="0"/>
          <w:i/>
          <w:iCs/>
          <w:vertAlign w:val="subscript"/>
          <w:lang w:val="es-ES"/>
        </w:rPr>
        <w:t xml:space="preserve">q, r, p, i </w:t>
      </w:r>
      <w:r w:rsidRPr="0013396E">
        <w:rPr>
          <w:b w:val="0"/>
        </w:rPr>
        <w:t xml:space="preserve"> – ¼ * Max (((1 + K1) * AASP</w:t>
      </w:r>
      <w:r w:rsidRPr="0013396E">
        <w:rPr>
          <w:b w:val="0"/>
          <w:i/>
          <w:iCs/>
          <w:vertAlign w:val="subscript"/>
          <w:lang w:val="es-ES"/>
        </w:rPr>
        <w:t xml:space="preserve"> q, r, p, i</w:t>
      </w:r>
      <w:r w:rsidRPr="0013396E">
        <w:rPr>
          <w:rFonts w:ascii="Times New Roman Bold" w:hAnsi="Times New Roman Bold"/>
          <w:b w:val="0"/>
          <w:iCs/>
          <w:lang w:val="es-ES"/>
        </w:rPr>
        <w:t>)</w:t>
      </w:r>
      <w:r w:rsidRPr="0013396E">
        <w:rPr>
          <w:b w:val="0"/>
        </w:rPr>
        <w:t>, (AASP</w:t>
      </w:r>
      <w:r w:rsidRPr="0013396E">
        <w:rPr>
          <w:b w:val="0"/>
          <w:i/>
          <w:iCs/>
          <w:vertAlign w:val="subscript"/>
          <w:lang w:val="es-ES"/>
        </w:rPr>
        <w:t xml:space="preserve"> q, r, p, i </w:t>
      </w:r>
      <w:r w:rsidRPr="0013396E">
        <w:rPr>
          <w:b w:val="0"/>
        </w:rPr>
        <w:t>+ Q1)))]</w:t>
      </w:r>
    </w:p>
    <w:p w14:paraId="3A43C716" w14:textId="6D0403DC" w:rsidR="0006793C" w:rsidRPr="0013396E" w:rsidRDefault="0006793C" w:rsidP="0006793C">
      <w:pPr>
        <w:pStyle w:val="BodyTextNumbered"/>
        <w:ind w:left="1440"/>
      </w:pPr>
      <w:r w:rsidRPr="0013396E">
        <w:t>TWTG</w:t>
      </w:r>
      <w:r w:rsidRPr="0013396E">
        <w:rPr>
          <w:i/>
          <w:vertAlign w:val="subscript"/>
        </w:rPr>
        <w:t xml:space="preserve"> q, r, p, i</w:t>
      </w:r>
      <w:r w:rsidRPr="0013396E">
        <w:rPr>
          <w:i/>
          <w:vertAlign w:val="subscript"/>
        </w:rPr>
        <w:tab/>
        <w:t>=</w:t>
      </w:r>
      <w:r w:rsidRPr="0013396E">
        <w:rPr>
          <w:i/>
          <w:vertAlign w:val="subscript"/>
        </w:rPr>
        <w:tab/>
      </w:r>
      <w:r w:rsidRPr="0013396E">
        <w:t>(</w:t>
      </w:r>
      <w:r w:rsidR="00457C20" w:rsidRPr="0013396E">
        <w:rPr>
          <w:position w:val="-22"/>
        </w:rPr>
        <w:object w:dxaOrig="210" w:dyaOrig="450" w14:anchorId="6BFC7728">
          <v:shape id="_x0000_i1147" type="#_x0000_t75" style="width:10.8pt;height:24pt" o:ole="">
            <v:imagedata r:id="rId176" o:title=""/>
          </v:shape>
          <o:OLEObject Type="Embed" ProgID="Equation.3" ShapeID="_x0000_i1147" DrawAspect="Content" ObjectID="_1836311426" r:id="rId178"/>
        </w:object>
      </w:r>
      <w:r w:rsidRPr="0013396E">
        <w:t xml:space="preserve"> (AVGTG5M</w:t>
      </w:r>
      <w:r w:rsidRPr="0013396E">
        <w:rPr>
          <w:i/>
          <w:vertAlign w:val="subscript"/>
        </w:rPr>
        <w:t xml:space="preserve"> q, r, p, i, y</w:t>
      </w:r>
      <w:r w:rsidRPr="0013396E">
        <w:t>)</w:t>
      </w:r>
      <w:r w:rsidRPr="0013396E">
        <w:rPr>
          <w:rFonts w:ascii="Times New Roman Bold" w:hAnsi="Times New Roman Bold"/>
        </w:rPr>
        <w:t xml:space="preserve"> / </w:t>
      </w:r>
      <w:r w:rsidRPr="0013396E">
        <w:t>3)</w:t>
      </w:r>
      <w:r w:rsidRPr="0013396E">
        <w:rPr>
          <w:rFonts w:ascii="Times New Roman Bold" w:hAnsi="Times New Roman Bold"/>
        </w:rPr>
        <w:t xml:space="preserve"> </w:t>
      </w:r>
      <w:r w:rsidRPr="0013396E">
        <w:t>*</w:t>
      </w:r>
      <w:r w:rsidRPr="0013396E">
        <w:rPr>
          <w:rFonts w:ascii="Times New Roman Bold" w:hAnsi="Times New Roman Bold"/>
        </w:rPr>
        <w:t xml:space="preserve"> </w:t>
      </w:r>
      <w:r w:rsidRPr="0013396E">
        <w:rPr>
          <w:rFonts w:hint="eastAsia"/>
        </w:rPr>
        <w:t>¼</w:t>
      </w:r>
    </w:p>
    <w:p w14:paraId="00A26E64" w14:textId="64937BCF" w:rsidR="0006793C" w:rsidRPr="0013396E" w:rsidRDefault="0006793C" w:rsidP="0006793C">
      <w:r w:rsidRPr="0013396E">
        <w:t>The above variables are defined as follows:</w:t>
      </w:r>
    </w:p>
    <w:tbl>
      <w:tblPr>
        <w:tblW w:w="98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8"/>
        <w:gridCol w:w="1459"/>
        <w:gridCol w:w="5942"/>
      </w:tblGrid>
      <w:tr w:rsidR="0006793C" w:rsidRPr="0013396E" w14:paraId="02C79181" w14:textId="77777777" w:rsidTr="0099759E">
        <w:trPr>
          <w:cantSplit/>
          <w:tblHeader/>
        </w:trPr>
        <w:tc>
          <w:tcPr>
            <w:tcW w:w="2428" w:type="dxa"/>
          </w:tcPr>
          <w:p w14:paraId="7271B071" w14:textId="77777777" w:rsidR="0006793C" w:rsidRPr="0013396E" w:rsidRDefault="0006793C" w:rsidP="0099759E">
            <w:pPr>
              <w:pStyle w:val="TableHead"/>
              <w:tabs>
                <w:tab w:val="right" w:pos="9360"/>
              </w:tabs>
            </w:pPr>
            <w:r w:rsidRPr="0013396E">
              <w:t>Variable</w:t>
            </w:r>
          </w:p>
        </w:tc>
        <w:tc>
          <w:tcPr>
            <w:tcW w:w="1459" w:type="dxa"/>
          </w:tcPr>
          <w:p w14:paraId="0E8ACF26" w14:textId="77777777" w:rsidR="0006793C" w:rsidRPr="0013396E" w:rsidRDefault="0006793C" w:rsidP="0099759E">
            <w:pPr>
              <w:pStyle w:val="TableHead"/>
              <w:tabs>
                <w:tab w:val="right" w:pos="9360"/>
              </w:tabs>
            </w:pPr>
            <w:r w:rsidRPr="0013396E">
              <w:t>Unit</w:t>
            </w:r>
          </w:p>
        </w:tc>
        <w:tc>
          <w:tcPr>
            <w:tcW w:w="5942" w:type="dxa"/>
          </w:tcPr>
          <w:p w14:paraId="7E3999A0" w14:textId="77777777" w:rsidR="0006793C" w:rsidRPr="0013396E" w:rsidRDefault="0006793C" w:rsidP="0099759E">
            <w:pPr>
              <w:pStyle w:val="TableHead"/>
              <w:tabs>
                <w:tab w:val="right" w:pos="9360"/>
              </w:tabs>
            </w:pPr>
            <w:r w:rsidRPr="0013396E">
              <w:t>Definition</w:t>
            </w:r>
          </w:p>
        </w:tc>
      </w:tr>
      <w:tr w:rsidR="0006793C" w:rsidRPr="0013396E" w14:paraId="6815FC46" w14:textId="77777777" w:rsidTr="0099759E">
        <w:trPr>
          <w:cantSplit/>
        </w:trPr>
        <w:tc>
          <w:tcPr>
            <w:tcW w:w="2428" w:type="dxa"/>
          </w:tcPr>
          <w:p w14:paraId="3D25B770" w14:textId="77777777" w:rsidR="0006793C" w:rsidRPr="0013396E" w:rsidRDefault="0006793C" w:rsidP="0099759E">
            <w:pPr>
              <w:pStyle w:val="TableBody"/>
            </w:pPr>
            <w:r w:rsidRPr="0013396E">
              <w:t xml:space="preserve">SPDAMT </w:t>
            </w:r>
            <w:r w:rsidRPr="0013396E">
              <w:rPr>
                <w:i/>
                <w:vertAlign w:val="subscript"/>
              </w:rPr>
              <w:t>q, r, p, i</w:t>
            </w:r>
          </w:p>
        </w:tc>
        <w:tc>
          <w:tcPr>
            <w:tcW w:w="1459" w:type="dxa"/>
          </w:tcPr>
          <w:p w14:paraId="6AFB18A8" w14:textId="77777777" w:rsidR="0006793C" w:rsidRPr="0013396E" w:rsidRDefault="0006793C" w:rsidP="0099759E">
            <w:pPr>
              <w:pStyle w:val="TableBody"/>
            </w:pPr>
            <w:r w:rsidRPr="0013396E">
              <w:t>$</w:t>
            </w:r>
          </w:p>
        </w:tc>
        <w:tc>
          <w:tcPr>
            <w:tcW w:w="5942" w:type="dxa"/>
          </w:tcPr>
          <w:p w14:paraId="3DEDD520" w14:textId="77777777" w:rsidR="0006793C" w:rsidRPr="0013396E" w:rsidRDefault="0006793C" w:rsidP="0099759E">
            <w:pPr>
              <w:pStyle w:val="TableBody"/>
            </w:pPr>
            <w:r w:rsidRPr="0013396E">
              <w:rPr>
                <w:i/>
              </w:rPr>
              <w:t>Set Point Deviation Charge per QSE per Settlement Point per Resource</w:t>
            </w:r>
            <w:r w:rsidRPr="0013396E">
              <w:t xml:space="preserve">—The charge to QSE </w:t>
            </w:r>
            <w:r w:rsidRPr="0013396E">
              <w:rPr>
                <w:i/>
              </w:rPr>
              <w:t>q</w:t>
            </w:r>
            <w:r w:rsidRPr="0013396E">
              <w:t xml:space="preserve"> for Generation Resource </w:t>
            </w:r>
            <w:r w:rsidRPr="0013396E">
              <w:rPr>
                <w:i/>
              </w:rPr>
              <w:t>r</w:t>
            </w:r>
            <w:r w:rsidRPr="0013396E">
              <w:t xml:space="preserve"> at Resource Node </w:t>
            </w:r>
            <w:r w:rsidRPr="0013396E">
              <w:rPr>
                <w:i/>
              </w:rPr>
              <w:t>p</w:t>
            </w:r>
            <w:r w:rsidRPr="0013396E">
              <w:t xml:space="preserve">, for its deviation from AASP, for the 15-minute Settlement Interval </w:t>
            </w:r>
            <w:r w:rsidRPr="0013396E">
              <w:rPr>
                <w:i/>
              </w:rPr>
              <w:t>i</w:t>
            </w:r>
            <w:r w:rsidRPr="0013396E">
              <w:t>.  The Set Point Deviation Charge is charged to the Combined Cycle Train for all Combined Cycle Generation Resources.</w:t>
            </w:r>
          </w:p>
        </w:tc>
      </w:tr>
      <w:tr w:rsidR="0006793C" w:rsidRPr="0013396E" w14:paraId="23D70CAB" w14:textId="77777777" w:rsidTr="0099759E">
        <w:trPr>
          <w:cantSplit/>
        </w:trPr>
        <w:tc>
          <w:tcPr>
            <w:tcW w:w="2428" w:type="dxa"/>
          </w:tcPr>
          <w:p w14:paraId="2E7BE67E" w14:textId="77777777" w:rsidR="0006793C" w:rsidRPr="0013396E" w:rsidRDefault="0006793C" w:rsidP="0099759E">
            <w:pPr>
              <w:pStyle w:val="TableBody"/>
            </w:pPr>
            <w:r w:rsidRPr="0013396E">
              <w:t xml:space="preserve">RTSPP </w:t>
            </w:r>
            <w:r w:rsidRPr="0013396E">
              <w:rPr>
                <w:i/>
                <w:vertAlign w:val="subscript"/>
              </w:rPr>
              <w:t>p, i</w:t>
            </w:r>
          </w:p>
        </w:tc>
        <w:tc>
          <w:tcPr>
            <w:tcW w:w="1459" w:type="dxa"/>
          </w:tcPr>
          <w:p w14:paraId="62463A2D" w14:textId="77777777" w:rsidR="0006793C" w:rsidRPr="0013396E" w:rsidRDefault="0006793C" w:rsidP="0099759E">
            <w:pPr>
              <w:pStyle w:val="TableBody"/>
            </w:pPr>
            <w:r w:rsidRPr="0013396E">
              <w:t>$/MWh</w:t>
            </w:r>
          </w:p>
        </w:tc>
        <w:tc>
          <w:tcPr>
            <w:tcW w:w="5942" w:type="dxa"/>
          </w:tcPr>
          <w:p w14:paraId="3B32B859" w14:textId="77777777" w:rsidR="0006793C" w:rsidRPr="0013396E" w:rsidRDefault="0006793C" w:rsidP="0099759E">
            <w:pPr>
              <w:pStyle w:val="TableBody"/>
            </w:pPr>
            <w:r w:rsidRPr="0013396E">
              <w:rPr>
                <w:i/>
              </w:rPr>
              <w:t>Real-Time Settlement Point Price per Settlement Point</w:t>
            </w:r>
            <w:r w:rsidRPr="0013396E">
              <w:t xml:space="preserve">—The Real-Time Settlement Point Price at Settlement Point </w:t>
            </w:r>
            <w:r w:rsidRPr="0013396E">
              <w:rPr>
                <w:i/>
              </w:rPr>
              <w:t>p</w:t>
            </w:r>
            <w:r w:rsidRPr="0013396E">
              <w:t xml:space="preserve">, for the 15-minute Settlement Interval </w:t>
            </w:r>
            <w:r w:rsidRPr="0013396E">
              <w:rPr>
                <w:i/>
              </w:rPr>
              <w:t>i</w:t>
            </w:r>
            <w:r w:rsidRPr="0013396E">
              <w:t>.</w:t>
            </w:r>
          </w:p>
        </w:tc>
      </w:tr>
      <w:tr w:rsidR="0006793C" w:rsidRPr="0013396E" w14:paraId="305E28C3" w14:textId="77777777" w:rsidTr="0099759E">
        <w:trPr>
          <w:cantSplit/>
        </w:trPr>
        <w:tc>
          <w:tcPr>
            <w:tcW w:w="2428" w:type="dxa"/>
          </w:tcPr>
          <w:p w14:paraId="0C0DC9E6" w14:textId="77777777" w:rsidR="0006793C" w:rsidRPr="0013396E" w:rsidRDefault="0006793C" w:rsidP="0099759E">
            <w:pPr>
              <w:pStyle w:val="TableBody"/>
            </w:pPr>
            <w:r w:rsidRPr="0013396E">
              <w:lastRenderedPageBreak/>
              <w:t xml:space="preserve">TWTG </w:t>
            </w:r>
            <w:r w:rsidRPr="0013396E">
              <w:rPr>
                <w:i/>
                <w:vertAlign w:val="subscript"/>
              </w:rPr>
              <w:t>q, r, p, i</w:t>
            </w:r>
          </w:p>
        </w:tc>
        <w:tc>
          <w:tcPr>
            <w:tcW w:w="1459" w:type="dxa"/>
          </w:tcPr>
          <w:p w14:paraId="080744DD" w14:textId="77777777" w:rsidR="0006793C" w:rsidRPr="0013396E" w:rsidRDefault="0006793C" w:rsidP="0099759E">
            <w:pPr>
              <w:pStyle w:val="TableBody"/>
            </w:pPr>
            <w:r w:rsidRPr="0013396E">
              <w:t>MWh</w:t>
            </w:r>
          </w:p>
        </w:tc>
        <w:tc>
          <w:tcPr>
            <w:tcW w:w="5942" w:type="dxa"/>
          </w:tcPr>
          <w:p w14:paraId="19E990A1" w14:textId="77777777" w:rsidR="0006793C" w:rsidRPr="0013396E" w:rsidRDefault="0006793C" w:rsidP="0099759E">
            <w:pPr>
              <w:pStyle w:val="TableBody"/>
              <w:rPr>
                <w:i/>
              </w:rPr>
            </w:pPr>
            <w:r w:rsidRPr="0013396E">
              <w:rPr>
                <w:i/>
              </w:rPr>
              <w:t>Time-Weighted Telemetered Generation per QSE per Settlement Point per Resource</w:t>
            </w:r>
            <w:r w:rsidRPr="0013396E">
              <w:t xml:space="preserve">—The telemetered generation of Generation Resource </w:t>
            </w:r>
            <w:r w:rsidRPr="0013396E">
              <w:rPr>
                <w:i/>
              </w:rPr>
              <w:t>r</w:t>
            </w:r>
            <w:r w:rsidRPr="0013396E">
              <w:t xml:space="preserve"> represented by QSE </w:t>
            </w:r>
            <w:r w:rsidRPr="0013396E">
              <w:rPr>
                <w:i/>
              </w:rPr>
              <w:t>q</w:t>
            </w:r>
            <w:r w:rsidRPr="0013396E">
              <w:t xml:space="preserve"> at Resource Node </w:t>
            </w:r>
            <w:r w:rsidRPr="0013396E">
              <w:rPr>
                <w:i/>
              </w:rPr>
              <w:t>p</w:t>
            </w:r>
            <w:r w:rsidRPr="0013396E">
              <w:t xml:space="preserve">, for the 15-minute Settlement Interval </w:t>
            </w:r>
            <w:r w:rsidRPr="0013396E">
              <w:rPr>
                <w:i/>
              </w:rPr>
              <w:t>i</w:t>
            </w:r>
            <w:r w:rsidRPr="0013396E">
              <w:t xml:space="preserve">.  Where for a Combined Cycle Train, the Resource </w:t>
            </w:r>
            <w:r w:rsidRPr="0013396E">
              <w:rPr>
                <w:i/>
              </w:rPr>
              <w:t xml:space="preserve">r </w:t>
            </w:r>
            <w:r w:rsidRPr="0013396E">
              <w:t>is the Combined Cycle Train.</w:t>
            </w:r>
          </w:p>
        </w:tc>
      </w:tr>
      <w:tr w:rsidR="0006793C" w:rsidRPr="0013396E" w14:paraId="483DE3F7" w14:textId="77777777" w:rsidTr="0099759E">
        <w:trPr>
          <w:cantSplit/>
        </w:trPr>
        <w:tc>
          <w:tcPr>
            <w:tcW w:w="2428" w:type="dxa"/>
          </w:tcPr>
          <w:p w14:paraId="274E8421" w14:textId="77777777" w:rsidR="0006793C" w:rsidRPr="0013396E" w:rsidRDefault="0006793C" w:rsidP="0099759E">
            <w:pPr>
              <w:pStyle w:val="TableBody"/>
            </w:pPr>
            <w:r w:rsidRPr="0013396E">
              <w:t>AASP</w:t>
            </w:r>
            <w:r w:rsidRPr="0013396E">
              <w:rPr>
                <w:i/>
                <w:vertAlign w:val="subscript"/>
              </w:rPr>
              <w:t xml:space="preserve"> q, r, p, i</w:t>
            </w:r>
          </w:p>
        </w:tc>
        <w:tc>
          <w:tcPr>
            <w:tcW w:w="1459" w:type="dxa"/>
          </w:tcPr>
          <w:p w14:paraId="0A2F9DD0" w14:textId="77777777" w:rsidR="0006793C" w:rsidRPr="0013396E" w:rsidRDefault="0006793C" w:rsidP="0099759E">
            <w:pPr>
              <w:pStyle w:val="TableBody"/>
            </w:pPr>
            <w:r w:rsidRPr="0013396E">
              <w:t>MW</w:t>
            </w:r>
          </w:p>
        </w:tc>
        <w:tc>
          <w:tcPr>
            <w:tcW w:w="5942" w:type="dxa"/>
          </w:tcPr>
          <w:p w14:paraId="5FC5F466" w14:textId="77777777" w:rsidR="0006793C" w:rsidRPr="0013396E" w:rsidRDefault="0006793C" w:rsidP="0099759E">
            <w:pPr>
              <w:pStyle w:val="TableBody"/>
              <w:rPr>
                <w:i/>
              </w:rPr>
            </w:pPr>
            <w:r w:rsidRPr="0013396E">
              <w:rPr>
                <w:i/>
              </w:rPr>
              <w:t>Average Aggregated Set Point per QSE per Settlement Point per Resource</w:t>
            </w:r>
            <w:r w:rsidRPr="0013396E">
              <w:t xml:space="preserve">—The average of the Average Five Minute Clock Interval Set Point (AVGSP5M) of Generation Resource </w:t>
            </w:r>
            <w:r w:rsidRPr="0013396E">
              <w:rPr>
                <w:i/>
              </w:rPr>
              <w:t>r</w:t>
            </w:r>
            <w:r w:rsidRPr="0013396E">
              <w:t xml:space="preserve"> represented by QSE </w:t>
            </w:r>
            <w:r w:rsidRPr="0013396E">
              <w:rPr>
                <w:i/>
              </w:rPr>
              <w:t>q</w:t>
            </w:r>
            <w:r w:rsidRPr="0013396E">
              <w:t xml:space="preserve"> at Settlement Point </w:t>
            </w:r>
            <w:r w:rsidRPr="0013396E">
              <w:rPr>
                <w:i/>
              </w:rPr>
              <w:t>p,</w:t>
            </w:r>
            <w:r w:rsidRPr="0013396E">
              <w:t xml:space="preserve"> for the 15-minute Settlement Interval</w:t>
            </w:r>
            <w:r w:rsidRPr="0013396E">
              <w:rPr>
                <w:i/>
              </w:rPr>
              <w:t xml:space="preserve"> i</w:t>
            </w:r>
            <w:r w:rsidRPr="0013396E">
              <w:t>.  Where for a Combined Cycle Train, AASP is calculated for the Combined Cycle Train considering all UDSPs to any Combined Cycle Generation Resources within the Combined Cycle Train.</w:t>
            </w:r>
          </w:p>
        </w:tc>
      </w:tr>
      <w:tr w:rsidR="0006793C" w:rsidRPr="0013396E" w14:paraId="48B03DD3" w14:textId="77777777" w:rsidTr="0099759E">
        <w:trPr>
          <w:cantSplit/>
        </w:trPr>
        <w:tc>
          <w:tcPr>
            <w:tcW w:w="2428" w:type="dxa"/>
          </w:tcPr>
          <w:p w14:paraId="095F5EB0" w14:textId="77777777" w:rsidR="0006793C" w:rsidRPr="0013396E" w:rsidRDefault="0006793C" w:rsidP="0099759E">
            <w:pPr>
              <w:pStyle w:val="TableBody"/>
            </w:pPr>
            <w:r w:rsidRPr="0013396E">
              <w:t>AVGTG5M</w:t>
            </w:r>
            <w:r w:rsidRPr="0013396E">
              <w:rPr>
                <w:i/>
                <w:vertAlign w:val="subscript"/>
                <w:lang w:val="fr-FR"/>
              </w:rPr>
              <w:t xml:space="preserve"> q, r, p, i, y</w:t>
            </w:r>
          </w:p>
        </w:tc>
        <w:tc>
          <w:tcPr>
            <w:tcW w:w="1459" w:type="dxa"/>
          </w:tcPr>
          <w:p w14:paraId="2AC04541" w14:textId="77777777" w:rsidR="0006793C" w:rsidRPr="0013396E" w:rsidRDefault="0006793C" w:rsidP="0099759E">
            <w:pPr>
              <w:pStyle w:val="TableBody"/>
            </w:pPr>
            <w:r w:rsidRPr="0013396E">
              <w:t>MW</w:t>
            </w:r>
          </w:p>
        </w:tc>
        <w:tc>
          <w:tcPr>
            <w:tcW w:w="5942" w:type="dxa"/>
          </w:tcPr>
          <w:p w14:paraId="2D2D94BF" w14:textId="77777777" w:rsidR="0006793C" w:rsidRPr="0013396E" w:rsidRDefault="0006793C" w:rsidP="0099759E">
            <w:pPr>
              <w:pStyle w:val="TableBody"/>
            </w:pPr>
            <w:r w:rsidRPr="0013396E">
              <w:rPr>
                <w:i/>
              </w:rPr>
              <w:t>Average Telemetered Generation for the 5 Minutes</w:t>
            </w:r>
            <w:r w:rsidRPr="0013396E">
              <w:t xml:space="preserve">—The average telemetered generation of Generation Resource </w:t>
            </w:r>
            <w:r w:rsidRPr="0013396E">
              <w:rPr>
                <w:i/>
              </w:rPr>
              <w:t>r</w:t>
            </w:r>
            <w:r w:rsidRPr="0013396E">
              <w:t xml:space="preserve"> represented by QSE </w:t>
            </w:r>
            <w:r w:rsidRPr="0013396E">
              <w:rPr>
                <w:i/>
              </w:rPr>
              <w:t>q</w:t>
            </w:r>
            <w:r w:rsidRPr="0013396E">
              <w:t xml:space="preserve"> at Resource Node </w:t>
            </w:r>
            <w:r w:rsidRPr="0013396E">
              <w:rPr>
                <w:i/>
              </w:rPr>
              <w:t>p</w:t>
            </w:r>
            <w:r w:rsidRPr="0013396E">
              <w:t xml:space="preserve">, for the five-minute clock interval </w:t>
            </w:r>
            <w:r w:rsidRPr="0013396E">
              <w:rPr>
                <w:i/>
              </w:rPr>
              <w:t>y</w:t>
            </w:r>
            <w:r w:rsidRPr="0013396E">
              <w:t xml:space="preserve">, within the 15-minute Settlement Interval </w:t>
            </w:r>
            <w:r w:rsidRPr="0013396E">
              <w:rPr>
                <w:i/>
              </w:rPr>
              <w:t>i</w:t>
            </w:r>
            <w:r w:rsidRPr="0013396E">
              <w:t>.</w:t>
            </w:r>
          </w:p>
        </w:tc>
      </w:tr>
      <w:tr w:rsidR="0006793C" w:rsidRPr="0013396E" w14:paraId="4A1F5C00" w14:textId="77777777" w:rsidTr="0099759E">
        <w:trPr>
          <w:cantSplit/>
        </w:trPr>
        <w:tc>
          <w:tcPr>
            <w:tcW w:w="2428" w:type="dxa"/>
          </w:tcPr>
          <w:p w14:paraId="2C40AAB6" w14:textId="77777777" w:rsidR="0006793C" w:rsidRPr="0013396E" w:rsidRDefault="0006793C" w:rsidP="0099759E">
            <w:pPr>
              <w:pStyle w:val="TableBody"/>
            </w:pPr>
            <w:r w:rsidRPr="0013396E">
              <w:t xml:space="preserve">OGEN </w:t>
            </w:r>
            <w:r w:rsidRPr="0013396E">
              <w:rPr>
                <w:i/>
                <w:vertAlign w:val="subscript"/>
              </w:rPr>
              <w:t>q, r, p, i</w:t>
            </w:r>
          </w:p>
        </w:tc>
        <w:tc>
          <w:tcPr>
            <w:tcW w:w="1459" w:type="dxa"/>
          </w:tcPr>
          <w:p w14:paraId="47E1C08A" w14:textId="77777777" w:rsidR="0006793C" w:rsidRPr="0013396E" w:rsidRDefault="0006793C" w:rsidP="0099759E">
            <w:pPr>
              <w:pStyle w:val="TableBody"/>
            </w:pPr>
            <w:r w:rsidRPr="0013396E">
              <w:t>MWh</w:t>
            </w:r>
          </w:p>
        </w:tc>
        <w:tc>
          <w:tcPr>
            <w:tcW w:w="5942" w:type="dxa"/>
          </w:tcPr>
          <w:p w14:paraId="3AA43F5B" w14:textId="77777777" w:rsidR="0006793C" w:rsidRPr="0013396E" w:rsidRDefault="0006793C" w:rsidP="0099759E">
            <w:pPr>
              <w:pStyle w:val="TableBody"/>
            </w:pPr>
            <w:r w:rsidRPr="0013396E">
              <w:rPr>
                <w:i/>
              </w:rPr>
              <w:t>Over Generation Volumes per QSE per Settlement Point per Resource</w:t>
            </w:r>
            <w:r w:rsidRPr="0013396E">
              <w:t xml:space="preserve">—The amount over-generated by the Generation Resource </w:t>
            </w:r>
            <w:r w:rsidRPr="0013396E">
              <w:rPr>
                <w:i/>
              </w:rPr>
              <w:t>r</w:t>
            </w:r>
            <w:r w:rsidRPr="0013396E">
              <w:t xml:space="preserve"> represented by QSE </w:t>
            </w:r>
            <w:r w:rsidRPr="0013396E">
              <w:rPr>
                <w:i/>
              </w:rPr>
              <w:t>q</w:t>
            </w:r>
            <w:r w:rsidRPr="0013396E">
              <w:t xml:space="preserve"> at Resource Node </w:t>
            </w:r>
            <w:r w:rsidRPr="0013396E">
              <w:rPr>
                <w:i/>
              </w:rPr>
              <w:t>p</w:t>
            </w:r>
            <w:r w:rsidRPr="0013396E">
              <w:t xml:space="preserve"> for the 15-minute Settlement Interval </w:t>
            </w:r>
            <w:r w:rsidRPr="0013396E">
              <w:rPr>
                <w:i/>
              </w:rPr>
              <w:t>i</w:t>
            </w:r>
            <w:r w:rsidRPr="0013396E">
              <w:t>.</w:t>
            </w:r>
          </w:p>
        </w:tc>
      </w:tr>
      <w:tr w:rsidR="0006793C" w:rsidRPr="0013396E" w14:paraId="6A9B6448" w14:textId="77777777" w:rsidTr="0099759E">
        <w:trPr>
          <w:cantSplit/>
        </w:trPr>
        <w:tc>
          <w:tcPr>
            <w:tcW w:w="2428" w:type="dxa"/>
          </w:tcPr>
          <w:p w14:paraId="301952F4" w14:textId="77777777" w:rsidR="0006793C" w:rsidRPr="0013396E" w:rsidRDefault="0006793C" w:rsidP="0099759E">
            <w:pPr>
              <w:pStyle w:val="TableBody"/>
            </w:pPr>
            <w:r w:rsidRPr="0013396E">
              <w:t>PR1</w:t>
            </w:r>
          </w:p>
        </w:tc>
        <w:tc>
          <w:tcPr>
            <w:tcW w:w="1459" w:type="dxa"/>
          </w:tcPr>
          <w:p w14:paraId="56902425" w14:textId="77777777" w:rsidR="0006793C" w:rsidRPr="0013396E" w:rsidRDefault="0006793C" w:rsidP="0099759E">
            <w:pPr>
              <w:pStyle w:val="TableBody"/>
            </w:pPr>
            <w:r w:rsidRPr="0013396E">
              <w:t>$/MWh</w:t>
            </w:r>
          </w:p>
        </w:tc>
        <w:tc>
          <w:tcPr>
            <w:tcW w:w="5942" w:type="dxa"/>
          </w:tcPr>
          <w:p w14:paraId="72C7808C" w14:textId="77777777" w:rsidR="0006793C" w:rsidRPr="0013396E" w:rsidRDefault="0006793C" w:rsidP="0099759E">
            <w:pPr>
              <w:pStyle w:val="TableBody"/>
            </w:pPr>
            <w:r w:rsidRPr="0013396E">
              <w:t xml:space="preserve">The price to use for the Set Point Deviation Charge for over-generation when RTSPP is less than $20/MWh, $20/MWh.  </w:t>
            </w:r>
          </w:p>
        </w:tc>
      </w:tr>
      <w:tr w:rsidR="0006793C" w:rsidRPr="0013396E" w14:paraId="4613C6CA" w14:textId="77777777" w:rsidTr="0099759E">
        <w:trPr>
          <w:cantSplit/>
        </w:trPr>
        <w:tc>
          <w:tcPr>
            <w:tcW w:w="2428" w:type="dxa"/>
          </w:tcPr>
          <w:p w14:paraId="66630DDF" w14:textId="77777777" w:rsidR="0006793C" w:rsidRPr="0013396E" w:rsidRDefault="0006793C" w:rsidP="0099759E">
            <w:pPr>
              <w:pStyle w:val="TableBody"/>
            </w:pPr>
            <w:r w:rsidRPr="0013396E">
              <w:t>K1</w:t>
            </w:r>
          </w:p>
        </w:tc>
        <w:tc>
          <w:tcPr>
            <w:tcW w:w="1459" w:type="dxa"/>
          </w:tcPr>
          <w:p w14:paraId="01181D8D" w14:textId="77777777" w:rsidR="0006793C" w:rsidRPr="0013396E" w:rsidRDefault="0006793C" w:rsidP="0099759E">
            <w:pPr>
              <w:pStyle w:val="TableBody"/>
            </w:pPr>
            <w:r w:rsidRPr="0013396E">
              <w:t>none</w:t>
            </w:r>
          </w:p>
        </w:tc>
        <w:tc>
          <w:tcPr>
            <w:tcW w:w="5942" w:type="dxa"/>
          </w:tcPr>
          <w:p w14:paraId="15324F2A" w14:textId="77777777" w:rsidR="0006793C" w:rsidRPr="0013396E" w:rsidRDefault="0006793C" w:rsidP="0099759E">
            <w:pPr>
              <w:pStyle w:val="TableBody"/>
            </w:pPr>
            <w:r w:rsidRPr="0013396E">
              <w:t xml:space="preserve">The percentage tolerance for over-generation, 5%.  </w:t>
            </w:r>
          </w:p>
        </w:tc>
      </w:tr>
      <w:tr w:rsidR="0006793C" w:rsidRPr="0013396E" w14:paraId="30627FAF" w14:textId="77777777" w:rsidTr="0099759E">
        <w:trPr>
          <w:cantSplit/>
        </w:trPr>
        <w:tc>
          <w:tcPr>
            <w:tcW w:w="2428" w:type="dxa"/>
          </w:tcPr>
          <w:p w14:paraId="7FBE1220" w14:textId="77777777" w:rsidR="0006793C" w:rsidRPr="0013396E" w:rsidRDefault="0006793C" w:rsidP="0099759E">
            <w:pPr>
              <w:pStyle w:val="TableBody"/>
            </w:pPr>
            <w:r w:rsidRPr="0013396E">
              <w:t>Q1</w:t>
            </w:r>
          </w:p>
        </w:tc>
        <w:tc>
          <w:tcPr>
            <w:tcW w:w="1459" w:type="dxa"/>
          </w:tcPr>
          <w:p w14:paraId="39CA5CF2" w14:textId="77777777" w:rsidR="0006793C" w:rsidRPr="0013396E" w:rsidRDefault="0006793C" w:rsidP="0099759E">
            <w:pPr>
              <w:pStyle w:val="TableBody"/>
            </w:pPr>
            <w:r w:rsidRPr="0013396E">
              <w:t>MW</w:t>
            </w:r>
          </w:p>
        </w:tc>
        <w:tc>
          <w:tcPr>
            <w:tcW w:w="5942" w:type="dxa"/>
          </w:tcPr>
          <w:p w14:paraId="235C8B8E" w14:textId="77777777" w:rsidR="0006793C" w:rsidRPr="0013396E" w:rsidRDefault="0006793C" w:rsidP="0099759E">
            <w:pPr>
              <w:pStyle w:val="TableBody"/>
            </w:pPr>
            <w:r w:rsidRPr="0013396E">
              <w:t>The MW tolerance for over-generation, five MW.</w:t>
            </w:r>
          </w:p>
        </w:tc>
      </w:tr>
      <w:tr w:rsidR="0006793C" w:rsidRPr="0013396E" w14:paraId="7AF57E6F" w14:textId="77777777" w:rsidTr="0099759E">
        <w:trPr>
          <w:cantSplit/>
        </w:trPr>
        <w:tc>
          <w:tcPr>
            <w:tcW w:w="2428" w:type="dxa"/>
          </w:tcPr>
          <w:p w14:paraId="4DC91FC9" w14:textId="77777777" w:rsidR="0006793C" w:rsidRPr="0013396E" w:rsidRDefault="0006793C" w:rsidP="0099759E">
            <w:pPr>
              <w:spacing w:after="60"/>
              <w:rPr>
                <w:iCs/>
                <w:sz w:val="20"/>
              </w:rPr>
            </w:pPr>
            <w:r w:rsidRPr="0013396E">
              <w:rPr>
                <w:iCs/>
                <w:sz w:val="20"/>
              </w:rPr>
              <w:t>N</w:t>
            </w:r>
          </w:p>
        </w:tc>
        <w:tc>
          <w:tcPr>
            <w:tcW w:w="1459" w:type="dxa"/>
          </w:tcPr>
          <w:p w14:paraId="37D5393D" w14:textId="77777777" w:rsidR="0006793C" w:rsidRPr="0013396E" w:rsidRDefault="0006793C" w:rsidP="0099759E">
            <w:pPr>
              <w:spacing w:after="60"/>
              <w:rPr>
                <w:iCs/>
                <w:sz w:val="20"/>
              </w:rPr>
            </w:pPr>
            <w:r w:rsidRPr="0013396E">
              <w:rPr>
                <w:iCs/>
                <w:sz w:val="20"/>
              </w:rPr>
              <w:t>none</w:t>
            </w:r>
          </w:p>
        </w:tc>
        <w:tc>
          <w:tcPr>
            <w:tcW w:w="5942" w:type="dxa"/>
          </w:tcPr>
          <w:p w14:paraId="0A019D20" w14:textId="77777777" w:rsidR="0006793C" w:rsidRPr="0013396E" w:rsidRDefault="0006793C" w:rsidP="0099759E">
            <w:pPr>
              <w:spacing w:after="60"/>
              <w:rPr>
                <w:iCs/>
                <w:sz w:val="20"/>
              </w:rPr>
            </w:pPr>
            <w:r w:rsidRPr="0013396E">
              <w:rPr>
                <w:iCs/>
                <w:sz w:val="20"/>
              </w:rPr>
              <w:t>The number of IRRs within an IRR Group.</w:t>
            </w:r>
          </w:p>
        </w:tc>
      </w:tr>
      <w:tr w:rsidR="0006793C" w:rsidRPr="0013396E" w14:paraId="6404C536" w14:textId="77777777" w:rsidTr="0099759E">
        <w:trPr>
          <w:cantSplit/>
        </w:trPr>
        <w:tc>
          <w:tcPr>
            <w:tcW w:w="2428" w:type="dxa"/>
          </w:tcPr>
          <w:p w14:paraId="37004FCD" w14:textId="77777777" w:rsidR="0006793C" w:rsidRPr="0013396E" w:rsidRDefault="0006793C" w:rsidP="0099759E">
            <w:pPr>
              <w:pStyle w:val="TableBody"/>
              <w:rPr>
                <w:i/>
              </w:rPr>
            </w:pPr>
            <w:r w:rsidRPr="0013396E">
              <w:rPr>
                <w:i/>
              </w:rPr>
              <w:t>q</w:t>
            </w:r>
          </w:p>
        </w:tc>
        <w:tc>
          <w:tcPr>
            <w:tcW w:w="1459" w:type="dxa"/>
          </w:tcPr>
          <w:p w14:paraId="22023F78" w14:textId="77777777" w:rsidR="0006793C" w:rsidRPr="0013396E" w:rsidRDefault="0006793C" w:rsidP="0099759E">
            <w:pPr>
              <w:pStyle w:val="TableBody"/>
            </w:pPr>
            <w:r w:rsidRPr="0013396E">
              <w:t>none</w:t>
            </w:r>
          </w:p>
        </w:tc>
        <w:tc>
          <w:tcPr>
            <w:tcW w:w="5942" w:type="dxa"/>
          </w:tcPr>
          <w:p w14:paraId="4B49A9D2" w14:textId="77777777" w:rsidR="0006793C" w:rsidRPr="0013396E" w:rsidRDefault="0006793C" w:rsidP="0099759E">
            <w:pPr>
              <w:pStyle w:val="TableBody"/>
            </w:pPr>
            <w:r w:rsidRPr="0013396E">
              <w:t>A QSE.</w:t>
            </w:r>
          </w:p>
        </w:tc>
      </w:tr>
      <w:tr w:rsidR="0006793C" w:rsidRPr="0013396E" w14:paraId="189A4103" w14:textId="77777777" w:rsidTr="0099759E">
        <w:trPr>
          <w:cantSplit/>
        </w:trPr>
        <w:tc>
          <w:tcPr>
            <w:tcW w:w="2428" w:type="dxa"/>
          </w:tcPr>
          <w:p w14:paraId="260EA659" w14:textId="77777777" w:rsidR="0006793C" w:rsidRPr="0013396E" w:rsidRDefault="0006793C" w:rsidP="0099759E">
            <w:pPr>
              <w:pStyle w:val="TableBody"/>
              <w:rPr>
                <w:i/>
              </w:rPr>
            </w:pPr>
            <w:r w:rsidRPr="0013396E">
              <w:rPr>
                <w:i/>
              </w:rPr>
              <w:t>p</w:t>
            </w:r>
          </w:p>
        </w:tc>
        <w:tc>
          <w:tcPr>
            <w:tcW w:w="1459" w:type="dxa"/>
          </w:tcPr>
          <w:p w14:paraId="1B10763B" w14:textId="77777777" w:rsidR="0006793C" w:rsidRPr="0013396E" w:rsidRDefault="0006793C" w:rsidP="0099759E">
            <w:pPr>
              <w:pStyle w:val="TableBody"/>
            </w:pPr>
            <w:r w:rsidRPr="0013396E">
              <w:t>none</w:t>
            </w:r>
          </w:p>
        </w:tc>
        <w:tc>
          <w:tcPr>
            <w:tcW w:w="5942" w:type="dxa"/>
          </w:tcPr>
          <w:p w14:paraId="61947D5D" w14:textId="77777777" w:rsidR="0006793C" w:rsidRPr="0013396E" w:rsidRDefault="0006793C" w:rsidP="0099759E">
            <w:pPr>
              <w:pStyle w:val="TableBody"/>
            </w:pPr>
            <w:r w:rsidRPr="0013396E">
              <w:t>A Settlement Point.</w:t>
            </w:r>
          </w:p>
        </w:tc>
      </w:tr>
      <w:tr w:rsidR="0006793C" w:rsidRPr="0013396E" w14:paraId="5D3A6A0A" w14:textId="77777777" w:rsidTr="0099759E">
        <w:trPr>
          <w:cantSplit/>
        </w:trPr>
        <w:tc>
          <w:tcPr>
            <w:tcW w:w="2428" w:type="dxa"/>
          </w:tcPr>
          <w:p w14:paraId="70BCDCF7" w14:textId="77777777" w:rsidR="0006793C" w:rsidRPr="0013396E" w:rsidRDefault="0006793C" w:rsidP="0099759E">
            <w:pPr>
              <w:pStyle w:val="TableBody"/>
              <w:tabs>
                <w:tab w:val="right" w:pos="9360"/>
              </w:tabs>
              <w:rPr>
                <w:i/>
              </w:rPr>
            </w:pPr>
            <w:r w:rsidRPr="0013396E">
              <w:rPr>
                <w:i/>
              </w:rPr>
              <w:t>r</w:t>
            </w:r>
          </w:p>
        </w:tc>
        <w:tc>
          <w:tcPr>
            <w:tcW w:w="1459" w:type="dxa"/>
          </w:tcPr>
          <w:p w14:paraId="1875D782" w14:textId="77777777" w:rsidR="0006793C" w:rsidRPr="0013396E" w:rsidRDefault="0006793C" w:rsidP="0099759E">
            <w:pPr>
              <w:pStyle w:val="TableBody"/>
              <w:tabs>
                <w:tab w:val="right" w:pos="9360"/>
              </w:tabs>
            </w:pPr>
            <w:r w:rsidRPr="0013396E">
              <w:t>none</w:t>
            </w:r>
          </w:p>
        </w:tc>
        <w:tc>
          <w:tcPr>
            <w:tcW w:w="5942" w:type="dxa"/>
          </w:tcPr>
          <w:p w14:paraId="7BD95FBA" w14:textId="77777777" w:rsidR="0006793C" w:rsidRPr="0013396E" w:rsidRDefault="0006793C" w:rsidP="0099759E">
            <w:pPr>
              <w:pStyle w:val="TableBody"/>
              <w:tabs>
                <w:tab w:val="right" w:pos="9360"/>
              </w:tabs>
              <w:rPr>
                <w:lang w:val="fr-FR"/>
              </w:rPr>
            </w:pPr>
            <w:r w:rsidRPr="0013396E">
              <w:rPr>
                <w:lang w:val="fr-FR"/>
              </w:rPr>
              <w:t>A non-exempt Generation Resource.</w:t>
            </w:r>
          </w:p>
        </w:tc>
      </w:tr>
      <w:tr w:rsidR="0006793C" w:rsidRPr="0013396E" w14:paraId="096E3738" w14:textId="77777777" w:rsidTr="0099759E">
        <w:trPr>
          <w:cantSplit/>
        </w:trPr>
        <w:tc>
          <w:tcPr>
            <w:tcW w:w="2428" w:type="dxa"/>
            <w:tcBorders>
              <w:top w:val="single" w:sz="4" w:space="0" w:color="auto"/>
              <w:left w:val="single" w:sz="4" w:space="0" w:color="auto"/>
              <w:bottom w:val="single" w:sz="4" w:space="0" w:color="auto"/>
              <w:right w:val="single" w:sz="4" w:space="0" w:color="auto"/>
            </w:tcBorders>
          </w:tcPr>
          <w:p w14:paraId="2502EB0F" w14:textId="77777777" w:rsidR="0006793C" w:rsidRPr="0013396E" w:rsidRDefault="0006793C" w:rsidP="0099759E">
            <w:pPr>
              <w:pStyle w:val="TableBody"/>
              <w:rPr>
                <w:i/>
              </w:rPr>
            </w:pPr>
            <w:r w:rsidRPr="0013396E">
              <w:rPr>
                <w:i/>
              </w:rPr>
              <w:t xml:space="preserve">y </w:t>
            </w:r>
          </w:p>
        </w:tc>
        <w:tc>
          <w:tcPr>
            <w:tcW w:w="1459" w:type="dxa"/>
            <w:tcBorders>
              <w:top w:val="single" w:sz="4" w:space="0" w:color="auto"/>
              <w:left w:val="single" w:sz="4" w:space="0" w:color="auto"/>
              <w:bottom w:val="single" w:sz="4" w:space="0" w:color="auto"/>
              <w:right w:val="single" w:sz="4" w:space="0" w:color="auto"/>
            </w:tcBorders>
          </w:tcPr>
          <w:p w14:paraId="7C0067BA" w14:textId="77777777" w:rsidR="0006793C" w:rsidRPr="0013396E" w:rsidRDefault="0006793C" w:rsidP="0099759E">
            <w:pPr>
              <w:pStyle w:val="TableBody"/>
            </w:pPr>
            <w:r w:rsidRPr="0013396E">
              <w:t>none</w:t>
            </w:r>
          </w:p>
        </w:tc>
        <w:tc>
          <w:tcPr>
            <w:tcW w:w="5942" w:type="dxa"/>
            <w:tcBorders>
              <w:top w:val="single" w:sz="4" w:space="0" w:color="auto"/>
              <w:left w:val="single" w:sz="4" w:space="0" w:color="auto"/>
              <w:bottom w:val="single" w:sz="4" w:space="0" w:color="auto"/>
              <w:right w:val="single" w:sz="4" w:space="0" w:color="auto"/>
            </w:tcBorders>
          </w:tcPr>
          <w:p w14:paraId="36983D23" w14:textId="77777777" w:rsidR="0006793C" w:rsidRPr="0013396E" w:rsidRDefault="0006793C" w:rsidP="0099759E">
            <w:pPr>
              <w:pStyle w:val="TableBody"/>
            </w:pPr>
            <w:r w:rsidRPr="0013396E">
              <w:t xml:space="preserve">A five-minute clock interval in the Settlement Interval. </w:t>
            </w:r>
          </w:p>
        </w:tc>
      </w:tr>
      <w:tr w:rsidR="0006793C" w:rsidRPr="0013396E" w14:paraId="65C3DCB4" w14:textId="77777777" w:rsidTr="0099759E">
        <w:trPr>
          <w:cantSplit/>
        </w:trPr>
        <w:tc>
          <w:tcPr>
            <w:tcW w:w="2428" w:type="dxa"/>
            <w:tcBorders>
              <w:top w:val="single" w:sz="4" w:space="0" w:color="auto"/>
              <w:left w:val="single" w:sz="4" w:space="0" w:color="auto"/>
              <w:bottom w:val="single" w:sz="4" w:space="0" w:color="auto"/>
              <w:right w:val="single" w:sz="4" w:space="0" w:color="auto"/>
            </w:tcBorders>
          </w:tcPr>
          <w:p w14:paraId="6449081A" w14:textId="77777777" w:rsidR="0006793C" w:rsidRPr="0013396E" w:rsidDel="00714336" w:rsidRDefault="0006793C" w:rsidP="0099759E">
            <w:pPr>
              <w:pStyle w:val="TableBody"/>
              <w:rPr>
                <w:i/>
              </w:rPr>
            </w:pPr>
            <w:r w:rsidRPr="0013396E">
              <w:rPr>
                <w:i/>
              </w:rPr>
              <w:t>i</w:t>
            </w:r>
          </w:p>
        </w:tc>
        <w:tc>
          <w:tcPr>
            <w:tcW w:w="1459" w:type="dxa"/>
            <w:tcBorders>
              <w:top w:val="single" w:sz="4" w:space="0" w:color="auto"/>
              <w:left w:val="single" w:sz="4" w:space="0" w:color="auto"/>
              <w:bottom w:val="single" w:sz="4" w:space="0" w:color="auto"/>
              <w:right w:val="single" w:sz="4" w:space="0" w:color="auto"/>
            </w:tcBorders>
          </w:tcPr>
          <w:p w14:paraId="60C8C674" w14:textId="77777777" w:rsidR="0006793C" w:rsidRPr="0013396E" w:rsidDel="00714336" w:rsidRDefault="0006793C" w:rsidP="0099759E">
            <w:pPr>
              <w:pStyle w:val="TableBody"/>
            </w:pPr>
            <w:r w:rsidRPr="0013396E">
              <w:t>none</w:t>
            </w:r>
          </w:p>
        </w:tc>
        <w:tc>
          <w:tcPr>
            <w:tcW w:w="5942" w:type="dxa"/>
            <w:tcBorders>
              <w:top w:val="single" w:sz="4" w:space="0" w:color="auto"/>
              <w:left w:val="single" w:sz="4" w:space="0" w:color="auto"/>
              <w:bottom w:val="single" w:sz="4" w:space="0" w:color="auto"/>
              <w:right w:val="single" w:sz="4" w:space="0" w:color="auto"/>
            </w:tcBorders>
          </w:tcPr>
          <w:p w14:paraId="11723765" w14:textId="77777777" w:rsidR="0006793C" w:rsidRPr="0013396E" w:rsidDel="00714336" w:rsidRDefault="0006793C" w:rsidP="0099759E">
            <w:pPr>
              <w:pStyle w:val="TableBody"/>
            </w:pPr>
            <w:r w:rsidRPr="0013396E">
              <w:t>A 15-minute Settlement Interval.</w:t>
            </w:r>
          </w:p>
        </w:tc>
      </w:tr>
      <w:tr w:rsidR="0006793C" w:rsidRPr="0013396E" w14:paraId="3DFBEEA1" w14:textId="77777777" w:rsidTr="0099759E">
        <w:trPr>
          <w:cantSplit/>
        </w:trPr>
        <w:tc>
          <w:tcPr>
            <w:tcW w:w="2428" w:type="dxa"/>
            <w:tcBorders>
              <w:top w:val="single" w:sz="4" w:space="0" w:color="auto"/>
              <w:left w:val="single" w:sz="4" w:space="0" w:color="auto"/>
              <w:bottom w:val="single" w:sz="4" w:space="0" w:color="auto"/>
              <w:right w:val="single" w:sz="4" w:space="0" w:color="auto"/>
            </w:tcBorders>
          </w:tcPr>
          <w:p w14:paraId="25F6DC61" w14:textId="77777777" w:rsidR="0006793C" w:rsidRPr="0013396E" w:rsidRDefault="0006793C" w:rsidP="0099759E">
            <w:pPr>
              <w:spacing w:after="60"/>
              <w:rPr>
                <w:iCs/>
                <w:sz w:val="20"/>
              </w:rPr>
            </w:pPr>
            <w:r w:rsidRPr="0013396E">
              <w:rPr>
                <w:i/>
                <w:iCs/>
                <w:sz w:val="20"/>
              </w:rPr>
              <w:t>wg</w:t>
            </w:r>
          </w:p>
        </w:tc>
        <w:tc>
          <w:tcPr>
            <w:tcW w:w="1459" w:type="dxa"/>
            <w:tcBorders>
              <w:top w:val="single" w:sz="4" w:space="0" w:color="auto"/>
              <w:left w:val="single" w:sz="4" w:space="0" w:color="auto"/>
              <w:bottom w:val="single" w:sz="4" w:space="0" w:color="auto"/>
              <w:right w:val="single" w:sz="4" w:space="0" w:color="auto"/>
            </w:tcBorders>
          </w:tcPr>
          <w:p w14:paraId="0A7139CD" w14:textId="77777777" w:rsidR="0006793C" w:rsidRPr="0013396E" w:rsidRDefault="0006793C" w:rsidP="0099759E">
            <w:pPr>
              <w:spacing w:after="60"/>
              <w:rPr>
                <w:iCs/>
                <w:sz w:val="20"/>
              </w:rPr>
            </w:pPr>
            <w:r w:rsidRPr="0013396E">
              <w:rPr>
                <w:iCs/>
                <w:sz w:val="20"/>
              </w:rPr>
              <w:t>none</w:t>
            </w:r>
          </w:p>
        </w:tc>
        <w:tc>
          <w:tcPr>
            <w:tcW w:w="5942" w:type="dxa"/>
            <w:tcBorders>
              <w:top w:val="single" w:sz="4" w:space="0" w:color="auto"/>
              <w:left w:val="single" w:sz="4" w:space="0" w:color="auto"/>
              <w:bottom w:val="single" w:sz="4" w:space="0" w:color="auto"/>
              <w:right w:val="single" w:sz="4" w:space="0" w:color="auto"/>
            </w:tcBorders>
          </w:tcPr>
          <w:p w14:paraId="34C328AB" w14:textId="77777777" w:rsidR="0006793C" w:rsidRPr="0013396E" w:rsidRDefault="0006793C" w:rsidP="0099759E">
            <w:pPr>
              <w:spacing w:after="60"/>
              <w:rPr>
                <w:iCs/>
                <w:sz w:val="20"/>
              </w:rPr>
            </w:pPr>
            <w:r w:rsidRPr="0013396E">
              <w:rPr>
                <w:iCs/>
                <w:sz w:val="20"/>
              </w:rPr>
              <w:t>An IRR Group.</w:t>
            </w:r>
          </w:p>
        </w:tc>
      </w:tr>
      <w:bookmarkEnd w:id="1737"/>
      <w:bookmarkEnd w:id="1738"/>
      <w:bookmarkEnd w:id="1739"/>
      <w:bookmarkEnd w:id="1740"/>
      <w:bookmarkEnd w:id="1741"/>
      <w:bookmarkEnd w:id="1742"/>
      <w:bookmarkEnd w:id="1743"/>
      <w:bookmarkEnd w:id="1744"/>
      <w:bookmarkEnd w:id="1745"/>
      <w:bookmarkEnd w:id="1746"/>
      <w:bookmarkEnd w:id="1747"/>
      <w:bookmarkEnd w:id="1748"/>
      <w:bookmarkEnd w:id="1749"/>
    </w:tbl>
    <w:p w14:paraId="73FB311C" w14:textId="77777777" w:rsidR="00E21852" w:rsidRPr="0013396E" w:rsidRDefault="00E21852"/>
    <w:tbl>
      <w:tblPr>
        <w:tblW w:w="98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55"/>
      </w:tblGrid>
      <w:tr w:rsidR="00E21852" w:rsidRPr="0013396E" w14:paraId="58C8C9FF" w14:textId="72232574" w:rsidTr="000F78EE">
        <w:tc>
          <w:tcPr>
            <w:tcW w:w="9829" w:type="dxa"/>
            <w:tcBorders>
              <w:top w:val="single" w:sz="4" w:space="0" w:color="auto"/>
              <w:left w:val="single" w:sz="4" w:space="0" w:color="auto"/>
              <w:bottom w:val="single" w:sz="4" w:space="0" w:color="auto"/>
              <w:right w:val="single" w:sz="4" w:space="0" w:color="auto"/>
            </w:tcBorders>
            <w:shd w:val="pct12" w:color="auto" w:fill="auto"/>
          </w:tcPr>
          <w:p w14:paraId="0A51A145" w14:textId="4BF3558C" w:rsidR="00E21852" w:rsidRPr="0013396E" w:rsidRDefault="00E21852" w:rsidP="00AB2BB6">
            <w:pPr>
              <w:pStyle w:val="Instructions"/>
              <w:spacing w:before="120"/>
            </w:pPr>
            <w:bookmarkStart w:id="1750" w:name="_Toc402357152"/>
            <w:bookmarkStart w:id="1751" w:name="_Toc422486532"/>
            <w:bookmarkStart w:id="1752" w:name="_Toc433093385"/>
            <w:bookmarkStart w:id="1753" w:name="_Toc433093543"/>
            <w:bookmarkStart w:id="1754" w:name="_Toc440874773"/>
            <w:bookmarkStart w:id="1755" w:name="_Toc448142330"/>
            <w:bookmarkStart w:id="1756" w:name="_Toc448142487"/>
            <w:bookmarkStart w:id="1757" w:name="_Toc458770328"/>
            <w:bookmarkStart w:id="1758" w:name="_Toc459294296"/>
            <w:bookmarkStart w:id="1759" w:name="_Toc463262789"/>
            <w:bookmarkStart w:id="1760" w:name="_Toc468286862"/>
            <w:bookmarkStart w:id="1761" w:name="_Toc481502902"/>
            <w:bookmarkStart w:id="1762" w:name="_Toc496080070"/>
            <w:r w:rsidRPr="0013396E">
              <w:t>[NPRR879</w:t>
            </w:r>
            <w:r w:rsidR="000F78EE">
              <w:t xml:space="preserve"> and</w:t>
            </w:r>
            <w:r w:rsidRPr="0013396E">
              <w:t xml:space="preserve"> NPRR963:  Replace applicable portions of Section 6.6.5.</w:t>
            </w:r>
            <w:r w:rsidR="000F78EE">
              <w:t>2</w:t>
            </w:r>
            <w:r w:rsidRPr="0013396E">
              <w:t xml:space="preserve"> above with the following upon system implementation:]</w:t>
            </w:r>
          </w:p>
          <w:p w14:paraId="61999CE9" w14:textId="773BC74C" w:rsidR="00E21852" w:rsidRPr="00576B1F" w:rsidRDefault="00E21852" w:rsidP="00576B1F">
            <w:pPr>
              <w:pStyle w:val="H3"/>
              <w:outlineLvl w:val="3"/>
              <w:rPr>
                <w:i w:val="0"/>
                <w:lang w:val="fr-FR"/>
              </w:rPr>
            </w:pPr>
            <w:bookmarkStart w:id="1763" w:name="_Toc60040691"/>
            <w:bookmarkStart w:id="1764" w:name="_Toc65151750"/>
            <w:bookmarkStart w:id="1765" w:name="_Toc80174776"/>
            <w:bookmarkStart w:id="1766" w:name="_Toc112417656"/>
            <w:bookmarkStart w:id="1767" w:name="_Toc119310325"/>
            <w:bookmarkStart w:id="1768" w:name="_Toc125966258"/>
            <w:bookmarkStart w:id="1769" w:name="_Toc135992356"/>
            <w:bookmarkStart w:id="1770" w:name="_Toc170303552"/>
            <w:bookmarkStart w:id="1771" w:name="_Toc175157456"/>
            <w:bookmarkStart w:id="1772" w:name="_Toc214878981"/>
            <w:r w:rsidRPr="00576B1F">
              <w:rPr>
                <w:i w:val="0"/>
                <w:lang w:val="fr-FR"/>
              </w:rPr>
              <w:t>6.6.5.2</w:t>
            </w:r>
            <w:r w:rsidRPr="00576B1F">
              <w:rPr>
                <w:i w:val="0"/>
                <w:lang w:val="fr-FR"/>
              </w:rPr>
              <w:tab/>
            </w:r>
            <w:r w:rsidR="005F232E" w:rsidRPr="00576B1F">
              <w:rPr>
                <w:i w:val="0"/>
                <w:lang w:val="fr-FR"/>
              </w:rPr>
              <w:t>Set</w:t>
            </w:r>
            <w:r w:rsidRPr="00576B1F">
              <w:rPr>
                <w:i w:val="0"/>
                <w:lang w:val="fr-FR"/>
              </w:rPr>
              <w:t xml:space="preserve"> Point Deviation Charge for Over Generation</w:t>
            </w:r>
            <w:bookmarkEnd w:id="1763"/>
            <w:bookmarkEnd w:id="1764"/>
            <w:bookmarkEnd w:id="1765"/>
            <w:bookmarkEnd w:id="1766"/>
            <w:bookmarkEnd w:id="1767"/>
            <w:bookmarkEnd w:id="1768"/>
            <w:bookmarkEnd w:id="1769"/>
            <w:bookmarkEnd w:id="1770"/>
            <w:bookmarkEnd w:id="1771"/>
            <w:bookmarkEnd w:id="1772"/>
          </w:p>
          <w:p w14:paraId="5D258C95" w14:textId="5C982B6B" w:rsidR="00E21852" w:rsidRPr="0013396E" w:rsidRDefault="00E21852" w:rsidP="00E21852">
            <w:pPr>
              <w:pStyle w:val="BodyTextNumbered"/>
            </w:pPr>
            <w:r w:rsidRPr="0013396E">
              <w:t>(1)</w:t>
            </w:r>
            <w:r w:rsidRPr="0013396E">
              <w:tab/>
              <w:t xml:space="preserve">ERCOT shall charge a QSE for a Generation Resource, including an Intermittent Renewable Resource (IRR) </w:t>
            </w:r>
            <w:r w:rsidR="005F232E" w:rsidRPr="0013396E">
              <w:t>with</w:t>
            </w:r>
            <w:r w:rsidRPr="0013396E">
              <w:t xml:space="preserve"> an Ancillary Service </w:t>
            </w:r>
            <w:r w:rsidR="005F232E" w:rsidRPr="0013396E">
              <w:t>award</w:t>
            </w:r>
            <w:r w:rsidRPr="0013396E">
              <w:t xml:space="preserve"> for at least one SCED interval within the 15-minute Settlement Interval, for over-generation that exceeds the following tolerance.  The tolerance is the greater of:</w:t>
            </w:r>
          </w:p>
          <w:p w14:paraId="048F063A" w14:textId="5221D08B" w:rsidR="00E21852" w:rsidRPr="0013396E" w:rsidRDefault="00E21852" w:rsidP="00E21852">
            <w:pPr>
              <w:pStyle w:val="BodyTextNumbered"/>
              <w:ind w:left="1440"/>
            </w:pPr>
            <w:r w:rsidRPr="0013396E">
              <w:t>(a)</w:t>
            </w:r>
            <w:r w:rsidRPr="0013396E">
              <w:tab/>
              <w:t xml:space="preserve">5% of the </w:t>
            </w:r>
            <w:r w:rsidR="005F232E" w:rsidRPr="0013396E">
              <w:t>AASP</w:t>
            </w:r>
            <w:r w:rsidRPr="0013396E">
              <w:t xml:space="preserve"> in the Settlement Interval; or</w:t>
            </w:r>
          </w:p>
          <w:p w14:paraId="7DEE873A" w14:textId="1DD84C50" w:rsidR="00E21852" w:rsidRPr="0013396E" w:rsidRDefault="00E21852" w:rsidP="00E21852">
            <w:pPr>
              <w:pStyle w:val="BodyTextNumbered"/>
              <w:ind w:left="1440"/>
            </w:pPr>
            <w:r w:rsidRPr="0013396E">
              <w:t>(b)</w:t>
            </w:r>
            <w:r w:rsidRPr="0013396E">
              <w:tab/>
              <w:t xml:space="preserve">Five MW above the </w:t>
            </w:r>
            <w:r w:rsidR="005F232E" w:rsidRPr="0013396E">
              <w:t>AASP</w:t>
            </w:r>
            <w:r w:rsidRPr="0013396E">
              <w:t xml:space="preserve"> in the Settlement Interval. </w:t>
            </w:r>
          </w:p>
          <w:p w14:paraId="42C6CA0F" w14:textId="4DB5A300" w:rsidR="00E21852" w:rsidRPr="0013396E" w:rsidRDefault="00E21852" w:rsidP="00E21852">
            <w:pPr>
              <w:pStyle w:val="BodyTextNumbered"/>
            </w:pPr>
            <w:r w:rsidRPr="0013396E">
              <w:rPr>
                <w:iCs/>
              </w:rPr>
              <w:lastRenderedPageBreak/>
              <w:t>(2)</w:t>
            </w:r>
            <w:r w:rsidRPr="0013396E">
              <w:rPr>
                <w:iCs/>
              </w:rPr>
              <w:tab/>
              <w:t xml:space="preserve">For instances in which an IRR </w:t>
            </w:r>
            <w:r w:rsidR="005F232E" w:rsidRPr="0013396E">
              <w:rPr>
                <w:iCs/>
              </w:rPr>
              <w:t>has not received</w:t>
            </w:r>
            <w:r w:rsidRPr="0013396E">
              <w:rPr>
                <w:iCs/>
              </w:rPr>
              <w:t xml:space="preserve"> an Ancillary Service </w:t>
            </w:r>
            <w:r w:rsidR="005F232E" w:rsidRPr="0013396E">
              <w:rPr>
                <w:iCs/>
              </w:rPr>
              <w:t>award</w:t>
            </w:r>
            <w:r w:rsidRPr="0013396E">
              <w:rPr>
                <w:iCs/>
              </w:rPr>
              <w:t xml:space="preserve"> or is </w:t>
            </w:r>
            <w:r w:rsidR="005F232E" w:rsidRPr="0013396E">
              <w:rPr>
                <w:iCs/>
              </w:rPr>
              <w:t xml:space="preserve">not </w:t>
            </w:r>
            <w:r w:rsidRPr="0013396E">
              <w:rPr>
                <w:iCs/>
              </w:rPr>
              <w:t xml:space="preserve">part of an IRR Group in which </w:t>
            </w:r>
            <w:r w:rsidR="005F232E" w:rsidRPr="0013396E">
              <w:rPr>
                <w:iCs/>
              </w:rPr>
              <w:t>an</w:t>
            </w:r>
            <w:r w:rsidRPr="0013396E">
              <w:rPr>
                <w:iCs/>
              </w:rPr>
              <w:t xml:space="preserve"> IRR </w:t>
            </w:r>
            <w:r w:rsidR="005F232E" w:rsidRPr="0013396E">
              <w:rPr>
                <w:iCs/>
              </w:rPr>
              <w:t>receives</w:t>
            </w:r>
            <w:r w:rsidRPr="0013396E">
              <w:rPr>
                <w:iCs/>
              </w:rPr>
              <w:t xml:space="preserve"> an Ancillary </w:t>
            </w:r>
            <w:r w:rsidRPr="0013396E">
              <w:t>Service</w:t>
            </w:r>
            <w:r w:rsidRPr="0013396E">
              <w:rPr>
                <w:iCs/>
              </w:rPr>
              <w:t xml:space="preserve"> </w:t>
            </w:r>
            <w:r w:rsidR="005F232E" w:rsidRPr="0013396E">
              <w:rPr>
                <w:iCs/>
              </w:rPr>
              <w:t>award</w:t>
            </w:r>
            <w:r w:rsidRPr="0013396E">
              <w:rPr>
                <w:iCs/>
              </w:rPr>
              <w:t xml:space="preserve"> for </w:t>
            </w:r>
            <w:r w:rsidR="005F232E" w:rsidRPr="0013396E">
              <w:rPr>
                <w:iCs/>
              </w:rPr>
              <w:t>any</w:t>
            </w:r>
            <w:r w:rsidRPr="0013396E">
              <w:rPr>
                <w:iCs/>
              </w:rPr>
              <w:t xml:space="preserve"> SCED interval within the 15-minute Settlement Interval, </w:t>
            </w:r>
            <w:r w:rsidR="005F232E" w:rsidRPr="0013396E">
              <w:rPr>
                <w:iCs/>
              </w:rPr>
              <w:t>Set</w:t>
            </w:r>
            <w:r w:rsidRPr="0013396E">
              <w:rPr>
                <w:iCs/>
              </w:rPr>
              <w:t xml:space="preserve"> Point Deviation Charges will be determined per Section 6.6.5.4, IRR Generation Resource </w:t>
            </w:r>
            <w:r w:rsidR="005F232E" w:rsidRPr="0013396E">
              <w:rPr>
                <w:iCs/>
              </w:rPr>
              <w:t>Set</w:t>
            </w:r>
            <w:r w:rsidRPr="0013396E">
              <w:rPr>
                <w:iCs/>
              </w:rPr>
              <w:t xml:space="preserve"> Point Deviation Charge.</w:t>
            </w:r>
          </w:p>
          <w:p w14:paraId="5F428361" w14:textId="3B0D4CB4" w:rsidR="00E21852" w:rsidRPr="0013396E" w:rsidRDefault="00E21852" w:rsidP="00E21852">
            <w:pPr>
              <w:pStyle w:val="BodyTextNumbered"/>
              <w:rPr>
                <w:iCs/>
              </w:rPr>
            </w:pPr>
            <w:r w:rsidRPr="0013396E">
              <w:rPr>
                <w:iCs/>
              </w:rPr>
              <w:t>(3)</w:t>
            </w:r>
            <w:r w:rsidRPr="0013396E">
              <w:rPr>
                <w:iCs/>
              </w:rPr>
              <w:tab/>
              <w:t>The over-generation charge to each QSE for each Generation Resource, that is not part of an IRR Group, at each Resource Node Settlement Point is calculated as follows:</w:t>
            </w:r>
          </w:p>
          <w:p w14:paraId="15B70997" w14:textId="7E19397B" w:rsidR="00E21852" w:rsidRPr="0013396E" w:rsidRDefault="005F232E" w:rsidP="00E21852">
            <w:pPr>
              <w:pStyle w:val="FormulaBold"/>
            </w:pPr>
            <w:r w:rsidRPr="0013396E">
              <w:t>S</w:t>
            </w:r>
            <w:r w:rsidR="00E21852" w:rsidRPr="0013396E">
              <w:t xml:space="preserve">PDAMT </w:t>
            </w:r>
            <w:r w:rsidR="00E21852" w:rsidRPr="0013396E">
              <w:rPr>
                <w:i/>
                <w:iCs/>
                <w:vertAlign w:val="subscript"/>
                <w:lang w:val="es-ES"/>
              </w:rPr>
              <w:t xml:space="preserve">q, r, p, i </w:t>
            </w:r>
            <w:r w:rsidR="00E21852" w:rsidRPr="0013396E">
              <w:tab/>
              <w:t>=</w:t>
            </w:r>
            <w:r w:rsidR="00E21852" w:rsidRPr="0013396E">
              <w:tab/>
              <w:t xml:space="preserve">Max (PR1, RTSPP </w:t>
            </w:r>
            <w:r w:rsidR="00E21852" w:rsidRPr="0013396E">
              <w:rPr>
                <w:i/>
                <w:vertAlign w:val="subscript"/>
              </w:rPr>
              <w:t>p, i</w:t>
            </w:r>
            <w:r w:rsidR="00E21852" w:rsidRPr="0013396E">
              <w:t>) * OGEN</w:t>
            </w:r>
            <w:r w:rsidR="00E21852" w:rsidRPr="0013396E">
              <w:rPr>
                <w:i/>
                <w:iCs/>
                <w:vertAlign w:val="subscript"/>
                <w:lang w:val="es-ES"/>
              </w:rPr>
              <w:t xml:space="preserve"> q, r, p, i </w:t>
            </w:r>
            <w:r w:rsidR="00E21852" w:rsidRPr="0013396E">
              <w:rPr>
                <w:rFonts w:ascii="Times New Roman Bold" w:hAnsi="Times New Roman Bold"/>
                <w:iCs/>
                <w:lang w:val="es-ES"/>
              </w:rPr>
              <w:t xml:space="preserve"> </w:t>
            </w:r>
          </w:p>
          <w:p w14:paraId="29F7A82B" w14:textId="458BE756" w:rsidR="00E21852" w:rsidRPr="0013396E" w:rsidRDefault="00E21852" w:rsidP="00E21852">
            <w:pPr>
              <w:pStyle w:val="FormulaBold"/>
              <w:rPr>
                <w:b w:val="0"/>
              </w:rPr>
            </w:pPr>
            <w:r w:rsidRPr="0013396E">
              <w:rPr>
                <w:b w:val="0"/>
              </w:rPr>
              <w:t>Where:</w:t>
            </w:r>
          </w:p>
          <w:p w14:paraId="1CFB49F2" w14:textId="286D4EB9" w:rsidR="00E21852" w:rsidRPr="0013396E" w:rsidRDefault="00E21852" w:rsidP="00E21852">
            <w:pPr>
              <w:pStyle w:val="FormulaBold"/>
              <w:rPr>
                <w:b w:val="0"/>
                <w:caps/>
              </w:rPr>
            </w:pPr>
            <w:r w:rsidRPr="0013396E">
              <w:rPr>
                <w:b w:val="0"/>
              </w:rPr>
              <w:t>OGEN</w:t>
            </w:r>
            <w:r w:rsidRPr="0013396E">
              <w:rPr>
                <w:b w:val="0"/>
                <w:i/>
                <w:iCs/>
                <w:vertAlign w:val="subscript"/>
                <w:lang w:val="es-ES"/>
              </w:rPr>
              <w:t xml:space="preserve"> q, r, p, i </w:t>
            </w:r>
            <w:r w:rsidRPr="0013396E">
              <w:rPr>
                <w:b w:val="0"/>
              </w:rPr>
              <w:t xml:space="preserve"> = Max [0, (TWTG </w:t>
            </w:r>
            <w:r w:rsidRPr="0013396E">
              <w:rPr>
                <w:b w:val="0"/>
                <w:i/>
                <w:iCs/>
                <w:vertAlign w:val="subscript"/>
                <w:lang w:val="es-ES"/>
              </w:rPr>
              <w:t xml:space="preserve">q, r, p, i </w:t>
            </w:r>
            <w:r w:rsidRPr="0013396E">
              <w:rPr>
                <w:b w:val="0"/>
              </w:rPr>
              <w:t xml:space="preserve"> – ¼ * Max (((1 + K1) * AA</w:t>
            </w:r>
            <w:r w:rsidR="005F232E" w:rsidRPr="0013396E">
              <w:rPr>
                <w:b w:val="0"/>
              </w:rPr>
              <w:t>S</w:t>
            </w:r>
            <w:r w:rsidRPr="0013396E">
              <w:rPr>
                <w:b w:val="0"/>
              </w:rPr>
              <w:t>P</w:t>
            </w:r>
            <w:r w:rsidRPr="0013396E">
              <w:rPr>
                <w:b w:val="0"/>
                <w:i/>
                <w:iCs/>
                <w:vertAlign w:val="subscript"/>
                <w:lang w:val="es-ES"/>
              </w:rPr>
              <w:t xml:space="preserve"> q, r, p, i</w:t>
            </w:r>
            <w:r w:rsidRPr="0013396E">
              <w:rPr>
                <w:rFonts w:ascii="Times New Roman Bold" w:hAnsi="Times New Roman Bold"/>
                <w:b w:val="0"/>
                <w:iCs/>
                <w:lang w:val="es-ES"/>
              </w:rPr>
              <w:t>)</w:t>
            </w:r>
            <w:r w:rsidRPr="0013396E">
              <w:rPr>
                <w:b w:val="0"/>
              </w:rPr>
              <w:t>, (AA</w:t>
            </w:r>
            <w:r w:rsidR="005F232E" w:rsidRPr="0013396E">
              <w:rPr>
                <w:b w:val="0"/>
              </w:rPr>
              <w:t>S</w:t>
            </w:r>
            <w:r w:rsidRPr="0013396E">
              <w:rPr>
                <w:b w:val="0"/>
              </w:rPr>
              <w:t>P</w:t>
            </w:r>
            <w:r w:rsidRPr="0013396E">
              <w:rPr>
                <w:b w:val="0"/>
                <w:i/>
                <w:iCs/>
                <w:vertAlign w:val="subscript"/>
                <w:lang w:val="es-ES"/>
              </w:rPr>
              <w:t xml:space="preserve"> q, r, p, i </w:t>
            </w:r>
            <w:r w:rsidRPr="0013396E">
              <w:rPr>
                <w:b w:val="0"/>
              </w:rPr>
              <w:t>+ Q1)))]</w:t>
            </w:r>
          </w:p>
          <w:p w14:paraId="6F5097F6" w14:textId="72404691" w:rsidR="00E21852" w:rsidRPr="0013396E" w:rsidRDefault="00E21852" w:rsidP="00E21852">
            <w:pPr>
              <w:pStyle w:val="BodyTextNumbered"/>
              <w:ind w:left="1440"/>
            </w:pPr>
            <w:r w:rsidRPr="0013396E">
              <w:t>TWTG</w:t>
            </w:r>
            <w:r w:rsidRPr="0013396E">
              <w:rPr>
                <w:i/>
                <w:vertAlign w:val="subscript"/>
              </w:rPr>
              <w:t xml:space="preserve"> q, r, p, i</w:t>
            </w:r>
            <w:r w:rsidRPr="0013396E">
              <w:rPr>
                <w:i/>
                <w:vertAlign w:val="subscript"/>
              </w:rPr>
              <w:tab/>
              <w:t>=</w:t>
            </w:r>
            <w:r w:rsidRPr="0013396E">
              <w:rPr>
                <w:i/>
                <w:vertAlign w:val="subscript"/>
              </w:rPr>
              <w:tab/>
            </w:r>
            <w:r w:rsidRPr="0013396E">
              <w:t>(</w:t>
            </w:r>
            <w:r w:rsidRPr="0013396E">
              <w:rPr>
                <w:position w:val="-22"/>
              </w:rPr>
              <w:object w:dxaOrig="210" w:dyaOrig="450" w14:anchorId="65C0AF23">
                <v:shape id="_x0000_i1148" type="#_x0000_t75" style="width:6pt;height:24pt" o:ole="">
                  <v:imagedata r:id="rId176" o:title=""/>
                </v:shape>
                <o:OLEObject Type="Embed" ProgID="Equation.3" ShapeID="_x0000_i1148" DrawAspect="Content" ObjectID="_1836311427" r:id="rId179"/>
              </w:object>
            </w:r>
            <w:r w:rsidRPr="0013396E">
              <w:t xml:space="preserve"> (AVGTG5M</w:t>
            </w:r>
            <w:r w:rsidRPr="0013396E">
              <w:rPr>
                <w:i/>
                <w:vertAlign w:val="subscript"/>
              </w:rPr>
              <w:t xml:space="preserve"> q, r, p, i, y</w:t>
            </w:r>
            <w:r w:rsidRPr="0013396E">
              <w:t>)</w:t>
            </w:r>
            <w:r w:rsidRPr="0013396E">
              <w:rPr>
                <w:rFonts w:ascii="Times New Roman Bold" w:hAnsi="Times New Roman Bold"/>
              </w:rPr>
              <w:t xml:space="preserve"> / </w:t>
            </w:r>
            <w:r w:rsidRPr="0013396E">
              <w:t>3)</w:t>
            </w:r>
            <w:r w:rsidRPr="0013396E">
              <w:rPr>
                <w:rFonts w:ascii="Times New Roman Bold" w:hAnsi="Times New Roman Bold"/>
              </w:rPr>
              <w:t xml:space="preserve"> </w:t>
            </w:r>
            <w:r w:rsidRPr="0013396E">
              <w:t>*</w:t>
            </w:r>
            <w:r w:rsidRPr="0013396E">
              <w:rPr>
                <w:rFonts w:ascii="Times New Roman Bold" w:hAnsi="Times New Roman Bold"/>
              </w:rPr>
              <w:t xml:space="preserve"> </w:t>
            </w:r>
            <w:r w:rsidRPr="0013396E">
              <w:rPr>
                <w:rFonts w:hint="eastAsia"/>
              </w:rPr>
              <w:t>¼</w:t>
            </w:r>
          </w:p>
          <w:p w14:paraId="01E2AA6A" w14:textId="48E83338" w:rsidR="00E21852" w:rsidRPr="0013396E" w:rsidRDefault="00E21852" w:rsidP="00E21852">
            <w:pPr>
              <w:spacing w:after="240"/>
              <w:ind w:left="720" w:hanging="720"/>
              <w:rPr>
                <w:lang w:val="pt-BR"/>
              </w:rPr>
            </w:pPr>
            <w:r w:rsidRPr="0013396E">
              <w:rPr>
                <w:iCs/>
              </w:rPr>
              <w:t>(4)</w:t>
            </w:r>
            <w:r w:rsidRPr="0013396E">
              <w:rPr>
                <w:iCs/>
              </w:rPr>
              <w:tab/>
            </w:r>
            <w:r w:rsidRPr="0013396E">
              <w:rPr>
                <w:lang w:val="pt-BR"/>
              </w:rPr>
              <w:t xml:space="preserve">If any IRR in an IRR Group is </w:t>
            </w:r>
            <w:r w:rsidR="005F232E" w:rsidRPr="0013396E">
              <w:rPr>
                <w:lang w:val="pt-BR"/>
              </w:rPr>
              <w:t>awarded</w:t>
            </w:r>
            <w:r w:rsidRPr="0013396E">
              <w:rPr>
                <w:lang w:val="pt-BR"/>
              </w:rPr>
              <w:t xml:space="preserve"> Ancillary Service</w:t>
            </w:r>
            <w:r w:rsidR="005F232E" w:rsidRPr="0013396E">
              <w:rPr>
                <w:lang w:val="pt-BR"/>
              </w:rPr>
              <w:t>s</w:t>
            </w:r>
            <w:r w:rsidRPr="0013396E">
              <w:rPr>
                <w:lang w:val="pt-BR"/>
              </w:rPr>
              <w:t xml:space="preserve"> for at least one SCED interval within the 15-minute Settlement Interval, then the deviation penalty is determined for the IRR Group and evenly allocated and charged to each IRR within that IRR Group as follows:</w:t>
            </w:r>
          </w:p>
          <w:p w14:paraId="6FB0434D" w14:textId="101BFA4F" w:rsidR="00E21852" w:rsidRPr="0013396E" w:rsidRDefault="005F232E" w:rsidP="00E21852">
            <w:pPr>
              <w:pStyle w:val="FormulaBold"/>
            </w:pPr>
            <w:r w:rsidRPr="0013396E">
              <w:t>S</w:t>
            </w:r>
            <w:r w:rsidR="00E21852" w:rsidRPr="0013396E">
              <w:t xml:space="preserve">PDAMT </w:t>
            </w:r>
            <w:r w:rsidR="00E21852" w:rsidRPr="0013396E">
              <w:rPr>
                <w:i/>
                <w:iCs/>
                <w:vertAlign w:val="subscript"/>
                <w:lang w:val="es-ES"/>
              </w:rPr>
              <w:t xml:space="preserve">q, r, p, i        </w:t>
            </w:r>
            <w:r w:rsidR="00E21852" w:rsidRPr="0013396E">
              <w:t xml:space="preserve">=      Max (PR1, RTSPP </w:t>
            </w:r>
            <w:r w:rsidR="00E21852" w:rsidRPr="0013396E">
              <w:rPr>
                <w:i/>
                <w:vertAlign w:val="subscript"/>
              </w:rPr>
              <w:t>p, i</w:t>
            </w:r>
            <w:r w:rsidR="00E21852" w:rsidRPr="0013396E">
              <w:t>) * OGEN</w:t>
            </w:r>
            <w:r w:rsidR="00E21852" w:rsidRPr="0013396E">
              <w:rPr>
                <w:i/>
                <w:iCs/>
                <w:vertAlign w:val="subscript"/>
                <w:lang w:val="es-ES"/>
              </w:rPr>
              <w:t xml:space="preserve"> q, r, p, i </w:t>
            </w:r>
            <w:r w:rsidR="00E21852" w:rsidRPr="0013396E">
              <w:rPr>
                <w:rFonts w:ascii="Times New Roman Bold" w:hAnsi="Times New Roman Bold"/>
                <w:iCs/>
                <w:lang w:val="es-ES"/>
              </w:rPr>
              <w:t xml:space="preserve"> </w:t>
            </w:r>
          </w:p>
          <w:p w14:paraId="5812D3EA" w14:textId="6D11045A" w:rsidR="00E21852" w:rsidRPr="0013396E" w:rsidRDefault="00E21852" w:rsidP="00E21852">
            <w:pPr>
              <w:pStyle w:val="FormulaBold"/>
              <w:rPr>
                <w:b w:val="0"/>
              </w:rPr>
            </w:pPr>
            <w:r w:rsidRPr="0013396E">
              <w:rPr>
                <w:b w:val="0"/>
              </w:rPr>
              <w:t>Where:</w:t>
            </w:r>
          </w:p>
          <w:p w14:paraId="65589AFC" w14:textId="46D23CA3" w:rsidR="00E21852" w:rsidRPr="0013396E" w:rsidRDefault="00E21852" w:rsidP="00E21852">
            <w:pPr>
              <w:pStyle w:val="FormulaBold"/>
              <w:spacing w:after="120"/>
              <w:rPr>
                <w:b w:val="0"/>
              </w:rPr>
            </w:pPr>
            <w:r w:rsidRPr="0013396E">
              <w:rPr>
                <w:b w:val="0"/>
              </w:rPr>
              <w:t>OGEN</w:t>
            </w:r>
            <w:r w:rsidRPr="0013396E">
              <w:rPr>
                <w:b w:val="0"/>
                <w:i/>
                <w:iCs/>
                <w:vertAlign w:val="subscript"/>
                <w:lang w:val="es-ES"/>
              </w:rPr>
              <w:t xml:space="preserve"> q, r, p, i </w:t>
            </w:r>
            <w:r w:rsidRPr="0013396E">
              <w:rPr>
                <w:b w:val="0"/>
              </w:rPr>
              <w:t xml:space="preserve"> = Max [0, (TWTG </w:t>
            </w:r>
            <w:r w:rsidRPr="0013396E">
              <w:rPr>
                <w:b w:val="0"/>
                <w:i/>
                <w:iCs/>
                <w:vertAlign w:val="subscript"/>
                <w:lang w:val="es-ES"/>
              </w:rPr>
              <w:t xml:space="preserve">q, wg, p, i </w:t>
            </w:r>
            <w:r w:rsidRPr="0013396E">
              <w:rPr>
                <w:b w:val="0"/>
              </w:rPr>
              <w:t xml:space="preserve"> – ¼ * Max (((1 + K1) * AA</w:t>
            </w:r>
            <w:r w:rsidR="005F232E" w:rsidRPr="0013396E">
              <w:rPr>
                <w:b w:val="0"/>
              </w:rPr>
              <w:t>S</w:t>
            </w:r>
            <w:r w:rsidRPr="0013396E">
              <w:rPr>
                <w:b w:val="0"/>
              </w:rPr>
              <w:t>P</w:t>
            </w:r>
            <w:r w:rsidRPr="0013396E">
              <w:rPr>
                <w:b w:val="0"/>
                <w:i/>
                <w:iCs/>
                <w:vertAlign w:val="subscript"/>
                <w:lang w:val="es-ES"/>
              </w:rPr>
              <w:t xml:space="preserve"> q, wg, p, i</w:t>
            </w:r>
            <w:r w:rsidRPr="0013396E">
              <w:rPr>
                <w:rFonts w:ascii="Times New Roman Bold" w:hAnsi="Times New Roman Bold"/>
                <w:b w:val="0"/>
                <w:iCs/>
                <w:lang w:val="es-ES"/>
              </w:rPr>
              <w:t>)</w:t>
            </w:r>
            <w:r w:rsidRPr="0013396E">
              <w:rPr>
                <w:b w:val="0"/>
              </w:rPr>
              <w:t xml:space="preserve">, </w:t>
            </w:r>
          </w:p>
          <w:p w14:paraId="133EB3BB" w14:textId="50068B0D" w:rsidR="00E21852" w:rsidRPr="0013396E" w:rsidRDefault="00E21852" w:rsidP="00E21852">
            <w:pPr>
              <w:pStyle w:val="FormulaBold"/>
              <w:rPr>
                <w:b w:val="0"/>
                <w:caps/>
              </w:rPr>
            </w:pPr>
            <w:r w:rsidRPr="0013396E">
              <w:rPr>
                <w:b w:val="0"/>
              </w:rPr>
              <w:tab/>
              <w:t>(AA</w:t>
            </w:r>
            <w:r w:rsidR="005F232E" w:rsidRPr="0013396E">
              <w:rPr>
                <w:b w:val="0"/>
              </w:rPr>
              <w:t>S</w:t>
            </w:r>
            <w:r w:rsidRPr="0013396E">
              <w:rPr>
                <w:b w:val="0"/>
              </w:rPr>
              <w:t>P</w:t>
            </w:r>
            <w:r w:rsidRPr="0013396E">
              <w:rPr>
                <w:b w:val="0"/>
                <w:i/>
                <w:iCs/>
                <w:vertAlign w:val="subscript"/>
                <w:lang w:val="es-ES"/>
              </w:rPr>
              <w:t xml:space="preserve"> q, wg, p, i </w:t>
            </w:r>
            <w:r w:rsidRPr="0013396E">
              <w:rPr>
                <w:b w:val="0"/>
              </w:rPr>
              <w:t>+ Q1)))] / N</w:t>
            </w:r>
          </w:p>
          <w:p w14:paraId="6781BBE9" w14:textId="57AAB5F1" w:rsidR="00E21852" w:rsidRPr="0013396E" w:rsidRDefault="00E21852" w:rsidP="00E21852">
            <w:pPr>
              <w:pStyle w:val="BodyTextNumbered"/>
              <w:ind w:left="1440"/>
            </w:pPr>
            <w:r w:rsidRPr="0013396E">
              <w:t>TWTG</w:t>
            </w:r>
            <w:r w:rsidRPr="0013396E">
              <w:rPr>
                <w:i/>
                <w:vertAlign w:val="subscript"/>
              </w:rPr>
              <w:t xml:space="preserve"> q, wg, p, i</w:t>
            </w:r>
            <w:r w:rsidRPr="0013396E">
              <w:rPr>
                <w:i/>
                <w:vertAlign w:val="subscript"/>
              </w:rPr>
              <w:tab/>
            </w:r>
            <w:r w:rsidRPr="0013396E">
              <w:rPr>
                <w:lang w:val="pt-BR"/>
              </w:rPr>
              <w:t xml:space="preserve">= </w:t>
            </w:r>
            <w:r w:rsidRPr="0013396E">
              <w:rPr>
                <w:noProof/>
                <w:position w:val="-18"/>
              </w:rPr>
              <w:drawing>
                <wp:inline distT="0" distB="0" distL="0" distR="0" wp14:anchorId="2C0BBA2B" wp14:editId="5602FD8F">
                  <wp:extent cx="135255" cy="246380"/>
                  <wp:effectExtent l="0" t="0" r="0" b="1270"/>
                  <wp:docPr id="3291" name="Picture 3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0" cstate="print">
                            <a:extLst>
                              <a:ext uri="{28A0092B-C50C-407E-A947-70E740481C1C}">
                                <a14:useLocalDpi xmlns:a14="http://schemas.microsoft.com/office/drawing/2010/main" val="0"/>
                              </a:ext>
                            </a:extLst>
                          </a:blip>
                          <a:srcRect/>
                          <a:stretch>
                            <a:fillRect/>
                          </a:stretch>
                        </pic:blipFill>
                        <pic:spPr bwMode="auto">
                          <a:xfrm>
                            <a:off x="0" y="0"/>
                            <a:ext cx="135255" cy="246380"/>
                          </a:xfrm>
                          <a:prstGeom prst="rect">
                            <a:avLst/>
                          </a:prstGeom>
                          <a:noFill/>
                          <a:ln>
                            <a:noFill/>
                          </a:ln>
                        </pic:spPr>
                      </pic:pic>
                    </a:graphicData>
                  </a:graphic>
                </wp:inline>
              </w:drawing>
            </w:r>
            <w:r w:rsidRPr="0013396E">
              <w:t xml:space="preserve"> (</w:t>
            </w:r>
            <w:r w:rsidRPr="0013396E">
              <w:rPr>
                <w:position w:val="-22"/>
              </w:rPr>
              <w:object w:dxaOrig="210" w:dyaOrig="450" w14:anchorId="58F1BF0A">
                <v:shape id="_x0000_i1149" type="#_x0000_t75" style="width:6pt;height:24pt" o:ole="">
                  <v:imagedata r:id="rId176" o:title=""/>
                </v:shape>
                <o:OLEObject Type="Embed" ProgID="Equation.3" ShapeID="_x0000_i1149" DrawAspect="Content" ObjectID="_1836311428" r:id="rId181"/>
              </w:object>
            </w:r>
            <w:r w:rsidRPr="0013396E">
              <w:t xml:space="preserve"> (AVGTG5M</w:t>
            </w:r>
            <w:r w:rsidRPr="0013396E">
              <w:rPr>
                <w:i/>
                <w:vertAlign w:val="subscript"/>
              </w:rPr>
              <w:t xml:space="preserve"> q, r, p, i, y</w:t>
            </w:r>
            <w:r w:rsidRPr="0013396E">
              <w:t>)</w:t>
            </w:r>
            <w:r w:rsidRPr="0013396E">
              <w:rPr>
                <w:rFonts w:ascii="Times New Roman Bold" w:hAnsi="Times New Roman Bold"/>
              </w:rPr>
              <w:t xml:space="preserve"> / </w:t>
            </w:r>
            <w:r w:rsidRPr="0013396E">
              <w:t>3)</w:t>
            </w:r>
            <w:r w:rsidRPr="0013396E">
              <w:rPr>
                <w:rFonts w:ascii="Times New Roman Bold" w:hAnsi="Times New Roman Bold"/>
              </w:rPr>
              <w:t xml:space="preserve"> </w:t>
            </w:r>
            <w:r w:rsidRPr="0013396E">
              <w:t>*</w:t>
            </w:r>
            <w:r w:rsidRPr="0013396E">
              <w:rPr>
                <w:rFonts w:ascii="Times New Roman Bold" w:hAnsi="Times New Roman Bold"/>
              </w:rPr>
              <w:t xml:space="preserve"> </w:t>
            </w:r>
            <w:r w:rsidRPr="0013396E">
              <w:rPr>
                <w:rFonts w:hint="eastAsia"/>
              </w:rPr>
              <w:t>¼</w:t>
            </w:r>
          </w:p>
          <w:p w14:paraId="7712D593" w14:textId="3B4F4020" w:rsidR="00E21852" w:rsidRPr="0013396E" w:rsidRDefault="00E21852" w:rsidP="00E21852">
            <w:pPr>
              <w:pStyle w:val="BodyTextNumbered"/>
              <w:ind w:left="1440"/>
              <w:rPr>
                <w:rFonts w:ascii="Times New Roman Bold" w:hAnsi="Times New Roman Bold"/>
              </w:rPr>
            </w:pPr>
            <w:r w:rsidRPr="0013396E">
              <w:rPr>
                <w:lang w:val="es-ES"/>
              </w:rPr>
              <w:t>AA</w:t>
            </w:r>
            <w:r w:rsidR="005F232E" w:rsidRPr="0013396E">
              <w:rPr>
                <w:lang w:val="es-ES"/>
              </w:rPr>
              <w:t>S</w:t>
            </w:r>
            <w:r w:rsidRPr="0013396E">
              <w:rPr>
                <w:lang w:val="es-ES"/>
              </w:rPr>
              <w:t>P</w:t>
            </w:r>
            <w:r w:rsidRPr="0013396E">
              <w:rPr>
                <w:i/>
                <w:vertAlign w:val="subscript"/>
                <w:lang w:val="pt-BR"/>
              </w:rPr>
              <w:t xml:space="preserve"> q, wg, p, i  </w:t>
            </w:r>
            <w:r w:rsidRPr="0013396E">
              <w:rPr>
                <w:lang w:val="pt-BR"/>
              </w:rPr>
              <w:t xml:space="preserve">= </w:t>
            </w:r>
            <w:r w:rsidRPr="0013396E">
              <w:rPr>
                <w:noProof/>
                <w:position w:val="-18"/>
              </w:rPr>
              <w:drawing>
                <wp:inline distT="0" distB="0" distL="0" distR="0" wp14:anchorId="4D3ABE0B" wp14:editId="00D06970">
                  <wp:extent cx="135255" cy="246380"/>
                  <wp:effectExtent l="0" t="0" r="0" b="1270"/>
                  <wp:docPr id="3290" name="Picture 3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1"/>
                          <pic:cNvPicPr>
                            <a:picLocks noChangeAspect="1" noChangeArrowheads="1"/>
                          </pic:cNvPicPr>
                        </pic:nvPicPr>
                        <pic:blipFill>
                          <a:blip r:embed="rId180" cstate="print">
                            <a:extLst>
                              <a:ext uri="{28A0092B-C50C-407E-A947-70E740481C1C}">
                                <a14:useLocalDpi xmlns:a14="http://schemas.microsoft.com/office/drawing/2010/main" val="0"/>
                              </a:ext>
                            </a:extLst>
                          </a:blip>
                          <a:srcRect/>
                          <a:stretch>
                            <a:fillRect/>
                          </a:stretch>
                        </pic:blipFill>
                        <pic:spPr bwMode="auto">
                          <a:xfrm>
                            <a:off x="0" y="0"/>
                            <a:ext cx="135255" cy="246380"/>
                          </a:xfrm>
                          <a:prstGeom prst="rect">
                            <a:avLst/>
                          </a:prstGeom>
                          <a:noFill/>
                          <a:ln>
                            <a:noFill/>
                          </a:ln>
                        </pic:spPr>
                      </pic:pic>
                    </a:graphicData>
                  </a:graphic>
                </wp:inline>
              </w:drawing>
            </w:r>
            <w:r w:rsidRPr="0013396E">
              <w:rPr>
                <w:lang w:val="es-ES"/>
              </w:rPr>
              <w:t>(</w:t>
            </w:r>
            <w:r w:rsidRPr="0013396E">
              <w:rPr>
                <w:lang w:val="pt-BR"/>
              </w:rPr>
              <w:t>AA</w:t>
            </w:r>
            <w:r w:rsidR="005F232E" w:rsidRPr="0013396E">
              <w:rPr>
                <w:lang w:val="pt-BR"/>
              </w:rPr>
              <w:t>S</w:t>
            </w:r>
            <w:r w:rsidRPr="0013396E">
              <w:rPr>
                <w:lang w:val="pt-BR"/>
              </w:rPr>
              <w:t>P</w:t>
            </w:r>
            <w:r w:rsidRPr="0013396E">
              <w:rPr>
                <w:i/>
                <w:vertAlign w:val="subscript"/>
                <w:lang w:val="pt-BR"/>
              </w:rPr>
              <w:t xml:space="preserve"> q,</w:t>
            </w:r>
            <w:r w:rsidR="0045796A" w:rsidRPr="0013396E">
              <w:rPr>
                <w:i/>
                <w:vertAlign w:val="subscript"/>
                <w:lang w:val="pt-BR"/>
              </w:rPr>
              <w:t xml:space="preserve"> </w:t>
            </w:r>
            <w:r w:rsidRPr="0013396E">
              <w:rPr>
                <w:i/>
                <w:vertAlign w:val="subscript"/>
                <w:lang w:val="pt-BR"/>
              </w:rPr>
              <w:t>r, p, i</w:t>
            </w:r>
            <w:r w:rsidRPr="0013396E">
              <w:rPr>
                <w:lang w:val="pt-BR"/>
              </w:rPr>
              <w:t>)</w:t>
            </w:r>
          </w:p>
          <w:p w14:paraId="289852E1" w14:textId="5F0C5F9B" w:rsidR="00E21852" w:rsidRPr="0013396E" w:rsidRDefault="00E21852" w:rsidP="00E21852">
            <w:r w:rsidRPr="0013396E">
              <w:t>The above variables are defined as follows:</w:t>
            </w:r>
          </w:p>
          <w:tbl>
            <w:tblPr>
              <w:tblW w:w="98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8"/>
              <w:gridCol w:w="1459"/>
              <w:gridCol w:w="5942"/>
            </w:tblGrid>
            <w:tr w:rsidR="0045796A" w:rsidRPr="0013396E" w14:paraId="0CED3DE2" w14:textId="5D570FE7" w:rsidTr="000F78EE">
              <w:trPr>
                <w:cantSplit/>
                <w:tblHeader/>
              </w:trPr>
              <w:tc>
                <w:tcPr>
                  <w:tcW w:w="2428" w:type="dxa"/>
                </w:tcPr>
                <w:p w14:paraId="0C892B77" w14:textId="75CE80AC" w:rsidR="0045796A" w:rsidRPr="0013396E" w:rsidRDefault="0045796A" w:rsidP="0045796A">
                  <w:pPr>
                    <w:pStyle w:val="TableHead"/>
                    <w:tabs>
                      <w:tab w:val="right" w:pos="9360"/>
                    </w:tabs>
                  </w:pPr>
                  <w:r w:rsidRPr="0013396E">
                    <w:t>Variable</w:t>
                  </w:r>
                </w:p>
              </w:tc>
              <w:tc>
                <w:tcPr>
                  <w:tcW w:w="1459" w:type="dxa"/>
                </w:tcPr>
                <w:p w14:paraId="05552C95" w14:textId="2C356BD8" w:rsidR="0045796A" w:rsidRPr="0013396E" w:rsidRDefault="0045796A" w:rsidP="0045796A">
                  <w:pPr>
                    <w:pStyle w:val="TableHead"/>
                    <w:tabs>
                      <w:tab w:val="right" w:pos="9360"/>
                    </w:tabs>
                  </w:pPr>
                  <w:r w:rsidRPr="0013396E">
                    <w:t>Unit</w:t>
                  </w:r>
                </w:p>
              </w:tc>
              <w:tc>
                <w:tcPr>
                  <w:tcW w:w="5942" w:type="dxa"/>
                </w:tcPr>
                <w:p w14:paraId="2F9BF405" w14:textId="279013DF" w:rsidR="0045796A" w:rsidRPr="0013396E" w:rsidRDefault="0045796A" w:rsidP="0045796A">
                  <w:pPr>
                    <w:pStyle w:val="TableHead"/>
                    <w:tabs>
                      <w:tab w:val="right" w:pos="9360"/>
                    </w:tabs>
                  </w:pPr>
                  <w:r w:rsidRPr="0013396E">
                    <w:t>Definition</w:t>
                  </w:r>
                </w:p>
              </w:tc>
            </w:tr>
            <w:tr w:rsidR="0045796A" w:rsidRPr="0013396E" w14:paraId="7EB4C2F5" w14:textId="2F5E57A8" w:rsidTr="000F78EE">
              <w:trPr>
                <w:cantSplit/>
              </w:trPr>
              <w:tc>
                <w:tcPr>
                  <w:tcW w:w="2428" w:type="dxa"/>
                </w:tcPr>
                <w:p w14:paraId="046BC752" w14:textId="170A050B" w:rsidR="0045796A" w:rsidRPr="0013396E" w:rsidRDefault="005F232E" w:rsidP="0045796A">
                  <w:pPr>
                    <w:pStyle w:val="TableBody"/>
                  </w:pPr>
                  <w:r w:rsidRPr="0013396E">
                    <w:t>S</w:t>
                  </w:r>
                  <w:r w:rsidR="0045796A" w:rsidRPr="0013396E">
                    <w:t xml:space="preserve">PDAMT </w:t>
                  </w:r>
                  <w:r w:rsidR="0045796A" w:rsidRPr="0013396E">
                    <w:rPr>
                      <w:i/>
                      <w:vertAlign w:val="subscript"/>
                    </w:rPr>
                    <w:t>q, r, p, i</w:t>
                  </w:r>
                </w:p>
              </w:tc>
              <w:tc>
                <w:tcPr>
                  <w:tcW w:w="1459" w:type="dxa"/>
                </w:tcPr>
                <w:p w14:paraId="35CA3B74" w14:textId="47FD76EC" w:rsidR="0045796A" w:rsidRPr="0013396E" w:rsidRDefault="0045796A" w:rsidP="0045796A">
                  <w:pPr>
                    <w:pStyle w:val="TableBody"/>
                  </w:pPr>
                  <w:r w:rsidRPr="0013396E">
                    <w:t>$</w:t>
                  </w:r>
                </w:p>
              </w:tc>
              <w:tc>
                <w:tcPr>
                  <w:tcW w:w="5942" w:type="dxa"/>
                </w:tcPr>
                <w:p w14:paraId="2A57A07E" w14:textId="6108F2FA" w:rsidR="0045796A" w:rsidRPr="0013396E" w:rsidRDefault="005F232E" w:rsidP="005F232E">
                  <w:pPr>
                    <w:pStyle w:val="TableBody"/>
                  </w:pPr>
                  <w:r w:rsidRPr="0013396E">
                    <w:rPr>
                      <w:i/>
                    </w:rPr>
                    <w:t>Set</w:t>
                  </w:r>
                  <w:r w:rsidR="0045796A" w:rsidRPr="0013396E">
                    <w:rPr>
                      <w:i/>
                    </w:rPr>
                    <w:t xml:space="preserve"> Point Deviation Charge per QSE per Settlement Point per Resource</w:t>
                  </w:r>
                  <w:r w:rsidR="0045796A" w:rsidRPr="0013396E">
                    <w:t xml:space="preserve">—The charge to QSE </w:t>
                  </w:r>
                  <w:r w:rsidR="0045796A" w:rsidRPr="0013396E">
                    <w:rPr>
                      <w:i/>
                    </w:rPr>
                    <w:t>q</w:t>
                  </w:r>
                  <w:r w:rsidR="0045796A" w:rsidRPr="0013396E">
                    <w:t xml:space="preserve"> for Generation Resource </w:t>
                  </w:r>
                  <w:r w:rsidR="0045796A" w:rsidRPr="0013396E">
                    <w:rPr>
                      <w:i/>
                    </w:rPr>
                    <w:t>r</w:t>
                  </w:r>
                  <w:r w:rsidR="0045796A" w:rsidRPr="0013396E">
                    <w:t xml:space="preserve"> at Resource Node </w:t>
                  </w:r>
                  <w:r w:rsidR="0045796A" w:rsidRPr="0013396E">
                    <w:rPr>
                      <w:i/>
                    </w:rPr>
                    <w:t>p</w:t>
                  </w:r>
                  <w:r w:rsidR="0045796A" w:rsidRPr="0013396E">
                    <w:t xml:space="preserve">, for its deviation from </w:t>
                  </w:r>
                  <w:r w:rsidRPr="0013396E">
                    <w:t>AASP</w:t>
                  </w:r>
                  <w:r w:rsidR="0045796A" w:rsidRPr="0013396E">
                    <w:t xml:space="preserve">, for the 15-minute Settlement Interval </w:t>
                  </w:r>
                  <w:r w:rsidR="0045796A" w:rsidRPr="0013396E">
                    <w:rPr>
                      <w:i/>
                    </w:rPr>
                    <w:t>i</w:t>
                  </w:r>
                  <w:r w:rsidR="0045796A" w:rsidRPr="0013396E">
                    <w:t xml:space="preserve">.  The </w:t>
                  </w:r>
                  <w:r w:rsidRPr="0013396E">
                    <w:t>Set</w:t>
                  </w:r>
                  <w:r w:rsidR="0045796A" w:rsidRPr="0013396E">
                    <w:t xml:space="preserve"> Point Deviation Charge is charged to the Combined Cycle Train for all Combined Cycle Generation Resources.</w:t>
                  </w:r>
                </w:p>
              </w:tc>
            </w:tr>
            <w:tr w:rsidR="0045796A" w:rsidRPr="0013396E" w14:paraId="3A0C463C" w14:textId="647E1BEB" w:rsidTr="000F78EE">
              <w:trPr>
                <w:cantSplit/>
              </w:trPr>
              <w:tc>
                <w:tcPr>
                  <w:tcW w:w="2428" w:type="dxa"/>
                </w:tcPr>
                <w:p w14:paraId="77A83241" w14:textId="2280A760" w:rsidR="0045796A" w:rsidRPr="0013396E" w:rsidRDefault="0045796A" w:rsidP="0045796A">
                  <w:pPr>
                    <w:pStyle w:val="TableBody"/>
                  </w:pPr>
                  <w:r w:rsidRPr="0013396E">
                    <w:t xml:space="preserve">RTSPP </w:t>
                  </w:r>
                  <w:r w:rsidRPr="0013396E">
                    <w:rPr>
                      <w:i/>
                      <w:vertAlign w:val="subscript"/>
                    </w:rPr>
                    <w:t>p, i</w:t>
                  </w:r>
                </w:p>
              </w:tc>
              <w:tc>
                <w:tcPr>
                  <w:tcW w:w="1459" w:type="dxa"/>
                </w:tcPr>
                <w:p w14:paraId="0A9CCE32" w14:textId="25218442" w:rsidR="0045796A" w:rsidRPr="0013396E" w:rsidRDefault="0045796A" w:rsidP="0045796A">
                  <w:pPr>
                    <w:pStyle w:val="TableBody"/>
                  </w:pPr>
                  <w:r w:rsidRPr="0013396E">
                    <w:t>$/MWh</w:t>
                  </w:r>
                </w:p>
              </w:tc>
              <w:tc>
                <w:tcPr>
                  <w:tcW w:w="5942" w:type="dxa"/>
                </w:tcPr>
                <w:p w14:paraId="3C9EFAE7" w14:textId="6528ACE8" w:rsidR="0045796A" w:rsidRPr="0013396E" w:rsidRDefault="0045796A" w:rsidP="0045796A">
                  <w:pPr>
                    <w:pStyle w:val="TableBody"/>
                  </w:pPr>
                  <w:r w:rsidRPr="0013396E">
                    <w:rPr>
                      <w:i/>
                    </w:rPr>
                    <w:t>Real-Time Settlement Point Price per Settlement Point</w:t>
                  </w:r>
                  <w:r w:rsidRPr="0013396E">
                    <w:t xml:space="preserve">—The Real-Time Settlement Point Price at Settlement Point </w:t>
                  </w:r>
                  <w:r w:rsidRPr="0013396E">
                    <w:rPr>
                      <w:i/>
                    </w:rPr>
                    <w:t>p</w:t>
                  </w:r>
                  <w:r w:rsidRPr="0013396E">
                    <w:t xml:space="preserve">, for the 15-minute Settlement Interval </w:t>
                  </w:r>
                  <w:r w:rsidRPr="0013396E">
                    <w:rPr>
                      <w:i/>
                    </w:rPr>
                    <w:t>i</w:t>
                  </w:r>
                  <w:r w:rsidRPr="0013396E">
                    <w:t>.</w:t>
                  </w:r>
                </w:p>
              </w:tc>
            </w:tr>
            <w:tr w:rsidR="0045796A" w:rsidRPr="0013396E" w14:paraId="07C209BE" w14:textId="38440B9A" w:rsidTr="000F78EE">
              <w:trPr>
                <w:cantSplit/>
              </w:trPr>
              <w:tc>
                <w:tcPr>
                  <w:tcW w:w="2428" w:type="dxa"/>
                </w:tcPr>
                <w:p w14:paraId="03EF4F3B" w14:textId="1BC07B13" w:rsidR="0045796A" w:rsidRPr="0013396E" w:rsidRDefault="0045796A" w:rsidP="0045796A">
                  <w:pPr>
                    <w:pStyle w:val="TableBody"/>
                  </w:pPr>
                  <w:r w:rsidRPr="0013396E">
                    <w:t xml:space="preserve">TWTG </w:t>
                  </w:r>
                  <w:r w:rsidRPr="0013396E">
                    <w:rPr>
                      <w:i/>
                      <w:vertAlign w:val="subscript"/>
                    </w:rPr>
                    <w:t>q, r, p, i</w:t>
                  </w:r>
                </w:p>
              </w:tc>
              <w:tc>
                <w:tcPr>
                  <w:tcW w:w="1459" w:type="dxa"/>
                </w:tcPr>
                <w:p w14:paraId="0EBF3F56" w14:textId="6AF12D75" w:rsidR="0045796A" w:rsidRPr="0013396E" w:rsidRDefault="0045796A" w:rsidP="0045796A">
                  <w:pPr>
                    <w:pStyle w:val="TableBody"/>
                  </w:pPr>
                  <w:r w:rsidRPr="0013396E">
                    <w:t>MWh</w:t>
                  </w:r>
                </w:p>
              </w:tc>
              <w:tc>
                <w:tcPr>
                  <w:tcW w:w="5942" w:type="dxa"/>
                </w:tcPr>
                <w:p w14:paraId="59ED82DC" w14:textId="46AEBAE0" w:rsidR="0045796A" w:rsidRPr="0013396E" w:rsidRDefault="0045796A" w:rsidP="0045796A">
                  <w:pPr>
                    <w:pStyle w:val="TableBody"/>
                    <w:rPr>
                      <w:i/>
                    </w:rPr>
                  </w:pPr>
                  <w:r w:rsidRPr="0013396E">
                    <w:rPr>
                      <w:i/>
                    </w:rPr>
                    <w:t>Time-Weighted Telemetered Generation per QSE per Settlement Point per Resource</w:t>
                  </w:r>
                  <w:r w:rsidRPr="0013396E">
                    <w:t xml:space="preserve">—The telemetered generation of Generation Resource </w:t>
                  </w:r>
                  <w:r w:rsidRPr="0013396E">
                    <w:rPr>
                      <w:i/>
                    </w:rPr>
                    <w:t>r</w:t>
                  </w:r>
                  <w:r w:rsidRPr="0013396E">
                    <w:t xml:space="preserve"> represented by QSE </w:t>
                  </w:r>
                  <w:r w:rsidRPr="0013396E">
                    <w:rPr>
                      <w:i/>
                    </w:rPr>
                    <w:t>q</w:t>
                  </w:r>
                  <w:r w:rsidRPr="0013396E">
                    <w:t xml:space="preserve"> at Resource Node </w:t>
                  </w:r>
                  <w:r w:rsidRPr="0013396E">
                    <w:rPr>
                      <w:i/>
                    </w:rPr>
                    <w:t>p</w:t>
                  </w:r>
                  <w:r w:rsidRPr="0013396E">
                    <w:t xml:space="preserve">, for the 15-minute Settlement Interval </w:t>
                  </w:r>
                  <w:r w:rsidRPr="0013396E">
                    <w:rPr>
                      <w:i/>
                    </w:rPr>
                    <w:t>i</w:t>
                  </w:r>
                  <w:r w:rsidRPr="0013396E">
                    <w:t xml:space="preserve">.  Where for a Combined Cycle Train, the Resource </w:t>
                  </w:r>
                  <w:r w:rsidRPr="0013396E">
                    <w:rPr>
                      <w:i/>
                    </w:rPr>
                    <w:t xml:space="preserve">r </w:t>
                  </w:r>
                  <w:r w:rsidRPr="0013396E">
                    <w:t>is the Combined Cycle Train.</w:t>
                  </w:r>
                </w:p>
              </w:tc>
            </w:tr>
            <w:tr w:rsidR="0045796A" w:rsidRPr="0013396E" w14:paraId="7764A6EE" w14:textId="63D9CCF0" w:rsidTr="000F78EE">
              <w:trPr>
                <w:cantSplit/>
              </w:trPr>
              <w:tc>
                <w:tcPr>
                  <w:tcW w:w="2428" w:type="dxa"/>
                </w:tcPr>
                <w:p w14:paraId="39FC6D01" w14:textId="4155F2F6" w:rsidR="0045796A" w:rsidRPr="0013396E" w:rsidRDefault="0045796A" w:rsidP="005F232E">
                  <w:pPr>
                    <w:pStyle w:val="TableBody"/>
                  </w:pPr>
                  <w:r w:rsidRPr="0013396E">
                    <w:lastRenderedPageBreak/>
                    <w:t>AA</w:t>
                  </w:r>
                  <w:r w:rsidR="005F232E" w:rsidRPr="0013396E">
                    <w:t>S</w:t>
                  </w:r>
                  <w:r w:rsidRPr="0013396E">
                    <w:t>P</w:t>
                  </w:r>
                  <w:r w:rsidRPr="0013396E">
                    <w:rPr>
                      <w:i/>
                      <w:vertAlign w:val="subscript"/>
                    </w:rPr>
                    <w:t xml:space="preserve"> q, r, p, i</w:t>
                  </w:r>
                </w:p>
              </w:tc>
              <w:tc>
                <w:tcPr>
                  <w:tcW w:w="1459" w:type="dxa"/>
                </w:tcPr>
                <w:p w14:paraId="23EE94EF" w14:textId="28E99D28" w:rsidR="0045796A" w:rsidRPr="0013396E" w:rsidRDefault="0045796A" w:rsidP="0045796A">
                  <w:pPr>
                    <w:pStyle w:val="TableBody"/>
                  </w:pPr>
                  <w:r w:rsidRPr="0013396E">
                    <w:t>MW</w:t>
                  </w:r>
                </w:p>
              </w:tc>
              <w:tc>
                <w:tcPr>
                  <w:tcW w:w="5942" w:type="dxa"/>
                </w:tcPr>
                <w:p w14:paraId="12D458F0" w14:textId="3E9B38AB" w:rsidR="0045796A" w:rsidRPr="0013396E" w:rsidRDefault="005F232E" w:rsidP="005F232E">
                  <w:pPr>
                    <w:pStyle w:val="TableBody"/>
                    <w:rPr>
                      <w:i/>
                    </w:rPr>
                  </w:pPr>
                  <w:r w:rsidRPr="0013396E">
                    <w:rPr>
                      <w:i/>
                    </w:rPr>
                    <w:t>Average</w:t>
                  </w:r>
                  <w:r w:rsidR="0045796A" w:rsidRPr="0013396E">
                    <w:rPr>
                      <w:i/>
                    </w:rPr>
                    <w:t xml:space="preserve"> Aggregated </w:t>
                  </w:r>
                  <w:r w:rsidRPr="0013396E">
                    <w:rPr>
                      <w:i/>
                    </w:rPr>
                    <w:t>Set</w:t>
                  </w:r>
                  <w:r w:rsidR="0045796A" w:rsidRPr="0013396E">
                    <w:rPr>
                      <w:i/>
                    </w:rPr>
                    <w:t xml:space="preserve"> Point per QSE per Settlement Point per Resource</w:t>
                  </w:r>
                  <w:r w:rsidR="0045796A" w:rsidRPr="0013396E">
                    <w:t xml:space="preserve">—The </w:t>
                  </w:r>
                  <w:r w:rsidRPr="0013396E">
                    <w:t>average of the Average Five Minute Clock Interval Set Point (AVGSP5M)</w:t>
                  </w:r>
                  <w:r w:rsidR="0045796A" w:rsidRPr="0013396E">
                    <w:t xml:space="preserve"> of Generation Resource </w:t>
                  </w:r>
                  <w:r w:rsidR="0045796A" w:rsidRPr="0013396E">
                    <w:rPr>
                      <w:i/>
                    </w:rPr>
                    <w:t>r</w:t>
                  </w:r>
                  <w:r w:rsidR="0045796A" w:rsidRPr="0013396E">
                    <w:t xml:space="preserve"> represented by QSE </w:t>
                  </w:r>
                  <w:r w:rsidR="0045796A" w:rsidRPr="0013396E">
                    <w:rPr>
                      <w:i/>
                    </w:rPr>
                    <w:t>q</w:t>
                  </w:r>
                  <w:r w:rsidR="0045796A" w:rsidRPr="0013396E">
                    <w:t xml:space="preserve"> at Settlement Point </w:t>
                  </w:r>
                  <w:r w:rsidR="0045796A" w:rsidRPr="0013396E">
                    <w:rPr>
                      <w:i/>
                    </w:rPr>
                    <w:t>p,</w:t>
                  </w:r>
                  <w:r w:rsidR="0045796A" w:rsidRPr="0013396E">
                    <w:t xml:space="preserve"> for the 15-minute Settlement Interval</w:t>
                  </w:r>
                  <w:r w:rsidR="0045796A" w:rsidRPr="0013396E">
                    <w:rPr>
                      <w:i/>
                    </w:rPr>
                    <w:t xml:space="preserve"> i</w:t>
                  </w:r>
                  <w:r w:rsidR="0045796A" w:rsidRPr="0013396E">
                    <w:t>.  Where for a Combined Cycle Train, AA</w:t>
                  </w:r>
                  <w:r w:rsidRPr="0013396E">
                    <w:t>S</w:t>
                  </w:r>
                  <w:r w:rsidR="0045796A" w:rsidRPr="0013396E">
                    <w:t xml:space="preserve">P is calculated for the Combined Cycle Train considering all </w:t>
                  </w:r>
                  <w:r w:rsidRPr="0013396E">
                    <w:t>UDSPs</w:t>
                  </w:r>
                  <w:r w:rsidR="0045796A" w:rsidRPr="0013396E">
                    <w:t xml:space="preserve"> to any Combined Cycle Generation Resources within the Combined Cycle Train.</w:t>
                  </w:r>
                </w:p>
              </w:tc>
            </w:tr>
            <w:tr w:rsidR="0045796A" w:rsidRPr="0013396E" w14:paraId="1948BF49" w14:textId="2550D7A6" w:rsidTr="000F78EE">
              <w:trPr>
                <w:cantSplit/>
              </w:trPr>
              <w:tc>
                <w:tcPr>
                  <w:tcW w:w="2428" w:type="dxa"/>
                </w:tcPr>
                <w:p w14:paraId="6B64FE0E" w14:textId="2E3F87D2" w:rsidR="0045796A" w:rsidRPr="0013396E" w:rsidRDefault="0045796A" w:rsidP="0045796A">
                  <w:pPr>
                    <w:pStyle w:val="TableBody"/>
                  </w:pPr>
                  <w:r w:rsidRPr="0013396E">
                    <w:t>AVGTG5M</w:t>
                  </w:r>
                  <w:r w:rsidRPr="0013396E">
                    <w:rPr>
                      <w:i/>
                      <w:vertAlign w:val="subscript"/>
                      <w:lang w:val="fr-FR"/>
                    </w:rPr>
                    <w:t xml:space="preserve"> q, r, p, i, y</w:t>
                  </w:r>
                </w:p>
              </w:tc>
              <w:tc>
                <w:tcPr>
                  <w:tcW w:w="1459" w:type="dxa"/>
                </w:tcPr>
                <w:p w14:paraId="1C735A32" w14:textId="7CA47B03" w:rsidR="0045796A" w:rsidRPr="0013396E" w:rsidRDefault="0045796A" w:rsidP="0045796A">
                  <w:pPr>
                    <w:pStyle w:val="TableBody"/>
                  </w:pPr>
                  <w:r w:rsidRPr="0013396E">
                    <w:t>MW</w:t>
                  </w:r>
                </w:p>
              </w:tc>
              <w:tc>
                <w:tcPr>
                  <w:tcW w:w="5942" w:type="dxa"/>
                </w:tcPr>
                <w:p w14:paraId="1057F46D" w14:textId="47BC7E94" w:rsidR="0045796A" w:rsidRPr="0013396E" w:rsidRDefault="0045796A" w:rsidP="0045796A">
                  <w:pPr>
                    <w:pStyle w:val="TableBody"/>
                  </w:pPr>
                  <w:r w:rsidRPr="0013396E">
                    <w:rPr>
                      <w:i/>
                    </w:rPr>
                    <w:t>Average Telemetered Generation for the 5 Minutes</w:t>
                  </w:r>
                  <w:r w:rsidRPr="0013396E">
                    <w:t xml:space="preserve">—The average telemetered generation of Generation Resource </w:t>
                  </w:r>
                  <w:r w:rsidRPr="0013396E">
                    <w:rPr>
                      <w:i/>
                    </w:rPr>
                    <w:t>r</w:t>
                  </w:r>
                  <w:r w:rsidRPr="0013396E">
                    <w:t xml:space="preserve"> represented by QSE </w:t>
                  </w:r>
                  <w:r w:rsidRPr="0013396E">
                    <w:rPr>
                      <w:i/>
                    </w:rPr>
                    <w:t>q</w:t>
                  </w:r>
                  <w:r w:rsidRPr="0013396E">
                    <w:t xml:space="preserve"> at Resource Node </w:t>
                  </w:r>
                  <w:r w:rsidRPr="0013396E">
                    <w:rPr>
                      <w:i/>
                    </w:rPr>
                    <w:t>p</w:t>
                  </w:r>
                  <w:r w:rsidRPr="0013396E">
                    <w:t xml:space="preserve">, for the five-minute clock interval </w:t>
                  </w:r>
                  <w:r w:rsidRPr="0013396E">
                    <w:rPr>
                      <w:i/>
                    </w:rPr>
                    <w:t>y</w:t>
                  </w:r>
                  <w:r w:rsidRPr="0013396E">
                    <w:t xml:space="preserve">, within the 15-minute Settlement Interval </w:t>
                  </w:r>
                  <w:r w:rsidRPr="0013396E">
                    <w:rPr>
                      <w:i/>
                    </w:rPr>
                    <w:t>i</w:t>
                  </w:r>
                  <w:r w:rsidRPr="0013396E">
                    <w:t>.</w:t>
                  </w:r>
                </w:p>
              </w:tc>
            </w:tr>
            <w:tr w:rsidR="0045796A" w:rsidRPr="0013396E" w14:paraId="40D8AEE0" w14:textId="46B02FC4" w:rsidTr="000F78EE">
              <w:trPr>
                <w:cantSplit/>
              </w:trPr>
              <w:tc>
                <w:tcPr>
                  <w:tcW w:w="2428" w:type="dxa"/>
                </w:tcPr>
                <w:p w14:paraId="16DF0427" w14:textId="261552CD" w:rsidR="0045796A" w:rsidRPr="0013396E" w:rsidRDefault="0045796A" w:rsidP="0045796A">
                  <w:pPr>
                    <w:pStyle w:val="TableBody"/>
                  </w:pPr>
                  <w:r w:rsidRPr="0013396E">
                    <w:t xml:space="preserve">OGEN </w:t>
                  </w:r>
                  <w:r w:rsidRPr="0013396E">
                    <w:rPr>
                      <w:i/>
                      <w:vertAlign w:val="subscript"/>
                    </w:rPr>
                    <w:t>q, r, p, i</w:t>
                  </w:r>
                </w:p>
              </w:tc>
              <w:tc>
                <w:tcPr>
                  <w:tcW w:w="1459" w:type="dxa"/>
                </w:tcPr>
                <w:p w14:paraId="04AEFB3A" w14:textId="16B574DD" w:rsidR="0045796A" w:rsidRPr="0013396E" w:rsidRDefault="0045796A" w:rsidP="0045796A">
                  <w:pPr>
                    <w:pStyle w:val="TableBody"/>
                  </w:pPr>
                  <w:r w:rsidRPr="0013396E">
                    <w:t>MWh</w:t>
                  </w:r>
                </w:p>
              </w:tc>
              <w:tc>
                <w:tcPr>
                  <w:tcW w:w="5942" w:type="dxa"/>
                </w:tcPr>
                <w:p w14:paraId="47E8963E" w14:textId="0F9E4B01" w:rsidR="0045796A" w:rsidRPr="0013396E" w:rsidRDefault="0045796A" w:rsidP="00523F79">
                  <w:pPr>
                    <w:pStyle w:val="TableBody"/>
                  </w:pPr>
                  <w:r w:rsidRPr="0013396E">
                    <w:rPr>
                      <w:i/>
                    </w:rPr>
                    <w:t>Over Generation Volumes per QSE per Settlement Point per Resource</w:t>
                  </w:r>
                  <w:r w:rsidRPr="0013396E">
                    <w:t xml:space="preserve">—The amount over-generated by the Generation Resource </w:t>
                  </w:r>
                  <w:r w:rsidRPr="0013396E">
                    <w:rPr>
                      <w:i/>
                    </w:rPr>
                    <w:t>r</w:t>
                  </w:r>
                  <w:r w:rsidRPr="0013396E">
                    <w:t xml:space="preserve"> represented by QSE </w:t>
                  </w:r>
                  <w:r w:rsidRPr="0013396E">
                    <w:rPr>
                      <w:i/>
                    </w:rPr>
                    <w:t>q</w:t>
                  </w:r>
                  <w:r w:rsidRPr="0013396E">
                    <w:t xml:space="preserve"> at Resource Node </w:t>
                  </w:r>
                  <w:r w:rsidRPr="0013396E">
                    <w:rPr>
                      <w:i/>
                    </w:rPr>
                    <w:t>p</w:t>
                  </w:r>
                  <w:r w:rsidRPr="0013396E">
                    <w:t xml:space="preserve"> for the 15-minute Settlement Interval </w:t>
                  </w:r>
                  <w:r w:rsidRPr="0013396E">
                    <w:rPr>
                      <w:i/>
                    </w:rPr>
                    <w:t>i</w:t>
                  </w:r>
                  <w:r w:rsidRPr="0013396E">
                    <w:t>.</w:t>
                  </w:r>
                </w:p>
              </w:tc>
            </w:tr>
            <w:tr w:rsidR="0045796A" w:rsidRPr="0013396E" w14:paraId="3F90C63F" w14:textId="19D90762" w:rsidTr="000F78EE">
              <w:trPr>
                <w:cantSplit/>
              </w:trPr>
              <w:tc>
                <w:tcPr>
                  <w:tcW w:w="2428" w:type="dxa"/>
                </w:tcPr>
                <w:p w14:paraId="53B9A5DC" w14:textId="64025B39" w:rsidR="0045796A" w:rsidRPr="0013396E" w:rsidRDefault="0045796A" w:rsidP="0045796A">
                  <w:pPr>
                    <w:pStyle w:val="TableBody"/>
                  </w:pPr>
                  <w:r w:rsidRPr="0013396E">
                    <w:t>PR1</w:t>
                  </w:r>
                </w:p>
              </w:tc>
              <w:tc>
                <w:tcPr>
                  <w:tcW w:w="1459" w:type="dxa"/>
                </w:tcPr>
                <w:p w14:paraId="141CC4A3" w14:textId="4ABB6602" w:rsidR="0045796A" w:rsidRPr="0013396E" w:rsidRDefault="0045796A" w:rsidP="0045796A">
                  <w:pPr>
                    <w:pStyle w:val="TableBody"/>
                  </w:pPr>
                  <w:r w:rsidRPr="0013396E">
                    <w:t>$/MWh</w:t>
                  </w:r>
                </w:p>
              </w:tc>
              <w:tc>
                <w:tcPr>
                  <w:tcW w:w="5942" w:type="dxa"/>
                </w:tcPr>
                <w:p w14:paraId="2EB06148" w14:textId="4FEB884E" w:rsidR="0045796A" w:rsidRPr="0013396E" w:rsidRDefault="0045796A" w:rsidP="005F232E">
                  <w:pPr>
                    <w:pStyle w:val="TableBody"/>
                  </w:pPr>
                  <w:r w:rsidRPr="0013396E">
                    <w:t xml:space="preserve">The price to use for the </w:t>
                  </w:r>
                  <w:r w:rsidR="005F232E" w:rsidRPr="0013396E">
                    <w:t>Set</w:t>
                  </w:r>
                  <w:r w:rsidRPr="0013396E">
                    <w:t xml:space="preserve"> Point Deviation Charge for over-generation when RTSPP is less than $20/MWh, $20/MWh.  </w:t>
                  </w:r>
                </w:p>
              </w:tc>
            </w:tr>
            <w:tr w:rsidR="0045796A" w:rsidRPr="0013396E" w14:paraId="19364127" w14:textId="314EF735" w:rsidTr="000F78EE">
              <w:trPr>
                <w:cantSplit/>
              </w:trPr>
              <w:tc>
                <w:tcPr>
                  <w:tcW w:w="2428" w:type="dxa"/>
                </w:tcPr>
                <w:p w14:paraId="3012367B" w14:textId="445FFA43" w:rsidR="0045796A" w:rsidRPr="0013396E" w:rsidRDefault="0045796A" w:rsidP="0045796A">
                  <w:pPr>
                    <w:pStyle w:val="TableBody"/>
                  </w:pPr>
                  <w:r w:rsidRPr="0013396E">
                    <w:t>K1</w:t>
                  </w:r>
                </w:p>
              </w:tc>
              <w:tc>
                <w:tcPr>
                  <w:tcW w:w="1459" w:type="dxa"/>
                </w:tcPr>
                <w:p w14:paraId="45C0CD1F" w14:textId="6BD035DC" w:rsidR="0045796A" w:rsidRPr="0013396E" w:rsidRDefault="0045796A" w:rsidP="0045796A">
                  <w:pPr>
                    <w:pStyle w:val="TableBody"/>
                  </w:pPr>
                  <w:r w:rsidRPr="0013396E">
                    <w:t>none</w:t>
                  </w:r>
                </w:p>
              </w:tc>
              <w:tc>
                <w:tcPr>
                  <w:tcW w:w="5942" w:type="dxa"/>
                </w:tcPr>
                <w:p w14:paraId="108A0032" w14:textId="3418AA6D" w:rsidR="0045796A" w:rsidRPr="0013396E" w:rsidRDefault="0045796A" w:rsidP="0045796A">
                  <w:pPr>
                    <w:pStyle w:val="TableBody"/>
                  </w:pPr>
                  <w:r w:rsidRPr="0013396E">
                    <w:t xml:space="preserve">The percentage tolerance for over-generation, 5%.  </w:t>
                  </w:r>
                </w:p>
              </w:tc>
            </w:tr>
            <w:tr w:rsidR="0045796A" w:rsidRPr="0013396E" w14:paraId="4619F6F8" w14:textId="7DA28EAB" w:rsidTr="000F78EE">
              <w:trPr>
                <w:cantSplit/>
              </w:trPr>
              <w:tc>
                <w:tcPr>
                  <w:tcW w:w="2428" w:type="dxa"/>
                </w:tcPr>
                <w:p w14:paraId="516E377B" w14:textId="52CDA764" w:rsidR="0045796A" w:rsidRPr="0013396E" w:rsidRDefault="0045796A" w:rsidP="0045796A">
                  <w:pPr>
                    <w:pStyle w:val="TableBody"/>
                  </w:pPr>
                  <w:r w:rsidRPr="0013396E">
                    <w:t>Q1</w:t>
                  </w:r>
                </w:p>
              </w:tc>
              <w:tc>
                <w:tcPr>
                  <w:tcW w:w="1459" w:type="dxa"/>
                </w:tcPr>
                <w:p w14:paraId="0C533A03" w14:textId="094C428D" w:rsidR="0045796A" w:rsidRPr="0013396E" w:rsidRDefault="0045796A" w:rsidP="0045796A">
                  <w:pPr>
                    <w:pStyle w:val="TableBody"/>
                  </w:pPr>
                  <w:r w:rsidRPr="0013396E">
                    <w:t>MW</w:t>
                  </w:r>
                </w:p>
              </w:tc>
              <w:tc>
                <w:tcPr>
                  <w:tcW w:w="5942" w:type="dxa"/>
                </w:tcPr>
                <w:p w14:paraId="6FE52DC6" w14:textId="55216813" w:rsidR="0045796A" w:rsidRPr="0013396E" w:rsidRDefault="0045796A" w:rsidP="0045796A">
                  <w:pPr>
                    <w:pStyle w:val="TableBody"/>
                  </w:pPr>
                  <w:r w:rsidRPr="0013396E">
                    <w:t>The MW tolerance for over-generation, five MW.</w:t>
                  </w:r>
                </w:p>
              </w:tc>
            </w:tr>
            <w:tr w:rsidR="0045796A" w:rsidRPr="0013396E" w14:paraId="5AC28CDC" w14:textId="176E8E8A" w:rsidTr="000F78EE">
              <w:trPr>
                <w:cantSplit/>
              </w:trPr>
              <w:tc>
                <w:tcPr>
                  <w:tcW w:w="2428" w:type="dxa"/>
                </w:tcPr>
                <w:p w14:paraId="6D24739D" w14:textId="4DF138F8" w:rsidR="0045796A" w:rsidRPr="0013396E" w:rsidRDefault="0045796A" w:rsidP="0045796A">
                  <w:pPr>
                    <w:spacing w:after="60"/>
                    <w:rPr>
                      <w:iCs/>
                      <w:sz w:val="20"/>
                    </w:rPr>
                  </w:pPr>
                  <w:r w:rsidRPr="0013396E">
                    <w:rPr>
                      <w:iCs/>
                      <w:sz w:val="20"/>
                    </w:rPr>
                    <w:t>N</w:t>
                  </w:r>
                </w:p>
              </w:tc>
              <w:tc>
                <w:tcPr>
                  <w:tcW w:w="1459" w:type="dxa"/>
                </w:tcPr>
                <w:p w14:paraId="2A7440FA" w14:textId="7B3CBDF7" w:rsidR="0045796A" w:rsidRPr="0013396E" w:rsidRDefault="0045796A" w:rsidP="0045796A">
                  <w:pPr>
                    <w:spacing w:after="60"/>
                    <w:rPr>
                      <w:iCs/>
                      <w:sz w:val="20"/>
                    </w:rPr>
                  </w:pPr>
                  <w:r w:rsidRPr="0013396E">
                    <w:rPr>
                      <w:iCs/>
                      <w:sz w:val="20"/>
                    </w:rPr>
                    <w:t>none</w:t>
                  </w:r>
                </w:p>
              </w:tc>
              <w:tc>
                <w:tcPr>
                  <w:tcW w:w="5942" w:type="dxa"/>
                </w:tcPr>
                <w:p w14:paraId="48ED82DF" w14:textId="04B10DE4" w:rsidR="0045796A" w:rsidRPr="0013396E" w:rsidRDefault="0045796A" w:rsidP="0045796A">
                  <w:pPr>
                    <w:spacing w:after="60"/>
                    <w:rPr>
                      <w:iCs/>
                      <w:sz w:val="20"/>
                    </w:rPr>
                  </w:pPr>
                  <w:r w:rsidRPr="0013396E">
                    <w:rPr>
                      <w:iCs/>
                      <w:sz w:val="20"/>
                    </w:rPr>
                    <w:t>The number of IRRs within an IRR Group.</w:t>
                  </w:r>
                </w:p>
              </w:tc>
            </w:tr>
            <w:tr w:rsidR="0045796A" w:rsidRPr="0013396E" w14:paraId="09E4E6AE" w14:textId="3D89A0CD" w:rsidTr="000F78EE">
              <w:trPr>
                <w:cantSplit/>
              </w:trPr>
              <w:tc>
                <w:tcPr>
                  <w:tcW w:w="2428" w:type="dxa"/>
                </w:tcPr>
                <w:p w14:paraId="74A2CAAE" w14:textId="646189E8" w:rsidR="0045796A" w:rsidRPr="0013396E" w:rsidRDefault="0045796A" w:rsidP="0045796A">
                  <w:pPr>
                    <w:pStyle w:val="TableBody"/>
                    <w:rPr>
                      <w:i/>
                    </w:rPr>
                  </w:pPr>
                  <w:r w:rsidRPr="0013396E">
                    <w:rPr>
                      <w:i/>
                    </w:rPr>
                    <w:t>q</w:t>
                  </w:r>
                </w:p>
              </w:tc>
              <w:tc>
                <w:tcPr>
                  <w:tcW w:w="1459" w:type="dxa"/>
                </w:tcPr>
                <w:p w14:paraId="24467198" w14:textId="19BBC935" w:rsidR="0045796A" w:rsidRPr="0013396E" w:rsidRDefault="0045796A" w:rsidP="0045796A">
                  <w:pPr>
                    <w:pStyle w:val="TableBody"/>
                  </w:pPr>
                  <w:r w:rsidRPr="0013396E">
                    <w:t>none</w:t>
                  </w:r>
                </w:p>
              </w:tc>
              <w:tc>
                <w:tcPr>
                  <w:tcW w:w="5942" w:type="dxa"/>
                </w:tcPr>
                <w:p w14:paraId="3D809BC7" w14:textId="53995CCA" w:rsidR="0045796A" w:rsidRPr="0013396E" w:rsidRDefault="0045796A" w:rsidP="0045796A">
                  <w:pPr>
                    <w:pStyle w:val="TableBody"/>
                  </w:pPr>
                  <w:r w:rsidRPr="0013396E">
                    <w:t>A QSE.</w:t>
                  </w:r>
                </w:p>
              </w:tc>
            </w:tr>
            <w:tr w:rsidR="0045796A" w:rsidRPr="0013396E" w14:paraId="690A57B8" w14:textId="0751B9F0" w:rsidTr="000F78EE">
              <w:trPr>
                <w:cantSplit/>
              </w:trPr>
              <w:tc>
                <w:tcPr>
                  <w:tcW w:w="2428" w:type="dxa"/>
                </w:tcPr>
                <w:p w14:paraId="2D725C55" w14:textId="3E5A1224" w:rsidR="0045796A" w:rsidRPr="0013396E" w:rsidRDefault="0045796A" w:rsidP="0045796A">
                  <w:pPr>
                    <w:pStyle w:val="TableBody"/>
                    <w:rPr>
                      <w:i/>
                    </w:rPr>
                  </w:pPr>
                  <w:r w:rsidRPr="0013396E">
                    <w:rPr>
                      <w:i/>
                    </w:rPr>
                    <w:t>p</w:t>
                  </w:r>
                </w:p>
              </w:tc>
              <w:tc>
                <w:tcPr>
                  <w:tcW w:w="1459" w:type="dxa"/>
                </w:tcPr>
                <w:p w14:paraId="174CE86C" w14:textId="05353182" w:rsidR="0045796A" w:rsidRPr="0013396E" w:rsidRDefault="0045796A" w:rsidP="0045796A">
                  <w:pPr>
                    <w:pStyle w:val="TableBody"/>
                  </w:pPr>
                  <w:r w:rsidRPr="0013396E">
                    <w:t>none</w:t>
                  </w:r>
                </w:p>
              </w:tc>
              <w:tc>
                <w:tcPr>
                  <w:tcW w:w="5942" w:type="dxa"/>
                </w:tcPr>
                <w:p w14:paraId="7C7D2BE8" w14:textId="27551D4C" w:rsidR="0045796A" w:rsidRPr="0013396E" w:rsidRDefault="0045796A" w:rsidP="0045796A">
                  <w:pPr>
                    <w:pStyle w:val="TableBody"/>
                  </w:pPr>
                  <w:r w:rsidRPr="0013396E">
                    <w:t>A Settlement Point.</w:t>
                  </w:r>
                </w:p>
              </w:tc>
            </w:tr>
            <w:tr w:rsidR="0045796A" w:rsidRPr="0013396E" w14:paraId="534AF67B" w14:textId="65FB6FA3" w:rsidTr="000F78EE">
              <w:trPr>
                <w:cantSplit/>
              </w:trPr>
              <w:tc>
                <w:tcPr>
                  <w:tcW w:w="2428" w:type="dxa"/>
                </w:tcPr>
                <w:p w14:paraId="4CD4122C" w14:textId="536A306D" w:rsidR="0045796A" w:rsidRPr="0013396E" w:rsidRDefault="0045796A" w:rsidP="0045796A">
                  <w:pPr>
                    <w:pStyle w:val="TableBody"/>
                    <w:tabs>
                      <w:tab w:val="right" w:pos="9360"/>
                    </w:tabs>
                    <w:rPr>
                      <w:i/>
                    </w:rPr>
                  </w:pPr>
                  <w:r w:rsidRPr="0013396E">
                    <w:rPr>
                      <w:i/>
                    </w:rPr>
                    <w:t>r</w:t>
                  </w:r>
                </w:p>
              </w:tc>
              <w:tc>
                <w:tcPr>
                  <w:tcW w:w="1459" w:type="dxa"/>
                </w:tcPr>
                <w:p w14:paraId="7ECA0423" w14:textId="7DE318F5" w:rsidR="0045796A" w:rsidRPr="0013396E" w:rsidRDefault="0045796A" w:rsidP="0045796A">
                  <w:pPr>
                    <w:pStyle w:val="TableBody"/>
                    <w:tabs>
                      <w:tab w:val="right" w:pos="9360"/>
                    </w:tabs>
                  </w:pPr>
                  <w:r w:rsidRPr="0013396E">
                    <w:t>none</w:t>
                  </w:r>
                </w:p>
              </w:tc>
              <w:tc>
                <w:tcPr>
                  <w:tcW w:w="5942" w:type="dxa"/>
                </w:tcPr>
                <w:p w14:paraId="270DB0F9" w14:textId="7C911C66" w:rsidR="0045796A" w:rsidRPr="0013396E" w:rsidRDefault="0045796A" w:rsidP="0045796A">
                  <w:pPr>
                    <w:pStyle w:val="TableBody"/>
                    <w:tabs>
                      <w:tab w:val="right" w:pos="9360"/>
                    </w:tabs>
                    <w:rPr>
                      <w:lang w:val="fr-FR"/>
                    </w:rPr>
                  </w:pPr>
                  <w:r w:rsidRPr="0013396E">
                    <w:rPr>
                      <w:lang w:val="fr-FR"/>
                    </w:rPr>
                    <w:t xml:space="preserve">A non-exempt </w:t>
                  </w:r>
                  <w:r w:rsidR="008152FC" w:rsidRPr="0013396E">
                    <w:rPr>
                      <w:lang w:val="fr-FR"/>
                    </w:rPr>
                    <w:t xml:space="preserve">Generation </w:t>
                  </w:r>
                  <w:r w:rsidRPr="0013396E">
                    <w:rPr>
                      <w:lang w:val="fr-FR"/>
                    </w:rPr>
                    <w:t>Resource.</w:t>
                  </w:r>
                </w:p>
              </w:tc>
            </w:tr>
            <w:tr w:rsidR="0045796A" w:rsidRPr="0013396E" w14:paraId="076A183D" w14:textId="136A2F54" w:rsidTr="000F78EE">
              <w:trPr>
                <w:cantSplit/>
              </w:trPr>
              <w:tc>
                <w:tcPr>
                  <w:tcW w:w="2428" w:type="dxa"/>
                  <w:tcBorders>
                    <w:top w:val="single" w:sz="4" w:space="0" w:color="auto"/>
                    <w:left w:val="single" w:sz="4" w:space="0" w:color="auto"/>
                    <w:bottom w:val="single" w:sz="4" w:space="0" w:color="auto"/>
                    <w:right w:val="single" w:sz="4" w:space="0" w:color="auto"/>
                  </w:tcBorders>
                </w:tcPr>
                <w:p w14:paraId="7DDEA518" w14:textId="057251E6" w:rsidR="0045796A" w:rsidRPr="0013396E" w:rsidRDefault="0045796A" w:rsidP="0045796A">
                  <w:pPr>
                    <w:pStyle w:val="TableBody"/>
                    <w:rPr>
                      <w:i/>
                    </w:rPr>
                  </w:pPr>
                  <w:r w:rsidRPr="0013396E">
                    <w:rPr>
                      <w:i/>
                    </w:rPr>
                    <w:t xml:space="preserve">y </w:t>
                  </w:r>
                </w:p>
              </w:tc>
              <w:tc>
                <w:tcPr>
                  <w:tcW w:w="1459" w:type="dxa"/>
                  <w:tcBorders>
                    <w:top w:val="single" w:sz="4" w:space="0" w:color="auto"/>
                    <w:left w:val="single" w:sz="4" w:space="0" w:color="auto"/>
                    <w:bottom w:val="single" w:sz="4" w:space="0" w:color="auto"/>
                    <w:right w:val="single" w:sz="4" w:space="0" w:color="auto"/>
                  </w:tcBorders>
                </w:tcPr>
                <w:p w14:paraId="617096CF" w14:textId="16F33EA6" w:rsidR="0045796A" w:rsidRPr="0013396E" w:rsidRDefault="0045796A" w:rsidP="0045796A">
                  <w:pPr>
                    <w:pStyle w:val="TableBody"/>
                  </w:pPr>
                  <w:r w:rsidRPr="0013396E">
                    <w:t>none</w:t>
                  </w:r>
                </w:p>
              </w:tc>
              <w:tc>
                <w:tcPr>
                  <w:tcW w:w="5942" w:type="dxa"/>
                  <w:tcBorders>
                    <w:top w:val="single" w:sz="4" w:space="0" w:color="auto"/>
                    <w:left w:val="single" w:sz="4" w:space="0" w:color="auto"/>
                    <w:bottom w:val="single" w:sz="4" w:space="0" w:color="auto"/>
                    <w:right w:val="single" w:sz="4" w:space="0" w:color="auto"/>
                  </w:tcBorders>
                </w:tcPr>
                <w:p w14:paraId="37565E3D" w14:textId="6B757083" w:rsidR="0045796A" w:rsidRPr="0013396E" w:rsidRDefault="0045796A" w:rsidP="0045796A">
                  <w:pPr>
                    <w:pStyle w:val="TableBody"/>
                  </w:pPr>
                  <w:r w:rsidRPr="0013396E">
                    <w:t xml:space="preserve">A five-minute clock interval in the Settlement Interval. </w:t>
                  </w:r>
                </w:p>
              </w:tc>
            </w:tr>
            <w:tr w:rsidR="0045796A" w:rsidRPr="0013396E" w14:paraId="51D39DC4" w14:textId="51925553" w:rsidTr="000F78EE">
              <w:trPr>
                <w:cantSplit/>
              </w:trPr>
              <w:tc>
                <w:tcPr>
                  <w:tcW w:w="2428" w:type="dxa"/>
                  <w:tcBorders>
                    <w:top w:val="single" w:sz="4" w:space="0" w:color="auto"/>
                    <w:left w:val="single" w:sz="4" w:space="0" w:color="auto"/>
                    <w:bottom w:val="single" w:sz="4" w:space="0" w:color="auto"/>
                    <w:right w:val="single" w:sz="4" w:space="0" w:color="auto"/>
                  </w:tcBorders>
                </w:tcPr>
                <w:p w14:paraId="0C3099FB" w14:textId="69A33E6D" w:rsidR="0045796A" w:rsidRPr="0013396E" w:rsidRDefault="0045796A" w:rsidP="0045796A">
                  <w:pPr>
                    <w:pStyle w:val="TableBody"/>
                    <w:rPr>
                      <w:i/>
                    </w:rPr>
                  </w:pPr>
                  <w:r w:rsidRPr="0013396E">
                    <w:rPr>
                      <w:i/>
                    </w:rPr>
                    <w:t>i</w:t>
                  </w:r>
                </w:p>
              </w:tc>
              <w:tc>
                <w:tcPr>
                  <w:tcW w:w="1459" w:type="dxa"/>
                  <w:tcBorders>
                    <w:top w:val="single" w:sz="4" w:space="0" w:color="auto"/>
                    <w:left w:val="single" w:sz="4" w:space="0" w:color="auto"/>
                    <w:bottom w:val="single" w:sz="4" w:space="0" w:color="auto"/>
                    <w:right w:val="single" w:sz="4" w:space="0" w:color="auto"/>
                  </w:tcBorders>
                </w:tcPr>
                <w:p w14:paraId="3F8FE00A" w14:textId="0238D4A3" w:rsidR="0045796A" w:rsidRPr="0013396E" w:rsidRDefault="0045796A" w:rsidP="0045796A">
                  <w:pPr>
                    <w:pStyle w:val="TableBody"/>
                  </w:pPr>
                  <w:r w:rsidRPr="0013396E">
                    <w:t>none</w:t>
                  </w:r>
                </w:p>
              </w:tc>
              <w:tc>
                <w:tcPr>
                  <w:tcW w:w="5942" w:type="dxa"/>
                  <w:tcBorders>
                    <w:top w:val="single" w:sz="4" w:space="0" w:color="auto"/>
                    <w:left w:val="single" w:sz="4" w:space="0" w:color="auto"/>
                    <w:bottom w:val="single" w:sz="4" w:space="0" w:color="auto"/>
                    <w:right w:val="single" w:sz="4" w:space="0" w:color="auto"/>
                  </w:tcBorders>
                </w:tcPr>
                <w:p w14:paraId="0D92BFC5" w14:textId="5BD69155" w:rsidR="0045796A" w:rsidRPr="0013396E" w:rsidRDefault="0045796A" w:rsidP="0045796A">
                  <w:pPr>
                    <w:pStyle w:val="TableBody"/>
                  </w:pPr>
                  <w:r w:rsidRPr="0013396E">
                    <w:t>A 15-minute Settlement Interval.</w:t>
                  </w:r>
                </w:p>
              </w:tc>
            </w:tr>
            <w:tr w:rsidR="0045796A" w:rsidRPr="0013396E" w14:paraId="39327A2A" w14:textId="6939406E" w:rsidTr="000F78EE">
              <w:trPr>
                <w:cantSplit/>
              </w:trPr>
              <w:tc>
                <w:tcPr>
                  <w:tcW w:w="2428" w:type="dxa"/>
                  <w:tcBorders>
                    <w:top w:val="single" w:sz="4" w:space="0" w:color="auto"/>
                    <w:left w:val="single" w:sz="4" w:space="0" w:color="auto"/>
                    <w:bottom w:val="single" w:sz="4" w:space="0" w:color="auto"/>
                    <w:right w:val="single" w:sz="4" w:space="0" w:color="auto"/>
                  </w:tcBorders>
                </w:tcPr>
                <w:p w14:paraId="3E5840B2" w14:textId="3695C4A6" w:rsidR="0045796A" w:rsidRPr="0013396E" w:rsidRDefault="0045796A" w:rsidP="0045796A">
                  <w:pPr>
                    <w:spacing w:after="60"/>
                    <w:rPr>
                      <w:iCs/>
                      <w:sz w:val="20"/>
                    </w:rPr>
                  </w:pPr>
                  <w:r w:rsidRPr="0013396E">
                    <w:rPr>
                      <w:i/>
                      <w:iCs/>
                      <w:sz w:val="20"/>
                    </w:rPr>
                    <w:t>wg</w:t>
                  </w:r>
                </w:p>
              </w:tc>
              <w:tc>
                <w:tcPr>
                  <w:tcW w:w="1459" w:type="dxa"/>
                  <w:tcBorders>
                    <w:top w:val="single" w:sz="4" w:space="0" w:color="auto"/>
                    <w:left w:val="single" w:sz="4" w:space="0" w:color="auto"/>
                    <w:bottom w:val="single" w:sz="4" w:space="0" w:color="auto"/>
                    <w:right w:val="single" w:sz="4" w:space="0" w:color="auto"/>
                  </w:tcBorders>
                </w:tcPr>
                <w:p w14:paraId="5AB6B3FF" w14:textId="3AA253A2" w:rsidR="0045796A" w:rsidRPr="0013396E" w:rsidRDefault="0045796A" w:rsidP="0045796A">
                  <w:pPr>
                    <w:spacing w:after="60"/>
                    <w:rPr>
                      <w:iCs/>
                      <w:sz w:val="20"/>
                    </w:rPr>
                  </w:pPr>
                  <w:r w:rsidRPr="0013396E">
                    <w:rPr>
                      <w:iCs/>
                      <w:sz w:val="20"/>
                    </w:rPr>
                    <w:t>none</w:t>
                  </w:r>
                </w:p>
              </w:tc>
              <w:tc>
                <w:tcPr>
                  <w:tcW w:w="5942" w:type="dxa"/>
                  <w:tcBorders>
                    <w:top w:val="single" w:sz="4" w:space="0" w:color="auto"/>
                    <w:left w:val="single" w:sz="4" w:space="0" w:color="auto"/>
                    <w:bottom w:val="single" w:sz="4" w:space="0" w:color="auto"/>
                    <w:right w:val="single" w:sz="4" w:space="0" w:color="auto"/>
                  </w:tcBorders>
                </w:tcPr>
                <w:p w14:paraId="2E24147B" w14:textId="44C58983" w:rsidR="0045796A" w:rsidRPr="0013396E" w:rsidRDefault="0045796A" w:rsidP="0045796A">
                  <w:pPr>
                    <w:spacing w:after="60"/>
                    <w:rPr>
                      <w:iCs/>
                      <w:sz w:val="20"/>
                    </w:rPr>
                  </w:pPr>
                  <w:r w:rsidRPr="0013396E">
                    <w:rPr>
                      <w:iCs/>
                      <w:sz w:val="20"/>
                    </w:rPr>
                    <w:t>An IRR Group.</w:t>
                  </w:r>
                </w:p>
              </w:tc>
            </w:tr>
          </w:tbl>
          <w:p w14:paraId="78A47927" w14:textId="54699919" w:rsidR="00E21852" w:rsidRPr="0013396E" w:rsidRDefault="00E21852" w:rsidP="00AB2BB6">
            <w:pPr>
              <w:pStyle w:val="H3"/>
            </w:pPr>
          </w:p>
        </w:tc>
      </w:tr>
    </w:tbl>
    <w:p w14:paraId="20464D2F" w14:textId="77777777" w:rsidR="005E0EE9" w:rsidRPr="0013396E" w:rsidRDefault="005E0EE9" w:rsidP="005E0EE9">
      <w:pPr>
        <w:keepNext/>
        <w:widowControl w:val="0"/>
        <w:tabs>
          <w:tab w:val="left" w:pos="1620"/>
        </w:tabs>
        <w:spacing w:before="480" w:after="240"/>
        <w:ind w:left="1627" w:hanging="1627"/>
        <w:outlineLvl w:val="4"/>
        <w:rPr>
          <w:b/>
          <w:bCs/>
          <w:snapToGrid w:val="0"/>
        </w:rPr>
      </w:pPr>
      <w:bookmarkStart w:id="1773" w:name="_Toc214878982"/>
      <w:r w:rsidRPr="0013396E">
        <w:rPr>
          <w:b/>
          <w:bCs/>
          <w:snapToGrid w:val="0"/>
        </w:rPr>
        <w:lastRenderedPageBreak/>
        <w:t>6.6.5.2.1</w:t>
      </w:r>
      <w:r w:rsidRPr="0013396E">
        <w:rPr>
          <w:b/>
          <w:bCs/>
          <w:snapToGrid w:val="0"/>
        </w:rPr>
        <w:tab/>
        <w:t>Set Point Deviation Charge for Under Generation</w:t>
      </w:r>
      <w:bookmarkEnd w:id="1773"/>
    </w:p>
    <w:p w14:paraId="440BBE25" w14:textId="0B49FF40" w:rsidR="005E0EE9" w:rsidRPr="0013396E" w:rsidRDefault="005E0EE9" w:rsidP="005E0EE9">
      <w:pPr>
        <w:spacing w:after="240"/>
        <w:ind w:left="720" w:hanging="720"/>
      </w:pPr>
      <w:r w:rsidRPr="0013396E">
        <w:t>(1)</w:t>
      </w:r>
      <w:r w:rsidRPr="0013396E">
        <w:tab/>
        <w:t>ERCOT shall charge a QSE for a Generation Resource for under-generation if the telemetered generation is below the lesser of:</w:t>
      </w:r>
    </w:p>
    <w:p w14:paraId="118A6284" w14:textId="77777777" w:rsidR="005E0EE9" w:rsidRPr="0013396E" w:rsidRDefault="005E0EE9" w:rsidP="005E0EE9">
      <w:pPr>
        <w:spacing w:after="240"/>
        <w:ind w:left="1440" w:hanging="720"/>
      </w:pPr>
      <w:r w:rsidRPr="0013396E">
        <w:t>(a)</w:t>
      </w:r>
      <w:r w:rsidRPr="0013396E">
        <w:tab/>
        <w:t>95% of the AASP in the Settlement Interval; or</w:t>
      </w:r>
    </w:p>
    <w:p w14:paraId="04F229F7" w14:textId="77777777" w:rsidR="005E0EE9" w:rsidRPr="0013396E" w:rsidRDefault="005E0EE9" w:rsidP="005E0EE9">
      <w:pPr>
        <w:spacing w:after="240"/>
        <w:ind w:left="1440" w:hanging="720"/>
      </w:pPr>
      <w:r w:rsidRPr="0013396E">
        <w:t>(b)</w:t>
      </w:r>
      <w:r w:rsidRPr="0013396E">
        <w:tab/>
        <w:t>The AASP in the Settlement Interval minus five MW.</w:t>
      </w:r>
    </w:p>
    <w:p w14:paraId="1C28EC49" w14:textId="45A2542B" w:rsidR="005E0EE9" w:rsidRPr="0013396E" w:rsidRDefault="005E0EE9" w:rsidP="005E0EE9">
      <w:pPr>
        <w:spacing w:after="240"/>
        <w:ind w:left="720" w:hanging="720"/>
        <w:rPr>
          <w:iCs/>
        </w:rPr>
      </w:pPr>
      <w:r w:rsidRPr="0013396E">
        <w:rPr>
          <w:iCs/>
        </w:rPr>
        <w:t>(</w:t>
      </w:r>
      <w:r w:rsidR="00073C0E">
        <w:rPr>
          <w:iCs/>
        </w:rPr>
        <w:t>2</w:t>
      </w:r>
      <w:r w:rsidRPr="0013396E">
        <w:rPr>
          <w:iCs/>
        </w:rPr>
        <w:t>)</w:t>
      </w:r>
      <w:r w:rsidRPr="0013396E">
        <w:rPr>
          <w:iCs/>
        </w:rPr>
        <w:tab/>
        <w:t>The under-generation charge to each QSE for each Generation Resource at each Resource Node Settlement Point for a given 15-minute Settlement Interval is calculated as follows:</w:t>
      </w:r>
    </w:p>
    <w:p w14:paraId="68FD6E4E" w14:textId="77777777" w:rsidR="005E0EE9" w:rsidRPr="0013396E" w:rsidRDefault="005E0EE9" w:rsidP="005E0EE9">
      <w:pPr>
        <w:tabs>
          <w:tab w:val="left" w:pos="2160"/>
          <w:tab w:val="left" w:pos="2880"/>
        </w:tabs>
        <w:spacing w:after="240"/>
        <w:ind w:leftChars="300" w:left="3611" w:hangingChars="1200" w:hanging="2891"/>
        <w:rPr>
          <w:b/>
          <w:bCs/>
          <w:szCs w:val="24"/>
        </w:rPr>
      </w:pPr>
      <w:r w:rsidRPr="0013396E">
        <w:rPr>
          <w:b/>
          <w:bCs/>
          <w:szCs w:val="24"/>
        </w:rPr>
        <w:t xml:space="preserve">SPDAMT </w:t>
      </w:r>
      <w:r w:rsidRPr="0013396E">
        <w:rPr>
          <w:b/>
          <w:bCs/>
          <w:i/>
          <w:iCs/>
          <w:szCs w:val="24"/>
          <w:vertAlign w:val="subscript"/>
          <w:lang w:val="es-ES"/>
        </w:rPr>
        <w:t>q, r, p, i</w:t>
      </w:r>
      <w:r w:rsidRPr="0013396E">
        <w:rPr>
          <w:b/>
          <w:bCs/>
          <w:szCs w:val="24"/>
        </w:rPr>
        <w:tab/>
        <w:t>=</w:t>
      </w:r>
      <w:r w:rsidRPr="0013396E">
        <w:rPr>
          <w:b/>
          <w:bCs/>
          <w:szCs w:val="24"/>
        </w:rPr>
        <w:tab/>
        <w:t xml:space="preserve">-1 * Min (PR2, RTSPP </w:t>
      </w:r>
      <w:r w:rsidRPr="0013396E">
        <w:rPr>
          <w:b/>
          <w:bCs/>
          <w:i/>
          <w:szCs w:val="24"/>
          <w:vertAlign w:val="subscript"/>
        </w:rPr>
        <w:t>p, i</w:t>
      </w:r>
      <w:r w:rsidRPr="0013396E">
        <w:rPr>
          <w:b/>
          <w:bCs/>
          <w:szCs w:val="24"/>
        </w:rPr>
        <w:t>) * Min (1, KP) * UGEN</w:t>
      </w:r>
      <w:r w:rsidRPr="0013396E">
        <w:rPr>
          <w:b/>
          <w:bCs/>
          <w:i/>
          <w:iCs/>
          <w:szCs w:val="24"/>
          <w:vertAlign w:val="subscript"/>
          <w:lang w:val="es-ES"/>
        </w:rPr>
        <w:t xml:space="preserve"> q, r, p, i </w:t>
      </w:r>
      <w:r w:rsidRPr="0013396E">
        <w:rPr>
          <w:rFonts w:ascii="Times New Roman Bold" w:hAnsi="Times New Roman Bold"/>
          <w:b/>
          <w:bCs/>
          <w:iCs/>
          <w:szCs w:val="24"/>
          <w:lang w:val="es-ES"/>
        </w:rPr>
        <w:t xml:space="preserve"> </w:t>
      </w:r>
    </w:p>
    <w:p w14:paraId="5D7D929B" w14:textId="77777777" w:rsidR="005E0EE9" w:rsidRPr="0013396E" w:rsidRDefault="005E0EE9" w:rsidP="005E0EE9">
      <w:pPr>
        <w:tabs>
          <w:tab w:val="left" w:pos="2250"/>
          <w:tab w:val="left" w:pos="3150"/>
          <w:tab w:val="left" w:pos="3960"/>
        </w:tabs>
        <w:spacing w:after="240"/>
        <w:ind w:left="3960" w:hanging="3240"/>
        <w:rPr>
          <w:bCs/>
          <w:szCs w:val="24"/>
        </w:rPr>
      </w:pPr>
      <w:r w:rsidRPr="0013396E">
        <w:rPr>
          <w:bCs/>
          <w:szCs w:val="24"/>
        </w:rPr>
        <w:t>Where:</w:t>
      </w:r>
    </w:p>
    <w:p w14:paraId="356E3035" w14:textId="77777777" w:rsidR="005E0EE9" w:rsidRPr="0013396E" w:rsidRDefault="005E0EE9" w:rsidP="005E0EE9">
      <w:pPr>
        <w:spacing w:after="240"/>
        <w:ind w:left="720"/>
        <w:rPr>
          <w:i/>
          <w:iCs/>
          <w:vertAlign w:val="subscript"/>
          <w:lang w:val="es-ES"/>
        </w:rPr>
      </w:pPr>
      <w:r w:rsidRPr="0013396E">
        <w:rPr>
          <w:iCs/>
        </w:rPr>
        <w:t>UGEN</w:t>
      </w:r>
      <w:r w:rsidRPr="0013396E">
        <w:rPr>
          <w:i/>
          <w:iCs/>
          <w:vertAlign w:val="subscript"/>
          <w:lang w:val="es-ES"/>
        </w:rPr>
        <w:t xml:space="preserve"> q, r, p, i</w:t>
      </w:r>
      <w:r w:rsidRPr="0013396E">
        <w:rPr>
          <w:iCs/>
        </w:rPr>
        <w:t xml:space="preserve">  =  Max [0, [Min ((1- K2) * ¼* AASP</w:t>
      </w:r>
      <w:r w:rsidRPr="0013396E">
        <w:rPr>
          <w:i/>
          <w:iCs/>
          <w:vertAlign w:val="subscript"/>
          <w:lang w:val="es-ES"/>
        </w:rPr>
        <w:t xml:space="preserve"> q, r, p, i </w:t>
      </w:r>
      <w:r w:rsidRPr="0013396E">
        <w:rPr>
          <w:iCs/>
        </w:rPr>
        <w:t>,</w:t>
      </w:r>
      <w:r w:rsidRPr="0013396E">
        <w:rPr>
          <w:i/>
          <w:iCs/>
          <w:vertAlign w:val="subscript"/>
          <w:lang w:val="es-ES"/>
        </w:rPr>
        <w:t xml:space="preserve">   </w:t>
      </w:r>
    </w:p>
    <w:p w14:paraId="5F3C2A4F" w14:textId="77777777" w:rsidR="005E0EE9" w:rsidRPr="0013396E" w:rsidRDefault="005E0EE9" w:rsidP="005E0EE9">
      <w:pPr>
        <w:spacing w:after="240"/>
        <w:ind w:left="720" w:hanging="720"/>
        <w:rPr>
          <w:iCs/>
        </w:rPr>
      </w:pPr>
      <w:r w:rsidRPr="0013396E">
        <w:rPr>
          <w:iCs/>
          <w:lang w:val="es-MX"/>
        </w:rPr>
        <w:t xml:space="preserve">                                              ¼ * (AASP</w:t>
      </w:r>
      <w:r w:rsidRPr="0013396E">
        <w:rPr>
          <w:i/>
          <w:vertAlign w:val="subscript"/>
          <w:lang w:val="es-ES"/>
        </w:rPr>
        <w:t xml:space="preserve"> q, r, p, i  </w:t>
      </w:r>
      <w:r w:rsidRPr="0013396E">
        <w:rPr>
          <w:iCs/>
        </w:rPr>
        <w:t xml:space="preserve">- Q2)) - TWTG </w:t>
      </w:r>
      <w:r w:rsidRPr="0013396E">
        <w:rPr>
          <w:i/>
          <w:vertAlign w:val="subscript"/>
          <w:lang w:val="es-ES"/>
        </w:rPr>
        <w:t>q, r, p, i</w:t>
      </w:r>
      <w:r w:rsidRPr="0013396E">
        <w:rPr>
          <w:iCs/>
        </w:rPr>
        <w:t>]]</w:t>
      </w:r>
    </w:p>
    <w:p w14:paraId="222FF65D" w14:textId="30E9D6EC" w:rsidR="005E0EE9" w:rsidRPr="0013396E" w:rsidRDefault="005E0EE9" w:rsidP="005E0EE9">
      <w:pPr>
        <w:tabs>
          <w:tab w:val="left" w:pos="2160"/>
          <w:tab w:val="left" w:pos="2880"/>
        </w:tabs>
        <w:spacing w:after="240"/>
        <w:ind w:leftChars="300" w:left="2880" w:hangingChars="900" w:hanging="2160"/>
        <w:rPr>
          <w:bCs/>
          <w:iCs/>
          <w:szCs w:val="24"/>
        </w:rPr>
      </w:pPr>
      <w:r w:rsidRPr="0013396E">
        <w:rPr>
          <w:bCs/>
          <w:szCs w:val="24"/>
        </w:rPr>
        <w:lastRenderedPageBreak/>
        <w:t>TWTG</w:t>
      </w:r>
      <w:r w:rsidRPr="0013396E">
        <w:rPr>
          <w:bCs/>
          <w:i/>
          <w:szCs w:val="24"/>
          <w:vertAlign w:val="subscript"/>
        </w:rPr>
        <w:t xml:space="preserve"> q, r, p, i</w:t>
      </w:r>
      <w:r w:rsidRPr="0013396E">
        <w:rPr>
          <w:bCs/>
          <w:i/>
          <w:szCs w:val="24"/>
          <w:vertAlign w:val="subscript"/>
        </w:rPr>
        <w:tab/>
        <w:t>=</w:t>
      </w:r>
      <w:r w:rsidRPr="0013396E">
        <w:rPr>
          <w:bCs/>
          <w:i/>
          <w:szCs w:val="24"/>
          <w:vertAlign w:val="subscript"/>
        </w:rPr>
        <w:tab/>
      </w:r>
      <w:r w:rsidRPr="0013396E">
        <w:rPr>
          <w:bCs/>
          <w:szCs w:val="24"/>
        </w:rPr>
        <w:t>(</w:t>
      </w:r>
      <w:r w:rsidR="00457C20" w:rsidRPr="0013396E">
        <w:rPr>
          <w:bCs/>
          <w:position w:val="-22"/>
          <w:szCs w:val="24"/>
        </w:rPr>
        <w:object w:dxaOrig="210" w:dyaOrig="450" w14:anchorId="75F7034B">
          <v:shape id="_x0000_i1150" type="#_x0000_t75" style="width:11.4pt;height:24pt" o:ole="">
            <v:imagedata r:id="rId176" o:title=""/>
          </v:shape>
          <o:OLEObject Type="Embed" ProgID="Equation.3" ShapeID="_x0000_i1150" DrawAspect="Content" ObjectID="_1836311429" r:id="rId182"/>
        </w:object>
      </w:r>
      <w:r w:rsidRPr="0013396E">
        <w:rPr>
          <w:bCs/>
          <w:szCs w:val="24"/>
        </w:rPr>
        <w:t xml:space="preserve"> (AVGTG5M</w:t>
      </w:r>
      <w:r w:rsidRPr="0013396E">
        <w:rPr>
          <w:bCs/>
          <w:i/>
          <w:szCs w:val="24"/>
          <w:vertAlign w:val="subscript"/>
        </w:rPr>
        <w:t xml:space="preserve"> q, r, p, i, y</w:t>
      </w:r>
      <w:r w:rsidRPr="0013396E">
        <w:rPr>
          <w:bCs/>
          <w:szCs w:val="24"/>
        </w:rPr>
        <w:t xml:space="preserve">) / 3) * </w:t>
      </w:r>
      <w:r w:rsidRPr="0013396E">
        <w:rPr>
          <w:bCs/>
          <w:iCs/>
          <w:szCs w:val="24"/>
        </w:rPr>
        <w:t>¼</w:t>
      </w:r>
    </w:p>
    <w:p w14:paraId="4BEB2562" w14:textId="77777777" w:rsidR="005E0EE9" w:rsidRPr="0013396E" w:rsidRDefault="005E0EE9" w:rsidP="005E0EE9">
      <w:pPr>
        <w:rPr>
          <w:szCs w:val="24"/>
        </w:rPr>
      </w:pPr>
      <w:r w:rsidRPr="0013396E">
        <w:rPr>
          <w:szCs w:val="24"/>
        </w:rPr>
        <w:t>The above variables are defined as follows:</w:t>
      </w:r>
    </w:p>
    <w:tbl>
      <w:tblPr>
        <w:tblW w:w="98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8"/>
        <w:gridCol w:w="1372"/>
        <w:gridCol w:w="5869"/>
      </w:tblGrid>
      <w:tr w:rsidR="005E0EE9" w:rsidRPr="0013396E" w14:paraId="18ECBE80" w14:textId="77777777" w:rsidTr="0099759E">
        <w:tc>
          <w:tcPr>
            <w:tcW w:w="2588" w:type="dxa"/>
          </w:tcPr>
          <w:p w14:paraId="1705FCEB" w14:textId="77777777" w:rsidR="005E0EE9" w:rsidRPr="0013396E" w:rsidRDefault="005E0EE9" w:rsidP="0099759E">
            <w:pPr>
              <w:pStyle w:val="TableHead"/>
            </w:pPr>
            <w:r w:rsidRPr="0013396E">
              <w:t>Variable</w:t>
            </w:r>
          </w:p>
        </w:tc>
        <w:tc>
          <w:tcPr>
            <w:tcW w:w="1372" w:type="dxa"/>
          </w:tcPr>
          <w:p w14:paraId="5BC46E74" w14:textId="77777777" w:rsidR="005E0EE9" w:rsidRPr="0013396E" w:rsidRDefault="005E0EE9" w:rsidP="0099759E">
            <w:pPr>
              <w:pStyle w:val="TableHead"/>
            </w:pPr>
            <w:r w:rsidRPr="0013396E">
              <w:t>Unit</w:t>
            </w:r>
          </w:p>
        </w:tc>
        <w:tc>
          <w:tcPr>
            <w:tcW w:w="5869" w:type="dxa"/>
          </w:tcPr>
          <w:p w14:paraId="19CE42FE" w14:textId="77777777" w:rsidR="005E0EE9" w:rsidRPr="0013396E" w:rsidRDefault="005E0EE9" w:rsidP="0099759E">
            <w:pPr>
              <w:pStyle w:val="TableHead"/>
            </w:pPr>
            <w:r w:rsidRPr="0013396E">
              <w:t>Definition</w:t>
            </w:r>
          </w:p>
        </w:tc>
      </w:tr>
      <w:tr w:rsidR="005E0EE9" w:rsidRPr="0013396E" w14:paraId="143BE224" w14:textId="77777777" w:rsidTr="0099759E">
        <w:trPr>
          <w:cantSplit/>
        </w:trPr>
        <w:tc>
          <w:tcPr>
            <w:tcW w:w="2588" w:type="dxa"/>
          </w:tcPr>
          <w:p w14:paraId="4D54FF21" w14:textId="77777777" w:rsidR="005E0EE9" w:rsidRPr="0013396E" w:rsidRDefault="005E0EE9" w:rsidP="0099759E">
            <w:pPr>
              <w:pStyle w:val="TableBody"/>
            </w:pPr>
            <w:r w:rsidRPr="0013396E">
              <w:t xml:space="preserve">SPDAMT </w:t>
            </w:r>
            <w:r w:rsidRPr="0013396E">
              <w:rPr>
                <w:i/>
                <w:vertAlign w:val="subscript"/>
              </w:rPr>
              <w:t>q, r, p, i</w:t>
            </w:r>
          </w:p>
        </w:tc>
        <w:tc>
          <w:tcPr>
            <w:tcW w:w="1372" w:type="dxa"/>
          </w:tcPr>
          <w:p w14:paraId="50CC6B88" w14:textId="77777777" w:rsidR="005E0EE9" w:rsidRPr="0013396E" w:rsidRDefault="005E0EE9" w:rsidP="0099759E">
            <w:pPr>
              <w:pStyle w:val="TableBody"/>
            </w:pPr>
            <w:r w:rsidRPr="0013396E">
              <w:t>$</w:t>
            </w:r>
          </w:p>
        </w:tc>
        <w:tc>
          <w:tcPr>
            <w:tcW w:w="5869" w:type="dxa"/>
          </w:tcPr>
          <w:p w14:paraId="4D461261" w14:textId="77777777" w:rsidR="005E0EE9" w:rsidRPr="0013396E" w:rsidRDefault="005E0EE9" w:rsidP="0099759E">
            <w:pPr>
              <w:pStyle w:val="TableBody"/>
            </w:pPr>
            <w:r w:rsidRPr="0013396E">
              <w:rPr>
                <w:i/>
              </w:rPr>
              <w:t>Set Point Deviation Charge per QSE per Settlement Point per Resource</w:t>
            </w:r>
            <w:r w:rsidRPr="0013396E">
              <w:t xml:space="preserve">—The charge to QSE </w:t>
            </w:r>
            <w:r w:rsidRPr="0013396E">
              <w:rPr>
                <w:i/>
              </w:rPr>
              <w:t>q</w:t>
            </w:r>
            <w:r w:rsidRPr="0013396E">
              <w:t xml:space="preserve"> for Generation Resource </w:t>
            </w:r>
            <w:r w:rsidRPr="0013396E">
              <w:rPr>
                <w:i/>
              </w:rPr>
              <w:t>r</w:t>
            </w:r>
            <w:r w:rsidRPr="0013396E">
              <w:t xml:space="preserve"> at Resource Node </w:t>
            </w:r>
            <w:r w:rsidRPr="0013396E">
              <w:rPr>
                <w:i/>
              </w:rPr>
              <w:t>p</w:t>
            </w:r>
            <w:r w:rsidRPr="0013396E">
              <w:t xml:space="preserve">, for its deviation from AASP, for the 15-minute Settlement Interval </w:t>
            </w:r>
            <w:r w:rsidRPr="0013396E">
              <w:rPr>
                <w:i/>
              </w:rPr>
              <w:t>i</w:t>
            </w:r>
            <w:r w:rsidRPr="0013396E">
              <w:t>.  A Set Point Deviation Charge is charged to the Combined Cycle Train for all Combined Cycle Generation Resources.</w:t>
            </w:r>
          </w:p>
        </w:tc>
      </w:tr>
      <w:tr w:rsidR="005E0EE9" w:rsidRPr="0013396E" w14:paraId="06691428" w14:textId="77777777" w:rsidTr="0099759E">
        <w:trPr>
          <w:cantSplit/>
        </w:trPr>
        <w:tc>
          <w:tcPr>
            <w:tcW w:w="2588" w:type="dxa"/>
          </w:tcPr>
          <w:p w14:paraId="585F3CD1" w14:textId="77777777" w:rsidR="005E0EE9" w:rsidRPr="0013396E" w:rsidRDefault="005E0EE9" w:rsidP="0099759E">
            <w:pPr>
              <w:pStyle w:val="TableBody"/>
            </w:pPr>
            <w:r w:rsidRPr="0013396E">
              <w:t xml:space="preserve">RTSPP </w:t>
            </w:r>
            <w:r w:rsidRPr="0013396E">
              <w:rPr>
                <w:i/>
                <w:vertAlign w:val="subscript"/>
              </w:rPr>
              <w:t>p, i</w:t>
            </w:r>
          </w:p>
        </w:tc>
        <w:tc>
          <w:tcPr>
            <w:tcW w:w="1372" w:type="dxa"/>
          </w:tcPr>
          <w:p w14:paraId="58AD118A" w14:textId="77777777" w:rsidR="005E0EE9" w:rsidRPr="0013396E" w:rsidRDefault="005E0EE9" w:rsidP="0099759E">
            <w:pPr>
              <w:pStyle w:val="TableBody"/>
            </w:pPr>
            <w:r w:rsidRPr="0013396E">
              <w:t>$/MWh</w:t>
            </w:r>
          </w:p>
        </w:tc>
        <w:tc>
          <w:tcPr>
            <w:tcW w:w="5869" w:type="dxa"/>
          </w:tcPr>
          <w:p w14:paraId="0286BF64" w14:textId="77777777" w:rsidR="005E0EE9" w:rsidRPr="0013396E" w:rsidRDefault="005E0EE9" w:rsidP="0099759E">
            <w:pPr>
              <w:pStyle w:val="TableBody"/>
            </w:pPr>
            <w:r w:rsidRPr="0013396E">
              <w:rPr>
                <w:i/>
              </w:rPr>
              <w:t>Real-Time Settlement Point Price per Settlement Point</w:t>
            </w:r>
            <w:r w:rsidRPr="0013396E">
              <w:t xml:space="preserve">—The Real-Time Settlement Point Price at Settlement Point </w:t>
            </w:r>
            <w:r w:rsidRPr="0013396E">
              <w:rPr>
                <w:i/>
              </w:rPr>
              <w:t>p</w:t>
            </w:r>
            <w:r w:rsidRPr="0013396E">
              <w:t xml:space="preserve">, for the 15-minute Settlement Interval </w:t>
            </w:r>
            <w:r w:rsidRPr="0013396E">
              <w:rPr>
                <w:i/>
              </w:rPr>
              <w:t>i</w:t>
            </w:r>
            <w:r w:rsidRPr="0013396E">
              <w:t>.</w:t>
            </w:r>
          </w:p>
        </w:tc>
      </w:tr>
      <w:tr w:rsidR="005E0EE9" w:rsidRPr="0013396E" w14:paraId="5B64DEBA" w14:textId="77777777" w:rsidTr="0099759E">
        <w:trPr>
          <w:cantSplit/>
        </w:trPr>
        <w:tc>
          <w:tcPr>
            <w:tcW w:w="2588" w:type="dxa"/>
          </w:tcPr>
          <w:p w14:paraId="0836F830" w14:textId="77777777" w:rsidR="005E0EE9" w:rsidRPr="0013396E" w:rsidRDefault="005E0EE9" w:rsidP="0099759E">
            <w:pPr>
              <w:pStyle w:val="TableBody"/>
            </w:pPr>
            <w:r w:rsidRPr="0013396E">
              <w:t xml:space="preserve">TWTG </w:t>
            </w:r>
            <w:r w:rsidRPr="0013396E">
              <w:rPr>
                <w:i/>
                <w:vertAlign w:val="subscript"/>
              </w:rPr>
              <w:t>q, r, p, i</w:t>
            </w:r>
          </w:p>
        </w:tc>
        <w:tc>
          <w:tcPr>
            <w:tcW w:w="1372" w:type="dxa"/>
          </w:tcPr>
          <w:p w14:paraId="3FDBEFA4" w14:textId="77777777" w:rsidR="005E0EE9" w:rsidRPr="0013396E" w:rsidRDefault="005E0EE9" w:rsidP="0099759E">
            <w:pPr>
              <w:pStyle w:val="TableBody"/>
            </w:pPr>
            <w:r w:rsidRPr="0013396E">
              <w:t>MWh</w:t>
            </w:r>
          </w:p>
        </w:tc>
        <w:tc>
          <w:tcPr>
            <w:tcW w:w="5869" w:type="dxa"/>
          </w:tcPr>
          <w:p w14:paraId="73854995" w14:textId="77777777" w:rsidR="005E0EE9" w:rsidRPr="0013396E" w:rsidRDefault="005E0EE9" w:rsidP="0099759E">
            <w:pPr>
              <w:pStyle w:val="TableBody"/>
              <w:rPr>
                <w:i/>
              </w:rPr>
            </w:pPr>
            <w:r w:rsidRPr="0013396E">
              <w:rPr>
                <w:i/>
              </w:rPr>
              <w:t>Time-Weighted Telemetered Generation per QSE per Settlement Point per Resource</w:t>
            </w:r>
            <w:r w:rsidRPr="0013396E">
              <w:t xml:space="preserve">—The telemetered generation of Generation Resource </w:t>
            </w:r>
            <w:r w:rsidRPr="0013396E">
              <w:rPr>
                <w:i/>
              </w:rPr>
              <w:t>r</w:t>
            </w:r>
            <w:r w:rsidRPr="0013396E">
              <w:t xml:space="preserve"> represented by QSE </w:t>
            </w:r>
            <w:r w:rsidRPr="0013396E">
              <w:rPr>
                <w:i/>
              </w:rPr>
              <w:t>q</w:t>
            </w:r>
            <w:r w:rsidRPr="0013396E">
              <w:t xml:space="preserve"> at Resource Node </w:t>
            </w:r>
            <w:r w:rsidRPr="0013396E">
              <w:rPr>
                <w:i/>
              </w:rPr>
              <w:t>p</w:t>
            </w:r>
            <w:r w:rsidRPr="0013396E">
              <w:t xml:space="preserve">, for the 15-minute Settlement Interval </w:t>
            </w:r>
            <w:r w:rsidRPr="0013396E">
              <w:rPr>
                <w:i/>
              </w:rPr>
              <w:t>i</w:t>
            </w:r>
            <w:r w:rsidRPr="0013396E">
              <w:t xml:space="preserve">.  Where for a Combined Cycle Train, the Resource </w:t>
            </w:r>
            <w:r w:rsidRPr="0013396E">
              <w:rPr>
                <w:i/>
              </w:rPr>
              <w:t xml:space="preserve">r </w:t>
            </w:r>
            <w:r w:rsidRPr="0013396E">
              <w:t>is the Combined Cycle Train.</w:t>
            </w:r>
          </w:p>
        </w:tc>
      </w:tr>
      <w:tr w:rsidR="005E0EE9" w:rsidRPr="0013396E" w14:paraId="7EC3D2DC" w14:textId="77777777" w:rsidTr="0099759E">
        <w:trPr>
          <w:cantSplit/>
        </w:trPr>
        <w:tc>
          <w:tcPr>
            <w:tcW w:w="2588" w:type="dxa"/>
          </w:tcPr>
          <w:p w14:paraId="47C15A50" w14:textId="77777777" w:rsidR="005E0EE9" w:rsidRPr="0013396E" w:rsidRDefault="005E0EE9" w:rsidP="0099759E">
            <w:pPr>
              <w:pStyle w:val="TableBody"/>
            </w:pPr>
            <w:r w:rsidRPr="0013396E">
              <w:t>AASP</w:t>
            </w:r>
            <w:r w:rsidRPr="0013396E">
              <w:rPr>
                <w:vertAlign w:val="subscript"/>
              </w:rPr>
              <w:t xml:space="preserve"> </w:t>
            </w:r>
            <w:r w:rsidRPr="0013396E">
              <w:rPr>
                <w:i/>
                <w:vertAlign w:val="subscript"/>
              </w:rPr>
              <w:t>q, r, p, i</w:t>
            </w:r>
          </w:p>
        </w:tc>
        <w:tc>
          <w:tcPr>
            <w:tcW w:w="1372" w:type="dxa"/>
          </w:tcPr>
          <w:p w14:paraId="5FB2999C" w14:textId="77777777" w:rsidR="005E0EE9" w:rsidRPr="0013396E" w:rsidRDefault="005E0EE9" w:rsidP="0099759E">
            <w:pPr>
              <w:pStyle w:val="TableBody"/>
            </w:pPr>
            <w:r w:rsidRPr="0013396E">
              <w:t>MW</w:t>
            </w:r>
          </w:p>
        </w:tc>
        <w:tc>
          <w:tcPr>
            <w:tcW w:w="5869" w:type="dxa"/>
          </w:tcPr>
          <w:p w14:paraId="61BBDAC0" w14:textId="77777777" w:rsidR="005E0EE9" w:rsidRPr="0013396E" w:rsidRDefault="005E0EE9" w:rsidP="0099759E">
            <w:pPr>
              <w:pStyle w:val="TableBody"/>
              <w:rPr>
                <w:i/>
              </w:rPr>
            </w:pPr>
            <w:r w:rsidRPr="0013396E">
              <w:rPr>
                <w:i/>
              </w:rPr>
              <w:t>Average Aggregated Set Point</w:t>
            </w:r>
            <w:r w:rsidRPr="0013396E">
              <w:t xml:space="preserve">—The average of the Average Five Minute Clock Interval Set Point (AVGSP5M) of Generation Resource </w:t>
            </w:r>
            <w:r w:rsidRPr="0013396E">
              <w:rPr>
                <w:i/>
              </w:rPr>
              <w:t>r</w:t>
            </w:r>
            <w:r w:rsidRPr="0013396E">
              <w:t xml:space="preserve"> represented by QSE </w:t>
            </w:r>
            <w:r w:rsidRPr="0013396E">
              <w:rPr>
                <w:i/>
              </w:rPr>
              <w:t>q</w:t>
            </w:r>
            <w:r w:rsidRPr="0013396E">
              <w:t xml:space="preserve"> at Settlement Point </w:t>
            </w:r>
            <w:r w:rsidRPr="0013396E">
              <w:rPr>
                <w:i/>
              </w:rPr>
              <w:t>p</w:t>
            </w:r>
            <w:r w:rsidRPr="0013396E">
              <w:t xml:space="preserve">, for the 15-minute Settlement Interval </w:t>
            </w:r>
            <w:r w:rsidRPr="0013396E">
              <w:rPr>
                <w:i/>
              </w:rPr>
              <w:t>i</w:t>
            </w:r>
            <w:r w:rsidRPr="0013396E">
              <w:t>.  Where for a Combined Cycle Train, AASP is calculated for the Combined Cycle Train considering all UDSPs to any Combined Cycle Generation Resources within the Combined Cycle Train.</w:t>
            </w:r>
          </w:p>
        </w:tc>
      </w:tr>
      <w:tr w:rsidR="005E0EE9" w:rsidRPr="0013396E" w14:paraId="6CDAE323" w14:textId="77777777" w:rsidTr="0099759E">
        <w:trPr>
          <w:cantSplit/>
        </w:trPr>
        <w:tc>
          <w:tcPr>
            <w:tcW w:w="2588" w:type="dxa"/>
          </w:tcPr>
          <w:p w14:paraId="397D3D54" w14:textId="77777777" w:rsidR="005E0EE9" w:rsidRPr="0013396E" w:rsidRDefault="005E0EE9" w:rsidP="0099759E">
            <w:pPr>
              <w:pStyle w:val="TableBody"/>
            </w:pPr>
            <w:r w:rsidRPr="0013396E">
              <w:t>AVGTG5M</w:t>
            </w:r>
            <w:r w:rsidRPr="0013396E">
              <w:rPr>
                <w:i/>
                <w:vertAlign w:val="subscript"/>
                <w:lang w:val="fr-FR"/>
              </w:rPr>
              <w:t xml:space="preserve">  q, r, p, i, y</w:t>
            </w:r>
          </w:p>
        </w:tc>
        <w:tc>
          <w:tcPr>
            <w:tcW w:w="1372" w:type="dxa"/>
          </w:tcPr>
          <w:p w14:paraId="14A69FA7" w14:textId="77777777" w:rsidR="005E0EE9" w:rsidRPr="0013396E" w:rsidRDefault="005E0EE9" w:rsidP="0099759E">
            <w:pPr>
              <w:pStyle w:val="TableBody"/>
            </w:pPr>
            <w:r w:rsidRPr="0013396E">
              <w:t>MW</w:t>
            </w:r>
          </w:p>
        </w:tc>
        <w:tc>
          <w:tcPr>
            <w:tcW w:w="5869" w:type="dxa"/>
          </w:tcPr>
          <w:p w14:paraId="57477EDE" w14:textId="77777777" w:rsidR="005E0EE9" w:rsidRPr="0013396E" w:rsidRDefault="005E0EE9" w:rsidP="0099759E">
            <w:pPr>
              <w:pStyle w:val="TableBody"/>
            </w:pPr>
            <w:r w:rsidRPr="0013396E">
              <w:rPr>
                <w:i/>
              </w:rPr>
              <w:t>Average Telemetered Generation for the 5 Minutes</w:t>
            </w:r>
            <w:r w:rsidRPr="0013396E">
              <w:t xml:space="preserve"> —The average telemetered generation of Generation Resource </w:t>
            </w:r>
            <w:r w:rsidRPr="0013396E">
              <w:rPr>
                <w:i/>
              </w:rPr>
              <w:t>r</w:t>
            </w:r>
            <w:r w:rsidRPr="0013396E">
              <w:t xml:space="preserve"> represented by QSE </w:t>
            </w:r>
            <w:r w:rsidRPr="0013396E">
              <w:rPr>
                <w:i/>
              </w:rPr>
              <w:t>q</w:t>
            </w:r>
            <w:r w:rsidRPr="0013396E">
              <w:t xml:space="preserve"> at Resource Node </w:t>
            </w:r>
            <w:r w:rsidRPr="0013396E">
              <w:rPr>
                <w:i/>
              </w:rPr>
              <w:t>p</w:t>
            </w:r>
            <w:r w:rsidRPr="0013396E">
              <w:t xml:space="preserve">, for the five-minute clock interval </w:t>
            </w:r>
            <w:r w:rsidRPr="0013396E">
              <w:rPr>
                <w:i/>
              </w:rPr>
              <w:t>y</w:t>
            </w:r>
            <w:r w:rsidRPr="0013396E">
              <w:t xml:space="preserve">, within the 15-minute Settlement Interval </w:t>
            </w:r>
            <w:r w:rsidRPr="0013396E">
              <w:rPr>
                <w:i/>
              </w:rPr>
              <w:t>i</w:t>
            </w:r>
            <w:r w:rsidRPr="0013396E">
              <w:t>.</w:t>
            </w:r>
          </w:p>
        </w:tc>
      </w:tr>
      <w:tr w:rsidR="005E0EE9" w:rsidRPr="0013396E" w14:paraId="1FC7FF1C" w14:textId="77777777" w:rsidTr="0099759E">
        <w:trPr>
          <w:cantSplit/>
        </w:trPr>
        <w:tc>
          <w:tcPr>
            <w:tcW w:w="2588" w:type="dxa"/>
          </w:tcPr>
          <w:p w14:paraId="2448A369" w14:textId="77777777" w:rsidR="005E0EE9" w:rsidRPr="0013396E" w:rsidRDefault="005E0EE9" w:rsidP="0099759E">
            <w:pPr>
              <w:pStyle w:val="TableBody"/>
            </w:pPr>
            <w:r w:rsidRPr="0013396E">
              <w:t xml:space="preserve">UGEN </w:t>
            </w:r>
            <w:r w:rsidRPr="0013396E">
              <w:rPr>
                <w:i/>
                <w:vertAlign w:val="subscript"/>
              </w:rPr>
              <w:t>q, r, p, i</w:t>
            </w:r>
          </w:p>
        </w:tc>
        <w:tc>
          <w:tcPr>
            <w:tcW w:w="1372" w:type="dxa"/>
          </w:tcPr>
          <w:p w14:paraId="11B1C9FD" w14:textId="77777777" w:rsidR="005E0EE9" w:rsidRPr="0013396E" w:rsidRDefault="005E0EE9" w:rsidP="0099759E">
            <w:pPr>
              <w:pStyle w:val="TableBody"/>
            </w:pPr>
            <w:r w:rsidRPr="0013396E">
              <w:t>MWh</w:t>
            </w:r>
          </w:p>
        </w:tc>
        <w:tc>
          <w:tcPr>
            <w:tcW w:w="5869" w:type="dxa"/>
          </w:tcPr>
          <w:p w14:paraId="6C9EB664" w14:textId="77777777" w:rsidR="005E0EE9" w:rsidRPr="0013396E" w:rsidRDefault="005E0EE9" w:rsidP="0099759E">
            <w:pPr>
              <w:pStyle w:val="TableBody"/>
            </w:pPr>
            <w:r w:rsidRPr="0013396E">
              <w:rPr>
                <w:i/>
              </w:rPr>
              <w:t>Under-Generation Volumes per QSE per Settlement Point per Resource</w:t>
            </w:r>
            <w:r w:rsidRPr="0013396E">
              <w:t xml:space="preserve">—The amount under-generated by the Generation Resource </w:t>
            </w:r>
            <w:r w:rsidRPr="0013396E">
              <w:rPr>
                <w:i/>
              </w:rPr>
              <w:t>r</w:t>
            </w:r>
            <w:r w:rsidRPr="0013396E">
              <w:t xml:space="preserve"> represented by QSE </w:t>
            </w:r>
            <w:r w:rsidRPr="0013396E">
              <w:rPr>
                <w:i/>
              </w:rPr>
              <w:t>q</w:t>
            </w:r>
            <w:r w:rsidRPr="0013396E">
              <w:t xml:space="preserve"> at Resource Node </w:t>
            </w:r>
            <w:r w:rsidRPr="0013396E">
              <w:rPr>
                <w:i/>
              </w:rPr>
              <w:t>p</w:t>
            </w:r>
            <w:r w:rsidRPr="0013396E">
              <w:t xml:space="preserve"> for the 15-minute Settlement Interval </w:t>
            </w:r>
            <w:r w:rsidRPr="0013396E">
              <w:rPr>
                <w:i/>
              </w:rPr>
              <w:t>i</w:t>
            </w:r>
            <w:r w:rsidRPr="0013396E">
              <w:t>.</w:t>
            </w:r>
          </w:p>
        </w:tc>
      </w:tr>
      <w:tr w:rsidR="005E0EE9" w:rsidRPr="0013396E" w14:paraId="73B716E0" w14:textId="77777777" w:rsidTr="0099759E">
        <w:trPr>
          <w:cantSplit/>
        </w:trPr>
        <w:tc>
          <w:tcPr>
            <w:tcW w:w="2588" w:type="dxa"/>
          </w:tcPr>
          <w:p w14:paraId="5692947C" w14:textId="77777777" w:rsidR="005E0EE9" w:rsidRPr="0013396E" w:rsidRDefault="005E0EE9" w:rsidP="0099759E">
            <w:pPr>
              <w:pStyle w:val="TableBody"/>
            </w:pPr>
            <w:r w:rsidRPr="0013396E">
              <w:t>KP</w:t>
            </w:r>
          </w:p>
        </w:tc>
        <w:tc>
          <w:tcPr>
            <w:tcW w:w="1372" w:type="dxa"/>
          </w:tcPr>
          <w:p w14:paraId="5057458B" w14:textId="77777777" w:rsidR="005E0EE9" w:rsidRPr="0013396E" w:rsidRDefault="005E0EE9" w:rsidP="0099759E">
            <w:pPr>
              <w:pStyle w:val="TableBody"/>
            </w:pPr>
            <w:r w:rsidRPr="0013396E">
              <w:t>none</w:t>
            </w:r>
          </w:p>
        </w:tc>
        <w:tc>
          <w:tcPr>
            <w:tcW w:w="5869" w:type="dxa"/>
          </w:tcPr>
          <w:p w14:paraId="3F13BFEF" w14:textId="77777777" w:rsidR="005E0EE9" w:rsidRPr="0013396E" w:rsidRDefault="005E0EE9" w:rsidP="0099759E">
            <w:pPr>
              <w:pStyle w:val="TableBody"/>
            </w:pPr>
            <w:r w:rsidRPr="0013396E">
              <w:t>The coefficient applied to the Settlement Point Price for under-generation charge, 1.0.</w:t>
            </w:r>
          </w:p>
        </w:tc>
      </w:tr>
      <w:tr w:rsidR="005E0EE9" w:rsidRPr="0013396E" w14:paraId="5713C0C3" w14:textId="77777777" w:rsidTr="0099759E">
        <w:trPr>
          <w:cantSplit/>
        </w:trPr>
        <w:tc>
          <w:tcPr>
            <w:tcW w:w="2588" w:type="dxa"/>
          </w:tcPr>
          <w:p w14:paraId="51F59486" w14:textId="77777777" w:rsidR="005E0EE9" w:rsidRPr="0013396E" w:rsidRDefault="005E0EE9" w:rsidP="0099759E">
            <w:pPr>
              <w:pStyle w:val="TableBody"/>
            </w:pPr>
            <w:r w:rsidRPr="0013396E">
              <w:t>PR2</w:t>
            </w:r>
          </w:p>
        </w:tc>
        <w:tc>
          <w:tcPr>
            <w:tcW w:w="1372" w:type="dxa"/>
          </w:tcPr>
          <w:p w14:paraId="554FA9FA" w14:textId="77777777" w:rsidR="005E0EE9" w:rsidRPr="0013396E" w:rsidRDefault="005E0EE9" w:rsidP="0099759E">
            <w:pPr>
              <w:pStyle w:val="TableBody"/>
            </w:pPr>
            <w:r w:rsidRPr="0013396E">
              <w:t>$/MWh</w:t>
            </w:r>
          </w:p>
        </w:tc>
        <w:tc>
          <w:tcPr>
            <w:tcW w:w="5869" w:type="dxa"/>
          </w:tcPr>
          <w:p w14:paraId="6C38B8BB" w14:textId="77777777" w:rsidR="005E0EE9" w:rsidRPr="0013396E" w:rsidRDefault="005E0EE9" w:rsidP="0099759E">
            <w:pPr>
              <w:pStyle w:val="TableBody"/>
            </w:pPr>
            <w:r w:rsidRPr="0013396E">
              <w:t xml:space="preserve">The price to use for the Set Point Deviation Charge for under-generation calculation when RTSPP is greater than -$20/MWh, -$20/MWh.  </w:t>
            </w:r>
          </w:p>
        </w:tc>
      </w:tr>
      <w:tr w:rsidR="005E0EE9" w:rsidRPr="0013396E" w14:paraId="30CF45E8" w14:textId="77777777" w:rsidTr="0099759E">
        <w:trPr>
          <w:cantSplit/>
        </w:trPr>
        <w:tc>
          <w:tcPr>
            <w:tcW w:w="2588" w:type="dxa"/>
          </w:tcPr>
          <w:p w14:paraId="2BD6E929" w14:textId="77777777" w:rsidR="005E0EE9" w:rsidRPr="0013396E" w:rsidRDefault="005E0EE9" w:rsidP="0099759E">
            <w:pPr>
              <w:pStyle w:val="TableBody"/>
            </w:pPr>
            <w:r w:rsidRPr="0013396E">
              <w:t>K2</w:t>
            </w:r>
          </w:p>
        </w:tc>
        <w:tc>
          <w:tcPr>
            <w:tcW w:w="1372" w:type="dxa"/>
          </w:tcPr>
          <w:p w14:paraId="6EBB8815" w14:textId="77777777" w:rsidR="005E0EE9" w:rsidRPr="0013396E" w:rsidRDefault="005E0EE9" w:rsidP="0099759E">
            <w:pPr>
              <w:pStyle w:val="TableBody"/>
            </w:pPr>
            <w:r w:rsidRPr="0013396E">
              <w:t>none</w:t>
            </w:r>
          </w:p>
        </w:tc>
        <w:tc>
          <w:tcPr>
            <w:tcW w:w="5869" w:type="dxa"/>
          </w:tcPr>
          <w:p w14:paraId="2B6084B1" w14:textId="77777777" w:rsidR="005E0EE9" w:rsidRPr="0013396E" w:rsidRDefault="005E0EE9" w:rsidP="0099759E">
            <w:pPr>
              <w:pStyle w:val="TableBody"/>
            </w:pPr>
            <w:r w:rsidRPr="0013396E">
              <w:t xml:space="preserve">The percentage tolerance for under-generation, 5%. </w:t>
            </w:r>
          </w:p>
        </w:tc>
      </w:tr>
      <w:tr w:rsidR="005E0EE9" w:rsidRPr="0013396E" w14:paraId="6F92A3FA" w14:textId="77777777" w:rsidTr="0099759E">
        <w:trPr>
          <w:cantSplit/>
        </w:trPr>
        <w:tc>
          <w:tcPr>
            <w:tcW w:w="2588" w:type="dxa"/>
          </w:tcPr>
          <w:p w14:paraId="1AB99353" w14:textId="77777777" w:rsidR="005E0EE9" w:rsidRPr="0013396E" w:rsidRDefault="005E0EE9" w:rsidP="0099759E">
            <w:pPr>
              <w:pStyle w:val="TableBody"/>
            </w:pPr>
            <w:r w:rsidRPr="0013396E">
              <w:t>Q2</w:t>
            </w:r>
          </w:p>
        </w:tc>
        <w:tc>
          <w:tcPr>
            <w:tcW w:w="1372" w:type="dxa"/>
          </w:tcPr>
          <w:p w14:paraId="5C5599E9" w14:textId="77777777" w:rsidR="005E0EE9" w:rsidRPr="0013396E" w:rsidRDefault="005E0EE9" w:rsidP="0099759E">
            <w:pPr>
              <w:pStyle w:val="TableBody"/>
            </w:pPr>
            <w:r w:rsidRPr="0013396E">
              <w:t>MW</w:t>
            </w:r>
          </w:p>
        </w:tc>
        <w:tc>
          <w:tcPr>
            <w:tcW w:w="5869" w:type="dxa"/>
          </w:tcPr>
          <w:p w14:paraId="5AFE79C7" w14:textId="77777777" w:rsidR="005E0EE9" w:rsidRPr="0013396E" w:rsidRDefault="005E0EE9" w:rsidP="0099759E">
            <w:pPr>
              <w:pStyle w:val="TableBody"/>
            </w:pPr>
            <w:r w:rsidRPr="0013396E">
              <w:t>The MW tolerance for under-generation, five MW.</w:t>
            </w:r>
          </w:p>
        </w:tc>
      </w:tr>
      <w:tr w:rsidR="005E0EE9" w:rsidRPr="0013396E" w14:paraId="16FE81A1" w14:textId="77777777" w:rsidTr="0099759E">
        <w:trPr>
          <w:cantSplit/>
        </w:trPr>
        <w:tc>
          <w:tcPr>
            <w:tcW w:w="2588" w:type="dxa"/>
          </w:tcPr>
          <w:p w14:paraId="67A9A21B" w14:textId="77777777" w:rsidR="005E0EE9" w:rsidRPr="0013396E" w:rsidRDefault="005E0EE9" w:rsidP="0099759E">
            <w:pPr>
              <w:spacing w:after="60"/>
              <w:rPr>
                <w:iCs/>
                <w:sz w:val="20"/>
              </w:rPr>
            </w:pPr>
            <w:r w:rsidRPr="0013396E">
              <w:rPr>
                <w:iCs/>
                <w:sz w:val="20"/>
              </w:rPr>
              <w:t>N</w:t>
            </w:r>
          </w:p>
        </w:tc>
        <w:tc>
          <w:tcPr>
            <w:tcW w:w="1372" w:type="dxa"/>
          </w:tcPr>
          <w:p w14:paraId="71BCE269" w14:textId="77777777" w:rsidR="005E0EE9" w:rsidRPr="0013396E" w:rsidRDefault="005E0EE9" w:rsidP="0099759E">
            <w:pPr>
              <w:spacing w:after="60"/>
              <w:rPr>
                <w:iCs/>
                <w:sz w:val="20"/>
              </w:rPr>
            </w:pPr>
            <w:r w:rsidRPr="0013396E">
              <w:rPr>
                <w:iCs/>
                <w:sz w:val="20"/>
              </w:rPr>
              <w:t>none</w:t>
            </w:r>
          </w:p>
        </w:tc>
        <w:tc>
          <w:tcPr>
            <w:tcW w:w="5869" w:type="dxa"/>
          </w:tcPr>
          <w:p w14:paraId="7646D8F7" w14:textId="77777777" w:rsidR="005E0EE9" w:rsidRPr="0013396E" w:rsidRDefault="005E0EE9" w:rsidP="0099759E">
            <w:pPr>
              <w:spacing w:after="60"/>
              <w:rPr>
                <w:iCs/>
                <w:sz w:val="20"/>
              </w:rPr>
            </w:pPr>
            <w:r w:rsidRPr="0013396E">
              <w:rPr>
                <w:iCs/>
                <w:sz w:val="20"/>
              </w:rPr>
              <w:t>The number of IRRs within an IRR Group.</w:t>
            </w:r>
          </w:p>
        </w:tc>
      </w:tr>
      <w:tr w:rsidR="005E0EE9" w:rsidRPr="0013396E" w14:paraId="2260E611" w14:textId="77777777" w:rsidTr="0099759E">
        <w:trPr>
          <w:cantSplit/>
        </w:trPr>
        <w:tc>
          <w:tcPr>
            <w:tcW w:w="2588" w:type="dxa"/>
          </w:tcPr>
          <w:p w14:paraId="3CBFC7BE" w14:textId="77777777" w:rsidR="005E0EE9" w:rsidRPr="0013396E" w:rsidRDefault="005E0EE9" w:rsidP="0099759E">
            <w:pPr>
              <w:pStyle w:val="TableBody"/>
              <w:rPr>
                <w:i/>
              </w:rPr>
            </w:pPr>
            <w:r w:rsidRPr="0013396E">
              <w:rPr>
                <w:i/>
              </w:rPr>
              <w:t>q</w:t>
            </w:r>
          </w:p>
        </w:tc>
        <w:tc>
          <w:tcPr>
            <w:tcW w:w="1372" w:type="dxa"/>
          </w:tcPr>
          <w:p w14:paraId="245E9E17" w14:textId="77777777" w:rsidR="005E0EE9" w:rsidRPr="0013396E" w:rsidRDefault="005E0EE9" w:rsidP="0099759E">
            <w:pPr>
              <w:pStyle w:val="TableBody"/>
            </w:pPr>
            <w:r w:rsidRPr="0013396E">
              <w:t>none</w:t>
            </w:r>
          </w:p>
        </w:tc>
        <w:tc>
          <w:tcPr>
            <w:tcW w:w="5869" w:type="dxa"/>
          </w:tcPr>
          <w:p w14:paraId="5CE39891" w14:textId="77777777" w:rsidR="005E0EE9" w:rsidRPr="0013396E" w:rsidRDefault="005E0EE9" w:rsidP="0099759E">
            <w:pPr>
              <w:pStyle w:val="TableBody"/>
            </w:pPr>
            <w:r w:rsidRPr="0013396E">
              <w:t>A QSE.</w:t>
            </w:r>
          </w:p>
        </w:tc>
      </w:tr>
      <w:tr w:rsidR="005E0EE9" w:rsidRPr="0013396E" w14:paraId="2A690309" w14:textId="77777777" w:rsidTr="0099759E">
        <w:trPr>
          <w:cantSplit/>
        </w:trPr>
        <w:tc>
          <w:tcPr>
            <w:tcW w:w="2588" w:type="dxa"/>
          </w:tcPr>
          <w:p w14:paraId="7A66E986" w14:textId="77777777" w:rsidR="005E0EE9" w:rsidRPr="0013396E" w:rsidRDefault="005E0EE9" w:rsidP="0099759E">
            <w:pPr>
              <w:pStyle w:val="TableBody"/>
              <w:rPr>
                <w:i/>
              </w:rPr>
            </w:pPr>
            <w:r w:rsidRPr="0013396E">
              <w:rPr>
                <w:i/>
              </w:rPr>
              <w:t>p</w:t>
            </w:r>
          </w:p>
        </w:tc>
        <w:tc>
          <w:tcPr>
            <w:tcW w:w="1372" w:type="dxa"/>
          </w:tcPr>
          <w:p w14:paraId="5919A13B" w14:textId="77777777" w:rsidR="005E0EE9" w:rsidRPr="0013396E" w:rsidRDefault="005E0EE9" w:rsidP="0099759E">
            <w:pPr>
              <w:pStyle w:val="TableBody"/>
            </w:pPr>
            <w:r w:rsidRPr="0013396E">
              <w:t>none</w:t>
            </w:r>
          </w:p>
        </w:tc>
        <w:tc>
          <w:tcPr>
            <w:tcW w:w="5869" w:type="dxa"/>
          </w:tcPr>
          <w:p w14:paraId="474B2F79" w14:textId="77777777" w:rsidR="005E0EE9" w:rsidRPr="0013396E" w:rsidRDefault="005E0EE9" w:rsidP="0099759E">
            <w:pPr>
              <w:pStyle w:val="TableBody"/>
            </w:pPr>
            <w:r w:rsidRPr="0013396E">
              <w:t>A Settlement Point.</w:t>
            </w:r>
          </w:p>
        </w:tc>
      </w:tr>
      <w:tr w:rsidR="005E0EE9" w:rsidRPr="0013396E" w14:paraId="53E96250" w14:textId="77777777" w:rsidTr="0099759E">
        <w:trPr>
          <w:cantSplit/>
        </w:trPr>
        <w:tc>
          <w:tcPr>
            <w:tcW w:w="2588" w:type="dxa"/>
          </w:tcPr>
          <w:p w14:paraId="19A62E17" w14:textId="77777777" w:rsidR="005E0EE9" w:rsidRPr="0013396E" w:rsidRDefault="005E0EE9" w:rsidP="0099759E">
            <w:pPr>
              <w:pStyle w:val="TableBody"/>
              <w:rPr>
                <w:i/>
              </w:rPr>
            </w:pPr>
            <w:r w:rsidRPr="0013396E">
              <w:rPr>
                <w:i/>
              </w:rPr>
              <w:t>r</w:t>
            </w:r>
          </w:p>
        </w:tc>
        <w:tc>
          <w:tcPr>
            <w:tcW w:w="1372" w:type="dxa"/>
          </w:tcPr>
          <w:p w14:paraId="1742D637" w14:textId="77777777" w:rsidR="005E0EE9" w:rsidRPr="0013396E" w:rsidRDefault="005E0EE9" w:rsidP="0099759E">
            <w:pPr>
              <w:pStyle w:val="TableBody"/>
            </w:pPr>
            <w:r w:rsidRPr="0013396E">
              <w:t>none</w:t>
            </w:r>
          </w:p>
        </w:tc>
        <w:tc>
          <w:tcPr>
            <w:tcW w:w="5869" w:type="dxa"/>
          </w:tcPr>
          <w:p w14:paraId="7A20B5BF" w14:textId="77777777" w:rsidR="005E0EE9" w:rsidRPr="0013396E" w:rsidRDefault="005E0EE9" w:rsidP="0099759E">
            <w:pPr>
              <w:pStyle w:val="TableBody"/>
              <w:rPr>
                <w:lang w:val="fr-FR"/>
              </w:rPr>
            </w:pPr>
            <w:r w:rsidRPr="0013396E">
              <w:rPr>
                <w:lang w:val="fr-FR"/>
              </w:rPr>
              <w:t>A non-exempt Generation Resource.</w:t>
            </w:r>
          </w:p>
        </w:tc>
      </w:tr>
      <w:tr w:rsidR="005E0EE9" w:rsidRPr="0013396E" w14:paraId="2D24E4F2" w14:textId="77777777" w:rsidTr="0099759E">
        <w:trPr>
          <w:cantSplit/>
        </w:trPr>
        <w:tc>
          <w:tcPr>
            <w:tcW w:w="2588" w:type="dxa"/>
          </w:tcPr>
          <w:p w14:paraId="3B6D6FB4" w14:textId="77777777" w:rsidR="005E0EE9" w:rsidRPr="0013396E" w:rsidRDefault="005E0EE9" w:rsidP="0099759E">
            <w:pPr>
              <w:pStyle w:val="TableBody"/>
              <w:rPr>
                <w:i/>
              </w:rPr>
            </w:pPr>
            <w:r w:rsidRPr="0013396E">
              <w:rPr>
                <w:i/>
              </w:rPr>
              <w:t>y</w:t>
            </w:r>
          </w:p>
        </w:tc>
        <w:tc>
          <w:tcPr>
            <w:tcW w:w="1372" w:type="dxa"/>
          </w:tcPr>
          <w:p w14:paraId="706321A8" w14:textId="77777777" w:rsidR="005E0EE9" w:rsidRPr="0013396E" w:rsidRDefault="005E0EE9" w:rsidP="0099759E">
            <w:pPr>
              <w:pStyle w:val="TableBody"/>
            </w:pPr>
            <w:r w:rsidRPr="0013396E">
              <w:t>none</w:t>
            </w:r>
          </w:p>
        </w:tc>
        <w:tc>
          <w:tcPr>
            <w:tcW w:w="5869" w:type="dxa"/>
          </w:tcPr>
          <w:p w14:paraId="260F1EFF" w14:textId="77777777" w:rsidR="005E0EE9" w:rsidRPr="0013396E" w:rsidRDefault="005E0EE9" w:rsidP="0099759E">
            <w:pPr>
              <w:pStyle w:val="TableBody"/>
              <w:rPr>
                <w:lang w:val="fr-FR"/>
              </w:rPr>
            </w:pPr>
            <w:r w:rsidRPr="0013396E">
              <w:t xml:space="preserve">A five-minute clock interval in the Settlement Interval. </w:t>
            </w:r>
          </w:p>
        </w:tc>
      </w:tr>
      <w:tr w:rsidR="005E0EE9" w:rsidRPr="0013396E" w14:paraId="47EAA1D3" w14:textId="77777777" w:rsidTr="0099759E">
        <w:trPr>
          <w:cantSplit/>
        </w:trPr>
        <w:tc>
          <w:tcPr>
            <w:tcW w:w="2588" w:type="dxa"/>
          </w:tcPr>
          <w:p w14:paraId="7B6FD640" w14:textId="77777777" w:rsidR="005E0EE9" w:rsidRPr="0013396E" w:rsidRDefault="005E0EE9" w:rsidP="0099759E">
            <w:pPr>
              <w:pStyle w:val="TableBody"/>
              <w:rPr>
                <w:i/>
              </w:rPr>
            </w:pPr>
            <w:r w:rsidRPr="0013396E">
              <w:rPr>
                <w:i/>
              </w:rPr>
              <w:t>i</w:t>
            </w:r>
          </w:p>
        </w:tc>
        <w:tc>
          <w:tcPr>
            <w:tcW w:w="1372" w:type="dxa"/>
          </w:tcPr>
          <w:p w14:paraId="0C7B5A40" w14:textId="77777777" w:rsidR="005E0EE9" w:rsidRPr="0013396E" w:rsidRDefault="005E0EE9" w:rsidP="0099759E">
            <w:pPr>
              <w:pStyle w:val="TableBody"/>
            </w:pPr>
            <w:r w:rsidRPr="0013396E">
              <w:t>none</w:t>
            </w:r>
          </w:p>
        </w:tc>
        <w:tc>
          <w:tcPr>
            <w:tcW w:w="5869" w:type="dxa"/>
          </w:tcPr>
          <w:p w14:paraId="73420C9C" w14:textId="77777777" w:rsidR="005E0EE9" w:rsidRPr="0013396E" w:rsidRDefault="005E0EE9" w:rsidP="0099759E">
            <w:pPr>
              <w:pStyle w:val="TableBody"/>
            </w:pPr>
            <w:r w:rsidRPr="0013396E">
              <w:t>A 15-minute Settlement Interval.</w:t>
            </w:r>
          </w:p>
        </w:tc>
      </w:tr>
      <w:tr w:rsidR="005E0EE9" w:rsidRPr="0013396E" w14:paraId="02BF8DC6" w14:textId="77777777" w:rsidTr="0099759E">
        <w:trPr>
          <w:cantSplit/>
        </w:trPr>
        <w:tc>
          <w:tcPr>
            <w:tcW w:w="2588" w:type="dxa"/>
          </w:tcPr>
          <w:p w14:paraId="0F4EFDE3" w14:textId="77777777" w:rsidR="005E0EE9" w:rsidRPr="0013396E" w:rsidRDefault="005E0EE9" w:rsidP="0099759E">
            <w:pPr>
              <w:spacing w:after="60"/>
              <w:rPr>
                <w:iCs/>
                <w:sz w:val="20"/>
              </w:rPr>
            </w:pPr>
            <w:r w:rsidRPr="0013396E">
              <w:rPr>
                <w:i/>
                <w:iCs/>
                <w:sz w:val="20"/>
              </w:rPr>
              <w:t>wg</w:t>
            </w:r>
          </w:p>
        </w:tc>
        <w:tc>
          <w:tcPr>
            <w:tcW w:w="1372" w:type="dxa"/>
          </w:tcPr>
          <w:p w14:paraId="646EA5F5" w14:textId="77777777" w:rsidR="005E0EE9" w:rsidRPr="0013396E" w:rsidRDefault="005E0EE9" w:rsidP="0099759E">
            <w:pPr>
              <w:spacing w:after="60"/>
              <w:rPr>
                <w:iCs/>
                <w:sz w:val="20"/>
              </w:rPr>
            </w:pPr>
            <w:r w:rsidRPr="0013396E">
              <w:rPr>
                <w:iCs/>
                <w:sz w:val="20"/>
              </w:rPr>
              <w:t>none</w:t>
            </w:r>
          </w:p>
        </w:tc>
        <w:tc>
          <w:tcPr>
            <w:tcW w:w="5869" w:type="dxa"/>
          </w:tcPr>
          <w:p w14:paraId="03E1A690" w14:textId="77777777" w:rsidR="005E0EE9" w:rsidRPr="0013396E" w:rsidRDefault="005E0EE9" w:rsidP="0099759E">
            <w:pPr>
              <w:spacing w:after="60"/>
              <w:rPr>
                <w:iCs/>
                <w:sz w:val="20"/>
              </w:rPr>
            </w:pPr>
            <w:r w:rsidRPr="0013396E">
              <w:rPr>
                <w:iCs/>
                <w:sz w:val="20"/>
              </w:rPr>
              <w:t>An IRR Group.</w:t>
            </w:r>
          </w:p>
        </w:tc>
      </w:tr>
    </w:tbl>
    <w:p w14:paraId="490DB689" w14:textId="77777777" w:rsidR="005A7D8E" w:rsidRDefault="005A7D8E"/>
    <w:tbl>
      <w:tblPr>
        <w:tblW w:w="10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55"/>
      </w:tblGrid>
      <w:tr w:rsidR="00AC1609" w:rsidRPr="0013396E" w14:paraId="40255D88" w14:textId="05613722" w:rsidTr="005A7D8E">
        <w:tc>
          <w:tcPr>
            <w:tcW w:w="10055" w:type="dxa"/>
            <w:tcBorders>
              <w:top w:val="single" w:sz="4" w:space="0" w:color="auto"/>
              <w:left w:val="single" w:sz="4" w:space="0" w:color="auto"/>
              <w:bottom w:val="single" w:sz="4" w:space="0" w:color="auto"/>
              <w:right w:val="single" w:sz="4" w:space="0" w:color="auto"/>
            </w:tcBorders>
            <w:shd w:val="pct12" w:color="auto" w:fill="auto"/>
          </w:tcPr>
          <w:p w14:paraId="5052EA9E" w14:textId="3764C7F7" w:rsidR="00AC1609" w:rsidRPr="0013396E" w:rsidRDefault="00AC1609" w:rsidP="00AB2BB6">
            <w:pPr>
              <w:pStyle w:val="Instructions"/>
              <w:spacing w:before="120"/>
            </w:pPr>
            <w:bookmarkStart w:id="1774" w:name="_Toc402357153"/>
            <w:bookmarkStart w:id="1775" w:name="_Toc422486533"/>
            <w:bookmarkStart w:id="1776" w:name="_Toc433093386"/>
            <w:bookmarkStart w:id="1777" w:name="_Toc433093544"/>
            <w:bookmarkStart w:id="1778" w:name="_Toc440874774"/>
            <w:bookmarkStart w:id="1779" w:name="_Toc448142331"/>
            <w:bookmarkStart w:id="1780" w:name="_Toc448142488"/>
            <w:bookmarkStart w:id="1781" w:name="_Toc458770329"/>
            <w:bookmarkStart w:id="1782" w:name="_Toc459294297"/>
            <w:bookmarkStart w:id="1783" w:name="_Toc463262790"/>
            <w:bookmarkStart w:id="1784" w:name="_Toc468286863"/>
            <w:bookmarkStart w:id="1785" w:name="_Toc481502903"/>
            <w:bookmarkStart w:id="1786" w:name="_Toc496080071"/>
            <w:bookmarkEnd w:id="1750"/>
            <w:bookmarkEnd w:id="1751"/>
            <w:bookmarkEnd w:id="1752"/>
            <w:bookmarkEnd w:id="1753"/>
            <w:bookmarkEnd w:id="1754"/>
            <w:bookmarkEnd w:id="1755"/>
            <w:bookmarkEnd w:id="1756"/>
            <w:bookmarkEnd w:id="1757"/>
            <w:bookmarkEnd w:id="1758"/>
            <w:bookmarkEnd w:id="1759"/>
            <w:bookmarkEnd w:id="1760"/>
            <w:bookmarkEnd w:id="1761"/>
            <w:bookmarkEnd w:id="1762"/>
            <w:r w:rsidRPr="0013396E">
              <w:lastRenderedPageBreak/>
              <w:t>[NPRR879</w:t>
            </w:r>
            <w:r w:rsidR="00073C0E">
              <w:t xml:space="preserve"> and</w:t>
            </w:r>
            <w:r w:rsidRPr="0013396E">
              <w:t xml:space="preserve"> NPRR963:  Replace applicable portions of Section 6.6.5.</w:t>
            </w:r>
            <w:r w:rsidR="00F048B5">
              <w:t>2.1</w:t>
            </w:r>
            <w:r w:rsidRPr="0013396E">
              <w:t xml:space="preserve"> above with the following upon system implementation:]</w:t>
            </w:r>
          </w:p>
          <w:p w14:paraId="568F2BBB" w14:textId="231F25B2" w:rsidR="00AC1609" w:rsidRPr="0013396E" w:rsidRDefault="00AC1609" w:rsidP="00936A4B">
            <w:pPr>
              <w:keepNext/>
              <w:widowControl w:val="0"/>
              <w:tabs>
                <w:tab w:val="left" w:pos="1620"/>
              </w:tabs>
              <w:spacing w:before="240" w:after="240"/>
              <w:ind w:left="1627" w:hanging="1627"/>
              <w:outlineLvl w:val="4"/>
              <w:rPr>
                <w:b/>
                <w:bCs/>
                <w:snapToGrid w:val="0"/>
              </w:rPr>
            </w:pPr>
            <w:bookmarkStart w:id="1787" w:name="_Toc60040693"/>
            <w:bookmarkStart w:id="1788" w:name="_Toc65151752"/>
            <w:bookmarkStart w:id="1789" w:name="_Toc80174778"/>
            <w:bookmarkStart w:id="1790" w:name="_Toc112417658"/>
            <w:bookmarkStart w:id="1791" w:name="_Toc119310327"/>
            <w:bookmarkStart w:id="1792" w:name="_Toc125966260"/>
            <w:bookmarkStart w:id="1793" w:name="_Toc135992358"/>
            <w:bookmarkStart w:id="1794" w:name="_Toc170303554"/>
            <w:bookmarkStart w:id="1795" w:name="_Toc175157458"/>
            <w:bookmarkStart w:id="1796" w:name="_Toc214878983"/>
            <w:r w:rsidRPr="0013396E">
              <w:rPr>
                <w:b/>
                <w:bCs/>
                <w:snapToGrid w:val="0"/>
              </w:rPr>
              <w:t>6.6.5.2.1</w:t>
            </w:r>
            <w:r w:rsidRPr="0013396E">
              <w:rPr>
                <w:b/>
                <w:bCs/>
                <w:snapToGrid w:val="0"/>
              </w:rPr>
              <w:tab/>
            </w:r>
            <w:r w:rsidR="00057FF4" w:rsidRPr="0013396E">
              <w:rPr>
                <w:b/>
                <w:bCs/>
                <w:snapToGrid w:val="0"/>
              </w:rPr>
              <w:t>Set</w:t>
            </w:r>
            <w:r w:rsidRPr="0013396E">
              <w:rPr>
                <w:b/>
                <w:bCs/>
                <w:snapToGrid w:val="0"/>
              </w:rPr>
              <w:t xml:space="preserve"> Point Deviation Charge for Under Generation</w:t>
            </w:r>
            <w:bookmarkEnd w:id="1787"/>
            <w:bookmarkEnd w:id="1788"/>
            <w:bookmarkEnd w:id="1789"/>
            <w:bookmarkEnd w:id="1790"/>
            <w:bookmarkEnd w:id="1791"/>
            <w:bookmarkEnd w:id="1792"/>
            <w:bookmarkEnd w:id="1793"/>
            <w:bookmarkEnd w:id="1794"/>
            <w:bookmarkEnd w:id="1795"/>
            <w:bookmarkEnd w:id="1796"/>
          </w:p>
          <w:p w14:paraId="4D8D92B4" w14:textId="70885891" w:rsidR="00AC1609" w:rsidRPr="0013396E" w:rsidRDefault="00AC1609" w:rsidP="00AC1609">
            <w:pPr>
              <w:spacing w:after="240"/>
              <w:ind w:left="720" w:hanging="720"/>
            </w:pPr>
            <w:r w:rsidRPr="0013396E">
              <w:t>(1)</w:t>
            </w:r>
            <w:r w:rsidRPr="0013396E">
              <w:tab/>
              <w:t xml:space="preserve">ERCOT shall charge a QSE for a Generation Resource, including an IRR </w:t>
            </w:r>
            <w:r w:rsidR="00E0443F" w:rsidRPr="0013396E">
              <w:t>awarded</w:t>
            </w:r>
            <w:r w:rsidRPr="0013396E">
              <w:t xml:space="preserve"> Ancillary Service for at least one SCED interval within the 15-minute Settlement Interval, for under-generation if the telemetered generation is below the lesser of:</w:t>
            </w:r>
          </w:p>
          <w:p w14:paraId="4B41E133" w14:textId="447FD827" w:rsidR="00AC1609" w:rsidRPr="0013396E" w:rsidRDefault="00AC1609" w:rsidP="00AC1609">
            <w:pPr>
              <w:spacing w:after="240"/>
              <w:ind w:left="1440" w:hanging="720"/>
            </w:pPr>
            <w:r w:rsidRPr="0013396E">
              <w:t>(a)</w:t>
            </w:r>
            <w:r w:rsidRPr="0013396E">
              <w:tab/>
              <w:t xml:space="preserve">95% of the </w:t>
            </w:r>
            <w:r w:rsidR="00E0443F" w:rsidRPr="0013396E">
              <w:t>AASP</w:t>
            </w:r>
            <w:r w:rsidRPr="0013396E">
              <w:t xml:space="preserve"> in the Settlement Interval; or</w:t>
            </w:r>
          </w:p>
          <w:p w14:paraId="39694B40" w14:textId="2DA31DAE" w:rsidR="00AC1609" w:rsidRPr="0013396E" w:rsidRDefault="00AC1609" w:rsidP="00AC1609">
            <w:pPr>
              <w:spacing w:after="240"/>
              <w:ind w:left="1440" w:hanging="720"/>
            </w:pPr>
            <w:r w:rsidRPr="0013396E">
              <w:t>(b)</w:t>
            </w:r>
            <w:r w:rsidRPr="0013396E">
              <w:tab/>
              <w:t xml:space="preserve">The </w:t>
            </w:r>
            <w:r w:rsidR="00E0443F" w:rsidRPr="0013396E">
              <w:t>AASP</w:t>
            </w:r>
            <w:r w:rsidRPr="0013396E">
              <w:t xml:space="preserve"> in the Settlement Interval minus five MW.</w:t>
            </w:r>
          </w:p>
          <w:p w14:paraId="1778BB68" w14:textId="5D3337F0" w:rsidR="00AC1609" w:rsidRPr="0013396E" w:rsidRDefault="00AC1609" w:rsidP="00AC1609">
            <w:pPr>
              <w:spacing w:after="240"/>
              <w:ind w:left="720" w:hanging="720"/>
            </w:pPr>
            <w:r w:rsidRPr="0013396E">
              <w:rPr>
                <w:iCs/>
              </w:rPr>
              <w:t>(2)</w:t>
            </w:r>
            <w:r w:rsidRPr="0013396E">
              <w:rPr>
                <w:iCs/>
              </w:rPr>
              <w:tab/>
              <w:t xml:space="preserve">For instances in which an IRR is not </w:t>
            </w:r>
            <w:r w:rsidR="00E0443F" w:rsidRPr="0013396E">
              <w:rPr>
                <w:iCs/>
              </w:rPr>
              <w:t>awarded</w:t>
            </w:r>
            <w:r w:rsidRPr="0013396E">
              <w:rPr>
                <w:iCs/>
              </w:rPr>
              <w:t xml:space="preserve"> Ancillary Service or is </w:t>
            </w:r>
            <w:r w:rsidR="00E0443F" w:rsidRPr="0013396E">
              <w:rPr>
                <w:iCs/>
              </w:rPr>
              <w:t xml:space="preserve">not </w:t>
            </w:r>
            <w:r w:rsidRPr="0013396E">
              <w:rPr>
                <w:iCs/>
              </w:rPr>
              <w:t xml:space="preserve">part of an IRR Group in which </w:t>
            </w:r>
            <w:r w:rsidR="00E0443F" w:rsidRPr="0013396E">
              <w:rPr>
                <w:iCs/>
              </w:rPr>
              <w:t>an</w:t>
            </w:r>
            <w:r w:rsidRPr="0013396E">
              <w:rPr>
                <w:iCs/>
              </w:rPr>
              <w:t xml:space="preserve"> IRR is </w:t>
            </w:r>
            <w:r w:rsidR="00E0443F" w:rsidRPr="0013396E">
              <w:rPr>
                <w:iCs/>
              </w:rPr>
              <w:t>awarded</w:t>
            </w:r>
            <w:r w:rsidRPr="0013396E">
              <w:rPr>
                <w:iCs/>
              </w:rPr>
              <w:t xml:space="preserve"> Ancillary </w:t>
            </w:r>
            <w:r w:rsidRPr="0013396E">
              <w:t>Service</w:t>
            </w:r>
            <w:r w:rsidRPr="0013396E">
              <w:rPr>
                <w:iCs/>
              </w:rPr>
              <w:t xml:space="preserve"> for </w:t>
            </w:r>
            <w:r w:rsidR="00E0443F" w:rsidRPr="0013396E">
              <w:rPr>
                <w:iCs/>
              </w:rPr>
              <w:t>any</w:t>
            </w:r>
            <w:r w:rsidRPr="0013396E">
              <w:rPr>
                <w:iCs/>
              </w:rPr>
              <w:t xml:space="preserve"> SCED interval within the 15-minute Settlement Interval, </w:t>
            </w:r>
            <w:r w:rsidR="00E0443F" w:rsidRPr="0013396E">
              <w:rPr>
                <w:iCs/>
              </w:rPr>
              <w:t>Set</w:t>
            </w:r>
            <w:r w:rsidRPr="0013396E">
              <w:rPr>
                <w:iCs/>
              </w:rPr>
              <w:t xml:space="preserve"> Point Deviation Charges will be determined per Section 6.6.5.4, IRR Generation Resource </w:t>
            </w:r>
            <w:r w:rsidR="00E0443F" w:rsidRPr="0013396E">
              <w:rPr>
                <w:iCs/>
              </w:rPr>
              <w:t>Set</w:t>
            </w:r>
            <w:r w:rsidRPr="0013396E">
              <w:rPr>
                <w:iCs/>
              </w:rPr>
              <w:t xml:space="preserve"> Point Deviation Charge.</w:t>
            </w:r>
          </w:p>
          <w:p w14:paraId="0DBA4081" w14:textId="4216A967" w:rsidR="00AC1609" w:rsidRPr="0013396E" w:rsidRDefault="00AC1609" w:rsidP="00AC1609">
            <w:pPr>
              <w:spacing w:after="240"/>
              <w:ind w:left="720" w:hanging="720"/>
              <w:rPr>
                <w:iCs/>
              </w:rPr>
            </w:pPr>
            <w:r w:rsidRPr="0013396E">
              <w:rPr>
                <w:iCs/>
              </w:rPr>
              <w:t>(3)</w:t>
            </w:r>
            <w:r w:rsidRPr="0013396E">
              <w:rPr>
                <w:iCs/>
              </w:rPr>
              <w:tab/>
              <w:t>The under-generation charge to each QSE for each Generation Resource, that is not part of an IRR Group, at each Resource Node Settlement Point for a given 15-minute Settlement Interval is calculated as follows:</w:t>
            </w:r>
          </w:p>
          <w:p w14:paraId="3D493F6C" w14:textId="258351D1" w:rsidR="00AC1609" w:rsidRPr="0013396E" w:rsidRDefault="00E0443F" w:rsidP="00AC1609">
            <w:pPr>
              <w:tabs>
                <w:tab w:val="left" w:pos="2160"/>
                <w:tab w:val="left" w:pos="2880"/>
              </w:tabs>
              <w:spacing w:after="240"/>
              <w:ind w:leftChars="300" w:left="3611" w:hangingChars="1200" w:hanging="2891"/>
              <w:rPr>
                <w:b/>
                <w:bCs/>
                <w:szCs w:val="24"/>
              </w:rPr>
            </w:pPr>
            <w:r w:rsidRPr="0013396E">
              <w:rPr>
                <w:b/>
                <w:bCs/>
                <w:szCs w:val="24"/>
              </w:rPr>
              <w:t>S</w:t>
            </w:r>
            <w:r w:rsidR="00AC1609" w:rsidRPr="0013396E">
              <w:rPr>
                <w:b/>
                <w:bCs/>
                <w:szCs w:val="24"/>
              </w:rPr>
              <w:t xml:space="preserve">PDAMT </w:t>
            </w:r>
            <w:r w:rsidR="00AC1609" w:rsidRPr="0013396E">
              <w:rPr>
                <w:b/>
                <w:bCs/>
                <w:i/>
                <w:iCs/>
                <w:szCs w:val="24"/>
                <w:vertAlign w:val="subscript"/>
                <w:lang w:val="es-ES"/>
              </w:rPr>
              <w:t>q, r, p, i</w:t>
            </w:r>
            <w:r w:rsidR="00AC1609" w:rsidRPr="0013396E">
              <w:rPr>
                <w:b/>
                <w:bCs/>
                <w:szCs w:val="24"/>
              </w:rPr>
              <w:tab/>
              <w:t>=</w:t>
            </w:r>
            <w:r w:rsidR="00AC1609" w:rsidRPr="0013396E">
              <w:rPr>
                <w:b/>
                <w:bCs/>
                <w:szCs w:val="24"/>
              </w:rPr>
              <w:tab/>
              <w:t xml:space="preserve">-1 * Min (PR2, RTSPP </w:t>
            </w:r>
            <w:r w:rsidR="00AC1609" w:rsidRPr="0013396E">
              <w:rPr>
                <w:b/>
                <w:bCs/>
                <w:i/>
                <w:szCs w:val="24"/>
                <w:vertAlign w:val="subscript"/>
              </w:rPr>
              <w:t>p, i</w:t>
            </w:r>
            <w:r w:rsidR="00AC1609" w:rsidRPr="0013396E">
              <w:rPr>
                <w:b/>
                <w:bCs/>
                <w:szCs w:val="24"/>
              </w:rPr>
              <w:t>) * Min (1, KP) * UGEN</w:t>
            </w:r>
            <w:r w:rsidR="00AC1609" w:rsidRPr="0013396E">
              <w:rPr>
                <w:b/>
                <w:bCs/>
                <w:i/>
                <w:iCs/>
                <w:szCs w:val="24"/>
                <w:vertAlign w:val="subscript"/>
                <w:lang w:val="es-ES"/>
              </w:rPr>
              <w:t xml:space="preserve"> q, r, p, i </w:t>
            </w:r>
            <w:r w:rsidR="00AC1609" w:rsidRPr="0013396E">
              <w:rPr>
                <w:rFonts w:ascii="Times New Roman Bold" w:hAnsi="Times New Roman Bold"/>
                <w:b/>
                <w:bCs/>
                <w:iCs/>
                <w:szCs w:val="24"/>
                <w:lang w:val="es-ES"/>
              </w:rPr>
              <w:t xml:space="preserve"> </w:t>
            </w:r>
          </w:p>
          <w:p w14:paraId="3E12F2AB" w14:textId="5C5A6193" w:rsidR="00AC1609" w:rsidRPr="0013396E" w:rsidRDefault="00AC1609" w:rsidP="00AC1609">
            <w:pPr>
              <w:tabs>
                <w:tab w:val="left" w:pos="2250"/>
                <w:tab w:val="left" w:pos="3150"/>
                <w:tab w:val="left" w:pos="3960"/>
              </w:tabs>
              <w:spacing w:after="240"/>
              <w:ind w:left="3960" w:hanging="3240"/>
              <w:rPr>
                <w:bCs/>
                <w:szCs w:val="24"/>
              </w:rPr>
            </w:pPr>
            <w:r w:rsidRPr="0013396E">
              <w:rPr>
                <w:bCs/>
                <w:szCs w:val="24"/>
              </w:rPr>
              <w:t>Where:</w:t>
            </w:r>
          </w:p>
          <w:p w14:paraId="77F45B31" w14:textId="104A970F" w:rsidR="00AC1609" w:rsidRPr="0013396E" w:rsidRDefault="00AC1609" w:rsidP="00AC1609">
            <w:pPr>
              <w:spacing w:after="240"/>
              <w:ind w:left="720"/>
              <w:rPr>
                <w:i/>
                <w:iCs/>
                <w:vertAlign w:val="subscript"/>
                <w:lang w:val="es-ES"/>
              </w:rPr>
            </w:pPr>
            <w:r w:rsidRPr="0013396E">
              <w:rPr>
                <w:iCs/>
              </w:rPr>
              <w:t>UGEN</w:t>
            </w:r>
            <w:r w:rsidRPr="0013396E">
              <w:rPr>
                <w:i/>
                <w:iCs/>
                <w:vertAlign w:val="subscript"/>
                <w:lang w:val="es-ES"/>
              </w:rPr>
              <w:t xml:space="preserve"> q, r, p, i</w:t>
            </w:r>
            <w:r w:rsidRPr="0013396E">
              <w:rPr>
                <w:iCs/>
              </w:rPr>
              <w:t xml:space="preserve">  =  Max [0, [Min ((1- K2) * ¼* AA</w:t>
            </w:r>
            <w:r w:rsidR="00E0443F" w:rsidRPr="0013396E">
              <w:rPr>
                <w:iCs/>
              </w:rPr>
              <w:t>S</w:t>
            </w:r>
            <w:r w:rsidRPr="0013396E">
              <w:rPr>
                <w:iCs/>
              </w:rPr>
              <w:t>P</w:t>
            </w:r>
            <w:r w:rsidRPr="0013396E">
              <w:rPr>
                <w:i/>
                <w:iCs/>
                <w:vertAlign w:val="subscript"/>
                <w:lang w:val="es-ES"/>
              </w:rPr>
              <w:t xml:space="preserve"> q, r, p, i </w:t>
            </w:r>
            <w:r w:rsidRPr="0013396E">
              <w:rPr>
                <w:iCs/>
              </w:rPr>
              <w:t>,</w:t>
            </w:r>
            <w:r w:rsidRPr="0013396E">
              <w:rPr>
                <w:i/>
                <w:iCs/>
                <w:vertAlign w:val="subscript"/>
                <w:lang w:val="es-ES"/>
              </w:rPr>
              <w:t xml:space="preserve">   </w:t>
            </w:r>
          </w:p>
          <w:p w14:paraId="745B552B" w14:textId="6FC42540" w:rsidR="00AC1609" w:rsidRPr="0013396E" w:rsidRDefault="00AC1609" w:rsidP="00AC1609">
            <w:pPr>
              <w:spacing w:after="240"/>
              <w:ind w:left="720" w:hanging="720"/>
              <w:rPr>
                <w:iCs/>
              </w:rPr>
            </w:pPr>
            <w:r w:rsidRPr="0013396E">
              <w:rPr>
                <w:iCs/>
                <w:lang w:val="es-MX"/>
              </w:rPr>
              <w:t xml:space="preserve">                                              ¼ * (AA</w:t>
            </w:r>
            <w:r w:rsidR="00E0443F" w:rsidRPr="0013396E">
              <w:rPr>
                <w:iCs/>
                <w:lang w:val="es-MX"/>
              </w:rPr>
              <w:t>S</w:t>
            </w:r>
            <w:r w:rsidRPr="0013396E">
              <w:rPr>
                <w:iCs/>
                <w:lang w:val="es-MX"/>
              </w:rPr>
              <w:t>P</w:t>
            </w:r>
            <w:r w:rsidRPr="0013396E">
              <w:rPr>
                <w:i/>
                <w:vertAlign w:val="subscript"/>
                <w:lang w:val="es-ES"/>
              </w:rPr>
              <w:t xml:space="preserve"> q, r, p, i  </w:t>
            </w:r>
            <w:r w:rsidRPr="0013396E">
              <w:rPr>
                <w:iCs/>
              </w:rPr>
              <w:t xml:space="preserve">- Q2)) - TWTG </w:t>
            </w:r>
            <w:r w:rsidRPr="0013396E">
              <w:rPr>
                <w:i/>
                <w:vertAlign w:val="subscript"/>
                <w:lang w:val="es-ES"/>
              </w:rPr>
              <w:t>q, r, p, i</w:t>
            </w:r>
            <w:r w:rsidRPr="0013396E">
              <w:rPr>
                <w:iCs/>
              </w:rPr>
              <w:t>]]</w:t>
            </w:r>
          </w:p>
          <w:p w14:paraId="6EDF41E3" w14:textId="525580E4" w:rsidR="00AC1609" w:rsidRPr="0013396E" w:rsidRDefault="00AC1609" w:rsidP="00AC1609">
            <w:pPr>
              <w:tabs>
                <w:tab w:val="left" w:pos="2160"/>
                <w:tab w:val="left" w:pos="2880"/>
              </w:tabs>
              <w:spacing w:after="240"/>
              <w:ind w:leftChars="300" w:left="2880" w:hangingChars="900" w:hanging="2160"/>
              <w:rPr>
                <w:bCs/>
                <w:iCs/>
                <w:szCs w:val="24"/>
              </w:rPr>
            </w:pPr>
            <w:r w:rsidRPr="0013396E">
              <w:rPr>
                <w:bCs/>
                <w:szCs w:val="24"/>
              </w:rPr>
              <w:t>TWTG</w:t>
            </w:r>
            <w:r w:rsidRPr="0013396E">
              <w:rPr>
                <w:bCs/>
                <w:i/>
                <w:szCs w:val="24"/>
                <w:vertAlign w:val="subscript"/>
              </w:rPr>
              <w:t xml:space="preserve"> q, r, p, i</w:t>
            </w:r>
            <w:r w:rsidRPr="0013396E">
              <w:rPr>
                <w:bCs/>
                <w:i/>
                <w:szCs w:val="24"/>
                <w:vertAlign w:val="subscript"/>
              </w:rPr>
              <w:tab/>
              <w:t>=</w:t>
            </w:r>
            <w:r w:rsidRPr="0013396E">
              <w:rPr>
                <w:bCs/>
                <w:i/>
                <w:szCs w:val="24"/>
                <w:vertAlign w:val="subscript"/>
              </w:rPr>
              <w:tab/>
            </w:r>
            <w:r w:rsidRPr="0013396E">
              <w:rPr>
                <w:bCs/>
                <w:szCs w:val="24"/>
              </w:rPr>
              <w:t>(</w:t>
            </w:r>
            <w:r w:rsidRPr="0013396E">
              <w:rPr>
                <w:bCs/>
                <w:position w:val="-22"/>
                <w:szCs w:val="24"/>
              </w:rPr>
              <w:object w:dxaOrig="210" w:dyaOrig="450" w14:anchorId="46B0428C">
                <v:shape id="_x0000_i1151" type="#_x0000_t75" style="width:6pt;height:24pt" o:ole="">
                  <v:imagedata r:id="rId176" o:title=""/>
                </v:shape>
                <o:OLEObject Type="Embed" ProgID="Equation.3" ShapeID="_x0000_i1151" DrawAspect="Content" ObjectID="_1836311430" r:id="rId183"/>
              </w:object>
            </w:r>
            <w:r w:rsidRPr="0013396E">
              <w:rPr>
                <w:bCs/>
                <w:szCs w:val="24"/>
              </w:rPr>
              <w:t xml:space="preserve"> (AVGTG5M</w:t>
            </w:r>
            <w:r w:rsidRPr="0013396E">
              <w:rPr>
                <w:bCs/>
                <w:i/>
                <w:szCs w:val="24"/>
                <w:vertAlign w:val="subscript"/>
              </w:rPr>
              <w:t xml:space="preserve"> q, r, p, i, y</w:t>
            </w:r>
            <w:r w:rsidRPr="0013396E">
              <w:rPr>
                <w:bCs/>
                <w:szCs w:val="24"/>
              </w:rPr>
              <w:t xml:space="preserve">) / 3) * </w:t>
            </w:r>
            <w:r w:rsidRPr="0013396E">
              <w:rPr>
                <w:bCs/>
                <w:iCs/>
                <w:szCs w:val="24"/>
              </w:rPr>
              <w:t>¼</w:t>
            </w:r>
          </w:p>
          <w:p w14:paraId="05EF97A1" w14:textId="6A36288A" w:rsidR="00AC1609" w:rsidRPr="0013396E" w:rsidRDefault="00AC1609" w:rsidP="00AC1609">
            <w:pPr>
              <w:spacing w:after="240"/>
              <w:ind w:left="720" w:hanging="720"/>
              <w:rPr>
                <w:szCs w:val="24"/>
                <w:lang w:val="pt-BR"/>
              </w:rPr>
            </w:pPr>
            <w:r w:rsidRPr="0013396E">
              <w:rPr>
                <w:iCs/>
                <w:szCs w:val="24"/>
              </w:rPr>
              <w:t>(4)</w:t>
            </w:r>
            <w:r w:rsidRPr="0013396E">
              <w:rPr>
                <w:iCs/>
                <w:szCs w:val="24"/>
              </w:rPr>
              <w:tab/>
            </w:r>
            <w:r w:rsidRPr="0013396E">
              <w:rPr>
                <w:szCs w:val="24"/>
                <w:lang w:val="pt-BR"/>
              </w:rPr>
              <w:t xml:space="preserve">If any IRR in an IRR Group is </w:t>
            </w:r>
            <w:r w:rsidR="00E0443F" w:rsidRPr="0013396E">
              <w:rPr>
                <w:szCs w:val="24"/>
                <w:lang w:val="pt-BR"/>
              </w:rPr>
              <w:t>awarded</w:t>
            </w:r>
            <w:r w:rsidRPr="0013396E">
              <w:rPr>
                <w:szCs w:val="24"/>
                <w:lang w:val="pt-BR"/>
              </w:rPr>
              <w:t xml:space="preserve"> Ancillary Service</w:t>
            </w:r>
            <w:r w:rsidRPr="0013396E">
              <w:rPr>
                <w:szCs w:val="24"/>
              </w:rPr>
              <w:t xml:space="preserve"> for at least one SCED interval within the 15-minute Settlement Interval</w:t>
            </w:r>
            <w:r w:rsidRPr="0013396E">
              <w:rPr>
                <w:szCs w:val="24"/>
                <w:lang w:val="pt-BR"/>
              </w:rPr>
              <w:t>, then the deviation penalty is determined for the IRR Group and evenly allocated and charged to each IRR within that IRR Group as follows:</w:t>
            </w:r>
          </w:p>
          <w:p w14:paraId="5398C032" w14:textId="50EAF5F7" w:rsidR="00AC1609" w:rsidRPr="0013396E" w:rsidRDefault="00E0443F" w:rsidP="00AC1609">
            <w:pPr>
              <w:tabs>
                <w:tab w:val="left" w:pos="2340"/>
                <w:tab w:val="left" w:pos="3420"/>
              </w:tabs>
              <w:spacing w:after="240"/>
              <w:ind w:left="3420" w:hanging="2700"/>
              <w:rPr>
                <w:b/>
                <w:bCs/>
                <w:szCs w:val="24"/>
              </w:rPr>
            </w:pPr>
            <w:r w:rsidRPr="0013396E">
              <w:rPr>
                <w:b/>
                <w:bCs/>
                <w:szCs w:val="24"/>
              </w:rPr>
              <w:t>S</w:t>
            </w:r>
            <w:r w:rsidR="00AC1609" w:rsidRPr="0013396E">
              <w:rPr>
                <w:b/>
                <w:bCs/>
                <w:szCs w:val="24"/>
              </w:rPr>
              <w:t xml:space="preserve">PDAMT </w:t>
            </w:r>
            <w:r w:rsidR="00AC1609" w:rsidRPr="0013396E">
              <w:rPr>
                <w:b/>
                <w:bCs/>
                <w:i/>
                <w:iCs/>
                <w:szCs w:val="24"/>
                <w:vertAlign w:val="subscript"/>
                <w:lang w:val="es-ES"/>
              </w:rPr>
              <w:t xml:space="preserve">q, r, p, i   </w:t>
            </w:r>
            <w:r w:rsidR="00AC1609" w:rsidRPr="0013396E">
              <w:rPr>
                <w:b/>
                <w:bCs/>
                <w:szCs w:val="24"/>
              </w:rPr>
              <w:t xml:space="preserve">   =</w:t>
            </w:r>
            <w:r w:rsidR="00AC1609" w:rsidRPr="0013396E">
              <w:rPr>
                <w:b/>
                <w:bCs/>
                <w:szCs w:val="24"/>
              </w:rPr>
              <w:tab/>
              <w:t xml:space="preserve">-1 * Min (PR2, RTSPP </w:t>
            </w:r>
            <w:r w:rsidR="00AC1609" w:rsidRPr="0013396E">
              <w:rPr>
                <w:b/>
                <w:bCs/>
                <w:i/>
                <w:szCs w:val="24"/>
                <w:vertAlign w:val="subscript"/>
              </w:rPr>
              <w:t>p, i</w:t>
            </w:r>
            <w:r w:rsidR="00AC1609" w:rsidRPr="0013396E">
              <w:rPr>
                <w:b/>
                <w:bCs/>
                <w:szCs w:val="24"/>
              </w:rPr>
              <w:t>) * Min (1, KP) * UGEN</w:t>
            </w:r>
            <w:r w:rsidR="00AC1609" w:rsidRPr="0013396E">
              <w:rPr>
                <w:b/>
                <w:bCs/>
                <w:i/>
                <w:iCs/>
                <w:szCs w:val="24"/>
                <w:vertAlign w:val="subscript"/>
                <w:lang w:val="es-ES"/>
              </w:rPr>
              <w:t xml:space="preserve"> q, r, p, i </w:t>
            </w:r>
            <w:r w:rsidR="00AC1609" w:rsidRPr="0013396E">
              <w:rPr>
                <w:rFonts w:ascii="Times New Roman Bold" w:hAnsi="Times New Roman Bold"/>
                <w:b/>
                <w:bCs/>
                <w:iCs/>
                <w:szCs w:val="24"/>
                <w:lang w:val="es-ES"/>
              </w:rPr>
              <w:t xml:space="preserve">  </w:t>
            </w:r>
          </w:p>
          <w:p w14:paraId="26122DA9" w14:textId="2D43FA65" w:rsidR="00AC1609" w:rsidRPr="0013396E" w:rsidRDefault="00AC1609" w:rsidP="00AC1609">
            <w:pPr>
              <w:tabs>
                <w:tab w:val="left" w:pos="2340"/>
                <w:tab w:val="left" w:pos="3420"/>
              </w:tabs>
              <w:spacing w:after="240"/>
              <w:ind w:left="3420" w:hanging="2700"/>
              <w:rPr>
                <w:bCs/>
                <w:szCs w:val="24"/>
              </w:rPr>
            </w:pPr>
            <w:r w:rsidRPr="0013396E">
              <w:rPr>
                <w:bCs/>
                <w:szCs w:val="24"/>
              </w:rPr>
              <w:t>Where:</w:t>
            </w:r>
          </w:p>
          <w:p w14:paraId="226E6AA9" w14:textId="784C5353" w:rsidR="00AC1609" w:rsidRPr="0013396E" w:rsidRDefault="00AC1609" w:rsidP="00AC1609">
            <w:pPr>
              <w:spacing w:after="240"/>
              <w:ind w:left="720"/>
              <w:rPr>
                <w:i/>
                <w:iCs/>
                <w:szCs w:val="24"/>
                <w:vertAlign w:val="subscript"/>
                <w:lang w:val="es-ES"/>
              </w:rPr>
            </w:pPr>
            <w:r w:rsidRPr="0013396E">
              <w:rPr>
                <w:szCs w:val="24"/>
              </w:rPr>
              <w:t>UGEN</w:t>
            </w:r>
            <w:r w:rsidRPr="0013396E">
              <w:rPr>
                <w:i/>
                <w:iCs/>
                <w:szCs w:val="24"/>
                <w:vertAlign w:val="subscript"/>
                <w:lang w:val="es-ES"/>
              </w:rPr>
              <w:t xml:space="preserve"> q, r, p, i </w:t>
            </w:r>
            <w:r w:rsidRPr="0013396E">
              <w:rPr>
                <w:szCs w:val="24"/>
              </w:rPr>
              <w:t xml:space="preserve">    = </w:t>
            </w:r>
            <w:r w:rsidRPr="0013396E">
              <w:rPr>
                <w:szCs w:val="24"/>
              </w:rPr>
              <w:tab/>
              <w:t xml:space="preserve">Max </w:t>
            </w:r>
            <w:r w:rsidRPr="0013396E">
              <w:rPr>
                <w:iCs/>
                <w:szCs w:val="24"/>
              </w:rPr>
              <w:t>[0, [Min ((1 - K2) * ¼* AA</w:t>
            </w:r>
            <w:r w:rsidR="00E0443F" w:rsidRPr="0013396E">
              <w:rPr>
                <w:iCs/>
                <w:szCs w:val="24"/>
              </w:rPr>
              <w:t>S</w:t>
            </w:r>
            <w:r w:rsidRPr="0013396E">
              <w:rPr>
                <w:iCs/>
                <w:szCs w:val="24"/>
              </w:rPr>
              <w:t>P</w:t>
            </w:r>
            <w:r w:rsidRPr="0013396E">
              <w:rPr>
                <w:i/>
                <w:iCs/>
                <w:szCs w:val="24"/>
                <w:vertAlign w:val="subscript"/>
                <w:lang w:val="es-ES"/>
              </w:rPr>
              <w:t xml:space="preserve"> q, wg, p, i </w:t>
            </w:r>
            <w:r w:rsidRPr="0013396E">
              <w:rPr>
                <w:iCs/>
                <w:szCs w:val="24"/>
              </w:rPr>
              <w:t>,</w:t>
            </w:r>
            <w:r w:rsidRPr="0013396E">
              <w:rPr>
                <w:i/>
                <w:iCs/>
                <w:szCs w:val="24"/>
                <w:vertAlign w:val="subscript"/>
                <w:lang w:val="es-ES"/>
              </w:rPr>
              <w:t xml:space="preserve">   </w:t>
            </w:r>
          </w:p>
          <w:p w14:paraId="00FEAD11" w14:textId="3BA5C2B0" w:rsidR="00AC1609" w:rsidRPr="0013396E" w:rsidRDefault="00AC1609" w:rsidP="00AC1609">
            <w:pPr>
              <w:spacing w:after="240"/>
              <w:ind w:left="720" w:hanging="720"/>
              <w:rPr>
                <w:iCs/>
                <w:szCs w:val="24"/>
              </w:rPr>
            </w:pPr>
            <w:r w:rsidRPr="0013396E">
              <w:rPr>
                <w:iCs/>
                <w:szCs w:val="24"/>
                <w:lang w:val="es-MX"/>
              </w:rPr>
              <w:t xml:space="preserve">                                             </w:t>
            </w:r>
            <w:r w:rsidRPr="0013396E">
              <w:rPr>
                <w:iCs/>
                <w:szCs w:val="24"/>
                <w:lang w:val="es-MX"/>
              </w:rPr>
              <w:tab/>
              <w:t xml:space="preserve"> ¼ * (AA</w:t>
            </w:r>
            <w:r w:rsidR="00E0443F" w:rsidRPr="0013396E">
              <w:rPr>
                <w:iCs/>
                <w:szCs w:val="24"/>
                <w:lang w:val="es-MX"/>
              </w:rPr>
              <w:t>S</w:t>
            </w:r>
            <w:r w:rsidRPr="0013396E">
              <w:rPr>
                <w:iCs/>
                <w:szCs w:val="24"/>
                <w:lang w:val="es-MX"/>
              </w:rPr>
              <w:t>P</w:t>
            </w:r>
            <w:r w:rsidRPr="0013396E">
              <w:rPr>
                <w:i/>
                <w:szCs w:val="24"/>
                <w:vertAlign w:val="subscript"/>
                <w:lang w:val="es-ES"/>
              </w:rPr>
              <w:t xml:space="preserve"> q, wg, p, i  </w:t>
            </w:r>
            <w:r w:rsidRPr="0013396E">
              <w:rPr>
                <w:iCs/>
                <w:szCs w:val="24"/>
              </w:rPr>
              <w:t xml:space="preserve">- Q2)) - TWTG </w:t>
            </w:r>
            <w:r w:rsidRPr="0013396E">
              <w:rPr>
                <w:i/>
                <w:szCs w:val="24"/>
                <w:vertAlign w:val="subscript"/>
                <w:lang w:val="es-ES"/>
              </w:rPr>
              <w:t>q, wg, p, i</w:t>
            </w:r>
            <w:r w:rsidRPr="0013396E">
              <w:rPr>
                <w:iCs/>
                <w:szCs w:val="24"/>
              </w:rPr>
              <w:t>]] / N</w:t>
            </w:r>
          </w:p>
          <w:p w14:paraId="45420638" w14:textId="5E69B58A" w:rsidR="00AC1609" w:rsidRPr="0013396E" w:rsidRDefault="00AC1609" w:rsidP="00AC1609">
            <w:pPr>
              <w:spacing w:after="240"/>
              <w:ind w:left="720"/>
              <w:rPr>
                <w:szCs w:val="24"/>
              </w:rPr>
            </w:pPr>
            <w:r w:rsidRPr="0013396E">
              <w:rPr>
                <w:szCs w:val="24"/>
              </w:rPr>
              <w:t>TWTG</w:t>
            </w:r>
            <w:r w:rsidRPr="0013396E">
              <w:rPr>
                <w:i/>
                <w:szCs w:val="24"/>
                <w:vertAlign w:val="subscript"/>
              </w:rPr>
              <w:t xml:space="preserve"> q, wg, p, i</w:t>
            </w:r>
            <w:r w:rsidRPr="0013396E">
              <w:rPr>
                <w:i/>
                <w:szCs w:val="24"/>
                <w:vertAlign w:val="subscript"/>
              </w:rPr>
              <w:tab/>
              <w:t xml:space="preserve">  </w:t>
            </w:r>
            <w:r w:rsidRPr="0013396E">
              <w:rPr>
                <w:szCs w:val="24"/>
              </w:rPr>
              <w:t>=</w:t>
            </w:r>
            <w:r w:rsidRPr="0013396E">
              <w:rPr>
                <w:i/>
                <w:szCs w:val="24"/>
                <w:vertAlign w:val="subscript"/>
              </w:rPr>
              <w:tab/>
            </w:r>
            <w:r w:rsidRPr="0013396E">
              <w:rPr>
                <w:b/>
                <w:noProof/>
                <w:position w:val="-18"/>
                <w:szCs w:val="24"/>
              </w:rPr>
              <w:drawing>
                <wp:inline distT="0" distB="0" distL="0" distR="0" wp14:anchorId="72F5DFEE" wp14:editId="11E9F14E">
                  <wp:extent cx="135255" cy="246380"/>
                  <wp:effectExtent l="0" t="0" r="0" b="1270"/>
                  <wp:docPr id="2083" name="Picture 20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6"/>
                          <pic:cNvPicPr>
                            <a:picLocks noChangeAspect="1" noChangeArrowheads="1"/>
                          </pic:cNvPicPr>
                        </pic:nvPicPr>
                        <pic:blipFill>
                          <a:blip r:embed="rId180" cstate="print">
                            <a:extLst>
                              <a:ext uri="{28A0092B-C50C-407E-A947-70E740481C1C}">
                                <a14:useLocalDpi xmlns:a14="http://schemas.microsoft.com/office/drawing/2010/main" val="0"/>
                              </a:ext>
                            </a:extLst>
                          </a:blip>
                          <a:srcRect/>
                          <a:stretch>
                            <a:fillRect/>
                          </a:stretch>
                        </pic:blipFill>
                        <pic:spPr bwMode="auto">
                          <a:xfrm>
                            <a:off x="0" y="0"/>
                            <a:ext cx="135255" cy="246380"/>
                          </a:xfrm>
                          <a:prstGeom prst="rect">
                            <a:avLst/>
                          </a:prstGeom>
                          <a:noFill/>
                          <a:ln>
                            <a:noFill/>
                          </a:ln>
                        </pic:spPr>
                      </pic:pic>
                    </a:graphicData>
                  </a:graphic>
                </wp:inline>
              </w:drawing>
            </w:r>
            <w:r w:rsidRPr="0013396E">
              <w:rPr>
                <w:szCs w:val="24"/>
              </w:rPr>
              <w:t xml:space="preserve"> (</w:t>
            </w:r>
            <w:r w:rsidRPr="0013396E">
              <w:rPr>
                <w:b/>
                <w:noProof/>
                <w:position w:val="-22"/>
                <w:szCs w:val="24"/>
              </w:rPr>
              <w:drawing>
                <wp:inline distT="0" distB="0" distL="0" distR="0" wp14:anchorId="5D9C9CF4" wp14:editId="27E3E92E">
                  <wp:extent cx="135255" cy="286385"/>
                  <wp:effectExtent l="0" t="0" r="0" b="0"/>
                  <wp:docPr id="2082" name="Picture 2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7"/>
                          <pic:cNvPicPr>
                            <a:picLocks noChangeAspect="1" noChangeArrowheads="1"/>
                          </pic:cNvPicPr>
                        </pic:nvPicPr>
                        <pic:blipFill>
                          <a:blip r:embed="rId184" cstate="print">
                            <a:extLst>
                              <a:ext uri="{28A0092B-C50C-407E-A947-70E740481C1C}">
                                <a14:useLocalDpi xmlns:a14="http://schemas.microsoft.com/office/drawing/2010/main" val="0"/>
                              </a:ext>
                            </a:extLst>
                          </a:blip>
                          <a:srcRect/>
                          <a:stretch>
                            <a:fillRect/>
                          </a:stretch>
                        </pic:blipFill>
                        <pic:spPr bwMode="auto">
                          <a:xfrm>
                            <a:off x="0" y="0"/>
                            <a:ext cx="135255" cy="286385"/>
                          </a:xfrm>
                          <a:prstGeom prst="rect">
                            <a:avLst/>
                          </a:prstGeom>
                          <a:noFill/>
                          <a:ln>
                            <a:noFill/>
                          </a:ln>
                        </pic:spPr>
                      </pic:pic>
                    </a:graphicData>
                  </a:graphic>
                </wp:inline>
              </w:drawing>
            </w:r>
            <w:r w:rsidRPr="0013396E">
              <w:rPr>
                <w:szCs w:val="24"/>
              </w:rPr>
              <w:t xml:space="preserve"> (AVGTG5M</w:t>
            </w:r>
            <w:r w:rsidRPr="0013396E">
              <w:rPr>
                <w:i/>
                <w:szCs w:val="24"/>
                <w:vertAlign w:val="subscript"/>
              </w:rPr>
              <w:t xml:space="preserve"> q, r, p, i, y</w:t>
            </w:r>
            <w:r w:rsidRPr="0013396E">
              <w:rPr>
                <w:szCs w:val="24"/>
              </w:rPr>
              <w:t>)</w:t>
            </w:r>
            <w:r w:rsidRPr="0013396E">
              <w:rPr>
                <w:rFonts w:ascii="Times New Roman Bold" w:hAnsi="Times New Roman Bold"/>
                <w:szCs w:val="24"/>
              </w:rPr>
              <w:t xml:space="preserve"> / </w:t>
            </w:r>
            <w:r w:rsidRPr="0013396E">
              <w:rPr>
                <w:szCs w:val="24"/>
              </w:rPr>
              <w:t>3)</w:t>
            </w:r>
            <w:r w:rsidRPr="0013396E">
              <w:rPr>
                <w:rFonts w:ascii="Times New Roman Bold" w:hAnsi="Times New Roman Bold"/>
                <w:szCs w:val="24"/>
              </w:rPr>
              <w:t xml:space="preserve"> </w:t>
            </w:r>
            <w:r w:rsidRPr="0013396E">
              <w:rPr>
                <w:szCs w:val="24"/>
              </w:rPr>
              <w:t>*</w:t>
            </w:r>
            <w:r w:rsidRPr="0013396E">
              <w:rPr>
                <w:rFonts w:ascii="Times New Roman Bold" w:hAnsi="Times New Roman Bold"/>
                <w:szCs w:val="24"/>
              </w:rPr>
              <w:t xml:space="preserve"> </w:t>
            </w:r>
            <w:r w:rsidRPr="0013396E">
              <w:rPr>
                <w:rFonts w:hint="eastAsia"/>
                <w:szCs w:val="24"/>
              </w:rPr>
              <w:t>¼</w:t>
            </w:r>
          </w:p>
          <w:p w14:paraId="10F57029" w14:textId="0BCA3236" w:rsidR="00AC1609" w:rsidRPr="0013396E" w:rsidRDefault="00AC1609" w:rsidP="00AC1609">
            <w:pPr>
              <w:tabs>
                <w:tab w:val="left" w:pos="2160"/>
                <w:tab w:val="left" w:pos="2880"/>
              </w:tabs>
              <w:spacing w:after="240"/>
              <w:ind w:leftChars="300" w:left="2880" w:hangingChars="900" w:hanging="2160"/>
              <w:rPr>
                <w:bCs/>
                <w:szCs w:val="24"/>
              </w:rPr>
            </w:pPr>
            <w:r w:rsidRPr="0013396E">
              <w:rPr>
                <w:bCs/>
                <w:szCs w:val="24"/>
                <w:lang w:val="es-ES"/>
              </w:rPr>
              <w:lastRenderedPageBreak/>
              <w:t>AA</w:t>
            </w:r>
            <w:r w:rsidR="00E0443F" w:rsidRPr="0013396E">
              <w:rPr>
                <w:bCs/>
                <w:szCs w:val="24"/>
                <w:lang w:val="es-ES"/>
              </w:rPr>
              <w:t>S</w:t>
            </w:r>
            <w:r w:rsidRPr="0013396E">
              <w:rPr>
                <w:bCs/>
                <w:szCs w:val="24"/>
                <w:lang w:val="es-ES"/>
              </w:rPr>
              <w:t>P</w:t>
            </w:r>
            <w:r w:rsidRPr="0013396E">
              <w:rPr>
                <w:bCs/>
                <w:i/>
                <w:szCs w:val="24"/>
                <w:vertAlign w:val="subscript"/>
                <w:lang w:val="pt-BR"/>
              </w:rPr>
              <w:t xml:space="preserve"> q, wg, p, i       </w:t>
            </w:r>
            <w:r w:rsidRPr="0013396E">
              <w:rPr>
                <w:bCs/>
                <w:szCs w:val="24"/>
                <w:lang w:val="pt-BR"/>
              </w:rPr>
              <w:t xml:space="preserve">= </w:t>
            </w:r>
            <w:r w:rsidRPr="0013396E">
              <w:rPr>
                <w:bCs/>
                <w:szCs w:val="24"/>
                <w:lang w:val="pt-BR"/>
              </w:rPr>
              <w:tab/>
            </w:r>
            <w:r w:rsidRPr="0013396E">
              <w:rPr>
                <w:bCs/>
                <w:noProof/>
                <w:position w:val="-18"/>
                <w:szCs w:val="24"/>
              </w:rPr>
              <w:drawing>
                <wp:inline distT="0" distB="0" distL="0" distR="0" wp14:anchorId="5C3E2145" wp14:editId="36423204">
                  <wp:extent cx="135255" cy="246380"/>
                  <wp:effectExtent l="0" t="0" r="0" b="1270"/>
                  <wp:docPr id="2081" name="Picture 2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8"/>
                          <pic:cNvPicPr>
                            <a:picLocks noChangeAspect="1" noChangeArrowheads="1"/>
                          </pic:cNvPicPr>
                        </pic:nvPicPr>
                        <pic:blipFill>
                          <a:blip r:embed="rId180" cstate="print">
                            <a:extLst>
                              <a:ext uri="{28A0092B-C50C-407E-A947-70E740481C1C}">
                                <a14:useLocalDpi xmlns:a14="http://schemas.microsoft.com/office/drawing/2010/main" val="0"/>
                              </a:ext>
                            </a:extLst>
                          </a:blip>
                          <a:srcRect/>
                          <a:stretch>
                            <a:fillRect/>
                          </a:stretch>
                        </pic:blipFill>
                        <pic:spPr bwMode="auto">
                          <a:xfrm>
                            <a:off x="0" y="0"/>
                            <a:ext cx="135255" cy="246380"/>
                          </a:xfrm>
                          <a:prstGeom prst="rect">
                            <a:avLst/>
                          </a:prstGeom>
                          <a:noFill/>
                          <a:ln>
                            <a:noFill/>
                          </a:ln>
                        </pic:spPr>
                      </pic:pic>
                    </a:graphicData>
                  </a:graphic>
                </wp:inline>
              </w:drawing>
            </w:r>
            <w:r w:rsidRPr="0013396E">
              <w:rPr>
                <w:bCs/>
                <w:szCs w:val="24"/>
                <w:lang w:val="es-ES"/>
              </w:rPr>
              <w:t>(</w:t>
            </w:r>
            <w:r w:rsidRPr="0013396E">
              <w:rPr>
                <w:bCs/>
                <w:szCs w:val="24"/>
                <w:lang w:val="pt-BR"/>
              </w:rPr>
              <w:t>AA</w:t>
            </w:r>
            <w:r w:rsidR="00E0443F" w:rsidRPr="0013396E">
              <w:rPr>
                <w:bCs/>
                <w:szCs w:val="24"/>
                <w:lang w:val="pt-BR"/>
              </w:rPr>
              <w:t>S</w:t>
            </w:r>
            <w:r w:rsidRPr="0013396E">
              <w:rPr>
                <w:bCs/>
                <w:szCs w:val="24"/>
                <w:lang w:val="pt-BR"/>
              </w:rPr>
              <w:t>P</w:t>
            </w:r>
            <w:r w:rsidRPr="0013396E">
              <w:rPr>
                <w:bCs/>
                <w:i/>
                <w:szCs w:val="24"/>
                <w:vertAlign w:val="subscript"/>
                <w:lang w:val="pt-BR"/>
              </w:rPr>
              <w:t xml:space="preserve"> q, r, p, i</w:t>
            </w:r>
            <w:r w:rsidRPr="0013396E">
              <w:rPr>
                <w:bCs/>
                <w:szCs w:val="24"/>
                <w:lang w:val="pt-BR"/>
              </w:rPr>
              <w:t>)</w:t>
            </w:r>
          </w:p>
          <w:p w14:paraId="32DC7D5B" w14:textId="5C9F8015" w:rsidR="00AC1609" w:rsidRPr="0013396E" w:rsidRDefault="00AC1609" w:rsidP="00AC1609">
            <w:pPr>
              <w:rPr>
                <w:szCs w:val="24"/>
              </w:rPr>
            </w:pPr>
            <w:r w:rsidRPr="0013396E">
              <w:rPr>
                <w:szCs w:val="24"/>
              </w:rPr>
              <w:t>The above variables are defined as follows:</w:t>
            </w:r>
          </w:p>
          <w:tbl>
            <w:tblPr>
              <w:tblW w:w="98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8"/>
              <w:gridCol w:w="1372"/>
              <w:gridCol w:w="5869"/>
            </w:tblGrid>
            <w:tr w:rsidR="00175930" w:rsidRPr="0013396E" w14:paraId="2602A569" w14:textId="402D9454" w:rsidTr="00AB2BB6">
              <w:tc>
                <w:tcPr>
                  <w:tcW w:w="2588" w:type="dxa"/>
                </w:tcPr>
                <w:p w14:paraId="33D752AA" w14:textId="4B86A4A0" w:rsidR="00175930" w:rsidRPr="0013396E" w:rsidRDefault="00175930" w:rsidP="00175930">
                  <w:pPr>
                    <w:pStyle w:val="TableHead"/>
                  </w:pPr>
                  <w:r w:rsidRPr="0013396E">
                    <w:t>Variable</w:t>
                  </w:r>
                </w:p>
              </w:tc>
              <w:tc>
                <w:tcPr>
                  <w:tcW w:w="1372" w:type="dxa"/>
                </w:tcPr>
                <w:p w14:paraId="668B1BF2" w14:textId="0086AB32" w:rsidR="00175930" w:rsidRPr="0013396E" w:rsidRDefault="00175930" w:rsidP="00175930">
                  <w:pPr>
                    <w:pStyle w:val="TableHead"/>
                  </w:pPr>
                  <w:r w:rsidRPr="0013396E">
                    <w:t>Unit</w:t>
                  </w:r>
                </w:p>
              </w:tc>
              <w:tc>
                <w:tcPr>
                  <w:tcW w:w="5869" w:type="dxa"/>
                </w:tcPr>
                <w:p w14:paraId="01BC0B1A" w14:textId="5DDE9CAD" w:rsidR="00175930" w:rsidRPr="0013396E" w:rsidRDefault="00175930" w:rsidP="00175930">
                  <w:pPr>
                    <w:pStyle w:val="TableHead"/>
                  </w:pPr>
                  <w:r w:rsidRPr="0013396E">
                    <w:t>Definition</w:t>
                  </w:r>
                </w:p>
              </w:tc>
            </w:tr>
            <w:tr w:rsidR="00175930" w:rsidRPr="0013396E" w14:paraId="2E9AB539" w14:textId="5B97AADA" w:rsidTr="00AB2BB6">
              <w:trPr>
                <w:cantSplit/>
              </w:trPr>
              <w:tc>
                <w:tcPr>
                  <w:tcW w:w="2588" w:type="dxa"/>
                </w:tcPr>
                <w:p w14:paraId="4E907321" w14:textId="1CAD7D11" w:rsidR="00175930" w:rsidRPr="0013396E" w:rsidRDefault="00E0443F" w:rsidP="00175930">
                  <w:pPr>
                    <w:pStyle w:val="TableBody"/>
                  </w:pPr>
                  <w:r w:rsidRPr="0013396E">
                    <w:t>S</w:t>
                  </w:r>
                  <w:r w:rsidR="00175930" w:rsidRPr="0013396E">
                    <w:t xml:space="preserve">PDAMT </w:t>
                  </w:r>
                  <w:r w:rsidR="00175930" w:rsidRPr="0013396E">
                    <w:rPr>
                      <w:i/>
                      <w:vertAlign w:val="subscript"/>
                    </w:rPr>
                    <w:t>q, r, p, i</w:t>
                  </w:r>
                </w:p>
              </w:tc>
              <w:tc>
                <w:tcPr>
                  <w:tcW w:w="1372" w:type="dxa"/>
                </w:tcPr>
                <w:p w14:paraId="169D9C7F" w14:textId="124740CA" w:rsidR="00175930" w:rsidRPr="0013396E" w:rsidRDefault="00175930" w:rsidP="00175930">
                  <w:pPr>
                    <w:pStyle w:val="TableBody"/>
                  </w:pPr>
                  <w:r w:rsidRPr="0013396E">
                    <w:t>$</w:t>
                  </w:r>
                </w:p>
              </w:tc>
              <w:tc>
                <w:tcPr>
                  <w:tcW w:w="5869" w:type="dxa"/>
                </w:tcPr>
                <w:p w14:paraId="37897001" w14:textId="5025F793" w:rsidR="00175930" w:rsidRPr="0013396E" w:rsidRDefault="00E0443F" w:rsidP="00E0443F">
                  <w:pPr>
                    <w:pStyle w:val="TableBody"/>
                  </w:pPr>
                  <w:r w:rsidRPr="0013396E">
                    <w:rPr>
                      <w:i/>
                    </w:rPr>
                    <w:t>Set</w:t>
                  </w:r>
                  <w:r w:rsidR="00175930" w:rsidRPr="0013396E">
                    <w:rPr>
                      <w:i/>
                    </w:rPr>
                    <w:t xml:space="preserve"> Point Deviation Charge per QSE per Settlement Point per Resource</w:t>
                  </w:r>
                  <w:r w:rsidR="00175930" w:rsidRPr="0013396E">
                    <w:t xml:space="preserve">—The charge to QSE </w:t>
                  </w:r>
                  <w:r w:rsidR="00175930" w:rsidRPr="0013396E">
                    <w:rPr>
                      <w:i/>
                    </w:rPr>
                    <w:t>q</w:t>
                  </w:r>
                  <w:r w:rsidR="00175930" w:rsidRPr="0013396E">
                    <w:t xml:space="preserve"> for Generation Resource </w:t>
                  </w:r>
                  <w:r w:rsidR="00175930" w:rsidRPr="0013396E">
                    <w:rPr>
                      <w:i/>
                    </w:rPr>
                    <w:t>r</w:t>
                  </w:r>
                  <w:r w:rsidR="00175930" w:rsidRPr="0013396E">
                    <w:t xml:space="preserve"> at Resource Node </w:t>
                  </w:r>
                  <w:r w:rsidR="00175930" w:rsidRPr="0013396E">
                    <w:rPr>
                      <w:i/>
                    </w:rPr>
                    <w:t>p</w:t>
                  </w:r>
                  <w:r w:rsidR="00175930" w:rsidRPr="0013396E">
                    <w:t xml:space="preserve">, for its deviation from </w:t>
                  </w:r>
                  <w:r w:rsidRPr="0013396E">
                    <w:t>AASP</w:t>
                  </w:r>
                  <w:r w:rsidR="00175930" w:rsidRPr="0013396E">
                    <w:t xml:space="preserve">, for the 15-minute Settlement Interval </w:t>
                  </w:r>
                  <w:r w:rsidR="00175930" w:rsidRPr="0013396E">
                    <w:rPr>
                      <w:i/>
                    </w:rPr>
                    <w:t>i</w:t>
                  </w:r>
                  <w:r w:rsidR="00175930" w:rsidRPr="0013396E">
                    <w:t xml:space="preserve">.  A </w:t>
                  </w:r>
                  <w:r w:rsidRPr="0013396E">
                    <w:t>Set</w:t>
                  </w:r>
                  <w:r w:rsidR="00175930" w:rsidRPr="0013396E">
                    <w:t xml:space="preserve"> Point Deviation Charge is charged to the Combined Cycle Train for all Combined Cycle Generation Resources.</w:t>
                  </w:r>
                </w:p>
              </w:tc>
            </w:tr>
            <w:tr w:rsidR="00175930" w:rsidRPr="0013396E" w14:paraId="261B8156" w14:textId="611D9CEA" w:rsidTr="00AB2BB6">
              <w:trPr>
                <w:cantSplit/>
              </w:trPr>
              <w:tc>
                <w:tcPr>
                  <w:tcW w:w="2588" w:type="dxa"/>
                </w:tcPr>
                <w:p w14:paraId="002723E7" w14:textId="446ED05A" w:rsidR="00175930" w:rsidRPr="0013396E" w:rsidRDefault="00175930" w:rsidP="00175930">
                  <w:pPr>
                    <w:pStyle w:val="TableBody"/>
                  </w:pPr>
                  <w:r w:rsidRPr="0013396E">
                    <w:t xml:space="preserve">RTSPP </w:t>
                  </w:r>
                  <w:r w:rsidRPr="0013396E">
                    <w:rPr>
                      <w:i/>
                      <w:vertAlign w:val="subscript"/>
                    </w:rPr>
                    <w:t>p, i</w:t>
                  </w:r>
                </w:p>
              </w:tc>
              <w:tc>
                <w:tcPr>
                  <w:tcW w:w="1372" w:type="dxa"/>
                </w:tcPr>
                <w:p w14:paraId="78990060" w14:textId="1580F908" w:rsidR="00175930" w:rsidRPr="0013396E" w:rsidRDefault="00175930" w:rsidP="00175930">
                  <w:pPr>
                    <w:pStyle w:val="TableBody"/>
                  </w:pPr>
                  <w:r w:rsidRPr="0013396E">
                    <w:t>$/MWh</w:t>
                  </w:r>
                </w:p>
              </w:tc>
              <w:tc>
                <w:tcPr>
                  <w:tcW w:w="5869" w:type="dxa"/>
                </w:tcPr>
                <w:p w14:paraId="20B04A34" w14:textId="13814415" w:rsidR="00175930" w:rsidRPr="0013396E" w:rsidRDefault="00175930" w:rsidP="00175930">
                  <w:pPr>
                    <w:pStyle w:val="TableBody"/>
                  </w:pPr>
                  <w:r w:rsidRPr="0013396E">
                    <w:rPr>
                      <w:i/>
                    </w:rPr>
                    <w:t>Real-Time Settlement Point Price per Settlement Point</w:t>
                  </w:r>
                  <w:r w:rsidRPr="0013396E">
                    <w:t xml:space="preserve">—The Real-Time Settlement Point Price at Settlement Point </w:t>
                  </w:r>
                  <w:r w:rsidRPr="0013396E">
                    <w:rPr>
                      <w:i/>
                    </w:rPr>
                    <w:t>p</w:t>
                  </w:r>
                  <w:r w:rsidRPr="0013396E">
                    <w:t xml:space="preserve">, for the 15-minute Settlement Interval </w:t>
                  </w:r>
                  <w:r w:rsidRPr="0013396E">
                    <w:rPr>
                      <w:i/>
                    </w:rPr>
                    <w:t>i</w:t>
                  </w:r>
                  <w:r w:rsidRPr="0013396E">
                    <w:t>.</w:t>
                  </w:r>
                </w:p>
              </w:tc>
            </w:tr>
            <w:tr w:rsidR="00175930" w:rsidRPr="0013396E" w14:paraId="2FA5F7CD" w14:textId="214E7AE7" w:rsidTr="00AB2BB6">
              <w:trPr>
                <w:cantSplit/>
              </w:trPr>
              <w:tc>
                <w:tcPr>
                  <w:tcW w:w="2588" w:type="dxa"/>
                </w:tcPr>
                <w:p w14:paraId="083D8EEC" w14:textId="1B252FEA" w:rsidR="00175930" w:rsidRPr="0013396E" w:rsidRDefault="00175930" w:rsidP="00175930">
                  <w:pPr>
                    <w:pStyle w:val="TableBody"/>
                  </w:pPr>
                  <w:r w:rsidRPr="0013396E">
                    <w:t xml:space="preserve">TWTG </w:t>
                  </w:r>
                  <w:r w:rsidRPr="0013396E">
                    <w:rPr>
                      <w:i/>
                      <w:vertAlign w:val="subscript"/>
                    </w:rPr>
                    <w:t>q, r, p, i</w:t>
                  </w:r>
                </w:p>
              </w:tc>
              <w:tc>
                <w:tcPr>
                  <w:tcW w:w="1372" w:type="dxa"/>
                </w:tcPr>
                <w:p w14:paraId="3CA09C92" w14:textId="68FA9042" w:rsidR="00175930" w:rsidRPr="0013396E" w:rsidRDefault="00175930" w:rsidP="00175930">
                  <w:pPr>
                    <w:pStyle w:val="TableBody"/>
                  </w:pPr>
                  <w:r w:rsidRPr="0013396E">
                    <w:t>MWh</w:t>
                  </w:r>
                </w:p>
              </w:tc>
              <w:tc>
                <w:tcPr>
                  <w:tcW w:w="5869" w:type="dxa"/>
                </w:tcPr>
                <w:p w14:paraId="78A366A6" w14:textId="37145004" w:rsidR="00175930" w:rsidRPr="0013396E" w:rsidRDefault="00175930" w:rsidP="00175930">
                  <w:pPr>
                    <w:pStyle w:val="TableBody"/>
                    <w:rPr>
                      <w:i/>
                    </w:rPr>
                  </w:pPr>
                  <w:r w:rsidRPr="0013396E">
                    <w:rPr>
                      <w:i/>
                    </w:rPr>
                    <w:t>Time-Weighted Telemetered Generation per QSE per Settlement Point per Resource</w:t>
                  </w:r>
                  <w:r w:rsidRPr="0013396E">
                    <w:t xml:space="preserve">—The telemetered generation of Generation Resource </w:t>
                  </w:r>
                  <w:r w:rsidRPr="0013396E">
                    <w:rPr>
                      <w:i/>
                    </w:rPr>
                    <w:t>r</w:t>
                  </w:r>
                  <w:r w:rsidRPr="0013396E">
                    <w:t xml:space="preserve"> represented by QSE </w:t>
                  </w:r>
                  <w:r w:rsidRPr="0013396E">
                    <w:rPr>
                      <w:i/>
                    </w:rPr>
                    <w:t>q</w:t>
                  </w:r>
                  <w:r w:rsidRPr="0013396E">
                    <w:t xml:space="preserve"> at Resource Node </w:t>
                  </w:r>
                  <w:r w:rsidRPr="0013396E">
                    <w:rPr>
                      <w:i/>
                    </w:rPr>
                    <w:t>p</w:t>
                  </w:r>
                  <w:r w:rsidRPr="0013396E">
                    <w:t xml:space="preserve">, for the 15-minute Settlement Interval </w:t>
                  </w:r>
                  <w:r w:rsidRPr="0013396E">
                    <w:rPr>
                      <w:i/>
                    </w:rPr>
                    <w:t>i</w:t>
                  </w:r>
                  <w:r w:rsidRPr="0013396E">
                    <w:t xml:space="preserve">.  Where for a Combined Cycle Train, the Resource </w:t>
                  </w:r>
                  <w:r w:rsidRPr="0013396E">
                    <w:rPr>
                      <w:i/>
                    </w:rPr>
                    <w:t xml:space="preserve">r </w:t>
                  </w:r>
                  <w:r w:rsidRPr="0013396E">
                    <w:t>is the Combined Cycle Train.</w:t>
                  </w:r>
                </w:p>
              </w:tc>
            </w:tr>
            <w:tr w:rsidR="00175930" w:rsidRPr="0013396E" w14:paraId="4436F6CA" w14:textId="769C8602" w:rsidTr="00AB2BB6">
              <w:trPr>
                <w:cantSplit/>
              </w:trPr>
              <w:tc>
                <w:tcPr>
                  <w:tcW w:w="2588" w:type="dxa"/>
                </w:tcPr>
                <w:p w14:paraId="0D2032F1" w14:textId="580DB945" w:rsidR="00175930" w:rsidRPr="0013396E" w:rsidRDefault="00175930" w:rsidP="00E0443F">
                  <w:pPr>
                    <w:pStyle w:val="TableBody"/>
                  </w:pPr>
                  <w:r w:rsidRPr="0013396E">
                    <w:t>AA</w:t>
                  </w:r>
                  <w:r w:rsidR="00E0443F" w:rsidRPr="0013396E">
                    <w:t>S</w:t>
                  </w:r>
                  <w:r w:rsidRPr="0013396E">
                    <w:t>P</w:t>
                  </w:r>
                  <w:r w:rsidRPr="0013396E">
                    <w:rPr>
                      <w:vertAlign w:val="subscript"/>
                    </w:rPr>
                    <w:t xml:space="preserve"> </w:t>
                  </w:r>
                  <w:r w:rsidRPr="0013396E">
                    <w:rPr>
                      <w:i/>
                      <w:vertAlign w:val="subscript"/>
                    </w:rPr>
                    <w:t>q, r, p, i</w:t>
                  </w:r>
                </w:p>
              </w:tc>
              <w:tc>
                <w:tcPr>
                  <w:tcW w:w="1372" w:type="dxa"/>
                </w:tcPr>
                <w:p w14:paraId="274EF542" w14:textId="30A3F51B" w:rsidR="00175930" w:rsidRPr="0013396E" w:rsidRDefault="00175930" w:rsidP="00175930">
                  <w:pPr>
                    <w:pStyle w:val="TableBody"/>
                  </w:pPr>
                  <w:r w:rsidRPr="0013396E">
                    <w:t>MW</w:t>
                  </w:r>
                </w:p>
              </w:tc>
              <w:tc>
                <w:tcPr>
                  <w:tcW w:w="5869" w:type="dxa"/>
                </w:tcPr>
                <w:p w14:paraId="1B23B72D" w14:textId="6E881BB9" w:rsidR="00175930" w:rsidRPr="0013396E" w:rsidRDefault="00E0443F" w:rsidP="00537E31">
                  <w:pPr>
                    <w:pStyle w:val="TableBody"/>
                    <w:rPr>
                      <w:i/>
                    </w:rPr>
                  </w:pPr>
                  <w:r w:rsidRPr="0013396E">
                    <w:rPr>
                      <w:i/>
                    </w:rPr>
                    <w:t>Average</w:t>
                  </w:r>
                  <w:r w:rsidR="00175930" w:rsidRPr="0013396E">
                    <w:rPr>
                      <w:i/>
                    </w:rPr>
                    <w:t xml:space="preserve"> Aggregated </w:t>
                  </w:r>
                  <w:r w:rsidRPr="0013396E">
                    <w:rPr>
                      <w:i/>
                    </w:rPr>
                    <w:t>Set</w:t>
                  </w:r>
                  <w:r w:rsidR="00175930" w:rsidRPr="0013396E">
                    <w:rPr>
                      <w:i/>
                    </w:rPr>
                    <w:t xml:space="preserve"> Point</w:t>
                  </w:r>
                  <w:r w:rsidR="00175930" w:rsidRPr="0013396E">
                    <w:t xml:space="preserve">—The </w:t>
                  </w:r>
                  <w:r w:rsidRPr="0013396E">
                    <w:t>average of the Average Five Minute Clock Interval Set Point (AVGSP5M)</w:t>
                  </w:r>
                  <w:r w:rsidR="00175930" w:rsidRPr="0013396E">
                    <w:t xml:space="preserve"> of Generation Resource </w:t>
                  </w:r>
                  <w:r w:rsidR="00175930" w:rsidRPr="0013396E">
                    <w:rPr>
                      <w:i/>
                    </w:rPr>
                    <w:t>r</w:t>
                  </w:r>
                  <w:r w:rsidR="00175930" w:rsidRPr="0013396E">
                    <w:t xml:space="preserve"> represented by QSE </w:t>
                  </w:r>
                  <w:r w:rsidR="00175930" w:rsidRPr="0013396E">
                    <w:rPr>
                      <w:i/>
                    </w:rPr>
                    <w:t>q</w:t>
                  </w:r>
                  <w:r w:rsidR="00175930" w:rsidRPr="0013396E">
                    <w:t xml:space="preserve"> at Settlement Point </w:t>
                  </w:r>
                  <w:r w:rsidR="00175930" w:rsidRPr="0013396E">
                    <w:rPr>
                      <w:i/>
                    </w:rPr>
                    <w:t>p</w:t>
                  </w:r>
                  <w:r w:rsidR="00175930" w:rsidRPr="0013396E">
                    <w:t xml:space="preserve">, for the 15-minute Settlement Interval </w:t>
                  </w:r>
                  <w:r w:rsidR="00175930" w:rsidRPr="0013396E">
                    <w:rPr>
                      <w:i/>
                    </w:rPr>
                    <w:t>i</w:t>
                  </w:r>
                  <w:r w:rsidR="00175930" w:rsidRPr="0013396E">
                    <w:t>.  Where for a Combined Cycle Train, AA</w:t>
                  </w:r>
                  <w:r w:rsidR="00537E31" w:rsidRPr="0013396E">
                    <w:t>S</w:t>
                  </w:r>
                  <w:r w:rsidR="00175930" w:rsidRPr="0013396E">
                    <w:t xml:space="preserve">P is calculated for the Combined Cycle Train considering all </w:t>
                  </w:r>
                  <w:r w:rsidR="00537E31" w:rsidRPr="0013396E">
                    <w:t>UDSPs</w:t>
                  </w:r>
                  <w:r w:rsidR="00175930" w:rsidRPr="0013396E">
                    <w:t xml:space="preserve"> to any Combined Cycle Generation Resources within the Combined Cycle Train.</w:t>
                  </w:r>
                </w:p>
              </w:tc>
            </w:tr>
            <w:tr w:rsidR="00175930" w:rsidRPr="0013396E" w14:paraId="27E4700A" w14:textId="6A431252" w:rsidTr="00AB2BB6">
              <w:trPr>
                <w:cantSplit/>
              </w:trPr>
              <w:tc>
                <w:tcPr>
                  <w:tcW w:w="2588" w:type="dxa"/>
                </w:tcPr>
                <w:p w14:paraId="0BA67B21" w14:textId="6C3C8EAA" w:rsidR="00175930" w:rsidRPr="0013396E" w:rsidRDefault="00175930" w:rsidP="00175930">
                  <w:pPr>
                    <w:pStyle w:val="TableBody"/>
                  </w:pPr>
                  <w:r w:rsidRPr="0013396E">
                    <w:t>AVGTG5M</w:t>
                  </w:r>
                  <w:r w:rsidRPr="0013396E">
                    <w:rPr>
                      <w:i/>
                      <w:vertAlign w:val="subscript"/>
                      <w:lang w:val="fr-FR"/>
                    </w:rPr>
                    <w:t xml:space="preserve">  q, r, p, i, y</w:t>
                  </w:r>
                </w:p>
              </w:tc>
              <w:tc>
                <w:tcPr>
                  <w:tcW w:w="1372" w:type="dxa"/>
                </w:tcPr>
                <w:p w14:paraId="0CCE4901" w14:textId="508601E9" w:rsidR="00175930" w:rsidRPr="0013396E" w:rsidRDefault="00175930" w:rsidP="00175930">
                  <w:pPr>
                    <w:pStyle w:val="TableBody"/>
                  </w:pPr>
                  <w:r w:rsidRPr="0013396E">
                    <w:t>MW</w:t>
                  </w:r>
                </w:p>
              </w:tc>
              <w:tc>
                <w:tcPr>
                  <w:tcW w:w="5869" w:type="dxa"/>
                </w:tcPr>
                <w:p w14:paraId="60D35EB0" w14:textId="7DDEDFF7" w:rsidR="00175930" w:rsidRPr="0013396E" w:rsidRDefault="00175930" w:rsidP="00175930">
                  <w:pPr>
                    <w:pStyle w:val="TableBody"/>
                  </w:pPr>
                  <w:r w:rsidRPr="0013396E">
                    <w:rPr>
                      <w:i/>
                    </w:rPr>
                    <w:t>Average Telemetered Generation for the 5 Minutes</w:t>
                  </w:r>
                  <w:r w:rsidRPr="0013396E">
                    <w:t xml:space="preserve"> —The average telemetered generation of Generation Resource </w:t>
                  </w:r>
                  <w:r w:rsidRPr="0013396E">
                    <w:rPr>
                      <w:i/>
                    </w:rPr>
                    <w:t>r</w:t>
                  </w:r>
                  <w:r w:rsidRPr="0013396E">
                    <w:t xml:space="preserve"> represented by QSE </w:t>
                  </w:r>
                  <w:r w:rsidRPr="0013396E">
                    <w:rPr>
                      <w:i/>
                    </w:rPr>
                    <w:t>q</w:t>
                  </w:r>
                  <w:r w:rsidRPr="0013396E">
                    <w:t xml:space="preserve"> at Resource Node </w:t>
                  </w:r>
                  <w:r w:rsidRPr="0013396E">
                    <w:rPr>
                      <w:i/>
                    </w:rPr>
                    <w:t>p</w:t>
                  </w:r>
                  <w:r w:rsidRPr="0013396E">
                    <w:t xml:space="preserve">, for the five-minute clock interval </w:t>
                  </w:r>
                  <w:r w:rsidRPr="0013396E">
                    <w:rPr>
                      <w:i/>
                    </w:rPr>
                    <w:t>y</w:t>
                  </w:r>
                  <w:r w:rsidRPr="0013396E">
                    <w:t xml:space="preserve">, within the 15-minute Settlement Interval </w:t>
                  </w:r>
                  <w:r w:rsidRPr="0013396E">
                    <w:rPr>
                      <w:i/>
                    </w:rPr>
                    <w:t>i</w:t>
                  </w:r>
                  <w:r w:rsidRPr="0013396E">
                    <w:t>.</w:t>
                  </w:r>
                </w:p>
              </w:tc>
            </w:tr>
            <w:tr w:rsidR="00175930" w:rsidRPr="0013396E" w14:paraId="3706373D" w14:textId="67AD1C06" w:rsidTr="00AB2BB6">
              <w:trPr>
                <w:cantSplit/>
              </w:trPr>
              <w:tc>
                <w:tcPr>
                  <w:tcW w:w="2588" w:type="dxa"/>
                </w:tcPr>
                <w:p w14:paraId="01AAEAE8" w14:textId="157A1EFB" w:rsidR="00175930" w:rsidRPr="0013396E" w:rsidRDefault="00175930" w:rsidP="00175930">
                  <w:pPr>
                    <w:pStyle w:val="TableBody"/>
                  </w:pPr>
                  <w:r w:rsidRPr="0013396E">
                    <w:t xml:space="preserve">UGEN </w:t>
                  </w:r>
                  <w:r w:rsidRPr="0013396E">
                    <w:rPr>
                      <w:i/>
                      <w:vertAlign w:val="subscript"/>
                    </w:rPr>
                    <w:t>q, r, p, i</w:t>
                  </w:r>
                </w:p>
              </w:tc>
              <w:tc>
                <w:tcPr>
                  <w:tcW w:w="1372" w:type="dxa"/>
                </w:tcPr>
                <w:p w14:paraId="15026D66" w14:textId="5F4B756A" w:rsidR="00175930" w:rsidRPr="0013396E" w:rsidRDefault="00175930" w:rsidP="00175930">
                  <w:pPr>
                    <w:pStyle w:val="TableBody"/>
                  </w:pPr>
                  <w:r w:rsidRPr="0013396E">
                    <w:t>MWh</w:t>
                  </w:r>
                </w:p>
              </w:tc>
              <w:tc>
                <w:tcPr>
                  <w:tcW w:w="5869" w:type="dxa"/>
                </w:tcPr>
                <w:p w14:paraId="192B8E7E" w14:textId="21EEF802" w:rsidR="00175930" w:rsidRPr="0013396E" w:rsidRDefault="00175930" w:rsidP="00754931">
                  <w:pPr>
                    <w:pStyle w:val="TableBody"/>
                  </w:pPr>
                  <w:r w:rsidRPr="0013396E">
                    <w:rPr>
                      <w:i/>
                    </w:rPr>
                    <w:t>Under-Generation Volumes per QSE per Settlement Point per Resource</w:t>
                  </w:r>
                  <w:r w:rsidRPr="0013396E">
                    <w:t xml:space="preserve">—The amount under-generated by the Generation Resource </w:t>
                  </w:r>
                  <w:r w:rsidRPr="0013396E">
                    <w:rPr>
                      <w:i/>
                    </w:rPr>
                    <w:t>r</w:t>
                  </w:r>
                  <w:r w:rsidRPr="0013396E">
                    <w:t xml:space="preserve"> represented by QSE </w:t>
                  </w:r>
                  <w:r w:rsidRPr="0013396E">
                    <w:rPr>
                      <w:i/>
                    </w:rPr>
                    <w:t>q</w:t>
                  </w:r>
                  <w:r w:rsidRPr="0013396E">
                    <w:t xml:space="preserve"> at Resource Node </w:t>
                  </w:r>
                  <w:r w:rsidRPr="0013396E">
                    <w:rPr>
                      <w:i/>
                    </w:rPr>
                    <w:t>p</w:t>
                  </w:r>
                  <w:r w:rsidRPr="0013396E">
                    <w:t xml:space="preserve"> for the 15-minute Settlement Interval </w:t>
                  </w:r>
                  <w:r w:rsidRPr="0013396E">
                    <w:rPr>
                      <w:i/>
                    </w:rPr>
                    <w:t>i</w:t>
                  </w:r>
                  <w:r w:rsidRPr="0013396E">
                    <w:t>.</w:t>
                  </w:r>
                </w:p>
              </w:tc>
            </w:tr>
            <w:tr w:rsidR="00175930" w:rsidRPr="0013396E" w14:paraId="344AF8FD" w14:textId="3EE8A4E4" w:rsidTr="00AB2BB6">
              <w:trPr>
                <w:cantSplit/>
              </w:trPr>
              <w:tc>
                <w:tcPr>
                  <w:tcW w:w="2588" w:type="dxa"/>
                </w:tcPr>
                <w:p w14:paraId="0481F33C" w14:textId="126E0A21" w:rsidR="00175930" w:rsidRPr="0013396E" w:rsidRDefault="00175930" w:rsidP="00175930">
                  <w:pPr>
                    <w:pStyle w:val="TableBody"/>
                  </w:pPr>
                  <w:r w:rsidRPr="0013396E">
                    <w:t>KP</w:t>
                  </w:r>
                </w:p>
              </w:tc>
              <w:tc>
                <w:tcPr>
                  <w:tcW w:w="1372" w:type="dxa"/>
                </w:tcPr>
                <w:p w14:paraId="085CF0A2" w14:textId="0A18E161" w:rsidR="00175930" w:rsidRPr="0013396E" w:rsidRDefault="00175930" w:rsidP="00175930">
                  <w:pPr>
                    <w:pStyle w:val="TableBody"/>
                  </w:pPr>
                  <w:r w:rsidRPr="0013396E">
                    <w:t>none</w:t>
                  </w:r>
                </w:p>
              </w:tc>
              <w:tc>
                <w:tcPr>
                  <w:tcW w:w="5869" w:type="dxa"/>
                </w:tcPr>
                <w:p w14:paraId="7088344A" w14:textId="27BAA8C0" w:rsidR="00175930" w:rsidRPr="0013396E" w:rsidRDefault="00175930" w:rsidP="00175930">
                  <w:pPr>
                    <w:pStyle w:val="TableBody"/>
                  </w:pPr>
                  <w:r w:rsidRPr="0013396E">
                    <w:t>The coefficient applied to the Settlement Point Price for under-generation charge, 1.0.</w:t>
                  </w:r>
                </w:p>
              </w:tc>
            </w:tr>
            <w:tr w:rsidR="00175930" w:rsidRPr="0013396E" w14:paraId="4405E79B" w14:textId="5CF4CBD7" w:rsidTr="00AB2BB6">
              <w:trPr>
                <w:cantSplit/>
              </w:trPr>
              <w:tc>
                <w:tcPr>
                  <w:tcW w:w="2588" w:type="dxa"/>
                </w:tcPr>
                <w:p w14:paraId="3B3ED05C" w14:textId="78FCB95E" w:rsidR="00175930" w:rsidRPr="0013396E" w:rsidRDefault="00175930" w:rsidP="00175930">
                  <w:pPr>
                    <w:pStyle w:val="TableBody"/>
                  </w:pPr>
                  <w:r w:rsidRPr="0013396E">
                    <w:t>PR2</w:t>
                  </w:r>
                </w:p>
              </w:tc>
              <w:tc>
                <w:tcPr>
                  <w:tcW w:w="1372" w:type="dxa"/>
                </w:tcPr>
                <w:p w14:paraId="73CC3A14" w14:textId="0F7778A4" w:rsidR="00175930" w:rsidRPr="0013396E" w:rsidRDefault="00175930" w:rsidP="00175930">
                  <w:pPr>
                    <w:pStyle w:val="TableBody"/>
                  </w:pPr>
                  <w:r w:rsidRPr="0013396E">
                    <w:t>$/MWh</w:t>
                  </w:r>
                </w:p>
              </w:tc>
              <w:tc>
                <w:tcPr>
                  <w:tcW w:w="5869" w:type="dxa"/>
                </w:tcPr>
                <w:p w14:paraId="7CDCF73D" w14:textId="3A0495D4" w:rsidR="00175930" w:rsidRPr="0013396E" w:rsidRDefault="00175930" w:rsidP="00537E31">
                  <w:pPr>
                    <w:pStyle w:val="TableBody"/>
                  </w:pPr>
                  <w:r w:rsidRPr="0013396E">
                    <w:t xml:space="preserve">The price to use for the </w:t>
                  </w:r>
                  <w:r w:rsidR="00537E31" w:rsidRPr="0013396E">
                    <w:t>Set</w:t>
                  </w:r>
                  <w:r w:rsidRPr="0013396E">
                    <w:t xml:space="preserve"> Point Deviation Charge for under-generation calculation when RTSPP is greater than -$20/MWh, -$20/MWh.  </w:t>
                  </w:r>
                </w:p>
              </w:tc>
            </w:tr>
            <w:tr w:rsidR="00175930" w:rsidRPr="0013396E" w14:paraId="3486EF7E" w14:textId="580AD4CE" w:rsidTr="00AB2BB6">
              <w:trPr>
                <w:cantSplit/>
              </w:trPr>
              <w:tc>
                <w:tcPr>
                  <w:tcW w:w="2588" w:type="dxa"/>
                </w:tcPr>
                <w:p w14:paraId="3192F64F" w14:textId="5B0B0D54" w:rsidR="00175930" w:rsidRPr="0013396E" w:rsidRDefault="00175930" w:rsidP="00175930">
                  <w:pPr>
                    <w:pStyle w:val="TableBody"/>
                  </w:pPr>
                  <w:r w:rsidRPr="0013396E">
                    <w:t>K2</w:t>
                  </w:r>
                </w:p>
              </w:tc>
              <w:tc>
                <w:tcPr>
                  <w:tcW w:w="1372" w:type="dxa"/>
                </w:tcPr>
                <w:p w14:paraId="6DFFF5BC" w14:textId="6A9A37C7" w:rsidR="00175930" w:rsidRPr="0013396E" w:rsidRDefault="00175930" w:rsidP="00175930">
                  <w:pPr>
                    <w:pStyle w:val="TableBody"/>
                  </w:pPr>
                  <w:r w:rsidRPr="0013396E">
                    <w:t>none</w:t>
                  </w:r>
                </w:p>
              </w:tc>
              <w:tc>
                <w:tcPr>
                  <w:tcW w:w="5869" w:type="dxa"/>
                </w:tcPr>
                <w:p w14:paraId="0F83209D" w14:textId="6B849311" w:rsidR="00175930" w:rsidRPr="0013396E" w:rsidRDefault="00175930" w:rsidP="00175930">
                  <w:pPr>
                    <w:pStyle w:val="TableBody"/>
                  </w:pPr>
                  <w:r w:rsidRPr="0013396E">
                    <w:t xml:space="preserve">The percentage tolerance for under-generation, 5%. </w:t>
                  </w:r>
                </w:p>
              </w:tc>
            </w:tr>
            <w:tr w:rsidR="00175930" w:rsidRPr="0013396E" w14:paraId="5E22F7F7" w14:textId="078A3AE5" w:rsidTr="00AB2BB6">
              <w:trPr>
                <w:cantSplit/>
              </w:trPr>
              <w:tc>
                <w:tcPr>
                  <w:tcW w:w="2588" w:type="dxa"/>
                </w:tcPr>
                <w:p w14:paraId="379E810D" w14:textId="46455D84" w:rsidR="00175930" w:rsidRPr="0013396E" w:rsidRDefault="00175930" w:rsidP="00175930">
                  <w:pPr>
                    <w:pStyle w:val="TableBody"/>
                  </w:pPr>
                  <w:r w:rsidRPr="0013396E">
                    <w:t>Q2</w:t>
                  </w:r>
                </w:p>
              </w:tc>
              <w:tc>
                <w:tcPr>
                  <w:tcW w:w="1372" w:type="dxa"/>
                </w:tcPr>
                <w:p w14:paraId="56C9A61D" w14:textId="10C6198C" w:rsidR="00175930" w:rsidRPr="0013396E" w:rsidRDefault="00175930" w:rsidP="00175930">
                  <w:pPr>
                    <w:pStyle w:val="TableBody"/>
                  </w:pPr>
                  <w:r w:rsidRPr="0013396E">
                    <w:t>MW</w:t>
                  </w:r>
                </w:p>
              </w:tc>
              <w:tc>
                <w:tcPr>
                  <w:tcW w:w="5869" w:type="dxa"/>
                </w:tcPr>
                <w:p w14:paraId="10F690F0" w14:textId="075CA09C" w:rsidR="00175930" w:rsidRPr="0013396E" w:rsidRDefault="00175930" w:rsidP="00175930">
                  <w:pPr>
                    <w:pStyle w:val="TableBody"/>
                  </w:pPr>
                  <w:r w:rsidRPr="0013396E">
                    <w:t>The MW tolerance for under-generation, five MW.</w:t>
                  </w:r>
                </w:p>
              </w:tc>
            </w:tr>
            <w:tr w:rsidR="00175930" w:rsidRPr="0013396E" w14:paraId="3961F013" w14:textId="2AE0F99B" w:rsidTr="00AB2BB6">
              <w:trPr>
                <w:cantSplit/>
              </w:trPr>
              <w:tc>
                <w:tcPr>
                  <w:tcW w:w="2588" w:type="dxa"/>
                </w:tcPr>
                <w:p w14:paraId="7E8FA215" w14:textId="34F2C6DF" w:rsidR="00175930" w:rsidRPr="0013396E" w:rsidRDefault="00175930" w:rsidP="00175930">
                  <w:pPr>
                    <w:spacing w:after="60"/>
                    <w:rPr>
                      <w:iCs/>
                      <w:sz w:val="20"/>
                    </w:rPr>
                  </w:pPr>
                  <w:r w:rsidRPr="0013396E">
                    <w:rPr>
                      <w:iCs/>
                      <w:sz w:val="20"/>
                    </w:rPr>
                    <w:t>N</w:t>
                  </w:r>
                </w:p>
              </w:tc>
              <w:tc>
                <w:tcPr>
                  <w:tcW w:w="1372" w:type="dxa"/>
                </w:tcPr>
                <w:p w14:paraId="6749FA49" w14:textId="5F6FE2EE" w:rsidR="00175930" w:rsidRPr="0013396E" w:rsidRDefault="00175930" w:rsidP="00175930">
                  <w:pPr>
                    <w:spacing w:after="60"/>
                    <w:rPr>
                      <w:iCs/>
                      <w:sz w:val="20"/>
                    </w:rPr>
                  </w:pPr>
                  <w:r w:rsidRPr="0013396E">
                    <w:rPr>
                      <w:iCs/>
                      <w:sz w:val="20"/>
                    </w:rPr>
                    <w:t>none</w:t>
                  </w:r>
                </w:p>
              </w:tc>
              <w:tc>
                <w:tcPr>
                  <w:tcW w:w="5869" w:type="dxa"/>
                </w:tcPr>
                <w:p w14:paraId="1C13A9B3" w14:textId="57BA8DDB" w:rsidR="00175930" w:rsidRPr="0013396E" w:rsidRDefault="00175930" w:rsidP="00175930">
                  <w:pPr>
                    <w:spacing w:after="60"/>
                    <w:rPr>
                      <w:iCs/>
                      <w:sz w:val="20"/>
                    </w:rPr>
                  </w:pPr>
                  <w:r w:rsidRPr="0013396E">
                    <w:rPr>
                      <w:iCs/>
                      <w:sz w:val="20"/>
                    </w:rPr>
                    <w:t>The number of IRRs within an IRR Group.</w:t>
                  </w:r>
                </w:p>
              </w:tc>
            </w:tr>
            <w:tr w:rsidR="00175930" w:rsidRPr="0013396E" w14:paraId="3BFF8B44" w14:textId="48328D03" w:rsidTr="00AB2BB6">
              <w:trPr>
                <w:cantSplit/>
              </w:trPr>
              <w:tc>
                <w:tcPr>
                  <w:tcW w:w="2588" w:type="dxa"/>
                </w:tcPr>
                <w:p w14:paraId="7D43DDA5" w14:textId="56F83E04" w:rsidR="00175930" w:rsidRPr="0013396E" w:rsidRDefault="00175930" w:rsidP="00175930">
                  <w:pPr>
                    <w:pStyle w:val="TableBody"/>
                    <w:rPr>
                      <w:i/>
                    </w:rPr>
                  </w:pPr>
                  <w:r w:rsidRPr="0013396E">
                    <w:rPr>
                      <w:i/>
                    </w:rPr>
                    <w:t>q</w:t>
                  </w:r>
                </w:p>
              </w:tc>
              <w:tc>
                <w:tcPr>
                  <w:tcW w:w="1372" w:type="dxa"/>
                </w:tcPr>
                <w:p w14:paraId="2F9AED7E" w14:textId="4161E566" w:rsidR="00175930" w:rsidRPr="0013396E" w:rsidRDefault="00175930" w:rsidP="00175930">
                  <w:pPr>
                    <w:pStyle w:val="TableBody"/>
                  </w:pPr>
                  <w:r w:rsidRPr="0013396E">
                    <w:t>none</w:t>
                  </w:r>
                </w:p>
              </w:tc>
              <w:tc>
                <w:tcPr>
                  <w:tcW w:w="5869" w:type="dxa"/>
                </w:tcPr>
                <w:p w14:paraId="6595B9A3" w14:textId="164AA1EC" w:rsidR="00175930" w:rsidRPr="0013396E" w:rsidRDefault="00175930" w:rsidP="00175930">
                  <w:pPr>
                    <w:pStyle w:val="TableBody"/>
                  </w:pPr>
                  <w:r w:rsidRPr="0013396E">
                    <w:t>A QSE.</w:t>
                  </w:r>
                </w:p>
              </w:tc>
            </w:tr>
            <w:tr w:rsidR="00175930" w:rsidRPr="0013396E" w14:paraId="011D000A" w14:textId="700372CE" w:rsidTr="00AB2BB6">
              <w:trPr>
                <w:cantSplit/>
              </w:trPr>
              <w:tc>
                <w:tcPr>
                  <w:tcW w:w="2588" w:type="dxa"/>
                </w:tcPr>
                <w:p w14:paraId="558E7C81" w14:textId="1C677506" w:rsidR="00175930" w:rsidRPr="0013396E" w:rsidRDefault="00175930" w:rsidP="00175930">
                  <w:pPr>
                    <w:pStyle w:val="TableBody"/>
                    <w:rPr>
                      <w:i/>
                    </w:rPr>
                  </w:pPr>
                  <w:r w:rsidRPr="0013396E">
                    <w:rPr>
                      <w:i/>
                    </w:rPr>
                    <w:t>p</w:t>
                  </w:r>
                </w:p>
              </w:tc>
              <w:tc>
                <w:tcPr>
                  <w:tcW w:w="1372" w:type="dxa"/>
                </w:tcPr>
                <w:p w14:paraId="564B41AB" w14:textId="7084ACE1" w:rsidR="00175930" w:rsidRPr="0013396E" w:rsidRDefault="00175930" w:rsidP="00175930">
                  <w:pPr>
                    <w:pStyle w:val="TableBody"/>
                  </w:pPr>
                  <w:r w:rsidRPr="0013396E">
                    <w:t>none</w:t>
                  </w:r>
                </w:p>
              </w:tc>
              <w:tc>
                <w:tcPr>
                  <w:tcW w:w="5869" w:type="dxa"/>
                </w:tcPr>
                <w:p w14:paraId="2023310A" w14:textId="0510C934" w:rsidR="00175930" w:rsidRPr="0013396E" w:rsidRDefault="00175930" w:rsidP="00175930">
                  <w:pPr>
                    <w:pStyle w:val="TableBody"/>
                  </w:pPr>
                  <w:r w:rsidRPr="0013396E">
                    <w:t>A Settlement Point.</w:t>
                  </w:r>
                </w:p>
              </w:tc>
            </w:tr>
            <w:tr w:rsidR="00175930" w:rsidRPr="0013396E" w14:paraId="60A39E66" w14:textId="7E78434B" w:rsidTr="00AB2BB6">
              <w:trPr>
                <w:cantSplit/>
              </w:trPr>
              <w:tc>
                <w:tcPr>
                  <w:tcW w:w="2588" w:type="dxa"/>
                </w:tcPr>
                <w:p w14:paraId="509723F9" w14:textId="06EBADEC" w:rsidR="00175930" w:rsidRPr="0013396E" w:rsidRDefault="00175930" w:rsidP="00175930">
                  <w:pPr>
                    <w:pStyle w:val="TableBody"/>
                    <w:rPr>
                      <w:i/>
                    </w:rPr>
                  </w:pPr>
                  <w:r w:rsidRPr="0013396E">
                    <w:rPr>
                      <w:i/>
                    </w:rPr>
                    <w:t>r</w:t>
                  </w:r>
                </w:p>
              </w:tc>
              <w:tc>
                <w:tcPr>
                  <w:tcW w:w="1372" w:type="dxa"/>
                </w:tcPr>
                <w:p w14:paraId="514BE4F8" w14:textId="1D39DDC9" w:rsidR="00175930" w:rsidRPr="0013396E" w:rsidRDefault="00175930" w:rsidP="00175930">
                  <w:pPr>
                    <w:pStyle w:val="TableBody"/>
                  </w:pPr>
                  <w:r w:rsidRPr="0013396E">
                    <w:t>none</w:t>
                  </w:r>
                </w:p>
              </w:tc>
              <w:tc>
                <w:tcPr>
                  <w:tcW w:w="5869" w:type="dxa"/>
                </w:tcPr>
                <w:p w14:paraId="679BD768" w14:textId="169F75D6" w:rsidR="00175930" w:rsidRPr="0013396E" w:rsidRDefault="00175930" w:rsidP="00175930">
                  <w:pPr>
                    <w:pStyle w:val="TableBody"/>
                    <w:rPr>
                      <w:lang w:val="fr-FR"/>
                    </w:rPr>
                  </w:pPr>
                  <w:r w:rsidRPr="0013396E">
                    <w:rPr>
                      <w:lang w:val="fr-FR"/>
                    </w:rPr>
                    <w:t xml:space="preserve">A non-exempt </w:t>
                  </w:r>
                  <w:r w:rsidR="008152FC" w:rsidRPr="0013396E">
                    <w:rPr>
                      <w:lang w:val="fr-FR"/>
                    </w:rPr>
                    <w:t xml:space="preserve">Generation </w:t>
                  </w:r>
                  <w:r w:rsidRPr="0013396E">
                    <w:rPr>
                      <w:lang w:val="fr-FR"/>
                    </w:rPr>
                    <w:t>Resource.</w:t>
                  </w:r>
                </w:p>
              </w:tc>
            </w:tr>
            <w:tr w:rsidR="00175930" w:rsidRPr="0013396E" w14:paraId="33DC9AB6" w14:textId="447C22E8" w:rsidTr="00AB2BB6">
              <w:trPr>
                <w:cantSplit/>
              </w:trPr>
              <w:tc>
                <w:tcPr>
                  <w:tcW w:w="2588" w:type="dxa"/>
                </w:tcPr>
                <w:p w14:paraId="0000A54C" w14:textId="1D28E52F" w:rsidR="00175930" w:rsidRPr="0013396E" w:rsidRDefault="00175930" w:rsidP="00175930">
                  <w:pPr>
                    <w:pStyle w:val="TableBody"/>
                    <w:rPr>
                      <w:i/>
                    </w:rPr>
                  </w:pPr>
                  <w:r w:rsidRPr="0013396E">
                    <w:rPr>
                      <w:i/>
                    </w:rPr>
                    <w:t>y</w:t>
                  </w:r>
                </w:p>
              </w:tc>
              <w:tc>
                <w:tcPr>
                  <w:tcW w:w="1372" w:type="dxa"/>
                </w:tcPr>
                <w:p w14:paraId="33D1F9DA" w14:textId="538BC4EA" w:rsidR="00175930" w:rsidRPr="0013396E" w:rsidRDefault="00175930" w:rsidP="00175930">
                  <w:pPr>
                    <w:pStyle w:val="TableBody"/>
                  </w:pPr>
                  <w:r w:rsidRPr="0013396E">
                    <w:t>none</w:t>
                  </w:r>
                </w:p>
              </w:tc>
              <w:tc>
                <w:tcPr>
                  <w:tcW w:w="5869" w:type="dxa"/>
                </w:tcPr>
                <w:p w14:paraId="196ADE3D" w14:textId="202EF510" w:rsidR="00175930" w:rsidRPr="0013396E" w:rsidRDefault="00175930" w:rsidP="00175930">
                  <w:pPr>
                    <w:pStyle w:val="TableBody"/>
                    <w:rPr>
                      <w:lang w:val="fr-FR"/>
                    </w:rPr>
                  </w:pPr>
                  <w:r w:rsidRPr="0013396E">
                    <w:t xml:space="preserve">A five-minute clock interval in the Settlement Interval. </w:t>
                  </w:r>
                </w:p>
              </w:tc>
            </w:tr>
            <w:tr w:rsidR="00175930" w:rsidRPr="0013396E" w14:paraId="0789E0F2" w14:textId="7B45D9A1" w:rsidTr="00AB2BB6">
              <w:trPr>
                <w:cantSplit/>
              </w:trPr>
              <w:tc>
                <w:tcPr>
                  <w:tcW w:w="2588" w:type="dxa"/>
                </w:tcPr>
                <w:p w14:paraId="3127F5B6" w14:textId="53856467" w:rsidR="00175930" w:rsidRPr="0013396E" w:rsidRDefault="00175930" w:rsidP="00175930">
                  <w:pPr>
                    <w:pStyle w:val="TableBody"/>
                    <w:rPr>
                      <w:i/>
                    </w:rPr>
                  </w:pPr>
                  <w:r w:rsidRPr="0013396E">
                    <w:rPr>
                      <w:i/>
                    </w:rPr>
                    <w:t>i</w:t>
                  </w:r>
                </w:p>
              </w:tc>
              <w:tc>
                <w:tcPr>
                  <w:tcW w:w="1372" w:type="dxa"/>
                </w:tcPr>
                <w:p w14:paraId="650A066E" w14:textId="50BA4A8C" w:rsidR="00175930" w:rsidRPr="0013396E" w:rsidRDefault="00175930" w:rsidP="00175930">
                  <w:pPr>
                    <w:pStyle w:val="TableBody"/>
                  </w:pPr>
                  <w:r w:rsidRPr="0013396E">
                    <w:t>none</w:t>
                  </w:r>
                </w:p>
              </w:tc>
              <w:tc>
                <w:tcPr>
                  <w:tcW w:w="5869" w:type="dxa"/>
                </w:tcPr>
                <w:p w14:paraId="4CA59675" w14:textId="1C120B3D" w:rsidR="00175930" w:rsidRPr="0013396E" w:rsidRDefault="00175930" w:rsidP="00175930">
                  <w:pPr>
                    <w:pStyle w:val="TableBody"/>
                  </w:pPr>
                  <w:r w:rsidRPr="0013396E">
                    <w:t>A 15-minute Settlement Interval.</w:t>
                  </w:r>
                </w:p>
              </w:tc>
            </w:tr>
            <w:tr w:rsidR="00175930" w:rsidRPr="0013396E" w14:paraId="6D2E997E" w14:textId="3BA6A084" w:rsidTr="00AB2BB6">
              <w:trPr>
                <w:cantSplit/>
              </w:trPr>
              <w:tc>
                <w:tcPr>
                  <w:tcW w:w="2588" w:type="dxa"/>
                </w:tcPr>
                <w:p w14:paraId="4F87609B" w14:textId="3CBDF5A2" w:rsidR="00175930" w:rsidRPr="0013396E" w:rsidRDefault="00175930" w:rsidP="00175930">
                  <w:pPr>
                    <w:spacing w:after="60"/>
                    <w:rPr>
                      <w:iCs/>
                      <w:sz w:val="20"/>
                    </w:rPr>
                  </w:pPr>
                  <w:r w:rsidRPr="0013396E">
                    <w:rPr>
                      <w:i/>
                      <w:iCs/>
                      <w:sz w:val="20"/>
                    </w:rPr>
                    <w:t>wg</w:t>
                  </w:r>
                </w:p>
              </w:tc>
              <w:tc>
                <w:tcPr>
                  <w:tcW w:w="1372" w:type="dxa"/>
                </w:tcPr>
                <w:p w14:paraId="1791F918" w14:textId="31429950" w:rsidR="00175930" w:rsidRPr="0013396E" w:rsidRDefault="00175930" w:rsidP="00175930">
                  <w:pPr>
                    <w:spacing w:after="60"/>
                    <w:rPr>
                      <w:iCs/>
                      <w:sz w:val="20"/>
                    </w:rPr>
                  </w:pPr>
                  <w:r w:rsidRPr="0013396E">
                    <w:rPr>
                      <w:iCs/>
                      <w:sz w:val="20"/>
                    </w:rPr>
                    <w:t>none</w:t>
                  </w:r>
                </w:p>
              </w:tc>
              <w:tc>
                <w:tcPr>
                  <w:tcW w:w="5869" w:type="dxa"/>
                </w:tcPr>
                <w:p w14:paraId="560DDEF1" w14:textId="23382315" w:rsidR="00175930" w:rsidRPr="0013396E" w:rsidRDefault="00175930" w:rsidP="00175930">
                  <w:pPr>
                    <w:spacing w:after="60"/>
                    <w:rPr>
                      <w:iCs/>
                      <w:sz w:val="20"/>
                    </w:rPr>
                  </w:pPr>
                  <w:r w:rsidRPr="0013396E">
                    <w:rPr>
                      <w:iCs/>
                      <w:sz w:val="20"/>
                    </w:rPr>
                    <w:t>An IRR Group.</w:t>
                  </w:r>
                </w:p>
              </w:tc>
            </w:tr>
          </w:tbl>
          <w:p w14:paraId="2DF8E2E6" w14:textId="0268B12A" w:rsidR="00AC1609" w:rsidRPr="0013396E" w:rsidRDefault="00AC1609" w:rsidP="00AB2BB6">
            <w:pPr>
              <w:pStyle w:val="H3"/>
            </w:pPr>
          </w:p>
        </w:tc>
      </w:tr>
    </w:tbl>
    <w:p w14:paraId="5D5CCFCC" w14:textId="405671E2" w:rsidR="005E0EE9" w:rsidRPr="0013396E" w:rsidRDefault="005E0EE9" w:rsidP="005A7D8E">
      <w:pPr>
        <w:pStyle w:val="H4"/>
        <w:tabs>
          <w:tab w:val="clear" w:pos="1260"/>
          <w:tab w:val="left" w:pos="1620"/>
        </w:tabs>
        <w:spacing w:before="480"/>
        <w:ind w:left="1627" w:hanging="1627"/>
        <w:outlineLvl w:val="4"/>
      </w:pPr>
      <w:bookmarkStart w:id="1797" w:name="_Toc214878984"/>
      <w:r w:rsidRPr="00576B1F">
        <w:rPr>
          <w:snapToGrid/>
          <w:lang w:val="fr-FR"/>
        </w:rPr>
        <w:lastRenderedPageBreak/>
        <w:t>6.6.5.3</w:t>
      </w:r>
      <w:r w:rsidRPr="00576B1F">
        <w:rPr>
          <w:snapToGrid/>
          <w:lang w:val="fr-FR"/>
        </w:rPr>
        <w:tab/>
        <w:t xml:space="preserve">Controllable Load Resource Set Point Deviation Charge for Over </w:t>
      </w:r>
      <w:r w:rsidRPr="0013396E">
        <w:lastRenderedPageBreak/>
        <w:t>Consumption</w:t>
      </w:r>
      <w:bookmarkEnd w:id="1797"/>
    </w:p>
    <w:p w14:paraId="4C9CB2F4" w14:textId="43399493" w:rsidR="005E0EE9" w:rsidRPr="0013396E" w:rsidRDefault="005E0EE9" w:rsidP="005E0EE9">
      <w:pPr>
        <w:pStyle w:val="BodyTextNumbered"/>
      </w:pPr>
      <w:r w:rsidRPr="0013396E">
        <w:t>(1)</w:t>
      </w:r>
      <w:r w:rsidRPr="0013396E">
        <w:tab/>
        <w:t xml:space="preserve">ERCOT shall charge a QSE of a </w:t>
      </w:r>
      <w:r w:rsidR="006B5869">
        <w:t>CLR</w:t>
      </w:r>
      <w:r w:rsidRPr="0013396E">
        <w:t>, for over-consumption that exceeds the following tolerance.  The tolerance is the greater of:</w:t>
      </w:r>
    </w:p>
    <w:p w14:paraId="328A1F6C" w14:textId="77777777" w:rsidR="005E0EE9" w:rsidRPr="0013396E" w:rsidRDefault="005E0EE9" w:rsidP="005E0EE9">
      <w:pPr>
        <w:pStyle w:val="BodyTextNumbered"/>
        <w:ind w:left="1440"/>
      </w:pPr>
      <w:r w:rsidRPr="0013396E">
        <w:t>(a)</w:t>
      </w:r>
      <w:r w:rsidRPr="0013396E">
        <w:tab/>
        <w:t>XO% of the AASP in the Settlement Interval; or</w:t>
      </w:r>
    </w:p>
    <w:p w14:paraId="77E43179" w14:textId="77777777" w:rsidR="005E0EE9" w:rsidRPr="0013396E" w:rsidRDefault="005E0EE9" w:rsidP="005E0EE9">
      <w:pPr>
        <w:pStyle w:val="BodyTextNumbered"/>
        <w:ind w:left="1440"/>
      </w:pPr>
      <w:r w:rsidRPr="0013396E">
        <w:t>(b)</w:t>
      </w:r>
      <w:r w:rsidRPr="0013396E">
        <w:tab/>
        <w:t xml:space="preserve">YO MW above the AASP in the Settlement Interval.  </w:t>
      </w:r>
    </w:p>
    <w:p w14:paraId="084AD47D" w14:textId="1A4114F1" w:rsidR="005E0EE9" w:rsidRPr="0013396E" w:rsidRDefault="005E0EE9" w:rsidP="005E0EE9">
      <w:pPr>
        <w:pStyle w:val="BodyTextNumbered"/>
        <w:rPr>
          <w:iCs/>
        </w:rPr>
      </w:pPr>
      <w:r w:rsidRPr="0013396E">
        <w:rPr>
          <w:iCs/>
        </w:rPr>
        <w:t>(2)</w:t>
      </w:r>
      <w:r w:rsidRPr="0013396E">
        <w:rPr>
          <w:iCs/>
        </w:rPr>
        <w:tab/>
      </w:r>
      <w:r w:rsidRPr="0013396E">
        <w:t xml:space="preserve">The </w:t>
      </w:r>
      <w:r w:rsidR="006B5869">
        <w:t>CLR</w:t>
      </w:r>
      <w:r w:rsidRPr="0013396E">
        <w:t xml:space="preserve"> Set Point Deviation Charge for over-consumption variables XO and YO shall be subject to review and approval by the Technical Advisory Committee (TAC) and shall be posted to the ERCOT website no later than three Business Days after TAC approval.</w:t>
      </w:r>
    </w:p>
    <w:p w14:paraId="39C677AF" w14:textId="2BF8E1FA" w:rsidR="005E0EE9" w:rsidRPr="0013396E" w:rsidRDefault="005E0EE9" w:rsidP="005E0EE9">
      <w:pPr>
        <w:pStyle w:val="BodyTextNumbered"/>
        <w:rPr>
          <w:iCs/>
        </w:rPr>
      </w:pPr>
      <w:r w:rsidRPr="0013396E">
        <w:rPr>
          <w:iCs/>
        </w:rPr>
        <w:t>(3)</w:t>
      </w:r>
      <w:r w:rsidRPr="0013396E">
        <w:rPr>
          <w:iCs/>
        </w:rPr>
        <w:tab/>
        <w:t xml:space="preserve">The charge to each QSE for non-excused over-consumption for each </w:t>
      </w:r>
      <w:r w:rsidR="00E01488">
        <w:t>CLR</w:t>
      </w:r>
      <w:r w:rsidRPr="0013396E">
        <w:t>,</w:t>
      </w:r>
      <w:r w:rsidRPr="0013396E">
        <w:rPr>
          <w:iCs/>
        </w:rPr>
        <w:t xml:space="preserve"> during a 15-minute Settlement Interval is calculated as follows:</w:t>
      </w:r>
    </w:p>
    <w:p w14:paraId="0DEA37DD" w14:textId="77777777" w:rsidR="005E0EE9" w:rsidRPr="0013396E" w:rsidRDefault="005E0EE9" w:rsidP="005E0EE9">
      <w:pPr>
        <w:ind w:left="720"/>
        <w:rPr>
          <w:lang w:val="pt-BR"/>
        </w:rPr>
      </w:pPr>
    </w:p>
    <w:p w14:paraId="6D6DD11B" w14:textId="77777777" w:rsidR="005E0EE9" w:rsidRPr="0013396E" w:rsidRDefault="005E0EE9" w:rsidP="005E0EE9">
      <w:pPr>
        <w:pStyle w:val="FormulaBold"/>
        <w:tabs>
          <w:tab w:val="left" w:pos="720"/>
        </w:tabs>
        <w:ind w:left="2880" w:hanging="2880"/>
        <w:rPr>
          <w:lang w:val="pt-BR"/>
        </w:rPr>
      </w:pPr>
      <w:r w:rsidRPr="0013396E">
        <w:rPr>
          <w:lang w:val="pt-BR"/>
        </w:rPr>
        <w:tab/>
        <w:t>SPDAMT</w:t>
      </w:r>
      <w:r w:rsidRPr="0013396E">
        <w:rPr>
          <w:i/>
          <w:vertAlign w:val="subscript"/>
          <w:lang w:val="pt-BR"/>
        </w:rPr>
        <w:t xml:space="preserve"> q, r, p, i</w:t>
      </w:r>
      <w:r w:rsidRPr="0013396E">
        <w:rPr>
          <w:lang w:val="pt-BR"/>
        </w:rPr>
        <w:t xml:space="preserve"> =</w:t>
      </w:r>
      <w:r w:rsidRPr="0013396E">
        <w:rPr>
          <w:lang w:val="pt-BR"/>
        </w:rPr>
        <w:tab/>
      </w:r>
      <w:r w:rsidRPr="0013396E">
        <w:t xml:space="preserve">-1 * Min (PRZ1, RTSPP </w:t>
      </w:r>
      <w:r w:rsidRPr="0013396E">
        <w:rPr>
          <w:i/>
          <w:vertAlign w:val="subscript"/>
        </w:rPr>
        <w:t>p, i</w:t>
      </w:r>
      <w:r w:rsidRPr="0013396E">
        <w:t>) * Min (1, KP1) * OCONSM</w:t>
      </w:r>
      <w:r w:rsidRPr="0013396E">
        <w:rPr>
          <w:sz w:val="18"/>
          <w:szCs w:val="18"/>
          <w:vertAlign w:val="subscript"/>
        </w:rPr>
        <w:t xml:space="preserve"> </w:t>
      </w:r>
      <w:r w:rsidRPr="0013396E">
        <w:rPr>
          <w:i/>
          <w:vertAlign w:val="subscript"/>
        </w:rPr>
        <w:t>q, r, p, i</w:t>
      </w:r>
    </w:p>
    <w:p w14:paraId="28FBDF03" w14:textId="77777777" w:rsidR="005E0EE9" w:rsidRPr="0013396E" w:rsidRDefault="005E0EE9" w:rsidP="005E0EE9">
      <w:pPr>
        <w:pStyle w:val="FormulaBold"/>
        <w:rPr>
          <w:b w:val="0"/>
        </w:rPr>
      </w:pPr>
      <w:r w:rsidRPr="0013396E">
        <w:rPr>
          <w:b w:val="0"/>
        </w:rPr>
        <w:t>Where:</w:t>
      </w:r>
    </w:p>
    <w:p w14:paraId="61A746A3" w14:textId="77777777" w:rsidR="005E0EE9" w:rsidRPr="0013396E" w:rsidRDefault="005E0EE9" w:rsidP="005E0EE9">
      <w:pPr>
        <w:pStyle w:val="BodyTextNumbered"/>
        <w:ind w:firstLine="0"/>
        <w:rPr>
          <w:iCs/>
        </w:rPr>
      </w:pPr>
      <w:r w:rsidRPr="0013396E">
        <w:t>OCONSM</w:t>
      </w:r>
      <w:r w:rsidRPr="0013396E">
        <w:rPr>
          <w:i/>
          <w:iCs/>
          <w:vertAlign w:val="subscript"/>
          <w:lang w:val="es-ES"/>
        </w:rPr>
        <w:t xml:space="preserve"> q, r, p, i  </w:t>
      </w:r>
      <w:r w:rsidRPr="0013396E">
        <w:t xml:space="preserve"> = </w:t>
      </w:r>
      <w:r w:rsidRPr="0013396E">
        <w:rPr>
          <w:iCs/>
        </w:rPr>
        <w:t xml:space="preserve">Max [0, (ATPC </w:t>
      </w:r>
      <w:r w:rsidRPr="0013396E">
        <w:rPr>
          <w:i/>
          <w:vertAlign w:val="subscript"/>
          <w:lang w:val="es-ES"/>
        </w:rPr>
        <w:t>q, r, p, i</w:t>
      </w:r>
      <w:r w:rsidRPr="0013396E">
        <w:rPr>
          <w:iCs/>
        </w:rPr>
        <w:t xml:space="preserve"> - ¼* </w:t>
      </w:r>
      <w:r w:rsidRPr="0013396E">
        <w:t>Max (((1 + KLR1) * AASP</w:t>
      </w:r>
      <w:r w:rsidRPr="0013396E">
        <w:rPr>
          <w:i/>
          <w:iCs/>
          <w:vertAlign w:val="subscript"/>
          <w:lang w:val="es-ES"/>
        </w:rPr>
        <w:t xml:space="preserve"> q, r, p, i</w:t>
      </w:r>
      <w:r w:rsidRPr="0013396E">
        <w:rPr>
          <w:rFonts w:ascii="Times New Roman Bold" w:hAnsi="Times New Roman Bold"/>
          <w:iCs/>
          <w:lang w:val="es-ES"/>
        </w:rPr>
        <w:t>)</w:t>
      </w:r>
      <w:r w:rsidRPr="0013396E">
        <w:t>, (AASP</w:t>
      </w:r>
      <w:r w:rsidRPr="0013396E">
        <w:rPr>
          <w:i/>
          <w:iCs/>
          <w:vertAlign w:val="subscript"/>
          <w:lang w:val="es-ES"/>
        </w:rPr>
        <w:t xml:space="preserve"> q, r, p, i </w:t>
      </w:r>
      <w:r w:rsidRPr="0013396E">
        <w:t>+ QLR1)))</w:t>
      </w:r>
      <w:r w:rsidRPr="0013396E">
        <w:rPr>
          <w:iCs/>
        </w:rPr>
        <w:t>]</w:t>
      </w:r>
    </w:p>
    <w:p w14:paraId="694DBF2B" w14:textId="13882AAF" w:rsidR="005E0EE9" w:rsidRPr="0013396E" w:rsidRDefault="005E0EE9" w:rsidP="005E0EE9">
      <w:pPr>
        <w:pStyle w:val="BodyTextNumbered"/>
        <w:ind w:left="1440"/>
      </w:pPr>
      <w:r w:rsidRPr="0013396E">
        <w:t>ATPC</w:t>
      </w:r>
      <w:r w:rsidRPr="0013396E">
        <w:rPr>
          <w:i/>
          <w:vertAlign w:val="subscript"/>
        </w:rPr>
        <w:t xml:space="preserve"> q, r, p, i</w:t>
      </w:r>
      <w:r w:rsidRPr="0013396E">
        <w:rPr>
          <w:i/>
          <w:vertAlign w:val="subscript"/>
        </w:rPr>
        <w:tab/>
      </w:r>
      <w:r w:rsidRPr="0013396E">
        <w:t>=</w:t>
      </w:r>
      <w:r w:rsidRPr="0013396E">
        <w:rPr>
          <w:i/>
          <w:vertAlign w:val="subscript"/>
        </w:rPr>
        <w:t xml:space="preserve">      </w:t>
      </w:r>
      <w:r w:rsidRPr="0013396E">
        <w:t xml:space="preserve"> (</w:t>
      </w:r>
      <w:r w:rsidR="00457C20" w:rsidRPr="0013396E">
        <w:rPr>
          <w:position w:val="-22"/>
        </w:rPr>
        <w:object w:dxaOrig="210" w:dyaOrig="450" w14:anchorId="3EC9C379">
          <v:shape id="_x0000_i1152" type="#_x0000_t75" style="width:10.8pt;height:24pt" o:ole="">
            <v:imagedata r:id="rId176" o:title=""/>
          </v:shape>
          <o:OLEObject Type="Embed" ProgID="Equation.3" ShapeID="_x0000_i1152" DrawAspect="Content" ObjectID="_1836311431" r:id="rId185"/>
        </w:object>
      </w:r>
      <w:r w:rsidRPr="0013396E">
        <w:t xml:space="preserve"> (AVGTPC5M</w:t>
      </w:r>
      <w:r w:rsidRPr="0013396E">
        <w:rPr>
          <w:i/>
          <w:vertAlign w:val="subscript"/>
        </w:rPr>
        <w:t xml:space="preserve"> q, r, p,</w:t>
      </w:r>
      <w:r w:rsidRPr="0013396E">
        <w:rPr>
          <w:i/>
          <w:iCs/>
          <w:vertAlign w:val="subscript"/>
          <w:lang w:val="es-ES"/>
        </w:rPr>
        <w:t xml:space="preserve"> i, </w:t>
      </w:r>
      <w:r w:rsidRPr="0013396E">
        <w:rPr>
          <w:i/>
          <w:vertAlign w:val="subscript"/>
        </w:rPr>
        <w:t>y</w:t>
      </w:r>
      <w:r w:rsidRPr="0013396E">
        <w:t>) / 3) * ¼</w:t>
      </w:r>
    </w:p>
    <w:p w14:paraId="66ABBA4C" w14:textId="77777777" w:rsidR="005E0EE9" w:rsidRPr="0013396E" w:rsidRDefault="005E0EE9" w:rsidP="005E0EE9">
      <w:r w:rsidRPr="0013396E">
        <w:t>The above variables are defined as follows:</w:t>
      </w:r>
    </w:p>
    <w:tbl>
      <w:tblPr>
        <w:tblW w:w="9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5"/>
        <w:gridCol w:w="900"/>
        <w:gridCol w:w="6930"/>
        <w:gridCol w:w="12"/>
      </w:tblGrid>
      <w:tr w:rsidR="005E0EE9" w:rsidRPr="0013396E" w14:paraId="36B42356" w14:textId="77777777" w:rsidTr="0099759E">
        <w:tc>
          <w:tcPr>
            <w:tcW w:w="1975" w:type="dxa"/>
          </w:tcPr>
          <w:p w14:paraId="6516E21B" w14:textId="77777777" w:rsidR="005E0EE9" w:rsidRPr="0013396E" w:rsidRDefault="005E0EE9" w:rsidP="0099759E">
            <w:pPr>
              <w:pStyle w:val="TableHead"/>
              <w:rPr>
                <w:sz w:val="18"/>
                <w:szCs w:val="18"/>
              </w:rPr>
            </w:pPr>
            <w:r w:rsidRPr="0013396E">
              <w:rPr>
                <w:sz w:val="18"/>
                <w:szCs w:val="18"/>
              </w:rPr>
              <w:t>Variable</w:t>
            </w:r>
          </w:p>
        </w:tc>
        <w:tc>
          <w:tcPr>
            <w:tcW w:w="900" w:type="dxa"/>
          </w:tcPr>
          <w:p w14:paraId="39ED003F" w14:textId="77777777" w:rsidR="005E0EE9" w:rsidRPr="0013396E" w:rsidRDefault="005E0EE9" w:rsidP="0099759E">
            <w:pPr>
              <w:pStyle w:val="TableHead"/>
              <w:rPr>
                <w:sz w:val="18"/>
                <w:szCs w:val="18"/>
              </w:rPr>
            </w:pPr>
            <w:r w:rsidRPr="0013396E">
              <w:rPr>
                <w:sz w:val="18"/>
                <w:szCs w:val="18"/>
              </w:rPr>
              <w:t>Unit</w:t>
            </w:r>
          </w:p>
        </w:tc>
        <w:tc>
          <w:tcPr>
            <w:tcW w:w="6942" w:type="dxa"/>
            <w:gridSpan w:val="2"/>
          </w:tcPr>
          <w:p w14:paraId="542F53F1" w14:textId="77777777" w:rsidR="005E0EE9" w:rsidRPr="0013396E" w:rsidRDefault="005E0EE9" w:rsidP="0099759E">
            <w:pPr>
              <w:pStyle w:val="TableHead"/>
              <w:rPr>
                <w:sz w:val="18"/>
                <w:szCs w:val="18"/>
              </w:rPr>
            </w:pPr>
            <w:r w:rsidRPr="0013396E">
              <w:rPr>
                <w:sz w:val="18"/>
                <w:szCs w:val="18"/>
              </w:rPr>
              <w:t>Definition</w:t>
            </w:r>
          </w:p>
        </w:tc>
      </w:tr>
      <w:tr w:rsidR="005E0EE9" w:rsidRPr="0013396E" w14:paraId="5592E0B1" w14:textId="77777777" w:rsidTr="0099759E">
        <w:trPr>
          <w:cantSplit/>
        </w:trPr>
        <w:tc>
          <w:tcPr>
            <w:tcW w:w="1975" w:type="dxa"/>
          </w:tcPr>
          <w:p w14:paraId="37BC6B77" w14:textId="77777777" w:rsidR="005E0EE9" w:rsidRPr="0013396E" w:rsidRDefault="005E0EE9" w:rsidP="0099759E">
            <w:pPr>
              <w:pStyle w:val="TableBody"/>
            </w:pPr>
            <w:r w:rsidRPr="0013396E">
              <w:t xml:space="preserve">SPDAMT </w:t>
            </w:r>
            <w:r w:rsidRPr="0013396E">
              <w:rPr>
                <w:i/>
                <w:vertAlign w:val="subscript"/>
              </w:rPr>
              <w:t>q, r, p, i</w:t>
            </w:r>
          </w:p>
        </w:tc>
        <w:tc>
          <w:tcPr>
            <w:tcW w:w="900" w:type="dxa"/>
          </w:tcPr>
          <w:p w14:paraId="52738A2C" w14:textId="77777777" w:rsidR="005E0EE9" w:rsidRPr="0013396E" w:rsidRDefault="005E0EE9" w:rsidP="0099759E">
            <w:pPr>
              <w:pStyle w:val="TableBody"/>
            </w:pPr>
            <w:r w:rsidRPr="0013396E">
              <w:t>$</w:t>
            </w:r>
          </w:p>
        </w:tc>
        <w:tc>
          <w:tcPr>
            <w:tcW w:w="6942" w:type="dxa"/>
            <w:gridSpan w:val="2"/>
          </w:tcPr>
          <w:p w14:paraId="3588A0F0" w14:textId="77777777" w:rsidR="005E0EE9" w:rsidRPr="0013396E" w:rsidRDefault="005E0EE9" w:rsidP="0099759E">
            <w:pPr>
              <w:pStyle w:val="TableBody"/>
            </w:pPr>
            <w:r w:rsidRPr="0013396E">
              <w:rPr>
                <w:i/>
              </w:rPr>
              <w:t>Set Point Deviation Charge per QSE per Settlement Point per Resource</w:t>
            </w:r>
            <w:r w:rsidRPr="0013396E">
              <w:t xml:space="preserve">—The charge to QSE </w:t>
            </w:r>
            <w:r w:rsidRPr="0013396E">
              <w:rPr>
                <w:i/>
              </w:rPr>
              <w:t>q</w:t>
            </w:r>
            <w:r w:rsidRPr="0013396E">
              <w:t xml:space="preserve"> for Controllable Load Resource </w:t>
            </w:r>
            <w:r w:rsidRPr="0013396E">
              <w:rPr>
                <w:i/>
              </w:rPr>
              <w:t>r</w:t>
            </w:r>
            <w:r w:rsidRPr="0013396E">
              <w:t xml:space="preserve"> at Settlement Point </w:t>
            </w:r>
            <w:r w:rsidRPr="0013396E">
              <w:rPr>
                <w:i/>
              </w:rPr>
              <w:t>p</w:t>
            </w:r>
            <w:r w:rsidRPr="0013396E">
              <w:t xml:space="preserve">, for its deviation from AASP, for the 15-minute Settlement Interval </w:t>
            </w:r>
            <w:r w:rsidRPr="0013396E">
              <w:rPr>
                <w:i/>
              </w:rPr>
              <w:t>i</w:t>
            </w:r>
            <w:r w:rsidRPr="0013396E">
              <w:t>.</w:t>
            </w:r>
          </w:p>
        </w:tc>
      </w:tr>
      <w:tr w:rsidR="005E0EE9" w:rsidRPr="0013396E" w14:paraId="43B05FD8" w14:textId="77777777" w:rsidTr="0099759E">
        <w:trPr>
          <w:cantSplit/>
        </w:trPr>
        <w:tc>
          <w:tcPr>
            <w:tcW w:w="1975" w:type="dxa"/>
          </w:tcPr>
          <w:p w14:paraId="7EC2C768" w14:textId="77777777" w:rsidR="005E0EE9" w:rsidRPr="0013396E" w:rsidRDefault="005E0EE9" w:rsidP="0099759E">
            <w:pPr>
              <w:pStyle w:val="TableBody"/>
            </w:pPr>
            <w:r w:rsidRPr="0013396E">
              <w:t xml:space="preserve">RTSPP </w:t>
            </w:r>
            <w:r w:rsidRPr="0013396E">
              <w:rPr>
                <w:i/>
                <w:vertAlign w:val="subscript"/>
              </w:rPr>
              <w:t>p, i</w:t>
            </w:r>
          </w:p>
        </w:tc>
        <w:tc>
          <w:tcPr>
            <w:tcW w:w="900" w:type="dxa"/>
          </w:tcPr>
          <w:p w14:paraId="1168CA35" w14:textId="77777777" w:rsidR="005E0EE9" w:rsidRPr="0013396E" w:rsidRDefault="005E0EE9" w:rsidP="0099759E">
            <w:pPr>
              <w:pStyle w:val="TableBody"/>
            </w:pPr>
            <w:r w:rsidRPr="0013396E">
              <w:t>$/MWh</w:t>
            </w:r>
          </w:p>
        </w:tc>
        <w:tc>
          <w:tcPr>
            <w:tcW w:w="6942" w:type="dxa"/>
            <w:gridSpan w:val="2"/>
          </w:tcPr>
          <w:p w14:paraId="7C221C9B" w14:textId="77777777" w:rsidR="005E0EE9" w:rsidRPr="0013396E" w:rsidRDefault="005E0EE9" w:rsidP="0099759E">
            <w:pPr>
              <w:pStyle w:val="TableBody"/>
            </w:pPr>
            <w:r w:rsidRPr="0013396E">
              <w:rPr>
                <w:i/>
              </w:rPr>
              <w:t>Real-Time Settlement Point Price per Settlement Point</w:t>
            </w:r>
            <w:r w:rsidRPr="0013396E">
              <w:t xml:space="preserve">—The Real-Time Settlement Point Price at Settlement Point </w:t>
            </w:r>
            <w:r w:rsidRPr="0013396E">
              <w:rPr>
                <w:i/>
              </w:rPr>
              <w:t>p</w:t>
            </w:r>
            <w:r w:rsidRPr="0013396E">
              <w:t xml:space="preserve">, for the 15-minute Settlement Interval </w:t>
            </w:r>
            <w:r w:rsidRPr="0013396E">
              <w:rPr>
                <w:i/>
              </w:rPr>
              <w:t>i</w:t>
            </w:r>
            <w:r w:rsidRPr="0013396E">
              <w:t>.</w:t>
            </w:r>
          </w:p>
        </w:tc>
      </w:tr>
      <w:tr w:rsidR="005E0EE9" w:rsidRPr="0013396E" w14:paraId="6F247549" w14:textId="77777777" w:rsidTr="0099759E">
        <w:trPr>
          <w:gridAfter w:val="1"/>
          <w:wAfter w:w="12" w:type="dxa"/>
          <w:cantSplit/>
        </w:trPr>
        <w:tc>
          <w:tcPr>
            <w:tcW w:w="1975" w:type="dxa"/>
          </w:tcPr>
          <w:p w14:paraId="6059ACEB" w14:textId="77777777" w:rsidR="005E0EE9" w:rsidRPr="0013396E" w:rsidRDefault="005E0EE9" w:rsidP="0099759E">
            <w:pPr>
              <w:pStyle w:val="TableBody"/>
            </w:pPr>
            <w:r w:rsidRPr="0013396E">
              <w:t xml:space="preserve">ATPC </w:t>
            </w:r>
            <w:r w:rsidRPr="0013396E">
              <w:rPr>
                <w:i/>
                <w:vertAlign w:val="subscript"/>
              </w:rPr>
              <w:t>q, r, p, i</w:t>
            </w:r>
          </w:p>
        </w:tc>
        <w:tc>
          <w:tcPr>
            <w:tcW w:w="900" w:type="dxa"/>
          </w:tcPr>
          <w:p w14:paraId="6B4BB033" w14:textId="77777777" w:rsidR="005E0EE9" w:rsidRPr="0013396E" w:rsidRDefault="005E0EE9" w:rsidP="0099759E">
            <w:pPr>
              <w:pStyle w:val="TableBody"/>
            </w:pPr>
            <w:r w:rsidRPr="0013396E">
              <w:t>MWh</w:t>
            </w:r>
          </w:p>
        </w:tc>
        <w:tc>
          <w:tcPr>
            <w:tcW w:w="6930" w:type="dxa"/>
          </w:tcPr>
          <w:p w14:paraId="51B385E5" w14:textId="77777777" w:rsidR="005E0EE9" w:rsidRPr="0013396E" w:rsidRDefault="005E0EE9" w:rsidP="0099759E">
            <w:pPr>
              <w:pStyle w:val="TableBody"/>
              <w:rPr>
                <w:i/>
              </w:rPr>
            </w:pPr>
            <w:r w:rsidRPr="0013396E">
              <w:rPr>
                <w:i/>
              </w:rPr>
              <w:t>Average Telemetered Power Consumption per QSE per Settlement Point per Controllable Load Resource</w:t>
            </w:r>
            <w:r w:rsidRPr="0013396E">
              <w:t xml:space="preserve">—The average telemetered power consumption of the Controllable Load Resource </w:t>
            </w:r>
            <w:r w:rsidRPr="0013396E">
              <w:rPr>
                <w:i/>
              </w:rPr>
              <w:t>r</w:t>
            </w:r>
            <w:r w:rsidRPr="0013396E">
              <w:t xml:space="preserve"> represented by QSE </w:t>
            </w:r>
            <w:r w:rsidRPr="0013396E">
              <w:rPr>
                <w:i/>
              </w:rPr>
              <w:t>q</w:t>
            </w:r>
            <w:r w:rsidRPr="0013396E">
              <w:t xml:space="preserve"> at Settlement Point </w:t>
            </w:r>
            <w:r w:rsidRPr="0013396E">
              <w:rPr>
                <w:i/>
              </w:rPr>
              <w:t>p</w:t>
            </w:r>
            <w:r w:rsidRPr="0013396E">
              <w:t xml:space="preserve">, for the 15-minute Settlement Interval </w:t>
            </w:r>
            <w:r w:rsidRPr="0013396E">
              <w:rPr>
                <w:i/>
              </w:rPr>
              <w:t>i.</w:t>
            </w:r>
          </w:p>
        </w:tc>
      </w:tr>
      <w:tr w:rsidR="005E0EE9" w:rsidRPr="0013396E" w14:paraId="7B79122B" w14:textId="77777777" w:rsidTr="0099759E">
        <w:trPr>
          <w:gridAfter w:val="1"/>
          <w:wAfter w:w="12" w:type="dxa"/>
          <w:cantSplit/>
        </w:trPr>
        <w:tc>
          <w:tcPr>
            <w:tcW w:w="1975" w:type="dxa"/>
          </w:tcPr>
          <w:p w14:paraId="64B45C37" w14:textId="77777777" w:rsidR="005E0EE9" w:rsidRPr="0013396E" w:rsidRDefault="005E0EE9" w:rsidP="0099759E">
            <w:pPr>
              <w:pStyle w:val="TableBody"/>
            </w:pPr>
            <w:r w:rsidRPr="0013396E">
              <w:t xml:space="preserve">AASP </w:t>
            </w:r>
            <w:r w:rsidRPr="0013396E">
              <w:rPr>
                <w:i/>
                <w:vertAlign w:val="subscript"/>
              </w:rPr>
              <w:t>q, r, p, i</w:t>
            </w:r>
          </w:p>
        </w:tc>
        <w:tc>
          <w:tcPr>
            <w:tcW w:w="900" w:type="dxa"/>
          </w:tcPr>
          <w:p w14:paraId="76429CFE" w14:textId="77777777" w:rsidR="005E0EE9" w:rsidRPr="0013396E" w:rsidRDefault="005E0EE9" w:rsidP="0099759E">
            <w:pPr>
              <w:pStyle w:val="TableBody"/>
            </w:pPr>
            <w:r w:rsidRPr="0013396E">
              <w:t>MW</w:t>
            </w:r>
          </w:p>
        </w:tc>
        <w:tc>
          <w:tcPr>
            <w:tcW w:w="6930" w:type="dxa"/>
          </w:tcPr>
          <w:p w14:paraId="748DB581" w14:textId="77777777" w:rsidR="005E0EE9" w:rsidRPr="0013396E" w:rsidRDefault="005E0EE9" w:rsidP="0099759E">
            <w:pPr>
              <w:pStyle w:val="TableBody"/>
              <w:rPr>
                <w:i/>
              </w:rPr>
            </w:pPr>
            <w:r w:rsidRPr="0013396E">
              <w:rPr>
                <w:i/>
              </w:rPr>
              <w:t>Average Aggregated Set Point for the Resource per QSE per Settlement Point per Resource</w:t>
            </w:r>
            <w:r w:rsidRPr="0013396E">
              <w:t xml:space="preserve">—The </w:t>
            </w:r>
            <w:r w:rsidRPr="0013396E">
              <w:rPr>
                <w:iCs w:val="0"/>
              </w:rPr>
              <w:t>average of the Average Five Minute Clock Interval Set Point (AVGSP5M)</w:t>
            </w:r>
            <w:r w:rsidRPr="0013396E">
              <w:t xml:space="preserve"> of Resource </w:t>
            </w:r>
            <w:r w:rsidRPr="0013396E">
              <w:rPr>
                <w:i/>
              </w:rPr>
              <w:t>r</w:t>
            </w:r>
            <w:r w:rsidRPr="0013396E">
              <w:t xml:space="preserve"> represented by QSE </w:t>
            </w:r>
            <w:r w:rsidRPr="0013396E">
              <w:rPr>
                <w:i/>
              </w:rPr>
              <w:t xml:space="preserve">q </w:t>
            </w:r>
            <w:r w:rsidRPr="0013396E">
              <w:t xml:space="preserve">at Settlement Point </w:t>
            </w:r>
            <w:r w:rsidRPr="0013396E">
              <w:rPr>
                <w:i/>
              </w:rPr>
              <w:t>p</w:t>
            </w:r>
            <w:r w:rsidRPr="0013396E">
              <w:t xml:space="preserve">, for the 15-minute Settlement Interval </w:t>
            </w:r>
            <w:r w:rsidRPr="0013396E">
              <w:rPr>
                <w:i/>
              </w:rPr>
              <w:t>i</w:t>
            </w:r>
            <w:r w:rsidRPr="0013396E">
              <w:t xml:space="preserve">.  </w:t>
            </w:r>
          </w:p>
        </w:tc>
      </w:tr>
      <w:tr w:rsidR="005E0EE9" w:rsidRPr="0013396E" w14:paraId="219A045B" w14:textId="77777777" w:rsidTr="0099759E">
        <w:trPr>
          <w:cantSplit/>
        </w:trPr>
        <w:tc>
          <w:tcPr>
            <w:tcW w:w="1975" w:type="dxa"/>
          </w:tcPr>
          <w:p w14:paraId="6EBAE2A5" w14:textId="77777777" w:rsidR="005E0EE9" w:rsidRPr="0013396E" w:rsidRDefault="005E0EE9" w:rsidP="0099759E">
            <w:pPr>
              <w:pStyle w:val="TableBody"/>
            </w:pPr>
            <w:r w:rsidRPr="0013396E">
              <w:t>AVGTPC5M</w:t>
            </w:r>
            <w:r w:rsidRPr="0013396E">
              <w:rPr>
                <w:i/>
                <w:vertAlign w:val="subscript"/>
                <w:lang w:val="fr-FR"/>
              </w:rPr>
              <w:t xml:space="preserve"> q, r, p, i, y</w:t>
            </w:r>
          </w:p>
        </w:tc>
        <w:tc>
          <w:tcPr>
            <w:tcW w:w="900" w:type="dxa"/>
          </w:tcPr>
          <w:p w14:paraId="1295CADB" w14:textId="77777777" w:rsidR="005E0EE9" w:rsidRPr="0013396E" w:rsidRDefault="005E0EE9" w:rsidP="0099759E">
            <w:pPr>
              <w:pStyle w:val="TableBody"/>
            </w:pPr>
            <w:r w:rsidRPr="0013396E">
              <w:t>MW</w:t>
            </w:r>
          </w:p>
        </w:tc>
        <w:tc>
          <w:tcPr>
            <w:tcW w:w="6942" w:type="dxa"/>
            <w:gridSpan w:val="2"/>
          </w:tcPr>
          <w:p w14:paraId="1793F13A" w14:textId="77777777" w:rsidR="005E0EE9" w:rsidRPr="0013396E" w:rsidRDefault="005E0EE9" w:rsidP="0099759E">
            <w:pPr>
              <w:pStyle w:val="TableBody"/>
            </w:pPr>
            <w:r w:rsidRPr="0013396E">
              <w:rPr>
                <w:i/>
              </w:rPr>
              <w:t>Average Telemetered Power Consumption for the 5 Minutes</w:t>
            </w:r>
            <w:r w:rsidRPr="0013396E">
              <w:t xml:space="preserve">—The average telemetered  power consumption of Controllable Load Resource </w:t>
            </w:r>
            <w:r w:rsidRPr="0013396E">
              <w:rPr>
                <w:i/>
              </w:rPr>
              <w:t>r</w:t>
            </w:r>
            <w:r w:rsidRPr="0013396E">
              <w:t xml:space="preserve"> represented by QSE </w:t>
            </w:r>
            <w:r w:rsidRPr="0013396E">
              <w:rPr>
                <w:i/>
              </w:rPr>
              <w:t>q</w:t>
            </w:r>
            <w:r w:rsidRPr="0013396E">
              <w:t xml:space="preserve"> at Settlement Point </w:t>
            </w:r>
            <w:r w:rsidRPr="0013396E">
              <w:rPr>
                <w:i/>
              </w:rPr>
              <w:t>p</w:t>
            </w:r>
            <w:r w:rsidRPr="0013396E">
              <w:t xml:space="preserve">, for the five-minute clock interval </w:t>
            </w:r>
            <w:r w:rsidRPr="0013396E">
              <w:rPr>
                <w:i/>
              </w:rPr>
              <w:t>y</w:t>
            </w:r>
            <w:r w:rsidRPr="0013396E">
              <w:t xml:space="preserve">, within the 15-minute Settlement Interval </w:t>
            </w:r>
            <w:r w:rsidRPr="0013396E">
              <w:rPr>
                <w:i/>
              </w:rPr>
              <w:t>i</w:t>
            </w:r>
            <w:r w:rsidRPr="0013396E">
              <w:t>.</w:t>
            </w:r>
          </w:p>
        </w:tc>
      </w:tr>
      <w:tr w:rsidR="005E0EE9" w:rsidRPr="0013396E" w14:paraId="1664FFB1" w14:textId="77777777" w:rsidTr="0099759E">
        <w:trPr>
          <w:cantSplit/>
        </w:trPr>
        <w:tc>
          <w:tcPr>
            <w:tcW w:w="1975" w:type="dxa"/>
          </w:tcPr>
          <w:p w14:paraId="2CA5D912" w14:textId="77777777" w:rsidR="005E0EE9" w:rsidRPr="0013396E" w:rsidRDefault="005E0EE9" w:rsidP="0099759E">
            <w:pPr>
              <w:pStyle w:val="TableBody"/>
            </w:pPr>
            <w:r w:rsidRPr="0013396E">
              <w:t xml:space="preserve">OCONSM </w:t>
            </w:r>
            <w:r w:rsidRPr="0013396E">
              <w:rPr>
                <w:i/>
                <w:vertAlign w:val="subscript"/>
              </w:rPr>
              <w:t>q, r, p, i</w:t>
            </w:r>
          </w:p>
        </w:tc>
        <w:tc>
          <w:tcPr>
            <w:tcW w:w="900" w:type="dxa"/>
          </w:tcPr>
          <w:p w14:paraId="71856259" w14:textId="77777777" w:rsidR="005E0EE9" w:rsidRPr="0013396E" w:rsidRDefault="005E0EE9" w:rsidP="0099759E">
            <w:pPr>
              <w:pStyle w:val="TableBody"/>
            </w:pPr>
            <w:r w:rsidRPr="0013396E">
              <w:t>MWh</w:t>
            </w:r>
          </w:p>
        </w:tc>
        <w:tc>
          <w:tcPr>
            <w:tcW w:w="6942" w:type="dxa"/>
            <w:gridSpan w:val="2"/>
          </w:tcPr>
          <w:p w14:paraId="251AF63B" w14:textId="77777777" w:rsidR="005E0EE9" w:rsidRPr="0013396E" w:rsidRDefault="005E0EE9" w:rsidP="0099759E">
            <w:pPr>
              <w:pStyle w:val="TableBody"/>
            </w:pPr>
            <w:r w:rsidRPr="0013396E">
              <w:rPr>
                <w:i/>
              </w:rPr>
              <w:t>Over-Consumption Volumes per QSE per Settlement Point per Controllable Load Resource</w:t>
            </w:r>
            <w:r w:rsidRPr="0013396E">
              <w:t xml:space="preserve">—The amount over-consumed by the Controllable Load Resource </w:t>
            </w:r>
            <w:r w:rsidRPr="0013396E">
              <w:rPr>
                <w:i/>
              </w:rPr>
              <w:t>r</w:t>
            </w:r>
            <w:r w:rsidRPr="0013396E">
              <w:t xml:space="preserve"> represented by QSE </w:t>
            </w:r>
            <w:r w:rsidRPr="0013396E">
              <w:rPr>
                <w:i/>
              </w:rPr>
              <w:t>q</w:t>
            </w:r>
            <w:r w:rsidRPr="0013396E">
              <w:t xml:space="preserve"> at Settlement Point </w:t>
            </w:r>
            <w:r w:rsidRPr="0013396E">
              <w:rPr>
                <w:i/>
              </w:rPr>
              <w:t>p</w:t>
            </w:r>
            <w:r w:rsidRPr="0013396E">
              <w:t xml:space="preserve"> for the 15-minute Settlement Interval </w:t>
            </w:r>
            <w:r w:rsidRPr="0013396E">
              <w:rPr>
                <w:i/>
              </w:rPr>
              <w:t>i</w:t>
            </w:r>
            <w:r w:rsidRPr="0013396E">
              <w:t>.</w:t>
            </w:r>
          </w:p>
        </w:tc>
      </w:tr>
      <w:tr w:rsidR="005E0EE9" w:rsidRPr="0013396E" w14:paraId="4B0BF418" w14:textId="77777777" w:rsidTr="0099759E">
        <w:trPr>
          <w:cantSplit/>
        </w:trPr>
        <w:tc>
          <w:tcPr>
            <w:tcW w:w="1975" w:type="dxa"/>
          </w:tcPr>
          <w:p w14:paraId="3BB1DD00" w14:textId="77777777" w:rsidR="005E0EE9" w:rsidRPr="0013396E" w:rsidRDefault="005E0EE9" w:rsidP="0099759E">
            <w:pPr>
              <w:pStyle w:val="TableBody"/>
            </w:pPr>
            <w:r w:rsidRPr="0013396E">
              <w:lastRenderedPageBreak/>
              <w:t>KP1</w:t>
            </w:r>
          </w:p>
        </w:tc>
        <w:tc>
          <w:tcPr>
            <w:tcW w:w="900" w:type="dxa"/>
          </w:tcPr>
          <w:p w14:paraId="31782F94" w14:textId="77777777" w:rsidR="005E0EE9" w:rsidRPr="0013396E" w:rsidRDefault="005E0EE9" w:rsidP="0099759E">
            <w:pPr>
              <w:pStyle w:val="TableBody"/>
            </w:pPr>
            <w:r w:rsidRPr="0013396E">
              <w:t>none</w:t>
            </w:r>
          </w:p>
        </w:tc>
        <w:tc>
          <w:tcPr>
            <w:tcW w:w="6942" w:type="dxa"/>
            <w:gridSpan w:val="2"/>
          </w:tcPr>
          <w:p w14:paraId="6AC60DCA" w14:textId="77777777" w:rsidR="005E0EE9" w:rsidRPr="0013396E" w:rsidRDefault="005E0EE9" w:rsidP="0099759E">
            <w:pPr>
              <w:pStyle w:val="TableBody"/>
            </w:pPr>
            <w:r w:rsidRPr="0013396E">
              <w:t>The coefficient applied to the Settlement Point Price for over-consumption charge, 1.0.</w:t>
            </w:r>
          </w:p>
        </w:tc>
      </w:tr>
      <w:tr w:rsidR="005E0EE9" w:rsidRPr="0013396E" w14:paraId="49A409B4" w14:textId="77777777" w:rsidTr="0099759E">
        <w:trPr>
          <w:cantSplit/>
        </w:trPr>
        <w:tc>
          <w:tcPr>
            <w:tcW w:w="1975" w:type="dxa"/>
          </w:tcPr>
          <w:p w14:paraId="24A02459" w14:textId="77777777" w:rsidR="005E0EE9" w:rsidRPr="0013396E" w:rsidRDefault="005E0EE9" w:rsidP="0099759E">
            <w:pPr>
              <w:pStyle w:val="TableBody"/>
            </w:pPr>
            <w:r w:rsidRPr="0013396E">
              <w:t>PRZ1</w:t>
            </w:r>
          </w:p>
        </w:tc>
        <w:tc>
          <w:tcPr>
            <w:tcW w:w="900" w:type="dxa"/>
          </w:tcPr>
          <w:p w14:paraId="2E9F25D4" w14:textId="77777777" w:rsidR="005E0EE9" w:rsidRPr="0013396E" w:rsidRDefault="005E0EE9" w:rsidP="0099759E">
            <w:pPr>
              <w:pStyle w:val="TableBody"/>
            </w:pPr>
            <w:r w:rsidRPr="0013396E">
              <w:t>$/MWh</w:t>
            </w:r>
          </w:p>
        </w:tc>
        <w:tc>
          <w:tcPr>
            <w:tcW w:w="6942" w:type="dxa"/>
            <w:gridSpan w:val="2"/>
          </w:tcPr>
          <w:p w14:paraId="2A7AF209" w14:textId="77777777" w:rsidR="005E0EE9" w:rsidRPr="0013396E" w:rsidRDefault="005E0EE9" w:rsidP="0099759E">
            <w:pPr>
              <w:pStyle w:val="TableBody"/>
            </w:pPr>
            <w:r w:rsidRPr="0013396E">
              <w:t xml:space="preserve">The price to use for the charge calculation when RTSPP is greater than -$20, -$20/MWh.  </w:t>
            </w:r>
          </w:p>
        </w:tc>
      </w:tr>
      <w:tr w:rsidR="005E0EE9" w:rsidRPr="0013396E" w14:paraId="63CC71FC" w14:textId="77777777" w:rsidTr="0099759E">
        <w:trPr>
          <w:cantSplit/>
        </w:trPr>
        <w:tc>
          <w:tcPr>
            <w:tcW w:w="1975" w:type="dxa"/>
          </w:tcPr>
          <w:p w14:paraId="35150E57" w14:textId="77777777" w:rsidR="005E0EE9" w:rsidRPr="0013396E" w:rsidRDefault="005E0EE9" w:rsidP="0099759E">
            <w:pPr>
              <w:pStyle w:val="TableBody"/>
            </w:pPr>
            <w:r w:rsidRPr="0013396E">
              <w:t>KLR1</w:t>
            </w:r>
          </w:p>
        </w:tc>
        <w:tc>
          <w:tcPr>
            <w:tcW w:w="900" w:type="dxa"/>
          </w:tcPr>
          <w:p w14:paraId="03D3F22E" w14:textId="77777777" w:rsidR="005E0EE9" w:rsidRPr="0013396E" w:rsidRDefault="005E0EE9" w:rsidP="0099759E">
            <w:pPr>
              <w:pStyle w:val="TableBody"/>
            </w:pPr>
            <w:r w:rsidRPr="0013396E">
              <w:t>none</w:t>
            </w:r>
          </w:p>
        </w:tc>
        <w:tc>
          <w:tcPr>
            <w:tcW w:w="6942" w:type="dxa"/>
            <w:gridSpan w:val="2"/>
          </w:tcPr>
          <w:p w14:paraId="74FE88A1" w14:textId="77777777" w:rsidR="005E0EE9" w:rsidRPr="0013396E" w:rsidRDefault="005E0EE9" w:rsidP="0099759E">
            <w:pPr>
              <w:pStyle w:val="TableBody"/>
            </w:pPr>
            <w:r w:rsidRPr="0013396E">
              <w:t>The percentage tolerance for over-consumption of a Controllable Load Resource, XO%.</w:t>
            </w:r>
          </w:p>
        </w:tc>
      </w:tr>
      <w:tr w:rsidR="005E0EE9" w:rsidRPr="0013396E" w14:paraId="13903566" w14:textId="77777777" w:rsidTr="0099759E">
        <w:trPr>
          <w:cantSplit/>
        </w:trPr>
        <w:tc>
          <w:tcPr>
            <w:tcW w:w="1975" w:type="dxa"/>
          </w:tcPr>
          <w:p w14:paraId="353DC729" w14:textId="77777777" w:rsidR="005E0EE9" w:rsidRPr="0013396E" w:rsidRDefault="005E0EE9" w:rsidP="0099759E">
            <w:pPr>
              <w:pStyle w:val="TableBody"/>
              <w:rPr>
                <w:i/>
              </w:rPr>
            </w:pPr>
            <w:r w:rsidRPr="0013396E">
              <w:t>QLR1</w:t>
            </w:r>
          </w:p>
        </w:tc>
        <w:tc>
          <w:tcPr>
            <w:tcW w:w="900" w:type="dxa"/>
          </w:tcPr>
          <w:p w14:paraId="1E0E37FA" w14:textId="77777777" w:rsidR="005E0EE9" w:rsidRPr="0013396E" w:rsidRDefault="005E0EE9" w:rsidP="0099759E">
            <w:pPr>
              <w:pStyle w:val="TableBody"/>
            </w:pPr>
            <w:r w:rsidRPr="0013396E">
              <w:t>MW</w:t>
            </w:r>
          </w:p>
        </w:tc>
        <w:tc>
          <w:tcPr>
            <w:tcW w:w="6942" w:type="dxa"/>
            <w:gridSpan w:val="2"/>
          </w:tcPr>
          <w:p w14:paraId="2286419F" w14:textId="77777777" w:rsidR="005E0EE9" w:rsidRPr="0013396E" w:rsidRDefault="005E0EE9" w:rsidP="0099759E">
            <w:pPr>
              <w:pStyle w:val="TableBody"/>
            </w:pPr>
            <w:r w:rsidRPr="0013396E">
              <w:t>The MW tolerance for over-consumption of a Controllable Load Resource, YO MW.</w:t>
            </w:r>
          </w:p>
        </w:tc>
      </w:tr>
      <w:tr w:rsidR="005E0EE9" w:rsidRPr="0013396E" w14:paraId="63971712" w14:textId="77777777" w:rsidTr="0099759E">
        <w:trPr>
          <w:cantSplit/>
        </w:trPr>
        <w:tc>
          <w:tcPr>
            <w:tcW w:w="1975" w:type="dxa"/>
          </w:tcPr>
          <w:p w14:paraId="1E5D4C38" w14:textId="77777777" w:rsidR="005E0EE9" w:rsidRPr="0013396E" w:rsidRDefault="005E0EE9" w:rsidP="0099759E">
            <w:pPr>
              <w:pStyle w:val="TableBody"/>
              <w:rPr>
                <w:i/>
              </w:rPr>
            </w:pPr>
            <w:r w:rsidRPr="0013396E">
              <w:rPr>
                <w:i/>
              </w:rPr>
              <w:t>q</w:t>
            </w:r>
          </w:p>
        </w:tc>
        <w:tc>
          <w:tcPr>
            <w:tcW w:w="900" w:type="dxa"/>
          </w:tcPr>
          <w:p w14:paraId="7C41C2BA" w14:textId="77777777" w:rsidR="005E0EE9" w:rsidRPr="0013396E" w:rsidRDefault="005E0EE9" w:rsidP="0099759E">
            <w:pPr>
              <w:pStyle w:val="TableBody"/>
            </w:pPr>
            <w:r w:rsidRPr="0013396E">
              <w:t>none</w:t>
            </w:r>
          </w:p>
        </w:tc>
        <w:tc>
          <w:tcPr>
            <w:tcW w:w="6942" w:type="dxa"/>
            <w:gridSpan w:val="2"/>
          </w:tcPr>
          <w:p w14:paraId="01D8573B" w14:textId="77777777" w:rsidR="005E0EE9" w:rsidRPr="0013396E" w:rsidRDefault="005E0EE9" w:rsidP="0099759E">
            <w:pPr>
              <w:pStyle w:val="TableBody"/>
            </w:pPr>
            <w:r w:rsidRPr="0013396E">
              <w:t>A QSE.</w:t>
            </w:r>
          </w:p>
        </w:tc>
      </w:tr>
      <w:tr w:rsidR="005E0EE9" w:rsidRPr="0013396E" w14:paraId="66A56A4A" w14:textId="77777777" w:rsidTr="0099759E">
        <w:trPr>
          <w:cantSplit/>
        </w:trPr>
        <w:tc>
          <w:tcPr>
            <w:tcW w:w="1975" w:type="dxa"/>
          </w:tcPr>
          <w:p w14:paraId="365D06ED" w14:textId="77777777" w:rsidR="005E0EE9" w:rsidRPr="0013396E" w:rsidRDefault="005E0EE9" w:rsidP="0099759E">
            <w:pPr>
              <w:pStyle w:val="TableBody"/>
              <w:rPr>
                <w:i/>
              </w:rPr>
            </w:pPr>
            <w:r w:rsidRPr="0013396E">
              <w:rPr>
                <w:i/>
              </w:rPr>
              <w:t>p</w:t>
            </w:r>
          </w:p>
        </w:tc>
        <w:tc>
          <w:tcPr>
            <w:tcW w:w="900" w:type="dxa"/>
          </w:tcPr>
          <w:p w14:paraId="29DF8678" w14:textId="77777777" w:rsidR="005E0EE9" w:rsidRPr="0013396E" w:rsidRDefault="005E0EE9" w:rsidP="0099759E">
            <w:pPr>
              <w:pStyle w:val="TableBody"/>
            </w:pPr>
            <w:r w:rsidRPr="0013396E">
              <w:t>none</w:t>
            </w:r>
          </w:p>
        </w:tc>
        <w:tc>
          <w:tcPr>
            <w:tcW w:w="6942" w:type="dxa"/>
            <w:gridSpan w:val="2"/>
          </w:tcPr>
          <w:p w14:paraId="7F36714C" w14:textId="77777777" w:rsidR="005E0EE9" w:rsidRPr="0013396E" w:rsidRDefault="005E0EE9" w:rsidP="0099759E">
            <w:pPr>
              <w:pStyle w:val="TableBody"/>
            </w:pPr>
            <w:r w:rsidRPr="0013396E">
              <w:t>A Settlement Point.</w:t>
            </w:r>
          </w:p>
        </w:tc>
      </w:tr>
      <w:tr w:rsidR="005E0EE9" w:rsidRPr="0013396E" w14:paraId="3F25A726" w14:textId="77777777" w:rsidTr="0099759E">
        <w:trPr>
          <w:cantSplit/>
        </w:trPr>
        <w:tc>
          <w:tcPr>
            <w:tcW w:w="1975" w:type="dxa"/>
          </w:tcPr>
          <w:p w14:paraId="72EB987C" w14:textId="77777777" w:rsidR="005E0EE9" w:rsidRPr="0013396E" w:rsidRDefault="005E0EE9" w:rsidP="0099759E">
            <w:pPr>
              <w:pStyle w:val="TableBody"/>
              <w:rPr>
                <w:i/>
              </w:rPr>
            </w:pPr>
            <w:r w:rsidRPr="0013396E">
              <w:rPr>
                <w:i/>
              </w:rPr>
              <w:t>r</w:t>
            </w:r>
          </w:p>
        </w:tc>
        <w:tc>
          <w:tcPr>
            <w:tcW w:w="900" w:type="dxa"/>
          </w:tcPr>
          <w:p w14:paraId="5345B3B3" w14:textId="77777777" w:rsidR="005E0EE9" w:rsidRPr="0013396E" w:rsidRDefault="005E0EE9" w:rsidP="0099759E">
            <w:pPr>
              <w:pStyle w:val="TableBody"/>
            </w:pPr>
            <w:r w:rsidRPr="0013396E">
              <w:t>none</w:t>
            </w:r>
          </w:p>
        </w:tc>
        <w:tc>
          <w:tcPr>
            <w:tcW w:w="6942" w:type="dxa"/>
            <w:gridSpan w:val="2"/>
          </w:tcPr>
          <w:p w14:paraId="340BAE2C" w14:textId="77777777" w:rsidR="005E0EE9" w:rsidRPr="0013396E" w:rsidRDefault="005E0EE9" w:rsidP="0099759E">
            <w:pPr>
              <w:pStyle w:val="TableBody"/>
            </w:pPr>
            <w:r w:rsidRPr="0013396E">
              <w:t>A Controllable Load Resource.</w:t>
            </w:r>
          </w:p>
        </w:tc>
      </w:tr>
      <w:tr w:rsidR="005E0EE9" w:rsidRPr="0013396E" w14:paraId="44D0A4A3" w14:textId="77777777" w:rsidTr="0099759E">
        <w:trPr>
          <w:cantSplit/>
          <w:trHeight w:val="152"/>
        </w:trPr>
        <w:tc>
          <w:tcPr>
            <w:tcW w:w="1975" w:type="dxa"/>
          </w:tcPr>
          <w:p w14:paraId="228A3C7E" w14:textId="77777777" w:rsidR="005E0EE9" w:rsidRPr="0013396E" w:rsidDel="00B33B6F" w:rsidRDefault="005E0EE9" w:rsidP="0099759E">
            <w:pPr>
              <w:pStyle w:val="TableBody"/>
              <w:rPr>
                <w:i/>
              </w:rPr>
            </w:pPr>
            <w:r w:rsidRPr="0013396E">
              <w:rPr>
                <w:i/>
              </w:rPr>
              <w:t>i</w:t>
            </w:r>
          </w:p>
        </w:tc>
        <w:tc>
          <w:tcPr>
            <w:tcW w:w="900" w:type="dxa"/>
          </w:tcPr>
          <w:p w14:paraId="2C3F5F87" w14:textId="77777777" w:rsidR="005E0EE9" w:rsidRPr="0013396E" w:rsidDel="00B33B6F" w:rsidRDefault="005E0EE9" w:rsidP="0099759E">
            <w:pPr>
              <w:pStyle w:val="TableBody"/>
            </w:pPr>
            <w:r w:rsidRPr="0013396E">
              <w:t>none</w:t>
            </w:r>
          </w:p>
        </w:tc>
        <w:tc>
          <w:tcPr>
            <w:tcW w:w="6942" w:type="dxa"/>
            <w:gridSpan w:val="2"/>
          </w:tcPr>
          <w:p w14:paraId="164088E6" w14:textId="77777777" w:rsidR="005E0EE9" w:rsidRPr="0013396E" w:rsidDel="00B33B6F" w:rsidRDefault="005E0EE9" w:rsidP="0099759E">
            <w:pPr>
              <w:pStyle w:val="TableBody"/>
            </w:pPr>
            <w:r w:rsidRPr="0013396E">
              <w:t>A 15-minute Settlement Interval.</w:t>
            </w:r>
          </w:p>
        </w:tc>
      </w:tr>
      <w:tr w:rsidR="005E0EE9" w:rsidRPr="0013396E" w14:paraId="746A4404" w14:textId="77777777" w:rsidTr="0099759E">
        <w:trPr>
          <w:cantSplit/>
          <w:trHeight w:val="152"/>
        </w:trPr>
        <w:tc>
          <w:tcPr>
            <w:tcW w:w="1975" w:type="dxa"/>
            <w:tcBorders>
              <w:top w:val="single" w:sz="4" w:space="0" w:color="auto"/>
              <w:left w:val="single" w:sz="4" w:space="0" w:color="auto"/>
              <w:bottom w:val="single" w:sz="4" w:space="0" w:color="auto"/>
              <w:right w:val="single" w:sz="4" w:space="0" w:color="auto"/>
            </w:tcBorders>
          </w:tcPr>
          <w:p w14:paraId="1348ED31" w14:textId="77777777" w:rsidR="005E0EE9" w:rsidRPr="0013396E" w:rsidRDefault="005E0EE9" w:rsidP="0099759E">
            <w:pPr>
              <w:pStyle w:val="TableBody"/>
              <w:rPr>
                <w:i/>
              </w:rPr>
            </w:pPr>
            <w:r w:rsidRPr="0013396E">
              <w:rPr>
                <w:i/>
              </w:rPr>
              <w:t>y</w:t>
            </w:r>
          </w:p>
        </w:tc>
        <w:tc>
          <w:tcPr>
            <w:tcW w:w="900" w:type="dxa"/>
            <w:tcBorders>
              <w:top w:val="single" w:sz="4" w:space="0" w:color="auto"/>
              <w:left w:val="single" w:sz="4" w:space="0" w:color="auto"/>
              <w:bottom w:val="single" w:sz="4" w:space="0" w:color="auto"/>
              <w:right w:val="single" w:sz="4" w:space="0" w:color="auto"/>
            </w:tcBorders>
          </w:tcPr>
          <w:p w14:paraId="6FC01A75" w14:textId="77777777" w:rsidR="005E0EE9" w:rsidRPr="0013396E" w:rsidRDefault="005E0EE9" w:rsidP="0099759E">
            <w:pPr>
              <w:pStyle w:val="TableBody"/>
            </w:pPr>
            <w:r w:rsidRPr="0013396E">
              <w:t>none</w:t>
            </w:r>
          </w:p>
        </w:tc>
        <w:tc>
          <w:tcPr>
            <w:tcW w:w="6942" w:type="dxa"/>
            <w:gridSpan w:val="2"/>
            <w:tcBorders>
              <w:top w:val="single" w:sz="4" w:space="0" w:color="auto"/>
              <w:left w:val="single" w:sz="4" w:space="0" w:color="auto"/>
              <w:bottom w:val="single" w:sz="4" w:space="0" w:color="auto"/>
              <w:right w:val="single" w:sz="4" w:space="0" w:color="auto"/>
            </w:tcBorders>
          </w:tcPr>
          <w:p w14:paraId="37C3FA68" w14:textId="77777777" w:rsidR="005E0EE9" w:rsidRPr="0013396E" w:rsidRDefault="005E0EE9" w:rsidP="0099759E">
            <w:pPr>
              <w:pStyle w:val="TableBody"/>
            </w:pPr>
            <w:r w:rsidRPr="0013396E">
              <w:t xml:space="preserve">A five-minute clock interval in the Settlement Interval. </w:t>
            </w:r>
          </w:p>
        </w:tc>
      </w:tr>
      <w:bookmarkEnd w:id="1774"/>
      <w:bookmarkEnd w:id="1775"/>
      <w:bookmarkEnd w:id="1776"/>
      <w:bookmarkEnd w:id="1777"/>
      <w:bookmarkEnd w:id="1778"/>
      <w:bookmarkEnd w:id="1779"/>
      <w:bookmarkEnd w:id="1780"/>
      <w:bookmarkEnd w:id="1781"/>
      <w:bookmarkEnd w:id="1782"/>
      <w:bookmarkEnd w:id="1783"/>
      <w:bookmarkEnd w:id="1784"/>
      <w:bookmarkEnd w:id="1785"/>
      <w:bookmarkEnd w:id="1786"/>
    </w:tbl>
    <w:p w14:paraId="5A771FA1" w14:textId="77777777" w:rsidR="00BE3301" w:rsidRPr="0013396E" w:rsidRDefault="00BE3301"/>
    <w:p w14:paraId="6250B2A8" w14:textId="77777777" w:rsidR="005E0EE9" w:rsidRPr="0013396E" w:rsidRDefault="005E0EE9" w:rsidP="005E0EE9">
      <w:pPr>
        <w:pStyle w:val="H4"/>
        <w:tabs>
          <w:tab w:val="clear" w:pos="1260"/>
          <w:tab w:val="left" w:pos="1620"/>
        </w:tabs>
        <w:ind w:left="1627" w:hanging="1627"/>
        <w:outlineLvl w:val="4"/>
      </w:pPr>
      <w:bookmarkStart w:id="1798" w:name="_Toc214878985"/>
      <w:bookmarkStart w:id="1799" w:name="_Toc402357154"/>
      <w:bookmarkStart w:id="1800" w:name="_Toc422486534"/>
      <w:bookmarkStart w:id="1801" w:name="_Toc433093387"/>
      <w:bookmarkStart w:id="1802" w:name="_Toc433093545"/>
      <w:bookmarkStart w:id="1803" w:name="_Toc440874775"/>
      <w:bookmarkStart w:id="1804" w:name="_Toc448142332"/>
      <w:bookmarkStart w:id="1805" w:name="_Toc448142489"/>
      <w:bookmarkStart w:id="1806" w:name="_Toc458770330"/>
      <w:bookmarkStart w:id="1807" w:name="_Toc459294298"/>
      <w:bookmarkStart w:id="1808" w:name="_Toc463262791"/>
      <w:bookmarkStart w:id="1809" w:name="_Toc468286864"/>
      <w:bookmarkStart w:id="1810" w:name="_Toc481502904"/>
      <w:bookmarkStart w:id="1811" w:name="_Toc496080072"/>
      <w:bookmarkStart w:id="1812" w:name="_Toc109009404"/>
      <w:r w:rsidRPr="0013396E">
        <w:t>6.6.5.3.1</w:t>
      </w:r>
      <w:r w:rsidRPr="0013396E">
        <w:tab/>
        <w:t>Controllable Load Resource Set Point Deviation Charge for Under Consumption</w:t>
      </w:r>
      <w:bookmarkEnd w:id="1798"/>
    </w:p>
    <w:p w14:paraId="4CE2D1C3" w14:textId="6BB22D53" w:rsidR="005E0EE9" w:rsidRPr="0013396E" w:rsidRDefault="005E0EE9" w:rsidP="005E0EE9">
      <w:pPr>
        <w:pStyle w:val="BodyTextNumbered"/>
      </w:pPr>
      <w:r w:rsidRPr="0013396E">
        <w:t>(1)</w:t>
      </w:r>
      <w:r w:rsidRPr="0013396E">
        <w:tab/>
        <w:t xml:space="preserve">ERCOT shall charge a QSE for a </w:t>
      </w:r>
      <w:r w:rsidR="00E01488">
        <w:t>CLR</w:t>
      </w:r>
      <w:r w:rsidRPr="0013396E">
        <w:t xml:space="preserve">, for under-consumption if the average telemetered power consumption is below than the lesser of: </w:t>
      </w:r>
    </w:p>
    <w:p w14:paraId="349613E9" w14:textId="77777777" w:rsidR="005E0EE9" w:rsidRPr="0013396E" w:rsidRDefault="005E0EE9" w:rsidP="005E0EE9">
      <w:pPr>
        <w:pStyle w:val="List"/>
      </w:pPr>
      <w:r w:rsidRPr="0013396E">
        <w:t>(a)</w:t>
      </w:r>
      <w:r w:rsidRPr="0013396E">
        <w:tab/>
        <w:t>[100-XU]% of the AASP in the Settlement Interval; or</w:t>
      </w:r>
    </w:p>
    <w:p w14:paraId="7C86A4F6" w14:textId="77777777" w:rsidR="005E0EE9" w:rsidRPr="0013396E" w:rsidRDefault="005E0EE9" w:rsidP="005E0EE9">
      <w:pPr>
        <w:pStyle w:val="List"/>
      </w:pPr>
      <w:r w:rsidRPr="0013396E">
        <w:t>(b)</w:t>
      </w:r>
      <w:r w:rsidRPr="0013396E">
        <w:tab/>
        <w:t>The AASP in the Settlement Interval minus YU MW.</w:t>
      </w:r>
    </w:p>
    <w:p w14:paraId="547370F8" w14:textId="5DE9DFDC" w:rsidR="005E0EE9" w:rsidRPr="0013396E" w:rsidRDefault="005E0EE9" w:rsidP="005E0EE9">
      <w:pPr>
        <w:pStyle w:val="BodyTextNumbered"/>
        <w:rPr>
          <w:iCs/>
        </w:rPr>
      </w:pPr>
      <w:r w:rsidRPr="0013396E">
        <w:rPr>
          <w:iCs/>
        </w:rPr>
        <w:t>(2)</w:t>
      </w:r>
      <w:r w:rsidRPr="0013396E">
        <w:rPr>
          <w:iCs/>
        </w:rPr>
        <w:tab/>
      </w:r>
      <w:r w:rsidRPr="0013396E">
        <w:t xml:space="preserve">The </w:t>
      </w:r>
      <w:r w:rsidR="00E01488">
        <w:t>CLR</w:t>
      </w:r>
      <w:r w:rsidRPr="0013396E">
        <w:t xml:space="preserve"> Set Point Deviation Charge for under-consumption variables XU and YU shall be subject to review and approval by TAC and shall be posted to the ERCOT website no later than three Business Days after TAC approval.</w:t>
      </w:r>
    </w:p>
    <w:p w14:paraId="6BC1C0D1" w14:textId="7F2F346C" w:rsidR="005E0EE9" w:rsidRPr="0013396E" w:rsidRDefault="005E0EE9" w:rsidP="005E0EE9">
      <w:pPr>
        <w:pStyle w:val="BodyTextNumbered"/>
        <w:rPr>
          <w:iCs/>
        </w:rPr>
      </w:pPr>
      <w:r w:rsidRPr="0013396E">
        <w:rPr>
          <w:iCs/>
        </w:rPr>
        <w:t>(3)</w:t>
      </w:r>
      <w:r w:rsidRPr="0013396E">
        <w:rPr>
          <w:iCs/>
        </w:rPr>
        <w:tab/>
        <w:t xml:space="preserve">The charge to each QSE for non-excused under-consumption of each </w:t>
      </w:r>
      <w:r w:rsidR="00E01488">
        <w:t>CLR</w:t>
      </w:r>
      <w:r w:rsidRPr="0013396E">
        <w:t xml:space="preserve">, </w:t>
      </w:r>
      <w:r w:rsidRPr="0013396E">
        <w:rPr>
          <w:iCs/>
        </w:rPr>
        <w:t>during a 15-minute Settlement Interval is calculated as follows:</w:t>
      </w:r>
    </w:p>
    <w:p w14:paraId="030F1342" w14:textId="77777777" w:rsidR="005E0EE9" w:rsidRPr="0013396E" w:rsidRDefault="005E0EE9" w:rsidP="005E0EE9">
      <w:pPr>
        <w:pStyle w:val="FormulaBold"/>
        <w:tabs>
          <w:tab w:val="left" w:pos="720"/>
        </w:tabs>
        <w:ind w:left="2880" w:hanging="2880"/>
        <w:rPr>
          <w:lang w:val="pt-BR"/>
        </w:rPr>
      </w:pPr>
      <w:r w:rsidRPr="0013396E">
        <w:rPr>
          <w:lang w:val="pt-BR"/>
        </w:rPr>
        <w:tab/>
        <w:t>SPDAMT</w:t>
      </w:r>
      <w:r w:rsidRPr="0013396E">
        <w:rPr>
          <w:i/>
          <w:vertAlign w:val="subscript"/>
          <w:lang w:val="pt-BR"/>
        </w:rPr>
        <w:t xml:space="preserve"> q, r, p, i</w:t>
      </w:r>
      <w:r w:rsidRPr="0013396E">
        <w:rPr>
          <w:lang w:val="pt-BR"/>
        </w:rPr>
        <w:t xml:space="preserve"> =</w:t>
      </w:r>
      <w:r w:rsidRPr="0013396E">
        <w:rPr>
          <w:lang w:val="pt-BR"/>
        </w:rPr>
        <w:tab/>
      </w:r>
      <w:r w:rsidRPr="0013396E">
        <w:t xml:space="preserve">Max (PRZ2, RTSPP </w:t>
      </w:r>
      <w:r w:rsidRPr="0013396E">
        <w:rPr>
          <w:i/>
          <w:vertAlign w:val="subscript"/>
        </w:rPr>
        <w:t>p, i</w:t>
      </w:r>
      <w:r w:rsidRPr="0013396E">
        <w:t>) * UCONSM</w:t>
      </w:r>
      <w:r w:rsidRPr="0013396E">
        <w:rPr>
          <w:sz w:val="18"/>
          <w:szCs w:val="18"/>
          <w:vertAlign w:val="subscript"/>
        </w:rPr>
        <w:t xml:space="preserve"> </w:t>
      </w:r>
      <w:r w:rsidRPr="0013396E">
        <w:rPr>
          <w:i/>
          <w:vertAlign w:val="subscript"/>
        </w:rPr>
        <w:t>q, r, p, i</w:t>
      </w:r>
    </w:p>
    <w:p w14:paraId="74626BDE" w14:textId="77777777" w:rsidR="005E0EE9" w:rsidRPr="0013396E" w:rsidRDefault="005E0EE9" w:rsidP="005E0EE9">
      <w:pPr>
        <w:pStyle w:val="FormulaBold"/>
        <w:rPr>
          <w:b w:val="0"/>
        </w:rPr>
      </w:pPr>
      <w:r w:rsidRPr="0013396E">
        <w:rPr>
          <w:b w:val="0"/>
        </w:rPr>
        <w:t>Where:</w:t>
      </w:r>
    </w:p>
    <w:p w14:paraId="7ED119E2" w14:textId="77777777" w:rsidR="005E0EE9" w:rsidRPr="0013396E" w:rsidRDefault="005E0EE9" w:rsidP="005E0EE9">
      <w:pPr>
        <w:pStyle w:val="BodyTextNumbered"/>
        <w:ind w:firstLine="0"/>
        <w:rPr>
          <w:iCs/>
        </w:rPr>
      </w:pPr>
      <w:r w:rsidRPr="0013396E">
        <w:t>UCONSM</w:t>
      </w:r>
      <w:r w:rsidRPr="0013396E">
        <w:rPr>
          <w:i/>
          <w:iCs/>
          <w:vertAlign w:val="subscript"/>
          <w:lang w:val="es-ES"/>
        </w:rPr>
        <w:t xml:space="preserve"> q, r, p, i  </w:t>
      </w:r>
      <w:r w:rsidRPr="0013396E">
        <w:t xml:space="preserve"> = </w:t>
      </w:r>
      <w:r w:rsidRPr="0013396E">
        <w:rPr>
          <w:iCs/>
        </w:rPr>
        <w:t>Max [0, [Min ((1 – KLR2) * ¼* AASP</w:t>
      </w:r>
      <w:r w:rsidRPr="0013396E">
        <w:rPr>
          <w:i/>
          <w:iCs/>
          <w:vertAlign w:val="subscript"/>
          <w:lang w:val="es-ES"/>
        </w:rPr>
        <w:t xml:space="preserve"> q, r, p, i </w:t>
      </w:r>
      <w:r w:rsidRPr="0013396E">
        <w:rPr>
          <w:iCs/>
        </w:rPr>
        <w:t>,</w:t>
      </w:r>
      <w:r w:rsidRPr="0013396E">
        <w:rPr>
          <w:i/>
          <w:iCs/>
          <w:vertAlign w:val="subscript"/>
          <w:lang w:val="es-ES"/>
        </w:rPr>
        <w:t xml:space="preserve"> </w:t>
      </w:r>
      <w:r w:rsidRPr="0013396E">
        <w:rPr>
          <w:iCs/>
          <w:lang w:val="es-MX"/>
        </w:rPr>
        <w:t>¼ * (AASP</w:t>
      </w:r>
      <w:r w:rsidRPr="0013396E">
        <w:rPr>
          <w:i/>
          <w:vertAlign w:val="subscript"/>
          <w:lang w:val="es-ES"/>
        </w:rPr>
        <w:t xml:space="preserve"> q, r, p, i</w:t>
      </w:r>
      <w:r w:rsidRPr="0013396E">
        <w:rPr>
          <w:iCs/>
        </w:rPr>
        <w:t xml:space="preserve"> – QLR2)) – ATPC </w:t>
      </w:r>
      <w:r w:rsidRPr="0013396E">
        <w:rPr>
          <w:i/>
          <w:vertAlign w:val="subscript"/>
          <w:lang w:val="es-ES"/>
        </w:rPr>
        <w:t>q, r, p, i</w:t>
      </w:r>
      <w:r w:rsidRPr="0013396E">
        <w:rPr>
          <w:iCs/>
        </w:rPr>
        <w:t>]]</w:t>
      </w:r>
    </w:p>
    <w:p w14:paraId="36DAFC25" w14:textId="77777777" w:rsidR="005E0EE9" w:rsidRPr="0013396E" w:rsidRDefault="005E0EE9" w:rsidP="005E0EE9">
      <w:pPr>
        <w:pStyle w:val="BodyTextNumbered"/>
        <w:ind w:left="1440"/>
      </w:pPr>
      <w:r w:rsidRPr="0013396E">
        <w:rPr>
          <w:iCs/>
        </w:rPr>
        <w:t>ATPC</w:t>
      </w:r>
      <w:r w:rsidRPr="0013396E">
        <w:rPr>
          <w:i/>
          <w:vertAlign w:val="subscript"/>
        </w:rPr>
        <w:t xml:space="preserve"> q, r, p, i</w:t>
      </w:r>
      <w:r w:rsidRPr="0013396E">
        <w:rPr>
          <w:i/>
          <w:vertAlign w:val="subscript"/>
        </w:rPr>
        <w:tab/>
        <w:t xml:space="preserve">=      </w:t>
      </w:r>
      <w:r w:rsidRPr="0013396E">
        <w:t xml:space="preserve"> (</w:t>
      </w:r>
      <w:r w:rsidRPr="0013396E">
        <w:rPr>
          <w:position w:val="-22"/>
        </w:rPr>
        <w:object w:dxaOrig="210" w:dyaOrig="450" w14:anchorId="5E93AC95">
          <v:shape id="_x0000_i1153" type="#_x0000_t75" style="width:6pt;height:24pt" o:ole="">
            <v:imagedata r:id="rId176" o:title=""/>
          </v:shape>
          <o:OLEObject Type="Embed" ProgID="Equation.3" ShapeID="_x0000_i1153" DrawAspect="Content" ObjectID="_1836311432" r:id="rId186"/>
        </w:object>
      </w:r>
      <w:r w:rsidRPr="0013396E">
        <w:t xml:space="preserve"> (AVGTPC5M</w:t>
      </w:r>
      <w:r w:rsidRPr="0013396E">
        <w:rPr>
          <w:i/>
          <w:vertAlign w:val="subscript"/>
        </w:rPr>
        <w:t xml:space="preserve"> q, r, p,</w:t>
      </w:r>
      <w:r w:rsidRPr="0013396E">
        <w:rPr>
          <w:i/>
          <w:iCs/>
          <w:vertAlign w:val="subscript"/>
          <w:lang w:val="es-ES"/>
        </w:rPr>
        <w:t xml:space="preserve"> i, </w:t>
      </w:r>
      <w:r w:rsidRPr="0013396E">
        <w:rPr>
          <w:i/>
          <w:vertAlign w:val="subscript"/>
        </w:rPr>
        <w:t>y</w:t>
      </w:r>
      <w:r w:rsidRPr="0013396E">
        <w:t>) / 3) * ¼</w:t>
      </w:r>
    </w:p>
    <w:p w14:paraId="0A07F9D3" w14:textId="77777777" w:rsidR="005E0EE9" w:rsidRPr="0013396E" w:rsidRDefault="005E0EE9" w:rsidP="005E0EE9">
      <w:r w:rsidRPr="0013396E">
        <w:t>The above variables are defined as follows:</w:t>
      </w:r>
    </w:p>
    <w:tbl>
      <w:tblPr>
        <w:tblW w:w="9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5"/>
        <w:gridCol w:w="900"/>
        <w:gridCol w:w="6930"/>
        <w:gridCol w:w="12"/>
      </w:tblGrid>
      <w:tr w:rsidR="005E0EE9" w:rsidRPr="0013396E" w14:paraId="03870A6B" w14:textId="77777777" w:rsidTr="0099759E">
        <w:tc>
          <w:tcPr>
            <w:tcW w:w="1975" w:type="dxa"/>
          </w:tcPr>
          <w:p w14:paraId="6F07DA15" w14:textId="77777777" w:rsidR="005E0EE9" w:rsidRPr="0013396E" w:rsidRDefault="005E0EE9" w:rsidP="0099759E">
            <w:pPr>
              <w:pStyle w:val="TableHead"/>
            </w:pPr>
            <w:r w:rsidRPr="0013396E">
              <w:t>Variable</w:t>
            </w:r>
          </w:p>
        </w:tc>
        <w:tc>
          <w:tcPr>
            <w:tcW w:w="900" w:type="dxa"/>
          </w:tcPr>
          <w:p w14:paraId="1B464DF1" w14:textId="77777777" w:rsidR="005E0EE9" w:rsidRPr="0013396E" w:rsidRDefault="005E0EE9" w:rsidP="0099759E">
            <w:pPr>
              <w:pStyle w:val="TableHead"/>
            </w:pPr>
            <w:r w:rsidRPr="0013396E">
              <w:t>Unit</w:t>
            </w:r>
          </w:p>
        </w:tc>
        <w:tc>
          <w:tcPr>
            <w:tcW w:w="6942" w:type="dxa"/>
            <w:gridSpan w:val="2"/>
          </w:tcPr>
          <w:p w14:paraId="7328E932" w14:textId="77777777" w:rsidR="005E0EE9" w:rsidRPr="0013396E" w:rsidRDefault="005E0EE9" w:rsidP="0099759E">
            <w:pPr>
              <w:pStyle w:val="TableHead"/>
            </w:pPr>
            <w:r w:rsidRPr="0013396E">
              <w:t>Definition</w:t>
            </w:r>
          </w:p>
        </w:tc>
      </w:tr>
      <w:tr w:rsidR="005E0EE9" w:rsidRPr="0013396E" w14:paraId="33093AB6" w14:textId="77777777" w:rsidTr="0099759E">
        <w:trPr>
          <w:cantSplit/>
        </w:trPr>
        <w:tc>
          <w:tcPr>
            <w:tcW w:w="1975" w:type="dxa"/>
          </w:tcPr>
          <w:p w14:paraId="6EA76A08" w14:textId="77777777" w:rsidR="005E0EE9" w:rsidRPr="0013396E" w:rsidRDefault="005E0EE9" w:rsidP="0099759E">
            <w:pPr>
              <w:pStyle w:val="TableBody"/>
            </w:pPr>
            <w:r w:rsidRPr="0013396E">
              <w:t xml:space="preserve">SPDAMT </w:t>
            </w:r>
            <w:r w:rsidRPr="0013396E">
              <w:rPr>
                <w:i/>
                <w:vertAlign w:val="subscript"/>
              </w:rPr>
              <w:t>q, r, p, i</w:t>
            </w:r>
          </w:p>
        </w:tc>
        <w:tc>
          <w:tcPr>
            <w:tcW w:w="900" w:type="dxa"/>
          </w:tcPr>
          <w:p w14:paraId="279BB9D5" w14:textId="77777777" w:rsidR="005E0EE9" w:rsidRPr="0013396E" w:rsidRDefault="005E0EE9" w:rsidP="0099759E">
            <w:pPr>
              <w:pStyle w:val="TableBody"/>
            </w:pPr>
            <w:r w:rsidRPr="0013396E">
              <w:t>$</w:t>
            </w:r>
          </w:p>
        </w:tc>
        <w:tc>
          <w:tcPr>
            <w:tcW w:w="6942" w:type="dxa"/>
            <w:gridSpan w:val="2"/>
          </w:tcPr>
          <w:p w14:paraId="1C34DCD9" w14:textId="77777777" w:rsidR="005E0EE9" w:rsidRPr="0013396E" w:rsidRDefault="005E0EE9" w:rsidP="0099759E">
            <w:pPr>
              <w:pStyle w:val="TableBody"/>
            </w:pPr>
            <w:r w:rsidRPr="0013396E">
              <w:rPr>
                <w:i/>
              </w:rPr>
              <w:t>Set Point Deviation Charge per QSE per Settlement Point per Resource</w:t>
            </w:r>
            <w:r w:rsidRPr="0013396E">
              <w:t xml:space="preserve">—The charge to QSE </w:t>
            </w:r>
            <w:r w:rsidRPr="0013396E">
              <w:rPr>
                <w:i/>
              </w:rPr>
              <w:t>q</w:t>
            </w:r>
            <w:r w:rsidRPr="0013396E">
              <w:t xml:space="preserve"> for Controllable Load Resource </w:t>
            </w:r>
            <w:r w:rsidRPr="0013396E">
              <w:rPr>
                <w:i/>
              </w:rPr>
              <w:t>r</w:t>
            </w:r>
            <w:r w:rsidRPr="0013396E">
              <w:t xml:space="preserve"> at Settlement Point </w:t>
            </w:r>
            <w:r w:rsidRPr="0013396E">
              <w:rPr>
                <w:i/>
              </w:rPr>
              <w:t>p</w:t>
            </w:r>
            <w:r w:rsidRPr="0013396E">
              <w:t xml:space="preserve">, for its deviation from AASP, for the 15-minute Settlement Interval </w:t>
            </w:r>
            <w:r w:rsidRPr="0013396E">
              <w:rPr>
                <w:i/>
              </w:rPr>
              <w:t>i</w:t>
            </w:r>
            <w:r w:rsidRPr="0013396E">
              <w:t>.</w:t>
            </w:r>
          </w:p>
        </w:tc>
      </w:tr>
      <w:tr w:rsidR="005E0EE9" w:rsidRPr="0013396E" w14:paraId="4FA24786" w14:textId="77777777" w:rsidTr="0099759E">
        <w:trPr>
          <w:cantSplit/>
        </w:trPr>
        <w:tc>
          <w:tcPr>
            <w:tcW w:w="1975" w:type="dxa"/>
          </w:tcPr>
          <w:p w14:paraId="041E35B5" w14:textId="77777777" w:rsidR="005E0EE9" w:rsidRPr="0013396E" w:rsidRDefault="005E0EE9" w:rsidP="0099759E">
            <w:pPr>
              <w:pStyle w:val="TableBody"/>
            </w:pPr>
            <w:r w:rsidRPr="0013396E">
              <w:lastRenderedPageBreak/>
              <w:t xml:space="preserve">RTSPP </w:t>
            </w:r>
            <w:r w:rsidRPr="0013396E">
              <w:rPr>
                <w:i/>
                <w:vertAlign w:val="subscript"/>
              </w:rPr>
              <w:t>p, i</w:t>
            </w:r>
          </w:p>
        </w:tc>
        <w:tc>
          <w:tcPr>
            <w:tcW w:w="900" w:type="dxa"/>
          </w:tcPr>
          <w:p w14:paraId="15FF0F36" w14:textId="77777777" w:rsidR="005E0EE9" w:rsidRPr="0013396E" w:rsidRDefault="005E0EE9" w:rsidP="0099759E">
            <w:pPr>
              <w:pStyle w:val="TableBody"/>
            </w:pPr>
            <w:r w:rsidRPr="0013396E">
              <w:t>$/MWh</w:t>
            </w:r>
          </w:p>
        </w:tc>
        <w:tc>
          <w:tcPr>
            <w:tcW w:w="6942" w:type="dxa"/>
            <w:gridSpan w:val="2"/>
          </w:tcPr>
          <w:p w14:paraId="74F755C4" w14:textId="77777777" w:rsidR="005E0EE9" w:rsidRPr="0013396E" w:rsidRDefault="005E0EE9" w:rsidP="0099759E">
            <w:pPr>
              <w:pStyle w:val="TableBody"/>
            </w:pPr>
            <w:r w:rsidRPr="0013396E">
              <w:rPr>
                <w:i/>
              </w:rPr>
              <w:t>Real-Time Settlement Point Price per Settlement Point</w:t>
            </w:r>
            <w:r w:rsidRPr="0013396E">
              <w:t xml:space="preserve">—The Real-Time Settlement Point Price at Settlement Point </w:t>
            </w:r>
            <w:r w:rsidRPr="0013396E">
              <w:rPr>
                <w:i/>
              </w:rPr>
              <w:t>p</w:t>
            </w:r>
            <w:r w:rsidRPr="0013396E">
              <w:t xml:space="preserve">, for the 15-minute Settlement Interval </w:t>
            </w:r>
            <w:r w:rsidRPr="0013396E">
              <w:rPr>
                <w:i/>
              </w:rPr>
              <w:t>i</w:t>
            </w:r>
            <w:r w:rsidRPr="0013396E">
              <w:t>.</w:t>
            </w:r>
          </w:p>
        </w:tc>
      </w:tr>
      <w:tr w:rsidR="005E0EE9" w:rsidRPr="0013396E" w14:paraId="68FD4810" w14:textId="77777777" w:rsidTr="0099759E">
        <w:trPr>
          <w:gridAfter w:val="1"/>
          <w:wAfter w:w="12" w:type="dxa"/>
          <w:cantSplit/>
        </w:trPr>
        <w:tc>
          <w:tcPr>
            <w:tcW w:w="1975" w:type="dxa"/>
          </w:tcPr>
          <w:p w14:paraId="1F9EBB52" w14:textId="77777777" w:rsidR="005E0EE9" w:rsidRPr="0013396E" w:rsidRDefault="005E0EE9" w:rsidP="0099759E">
            <w:pPr>
              <w:pStyle w:val="TableBody"/>
            </w:pPr>
            <w:r w:rsidRPr="0013396E">
              <w:t xml:space="preserve">ATPC </w:t>
            </w:r>
            <w:r w:rsidRPr="0013396E">
              <w:rPr>
                <w:i/>
                <w:vertAlign w:val="subscript"/>
              </w:rPr>
              <w:t>q, r, p, i</w:t>
            </w:r>
          </w:p>
        </w:tc>
        <w:tc>
          <w:tcPr>
            <w:tcW w:w="900" w:type="dxa"/>
          </w:tcPr>
          <w:p w14:paraId="2784F1E3" w14:textId="77777777" w:rsidR="005E0EE9" w:rsidRPr="0013396E" w:rsidRDefault="005E0EE9" w:rsidP="0099759E">
            <w:pPr>
              <w:pStyle w:val="TableBody"/>
            </w:pPr>
            <w:r w:rsidRPr="0013396E">
              <w:t>MWh</w:t>
            </w:r>
          </w:p>
        </w:tc>
        <w:tc>
          <w:tcPr>
            <w:tcW w:w="6930" w:type="dxa"/>
          </w:tcPr>
          <w:p w14:paraId="324054AD" w14:textId="77777777" w:rsidR="005E0EE9" w:rsidRPr="0013396E" w:rsidRDefault="005E0EE9" w:rsidP="0099759E">
            <w:pPr>
              <w:pStyle w:val="TableBody"/>
              <w:rPr>
                <w:i/>
              </w:rPr>
            </w:pPr>
            <w:r w:rsidRPr="0013396E">
              <w:rPr>
                <w:i/>
              </w:rPr>
              <w:t>Average Telemetered Power Consumption per QSE per Settlement Point per Controllable Load Resource</w:t>
            </w:r>
            <w:r w:rsidRPr="0013396E">
              <w:t xml:space="preserve">—The average telemetered power consumption of the Controllable Load Resource </w:t>
            </w:r>
            <w:r w:rsidRPr="0013396E">
              <w:rPr>
                <w:i/>
              </w:rPr>
              <w:t>r</w:t>
            </w:r>
            <w:r w:rsidRPr="0013396E">
              <w:t xml:space="preserve"> represented by QSE </w:t>
            </w:r>
            <w:r w:rsidRPr="0013396E">
              <w:rPr>
                <w:i/>
              </w:rPr>
              <w:t>q</w:t>
            </w:r>
            <w:r w:rsidRPr="0013396E">
              <w:t xml:space="preserve"> at Settlement Point </w:t>
            </w:r>
            <w:r w:rsidRPr="0013396E">
              <w:rPr>
                <w:i/>
              </w:rPr>
              <w:t>p</w:t>
            </w:r>
            <w:r w:rsidRPr="0013396E">
              <w:t xml:space="preserve">, for the 15-minute Settlement Interval </w:t>
            </w:r>
            <w:r w:rsidRPr="0013396E">
              <w:rPr>
                <w:i/>
              </w:rPr>
              <w:t>i.</w:t>
            </w:r>
          </w:p>
        </w:tc>
      </w:tr>
      <w:tr w:rsidR="005E0EE9" w:rsidRPr="0013396E" w14:paraId="062DA679" w14:textId="77777777" w:rsidTr="0099759E">
        <w:trPr>
          <w:gridAfter w:val="1"/>
          <w:wAfter w:w="12" w:type="dxa"/>
          <w:cantSplit/>
        </w:trPr>
        <w:tc>
          <w:tcPr>
            <w:tcW w:w="1975" w:type="dxa"/>
          </w:tcPr>
          <w:p w14:paraId="57C27822" w14:textId="77777777" w:rsidR="005E0EE9" w:rsidRPr="0013396E" w:rsidRDefault="005E0EE9" w:rsidP="0099759E">
            <w:pPr>
              <w:pStyle w:val="TableBody"/>
            </w:pPr>
            <w:r w:rsidRPr="0013396E">
              <w:t xml:space="preserve">AASP </w:t>
            </w:r>
            <w:r w:rsidRPr="0013396E">
              <w:rPr>
                <w:i/>
                <w:vertAlign w:val="subscript"/>
              </w:rPr>
              <w:t>q, r, p, i</w:t>
            </w:r>
          </w:p>
        </w:tc>
        <w:tc>
          <w:tcPr>
            <w:tcW w:w="900" w:type="dxa"/>
          </w:tcPr>
          <w:p w14:paraId="5A87A6E3" w14:textId="77777777" w:rsidR="005E0EE9" w:rsidRPr="0013396E" w:rsidRDefault="005E0EE9" w:rsidP="0099759E">
            <w:pPr>
              <w:pStyle w:val="TableBody"/>
            </w:pPr>
            <w:r w:rsidRPr="0013396E">
              <w:t>MW</w:t>
            </w:r>
          </w:p>
        </w:tc>
        <w:tc>
          <w:tcPr>
            <w:tcW w:w="6930" w:type="dxa"/>
          </w:tcPr>
          <w:p w14:paraId="211A39F1" w14:textId="77777777" w:rsidR="005E0EE9" w:rsidRPr="0013396E" w:rsidRDefault="005E0EE9" w:rsidP="0099759E">
            <w:pPr>
              <w:pStyle w:val="TableBody"/>
              <w:rPr>
                <w:i/>
              </w:rPr>
            </w:pPr>
            <w:r w:rsidRPr="0013396E">
              <w:rPr>
                <w:i/>
              </w:rPr>
              <w:t>Average Aggregated Set Point for the Resource per QSE per Settlement Point per Resource</w:t>
            </w:r>
            <w:r w:rsidRPr="0013396E">
              <w:t xml:space="preserve">—The </w:t>
            </w:r>
            <w:r w:rsidRPr="0013396E">
              <w:rPr>
                <w:iCs w:val="0"/>
              </w:rPr>
              <w:t>average of the Average Five Minute Clock Interval Set Point (AVGSP5M)</w:t>
            </w:r>
            <w:r w:rsidRPr="0013396E">
              <w:t xml:space="preserve"> of Resource </w:t>
            </w:r>
            <w:r w:rsidRPr="0013396E">
              <w:rPr>
                <w:i/>
              </w:rPr>
              <w:t>r</w:t>
            </w:r>
            <w:r w:rsidRPr="0013396E">
              <w:t xml:space="preserve"> represented by QSE </w:t>
            </w:r>
            <w:r w:rsidRPr="0013396E">
              <w:rPr>
                <w:i/>
              </w:rPr>
              <w:t xml:space="preserve">q </w:t>
            </w:r>
            <w:r w:rsidRPr="0013396E">
              <w:t xml:space="preserve">at Settlement Point </w:t>
            </w:r>
            <w:r w:rsidRPr="0013396E">
              <w:rPr>
                <w:i/>
              </w:rPr>
              <w:t>p</w:t>
            </w:r>
            <w:r w:rsidRPr="0013396E">
              <w:t xml:space="preserve">, for the 15-minute Settlement Interval </w:t>
            </w:r>
            <w:r w:rsidRPr="0013396E">
              <w:rPr>
                <w:i/>
              </w:rPr>
              <w:t>i</w:t>
            </w:r>
            <w:r w:rsidRPr="0013396E">
              <w:t xml:space="preserve">.  </w:t>
            </w:r>
          </w:p>
        </w:tc>
      </w:tr>
      <w:tr w:rsidR="005E0EE9" w:rsidRPr="0013396E" w14:paraId="1ED7D244" w14:textId="77777777" w:rsidTr="0099759E">
        <w:trPr>
          <w:cantSplit/>
        </w:trPr>
        <w:tc>
          <w:tcPr>
            <w:tcW w:w="1975" w:type="dxa"/>
          </w:tcPr>
          <w:p w14:paraId="20583438" w14:textId="77777777" w:rsidR="005E0EE9" w:rsidRPr="0013396E" w:rsidRDefault="005E0EE9" w:rsidP="0099759E">
            <w:pPr>
              <w:pStyle w:val="TableBody"/>
            </w:pPr>
            <w:r w:rsidRPr="0013396E">
              <w:t>AVGTPC5M</w:t>
            </w:r>
            <w:r w:rsidRPr="0013396E">
              <w:rPr>
                <w:i/>
                <w:vertAlign w:val="subscript"/>
                <w:lang w:val="fr-FR"/>
              </w:rPr>
              <w:t xml:space="preserve"> q, r, p, i, y</w:t>
            </w:r>
          </w:p>
        </w:tc>
        <w:tc>
          <w:tcPr>
            <w:tcW w:w="900" w:type="dxa"/>
          </w:tcPr>
          <w:p w14:paraId="72D80E06" w14:textId="77777777" w:rsidR="005E0EE9" w:rsidRPr="0013396E" w:rsidRDefault="005E0EE9" w:rsidP="0099759E">
            <w:pPr>
              <w:pStyle w:val="TableBody"/>
            </w:pPr>
            <w:r w:rsidRPr="0013396E">
              <w:t>MW</w:t>
            </w:r>
          </w:p>
        </w:tc>
        <w:tc>
          <w:tcPr>
            <w:tcW w:w="6942" w:type="dxa"/>
            <w:gridSpan w:val="2"/>
          </w:tcPr>
          <w:p w14:paraId="659EF988" w14:textId="77777777" w:rsidR="005E0EE9" w:rsidRPr="0013396E" w:rsidRDefault="005E0EE9" w:rsidP="0099759E">
            <w:pPr>
              <w:pStyle w:val="TableBody"/>
            </w:pPr>
            <w:r w:rsidRPr="0013396E">
              <w:rPr>
                <w:i/>
              </w:rPr>
              <w:t>Average Telemetered Power Consumption for the 5 Minutes</w:t>
            </w:r>
            <w:r w:rsidRPr="0013396E">
              <w:t xml:space="preserve">—The average telemetered  power consumption of Controllable Load Resource </w:t>
            </w:r>
            <w:r w:rsidRPr="0013396E">
              <w:rPr>
                <w:i/>
              </w:rPr>
              <w:t>r</w:t>
            </w:r>
            <w:r w:rsidRPr="0013396E">
              <w:t xml:space="preserve"> represented by QSE </w:t>
            </w:r>
            <w:r w:rsidRPr="0013396E">
              <w:rPr>
                <w:i/>
              </w:rPr>
              <w:t>q</w:t>
            </w:r>
            <w:r w:rsidRPr="0013396E">
              <w:t xml:space="preserve"> at Settlement Point </w:t>
            </w:r>
            <w:r w:rsidRPr="0013396E">
              <w:rPr>
                <w:i/>
              </w:rPr>
              <w:t>p</w:t>
            </w:r>
            <w:r w:rsidRPr="0013396E">
              <w:t xml:space="preserve">, for the five-minute clock interval </w:t>
            </w:r>
            <w:r w:rsidRPr="0013396E">
              <w:rPr>
                <w:i/>
              </w:rPr>
              <w:t>y</w:t>
            </w:r>
            <w:r w:rsidRPr="0013396E">
              <w:t xml:space="preserve">, within the 15-minute Settlement Interval </w:t>
            </w:r>
            <w:r w:rsidRPr="0013396E">
              <w:rPr>
                <w:i/>
              </w:rPr>
              <w:t>i</w:t>
            </w:r>
            <w:r w:rsidRPr="0013396E">
              <w:t>.</w:t>
            </w:r>
          </w:p>
        </w:tc>
      </w:tr>
      <w:tr w:rsidR="005E0EE9" w:rsidRPr="0013396E" w14:paraId="66F27CA7" w14:textId="77777777" w:rsidTr="0099759E">
        <w:trPr>
          <w:cantSplit/>
        </w:trPr>
        <w:tc>
          <w:tcPr>
            <w:tcW w:w="1975" w:type="dxa"/>
          </w:tcPr>
          <w:p w14:paraId="58AA37D8" w14:textId="77777777" w:rsidR="005E0EE9" w:rsidRPr="0013396E" w:rsidRDefault="005E0EE9" w:rsidP="0099759E">
            <w:pPr>
              <w:pStyle w:val="TableBody"/>
            </w:pPr>
            <w:r w:rsidRPr="0013396E">
              <w:t xml:space="preserve">UCONSM </w:t>
            </w:r>
            <w:r w:rsidRPr="0013396E">
              <w:rPr>
                <w:i/>
                <w:vertAlign w:val="subscript"/>
              </w:rPr>
              <w:t>q, r, p, i</w:t>
            </w:r>
          </w:p>
        </w:tc>
        <w:tc>
          <w:tcPr>
            <w:tcW w:w="900" w:type="dxa"/>
          </w:tcPr>
          <w:p w14:paraId="152D3BB4" w14:textId="77777777" w:rsidR="005E0EE9" w:rsidRPr="0013396E" w:rsidRDefault="005E0EE9" w:rsidP="0099759E">
            <w:pPr>
              <w:pStyle w:val="TableBody"/>
            </w:pPr>
            <w:r w:rsidRPr="0013396E">
              <w:t>MWh</w:t>
            </w:r>
          </w:p>
        </w:tc>
        <w:tc>
          <w:tcPr>
            <w:tcW w:w="6942" w:type="dxa"/>
            <w:gridSpan w:val="2"/>
          </w:tcPr>
          <w:p w14:paraId="035820E4" w14:textId="77777777" w:rsidR="005E0EE9" w:rsidRPr="0013396E" w:rsidRDefault="005E0EE9" w:rsidP="0099759E">
            <w:pPr>
              <w:pStyle w:val="TableBody"/>
            </w:pPr>
            <w:r w:rsidRPr="0013396E">
              <w:rPr>
                <w:i/>
              </w:rPr>
              <w:t>Under-Consumption Volumes per QSE per Settlement Point per Controllable Load Resource</w:t>
            </w:r>
            <w:r w:rsidRPr="0013396E">
              <w:t xml:space="preserve">—The amount under-consumed by the Controllable Load Resource </w:t>
            </w:r>
            <w:r w:rsidRPr="0013396E">
              <w:rPr>
                <w:i/>
              </w:rPr>
              <w:t>r</w:t>
            </w:r>
            <w:r w:rsidRPr="0013396E">
              <w:t xml:space="preserve"> represented by QSE </w:t>
            </w:r>
            <w:r w:rsidRPr="0013396E">
              <w:rPr>
                <w:i/>
              </w:rPr>
              <w:t>q</w:t>
            </w:r>
            <w:r w:rsidRPr="0013396E">
              <w:t xml:space="preserve"> at Settlement Point </w:t>
            </w:r>
            <w:r w:rsidRPr="0013396E">
              <w:rPr>
                <w:i/>
              </w:rPr>
              <w:t>p</w:t>
            </w:r>
            <w:r w:rsidRPr="0013396E">
              <w:t xml:space="preserve"> for the 15-minute Settlement Interval </w:t>
            </w:r>
            <w:r w:rsidRPr="0013396E">
              <w:rPr>
                <w:i/>
              </w:rPr>
              <w:t>i</w:t>
            </w:r>
            <w:r w:rsidRPr="0013396E">
              <w:t>.</w:t>
            </w:r>
          </w:p>
        </w:tc>
      </w:tr>
      <w:tr w:rsidR="005E0EE9" w:rsidRPr="0013396E" w14:paraId="6C0F2C34" w14:textId="77777777" w:rsidTr="0099759E">
        <w:trPr>
          <w:cantSplit/>
        </w:trPr>
        <w:tc>
          <w:tcPr>
            <w:tcW w:w="1975" w:type="dxa"/>
          </w:tcPr>
          <w:p w14:paraId="7FA50AD9" w14:textId="77777777" w:rsidR="005E0EE9" w:rsidRPr="0013396E" w:rsidRDefault="005E0EE9" w:rsidP="0099759E">
            <w:pPr>
              <w:pStyle w:val="TableBody"/>
            </w:pPr>
            <w:r w:rsidRPr="0013396E">
              <w:t>PRZ2</w:t>
            </w:r>
          </w:p>
        </w:tc>
        <w:tc>
          <w:tcPr>
            <w:tcW w:w="900" w:type="dxa"/>
          </w:tcPr>
          <w:p w14:paraId="799E3485" w14:textId="77777777" w:rsidR="005E0EE9" w:rsidRPr="0013396E" w:rsidRDefault="005E0EE9" w:rsidP="0099759E">
            <w:pPr>
              <w:pStyle w:val="TableBody"/>
            </w:pPr>
            <w:r w:rsidRPr="0013396E">
              <w:t>$/MWh</w:t>
            </w:r>
          </w:p>
        </w:tc>
        <w:tc>
          <w:tcPr>
            <w:tcW w:w="6942" w:type="dxa"/>
            <w:gridSpan w:val="2"/>
          </w:tcPr>
          <w:p w14:paraId="4551BEBD" w14:textId="77777777" w:rsidR="005E0EE9" w:rsidRPr="0013396E" w:rsidRDefault="005E0EE9" w:rsidP="0099759E">
            <w:pPr>
              <w:pStyle w:val="TableBody"/>
            </w:pPr>
            <w:r w:rsidRPr="0013396E">
              <w:t xml:space="preserve">The price to use for the Set Point Deviation Charge for under-consumption calculation when RTSPP is less than $20/MWh, $20/MWh.  </w:t>
            </w:r>
          </w:p>
        </w:tc>
      </w:tr>
      <w:tr w:rsidR="005E0EE9" w:rsidRPr="0013396E" w14:paraId="35D431FC" w14:textId="77777777" w:rsidTr="0099759E">
        <w:trPr>
          <w:cantSplit/>
        </w:trPr>
        <w:tc>
          <w:tcPr>
            <w:tcW w:w="1975" w:type="dxa"/>
          </w:tcPr>
          <w:p w14:paraId="1D1FB50A" w14:textId="77777777" w:rsidR="005E0EE9" w:rsidRPr="0013396E" w:rsidRDefault="005E0EE9" w:rsidP="0099759E">
            <w:pPr>
              <w:pStyle w:val="TableBody"/>
            </w:pPr>
            <w:r w:rsidRPr="0013396E">
              <w:t>KLR2</w:t>
            </w:r>
          </w:p>
        </w:tc>
        <w:tc>
          <w:tcPr>
            <w:tcW w:w="900" w:type="dxa"/>
          </w:tcPr>
          <w:p w14:paraId="6470F4B5" w14:textId="77777777" w:rsidR="005E0EE9" w:rsidRPr="0013396E" w:rsidRDefault="005E0EE9" w:rsidP="0099759E">
            <w:pPr>
              <w:pStyle w:val="TableBody"/>
            </w:pPr>
          </w:p>
        </w:tc>
        <w:tc>
          <w:tcPr>
            <w:tcW w:w="6942" w:type="dxa"/>
            <w:gridSpan w:val="2"/>
          </w:tcPr>
          <w:p w14:paraId="5C68A6CF" w14:textId="77777777" w:rsidR="005E0EE9" w:rsidRPr="0013396E" w:rsidRDefault="005E0EE9" w:rsidP="0099759E">
            <w:pPr>
              <w:pStyle w:val="TableBody"/>
            </w:pPr>
            <w:r w:rsidRPr="0013396E">
              <w:t>The percentage tolerance for under-consumption of a Controllable Load Resource, XU%.</w:t>
            </w:r>
          </w:p>
        </w:tc>
      </w:tr>
      <w:tr w:rsidR="005E0EE9" w:rsidRPr="0013396E" w14:paraId="3C63A05E" w14:textId="77777777" w:rsidTr="0099759E">
        <w:trPr>
          <w:cantSplit/>
        </w:trPr>
        <w:tc>
          <w:tcPr>
            <w:tcW w:w="1975" w:type="dxa"/>
          </w:tcPr>
          <w:p w14:paraId="288E61C5" w14:textId="77777777" w:rsidR="005E0EE9" w:rsidRPr="0013396E" w:rsidRDefault="005E0EE9" w:rsidP="0099759E">
            <w:pPr>
              <w:pStyle w:val="TableBody"/>
              <w:rPr>
                <w:i/>
              </w:rPr>
            </w:pPr>
            <w:r w:rsidRPr="0013396E">
              <w:t>QLR2</w:t>
            </w:r>
          </w:p>
        </w:tc>
        <w:tc>
          <w:tcPr>
            <w:tcW w:w="900" w:type="dxa"/>
          </w:tcPr>
          <w:p w14:paraId="79499882" w14:textId="77777777" w:rsidR="005E0EE9" w:rsidRPr="0013396E" w:rsidRDefault="005E0EE9" w:rsidP="0099759E">
            <w:pPr>
              <w:pStyle w:val="TableBody"/>
            </w:pPr>
            <w:r w:rsidRPr="0013396E">
              <w:t>MW</w:t>
            </w:r>
          </w:p>
        </w:tc>
        <w:tc>
          <w:tcPr>
            <w:tcW w:w="6942" w:type="dxa"/>
            <w:gridSpan w:val="2"/>
          </w:tcPr>
          <w:p w14:paraId="176C9A2E" w14:textId="77777777" w:rsidR="005E0EE9" w:rsidRPr="0013396E" w:rsidRDefault="005E0EE9" w:rsidP="0099759E">
            <w:pPr>
              <w:pStyle w:val="TableBody"/>
            </w:pPr>
            <w:r w:rsidRPr="0013396E">
              <w:t>The MW tolerance for under-consumption of a Controllable Load Resource, YU MW.</w:t>
            </w:r>
          </w:p>
        </w:tc>
      </w:tr>
      <w:tr w:rsidR="005E0EE9" w:rsidRPr="0013396E" w14:paraId="022A751D" w14:textId="77777777" w:rsidTr="0099759E">
        <w:trPr>
          <w:cantSplit/>
        </w:trPr>
        <w:tc>
          <w:tcPr>
            <w:tcW w:w="1975" w:type="dxa"/>
          </w:tcPr>
          <w:p w14:paraId="550BFED4" w14:textId="77777777" w:rsidR="005E0EE9" w:rsidRPr="0013396E" w:rsidRDefault="005E0EE9" w:rsidP="0099759E">
            <w:pPr>
              <w:pStyle w:val="TableBody"/>
              <w:rPr>
                <w:i/>
              </w:rPr>
            </w:pPr>
            <w:r w:rsidRPr="0013396E">
              <w:rPr>
                <w:i/>
              </w:rPr>
              <w:t>q</w:t>
            </w:r>
          </w:p>
        </w:tc>
        <w:tc>
          <w:tcPr>
            <w:tcW w:w="900" w:type="dxa"/>
          </w:tcPr>
          <w:p w14:paraId="483BEC33" w14:textId="77777777" w:rsidR="005E0EE9" w:rsidRPr="0013396E" w:rsidRDefault="005E0EE9" w:rsidP="0099759E">
            <w:pPr>
              <w:pStyle w:val="TableBody"/>
            </w:pPr>
            <w:r w:rsidRPr="0013396E">
              <w:t>none</w:t>
            </w:r>
          </w:p>
        </w:tc>
        <w:tc>
          <w:tcPr>
            <w:tcW w:w="6942" w:type="dxa"/>
            <w:gridSpan w:val="2"/>
          </w:tcPr>
          <w:p w14:paraId="3DE12A8F" w14:textId="77777777" w:rsidR="005E0EE9" w:rsidRPr="0013396E" w:rsidRDefault="005E0EE9" w:rsidP="0099759E">
            <w:pPr>
              <w:pStyle w:val="TableBody"/>
            </w:pPr>
            <w:r w:rsidRPr="0013396E">
              <w:t>A QSE.</w:t>
            </w:r>
          </w:p>
        </w:tc>
      </w:tr>
      <w:tr w:rsidR="005E0EE9" w:rsidRPr="0013396E" w14:paraId="6EC95910" w14:textId="77777777" w:rsidTr="0099759E">
        <w:trPr>
          <w:cantSplit/>
        </w:trPr>
        <w:tc>
          <w:tcPr>
            <w:tcW w:w="1975" w:type="dxa"/>
          </w:tcPr>
          <w:p w14:paraId="31DB7FC0" w14:textId="77777777" w:rsidR="005E0EE9" w:rsidRPr="0013396E" w:rsidRDefault="005E0EE9" w:rsidP="0099759E">
            <w:pPr>
              <w:pStyle w:val="TableBody"/>
              <w:rPr>
                <w:i/>
              </w:rPr>
            </w:pPr>
            <w:r w:rsidRPr="0013396E">
              <w:rPr>
                <w:i/>
              </w:rPr>
              <w:t>p</w:t>
            </w:r>
          </w:p>
        </w:tc>
        <w:tc>
          <w:tcPr>
            <w:tcW w:w="900" w:type="dxa"/>
          </w:tcPr>
          <w:p w14:paraId="4CC0B4A7" w14:textId="77777777" w:rsidR="005E0EE9" w:rsidRPr="0013396E" w:rsidRDefault="005E0EE9" w:rsidP="0099759E">
            <w:pPr>
              <w:pStyle w:val="TableBody"/>
            </w:pPr>
            <w:r w:rsidRPr="0013396E">
              <w:t>none</w:t>
            </w:r>
          </w:p>
        </w:tc>
        <w:tc>
          <w:tcPr>
            <w:tcW w:w="6942" w:type="dxa"/>
            <w:gridSpan w:val="2"/>
          </w:tcPr>
          <w:p w14:paraId="17DF5B96" w14:textId="77777777" w:rsidR="005E0EE9" w:rsidRPr="0013396E" w:rsidRDefault="005E0EE9" w:rsidP="0099759E">
            <w:pPr>
              <w:pStyle w:val="TableBody"/>
            </w:pPr>
            <w:r w:rsidRPr="0013396E">
              <w:t>A Settlement Point.</w:t>
            </w:r>
          </w:p>
        </w:tc>
      </w:tr>
      <w:tr w:rsidR="005E0EE9" w:rsidRPr="0013396E" w14:paraId="0908C26F" w14:textId="77777777" w:rsidTr="0099759E">
        <w:trPr>
          <w:cantSplit/>
        </w:trPr>
        <w:tc>
          <w:tcPr>
            <w:tcW w:w="1975" w:type="dxa"/>
          </w:tcPr>
          <w:p w14:paraId="3D6AB745" w14:textId="77777777" w:rsidR="005E0EE9" w:rsidRPr="0013396E" w:rsidRDefault="005E0EE9" w:rsidP="0099759E">
            <w:pPr>
              <w:pStyle w:val="TableBody"/>
              <w:rPr>
                <w:i/>
              </w:rPr>
            </w:pPr>
            <w:r w:rsidRPr="0013396E">
              <w:rPr>
                <w:i/>
              </w:rPr>
              <w:t>r</w:t>
            </w:r>
          </w:p>
        </w:tc>
        <w:tc>
          <w:tcPr>
            <w:tcW w:w="900" w:type="dxa"/>
          </w:tcPr>
          <w:p w14:paraId="4205A0AB" w14:textId="77777777" w:rsidR="005E0EE9" w:rsidRPr="0013396E" w:rsidRDefault="005E0EE9" w:rsidP="0099759E">
            <w:pPr>
              <w:pStyle w:val="TableBody"/>
            </w:pPr>
            <w:r w:rsidRPr="0013396E">
              <w:t>none</w:t>
            </w:r>
          </w:p>
        </w:tc>
        <w:tc>
          <w:tcPr>
            <w:tcW w:w="6942" w:type="dxa"/>
            <w:gridSpan w:val="2"/>
          </w:tcPr>
          <w:p w14:paraId="6CF18859" w14:textId="77777777" w:rsidR="005E0EE9" w:rsidRPr="0013396E" w:rsidRDefault="005E0EE9" w:rsidP="0099759E">
            <w:pPr>
              <w:pStyle w:val="TableBody"/>
            </w:pPr>
            <w:r w:rsidRPr="0013396E">
              <w:t>A Controllable Load Resource.</w:t>
            </w:r>
          </w:p>
        </w:tc>
      </w:tr>
      <w:tr w:rsidR="005E0EE9" w:rsidRPr="0013396E" w14:paraId="4EB90AEF" w14:textId="77777777" w:rsidTr="0099759E">
        <w:trPr>
          <w:cantSplit/>
          <w:trHeight w:val="152"/>
        </w:trPr>
        <w:tc>
          <w:tcPr>
            <w:tcW w:w="1975" w:type="dxa"/>
          </w:tcPr>
          <w:p w14:paraId="3017D8CB" w14:textId="77777777" w:rsidR="005E0EE9" w:rsidRPr="0013396E" w:rsidDel="00B33B6F" w:rsidRDefault="005E0EE9" w:rsidP="0099759E">
            <w:pPr>
              <w:pStyle w:val="TableBody"/>
              <w:rPr>
                <w:i/>
              </w:rPr>
            </w:pPr>
            <w:r w:rsidRPr="0013396E">
              <w:rPr>
                <w:i/>
              </w:rPr>
              <w:t>i</w:t>
            </w:r>
          </w:p>
        </w:tc>
        <w:tc>
          <w:tcPr>
            <w:tcW w:w="900" w:type="dxa"/>
          </w:tcPr>
          <w:p w14:paraId="1DE4ADA1" w14:textId="77777777" w:rsidR="005E0EE9" w:rsidRPr="0013396E" w:rsidDel="00B33B6F" w:rsidRDefault="005E0EE9" w:rsidP="0099759E">
            <w:pPr>
              <w:pStyle w:val="TableBody"/>
            </w:pPr>
            <w:r w:rsidRPr="0013396E">
              <w:t>none</w:t>
            </w:r>
          </w:p>
        </w:tc>
        <w:tc>
          <w:tcPr>
            <w:tcW w:w="6942" w:type="dxa"/>
            <w:gridSpan w:val="2"/>
          </w:tcPr>
          <w:p w14:paraId="68E5B0B5" w14:textId="77777777" w:rsidR="005E0EE9" w:rsidRPr="0013396E" w:rsidDel="00B33B6F" w:rsidRDefault="005E0EE9" w:rsidP="0099759E">
            <w:pPr>
              <w:pStyle w:val="TableBody"/>
            </w:pPr>
            <w:r w:rsidRPr="0013396E">
              <w:t>A 15-minute Settlement Interval.</w:t>
            </w:r>
          </w:p>
        </w:tc>
      </w:tr>
      <w:tr w:rsidR="005E0EE9" w:rsidRPr="0013396E" w14:paraId="0FDD8AFF" w14:textId="77777777" w:rsidTr="0099759E">
        <w:trPr>
          <w:cantSplit/>
          <w:trHeight w:val="152"/>
        </w:trPr>
        <w:tc>
          <w:tcPr>
            <w:tcW w:w="1975" w:type="dxa"/>
            <w:tcBorders>
              <w:top w:val="single" w:sz="4" w:space="0" w:color="auto"/>
              <w:left w:val="single" w:sz="4" w:space="0" w:color="auto"/>
              <w:bottom w:val="single" w:sz="4" w:space="0" w:color="auto"/>
              <w:right w:val="single" w:sz="4" w:space="0" w:color="auto"/>
            </w:tcBorders>
          </w:tcPr>
          <w:p w14:paraId="2BE56458" w14:textId="77777777" w:rsidR="005E0EE9" w:rsidRPr="0013396E" w:rsidRDefault="005E0EE9" w:rsidP="0099759E">
            <w:pPr>
              <w:pStyle w:val="TableBody"/>
              <w:rPr>
                <w:i/>
              </w:rPr>
            </w:pPr>
            <w:r w:rsidRPr="0013396E">
              <w:rPr>
                <w:i/>
              </w:rPr>
              <w:t>y</w:t>
            </w:r>
          </w:p>
        </w:tc>
        <w:tc>
          <w:tcPr>
            <w:tcW w:w="900" w:type="dxa"/>
            <w:tcBorders>
              <w:top w:val="single" w:sz="4" w:space="0" w:color="auto"/>
              <w:left w:val="single" w:sz="4" w:space="0" w:color="auto"/>
              <w:bottom w:val="single" w:sz="4" w:space="0" w:color="auto"/>
              <w:right w:val="single" w:sz="4" w:space="0" w:color="auto"/>
            </w:tcBorders>
          </w:tcPr>
          <w:p w14:paraId="1A473E91" w14:textId="77777777" w:rsidR="005E0EE9" w:rsidRPr="0013396E" w:rsidRDefault="005E0EE9" w:rsidP="0099759E">
            <w:pPr>
              <w:pStyle w:val="TableBody"/>
            </w:pPr>
            <w:r w:rsidRPr="0013396E">
              <w:t>none</w:t>
            </w:r>
          </w:p>
        </w:tc>
        <w:tc>
          <w:tcPr>
            <w:tcW w:w="6942" w:type="dxa"/>
            <w:gridSpan w:val="2"/>
            <w:tcBorders>
              <w:top w:val="single" w:sz="4" w:space="0" w:color="auto"/>
              <w:left w:val="single" w:sz="4" w:space="0" w:color="auto"/>
              <w:bottom w:val="single" w:sz="4" w:space="0" w:color="auto"/>
              <w:right w:val="single" w:sz="4" w:space="0" w:color="auto"/>
            </w:tcBorders>
          </w:tcPr>
          <w:p w14:paraId="3A37F5CD" w14:textId="77777777" w:rsidR="005E0EE9" w:rsidRPr="0013396E" w:rsidRDefault="005E0EE9" w:rsidP="0099759E">
            <w:pPr>
              <w:pStyle w:val="TableBody"/>
            </w:pPr>
            <w:r w:rsidRPr="0013396E">
              <w:t xml:space="preserve">A five-minute clock interval in the Settlement Interval. </w:t>
            </w:r>
          </w:p>
        </w:tc>
      </w:tr>
    </w:tbl>
    <w:p w14:paraId="2F7080D8" w14:textId="77777777" w:rsidR="005E0EE9" w:rsidRPr="0013396E" w:rsidRDefault="005E0EE9" w:rsidP="005E0EE9">
      <w:pPr>
        <w:pStyle w:val="BodyText"/>
        <w:tabs>
          <w:tab w:val="left" w:pos="1230"/>
        </w:tabs>
        <w:spacing w:before="480"/>
        <w:outlineLvl w:val="3"/>
        <w:rPr>
          <w:b/>
          <w:lang w:val="fr-FR"/>
        </w:rPr>
      </w:pPr>
      <w:bookmarkStart w:id="1813" w:name="_Toc214878986"/>
      <w:bookmarkStart w:id="1814" w:name="_Toc397505023"/>
      <w:bookmarkStart w:id="1815" w:name="_Toc402357155"/>
      <w:bookmarkStart w:id="1816" w:name="_Toc422486535"/>
      <w:bookmarkStart w:id="1817" w:name="_Toc433093388"/>
      <w:bookmarkStart w:id="1818" w:name="_Toc433093546"/>
      <w:bookmarkStart w:id="1819" w:name="_Toc440874776"/>
      <w:bookmarkStart w:id="1820" w:name="_Toc448142333"/>
      <w:bookmarkStart w:id="1821" w:name="_Toc448142490"/>
      <w:bookmarkStart w:id="1822" w:name="_Toc458770331"/>
      <w:bookmarkStart w:id="1823" w:name="_Toc459294299"/>
      <w:bookmarkStart w:id="1824" w:name="_Toc463262792"/>
      <w:bookmarkStart w:id="1825" w:name="_Toc468286865"/>
      <w:bookmarkStart w:id="1826" w:name="_Toc481502905"/>
      <w:bookmarkStart w:id="1827" w:name="_Toc496080073"/>
      <w:bookmarkEnd w:id="1799"/>
      <w:bookmarkEnd w:id="1800"/>
      <w:bookmarkEnd w:id="1801"/>
      <w:bookmarkEnd w:id="1802"/>
      <w:bookmarkEnd w:id="1803"/>
      <w:bookmarkEnd w:id="1804"/>
      <w:bookmarkEnd w:id="1805"/>
      <w:bookmarkEnd w:id="1806"/>
      <w:bookmarkEnd w:id="1807"/>
      <w:bookmarkEnd w:id="1808"/>
      <w:bookmarkEnd w:id="1809"/>
      <w:bookmarkEnd w:id="1810"/>
      <w:bookmarkEnd w:id="1811"/>
      <w:r w:rsidRPr="0013396E">
        <w:rPr>
          <w:b/>
          <w:lang w:val="fr-FR"/>
        </w:rPr>
        <w:t>6.6.5.4</w:t>
      </w:r>
      <w:r w:rsidRPr="0013396E">
        <w:rPr>
          <w:b/>
          <w:lang w:val="fr-FR"/>
        </w:rPr>
        <w:tab/>
        <w:t>IRR Generation Resource Set Point Deviation Charge</w:t>
      </w:r>
      <w:bookmarkEnd w:id="1813"/>
    </w:p>
    <w:p w14:paraId="7AAB2E68" w14:textId="47874D72" w:rsidR="005E0EE9" w:rsidRPr="0013396E" w:rsidRDefault="005E0EE9" w:rsidP="00245F93">
      <w:pPr>
        <w:pStyle w:val="BodyTextNumbered"/>
      </w:pPr>
      <w:r w:rsidRPr="0013396E">
        <w:t>(1)</w:t>
      </w:r>
      <w:r w:rsidRPr="0013396E">
        <w:tab/>
        <w:t>ERCOT shall charge a QSE for an IRR a Set Point Deviation Charge if the IRR metered generation is more than 5% above its AASP, the flag signifying that the IRR has received a Base Point below the HDL used by SCED has been received.</w:t>
      </w:r>
    </w:p>
    <w:p w14:paraId="142054D4" w14:textId="101D9E43" w:rsidR="005E0EE9" w:rsidRPr="0013396E" w:rsidRDefault="005E0EE9" w:rsidP="005E0EE9">
      <w:pPr>
        <w:pStyle w:val="BodyTextNumbered"/>
        <w:rPr>
          <w:iCs/>
        </w:rPr>
      </w:pPr>
      <w:r w:rsidRPr="0013396E">
        <w:rPr>
          <w:iCs/>
        </w:rPr>
        <w:t>(</w:t>
      </w:r>
      <w:r w:rsidR="00245F93">
        <w:rPr>
          <w:iCs/>
        </w:rPr>
        <w:t>2</w:t>
      </w:r>
      <w:r w:rsidRPr="0013396E">
        <w:rPr>
          <w:iCs/>
        </w:rPr>
        <w:t>)</w:t>
      </w:r>
      <w:r w:rsidRPr="0013396E">
        <w:rPr>
          <w:iCs/>
        </w:rPr>
        <w:tab/>
        <w:t>The charge to each QSE for non-excused over-generation of each IRR that is not included in an IRR Group at each Resource Node Settlement Point during a 15-minute Settlement Interval, is calculated as follows:</w:t>
      </w:r>
    </w:p>
    <w:p w14:paraId="37630509" w14:textId="77777777" w:rsidR="005E0EE9" w:rsidRPr="0013396E" w:rsidRDefault="005E0EE9" w:rsidP="005E0EE9">
      <w:pPr>
        <w:ind w:left="720"/>
        <w:rPr>
          <w:lang w:val="pt-BR"/>
        </w:rPr>
      </w:pPr>
      <w:r w:rsidRPr="0013396E">
        <w:rPr>
          <w:lang w:val="pt-BR"/>
        </w:rPr>
        <w:t xml:space="preserve">If </w:t>
      </w:r>
      <w:r w:rsidRPr="0013396E">
        <w:t xml:space="preserve">the flag signifying that the IRR has received a Base Point below the HDL used by SCED or the IRR has been instructed not to exceed its Base Point is not set </w:t>
      </w:r>
      <w:r w:rsidRPr="0013396E">
        <w:rPr>
          <w:lang w:val="pt-BR"/>
        </w:rPr>
        <w:t>in all SCED intervals within the 15-minute Settlement Interval:</w:t>
      </w:r>
    </w:p>
    <w:p w14:paraId="6CC4F0B3" w14:textId="77777777" w:rsidR="005E0EE9" w:rsidRPr="0013396E" w:rsidRDefault="005E0EE9" w:rsidP="005E0EE9">
      <w:pPr>
        <w:pStyle w:val="FormulaBold"/>
        <w:spacing w:before="120"/>
        <w:ind w:left="720" w:firstLine="0"/>
        <w:rPr>
          <w:lang w:val="pt-BR"/>
        </w:rPr>
      </w:pPr>
      <w:r w:rsidRPr="0013396E">
        <w:rPr>
          <w:lang w:val="pt-BR"/>
        </w:rPr>
        <w:t xml:space="preserve">SPDAMT </w:t>
      </w:r>
      <w:r w:rsidRPr="0013396E">
        <w:rPr>
          <w:i/>
          <w:vertAlign w:val="subscript"/>
          <w:lang w:val="pt-BR"/>
        </w:rPr>
        <w:t>q, r, p, i</w:t>
      </w:r>
      <w:r w:rsidRPr="0013396E">
        <w:rPr>
          <w:lang w:val="pt-BR"/>
        </w:rPr>
        <w:t xml:space="preserve"> =</w:t>
      </w:r>
      <w:r w:rsidRPr="0013396E">
        <w:rPr>
          <w:lang w:val="pt-BR"/>
        </w:rPr>
        <w:tab/>
        <w:t>0</w:t>
      </w:r>
    </w:p>
    <w:p w14:paraId="5A52F956" w14:textId="77777777" w:rsidR="005E0EE9" w:rsidRPr="0013396E" w:rsidRDefault="005E0EE9" w:rsidP="005E0EE9">
      <w:pPr>
        <w:ind w:left="720"/>
        <w:rPr>
          <w:lang w:val="pt-BR"/>
        </w:rPr>
      </w:pPr>
      <w:r w:rsidRPr="0013396E">
        <w:rPr>
          <w:lang w:val="pt-BR"/>
        </w:rPr>
        <w:t xml:space="preserve">Otherwise, if </w:t>
      </w:r>
      <w:r w:rsidRPr="0013396E">
        <w:t xml:space="preserve">the flag signifying that the IRR has received a Base Point below the HDL used by SCED or the IRR has been instructed not to exceed its Base Point is set </w:t>
      </w:r>
      <w:r w:rsidRPr="0013396E">
        <w:rPr>
          <w:lang w:val="pt-BR"/>
        </w:rPr>
        <w:t>in all SCED intervals within the 15-minute Settlement Interval:</w:t>
      </w:r>
    </w:p>
    <w:p w14:paraId="3C345140" w14:textId="77777777" w:rsidR="005E0EE9" w:rsidRPr="0013396E" w:rsidRDefault="005E0EE9" w:rsidP="005E0EE9">
      <w:pPr>
        <w:ind w:left="720"/>
        <w:rPr>
          <w:lang w:val="pt-BR"/>
        </w:rPr>
      </w:pPr>
    </w:p>
    <w:p w14:paraId="3E1DEB80" w14:textId="77777777" w:rsidR="005E0EE9" w:rsidRPr="0013396E" w:rsidRDefault="005E0EE9" w:rsidP="005E0EE9">
      <w:pPr>
        <w:pStyle w:val="FormulaBold"/>
        <w:tabs>
          <w:tab w:val="clear" w:pos="2250"/>
          <w:tab w:val="clear" w:pos="3150"/>
          <w:tab w:val="left" w:pos="720"/>
        </w:tabs>
        <w:ind w:left="2880" w:hanging="2880"/>
        <w:rPr>
          <w:lang w:val="pt-BR"/>
        </w:rPr>
      </w:pPr>
      <w:r w:rsidRPr="0013396E">
        <w:rPr>
          <w:lang w:val="pt-BR"/>
        </w:rPr>
        <w:tab/>
        <w:t>SPDAMT</w:t>
      </w:r>
      <w:r w:rsidRPr="0013396E">
        <w:rPr>
          <w:i/>
          <w:vertAlign w:val="subscript"/>
          <w:lang w:val="pt-BR"/>
        </w:rPr>
        <w:t xml:space="preserve"> q, r, p, i</w:t>
      </w:r>
      <w:r w:rsidRPr="0013396E">
        <w:rPr>
          <w:lang w:val="pt-BR"/>
        </w:rPr>
        <w:t xml:space="preserve"> =</w:t>
      </w:r>
      <w:r w:rsidRPr="0013396E">
        <w:rPr>
          <w:lang w:val="pt-BR"/>
        </w:rPr>
        <w:tab/>
      </w:r>
      <w:r w:rsidRPr="0013396E">
        <w:t xml:space="preserve">Max (PR1, RTSPP </w:t>
      </w:r>
      <w:r w:rsidRPr="0013396E">
        <w:rPr>
          <w:i/>
          <w:vertAlign w:val="subscript"/>
        </w:rPr>
        <w:t>p, i</w:t>
      </w:r>
      <w:r w:rsidRPr="0013396E">
        <w:t>) * OGENIRR</w:t>
      </w:r>
      <w:r w:rsidRPr="0013396E">
        <w:rPr>
          <w:sz w:val="18"/>
          <w:szCs w:val="18"/>
          <w:vertAlign w:val="subscript"/>
        </w:rPr>
        <w:t xml:space="preserve"> </w:t>
      </w:r>
      <w:r w:rsidRPr="0013396E">
        <w:rPr>
          <w:i/>
          <w:vertAlign w:val="subscript"/>
        </w:rPr>
        <w:t>q, r, p, i</w:t>
      </w:r>
    </w:p>
    <w:p w14:paraId="1CE072E1" w14:textId="77777777" w:rsidR="005E0EE9" w:rsidRPr="0013396E" w:rsidRDefault="005E0EE9" w:rsidP="005E0EE9">
      <w:pPr>
        <w:pStyle w:val="FormulaBold"/>
        <w:rPr>
          <w:b w:val="0"/>
        </w:rPr>
      </w:pPr>
      <w:r w:rsidRPr="0013396E">
        <w:rPr>
          <w:b w:val="0"/>
        </w:rPr>
        <w:t>Where:</w:t>
      </w:r>
    </w:p>
    <w:p w14:paraId="69A3F25C" w14:textId="77777777" w:rsidR="005E0EE9" w:rsidRPr="0013396E" w:rsidRDefault="005E0EE9" w:rsidP="005E0EE9">
      <w:pPr>
        <w:pStyle w:val="FormulaBold"/>
        <w:rPr>
          <w:b w:val="0"/>
        </w:rPr>
      </w:pPr>
      <w:r w:rsidRPr="0013396E">
        <w:rPr>
          <w:b w:val="0"/>
        </w:rPr>
        <w:t>OGENIRR</w:t>
      </w:r>
      <w:r w:rsidRPr="0013396E">
        <w:rPr>
          <w:b w:val="0"/>
          <w:i/>
          <w:iCs/>
          <w:vertAlign w:val="subscript"/>
          <w:lang w:val="es-ES"/>
        </w:rPr>
        <w:t xml:space="preserve"> q, r, p, i  </w:t>
      </w:r>
      <w:r w:rsidRPr="0013396E">
        <w:rPr>
          <w:b w:val="0"/>
        </w:rPr>
        <w:t xml:space="preserve"> = Max [0, TWTG</w:t>
      </w:r>
      <w:r w:rsidRPr="0013396E">
        <w:rPr>
          <w:b w:val="0"/>
          <w:i/>
          <w:iCs/>
          <w:vertAlign w:val="subscript"/>
          <w:lang w:val="es-ES"/>
        </w:rPr>
        <w:t xml:space="preserve"> q, r, p, i </w:t>
      </w:r>
      <w:r w:rsidRPr="0013396E">
        <w:rPr>
          <w:b w:val="0"/>
        </w:rPr>
        <w:t xml:space="preserve"> – ¼ * AASP</w:t>
      </w:r>
      <w:r w:rsidRPr="0013396E">
        <w:rPr>
          <w:b w:val="0"/>
          <w:i/>
          <w:iCs/>
          <w:vertAlign w:val="subscript"/>
          <w:lang w:val="es-ES"/>
        </w:rPr>
        <w:t xml:space="preserve"> q, r, p, i * </w:t>
      </w:r>
      <w:r w:rsidRPr="0013396E">
        <w:rPr>
          <w:b w:val="0"/>
        </w:rPr>
        <w:t xml:space="preserve"> (1 + KIRR)]</w:t>
      </w:r>
    </w:p>
    <w:p w14:paraId="51959E58" w14:textId="21D1111D" w:rsidR="005E0EE9" w:rsidRPr="0013396E" w:rsidRDefault="005E0EE9" w:rsidP="005E0EE9">
      <w:pPr>
        <w:pStyle w:val="Formula"/>
        <w:ind w:left="2880" w:hanging="2160"/>
      </w:pPr>
      <w:r w:rsidRPr="0013396E">
        <w:t>TWTG</w:t>
      </w:r>
      <w:r w:rsidRPr="0013396E">
        <w:rPr>
          <w:i/>
          <w:vertAlign w:val="subscript"/>
        </w:rPr>
        <w:t xml:space="preserve"> q, r, p, i</w:t>
      </w:r>
      <w:r w:rsidRPr="0013396E">
        <w:rPr>
          <w:i/>
          <w:vertAlign w:val="subscript"/>
        </w:rPr>
        <w:tab/>
        <w:t xml:space="preserve">=      </w:t>
      </w:r>
      <w:r w:rsidRPr="0013396E">
        <w:t xml:space="preserve"> (</w:t>
      </w:r>
      <w:r w:rsidR="00457C20" w:rsidRPr="0013396E">
        <w:rPr>
          <w:position w:val="-22"/>
        </w:rPr>
        <w:object w:dxaOrig="210" w:dyaOrig="450" w14:anchorId="37F43A62">
          <v:shape id="_x0000_i1154" type="#_x0000_t75" style="width:11.4pt;height:24pt" o:ole="">
            <v:imagedata r:id="rId176" o:title=""/>
          </v:shape>
          <o:OLEObject Type="Embed" ProgID="Equation.3" ShapeID="_x0000_i1154" DrawAspect="Content" ObjectID="_1836311433" r:id="rId187"/>
        </w:object>
      </w:r>
      <w:r w:rsidRPr="0013396E">
        <w:t xml:space="preserve"> (AVGTG5M</w:t>
      </w:r>
      <w:r w:rsidRPr="0013396E">
        <w:rPr>
          <w:i/>
          <w:vertAlign w:val="subscript"/>
        </w:rPr>
        <w:t xml:space="preserve"> q, r, p, i, y</w:t>
      </w:r>
      <w:r w:rsidRPr="0013396E">
        <w:t>) / 3) * ¼</w:t>
      </w:r>
    </w:p>
    <w:p w14:paraId="73E87786" w14:textId="1F054CD0" w:rsidR="005E0EE9" w:rsidRPr="0013396E" w:rsidRDefault="005E0EE9" w:rsidP="005E0EE9">
      <w:pPr>
        <w:spacing w:after="240"/>
        <w:ind w:left="720" w:hanging="720"/>
        <w:rPr>
          <w:iCs/>
        </w:rPr>
      </w:pPr>
      <w:r w:rsidRPr="0013396E">
        <w:rPr>
          <w:iCs/>
        </w:rPr>
        <w:t>(</w:t>
      </w:r>
      <w:r w:rsidR="00245F93">
        <w:rPr>
          <w:iCs/>
        </w:rPr>
        <w:t>3</w:t>
      </w:r>
      <w:r w:rsidRPr="0013396E">
        <w:rPr>
          <w:iCs/>
        </w:rPr>
        <w:t>)</w:t>
      </w:r>
      <w:r w:rsidRPr="0013396E">
        <w:rPr>
          <w:iCs/>
        </w:rPr>
        <w:tab/>
        <w:t xml:space="preserve">The charge to each QSE for non-excused over-generation of each IRR that is included in an IRR Group, at each Resource Node Settlement Point, if the </w:t>
      </w:r>
      <w:r w:rsidR="00245F93">
        <w:rPr>
          <w:iCs/>
        </w:rPr>
        <w:t xml:space="preserve">Real-Time </w:t>
      </w:r>
      <w:r w:rsidRPr="0013396E">
        <w:rPr>
          <w:iCs/>
        </w:rPr>
        <w:t>metered generation is greater than the upper tolerance during a 15-minute Settlement Interval, is calculated as follows:</w:t>
      </w:r>
    </w:p>
    <w:p w14:paraId="383E3C8D" w14:textId="77777777" w:rsidR="005E0EE9" w:rsidRPr="0013396E" w:rsidRDefault="005E0EE9" w:rsidP="005E0EE9">
      <w:pPr>
        <w:ind w:left="720"/>
        <w:rPr>
          <w:lang w:val="pt-BR"/>
        </w:rPr>
      </w:pPr>
      <w:r w:rsidRPr="0013396E">
        <w:rPr>
          <w:lang w:val="pt-BR"/>
        </w:rPr>
        <w:t xml:space="preserve">If </w:t>
      </w:r>
      <w:r w:rsidRPr="0013396E">
        <w:t xml:space="preserve">the flag signifying that the IRR has received a Base Point below the HDL used by SCED or the IRR has been instructed not to exceed its Base Point is not set </w:t>
      </w:r>
      <w:r w:rsidRPr="0013396E">
        <w:rPr>
          <w:lang w:val="pt-BR"/>
        </w:rPr>
        <w:t>in all SCED intervals within the 15-minute Settlement Interval for any of the IRRs within an IRR Group, then for all IRRs within an IRR Group:</w:t>
      </w:r>
    </w:p>
    <w:p w14:paraId="46A5C437" w14:textId="77777777" w:rsidR="005E0EE9" w:rsidRPr="0013396E" w:rsidRDefault="005E0EE9" w:rsidP="005E0EE9">
      <w:pPr>
        <w:tabs>
          <w:tab w:val="left" w:pos="2340"/>
          <w:tab w:val="left" w:pos="3420"/>
        </w:tabs>
        <w:spacing w:before="120" w:after="240"/>
        <w:ind w:left="720"/>
        <w:rPr>
          <w:b/>
          <w:bCs/>
          <w:lang w:val="pt-BR"/>
        </w:rPr>
      </w:pPr>
      <w:r w:rsidRPr="0013396E">
        <w:rPr>
          <w:b/>
          <w:bCs/>
          <w:lang w:val="pt-BR"/>
        </w:rPr>
        <w:t xml:space="preserve">SPDAMT </w:t>
      </w:r>
      <w:r w:rsidRPr="0013396E">
        <w:rPr>
          <w:b/>
          <w:bCs/>
          <w:i/>
          <w:vertAlign w:val="subscript"/>
          <w:lang w:val="pt-BR"/>
        </w:rPr>
        <w:t>q, r, p</w:t>
      </w:r>
      <w:r w:rsidRPr="0013396E">
        <w:rPr>
          <w:b/>
          <w:bCs/>
          <w:lang w:val="pt-BR"/>
        </w:rPr>
        <w:t xml:space="preserve"> =</w:t>
      </w:r>
      <w:r w:rsidRPr="0013396E">
        <w:rPr>
          <w:b/>
          <w:bCs/>
          <w:lang w:val="pt-BR"/>
        </w:rPr>
        <w:tab/>
        <w:t>0</w:t>
      </w:r>
    </w:p>
    <w:p w14:paraId="60654766" w14:textId="77777777" w:rsidR="005E0EE9" w:rsidRPr="0013396E" w:rsidRDefault="005E0EE9" w:rsidP="005E0EE9">
      <w:pPr>
        <w:ind w:left="720"/>
        <w:rPr>
          <w:lang w:val="pt-BR"/>
        </w:rPr>
      </w:pPr>
      <w:r w:rsidRPr="0013396E">
        <w:rPr>
          <w:lang w:val="pt-BR"/>
        </w:rPr>
        <w:t xml:space="preserve">If </w:t>
      </w:r>
      <w:r w:rsidRPr="0013396E">
        <w:t xml:space="preserve">the flag signifying that the IRR has received a Base Point below the HDL used by SCED or the IRR has been instructed not to exceed its Base Point is set </w:t>
      </w:r>
      <w:r w:rsidRPr="0013396E">
        <w:rPr>
          <w:lang w:val="pt-BR"/>
        </w:rPr>
        <w:t>in all SCED intervals within the 15-minute Settlement Interval for any of the IRRs within an IRR Group, then the deviation penalty is determined for the IRR Group and evenly allocated and charged to each IRR within that IRR Group:</w:t>
      </w:r>
    </w:p>
    <w:p w14:paraId="2870F098" w14:textId="77777777" w:rsidR="005E0EE9" w:rsidRPr="0013396E" w:rsidRDefault="005E0EE9" w:rsidP="005E0EE9">
      <w:pPr>
        <w:rPr>
          <w:lang w:val="pt-BR"/>
        </w:rPr>
      </w:pPr>
    </w:p>
    <w:p w14:paraId="0FCAB736" w14:textId="4C991559" w:rsidR="005E0EE9" w:rsidRPr="0013396E" w:rsidRDefault="005E0EE9" w:rsidP="005E0EE9">
      <w:pPr>
        <w:tabs>
          <w:tab w:val="left" w:pos="720"/>
          <w:tab w:val="left" w:pos="2340"/>
          <w:tab w:val="left" w:pos="3420"/>
        </w:tabs>
        <w:spacing w:after="240"/>
        <w:ind w:left="2880" w:hanging="2880"/>
        <w:rPr>
          <w:b/>
          <w:bCs/>
          <w:lang w:val="pt-BR"/>
        </w:rPr>
      </w:pPr>
      <w:r w:rsidRPr="0013396E">
        <w:rPr>
          <w:b/>
          <w:bCs/>
          <w:lang w:val="pt-BR"/>
        </w:rPr>
        <w:tab/>
        <w:t>SPDAMT</w:t>
      </w:r>
      <w:r w:rsidRPr="0013396E">
        <w:rPr>
          <w:b/>
          <w:bCs/>
          <w:i/>
          <w:vertAlign w:val="subscript"/>
          <w:lang w:val="pt-BR"/>
        </w:rPr>
        <w:t xml:space="preserve"> q, r, p</w:t>
      </w:r>
      <w:r w:rsidRPr="0013396E">
        <w:rPr>
          <w:b/>
          <w:bCs/>
          <w:lang w:val="pt-BR"/>
        </w:rPr>
        <w:t xml:space="preserve"> = </w:t>
      </w:r>
      <w:r w:rsidR="00245F93">
        <w:rPr>
          <w:b/>
          <w:bCs/>
          <w:lang w:val="pt-BR"/>
        </w:rPr>
        <w:t>[</w:t>
      </w:r>
      <w:r w:rsidRPr="0013396E">
        <w:rPr>
          <w:b/>
          <w:bCs/>
          <w:lang w:val="pt-BR"/>
        </w:rPr>
        <w:t xml:space="preserve">Max (PR1, RTSPP </w:t>
      </w:r>
      <w:r w:rsidRPr="0013396E">
        <w:rPr>
          <w:b/>
          <w:bCs/>
          <w:i/>
          <w:vertAlign w:val="subscript"/>
          <w:lang w:val="pt-BR"/>
        </w:rPr>
        <w:t>p</w:t>
      </w:r>
      <w:r w:rsidRPr="0013396E">
        <w:rPr>
          <w:b/>
          <w:bCs/>
          <w:lang w:val="pt-BR"/>
        </w:rPr>
        <w:t xml:space="preserve">) * OGENIRR </w:t>
      </w:r>
      <w:r w:rsidRPr="0013396E">
        <w:rPr>
          <w:rFonts w:ascii="Times New Roman Bold" w:hAnsi="Times New Roman Bold"/>
          <w:b/>
          <w:bCs/>
          <w:i/>
          <w:vertAlign w:val="subscript"/>
          <w:lang w:val="pt-BR"/>
        </w:rPr>
        <w:t xml:space="preserve">q, r, i </w:t>
      </w:r>
      <w:r w:rsidR="00245F93" w:rsidRPr="00245F93">
        <w:rPr>
          <w:rFonts w:ascii="Times New Roman Bold" w:hAnsi="Times New Roman Bold"/>
          <w:iCs/>
          <w:lang w:val="pt-BR"/>
        </w:rPr>
        <w:t>]</w:t>
      </w:r>
      <w:r w:rsidR="00245F93">
        <w:rPr>
          <w:rFonts w:ascii="Times New Roman Bold" w:hAnsi="Times New Roman Bold"/>
          <w:iCs/>
          <w:lang w:val="pt-BR"/>
        </w:rPr>
        <w:t xml:space="preserve"> / N</w:t>
      </w:r>
    </w:p>
    <w:p w14:paraId="6EE34ABC" w14:textId="77777777" w:rsidR="005E0EE9" w:rsidRPr="0013396E" w:rsidRDefault="005E0EE9" w:rsidP="005E0EE9">
      <w:pPr>
        <w:tabs>
          <w:tab w:val="left" w:pos="2340"/>
          <w:tab w:val="left" w:pos="3420"/>
          <w:tab w:val="right" w:pos="9360"/>
        </w:tabs>
        <w:spacing w:after="240"/>
        <w:ind w:left="3420" w:hanging="2700"/>
        <w:rPr>
          <w:bCs/>
        </w:rPr>
      </w:pPr>
      <w:r w:rsidRPr="0013396E">
        <w:rPr>
          <w:bCs/>
        </w:rPr>
        <w:t>Where:</w:t>
      </w:r>
    </w:p>
    <w:p w14:paraId="20B71060" w14:textId="10AA0CD6" w:rsidR="005E0EE9" w:rsidRPr="0013396E" w:rsidRDefault="005E0EE9" w:rsidP="005E0EE9">
      <w:pPr>
        <w:tabs>
          <w:tab w:val="left" w:pos="2340"/>
          <w:tab w:val="left" w:pos="3420"/>
          <w:tab w:val="right" w:pos="9360"/>
        </w:tabs>
        <w:spacing w:after="240"/>
        <w:ind w:left="3420" w:hanging="2700"/>
        <w:rPr>
          <w:bCs/>
        </w:rPr>
      </w:pPr>
      <w:r w:rsidRPr="0013396E">
        <w:rPr>
          <w:bCs/>
        </w:rPr>
        <w:t>OGENIRR</w:t>
      </w:r>
      <w:r w:rsidRPr="0013396E">
        <w:rPr>
          <w:bCs/>
          <w:i/>
          <w:iCs/>
          <w:vertAlign w:val="subscript"/>
          <w:lang w:val="es-ES"/>
        </w:rPr>
        <w:t xml:space="preserve"> q, r, i  </w:t>
      </w:r>
      <w:r w:rsidRPr="0013396E">
        <w:rPr>
          <w:bCs/>
        </w:rPr>
        <w:t xml:space="preserve"> = Max [0, TWTG</w:t>
      </w:r>
      <w:r w:rsidRPr="0013396E">
        <w:rPr>
          <w:bCs/>
          <w:i/>
          <w:iCs/>
          <w:vertAlign w:val="subscript"/>
          <w:lang w:val="es-ES"/>
        </w:rPr>
        <w:t xml:space="preserve"> q, wg, i </w:t>
      </w:r>
      <w:r w:rsidRPr="0013396E">
        <w:rPr>
          <w:bCs/>
        </w:rPr>
        <w:t xml:space="preserve"> – ¼ * AASP</w:t>
      </w:r>
      <w:r w:rsidRPr="0013396E">
        <w:rPr>
          <w:bCs/>
          <w:i/>
          <w:iCs/>
          <w:vertAlign w:val="subscript"/>
          <w:lang w:val="es-ES"/>
        </w:rPr>
        <w:t xml:space="preserve"> q, wg, i * </w:t>
      </w:r>
      <w:r w:rsidRPr="0013396E">
        <w:rPr>
          <w:bCs/>
        </w:rPr>
        <w:t xml:space="preserve"> (1 + KIRR)]</w:t>
      </w:r>
    </w:p>
    <w:p w14:paraId="29FBF2F1" w14:textId="77777777" w:rsidR="005E0EE9" w:rsidRPr="0013396E" w:rsidRDefault="005E0EE9" w:rsidP="005E0EE9">
      <w:pPr>
        <w:pStyle w:val="Formula"/>
        <w:ind w:left="2880" w:hanging="2160"/>
      </w:pPr>
      <w:r w:rsidRPr="0013396E">
        <w:t>TWTG</w:t>
      </w:r>
      <w:r w:rsidRPr="0013396E">
        <w:rPr>
          <w:i/>
          <w:vertAlign w:val="subscript"/>
        </w:rPr>
        <w:t xml:space="preserve"> q, wg, i</w:t>
      </w:r>
      <w:r w:rsidRPr="0013396E">
        <w:rPr>
          <w:i/>
          <w:vertAlign w:val="subscript"/>
        </w:rPr>
        <w:tab/>
        <w:t xml:space="preserve">=     </w:t>
      </w:r>
      <w:r w:rsidRPr="0013396E">
        <w:t xml:space="preserve"> </w:t>
      </w:r>
      <w:r w:rsidRPr="0013396E">
        <w:rPr>
          <w:noProof/>
          <w:position w:val="-18"/>
        </w:rPr>
        <w:drawing>
          <wp:inline distT="0" distB="0" distL="0" distR="0" wp14:anchorId="480784BA" wp14:editId="637BB44D">
            <wp:extent cx="135255" cy="246380"/>
            <wp:effectExtent l="0" t="0" r="0" b="1270"/>
            <wp:docPr id="1751678669" name="Picture 17516786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0" cstate="print">
                      <a:extLst>
                        <a:ext uri="{28A0092B-C50C-407E-A947-70E740481C1C}">
                          <a14:useLocalDpi xmlns:a14="http://schemas.microsoft.com/office/drawing/2010/main" val="0"/>
                        </a:ext>
                      </a:extLst>
                    </a:blip>
                    <a:srcRect/>
                    <a:stretch>
                      <a:fillRect/>
                    </a:stretch>
                  </pic:blipFill>
                  <pic:spPr bwMode="auto">
                    <a:xfrm>
                      <a:off x="0" y="0"/>
                      <a:ext cx="135255" cy="246380"/>
                    </a:xfrm>
                    <a:prstGeom prst="rect">
                      <a:avLst/>
                    </a:prstGeom>
                    <a:noFill/>
                    <a:ln>
                      <a:noFill/>
                    </a:ln>
                  </pic:spPr>
                </pic:pic>
              </a:graphicData>
            </a:graphic>
          </wp:inline>
        </w:drawing>
      </w:r>
      <w:r w:rsidRPr="0013396E">
        <w:rPr>
          <w:bCs w:val="0"/>
          <w:lang w:val="es-ES"/>
        </w:rPr>
        <w:t>(</w:t>
      </w:r>
      <w:r w:rsidRPr="0013396E">
        <w:t>TWTG</w:t>
      </w:r>
      <w:r w:rsidRPr="0013396E">
        <w:rPr>
          <w:i/>
          <w:iCs/>
          <w:vertAlign w:val="subscript"/>
          <w:lang w:val="es-ES"/>
        </w:rPr>
        <w:t xml:space="preserve"> q, r, p, i</w:t>
      </w:r>
      <w:r w:rsidRPr="0013396E">
        <w:t>)</w:t>
      </w:r>
    </w:p>
    <w:p w14:paraId="41A3C6A4" w14:textId="77777777" w:rsidR="005E0EE9" w:rsidRPr="0013396E" w:rsidRDefault="005E0EE9" w:rsidP="005E0EE9">
      <w:pPr>
        <w:tabs>
          <w:tab w:val="left" w:pos="2340"/>
          <w:tab w:val="left" w:pos="3420"/>
        </w:tabs>
        <w:spacing w:after="240"/>
        <w:ind w:leftChars="300" w:left="2880" w:hangingChars="900" w:hanging="2160"/>
        <w:rPr>
          <w:b/>
          <w:bCs/>
          <w:i/>
          <w:iCs/>
          <w:sz w:val="26"/>
          <w:szCs w:val="26"/>
        </w:rPr>
      </w:pPr>
      <w:r w:rsidRPr="0013396E">
        <w:rPr>
          <w:lang w:val="es-ES"/>
        </w:rPr>
        <w:t>AASP</w:t>
      </w:r>
      <w:r w:rsidRPr="0013396E">
        <w:rPr>
          <w:i/>
          <w:vertAlign w:val="subscript"/>
          <w:lang w:val="pt-BR"/>
        </w:rPr>
        <w:t xml:space="preserve"> q, wg, i </w:t>
      </w:r>
      <w:r w:rsidRPr="0013396E">
        <w:rPr>
          <w:lang w:val="pt-BR"/>
        </w:rPr>
        <w:t xml:space="preserve">= </w:t>
      </w:r>
      <w:r w:rsidRPr="0013396E">
        <w:rPr>
          <w:noProof/>
          <w:position w:val="-18"/>
        </w:rPr>
        <w:drawing>
          <wp:inline distT="0" distB="0" distL="0" distR="0" wp14:anchorId="1BC0DAEC" wp14:editId="509B4741">
            <wp:extent cx="135255" cy="246380"/>
            <wp:effectExtent l="0" t="0" r="0" b="1270"/>
            <wp:docPr id="1161647467" name="Picture 11616474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pic:cNvPicPr>
                      <a:picLocks noChangeAspect="1" noChangeArrowheads="1"/>
                    </pic:cNvPicPr>
                  </pic:nvPicPr>
                  <pic:blipFill>
                    <a:blip r:embed="rId180" cstate="print">
                      <a:extLst>
                        <a:ext uri="{28A0092B-C50C-407E-A947-70E740481C1C}">
                          <a14:useLocalDpi xmlns:a14="http://schemas.microsoft.com/office/drawing/2010/main" val="0"/>
                        </a:ext>
                      </a:extLst>
                    </a:blip>
                    <a:srcRect/>
                    <a:stretch>
                      <a:fillRect/>
                    </a:stretch>
                  </pic:blipFill>
                  <pic:spPr bwMode="auto">
                    <a:xfrm>
                      <a:off x="0" y="0"/>
                      <a:ext cx="135255" cy="246380"/>
                    </a:xfrm>
                    <a:prstGeom prst="rect">
                      <a:avLst/>
                    </a:prstGeom>
                    <a:noFill/>
                    <a:ln>
                      <a:noFill/>
                    </a:ln>
                  </pic:spPr>
                </pic:pic>
              </a:graphicData>
            </a:graphic>
          </wp:inline>
        </w:drawing>
      </w:r>
      <w:r w:rsidRPr="0013396E">
        <w:rPr>
          <w:lang w:val="es-ES"/>
        </w:rPr>
        <w:t>(</w:t>
      </w:r>
      <w:r w:rsidRPr="0013396E">
        <w:rPr>
          <w:lang w:val="pt-BR"/>
        </w:rPr>
        <w:t>AASP</w:t>
      </w:r>
      <w:r w:rsidRPr="0013396E">
        <w:rPr>
          <w:i/>
          <w:vertAlign w:val="subscript"/>
          <w:lang w:val="pt-BR"/>
        </w:rPr>
        <w:t xml:space="preserve"> q, r, p, i</w:t>
      </w:r>
      <w:r w:rsidRPr="0013396E">
        <w:rPr>
          <w:lang w:val="pt-BR"/>
        </w:rPr>
        <w:t>)</w:t>
      </w:r>
    </w:p>
    <w:p w14:paraId="4308592B" w14:textId="77777777" w:rsidR="005E0EE9" w:rsidRPr="0013396E" w:rsidRDefault="005E0EE9" w:rsidP="005E0EE9">
      <w:r w:rsidRPr="0013396E">
        <w:t>The above variables are defined as follows:</w:t>
      </w:r>
    </w:p>
    <w:tbl>
      <w:tblPr>
        <w:tblW w:w="9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5"/>
        <w:gridCol w:w="900"/>
        <w:gridCol w:w="6930"/>
        <w:gridCol w:w="12"/>
      </w:tblGrid>
      <w:tr w:rsidR="005E0EE9" w:rsidRPr="0013396E" w14:paraId="1AF5C0FD" w14:textId="77777777" w:rsidTr="0099759E">
        <w:tc>
          <w:tcPr>
            <w:tcW w:w="1975" w:type="dxa"/>
          </w:tcPr>
          <w:p w14:paraId="3251AD6D" w14:textId="77777777" w:rsidR="005E0EE9" w:rsidRPr="0013396E" w:rsidRDefault="005E0EE9" w:rsidP="0099759E">
            <w:pPr>
              <w:pStyle w:val="TableHead"/>
              <w:rPr>
                <w:sz w:val="18"/>
                <w:szCs w:val="18"/>
              </w:rPr>
            </w:pPr>
            <w:r w:rsidRPr="0013396E">
              <w:rPr>
                <w:sz w:val="18"/>
                <w:szCs w:val="18"/>
              </w:rPr>
              <w:t>Variable</w:t>
            </w:r>
          </w:p>
        </w:tc>
        <w:tc>
          <w:tcPr>
            <w:tcW w:w="900" w:type="dxa"/>
          </w:tcPr>
          <w:p w14:paraId="0276EA2B" w14:textId="77777777" w:rsidR="005E0EE9" w:rsidRPr="0013396E" w:rsidRDefault="005E0EE9" w:rsidP="0099759E">
            <w:pPr>
              <w:pStyle w:val="TableHead"/>
              <w:rPr>
                <w:sz w:val="18"/>
                <w:szCs w:val="18"/>
              </w:rPr>
            </w:pPr>
            <w:r w:rsidRPr="0013396E">
              <w:rPr>
                <w:sz w:val="18"/>
                <w:szCs w:val="18"/>
              </w:rPr>
              <w:t>Unit</w:t>
            </w:r>
          </w:p>
        </w:tc>
        <w:tc>
          <w:tcPr>
            <w:tcW w:w="6942" w:type="dxa"/>
            <w:gridSpan w:val="2"/>
          </w:tcPr>
          <w:p w14:paraId="2702369C" w14:textId="77777777" w:rsidR="005E0EE9" w:rsidRPr="0013396E" w:rsidRDefault="005E0EE9" w:rsidP="0099759E">
            <w:pPr>
              <w:pStyle w:val="TableHead"/>
              <w:rPr>
                <w:sz w:val="18"/>
                <w:szCs w:val="18"/>
              </w:rPr>
            </w:pPr>
            <w:r w:rsidRPr="0013396E">
              <w:rPr>
                <w:sz w:val="18"/>
                <w:szCs w:val="18"/>
              </w:rPr>
              <w:t>Definition</w:t>
            </w:r>
          </w:p>
        </w:tc>
      </w:tr>
      <w:tr w:rsidR="005E0EE9" w:rsidRPr="0013396E" w14:paraId="7A42CB07" w14:textId="77777777" w:rsidTr="0099759E">
        <w:trPr>
          <w:cantSplit/>
        </w:trPr>
        <w:tc>
          <w:tcPr>
            <w:tcW w:w="1975" w:type="dxa"/>
          </w:tcPr>
          <w:p w14:paraId="60F96ADF" w14:textId="77777777" w:rsidR="005E0EE9" w:rsidRPr="0013396E" w:rsidRDefault="005E0EE9" w:rsidP="0099759E">
            <w:pPr>
              <w:pStyle w:val="TableBody"/>
            </w:pPr>
            <w:r w:rsidRPr="0013396E">
              <w:t xml:space="preserve">SPDAMT </w:t>
            </w:r>
            <w:r w:rsidRPr="0013396E">
              <w:rPr>
                <w:i/>
                <w:vertAlign w:val="subscript"/>
              </w:rPr>
              <w:t>q, r, p, i</w:t>
            </w:r>
          </w:p>
        </w:tc>
        <w:tc>
          <w:tcPr>
            <w:tcW w:w="900" w:type="dxa"/>
          </w:tcPr>
          <w:p w14:paraId="5B85D95B" w14:textId="77777777" w:rsidR="005E0EE9" w:rsidRPr="0013396E" w:rsidRDefault="005E0EE9" w:rsidP="0099759E">
            <w:pPr>
              <w:pStyle w:val="TableBody"/>
            </w:pPr>
            <w:r w:rsidRPr="0013396E">
              <w:t>$</w:t>
            </w:r>
          </w:p>
        </w:tc>
        <w:tc>
          <w:tcPr>
            <w:tcW w:w="6942" w:type="dxa"/>
            <w:gridSpan w:val="2"/>
          </w:tcPr>
          <w:p w14:paraId="38F06AED" w14:textId="77777777" w:rsidR="005E0EE9" w:rsidRPr="0013396E" w:rsidRDefault="005E0EE9" w:rsidP="0099759E">
            <w:pPr>
              <w:pStyle w:val="TableBody"/>
            </w:pPr>
            <w:r w:rsidRPr="0013396E">
              <w:rPr>
                <w:i/>
              </w:rPr>
              <w:t>Set Point Deviation Charge per QSE per Settlement Point per Resource</w:t>
            </w:r>
            <w:r w:rsidRPr="0013396E">
              <w:t xml:space="preserve">—The charge to QSE </w:t>
            </w:r>
            <w:r w:rsidRPr="0013396E">
              <w:rPr>
                <w:i/>
              </w:rPr>
              <w:t>q</w:t>
            </w:r>
            <w:r w:rsidRPr="0013396E">
              <w:t xml:space="preserve"> for Generation Resource </w:t>
            </w:r>
            <w:r w:rsidRPr="0013396E">
              <w:rPr>
                <w:i/>
              </w:rPr>
              <w:t>r</w:t>
            </w:r>
            <w:r w:rsidRPr="0013396E">
              <w:t xml:space="preserve"> at Resource Node </w:t>
            </w:r>
            <w:r w:rsidRPr="0013396E">
              <w:rPr>
                <w:i/>
              </w:rPr>
              <w:t>p</w:t>
            </w:r>
            <w:r w:rsidRPr="0013396E">
              <w:t xml:space="preserve">, for its deviation from AASP, for the 15-minute Settlement Interval </w:t>
            </w:r>
            <w:r w:rsidRPr="0013396E">
              <w:rPr>
                <w:i/>
              </w:rPr>
              <w:t>i</w:t>
            </w:r>
            <w:r w:rsidRPr="0013396E">
              <w:t>.</w:t>
            </w:r>
          </w:p>
        </w:tc>
      </w:tr>
      <w:tr w:rsidR="005E0EE9" w:rsidRPr="0013396E" w14:paraId="04054373" w14:textId="77777777" w:rsidTr="0099759E">
        <w:trPr>
          <w:cantSplit/>
        </w:trPr>
        <w:tc>
          <w:tcPr>
            <w:tcW w:w="1975" w:type="dxa"/>
          </w:tcPr>
          <w:p w14:paraId="6F73CFF0" w14:textId="77777777" w:rsidR="005E0EE9" w:rsidRPr="0013396E" w:rsidRDefault="005E0EE9" w:rsidP="0099759E">
            <w:pPr>
              <w:pStyle w:val="TableBody"/>
            </w:pPr>
            <w:r w:rsidRPr="0013396E">
              <w:t xml:space="preserve">RTSPP </w:t>
            </w:r>
            <w:r w:rsidRPr="0013396E">
              <w:rPr>
                <w:i/>
                <w:vertAlign w:val="subscript"/>
              </w:rPr>
              <w:t>p, i</w:t>
            </w:r>
          </w:p>
        </w:tc>
        <w:tc>
          <w:tcPr>
            <w:tcW w:w="900" w:type="dxa"/>
          </w:tcPr>
          <w:p w14:paraId="48FD28E4" w14:textId="77777777" w:rsidR="005E0EE9" w:rsidRPr="0013396E" w:rsidRDefault="005E0EE9" w:rsidP="0099759E">
            <w:pPr>
              <w:pStyle w:val="TableBody"/>
            </w:pPr>
            <w:r w:rsidRPr="0013396E">
              <w:t>$/MWh</w:t>
            </w:r>
          </w:p>
        </w:tc>
        <w:tc>
          <w:tcPr>
            <w:tcW w:w="6942" w:type="dxa"/>
            <w:gridSpan w:val="2"/>
          </w:tcPr>
          <w:p w14:paraId="331692AA" w14:textId="77777777" w:rsidR="005E0EE9" w:rsidRPr="0013396E" w:rsidRDefault="005E0EE9" w:rsidP="0099759E">
            <w:pPr>
              <w:pStyle w:val="TableBody"/>
            </w:pPr>
            <w:r w:rsidRPr="0013396E">
              <w:rPr>
                <w:i/>
              </w:rPr>
              <w:t>Real-Time Settlement Point Price per Settlement Point</w:t>
            </w:r>
            <w:r w:rsidRPr="0013396E">
              <w:t xml:space="preserve">—The Real-Time Settlement Point Price at Resource Node </w:t>
            </w:r>
            <w:r w:rsidRPr="0013396E">
              <w:rPr>
                <w:i/>
              </w:rPr>
              <w:t>p</w:t>
            </w:r>
            <w:r w:rsidRPr="0013396E">
              <w:t xml:space="preserve">, for the 15-minute Settlement Interval </w:t>
            </w:r>
            <w:r w:rsidRPr="0013396E">
              <w:rPr>
                <w:i/>
              </w:rPr>
              <w:t>i</w:t>
            </w:r>
            <w:r w:rsidRPr="0013396E">
              <w:t>.</w:t>
            </w:r>
          </w:p>
        </w:tc>
      </w:tr>
      <w:tr w:rsidR="005E0EE9" w:rsidRPr="0013396E" w14:paraId="5FB8ABE7" w14:textId="77777777" w:rsidTr="0099759E">
        <w:trPr>
          <w:gridAfter w:val="1"/>
          <w:wAfter w:w="12" w:type="dxa"/>
          <w:cantSplit/>
        </w:trPr>
        <w:tc>
          <w:tcPr>
            <w:tcW w:w="1975" w:type="dxa"/>
          </w:tcPr>
          <w:p w14:paraId="58F95563" w14:textId="77777777" w:rsidR="005E0EE9" w:rsidRPr="0013396E" w:rsidRDefault="005E0EE9" w:rsidP="0099759E">
            <w:pPr>
              <w:pStyle w:val="TableBody"/>
            </w:pPr>
            <w:r w:rsidRPr="0013396E">
              <w:t xml:space="preserve">TWTG </w:t>
            </w:r>
            <w:r w:rsidRPr="0013396E">
              <w:rPr>
                <w:i/>
                <w:vertAlign w:val="subscript"/>
              </w:rPr>
              <w:t>q, r, p, i</w:t>
            </w:r>
          </w:p>
        </w:tc>
        <w:tc>
          <w:tcPr>
            <w:tcW w:w="900" w:type="dxa"/>
          </w:tcPr>
          <w:p w14:paraId="704DA329" w14:textId="77777777" w:rsidR="005E0EE9" w:rsidRPr="0013396E" w:rsidRDefault="005E0EE9" w:rsidP="0099759E">
            <w:pPr>
              <w:pStyle w:val="TableBody"/>
            </w:pPr>
            <w:r w:rsidRPr="0013396E">
              <w:t>MWh</w:t>
            </w:r>
          </w:p>
        </w:tc>
        <w:tc>
          <w:tcPr>
            <w:tcW w:w="6930" w:type="dxa"/>
          </w:tcPr>
          <w:p w14:paraId="6D7940D2" w14:textId="77777777" w:rsidR="005E0EE9" w:rsidRPr="0013396E" w:rsidRDefault="005E0EE9" w:rsidP="0099759E">
            <w:pPr>
              <w:pStyle w:val="TableBody"/>
              <w:rPr>
                <w:i/>
              </w:rPr>
            </w:pPr>
            <w:r w:rsidRPr="0013396E">
              <w:rPr>
                <w:i/>
              </w:rPr>
              <w:t>Time-Weighted Telemetered Generation per QSE per Settlement Point per Resource</w:t>
            </w:r>
            <w:r w:rsidRPr="0013396E">
              <w:t xml:space="preserve">—The telemetered generation of Generation Resource </w:t>
            </w:r>
            <w:r w:rsidRPr="0013396E">
              <w:rPr>
                <w:i/>
              </w:rPr>
              <w:t>r</w:t>
            </w:r>
            <w:r w:rsidRPr="0013396E">
              <w:t xml:space="preserve"> represented by QSE </w:t>
            </w:r>
            <w:r w:rsidRPr="0013396E">
              <w:rPr>
                <w:i/>
              </w:rPr>
              <w:t>q</w:t>
            </w:r>
            <w:r w:rsidRPr="0013396E">
              <w:t xml:space="preserve"> at Resource Node </w:t>
            </w:r>
            <w:r w:rsidRPr="0013396E">
              <w:rPr>
                <w:i/>
              </w:rPr>
              <w:t>p</w:t>
            </w:r>
            <w:r w:rsidRPr="0013396E">
              <w:t xml:space="preserve">, for the 15-minute Settlement Interval </w:t>
            </w:r>
            <w:r w:rsidRPr="0013396E">
              <w:rPr>
                <w:i/>
              </w:rPr>
              <w:t>i.</w:t>
            </w:r>
          </w:p>
        </w:tc>
      </w:tr>
      <w:tr w:rsidR="005E0EE9" w:rsidRPr="0013396E" w14:paraId="60DC99C6" w14:textId="77777777" w:rsidTr="0099759E">
        <w:trPr>
          <w:gridAfter w:val="1"/>
          <w:wAfter w:w="12" w:type="dxa"/>
          <w:cantSplit/>
        </w:trPr>
        <w:tc>
          <w:tcPr>
            <w:tcW w:w="1975" w:type="dxa"/>
          </w:tcPr>
          <w:p w14:paraId="4AA7A13F" w14:textId="77777777" w:rsidR="005E0EE9" w:rsidRPr="0013396E" w:rsidRDefault="005E0EE9" w:rsidP="0099759E">
            <w:pPr>
              <w:pStyle w:val="TableBody"/>
            </w:pPr>
            <w:r w:rsidRPr="0013396E">
              <w:lastRenderedPageBreak/>
              <w:t xml:space="preserve">AASP </w:t>
            </w:r>
            <w:r w:rsidRPr="0013396E">
              <w:rPr>
                <w:i/>
                <w:vertAlign w:val="subscript"/>
              </w:rPr>
              <w:t>q, r, p, i</w:t>
            </w:r>
          </w:p>
        </w:tc>
        <w:tc>
          <w:tcPr>
            <w:tcW w:w="900" w:type="dxa"/>
          </w:tcPr>
          <w:p w14:paraId="1BE1D00C" w14:textId="77777777" w:rsidR="005E0EE9" w:rsidRPr="0013396E" w:rsidRDefault="005E0EE9" w:rsidP="0099759E">
            <w:pPr>
              <w:pStyle w:val="TableBody"/>
            </w:pPr>
            <w:r w:rsidRPr="0013396E">
              <w:t>MW</w:t>
            </w:r>
          </w:p>
        </w:tc>
        <w:tc>
          <w:tcPr>
            <w:tcW w:w="6930" w:type="dxa"/>
          </w:tcPr>
          <w:p w14:paraId="40F70DE3" w14:textId="04425415" w:rsidR="005E0EE9" w:rsidRPr="0013396E" w:rsidRDefault="005E0EE9" w:rsidP="0099759E">
            <w:pPr>
              <w:pStyle w:val="TableBody"/>
              <w:rPr>
                <w:i/>
              </w:rPr>
            </w:pPr>
            <w:r w:rsidRPr="0013396E">
              <w:rPr>
                <w:i/>
              </w:rPr>
              <w:t>Average Aggregated Set Point Generation per QSE per Settlement Point per Resource</w:t>
            </w:r>
            <w:r w:rsidRPr="0013396E">
              <w:t>—The average of the Average Five Minute Clock Interval Set Point (AVGSP5M) of Generation Resource</w:t>
            </w:r>
            <w:r w:rsidR="00245F93">
              <w:t xml:space="preserve"> or CLR</w:t>
            </w:r>
            <w:r w:rsidRPr="0013396E">
              <w:t xml:space="preserve"> </w:t>
            </w:r>
            <w:r w:rsidRPr="0013396E">
              <w:rPr>
                <w:i/>
              </w:rPr>
              <w:t>r</w:t>
            </w:r>
            <w:r w:rsidRPr="0013396E">
              <w:t xml:space="preserve"> represented by QSE </w:t>
            </w:r>
            <w:r w:rsidRPr="0013396E">
              <w:rPr>
                <w:i/>
              </w:rPr>
              <w:t>q</w:t>
            </w:r>
            <w:r w:rsidRPr="0013396E">
              <w:t xml:space="preserve"> at Settlement Point </w:t>
            </w:r>
            <w:r w:rsidRPr="0013396E">
              <w:rPr>
                <w:i/>
              </w:rPr>
              <w:t>p</w:t>
            </w:r>
            <w:r w:rsidRPr="0013396E">
              <w:t xml:space="preserve">, for the 15-minute Settlement Interval </w:t>
            </w:r>
            <w:r w:rsidRPr="0013396E">
              <w:rPr>
                <w:i/>
              </w:rPr>
              <w:t>i.</w:t>
            </w:r>
          </w:p>
        </w:tc>
      </w:tr>
      <w:tr w:rsidR="005E0EE9" w:rsidRPr="0013396E" w14:paraId="30C7FA8E" w14:textId="77777777" w:rsidTr="0099759E">
        <w:trPr>
          <w:cantSplit/>
        </w:trPr>
        <w:tc>
          <w:tcPr>
            <w:tcW w:w="1975" w:type="dxa"/>
          </w:tcPr>
          <w:p w14:paraId="0A0438BE" w14:textId="77777777" w:rsidR="005E0EE9" w:rsidRPr="0013396E" w:rsidRDefault="005E0EE9" w:rsidP="0099759E">
            <w:pPr>
              <w:pStyle w:val="TableBody"/>
            </w:pPr>
            <w:r w:rsidRPr="0013396E">
              <w:t>AVGTG5M</w:t>
            </w:r>
            <w:r w:rsidRPr="0013396E">
              <w:rPr>
                <w:i/>
                <w:vertAlign w:val="subscript"/>
                <w:lang w:val="fr-FR"/>
              </w:rPr>
              <w:t xml:space="preserve"> q, r, p, i, y</w:t>
            </w:r>
          </w:p>
        </w:tc>
        <w:tc>
          <w:tcPr>
            <w:tcW w:w="900" w:type="dxa"/>
          </w:tcPr>
          <w:p w14:paraId="5F019582" w14:textId="77777777" w:rsidR="005E0EE9" w:rsidRPr="0013396E" w:rsidRDefault="005E0EE9" w:rsidP="0099759E">
            <w:pPr>
              <w:pStyle w:val="TableBody"/>
            </w:pPr>
            <w:r w:rsidRPr="0013396E">
              <w:t>MW</w:t>
            </w:r>
          </w:p>
        </w:tc>
        <w:tc>
          <w:tcPr>
            <w:tcW w:w="6942" w:type="dxa"/>
            <w:gridSpan w:val="2"/>
          </w:tcPr>
          <w:p w14:paraId="5AD176D0" w14:textId="77777777" w:rsidR="005E0EE9" w:rsidRPr="0013396E" w:rsidRDefault="005E0EE9" w:rsidP="0099759E">
            <w:pPr>
              <w:pStyle w:val="TableBody"/>
            </w:pPr>
            <w:r w:rsidRPr="0013396E">
              <w:rPr>
                <w:i/>
              </w:rPr>
              <w:t>Average Telemetered Generation for the 5 Minutes</w:t>
            </w:r>
            <w:r w:rsidRPr="0013396E">
              <w:t xml:space="preserve">—The average telemetered generation of Generation Resource </w:t>
            </w:r>
            <w:r w:rsidRPr="0013396E">
              <w:rPr>
                <w:i/>
              </w:rPr>
              <w:t>r</w:t>
            </w:r>
            <w:r w:rsidRPr="0013396E">
              <w:t xml:space="preserve"> represented by QSE </w:t>
            </w:r>
            <w:r w:rsidRPr="0013396E">
              <w:rPr>
                <w:i/>
              </w:rPr>
              <w:t>q</w:t>
            </w:r>
            <w:r w:rsidRPr="0013396E">
              <w:t xml:space="preserve"> at Resource Node </w:t>
            </w:r>
            <w:r w:rsidRPr="0013396E">
              <w:rPr>
                <w:i/>
              </w:rPr>
              <w:t>p</w:t>
            </w:r>
            <w:r w:rsidRPr="0013396E">
              <w:t xml:space="preserve">, for the five-minute clock interval </w:t>
            </w:r>
            <w:r w:rsidRPr="0013396E">
              <w:rPr>
                <w:i/>
              </w:rPr>
              <w:t>y</w:t>
            </w:r>
            <w:r w:rsidRPr="0013396E">
              <w:t xml:space="preserve">, within the 15-minute Settlement Interval </w:t>
            </w:r>
            <w:r w:rsidRPr="0013396E">
              <w:rPr>
                <w:i/>
              </w:rPr>
              <w:t>i</w:t>
            </w:r>
            <w:r w:rsidRPr="0013396E">
              <w:t>.</w:t>
            </w:r>
          </w:p>
        </w:tc>
      </w:tr>
      <w:tr w:rsidR="005E0EE9" w:rsidRPr="0013396E" w14:paraId="288772D0" w14:textId="77777777" w:rsidTr="0099759E">
        <w:trPr>
          <w:cantSplit/>
        </w:trPr>
        <w:tc>
          <w:tcPr>
            <w:tcW w:w="1975" w:type="dxa"/>
          </w:tcPr>
          <w:p w14:paraId="02E3F022" w14:textId="77777777" w:rsidR="005E0EE9" w:rsidRPr="0013396E" w:rsidRDefault="005E0EE9" w:rsidP="0099759E">
            <w:pPr>
              <w:pStyle w:val="TableBody"/>
            </w:pPr>
            <w:r w:rsidRPr="0013396E">
              <w:t xml:space="preserve">OGENIRR </w:t>
            </w:r>
            <w:r w:rsidRPr="0013396E">
              <w:rPr>
                <w:i/>
                <w:vertAlign w:val="subscript"/>
              </w:rPr>
              <w:t>q, r, p, i</w:t>
            </w:r>
          </w:p>
        </w:tc>
        <w:tc>
          <w:tcPr>
            <w:tcW w:w="900" w:type="dxa"/>
          </w:tcPr>
          <w:p w14:paraId="7D7FF3F5" w14:textId="77777777" w:rsidR="005E0EE9" w:rsidRPr="0013396E" w:rsidRDefault="005E0EE9" w:rsidP="0099759E">
            <w:pPr>
              <w:pStyle w:val="TableBody"/>
            </w:pPr>
            <w:r w:rsidRPr="0013396E">
              <w:t>MWh</w:t>
            </w:r>
          </w:p>
        </w:tc>
        <w:tc>
          <w:tcPr>
            <w:tcW w:w="6942" w:type="dxa"/>
            <w:gridSpan w:val="2"/>
          </w:tcPr>
          <w:p w14:paraId="30BEF345" w14:textId="77777777" w:rsidR="005E0EE9" w:rsidRPr="0013396E" w:rsidRDefault="005E0EE9" w:rsidP="0099759E">
            <w:pPr>
              <w:pStyle w:val="TableBody"/>
            </w:pPr>
            <w:r w:rsidRPr="0013396E">
              <w:rPr>
                <w:i/>
              </w:rPr>
              <w:t>Over Generation Volumes per QSE per Settlement Point per IRR Generation Resource</w:t>
            </w:r>
            <w:r w:rsidRPr="0013396E">
              <w:t xml:space="preserve">—The amount over generated by the IRR </w:t>
            </w:r>
            <w:r w:rsidRPr="0013396E">
              <w:rPr>
                <w:i/>
              </w:rPr>
              <w:t>r</w:t>
            </w:r>
            <w:r w:rsidRPr="0013396E">
              <w:t xml:space="preserve"> represented by QSE </w:t>
            </w:r>
            <w:r w:rsidRPr="0013396E">
              <w:rPr>
                <w:i/>
              </w:rPr>
              <w:t>q</w:t>
            </w:r>
            <w:r w:rsidRPr="0013396E">
              <w:t xml:space="preserve"> at Resource Node </w:t>
            </w:r>
            <w:r w:rsidRPr="0013396E">
              <w:rPr>
                <w:i/>
              </w:rPr>
              <w:t>p</w:t>
            </w:r>
            <w:r w:rsidRPr="0013396E">
              <w:t xml:space="preserve"> for the 15-minute Settlement Interval </w:t>
            </w:r>
            <w:r w:rsidRPr="0013396E">
              <w:rPr>
                <w:i/>
              </w:rPr>
              <w:t>i</w:t>
            </w:r>
            <w:r w:rsidRPr="0013396E">
              <w:t>.</w:t>
            </w:r>
          </w:p>
        </w:tc>
      </w:tr>
      <w:tr w:rsidR="005E0EE9" w:rsidRPr="0013396E" w14:paraId="267535E3" w14:textId="77777777" w:rsidTr="0099759E">
        <w:trPr>
          <w:cantSplit/>
        </w:trPr>
        <w:tc>
          <w:tcPr>
            <w:tcW w:w="1975" w:type="dxa"/>
          </w:tcPr>
          <w:p w14:paraId="6F4C59BF" w14:textId="77777777" w:rsidR="005E0EE9" w:rsidRPr="0013396E" w:rsidRDefault="005E0EE9" w:rsidP="0099759E">
            <w:pPr>
              <w:pStyle w:val="TableBody"/>
            </w:pPr>
            <w:r w:rsidRPr="0013396E">
              <w:t>PR1</w:t>
            </w:r>
          </w:p>
        </w:tc>
        <w:tc>
          <w:tcPr>
            <w:tcW w:w="900" w:type="dxa"/>
          </w:tcPr>
          <w:p w14:paraId="5F1BD977" w14:textId="77777777" w:rsidR="005E0EE9" w:rsidRPr="0013396E" w:rsidRDefault="005E0EE9" w:rsidP="0099759E">
            <w:pPr>
              <w:pStyle w:val="TableBody"/>
            </w:pPr>
            <w:r w:rsidRPr="0013396E">
              <w:t>$/MWh</w:t>
            </w:r>
          </w:p>
        </w:tc>
        <w:tc>
          <w:tcPr>
            <w:tcW w:w="6942" w:type="dxa"/>
            <w:gridSpan w:val="2"/>
          </w:tcPr>
          <w:p w14:paraId="4A72856B" w14:textId="77777777" w:rsidR="005E0EE9" w:rsidRPr="0013396E" w:rsidRDefault="005E0EE9" w:rsidP="0099759E">
            <w:pPr>
              <w:pStyle w:val="TableBody"/>
            </w:pPr>
            <w:r w:rsidRPr="0013396E">
              <w:t xml:space="preserve">The price to use for the charge calculation when RTSPP is less than $20/MWh, $20/MWh.  </w:t>
            </w:r>
          </w:p>
        </w:tc>
      </w:tr>
      <w:tr w:rsidR="005E0EE9" w:rsidRPr="0013396E" w14:paraId="4FCFE5BA" w14:textId="77777777" w:rsidTr="0099759E">
        <w:trPr>
          <w:cantSplit/>
        </w:trPr>
        <w:tc>
          <w:tcPr>
            <w:tcW w:w="1975" w:type="dxa"/>
          </w:tcPr>
          <w:p w14:paraId="79A0FB09" w14:textId="77777777" w:rsidR="005E0EE9" w:rsidRPr="0013396E" w:rsidRDefault="005E0EE9" w:rsidP="0099759E">
            <w:pPr>
              <w:pStyle w:val="TableBody"/>
            </w:pPr>
            <w:r w:rsidRPr="0013396E">
              <w:t>KIRR</w:t>
            </w:r>
          </w:p>
        </w:tc>
        <w:tc>
          <w:tcPr>
            <w:tcW w:w="900" w:type="dxa"/>
          </w:tcPr>
          <w:p w14:paraId="2FCB839A" w14:textId="77777777" w:rsidR="005E0EE9" w:rsidRPr="0013396E" w:rsidRDefault="005E0EE9" w:rsidP="0099759E">
            <w:pPr>
              <w:pStyle w:val="TableBody"/>
            </w:pPr>
            <w:r w:rsidRPr="0013396E">
              <w:t>none</w:t>
            </w:r>
          </w:p>
        </w:tc>
        <w:tc>
          <w:tcPr>
            <w:tcW w:w="6942" w:type="dxa"/>
            <w:gridSpan w:val="2"/>
          </w:tcPr>
          <w:p w14:paraId="2D848430" w14:textId="77777777" w:rsidR="005E0EE9" w:rsidRPr="0013396E" w:rsidRDefault="005E0EE9" w:rsidP="0099759E">
            <w:pPr>
              <w:pStyle w:val="TableBody"/>
            </w:pPr>
            <w:r w:rsidRPr="0013396E">
              <w:t>The percentage tolerance for over-generation of an IRR, 5%.</w:t>
            </w:r>
          </w:p>
        </w:tc>
      </w:tr>
      <w:tr w:rsidR="005E0EE9" w:rsidRPr="0013396E" w14:paraId="58FA67D5" w14:textId="77777777" w:rsidTr="0099759E">
        <w:trPr>
          <w:cantSplit/>
        </w:trPr>
        <w:tc>
          <w:tcPr>
            <w:tcW w:w="1975" w:type="dxa"/>
          </w:tcPr>
          <w:p w14:paraId="75ACE490" w14:textId="77777777" w:rsidR="005E0EE9" w:rsidRPr="0013396E" w:rsidRDefault="005E0EE9" w:rsidP="0099759E">
            <w:pPr>
              <w:pStyle w:val="TableBody"/>
            </w:pPr>
            <w:r w:rsidRPr="0013396E">
              <w:t>N</w:t>
            </w:r>
          </w:p>
        </w:tc>
        <w:tc>
          <w:tcPr>
            <w:tcW w:w="900" w:type="dxa"/>
          </w:tcPr>
          <w:p w14:paraId="04C959E8" w14:textId="77777777" w:rsidR="005E0EE9" w:rsidRPr="0013396E" w:rsidRDefault="005E0EE9" w:rsidP="0099759E">
            <w:pPr>
              <w:pStyle w:val="TableBody"/>
            </w:pPr>
            <w:r w:rsidRPr="0013396E">
              <w:t>none</w:t>
            </w:r>
          </w:p>
        </w:tc>
        <w:tc>
          <w:tcPr>
            <w:tcW w:w="6942" w:type="dxa"/>
            <w:gridSpan w:val="2"/>
          </w:tcPr>
          <w:p w14:paraId="3B8ADAD8" w14:textId="77777777" w:rsidR="005E0EE9" w:rsidRPr="0013396E" w:rsidRDefault="005E0EE9" w:rsidP="0099759E">
            <w:pPr>
              <w:pStyle w:val="TableBody"/>
            </w:pPr>
            <w:r w:rsidRPr="0013396E">
              <w:t>The number of IRRs within an IRR Group.</w:t>
            </w:r>
          </w:p>
        </w:tc>
      </w:tr>
      <w:tr w:rsidR="005E0EE9" w:rsidRPr="0013396E" w14:paraId="042F1F05" w14:textId="77777777" w:rsidTr="0099759E">
        <w:trPr>
          <w:cantSplit/>
        </w:trPr>
        <w:tc>
          <w:tcPr>
            <w:tcW w:w="1975" w:type="dxa"/>
          </w:tcPr>
          <w:p w14:paraId="196E4EA4" w14:textId="77777777" w:rsidR="005E0EE9" w:rsidRPr="0013396E" w:rsidRDefault="005E0EE9" w:rsidP="0099759E">
            <w:pPr>
              <w:pStyle w:val="TableBody"/>
              <w:rPr>
                <w:i/>
              </w:rPr>
            </w:pPr>
            <w:r w:rsidRPr="0013396E">
              <w:rPr>
                <w:i/>
              </w:rPr>
              <w:t>q</w:t>
            </w:r>
          </w:p>
        </w:tc>
        <w:tc>
          <w:tcPr>
            <w:tcW w:w="900" w:type="dxa"/>
          </w:tcPr>
          <w:p w14:paraId="37CBB183" w14:textId="77777777" w:rsidR="005E0EE9" w:rsidRPr="0013396E" w:rsidRDefault="005E0EE9" w:rsidP="0099759E">
            <w:pPr>
              <w:pStyle w:val="TableBody"/>
            </w:pPr>
            <w:r w:rsidRPr="0013396E">
              <w:t>none</w:t>
            </w:r>
          </w:p>
        </w:tc>
        <w:tc>
          <w:tcPr>
            <w:tcW w:w="6942" w:type="dxa"/>
            <w:gridSpan w:val="2"/>
          </w:tcPr>
          <w:p w14:paraId="1C65B074" w14:textId="77777777" w:rsidR="005E0EE9" w:rsidRPr="0013396E" w:rsidRDefault="005E0EE9" w:rsidP="0099759E">
            <w:pPr>
              <w:pStyle w:val="TableBody"/>
            </w:pPr>
            <w:r w:rsidRPr="0013396E">
              <w:t>A QSE.</w:t>
            </w:r>
          </w:p>
        </w:tc>
      </w:tr>
      <w:tr w:rsidR="005E0EE9" w:rsidRPr="0013396E" w14:paraId="0FB7A8C8" w14:textId="77777777" w:rsidTr="0099759E">
        <w:trPr>
          <w:cantSplit/>
        </w:trPr>
        <w:tc>
          <w:tcPr>
            <w:tcW w:w="1975" w:type="dxa"/>
          </w:tcPr>
          <w:p w14:paraId="1EC5C43B" w14:textId="77777777" w:rsidR="005E0EE9" w:rsidRPr="0013396E" w:rsidRDefault="005E0EE9" w:rsidP="0099759E">
            <w:pPr>
              <w:pStyle w:val="TableBody"/>
              <w:rPr>
                <w:i/>
              </w:rPr>
            </w:pPr>
            <w:r w:rsidRPr="0013396E">
              <w:rPr>
                <w:i/>
              </w:rPr>
              <w:t>p</w:t>
            </w:r>
          </w:p>
        </w:tc>
        <w:tc>
          <w:tcPr>
            <w:tcW w:w="900" w:type="dxa"/>
          </w:tcPr>
          <w:p w14:paraId="2405D4DE" w14:textId="77777777" w:rsidR="005E0EE9" w:rsidRPr="0013396E" w:rsidRDefault="005E0EE9" w:rsidP="0099759E">
            <w:pPr>
              <w:pStyle w:val="TableBody"/>
            </w:pPr>
            <w:r w:rsidRPr="0013396E">
              <w:t>none</w:t>
            </w:r>
          </w:p>
        </w:tc>
        <w:tc>
          <w:tcPr>
            <w:tcW w:w="6942" w:type="dxa"/>
            <w:gridSpan w:val="2"/>
          </w:tcPr>
          <w:p w14:paraId="0EC3FC6D" w14:textId="77777777" w:rsidR="005E0EE9" w:rsidRPr="0013396E" w:rsidRDefault="005E0EE9" w:rsidP="0099759E">
            <w:pPr>
              <w:pStyle w:val="TableBody"/>
            </w:pPr>
            <w:r w:rsidRPr="0013396E">
              <w:t>A Settlement Point.</w:t>
            </w:r>
          </w:p>
        </w:tc>
      </w:tr>
      <w:tr w:rsidR="005E0EE9" w:rsidRPr="0013396E" w14:paraId="154CEA42" w14:textId="77777777" w:rsidTr="0099759E">
        <w:trPr>
          <w:cantSplit/>
        </w:trPr>
        <w:tc>
          <w:tcPr>
            <w:tcW w:w="1975" w:type="dxa"/>
          </w:tcPr>
          <w:p w14:paraId="13D2C991" w14:textId="77777777" w:rsidR="005E0EE9" w:rsidRPr="0013396E" w:rsidRDefault="005E0EE9" w:rsidP="0099759E">
            <w:pPr>
              <w:pStyle w:val="TableBody"/>
              <w:rPr>
                <w:i/>
              </w:rPr>
            </w:pPr>
            <w:r w:rsidRPr="0013396E">
              <w:rPr>
                <w:i/>
              </w:rPr>
              <w:t>r</w:t>
            </w:r>
          </w:p>
        </w:tc>
        <w:tc>
          <w:tcPr>
            <w:tcW w:w="900" w:type="dxa"/>
          </w:tcPr>
          <w:p w14:paraId="188B690A" w14:textId="77777777" w:rsidR="005E0EE9" w:rsidRPr="0013396E" w:rsidRDefault="005E0EE9" w:rsidP="0099759E">
            <w:pPr>
              <w:pStyle w:val="TableBody"/>
            </w:pPr>
            <w:r w:rsidRPr="0013396E">
              <w:t>none</w:t>
            </w:r>
          </w:p>
        </w:tc>
        <w:tc>
          <w:tcPr>
            <w:tcW w:w="6942" w:type="dxa"/>
            <w:gridSpan w:val="2"/>
          </w:tcPr>
          <w:p w14:paraId="3749624D" w14:textId="26C05D6D" w:rsidR="005E0EE9" w:rsidRPr="0013396E" w:rsidRDefault="005E0EE9" w:rsidP="0099759E">
            <w:pPr>
              <w:pStyle w:val="TableBody"/>
            </w:pPr>
            <w:r w:rsidRPr="0013396E">
              <w:rPr>
                <w:iCs w:val="0"/>
              </w:rPr>
              <w:t>An IRR Generation Resource</w:t>
            </w:r>
            <w:r w:rsidRPr="0013396E">
              <w:t xml:space="preserve"> </w:t>
            </w:r>
            <w:r w:rsidRPr="0013396E">
              <w:rPr>
                <w:iCs w:val="0"/>
              </w:rPr>
              <w:t>or an IRR within an IRR Group.</w:t>
            </w:r>
          </w:p>
        </w:tc>
      </w:tr>
      <w:tr w:rsidR="005E0EE9" w:rsidRPr="0013396E" w14:paraId="5E52A233" w14:textId="77777777" w:rsidTr="0099759E">
        <w:trPr>
          <w:cantSplit/>
          <w:trHeight w:val="152"/>
        </w:trPr>
        <w:tc>
          <w:tcPr>
            <w:tcW w:w="1975" w:type="dxa"/>
          </w:tcPr>
          <w:p w14:paraId="42C3A7FD" w14:textId="77777777" w:rsidR="005E0EE9" w:rsidRPr="0013396E" w:rsidDel="00B33B6F" w:rsidRDefault="005E0EE9" w:rsidP="0099759E">
            <w:pPr>
              <w:pStyle w:val="TableBody"/>
              <w:rPr>
                <w:i/>
              </w:rPr>
            </w:pPr>
            <w:r w:rsidRPr="0013396E">
              <w:rPr>
                <w:i/>
              </w:rPr>
              <w:t>i</w:t>
            </w:r>
          </w:p>
        </w:tc>
        <w:tc>
          <w:tcPr>
            <w:tcW w:w="900" w:type="dxa"/>
          </w:tcPr>
          <w:p w14:paraId="67106FB9" w14:textId="77777777" w:rsidR="005E0EE9" w:rsidRPr="0013396E" w:rsidDel="00B33B6F" w:rsidRDefault="005E0EE9" w:rsidP="0099759E">
            <w:pPr>
              <w:pStyle w:val="TableBody"/>
            </w:pPr>
            <w:r w:rsidRPr="0013396E">
              <w:t>none</w:t>
            </w:r>
          </w:p>
        </w:tc>
        <w:tc>
          <w:tcPr>
            <w:tcW w:w="6942" w:type="dxa"/>
            <w:gridSpan w:val="2"/>
          </w:tcPr>
          <w:p w14:paraId="7C9AEBBD" w14:textId="77777777" w:rsidR="005E0EE9" w:rsidRPr="0013396E" w:rsidDel="00B33B6F" w:rsidRDefault="005E0EE9" w:rsidP="0099759E">
            <w:pPr>
              <w:pStyle w:val="TableBody"/>
            </w:pPr>
            <w:r w:rsidRPr="0013396E">
              <w:t>A 15-minute Settlement Interval.</w:t>
            </w:r>
          </w:p>
        </w:tc>
      </w:tr>
      <w:tr w:rsidR="005E0EE9" w:rsidRPr="0013396E" w14:paraId="66D03B7B" w14:textId="77777777" w:rsidTr="0099759E">
        <w:trPr>
          <w:cantSplit/>
          <w:trHeight w:val="152"/>
        </w:trPr>
        <w:tc>
          <w:tcPr>
            <w:tcW w:w="1975" w:type="dxa"/>
            <w:tcBorders>
              <w:top w:val="single" w:sz="4" w:space="0" w:color="auto"/>
              <w:left w:val="single" w:sz="4" w:space="0" w:color="auto"/>
              <w:bottom w:val="single" w:sz="4" w:space="0" w:color="auto"/>
              <w:right w:val="single" w:sz="4" w:space="0" w:color="auto"/>
            </w:tcBorders>
          </w:tcPr>
          <w:p w14:paraId="23257823" w14:textId="77777777" w:rsidR="005E0EE9" w:rsidRPr="0013396E" w:rsidRDefault="005E0EE9" w:rsidP="0099759E">
            <w:pPr>
              <w:pStyle w:val="TableBody"/>
              <w:rPr>
                <w:i/>
              </w:rPr>
            </w:pPr>
            <w:r w:rsidRPr="0013396E">
              <w:rPr>
                <w:i/>
              </w:rPr>
              <w:t>y</w:t>
            </w:r>
          </w:p>
        </w:tc>
        <w:tc>
          <w:tcPr>
            <w:tcW w:w="900" w:type="dxa"/>
            <w:tcBorders>
              <w:top w:val="single" w:sz="4" w:space="0" w:color="auto"/>
              <w:left w:val="single" w:sz="4" w:space="0" w:color="auto"/>
              <w:bottom w:val="single" w:sz="4" w:space="0" w:color="auto"/>
              <w:right w:val="single" w:sz="4" w:space="0" w:color="auto"/>
            </w:tcBorders>
          </w:tcPr>
          <w:p w14:paraId="6F7EA8FC" w14:textId="77777777" w:rsidR="005E0EE9" w:rsidRPr="0013396E" w:rsidRDefault="005E0EE9" w:rsidP="0099759E">
            <w:pPr>
              <w:pStyle w:val="TableBody"/>
            </w:pPr>
            <w:r w:rsidRPr="0013396E">
              <w:t>none</w:t>
            </w:r>
          </w:p>
        </w:tc>
        <w:tc>
          <w:tcPr>
            <w:tcW w:w="6942" w:type="dxa"/>
            <w:gridSpan w:val="2"/>
            <w:tcBorders>
              <w:top w:val="single" w:sz="4" w:space="0" w:color="auto"/>
              <w:left w:val="single" w:sz="4" w:space="0" w:color="auto"/>
              <w:bottom w:val="single" w:sz="4" w:space="0" w:color="auto"/>
              <w:right w:val="single" w:sz="4" w:space="0" w:color="auto"/>
            </w:tcBorders>
          </w:tcPr>
          <w:p w14:paraId="6925B651" w14:textId="77777777" w:rsidR="005E0EE9" w:rsidRPr="0013396E" w:rsidRDefault="005E0EE9" w:rsidP="0099759E">
            <w:pPr>
              <w:pStyle w:val="TableBody"/>
            </w:pPr>
            <w:r w:rsidRPr="0013396E">
              <w:t xml:space="preserve">A five-minute clock interval in the Settlement Interval. </w:t>
            </w:r>
          </w:p>
        </w:tc>
      </w:tr>
      <w:tr w:rsidR="005E0EE9" w:rsidRPr="0013396E" w14:paraId="57DCADE1" w14:textId="77777777" w:rsidTr="0099759E">
        <w:trPr>
          <w:cantSplit/>
          <w:trHeight w:val="152"/>
        </w:trPr>
        <w:tc>
          <w:tcPr>
            <w:tcW w:w="1975" w:type="dxa"/>
            <w:tcBorders>
              <w:top w:val="single" w:sz="4" w:space="0" w:color="auto"/>
              <w:left w:val="single" w:sz="4" w:space="0" w:color="auto"/>
              <w:bottom w:val="single" w:sz="4" w:space="0" w:color="auto"/>
              <w:right w:val="single" w:sz="4" w:space="0" w:color="auto"/>
            </w:tcBorders>
          </w:tcPr>
          <w:p w14:paraId="5D86D9C3" w14:textId="77777777" w:rsidR="005E0EE9" w:rsidRPr="0013396E" w:rsidRDefault="005E0EE9" w:rsidP="0099759E">
            <w:pPr>
              <w:pStyle w:val="TableBody"/>
              <w:rPr>
                <w:i/>
              </w:rPr>
            </w:pPr>
            <w:r w:rsidRPr="0013396E">
              <w:rPr>
                <w:i/>
              </w:rPr>
              <w:t>wg</w:t>
            </w:r>
          </w:p>
        </w:tc>
        <w:tc>
          <w:tcPr>
            <w:tcW w:w="900" w:type="dxa"/>
            <w:tcBorders>
              <w:top w:val="single" w:sz="4" w:space="0" w:color="auto"/>
              <w:left w:val="single" w:sz="4" w:space="0" w:color="auto"/>
              <w:bottom w:val="single" w:sz="4" w:space="0" w:color="auto"/>
              <w:right w:val="single" w:sz="4" w:space="0" w:color="auto"/>
            </w:tcBorders>
          </w:tcPr>
          <w:p w14:paraId="195D0641" w14:textId="77777777" w:rsidR="005E0EE9" w:rsidRPr="0013396E" w:rsidRDefault="005E0EE9" w:rsidP="0099759E">
            <w:pPr>
              <w:pStyle w:val="TableBody"/>
            </w:pPr>
            <w:r w:rsidRPr="0013396E">
              <w:t>none</w:t>
            </w:r>
          </w:p>
        </w:tc>
        <w:tc>
          <w:tcPr>
            <w:tcW w:w="6942" w:type="dxa"/>
            <w:gridSpan w:val="2"/>
            <w:tcBorders>
              <w:top w:val="single" w:sz="4" w:space="0" w:color="auto"/>
              <w:left w:val="single" w:sz="4" w:space="0" w:color="auto"/>
              <w:bottom w:val="single" w:sz="4" w:space="0" w:color="auto"/>
              <w:right w:val="single" w:sz="4" w:space="0" w:color="auto"/>
            </w:tcBorders>
          </w:tcPr>
          <w:p w14:paraId="20C59B1F" w14:textId="77777777" w:rsidR="005E0EE9" w:rsidRPr="0013396E" w:rsidRDefault="005E0EE9" w:rsidP="0099759E">
            <w:pPr>
              <w:pStyle w:val="TableBody"/>
            </w:pPr>
            <w:r w:rsidRPr="0013396E">
              <w:t>An IRR Group.</w:t>
            </w:r>
          </w:p>
        </w:tc>
      </w:tr>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tbl>
    <w:p w14:paraId="7FA255B3" w14:textId="77777777" w:rsidR="00FC616C" w:rsidRPr="0013396E" w:rsidRDefault="00FC616C"/>
    <w:tbl>
      <w:tblPr>
        <w:tblW w:w="10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55"/>
      </w:tblGrid>
      <w:tr w:rsidR="00C22690" w:rsidRPr="0013396E" w14:paraId="5247AA1C" w14:textId="2D0BD00D" w:rsidTr="002401F7">
        <w:tc>
          <w:tcPr>
            <w:tcW w:w="10055" w:type="dxa"/>
            <w:tcBorders>
              <w:top w:val="single" w:sz="4" w:space="0" w:color="auto"/>
              <w:left w:val="single" w:sz="4" w:space="0" w:color="auto"/>
              <w:bottom w:val="single" w:sz="4" w:space="0" w:color="auto"/>
              <w:right w:val="single" w:sz="4" w:space="0" w:color="auto"/>
            </w:tcBorders>
            <w:shd w:val="pct12" w:color="auto" w:fill="auto"/>
          </w:tcPr>
          <w:p w14:paraId="68302B46" w14:textId="14C0BA0B" w:rsidR="00C22690" w:rsidRPr="0013396E" w:rsidRDefault="00C22690" w:rsidP="001B737D">
            <w:pPr>
              <w:pStyle w:val="Instructions"/>
              <w:spacing w:before="120"/>
            </w:pPr>
            <w:bookmarkStart w:id="1828" w:name="_Toc109009405"/>
            <w:bookmarkStart w:id="1829" w:name="_Toc397505024"/>
            <w:bookmarkStart w:id="1830" w:name="_Toc402357156"/>
            <w:bookmarkStart w:id="1831" w:name="_Toc422486536"/>
            <w:bookmarkStart w:id="1832" w:name="_Toc433093389"/>
            <w:bookmarkStart w:id="1833" w:name="_Toc433093547"/>
            <w:bookmarkStart w:id="1834" w:name="_Toc440874777"/>
            <w:bookmarkStart w:id="1835" w:name="_Toc448142334"/>
            <w:bookmarkStart w:id="1836" w:name="_Toc448142491"/>
            <w:bookmarkStart w:id="1837" w:name="_Toc458770332"/>
            <w:bookmarkStart w:id="1838" w:name="_Toc459294300"/>
            <w:bookmarkStart w:id="1839" w:name="_Toc463262793"/>
            <w:bookmarkStart w:id="1840" w:name="_Toc468286866"/>
            <w:bookmarkStart w:id="1841" w:name="_Toc481502906"/>
            <w:bookmarkStart w:id="1842" w:name="_Toc496080074"/>
            <w:bookmarkEnd w:id="1812"/>
            <w:r w:rsidRPr="0013396E">
              <w:t>[NPRR879</w:t>
            </w:r>
            <w:r w:rsidR="00FC616C">
              <w:t xml:space="preserve"> and</w:t>
            </w:r>
            <w:r w:rsidRPr="0013396E">
              <w:t xml:space="preserve"> NPRR963:  Replace applicable portions of Section 6.6.5.</w:t>
            </w:r>
            <w:r w:rsidR="00FC616C">
              <w:t>4</w:t>
            </w:r>
            <w:r w:rsidRPr="0013396E">
              <w:t xml:space="preserve"> above with the following upon system implementation:]</w:t>
            </w:r>
          </w:p>
          <w:p w14:paraId="41624720" w14:textId="50E2B143" w:rsidR="00C22690" w:rsidRPr="0013396E" w:rsidRDefault="00C22690" w:rsidP="00C22690">
            <w:pPr>
              <w:pStyle w:val="BodyText"/>
              <w:tabs>
                <w:tab w:val="left" w:pos="1230"/>
              </w:tabs>
              <w:spacing w:before="480"/>
              <w:outlineLvl w:val="3"/>
              <w:rPr>
                <w:b/>
                <w:lang w:val="fr-FR"/>
              </w:rPr>
            </w:pPr>
            <w:bookmarkStart w:id="1843" w:name="_Toc60040699"/>
            <w:bookmarkStart w:id="1844" w:name="_Toc65151758"/>
            <w:bookmarkStart w:id="1845" w:name="_Toc80174784"/>
            <w:bookmarkStart w:id="1846" w:name="_Toc112417664"/>
            <w:bookmarkStart w:id="1847" w:name="_Toc119310333"/>
            <w:bookmarkStart w:id="1848" w:name="_Toc125966266"/>
            <w:bookmarkStart w:id="1849" w:name="_Toc135992364"/>
            <w:bookmarkStart w:id="1850" w:name="_Toc170303560"/>
            <w:bookmarkStart w:id="1851" w:name="_Toc175157464"/>
            <w:bookmarkStart w:id="1852" w:name="_Toc214878987"/>
            <w:r w:rsidRPr="0013396E">
              <w:rPr>
                <w:b/>
                <w:lang w:val="fr-FR"/>
              </w:rPr>
              <w:t>6.6.5.4</w:t>
            </w:r>
            <w:r w:rsidRPr="0013396E">
              <w:rPr>
                <w:b/>
                <w:lang w:val="fr-FR"/>
              </w:rPr>
              <w:tab/>
              <w:t xml:space="preserve">IRR Generation Resource </w:t>
            </w:r>
            <w:r w:rsidR="008844A7" w:rsidRPr="0013396E">
              <w:rPr>
                <w:b/>
                <w:lang w:val="fr-FR"/>
              </w:rPr>
              <w:t>Set</w:t>
            </w:r>
            <w:r w:rsidRPr="0013396E">
              <w:rPr>
                <w:b/>
                <w:lang w:val="fr-FR"/>
              </w:rPr>
              <w:t xml:space="preserve"> Point Deviation Charge</w:t>
            </w:r>
            <w:bookmarkEnd w:id="1843"/>
            <w:bookmarkEnd w:id="1844"/>
            <w:bookmarkEnd w:id="1845"/>
            <w:bookmarkEnd w:id="1846"/>
            <w:bookmarkEnd w:id="1847"/>
            <w:bookmarkEnd w:id="1848"/>
            <w:bookmarkEnd w:id="1849"/>
            <w:bookmarkEnd w:id="1850"/>
            <w:bookmarkEnd w:id="1851"/>
            <w:bookmarkEnd w:id="1852"/>
          </w:p>
          <w:p w14:paraId="724F6C1E" w14:textId="6A404E3C" w:rsidR="00C22690" w:rsidRPr="0013396E" w:rsidRDefault="00C22690" w:rsidP="00C22690">
            <w:pPr>
              <w:pStyle w:val="BodyTextNumbered"/>
            </w:pPr>
            <w:r w:rsidRPr="0013396E">
              <w:t>(1)</w:t>
            </w:r>
            <w:r w:rsidRPr="0013396E">
              <w:tab/>
              <w:t xml:space="preserve">ERCOT shall charge a QSE for an IRR a </w:t>
            </w:r>
            <w:r w:rsidR="008844A7" w:rsidRPr="0013396E">
              <w:t>Set</w:t>
            </w:r>
            <w:r w:rsidRPr="0013396E">
              <w:t xml:space="preserve"> Point Deviation Charge if the IRR telemetered generation is more than </w:t>
            </w:r>
            <w:r w:rsidR="00C4333E" w:rsidRPr="0013396E">
              <w:t>5</w:t>
            </w:r>
            <w:r w:rsidRPr="0013396E">
              <w:t xml:space="preserve">% above its </w:t>
            </w:r>
            <w:r w:rsidR="008844A7" w:rsidRPr="0013396E">
              <w:t>AASP</w:t>
            </w:r>
            <w:r w:rsidRPr="0013396E">
              <w:t>, the flag signifying that the IRR has received a Base Point below the HDL used by SCED has been received</w:t>
            </w:r>
            <w:r w:rsidR="00C4333E" w:rsidRPr="0013396E">
              <w:t xml:space="preserve"> or the IRR has been instructed not to exceed its Base Point</w:t>
            </w:r>
            <w:r w:rsidRPr="0013396E">
              <w:t xml:space="preserve">, and the IRR is not </w:t>
            </w:r>
            <w:r w:rsidR="008844A7" w:rsidRPr="0013396E">
              <w:t>awarded</w:t>
            </w:r>
            <w:r w:rsidRPr="0013396E">
              <w:t xml:space="preserve"> Ancillary Service and is not part of an IRR Group in which at least one IRR is </w:t>
            </w:r>
            <w:r w:rsidR="008844A7" w:rsidRPr="0013396E">
              <w:t>awarded</w:t>
            </w:r>
            <w:r w:rsidRPr="0013396E">
              <w:t xml:space="preserve"> Ancillary Service for at least one SCED interval within the 15-minute Settlement Interval.</w:t>
            </w:r>
          </w:p>
          <w:p w14:paraId="6BF39E67" w14:textId="07B3E68D" w:rsidR="00C22690" w:rsidRPr="0013396E" w:rsidRDefault="00C22690" w:rsidP="00C22690">
            <w:pPr>
              <w:pStyle w:val="BodyTextNumbered"/>
            </w:pPr>
            <w:r w:rsidRPr="0013396E">
              <w:t>(2)</w:t>
            </w:r>
            <w:r w:rsidRPr="0013396E">
              <w:tab/>
              <w:t xml:space="preserve">For instances in which an IRR is </w:t>
            </w:r>
            <w:r w:rsidR="008844A7" w:rsidRPr="0013396E">
              <w:t>awarded</w:t>
            </w:r>
            <w:r w:rsidRPr="0013396E">
              <w:t xml:space="preserve"> Ancillary Service or is part of an IRR Group in which at least one IRR is </w:t>
            </w:r>
            <w:r w:rsidR="008844A7" w:rsidRPr="0013396E">
              <w:t>awarded</w:t>
            </w:r>
            <w:r w:rsidRPr="0013396E">
              <w:t xml:space="preserve"> Ancillary Service for at least one SCED interval within the 15-minute Settlement Interval, </w:t>
            </w:r>
            <w:r w:rsidR="008844A7" w:rsidRPr="0013396E">
              <w:t>Set</w:t>
            </w:r>
            <w:r w:rsidRPr="0013396E">
              <w:t xml:space="preserve"> Point Deviation Charges will be determined per Section 6.6.5.2, </w:t>
            </w:r>
            <w:r w:rsidR="008844A7" w:rsidRPr="0013396E">
              <w:t>Set</w:t>
            </w:r>
            <w:r w:rsidRPr="0013396E">
              <w:t xml:space="preserve"> Point Deviation Charge for Over Generation, and Section 6.6.5.2.1, </w:t>
            </w:r>
            <w:r w:rsidR="008844A7" w:rsidRPr="0013396E">
              <w:t>Set</w:t>
            </w:r>
            <w:r w:rsidRPr="0013396E">
              <w:t xml:space="preserve"> Point Deviation Charge for Under Generation.</w:t>
            </w:r>
          </w:p>
          <w:p w14:paraId="7C10B7A5" w14:textId="4648B3D9" w:rsidR="00C22690" w:rsidRPr="0013396E" w:rsidRDefault="00C22690" w:rsidP="00C22690">
            <w:pPr>
              <w:pStyle w:val="BodyTextNumbered"/>
              <w:rPr>
                <w:iCs/>
              </w:rPr>
            </w:pPr>
            <w:r w:rsidRPr="0013396E">
              <w:rPr>
                <w:iCs/>
              </w:rPr>
              <w:t>(3)</w:t>
            </w:r>
            <w:r w:rsidRPr="0013396E">
              <w:rPr>
                <w:iCs/>
              </w:rPr>
              <w:tab/>
              <w:t>The charge to each QSE for non-excused over-generation of each IRR that is not included in an IRR Group at each Resource Node Settlement Point during a 15-minute Settlement Interval, is calculated as follows:</w:t>
            </w:r>
          </w:p>
          <w:p w14:paraId="28623A3E" w14:textId="1DE2EC06" w:rsidR="00C22690" w:rsidRPr="0013396E" w:rsidRDefault="00C22690" w:rsidP="00C22690">
            <w:pPr>
              <w:ind w:left="720"/>
              <w:rPr>
                <w:lang w:val="pt-BR"/>
              </w:rPr>
            </w:pPr>
            <w:r w:rsidRPr="0013396E">
              <w:rPr>
                <w:lang w:val="pt-BR"/>
              </w:rPr>
              <w:t xml:space="preserve">If </w:t>
            </w:r>
            <w:r w:rsidRPr="0013396E">
              <w:t>the flag signifying that the IRR has received a Base Point below the HDL used by SCED</w:t>
            </w:r>
            <w:r w:rsidR="00C4333E" w:rsidRPr="0013396E">
              <w:t xml:space="preserve"> or the IRR has been instructed not to exceed its Base Point</w:t>
            </w:r>
            <w:r w:rsidRPr="0013396E">
              <w:t xml:space="preserve"> is not set </w:t>
            </w:r>
            <w:r w:rsidRPr="0013396E">
              <w:rPr>
                <w:lang w:val="pt-BR"/>
              </w:rPr>
              <w:t>in all SCED intervals within the 15-minute Settlement Interval:</w:t>
            </w:r>
          </w:p>
          <w:p w14:paraId="5B611565" w14:textId="458DE6C9" w:rsidR="00C22690" w:rsidRPr="0013396E" w:rsidRDefault="008844A7" w:rsidP="00C22690">
            <w:pPr>
              <w:pStyle w:val="FormulaBold"/>
              <w:spacing w:before="120"/>
              <w:ind w:left="720" w:firstLine="0"/>
              <w:rPr>
                <w:lang w:val="pt-BR"/>
              </w:rPr>
            </w:pPr>
            <w:r w:rsidRPr="0013396E">
              <w:rPr>
                <w:lang w:val="pt-BR"/>
              </w:rPr>
              <w:lastRenderedPageBreak/>
              <w:t>S</w:t>
            </w:r>
            <w:r w:rsidR="00C22690" w:rsidRPr="0013396E">
              <w:rPr>
                <w:lang w:val="pt-BR"/>
              </w:rPr>
              <w:t xml:space="preserve">PDAMT </w:t>
            </w:r>
            <w:r w:rsidR="00C22690" w:rsidRPr="0013396E">
              <w:rPr>
                <w:i/>
                <w:vertAlign w:val="subscript"/>
                <w:lang w:val="pt-BR"/>
              </w:rPr>
              <w:t>q, r, p, i</w:t>
            </w:r>
            <w:r w:rsidR="00C22690" w:rsidRPr="0013396E">
              <w:rPr>
                <w:lang w:val="pt-BR"/>
              </w:rPr>
              <w:t xml:space="preserve"> =</w:t>
            </w:r>
            <w:r w:rsidR="00C22690" w:rsidRPr="0013396E">
              <w:rPr>
                <w:lang w:val="pt-BR"/>
              </w:rPr>
              <w:tab/>
              <w:t>0</w:t>
            </w:r>
          </w:p>
          <w:p w14:paraId="367E985C" w14:textId="1D18C036" w:rsidR="00C22690" w:rsidRPr="0013396E" w:rsidRDefault="00C22690" w:rsidP="00C22690">
            <w:pPr>
              <w:ind w:left="720"/>
              <w:rPr>
                <w:lang w:val="pt-BR"/>
              </w:rPr>
            </w:pPr>
            <w:r w:rsidRPr="0013396E">
              <w:rPr>
                <w:lang w:val="pt-BR"/>
              </w:rPr>
              <w:t xml:space="preserve">Otherwise, if </w:t>
            </w:r>
            <w:r w:rsidRPr="0013396E">
              <w:t xml:space="preserve">the flag signifying that the IRR has received a Base Point below the HDL used by SCED </w:t>
            </w:r>
            <w:r w:rsidR="00C4333E" w:rsidRPr="0013396E">
              <w:t xml:space="preserve">or the IRR has been instructed not to exceed its Base Point </w:t>
            </w:r>
            <w:r w:rsidRPr="0013396E">
              <w:t xml:space="preserve">is set </w:t>
            </w:r>
            <w:r w:rsidRPr="0013396E">
              <w:rPr>
                <w:lang w:val="pt-BR"/>
              </w:rPr>
              <w:t>in all SCED intervals within the 15-minute Settlement Interval:</w:t>
            </w:r>
          </w:p>
          <w:p w14:paraId="31A7E501" w14:textId="5992A398" w:rsidR="00C22690" w:rsidRPr="0013396E" w:rsidRDefault="00C22690" w:rsidP="00C22690">
            <w:pPr>
              <w:ind w:left="720"/>
              <w:rPr>
                <w:lang w:val="pt-BR"/>
              </w:rPr>
            </w:pPr>
          </w:p>
          <w:p w14:paraId="11091A34" w14:textId="5A0E817D" w:rsidR="00C22690" w:rsidRPr="0013396E" w:rsidRDefault="00C22690" w:rsidP="00C22690">
            <w:pPr>
              <w:pStyle w:val="FormulaBold"/>
              <w:tabs>
                <w:tab w:val="clear" w:pos="2250"/>
                <w:tab w:val="clear" w:pos="3150"/>
                <w:tab w:val="left" w:pos="720"/>
              </w:tabs>
              <w:ind w:left="2880" w:hanging="2880"/>
              <w:rPr>
                <w:lang w:val="pt-BR"/>
              </w:rPr>
            </w:pPr>
            <w:r w:rsidRPr="0013396E">
              <w:rPr>
                <w:lang w:val="pt-BR"/>
              </w:rPr>
              <w:tab/>
            </w:r>
            <w:r w:rsidR="008844A7" w:rsidRPr="0013396E">
              <w:rPr>
                <w:lang w:val="pt-BR"/>
              </w:rPr>
              <w:t>S</w:t>
            </w:r>
            <w:r w:rsidRPr="0013396E">
              <w:rPr>
                <w:lang w:val="pt-BR"/>
              </w:rPr>
              <w:t>PDAMT</w:t>
            </w:r>
            <w:r w:rsidRPr="0013396E">
              <w:rPr>
                <w:i/>
                <w:vertAlign w:val="subscript"/>
                <w:lang w:val="pt-BR"/>
              </w:rPr>
              <w:t xml:space="preserve"> q, r, p, i</w:t>
            </w:r>
            <w:r w:rsidRPr="0013396E">
              <w:rPr>
                <w:lang w:val="pt-BR"/>
              </w:rPr>
              <w:t xml:space="preserve"> =</w:t>
            </w:r>
            <w:r w:rsidRPr="0013396E">
              <w:rPr>
                <w:lang w:val="pt-BR"/>
              </w:rPr>
              <w:tab/>
            </w:r>
            <w:r w:rsidRPr="0013396E">
              <w:t xml:space="preserve">Max (PR1, RTSPP </w:t>
            </w:r>
            <w:r w:rsidRPr="0013396E">
              <w:rPr>
                <w:i/>
                <w:vertAlign w:val="subscript"/>
              </w:rPr>
              <w:t>p, i</w:t>
            </w:r>
            <w:r w:rsidRPr="0013396E">
              <w:t>) * OGENIRR</w:t>
            </w:r>
            <w:r w:rsidRPr="0013396E">
              <w:rPr>
                <w:sz w:val="18"/>
                <w:szCs w:val="18"/>
                <w:vertAlign w:val="subscript"/>
              </w:rPr>
              <w:t xml:space="preserve"> </w:t>
            </w:r>
            <w:r w:rsidRPr="0013396E">
              <w:rPr>
                <w:i/>
                <w:vertAlign w:val="subscript"/>
              </w:rPr>
              <w:t>q, r, p, i</w:t>
            </w:r>
          </w:p>
          <w:p w14:paraId="253EF144" w14:textId="50C941DA" w:rsidR="00C22690" w:rsidRPr="0013396E" w:rsidRDefault="00C22690" w:rsidP="00C22690">
            <w:pPr>
              <w:pStyle w:val="FormulaBold"/>
              <w:rPr>
                <w:b w:val="0"/>
              </w:rPr>
            </w:pPr>
            <w:r w:rsidRPr="0013396E">
              <w:rPr>
                <w:b w:val="0"/>
              </w:rPr>
              <w:t>Where:</w:t>
            </w:r>
          </w:p>
          <w:p w14:paraId="7ABA9644" w14:textId="4A4A9D6E" w:rsidR="00C22690" w:rsidRPr="0013396E" w:rsidRDefault="00C22690" w:rsidP="00C22690">
            <w:pPr>
              <w:pStyle w:val="FormulaBold"/>
              <w:rPr>
                <w:b w:val="0"/>
              </w:rPr>
            </w:pPr>
            <w:r w:rsidRPr="0013396E">
              <w:rPr>
                <w:b w:val="0"/>
              </w:rPr>
              <w:t>OGENIRR</w:t>
            </w:r>
            <w:r w:rsidRPr="0013396E">
              <w:rPr>
                <w:b w:val="0"/>
                <w:i/>
                <w:iCs/>
                <w:vertAlign w:val="subscript"/>
                <w:lang w:val="es-ES"/>
              </w:rPr>
              <w:t xml:space="preserve"> q, r, p, i  </w:t>
            </w:r>
            <w:r w:rsidRPr="0013396E">
              <w:rPr>
                <w:b w:val="0"/>
              </w:rPr>
              <w:t xml:space="preserve"> = Max [0, TWTG</w:t>
            </w:r>
            <w:r w:rsidRPr="0013396E">
              <w:rPr>
                <w:b w:val="0"/>
                <w:i/>
                <w:iCs/>
                <w:vertAlign w:val="subscript"/>
                <w:lang w:val="es-ES"/>
              </w:rPr>
              <w:t xml:space="preserve"> q, r, p, i </w:t>
            </w:r>
            <w:r w:rsidRPr="0013396E">
              <w:rPr>
                <w:b w:val="0"/>
              </w:rPr>
              <w:t xml:space="preserve"> – ¼ * AA</w:t>
            </w:r>
            <w:r w:rsidR="008844A7" w:rsidRPr="0013396E">
              <w:rPr>
                <w:b w:val="0"/>
              </w:rPr>
              <w:t>S</w:t>
            </w:r>
            <w:r w:rsidRPr="0013396E">
              <w:rPr>
                <w:b w:val="0"/>
              </w:rPr>
              <w:t>P</w:t>
            </w:r>
            <w:r w:rsidRPr="0013396E">
              <w:rPr>
                <w:b w:val="0"/>
                <w:i/>
                <w:iCs/>
                <w:vertAlign w:val="subscript"/>
                <w:lang w:val="es-ES"/>
              </w:rPr>
              <w:t xml:space="preserve"> q, r, p, i * </w:t>
            </w:r>
            <w:r w:rsidRPr="0013396E">
              <w:rPr>
                <w:b w:val="0"/>
              </w:rPr>
              <w:t xml:space="preserve"> (1 + KIRR)]</w:t>
            </w:r>
          </w:p>
          <w:p w14:paraId="6323A35D" w14:textId="32F54809" w:rsidR="00C22690" w:rsidRPr="0013396E" w:rsidRDefault="00C22690" w:rsidP="00C22690">
            <w:pPr>
              <w:pStyle w:val="Formula"/>
              <w:ind w:left="2880" w:hanging="2160"/>
            </w:pPr>
            <w:r w:rsidRPr="0013396E">
              <w:t>TWTG</w:t>
            </w:r>
            <w:r w:rsidRPr="0013396E">
              <w:rPr>
                <w:i/>
                <w:vertAlign w:val="subscript"/>
              </w:rPr>
              <w:t xml:space="preserve"> q, r, p, i</w:t>
            </w:r>
            <w:r w:rsidRPr="0013396E">
              <w:rPr>
                <w:i/>
                <w:vertAlign w:val="subscript"/>
              </w:rPr>
              <w:tab/>
              <w:t xml:space="preserve">=      </w:t>
            </w:r>
            <w:r w:rsidRPr="0013396E">
              <w:t xml:space="preserve"> (</w:t>
            </w:r>
            <w:r w:rsidRPr="0013396E">
              <w:rPr>
                <w:position w:val="-22"/>
              </w:rPr>
              <w:object w:dxaOrig="210" w:dyaOrig="450" w14:anchorId="7E3F8545">
                <v:shape id="_x0000_i1155" type="#_x0000_t75" style="width:6pt;height:24pt" o:ole="">
                  <v:imagedata r:id="rId176" o:title=""/>
                </v:shape>
                <o:OLEObject Type="Embed" ProgID="Equation.3" ShapeID="_x0000_i1155" DrawAspect="Content" ObjectID="_1836311434" r:id="rId188"/>
              </w:object>
            </w:r>
            <w:r w:rsidRPr="0013396E">
              <w:t xml:space="preserve"> (AVGTG5M</w:t>
            </w:r>
            <w:r w:rsidRPr="0013396E">
              <w:rPr>
                <w:i/>
                <w:vertAlign w:val="subscript"/>
              </w:rPr>
              <w:t xml:space="preserve"> q, r, p, i, y</w:t>
            </w:r>
            <w:r w:rsidRPr="0013396E">
              <w:t>) / 3) * ¼</w:t>
            </w:r>
          </w:p>
          <w:p w14:paraId="693F1FF1" w14:textId="1F8D57BF" w:rsidR="00C22690" w:rsidRPr="0013396E" w:rsidRDefault="00C22690" w:rsidP="00C22690">
            <w:pPr>
              <w:spacing w:after="240"/>
              <w:ind w:left="720" w:hanging="720"/>
              <w:rPr>
                <w:iCs/>
              </w:rPr>
            </w:pPr>
            <w:r w:rsidRPr="0013396E">
              <w:rPr>
                <w:iCs/>
              </w:rPr>
              <w:t>(4)</w:t>
            </w:r>
            <w:r w:rsidRPr="0013396E">
              <w:rPr>
                <w:iCs/>
              </w:rPr>
              <w:tab/>
              <w:t>The charge to each QSE for non-excused over-generation of each IRR that is included in an IRR Group, at each Resource Node Settlement Point, if the telemetered generation is greater than the upper tolerance during a 15-minute Settlement Interval, is calculated as follows:</w:t>
            </w:r>
          </w:p>
          <w:p w14:paraId="35B955BD" w14:textId="49ED399A" w:rsidR="00C22690" w:rsidRPr="0013396E" w:rsidRDefault="00C22690" w:rsidP="00C22690">
            <w:pPr>
              <w:ind w:left="720"/>
              <w:rPr>
                <w:lang w:val="pt-BR"/>
              </w:rPr>
            </w:pPr>
            <w:r w:rsidRPr="0013396E">
              <w:rPr>
                <w:lang w:val="pt-BR"/>
              </w:rPr>
              <w:t xml:space="preserve">If </w:t>
            </w:r>
            <w:r w:rsidRPr="0013396E">
              <w:t>the flag signifying that the IRR has received a Base Point below the HDL used by SCED</w:t>
            </w:r>
            <w:r w:rsidR="00C4333E" w:rsidRPr="0013396E">
              <w:t xml:space="preserve"> or the IRR has been instructed not to exceed its Base Point</w:t>
            </w:r>
            <w:r w:rsidRPr="0013396E">
              <w:t xml:space="preserve"> is not set </w:t>
            </w:r>
            <w:r w:rsidRPr="0013396E">
              <w:rPr>
                <w:lang w:val="pt-BR"/>
              </w:rPr>
              <w:t>in all SCED intervals within the 15-minute Settlement Interval for any of the IRRs within an IRR Group, then for all IRRs within an IRR Group:</w:t>
            </w:r>
          </w:p>
          <w:p w14:paraId="221B10CC" w14:textId="71494BAA" w:rsidR="00C22690" w:rsidRPr="0013396E" w:rsidRDefault="008844A7" w:rsidP="00C22690">
            <w:pPr>
              <w:tabs>
                <w:tab w:val="left" w:pos="2340"/>
                <w:tab w:val="left" w:pos="3420"/>
              </w:tabs>
              <w:spacing w:before="120" w:after="240"/>
              <w:ind w:left="720"/>
              <w:rPr>
                <w:b/>
                <w:bCs/>
                <w:lang w:val="pt-BR"/>
              </w:rPr>
            </w:pPr>
            <w:r w:rsidRPr="0013396E">
              <w:rPr>
                <w:b/>
                <w:bCs/>
                <w:lang w:val="pt-BR"/>
              </w:rPr>
              <w:t>S</w:t>
            </w:r>
            <w:r w:rsidR="00C22690" w:rsidRPr="0013396E">
              <w:rPr>
                <w:b/>
                <w:bCs/>
                <w:lang w:val="pt-BR"/>
              </w:rPr>
              <w:t xml:space="preserve">PDAMT </w:t>
            </w:r>
            <w:r w:rsidR="00C22690" w:rsidRPr="0013396E">
              <w:rPr>
                <w:b/>
                <w:bCs/>
                <w:i/>
                <w:vertAlign w:val="subscript"/>
                <w:lang w:val="pt-BR"/>
              </w:rPr>
              <w:t>q, r, p</w:t>
            </w:r>
            <w:r w:rsidR="00C22690" w:rsidRPr="0013396E">
              <w:rPr>
                <w:b/>
                <w:bCs/>
                <w:lang w:val="pt-BR"/>
              </w:rPr>
              <w:t xml:space="preserve"> =</w:t>
            </w:r>
            <w:r w:rsidR="00C22690" w:rsidRPr="0013396E">
              <w:rPr>
                <w:b/>
                <w:bCs/>
                <w:lang w:val="pt-BR"/>
              </w:rPr>
              <w:tab/>
              <w:t>0</w:t>
            </w:r>
          </w:p>
          <w:p w14:paraId="0360337C" w14:textId="7A06B233" w:rsidR="00C22690" w:rsidRPr="0013396E" w:rsidRDefault="00C22690" w:rsidP="00C22690">
            <w:pPr>
              <w:ind w:left="720"/>
              <w:rPr>
                <w:lang w:val="pt-BR"/>
              </w:rPr>
            </w:pPr>
            <w:r w:rsidRPr="0013396E">
              <w:rPr>
                <w:lang w:val="pt-BR"/>
              </w:rPr>
              <w:t xml:space="preserve">If </w:t>
            </w:r>
            <w:r w:rsidRPr="0013396E">
              <w:t>the flag signifying that the IRR has received a Base Point below the HDL used by SCED</w:t>
            </w:r>
            <w:r w:rsidR="00045FBB" w:rsidRPr="0013396E">
              <w:t xml:space="preserve"> or the IRR has been instructed not to exceed its Base Point</w:t>
            </w:r>
            <w:r w:rsidRPr="0013396E">
              <w:t xml:space="preserve"> is set </w:t>
            </w:r>
            <w:r w:rsidRPr="0013396E">
              <w:rPr>
                <w:lang w:val="pt-BR"/>
              </w:rPr>
              <w:t>in all SCED intervals within the 15-minute Settlement Interval for any of the IRRs within an IRR Group, then the deviation penalty is determined for the IRR Group and evenly allocated and charged to each IRR within that IRR Group:</w:t>
            </w:r>
          </w:p>
          <w:p w14:paraId="1CA3D991" w14:textId="6DEF49B5" w:rsidR="00C22690" w:rsidRPr="0013396E" w:rsidRDefault="00C22690" w:rsidP="00C22690">
            <w:pPr>
              <w:rPr>
                <w:lang w:val="pt-BR"/>
              </w:rPr>
            </w:pPr>
          </w:p>
          <w:p w14:paraId="54DE4805" w14:textId="76CC117E" w:rsidR="00C22690" w:rsidRPr="0013396E" w:rsidRDefault="00C22690" w:rsidP="00C22690">
            <w:pPr>
              <w:tabs>
                <w:tab w:val="left" w:pos="720"/>
                <w:tab w:val="left" w:pos="2340"/>
                <w:tab w:val="left" w:pos="3420"/>
              </w:tabs>
              <w:spacing w:after="240"/>
              <w:ind w:left="2880" w:hanging="2880"/>
              <w:rPr>
                <w:b/>
                <w:bCs/>
                <w:lang w:val="pt-BR"/>
              </w:rPr>
            </w:pPr>
            <w:r w:rsidRPr="0013396E">
              <w:rPr>
                <w:b/>
                <w:bCs/>
                <w:lang w:val="pt-BR"/>
              </w:rPr>
              <w:tab/>
            </w:r>
            <w:r w:rsidR="008844A7" w:rsidRPr="0013396E">
              <w:rPr>
                <w:b/>
                <w:bCs/>
                <w:lang w:val="pt-BR"/>
              </w:rPr>
              <w:t>S</w:t>
            </w:r>
            <w:r w:rsidRPr="0013396E">
              <w:rPr>
                <w:b/>
                <w:bCs/>
                <w:lang w:val="pt-BR"/>
              </w:rPr>
              <w:t>PDAMT</w:t>
            </w:r>
            <w:r w:rsidRPr="0013396E">
              <w:rPr>
                <w:b/>
                <w:bCs/>
                <w:i/>
                <w:vertAlign w:val="subscript"/>
                <w:lang w:val="pt-BR"/>
              </w:rPr>
              <w:t xml:space="preserve"> q, r, p</w:t>
            </w:r>
            <w:r w:rsidRPr="0013396E">
              <w:rPr>
                <w:b/>
                <w:bCs/>
                <w:lang w:val="pt-BR"/>
              </w:rPr>
              <w:t xml:space="preserve"> = Max (PR1, RTSPP </w:t>
            </w:r>
            <w:r w:rsidRPr="0013396E">
              <w:rPr>
                <w:b/>
                <w:bCs/>
                <w:i/>
                <w:vertAlign w:val="subscript"/>
                <w:lang w:val="pt-BR"/>
              </w:rPr>
              <w:t>p</w:t>
            </w:r>
            <w:r w:rsidRPr="0013396E">
              <w:rPr>
                <w:b/>
                <w:bCs/>
                <w:lang w:val="pt-BR"/>
              </w:rPr>
              <w:t xml:space="preserve">) * OGENIRR </w:t>
            </w:r>
            <w:r w:rsidRPr="0013396E">
              <w:rPr>
                <w:rFonts w:ascii="Times New Roman Bold" w:hAnsi="Times New Roman Bold"/>
                <w:b/>
                <w:bCs/>
                <w:i/>
                <w:vertAlign w:val="subscript"/>
                <w:lang w:val="pt-BR"/>
              </w:rPr>
              <w:t xml:space="preserve">q, r, i </w:t>
            </w:r>
          </w:p>
          <w:p w14:paraId="6E7DD86E" w14:textId="4C165F78" w:rsidR="00C22690" w:rsidRPr="0013396E" w:rsidRDefault="00C22690" w:rsidP="00C22690">
            <w:pPr>
              <w:tabs>
                <w:tab w:val="left" w:pos="2340"/>
                <w:tab w:val="left" w:pos="3420"/>
                <w:tab w:val="right" w:pos="9360"/>
              </w:tabs>
              <w:spacing w:after="240"/>
              <w:ind w:left="3420" w:hanging="2700"/>
              <w:rPr>
                <w:bCs/>
              </w:rPr>
            </w:pPr>
            <w:r w:rsidRPr="0013396E">
              <w:rPr>
                <w:bCs/>
              </w:rPr>
              <w:t>Where:</w:t>
            </w:r>
          </w:p>
          <w:p w14:paraId="6CE4F463" w14:textId="5BBC74F8" w:rsidR="00C22690" w:rsidRPr="0013396E" w:rsidRDefault="00C22690" w:rsidP="00C22690">
            <w:pPr>
              <w:tabs>
                <w:tab w:val="left" w:pos="2340"/>
                <w:tab w:val="left" w:pos="3420"/>
                <w:tab w:val="right" w:pos="9360"/>
              </w:tabs>
              <w:spacing w:after="240"/>
              <w:ind w:left="3420" w:hanging="2700"/>
              <w:rPr>
                <w:bCs/>
              </w:rPr>
            </w:pPr>
            <w:r w:rsidRPr="0013396E">
              <w:rPr>
                <w:bCs/>
              </w:rPr>
              <w:t>OGENIRR</w:t>
            </w:r>
            <w:r w:rsidRPr="0013396E">
              <w:rPr>
                <w:bCs/>
                <w:i/>
                <w:iCs/>
                <w:vertAlign w:val="subscript"/>
                <w:lang w:val="es-ES"/>
              </w:rPr>
              <w:t xml:space="preserve"> q, r, i  </w:t>
            </w:r>
            <w:r w:rsidRPr="0013396E">
              <w:rPr>
                <w:bCs/>
              </w:rPr>
              <w:t xml:space="preserve"> = Max [0, TWTG</w:t>
            </w:r>
            <w:r w:rsidRPr="0013396E">
              <w:rPr>
                <w:bCs/>
                <w:i/>
                <w:iCs/>
                <w:vertAlign w:val="subscript"/>
                <w:lang w:val="es-ES"/>
              </w:rPr>
              <w:t xml:space="preserve"> q, wg, i </w:t>
            </w:r>
            <w:r w:rsidRPr="0013396E">
              <w:rPr>
                <w:bCs/>
              </w:rPr>
              <w:t xml:space="preserve"> – ¼ * AA</w:t>
            </w:r>
            <w:r w:rsidR="008844A7" w:rsidRPr="0013396E">
              <w:rPr>
                <w:bCs/>
              </w:rPr>
              <w:t>S</w:t>
            </w:r>
            <w:r w:rsidRPr="0013396E">
              <w:rPr>
                <w:bCs/>
              </w:rPr>
              <w:t>P</w:t>
            </w:r>
            <w:r w:rsidRPr="0013396E">
              <w:rPr>
                <w:bCs/>
                <w:i/>
                <w:iCs/>
                <w:vertAlign w:val="subscript"/>
                <w:lang w:val="es-ES"/>
              </w:rPr>
              <w:t xml:space="preserve"> q, wg, i * </w:t>
            </w:r>
            <w:r w:rsidRPr="0013396E">
              <w:rPr>
                <w:bCs/>
              </w:rPr>
              <w:t xml:space="preserve"> (1 + KIRR)] / N</w:t>
            </w:r>
          </w:p>
          <w:p w14:paraId="268060B2" w14:textId="2398D34B" w:rsidR="00C22690" w:rsidRPr="0013396E" w:rsidRDefault="00C22690" w:rsidP="00C22690">
            <w:pPr>
              <w:pStyle w:val="Formula"/>
              <w:ind w:left="2880" w:hanging="2160"/>
            </w:pPr>
            <w:r w:rsidRPr="0013396E">
              <w:t>TWTG</w:t>
            </w:r>
            <w:r w:rsidRPr="0013396E">
              <w:rPr>
                <w:i/>
                <w:vertAlign w:val="subscript"/>
              </w:rPr>
              <w:t xml:space="preserve"> q, wg, i</w:t>
            </w:r>
            <w:r w:rsidRPr="0013396E">
              <w:rPr>
                <w:i/>
                <w:vertAlign w:val="subscript"/>
              </w:rPr>
              <w:tab/>
              <w:t xml:space="preserve">=     </w:t>
            </w:r>
            <w:r w:rsidRPr="0013396E">
              <w:t xml:space="preserve"> </w:t>
            </w:r>
            <w:r w:rsidRPr="0013396E">
              <w:rPr>
                <w:bCs w:val="0"/>
                <w:noProof/>
                <w:position w:val="-18"/>
              </w:rPr>
              <w:drawing>
                <wp:inline distT="0" distB="0" distL="0" distR="0" wp14:anchorId="65E8A20C" wp14:editId="2FA56C84">
                  <wp:extent cx="135255" cy="246380"/>
                  <wp:effectExtent l="0" t="0" r="0" b="1270"/>
                  <wp:docPr id="3293" name="Picture 3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0" cstate="print">
                            <a:extLst>
                              <a:ext uri="{28A0092B-C50C-407E-A947-70E740481C1C}">
                                <a14:useLocalDpi xmlns:a14="http://schemas.microsoft.com/office/drawing/2010/main" val="0"/>
                              </a:ext>
                            </a:extLst>
                          </a:blip>
                          <a:srcRect/>
                          <a:stretch>
                            <a:fillRect/>
                          </a:stretch>
                        </pic:blipFill>
                        <pic:spPr bwMode="auto">
                          <a:xfrm>
                            <a:off x="0" y="0"/>
                            <a:ext cx="135255" cy="246380"/>
                          </a:xfrm>
                          <a:prstGeom prst="rect">
                            <a:avLst/>
                          </a:prstGeom>
                          <a:noFill/>
                          <a:ln>
                            <a:noFill/>
                          </a:ln>
                        </pic:spPr>
                      </pic:pic>
                    </a:graphicData>
                  </a:graphic>
                </wp:inline>
              </w:drawing>
            </w:r>
            <w:r w:rsidRPr="0013396E">
              <w:rPr>
                <w:bCs w:val="0"/>
                <w:lang w:val="es-ES"/>
              </w:rPr>
              <w:t>(</w:t>
            </w:r>
            <w:r w:rsidRPr="0013396E">
              <w:t>TWTG</w:t>
            </w:r>
            <w:r w:rsidRPr="0013396E">
              <w:rPr>
                <w:i/>
                <w:iCs/>
                <w:vertAlign w:val="subscript"/>
                <w:lang w:val="es-ES"/>
              </w:rPr>
              <w:t xml:space="preserve"> q, r, p, i</w:t>
            </w:r>
            <w:r w:rsidRPr="0013396E">
              <w:t>)</w:t>
            </w:r>
          </w:p>
          <w:p w14:paraId="260A4157" w14:textId="27467999" w:rsidR="00C22690" w:rsidRPr="0013396E" w:rsidRDefault="00C22690" w:rsidP="00C22690">
            <w:pPr>
              <w:tabs>
                <w:tab w:val="left" w:pos="2340"/>
                <w:tab w:val="left" w:pos="3420"/>
              </w:tabs>
              <w:spacing w:after="240"/>
              <w:ind w:leftChars="300" w:left="2880" w:hangingChars="900" w:hanging="2160"/>
              <w:rPr>
                <w:b/>
                <w:bCs/>
                <w:i/>
                <w:iCs/>
                <w:sz w:val="26"/>
                <w:szCs w:val="26"/>
              </w:rPr>
            </w:pPr>
            <w:r w:rsidRPr="0013396E">
              <w:rPr>
                <w:lang w:val="es-ES"/>
              </w:rPr>
              <w:t>AA</w:t>
            </w:r>
            <w:r w:rsidR="008844A7" w:rsidRPr="0013396E">
              <w:rPr>
                <w:lang w:val="es-ES"/>
              </w:rPr>
              <w:t>S</w:t>
            </w:r>
            <w:r w:rsidRPr="0013396E">
              <w:rPr>
                <w:lang w:val="es-ES"/>
              </w:rPr>
              <w:t>P</w:t>
            </w:r>
            <w:r w:rsidRPr="0013396E">
              <w:rPr>
                <w:i/>
                <w:vertAlign w:val="subscript"/>
                <w:lang w:val="pt-BR"/>
              </w:rPr>
              <w:t xml:space="preserve"> q, wg, i </w:t>
            </w:r>
            <w:r w:rsidRPr="0013396E">
              <w:rPr>
                <w:lang w:val="pt-BR"/>
              </w:rPr>
              <w:t xml:space="preserve">= </w:t>
            </w:r>
            <w:r w:rsidRPr="0013396E">
              <w:rPr>
                <w:noProof/>
                <w:position w:val="-18"/>
              </w:rPr>
              <w:drawing>
                <wp:inline distT="0" distB="0" distL="0" distR="0" wp14:anchorId="289D9B79" wp14:editId="4D165EBA">
                  <wp:extent cx="135255" cy="246380"/>
                  <wp:effectExtent l="0" t="0" r="0" b="1270"/>
                  <wp:docPr id="3292" name="Picture 3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pic:cNvPicPr>
                            <a:picLocks noChangeAspect="1" noChangeArrowheads="1"/>
                          </pic:cNvPicPr>
                        </pic:nvPicPr>
                        <pic:blipFill>
                          <a:blip r:embed="rId180" cstate="print">
                            <a:extLst>
                              <a:ext uri="{28A0092B-C50C-407E-A947-70E740481C1C}">
                                <a14:useLocalDpi xmlns:a14="http://schemas.microsoft.com/office/drawing/2010/main" val="0"/>
                              </a:ext>
                            </a:extLst>
                          </a:blip>
                          <a:srcRect/>
                          <a:stretch>
                            <a:fillRect/>
                          </a:stretch>
                        </pic:blipFill>
                        <pic:spPr bwMode="auto">
                          <a:xfrm>
                            <a:off x="0" y="0"/>
                            <a:ext cx="135255" cy="246380"/>
                          </a:xfrm>
                          <a:prstGeom prst="rect">
                            <a:avLst/>
                          </a:prstGeom>
                          <a:noFill/>
                          <a:ln>
                            <a:noFill/>
                          </a:ln>
                        </pic:spPr>
                      </pic:pic>
                    </a:graphicData>
                  </a:graphic>
                </wp:inline>
              </w:drawing>
            </w:r>
            <w:r w:rsidRPr="0013396E">
              <w:rPr>
                <w:lang w:val="es-ES"/>
              </w:rPr>
              <w:t>(</w:t>
            </w:r>
            <w:r w:rsidRPr="0013396E">
              <w:rPr>
                <w:lang w:val="pt-BR"/>
              </w:rPr>
              <w:t>AA</w:t>
            </w:r>
            <w:r w:rsidR="008844A7" w:rsidRPr="0013396E">
              <w:rPr>
                <w:lang w:val="pt-BR"/>
              </w:rPr>
              <w:t>S</w:t>
            </w:r>
            <w:r w:rsidRPr="0013396E">
              <w:rPr>
                <w:lang w:val="pt-BR"/>
              </w:rPr>
              <w:t>P</w:t>
            </w:r>
            <w:r w:rsidRPr="0013396E">
              <w:rPr>
                <w:i/>
                <w:vertAlign w:val="subscript"/>
                <w:lang w:val="pt-BR"/>
              </w:rPr>
              <w:t xml:space="preserve"> q, r, p, i</w:t>
            </w:r>
            <w:r w:rsidRPr="0013396E">
              <w:rPr>
                <w:lang w:val="pt-BR"/>
              </w:rPr>
              <w:t>)</w:t>
            </w:r>
          </w:p>
          <w:p w14:paraId="727974AE" w14:textId="6A8FB592" w:rsidR="00C22690" w:rsidRPr="0013396E" w:rsidRDefault="00C22690" w:rsidP="00C22690">
            <w:r w:rsidRPr="0013396E">
              <w:t>The above variables are defined as follows:</w:t>
            </w:r>
          </w:p>
          <w:tbl>
            <w:tblPr>
              <w:tblW w:w="9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5"/>
              <w:gridCol w:w="900"/>
              <w:gridCol w:w="6930"/>
              <w:gridCol w:w="12"/>
            </w:tblGrid>
            <w:tr w:rsidR="00C56A02" w:rsidRPr="0013396E" w14:paraId="62017E6B" w14:textId="304B3FE5" w:rsidTr="001B737D">
              <w:tc>
                <w:tcPr>
                  <w:tcW w:w="1975" w:type="dxa"/>
                </w:tcPr>
                <w:p w14:paraId="0FF43FCF" w14:textId="6DEF4C1F" w:rsidR="00C56A02" w:rsidRPr="0013396E" w:rsidRDefault="00C56A02" w:rsidP="00C56A02">
                  <w:pPr>
                    <w:pStyle w:val="TableHead"/>
                    <w:rPr>
                      <w:sz w:val="18"/>
                      <w:szCs w:val="18"/>
                    </w:rPr>
                  </w:pPr>
                  <w:r w:rsidRPr="0013396E">
                    <w:rPr>
                      <w:sz w:val="18"/>
                      <w:szCs w:val="18"/>
                    </w:rPr>
                    <w:t>Variable</w:t>
                  </w:r>
                </w:p>
              </w:tc>
              <w:tc>
                <w:tcPr>
                  <w:tcW w:w="900" w:type="dxa"/>
                </w:tcPr>
                <w:p w14:paraId="28408F8A" w14:textId="3DC53242" w:rsidR="00C56A02" w:rsidRPr="0013396E" w:rsidRDefault="00C56A02" w:rsidP="00C56A02">
                  <w:pPr>
                    <w:pStyle w:val="TableHead"/>
                    <w:rPr>
                      <w:sz w:val="18"/>
                      <w:szCs w:val="18"/>
                    </w:rPr>
                  </w:pPr>
                  <w:r w:rsidRPr="0013396E">
                    <w:rPr>
                      <w:sz w:val="18"/>
                      <w:szCs w:val="18"/>
                    </w:rPr>
                    <w:t>Unit</w:t>
                  </w:r>
                </w:p>
              </w:tc>
              <w:tc>
                <w:tcPr>
                  <w:tcW w:w="6942" w:type="dxa"/>
                  <w:gridSpan w:val="2"/>
                </w:tcPr>
                <w:p w14:paraId="4FCF6278" w14:textId="35B9B46B" w:rsidR="00C56A02" w:rsidRPr="0013396E" w:rsidRDefault="00C56A02" w:rsidP="00C56A02">
                  <w:pPr>
                    <w:pStyle w:val="TableHead"/>
                    <w:rPr>
                      <w:sz w:val="18"/>
                      <w:szCs w:val="18"/>
                    </w:rPr>
                  </w:pPr>
                  <w:r w:rsidRPr="0013396E">
                    <w:rPr>
                      <w:sz w:val="18"/>
                      <w:szCs w:val="18"/>
                    </w:rPr>
                    <w:t>Definition</w:t>
                  </w:r>
                </w:p>
              </w:tc>
            </w:tr>
            <w:tr w:rsidR="00C56A02" w:rsidRPr="0013396E" w14:paraId="726112FC" w14:textId="3989AB66" w:rsidTr="001B737D">
              <w:trPr>
                <w:cantSplit/>
              </w:trPr>
              <w:tc>
                <w:tcPr>
                  <w:tcW w:w="1975" w:type="dxa"/>
                </w:tcPr>
                <w:p w14:paraId="6E5BAD21" w14:textId="3DCFB4C8" w:rsidR="00C56A02" w:rsidRPr="0013396E" w:rsidRDefault="008844A7" w:rsidP="00C56A02">
                  <w:pPr>
                    <w:pStyle w:val="TableBody"/>
                  </w:pPr>
                  <w:r w:rsidRPr="0013396E">
                    <w:t>S</w:t>
                  </w:r>
                  <w:r w:rsidR="00C56A02" w:rsidRPr="0013396E">
                    <w:t xml:space="preserve">PDAMT </w:t>
                  </w:r>
                  <w:r w:rsidR="00C56A02" w:rsidRPr="0013396E">
                    <w:rPr>
                      <w:i/>
                      <w:vertAlign w:val="subscript"/>
                    </w:rPr>
                    <w:t>q, r, p, i</w:t>
                  </w:r>
                </w:p>
              </w:tc>
              <w:tc>
                <w:tcPr>
                  <w:tcW w:w="900" w:type="dxa"/>
                </w:tcPr>
                <w:p w14:paraId="4E0DB829" w14:textId="7F14EBDA" w:rsidR="00C56A02" w:rsidRPr="0013396E" w:rsidRDefault="00C56A02" w:rsidP="00C56A02">
                  <w:pPr>
                    <w:pStyle w:val="TableBody"/>
                  </w:pPr>
                  <w:r w:rsidRPr="0013396E">
                    <w:t>$</w:t>
                  </w:r>
                </w:p>
              </w:tc>
              <w:tc>
                <w:tcPr>
                  <w:tcW w:w="6942" w:type="dxa"/>
                  <w:gridSpan w:val="2"/>
                </w:tcPr>
                <w:p w14:paraId="7F5EC965" w14:textId="5F32C3AD" w:rsidR="00C56A02" w:rsidRPr="0013396E" w:rsidRDefault="008844A7" w:rsidP="008844A7">
                  <w:pPr>
                    <w:pStyle w:val="TableBody"/>
                  </w:pPr>
                  <w:r w:rsidRPr="0013396E">
                    <w:rPr>
                      <w:i/>
                    </w:rPr>
                    <w:t>Set</w:t>
                  </w:r>
                  <w:r w:rsidR="00C56A02" w:rsidRPr="0013396E">
                    <w:rPr>
                      <w:i/>
                    </w:rPr>
                    <w:t xml:space="preserve"> Point Deviation Charge per QSE per Settlement Point per Resource</w:t>
                  </w:r>
                  <w:r w:rsidR="00C56A02" w:rsidRPr="0013396E">
                    <w:t xml:space="preserve">—The charge to QSE </w:t>
                  </w:r>
                  <w:r w:rsidR="00C56A02" w:rsidRPr="0013396E">
                    <w:rPr>
                      <w:i/>
                    </w:rPr>
                    <w:t>q</w:t>
                  </w:r>
                  <w:r w:rsidR="00C56A02" w:rsidRPr="0013396E">
                    <w:t xml:space="preserve"> for Generation Resource </w:t>
                  </w:r>
                  <w:r w:rsidR="00C56A02" w:rsidRPr="0013396E">
                    <w:rPr>
                      <w:i/>
                    </w:rPr>
                    <w:t>r</w:t>
                  </w:r>
                  <w:r w:rsidR="00C56A02" w:rsidRPr="0013396E">
                    <w:t xml:space="preserve"> at Resource Node </w:t>
                  </w:r>
                  <w:r w:rsidR="00C56A02" w:rsidRPr="0013396E">
                    <w:rPr>
                      <w:i/>
                    </w:rPr>
                    <w:t>p</w:t>
                  </w:r>
                  <w:r w:rsidR="00C56A02" w:rsidRPr="0013396E">
                    <w:t xml:space="preserve">, for its deviation from </w:t>
                  </w:r>
                  <w:r w:rsidRPr="0013396E">
                    <w:t>AASP</w:t>
                  </w:r>
                  <w:r w:rsidR="00C56A02" w:rsidRPr="0013396E">
                    <w:t xml:space="preserve">, for the 15-minute Settlement Interval </w:t>
                  </w:r>
                  <w:r w:rsidR="00C56A02" w:rsidRPr="0013396E">
                    <w:rPr>
                      <w:i/>
                    </w:rPr>
                    <w:t>i</w:t>
                  </w:r>
                  <w:r w:rsidR="00C56A02" w:rsidRPr="0013396E">
                    <w:t>.</w:t>
                  </w:r>
                </w:p>
              </w:tc>
            </w:tr>
            <w:tr w:rsidR="00C56A02" w:rsidRPr="0013396E" w14:paraId="34CEB5BF" w14:textId="5413D16C" w:rsidTr="001B737D">
              <w:trPr>
                <w:cantSplit/>
              </w:trPr>
              <w:tc>
                <w:tcPr>
                  <w:tcW w:w="1975" w:type="dxa"/>
                </w:tcPr>
                <w:p w14:paraId="112251F3" w14:textId="0CAC2526" w:rsidR="00C56A02" w:rsidRPr="0013396E" w:rsidRDefault="00C56A02" w:rsidP="00C56A02">
                  <w:pPr>
                    <w:pStyle w:val="TableBody"/>
                  </w:pPr>
                  <w:r w:rsidRPr="0013396E">
                    <w:lastRenderedPageBreak/>
                    <w:t xml:space="preserve">RTSPP </w:t>
                  </w:r>
                  <w:r w:rsidRPr="0013396E">
                    <w:rPr>
                      <w:i/>
                      <w:vertAlign w:val="subscript"/>
                    </w:rPr>
                    <w:t>p, i</w:t>
                  </w:r>
                </w:p>
              </w:tc>
              <w:tc>
                <w:tcPr>
                  <w:tcW w:w="900" w:type="dxa"/>
                </w:tcPr>
                <w:p w14:paraId="6CAE8941" w14:textId="504A04D2" w:rsidR="00C56A02" w:rsidRPr="0013396E" w:rsidRDefault="00C56A02" w:rsidP="00C56A02">
                  <w:pPr>
                    <w:pStyle w:val="TableBody"/>
                  </w:pPr>
                  <w:r w:rsidRPr="0013396E">
                    <w:t>$/MWh</w:t>
                  </w:r>
                </w:p>
              </w:tc>
              <w:tc>
                <w:tcPr>
                  <w:tcW w:w="6942" w:type="dxa"/>
                  <w:gridSpan w:val="2"/>
                </w:tcPr>
                <w:p w14:paraId="7ED4625E" w14:textId="0E46FAE5" w:rsidR="00C56A02" w:rsidRPr="0013396E" w:rsidRDefault="00C56A02" w:rsidP="00C56A02">
                  <w:pPr>
                    <w:pStyle w:val="TableBody"/>
                  </w:pPr>
                  <w:r w:rsidRPr="0013396E">
                    <w:rPr>
                      <w:i/>
                    </w:rPr>
                    <w:t>Real-Time Settlement Point Price per Settlement Point</w:t>
                  </w:r>
                  <w:r w:rsidRPr="0013396E">
                    <w:t xml:space="preserve">—The Real-Time Settlement Point Price at Resource Node </w:t>
                  </w:r>
                  <w:r w:rsidRPr="0013396E">
                    <w:rPr>
                      <w:i/>
                    </w:rPr>
                    <w:t>p</w:t>
                  </w:r>
                  <w:r w:rsidRPr="0013396E">
                    <w:t xml:space="preserve">, for the 15-minute Settlement Interval </w:t>
                  </w:r>
                  <w:r w:rsidRPr="0013396E">
                    <w:rPr>
                      <w:i/>
                    </w:rPr>
                    <w:t>i</w:t>
                  </w:r>
                  <w:r w:rsidRPr="0013396E">
                    <w:t>.</w:t>
                  </w:r>
                </w:p>
              </w:tc>
            </w:tr>
            <w:tr w:rsidR="00C56A02" w:rsidRPr="0013396E" w14:paraId="6ED520AF" w14:textId="77946465" w:rsidTr="001B737D">
              <w:trPr>
                <w:gridAfter w:val="1"/>
                <w:wAfter w:w="12" w:type="dxa"/>
                <w:cantSplit/>
              </w:trPr>
              <w:tc>
                <w:tcPr>
                  <w:tcW w:w="1975" w:type="dxa"/>
                </w:tcPr>
                <w:p w14:paraId="791F3521" w14:textId="065916C0" w:rsidR="00C56A02" w:rsidRPr="0013396E" w:rsidRDefault="00C56A02" w:rsidP="00C56A02">
                  <w:pPr>
                    <w:pStyle w:val="TableBody"/>
                  </w:pPr>
                  <w:r w:rsidRPr="0013396E">
                    <w:t xml:space="preserve">TWTG </w:t>
                  </w:r>
                  <w:r w:rsidRPr="0013396E">
                    <w:rPr>
                      <w:i/>
                      <w:vertAlign w:val="subscript"/>
                    </w:rPr>
                    <w:t>q, r, p, i</w:t>
                  </w:r>
                </w:p>
              </w:tc>
              <w:tc>
                <w:tcPr>
                  <w:tcW w:w="900" w:type="dxa"/>
                </w:tcPr>
                <w:p w14:paraId="3D461D89" w14:textId="4CA2F9DD" w:rsidR="00C56A02" w:rsidRPr="0013396E" w:rsidRDefault="00C56A02" w:rsidP="00C56A02">
                  <w:pPr>
                    <w:pStyle w:val="TableBody"/>
                  </w:pPr>
                  <w:r w:rsidRPr="0013396E">
                    <w:t>MWh</w:t>
                  </w:r>
                </w:p>
              </w:tc>
              <w:tc>
                <w:tcPr>
                  <w:tcW w:w="6930" w:type="dxa"/>
                </w:tcPr>
                <w:p w14:paraId="45E7F5FF" w14:textId="3EF5D25F" w:rsidR="00C56A02" w:rsidRPr="0013396E" w:rsidRDefault="00C56A02" w:rsidP="00C56A02">
                  <w:pPr>
                    <w:pStyle w:val="TableBody"/>
                    <w:rPr>
                      <w:i/>
                    </w:rPr>
                  </w:pPr>
                  <w:r w:rsidRPr="0013396E">
                    <w:rPr>
                      <w:i/>
                    </w:rPr>
                    <w:t>Time-Weighted Telemetered Generation per QSE per Settlement Point per Resource</w:t>
                  </w:r>
                  <w:r w:rsidRPr="0013396E">
                    <w:t xml:space="preserve">—The telemetered generation of Generation Resource </w:t>
                  </w:r>
                  <w:r w:rsidRPr="0013396E">
                    <w:rPr>
                      <w:i/>
                    </w:rPr>
                    <w:t>r</w:t>
                  </w:r>
                  <w:r w:rsidRPr="0013396E">
                    <w:t xml:space="preserve"> represented by QSE </w:t>
                  </w:r>
                  <w:r w:rsidRPr="0013396E">
                    <w:rPr>
                      <w:i/>
                    </w:rPr>
                    <w:t>q</w:t>
                  </w:r>
                  <w:r w:rsidRPr="0013396E">
                    <w:t xml:space="preserve"> at Resource Node </w:t>
                  </w:r>
                  <w:r w:rsidRPr="0013396E">
                    <w:rPr>
                      <w:i/>
                    </w:rPr>
                    <w:t>p</w:t>
                  </w:r>
                  <w:r w:rsidRPr="0013396E">
                    <w:t xml:space="preserve">, for the 15-minute Settlement Interval </w:t>
                  </w:r>
                  <w:r w:rsidRPr="0013396E">
                    <w:rPr>
                      <w:i/>
                    </w:rPr>
                    <w:t>i.</w:t>
                  </w:r>
                </w:p>
              </w:tc>
            </w:tr>
            <w:tr w:rsidR="00C56A02" w:rsidRPr="0013396E" w14:paraId="6260E699" w14:textId="549EE15A" w:rsidTr="001B737D">
              <w:trPr>
                <w:gridAfter w:val="1"/>
                <w:wAfter w:w="12" w:type="dxa"/>
                <w:cantSplit/>
              </w:trPr>
              <w:tc>
                <w:tcPr>
                  <w:tcW w:w="1975" w:type="dxa"/>
                </w:tcPr>
                <w:p w14:paraId="0153CCBE" w14:textId="25395D5A" w:rsidR="00C56A02" w:rsidRPr="0013396E" w:rsidRDefault="00C56A02" w:rsidP="008844A7">
                  <w:pPr>
                    <w:pStyle w:val="TableBody"/>
                  </w:pPr>
                  <w:r w:rsidRPr="0013396E">
                    <w:t>AA</w:t>
                  </w:r>
                  <w:r w:rsidR="008844A7" w:rsidRPr="0013396E">
                    <w:t>S</w:t>
                  </w:r>
                  <w:r w:rsidRPr="0013396E">
                    <w:t xml:space="preserve">P </w:t>
                  </w:r>
                  <w:r w:rsidRPr="0013396E">
                    <w:rPr>
                      <w:i/>
                      <w:vertAlign w:val="subscript"/>
                    </w:rPr>
                    <w:t>q, r, p, i</w:t>
                  </w:r>
                </w:p>
              </w:tc>
              <w:tc>
                <w:tcPr>
                  <w:tcW w:w="900" w:type="dxa"/>
                </w:tcPr>
                <w:p w14:paraId="06E24F8C" w14:textId="4D6CCA07" w:rsidR="00C56A02" w:rsidRPr="0013396E" w:rsidRDefault="00C56A02" w:rsidP="00C56A02">
                  <w:pPr>
                    <w:pStyle w:val="TableBody"/>
                  </w:pPr>
                  <w:r w:rsidRPr="0013396E">
                    <w:t>MW</w:t>
                  </w:r>
                </w:p>
              </w:tc>
              <w:tc>
                <w:tcPr>
                  <w:tcW w:w="6930" w:type="dxa"/>
                </w:tcPr>
                <w:p w14:paraId="33125C04" w14:textId="19365671" w:rsidR="00C56A02" w:rsidRPr="0013396E" w:rsidRDefault="008844A7" w:rsidP="008844A7">
                  <w:pPr>
                    <w:pStyle w:val="TableBody"/>
                    <w:rPr>
                      <w:i/>
                    </w:rPr>
                  </w:pPr>
                  <w:r w:rsidRPr="0013396E">
                    <w:rPr>
                      <w:i/>
                    </w:rPr>
                    <w:t>Average</w:t>
                  </w:r>
                  <w:r w:rsidR="00C56A02" w:rsidRPr="0013396E">
                    <w:rPr>
                      <w:i/>
                    </w:rPr>
                    <w:t xml:space="preserve"> Aggregated </w:t>
                  </w:r>
                  <w:r w:rsidRPr="0013396E">
                    <w:rPr>
                      <w:i/>
                    </w:rPr>
                    <w:t>Set</w:t>
                  </w:r>
                  <w:r w:rsidR="00C56A02" w:rsidRPr="0013396E">
                    <w:rPr>
                      <w:i/>
                    </w:rPr>
                    <w:t xml:space="preserve"> Point Generation per QSE per Settlement Point per Resource</w:t>
                  </w:r>
                  <w:r w:rsidR="00C56A02" w:rsidRPr="0013396E">
                    <w:t xml:space="preserve">—The </w:t>
                  </w:r>
                  <w:r w:rsidRPr="0013396E">
                    <w:t>average of the Average Five Minute Clock Interval Set Point (AVGSP5M)</w:t>
                  </w:r>
                  <w:r w:rsidR="00C56A02" w:rsidRPr="0013396E">
                    <w:t xml:space="preserve"> of Generation Resource </w:t>
                  </w:r>
                  <w:r w:rsidR="00C56A02" w:rsidRPr="0013396E">
                    <w:rPr>
                      <w:i/>
                    </w:rPr>
                    <w:t>r</w:t>
                  </w:r>
                  <w:r w:rsidR="00C56A02" w:rsidRPr="0013396E">
                    <w:t xml:space="preserve"> represented by QSE </w:t>
                  </w:r>
                  <w:r w:rsidR="00C56A02" w:rsidRPr="0013396E">
                    <w:rPr>
                      <w:i/>
                    </w:rPr>
                    <w:t>q</w:t>
                  </w:r>
                  <w:r w:rsidR="00C56A02" w:rsidRPr="0013396E">
                    <w:t xml:space="preserve"> at Settlement Point </w:t>
                  </w:r>
                  <w:r w:rsidR="00C56A02" w:rsidRPr="0013396E">
                    <w:rPr>
                      <w:i/>
                    </w:rPr>
                    <w:t>p</w:t>
                  </w:r>
                  <w:r w:rsidR="00C56A02" w:rsidRPr="0013396E">
                    <w:t xml:space="preserve">, for the 15-minute Settlement Interval </w:t>
                  </w:r>
                  <w:r w:rsidR="00C56A02" w:rsidRPr="0013396E">
                    <w:rPr>
                      <w:i/>
                    </w:rPr>
                    <w:t>i.</w:t>
                  </w:r>
                </w:p>
              </w:tc>
            </w:tr>
            <w:tr w:rsidR="00C56A02" w:rsidRPr="0013396E" w14:paraId="51409976" w14:textId="5816B7AD" w:rsidTr="001B737D">
              <w:trPr>
                <w:cantSplit/>
              </w:trPr>
              <w:tc>
                <w:tcPr>
                  <w:tcW w:w="1975" w:type="dxa"/>
                </w:tcPr>
                <w:p w14:paraId="3A7B554F" w14:textId="243D8878" w:rsidR="00C56A02" w:rsidRPr="0013396E" w:rsidRDefault="00C56A02" w:rsidP="00C56A02">
                  <w:pPr>
                    <w:pStyle w:val="TableBody"/>
                  </w:pPr>
                  <w:r w:rsidRPr="0013396E">
                    <w:t>AVGTG5M</w:t>
                  </w:r>
                  <w:r w:rsidRPr="0013396E">
                    <w:rPr>
                      <w:i/>
                      <w:vertAlign w:val="subscript"/>
                      <w:lang w:val="fr-FR"/>
                    </w:rPr>
                    <w:t xml:space="preserve"> q, r, p, i, y</w:t>
                  </w:r>
                </w:p>
              </w:tc>
              <w:tc>
                <w:tcPr>
                  <w:tcW w:w="900" w:type="dxa"/>
                </w:tcPr>
                <w:p w14:paraId="28849211" w14:textId="607EB5D3" w:rsidR="00C56A02" w:rsidRPr="0013396E" w:rsidRDefault="00C56A02" w:rsidP="00C56A02">
                  <w:pPr>
                    <w:pStyle w:val="TableBody"/>
                  </w:pPr>
                  <w:r w:rsidRPr="0013396E">
                    <w:t>MW</w:t>
                  </w:r>
                </w:p>
              </w:tc>
              <w:tc>
                <w:tcPr>
                  <w:tcW w:w="6942" w:type="dxa"/>
                  <w:gridSpan w:val="2"/>
                </w:tcPr>
                <w:p w14:paraId="00E44BE7" w14:textId="5920BD9B" w:rsidR="00C56A02" w:rsidRPr="0013396E" w:rsidRDefault="00C56A02" w:rsidP="00C56A02">
                  <w:pPr>
                    <w:pStyle w:val="TableBody"/>
                  </w:pPr>
                  <w:r w:rsidRPr="0013396E">
                    <w:rPr>
                      <w:i/>
                    </w:rPr>
                    <w:t>Average Telemetered Generation for the 5 Minutes</w:t>
                  </w:r>
                  <w:r w:rsidRPr="0013396E">
                    <w:t xml:space="preserve">—The average telemetered generation of Generation Resource </w:t>
                  </w:r>
                  <w:r w:rsidRPr="0013396E">
                    <w:rPr>
                      <w:i/>
                    </w:rPr>
                    <w:t>r</w:t>
                  </w:r>
                  <w:r w:rsidRPr="0013396E">
                    <w:t xml:space="preserve"> represented by QSE </w:t>
                  </w:r>
                  <w:r w:rsidRPr="0013396E">
                    <w:rPr>
                      <w:i/>
                    </w:rPr>
                    <w:t>q</w:t>
                  </w:r>
                  <w:r w:rsidRPr="0013396E">
                    <w:t xml:space="preserve"> at Resource Node </w:t>
                  </w:r>
                  <w:r w:rsidRPr="0013396E">
                    <w:rPr>
                      <w:i/>
                    </w:rPr>
                    <w:t>p</w:t>
                  </w:r>
                  <w:r w:rsidRPr="0013396E">
                    <w:t xml:space="preserve">, for the five-minute clock interval </w:t>
                  </w:r>
                  <w:r w:rsidRPr="0013396E">
                    <w:rPr>
                      <w:i/>
                    </w:rPr>
                    <w:t>y</w:t>
                  </w:r>
                  <w:r w:rsidRPr="0013396E">
                    <w:t xml:space="preserve">, within the 15-minute Settlement Interval </w:t>
                  </w:r>
                  <w:r w:rsidRPr="0013396E">
                    <w:rPr>
                      <w:i/>
                    </w:rPr>
                    <w:t>i</w:t>
                  </w:r>
                  <w:r w:rsidRPr="0013396E">
                    <w:t>.</w:t>
                  </w:r>
                </w:p>
              </w:tc>
            </w:tr>
            <w:tr w:rsidR="00C56A02" w:rsidRPr="0013396E" w14:paraId="315DE913" w14:textId="43652F67" w:rsidTr="001B737D">
              <w:trPr>
                <w:cantSplit/>
              </w:trPr>
              <w:tc>
                <w:tcPr>
                  <w:tcW w:w="1975" w:type="dxa"/>
                </w:tcPr>
                <w:p w14:paraId="364C14B8" w14:textId="0FF3BE8B" w:rsidR="00C56A02" w:rsidRPr="0013396E" w:rsidRDefault="00C56A02" w:rsidP="00C56A02">
                  <w:pPr>
                    <w:pStyle w:val="TableBody"/>
                  </w:pPr>
                  <w:r w:rsidRPr="0013396E">
                    <w:t xml:space="preserve">OGENIRR </w:t>
                  </w:r>
                  <w:r w:rsidRPr="0013396E">
                    <w:rPr>
                      <w:i/>
                      <w:vertAlign w:val="subscript"/>
                    </w:rPr>
                    <w:t>q, r, p, i</w:t>
                  </w:r>
                </w:p>
              </w:tc>
              <w:tc>
                <w:tcPr>
                  <w:tcW w:w="900" w:type="dxa"/>
                </w:tcPr>
                <w:p w14:paraId="1FC39569" w14:textId="2DFBE504" w:rsidR="00C56A02" w:rsidRPr="0013396E" w:rsidRDefault="00C56A02" w:rsidP="00C56A02">
                  <w:pPr>
                    <w:pStyle w:val="TableBody"/>
                  </w:pPr>
                  <w:r w:rsidRPr="0013396E">
                    <w:t>MWh</w:t>
                  </w:r>
                </w:p>
              </w:tc>
              <w:tc>
                <w:tcPr>
                  <w:tcW w:w="6942" w:type="dxa"/>
                  <w:gridSpan w:val="2"/>
                </w:tcPr>
                <w:p w14:paraId="2D47AA52" w14:textId="05951577" w:rsidR="00C56A02" w:rsidRPr="0013396E" w:rsidRDefault="00C56A02" w:rsidP="00C56A02">
                  <w:pPr>
                    <w:pStyle w:val="TableBody"/>
                  </w:pPr>
                  <w:r w:rsidRPr="0013396E">
                    <w:rPr>
                      <w:i/>
                    </w:rPr>
                    <w:t>Over Generation Volumes per QSE per Settlement Point per IRR Generation Resource</w:t>
                  </w:r>
                  <w:r w:rsidRPr="0013396E">
                    <w:t xml:space="preserve">—The amount over generated by the IRR </w:t>
                  </w:r>
                  <w:r w:rsidRPr="0013396E">
                    <w:rPr>
                      <w:i/>
                    </w:rPr>
                    <w:t>r</w:t>
                  </w:r>
                  <w:r w:rsidRPr="0013396E">
                    <w:t xml:space="preserve"> represented by QSE </w:t>
                  </w:r>
                  <w:r w:rsidRPr="0013396E">
                    <w:rPr>
                      <w:i/>
                    </w:rPr>
                    <w:t>q</w:t>
                  </w:r>
                  <w:r w:rsidRPr="0013396E">
                    <w:t xml:space="preserve"> at Resource Node </w:t>
                  </w:r>
                  <w:r w:rsidRPr="0013396E">
                    <w:rPr>
                      <w:i/>
                    </w:rPr>
                    <w:t>p</w:t>
                  </w:r>
                  <w:r w:rsidRPr="0013396E">
                    <w:t xml:space="preserve"> for the 15-minute Settlement Interval </w:t>
                  </w:r>
                  <w:r w:rsidRPr="0013396E">
                    <w:rPr>
                      <w:i/>
                    </w:rPr>
                    <w:t>i</w:t>
                  </w:r>
                  <w:r w:rsidRPr="0013396E">
                    <w:t>.</w:t>
                  </w:r>
                </w:p>
              </w:tc>
            </w:tr>
            <w:tr w:rsidR="00C56A02" w:rsidRPr="0013396E" w14:paraId="02EA20FD" w14:textId="3942CA69" w:rsidTr="001B737D">
              <w:trPr>
                <w:cantSplit/>
              </w:trPr>
              <w:tc>
                <w:tcPr>
                  <w:tcW w:w="1975" w:type="dxa"/>
                </w:tcPr>
                <w:p w14:paraId="7AC35D35" w14:textId="53FF5CAD" w:rsidR="00C56A02" w:rsidRPr="0013396E" w:rsidRDefault="00C56A02" w:rsidP="00C56A02">
                  <w:pPr>
                    <w:pStyle w:val="TableBody"/>
                  </w:pPr>
                  <w:r w:rsidRPr="0013396E">
                    <w:t>PR1</w:t>
                  </w:r>
                </w:p>
              </w:tc>
              <w:tc>
                <w:tcPr>
                  <w:tcW w:w="900" w:type="dxa"/>
                </w:tcPr>
                <w:p w14:paraId="33DBBC41" w14:textId="5A931E82" w:rsidR="00C56A02" w:rsidRPr="0013396E" w:rsidRDefault="00C56A02" w:rsidP="00C56A02">
                  <w:pPr>
                    <w:pStyle w:val="TableBody"/>
                  </w:pPr>
                  <w:r w:rsidRPr="0013396E">
                    <w:t>$/MWh</w:t>
                  </w:r>
                </w:p>
              </w:tc>
              <w:tc>
                <w:tcPr>
                  <w:tcW w:w="6942" w:type="dxa"/>
                  <w:gridSpan w:val="2"/>
                </w:tcPr>
                <w:p w14:paraId="0FD1E926" w14:textId="63C936A9" w:rsidR="00C56A02" w:rsidRPr="0013396E" w:rsidRDefault="00C56A02" w:rsidP="00C56A02">
                  <w:pPr>
                    <w:pStyle w:val="TableBody"/>
                  </w:pPr>
                  <w:r w:rsidRPr="0013396E">
                    <w:t xml:space="preserve">The price to use for the charge calculation when RTSPP is less than $20/MWh, $20/MWh.  </w:t>
                  </w:r>
                </w:p>
              </w:tc>
            </w:tr>
            <w:tr w:rsidR="00C56A02" w:rsidRPr="0013396E" w14:paraId="345DEC75" w14:textId="468967BE" w:rsidTr="001B737D">
              <w:trPr>
                <w:cantSplit/>
              </w:trPr>
              <w:tc>
                <w:tcPr>
                  <w:tcW w:w="1975" w:type="dxa"/>
                </w:tcPr>
                <w:p w14:paraId="6B0036A4" w14:textId="2C0EDE30" w:rsidR="00C56A02" w:rsidRPr="0013396E" w:rsidRDefault="00C56A02" w:rsidP="00C56A02">
                  <w:pPr>
                    <w:pStyle w:val="TableBody"/>
                  </w:pPr>
                  <w:r w:rsidRPr="0013396E">
                    <w:t>KIRR</w:t>
                  </w:r>
                </w:p>
              </w:tc>
              <w:tc>
                <w:tcPr>
                  <w:tcW w:w="900" w:type="dxa"/>
                </w:tcPr>
                <w:p w14:paraId="023D1C48" w14:textId="1C381DA0" w:rsidR="00C56A02" w:rsidRPr="0013396E" w:rsidRDefault="00C56A02" w:rsidP="00C56A02">
                  <w:pPr>
                    <w:pStyle w:val="TableBody"/>
                  </w:pPr>
                  <w:r w:rsidRPr="0013396E">
                    <w:t>none</w:t>
                  </w:r>
                </w:p>
              </w:tc>
              <w:tc>
                <w:tcPr>
                  <w:tcW w:w="6942" w:type="dxa"/>
                  <w:gridSpan w:val="2"/>
                </w:tcPr>
                <w:p w14:paraId="7D72B385" w14:textId="2C655562" w:rsidR="00C56A02" w:rsidRPr="0013396E" w:rsidRDefault="00C56A02" w:rsidP="00C56A02">
                  <w:pPr>
                    <w:pStyle w:val="TableBody"/>
                  </w:pPr>
                  <w:r w:rsidRPr="0013396E">
                    <w:t xml:space="preserve">The percentage tolerance for over-generation of an IRR, </w:t>
                  </w:r>
                  <w:r w:rsidR="00045FBB" w:rsidRPr="0013396E">
                    <w:t>5</w:t>
                  </w:r>
                  <w:r w:rsidRPr="0013396E">
                    <w:t>%.</w:t>
                  </w:r>
                </w:p>
              </w:tc>
            </w:tr>
            <w:tr w:rsidR="00C56A02" w:rsidRPr="0013396E" w14:paraId="6FBCF628" w14:textId="4E5A7685" w:rsidTr="001B737D">
              <w:trPr>
                <w:cantSplit/>
              </w:trPr>
              <w:tc>
                <w:tcPr>
                  <w:tcW w:w="1975" w:type="dxa"/>
                </w:tcPr>
                <w:p w14:paraId="124507B8" w14:textId="48B6A888" w:rsidR="00C56A02" w:rsidRPr="0013396E" w:rsidRDefault="00C56A02" w:rsidP="00C56A02">
                  <w:pPr>
                    <w:pStyle w:val="TableBody"/>
                  </w:pPr>
                  <w:r w:rsidRPr="0013396E">
                    <w:t>N</w:t>
                  </w:r>
                </w:p>
              </w:tc>
              <w:tc>
                <w:tcPr>
                  <w:tcW w:w="900" w:type="dxa"/>
                </w:tcPr>
                <w:p w14:paraId="7D45CEB2" w14:textId="305962AB" w:rsidR="00C56A02" w:rsidRPr="0013396E" w:rsidRDefault="00C56A02" w:rsidP="00C56A02">
                  <w:pPr>
                    <w:pStyle w:val="TableBody"/>
                  </w:pPr>
                  <w:r w:rsidRPr="0013396E">
                    <w:t>none</w:t>
                  </w:r>
                </w:p>
              </w:tc>
              <w:tc>
                <w:tcPr>
                  <w:tcW w:w="6942" w:type="dxa"/>
                  <w:gridSpan w:val="2"/>
                </w:tcPr>
                <w:p w14:paraId="7A176CFC" w14:textId="3F8437B8" w:rsidR="00C56A02" w:rsidRPr="0013396E" w:rsidRDefault="00C56A02" w:rsidP="00C56A02">
                  <w:pPr>
                    <w:pStyle w:val="TableBody"/>
                  </w:pPr>
                  <w:r w:rsidRPr="0013396E">
                    <w:t>The number of IRRs within an IRR Group.</w:t>
                  </w:r>
                </w:p>
              </w:tc>
            </w:tr>
            <w:tr w:rsidR="00C56A02" w:rsidRPr="0013396E" w14:paraId="5DAE654F" w14:textId="209A45E8" w:rsidTr="001B737D">
              <w:trPr>
                <w:cantSplit/>
              </w:trPr>
              <w:tc>
                <w:tcPr>
                  <w:tcW w:w="1975" w:type="dxa"/>
                </w:tcPr>
                <w:p w14:paraId="3F3C4B0D" w14:textId="2A630EA1" w:rsidR="00C56A02" w:rsidRPr="0013396E" w:rsidRDefault="00C56A02" w:rsidP="00C56A02">
                  <w:pPr>
                    <w:pStyle w:val="TableBody"/>
                    <w:rPr>
                      <w:i/>
                    </w:rPr>
                  </w:pPr>
                  <w:r w:rsidRPr="0013396E">
                    <w:rPr>
                      <w:i/>
                    </w:rPr>
                    <w:t>q</w:t>
                  </w:r>
                </w:p>
              </w:tc>
              <w:tc>
                <w:tcPr>
                  <w:tcW w:w="900" w:type="dxa"/>
                </w:tcPr>
                <w:p w14:paraId="07180891" w14:textId="4DA3D080" w:rsidR="00C56A02" w:rsidRPr="0013396E" w:rsidRDefault="00C56A02" w:rsidP="00C56A02">
                  <w:pPr>
                    <w:pStyle w:val="TableBody"/>
                  </w:pPr>
                  <w:r w:rsidRPr="0013396E">
                    <w:t>none</w:t>
                  </w:r>
                </w:p>
              </w:tc>
              <w:tc>
                <w:tcPr>
                  <w:tcW w:w="6942" w:type="dxa"/>
                  <w:gridSpan w:val="2"/>
                </w:tcPr>
                <w:p w14:paraId="400D6A28" w14:textId="4E29471F" w:rsidR="00C56A02" w:rsidRPr="0013396E" w:rsidRDefault="00C56A02" w:rsidP="00C56A02">
                  <w:pPr>
                    <w:pStyle w:val="TableBody"/>
                  </w:pPr>
                  <w:r w:rsidRPr="0013396E">
                    <w:t>A QSE.</w:t>
                  </w:r>
                </w:p>
              </w:tc>
            </w:tr>
            <w:tr w:rsidR="00C56A02" w:rsidRPr="0013396E" w14:paraId="6D232321" w14:textId="6F0873EB" w:rsidTr="001B737D">
              <w:trPr>
                <w:cantSplit/>
              </w:trPr>
              <w:tc>
                <w:tcPr>
                  <w:tcW w:w="1975" w:type="dxa"/>
                </w:tcPr>
                <w:p w14:paraId="06716D4E" w14:textId="03ACC36A" w:rsidR="00C56A02" w:rsidRPr="0013396E" w:rsidRDefault="00C56A02" w:rsidP="00C56A02">
                  <w:pPr>
                    <w:pStyle w:val="TableBody"/>
                    <w:rPr>
                      <w:i/>
                    </w:rPr>
                  </w:pPr>
                  <w:r w:rsidRPr="0013396E">
                    <w:rPr>
                      <w:i/>
                    </w:rPr>
                    <w:t>p</w:t>
                  </w:r>
                </w:p>
              </w:tc>
              <w:tc>
                <w:tcPr>
                  <w:tcW w:w="900" w:type="dxa"/>
                </w:tcPr>
                <w:p w14:paraId="487B0880" w14:textId="1F2C2743" w:rsidR="00C56A02" w:rsidRPr="0013396E" w:rsidRDefault="00C56A02" w:rsidP="00C56A02">
                  <w:pPr>
                    <w:pStyle w:val="TableBody"/>
                  </w:pPr>
                  <w:r w:rsidRPr="0013396E">
                    <w:t>none</w:t>
                  </w:r>
                </w:p>
              </w:tc>
              <w:tc>
                <w:tcPr>
                  <w:tcW w:w="6942" w:type="dxa"/>
                  <w:gridSpan w:val="2"/>
                </w:tcPr>
                <w:p w14:paraId="3301F510" w14:textId="02115C24" w:rsidR="00C56A02" w:rsidRPr="0013396E" w:rsidRDefault="00C56A02" w:rsidP="00C56A02">
                  <w:pPr>
                    <w:pStyle w:val="TableBody"/>
                  </w:pPr>
                  <w:r w:rsidRPr="0013396E">
                    <w:t>A Settlement Point.</w:t>
                  </w:r>
                </w:p>
              </w:tc>
            </w:tr>
            <w:tr w:rsidR="00C56A02" w:rsidRPr="0013396E" w14:paraId="45F6B086" w14:textId="5E1A1034" w:rsidTr="001B737D">
              <w:trPr>
                <w:cantSplit/>
              </w:trPr>
              <w:tc>
                <w:tcPr>
                  <w:tcW w:w="1975" w:type="dxa"/>
                </w:tcPr>
                <w:p w14:paraId="78078B4B" w14:textId="5843B9B7" w:rsidR="00C56A02" w:rsidRPr="0013396E" w:rsidRDefault="00C56A02" w:rsidP="00C56A02">
                  <w:pPr>
                    <w:pStyle w:val="TableBody"/>
                    <w:rPr>
                      <w:i/>
                    </w:rPr>
                  </w:pPr>
                  <w:r w:rsidRPr="0013396E">
                    <w:rPr>
                      <w:i/>
                    </w:rPr>
                    <w:t>r</w:t>
                  </w:r>
                </w:p>
              </w:tc>
              <w:tc>
                <w:tcPr>
                  <w:tcW w:w="900" w:type="dxa"/>
                </w:tcPr>
                <w:p w14:paraId="5477A213" w14:textId="499A4B09" w:rsidR="00C56A02" w:rsidRPr="0013396E" w:rsidRDefault="00C56A02" w:rsidP="00C56A02">
                  <w:pPr>
                    <w:pStyle w:val="TableBody"/>
                  </w:pPr>
                  <w:r w:rsidRPr="0013396E">
                    <w:t>none</w:t>
                  </w:r>
                </w:p>
              </w:tc>
              <w:tc>
                <w:tcPr>
                  <w:tcW w:w="6942" w:type="dxa"/>
                  <w:gridSpan w:val="2"/>
                </w:tcPr>
                <w:p w14:paraId="0C91870D" w14:textId="7F6B9AAE" w:rsidR="00C56A02" w:rsidRPr="0013396E" w:rsidRDefault="00C56A02" w:rsidP="008844A7">
                  <w:pPr>
                    <w:pStyle w:val="TableBody"/>
                  </w:pPr>
                  <w:r w:rsidRPr="0013396E">
                    <w:rPr>
                      <w:iCs w:val="0"/>
                    </w:rPr>
                    <w:t>An IRR Generation Resource</w:t>
                  </w:r>
                  <w:r w:rsidRPr="0013396E">
                    <w:t xml:space="preserve"> not </w:t>
                  </w:r>
                  <w:r w:rsidR="008844A7" w:rsidRPr="0013396E">
                    <w:t>awarded</w:t>
                  </w:r>
                  <w:r w:rsidRPr="0013396E">
                    <w:t xml:space="preserve"> Ancillary Service</w:t>
                  </w:r>
                  <w:r w:rsidRPr="0013396E">
                    <w:rPr>
                      <w:iCs w:val="0"/>
                    </w:rPr>
                    <w:t xml:space="preserve"> or an IRR within an IRR Group</w:t>
                  </w:r>
                  <w:r w:rsidRPr="0013396E">
                    <w:t xml:space="preserve"> where no member of the IRR Group </w:t>
                  </w:r>
                  <w:r w:rsidR="008844A7" w:rsidRPr="0013396E">
                    <w:t>was awarded</w:t>
                  </w:r>
                  <w:r w:rsidRPr="0013396E">
                    <w:t xml:space="preserve"> Ancillary Service</w:t>
                  </w:r>
                  <w:r w:rsidRPr="0013396E">
                    <w:rPr>
                      <w:iCs w:val="0"/>
                    </w:rPr>
                    <w:t>.</w:t>
                  </w:r>
                </w:p>
              </w:tc>
            </w:tr>
            <w:tr w:rsidR="00C56A02" w:rsidRPr="0013396E" w14:paraId="4C3EEC03" w14:textId="7CA73A20" w:rsidTr="001B737D">
              <w:trPr>
                <w:cantSplit/>
                <w:trHeight w:val="152"/>
              </w:trPr>
              <w:tc>
                <w:tcPr>
                  <w:tcW w:w="1975" w:type="dxa"/>
                </w:tcPr>
                <w:p w14:paraId="23DEE45D" w14:textId="11F67F3B" w:rsidR="00C56A02" w:rsidRPr="0013396E" w:rsidRDefault="00C56A02" w:rsidP="00C56A02">
                  <w:pPr>
                    <w:pStyle w:val="TableBody"/>
                    <w:rPr>
                      <w:i/>
                    </w:rPr>
                  </w:pPr>
                  <w:r w:rsidRPr="0013396E">
                    <w:rPr>
                      <w:i/>
                    </w:rPr>
                    <w:t>i</w:t>
                  </w:r>
                </w:p>
              </w:tc>
              <w:tc>
                <w:tcPr>
                  <w:tcW w:w="900" w:type="dxa"/>
                </w:tcPr>
                <w:p w14:paraId="38EB9BE7" w14:textId="7BC5D592" w:rsidR="00C56A02" w:rsidRPr="0013396E" w:rsidRDefault="00C56A02" w:rsidP="00C56A02">
                  <w:pPr>
                    <w:pStyle w:val="TableBody"/>
                  </w:pPr>
                  <w:r w:rsidRPr="0013396E">
                    <w:t>none</w:t>
                  </w:r>
                </w:p>
              </w:tc>
              <w:tc>
                <w:tcPr>
                  <w:tcW w:w="6942" w:type="dxa"/>
                  <w:gridSpan w:val="2"/>
                </w:tcPr>
                <w:p w14:paraId="41C8B7C6" w14:textId="4CE808D2" w:rsidR="00C56A02" w:rsidRPr="0013396E" w:rsidRDefault="00C56A02" w:rsidP="00C56A02">
                  <w:pPr>
                    <w:pStyle w:val="TableBody"/>
                  </w:pPr>
                  <w:r w:rsidRPr="0013396E">
                    <w:t>A 15-minute Settlement Interval.</w:t>
                  </w:r>
                </w:p>
              </w:tc>
            </w:tr>
            <w:tr w:rsidR="00C56A02" w:rsidRPr="0013396E" w14:paraId="002A2953" w14:textId="18E4A701" w:rsidTr="001B737D">
              <w:trPr>
                <w:cantSplit/>
                <w:trHeight w:val="152"/>
              </w:trPr>
              <w:tc>
                <w:tcPr>
                  <w:tcW w:w="1975" w:type="dxa"/>
                  <w:tcBorders>
                    <w:top w:val="single" w:sz="4" w:space="0" w:color="auto"/>
                    <w:left w:val="single" w:sz="4" w:space="0" w:color="auto"/>
                    <w:bottom w:val="single" w:sz="4" w:space="0" w:color="auto"/>
                    <w:right w:val="single" w:sz="4" w:space="0" w:color="auto"/>
                  </w:tcBorders>
                </w:tcPr>
                <w:p w14:paraId="24F11B10" w14:textId="2EAA8DEF" w:rsidR="00C56A02" w:rsidRPr="0013396E" w:rsidRDefault="00C56A02" w:rsidP="00C56A02">
                  <w:pPr>
                    <w:pStyle w:val="TableBody"/>
                    <w:rPr>
                      <w:i/>
                    </w:rPr>
                  </w:pPr>
                  <w:r w:rsidRPr="0013396E">
                    <w:rPr>
                      <w:i/>
                    </w:rPr>
                    <w:t>y</w:t>
                  </w:r>
                </w:p>
              </w:tc>
              <w:tc>
                <w:tcPr>
                  <w:tcW w:w="900" w:type="dxa"/>
                  <w:tcBorders>
                    <w:top w:val="single" w:sz="4" w:space="0" w:color="auto"/>
                    <w:left w:val="single" w:sz="4" w:space="0" w:color="auto"/>
                    <w:bottom w:val="single" w:sz="4" w:space="0" w:color="auto"/>
                    <w:right w:val="single" w:sz="4" w:space="0" w:color="auto"/>
                  </w:tcBorders>
                </w:tcPr>
                <w:p w14:paraId="50A804D6" w14:textId="766ADE6B" w:rsidR="00C56A02" w:rsidRPr="0013396E" w:rsidRDefault="00C56A02" w:rsidP="00C56A02">
                  <w:pPr>
                    <w:pStyle w:val="TableBody"/>
                  </w:pPr>
                  <w:r w:rsidRPr="0013396E">
                    <w:t>none</w:t>
                  </w:r>
                </w:p>
              </w:tc>
              <w:tc>
                <w:tcPr>
                  <w:tcW w:w="6942" w:type="dxa"/>
                  <w:gridSpan w:val="2"/>
                  <w:tcBorders>
                    <w:top w:val="single" w:sz="4" w:space="0" w:color="auto"/>
                    <w:left w:val="single" w:sz="4" w:space="0" w:color="auto"/>
                    <w:bottom w:val="single" w:sz="4" w:space="0" w:color="auto"/>
                    <w:right w:val="single" w:sz="4" w:space="0" w:color="auto"/>
                  </w:tcBorders>
                </w:tcPr>
                <w:p w14:paraId="58CE5F48" w14:textId="43C93435" w:rsidR="00C56A02" w:rsidRPr="0013396E" w:rsidRDefault="00C56A02" w:rsidP="00C56A02">
                  <w:pPr>
                    <w:pStyle w:val="TableBody"/>
                  </w:pPr>
                  <w:r w:rsidRPr="0013396E">
                    <w:t xml:space="preserve">A five-minute clock interval in the Settlement Interval. </w:t>
                  </w:r>
                </w:p>
              </w:tc>
            </w:tr>
            <w:tr w:rsidR="00C56A02" w:rsidRPr="0013396E" w14:paraId="4F70B97D" w14:textId="301DFEAE" w:rsidTr="001B737D">
              <w:trPr>
                <w:cantSplit/>
                <w:trHeight w:val="152"/>
              </w:trPr>
              <w:tc>
                <w:tcPr>
                  <w:tcW w:w="1975" w:type="dxa"/>
                  <w:tcBorders>
                    <w:top w:val="single" w:sz="4" w:space="0" w:color="auto"/>
                    <w:left w:val="single" w:sz="4" w:space="0" w:color="auto"/>
                    <w:bottom w:val="single" w:sz="4" w:space="0" w:color="auto"/>
                    <w:right w:val="single" w:sz="4" w:space="0" w:color="auto"/>
                  </w:tcBorders>
                </w:tcPr>
                <w:p w14:paraId="6C7FF24C" w14:textId="4BDA1287" w:rsidR="00C56A02" w:rsidRPr="0013396E" w:rsidRDefault="00C56A02" w:rsidP="00C56A02">
                  <w:pPr>
                    <w:pStyle w:val="TableBody"/>
                    <w:rPr>
                      <w:i/>
                    </w:rPr>
                  </w:pPr>
                  <w:r w:rsidRPr="0013396E">
                    <w:rPr>
                      <w:i/>
                    </w:rPr>
                    <w:t>wg</w:t>
                  </w:r>
                </w:p>
              </w:tc>
              <w:tc>
                <w:tcPr>
                  <w:tcW w:w="900" w:type="dxa"/>
                  <w:tcBorders>
                    <w:top w:val="single" w:sz="4" w:space="0" w:color="auto"/>
                    <w:left w:val="single" w:sz="4" w:space="0" w:color="auto"/>
                    <w:bottom w:val="single" w:sz="4" w:space="0" w:color="auto"/>
                    <w:right w:val="single" w:sz="4" w:space="0" w:color="auto"/>
                  </w:tcBorders>
                </w:tcPr>
                <w:p w14:paraId="037F40B4" w14:textId="589F0D70" w:rsidR="00C56A02" w:rsidRPr="0013396E" w:rsidRDefault="00C56A02" w:rsidP="00C56A02">
                  <w:pPr>
                    <w:pStyle w:val="TableBody"/>
                  </w:pPr>
                  <w:r w:rsidRPr="0013396E">
                    <w:t>none</w:t>
                  </w:r>
                </w:p>
              </w:tc>
              <w:tc>
                <w:tcPr>
                  <w:tcW w:w="6942" w:type="dxa"/>
                  <w:gridSpan w:val="2"/>
                  <w:tcBorders>
                    <w:top w:val="single" w:sz="4" w:space="0" w:color="auto"/>
                    <w:left w:val="single" w:sz="4" w:space="0" w:color="auto"/>
                    <w:bottom w:val="single" w:sz="4" w:space="0" w:color="auto"/>
                    <w:right w:val="single" w:sz="4" w:space="0" w:color="auto"/>
                  </w:tcBorders>
                </w:tcPr>
                <w:p w14:paraId="43E1FB41" w14:textId="132290E9" w:rsidR="00C56A02" w:rsidRPr="0013396E" w:rsidRDefault="00C56A02" w:rsidP="00C56A02">
                  <w:pPr>
                    <w:pStyle w:val="TableBody"/>
                  </w:pPr>
                  <w:r w:rsidRPr="0013396E">
                    <w:t>An IRR Group.</w:t>
                  </w:r>
                </w:p>
              </w:tc>
            </w:tr>
          </w:tbl>
          <w:p w14:paraId="747F4A05" w14:textId="09C0305B" w:rsidR="00C22690" w:rsidRPr="0013396E" w:rsidRDefault="00C22690" w:rsidP="001B737D"/>
        </w:tc>
      </w:tr>
    </w:tbl>
    <w:p w14:paraId="425D666A" w14:textId="77777777" w:rsidR="005E0EE9" w:rsidRPr="0013396E" w:rsidRDefault="005E0EE9" w:rsidP="005A7D8E">
      <w:pPr>
        <w:pStyle w:val="BodyText"/>
        <w:tabs>
          <w:tab w:val="left" w:pos="1230"/>
        </w:tabs>
        <w:spacing w:before="480"/>
        <w:ind w:left="1166" w:hanging="1166"/>
        <w:outlineLvl w:val="3"/>
        <w:rPr>
          <w:b/>
          <w:lang w:val="fr-FR"/>
        </w:rPr>
      </w:pPr>
      <w:bookmarkStart w:id="1853" w:name="_Toc214878988"/>
      <w:r w:rsidRPr="0013396E">
        <w:rPr>
          <w:b/>
          <w:lang w:val="fr-FR"/>
        </w:rPr>
        <w:lastRenderedPageBreak/>
        <w:t>6.6.5.5</w:t>
      </w:r>
      <w:r w:rsidRPr="0013396E">
        <w:rPr>
          <w:b/>
          <w:lang w:val="fr-FR"/>
        </w:rPr>
        <w:tab/>
        <w:t>Energy Storage Resource Set Point Deviation Charge for Over Performance</w:t>
      </w:r>
      <w:bookmarkEnd w:id="1853"/>
    </w:p>
    <w:p w14:paraId="142EC0C2" w14:textId="77777777" w:rsidR="005E0EE9" w:rsidRPr="0013396E" w:rsidRDefault="005E0EE9" w:rsidP="005E0EE9">
      <w:pPr>
        <w:pStyle w:val="BodyTextNumbered"/>
      </w:pPr>
      <w:r w:rsidRPr="0013396E">
        <w:t>(1)</w:t>
      </w:r>
      <w:r w:rsidRPr="0013396E">
        <w:tab/>
        <w:t xml:space="preserve">ERCOT shall charge a QSE for an ESR a Set Point Deviation Charge for over-performance if the telemetered generation or consumption exceeds the specified tolerance.  </w:t>
      </w:r>
    </w:p>
    <w:p w14:paraId="165F9D63" w14:textId="3E8C2894" w:rsidR="005E0EE9" w:rsidRPr="0013396E" w:rsidRDefault="005E0EE9" w:rsidP="00CE78B5">
      <w:pPr>
        <w:pStyle w:val="BodyTextNumbered"/>
        <w:rPr>
          <w:iCs/>
        </w:rPr>
      </w:pPr>
      <w:r w:rsidRPr="0013396E">
        <w:t>(2)</w:t>
      </w:r>
      <w:r w:rsidRPr="0013396E">
        <w:tab/>
        <w:t>The tolerance is the greater of 3% of the AASP for the ESR in the Settlement Interval, or three MW above the AASP for the ESR in the Settlement Interval</w:t>
      </w:r>
      <w:r w:rsidR="00CE78B5">
        <w: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640A5D" w:rsidRPr="0013396E" w14:paraId="73FF9CD6" w14:textId="77777777" w:rsidTr="00E31211">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2D3697CF" w14:textId="58CF3E02" w:rsidR="00640A5D" w:rsidRPr="0013396E" w:rsidRDefault="00640A5D" w:rsidP="00E31211">
            <w:pPr>
              <w:spacing w:before="120" w:after="240"/>
              <w:rPr>
                <w:b/>
                <w:i/>
                <w:iCs/>
                <w:szCs w:val="24"/>
              </w:rPr>
            </w:pPr>
            <w:r w:rsidRPr="0013396E">
              <w:rPr>
                <w:b/>
                <w:i/>
                <w:iCs/>
                <w:szCs w:val="24"/>
              </w:rPr>
              <w:t>[NPRR</w:t>
            </w:r>
            <w:r>
              <w:rPr>
                <w:b/>
                <w:i/>
                <w:iCs/>
                <w:szCs w:val="24"/>
              </w:rPr>
              <w:t>1014 and NPRR1029</w:t>
            </w:r>
            <w:r w:rsidRPr="0013396E">
              <w:rPr>
                <w:b/>
                <w:i/>
                <w:iCs/>
                <w:szCs w:val="24"/>
              </w:rPr>
              <w:t xml:space="preserve">:  Replace </w:t>
            </w:r>
            <w:r>
              <w:rPr>
                <w:b/>
                <w:i/>
                <w:iCs/>
                <w:szCs w:val="24"/>
              </w:rPr>
              <w:t xml:space="preserve">applicable portions of </w:t>
            </w:r>
            <w:r w:rsidRPr="0013396E">
              <w:rPr>
                <w:b/>
                <w:i/>
                <w:iCs/>
                <w:szCs w:val="24"/>
              </w:rPr>
              <w:t>paragraph (</w:t>
            </w:r>
            <w:r>
              <w:rPr>
                <w:b/>
                <w:i/>
                <w:iCs/>
                <w:szCs w:val="24"/>
              </w:rPr>
              <w:t>2</w:t>
            </w:r>
            <w:r w:rsidRPr="0013396E">
              <w:rPr>
                <w:b/>
                <w:i/>
                <w:iCs/>
                <w:szCs w:val="24"/>
              </w:rPr>
              <w:t>) above with the following upon system implementation</w:t>
            </w:r>
            <w:r w:rsidR="00CE78B5">
              <w:rPr>
                <w:b/>
                <w:i/>
                <w:iCs/>
                <w:szCs w:val="24"/>
              </w:rPr>
              <w:t xml:space="preserve"> and renumber accordingly</w:t>
            </w:r>
            <w:r w:rsidRPr="0013396E">
              <w:rPr>
                <w:b/>
                <w:i/>
                <w:iCs/>
                <w:szCs w:val="24"/>
              </w:rPr>
              <w:t>:]</w:t>
            </w:r>
          </w:p>
          <w:p w14:paraId="653351E0" w14:textId="77777777" w:rsidR="00640A5D" w:rsidRPr="0013396E" w:rsidRDefault="00640A5D" w:rsidP="00640A5D">
            <w:pPr>
              <w:pStyle w:val="BodyTextNumbered"/>
            </w:pPr>
            <w:r w:rsidRPr="0013396E">
              <w:t>(2)</w:t>
            </w:r>
            <w:r w:rsidRPr="0013396E">
              <w:tab/>
              <w:t>The tolerance is the greater of 3% of the AASP for the ESR in the Settlement Interval, or three MW above the AASP for the ESR in the Settlement Interval if the Resource meets the following conditions:</w:t>
            </w:r>
          </w:p>
          <w:p w14:paraId="7CD8F249" w14:textId="77777777" w:rsidR="00640A5D" w:rsidRPr="0013396E" w:rsidRDefault="00640A5D" w:rsidP="00640A5D">
            <w:pPr>
              <w:pStyle w:val="BodyTextNumbered"/>
              <w:ind w:left="1440"/>
            </w:pPr>
            <w:r w:rsidRPr="0013396E">
              <w:t>(a)</w:t>
            </w:r>
            <w:r w:rsidRPr="0013396E">
              <w:rPr>
                <w:iCs/>
              </w:rPr>
              <w:tab/>
            </w:r>
            <w:r w:rsidRPr="0013396E">
              <w:t xml:space="preserve">The ESR is not a DC-Coupled Resource; or </w:t>
            </w:r>
          </w:p>
          <w:p w14:paraId="6344033B" w14:textId="77777777" w:rsidR="00640A5D" w:rsidRDefault="00640A5D" w:rsidP="00640A5D">
            <w:pPr>
              <w:pStyle w:val="BodyTextNumbered"/>
              <w:ind w:left="1440"/>
            </w:pPr>
            <w:r w:rsidRPr="0013396E">
              <w:lastRenderedPageBreak/>
              <w:t>(b)</w:t>
            </w:r>
            <w:r w:rsidRPr="0013396E">
              <w:rPr>
                <w:iCs/>
              </w:rPr>
              <w:tab/>
            </w:r>
            <w:r w:rsidRPr="0013396E">
              <w:t>The ESR is a DC-</w:t>
            </w:r>
            <w:r w:rsidRPr="0013396E">
              <w:rPr>
                <w:iCs/>
              </w:rPr>
              <w:t>Coupled</w:t>
            </w:r>
            <w:r w:rsidRPr="0013396E">
              <w:t xml:space="preserve"> Resource and meets the conditions to be treated in the same manner as an ESR as specified in paragraph (1) of Section 3.8.7, DC-Coupled Resources, anytime during the Settlement Interval.</w:t>
            </w:r>
          </w:p>
          <w:p w14:paraId="226ABDC9" w14:textId="2EEAFAFB" w:rsidR="00CE78B5" w:rsidRPr="00CE78B5" w:rsidRDefault="00CE78B5" w:rsidP="00CE78B5">
            <w:pPr>
              <w:pStyle w:val="BodyTextNumbered"/>
            </w:pPr>
            <w:r w:rsidRPr="0013396E">
              <w:t>(3)</w:t>
            </w:r>
            <w:r w:rsidRPr="0013396E">
              <w:rPr>
                <w:iCs/>
              </w:rPr>
              <w:tab/>
            </w:r>
            <w:r w:rsidRPr="0013396E">
              <w:t xml:space="preserve">The tolerance will be 5% of the AASP for a DC-Coupled Resource in the Settlement Interval if the ESR meets the conditions </w:t>
            </w:r>
            <w:r w:rsidRPr="0013396E">
              <w:rPr>
                <w:iCs/>
              </w:rPr>
              <w:t xml:space="preserve">to be treated in the same manner as an IRR as </w:t>
            </w:r>
            <w:r w:rsidRPr="0013396E">
              <w:t>specified in paragraph (2) of Section 3.8.7.</w:t>
            </w:r>
          </w:p>
        </w:tc>
      </w:tr>
    </w:tbl>
    <w:p w14:paraId="57A33160" w14:textId="4E2C1EBC" w:rsidR="005E0EE9" w:rsidRPr="0013396E" w:rsidRDefault="005E0EE9" w:rsidP="00CE78B5">
      <w:pPr>
        <w:pStyle w:val="BodyTextNumbered"/>
        <w:spacing w:before="240"/>
        <w:rPr>
          <w:iCs/>
        </w:rPr>
      </w:pPr>
      <w:r w:rsidRPr="0013396E">
        <w:rPr>
          <w:iCs/>
        </w:rPr>
        <w:lastRenderedPageBreak/>
        <w:t>(</w:t>
      </w:r>
      <w:r w:rsidR="00CE78B5">
        <w:rPr>
          <w:iCs/>
        </w:rPr>
        <w:t>3</w:t>
      </w:r>
      <w:r w:rsidRPr="0013396E">
        <w:rPr>
          <w:iCs/>
        </w:rPr>
        <w:t>)</w:t>
      </w:r>
      <w:r w:rsidRPr="0013396E">
        <w:rPr>
          <w:iCs/>
        </w:rPr>
        <w:tab/>
        <w:t xml:space="preserve">The deviation charge for over-performance for each QSE for each ESR at each Resource Node Settlement Point will be calculated as follows: </w:t>
      </w:r>
    </w:p>
    <w:p w14:paraId="2F615DB0" w14:textId="1C24D39D" w:rsidR="005E0EE9" w:rsidRPr="0013396E" w:rsidRDefault="005E0EE9" w:rsidP="00CE78B5">
      <w:pPr>
        <w:pStyle w:val="BodyTextNumbered"/>
        <w:rPr>
          <w:b/>
          <w:i/>
          <w:vertAlign w:val="subscript"/>
        </w:rPr>
      </w:pPr>
      <w:r w:rsidRPr="0013396E">
        <w:rPr>
          <w:iCs/>
        </w:rPr>
        <w:tab/>
      </w:r>
      <w:r w:rsidRPr="0013396E">
        <w:rPr>
          <w:b/>
          <w:lang w:val="pt-BR"/>
        </w:rPr>
        <w:t>SPDAMT</w:t>
      </w:r>
      <w:r w:rsidRPr="0013396E">
        <w:rPr>
          <w:b/>
          <w:i/>
          <w:vertAlign w:val="subscript"/>
          <w:lang w:val="pt-BR"/>
        </w:rPr>
        <w:t xml:space="preserve"> q, r, p, i</w:t>
      </w:r>
      <w:r w:rsidRPr="0013396E">
        <w:rPr>
          <w:b/>
          <w:lang w:val="pt-BR"/>
        </w:rPr>
        <w:t xml:space="preserve"> =</w:t>
      </w:r>
      <w:r w:rsidRPr="0013396E">
        <w:rPr>
          <w:b/>
          <w:lang w:val="pt-BR"/>
        </w:rPr>
        <w:tab/>
      </w:r>
      <w:r w:rsidRPr="0013396E">
        <w:rPr>
          <w:b/>
        </w:rPr>
        <w:t xml:space="preserve">Max (PR3, RTSPP </w:t>
      </w:r>
      <w:r w:rsidRPr="0013396E">
        <w:rPr>
          <w:b/>
          <w:i/>
          <w:vertAlign w:val="subscript"/>
        </w:rPr>
        <w:t>p, i</w:t>
      </w:r>
      <w:r w:rsidRPr="0013396E">
        <w:rPr>
          <w:b/>
        </w:rPr>
        <w:t>) * OPESR</w:t>
      </w:r>
      <w:r w:rsidRPr="0013396E">
        <w:rPr>
          <w:b/>
          <w:sz w:val="18"/>
          <w:szCs w:val="18"/>
          <w:vertAlign w:val="subscript"/>
        </w:rPr>
        <w:t xml:space="preserve"> </w:t>
      </w:r>
      <w:r w:rsidRPr="0013396E">
        <w:rPr>
          <w:b/>
          <w:i/>
          <w:vertAlign w:val="subscript"/>
        </w:rPr>
        <w:t>q, r, p, i</w:t>
      </w:r>
    </w:p>
    <w:p w14:paraId="4553F24B" w14:textId="77777777" w:rsidR="005E0EE9" w:rsidRPr="0013396E" w:rsidRDefault="005E0EE9" w:rsidP="005E0EE9">
      <w:pPr>
        <w:pStyle w:val="BodyTextNumbered"/>
        <w:ind w:left="1440"/>
        <w:rPr>
          <w:lang w:val="pt-BR"/>
        </w:rPr>
      </w:pPr>
      <w:r w:rsidRPr="0013396E">
        <w:rPr>
          <w:lang w:val="pt-BR"/>
        </w:rPr>
        <w:t xml:space="preserve">Where: </w:t>
      </w:r>
    </w:p>
    <w:p w14:paraId="7BCDA62C" w14:textId="77777777" w:rsidR="005E0EE9" w:rsidRPr="0013396E" w:rsidRDefault="005E0EE9" w:rsidP="005E0EE9">
      <w:pPr>
        <w:pStyle w:val="BodyTextNumbered"/>
        <w:ind w:left="2880" w:hanging="2160"/>
        <w:rPr>
          <w:lang w:val="pt-BR"/>
        </w:rPr>
      </w:pPr>
      <w:r w:rsidRPr="0013396E">
        <w:t>OPESR</w:t>
      </w:r>
      <w:r w:rsidRPr="0013396E">
        <w:rPr>
          <w:i/>
          <w:vertAlign w:val="subscript"/>
        </w:rPr>
        <w:t xml:space="preserve"> q, r, p, i </w:t>
      </w:r>
      <w:r w:rsidRPr="0013396E">
        <w:t xml:space="preserve">    = </w:t>
      </w:r>
      <w:r w:rsidRPr="0013396E">
        <w:tab/>
        <w:t xml:space="preserve">Max [0, (TWTG </w:t>
      </w:r>
      <w:r w:rsidRPr="0013396E">
        <w:rPr>
          <w:i/>
          <w:vertAlign w:val="subscript"/>
        </w:rPr>
        <w:t xml:space="preserve">q, r, p, i </w:t>
      </w:r>
      <w:r w:rsidRPr="0013396E">
        <w:t>– ¼ * Max [(AASP</w:t>
      </w:r>
      <w:r w:rsidRPr="0013396E">
        <w:rPr>
          <w:i/>
          <w:vertAlign w:val="subscript"/>
          <w:lang w:val="pt-BR"/>
        </w:rPr>
        <w:t xml:space="preserve"> q, r, p, i  </w:t>
      </w:r>
      <w:r w:rsidRPr="0013396E">
        <w:rPr>
          <w:i/>
          <w:lang w:val="pt-BR"/>
        </w:rPr>
        <w:t>+</w:t>
      </w:r>
      <w:r w:rsidRPr="0013396E">
        <w:rPr>
          <w:lang w:val="pt-BR"/>
        </w:rPr>
        <w:t xml:space="preserve"> ABS </w:t>
      </w:r>
      <w:r w:rsidRPr="0013396E">
        <w:t>(K3* AASP</w:t>
      </w:r>
      <w:r w:rsidRPr="0013396E">
        <w:rPr>
          <w:i/>
          <w:vertAlign w:val="subscript"/>
          <w:lang w:val="pt-BR"/>
        </w:rPr>
        <w:t xml:space="preserve"> q, r, p, i</w:t>
      </w:r>
      <w:r w:rsidRPr="0013396E">
        <w:rPr>
          <w:lang w:val="pt-BR"/>
        </w:rPr>
        <w:t>))</w:t>
      </w:r>
      <w:r w:rsidRPr="0013396E">
        <w:rPr>
          <w:i/>
          <w:lang w:val="pt-BR"/>
        </w:rPr>
        <w:t>,</w:t>
      </w:r>
      <w:r w:rsidRPr="0013396E">
        <w:t xml:space="preserve"> (AASP</w:t>
      </w:r>
      <w:r w:rsidRPr="0013396E">
        <w:rPr>
          <w:i/>
          <w:vertAlign w:val="subscript"/>
          <w:lang w:val="pt-BR"/>
        </w:rPr>
        <w:t xml:space="preserve"> q, r, p, i </w:t>
      </w:r>
      <w:r w:rsidRPr="0013396E">
        <w:rPr>
          <w:lang w:val="pt-BR"/>
        </w:rPr>
        <w:t xml:space="preserve">+ Q3)])] </w:t>
      </w:r>
    </w:p>
    <w:p w14:paraId="708D2BD1" w14:textId="718275B8" w:rsidR="005E0EE9" w:rsidRPr="0013396E" w:rsidRDefault="005E0EE9" w:rsidP="005E0EE9">
      <w:pPr>
        <w:tabs>
          <w:tab w:val="left" w:pos="2340"/>
          <w:tab w:val="left" w:pos="3420"/>
        </w:tabs>
        <w:spacing w:after="240"/>
        <w:ind w:left="2340" w:hangingChars="975" w:hanging="2340"/>
        <w:rPr>
          <w:lang w:val="es-ES"/>
        </w:rPr>
      </w:pPr>
      <w:r w:rsidRPr="0013396E">
        <w:rPr>
          <w:lang w:val="es-ES"/>
        </w:rPr>
        <w:t xml:space="preserve">            Where:</w:t>
      </w:r>
    </w:p>
    <w:p w14:paraId="72D6DBB2" w14:textId="77777777" w:rsidR="005E0EE9" w:rsidRPr="0013396E" w:rsidRDefault="005E0EE9" w:rsidP="005E0EE9">
      <w:pPr>
        <w:pStyle w:val="Formula"/>
        <w:tabs>
          <w:tab w:val="clear" w:pos="2160"/>
          <w:tab w:val="left" w:pos="2340"/>
        </w:tabs>
        <w:ind w:left="2880" w:hanging="2160"/>
      </w:pPr>
      <w:r w:rsidRPr="0013396E">
        <w:t>TWTG</w:t>
      </w:r>
      <w:r w:rsidRPr="0013396E">
        <w:rPr>
          <w:i/>
          <w:vertAlign w:val="subscript"/>
        </w:rPr>
        <w:t xml:space="preserve"> q, r, p, i</w:t>
      </w:r>
      <w:r w:rsidRPr="0013396E">
        <w:rPr>
          <w:i/>
          <w:vertAlign w:val="subscript"/>
        </w:rPr>
        <w:tab/>
      </w:r>
      <w:r w:rsidRPr="0013396E">
        <w:rPr>
          <w:i/>
        </w:rPr>
        <w:t xml:space="preserve">= </w:t>
      </w:r>
      <w:r w:rsidRPr="0013396E">
        <w:rPr>
          <w:i/>
          <w:vertAlign w:val="subscript"/>
        </w:rPr>
        <w:t xml:space="preserve">     </w:t>
      </w:r>
      <w:r w:rsidRPr="0013396E">
        <w:t xml:space="preserve"> (</w:t>
      </w:r>
      <w:r w:rsidRPr="0013396E">
        <w:rPr>
          <w:position w:val="-22"/>
        </w:rPr>
        <w:object w:dxaOrig="210" w:dyaOrig="450" w14:anchorId="7D33AC14">
          <v:shape id="_x0000_i1156" type="#_x0000_t75" style="width:6pt;height:24pt" o:ole="">
            <v:imagedata r:id="rId176" o:title=""/>
          </v:shape>
          <o:OLEObject Type="Embed" ProgID="Equation.3" ShapeID="_x0000_i1156" DrawAspect="Content" ObjectID="_1836311435" r:id="rId189"/>
        </w:object>
      </w:r>
      <w:r w:rsidRPr="0013396E">
        <w:t xml:space="preserve"> (AVGTG5M</w:t>
      </w:r>
      <w:r w:rsidRPr="0013396E">
        <w:rPr>
          <w:i/>
          <w:vertAlign w:val="subscript"/>
        </w:rPr>
        <w:t xml:space="preserve"> q, r, p, i, y</w:t>
      </w:r>
      <w:r w:rsidRPr="0013396E">
        <w:t>) / 3) * ¼</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CE78B5" w:rsidRPr="0013396E" w14:paraId="1E5D4B32" w14:textId="77777777" w:rsidTr="00E31211">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4F9ABD3F" w14:textId="0A60CDDA" w:rsidR="00CE78B5" w:rsidRPr="0013396E" w:rsidRDefault="00CE78B5" w:rsidP="00E31211">
            <w:pPr>
              <w:spacing w:before="120" w:after="240"/>
              <w:rPr>
                <w:b/>
                <w:i/>
                <w:iCs/>
                <w:szCs w:val="24"/>
              </w:rPr>
            </w:pPr>
            <w:r w:rsidRPr="0013396E">
              <w:rPr>
                <w:b/>
                <w:i/>
                <w:iCs/>
                <w:szCs w:val="24"/>
              </w:rPr>
              <w:t>[NPRR</w:t>
            </w:r>
            <w:r>
              <w:rPr>
                <w:b/>
                <w:i/>
                <w:iCs/>
                <w:szCs w:val="24"/>
              </w:rPr>
              <w:t>1014 and NPRR1029</w:t>
            </w:r>
            <w:r w:rsidRPr="0013396E">
              <w:rPr>
                <w:b/>
                <w:i/>
                <w:iCs/>
                <w:szCs w:val="24"/>
              </w:rPr>
              <w:t xml:space="preserve">:  Replace </w:t>
            </w:r>
            <w:r>
              <w:rPr>
                <w:b/>
                <w:i/>
                <w:iCs/>
                <w:szCs w:val="24"/>
              </w:rPr>
              <w:t xml:space="preserve">applicable portions of </w:t>
            </w:r>
            <w:r w:rsidRPr="0013396E">
              <w:rPr>
                <w:b/>
                <w:i/>
                <w:iCs/>
                <w:szCs w:val="24"/>
              </w:rPr>
              <w:t>paragraph (</w:t>
            </w:r>
            <w:r>
              <w:rPr>
                <w:b/>
                <w:i/>
                <w:iCs/>
                <w:szCs w:val="24"/>
              </w:rPr>
              <w:t>3</w:t>
            </w:r>
            <w:r w:rsidRPr="0013396E">
              <w:rPr>
                <w:b/>
                <w:i/>
                <w:iCs/>
                <w:szCs w:val="24"/>
              </w:rPr>
              <w:t>) above with the following upon system implementation:]</w:t>
            </w:r>
          </w:p>
          <w:p w14:paraId="43D8A6C6" w14:textId="77777777" w:rsidR="00CE78B5" w:rsidRPr="0013396E" w:rsidRDefault="00CE78B5" w:rsidP="00CE78B5">
            <w:pPr>
              <w:pStyle w:val="BodyTextNumbered"/>
              <w:spacing w:before="240"/>
              <w:rPr>
                <w:iCs/>
              </w:rPr>
            </w:pPr>
            <w:r w:rsidRPr="0013396E">
              <w:rPr>
                <w:iCs/>
              </w:rPr>
              <w:t>(</w:t>
            </w:r>
            <w:r>
              <w:rPr>
                <w:iCs/>
              </w:rPr>
              <w:t>3</w:t>
            </w:r>
            <w:r w:rsidRPr="0013396E">
              <w:rPr>
                <w:iCs/>
              </w:rPr>
              <w:t>)</w:t>
            </w:r>
            <w:r w:rsidRPr="0013396E">
              <w:rPr>
                <w:iCs/>
              </w:rPr>
              <w:tab/>
              <w:t xml:space="preserve">The deviation charge for over-performance for each QSE for each ESR at each Resource Node Settlement Point will be calculated as follows: </w:t>
            </w:r>
          </w:p>
          <w:p w14:paraId="6982DB8F" w14:textId="77777777" w:rsidR="00CE78B5" w:rsidRPr="0013396E" w:rsidRDefault="00CE78B5" w:rsidP="00CE78B5">
            <w:pPr>
              <w:pStyle w:val="BodyTextNumbered"/>
              <w:rPr>
                <w:b/>
                <w:iCs/>
                <w:lang w:val="pt-BR"/>
              </w:rPr>
            </w:pPr>
            <w:r w:rsidRPr="0013396E">
              <w:rPr>
                <w:iCs/>
              </w:rPr>
              <w:tab/>
              <w:t>If the ESR meets the conditions of paragraph (3) above and a flag signifying that the DC-Coupled Resource has received a Base Point below the HDL used by SCED</w:t>
            </w:r>
            <w:r w:rsidRPr="0013396E">
              <w:t xml:space="preserve"> or it has been instructed not to exceed its Base Point</w:t>
            </w:r>
            <w:r w:rsidRPr="0013396E">
              <w:rPr>
                <w:iCs/>
              </w:rPr>
              <w:t xml:space="preserve"> is not set in all SCED intervals within the 15-minute Settlement Interval, then:</w:t>
            </w:r>
            <w:r w:rsidRPr="0013396E">
              <w:rPr>
                <w:b/>
                <w:iCs/>
                <w:lang w:val="pt-BR"/>
              </w:rPr>
              <w:t xml:space="preserve"> </w:t>
            </w:r>
          </w:p>
          <w:p w14:paraId="5C2DF0C9" w14:textId="77777777" w:rsidR="00CE78B5" w:rsidRPr="0013396E" w:rsidRDefault="00CE78B5" w:rsidP="00CE78B5">
            <w:pPr>
              <w:spacing w:after="240"/>
              <w:ind w:left="697" w:firstLine="23"/>
              <w:rPr>
                <w:b/>
                <w:iCs/>
              </w:rPr>
            </w:pPr>
            <w:r w:rsidRPr="0013396E">
              <w:rPr>
                <w:b/>
                <w:iCs/>
                <w:lang w:val="pt-BR"/>
              </w:rPr>
              <w:t>SPDAMT</w:t>
            </w:r>
            <w:r w:rsidRPr="0013396E">
              <w:rPr>
                <w:b/>
                <w:i/>
                <w:iCs/>
                <w:vertAlign w:val="subscript"/>
                <w:lang w:val="pt-BR"/>
              </w:rPr>
              <w:t xml:space="preserve"> q, r, p, i</w:t>
            </w:r>
            <w:r w:rsidRPr="0013396E">
              <w:rPr>
                <w:b/>
                <w:iCs/>
                <w:lang w:val="pt-BR"/>
              </w:rPr>
              <w:t xml:space="preserve"> =</w:t>
            </w:r>
            <w:r w:rsidRPr="0013396E">
              <w:rPr>
                <w:b/>
                <w:iCs/>
                <w:lang w:val="pt-BR"/>
              </w:rPr>
              <w:tab/>
            </w:r>
            <w:r w:rsidRPr="0013396E">
              <w:rPr>
                <w:b/>
                <w:iCs/>
              </w:rPr>
              <w:t>0</w:t>
            </w:r>
          </w:p>
          <w:p w14:paraId="697B482D" w14:textId="77777777" w:rsidR="00CE78B5" w:rsidRPr="0013396E" w:rsidRDefault="00CE78B5" w:rsidP="00CE78B5">
            <w:pPr>
              <w:spacing w:after="240"/>
              <w:ind w:left="697" w:firstLine="23"/>
              <w:rPr>
                <w:i/>
                <w:iCs/>
                <w:vertAlign w:val="subscript"/>
              </w:rPr>
            </w:pPr>
            <w:r w:rsidRPr="0013396E">
              <w:rPr>
                <w:iCs/>
              </w:rPr>
              <w:t xml:space="preserve">Otherwise: </w:t>
            </w:r>
          </w:p>
          <w:p w14:paraId="398CDB89" w14:textId="77777777" w:rsidR="00CE78B5" w:rsidRPr="0013396E" w:rsidRDefault="00CE78B5" w:rsidP="00CE78B5">
            <w:pPr>
              <w:pStyle w:val="BodyTextNumbered"/>
              <w:ind w:left="1440"/>
              <w:rPr>
                <w:b/>
                <w:i/>
                <w:vertAlign w:val="subscript"/>
              </w:rPr>
            </w:pPr>
            <w:r w:rsidRPr="0013396E">
              <w:rPr>
                <w:b/>
                <w:lang w:val="pt-BR"/>
              </w:rPr>
              <w:t>SPDAMT</w:t>
            </w:r>
            <w:r w:rsidRPr="0013396E">
              <w:rPr>
                <w:b/>
                <w:i/>
                <w:vertAlign w:val="subscript"/>
                <w:lang w:val="pt-BR"/>
              </w:rPr>
              <w:t xml:space="preserve"> q, r, p, i</w:t>
            </w:r>
            <w:r w:rsidRPr="0013396E">
              <w:rPr>
                <w:b/>
                <w:lang w:val="pt-BR"/>
              </w:rPr>
              <w:t xml:space="preserve"> =</w:t>
            </w:r>
            <w:r w:rsidRPr="0013396E">
              <w:rPr>
                <w:b/>
                <w:lang w:val="pt-BR"/>
              </w:rPr>
              <w:tab/>
            </w:r>
            <w:r w:rsidRPr="0013396E">
              <w:rPr>
                <w:b/>
              </w:rPr>
              <w:t xml:space="preserve">Max (PR3, RTSPP </w:t>
            </w:r>
            <w:r w:rsidRPr="0013396E">
              <w:rPr>
                <w:b/>
                <w:i/>
                <w:vertAlign w:val="subscript"/>
              </w:rPr>
              <w:t>p, i</w:t>
            </w:r>
            <w:r w:rsidRPr="0013396E">
              <w:rPr>
                <w:b/>
              </w:rPr>
              <w:t>) * OPESR</w:t>
            </w:r>
            <w:r w:rsidRPr="0013396E">
              <w:rPr>
                <w:b/>
                <w:sz w:val="18"/>
                <w:szCs w:val="18"/>
                <w:vertAlign w:val="subscript"/>
              </w:rPr>
              <w:t xml:space="preserve"> </w:t>
            </w:r>
            <w:r w:rsidRPr="0013396E">
              <w:rPr>
                <w:b/>
                <w:i/>
                <w:vertAlign w:val="subscript"/>
              </w:rPr>
              <w:t>q, r, p, i</w:t>
            </w:r>
          </w:p>
          <w:p w14:paraId="6BCEF3E7" w14:textId="77777777" w:rsidR="00CE78B5" w:rsidRPr="0013396E" w:rsidRDefault="00CE78B5" w:rsidP="00CE78B5">
            <w:pPr>
              <w:pStyle w:val="BodyTextNumbered"/>
              <w:ind w:left="1440"/>
              <w:rPr>
                <w:lang w:val="pt-BR"/>
              </w:rPr>
            </w:pPr>
            <w:r w:rsidRPr="0013396E">
              <w:rPr>
                <w:lang w:val="pt-BR"/>
              </w:rPr>
              <w:t xml:space="preserve">Where: </w:t>
            </w:r>
          </w:p>
          <w:p w14:paraId="7D6FDCA6" w14:textId="77777777" w:rsidR="00CE78B5" w:rsidRPr="0013396E" w:rsidRDefault="00CE78B5" w:rsidP="00CE78B5">
            <w:pPr>
              <w:spacing w:after="240"/>
              <w:ind w:left="1440" w:hanging="720"/>
              <w:rPr>
                <w:lang w:val="pt-BR"/>
              </w:rPr>
            </w:pPr>
            <w:r w:rsidRPr="0013396E">
              <w:rPr>
                <w:iCs/>
                <w:lang w:val="pt-BR"/>
              </w:rPr>
              <w:t xml:space="preserve">If the ESR meets the conditions of paragraph (2) above, then: </w:t>
            </w:r>
          </w:p>
          <w:p w14:paraId="4770D6B2" w14:textId="77777777" w:rsidR="00CE78B5" w:rsidRPr="0013396E" w:rsidRDefault="00CE78B5" w:rsidP="00CE78B5">
            <w:pPr>
              <w:pStyle w:val="BodyTextNumbered"/>
              <w:ind w:left="2880" w:hanging="2160"/>
              <w:rPr>
                <w:lang w:val="pt-BR"/>
              </w:rPr>
            </w:pPr>
            <w:r w:rsidRPr="0013396E">
              <w:lastRenderedPageBreak/>
              <w:t>OPESR</w:t>
            </w:r>
            <w:r w:rsidRPr="0013396E">
              <w:rPr>
                <w:i/>
                <w:vertAlign w:val="subscript"/>
              </w:rPr>
              <w:t xml:space="preserve"> q, r, p, i </w:t>
            </w:r>
            <w:r w:rsidRPr="0013396E">
              <w:t xml:space="preserve">    = </w:t>
            </w:r>
            <w:r w:rsidRPr="0013396E">
              <w:tab/>
              <w:t xml:space="preserve">Max [0, (TWTG </w:t>
            </w:r>
            <w:r w:rsidRPr="0013396E">
              <w:rPr>
                <w:i/>
                <w:vertAlign w:val="subscript"/>
              </w:rPr>
              <w:t xml:space="preserve">q, r, p, i </w:t>
            </w:r>
            <w:r w:rsidRPr="0013396E">
              <w:t>– ¼ * Max [(AASP</w:t>
            </w:r>
            <w:r w:rsidRPr="0013396E">
              <w:rPr>
                <w:i/>
                <w:vertAlign w:val="subscript"/>
                <w:lang w:val="pt-BR"/>
              </w:rPr>
              <w:t xml:space="preserve"> q, r, p, i  </w:t>
            </w:r>
            <w:r w:rsidRPr="0013396E">
              <w:rPr>
                <w:i/>
                <w:lang w:val="pt-BR"/>
              </w:rPr>
              <w:t>+</w:t>
            </w:r>
            <w:r w:rsidRPr="0013396E">
              <w:rPr>
                <w:lang w:val="pt-BR"/>
              </w:rPr>
              <w:t xml:space="preserve"> ABS </w:t>
            </w:r>
            <w:r w:rsidRPr="0013396E">
              <w:t>(K3* AASP</w:t>
            </w:r>
            <w:r w:rsidRPr="0013396E">
              <w:rPr>
                <w:i/>
                <w:vertAlign w:val="subscript"/>
                <w:lang w:val="pt-BR"/>
              </w:rPr>
              <w:t xml:space="preserve"> q, r, p, i</w:t>
            </w:r>
            <w:r w:rsidRPr="0013396E">
              <w:rPr>
                <w:lang w:val="pt-BR"/>
              </w:rPr>
              <w:t>))</w:t>
            </w:r>
            <w:r w:rsidRPr="0013396E">
              <w:rPr>
                <w:i/>
                <w:lang w:val="pt-BR"/>
              </w:rPr>
              <w:t>,</w:t>
            </w:r>
            <w:r w:rsidRPr="0013396E">
              <w:t xml:space="preserve"> (AASP</w:t>
            </w:r>
            <w:r w:rsidRPr="0013396E">
              <w:rPr>
                <w:i/>
                <w:vertAlign w:val="subscript"/>
                <w:lang w:val="pt-BR"/>
              </w:rPr>
              <w:t xml:space="preserve"> q, r, p, i </w:t>
            </w:r>
            <w:r w:rsidRPr="0013396E">
              <w:rPr>
                <w:lang w:val="pt-BR"/>
              </w:rPr>
              <w:t xml:space="preserve">+ Q3)])] </w:t>
            </w:r>
          </w:p>
          <w:p w14:paraId="4EE95762" w14:textId="77777777" w:rsidR="00CE78B5" w:rsidRPr="0013396E" w:rsidRDefault="00CE78B5" w:rsidP="00CE78B5">
            <w:pPr>
              <w:tabs>
                <w:tab w:val="left" w:pos="2340"/>
                <w:tab w:val="left" w:pos="3420"/>
              </w:tabs>
              <w:spacing w:after="240"/>
              <w:ind w:left="2340" w:hangingChars="975" w:hanging="2340"/>
              <w:rPr>
                <w:iCs/>
                <w:lang w:val="es-ES"/>
              </w:rPr>
            </w:pPr>
            <w:r w:rsidRPr="0013396E">
              <w:rPr>
                <w:lang w:val="es-ES"/>
              </w:rPr>
              <w:t xml:space="preserve">          </w:t>
            </w:r>
            <w:r w:rsidRPr="0013396E">
              <w:rPr>
                <w:iCs/>
                <w:lang w:val="es-ES"/>
              </w:rPr>
              <w:t>If the ESR meets the conditions of paragraph (3) above,</w:t>
            </w:r>
            <w:r w:rsidRPr="0013396E">
              <w:rPr>
                <w:iCs/>
              </w:rPr>
              <w:t xml:space="preserve"> </w:t>
            </w:r>
            <w:r w:rsidRPr="0013396E">
              <w:rPr>
                <w:iCs/>
                <w:lang w:val="es-ES"/>
              </w:rPr>
              <w:t xml:space="preserve">then: </w:t>
            </w:r>
          </w:p>
          <w:p w14:paraId="68CA39F1" w14:textId="77777777" w:rsidR="00CE78B5" w:rsidRPr="0013396E" w:rsidRDefault="00CE78B5" w:rsidP="00CE78B5">
            <w:pPr>
              <w:spacing w:after="240"/>
              <w:ind w:left="2880" w:hanging="2160"/>
              <w:rPr>
                <w:iCs/>
                <w:lang w:val="pt-BR"/>
              </w:rPr>
            </w:pPr>
            <w:r w:rsidRPr="0013396E">
              <w:rPr>
                <w:iCs/>
              </w:rPr>
              <w:t>OPESR</w:t>
            </w:r>
            <w:r w:rsidRPr="0013396E">
              <w:rPr>
                <w:i/>
                <w:iCs/>
                <w:vertAlign w:val="subscript"/>
              </w:rPr>
              <w:t xml:space="preserve"> q, r, p, i </w:t>
            </w:r>
            <w:r w:rsidRPr="0013396E">
              <w:rPr>
                <w:iCs/>
              </w:rPr>
              <w:t xml:space="preserve">    = </w:t>
            </w:r>
            <w:r w:rsidRPr="0013396E">
              <w:rPr>
                <w:iCs/>
              </w:rPr>
              <w:tab/>
              <w:t xml:space="preserve">Max [0, (TWTG </w:t>
            </w:r>
            <w:r w:rsidRPr="0013396E">
              <w:rPr>
                <w:i/>
                <w:iCs/>
                <w:vertAlign w:val="subscript"/>
              </w:rPr>
              <w:t xml:space="preserve">q, r, p, i </w:t>
            </w:r>
            <w:r w:rsidRPr="0013396E">
              <w:rPr>
                <w:iCs/>
              </w:rPr>
              <w:t>– ¼ * (AASP</w:t>
            </w:r>
            <w:r w:rsidRPr="0013396E">
              <w:rPr>
                <w:i/>
                <w:iCs/>
                <w:vertAlign w:val="subscript"/>
                <w:lang w:val="pt-BR"/>
              </w:rPr>
              <w:t xml:space="preserve"> q, r, p, i  </w:t>
            </w:r>
            <w:r w:rsidRPr="0013396E">
              <w:rPr>
                <w:i/>
                <w:iCs/>
                <w:lang w:val="pt-BR"/>
              </w:rPr>
              <w:t>+</w:t>
            </w:r>
            <w:r w:rsidRPr="0013396E">
              <w:rPr>
                <w:iCs/>
                <w:lang w:val="pt-BR"/>
              </w:rPr>
              <w:t xml:space="preserve"> ABS </w:t>
            </w:r>
            <w:r w:rsidRPr="0013396E">
              <w:rPr>
                <w:iCs/>
              </w:rPr>
              <w:t>(K5* AASP</w:t>
            </w:r>
            <w:r w:rsidRPr="0013396E">
              <w:rPr>
                <w:i/>
                <w:iCs/>
                <w:vertAlign w:val="subscript"/>
                <w:lang w:val="pt-BR"/>
              </w:rPr>
              <w:t xml:space="preserve"> q, r, p, i</w:t>
            </w:r>
            <w:r w:rsidRPr="0013396E">
              <w:rPr>
                <w:iCs/>
                <w:lang w:val="pt-BR"/>
              </w:rPr>
              <w:t>)))]</w:t>
            </w:r>
          </w:p>
          <w:p w14:paraId="311DCF9B" w14:textId="77777777" w:rsidR="00CE78B5" w:rsidRPr="0013396E" w:rsidRDefault="00CE78B5" w:rsidP="00CE78B5">
            <w:pPr>
              <w:tabs>
                <w:tab w:val="left" w:pos="2340"/>
                <w:tab w:val="left" w:pos="3420"/>
              </w:tabs>
              <w:spacing w:after="240"/>
              <w:ind w:left="2340" w:hangingChars="975" w:hanging="2340"/>
              <w:rPr>
                <w:lang w:val="es-ES"/>
              </w:rPr>
            </w:pPr>
            <w:r w:rsidRPr="0013396E">
              <w:rPr>
                <w:lang w:val="es-ES"/>
              </w:rPr>
              <w:t xml:space="preserve">           Where:</w:t>
            </w:r>
          </w:p>
          <w:p w14:paraId="3BF0C25D" w14:textId="56492400" w:rsidR="00CE78B5" w:rsidRPr="00CE78B5" w:rsidRDefault="00CE78B5" w:rsidP="00CE78B5">
            <w:pPr>
              <w:pStyle w:val="Formula"/>
              <w:tabs>
                <w:tab w:val="clear" w:pos="2160"/>
                <w:tab w:val="left" w:pos="2340"/>
              </w:tabs>
              <w:ind w:left="2880" w:hanging="2160"/>
            </w:pPr>
            <w:r w:rsidRPr="0013396E">
              <w:t>TWTG</w:t>
            </w:r>
            <w:r w:rsidRPr="0013396E">
              <w:rPr>
                <w:i/>
                <w:vertAlign w:val="subscript"/>
              </w:rPr>
              <w:t xml:space="preserve"> q, r, p, i</w:t>
            </w:r>
            <w:r w:rsidRPr="0013396E">
              <w:rPr>
                <w:i/>
                <w:vertAlign w:val="subscript"/>
              </w:rPr>
              <w:tab/>
            </w:r>
            <w:r w:rsidRPr="0013396E">
              <w:rPr>
                <w:i/>
              </w:rPr>
              <w:t xml:space="preserve">= </w:t>
            </w:r>
            <w:r w:rsidRPr="0013396E">
              <w:rPr>
                <w:i/>
                <w:vertAlign w:val="subscript"/>
              </w:rPr>
              <w:t xml:space="preserve">     </w:t>
            </w:r>
            <w:r w:rsidRPr="0013396E">
              <w:t xml:space="preserve"> (</w:t>
            </w:r>
            <w:r w:rsidRPr="0013396E">
              <w:rPr>
                <w:position w:val="-22"/>
              </w:rPr>
              <w:object w:dxaOrig="210" w:dyaOrig="450" w14:anchorId="57E9EA91">
                <v:shape id="_x0000_i1157" type="#_x0000_t75" style="width:6pt;height:24pt" o:ole="">
                  <v:imagedata r:id="rId176" o:title=""/>
                </v:shape>
                <o:OLEObject Type="Embed" ProgID="Equation.3" ShapeID="_x0000_i1157" DrawAspect="Content" ObjectID="_1836311436" r:id="rId190"/>
              </w:object>
            </w:r>
            <w:r w:rsidRPr="0013396E">
              <w:t xml:space="preserve"> (AVGTG5M</w:t>
            </w:r>
            <w:r w:rsidRPr="0013396E">
              <w:rPr>
                <w:i/>
                <w:vertAlign w:val="subscript"/>
              </w:rPr>
              <w:t xml:space="preserve"> q, r, p, i, y</w:t>
            </w:r>
            <w:r w:rsidRPr="0013396E">
              <w:t>) / 3) * ¼</w:t>
            </w:r>
          </w:p>
        </w:tc>
      </w:tr>
    </w:tbl>
    <w:p w14:paraId="37B735B9" w14:textId="77777777" w:rsidR="005E0EE9" w:rsidRPr="0013396E" w:rsidRDefault="005E0EE9" w:rsidP="00CE78B5">
      <w:pPr>
        <w:spacing w:before="240"/>
      </w:pPr>
      <w:r w:rsidRPr="0013396E">
        <w:lastRenderedPageBreak/>
        <w:t>The above variables are defined as follows:</w:t>
      </w:r>
    </w:p>
    <w:tbl>
      <w:tblPr>
        <w:tblW w:w="9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6"/>
        <w:gridCol w:w="892"/>
        <w:gridCol w:w="6695"/>
      </w:tblGrid>
      <w:tr w:rsidR="005E0EE9" w:rsidRPr="0013396E" w14:paraId="7489D4E2" w14:textId="77777777" w:rsidTr="0099759E">
        <w:trPr>
          <w:cantSplit/>
          <w:tblHeader/>
        </w:trPr>
        <w:tc>
          <w:tcPr>
            <w:tcW w:w="1776" w:type="dxa"/>
          </w:tcPr>
          <w:p w14:paraId="0A94D001" w14:textId="77777777" w:rsidR="005E0EE9" w:rsidRPr="0013396E" w:rsidRDefault="005E0EE9" w:rsidP="0099759E">
            <w:pPr>
              <w:pStyle w:val="TableHead"/>
              <w:tabs>
                <w:tab w:val="right" w:pos="9360"/>
              </w:tabs>
            </w:pPr>
            <w:r w:rsidRPr="0013396E">
              <w:t>Variable</w:t>
            </w:r>
          </w:p>
        </w:tc>
        <w:tc>
          <w:tcPr>
            <w:tcW w:w="892" w:type="dxa"/>
          </w:tcPr>
          <w:p w14:paraId="09FC6905" w14:textId="77777777" w:rsidR="005E0EE9" w:rsidRPr="0013396E" w:rsidRDefault="005E0EE9" w:rsidP="0099759E">
            <w:pPr>
              <w:pStyle w:val="TableHead"/>
              <w:tabs>
                <w:tab w:val="right" w:pos="9360"/>
              </w:tabs>
            </w:pPr>
            <w:r w:rsidRPr="0013396E">
              <w:t>Unit</w:t>
            </w:r>
          </w:p>
        </w:tc>
        <w:tc>
          <w:tcPr>
            <w:tcW w:w="6695" w:type="dxa"/>
          </w:tcPr>
          <w:p w14:paraId="33559033" w14:textId="77777777" w:rsidR="005E0EE9" w:rsidRPr="0013396E" w:rsidRDefault="005E0EE9" w:rsidP="0099759E">
            <w:pPr>
              <w:pStyle w:val="TableHead"/>
              <w:tabs>
                <w:tab w:val="right" w:pos="9360"/>
              </w:tabs>
            </w:pPr>
            <w:r w:rsidRPr="0013396E">
              <w:t>Definition</w:t>
            </w:r>
          </w:p>
        </w:tc>
      </w:tr>
      <w:tr w:rsidR="005E0EE9" w:rsidRPr="0013396E" w14:paraId="308D366F" w14:textId="77777777" w:rsidTr="0099759E">
        <w:trPr>
          <w:cantSplit/>
        </w:trPr>
        <w:tc>
          <w:tcPr>
            <w:tcW w:w="1776" w:type="dxa"/>
          </w:tcPr>
          <w:p w14:paraId="66B8D291" w14:textId="77777777" w:rsidR="005E0EE9" w:rsidRPr="0013396E" w:rsidRDefault="005E0EE9" w:rsidP="0099759E">
            <w:pPr>
              <w:pStyle w:val="TableBody"/>
            </w:pPr>
            <w:r w:rsidRPr="0013396E">
              <w:t xml:space="preserve">SPDAMT </w:t>
            </w:r>
            <w:r w:rsidRPr="0013396E">
              <w:rPr>
                <w:i/>
                <w:vertAlign w:val="subscript"/>
              </w:rPr>
              <w:t>q, r, p, i</w:t>
            </w:r>
          </w:p>
        </w:tc>
        <w:tc>
          <w:tcPr>
            <w:tcW w:w="892" w:type="dxa"/>
          </w:tcPr>
          <w:p w14:paraId="5B72F73D" w14:textId="77777777" w:rsidR="005E0EE9" w:rsidRPr="0013396E" w:rsidRDefault="005E0EE9" w:rsidP="0099759E">
            <w:pPr>
              <w:pStyle w:val="TableBody"/>
            </w:pPr>
            <w:r w:rsidRPr="0013396E">
              <w:t>$</w:t>
            </w:r>
          </w:p>
        </w:tc>
        <w:tc>
          <w:tcPr>
            <w:tcW w:w="6695" w:type="dxa"/>
          </w:tcPr>
          <w:p w14:paraId="6483D4F2" w14:textId="77777777" w:rsidR="005E0EE9" w:rsidRPr="0013396E" w:rsidRDefault="005E0EE9" w:rsidP="0099759E">
            <w:pPr>
              <w:pStyle w:val="TableBody"/>
            </w:pPr>
            <w:r w:rsidRPr="0013396E">
              <w:rPr>
                <w:i/>
              </w:rPr>
              <w:t>Set Point Deviation Charge per QSE per Settlement Point per Resource</w:t>
            </w:r>
            <w:r w:rsidRPr="0013396E">
              <w:t xml:space="preserve">—The charge to QSE </w:t>
            </w:r>
            <w:r w:rsidRPr="0013396E">
              <w:rPr>
                <w:i/>
              </w:rPr>
              <w:t>q</w:t>
            </w:r>
            <w:r w:rsidRPr="0013396E">
              <w:t xml:space="preserve"> for Resource </w:t>
            </w:r>
            <w:r w:rsidRPr="0013396E">
              <w:rPr>
                <w:i/>
              </w:rPr>
              <w:t xml:space="preserve">r </w:t>
            </w:r>
            <w:r w:rsidRPr="0013396E">
              <w:t xml:space="preserve">at Resource Node </w:t>
            </w:r>
            <w:r w:rsidRPr="0013396E">
              <w:rPr>
                <w:i/>
              </w:rPr>
              <w:t>p</w:t>
            </w:r>
            <w:r w:rsidRPr="0013396E">
              <w:t xml:space="preserve">, for its deviation from AASP, for the 15-minute Settlement Interval </w:t>
            </w:r>
            <w:r w:rsidRPr="0013396E">
              <w:rPr>
                <w:i/>
              </w:rPr>
              <w:t>i</w:t>
            </w:r>
            <w:r w:rsidRPr="0013396E">
              <w:t xml:space="preserve">.  </w:t>
            </w:r>
          </w:p>
        </w:tc>
      </w:tr>
      <w:tr w:rsidR="005E0EE9" w:rsidRPr="0013396E" w14:paraId="6229B61B" w14:textId="77777777" w:rsidTr="0099759E">
        <w:trPr>
          <w:cantSplit/>
        </w:trPr>
        <w:tc>
          <w:tcPr>
            <w:tcW w:w="1776" w:type="dxa"/>
          </w:tcPr>
          <w:p w14:paraId="346E1718" w14:textId="77777777" w:rsidR="005E0EE9" w:rsidRPr="0013396E" w:rsidRDefault="005E0EE9" w:rsidP="0099759E">
            <w:pPr>
              <w:pStyle w:val="TableBody"/>
            </w:pPr>
            <w:r w:rsidRPr="0013396E">
              <w:t xml:space="preserve">RTSPP </w:t>
            </w:r>
            <w:r w:rsidRPr="0013396E">
              <w:rPr>
                <w:i/>
                <w:vertAlign w:val="subscript"/>
              </w:rPr>
              <w:t>p, i</w:t>
            </w:r>
          </w:p>
        </w:tc>
        <w:tc>
          <w:tcPr>
            <w:tcW w:w="892" w:type="dxa"/>
          </w:tcPr>
          <w:p w14:paraId="7E78B43B" w14:textId="77777777" w:rsidR="005E0EE9" w:rsidRPr="0013396E" w:rsidRDefault="005E0EE9" w:rsidP="0099759E">
            <w:pPr>
              <w:pStyle w:val="TableBody"/>
            </w:pPr>
            <w:r w:rsidRPr="0013396E">
              <w:t>$/MWh</w:t>
            </w:r>
          </w:p>
        </w:tc>
        <w:tc>
          <w:tcPr>
            <w:tcW w:w="6695" w:type="dxa"/>
          </w:tcPr>
          <w:p w14:paraId="77A72455" w14:textId="77777777" w:rsidR="005E0EE9" w:rsidRPr="0013396E" w:rsidRDefault="005E0EE9" w:rsidP="0099759E">
            <w:pPr>
              <w:pStyle w:val="TableBody"/>
            </w:pPr>
            <w:r w:rsidRPr="0013396E">
              <w:rPr>
                <w:i/>
              </w:rPr>
              <w:t>Real-Time Settlement Point Price per Settlement Point</w:t>
            </w:r>
            <w:r w:rsidRPr="0013396E">
              <w:t xml:space="preserve">—The Real-Time Settlement Point Price at Settlement Point </w:t>
            </w:r>
            <w:r w:rsidRPr="0013396E">
              <w:rPr>
                <w:i/>
              </w:rPr>
              <w:t>p</w:t>
            </w:r>
            <w:r w:rsidRPr="0013396E">
              <w:t xml:space="preserve">, for the 15-minute Settlement Interval </w:t>
            </w:r>
            <w:r w:rsidRPr="0013396E">
              <w:rPr>
                <w:i/>
              </w:rPr>
              <w:t>i</w:t>
            </w:r>
            <w:r w:rsidRPr="0013396E">
              <w:t>.</w:t>
            </w:r>
          </w:p>
        </w:tc>
      </w:tr>
      <w:tr w:rsidR="005E0EE9" w:rsidRPr="0013396E" w14:paraId="6DDAA6F2" w14:textId="77777777" w:rsidTr="0099759E">
        <w:trPr>
          <w:cantSplit/>
        </w:trPr>
        <w:tc>
          <w:tcPr>
            <w:tcW w:w="1776" w:type="dxa"/>
          </w:tcPr>
          <w:p w14:paraId="753C12EE" w14:textId="77777777" w:rsidR="005E0EE9" w:rsidRPr="0013396E" w:rsidRDefault="005E0EE9" w:rsidP="0099759E">
            <w:pPr>
              <w:pStyle w:val="TableBody"/>
            </w:pPr>
            <w:r w:rsidRPr="0013396E">
              <w:t xml:space="preserve">TWTG </w:t>
            </w:r>
            <w:r w:rsidRPr="0013396E">
              <w:rPr>
                <w:i/>
                <w:vertAlign w:val="subscript"/>
              </w:rPr>
              <w:t>q, r, p, i</w:t>
            </w:r>
          </w:p>
        </w:tc>
        <w:tc>
          <w:tcPr>
            <w:tcW w:w="892" w:type="dxa"/>
          </w:tcPr>
          <w:p w14:paraId="1CAF2E99" w14:textId="77777777" w:rsidR="005E0EE9" w:rsidRPr="0013396E" w:rsidRDefault="005E0EE9" w:rsidP="0099759E">
            <w:pPr>
              <w:pStyle w:val="TableBody"/>
            </w:pPr>
            <w:r w:rsidRPr="0013396E">
              <w:t>MWh</w:t>
            </w:r>
          </w:p>
        </w:tc>
        <w:tc>
          <w:tcPr>
            <w:tcW w:w="6695" w:type="dxa"/>
          </w:tcPr>
          <w:p w14:paraId="079B5A0F" w14:textId="77777777" w:rsidR="005E0EE9" w:rsidRPr="0013396E" w:rsidRDefault="005E0EE9" w:rsidP="0099759E">
            <w:pPr>
              <w:pStyle w:val="TableBody"/>
              <w:rPr>
                <w:i/>
              </w:rPr>
            </w:pPr>
            <w:r w:rsidRPr="0013396E">
              <w:rPr>
                <w:i/>
              </w:rPr>
              <w:t>Time-Weighted Telemetered Generation per QSE per Settlement Point per Resource</w:t>
            </w:r>
            <w:r w:rsidRPr="0013396E">
              <w:t xml:space="preserve">—The telemetered generation or consumption of Resource </w:t>
            </w:r>
            <w:r w:rsidRPr="0013396E">
              <w:rPr>
                <w:i/>
              </w:rPr>
              <w:t>r</w:t>
            </w:r>
            <w:r w:rsidRPr="0013396E">
              <w:t xml:space="preserve"> represented by QSE </w:t>
            </w:r>
            <w:r w:rsidRPr="0013396E">
              <w:rPr>
                <w:i/>
              </w:rPr>
              <w:t>q</w:t>
            </w:r>
            <w:r w:rsidRPr="0013396E">
              <w:t xml:space="preserve"> at Resource Node </w:t>
            </w:r>
            <w:r w:rsidRPr="0013396E">
              <w:rPr>
                <w:i/>
              </w:rPr>
              <w:t>p</w:t>
            </w:r>
            <w:r w:rsidRPr="0013396E">
              <w:t xml:space="preserve">, for the 15-minute Settlement Interval </w:t>
            </w:r>
            <w:r w:rsidRPr="0013396E">
              <w:rPr>
                <w:i/>
              </w:rPr>
              <w:t>i</w:t>
            </w:r>
            <w:r w:rsidRPr="0013396E">
              <w:t xml:space="preserve">.  </w:t>
            </w:r>
          </w:p>
        </w:tc>
      </w:tr>
      <w:tr w:rsidR="005E0EE9" w:rsidRPr="0013396E" w14:paraId="35904FE9" w14:textId="77777777" w:rsidTr="0099759E">
        <w:trPr>
          <w:cantSplit/>
        </w:trPr>
        <w:tc>
          <w:tcPr>
            <w:tcW w:w="1776" w:type="dxa"/>
          </w:tcPr>
          <w:p w14:paraId="78438646" w14:textId="77777777" w:rsidR="005E0EE9" w:rsidRPr="0013396E" w:rsidRDefault="005E0EE9" w:rsidP="0099759E">
            <w:pPr>
              <w:pStyle w:val="TableBody"/>
            </w:pPr>
            <w:r w:rsidRPr="0013396E">
              <w:t xml:space="preserve">AASP </w:t>
            </w:r>
            <w:r w:rsidRPr="0013396E">
              <w:rPr>
                <w:i/>
                <w:vertAlign w:val="subscript"/>
              </w:rPr>
              <w:t>q, r, p, i</w:t>
            </w:r>
          </w:p>
        </w:tc>
        <w:tc>
          <w:tcPr>
            <w:tcW w:w="892" w:type="dxa"/>
          </w:tcPr>
          <w:p w14:paraId="51832F14" w14:textId="77777777" w:rsidR="005E0EE9" w:rsidRPr="0013396E" w:rsidRDefault="005E0EE9" w:rsidP="0099759E">
            <w:pPr>
              <w:pStyle w:val="TableBody"/>
            </w:pPr>
            <w:r w:rsidRPr="0013396E">
              <w:t>MW</w:t>
            </w:r>
          </w:p>
        </w:tc>
        <w:tc>
          <w:tcPr>
            <w:tcW w:w="6695" w:type="dxa"/>
          </w:tcPr>
          <w:p w14:paraId="30B1F1A7" w14:textId="77777777" w:rsidR="005E0EE9" w:rsidRPr="0013396E" w:rsidRDefault="005E0EE9" w:rsidP="0099759E">
            <w:pPr>
              <w:pStyle w:val="TableBody"/>
              <w:rPr>
                <w:i/>
              </w:rPr>
            </w:pPr>
            <w:r w:rsidRPr="0013396E">
              <w:rPr>
                <w:i/>
              </w:rPr>
              <w:t>Average Aggregated Set Point per QSE per Settlement Point per Resource</w:t>
            </w:r>
            <w:r w:rsidRPr="0013396E">
              <w:t xml:space="preserve">—The </w:t>
            </w:r>
            <w:r w:rsidRPr="0013396E">
              <w:rPr>
                <w:iCs w:val="0"/>
              </w:rPr>
              <w:t>average of the Average Five Minute Clock Interval Set Point (AVGSP5M)</w:t>
            </w:r>
            <w:r w:rsidRPr="0013396E">
              <w:t xml:space="preserve"> of Resource </w:t>
            </w:r>
            <w:r w:rsidRPr="0013396E">
              <w:rPr>
                <w:i/>
              </w:rPr>
              <w:t>r</w:t>
            </w:r>
            <w:r w:rsidRPr="0013396E">
              <w:t xml:space="preserve"> represented by QSE </w:t>
            </w:r>
            <w:r w:rsidRPr="0013396E">
              <w:rPr>
                <w:i/>
              </w:rPr>
              <w:t>q</w:t>
            </w:r>
            <w:r w:rsidRPr="0013396E">
              <w:t xml:space="preserve"> at Settlement Point </w:t>
            </w:r>
            <w:r w:rsidRPr="0013396E">
              <w:rPr>
                <w:i/>
              </w:rPr>
              <w:t>p,</w:t>
            </w:r>
            <w:r w:rsidRPr="0013396E">
              <w:t xml:space="preserve"> for the 15-minute Settlement Interval</w:t>
            </w:r>
            <w:r w:rsidRPr="0013396E">
              <w:rPr>
                <w:i/>
              </w:rPr>
              <w:t xml:space="preserve"> i</w:t>
            </w:r>
            <w:r w:rsidRPr="0013396E">
              <w:t xml:space="preserve">.  </w:t>
            </w:r>
          </w:p>
        </w:tc>
      </w:tr>
      <w:tr w:rsidR="005E0EE9" w:rsidRPr="0013396E" w14:paraId="5E6674D1" w14:textId="77777777" w:rsidTr="0099759E">
        <w:trPr>
          <w:cantSplit/>
        </w:trPr>
        <w:tc>
          <w:tcPr>
            <w:tcW w:w="1776" w:type="dxa"/>
          </w:tcPr>
          <w:p w14:paraId="7C5678FB" w14:textId="77777777" w:rsidR="005E0EE9" w:rsidRPr="0013396E" w:rsidRDefault="005E0EE9" w:rsidP="0099759E">
            <w:pPr>
              <w:pStyle w:val="TableBody"/>
            </w:pPr>
            <w:r w:rsidRPr="0013396E">
              <w:t xml:space="preserve">AVGTG5M </w:t>
            </w:r>
            <w:r w:rsidRPr="0013396E">
              <w:rPr>
                <w:i/>
                <w:vertAlign w:val="subscript"/>
                <w:lang w:val="fr-FR"/>
              </w:rPr>
              <w:t>q, r, p, i, y</w:t>
            </w:r>
          </w:p>
        </w:tc>
        <w:tc>
          <w:tcPr>
            <w:tcW w:w="892" w:type="dxa"/>
          </w:tcPr>
          <w:p w14:paraId="1C6C1F22" w14:textId="77777777" w:rsidR="005E0EE9" w:rsidRPr="0013396E" w:rsidRDefault="005E0EE9" w:rsidP="0099759E">
            <w:pPr>
              <w:pStyle w:val="TableBody"/>
            </w:pPr>
            <w:r w:rsidRPr="0013396E">
              <w:t>MW</w:t>
            </w:r>
          </w:p>
        </w:tc>
        <w:tc>
          <w:tcPr>
            <w:tcW w:w="6695" w:type="dxa"/>
          </w:tcPr>
          <w:p w14:paraId="7AF32F31" w14:textId="77777777" w:rsidR="005E0EE9" w:rsidRPr="0013396E" w:rsidRDefault="005E0EE9" w:rsidP="0099759E">
            <w:pPr>
              <w:pStyle w:val="TableBody"/>
            </w:pPr>
            <w:r w:rsidRPr="0013396E">
              <w:rPr>
                <w:i/>
              </w:rPr>
              <w:t>Average Telemetered Generation for the 5 Minutes</w:t>
            </w:r>
            <w:r w:rsidRPr="0013396E">
              <w:t xml:space="preserve">—The average telemetered generation or consumption of Resource </w:t>
            </w:r>
            <w:r w:rsidRPr="0013396E">
              <w:rPr>
                <w:i/>
              </w:rPr>
              <w:t>r</w:t>
            </w:r>
            <w:r w:rsidRPr="0013396E">
              <w:t xml:space="preserve"> represented by QSE </w:t>
            </w:r>
            <w:r w:rsidRPr="0013396E">
              <w:rPr>
                <w:i/>
              </w:rPr>
              <w:t>q</w:t>
            </w:r>
            <w:r w:rsidRPr="0013396E">
              <w:t xml:space="preserve"> at Resource Node </w:t>
            </w:r>
            <w:r w:rsidRPr="0013396E">
              <w:rPr>
                <w:i/>
              </w:rPr>
              <w:t>p</w:t>
            </w:r>
            <w:r w:rsidRPr="0013396E">
              <w:t xml:space="preserve">, for the five-minute clock interval </w:t>
            </w:r>
            <w:r w:rsidRPr="0013396E">
              <w:rPr>
                <w:i/>
              </w:rPr>
              <w:t>y</w:t>
            </w:r>
            <w:r w:rsidRPr="0013396E">
              <w:t xml:space="preserve">, within the 15-minute Settlement Interval </w:t>
            </w:r>
            <w:r w:rsidRPr="0013396E">
              <w:rPr>
                <w:i/>
              </w:rPr>
              <w:t>i</w:t>
            </w:r>
            <w:r w:rsidRPr="0013396E">
              <w:t>.</w:t>
            </w:r>
          </w:p>
        </w:tc>
      </w:tr>
      <w:tr w:rsidR="005E0EE9" w:rsidRPr="0013396E" w14:paraId="4A85E742" w14:textId="77777777" w:rsidTr="0099759E">
        <w:trPr>
          <w:cantSplit/>
        </w:trPr>
        <w:tc>
          <w:tcPr>
            <w:tcW w:w="1776" w:type="dxa"/>
          </w:tcPr>
          <w:p w14:paraId="1B9C663F" w14:textId="77777777" w:rsidR="005E0EE9" w:rsidRPr="0013396E" w:rsidRDefault="005E0EE9" w:rsidP="0099759E">
            <w:pPr>
              <w:pStyle w:val="TableBody"/>
            </w:pPr>
            <w:r w:rsidRPr="0013396E">
              <w:t xml:space="preserve">OPESR </w:t>
            </w:r>
            <w:r w:rsidRPr="0013396E">
              <w:rPr>
                <w:i/>
                <w:vertAlign w:val="subscript"/>
              </w:rPr>
              <w:t>q, r, p, i</w:t>
            </w:r>
          </w:p>
        </w:tc>
        <w:tc>
          <w:tcPr>
            <w:tcW w:w="892" w:type="dxa"/>
          </w:tcPr>
          <w:p w14:paraId="5A0B3D13" w14:textId="77777777" w:rsidR="005E0EE9" w:rsidRPr="0013396E" w:rsidRDefault="005E0EE9" w:rsidP="0099759E">
            <w:pPr>
              <w:pStyle w:val="TableBody"/>
            </w:pPr>
            <w:r w:rsidRPr="0013396E">
              <w:t>MWh</w:t>
            </w:r>
          </w:p>
        </w:tc>
        <w:tc>
          <w:tcPr>
            <w:tcW w:w="6695" w:type="dxa"/>
          </w:tcPr>
          <w:p w14:paraId="7C32F8F6" w14:textId="77777777" w:rsidR="005E0EE9" w:rsidRPr="0013396E" w:rsidRDefault="005E0EE9" w:rsidP="0099759E">
            <w:pPr>
              <w:pStyle w:val="TableBody"/>
            </w:pPr>
            <w:r w:rsidRPr="0013396E">
              <w:rPr>
                <w:i/>
              </w:rPr>
              <w:t>Over-Performance Volumes per QSE per Settlement Point per Resource</w:t>
            </w:r>
            <w:r w:rsidRPr="0013396E">
              <w:t xml:space="preserve">—The amount the ESR </w:t>
            </w:r>
            <w:r w:rsidRPr="0013396E">
              <w:rPr>
                <w:i/>
              </w:rPr>
              <w:t>r</w:t>
            </w:r>
            <w:r w:rsidRPr="0013396E">
              <w:t xml:space="preserve"> over-performed</w:t>
            </w:r>
            <w:r w:rsidRPr="0013396E">
              <w:rPr>
                <w:i/>
              </w:rPr>
              <w:t xml:space="preserve">, </w:t>
            </w:r>
            <w:r w:rsidRPr="0013396E">
              <w:t xml:space="preserve">represented by QSE </w:t>
            </w:r>
            <w:r w:rsidRPr="0013396E">
              <w:rPr>
                <w:i/>
              </w:rPr>
              <w:t>q</w:t>
            </w:r>
            <w:r w:rsidRPr="0013396E">
              <w:t xml:space="preserve"> at Resource Node </w:t>
            </w:r>
            <w:r w:rsidRPr="0013396E">
              <w:rPr>
                <w:i/>
              </w:rPr>
              <w:t xml:space="preserve">p, </w:t>
            </w:r>
            <w:r w:rsidRPr="0013396E">
              <w:t xml:space="preserve">for the 15-minute Settlement Interval </w:t>
            </w:r>
            <w:r w:rsidRPr="0013396E">
              <w:rPr>
                <w:i/>
              </w:rPr>
              <w:t>i</w:t>
            </w:r>
            <w:r w:rsidRPr="0013396E">
              <w:t>.</w:t>
            </w:r>
          </w:p>
        </w:tc>
      </w:tr>
      <w:tr w:rsidR="005E0EE9" w:rsidRPr="0013396E" w14:paraId="16BED96B" w14:textId="77777777" w:rsidTr="0099759E">
        <w:trPr>
          <w:cantSplit/>
        </w:trPr>
        <w:tc>
          <w:tcPr>
            <w:tcW w:w="1776" w:type="dxa"/>
          </w:tcPr>
          <w:p w14:paraId="0E05AC6A" w14:textId="77777777" w:rsidR="005E0EE9" w:rsidRPr="0013396E" w:rsidRDefault="005E0EE9" w:rsidP="0099759E">
            <w:pPr>
              <w:pStyle w:val="TableBody"/>
            </w:pPr>
            <w:r w:rsidRPr="0013396E">
              <w:t>PR3</w:t>
            </w:r>
          </w:p>
        </w:tc>
        <w:tc>
          <w:tcPr>
            <w:tcW w:w="892" w:type="dxa"/>
          </w:tcPr>
          <w:p w14:paraId="0AB42565" w14:textId="77777777" w:rsidR="005E0EE9" w:rsidRPr="0013396E" w:rsidRDefault="005E0EE9" w:rsidP="0099759E">
            <w:pPr>
              <w:pStyle w:val="TableBody"/>
            </w:pPr>
            <w:r w:rsidRPr="0013396E">
              <w:t>$/MWh</w:t>
            </w:r>
          </w:p>
        </w:tc>
        <w:tc>
          <w:tcPr>
            <w:tcW w:w="6695" w:type="dxa"/>
          </w:tcPr>
          <w:p w14:paraId="3C0B40B9" w14:textId="77777777" w:rsidR="005E0EE9" w:rsidRPr="0013396E" w:rsidRDefault="005E0EE9" w:rsidP="0099759E">
            <w:pPr>
              <w:pStyle w:val="TableBody"/>
            </w:pPr>
            <w:r w:rsidRPr="0013396E">
              <w:t xml:space="preserve">The price to use for the Set Point Deviation Charge for over-performance when RTSPP is less than $20/MWh, $20/MWh.  </w:t>
            </w:r>
          </w:p>
        </w:tc>
      </w:tr>
      <w:tr w:rsidR="005E0EE9" w:rsidRPr="0013396E" w14:paraId="33EFF1DC" w14:textId="77777777" w:rsidTr="0099759E">
        <w:trPr>
          <w:cantSplit/>
        </w:trPr>
        <w:tc>
          <w:tcPr>
            <w:tcW w:w="1776" w:type="dxa"/>
          </w:tcPr>
          <w:p w14:paraId="32A79A0A" w14:textId="77777777" w:rsidR="005E0EE9" w:rsidRPr="0013396E" w:rsidRDefault="005E0EE9" w:rsidP="0099759E">
            <w:pPr>
              <w:pStyle w:val="TableBody"/>
            </w:pPr>
            <w:r w:rsidRPr="0013396E">
              <w:t>K3</w:t>
            </w:r>
          </w:p>
        </w:tc>
        <w:tc>
          <w:tcPr>
            <w:tcW w:w="892" w:type="dxa"/>
          </w:tcPr>
          <w:p w14:paraId="62CD4600" w14:textId="77777777" w:rsidR="005E0EE9" w:rsidRPr="0013396E" w:rsidRDefault="005E0EE9" w:rsidP="0099759E">
            <w:pPr>
              <w:pStyle w:val="TableBody"/>
            </w:pPr>
            <w:r w:rsidRPr="0013396E">
              <w:t>none</w:t>
            </w:r>
          </w:p>
        </w:tc>
        <w:tc>
          <w:tcPr>
            <w:tcW w:w="6695" w:type="dxa"/>
          </w:tcPr>
          <w:p w14:paraId="78035C11" w14:textId="77777777" w:rsidR="005E0EE9" w:rsidRPr="0013396E" w:rsidRDefault="005E0EE9" w:rsidP="0099759E">
            <w:pPr>
              <w:pStyle w:val="TableBody"/>
            </w:pPr>
            <w:r w:rsidRPr="0013396E">
              <w:t xml:space="preserve">The percentage tolerance for over-performance per paragraph (2) above, 3%.  </w:t>
            </w:r>
          </w:p>
        </w:tc>
      </w:tr>
      <w:tr w:rsidR="005E0EE9" w:rsidRPr="0013396E" w14:paraId="2823EBCA" w14:textId="77777777" w:rsidTr="0099759E">
        <w:trPr>
          <w:cantSplit/>
        </w:trPr>
        <w:tc>
          <w:tcPr>
            <w:tcW w:w="1776" w:type="dxa"/>
          </w:tcPr>
          <w:p w14:paraId="171E5E2A" w14:textId="77777777" w:rsidR="005E0EE9" w:rsidRPr="0013396E" w:rsidRDefault="005E0EE9" w:rsidP="0099759E">
            <w:pPr>
              <w:pStyle w:val="TableBody"/>
            </w:pPr>
            <w:r w:rsidRPr="0013396E">
              <w:t>K5</w:t>
            </w:r>
          </w:p>
        </w:tc>
        <w:tc>
          <w:tcPr>
            <w:tcW w:w="892" w:type="dxa"/>
          </w:tcPr>
          <w:p w14:paraId="030F318D" w14:textId="77777777" w:rsidR="005E0EE9" w:rsidRPr="0013396E" w:rsidRDefault="005E0EE9" w:rsidP="0099759E">
            <w:pPr>
              <w:pStyle w:val="TableBody"/>
            </w:pPr>
            <w:r w:rsidRPr="0013396E">
              <w:t>none</w:t>
            </w:r>
          </w:p>
        </w:tc>
        <w:tc>
          <w:tcPr>
            <w:tcW w:w="6695" w:type="dxa"/>
          </w:tcPr>
          <w:p w14:paraId="78EC9BDA" w14:textId="77777777" w:rsidR="005E0EE9" w:rsidRPr="0013396E" w:rsidRDefault="005E0EE9" w:rsidP="0099759E">
            <w:pPr>
              <w:pStyle w:val="TableBody"/>
            </w:pPr>
            <w:r w:rsidRPr="0013396E">
              <w:t>The percentage tolerance for over-performance per paragraph (3) above, 5%.</w:t>
            </w:r>
          </w:p>
        </w:tc>
      </w:tr>
      <w:tr w:rsidR="005E0EE9" w:rsidRPr="0013396E" w14:paraId="5A7F3778" w14:textId="77777777" w:rsidTr="0099759E">
        <w:trPr>
          <w:cantSplit/>
        </w:trPr>
        <w:tc>
          <w:tcPr>
            <w:tcW w:w="1776" w:type="dxa"/>
          </w:tcPr>
          <w:p w14:paraId="05197D07" w14:textId="77777777" w:rsidR="005E0EE9" w:rsidRPr="0013396E" w:rsidRDefault="005E0EE9" w:rsidP="0099759E">
            <w:pPr>
              <w:pStyle w:val="TableBody"/>
            </w:pPr>
            <w:r w:rsidRPr="0013396E">
              <w:t>Q3</w:t>
            </w:r>
          </w:p>
        </w:tc>
        <w:tc>
          <w:tcPr>
            <w:tcW w:w="892" w:type="dxa"/>
          </w:tcPr>
          <w:p w14:paraId="3DDE2473" w14:textId="77777777" w:rsidR="005E0EE9" w:rsidRPr="0013396E" w:rsidRDefault="005E0EE9" w:rsidP="0099759E">
            <w:pPr>
              <w:pStyle w:val="TableBody"/>
            </w:pPr>
            <w:r w:rsidRPr="0013396E">
              <w:t>MW</w:t>
            </w:r>
          </w:p>
        </w:tc>
        <w:tc>
          <w:tcPr>
            <w:tcW w:w="6695" w:type="dxa"/>
          </w:tcPr>
          <w:p w14:paraId="0E291E61" w14:textId="77777777" w:rsidR="005E0EE9" w:rsidRPr="0013396E" w:rsidRDefault="005E0EE9" w:rsidP="0099759E">
            <w:pPr>
              <w:pStyle w:val="TableBody"/>
            </w:pPr>
            <w:r w:rsidRPr="0013396E">
              <w:t>The MW tolerance for over-performance, three MW.</w:t>
            </w:r>
          </w:p>
        </w:tc>
      </w:tr>
      <w:tr w:rsidR="005E0EE9" w:rsidRPr="0013396E" w14:paraId="2F805050" w14:textId="77777777" w:rsidTr="0099759E">
        <w:trPr>
          <w:cantSplit/>
        </w:trPr>
        <w:tc>
          <w:tcPr>
            <w:tcW w:w="1776" w:type="dxa"/>
          </w:tcPr>
          <w:p w14:paraId="5D7FD454" w14:textId="77777777" w:rsidR="005E0EE9" w:rsidRPr="0013396E" w:rsidRDefault="005E0EE9" w:rsidP="0099759E">
            <w:pPr>
              <w:pStyle w:val="TableBody"/>
              <w:rPr>
                <w:i/>
              </w:rPr>
            </w:pPr>
            <w:r w:rsidRPr="0013396E">
              <w:rPr>
                <w:i/>
              </w:rPr>
              <w:t>q</w:t>
            </w:r>
          </w:p>
        </w:tc>
        <w:tc>
          <w:tcPr>
            <w:tcW w:w="892" w:type="dxa"/>
          </w:tcPr>
          <w:p w14:paraId="0C017D46" w14:textId="77777777" w:rsidR="005E0EE9" w:rsidRPr="0013396E" w:rsidRDefault="005E0EE9" w:rsidP="0099759E">
            <w:pPr>
              <w:pStyle w:val="TableBody"/>
            </w:pPr>
            <w:r w:rsidRPr="0013396E">
              <w:t>none</w:t>
            </w:r>
          </w:p>
        </w:tc>
        <w:tc>
          <w:tcPr>
            <w:tcW w:w="6695" w:type="dxa"/>
          </w:tcPr>
          <w:p w14:paraId="302FA958" w14:textId="77777777" w:rsidR="005E0EE9" w:rsidRPr="0013396E" w:rsidRDefault="005E0EE9" w:rsidP="0099759E">
            <w:pPr>
              <w:pStyle w:val="TableBody"/>
            </w:pPr>
            <w:r w:rsidRPr="0013396E">
              <w:t>A QSE.</w:t>
            </w:r>
          </w:p>
        </w:tc>
      </w:tr>
      <w:tr w:rsidR="005E0EE9" w:rsidRPr="0013396E" w14:paraId="346DA784" w14:textId="77777777" w:rsidTr="0099759E">
        <w:trPr>
          <w:cantSplit/>
        </w:trPr>
        <w:tc>
          <w:tcPr>
            <w:tcW w:w="1776" w:type="dxa"/>
          </w:tcPr>
          <w:p w14:paraId="6895E181" w14:textId="77777777" w:rsidR="005E0EE9" w:rsidRPr="0013396E" w:rsidRDefault="005E0EE9" w:rsidP="0099759E">
            <w:pPr>
              <w:pStyle w:val="TableBody"/>
              <w:rPr>
                <w:i/>
              </w:rPr>
            </w:pPr>
            <w:r w:rsidRPr="0013396E">
              <w:rPr>
                <w:i/>
              </w:rPr>
              <w:t>p</w:t>
            </w:r>
          </w:p>
        </w:tc>
        <w:tc>
          <w:tcPr>
            <w:tcW w:w="892" w:type="dxa"/>
          </w:tcPr>
          <w:p w14:paraId="58F906E6" w14:textId="77777777" w:rsidR="005E0EE9" w:rsidRPr="0013396E" w:rsidRDefault="005E0EE9" w:rsidP="0099759E">
            <w:pPr>
              <w:pStyle w:val="TableBody"/>
            </w:pPr>
            <w:r w:rsidRPr="0013396E">
              <w:t>none</w:t>
            </w:r>
          </w:p>
        </w:tc>
        <w:tc>
          <w:tcPr>
            <w:tcW w:w="6695" w:type="dxa"/>
          </w:tcPr>
          <w:p w14:paraId="648A9B1E" w14:textId="77777777" w:rsidR="005E0EE9" w:rsidRPr="0013396E" w:rsidRDefault="005E0EE9" w:rsidP="0099759E">
            <w:pPr>
              <w:pStyle w:val="TableBody"/>
            </w:pPr>
            <w:r w:rsidRPr="0013396E">
              <w:t>A Settlement Point.</w:t>
            </w:r>
          </w:p>
        </w:tc>
      </w:tr>
      <w:tr w:rsidR="005E0EE9" w:rsidRPr="0013396E" w14:paraId="069A84A3" w14:textId="77777777" w:rsidTr="0099759E">
        <w:trPr>
          <w:cantSplit/>
        </w:trPr>
        <w:tc>
          <w:tcPr>
            <w:tcW w:w="1776" w:type="dxa"/>
          </w:tcPr>
          <w:p w14:paraId="6DC02FB8" w14:textId="77777777" w:rsidR="005E0EE9" w:rsidRPr="0013396E" w:rsidRDefault="005E0EE9" w:rsidP="0099759E">
            <w:pPr>
              <w:pStyle w:val="TableBody"/>
              <w:tabs>
                <w:tab w:val="right" w:pos="9360"/>
              </w:tabs>
              <w:rPr>
                <w:i/>
              </w:rPr>
            </w:pPr>
            <w:r w:rsidRPr="0013396E">
              <w:rPr>
                <w:i/>
              </w:rPr>
              <w:t>r</w:t>
            </w:r>
          </w:p>
        </w:tc>
        <w:tc>
          <w:tcPr>
            <w:tcW w:w="892" w:type="dxa"/>
          </w:tcPr>
          <w:p w14:paraId="00F38B9A" w14:textId="77777777" w:rsidR="005E0EE9" w:rsidRPr="0013396E" w:rsidRDefault="005E0EE9" w:rsidP="0099759E">
            <w:pPr>
              <w:pStyle w:val="TableBody"/>
              <w:tabs>
                <w:tab w:val="right" w:pos="9360"/>
              </w:tabs>
            </w:pPr>
            <w:r w:rsidRPr="0013396E">
              <w:t>none</w:t>
            </w:r>
          </w:p>
        </w:tc>
        <w:tc>
          <w:tcPr>
            <w:tcW w:w="6695" w:type="dxa"/>
          </w:tcPr>
          <w:p w14:paraId="1A3F39D6" w14:textId="77777777" w:rsidR="005E0EE9" w:rsidRPr="0013396E" w:rsidRDefault="005E0EE9" w:rsidP="0099759E">
            <w:pPr>
              <w:pStyle w:val="TableBody"/>
              <w:tabs>
                <w:tab w:val="right" w:pos="9360"/>
              </w:tabs>
              <w:rPr>
                <w:lang w:val="fr-FR"/>
              </w:rPr>
            </w:pPr>
            <w:r w:rsidRPr="0013396E">
              <w:rPr>
                <w:lang w:val="fr-FR"/>
              </w:rPr>
              <w:t xml:space="preserve">An ESR. </w:t>
            </w:r>
          </w:p>
        </w:tc>
      </w:tr>
      <w:tr w:rsidR="005E0EE9" w:rsidRPr="0013396E" w14:paraId="223715C5" w14:textId="77777777" w:rsidTr="0099759E">
        <w:trPr>
          <w:cantSplit/>
        </w:trPr>
        <w:tc>
          <w:tcPr>
            <w:tcW w:w="1776" w:type="dxa"/>
            <w:tcBorders>
              <w:top w:val="single" w:sz="4" w:space="0" w:color="auto"/>
              <w:left w:val="single" w:sz="4" w:space="0" w:color="auto"/>
              <w:bottom w:val="single" w:sz="4" w:space="0" w:color="auto"/>
              <w:right w:val="single" w:sz="4" w:space="0" w:color="auto"/>
            </w:tcBorders>
          </w:tcPr>
          <w:p w14:paraId="70DF218A" w14:textId="77777777" w:rsidR="005E0EE9" w:rsidRPr="0013396E" w:rsidRDefault="005E0EE9" w:rsidP="0099759E">
            <w:pPr>
              <w:pStyle w:val="TableBody"/>
              <w:rPr>
                <w:i/>
              </w:rPr>
            </w:pPr>
            <w:r w:rsidRPr="0013396E">
              <w:rPr>
                <w:i/>
              </w:rPr>
              <w:t xml:space="preserve">y </w:t>
            </w:r>
          </w:p>
        </w:tc>
        <w:tc>
          <w:tcPr>
            <w:tcW w:w="892" w:type="dxa"/>
            <w:tcBorders>
              <w:top w:val="single" w:sz="4" w:space="0" w:color="auto"/>
              <w:left w:val="single" w:sz="4" w:space="0" w:color="auto"/>
              <w:bottom w:val="single" w:sz="4" w:space="0" w:color="auto"/>
              <w:right w:val="single" w:sz="4" w:space="0" w:color="auto"/>
            </w:tcBorders>
          </w:tcPr>
          <w:p w14:paraId="3B1695CB" w14:textId="77777777" w:rsidR="005E0EE9" w:rsidRPr="0013396E" w:rsidRDefault="005E0EE9" w:rsidP="0099759E">
            <w:pPr>
              <w:pStyle w:val="TableBody"/>
            </w:pPr>
            <w:r w:rsidRPr="0013396E">
              <w:t>none</w:t>
            </w:r>
          </w:p>
        </w:tc>
        <w:tc>
          <w:tcPr>
            <w:tcW w:w="6695" w:type="dxa"/>
            <w:tcBorders>
              <w:top w:val="single" w:sz="4" w:space="0" w:color="auto"/>
              <w:left w:val="single" w:sz="4" w:space="0" w:color="auto"/>
              <w:bottom w:val="single" w:sz="4" w:space="0" w:color="auto"/>
              <w:right w:val="single" w:sz="4" w:space="0" w:color="auto"/>
            </w:tcBorders>
          </w:tcPr>
          <w:p w14:paraId="6C7D6921" w14:textId="77777777" w:rsidR="005E0EE9" w:rsidRPr="0013396E" w:rsidRDefault="005E0EE9" w:rsidP="0099759E">
            <w:pPr>
              <w:pStyle w:val="TableBody"/>
            </w:pPr>
            <w:r w:rsidRPr="0013396E">
              <w:t xml:space="preserve">A five-minute clock interval in the Settlement Interval. </w:t>
            </w:r>
          </w:p>
        </w:tc>
      </w:tr>
      <w:tr w:rsidR="005E0EE9" w:rsidRPr="0013396E" w14:paraId="5252F8C4" w14:textId="77777777" w:rsidTr="0099759E">
        <w:trPr>
          <w:cantSplit/>
        </w:trPr>
        <w:tc>
          <w:tcPr>
            <w:tcW w:w="1776" w:type="dxa"/>
            <w:tcBorders>
              <w:top w:val="single" w:sz="4" w:space="0" w:color="auto"/>
              <w:left w:val="single" w:sz="4" w:space="0" w:color="auto"/>
              <w:bottom w:val="single" w:sz="4" w:space="0" w:color="auto"/>
              <w:right w:val="single" w:sz="4" w:space="0" w:color="auto"/>
            </w:tcBorders>
          </w:tcPr>
          <w:p w14:paraId="364AE6EE" w14:textId="77777777" w:rsidR="005E0EE9" w:rsidRPr="0013396E" w:rsidDel="00714336" w:rsidRDefault="005E0EE9" w:rsidP="0099759E">
            <w:pPr>
              <w:pStyle w:val="TableBody"/>
              <w:rPr>
                <w:i/>
              </w:rPr>
            </w:pPr>
            <w:r w:rsidRPr="0013396E">
              <w:rPr>
                <w:i/>
              </w:rPr>
              <w:t>i</w:t>
            </w:r>
          </w:p>
        </w:tc>
        <w:tc>
          <w:tcPr>
            <w:tcW w:w="892" w:type="dxa"/>
            <w:tcBorders>
              <w:top w:val="single" w:sz="4" w:space="0" w:color="auto"/>
              <w:left w:val="single" w:sz="4" w:space="0" w:color="auto"/>
              <w:bottom w:val="single" w:sz="4" w:space="0" w:color="auto"/>
              <w:right w:val="single" w:sz="4" w:space="0" w:color="auto"/>
            </w:tcBorders>
          </w:tcPr>
          <w:p w14:paraId="728A136C" w14:textId="77777777" w:rsidR="005E0EE9" w:rsidRPr="0013396E" w:rsidDel="00714336" w:rsidRDefault="005E0EE9" w:rsidP="0099759E">
            <w:pPr>
              <w:pStyle w:val="TableBody"/>
            </w:pPr>
            <w:r w:rsidRPr="0013396E">
              <w:t>none</w:t>
            </w:r>
          </w:p>
        </w:tc>
        <w:tc>
          <w:tcPr>
            <w:tcW w:w="6695" w:type="dxa"/>
            <w:tcBorders>
              <w:top w:val="single" w:sz="4" w:space="0" w:color="auto"/>
              <w:left w:val="single" w:sz="4" w:space="0" w:color="auto"/>
              <w:bottom w:val="single" w:sz="4" w:space="0" w:color="auto"/>
              <w:right w:val="single" w:sz="4" w:space="0" w:color="auto"/>
            </w:tcBorders>
          </w:tcPr>
          <w:p w14:paraId="361803B5" w14:textId="77777777" w:rsidR="005E0EE9" w:rsidRPr="0013396E" w:rsidDel="00714336" w:rsidRDefault="005E0EE9" w:rsidP="0099759E">
            <w:pPr>
              <w:pStyle w:val="TableBody"/>
            </w:pPr>
            <w:r w:rsidRPr="0013396E">
              <w:t>A 15-minute Settlement Interval.</w:t>
            </w:r>
          </w:p>
        </w:tc>
      </w:tr>
    </w:tbl>
    <w:p w14:paraId="31BD12A8" w14:textId="77777777" w:rsidR="005E0EE9" w:rsidRPr="0013396E" w:rsidRDefault="005E0EE9" w:rsidP="005E0EE9">
      <w:pPr>
        <w:pStyle w:val="BodyText"/>
        <w:tabs>
          <w:tab w:val="left" w:pos="1230"/>
        </w:tabs>
        <w:spacing w:before="480"/>
        <w:ind w:left="1166" w:hanging="1166"/>
        <w:outlineLvl w:val="3"/>
        <w:rPr>
          <w:b/>
          <w:lang w:val="fr-FR"/>
        </w:rPr>
      </w:pPr>
      <w:bookmarkStart w:id="1854" w:name="_Toc214878989"/>
      <w:r w:rsidRPr="0013396E">
        <w:rPr>
          <w:b/>
          <w:lang w:val="fr-FR"/>
        </w:rPr>
        <w:lastRenderedPageBreak/>
        <w:t>6.6.5.5.1</w:t>
      </w:r>
      <w:r w:rsidRPr="0013396E">
        <w:rPr>
          <w:b/>
          <w:lang w:val="fr-FR"/>
        </w:rPr>
        <w:tab/>
        <w:t>Energy Storage Resource Set Point Deviation Charge for Under Performance</w:t>
      </w:r>
      <w:bookmarkEnd w:id="1854"/>
    </w:p>
    <w:p w14:paraId="3D818F86" w14:textId="77777777" w:rsidR="005E0EE9" w:rsidRPr="0013396E" w:rsidRDefault="005E0EE9" w:rsidP="005E0EE9">
      <w:pPr>
        <w:pStyle w:val="BodyTextNumbered"/>
      </w:pPr>
      <w:r w:rsidRPr="0013396E">
        <w:t>(1)</w:t>
      </w:r>
      <w:r w:rsidRPr="0013396E">
        <w:tab/>
        <w:t xml:space="preserve">ERCOT shall charge a QSE for an ESR a Set Point Deviation Charge for under-performance if the telemetered generation or consumption is below the specified tolerance.  </w:t>
      </w:r>
    </w:p>
    <w:p w14:paraId="6352A44E" w14:textId="3E79A91D" w:rsidR="005E0EE9" w:rsidRPr="0013396E" w:rsidRDefault="005E0EE9" w:rsidP="000F7537">
      <w:pPr>
        <w:pStyle w:val="BodyTextNumbered"/>
      </w:pPr>
      <w:r w:rsidRPr="0013396E">
        <w:t xml:space="preserve">(2) </w:t>
      </w:r>
      <w:r w:rsidRPr="0013396E">
        <w:tab/>
        <w:t>The tolerance is the lesser of 3% of the AASP for the ESR in the Settlement Interval, or three MW below the AASP for the ESR in the Settlement Interval</w:t>
      </w:r>
      <w:r w:rsidR="000F7537">
        <w: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0F7537" w:rsidRPr="0013396E" w14:paraId="3CFC36AE" w14:textId="77777777" w:rsidTr="00E31211">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794C2397" w14:textId="5454EB2D" w:rsidR="000F7537" w:rsidRPr="0013396E" w:rsidRDefault="000F7537" w:rsidP="00E31211">
            <w:pPr>
              <w:spacing w:before="120" w:after="240"/>
              <w:rPr>
                <w:b/>
                <w:i/>
                <w:iCs/>
                <w:szCs w:val="24"/>
              </w:rPr>
            </w:pPr>
            <w:r w:rsidRPr="0013396E">
              <w:rPr>
                <w:b/>
                <w:i/>
                <w:iCs/>
                <w:szCs w:val="24"/>
              </w:rPr>
              <w:t>[NPRR</w:t>
            </w:r>
            <w:r>
              <w:rPr>
                <w:b/>
                <w:i/>
                <w:iCs/>
                <w:szCs w:val="24"/>
              </w:rPr>
              <w:t>1014 and NPRR1029</w:t>
            </w:r>
            <w:r w:rsidRPr="0013396E">
              <w:rPr>
                <w:b/>
                <w:i/>
                <w:iCs/>
                <w:szCs w:val="24"/>
              </w:rPr>
              <w:t xml:space="preserve">:  Replace </w:t>
            </w:r>
            <w:r>
              <w:rPr>
                <w:b/>
                <w:i/>
                <w:iCs/>
                <w:szCs w:val="24"/>
              </w:rPr>
              <w:t xml:space="preserve">applicable portions of </w:t>
            </w:r>
            <w:r w:rsidRPr="0013396E">
              <w:rPr>
                <w:b/>
                <w:i/>
                <w:iCs/>
                <w:szCs w:val="24"/>
              </w:rPr>
              <w:t>paragraph (</w:t>
            </w:r>
            <w:r>
              <w:rPr>
                <w:b/>
                <w:i/>
                <w:iCs/>
                <w:szCs w:val="24"/>
              </w:rPr>
              <w:t>2</w:t>
            </w:r>
            <w:r w:rsidRPr="0013396E">
              <w:rPr>
                <w:b/>
                <w:i/>
                <w:iCs/>
                <w:szCs w:val="24"/>
              </w:rPr>
              <w:t>) above with the following upon system implementation:]</w:t>
            </w:r>
          </w:p>
          <w:p w14:paraId="5BE70F18" w14:textId="77777777" w:rsidR="000F7537" w:rsidRPr="0013396E" w:rsidRDefault="000F7537" w:rsidP="000F7537">
            <w:pPr>
              <w:pStyle w:val="BodyTextNumbered"/>
            </w:pPr>
            <w:r w:rsidRPr="0013396E">
              <w:t xml:space="preserve">(2) </w:t>
            </w:r>
            <w:r w:rsidRPr="0013396E">
              <w:tab/>
              <w:t>The tolerance is the lesser of 3% of the AASP for the ESR in the Settlement Interval, or three MW below the AASP for the ESR in the Settlement Interval, if the Resource meets the following conditions:</w:t>
            </w:r>
          </w:p>
          <w:p w14:paraId="4A3AFF68" w14:textId="77777777" w:rsidR="000F7537" w:rsidRPr="0013396E" w:rsidRDefault="000F7537" w:rsidP="000F7537">
            <w:pPr>
              <w:pStyle w:val="BodyTextNumbered"/>
              <w:ind w:left="1440"/>
            </w:pPr>
            <w:r w:rsidRPr="0013396E">
              <w:t>(a)</w:t>
            </w:r>
            <w:r w:rsidRPr="0013396E">
              <w:rPr>
                <w:iCs/>
              </w:rPr>
              <w:tab/>
            </w:r>
            <w:r w:rsidRPr="0013396E">
              <w:t xml:space="preserve">The ESR is not a DC-Coupled Resource; or </w:t>
            </w:r>
          </w:p>
          <w:p w14:paraId="574CEBBB" w14:textId="27608559" w:rsidR="000F7537" w:rsidRPr="00CE78B5" w:rsidRDefault="000F7537" w:rsidP="000F7537">
            <w:pPr>
              <w:pStyle w:val="BodyTextNumbered"/>
              <w:ind w:left="1440"/>
            </w:pPr>
            <w:r w:rsidRPr="0013396E">
              <w:t>(b)</w:t>
            </w:r>
            <w:r w:rsidRPr="0013396E">
              <w:rPr>
                <w:iCs/>
              </w:rPr>
              <w:tab/>
            </w:r>
            <w:r w:rsidRPr="0013396E">
              <w:t>The ESR is a DC-Coupled Resource and meets the conditions to be treated in the same manner as an ESR as specified in paragraph (1) of Section 3.8.7, DC-Coupled Resources, anytime during the Settlement Interval.</w:t>
            </w:r>
          </w:p>
        </w:tc>
      </w:tr>
    </w:tbl>
    <w:p w14:paraId="74762943" w14:textId="203F5825" w:rsidR="005E0EE9" w:rsidRPr="0013396E" w:rsidRDefault="005E0EE9" w:rsidP="000F7537">
      <w:pPr>
        <w:pStyle w:val="BodyTextNumbered"/>
        <w:spacing w:before="240"/>
        <w:rPr>
          <w:iCs/>
        </w:rPr>
      </w:pPr>
      <w:r w:rsidRPr="0013396E">
        <w:rPr>
          <w:iCs/>
        </w:rPr>
        <w:t>(3)</w:t>
      </w:r>
      <w:r w:rsidRPr="0013396E">
        <w:rPr>
          <w:iCs/>
        </w:rPr>
        <w:tab/>
        <w:t>The deviation charge for under-performance for each QSE for each ESR at each Resource Node Settlement Point will be calculated as follows:</w:t>
      </w:r>
    </w:p>
    <w:p w14:paraId="7419E2E0" w14:textId="77777777" w:rsidR="005E0EE9" w:rsidRPr="0013396E" w:rsidRDefault="005E0EE9" w:rsidP="005E0EE9">
      <w:pPr>
        <w:pStyle w:val="BodyTextNumbered"/>
        <w:ind w:left="1440"/>
        <w:rPr>
          <w:b/>
          <w:i/>
          <w:vertAlign w:val="subscript"/>
        </w:rPr>
      </w:pPr>
      <w:r w:rsidRPr="0013396E">
        <w:rPr>
          <w:b/>
          <w:lang w:val="pt-BR"/>
        </w:rPr>
        <w:t>SPDAMT</w:t>
      </w:r>
      <w:r w:rsidRPr="0013396E">
        <w:rPr>
          <w:b/>
          <w:i/>
          <w:vertAlign w:val="subscript"/>
          <w:lang w:val="pt-BR"/>
        </w:rPr>
        <w:t xml:space="preserve"> q, r, p, i</w:t>
      </w:r>
      <w:r w:rsidRPr="0013396E">
        <w:rPr>
          <w:b/>
          <w:lang w:val="pt-BR"/>
        </w:rPr>
        <w:t xml:space="preserve"> =</w:t>
      </w:r>
      <w:r w:rsidRPr="0013396E">
        <w:rPr>
          <w:b/>
          <w:lang w:val="pt-BR"/>
        </w:rPr>
        <w:tab/>
        <w:t xml:space="preserve">(-1) * </w:t>
      </w:r>
      <w:r w:rsidRPr="0013396E">
        <w:rPr>
          <w:b/>
        </w:rPr>
        <w:t xml:space="preserve">Min (PR4, RTSPP </w:t>
      </w:r>
      <w:r w:rsidRPr="0013396E">
        <w:rPr>
          <w:b/>
          <w:i/>
          <w:vertAlign w:val="subscript"/>
        </w:rPr>
        <w:t>p, i</w:t>
      </w:r>
      <w:r w:rsidRPr="0013396E">
        <w:rPr>
          <w:b/>
        </w:rPr>
        <w:t>) * Min (1, KP2) * UPESR</w:t>
      </w:r>
      <w:r w:rsidRPr="0013396E">
        <w:rPr>
          <w:b/>
          <w:sz w:val="18"/>
          <w:szCs w:val="18"/>
          <w:vertAlign w:val="subscript"/>
        </w:rPr>
        <w:t xml:space="preserve"> </w:t>
      </w:r>
      <w:r w:rsidRPr="0013396E">
        <w:rPr>
          <w:b/>
          <w:i/>
          <w:vertAlign w:val="subscript"/>
        </w:rPr>
        <w:t>q, r, p, i</w:t>
      </w:r>
    </w:p>
    <w:p w14:paraId="2021AF2D" w14:textId="77777777" w:rsidR="005E0EE9" w:rsidRPr="0013396E" w:rsidRDefault="005E0EE9" w:rsidP="005E0EE9">
      <w:pPr>
        <w:pStyle w:val="BodyTextNumbered"/>
        <w:ind w:left="1440"/>
        <w:rPr>
          <w:lang w:val="pt-BR"/>
        </w:rPr>
      </w:pPr>
      <w:r w:rsidRPr="0013396E">
        <w:rPr>
          <w:lang w:val="pt-BR"/>
        </w:rPr>
        <w:t xml:space="preserve">Where: </w:t>
      </w:r>
    </w:p>
    <w:p w14:paraId="009342B4" w14:textId="77777777" w:rsidR="005E0EE9" w:rsidRPr="0013396E" w:rsidRDefault="005E0EE9" w:rsidP="005E0EE9">
      <w:pPr>
        <w:pStyle w:val="BodyTextNumbered"/>
        <w:ind w:left="2880" w:hanging="2160"/>
        <w:rPr>
          <w:lang w:val="pt-BR"/>
        </w:rPr>
      </w:pPr>
      <w:r w:rsidRPr="0013396E">
        <w:t>UPESR</w:t>
      </w:r>
      <w:r w:rsidRPr="0013396E">
        <w:rPr>
          <w:i/>
          <w:vertAlign w:val="subscript"/>
        </w:rPr>
        <w:t xml:space="preserve"> q, r, p, i </w:t>
      </w:r>
      <w:r w:rsidRPr="0013396E">
        <w:t xml:space="preserve">    = </w:t>
      </w:r>
      <w:r w:rsidRPr="0013396E">
        <w:tab/>
        <w:t>Max [0, ¼ * Min [(AASP</w:t>
      </w:r>
      <w:r w:rsidRPr="0013396E">
        <w:rPr>
          <w:i/>
          <w:vertAlign w:val="subscript"/>
          <w:lang w:val="pt-BR"/>
        </w:rPr>
        <w:t xml:space="preserve"> q, r, p, i</w:t>
      </w:r>
      <w:r w:rsidRPr="0013396E">
        <w:t xml:space="preserve"> - ABS (K4 * AASP</w:t>
      </w:r>
      <w:r w:rsidRPr="0013396E">
        <w:rPr>
          <w:i/>
          <w:vertAlign w:val="subscript"/>
          <w:lang w:val="pt-BR"/>
        </w:rPr>
        <w:t xml:space="preserve"> q, r, p, i</w:t>
      </w:r>
      <w:r w:rsidRPr="0013396E">
        <w:rPr>
          <w:lang w:val="pt-BR"/>
        </w:rPr>
        <w:t>))</w:t>
      </w:r>
      <w:r w:rsidRPr="0013396E">
        <w:t>, (AASP</w:t>
      </w:r>
      <w:r w:rsidRPr="0013396E">
        <w:rPr>
          <w:i/>
          <w:vertAlign w:val="subscript"/>
          <w:lang w:val="pt-BR"/>
        </w:rPr>
        <w:t xml:space="preserve"> q, r, p, i </w:t>
      </w:r>
      <w:r w:rsidRPr="0013396E">
        <w:rPr>
          <w:lang w:val="pt-BR"/>
        </w:rPr>
        <w:t>- Q4)] -</w:t>
      </w:r>
      <w:r w:rsidRPr="0013396E">
        <w:t xml:space="preserve"> TWTG</w:t>
      </w:r>
      <w:r w:rsidRPr="0013396E">
        <w:rPr>
          <w:i/>
          <w:vertAlign w:val="subscript"/>
        </w:rPr>
        <w:t xml:space="preserve"> q, r, p, i</w:t>
      </w:r>
      <w:r w:rsidRPr="0013396E">
        <w:t>]</w:t>
      </w:r>
      <w:r w:rsidRPr="0013396E">
        <w:rPr>
          <w:lang w:val="pt-BR"/>
        </w:rPr>
        <w:t xml:space="preserve"> </w:t>
      </w:r>
    </w:p>
    <w:p w14:paraId="22EDEB67" w14:textId="77777777" w:rsidR="005E0EE9" w:rsidRPr="0013396E" w:rsidRDefault="005E0EE9" w:rsidP="005E0EE9">
      <w:pPr>
        <w:spacing w:after="240"/>
        <w:ind w:left="2880" w:hanging="2160"/>
        <w:rPr>
          <w:lang w:val="pt-BR"/>
        </w:rPr>
      </w:pPr>
      <w:r w:rsidRPr="0013396E">
        <w:rPr>
          <w:iCs/>
          <w:lang w:val="pt-BR"/>
        </w:rPr>
        <w:t xml:space="preserve">Where: </w:t>
      </w:r>
    </w:p>
    <w:p w14:paraId="1C6C9035" w14:textId="77777777" w:rsidR="005E0EE9" w:rsidRPr="0013396E" w:rsidRDefault="005E0EE9" w:rsidP="005E0EE9">
      <w:pPr>
        <w:pStyle w:val="Formula"/>
        <w:tabs>
          <w:tab w:val="clear" w:pos="2160"/>
          <w:tab w:val="left" w:pos="2340"/>
        </w:tabs>
        <w:ind w:left="2880" w:hanging="2160"/>
      </w:pPr>
      <w:r w:rsidRPr="0013396E">
        <w:t>TWTG</w:t>
      </w:r>
      <w:r w:rsidRPr="0013396E">
        <w:rPr>
          <w:i/>
          <w:vertAlign w:val="subscript"/>
        </w:rPr>
        <w:t xml:space="preserve"> q, r, p, i</w:t>
      </w:r>
      <w:r w:rsidRPr="0013396E">
        <w:rPr>
          <w:i/>
          <w:vertAlign w:val="subscript"/>
        </w:rPr>
        <w:tab/>
      </w:r>
      <w:r w:rsidRPr="0013396E">
        <w:rPr>
          <w:i/>
        </w:rPr>
        <w:t xml:space="preserve">= </w:t>
      </w:r>
      <w:r w:rsidRPr="0013396E">
        <w:rPr>
          <w:i/>
          <w:vertAlign w:val="subscript"/>
        </w:rPr>
        <w:t xml:space="preserve">     </w:t>
      </w:r>
      <w:r w:rsidRPr="0013396E">
        <w:t xml:space="preserve"> (</w:t>
      </w:r>
      <w:r w:rsidRPr="0013396E">
        <w:rPr>
          <w:position w:val="-22"/>
        </w:rPr>
        <w:object w:dxaOrig="210" w:dyaOrig="450" w14:anchorId="0A4C71F9">
          <v:shape id="_x0000_i1158" type="#_x0000_t75" style="width:6pt;height:24pt" o:ole="">
            <v:imagedata r:id="rId176" o:title=""/>
          </v:shape>
          <o:OLEObject Type="Embed" ProgID="Equation.3" ShapeID="_x0000_i1158" DrawAspect="Content" ObjectID="_1836311437" r:id="rId191"/>
        </w:object>
      </w:r>
      <w:r w:rsidRPr="0013396E">
        <w:t xml:space="preserve"> (AVGTG5M</w:t>
      </w:r>
      <w:r w:rsidRPr="0013396E">
        <w:rPr>
          <w:i/>
          <w:vertAlign w:val="subscript"/>
        </w:rPr>
        <w:t xml:space="preserve"> q, r, p, i, y</w:t>
      </w:r>
      <w:r w:rsidRPr="0013396E">
        <w:t>) / 3) * ¼</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0F7537" w:rsidRPr="0013396E" w14:paraId="4BBF27FB" w14:textId="77777777" w:rsidTr="00E31211">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17056E80" w14:textId="2C8E8A9C" w:rsidR="000F7537" w:rsidRPr="0013396E" w:rsidRDefault="000F7537" w:rsidP="00E31211">
            <w:pPr>
              <w:spacing w:before="120" w:after="240"/>
              <w:rPr>
                <w:b/>
                <w:i/>
                <w:iCs/>
                <w:szCs w:val="24"/>
              </w:rPr>
            </w:pPr>
            <w:r w:rsidRPr="0013396E">
              <w:rPr>
                <w:b/>
                <w:i/>
                <w:iCs/>
                <w:szCs w:val="24"/>
              </w:rPr>
              <w:t>[NPRR</w:t>
            </w:r>
            <w:r>
              <w:rPr>
                <w:b/>
                <w:i/>
                <w:iCs/>
                <w:szCs w:val="24"/>
              </w:rPr>
              <w:t>1014 and NPRR1029</w:t>
            </w:r>
            <w:r w:rsidRPr="0013396E">
              <w:rPr>
                <w:b/>
                <w:i/>
                <w:iCs/>
                <w:szCs w:val="24"/>
              </w:rPr>
              <w:t xml:space="preserve">:  Replace </w:t>
            </w:r>
            <w:r>
              <w:rPr>
                <w:b/>
                <w:i/>
                <w:iCs/>
                <w:szCs w:val="24"/>
              </w:rPr>
              <w:t xml:space="preserve">applicable portions of </w:t>
            </w:r>
            <w:r w:rsidRPr="0013396E">
              <w:rPr>
                <w:b/>
                <w:i/>
                <w:iCs/>
                <w:szCs w:val="24"/>
              </w:rPr>
              <w:t>paragraph (</w:t>
            </w:r>
            <w:r>
              <w:rPr>
                <w:b/>
                <w:i/>
                <w:iCs/>
                <w:szCs w:val="24"/>
              </w:rPr>
              <w:t>3</w:t>
            </w:r>
            <w:r w:rsidRPr="0013396E">
              <w:rPr>
                <w:b/>
                <w:i/>
                <w:iCs/>
                <w:szCs w:val="24"/>
              </w:rPr>
              <w:t>) above with the following upon system implementation:]</w:t>
            </w:r>
          </w:p>
          <w:p w14:paraId="488E425E" w14:textId="77777777" w:rsidR="000F7537" w:rsidRPr="0013396E" w:rsidRDefault="000F7537" w:rsidP="000F7537">
            <w:pPr>
              <w:pStyle w:val="BodyTextNumbered"/>
              <w:spacing w:before="240"/>
              <w:rPr>
                <w:iCs/>
              </w:rPr>
            </w:pPr>
            <w:r w:rsidRPr="0013396E">
              <w:rPr>
                <w:iCs/>
              </w:rPr>
              <w:t>(3)</w:t>
            </w:r>
            <w:r w:rsidRPr="0013396E">
              <w:rPr>
                <w:iCs/>
              </w:rPr>
              <w:tab/>
              <w:t>The deviation charge for under-performance for each QSE for each ESR at each Resource Node Settlement Point will be calculated as follows:</w:t>
            </w:r>
          </w:p>
          <w:p w14:paraId="1494E68B" w14:textId="77777777" w:rsidR="000F7537" w:rsidRPr="0013396E" w:rsidRDefault="000F7537" w:rsidP="000F7537">
            <w:pPr>
              <w:pStyle w:val="BodyTextNumbered"/>
              <w:ind w:left="1440"/>
              <w:rPr>
                <w:b/>
                <w:i/>
                <w:vertAlign w:val="subscript"/>
              </w:rPr>
            </w:pPr>
            <w:r w:rsidRPr="0013396E">
              <w:rPr>
                <w:b/>
                <w:lang w:val="pt-BR"/>
              </w:rPr>
              <w:t>SPDAMT</w:t>
            </w:r>
            <w:r w:rsidRPr="0013396E">
              <w:rPr>
                <w:b/>
                <w:i/>
                <w:vertAlign w:val="subscript"/>
                <w:lang w:val="pt-BR"/>
              </w:rPr>
              <w:t xml:space="preserve"> q, r, p, i</w:t>
            </w:r>
            <w:r w:rsidRPr="0013396E">
              <w:rPr>
                <w:b/>
                <w:lang w:val="pt-BR"/>
              </w:rPr>
              <w:t xml:space="preserve"> =</w:t>
            </w:r>
            <w:r w:rsidRPr="0013396E">
              <w:rPr>
                <w:b/>
                <w:lang w:val="pt-BR"/>
              </w:rPr>
              <w:tab/>
              <w:t xml:space="preserve">(-1) * </w:t>
            </w:r>
            <w:r w:rsidRPr="0013396E">
              <w:rPr>
                <w:b/>
              </w:rPr>
              <w:t xml:space="preserve">Min (PR4, RTSPP </w:t>
            </w:r>
            <w:r w:rsidRPr="0013396E">
              <w:rPr>
                <w:b/>
                <w:i/>
                <w:vertAlign w:val="subscript"/>
              </w:rPr>
              <w:t>p, i</w:t>
            </w:r>
            <w:r w:rsidRPr="0013396E">
              <w:rPr>
                <w:b/>
              </w:rPr>
              <w:t>) * Min (1, KP2) * UPESR</w:t>
            </w:r>
            <w:r w:rsidRPr="0013396E">
              <w:rPr>
                <w:b/>
                <w:sz w:val="18"/>
                <w:szCs w:val="18"/>
                <w:vertAlign w:val="subscript"/>
              </w:rPr>
              <w:t xml:space="preserve"> </w:t>
            </w:r>
            <w:r w:rsidRPr="0013396E">
              <w:rPr>
                <w:b/>
                <w:i/>
                <w:vertAlign w:val="subscript"/>
              </w:rPr>
              <w:t>q, r, p, i</w:t>
            </w:r>
          </w:p>
          <w:p w14:paraId="2F5D2688" w14:textId="77777777" w:rsidR="000F7537" w:rsidRPr="0013396E" w:rsidRDefault="000F7537" w:rsidP="000F7537">
            <w:pPr>
              <w:pStyle w:val="BodyTextNumbered"/>
              <w:ind w:left="1440"/>
              <w:rPr>
                <w:lang w:val="pt-BR"/>
              </w:rPr>
            </w:pPr>
            <w:r w:rsidRPr="0013396E">
              <w:rPr>
                <w:lang w:val="pt-BR"/>
              </w:rPr>
              <w:lastRenderedPageBreak/>
              <w:t xml:space="preserve">Where: </w:t>
            </w:r>
          </w:p>
          <w:p w14:paraId="239C068D" w14:textId="77777777" w:rsidR="000F7537" w:rsidRPr="0013396E" w:rsidRDefault="000F7537" w:rsidP="000F7537">
            <w:pPr>
              <w:spacing w:after="240"/>
              <w:ind w:left="1440" w:hanging="720"/>
              <w:rPr>
                <w:lang w:val="pt-BR"/>
              </w:rPr>
            </w:pPr>
            <w:r w:rsidRPr="0013396E">
              <w:rPr>
                <w:iCs/>
                <w:lang w:val="pt-BR"/>
              </w:rPr>
              <w:t xml:space="preserve">If the ESR meets the conditions of paragraph (2) above, then: </w:t>
            </w:r>
          </w:p>
          <w:p w14:paraId="33B40C37" w14:textId="77777777" w:rsidR="000F7537" w:rsidRPr="0013396E" w:rsidRDefault="000F7537" w:rsidP="000F7537">
            <w:pPr>
              <w:pStyle w:val="BodyTextNumbered"/>
              <w:ind w:left="2880" w:hanging="2160"/>
              <w:rPr>
                <w:lang w:val="pt-BR"/>
              </w:rPr>
            </w:pPr>
            <w:r w:rsidRPr="0013396E">
              <w:t>UPESR</w:t>
            </w:r>
            <w:r w:rsidRPr="0013396E">
              <w:rPr>
                <w:i/>
                <w:vertAlign w:val="subscript"/>
              </w:rPr>
              <w:t xml:space="preserve"> q, r, p, i </w:t>
            </w:r>
            <w:r w:rsidRPr="0013396E">
              <w:t xml:space="preserve">    = </w:t>
            </w:r>
            <w:r w:rsidRPr="0013396E">
              <w:tab/>
              <w:t>Max [0, ¼ * Min [(AASP</w:t>
            </w:r>
            <w:r w:rsidRPr="0013396E">
              <w:rPr>
                <w:i/>
                <w:vertAlign w:val="subscript"/>
                <w:lang w:val="pt-BR"/>
              </w:rPr>
              <w:t xml:space="preserve"> q, r, p, i</w:t>
            </w:r>
            <w:r w:rsidRPr="0013396E">
              <w:t xml:space="preserve"> - ABS (K4 * AASP</w:t>
            </w:r>
            <w:r w:rsidRPr="0013396E">
              <w:rPr>
                <w:i/>
                <w:vertAlign w:val="subscript"/>
                <w:lang w:val="pt-BR"/>
              </w:rPr>
              <w:t xml:space="preserve"> q, r, p, i</w:t>
            </w:r>
            <w:r w:rsidRPr="0013396E">
              <w:rPr>
                <w:lang w:val="pt-BR"/>
              </w:rPr>
              <w:t>))</w:t>
            </w:r>
            <w:r w:rsidRPr="0013396E">
              <w:t>, (AASP</w:t>
            </w:r>
            <w:r w:rsidRPr="0013396E">
              <w:rPr>
                <w:i/>
                <w:vertAlign w:val="subscript"/>
                <w:lang w:val="pt-BR"/>
              </w:rPr>
              <w:t xml:space="preserve"> q, r, p, i </w:t>
            </w:r>
            <w:r w:rsidRPr="0013396E">
              <w:rPr>
                <w:lang w:val="pt-BR"/>
              </w:rPr>
              <w:t>- Q4)] -</w:t>
            </w:r>
            <w:r w:rsidRPr="0013396E">
              <w:t xml:space="preserve"> TWTG</w:t>
            </w:r>
            <w:r w:rsidRPr="0013396E">
              <w:rPr>
                <w:i/>
                <w:vertAlign w:val="subscript"/>
              </w:rPr>
              <w:t xml:space="preserve"> q, r, p, i</w:t>
            </w:r>
            <w:r w:rsidRPr="0013396E">
              <w:t>]</w:t>
            </w:r>
            <w:r w:rsidRPr="0013396E">
              <w:rPr>
                <w:lang w:val="pt-BR"/>
              </w:rPr>
              <w:t xml:space="preserve"> </w:t>
            </w:r>
          </w:p>
          <w:p w14:paraId="1D456E47" w14:textId="77777777" w:rsidR="000F7537" w:rsidRPr="0013396E" w:rsidRDefault="000F7537" w:rsidP="000F7537">
            <w:pPr>
              <w:tabs>
                <w:tab w:val="left" w:pos="2340"/>
                <w:tab w:val="left" w:pos="3420"/>
              </w:tabs>
              <w:spacing w:after="240"/>
              <w:ind w:left="2880" w:hanging="2160"/>
              <w:rPr>
                <w:bCs/>
              </w:rPr>
            </w:pPr>
            <w:r w:rsidRPr="0013396E">
              <w:rPr>
                <w:bCs/>
              </w:rPr>
              <w:t xml:space="preserve">Else: </w:t>
            </w:r>
          </w:p>
          <w:p w14:paraId="0BA45A89" w14:textId="77777777" w:rsidR="000F7537" w:rsidRPr="0013396E" w:rsidRDefault="000F7537" w:rsidP="000F7537">
            <w:pPr>
              <w:spacing w:after="240"/>
              <w:ind w:left="1440" w:hanging="720"/>
              <w:rPr>
                <w:iCs/>
                <w:lang w:val="pt-BR"/>
              </w:rPr>
            </w:pPr>
            <w:r w:rsidRPr="0013396E">
              <w:rPr>
                <w:iCs/>
                <w:lang w:val="pt-BR"/>
              </w:rPr>
              <w:t>UPESR</w:t>
            </w:r>
            <w:r w:rsidRPr="0013396E">
              <w:rPr>
                <w:i/>
                <w:iCs/>
                <w:vertAlign w:val="subscript"/>
              </w:rPr>
              <w:t xml:space="preserve"> q, r, p, i  </w:t>
            </w:r>
            <w:r w:rsidRPr="0013396E">
              <w:rPr>
                <w:iCs/>
                <w:lang w:val="pt-BR"/>
              </w:rPr>
              <w:t>=</w:t>
            </w:r>
            <w:r w:rsidRPr="0013396E">
              <w:rPr>
                <w:iCs/>
                <w:lang w:val="pt-BR"/>
              </w:rPr>
              <w:tab/>
              <w:t>0</w:t>
            </w:r>
          </w:p>
          <w:p w14:paraId="3B31EAD9" w14:textId="77777777" w:rsidR="000F7537" w:rsidRPr="0013396E" w:rsidRDefault="000F7537" w:rsidP="000F7537">
            <w:pPr>
              <w:spacing w:after="240"/>
              <w:ind w:left="2880" w:hanging="2160"/>
              <w:rPr>
                <w:lang w:val="pt-BR"/>
              </w:rPr>
            </w:pPr>
            <w:r w:rsidRPr="0013396E">
              <w:rPr>
                <w:iCs/>
                <w:lang w:val="pt-BR"/>
              </w:rPr>
              <w:t xml:space="preserve">Where: </w:t>
            </w:r>
          </w:p>
          <w:p w14:paraId="0BC6267C" w14:textId="206319D7" w:rsidR="000F7537" w:rsidRPr="00CE78B5" w:rsidRDefault="000F7537" w:rsidP="000F7537">
            <w:pPr>
              <w:pStyle w:val="Formula"/>
              <w:tabs>
                <w:tab w:val="clear" w:pos="2160"/>
                <w:tab w:val="left" w:pos="2340"/>
              </w:tabs>
              <w:ind w:left="2880" w:hanging="2160"/>
            </w:pPr>
            <w:r w:rsidRPr="0013396E">
              <w:t>TWTG</w:t>
            </w:r>
            <w:r w:rsidRPr="0013396E">
              <w:rPr>
                <w:i/>
                <w:vertAlign w:val="subscript"/>
              </w:rPr>
              <w:t xml:space="preserve"> q, r, p, i</w:t>
            </w:r>
            <w:r w:rsidRPr="0013396E">
              <w:rPr>
                <w:i/>
                <w:vertAlign w:val="subscript"/>
              </w:rPr>
              <w:tab/>
            </w:r>
            <w:r w:rsidRPr="0013396E">
              <w:rPr>
                <w:i/>
              </w:rPr>
              <w:t xml:space="preserve">= </w:t>
            </w:r>
            <w:r w:rsidRPr="0013396E">
              <w:rPr>
                <w:i/>
                <w:vertAlign w:val="subscript"/>
              </w:rPr>
              <w:t xml:space="preserve">     </w:t>
            </w:r>
            <w:r w:rsidRPr="0013396E">
              <w:t xml:space="preserve"> (</w:t>
            </w:r>
            <w:r w:rsidRPr="0013396E">
              <w:rPr>
                <w:position w:val="-22"/>
              </w:rPr>
              <w:object w:dxaOrig="210" w:dyaOrig="450" w14:anchorId="6BE4EE13">
                <v:shape id="_x0000_i1159" type="#_x0000_t75" style="width:6pt;height:24pt" o:ole="">
                  <v:imagedata r:id="rId176" o:title=""/>
                </v:shape>
                <o:OLEObject Type="Embed" ProgID="Equation.3" ShapeID="_x0000_i1159" DrawAspect="Content" ObjectID="_1836311438" r:id="rId192"/>
              </w:object>
            </w:r>
            <w:r w:rsidRPr="0013396E">
              <w:t xml:space="preserve"> (AVGTG5M</w:t>
            </w:r>
            <w:r w:rsidRPr="0013396E">
              <w:rPr>
                <w:i/>
                <w:vertAlign w:val="subscript"/>
              </w:rPr>
              <w:t xml:space="preserve"> q, r, p, i, y</w:t>
            </w:r>
            <w:r w:rsidRPr="0013396E">
              <w:t>) / 3) * ¼</w:t>
            </w:r>
          </w:p>
        </w:tc>
      </w:tr>
    </w:tbl>
    <w:p w14:paraId="0BE5072A" w14:textId="77777777" w:rsidR="005E0EE9" w:rsidRPr="0013396E" w:rsidRDefault="005E0EE9" w:rsidP="000F7537">
      <w:pPr>
        <w:spacing w:before="240"/>
      </w:pPr>
      <w:r w:rsidRPr="0013396E">
        <w:lastRenderedPageBreak/>
        <w:t>The above variables are defined as follows:</w:t>
      </w:r>
    </w:p>
    <w:tbl>
      <w:tblPr>
        <w:tblW w:w="9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6"/>
        <w:gridCol w:w="892"/>
        <w:gridCol w:w="6695"/>
      </w:tblGrid>
      <w:tr w:rsidR="005E0EE9" w:rsidRPr="0013396E" w14:paraId="50292D15" w14:textId="77777777" w:rsidTr="0099759E">
        <w:trPr>
          <w:cantSplit/>
          <w:tblHeader/>
        </w:trPr>
        <w:tc>
          <w:tcPr>
            <w:tcW w:w="1776" w:type="dxa"/>
          </w:tcPr>
          <w:p w14:paraId="6C509BCA" w14:textId="77777777" w:rsidR="005E0EE9" w:rsidRPr="0013396E" w:rsidRDefault="005E0EE9" w:rsidP="0099759E">
            <w:pPr>
              <w:pStyle w:val="TableHead"/>
              <w:tabs>
                <w:tab w:val="right" w:pos="9360"/>
              </w:tabs>
            </w:pPr>
            <w:r w:rsidRPr="0013396E">
              <w:t>Variable</w:t>
            </w:r>
          </w:p>
        </w:tc>
        <w:tc>
          <w:tcPr>
            <w:tcW w:w="892" w:type="dxa"/>
          </w:tcPr>
          <w:p w14:paraId="6B7583CD" w14:textId="77777777" w:rsidR="005E0EE9" w:rsidRPr="0013396E" w:rsidRDefault="005E0EE9" w:rsidP="0099759E">
            <w:pPr>
              <w:pStyle w:val="TableHead"/>
              <w:tabs>
                <w:tab w:val="right" w:pos="9360"/>
              </w:tabs>
            </w:pPr>
            <w:r w:rsidRPr="0013396E">
              <w:t>Unit</w:t>
            </w:r>
          </w:p>
        </w:tc>
        <w:tc>
          <w:tcPr>
            <w:tcW w:w="6695" w:type="dxa"/>
          </w:tcPr>
          <w:p w14:paraId="164E2D36" w14:textId="77777777" w:rsidR="005E0EE9" w:rsidRPr="0013396E" w:rsidRDefault="005E0EE9" w:rsidP="0099759E">
            <w:pPr>
              <w:pStyle w:val="TableHead"/>
              <w:tabs>
                <w:tab w:val="right" w:pos="9360"/>
              </w:tabs>
            </w:pPr>
            <w:r w:rsidRPr="0013396E">
              <w:t>Definition</w:t>
            </w:r>
          </w:p>
        </w:tc>
      </w:tr>
      <w:tr w:rsidR="005E0EE9" w:rsidRPr="0013396E" w14:paraId="09D56293" w14:textId="77777777" w:rsidTr="0099759E">
        <w:trPr>
          <w:cantSplit/>
        </w:trPr>
        <w:tc>
          <w:tcPr>
            <w:tcW w:w="1776" w:type="dxa"/>
          </w:tcPr>
          <w:p w14:paraId="56B36EDF" w14:textId="77777777" w:rsidR="005E0EE9" w:rsidRPr="0013396E" w:rsidRDefault="005E0EE9" w:rsidP="0099759E">
            <w:pPr>
              <w:pStyle w:val="TableBody"/>
            </w:pPr>
            <w:r w:rsidRPr="0013396E">
              <w:t xml:space="preserve">SPDAMT </w:t>
            </w:r>
            <w:r w:rsidRPr="0013396E">
              <w:rPr>
                <w:i/>
                <w:vertAlign w:val="subscript"/>
              </w:rPr>
              <w:t>q, r, p, i</w:t>
            </w:r>
          </w:p>
        </w:tc>
        <w:tc>
          <w:tcPr>
            <w:tcW w:w="892" w:type="dxa"/>
          </w:tcPr>
          <w:p w14:paraId="3CB13E99" w14:textId="77777777" w:rsidR="005E0EE9" w:rsidRPr="0013396E" w:rsidRDefault="005E0EE9" w:rsidP="0099759E">
            <w:pPr>
              <w:pStyle w:val="TableBody"/>
            </w:pPr>
            <w:r w:rsidRPr="0013396E">
              <w:t>$</w:t>
            </w:r>
          </w:p>
        </w:tc>
        <w:tc>
          <w:tcPr>
            <w:tcW w:w="6695" w:type="dxa"/>
          </w:tcPr>
          <w:p w14:paraId="76BB4866" w14:textId="77777777" w:rsidR="005E0EE9" w:rsidRPr="0013396E" w:rsidRDefault="005E0EE9" w:rsidP="0099759E">
            <w:pPr>
              <w:pStyle w:val="TableBody"/>
            </w:pPr>
            <w:r w:rsidRPr="0013396E">
              <w:rPr>
                <w:i/>
              </w:rPr>
              <w:t>Set Point Deviation Charge per QSE per Settlement Point per Resource</w:t>
            </w:r>
            <w:r w:rsidRPr="0013396E">
              <w:t xml:space="preserve">—The charge to QSE </w:t>
            </w:r>
            <w:r w:rsidRPr="0013396E">
              <w:rPr>
                <w:i/>
              </w:rPr>
              <w:t>q</w:t>
            </w:r>
            <w:r w:rsidRPr="0013396E">
              <w:t xml:space="preserve"> for Resource </w:t>
            </w:r>
            <w:r w:rsidRPr="0013396E">
              <w:rPr>
                <w:i/>
              </w:rPr>
              <w:t xml:space="preserve">r </w:t>
            </w:r>
            <w:r w:rsidRPr="0013396E">
              <w:t xml:space="preserve">at Resource Node </w:t>
            </w:r>
            <w:r w:rsidRPr="0013396E">
              <w:rPr>
                <w:i/>
              </w:rPr>
              <w:t>p</w:t>
            </w:r>
            <w:r w:rsidRPr="0013396E">
              <w:t xml:space="preserve">, for its deviation from AASP, for the 15-minute Settlement Interval </w:t>
            </w:r>
            <w:r w:rsidRPr="0013396E">
              <w:rPr>
                <w:i/>
              </w:rPr>
              <w:t>i</w:t>
            </w:r>
            <w:r w:rsidRPr="0013396E">
              <w:t xml:space="preserve">.  </w:t>
            </w:r>
          </w:p>
        </w:tc>
      </w:tr>
      <w:tr w:rsidR="005E0EE9" w:rsidRPr="0013396E" w14:paraId="718EBF88" w14:textId="77777777" w:rsidTr="0099759E">
        <w:trPr>
          <w:cantSplit/>
        </w:trPr>
        <w:tc>
          <w:tcPr>
            <w:tcW w:w="1776" w:type="dxa"/>
          </w:tcPr>
          <w:p w14:paraId="5A335C12" w14:textId="77777777" w:rsidR="005E0EE9" w:rsidRPr="0013396E" w:rsidRDefault="005E0EE9" w:rsidP="0099759E">
            <w:pPr>
              <w:pStyle w:val="TableBody"/>
            </w:pPr>
            <w:r w:rsidRPr="0013396E">
              <w:t xml:space="preserve">RTSPP </w:t>
            </w:r>
            <w:r w:rsidRPr="0013396E">
              <w:rPr>
                <w:i/>
                <w:vertAlign w:val="subscript"/>
              </w:rPr>
              <w:t>p, i</w:t>
            </w:r>
          </w:p>
        </w:tc>
        <w:tc>
          <w:tcPr>
            <w:tcW w:w="892" w:type="dxa"/>
          </w:tcPr>
          <w:p w14:paraId="7F6000FE" w14:textId="77777777" w:rsidR="005E0EE9" w:rsidRPr="0013396E" w:rsidRDefault="005E0EE9" w:rsidP="0099759E">
            <w:pPr>
              <w:pStyle w:val="TableBody"/>
            </w:pPr>
            <w:r w:rsidRPr="0013396E">
              <w:t>$/MWh</w:t>
            </w:r>
          </w:p>
        </w:tc>
        <w:tc>
          <w:tcPr>
            <w:tcW w:w="6695" w:type="dxa"/>
          </w:tcPr>
          <w:p w14:paraId="2113040A" w14:textId="77777777" w:rsidR="005E0EE9" w:rsidRPr="0013396E" w:rsidRDefault="005E0EE9" w:rsidP="0099759E">
            <w:pPr>
              <w:pStyle w:val="TableBody"/>
            </w:pPr>
            <w:r w:rsidRPr="0013396E">
              <w:rPr>
                <w:i/>
              </w:rPr>
              <w:t>Real-Time Settlement Point Price per Settlement Point</w:t>
            </w:r>
            <w:r w:rsidRPr="0013396E">
              <w:t xml:space="preserve">—The Real-Time Settlement Point Price at Settlement Point </w:t>
            </w:r>
            <w:r w:rsidRPr="0013396E">
              <w:rPr>
                <w:i/>
              </w:rPr>
              <w:t>p</w:t>
            </w:r>
            <w:r w:rsidRPr="0013396E">
              <w:t xml:space="preserve">, for the 15-minute Settlement Interval </w:t>
            </w:r>
            <w:r w:rsidRPr="0013396E">
              <w:rPr>
                <w:i/>
              </w:rPr>
              <w:t>i</w:t>
            </w:r>
            <w:r w:rsidRPr="0013396E">
              <w:t>.</w:t>
            </w:r>
          </w:p>
        </w:tc>
      </w:tr>
      <w:tr w:rsidR="005E0EE9" w:rsidRPr="0013396E" w14:paraId="3D594300" w14:textId="77777777" w:rsidTr="0099759E">
        <w:trPr>
          <w:cantSplit/>
        </w:trPr>
        <w:tc>
          <w:tcPr>
            <w:tcW w:w="1776" w:type="dxa"/>
          </w:tcPr>
          <w:p w14:paraId="0C56C4B0" w14:textId="77777777" w:rsidR="005E0EE9" w:rsidRPr="0013396E" w:rsidRDefault="005E0EE9" w:rsidP="0099759E">
            <w:pPr>
              <w:pStyle w:val="TableBody"/>
            </w:pPr>
            <w:r w:rsidRPr="0013396E">
              <w:t xml:space="preserve">TWTG </w:t>
            </w:r>
            <w:r w:rsidRPr="0013396E">
              <w:rPr>
                <w:i/>
                <w:vertAlign w:val="subscript"/>
              </w:rPr>
              <w:t>q, r, p, i</w:t>
            </w:r>
          </w:p>
        </w:tc>
        <w:tc>
          <w:tcPr>
            <w:tcW w:w="892" w:type="dxa"/>
          </w:tcPr>
          <w:p w14:paraId="77C44636" w14:textId="77777777" w:rsidR="005E0EE9" w:rsidRPr="0013396E" w:rsidRDefault="005E0EE9" w:rsidP="0099759E">
            <w:pPr>
              <w:pStyle w:val="TableBody"/>
            </w:pPr>
            <w:r w:rsidRPr="0013396E">
              <w:t>MWh</w:t>
            </w:r>
          </w:p>
        </w:tc>
        <w:tc>
          <w:tcPr>
            <w:tcW w:w="6695" w:type="dxa"/>
          </w:tcPr>
          <w:p w14:paraId="3FC68140" w14:textId="77777777" w:rsidR="005E0EE9" w:rsidRPr="0013396E" w:rsidRDefault="005E0EE9" w:rsidP="0099759E">
            <w:pPr>
              <w:pStyle w:val="TableBody"/>
              <w:rPr>
                <w:i/>
              </w:rPr>
            </w:pPr>
            <w:r w:rsidRPr="0013396E">
              <w:rPr>
                <w:i/>
              </w:rPr>
              <w:t>Time-Weighted Telemetered Generation per QSE per Settlement Point per Resource</w:t>
            </w:r>
            <w:r w:rsidRPr="0013396E">
              <w:t xml:space="preserve">—The telemetered generation or consumption of Resource </w:t>
            </w:r>
            <w:r w:rsidRPr="0013396E">
              <w:rPr>
                <w:i/>
              </w:rPr>
              <w:t>r</w:t>
            </w:r>
            <w:r w:rsidRPr="0013396E">
              <w:t xml:space="preserve"> represented by QSE </w:t>
            </w:r>
            <w:r w:rsidRPr="0013396E">
              <w:rPr>
                <w:i/>
              </w:rPr>
              <w:t>q</w:t>
            </w:r>
            <w:r w:rsidRPr="0013396E">
              <w:t xml:space="preserve"> at Resource Node </w:t>
            </w:r>
            <w:r w:rsidRPr="0013396E">
              <w:rPr>
                <w:i/>
              </w:rPr>
              <w:t>p</w:t>
            </w:r>
            <w:r w:rsidRPr="0013396E">
              <w:t xml:space="preserve">, for the 15-minute Settlement Interval </w:t>
            </w:r>
            <w:r w:rsidRPr="0013396E">
              <w:rPr>
                <w:i/>
              </w:rPr>
              <w:t>i</w:t>
            </w:r>
            <w:r w:rsidRPr="0013396E">
              <w:t xml:space="preserve">.  </w:t>
            </w:r>
          </w:p>
        </w:tc>
      </w:tr>
      <w:tr w:rsidR="005E0EE9" w:rsidRPr="0013396E" w14:paraId="460BCDDD" w14:textId="77777777" w:rsidTr="0099759E">
        <w:trPr>
          <w:cantSplit/>
        </w:trPr>
        <w:tc>
          <w:tcPr>
            <w:tcW w:w="1776" w:type="dxa"/>
          </w:tcPr>
          <w:p w14:paraId="246C2D2B" w14:textId="77777777" w:rsidR="005E0EE9" w:rsidRPr="0013396E" w:rsidRDefault="005E0EE9" w:rsidP="0099759E">
            <w:pPr>
              <w:pStyle w:val="TableBody"/>
            </w:pPr>
            <w:r w:rsidRPr="0013396E">
              <w:t xml:space="preserve">AASP </w:t>
            </w:r>
            <w:r w:rsidRPr="0013396E">
              <w:rPr>
                <w:i/>
                <w:vertAlign w:val="subscript"/>
              </w:rPr>
              <w:t>q, r, p, i</w:t>
            </w:r>
          </w:p>
        </w:tc>
        <w:tc>
          <w:tcPr>
            <w:tcW w:w="892" w:type="dxa"/>
          </w:tcPr>
          <w:p w14:paraId="650DA01D" w14:textId="77777777" w:rsidR="005E0EE9" w:rsidRPr="0013396E" w:rsidRDefault="005E0EE9" w:rsidP="0099759E">
            <w:pPr>
              <w:pStyle w:val="TableBody"/>
            </w:pPr>
            <w:r w:rsidRPr="0013396E">
              <w:t>MW</w:t>
            </w:r>
          </w:p>
        </w:tc>
        <w:tc>
          <w:tcPr>
            <w:tcW w:w="6695" w:type="dxa"/>
          </w:tcPr>
          <w:p w14:paraId="56C45C0A" w14:textId="77777777" w:rsidR="005E0EE9" w:rsidRPr="0013396E" w:rsidRDefault="005E0EE9" w:rsidP="0099759E">
            <w:pPr>
              <w:pStyle w:val="TableBody"/>
              <w:rPr>
                <w:i/>
              </w:rPr>
            </w:pPr>
            <w:r w:rsidRPr="0013396E">
              <w:rPr>
                <w:i/>
              </w:rPr>
              <w:t>Average Aggregated Set Point per QSE per Settlement Point per Resource</w:t>
            </w:r>
            <w:r w:rsidRPr="0013396E">
              <w:t xml:space="preserve">—The </w:t>
            </w:r>
            <w:r w:rsidRPr="0013396E">
              <w:rPr>
                <w:iCs w:val="0"/>
              </w:rPr>
              <w:t>average of the Average Five Minute Clock Interval Set Point (AVGSP5M)</w:t>
            </w:r>
            <w:r w:rsidRPr="0013396E">
              <w:t xml:space="preserve"> of Resource </w:t>
            </w:r>
            <w:r w:rsidRPr="0013396E">
              <w:rPr>
                <w:i/>
              </w:rPr>
              <w:t>r</w:t>
            </w:r>
            <w:r w:rsidRPr="0013396E">
              <w:t xml:space="preserve"> represented by QSE </w:t>
            </w:r>
            <w:r w:rsidRPr="0013396E">
              <w:rPr>
                <w:i/>
              </w:rPr>
              <w:t>q</w:t>
            </w:r>
            <w:r w:rsidRPr="0013396E">
              <w:t xml:space="preserve"> at Settlement Point </w:t>
            </w:r>
            <w:r w:rsidRPr="0013396E">
              <w:rPr>
                <w:i/>
              </w:rPr>
              <w:t>p,</w:t>
            </w:r>
            <w:r w:rsidRPr="0013396E">
              <w:t xml:space="preserve"> for the 15-minute Settlement Interval</w:t>
            </w:r>
            <w:r w:rsidRPr="0013396E">
              <w:rPr>
                <w:i/>
              </w:rPr>
              <w:t xml:space="preserve"> i</w:t>
            </w:r>
            <w:r w:rsidRPr="0013396E">
              <w:t xml:space="preserve">.  </w:t>
            </w:r>
          </w:p>
        </w:tc>
      </w:tr>
      <w:tr w:rsidR="005E0EE9" w:rsidRPr="0013396E" w14:paraId="36626ED0" w14:textId="77777777" w:rsidTr="0099759E">
        <w:trPr>
          <w:cantSplit/>
        </w:trPr>
        <w:tc>
          <w:tcPr>
            <w:tcW w:w="1776" w:type="dxa"/>
          </w:tcPr>
          <w:p w14:paraId="4DE57625" w14:textId="77777777" w:rsidR="005E0EE9" w:rsidRPr="0013396E" w:rsidRDefault="005E0EE9" w:rsidP="0099759E">
            <w:pPr>
              <w:pStyle w:val="TableBody"/>
            </w:pPr>
            <w:r w:rsidRPr="0013396E">
              <w:t xml:space="preserve">AVGTG5M </w:t>
            </w:r>
            <w:r w:rsidRPr="0013396E">
              <w:rPr>
                <w:i/>
                <w:vertAlign w:val="subscript"/>
                <w:lang w:val="fr-FR"/>
              </w:rPr>
              <w:t>q, r, p, i, y</w:t>
            </w:r>
          </w:p>
        </w:tc>
        <w:tc>
          <w:tcPr>
            <w:tcW w:w="892" w:type="dxa"/>
          </w:tcPr>
          <w:p w14:paraId="76F241A1" w14:textId="77777777" w:rsidR="005E0EE9" w:rsidRPr="0013396E" w:rsidRDefault="005E0EE9" w:rsidP="0099759E">
            <w:pPr>
              <w:pStyle w:val="TableBody"/>
            </w:pPr>
            <w:r w:rsidRPr="0013396E">
              <w:t>MW</w:t>
            </w:r>
          </w:p>
        </w:tc>
        <w:tc>
          <w:tcPr>
            <w:tcW w:w="6695" w:type="dxa"/>
          </w:tcPr>
          <w:p w14:paraId="46CCB5AC" w14:textId="77777777" w:rsidR="005E0EE9" w:rsidRPr="0013396E" w:rsidRDefault="005E0EE9" w:rsidP="0099759E">
            <w:pPr>
              <w:pStyle w:val="TableBody"/>
            </w:pPr>
            <w:r w:rsidRPr="0013396E">
              <w:rPr>
                <w:i/>
              </w:rPr>
              <w:t>Average Telemetered Generation for the 5 Minutes</w:t>
            </w:r>
            <w:r w:rsidRPr="0013396E">
              <w:t xml:space="preserve">—The average telemetered generation or consumption of Resource </w:t>
            </w:r>
            <w:r w:rsidRPr="0013396E">
              <w:rPr>
                <w:i/>
              </w:rPr>
              <w:t>r</w:t>
            </w:r>
            <w:r w:rsidRPr="0013396E">
              <w:t xml:space="preserve"> represented by QSE </w:t>
            </w:r>
            <w:r w:rsidRPr="0013396E">
              <w:rPr>
                <w:i/>
              </w:rPr>
              <w:t>q</w:t>
            </w:r>
            <w:r w:rsidRPr="0013396E">
              <w:t xml:space="preserve"> at Resource Node </w:t>
            </w:r>
            <w:r w:rsidRPr="0013396E">
              <w:rPr>
                <w:i/>
              </w:rPr>
              <w:t>p</w:t>
            </w:r>
            <w:r w:rsidRPr="0013396E">
              <w:t xml:space="preserve">, for the five-minute clock interval </w:t>
            </w:r>
            <w:r w:rsidRPr="0013396E">
              <w:rPr>
                <w:i/>
              </w:rPr>
              <w:t>y</w:t>
            </w:r>
            <w:r w:rsidRPr="0013396E">
              <w:t xml:space="preserve">, within the 15-minute Settlement Interval </w:t>
            </w:r>
            <w:r w:rsidRPr="0013396E">
              <w:rPr>
                <w:i/>
              </w:rPr>
              <w:t>i</w:t>
            </w:r>
            <w:r w:rsidRPr="0013396E">
              <w:t>.</w:t>
            </w:r>
          </w:p>
        </w:tc>
      </w:tr>
      <w:tr w:rsidR="005E0EE9" w:rsidRPr="0013396E" w14:paraId="60C876D3" w14:textId="77777777" w:rsidTr="0099759E">
        <w:trPr>
          <w:cantSplit/>
        </w:trPr>
        <w:tc>
          <w:tcPr>
            <w:tcW w:w="1776" w:type="dxa"/>
          </w:tcPr>
          <w:p w14:paraId="7941E78B" w14:textId="77777777" w:rsidR="005E0EE9" w:rsidRPr="0013396E" w:rsidRDefault="005E0EE9" w:rsidP="0099759E">
            <w:pPr>
              <w:pStyle w:val="TableBody"/>
            </w:pPr>
            <w:r w:rsidRPr="0013396E">
              <w:t xml:space="preserve">UPESR </w:t>
            </w:r>
            <w:r w:rsidRPr="0013396E">
              <w:rPr>
                <w:i/>
                <w:vertAlign w:val="subscript"/>
              </w:rPr>
              <w:t>q, r, p, i</w:t>
            </w:r>
          </w:p>
        </w:tc>
        <w:tc>
          <w:tcPr>
            <w:tcW w:w="892" w:type="dxa"/>
          </w:tcPr>
          <w:p w14:paraId="705CB25C" w14:textId="77777777" w:rsidR="005E0EE9" w:rsidRPr="0013396E" w:rsidRDefault="005E0EE9" w:rsidP="0099759E">
            <w:pPr>
              <w:pStyle w:val="TableBody"/>
            </w:pPr>
            <w:r w:rsidRPr="0013396E">
              <w:t>MWh</w:t>
            </w:r>
          </w:p>
        </w:tc>
        <w:tc>
          <w:tcPr>
            <w:tcW w:w="6695" w:type="dxa"/>
          </w:tcPr>
          <w:p w14:paraId="2F335ECC" w14:textId="77777777" w:rsidR="005E0EE9" w:rsidRPr="0013396E" w:rsidRDefault="005E0EE9" w:rsidP="0099759E">
            <w:pPr>
              <w:pStyle w:val="TableBody"/>
            </w:pPr>
            <w:r w:rsidRPr="0013396E">
              <w:rPr>
                <w:i/>
              </w:rPr>
              <w:t>Under-Performance Volumes per QSE per Settlement Point per Resource</w:t>
            </w:r>
            <w:r w:rsidRPr="0013396E">
              <w:t xml:space="preserve">—The amount the ESR </w:t>
            </w:r>
            <w:r w:rsidRPr="0013396E">
              <w:rPr>
                <w:i/>
              </w:rPr>
              <w:t>r</w:t>
            </w:r>
            <w:r w:rsidRPr="0013396E">
              <w:t xml:space="preserve"> under-performed represented by QSE </w:t>
            </w:r>
            <w:r w:rsidRPr="0013396E">
              <w:rPr>
                <w:i/>
              </w:rPr>
              <w:t>q</w:t>
            </w:r>
            <w:r w:rsidRPr="0013396E">
              <w:t xml:space="preserve"> at Resource Node </w:t>
            </w:r>
            <w:r w:rsidRPr="0013396E">
              <w:rPr>
                <w:i/>
              </w:rPr>
              <w:t xml:space="preserve">p, </w:t>
            </w:r>
            <w:r w:rsidRPr="0013396E">
              <w:t xml:space="preserve">for the 15-minute Settlement Interval </w:t>
            </w:r>
            <w:r w:rsidRPr="0013396E">
              <w:rPr>
                <w:i/>
              </w:rPr>
              <w:t>i</w:t>
            </w:r>
            <w:r w:rsidRPr="0013396E">
              <w:t>.</w:t>
            </w:r>
          </w:p>
        </w:tc>
      </w:tr>
      <w:tr w:rsidR="005E0EE9" w:rsidRPr="0013396E" w14:paraId="773BAF81" w14:textId="77777777" w:rsidTr="0099759E">
        <w:trPr>
          <w:cantSplit/>
        </w:trPr>
        <w:tc>
          <w:tcPr>
            <w:tcW w:w="1776" w:type="dxa"/>
          </w:tcPr>
          <w:p w14:paraId="058357C5" w14:textId="77777777" w:rsidR="005E0EE9" w:rsidRPr="0013396E" w:rsidRDefault="005E0EE9" w:rsidP="0099759E">
            <w:pPr>
              <w:pStyle w:val="TableBody"/>
            </w:pPr>
            <w:r w:rsidRPr="0013396E">
              <w:t>PR4</w:t>
            </w:r>
          </w:p>
        </w:tc>
        <w:tc>
          <w:tcPr>
            <w:tcW w:w="892" w:type="dxa"/>
          </w:tcPr>
          <w:p w14:paraId="1ACACF40" w14:textId="77777777" w:rsidR="005E0EE9" w:rsidRPr="0013396E" w:rsidRDefault="005E0EE9" w:rsidP="0099759E">
            <w:pPr>
              <w:pStyle w:val="TableBody"/>
            </w:pPr>
            <w:r w:rsidRPr="0013396E">
              <w:t>$/MWh</w:t>
            </w:r>
          </w:p>
        </w:tc>
        <w:tc>
          <w:tcPr>
            <w:tcW w:w="6695" w:type="dxa"/>
          </w:tcPr>
          <w:p w14:paraId="717D83F1" w14:textId="77777777" w:rsidR="005E0EE9" w:rsidRPr="0013396E" w:rsidRDefault="005E0EE9" w:rsidP="0099759E">
            <w:pPr>
              <w:pStyle w:val="TableBody"/>
            </w:pPr>
            <w:r w:rsidRPr="0013396E">
              <w:t xml:space="preserve">The price to use for the Set Point Deviation Charge for under-performance when RTSPP is greater than -$20/MWh, -$20/MWh.  </w:t>
            </w:r>
          </w:p>
        </w:tc>
      </w:tr>
      <w:tr w:rsidR="005E0EE9" w:rsidRPr="0013396E" w14:paraId="30045D88" w14:textId="77777777" w:rsidTr="0099759E">
        <w:trPr>
          <w:cantSplit/>
        </w:trPr>
        <w:tc>
          <w:tcPr>
            <w:tcW w:w="1776" w:type="dxa"/>
          </w:tcPr>
          <w:p w14:paraId="47C8EAEA" w14:textId="77777777" w:rsidR="005E0EE9" w:rsidRPr="0013396E" w:rsidRDefault="005E0EE9" w:rsidP="0099759E">
            <w:pPr>
              <w:pStyle w:val="TableBody"/>
            </w:pPr>
            <w:r w:rsidRPr="0013396E">
              <w:t>K4</w:t>
            </w:r>
          </w:p>
        </w:tc>
        <w:tc>
          <w:tcPr>
            <w:tcW w:w="892" w:type="dxa"/>
          </w:tcPr>
          <w:p w14:paraId="01E8E103" w14:textId="77777777" w:rsidR="005E0EE9" w:rsidRPr="0013396E" w:rsidRDefault="005E0EE9" w:rsidP="0099759E">
            <w:pPr>
              <w:pStyle w:val="TableBody"/>
            </w:pPr>
            <w:r w:rsidRPr="0013396E">
              <w:t>none</w:t>
            </w:r>
          </w:p>
        </w:tc>
        <w:tc>
          <w:tcPr>
            <w:tcW w:w="6695" w:type="dxa"/>
          </w:tcPr>
          <w:p w14:paraId="5E0CE6F0" w14:textId="77777777" w:rsidR="005E0EE9" w:rsidRPr="0013396E" w:rsidRDefault="005E0EE9" w:rsidP="0099759E">
            <w:pPr>
              <w:pStyle w:val="TableBody"/>
            </w:pPr>
            <w:r w:rsidRPr="0013396E">
              <w:t xml:space="preserve">The percentage tolerance for under-performance, 3%.  </w:t>
            </w:r>
          </w:p>
        </w:tc>
      </w:tr>
      <w:tr w:rsidR="005E0EE9" w:rsidRPr="0013396E" w14:paraId="12750F49" w14:textId="77777777" w:rsidTr="0099759E">
        <w:trPr>
          <w:cantSplit/>
        </w:trPr>
        <w:tc>
          <w:tcPr>
            <w:tcW w:w="1776" w:type="dxa"/>
          </w:tcPr>
          <w:p w14:paraId="3284FACE" w14:textId="77777777" w:rsidR="005E0EE9" w:rsidRPr="0013396E" w:rsidRDefault="005E0EE9" w:rsidP="0099759E">
            <w:pPr>
              <w:pStyle w:val="TableBody"/>
            </w:pPr>
            <w:r w:rsidRPr="0013396E">
              <w:t>Q4</w:t>
            </w:r>
          </w:p>
        </w:tc>
        <w:tc>
          <w:tcPr>
            <w:tcW w:w="892" w:type="dxa"/>
          </w:tcPr>
          <w:p w14:paraId="329686DB" w14:textId="77777777" w:rsidR="005E0EE9" w:rsidRPr="0013396E" w:rsidRDefault="005E0EE9" w:rsidP="0099759E">
            <w:pPr>
              <w:pStyle w:val="TableBody"/>
            </w:pPr>
            <w:r w:rsidRPr="0013396E">
              <w:t>MW</w:t>
            </w:r>
          </w:p>
        </w:tc>
        <w:tc>
          <w:tcPr>
            <w:tcW w:w="6695" w:type="dxa"/>
          </w:tcPr>
          <w:p w14:paraId="53C0471D" w14:textId="77777777" w:rsidR="005E0EE9" w:rsidRPr="0013396E" w:rsidRDefault="005E0EE9" w:rsidP="0099759E">
            <w:pPr>
              <w:pStyle w:val="TableBody"/>
            </w:pPr>
            <w:r w:rsidRPr="0013396E">
              <w:t>The MW tolerance for under-performance, three MW.</w:t>
            </w:r>
          </w:p>
        </w:tc>
      </w:tr>
      <w:tr w:rsidR="005E0EE9" w:rsidRPr="0013396E" w14:paraId="4FF1DB43" w14:textId="77777777" w:rsidTr="0099759E">
        <w:trPr>
          <w:cantSplit/>
        </w:trPr>
        <w:tc>
          <w:tcPr>
            <w:tcW w:w="1776" w:type="dxa"/>
          </w:tcPr>
          <w:p w14:paraId="2FD81EA4" w14:textId="77777777" w:rsidR="005E0EE9" w:rsidRPr="0013396E" w:rsidRDefault="005E0EE9" w:rsidP="0099759E">
            <w:pPr>
              <w:pStyle w:val="TableBody"/>
            </w:pPr>
            <w:r w:rsidRPr="0013396E">
              <w:t>KP2</w:t>
            </w:r>
          </w:p>
        </w:tc>
        <w:tc>
          <w:tcPr>
            <w:tcW w:w="892" w:type="dxa"/>
          </w:tcPr>
          <w:p w14:paraId="111C391F" w14:textId="77777777" w:rsidR="005E0EE9" w:rsidRPr="0013396E" w:rsidRDefault="005E0EE9" w:rsidP="0099759E">
            <w:pPr>
              <w:pStyle w:val="TableBody"/>
            </w:pPr>
            <w:r w:rsidRPr="0013396E">
              <w:t>none</w:t>
            </w:r>
          </w:p>
        </w:tc>
        <w:tc>
          <w:tcPr>
            <w:tcW w:w="6695" w:type="dxa"/>
          </w:tcPr>
          <w:p w14:paraId="02C80EF1" w14:textId="77777777" w:rsidR="005E0EE9" w:rsidRPr="0013396E" w:rsidRDefault="005E0EE9" w:rsidP="0099759E">
            <w:pPr>
              <w:pStyle w:val="TableBody"/>
            </w:pPr>
            <w:r w:rsidRPr="0013396E">
              <w:t>The coefficient applied to the Settlement Point Price for under-performance charge, 1.0.</w:t>
            </w:r>
          </w:p>
        </w:tc>
      </w:tr>
      <w:tr w:rsidR="005E0EE9" w:rsidRPr="0013396E" w14:paraId="72F2A3E9" w14:textId="77777777" w:rsidTr="0099759E">
        <w:trPr>
          <w:cantSplit/>
        </w:trPr>
        <w:tc>
          <w:tcPr>
            <w:tcW w:w="1776" w:type="dxa"/>
          </w:tcPr>
          <w:p w14:paraId="0C757D86" w14:textId="77777777" w:rsidR="005E0EE9" w:rsidRPr="0013396E" w:rsidRDefault="005E0EE9" w:rsidP="0099759E">
            <w:pPr>
              <w:pStyle w:val="TableBody"/>
              <w:rPr>
                <w:i/>
              </w:rPr>
            </w:pPr>
            <w:r w:rsidRPr="0013396E">
              <w:rPr>
                <w:i/>
              </w:rPr>
              <w:t>q</w:t>
            </w:r>
          </w:p>
        </w:tc>
        <w:tc>
          <w:tcPr>
            <w:tcW w:w="892" w:type="dxa"/>
          </w:tcPr>
          <w:p w14:paraId="125D428B" w14:textId="77777777" w:rsidR="005E0EE9" w:rsidRPr="0013396E" w:rsidRDefault="005E0EE9" w:rsidP="0099759E">
            <w:pPr>
              <w:pStyle w:val="TableBody"/>
            </w:pPr>
            <w:r w:rsidRPr="0013396E">
              <w:t>none</w:t>
            </w:r>
          </w:p>
        </w:tc>
        <w:tc>
          <w:tcPr>
            <w:tcW w:w="6695" w:type="dxa"/>
          </w:tcPr>
          <w:p w14:paraId="1ECE7F34" w14:textId="77777777" w:rsidR="005E0EE9" w:rsidRPr="0013396E" w:rsidRDefault="005E0EE9" w:rsidP="0099759E">
            <w:pPr>
              <w:pStyle w:val="TableBody"/>
            </w:pPr>
            <w:r w:rsidRPr="0013396E">
              <w:t>A QSE.</w:t>
            </w:r>
          </w:p>
        </w:tc>
      </w:tr>
      <w:tr w:rsidR="005E0EE9" w:rsidRPr="0013396E" w14:paraId="237378FD" w14:textId="77777777" w:rsidTr="0099759E">
        <w:trPr>
          <w:cantSplit/>
        </w:trPr>
        <w:tc>
          <w:tcPr>
            <w:tcW w:w="1776" w:type="dxa"/>
          </w:tcPr>
          <w:p w14:paraId="6187206C" w14:textId="77777777" w:rsidR="005E0EE9" w:rsidRPr="0013396E" w:rsidRDefault="005E0EE9" w:rsidP="0099759E">
            <w:pPr>
              <w:pStyle w:val="TableBody"/>
              <w:rPr>
                <w:i/>
              </w:rPr>
            </w:pPr>
            <w:r w:rsidRPr="0013396E">
              <w:rPr>
                <w:i/>
              </w:rPr>
              <w:t>p</w:t>
            </w:r>
          </w:p>
        </w:tc>
        <w:tc>
          <w:tcPr>
            <w:tcW w:w="892" w:type="dxa"/>
          </w:tcPr>
          <w:p w14:paraId="17F3B5F7" w14:textId="77777777" w:rsidR="005E0EE9" w:rsidRPr="0013396E" w:rsidRDefault="005E0EE9" w:rsidP="0099759E">
            <w:pPr>
              <w:pStyle w:val="TableBody"/>
            </w:pPr>
            <w:r w:rsidRPr="0013396E">
              <w:t>none</w:t>
            </w:r>
          </w:p>
        </w:tc>
        <w:tc>
          <w:tcPr>
            <w:tcW w:w="6695" w:type="dxa"/>
          </w:tcPr>
          <w:p w14:paraId="7B987954" w14:textId="77777777" w:rsidR="005E0EE9" w:rsidRPr="0013396E" w:rsidRDefault="005E0EE9" w:rsidP="0099759E">
            <w:pPr>
              <w:pStyle w:val="TableBody"/>
            </w:pPr>
            <w:r w:rsidRPr="0013396E">
              <w:t>A Settlement Point.</w:t>
            </w:r>
          </w:p>
        </w:tc>
      </w:tr>
      <w:tr w:rsidR="005E0EE9" w:rsidRPr="0013396E" w14:paraId="2C1A65DF" w14:textId="77777777" w:rsidTr="0099759E">
        <w:trPr>
          <w:cantSplit/>
        </w:trPr>
        <w:tc>
          <w:tcPr>
            <w:tcW w:w="1776" w:type="dxa"/>
          </w:tcPr>
          <w:p w14:paraId="1FF543ED" w14:textId="77777777" w:rsidR="005E0EE9" w:rsidRPr="0013396E" w:rsidRDefault="005E0EE9" w:rsidP="0099759E">
            <w:pPr>
              <w:pStyle w:val="TableBody"/>
              <w:tabs>
                <w:tab w:val="right" w:pos="9360"/>
              </w:tabs>
              <w:rPr>
                <w:i/>
              </w:rPr>
            </w:pPr>
            <w:r w:rsidRPr="0013396E">
              <w:rPr>
                <w:i/>
              </w:rPr>
              <w:t>r</w:t>
            </w:r>
          </w:p>
        </w:tc>
        <w:tc>
          <w:tcPr>
            <w:tcW w:w="892" w:type="dxa"/>
          </w:tcPr>
          <w:p w14:paraId="1F3B8F8D" w14:textId="77777777" w:rsidR="005E0EE9" w:rsidRPr="0013396E" w:rsidRDefault="005E0EE9" w:rsidP="0099759E">
            <w:pPr>
              <w:pStyle w:val="TableBody"/>
              <w:tabs>
                <w:tab w:val="right" w:pos="9360"/>
              </w:tabs>
            </w:pPr>
            <w:r w:rsidRPr="0013396E">
              <w:t>none</w:t>
            </w:r>
          </w:p>
        </w:tc>
        <w:tc>
          <w:tcPr>
            <w:tcW w:w="6695" w:type="dxa"/>
          </w:tcPr>
          <w:p w14:paraId="4AFECD65" w14:textId="77777777" w:rsidR="005E0EE9" w:rsidRPr="0013396E" w:rsidRDefault="005E0EE9" w:rsidP="0099759E">
            <w:pPr>
              <w:pStyle w:val="TableBody"/>
              <w:tabs>
                <w:tab w:val="right" w:pos="9360"/>
              </w:tabs>
              <w:rPr>
                <w:lang w:val="fr-FR"/>
              </w:rPr>
            </w:pPr>
            <w:r w:rsidRPr="0013396E">
              <w:rPr>
                <w:lang w:val="fr-FR"/>
              </w:rPr>
              <w:t xml:space="preserve">An ESR. </w:t>
            </w:r>
          </w:p>
        </w:tc>
      </w:tr>
      <w:tr w:rsidR="005E0EE9" w:rsidRPr="0013396E" w14:paraId="12E8269D" w14:textId="77777777" w:rsidTr="0099759E">
        <w:trPr>
          <w:cantSplit/>
        </w:trPr>
        <w:tc>
          <w:tcPr>
            <w:tcW w:w="1776" w:type="dxa"/>
            <w:tcBorders>
              <w:top w:val="single" w:sz="4" w:space="0" w:color="auto"/>
              <w:left w:val="single" w:sz="4" w:space="0" w:color="auto"/>
              <w:bottom w:val="single" w:sz="4" w:space="0" w:color="auto"/>
              <w:right w:val="single" w:sz="4" w:space="0" w:color="auto"/>
            </w:tcBorders>
          </w:tcPr>
          <w:p w14:paraId="0BC2EF1C" w14:textId="77777777" w:rsidR="005E0EE9" w:rsidRPr="0013396E" w:rsidRDefault="005E0EE9" w:rsidP="0099759E">
            <w:pPr>
              <w:pStyle w:val="TableBody"/>
              <w:rPr>
                <w:i/>
              </w:rPr>
            </w:pPr>
            <w:r w:rsidRPr="0013396E">
              <w:rPr>
                <w:i/>
              </w:rPr>
              <w:lastRenderedPageBreak/>
              <w:t xml:space="preserve">y </w:t>
            </w:r>
          </w:p>
        </w:tc>
        <w:tc>
          <w:tcPr>
            <w:tcW w:w="892" w:type="dxa"/>
            <w:tcBorders>
              <w:top w:val="single" w:sz="4" w:space="0" w:color="auto"/>
              <w:left w:val="single" w:sz="4" w:space="0" w:color="auto"/>
              <w:bottom w:val="single" w:sz="4" w:space="0" w:color="auto"/>
              <w:right w:val="single" w:sz="4" w:space="0" w:color="auto"/>
            </w:tcBorders>
          </w:tcPr>
          <w:p w14:paraId="505BC981" w14:textId="77777777" w:rsidR="005E0EE9" w:rsidRPr="0013396E" w:rsidRDefault="005E0EE9" w:rsidP="0099759E">
            <w:pPr>
              <w:pStyle w:val="TableBody"/>
            </w:pPr>
            <w:r w:rsidRPr="0013396E">
              <w:t>none</w:t>
            </w:r>
          </w:p>
        </w:tc>
        <w:tc>
          <w:tcPr>
            <w:tcW w:w="6695" w:type="dxa"/>
            <w:tcBorders>
              <w:top w:val="single" w:sz="4" w:space="0" w:color="auto"/>
              <w:left w:val="single" w:sz="4" w:space="0" w:color="auto"/>
              <w:bottom w:val="single" w:sz="4" w:space="0" w:color="auto"/>
              <w:right w:val="single" w:sz="4" w:space="0" w:color="auto"/>
            </w:tcBorders>
          </w:tcPr>
          <w:p w14:paraId="6C4E4CE0" w14:textId="77777777" w:rsidR="005E0EE9" w:rsidRPr="0013396E" w:rsidRDefault="005E0EE9" w:rsidP="0099759E">
            <w:pPr>
              <w:pStyle w:val="TableBody"/>
            </w:pPr>
            <w:r w:rsidRPr="0013396E">
              <w:t xml:space="preserve">A five-minute clock interval in the Settlement Interval. </w:t>
            </w:r>
          </w:p>
        </w:tc>
      </w:tr>
      <w:tr w:rsidR="005E0EE9" w:rsidRPr="0013396E" w14:paraId="74E8336E" w14:textId="77777777" w:rsidTr="0099759E">
        <w:trPr>
          <w:cantSplit/>
        </w:trPr>
        <w:tc>
          <w:tcPr>
            <w:tcW w:w="1776" w:type="dxa"/>
            <w:tcBorders>
              <w:top w:val="single" w:sz="4" w:space="0" w:color="auto"/>
              <w:left w:val="single" w:sz="4" w:space="0" w:color="auto"/>
              <w:bottom w:val="single" w:sz="4" w:space="0" w:color="auto"/>
              <w:right w:val="single" w:sz="4" w:space="0" w:color="auto"/>
            </w:tcBorders>
          </w:tcPr>
          <w:p w14:paraId="6F1E049D" w14:textId="77777777" w:rsidR="005E0EE9" w:rsidRPr="0013396E" w:rsidDel="00714336" w:rsidRDefault="005E0EE9" w:rsidP="0099759E">
            <w:pPr>
              <w:pStyle w:val="TableBody"/>
              <w:rPr>
                <w:i/>
              </w:rPr>
            </w:pPr>
            <w:r w:rsidRPr="0013396E">
              <w:rPr>
                <w:i/>
              </w:rPr>
              <w:t>i</w:t>
            </w:r>
          </w:p>
        </w:tc>
        <w:tc>
          <w:tcPr>
            <w:tcW w:w="892" w:type="dxa"/>
            <w:tcBorders>
              <w:top w:val="single" w:sz="4" w:space="0" w:color="auto"/>
              <w:left w:val="single" w:sz="4" w:space="0" w:color="auto"/>
              <w:bottom w:val="single" w:sz="4" w:space="0" w:color="auto"/>
              <w:right w:val="single" w:sz="4" w:space="0" w:color="auto"/>
            </w:tcBorders>
          </w:tcPr>
          <w:p w14:paraId="6DA3E1FC" w14:textId="77777777" w:rsidR="005E0EE9" w:rsidRPr="0013396E" w:rsidDel="00714336" w:rsidRDefault="005E0EE9" w:rsidP="0099759E">
            <w:pPr>
              <w:pStyle w:val="TableBody"/>
            </w:pPr>
            <w:r w:rsidRPr="0013396E">
              <w:t>none</w:t>
            </w:r>
          </w:p>
        </w:tc>
        <w:tc>
          <w:tcPr>
            <w:tcW w:w="6695" w:type="dxa"/>
            <w:tcBorders>
              <w:top w:val="single" w:sz="4" w:space="0" w:color="auto"/>
              <w:left w:val="single" w:sz="4" w:space="0" w:color="auto"/>
              <w:bottom w:val="single" w:sz="4" w:space="0" w:color="auto"/>
              <w:right w:val="single" w:sz="4" w:space="0" w:color="auto"/>
            </w:tcBorders>
          </w:tcPr>
          <w:p w14:paraId="43217091" w14:textId="77777777" w:rsidR="005E0EE9" w:rsidRPr="0013396E" w:rsidDel="00714336" w:rsidRDefault="005E0EE9" w:rsidP="0099759E">
            <w:pPr>
              <w:pStyle w:val="TableBody"/>
            </w:pPr>
            <w:r w:rsidRPr="0013396E">
              <w:t>A 15-minute Settlement Interval.</w:t>
            </w:r>
          </w:p>
        </w:tc>
      </w:tr>
    </w:tbl>
    <w:p w14:paraId="13858422" w14:textId="77777777" w:rsidR="005E0EE9" w:rsidRPr="0013396E" w:rsidRDefault="005E0EE9" w:rsidP="00457C20">
      <w:pPr>
        <w:pStyle w:val="H4"/>
        <w:spacing w:before="480"/>
        <w:ind w:left="0" w:firstLine="0"/>
      </w:pPr>
      <w:bookmarkStart w:id="1855" w:name="_Toc214878990"/>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r w:rsidRPr="0013396E">
        <w:t>6.6.5.6</w:t>
      </w:r>
      <w:r w:rsidRPr="0013396E">
        <w:tab/>
        <w:t>Resources Exempt from Deviation Charges</w:t>
      </w:r>
      <w:bookmarkEnd w:id="1855"/>
    </w:p>
    <w:p w14:paraId="042ACCCB" w14:textId="77777777" w:rsidR="005E0EE9" w:rsidRPr="0013396E" w:rsidRDefault="005E0EE9" w:rsidP="005E0EE9">
      <w:pPr>
        <w:pStyle w:val="List"/>
        <w:ind w:left="720"/>
      </w:pPr>
      <w:r w:rsidRPr="0013396E">
        <w:t>(1)</w:t>
      </w:r>
      <w:r w:rsidRPr="0013396E">
        <w:tab/>
        <w:t xml:space="preserve">Set Point Deviation Charges do not apply to any QSE for the 15-minute Settlement Interval during the following events: </w:t>
      </w:r>
    </w:p>
    <w:p w14:paraId="78FF4350" w14:textId="77777777" w:rsidR="005E0EE9" w:rsidRPr="0013396E" w:rsidRDefault="005E0EE9" w:rsidP="005E0EE9">
      <w:pPr>
        <w:pStyle w:val="List"/>
      </w:pPr>
      <w:r w:rsidRPr="0013396E">
        <w:t>(a)</w:t>
      </w:r>
      <w:r w:rsidRPr="0013396E">
        <w:tab/>
        <w:t>Responsive Reserve (RRS) was manually deployed by ERCOT;</w:t>
      </w:r>
    </w:p>
    <w:p w14:paraId="73C63D69" w14:textId="77777777" w:rsidR="005E0EE9" w:rsidRPr="0013396E" w:rsidRDefault="005E0EE9" w:rsidP="005E0EE9">
      <w:pPr>
        <w:pStyle w:val="List"/>
      </w:pPr>
      <w:r w:rsidRPr="0013396E">
        <w:t>(b)</w:t>
      </w:r>
      <w:r w:rsidRPr="0013396E">
        <w:tab/>
        <w:t>ERCOT Contingency Reserve Service (ECRS) was deployed; or</w:t>
      </w:r>
    </w:p>
    <w:p w14:paraId="172ECDF9" w14:textId="77777777" w:rsidR="005E0EE9" w:rsidRPr="0013396E" w:rsidRDefault="005E0EE9" w:rsidP="005E0EE9">
      <w:pPr>
        <w:pStyle w:val="List"/>
        <w:spacing w:before="240"/>
      </w:pPr>
      <w:r w:rsidRPr="0013396E">
        <w:t>(c)</w:t>
      </w:r>
      <w:r w:rsidRPr="0013396E">
        <w:tab/>
        <w:t xml:space="preserve">ERCOT System Frequency deviation is both greater than +0.05 Hz and less than -0.05 Hz within the same Settlement Interval. </w:t>
      </w:r>
    </w:p>
    <w:p w14:paraId="79A0816D" w14:textId="77777777" w:rsidR="005E0EE9" w:rsidRPr="0013396E" w:rsidRDefault="005E0EE9" w:rsidP="005E0EE9">
      <w:pPr>
        <w:pStyle w:val="List"/>
        <w:ind w:left="720"/>
      </w:pPr>
      <w:r w:rsidRPr="0013396E">
        <w:t>(2)</w:t>
      </w:r>
      <w:r w:rsidRPr="0013396E">
        <w:tab/>
        <w:t xml:space="preserve">Set Point Deviation Charges do not apply to the QSE for the Resource for the 15-minute Interval for the following: </w:t>
      </w:r>
    </w:p>
    <w:p w14:paraId="1D9226BD" w14:textId="77777777" w:rsidR="005E0EE9" w:rsidRPr="0013396E" w:rsidRDefault="005E0EE9" w:rsidP="005E0EE9">
      <w:pPr>
        <w:pStyle w:val="List"/>
      </w:pPr>
      <w:r w:rsidRPr="0013396E">
        <w:t>(a)</w:t>
      </w:r>
      <w:r w:rsidRPr="0013396E">
        <w:tab/>
        <w:t>The deviation of the Resource over the 15-minute Settlement Interval is in a direction that contributes to frequency corrections that resolve an ERCOT System frequency deviation and ERCOT System frequency deviation is greater than +/-0.05 Hz at any time during the 15-minute Settlement Interval;</w:t>
      </w:r>
    </w:p>
    <w:p w14:paraId="0AE4E91F" w14:textId="77777777" w:rsidR="005E0EE9" w:rsidRPr="0013396E" w:rsidRDefault="005E0EE9" w:rsidP="005E0EE9">
      <w:pPr>
        <w:pStyle w:val="BodyText"/>
        <w:ind w:left="1440" w:hanging="720"/>
      </w:pPr>
      <w:r w:rsidRPr="0013396E">
        <w:t>(b)</w:t>
      </w:r>
      <w:r w:rsidRPr="0013396E">
        <w:tab/>
        <w:t xml:space="preserve">The Resource is a Reliability Must-Run (RMR) Unit; </w:t>
      </w:r>
    </w:p>
    <w:p w14:paraId="0ACFF02E" w14:textId="77777777" w:rsidR="005E0EE9" w:rsidRPr="0013396E" w:rsidRDefault="005E0EE9" w:rsidP="005E0EE9">
      <w:pPr>
        <w:pStyle w:val="BodyText"/>
        <w:ind w:left="1440" w:hanging="720"/>
      </w:pPr>
      <w:r w:rsidRPr="0013396E">
        <w:t>(c)</w:t>
      </w:r>
      <w:r w:rsidRPr="0013396E">
        <w:tab/>
        <w:t>Emergency Base Points were issued to the Resource; or</w:t>
      </w:r>
    </w:p>
    <w:p w14:paraId="663DC4BD" w14:textId="77777777" w:rsidR="005E0EE9" w:rsidRPr="0013396E" w:rsidRDefault="005E0EE9" w:rsidP="005E0EE9">
      <w:pPr>
        <w:pStyle w:val="List"/>
      </w:pPr>
      <w:r w:rsidRPr="0013396E">
        <w:t>(d)</w:t>
      </w:r>
      <w:r w:rsidRPr="0013396E">
        <w:tab/>
        <w:t xml:space="preserve">Resource is operating in Constant Frequency Control (CFC) mode. </w:t>
      </w:r>
    </w:p>
    <w:p w14:paraId="6AB1710E" w14:textId="77777777" w:rsidR="005E0EE9" w:rsidRPr="0013396E" w:rsidRDefault="005E0EE9" w:rsidP="005E0EE9">
      <w:pPr>
        <w:pStyle w:val="List"/>
        <w:ind w:left="720"/>
      </w:pPr>
      <w:r w:rsidRPr="0013396E">
        <w:t>(3)</w:t>
      </w:r>
      <w:r w:rsidRPr="0013396E">
        <w:tab/>
        <w:t xml:space="preserve">In addition to the exemptions listed in paragraph (1) and (2) of this Section, Set Point Deviation Charges do not apply to the QSE for a Generation Resource for the 15-minute Settlement Interval for the following: </w:t>
      </w:r>
    </w:p>
    <w:p w14:paraId="344B2398" w14:textId="77777777" w:rsidR="005E0EE9" w:rsidRPr="0013396E" w:rsidRDefault="005E0EE9" w:rsidP="005E0EE9">
      <w:pPr>
        <w:pStyle w:val="List"/>
      </w:pPr>
      <w:r w:rsidRPr="0013396E">
        <w:t>(a)</w:t>
      </w:r>
      <w:r w:rsidRPr="0013396E">
        <w:tab/>
        <w:t xml:space="preserve">AASP is less than the Resource’s average telemetered LSL; </w:t>
      </w:r>
    </w:p>
    <w:p w14:paraId="41A13B36" w14:textId="77777777" w:rsidR="005E0EE9" w:rsidRPr="0013396E" w:rsidRDefault="005E0EE9" w:rsidP="005E0EE9">
      <w:pPr>
        <w:pStyle w:val="List"/>
      </w:pPr>
      <w:r w:rsidRPr="0013396E">
        <w:t>(b)</w:t>
      </w:r>
      <w:r w:rsidRPr="0013396E">
        <w:tab/>
        <w:t xml:space="preserve">The Generation Resource is telemetering a status of ONTEST or STARTUP anytime during the Settlement Interval; </w:t>
      </w:r>
    </w:p>
    <w:p w14:paraId="61695AE9" w14:textId="77777777" w:rsidR="005E0EE9" w:rsidRPr="0013396E" w:rsidRDefault="005E0EE9" w:rsidP="005E0EE9">
      <w:pPr>
        <w:pStyle w:val="BodyText"/>
        <w:ind w:left="1440" w:hanging="720"/>
      </w:pPr>
      <w:r w:rsidRPr="0013396E">
        <w:t>(c)</w:t>
      </w:r>
      <w:r w:rsidRPr="0013396E">
        <w:tab/>
        <w:t>Qualifying Facilities (QFs) that do not submit an Energy Offer Curve prior to the end of the Adjustment Period for the Settlement Interval;</w:t>
      </w:r>
    </w:p>
    <w:p w14:paraId="21D183BF" w14:textId="77777777" w:rsidR="005E0EE9" w:rsidRPr="0013396E" w:rsidRDefault="005E0EE9" w:rsidP="005E0EE9">
      <w:pPr>
        <w:pStyle w:val="BodyText"/>
        <w:ind w:left="1440" w:hanging="720"/>
      </w:pPr>
      <w:r w:rsidRPr="0013396E">
        <w:t>(d)</w:t>
      </w:r>
      <w:r w:rsidRPr="0013396E">
        <w:tab/>
        <w:t>Quick Start Generation Resources (QSGRs) during the 15-minute Settlement Interval after the start of the first SCED interval in which the QSGR is deployed; or</w:t>
      </w:r>
    </w:p>
    <w:p w14:paraId="7DB80DD3" w14:textId="77777777" w:rsidR="005E0EE9" w:rsidRPr="0013396E" w:rsidRDefault="005E0EE9" w:rsidP="005E0EE9">
      <w:pPr>
        <w:pStyle w:val="BodyText"/>
        <w:ind w:left="1440" w:hanging="720"/>
      </w:pPr>
      <w:r w:rsidRPr="0013396E">
        <w:lastRenderedPageBreak/>
        <w:t>(e)</w:t>
      </w:r>
      <w:r w:rsidRPr="0013396E">
        <w:tab/>
        <w:t xml:space="preserve">The flag signifying that an IRR has received a Base Point below the HDL used by SCED or the IRR has been instructed not to exceed its Base Point is not set in all SCED intervals within the 15-minute Settlement Interval.  For IRR Groups, the flag signifying that an IRR has received a Base Point below the HDL used by SCED or the IRR has been instructed not to exceed its Base Point is not set in all SCED intervals within the 15-minute Settlement Interval for any of the IRRs within the IRR Group. </w:t>
      </w:r>
    </w:p>
    <w:p w14:paraId="18F756E2" w14:textId="18914A90" w:rsidR="005E0EE9" w:rsidRPr="0013396E" w:rsidRDefault="005E0EE9" w:rsidP="005E0EE9">
      <w:pPr>
        <w:pStyle w:val="List"/>
        <w:ind w:left="720"/>
      </w:pPr>
      <w:r w:rsidRPr="0013396E">
        <w:t>(4)</w:t>
      </w:r>
      <w:r w:rsidRPr="0013396E">
        <w:tab/>
        <w:t xml:space="preserve">In addition to the exemptions listed in paragraph (1) and (2) of this Section, Set Point Deviation Charges do not apply to the QSE for the </w:t>
      </w:r>
      <w:r w:rsidR="00E01488">
        <w:t>CLR</w:t>
      </w:r>
      <w:r w:rsidRPr="0013396E">
        <w:t xml:space="preserve"> for the 15-minute Settlement Interval if the following occur: </w:t>
      </w:r>
    </w:p>
    <w:p w14:paraId="63CCE00F" w14:textId="77777777" w:rsidR="005E0EE9" w:rsidRPr="0013396E" w:rsidRDefault="005E0EE9" w:rsidP="005E0EE9">
      <w:pPr>
        <w:pStyle w:val="List"/>
      </w:pPr>
      <w:r w:rsidRPr="0013396E">
        <w:t>(a)</w:t>
      </w:r>
      <w:r w:rsidRPr="0013396E">
        <w:tab/>
        <w:t>The computed Base Point is equal to the snapshot of its telemetered power consumption for all SCED runs during the Settlement Interval; or</w:t>
      </w:r>
    </w:p>
    <w:p w14:paraId="45BC95FC" w14:textId="759A6878" w:rsidR="005E0EE9" w:rsidRPr="0013396E" w:rsidRDefault="005E0EE9" w:rsidP="005E0EE9">
      <w:pPr>
        <w:pStyle w:val="List"/>
      </w:pPr>
      <w:r w:rsidRPr="0013396E">
        <w:t>(b)</w:t>
      </w:r>
      <w:r w:rsidRPr="0013396E">
        <w:tab/>
        <w:t xml:space="preserve">The </w:t>
      </w:r>
      <w:r w:rsidR="00E01488">
        <w:t>CLR</w:t>
      </w:r>
      <w:r w:rsidRPr="0013396E">
        <w:t xml:space="preserve"> is telemetering a status of OUTL anytime during the Settlement Interval.</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0D7276" w:rsidRPr="0013396E" w14:paraId="56FF7F47" w14:textId="77777777" w:rsidTr="00E31211">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7E39FF3A" w14:textId="56336E1C" w:rsidR="000D7276" w:rsidRPr="0013396E" w:rsidRDefault="000D7276" w:rsidP="00E31211">
            <w:pPr>
              <w:spacing w:before="120" w:after="240"/>
              <w:rPr>
                <w:b/>
                <w:i/>
                <w:iCs/>
                <w:szCs w:val="24"/>
              </w:rPr>
            </w:pPr>
            <w:r w:rsidRPr="0013396E">
              <w:rPr>
                <w:b/>
                <w:i/>
                <w:iCs/>
                <w:szCs w:val="24"/>
              </w:rPr>
              <w:t>[NPRR1188:  Replace paragraph (</w:t>
            </w:r>
            <w:r>
              <w:rPr>
                <w:b/>
                <w:i/>
                <w:iCs/>
                <w:szCs w:val="24"/>
              </w:rPr>
              <w:t>b</w:t>
            </w:r>
            <w:r w:rsidRPr="0013396E">
              <w:rPr>
                <w:b/>
                <w:i/>
                <w:iCs/>
                <w:szCs w:val="24"/>
              </w:rPr>
              <w:t>) above with the following upon system implementation:]</w:t>
            </w:r>
          </w:p>
          <w:p w14:paraId="12014D4F" w14:textId="5DDBA2B9" w:rsidR="000D7276" w:rsidRPr="0013396E" w:rsidRDefault="000D7276" w:rsidP="000D7276">
            <w:pPr>
              <w:pStyle w:val="List"/>
            </w:pPr>
            <w:r w:rsidRPr="0013396E">
              <w:t>(b)</w:t>
            </w:r>
            <w:r w:rsidRPr="0013396E">
              <w:tab/>
              <w:t xml:space="preserve">The </w:t>
            </w:r>
            <w:r>
              <w:t>CLR</w:t>
            </w:r>
            <w:r w:rsidRPr="0013396E">
              <w:t xml:space="preserve"> is telemetering a status of OUTL or ONTEST anytime during the Settlement Interval.</w:t>
            </w:r>
          </w:p>
        </w:tc>
      </w:tr>
    </w:tbl>
    <w:p w14:paraId="6ED2CC05" w14:textId="219041E5" w:rsidR="005E0EE9" w:rsidRPr="0013396E" w:rsidRDefault="005E0EE9" w:rsidP="000D7276">
      <w:pPr>
        <w:pStyle w:val="List"/>
        <w:spacing w:before="240"/>
        <w:ind w:left="720"/>
      </w:pPr>
      <w:r w:rsidRPr="0013396E">
        <w:t>(5)</w:t>
      </w:r>
      <w:r w:rsidRPr="0013396E">
        <w:tab/>
        <w:t xml:space="preserve">In addition to the exemptions listed in paragraph (1) and (2) of this Section, Set Point Deviation Charges do not apply to the QSE for the ESR for the 15-minute Settlement Interval if the following occur: </w:t>
      </w:r>
    </w:p>
    <w:p w14:paraId="27E9D61A" w14:textId="77777777" w:rsidR="005E0EE9" w:rsidRPr="0013396E" w:rsidRDefault="005E0EE9" w:rsidP="005E0EE9">
      <w:pPr>
        <w:pStyle w:val="List"/>
      </w:pPr>
      <w:r w:rsidRPr="0013396E">
        <w:t>(a)</w:t>
      </w:r>
      <w:r w:rsidRPr="0013396E">
        <w:tab/>
        <w:t>The ESR is telemetering a status of ONTEST anytime during the Settlement Interval; or</w:t>
      </w:r>
    </w:p>
    <w:p w14:paraId="0001C2F0" w14:textId="7D95BEBC" w:rsidR="001F04FD" w:rsidRPr="0013396E" w:rsidRDefault="005E0EE9" w:rsidP="005E0EE9">
      <w:pPr>
        <w:pStyle w:val="BodyText"/>
        <w:ind w:left="1440" w:hanging="720"/>
      </w:pPr>
      <w:r w:rsidRPr="0013396E">
        <w:t>(b)</w:t>
      </w:r>
      <w:r w:rsidRPr="0013396E">
        <w:tab/>
        <w:t xml:space="preserve">The </w:t>
      </w:r>
      <w:r w:rsidRPr="005E0EE9">
        <w:t>AASP</w:t>
      </w:r>
      <w:r w:rsidRPr="0013396E">
        <w:t xml:space="preserve"> is less than its average telemetered LSL.</w:t>
      </w:r>
    </w:p>
    <w:p w14:paraId="37373BA2" w14:textId="20C4CF3C" w:rsidR="005E0EE9" w:rsidRPr="0013396E" w:rsidRDefault="005E0EE9" w:rsidP="00457C20">
      <w:pPr>
        <w:keepNext/>
        <w:widowControl w:val="0"/>
        <w:tabs>
          <w:tab w:val="left" w:pos="1260"/>
        </w:tabs>
        <w:spacing w:before="240" w:after="240"/>
        <w:ind w:left="1267" w:hanging="1267"/>
        <w:outlineLvl w:val="3"/>
        <w:rPr>
          <w:b/>
          <w:bCs/>
          <w:snapToGrid w:val="0"/>
        </w:rPr>
      </w:pPr>
      <w:bookmarkStart w:id="1856" w:name="_Toc214878991"/>
      <w:bookmarkStart w:id="1857" w:name="_Toc87951796"/>
      <w:bookmarkStart w:id="1858" w:name="_Toc109009406"/>
      <w:bookmarkStart w:id="1859" w:name="_Toc397505025"/>
      <w:bookmarkStart w:id="1860" w:name="_Toc402357157"/>
      <w:bookmarkStart w:id="1861" w:name="_Toc422486537"/>
      <w:bookmarkStart w:id="1862" w:name="_Toc433093390"/>
      <w:bookmarkStart w:id="1863" w:name="_Toc433093548"/>
      <w:bookmarkStart w:id="1864" w:name="_Toc440874778"/>
      <w:bookmarkStart w:id="1865" w:name="_Toc448142335"/>
      <w:bookmarkStart w:id="1866" w:name="_Toc448142492"/>
      <w:bookmarkStart w:id="1867" w:name="_Toc458770333"/>
      <w:bookmarkStart w:id="1868" w:name="_Toc459294301"/>
      <w:bookmarkStart w:id="1869" w:name="_Toc463262794"/>
      <w:bookmarkStart w:id="1870" w:name="_Toc468286867"/>
      <w:bookmarkStart w:id="1871" w:name="_Toc481502907"/>
      <w:bookmarkStart w:id="1872" w:name="_Toc496080075"/>
      <w:bookmarkStart w:id="1873" w:name="_Toc175157469"/>
      <w:r w:rsidRPr="0013396E">
        <w:rPr>
          <w:b/>
          <w:bCs/>
          <w:snapToGrid w:val="0"/>
        </w:rPr>
        <w:t>6.6.5.</w:t>
      </w:r>
      <w:r w:rsidR="00F048B5">
        <w:rPr>
          <w:b/>
          <w:bCs/>
          <w:snapToGrid w:val="0"/>
        </w:rPr>
        <w:t>7</w:t>
      </w:r>
      <w:r w:rsidRPr="0013396E">
        <w:rPr>
          <w:b/>
          <w:bCs/>
          <w:snapToGrid w:val="0"/>
        </w:rPr>
        <w:tab/>
        <w:t>Set Point Deviation Payment</w:t>
      </w:r>
      <w:bookmarkEnd w:id="1856"/>
    </w:p>
    <w:p w14:paraId="5CF78007" w14:textId="77777777" w:rsidR="005E0EE9" w:rsidRPr="0013396E" w:rsidRDefault="005E0EE9" w:rsidP="005E0EE9">
      <w:pPr>
        <w:spacing w:after="240"/>
        <w:ind w:left="720" w:hanging="720"/>
      </w:pPr>
      <w:r w:rsidRPr="0013396E">
        <w:t>(1)</w:t>
      </w:r>
      <w:r w:rsidRPr="0013396E">
        <w:tab/>
        <w:t>ERCOT shall pay the Set Point Deviation Charges collected from the QSEs representing Resources to the QSEs representing Load based on LRS.  The payment to each QSE for a given 15-minute Settlement Interval is calculated as follows:</w:t>
      </w:r>
    </w:p>
    <w:p w14:paraId="1DF78601" w14:textId="77777777" w:rsidR="005E0EE9" w:rsidRPr="0013396E" w:rsidRDefault="005E0EE9" w:rsidP="005E0EE9">
      <w:pPr>
        <w:tabs>
          <w:tab w:val="left" w:pos="2250"/>
          <w:tab w:val="left" w:pos="3150"/>
          <w:tab w:val="left" w:pos="3960"/>
        </w:tabs>
        <w:spacing w:after="240"/>
        <w:ind w:left="3960" w:hanging="3240"/>
        <w:rPr>
          <w:b/>
          <w:bCs/>
          <w:szCs w:val="24"/>
        </w:rPr>
      </w:pPr>
      <w:r w:rsidRPr="0013396E">
        <w:rPr>
          <w:b/>
          <w:bCs/>
        </w:rPr>
        <w:t xml:space="preserve">LASPDAMT </w:t>
      </w:r>
      <w:r w:rsidRPr="0013396E">
        <w:rPr>
          <w:b/>
          <w:bCs/>
          <w:i/>
          <w:vertAlign w:val="subscript"/>
        </w:rPr>
        <w:t>q</w:t>
      </w:r>
      <w:r w:rsidRPr="0013396E">
        <w:rPr>
          <w:b/>
          <w:bCs/>
        </w:rPr>
        <w:tab/>
        <w:t>=</w:t>
      </w:r>
      <w:r w:rsidRPr="0013396E">
        <w:rPr>
          <w:b/>
          <w:bCs/>
        </w:rPr>
        <w:tab/>
        <w:t xml:space="preserve">(-1) * SPDAMTTOT * LRS </w:t>
      </w:r>
      <w:r w:rsidRPr="0013396E">
        <w:rPr>
          <w:b/>
          <w:bCs/>
          <w:i/>
          <w:vertAlign w:val="subscript"/>
        </w:rPr>
        <w:t>q</w:t>
      </w:r>
    </w:p>
    <w:p w14:paraId="3BDC98B3" w14:textId="77777777" w:rsidR="005E0EE9" w:rsidRPr="0013396E" w:rsidRDefault="005E0EE9" w:rsidP="005E0EE9">
      <w:pPr>
        <w:spacing w:after="240"/>
        <w:rPr>
          <w:iCs/>
          <w:vertAlign w:val="subscript"/>
        </w:rPr>
      </w:pPr>
      <w:r w:rsidRPr="0013396E">
        <w:rPr>
          <w:iCs/>
        </w:rPr>
        <w:t>Where:</w:t>
      </w:r>
    </w:p>
    <w:p w14:paraId="18DAD7AF" w14:textId="0DB4B870" w:rsidR="005E0EE9" w:rsidRPr="0013396E" w:rsidRDefault="005E0EE9" w:rsidP="005E0EE9">
      <w:pPr>
        <w:tabs>
          <w:tab w:val="left" w:pos="2160"/>
          <w:tab w:val="left" w:pos="2880"/>
        </w:tabs>
        <w:spacing w:after="240"/>
        <w:ind w:leftChars="300" w:left="2880" w:hangingChars="900" w:hanging="2160"/>
        <w:rPr>
          <w:bCs/>
          <w:szCs w:val="24"/>
        </w:rPr>
      </w:pPr>
      <w:r w:rsidRPr="0013396E">
        <w:rPr>
          <w:bCs/>
        </w:rPr>
        <w:t>SPDAMTTOT</w:t>
      </w:r>
      <w:r w:rsidRPr="0013396E">
        <w:rPr>
          <w:bCs/>
        </w:rPr>
        <w:tab/>
        <w:t>=</w:t>
      </w:r>
      <w:r w:rsidRPr="0013396E">
        <w:rPr>
          <w:bCs/>
        </w:rPr>
        <w:tab/>
      </w:r>
      <w:r w:rsidR="000B7133" w:rsidRPr="0013396E">
        <w:rPr>
          <w:bCs/>
          <w:position w:val="-22"/>
          <w:szCs w:val="24"/>
        </w:rPr>
        <w:object w:dxaOrig="120" w:dyaOrig="360" w14:anchorId="798C12A8">
          <v:shape id="_x0000_i1160" type="#_x0000_t75" style="width:12pt;height:30pt" o:ole="">
            <v:imagedata r:id="rId155" o:title=""/>
          </v:shape>
          <o:OLEObject Type="Embed" ProgID="Equation.3" ShapeID="_x0000_i1160" DrawAspect="Content" ObjectID="_1836311439" r:id="rId193"/>
        </w:object>
      </w:r>
      <w:r w:rsidRPr="0013396E">
        <w:rPr>
          <w:bCs/>
        </w:rPr>
        <w:t xml:space="preserve">SPDAMTQSETOT </w:t>
      </w:r>
      <w:r w:rsidRPr="0013396E">
        <w:rPr>
          <w:bCs/>
          <w:i/>
          <w:vertAlign w:val="subscript"/>
        </w:rPr>
        <w:t>q</w:t>
      </w:r>
    </w:p>
    <w:p w14:paraId="1E910116" w14:textId="0896DF5A" w:rsidR="005E0EE9" w:rsidRPr="0013396E" w:rsidRDefault="005E0EE9" w:rsidP="005E0EE9">
      <w:pPr>
        <w:tabs>
          <w:tab w:val="left" w:pos="2160"/>
          <w:tab w:val="left" w:pos="2880"/>
        </w:tabs>
        <w:spacing w:after="240"/>
        <w:ind w:leftChars="300" w:left="2880" w:hangingChars="900" w:hanging="2160"/>
        <w:rPr>
          <w:bCs/>
        </w:rPr>
      </w:pPr>
      <w:r w:rsidRPr="0013396E">
        <w:rPr>
          <w:bCs/>
        </w:rPr>
        <w:lastRenderedPageBreak/>
        <w:t xml:space="preserve">SPDAMTQSETOT </w:t>
      </w:r>
      <w:r w:rsidRPr="0013396E">
        <w:rPr>
          <w:bCs/>
          <w:i/>
          <w:vertAlign w:val="subscript"/>
        </w:rPr>
        <w:t>q</w:t>
      </w:r>
      <w:r w:rsidRPr="0013396E">
        <w:rPr>
          <w:bCs/>
        </w:rPr>
        <w:tab/>
        <w:t>=</w:t>
      </w:r>
      <w:r w:rsidRPr="0013396E">
        <w:rPr>
          <w:bCs/>
        </w:rPr>
        <w:tab/>
      </w:r>
      <w:r w:rsidR="000B7133" w:rsidRPr="0013396E">
        <w:rPr>
          <w:bCs/>
          <w:position w:val="-22"/>
          <w:szCs w:val="24"/>
        </w:rPr>
        <w:object w:dxaOrig="150" w:dyaOrig="435" w14:anchorId="69739AC0">
          <v:shape id="_x0000_i1161" type="#_x0000_t75" style="width:23.4pt;height:27.6pt" o:ole="">
            <v:imagedata r:id="rId194" o:title=""/>
          </v:shape>
          <o:OLEObject Type="Embed" ProgID="Equation.3" ShapeID="_x0000_i1161" DrawAspect="Content" ObjectID="_1836311440" r:id="rId195"/>
        </w:object>
      </w:r>
      <w:r w:rsidR="000B7133" w:rsidRPr="0013396E">
        <w:rPr>
          <w:bCs/>
          <w:position w:val="-18"/>
          <w:szCs w:val="24"/>
        </w:rPr>
        <w:object w:dxaOrig="150" w:dyaOrig="435" w14:anchorId="1304B8EE">
          <v:shape id="_x0000_i1162" type="#_x0000_t75" style="width:27pt;height:28.2pt" o:ole="">
            <v:imagedata r:id="rId196" o:title=""/>
          </v:shape>
          <o:OLEObject Type="Embed" ProgID="Equation.3" ShapeID="_x0000_i1162" DrawAspect="Content" ObjectID="_1836311441" r:id="rId197"/>
        </w:object>
      </w:r>
      <w:r w:rsidRPr="0013396E">
        <w:rPr>
          <w:bCs/>
        </w:rPr>
        <w:t xml:space="preserve">SPDAMT </w:t>
      </w:r>
      <w:r w:rsidRPr="0013396E">
        <w:rPr>
          <w:bCs/>
          <w:i/>
          <w:vertAlign w:val="subscript"/>
        </w:rPr>
        <w:t>q, r, p</w:t>
      </w:r>
    </w:p>
    <w:p w14:paraId="3BE3586C" w14:textId="77777777" w:rsidR="005E0EE9" w:rsidRPr="0013396E" w:rsidRDefault="005E0EE9" w:rsidP="005E0EE9">
      <w:r w:rsidRPr="0013396E">
        <w:t>The above variables are defined as follows:</w:t>
      </w:r>
    </w:p>
    <w:tbl>
      <w:tblP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2"/>
        <w:gridCol w:w="605"/>
        <w:gridCol w:w="6603"/>
      </w:tblGrid>
      <w:tr w:rsidR="005E0EE9" w:rsidRPr="0013396E" w14:paraId="2439A6BE" w14:textId="77777777" w:rsidTr="0099759E">
        <w:trPr>
          <w:cantSplit/>
          <w:tblHeader/>
        </w:trPr>
        <w:tc>
          <w:tcPr>
            <w:tcW w:w="2032" w:type="dxa"/>
            <w:tcBorders>
              <w:top w:val="single" w:sz="4" w:space="0" w:color="auto"/>
              <w:left w:val="single" w:sz="4" w:space="0" w:color="auto"/>
              <w:bottom w:val="single" w:sz="4" w:space="0" w:color="auto"/>
              <w:right w:val="single" w:sz="4" w:space="0" w:color="auto"/>
            </w:tcBorders>
            <w:hideMark/>
          </w:tcPr>
          <w:p w14:paraId="1BC40040" w14:textId="77777777" w:rsidR="005E0EE9" w:rsidRPr="0013396E" w:rsidRDefault="005E0EE9" w:rsidP="0099759E">
            <w:pPr>
              <w:spacing w:after="120"/>
              <w:rPr>
                <w:b/>
                <w:iCs/>
                <w:sz w:val="20"/>
              </w:rPr>
            </w:pPr>
            <w:r w:rsidRPr="0013396E">
              <w:rPr>
                <w:b/>
                <w:iCs/>
                <w:sz w:val="20"/>
              </w:rPr>
              <w:t>Variable</w:t>
            </w:r>
          </w:p>
        </w:tc>
        <w:tc>
          <w:tcPr>
            <w:tcW w:w="0" w:type="auto"/>
            <w:tcBorders>
              <w:top w:val="single" w:sz="4" w:space="0" w:color="auto"/>
              <w:left w:val="single" w:sz="4" w:space="0" w:color="auto"/>
              <w:bottom w:val="single" w:sz="4" w:space="0" w:color="auto"/>
              <w:right w:val="single" w:sz="4" w:space="0" w:color="auto"/>
            </w:tcBorders>
            <w:hideMark/>
          </w:tcPr>
          <w:p w14:paraId="494A68FF" w14:textId="77777777" w:rsidR="005E0EE9" w:rsidRPr="0013396E" w:rsidRDefault="005E0EE9" w:rsidP="0099759E">
            <w:pPr>
              <w:spacing w:after="120"/>
              <w:rPr>
                <w:b/>
                <w:iCs/>
                <w:sz w:val="20"/>
              </w:rPr>
            </w:pPr>
            <w:r w:rsidRPr="0013396E">
              <w:rPr>
                <w:b/>
                <w:iCs/>
                <w:sz w:val="20"/>
              </w:rPr>
              <w:t>Unit</w:t>
            </w:r>
          </w:p>
        </w:tc>
        <w:tc>
          <w:tcPr>
            <w:tcW w:w="6603" w:type="dxa"/>
            <w:tcBorders>
              <w:top w:val="single" w:sz="4" w:space="0" w:color="auto"/>
              <w:left w:val="single" w:sz="4" w:space="0" w:color="auto"/>
              <w:bottom w:val="single" w:sz="4" w:space="0" w:color="auto"/>
              <w:right w:val="single" w:sz="4" w:space="0" w:color="auto"/>
            </w:tcBorders>
            <w:hideMark/>
          </w:tcPr>
          <w:p w14:paraId="46AADEFF" w14:textId="77777777" w:rsidR="005E0EE9" w:rsidRPr="0013396E" w:rsidRDefault="005E0EE9" w:rsidP="0099759E">
            <w:pPr>
              <w:spacing w:after="120"/>
              <w:rPr>
                <w:b/>
                <w:iCs/>
                <w:sz w:val="20"/>
              </w:rPr>
            </w:pPr>
            <w:r w:rsidRPr="0013396E">
              <w:rPr>
                <w:b/>
                <w:iCs/>
                <w:sz w:val="20"/>
              </w:rPr>
              <w:t>Definition</w:t>
            </w:r>
          </w:p>
        </w:tc>
      </w:tr>
      <w:tr w:rsidR="005E0EE9" w:rsidRPr="0013396E" w14:paraId="782CB2F5" w14:textId="77777777" w:rsidTr="0099759E">
        <w:trPr>
          <w:cantSplit/>
        </w:trPr>
        <w:tc>
          <w:tcPr>
            <w:tcW w:w="2032" w:type="dxa"/>
            <w:tcBorders>
              <w:top w:val="single" w:sz="4" w:space="0" w:color="auto"/>
              <w:left w:val="single" w:sz="4" w:space="0" w:color="auto"/>
              <w:bottom w:val="single" w:sz="4" w:space="0" w:color="auto"/>
              <w:right w:val="single" w:sz="4" w:space="0" w:color="auto"/>
            </w:tcBorders>
            <w:hideMark/>
          </w:tcPr>
          <w:p w14:paraId="52BE9326" w14:textId="77777777" w:rsidR="005E0EE9" w:rsidRPr="0013396E" w:rsidRDefault="005E0EE9" w:rsidP="0099759E">
            <w:pPr>
              <w:spacing w:after="60"/>
              <w:rPr>
                <w:iCs/>
                <w:sz w:val="20"/>
              </w:rPr>
            </w:pPr>
            <w:r w:rsidRPr="0013396E">
              <w:rPr>
                <w:iCs/>
                <w:sz w:val="20"/>
              </w:rPr>
              <w:t xml:space="preserve">LASPDAMT </w:t>
            </w:r>
            <w:r w:rsidRPr="0013396E">
              <w:rPr>
                <w:i/>
                <w:iCs/>
                <w:sz w:val="20"/>
                <w:vertAlign w:val="subscript"/>
              </w:rPr>
              <w:t>q</w:t>
            </w:r>
          </w:p>
        </w:tc>
        <w:tc>
          <w:tcPr>
            <w:tcW w:w="0" w:type="auto"/>
            <w:tcBorders>
              <w:top w:val="single" w:sz="4" w:space="0" w:color="auto"/>
              <w:left w:val="single" w:sz="4" w:space="0" w:color="auto"/>
              <w:bottom w:val="single" w:sz="4" w:space="0" w:color="auto"/>
              <w:right w:val="single" w:sz="4" w:space="0" w:color="auto"/>
            </w:tcBorders>
            <w:hideMark/>
          </w:tcPr>
          <w:p w14:paraId="7420079F" w14:textId="77777777" w:rsidR="005E0EE9" w:rsidRPr="0013396E" w:rsidRDefault="005E0EE9" w:rsidP="0099759E">
            <w:pPr>
              <w:spacing w:after="60"/>
              <w:rPr>
                <w:iCs/>
                <w:sz w:val="20"/>
              </w:rPr>
            </w:pPr>
            <w:r w:rsidRPr="0013396E">
              <w:rPr>
                <w:iCs/>
                <w:sz w:val="20"/>
              </w:rPr>
              <w:t>$</w:t>
            </w:r>
          </w:p>
        </w:tc>
        <w:tc>
          <w:tcPr>
            <w:tcW w:w="6603" w:type="dxa"/>
            <w:tcBorders>
              <w:top w:val="single" w:sz="4" w:space="0" w:color="auto"/>
              <w:left w:val="single" w:sz="4" w:space="0" w:color="auto"/>
              <w:bottom w:val="single" w:sz="4" w:space="0" w:color="auto"/>
              <w:right w:val="single" w:sz="4" w:space="0" w:color="auto"/>
            </w:tcBorders>
            <w:hideMark/>
          </w:tcPr>
          <w:p w14:paraId="0BD15168" w14:textId="77777777" w:rsidR="005E0EE9" w:rsidRPr="0013396E" w:rsidRDefault="005E0EE9" w:rsidP="0099759E">
            <w:pPr>
              <w:spacing w:after="60"/>
              <w:rPr>
                <w:iCs/>
                <w:sz w:val="20"/>
              </w:rPr>
            </w:pPr>
            <w:r w:rsidRPr="0013396E">
              <w:rPr>
                <w:i/>
                <w:iCs/>
                <w:sz w:val="20"/>
              </w:rPr>
              <w:t>Load-Allocated Set Point Deviation Amount per QSE</w:t>
            </w:r>
            <w:r w:rsidRPr="0013396E">
              <w:rPr>
                <w:iCs/>
                <w:sz w:val="20"/>
              </w:rPr>
              <w:t xml:space="preserve">—QSE </w:t>
            </w:r>
            <w:r w:rsidRPr="0013396E">
              <w:rPr>
                <w:i/>
                <w:iCs/>
                <w:sz w:val="20"/>
              </w:rPr>
              <w:t>q</w:t>
            </w:r>
            <w:r w:rsidRPr="0013396E">
              <w:rPr>
                <w:iCs/>
                <w:sz w:val="20"/>
              </w:rPr>
              <w:t>’s share of the total charge for all Resources’ Set Point deviations, based on LRS for the 15-minute Settlement Interval.</w:t>
            </w:r>
          </w:p>
        </w:tc>
      </w:tr>
      <w:tr w:rsidR="005E0EE9" w:rsidRPr="0013396E" w14:paraId="0C517821" w14:textId="77777777" w:rsidTr="0099759E">
        <w:trPr>
          <w:cantSplit/>
        </w:trPr>
        <w:tc>
          <w:tcPr>
            <w:tcW w:w="2032" w:type="dxa"/>
            <w:tcBorders>
              <w:top w:val="single" w:sz="4" w:space="0" w:color="auto"/>
              <w:left w:val="single" w:sz="4" w:space="0" w:color="auto"/>
              <w:bottom w:val="single" w:sz="4" w:space="0" w:color="auto"/>
              <w:right w:val="single" w:sz="4" w:space="0" w:color="auto"/>
            </w:tcBorders>
            <w:hideMark/>
          </w:tcPr>
          <w:p w14:paraId="65DA5956" w14:textId="77777777" w:rsidR="005E0EE9" w:rsidRPr="0013396E" w:rsidRDefault="005E0EE9" w:rsidP="0099759E">
            <w:pPr>
              <w:spacing w:after="60"/>
              <w:rPr>
                <w:iCs/>
                <w:sz w:val="20"/>
              </w:rPr>
            </w:pPr>
            <w:r w:rsidRPr="0013396E">
              <w:rPr>
                <w:iCs/>
                <w:sz w:val="20"/>
              </w:rPr>
              <w:t>SPDAMTTOT</w:t>
            </w:r>
          </w:p>
        </w:tc>
        <w:tc>
          <w:tcPr>
            <w:tcW w:w="0" w:type="auto"/>
            <w:tcBorders>
              <w:top w:val="single" w:sz="4" w:space="0" w:color="auto"/>
              <w:left w:val="single" w:sz="4" w:space="0" w:color="auto"/>
              <w:bottom w:val="single" w:sz="4" w:space="0" w:color="auto"/>
              <w:right w:val="single" w:sz="4" w:space="0" w:color="auto"/>
            </w:tcBorders>
            <w:hideMark/>
          </w:tcPr>
          <w:p w14:paraId="04A22DA9" w14:textId="77777777" w:rsidR="005E0EE9" w:rsidRPr="0013396E" w:rsidRDefault="005E0EE9" w:rsidP="0099759E">
            <w:pPr>
              <w:spacing w:after="60"/>
              <w:rPr>
                <w:iCs/>
                <w:sz w:val="20"/>
              </w:rPr>
            </w:pPr>
            <w:r w:rsidRPr="0013396E">
              <w:rPr>
                <w:iCs/>
                <w:sz w:val="20"/>
              </w:rPr>
              <w:t>$</w:t>
            </w:r>
          </w:p>
        </w:tc>
        <w:tc>
          <w:tcPr>
            <w:tcW w:w="6603" w:type="dxa"/>
            <w:tcBorders>
              <w:top w:val="single" w:sz="4" w:space="0" w:color="auto"/>
              <w:left w:val="single" w:sz="4" w:space="0" w:color="auto"/>
              <w:bottom w:val="single" w:sz="4" w:space="0" w:color="auto"/>
              <w:right w:val="single" w:sz="4" w:space="0" w:color="auto"/>
            </w:tcBorders>
            <w:hideMark/>
          </w:tcPr>
          <w:p w14:paraId="5CBE51B5" w14:textId="77777777" w:rsidR="005E0EE9" w:rsidRPr="0013396E" w:rsidRDefault="005E0EE9" w:rsidP="0099759E">
            <w:pPr>
              <w:spacing w:after="60"/>
              <w:rPr>
                <w:i/>
                <w:iCs/>
                <w:sz w:val="20"/>
              </w:rPr>
            </w:pPr>
            <w:r w:rsidRPr="0013396E">
              <w:rPr>
                <w:i/>
                <w:iCs/>
                <w:sz w:val="20"/>
              </w:rPr>
              <w:t>Set Point Deviation Amount Total</w:t>
            </w:r>
            <w:r w:rsidRPr="0013396E">
              <w:rPr>
                <w:iCs/>
                <w:sz w:val="20"/>
              </w:rPr>
              <w:t>—The total of Set Point Deviation Charges to all QSEs for all Resources, for the 15-minute Settlement Interval.</w:t>
            </w:r>
          </w:p>
        </w:tc>
      </w:tr>
      <w:tr w:rsidR="005E0EE9" w:rsidRPr="0013396E" w14:paraId="5D151523" w14:textId="77777777" w:rsidTr="0099759E">
        <w:trPr>
          <w:cantSplit/>
        </w:trPr>
        <w:tc>
          <w:tcPr>
            <w:tcW w:w="2032" w:type="dxa"/>
            <w:tcBorders>
              <w:top w:val="single" w:sz="4" w:space="0" w:color="auto"/>
              <w:left w:val="single" w:sz="4" w:space="0" w:color="auto"/>
              <w:bottom w:val="single" w:sz="4" w:space="0" w:color="auto"/>
              <w:right w:val="single" w:sz="4" w:space="0" w:color="auto"/>
            </w:tcBorders>
            <w:hideMark/>
          </w:tcPr>
          <w:p w14:paraId="2C7A48A1" w14:textId="77777777" w:rsidR="005E0EE9" w:rsidRPr="0013396E" w:rsidRDefault="005E0EE9" w:rsidP="0099759E">
            <w:pPr>
              <w:spacing w:after="60"/>
              <w:rPr>
                <w:iCs/>
                <w:sz w:val="20"/>
              </w:rPr>
            </w:pPr>
            <w:r w:rsidRPr="0013396E">
              <w:rPr>
                <w:iCs/>
                <w:sz w:val="20"/>
              </w:rPr>
              <w:t xml:space="preserve">SPDAMTQSETOT </w:t>
            </w:r>
            <w:r w:rsidRPr="0013396E">
              <w:rPr>
                <w:i/>
                <w:iCs/>
                <w:sz w:val="20"/>
                <w:vertAlign w:val="subscript"/>
              </w:rPr>
              <w:t>q</w:t>
            </w:r>
          </w:p>
        </w:tc>
        <w:tc>
          <w:tcPr>
            <w:tcW w:w="0" w:type="auto"/>
            <w:tcBorders>
              <w:top w:val="single" w:sz="4" w:space="0" w:color="auto"/>
              <w:left w:val="single" w:sz="4" w:space="0" w:color="auto"/>
              <w:bottom w:val="single" w:sz="4" w:space="0" w:color="auto"/>
              <w:right w:val="single" w:sz="4" w:space="0" w:color="auto"/>
            </w:tcBorders>
            <w:hideMark/>
          </w:tcPr>
          <w:p w14:paraId="6A411CA1" w14:textId="77777777" w:rsidR="005E0EE9" w:rsidRPr="0013396E" w:rsidRDefault="005E0EE9" w:rsidP="0099759E">
            <w:pPr>
              <w:spacing w:after="60"/>
              <w:rPr>
                <w:iCs/>
                <w:sz w:val="20"/>
              </w:rPr>
            </w:pPr>
            <w:r w:rsidRPr="0013396E">
              <w:rPr>
                <w:iCs/>
                <w:sz w:val="20"/>
              </w:rPr>
              <w:t>$</w:t>
            </w:r>
          </w:p>
        </w:tc>
        <w:tc>
          <w:tcPr>
            <w:tcW w:w="6603" w:type="dxa"/>
            <w:tcBorders>
              <w:top w:val="single" w:sz="4" w:space="0" w:color="auto"/>
              <w:left w:val="single" w:sz="4" w:space="0" w:color="auto"/>
              <w:bottom w:val="single" w:sz="4" w:space="0" w:color="auto"/>
              <w:right w:val="single" w:sz="4" w:space="0" w:color="auto"/>
            </w:tcBorders>
            <w:hideMark/>
          </w:tcPr>
          <w:p w14:paraId="5EF44C04" w14:textId="77777777" w:rsidR="005E0EE9" w:rsidRPr="0013396E" w:rsidRDefault="005E0EE9" w:rsidP="0099759E">
            <w:pPr>
              <w:spacing w:after="60"/>
              <w:rPr>
                <w:i/>
                <w:iCs/>
                <w:sz w:val="20"/>
              </w:rPr>
            </w:pPr>
            <w:r w:rsidRPr="0013396E">
              <w:rPr>
                <w:i/>
                <w:iCs/>
                <w:sz w:val="20"/>
              </w:rPr>
              <w:t>Set Point Deviation Amount QSE Total per QSE</w:t>
            </w:r>
            <w:r w:rsidRPr="0013396E">
              <w:rPr>
                <w:iCs/>
                <w:sz w:val="20"/>
              </w:rPr>
              <w:t xml:space="preserve">—The total of Set Point Deviation Charges to QSE </w:t>
            </w:r>
            <w:r w:rsidRPr="0013396E">
              <w:rPr>
                <w:i/>
                <w:iCs/>
                <w:sz w:val="20"/>
              </w:rPr>
              <w:t>q</w:t>
            </w:r>
            <w:r w:rsidRPr="0013396E">
              <w:rPr>
                <w:iCs/>
                <w:sz w:val="20"/>
              </w:rPr>
              <w:t xml:space="preserve"> for all Resources represented by this QSE, for the 15-minute Settlement Interval.</w:t>
            </w:r>
          </w:p>
        </w:tc>
      </w:tr>
      <w:tr w:rsidR="005E0EE9" w:rsidRPr="0013396E" w14:paraId="338E96DC" w14:textId="77777777" w:rsidTr="0099759E">
        <w:trPr>
          <w:cantSplit/>
        </w:trPr>
        <w:tc>
          <w:tcPr>
            <w:tcW w:w="2032" w:type="dxa"/>
            <w:tcBorders>
              <w:top w:val="single" w:sz="4" w:space="0" w:color="auto"/>
              <w:left w:val="single" w:sz="4" w:space="0" w:color="auto"/>
              <w:bottom w:val="single" w:sz="4" w:space="0" w:color="auto"/>
              <w:right w:val="single" w:sz="4" w:space="0" w:color="auto"/>
            </w:tcBorders>
            <w:hideMark/>
          </w:tcPr>
          <w:p w14:paraId="0CD8B7D5" w14:textId="77777777" w:rsidR="005E0EE9" w:rsidRPr="0013396E" w:rsidRDefault="005E0EE9" w:rsidP="0099759E">
            <w:pPr>
              <w:spacing w:after="60"/>
              <w:rPr>
                <w:iCs/>
                <w:sz w:val="20"/>
              </w:rPr>
            </w:pPr>
            <w:r w:rsidRPr="0013396E">
              <w:rPr>
                <w:iCs/>
                <w:sz w:val="20"/>
              </w:rPr>
              <w:t xml:space="preserve">SPDAMT </w:t>
            </w:r>
            <w:r w:rsidRPr="0013396E">
              <w:rPr>
                <w:i/>
                <w:iCs/>
                <w:sz w:val="20"/>
                <w:vertAlign w:val="subscript"/>
              </w:rPr>
              <w:t>q, r, p</w:t>
            </w:r>
          </w:p>
        </w:tc>
        <w:tc>
          <w:tcPr>
            <w:tcW w:w="0" w:type="auto"/>
            <w:tcBorders>
              <w:top w:val="single" w:sz="4" w:space="0" w:color="auto"/>
              <w:left w:val="single" w:sz="4" w:space="0" w:color="auto"/>
              <w:bottom w:val="single" w:sz="4" w:space="0" w:color="auto"/>
              <w:right w:val="single" w:sz="4" w:space="0" w:color="auto"/>
            </w:tcBorders>
            <w:hideMark/>
          </w:tcPr>
          <w:p w14:paraId="7111313B" w14:textId="77777777" w:rsidR="005E0EE9" w:rsidRPr="0013396E" w:rsidRDefault="005E0EE9" w:rsidP="0099759E">
            <w:pPr>
              <w:spacing w:after="60"/>
              <w:rPr>
                <w:iCs/>
                <w:sz w:val="20"/>
              </w:rPr>
            </w:pPr>
            <w:r w:rsidRPr="0013396E">
              <w:rPr>
                <w:iCs/>
                <w:sz w:val="20"/>
              </w:rPr>
              <w:t>$</w:t>
            </w:r>
          </w:p>
        </w:tc>
        <w:tc>
          <w:tcPr>
            <w:tcW w:w="6603" w:type="dxa"/>
            <w:tcBorders>
              <w:top w:val="single" w:sz="4" w:space="0" w:color="auto"/>
              <w:left w:val="single" w:sz="4" w:space="0" w:color="auto"/>
              <w:bottom w:val="single" w:sz="4" w:space="0" w:color="auto"/>
              <w:right w:val="single" w:sz="4" w:space="0" w:color="auto"/>
            </w:tcBorders>
            <w:hideMark/>
          </w:tcPr>
          <w:p w14:paraId="3B9A8FE2" w14:textId="77777777" w:rsidR="005E0EE9" w:rsidRPr="0013396E" w:rsidRDefault="005E0EE9" w:rsidP="0099759E">
            <w:pPr>
              <w:spacing w:after="60"/>
              <w:ind w:right="-108"/>
              <w:rPr>
                <w:iCs/>
                <w:sz w:val="20"/>
              </w:rPr>
            </w:pPr>
            <w:r w:rsidRPr="0013396E">
              <w:rPr>
                <w:i/>
                <w:iCs/>
                <w:sz w:val="20"/>
              </w:rPr>
              <w:t>Set Point Deviation Charge per QSE per Settlement Point per Resource</w:t>
            </w:r>
            <w:r w:rsidRPr="0013396E">
              <w:rPr>
                <w:iCs/>
                <w:sz w:val="20"/>
              </w:rPr>
              <w:t xml:space="preserve">—The charge to QSE </w:t>
            </w:r>
            <w:r w:rsidRPr="0013396E">
              <w:rPr>
                <w:i/>
                <w:iCs/>
                <w:sz w:val="20"/>
              </w:rPr>
              <w:t>q</w:t>
            </w:r>
            <w:r w:rsidRPr="0013396E">
              <w:rPr>
                <w:iCs/>
                <w:sz w:val="20"/>
              </w:rPr>
              <w:t xml:space="preserve"> for Resource </w:t>
            </w:r>
            <w:r w:rsidRPr="0013396E">
              <w:rPr>
                <w:i/>
                <w:iCs/>
                <w:sz w:val="20"/>
              </w:rPr>
              <w:t>r</w:t>
            </w:r>
            <w:r w:rsidRPr="0013396E">
              <w:rPr>
                <w:iCs/>
                <w:sz w:val="20"/>
              </w:rPr>
              <w:t xml:space="preserve"> at Settlement Node </w:t>
            </w:r>
            <w:r w:rsidRPr="0013396E">
              <w:rPr>
                <w:i/>
                <w:iCs/>
                <w:sz w:val="20"/>
              </w:rPr>
              <w:t>p</w:t>
            </w:r>
            <w:r w:rsidRPr="0013396E">
              <w:rPr>
                <w:iCs/>
                <w:sz w:val="20"/>
              </w:rPr>
              <w:t>, for its deviation from AASP, for the 15-minute Settlement Interval.  A Set Point Deviation Charge is charged to the Combined Cycle Train for all Combined Cycle Generation Resources.</w:t>
            </w:r>
          </w:p>
        </w:tc>
      </w:tr>
      <w:tr w:rsidR="005E0EE9" w:rsidRPr="0013396E" w14:paraId="1CD36BF3" w14:textId="77777777" w:rsidTr="0099759E">
        <w:trPr>
          <w:cantSplit/>
        </w:trPr>
        <w:tc>
          <w:tcPr>
            <w:tcW w:w="2032" w:type="dxa"/>
            <w:tcBorders>
              <w:top w:val="single" w:sz="4" w:space="0" w:color="auto"/>
              <w:left w:val="single" w:sz="4" w:space="0" w:color="auto"/>
              <w:bottom w:val="single" w:sz="4" w:space="0" w:color="auto"/>
              <w:right w:val="single" w:sz="4" w:space="0" w:color="auto"/>
            </w:tcBorders>
            <w:hideMark/>
          </w:tcPr>
          <w:p w14:paraId="003E53E3" w14:textId="77777777" w:rsidR="005E0EE9" w:rsidRPr="0013396E" w:rsidRDefault="005E0EE9" w:rsidP="0099759E">
            <w:pPr>
              <w:spacing w:after="60"/>
              <w:rPr>
                <w:iCs/>
                <w:sz w:val="20"/>
              </w:rPr>
            </w:pPr>
            <w:r w:rsidRPr="0013396E">
              <w:rPr>
                <w:iCs/>
                <w:sz w:val="20"/>
              </w:rPr>
              <w:t xml:space="preserve">LRS </w:t>
            </w:r>
            <w:r w:rsidRPr="0013396E">
              <w:rPr>
                <w:i/>
                <w:iCs/>
                <w:sz w:val="20"/>
                <w:vertAlign w:val="subscript"/>
              </w:rPr>
              <w:t>q</w:t>
            </w:r>
          </w:p>
        </w:tc>
        <w:tc>
          <w:tcPr>
            <w:tcW w:w="0" w:type="auto"/>
            <w:tcBorders>
              <w:top w:val="single" w:sz="4" w:space="0" w:color="auto"/>
              <w:left w:val="single" w:sz="4" w:space="0" w:color="auto"/>
              <w:bottom w:val="single" w:sz="4" w:space="0" w:color="auto"/>
              <w:right w:val="single" w:sz="4" w:space="0" w:color="auto"/>
            </w:tcBorders>
            <w:hideMark/>
          </w:tcPr>
          <w:p w14:paraId="7224D665" w14:textId="77777777" w:rsidR="005E0EE9" w:rsidRPr="0013396E" w:rsidRDefault="005E0EE9" w:rsidP="0099759E">
            <w:pPr>
              <w:spacing w:after="60"/>
              <w:rPr>
                <w:iCs/>
                <w:sz w:val="20"/>
              </w:rPr>
            </w:pPr>
            <w:r w:rsidRPr="0013396E">
              <w:rPr>
                <w:iCs/>
                <w:sz w:val="20"/>
              </w:rPr>
              <w:t>none</w:t>
            </w:r>
          </w:p>
        </w:tc>
        <w:tc>
          <w:tcPr>
            <w:tcW w:w="6603" w:type="dxa"/>
            <w:tcBorders>
              <w:top w:val="single" w:sz="4" w:space="0" w:color="auto"/>
              <w:left w:val="single" w:sz="4" w:space="0" w:color="auto"/>
              <w:bottom w:val="single" w:sz="4" w:space="0" w:color="auto"/>
              <w:right w:val="single" w:sz="4" w:space="0" w:color="auto"/>
            </w:tcBorders>
            <w:hideMark/>
          </w:tcPr>
          <w:p w14:paraId="0A41E3F9" w14:textId="77777777" w:rsidR="005E0EE9" w:rsidRPr="0013396E" w:rsidRDefault="005E0EE9" w:rsidP="0099759E">
            <w:pPr>
              <w:spacing w:after="60"/>
              <w:rPr>
                <w:iCs/>
                <w:sz w:val="20"/>
              </w:rPr>
            </w:pPr>
            <w:r w:rsidRPr="0013396E">
              <w:rPr>
                <w:iCs/>
                <w:sz w:val="20"/>
              </w:rPr>
              <w:t xml:space="preserve">The LRS calculated for QSE </w:t>
            </w:r>
            <w:r w:rsidRPr="0013396E">
              <w:rPr>
                <w:i/>
                <w:iCs/>
                <w:sz w:val="20"/>
              </w:rPr>
              <w:t>q</w:t>
            </w:r>
            <w:r w:rsidRPr="0013396E">
              <w:rPr>
                <w:iCs/>
                <w:sz w:val="20"/>
              </w:rPr>
              <w:t xml:space="preserve"> for the 15-minute Settlement Interval.  See Section 6.6.2.2, QSE Load Ratio Share for a 15-Minute Settlement Interval.</w:t>
            </w:r>
          </w:p>
        </w:tc>
      </w:tr>
      <w:tr w:rsidR="005E0EE9" w:rsidRPr="0013396E" w14:paraId="4F2C72E4" w14:textId="77777777" w:rsidTr="0099759E">
        <w:trPr>
          <w:cantSplit/>
        </w:trPr>
        <w:tc>
          <w:tcPr>
            <w:tcW w:w="2032" w:type="dxa"/>
            <w:tcBorders>
              <w:top w:val="single" w:sz="4" w:space="0" w:color="auto"/>
              <w:left w:val="single" w:sz="4" w:space="0" w:color="auto"/>
              <w:bottom w:val="single" w:sz="4" w:space="0" w:color="auto"/>
              <w:right w:val="single" w:sz="4" w:space="0" w:color="auto"/>
            </w:tcBorders>
            <w:hideMark/>
          </w:tcPr>
          <w:p w14:paraId="75E10E5C" w14:textId="77777777" w:rsidR="005E0EE9" w:rsidRPr="0013396E" w:rsidRDefault="005E0EE9" w:rsidP="0099759E">
            <w:pPr>
              <w:spacing w:after="60"/>
              <w:rPr>
                <w:i/>
                <w:iCs/>
                <w:sz w:val="20"/>
              </w:rPr>
            </w:pPr>
            <w:r w:rsidRPr="0013396E">
              <w:rPr>
                <w:i/>
                <w:iCs/>
                <w:sz w:val="20"/>
              </w:rPr>
              <w:t>q</w:t>
            </w:r>
          </w:p>
        </w:tc>
        <w:tc>
          <w:tcPr>
            <w:tcW w:w="0" w:type="auto"/>
            <w:tcBorders>
              <w:top w:val="single" w:sz="4" w:space="0" w:color="auto"/>
              <w:left w:val="single" w:sz="4" w:space="0" w:color="auto"/>
              <w:bottom w:val="single" w:sz="4" w:space="0" w:color="auto"/>
              <w:right w:val="single" w:sz="4" w:space="0" w:color="auto"/>
            </w:tcBorders>
            <w:hideMark/>
          </w:tcPr>
          <w:p w14:paraId="55F0CB64" w14:textId="77777777" w:rsidR="005E0EE9" w:rsidRPr="0013396E" w:rsidRDefault="005E0EE9" w:rsidP="0099759E">
            <w:pPr>
              <w:spacing w:after="60"/>
              <w:rPr>
                <w:iCs/>
                <w:sz w:val="20"/>
              </w:rPr>
            </w:pPr>
            <w:r w:rsidRPr="0013396E">
              <w:rPr>
                <w:iCs/>
                <w:sz w:val="20"/>
              </w:rPr>
              <w:t>none</w:t>
            </w:r>
          </w:p>
        </w:tc>
        <w:tc>
          <w:tcPr>
            <w:tcW w:w="6603" w:type="dxa"/>
            <w:tcBorders>
              <w:top w:val="single" w:sz="4" w:space="0" w:color="auto"/>
              <w:left w:val="single" w:sz="4" w:space="0" w:color="auto"/>
              <w:bottom w:val="single" w:sz="4" w:space="0" w:color="auto"/>
              <w:right w:val="single" w:sz="4" w:space="0" w:color="auto"/>
            </w:tcBorders>
            <w:hideMark/>
          </w:tcPr>
          <w:p w14:paraId="11B7B1CB" w14:textId="77777777" w:rsidR="005E0EE9" w:rsidRPr="0013396E" w:rsidRDefault="005E0EE9" w:rsidP="0099759E">
            <w:pPr>
              <w:spacing w:after="60"/>
              <w:rPr>
                <w:iCs/>
                <w:sz w:val="20"/>
              </w:rPr>
            </w:pPr>
            <w:r w:rsidRPr="0013396E">
              <w:rPr>
                <w:iCs/>
                <w:sz w:val="20"/>
              </w:rPr>
              <w:t>A QSE.</w:t>
            </w:r>
          </w:p>
        </w:tc>
      </w:tr>
      <w:tr w:rsidR="005E0EE9" w:rsidRPr="0013396E" w14:paraId="6CB437E3" w14:textId="77777777" w:rsidTr="0099759E">
        <w:trPr>
          <w:cantSplit/>
        </w:trPr>
        <w:tc>
          <w:tcPr>
            <w:tcW w:w="2032" w:type="dxa"/>
            <w:tcBorders>
              <w:top w:val="single" w:sz="4" w:space="0" w:color="auto"/>
              <w:left w:val="single" w:sz="4" w:space="0" w:color="auto"/>
              <w:bottom w:val="single" w:sz="4" w:space="0" w:color="auto"/>
              <w:right w:val="single" w:sz="4" w:space="0" w:color="auto"/>
            </w:tcBorders>
            <w:hideMark/>
          </w:tcPr>
          <w:p w14:paraId="77406CDE" w14:textId="77777777" w:rsidR="005E0EE9" w:rsidRPr="0013396E" w:rsidRDefault="005E0EE9" w:rsidP="0099759E">
            <w:pPr>
              <w:spacing w:after="60"/>
              <w:rPr>
                <w:i/>
                <w:iCs/>
                <w:sz w:val="20"/>
              </w:rPr>
            </w:pPr>
            <w:r w:rsidRPr="0013396E">
              <w:rPr>
                <w:i/>
                <w:iCs/>
                <w:sz w:val="20"/>
              </w:rPr>
              <w:t>p</w:t>
            </w:r>
          </w:p>
        </w:tc>
        <w:tc>
          <w:tcPr>
            <w:tcW w:w="0" w:type="auto"/>
            <w:tcBorders>
              <w:top w:val="single" w:sz="4" w:space="0" w:color="auto"/>
              <w:left w:val="single" w:sz="4" w:space="0" w:color="auto"/>
              <w:bottom w:val="single" w:sz="4" w:space="0" w:color="auto"/>
              <w:right w:val="single" w:sz="4" w:space="0" w:color="auto"/>
            </w:tcBorders>
            <w:hideMark/>
          </w:tcPr>
          <w:p w14:paraId="7D9D6AE5" w14:textId="77777777" w:rsidR="005E0EE9" w:rsidRPr="0013396E" w:rsidRDefault="005E0EE9" w:rsidP="0099759E">
            <w:pPr>
              <w:spacing w:after="60"/>
              <w:rPr>
                <w:iCs/>
                <w:sz w:val="20"/>
              </w:rPr>
            </w:pPr>
            <w:r w:rsidRPr="0013396E">
              <w:rPr>
                <w:iCs/>
                <w:sz w:val="20"/>
              </w:rPr>
              <w:t>none</w:t>
            </w:r>
          </w:p>
        </w:tc>
        <w:tc>
          <w:tcPr>
            <w:tcW w:w="6603" w:type="dxa"/>
            <w:tcBorders>
              <w:top w:val="single" w:sz="4" w:space="0" w:color="auto"/>
              <w:left w:val="single" w:sz="4" w:space="0" w:color="auto"/>
              <w:bottom w:val="single" w:sz="4" w:space="0" w:color="auto"/>
              <w:right w:val="single" w:sz="4" w:space="0" w:color="auto"/>
            </w:tcBorders>
            <w:hideMark/>
          </w:tcPr>
          <w:p w14:paraId="1B1AC2E9" w14:textId="77777777" w:rsidR="005E0EE9" w:rsidRPr="0013396E" w:rsidRDefault="005E0EE9" w:rsidP="0099759E">
            <w:pPr>
              <w:spacing w:after="60"/>
              <w:rPr>
                <w:iCs/>
                <w:sz w:val="20"/>
              </w:rPr>
            </w:pPr>
            <w:r w:rsidRPr="0013396E">
              <w:rPr>
                <w:iCs/>
                <w:sz w:val="20"/>
              </w:rPr>
              <w:t>A Settlement Point.</w:t>
            </w:r>
          </w:p>
        </w:tc>
      </w:tr>
      <w:tr w:rsidR="005E0EE9" w:rsidRPr="0013396E" w14:paraId="2762013E" w14:textId="77777777" w:rsidTr="0099759E">
        <w:trPr>
          <w:cantSplit/>
        </w:trPr>
        <w:tc>
          <w:tcPr>
            <w:tcW w:w="2032" w:type="dxa"/>
            <w:tcBorders>
              <w:top w:val="single" w:sz="4" w:space="0" w:color="auto"/>
              <w:left w:val="single" w:sz="4" w:space="0" w:color="auto"/>
              <w:bottom w:val="single" w:sz="4" w:space="0" w:color="auto"/>
              <w:right w:val="single" w:sz="4" w:space="0" w:color="auto"/>
            </w:tcBorders>
            <w:hideMark/>
          </w:tcPr>
          <w:p w14:paraId="58D0F819" w14:textId="77777777" w:rsidR="005E0EE9" w:rsidRPr="0013396E" w:rsidRDefault="005E0EE9" w:rsidP="0099759E">
            <w:pPr>
              <w:spacing w:after="60"/>
              <w:rPr>
                <w:i/>
                <w:iCs/>
                <w:sz w:val="20"/>
              </w:rPr>
            </w:pPr>
            <w:r w:rsidRPr="0013396E">
              <w:rPr>
                <w:i/>
                <w:iCs/>
                <w:sz w:val="20"/>
              </w:rPr>
              <w:t>r</w:t>
            </w:r>
          </w:p>
        </w:tc>
        <w:tc>
          <w:tcPr>
            <w:tcW w:w="0" w:type="auto"/>
            <w:tcBorders>
              <w:top w:val="single" w:sz="4" w:space="0" w:color="auto"/>
              <w:left w:val="single" w:sz="4" w:space="0" w:color="auto"/>
              <w:bottom w:val="single" w:sz="4" w:space="0" w:color="auto"/>
              <w:right w:val="single" w:sz="4" w:space="0" w:color="auto"/>
            </w:tcBorders>
            <w:hideMark/>
          </w:tcPr>
          <w:p w14:paraId="63CAC201" w14:textId="77777777" w:rsidR="005E0EE9" w:rsidRPr="0013396E" w:rsidRDefault="005E0EE9" w:rsidP="0099759E">
            <w:pPr>
              <w:spacing w:after="60"/>
              <w:rPr>
                <w:iCs/>
                <w:sz w:val="20"/>
              </w:rPr>
            </w:pPr>
            <w:r w:rsidRPr="0013396E">
              <w:rPr>
                <w:iCs/>
                <w:sz w:val="20"/>
              </w:rPr>
              <w:t>none</w:t>
            </w:r>
          </w:p>
        </w:tc>
        <w:tc>
          <w:tcPr>
            <w:tcW w:w="6603" w:type="dxa"/>
            <w:tcBorders>
              <w:top w:val="single" w:sz="4" w:space="0" w:color="auto"/>
              <w:left w:val="single" w:sz="4" w:space="0" w:color="auto"/>
              <w:bottom w:val="single" w:sz="4" w:space="0" w:color="auto"/>
              <w:right w:val="single" w:sz="4" w:space="0" w:color="auto"/>
            </w:tcBorders>
            <w:hideMark/>
          </w:tcPr>
          <w:p w14:paraId="748181EB" w14:textId="77777777" w:rsidR="005E0EE9" w:rsidRPr="0013396E" w:rsidRDefault="005E0EE9" w:rsidP="0099759E">
            <w:pPr>
              <w:spacing w:after="60"/>
              <w:rPr>
                <w:iCs/>
                <w:sz w:val="20"/>
              </w:rPr>
            </w:pPr>
            <w:r w:rsidRPr="0013396E">
              <w:rPr>
                <w:iCs/>
                <w:sz w:val="20"/>
              </w:rPr>
              <w:t>A Generation Resource, ESR, or Controllable Load Resource.</w:t>
            </w:r>
          </w:p>
        </w:tc>
      </w:tr>
    </w:tbl>
    <w:p w14:paraId="6F8DC97A" w14:textId="77777777" w:rsidR="00EA6FD7" w:rsidRPr="0013396E" w:rsidRDefault="00EA6FD7" w:rsidP="00EA6FD7">
      <w:pPr>
        <w:pStyle w:val="BodyText"/>
        <w:spacing w:after="0"/>
      </w:pPr>
      <w:bookmarkStart w:id="1874" w:name="_Toc87951797"/>
      <w:bookmarkStart w:id="1875" w:name="_Toc109009407"/>
      <w:bookmarkStart w:id="1876" w:name="_Toc397505026"/>
      <w:bookmarkStart w:id="1877" w:name="_Toc402357158"/>
      <w:bookmarkStart w:id="1878" w:name="_Toc422486538"/>
      <w:bookmarkStart w:id="1879" w:name="_Toc433093391"/>
      <w:bookmarkStart w:id="1880" w:name="_Toc433093549"/>
      <w:bookmarkStart w:id="1881" w:name="_Toc440874779"/>
      <w:bookmarkStart w:id="1882" w:name="_Toc448142336"/>
      <w:bookmarkStart w:id="1883" w:name="_Toc448142493"/>
      <w:bookmarkStart w:id="1884" w:name="_Toc458770334"/>
      <w:bookmarkStart w:id="1885" w:name="_Toc459294302"/>
      <w:bookmarkStart w:id="1886" w:name="_Toc463262795"/>
      <w:bookmarkStart w:id="1887" w:name="_Toc468286868"/>
      <w:bookmarkStart w:id="1888" w:name="_Toc481502908"/>
      <w:bookmarkStart w:id="1889" w:name="_Toc49608007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p>
    <w:p w14:paraId="31FFAA09" w14:textId="69FCA2BB" w:rsidR="001F04FD" w:rsidRPr="0013396E" w:rsidRDefault="001F04FD" w:rsidP="000B7133">
      <w:pPr>
        <w:pStyle w:val="H3"/>
      </w:pPr>
      <w:bookmarkStart w:id="1890" w:name="_Toc214878992"/>
      <w:r w:rsidRPr="0013396E">
        <w:t>6.6.6</w:t>
      </w:r>
      <w:r w:rsidRPr="0013396E">
        <w:tab/>
        <w:t>Reliability Must-Run Settlement</w:t>
      </w:r>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5C6D56" w:rsidRPr="0013396E" w14:paraId="1C295A65" w14:textId="77777777" w:rsidTr="00EA6FD7">
        <w:trPr>
          <w:trHeight w:val="206"/>
        </w:trPr>
        <w:tc>
          <w:tcPr>
            <w:tcW w:w="9350" w:type="dxa"/>
            <w:shd w:val="pct12" w:color="auto" w:fill="auto"/>
          </w:tcPr>
          <w:p w14:paraId="382AF8DB" w14:textId="64AE891E" w:rsidR="005C6D56" w:rsidRPr="0013396E" w:rsidRDefault="005C6D56" w:rsidP="00CE1011">
            <w:pPr>
              <w:pStyle w:val="Instructions"/>
              <w:spacing w:before="120"/>
            </w:pPr>
            <w:bookmarkStart w:id="1891" w:name="_Toc87951798"/>
            <w:bookmarkStart w:id="1892" w:name="_Toc109009408"/>
            <w:bookmarkStart w:id="1893" w:name="_Toc397505027"/>
            <w:bookmarkStart w:id="1894" w:name="_Toc402357159"/>
            <w:bookmarkStart w:id="1895" w:name="_Toc422486539"/>
            <w:bookmarkStart w:id="1896" w:name="_Toc433093392"/>
            <w:bookmarkStart w:id="1897" w:name="_Toc433093550"/>
            <w:bookmarkStart w:id="1898" w:name="_Toc440874780"/>
            <w:bookmarkStart w:id="1899" w:name="_Toc448142337"/>
            <w:bookmarkStart w:id="1900" w:name="_Toc448142494"/>
            <w:bookmarkStart w:id="1901" w:name="_Toc458770335"/>
            <w:bookmarkStart w:id="1902" w:name="_Toc459294303"/>
            <w:bookmarkStart w:id="1903" w:name="_Toc463262796"/>
            <w:bookmarkStart w:id="1904" w:name="_Toc468286869"/>
            <w:bookmarkStart w:id="1905" w:name="_Toc481502909"/>
            <w:bookmarkStart w:id="1906" w:name="_Toc496080077"/>
            <w:r w:rsidRPr="0013396E">
              <w:t>[NPRR885:  Replace Section 6.6.6 above with the following upon system implementation:]</w:t>
            </w:r>
          </w:p>
          <w:p w14:paraId="6399BE60" w14:textId="77777777" w:rsidR="005C6D56" w:rsidRPr="0013396E" w:rsidRDefault="005C6D56" w:rsidP="005C6D56">
            <w:pPr>
              <w:pStyle w:val="H3"/>
            </w:pPr>
            <w:bookmarkStart w:id="1907" w:name="_Toc17798747"/>
            <w:bookmarkStart w:id="1908" w:name="_Toc60040707"/>
            <w:bookmarkStart w:id="1909" w:name="_Toc65151766"/>
            <w:bookmarkStart w:id="1910" w:name="_Toc80174792"/>
            <w:bookmarkStart w:id="1911" w:name="_Toc112417672"/>
            <w:bookmarkStart w:id="1912" w:name="_Toc119310341"/>
            <w:bookmarkStart w:id="1913" w:name="_Toc125966274"/>
            <w:bookmarkStart w:id="1914" w:name="_Toc135992372"/>
            <w:bookmarkStart w:id="1915" w:name="_Toc170303568"/>
            <w:bookmarkStart w:id="1916" w:name="_Toc175157472"/>
            <w:bookmarkStart w:id="1917" w:name="_Toc214878993"/>
            <w:r w:rsidRPr="0013396E">
              <w:t>6.6.6</w:t>
            </w:r>
            <w:r w:rsidRPr="0013396E">
              <w:tab/>
              <w:t>Reliability Must-Run and Must-Run Alternative Settlement</w:t>
            </w:r>
            <w:bookmarkEnd w:id="1907"/>
            <w:bookmarkEnd w:id="1908"/>
            <w:bookmarkEnd w:id="1909"/>
            <w:bookmarkEnd w:id="1910"/>
            <w:bookmarkEnd w:id="1911"/>
            <w:bookmarkEnd w:id="1912"/>
            <w:bookmarkEnd w:id="1913"/>
            <w:bookmarkEnd w:id="1914"/>
            <w:bookmarkEnd w:id="1915"/>
            <w:bookmarkEnd w:id="1916"/>
            <w:bookmarkEnd w:id="1917"/>
            <w:r w:rsidRPr="0013396E">
              <w:t xml:space="preserve"> </w:t>
            </w:r>
          </w:p>
        </w:tc>
      </w:tr>
    </w:tbl>
    <w:p w14:paraId="797D8F48" w14:textId="77777777" w:rsidR="001F04FD" w:rsidRPr="0013396E" w:rsidRDefault="001F04FD" w:rsidP="001F04FD">
      <w:pPr>
        <w:pStyle w:val="H4"/>
      </w:pPr>
      <w:bookmarkStart w:id="1918" w:name="_Toc214878994"/>
      <w:r w:rsidRPr="0013396E">
        <w:t>6.6.6.1</w:t>
      </w:r>
      <w:r w:rsidRPr="0013396E">
        <w:tab/>
        <w:t>RMR Standby Payment</w:t>
      </w:r>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18"/>
    </w:p>
    <w:p w14:paraId="60EEBF01" w14:textId="77777777" w:rsidR="001F04FD" w:rsidRPr="0013396E" w:rsidRDefault="001F04FD" w:rsidP="001F04FD">
      <w:pPr>
        <w:pStyle w:val="BodyTextNumbered"/>
      </w:pPr>
      <w:r w:rsidRPr="0013396E">
        <w:t>(1)</w:t>
      </w:r>
      <w:r w:rsidRPr="0013396E">
        <w:tab/>
      </w:r>
      <w:r w:rsidR="00326E23" w:rsidRPr="0013396E">
        <w:rPr>
          <w:iCs/>
        </w:rPr>
        <w:t>The Standby Payment for RMR Service is paid to each QSE representing an RMR Unit for each RMR Unit for each contracted hour under performance requirements set forth in Section 22, Attachment B, Standard Form Reliability Must-Run Agreement, and other performance requirements in these Protocols.  For Initial Settlement, the Standby Payment is either the “Initial Standby Cost” stated in the RMR Agreement or the revised Standby Cost calculated in accordance with paragraph (2) of Section 3.14.1.13, Updated Budgets During the Term of an RMR Agreement.  For Final and True-Up Settlements, the Standby Payment is based on the RMR Unit’s actual Eligible Cost, if available.</w:t>
      </w:r>
    </w:p>
    <w:p w14:paraId="42228153" w14:textId="77777777" w:rsidR="001F04FD" w:rsidRPr="0013396E" w:rsidRDefault="001F04FD" w:rsidP="007C7690">
      <w:pPr>
        <w:pStyle w:val="BodyTextNumbered"/>
      </w:pPr>
      <w:r w:rsidRPr="0013396E">
        <w:t>(2)</w:t>
      </w:r>
      <w:r w:rsidRPr="0013396E">
        <w:tab/>
        <w:t xml:space="preserve">The Standby Payment to each QSE for each RMR Unit for each hour is calculated as follows:  </w:t>
      </w:r>
    </w:p>
    <w:p w14:paraId="40C81F93" w14:textId="77777777" w:rsidR="001F04FD" w:rsidRPr="0013396E" w:rsidRDefault="001F04FD" w:rsidP="001F04FD">
      <w:pPr>
        <w:pStyle w:val="FormulaBold"/>
        <w:rPr>
          <w:lang w:val="pt-BR"/>
        </w:rPr>
      </w:pPr>
      <w:r w:rsidRPr="0013396E">
        <w:rPr>
          <w:lang w:val="pt-BR"/>
        </w:rPr>
        <w:t xml:space="preserve">RMRSBAMT </w:t>
      </w:r>
      <w:r w:rsidRPr="0013396E">
        <w:rPr>
          <w:i/>
          <w:vertAlign w:val="subscript"/>
          <w:lang w:val="pt-BR"/>
        </w:rPr>
        <w:t>q, r</w:t>
      </w:r>
      <w:r w:rsidRPr="0013396E">
        <w:rPr>
          <w:lang w:val="pt-BR"/>
        </w:rPr>
        <w:tab/>
        <w:t>=</w:t>
      </w:r>
      <w:r w:rsidRPr="0013396E">
        <w:rPr>
          <w:lang w:val="pt-BR"/>
        </w:rPr>
        <w:tab/>
        <w:t xml:space="preserve">(-1) * RMRSBPR </w:t>
      </w:r>
      <w:r w:rsidRPr="0013396E">
        <w:rPr>
          <w:i/>
          <w:vertAlign w:val="subscript"/>
          <w:lang w:val="pt-BR"/>
        </w:rPr>
        <w:t>q, r</w:t>
      </w:r>
    </w:p>
    <w:p w14:paraId="58701CBF" w14:textId="77777777" w:rsidR="001F04FD" w:rsidRPr="0013396E" w:rsidRDefault="001F04FD" w:rsidP="001F04FD">
      <w:r w:rsidRPr="0013396E">
        <w:lastRenderedPageBreak/>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765"/>
        <w:gridCol w:w="6889"/>
      </w:tblGrid>
      <w:tr w:rsidR="001F04FD" w:rsidRPr="0013396E" w14:paraId="5262B66A" w14:textId="77777777" w:rsidTr="00AC4DEE">
        <w:trPr>
          <w:cantSplit/>
          <w:tblHeader/>
        </w:trPr>
        <w:tc>
          <w:tcPr>
            <w:tcW w:w="907" w:type="pct"/>
          </w:tcPr>
          <w:p w14:paraId="600BBD20" w14:textId="77777777" w:rsidR="001F04FD" w:rsidRPr="0013396E" w:rsidRDefault="001F04FD" w:rsidP="00AC4DEE">
            <w:pPr>
              <w:pStyle w:val="TableHead"/>
            </w:pPr>
            <w:r w:rsidRPr="0013396E">
              <w:t>Variable</w:t>
            </w:r>
          </w:p>
        </w:tc>
        <w:tc>
          <w:tcPr>
            <w:tcW w:w="409" w:type="pct"/>
          </w:tcPr>
          <w:p w14:paraId="3D636A7D" w14:textId="77777777" w:rsidR="001F04FD" w:rsidRPr="0013396E" w:rsidRDefault="001F04FD" w:rsidP="00AC4DEE">
            <w:pPr>
              <w:pStyle w:val="TableHead"/>
            </w:pPr>
            <w:r w:rsidRPr="0013396E">
              <w:t>Unit</w:t>
            </w:r>
          </w:p>
        </w:tc>
        <w:tc>
          <w:tcPr>
            <w:tcW w:w="3684" w:type="pct"/>
          </w:tcPr>
          <w:p w14:paraId="29F90C89" w14:textId="77777777" w:rsidR="001F04FD" w:rsidRPr="0013396E" w:rsidRDefault="001F04FD" w:rsidP="00AC4DEE">
            <w:pPr>
              <w:pStyle w:val="TableHead"/>
            </w:pPr>
            <w:r w:rsidRPr="0013396E">
              <w:t>Definition</w:t>
            </w:r>
          </w:p>
        </w:tc>
      </w:tr>
      <w:tr w:rsidR="001F04FD" w:rsidRPr="0013396E" w14:paraId="426A1BA2" w14:textId="77777777" w:rsidTr="00AC4DEE">
        <w:trPr>
          <w:cantSplit/>
        </w:trPr>
        <w:tc>
          <w:tcPr>
            <w:tcW w:w="907" w:type="pct"/>
          </w:tcPr>
          <w:p w14:paraId="2FFCE7C3" w14:textId="77777777" w:rsidR="001F04FD" w:rsidRPr="0013396E" w:rsidRDefault="001F04FD" w:rsidP="00AC4DEE">
            <w:pPr>
              <w:pStyle w:val="TableBody"/>
              <w:rPr>
                <w:lang w:val="pt-BR"/>
              </w:rPr>
            </w:pPr>
            <w:r w:rsidRPr="0013396E">
              <w:rPr>
                <w:lang w:val="pt-BR"/>
              </w:rPr>
              <w:t xml:space="preserve">RMRSBAMT </w:t>
            </w:r>
            <w:r w:rsidRPr="0013396E">
              <w:rPr>
                <w:i/>
                <w:vertAlign w:val="subscript"/>
                <w:lang w:val="pt-BR"/>
              </w:rPr>
              <w:t>q, r</w:t>
            </w:r>
          </w:p>
        </w:tc>
        <w:tc>
          <w:tcPr>
            <w:tcW w:w="409" w:type="pct"/>
          </w:tcPr>
          <w:p w14:paraId="1453E2DC" w14:textId="77777777" w:rsidR="001F04FD" w:rsidRPr="0013396E" w:rsidRDefault="001F04FD" w:rsidP="00AC4DEE">
            <w:pPr>
              <w:pStyle w:val="TableBody"/>
            </w:pPr>
            <w:r w:rsidRPr="0013396E">
              <w:t>$</w:t>
            </w:r>
          </w:p>
        </w:tc>
        <w:tc>
          <w:tcPr>
            <w:tcW w:w="3684" w:type="pct"/>
          </w:tcPr>
          <w:p w14:paraId="7132BC2E" w14:textId="77777777" w:rsidR="001F04FD" w:rsidRPr="0013396E" w:rsidRDefault="001F04FD" w:rsidP="00AC4DEE">
            <w:pPr>
              <w:pStyle w:val="TableBody"/>
            </w:pPr>
            <w:r w:rsidRPr="0013396E">
              <w:rPr>
                <w:i/>
              </w:rPr>
              <w:t>Reliability Must Run Standby Payment per QSE per Resource by hour</w:t>
            </w:r>
            <w:r w:rsidRPr="0013396E">
              <w:t xml:space="preserve">—The Standby Payment to QSE </w:t>
            </w:r>
            <w:r w:rsidRPr="0013396E">
              <w:rPr>
                <w:i/>
              </w:rPr>
              <w:t>q</w:t>
            </w:r>
            <w:r w:rsidRPr="0013396E">
              <w:t xml:space="preserve"> for RMR Unit </w:t>
            </w:r>
            <w:r w:rsidRPr="0013396E">
              <w:rPr>
                <w:i/>
              </w:rPr>
              <w:t>r</w:t>
            </w:r>
            <w:r w:rsidRPr="0013396E">
              <w:t xml:space="preserve">, for the hour.  Where for a Combined Cycle Train, the Resource </w:t>
            </w:r>
            <w:r w:rsidRPr="0013396E">
              <w:rPr>
                <w:i/>
              </w:rPr>
              <w:t xml:space="preserve">r </w:t>
            </w:r>
            <w:r w:rsidRPr="0013396E">
              <w:t xml:space="preserve">is the Combined Cycle Train. </w:t>
            </w:r>
          </w:p>
        </w:tc>
      </w:tr>
      <w:tr w:rsidR="001F04FD" w:rsidRPr="0013396E" w14:paraId="3DD786E3" w14:textId="77777777" w:rsidTr="00AC4DEE">
        <w:trPr>
          <w:cantSplit/>
        </w:trPr>
        <w:tc>
          <w:tcPr>
            <w:tcW w:w="907" w:type="pct"/>
          </w:tcPr>
          <w:p w14:paraId="7BB2F77B" w14:textId="77777777" w:rsidR="001F04FD" w:rsidRPr="0013396E" w:rsidRDefault="001F04FD" w:rsidP="00AC4DEE">
            <w:pPr>
              <w:pStyle w:val="TableBody"/>
            </w:pPr>
            <w:r w:rsidRPr="0013396E">
              <w:t xml:space="preserve">RMRSBPR </w:t>
            </w:r>
            <w:r w:rsidRPr="0013396E">
              <w:rPr>
                <w:i/>
                <w:vertAlign w:val="subscript"/>
              </w:rPr>
              <w:t>q, r</w:t>
            </w:r>
          </w:p>
        </w:tc>
        <w:tc>
          <w:tcPr>
            <w:tcW w:w="409" w:type="pct"/>
          </w:tcPr>
          <w:p w14:paraId="1BCD1D86" w14:textId="77777777" w:rsidR="001F04FD" w:rsidRPr="0013396E" w:rsidRDefault="001F04FD" w:rsidP="00AC4DEE">
            <w:pPr>
              <w:pStyle w:val="TableBody"/>
            </w:pPr>
            <w:r w:rsidRPr="0013396E">
              <w:t>$ per hour</w:t>
            </w:r>
          </w:p>
        </w:tc>
        <w:tc>
          <w:tcPr>
            <w:tcW w:w="3684" w:type="pct"/>
          </w:tcPr>
          <w:p w14:paraId="26F270A1" w14:textId="77777777" w:rsidR="001F04FD" w:rsidRPr="0013396E" w:rsidRDefault="001F04FD" w:rsidP="00AC4DEE">
            <w:pPr>
              <w:pStyle w:val="TableBody"/>
            </w:pPr>
            <w:r w:rsidRPr="0013396E">
              <w:rPr>
                <w:i/>
              </w:rPr>
              <w:t>Reliability Must Run Standby Price per QSE per Resource by hour</w:t>
            </w:r>
            <w:r w:rsidRPr="0013396E">
              <w:t xml:space="preserve">—The hourly standby cost for RMR Unit </w:t>
            </w:r>
            <w:r w:rsidRPr="0013396E">
              <w:rPr>
                <w:i/>
              </w:rPr>
              <w:t>r</w:t>
            </w:r>
            <w:r w:rsidRPr="0013396E">
              <w:t xml:space="preserve"> represented by QSE </w:t>
            </w:r>
            <w:r w:rsidRPr="0013396E">
              <w:rPr>
                <w:i/>
              </w:rPr>
              <w:t>q</w:t>
            </w:r>
            <w:r w:rsidRPr="0013396E">
              <w:t xml:space="preserve">, for the hour.  See item (3) below.  Where for a Combined Cycle Train, the Resource </w:t>
            </w:r>
            <w:r w:rsidRPr="0013396E">
              <w:rPr>
                <w:i/>
              </w:rPr>
              <w:t xml:space="preserve">r </w:t>
            </w:r>
            <w:r w:rsidRPr="0013396E">
              <w:t xml:space="preserve">is the Combined Cycle Train.   </w:t>
            </w:r>
          </w:p>
        </w:tc>
      </w:tr>
      <w:tr w:rsidR="001F04FD" w:rsidRPr="0013396E" w14:paraId="78403BBD" w14:textId="77777777" w:rsidTr="00AC4DEE">
        <w:trPr>
          <w:cantSplit/>
        </w:trPr>
        <w:tc>
          <w:tcPr>
            <w:tcW w:w="907" w:type="pct"/>
          </w:tcPr>
          <w:p w14:paraId="105E875D" w14:textId="77777777" w:rsidR="001F04FD" w:rsidRPr="0013396E" w:rsidRDefault="001F04FD" w:rsidP="00AC4DEE">
            <w:pPr>
              <w:pStyle w:val="TableBody"/>
              <w:rPr>
                <w:i/>
              </w:rPr>
            </w:pPr>
            <w:r w:rsidRPr="0013396E">
              <w:rPr>
                <w:i/>
              </w:rPr>
              <w:t>q</w:t>
            </w:r>
          </w:p>
        </w:tc>
        <w:tc>
          <w:tcPr>
            <w:tcW w:w="409" w:type="pct"/>
          </w:tcPr>
          <w:p w14:paraId="157BA68C" w14:textId="77777777" w:rsidR="001F04FD" w:rsidRPr="0013396E" w:rsidRDefault="001F04FD" w:rsidP="00AC4DEE">
            <w:pPr>
              <w:pStyle w:val="TableBody"/>
            </w:pPr>
            <w:r w:rsidRPr="0013396E">
              <w:t>none</w:t>
            </w:r>
          </w:p>
        </w:tc>
        <w:tc>
          <w:tcPr>
            <w:tcW w:w="3684" w:type="pct"/>
          </w:tcPr>
          <w:p w14:paraId="43B0FF55" w14:textId="77777777" w:rsidR="001F04FD" w:rsidRPr="0013396E" w:rsidRDefault="001F04FD" w:rsidP="00AC4DEE">
            <w:pPr>
              <w:pStyle w:val="TableBody"/>
            </w:pPr>
            <w:r w:rsidRPr="0013396E">
              <w:t>A QSE.</w:t>
            </w:r>
          </w:p>
        </w:tc>
      </w:tr>
      <w:tr w:rsidR="001F04FD" w:rsidRPr="0013396E" w14:paraId="183996C6" w14:textId="77777777" w:rsidTr="00AC4DEE">
        <w:trPr>
          <w:cantSplit/>
        </w:trPr>
        <w:tc>
          <w:tcPr>
            <w:tcW w:w="907" w:type="pct"/>
          </w:tcPr>
          <w:p w14:paraId="5340B606" w14:textId="77777777" w:rsidR="001F04FD" w:rsidRPr="0013396E" w:rsidRDefault="00F74586" w:rsidP="00AC4DEE">
            <w:pPr>
              <w:pStyle w:val="TableBody"/>
              <w:rPr>
                <w:i/>
              </w:rPr>
            </w:pPr>
            <w:r w:rsidRPr="0013396E">
              <w:rPr>
                <w:i/>
              </w:rPr>
              <w:t>r</w:t>
            </w:r>
          </w:p>
        </w:tc>
        <w:tc>
          <w:tcPr>
            <w:tcW w:w="409" w:type="pct"/>
          </w:tcPr>
          <w:p w14:paraId="7493E176" w14:textId="77777777" w:rsidR="001F04FD" w:rsidRPr="0013396E" w:rsidRDefault="001F04FD" w:rsidP="00AC4DEE">
            <w:pPr>
              <w:pStyle w:val="TableBody"/>
            </w:pPr>
            <w:r w:rsidRPr="0013396E">
              <w:t>none</w:t>
            </w:r>
          </w:p>
        </w:tc>
        <w:tc>
          <w:tcPr>
            <w:tcW w:w="3684" w:type="pct"/>
          </w:tcPr>
          <w:p w14:paraId="683D718A" w14:textId="77777777" w:rsidR="001F04FD" w:rsidRPr="0013396E" w:rsidRDefault="001F04FD" w:rsidP="00AC4DEE">
            <w:pPr>
              <w:pStyle w:val="TableBody"/>
            </w:pPr>
            <w:r w:rsidRPr="0013396E">
              <w:t>An RMR Unit.</w:t>
            </w:r>
          </w:p>
        </w:tc>
      </w:tr>
    </w:tbl>
    <w:p w14:paraId="7459E306" w14:textId="77777777" w:rsidR="00326E23" w:rsidRPr="0013396E" w:rsidRDefault="00326E23" w:rsidP="00326E23">
      <w:pPr>
        <w:spacing w:before="240" w:after="240"/>
        <w:ind w:left="720" w:hanging="720"/>
        <w:rPr>
          <w:iCs/>
        </w:rPr>
      </w:pPr>
      <w:r w:rsidRPr="0013396E">
        <w:rPr>
          <w:iCs/>
        </w:rPr>
        <w:t>(3)</w:t>
      </w:r>
      <w:r w:rsidRPr="0013396E">
        <w:rPr>
          <w:iCs/>
        </w:rPr>
        <w:tab/>
        <w:t>For the Initial Settlement and resettlements executed before true-up and before actual cost data is submitted, the standby price of an RMR Unit is either the “Initial Standby Cost” stated in the RMR Agreement or the revised Standby Cost calculated in accordance with paragraph (2) of Section 3.14.1.13.  For other resettlements, the standby price of an RMR Unit for each hour is calculated as follows:</w:t>
      </w:r>
    </w:p>
    <w:p w14:paraId="376746C1" w14:textId="77777777" w:rsidR="00326E23" w:rsidRPr="0013396E" w:rsidRDefault="00326E23" w:rsidP="00326E23">
      <w:pPr>
        <w:tabs>
          <w:tab w:val="left" w:pos="2340"/>
          <w:tab w:val="left" w:pos="3420"/>
        </w:tabs>
        <w:spacing w:after="240"/>
        <w:ind w:left="3150" w:hanging="2430"/>
        <w:rPr>
          <w:b/>
          <w:bCs/>
          <w:lang w:val="pt-BR"/>
        </w:rPr>
      </w:pPr>
      <w:r w:rsidRPr="0013396E">
        <w:rPr>
          <w:b/>
          <w:bCs/>
          <w:lang w:val="pt-BR"/>
        </w:rPr>
        <w:t xml:space="preserve">RMRSBPR </w:t>
      </w:r>
      <w:r w:rsidRPr="0013396E">
        <w:rPr>
          <w:b/>
          <w:bCs/>
          <w:i/>
          <w:vertAlign w:val="subscript"/>
          <w:lang w:val="pt-BR"/>
        </w:rPr>
        <w:t>q, r</w:t>
      </w:r>
      <w:r w:rsidRPr="0013396E">
        <w:rPr>
          <w:b/>
          <w:bCs/>
          <w:lang w:val="pt-BR"/>
        </w:rPr>
        <w:tab/>
        <w:t>=</w:t>
      </w:r>
      <w:r w:rsidRPr="0013396E">
        <w:rPr>
          <w:b/>
          <w:bCs/>
          <w:lang w:val="pt-BR"/>
        </w:rPr>
        <w:tab/>
        <w:t xml:space="preserve">(RMRMNFNCC </w:t>
      </w:r>
      <w:r w:rsidRPr="0013396E">
        <w:rPr>
          <w:b/>
          <w:bCs/>
          <w:i/>
          <w:vertAlign w:val="subscript"/>
          <w:lang w:val="pt-BR"/>
        </w:rPr>
        <w:t>q, r</w:t>
      </w:r>
      <w:r w:rsidRPr="0013396E">
        <w:rPr>
          <w:b/>
          <w:bCs/>
          <w:lang w:val="pt-BR"/>
        </w:rPr>
        <w:t xml:space="preserve"> * (1 + RMRIF * RMRCRF </w:t>
      </w:r>
      <w:r w:rsidRPr="0013396E">
        <w:rPr>
          <w:b/>
          <w:bCs/>
          <w:i/>
          <w:vertAlign w:val="subscript"/>
          <w:lang w:val="pt-BR"/>
        </w:rPr>
        <w:t>q, r</w:t>
      </w:r>
      <w:r w:rsidRPr="0013396E">
        <w:rPr>
          <w:b/>
          <w:bCs/>
          <w:lang w:val="pt-BR"/>
        </w:rPr>
        <w:t xml:space="preserve"> * RMRARF </w:t>
      </w:r>
      <w:r w:rsidRPr="0013396E">
        <w:rPr>
          <w:b/>
          <w:bCs/>
          <w:i/>
          <w:vertAlign w:val="subscript"/>
          <w:lang w:val="pt-BR"/>
        </w:rPr>
        <w:t>q, r</w:t>
      </w:r>
      <w:r w:rsidRPr="0013396E">
        <w:rPr>
          <w:b/>
          <w:bCs/>
          <w:lang w:val="pt-BR"/>
        </w:rPr>
        <w:t xml:space="preserve">) + RMRMNFCC </w:t>
      </w:r>
      <w:r w:rsidRPr="0013396E">
        <w:rPr>
          <w:b/>
          <w:bCs/>
          <w:i/>
          <w:vertAlign w:val="subscript"/>
          <w:lang w:val="pt-BR"/>
        </w:rPr>
        <w:t>q, r</w:t>
      </w:r>
      <w:r w:rsidRPr="0013396E">
        <w:rPr>
          <w:b/>
          <w:bCs/>
          <w:lang w:val="pt-BR"/>
        </w:rPr>
        <w:t xml:space="preserve">) / MH </w:t>
      </w:r>
      <w:r w:rsidRPr="0013396E">
        <w:rPr>
          <w:b/>
          <w:bCs/>
          <w:i/>
          <w:vertAlign w:val="subscript"/>
          <w:lang w:val="pt-BR"/>
        </w:rPr>
        <w:t>q, r</w:t>
      </w:r>
    </w:p>
    <w:p w14:paraId="10123168" w14:textId="77777777" w:rsidR="00326E23" w:rsidRPr="0013396E" w:rsidRDefault="00326E23" w:rsidP="00326E23">
      <w:pPr>
        <w:spacing w:before="240" w:after="240"/>
      </w:pPr>
      <w:r w:rsidRPr="0013396E">
        <w:t xml:space="preserve">Where: </w:t>
      </w:r>
    </w:p>
    <w:p w14:paraId="24FE2DB6" w14:textId="77777777" w:rsidR="00326E23" w:rsidRPr="0013396E" w:rsidRDefault="00326E23" w:rsidP="00326E23">
      <w:r w:rsidRPr="0013396E">
        <w:t>RMR Capacity Reduction Factor</w:t>
      </w:r>
    </w:p>
    <w:p w14:paraId="462C6B2B" w14:textId="77777777" w:rsidR="00326E23" w:rsidRPr="0013396E" w:rsidRDefault="00326E23" w:rsidP="00326E23">
      <w:pPr>
        <w:tabs>
          <w:tab w:val="left" w:pos="5940"/>
          <w:tab w:val="left" w:pos="6300"/>
          <w:tab w:val="left" w:pos="6840"/>
        </w:tabs>
        <w:ind w:firstLine="360"/>
        <w:rPr>
          <w:lang w:val="pt-BR"/>
        </w:rPr>
      </w:pPr>
      <w:r w:rsidRPr="0013396E">
        <w:t>If (</w:t>
      </w:r>
      <w:r w:rsidRPr="0013396E">
        <w:rPr>
          <w:lang w:val="pt-BR"/>
        </w:rPr>
        <w:t>RMRTCAPA</w:t>
      </w:r>
      <w:r w:rsidRPr="0013396E">
        <w:rPr>
          <w:i/>
          <w:vertAlign w:val="subscript"/>
          <w:lang w:val="pt-BR"/>
        </w:rPr>
        <w:t xml:space="preserve"> q, r</w:t>
      </w:r>
      <w:r w:rsidRPr="0013396E">
        <w:rPr>
          <w:lang w:val="pt-BR"/>
        </w:rPr>
        <w:t xml:space="preserve"> + </w:t>
      </w:r>
      <w:r w:rsidRPr="0013396E">
        <w:t xml:space="preserve">RMRTCAP </w:t>
      </w:r>
      <w:r w:rsidRPr="0013396E">
        <w:rPr>
          <w:i/>
          <w:vertAlign w:val="subscript"/>
        </w:rPr>
        <w:t>q, r</w:t>
      </w:r>
      <w:r w:rsidRPr="0013396E">
        <w:t xml:space="preserve"> ≥ RMRCCAP </w:t>
      </w:r>
      <w:r w:rsidRPr="0013396E">
        <w:rPr>
          <w:i/>
          <w:vertAlign w:val="subscript"/>
        </w:rPr>
        <w:t>q, r</w:t>
      </w:r>
      <w:r w:rsidRPr="0013396E">
        <w:t xml:space="preserve">), then </w:t>
      </w:r>
      <w:r w:rsidRPr="0013396E">
        <w:rPr>
          <w:lang w:val="pt-BR"/>
        </w:rPr>
        <w:t xml:space="preserve">RMRCRF </w:t>
      </w:r>
      <w:r w:rsidRPr="0013396E">
        <w:rPr>
          <w:i/>
          <w:vertAlign w:val="subscript"/>
          <w:lang w:val="pt-BR"/>
        </w:rPr>
        <w:t xml:space="preserve">q, r  </w:t>
      </w:r>
      <w:r w:rsidRPr="0013396E">
        <w:rPr>
          <w:lang w:val="pt-BR"/>
        </w:rPr>
        <w:t>= 1</w:t>
      </w:r>
    </w:p>
    <w:p w14:paraId="31183879" w14:textId="77777777" w:rsidR="00326E23" w:rsidRPr="0013396E" w:rsidRDefault="00326E23" w:rsidP="00326E23">
      <w:pPr>
        <w:ind w:firstLine="360"/>
        <w:rPr>
          <w:lang w:val="pt-BR"/>
        </w:rPr>
      </w:pPr>
    </w:p>
    <w:p w14:paraId="093B4A5C" w14:textId="77777777" w:rsidR="00326E23" w:rsidRPr="0013396E" w:rsidRDefault="00326E23" w:rsidP="00326E23">
      <w:pPr>
        <w:ind w:firstLine="360"/>
        <w:rPr>
          <w:lang w:val="pt-BR"/>
        </w:rPr>
      </w:pPr>
      <w:r w:rsidRPr="0013396E">
        <w:rPr>
          <w:lang w:val="pt-BR"/>
        </w:rPr>
        <w:t>Otherwise</w:t>
      </w:r>
    </w:p>
    <w:p w14:paraId="42A05B14" w14:textId="77777777" w:rsidR="00326E23" w:rsidRPr="0013396E" w:rsidRDefault="00326E23" w:rsidP="00326E23">
      <w:pPr>
        <w:tabs>
          <w:tab w:val="left" w:pos="2700"/>
        </w:tabs>
        <w:ind w:left="2430" w:hanging="1620"/>
        <w:rPr>
          <w:lang w:val="pt-BR"/>
        </w:rPr>
      </w:pPr>
      <w:r w:rsidRPr="0013396E">
        <w:rPr>
          <w:lang w:val="pt-BR"/>
        </w:rPr>
        <w:t xml:space="preserve">RMRCRF </w:t>
      </w:r>
      <w:r w:rsidRPr="0013396E">
        <w:rPr>
          <w:i/>
          <w:vertAlign w:val="subscript"/>
          <w:lang w:val="pt-BR"/>
        </w:rPr>
        <w:t>q, r</w:t>
      </w:r>
      <w:r w:rsidRPr="0013396E">
        <w:rPr>
          <w:lang w:val="pt-BR"/>
        </w:rPr>
        <w:tab/>
        <w:t>=</w:t>
      </w:r>
      <w:r w:rsidRPr="0013396E">
        <w:rPr>
          <w:lang w:val="pt-BR"/>
        </w:rPr>
        <w:tab/>
        <w:t xml:space="preserve">Max (0, 1 – 2 * (RMRCCAP </w:t>
      </w:r>
      <w:r w:rsidRPr="0013396E">
        <w:rPr>
          <w:i/>
          <w:vertAlign w:val="subscript"/>
          <w:lang w:val="pt-BR"/>
        </w:rPr>
        <w:t xml:space="preserve">q, r </w:t>
      </w:r>
      <w:r w:rsidRPr="0013396E">
        <w:rPr>
          <w:lang w:val="pt-BR"/>
        </w:rPr>
        <w:t xml:space="preserve">– RMRTCAP </w:t>
      </w:r>
      <w:r w:rsidRPr="0013396E">
        <w:rPr>
          <w:i/>
          <w:vertAlign w:val="subscript"/>
          <w:lang w:val="pt-BR"/>
        </w:rPr>
        <w:t>q, r</w:t>
      </w:r>
      <w:r w:rsidRPr="0013396E">
        <w:rPr>
          <w:lang w:val="pt-BR"/>
        </w:rPr>
        <w:t xml:space="preserve">) </w:t>
      </w:r>
      <w:r w:rsidRPr="0013396E">
        <w:rPr>
          <w:b/>
          <w:sz w:val="32"/>
          <w:szCs w:val="32"/>
          <w:lang w:val="pt-BR"/>
        </w:rPr>
        <w:t>/</w:t>
      </w:r>
      <w:r w:rsidRPr="0013396E">
        <w:rPr>
          <w:sz w:val="32"/>
          <w:szCs w:val="32"/>
          <w:lang w:val="pt-BR"/>
        </w:rPr>
        <w:t xml:space="preserve"> </w:t>
      </w:r>
      <w:r w:rsidRPr="0013396E">
        <w:rPr>
          <w:lang w:val="pt-BR"/>
        </w:rPr>
        <w:t xml:space="preserve">RMRCCAP </w:t>
      </w:r>
      <w:r w:rsidRPr="0013396E">
        <w:rPr>
          <w:i/>
          <w:vertAlign w:val="subscript"/>
          <w:lang w:val="pt-BR"/>
        </w:rPr>
        <w:t>q, r</w:t>
      </w:r>
      <w:r w:rsidRPr="0013396E">
        <w:rPr>
          <w:lang w:val="pt-BR"/>
        </w:rPr>
        <w:t>)</w:t>
      </w:r>
    </w:p>
    <w:p w14:paraId="1CD2D5D3" w14:textId="77777777" w:rsidR="00326E23" w:rsidRPr="0013396E" w:rsidRDefault="00326E23" w:rsidP="00326E23">
      <w:pPr>
        <w:rPr>
          <w:lang w:val="pt-BR"/>
        </w:rPr>
      </w:pPr>
    </w:p>
    <w:p w14:paraId="5F61C509" w14:textId="77777777" w:rsidR="00326E23" w:rsidRPr="0013396E" w:rsidRDefault="00326E23" w:rsidP="00326E23">
      <w:r w:rsidRPr="0013396E">
        <w:t>RMR Availability Reduction Factor</w:t>
      </w:r>
    </w:p>
    <w:p w14:paraId="44D0CBC0" w14:textId="77777777" w:rsidR="00326E23" w:rsidRPr="0013396E" w:rsidRDefault="00326E23" w:rsidP="00326E23">
      <w:pPr>
        <w:ind w:firstLine="720"/>
        <w:rPr>
          <w:lang w:val="pt-BR"/>
        </w:rPr>
      </w:pPr>
      <w:r w:rsidRPr="0013396E">
        <w:t xml:space="preserve">If (RMRHREAF </w:t>
      </w:r>
      <w:r w:rsidRPr="0013396E">
        <w:rPr>
          <w:i/>
          <w:vertAlign w:val="subscript"/>
        </w:rPr>
        <w:t>q, r</w:t>
      </w:r>
      <w:r w:rsidRPr="0013396E">
        <w:t xml:space="preserve"> ≥ RMRTA </w:t>
      </w:r>
      <w:r w:rsidRPr="0013396E">
        <w:rPr>
          <w:i/>
          <w:vertAlign w:val="subscript"/>
        </w:rPr>
        <w:t>q, r</w:t>
      </w:r>
      <w:r w:rsidRPr="0013396E">
        <w:t xml:space="preserve">), then </w:t>
      </w:r>
      <w:r w:rsidRPr="0013396E">
        <w:rPr>
          <w:lang w:val="pt-BR"/>
        </w:rPr>
        <w:t xml:space="preserve">RMRARF </w:t>
      </w:r>
      <w:r w:rsidRPr="0013396E">
        <w:rPr>
          <w:i/>
          <w:vertAlign w:val="subscript"/>
          <w:lang w:val="pt-BR"/>
        </w:rPr>
        <w:t>q, r</w:t>
      </w:r>
      <w:r w:rsidRPr="0013396E">
        <w:rPr>
          <w:lang w:val="pt-BR"/>
        </w:rPr>
        <w:t xml:space="preserve"> = 1 </w:t>
      </w:r>
    </w:p>
    <w:p w14:paraId="19256AA8" w14:textId="77777777" w:rsidR="00326E23" w:rsidRPr="0013396E" w:rsidRDefault="00326E23" w:rsidP="00326E23">
      <w:pPr>
        <w:ind w:firstLine="720"/>
        <w:rPr>
          <w:lang w:val="pt-BR"/>
        </w:rPr>
      </w:pPr>
    </w:p>
    <w:p w14:paraId="4B7963B5" w14:textId="77777777" w:rsidR="00326E23" w:rsidRPr="0013396E" w:rsidRDefault="00326E23" w:rsidP="00326E23">
      <w:pPr>
        <w:ind w:firstLine="720"/>
        <w:rPr>
          <w:lang w:val="pt-BR"/>
        </w:rPr>
      </w:pPr>
      <w:r w:rsidRPr="0013396E">
        <w:rPr>
          <w:lang w:val="pt-BR"/>
        </w:rPr>
        <w:t>Otherwise</w:t>
      </w:r>
    </w:p>
    <w:p w14:paraId="0AF2E4D5" w14:textId="77777777" w:rsidR="00326E23" w:rsidRPr="0013396E" w:rsidRDefault="00326E23" w:rsidP="00326E23">
      <w:pPr>
        <w:ind w:left="720" w:firstLine="720"/>
        <w:rPr>
          <w:lang w:val="pt-BR"/>
        </w:rPr>
      </w:pPr>
      <w:r w:rsidRPr="0013396E">
        <w:rPr>
          <w:lang w:val="pt-BR"/>
        </w:rPr>
        <w:t xml:space="preserve">RMRARF </w:t>
      </w:r>
      <w:r w:rsidRPr="0013396E">
        <w:rPr>
          <w:i/>
          <w:vertAlign w:val="subscript"/>
          <w:lang w:val="pt-BR"/>
        </w:rPr>
        <w:t>q, r</w:t>
      </w:r>
      <w:r w:rsidRPr="0013396E">
        <w:rPr>
          <w:lang w:val="pt-BR"/>
        </w:rPr>
        <w:tab/>
        <w:t>=</w:t>
      </w:r>
      <w:r w:rsidRPr="0013396E">
        <w:rPr>
          <w:lang w:val="pt-BR"/>
        </w:rPr>
        <w:tab/>
        <w:t xml:space="preserve">Max (0, 1 - (RMRTA </w:t>
      </w:r>
      <w:r w:rsidRPr="0013396E">
        <w:rPr>
          <w:i/>
          <w:vertAlign w:val="subscript"/>
          <w:lang w:val="pt-BR"/>
        </w:rPr>
        <w:t>q, r</w:t>
      </w:r>
      <w:r w:rsidRPr="0013396E">
        <w:rPr>
          <w:lang w:val="pt-BR"/>
        </w:rPr>
        <w:t xml:space="preserve"> – RMRHREAF </w:t>
      </w:r>
      <w:r w:rsidRPr="0013396E">
        <w:rPr>
          <w:i/>
          <w:vertAlign w:val="subscript"/>
          <w:lang w:val="pt-BR"/>
        </w:rPr>
        <w:t>q, r</w:t>
      </w:r>
      <w:r w:rsidRPr="0013396E">
        <w:rPr>
          <w:lang w:val="pt-BR"/>
        </w:rPr>
        <w:t>) * 2)</w:t>
      </w:r>
    </w:p>
    <w:p w14:paraId="23417D32" w14:textId="77777777" w:rsidR="00326E23" w:rsidRPr="0013396E" w:rsidRDefault="00326E23" w:rsidP="00326E23">
      <w:pPr>
        <w:rPr>
          <w:lang w:val="pt-BR"/>
        </w:rPr>
      </w:pPr>
    </w:p>
    <w:p w14:paraId="226CBB63" w14:textId="77777777" w:rsidR="00326E23" w:rsidRPr="0013396E" w:rsidRDefault="00326E23" w:rsidP="00326E23">
      <w:r w:rsidRPr="0013396E">
        <w:t>RMR Hourly Rolling Equivalent Availability Factor</w:t>
      </w:r>
    </w:p>
    <w:p w14:paraId="405D7EBC" w14:textId="551D260C" w:rsidR="00326E23" w:rsidRPr="0013396E" w:rsidRDefault="00326E23" w:rsidP="00326E23">
      <w:pPr>
        <w:ind w:left="2790" w:hanging="2070"/>
        <w:rPr>
          <w:lang w:val="pt-BR"/>
        </w:rPr>
      </w:pPr>
      <w:r w:rsidRPr="0013396E">
        <w:rPr>
          <w:lang w:val="pt-BR"/>
        </w:rPr>
        <w:t xml:space="preserve">RMRHREAF </w:t>
      </w:r>
      <w:r w:rsidRPr="0013396E">
        <w:rPr>
          <w:i/>
          <w:vertAlign w:val="subscript"/>
          <w:lang w:val="pt-BR"/>
        </w:rPr>
        <w:t>q, r</w:t>
      </w:r>
      <w:r w:rsidRPr="0013396E">
        <w:rPr>
          <w:lang w:val="pt-BR"/>
        </w:rPr>
        <w:t xml:space="preserve"> = Min (1, </w:t>
      </w:r>
      <w:r w:rsidR="00A94020" w:rsidRPr="0013396E">
        <w:rPr>
          <w:noProof/>
          <w:position w:val="-20"/>
        </w:rPr>
        <w:drawing>
          <wp:inline distT="0" distB="0" distL="0" distR="0" wp14:anchorId="614E2A1E" wp14:editId="1B563432">
            <wp:extent cx="457200" cy="361950"/>
            <wp:effectExtent l="0" t="0" r="0" b="0"/>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198" cstate="print">
                      <a:extLst>
                        <a:ext uri="{28A0092B-C50C-407E-A947-70E740481C1C}">
                          <a14:useLocalDpi xmlns:a14="http://schemas.microsoft.com/office/drawing/2010/main" val="0"/>
                        </a:ext>
                      </a:extLst>
                    </a:blip>
                    <a:srcRect/>
                    <a:stretch>
                      <a:fillRect/>
                    </a:stretch>
                  </pic:blipFill>
                  <pic:spPr bwMode="auto">
                    <a:xfrm>
                      <a:off x="0" y="0"/>
                      <a:ext cx="457200" cy="361950"/>
                    </a:xfrm>
                    <a:prstGeom prst="rect">
                      <a:avLst/>
                    </a:prstGeom>
                    <a:noFill/>
                    <a:ln>
                      <a:noFill/>
                    </a:ln>
                  </pic:spPr>
                </pic:pic>
              </a:graphicData>
            </a:graphic>
          </wp:inline>
        </w:drawing>
      </w:r>
      <w:r w:rsidRPr="0013396E">
        <w:rPr>
          <w:lang w:val="pt-BR"/>
        </w:rPr>
        <w:t xml:space="preserve"> (RMRAFLAG</w:t>
      </w:r>
      <w:r w:rsidRPr="0013396E">
        <w:rPr>
          <w:i/>
          <w:vertAlign w:val="subscript"/>
          <w:lang w:val="pt-BR"/>
        </w:rPr>
        <w:t xml:space="preserve"> q, r, hr</w:t>
      </w:r>
      <w:r w:rsidRPr="0013396E">
        <w:rPr>
          <w:lang w:val="pt-BR"/>
        </w:rPr>
        <w:t xml:space="preserve"> *  HSL</w:t>
      </w:r>
      <w:r w:rsidRPr="0013396E">
        <w:rPr>
          <w:i/>
          <w:vertAlign w:val="subscript"/>
          <w:lang w:val="pt-BR"/>
        </w:rPr>
        <w:t>q, r, hr</w:t>
      </w:r>
      <w:r w:rsidRPr="0013396E">
        <w:rPr>
          <w:lang w:val="pt-BR"/>
        </w:rPr>
        <w:t xml:space="preserve">)  / </w:t>
      </w:r>
      <w:r w:rsidR="00A94020" w:rsidRPr="0013396E">
        <w:rPr>
          <w:noProof/>
          <w:position w:val="-20"/>
        </w:rPr>
        <w:drawing>
          <wp:inline distT="0" distB="0" distL="0" distR="0" wp14:anchorId="0EB2BE42" wp14:editId="6BB3C842">
            <wp:extent cx="457200" cy="361950"/>
            <wp:effectExtent l="0" t="0" r="0" b="0"/>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198" cstate="print">
                      <a:extLst>
                        <a:ext uri="{28A0092B-C50C-407E-A947-70E740481C1C}">
                          <a14:useLocalDpi xmlns:a14="http://schemas.microsoft.com/office/drawing/2010/main" val="0"/>
                        </a:ext>
                      </a:extLst>
                    </a:blip>
                    <a:srcRect/>
                    <a:stretch>
                      <a:fillRect/>
                    </a:stretch>
                  </pic:blipFill>
                  <pic:spPr bwMode="auto">
                    <a:xfrm>
                      <a:off x="0" y="0"/>
                      <a:ext cx="457200" cy="361950"/>
                    </a:xfrm>
                    <a:prstGeom prst="rect">
                      <a:avLst/>
                    </a:prstGeom>
                    <a:noFill/>
                    <a:ln>
                      <a:noFill/>
                    </a:ln>
                  </pic:spPr>
                </pic:pic>
              </a:graphicData>
            </a:graphic>
          </wp:inline>
        </w:drawing>
      </w:r>
      <w:r w:rsidRPr="0013396E">
        <w:rPr>
          <w:lang w:val="pt-BR"/>
        </w:rPr>
        <w:t xml:space="preserve"> </w:t>
      </w:r>
      <w:r w:rsidRPr="0013396E">
        <w:t xml:space="preserve">RMRCCAP </w:t>
      </w:r>
      <w:r w:rsidRPr="0013396E">
        <w:rPr>
          <w:i/>
          <w:vertAlign w:val="subscript"/>
          <w:lang w:val="pt-BR"/>
        </w:rPr>
        <w:t>q, r</w:t>
      </w:r>
      <w:r w:rsidRPr="0013396E">
        <w:rPr>
          <w:lang w:val="pt-BR"/>
        </w:rPr>
        <w:t>)</w:t>
      </w:r>
    </w:p>
    <w:p w14:paraId="5DD3CDDC" w14:textId="77777777" w:rsidR="00326E23" w:rsidRPr="0013396E" w:rsidRDefault="00326E23" w:rsidP="00326E23">
      <w:pPr>
        <w:spacing w:after="240"/>
        <w:rPr>
          <w:iCs/>
        </w:rPr>
      </w:pPr>
    </w:p>
    <w:p w14:paraId="218D496A" w14:textId="77777777" w:rsidR="00326E23" w:rsidRPr="0013396E" w:rsidRDefault="00326E23" w:rsidP="00326E23">
      <w:pPr>
        <w:spacing w:after="240"/>
        <w:rPr>
          <w:lang w:val="pt-BR"/>
        </w:rPr>
      </w:pPr>
      <w:r w:rsidRPr="0013396E">
        <w:rPr>
          <w:iCs/>
        </w:rPr>
        <w:t>Availability</w:t>
      </w:r>
      <w:r w:rsidRPr="0013396E">
        <w:t xml:space="preserve"> for a Combined Cycle Train will be determined pursuant to contractual terms but no more than once per hour.</w:t>
      </w:r>
    </w:p>
    <w:p w14:paraId="44462ED7" w14:textId="77777777" w:rsidR="00326E23" w:rsidRPr="0013396E" w:rsidRDefault="00326E23" w:rsidP="00326E23">
      <w:r w:rsidRPr="0013396E">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5"/>
        <w:gridCol w:w="780"/>
        <w:gridCol w:w="6865"/>
      </w:tblGrid>
      <w:tr w:rsidR="00326E23" w:rsidRPr="0013396E" w14:paraId="6C6AAB37" w14:textId="77777777" w:rsidTr="009B2773">
        <w:trPr>
          <w:cantSplit/>
          <w:tblHeader/>
        </w:trPr>
        <w:tc>
          <w:tcPr>
            <w:tcW w:w="912" w:type="pct"/>
          </w:tcPr>
          <w:p w14:paraId="537FC4F2" w14:textId="77777777" w:rsidR="00326E23" w:rsidRPr="0013396E" w:rsidRDefault="00326E23" w:rsidP="009B2773">
            <w:pPr>
              <w:spacing w:after="240"/>
              <w:rPr>
                <w:b/>
                <w:iCs/>
                <w:sz w:val="20"/>
              </w:rPr>
            </w:pPr>
            <w:r w:rsidRPr="0013396E">
              <w:rPr>
                <w:b/>
                <w:iCs/>
                <w:sz w:val="20"/>
              </w:rPr>
              <w:lastRenderedPageBreak/>
              <w:t>Variable</w:t>
            </w:r>
          </w:p>
        </w:tc>
        <w:tc>
          <w:tcPr>
            <w:tcW w:w="417" w:type="pct"/>
          </w:tcPr>
          <w:p w14:paraId="67B365C2" w14:textId="77777777" w:rsidR="00326E23" w:rsidRPr="0013396E" w:rsidRDefault="00326E23" w:rsidP="009B2773">
            <w:pPr>
              <w:spacing w:after="240"/>
              <w:rPr>
                <w:b/>
                <w:iCs/>
                <w:sz w:val="20"/>
              </w:rPr>
            </w:pPr>
            <w:r w:rsidRPr="0013396E">
              <w:rPr>
                <w:b/>
                <w:iCs/>
                <w:sz w:val="20"/>
              </w:rPr>
              <w:t>Unit</w:t>
            </w:r>
          </w:p>
        </w:tc>
        <w:tc>
          <w:tcPr>
            <w:tcW w:w="3671" w:type="pct"/>
          </w:tcPr>
          <w:p w14:paraId="6853A841" w14:textId="77777777" w:rsidR="00326E23" w:rsidRPr="0013396E" w:rsidRDefault="00326E23" w:rsidP="009B2773">
            <w:pPr>
              <w:spacing w:after="240"/>
              <w:rPr>
                <w:b/>
                <w:iCs/>
                <w:sz w:val="20"/>
              </w:rPr>
            </w:pPr>
            <w:r w:rsidRPr="0013396E">
              <w:rPr>
                <w:b/>
                <w:iCs/>
                <w:sz w:val="20"/>
              </w:rPr>
              <w:t>Definition</w:t>
            </w:r>
          </w:p>
        </w:tc>
      </w:tr>
      <w:tr w:rsidR="00326E23" w:rsidRPr="0013396E" w14:paraId="10F2A73A" w14:textId="77777777" w:rsidTr="009B2773">
        <w:trPr>
          <w:cantSplit/>
        </w:trPr>
        <w:tc>
          <w:tcPr>
            <w:tcW w:w="912" w:type="pct"/>
          </w:tcPr>
          <w:p w14:paraId="53374282" w14:textId="77777777" w:rsidR="00326E23" w:rsidRPr="0013396E" w:rsidRDefault="00326E23" w:rsidP="009B2773">
            <w:pPr>
              <w:spacing w:after="60"/>
              <w:rPr>
                <w:iCs/>
                <w:sz w:val="20"/>
              </w:rPr>
            </w:pPr>
            <w:r w:rsidRPr="0013396E">
              <w:rPr>
                <w:iCs/>
                <w:sz w:val="20"/>
              </w:rPr>
              <w:t xml:space="preserve">RMRSBPR </w:t>
            </w:r>
            <w:r w:rsidRPr="0013396E">
              <w:rPr>
                <w:i/>
                <w:iCs/>
                <w:sz w:val="20"/>
                <w:vertAlign w:val="subscript"/>
              </w:rPr>
              <w:t>q, r</w:t>
            </w:r>
          </w:p>
        </w:tc>
        <w:tc>
          <w:tcPr>
            <w:tcW w:w="417" w:type="pct"/>
          </w:tcPr>
          <w:p w14:paraId="09FF53DD" w14:textId="77777777" w:rsidR="00326E23" w:rsidRPr="0013396E" w:rsidRDefault="00326E23" w:rsidP="009B2773">
            <w:pPr>
              <w:spacing w:after="60"/>
              <w:rPr>
                <w:i/>
                <w:iCs/>
                <w:sz w:val="20"/>
              </w:rPr>
            </w:pPr>
            <w:r w:rsidRPr="0013396E">
              <w:rPr>
                <w:iCs/>
                <w:sz w:val="20"/>
              </w:rPr>
              <w:t>$ per hour</w:t>
            </w:r>
          </w:p>
        </w:tc>
        <w:tc>
          <w:tcPr>
            <w:tcW w:w="3671" w:type="pct"/>
          </w:tcPr>
          <w:p w14:paraId="23410893" w14:textId="77777777" w:rsidR="00326E23" w:rsidRPr="0013396E" w:rsidRDefault="00326E23" w:rsidP="009B2773">
            <w:pPr>
              <w:spacing w:after="60"/>
              <w:rPr>
                <w:iCs/>
                <w:sz w:val="20"/>
              </w:rPr>
            </w:pPr>
            <w:r w:rsidRPr="0013396E">
              <w:rPr>
                <w:i/>
                <w:iCs/>
                <w:sz w:val="20"/>
              </w:rPr>
              <w:t>Reliability Must-Run Standby Price per QSE per Resource by hour</w:t>
            </w:r>
            <w:r w:rsidRPr="0013396E">
              <w:rPr>
                <w:iCs/>
                <w:sz w:val="20"/>
              </w:rPr>
              <w:t xml:space="preserve">—The hourly standby cost for RMR Unit </w:t>
            </w:r>
            <w:r w:rsidRPr="0013396E">
              <w:rPr>
                <w:i/>
                <w:iCs/>
                <w:sz w:val="20"/>
              </w:rPr>
              <w:t xml:space="preserve">r </w:t>
            </w:r>
            <w:r w:rsidRPr="0013396E">
              <w:rPr>
                <w:iCs/>
                <w:sz w:val="20"/>
              </w:rPr>
              <w:t xml:space="preserve">represented by QSE </w:t>
            </w:r>
            <w:r w:rsidRPr="0013396E">
              <w:rPr>
                <w:i/>
                <w:iCs/>
                <w:sz w:val="20"/>
              </w:rPr>
              <w:t xml:space="preserve">q, </w:t>
            </w:r>
            <w:r w:rsidRPr="0013396E">
              <w:rPr>
                <w:iCs/>
                <w:sz w:val="20"/>
              </w:rPr>
              <w:t xml:space="preserve">for the hour.  Where for a Combined Cycle Train, the Resource </w:t>
            </w:r>
            <w:r w:rsidRPr="0013396E">
              <w:rPr>
                <w:i/>
                <w:iCs/>
                <w:sz w:val="20"/>
              </w:rPr>
              <w:t>r</w:t>
            </w:r>
            <w:r w:rsidRPr="0013396E">
              <w:rPr>
                <w:iCs/>
                <w:sz w:val="20"/>
              </w:rPr>
              <w:t xml:space="preserve"> is the Combined Cycle Train.</w:t>
            </w:r>
          </w:p>
        </w:tc>
      </w:tr>
      <w:tr w:rsidR="00326E23" w:rsidRPr="0013396E" w14:paraId="7B049ACA" w14:textId="77777777" w:rsidTr="009B2773">
        <w:trPr>
          <w:cantSplit/>
        </w:trPr>
        <w:tc>
          <w:tcPr>
            <w:tcW w:w="912" w:type="pct"/>
          </w:tcPr>
          <w:p w14:paraId="48061BE9" w14:textId="77777777" w:rsidR="00326E23" w:rsidRPr="0013396E" w:rsidRDefault="00326E23" w:rsidP="009B2773">
            <w:pPr>
              <w:spacing w:after="60"/>
              <w:rPr>
                <w:iCs/>
                <w:sz w:val="20"/>
              </w:rPr>
            </w:pPr>
            <w:r w:rsidRPr="0013396E">
              <w:rPr>
                <w:iCs/>
                <w:sz w:val="20"/>
              </w:rPr>
              <w:t xml:space="preserve">RMRARF </w:t>
            </w:r>
            <w:r w:rsidRPr="0013396E">
              <w:rPr>
                <w:i/>
                <w:iCs/>
                <w:sz w:val="20"/>
                <w:vertAlign w:val="subscript"/>
              </w:rPr>
              <w:t>q, r</w:t>
            </w:r>
          </w:p>
        </w:tc>
        <w:tc>
          <w:tcPr>
            <w:tcW w:w="417" w:type="pct"/>
          </w:tcPr>
          <w:p w14:paraId="2D698A32" w14:textId="77777777" w:rsidR="00326E23" w:rsidRPr="0013396E" w:rsidRDefault="00326E23" w:rsidP="009B2773">
            <w:pPr>
              <w:spacing w:after="60"/>
              <w:rPr>
                <w:iCs/>
                <w:sz w:val="20"/>
              </w:rPr>
            </w:pPr>
            <w:r w:rsidRPr="0013396E">
              <w:rPr>
                <w:iCs/>
                <w:sz w:val="20"/>
              </w:rPr>
              <w:t>none</w:t>
            </w:r>
          </w:p>
        </w:tc>
        <w:tc>
          <w:tcPr>
            <w:tcW w:w="3671" w:type="pct"/>
          </w:tcPr>
          <w:p w14:paraId="44E75DC1" w14:textId="77777777" w:rsidR="00326E23" w:rsidRPr="0013396E" w:rsidRDefault="00326E23" w:rsidP="009B2773">
            <w:pPr>
              <w:spacing w:after="60"/>
              <w:rPr>
                <w:iCs/>
                <w:sz w:val="20"/>
              </w:rPr>
            </w:pPr>
            <w:r w:rsidRPr="0013396E">
              <w:rPr>
                <w:i/>
                <w:iCs/>
                <w:sz w:val="20"/>
              </w:rPr>
              <w:t>Reliability Must-Run Availability Reduction Factor per QSE per Resource by hour</w:t>
            </w:r>
            <w:r w:rsidRPr="0013396E">
              <w:rPr>
                <w:iCs/>
                <w:sz w:val="20"/>
              </w:rPr>
              <w:t xml:space="preserve">—The availability reduction factor of RMR Unit </w:t>
            </w:r>
            <w:r w:rsidRPr="0013396E">
              <w:rPr>
                <w:i/>
                <w:iCs/>
                <w:sz w:val="20"/>
              </w:rPr>
              <w:t>r</w:t>
            </w:r>
            <w:r w:rsidRPr="0013396E">
              <w:rPr>
                <w:iCs/>
                <w:sz w:val="20"/>
              </w:rPr>
              <w:t xml:space="preserve"> represented by QSE </w:t>
            </w:r>
            <w:r w:rsidRPr="0013396E">
              <w:rPr>
                <w:i/>
                <w:iCs/>
                <w:sz w:val="20"/>
              </w:rPr>
              <w:t>q</w:t>
            </w:r>
            <w:r w:rsidRPr="0013396E">
              <w:rPr>
                <w:iCs/>
                <w:sz w:val="20"/>
              </w:rPr>
              <w:t xml:space="preserve">, for the hour.  Where for a Combined Cycle Train, the Resource </w:t>
            </w:r>
            <w:r w:rsidRPr="0013396E">
              <w:rPr>
                <w:i/>
                <w:iCs/>
                <w:sz w:val="20"/>
              </w:rPr>
              <w:t xml:space="preserve">r </w:t>
            </w:r>
            <w:r w:rsidRPr="0013396E">
              <w:rPr>
                <w:iCs/>
                <w:sz w:val="20"/>
              </w:rPr>
              <w:t>is the Combined Cycle Train.</w:t>
            </w:r>
          </w:p>
        </w:tc>
      </w:tr>
      <w:tr w:rsidR="00326E23" w:rsidRPr="0013396E" w14:paraId="3458FC13" w14:textId="77777777" w:rsidTr="009B2773">
        <w:trPr>
          <w:cantSplit/>
        </w:trPr>
        <w:tc>
          <w:tcPr>
            <w:tcW w:w="912" w:type="pct"/>
          </w:tcPr>
          <w:p w14:paraId="7AB323E0" w14:textId="77777777" w:rsidR="00326E23" w:rsidRPr="0013396E" w:rsidRDefault="00326E23" w:rsidP="009B2773">
            <w:pPr>
              <w:spacing w:after="60"/>
              <w:rPr>
                <w:iCs/>
                <w:sz w:val="20"/>
              </w:rPr>
            </w:pPr>
            <w:r w:rsidRPr="0013396E">
              <w:rPr>
                <w:iCs/>
                <w:sz w:val="20"/>
              </w:rPr>
              <w:t xml:space="preserve">RMRCRF </w:t>
            </w:r>
            <w:r w:rsidRPr="0013396E">
              <w:rPr>
                <w:i/>
                <w:iCs/>
                <w:sz w:val="20"/>
                <w:vertAlign w:val="subscript"/>
              </w:rPr>
              <w:t>q, r</w:t>
            </w:r>
          </w:p>
        </w:tc>
        <w:tc>
          <w:tcPr>
            <w:tcW w:w="417" w:type="pct"/>
          </w:tcPr>
          <w:p w14:paraId="4574492D" w14:textId="77777777" w:rsidR="00326E23" w:rsidRPr="0013396E" w:rsidRDefault="00326E23" w:rsidP="009B2773">
            <w:pPr>
              <w:spacing w:after="60"/>
              <w:rPr>
                <w:iCs/>
                <w:sz w:val="20"/>
              </w:rPr>
            </w:pPr>
            <w:r w:rsidRPr="0013396E">
              <w:rPr>
                <w:iCs/>
                <w:sz w:val="20"/>
              </w:rPr>
              <w:t>none</w:t>
            </w:r>
          </w:p>
        </w:tc>
        <w:tc>
          <w:tcPr>
            <w:tcW w:w="3671" w:type="pct"/>
          </w:tcPr>
          <w:p w14:paraId="1928267B" w14:textId="77777777" w:rsidR="00326E23" w:rsidRPr="0013396E" w:rsidRDefault="00326E23" w:rsidP="009B2773">
            <w:pPr>
              <w:spacing w:after="60"/>
              <w:rPr>
                <w:i/>
                <w:iCs/>
                <w:sz w:val="20"/>
              </w:rPr>
            </w:pPr>
            <w:r w:rsidRPr="0013396E">
              <w:rPr>
                <w:i/>
                <w:iCs/>
                <w:sz w:val="20"/>
              </w:rPr>
              <w:t>Reliability Must-Run Capacity Reduction Factor per QSE per Resource by hour</w:t>
            </w:r>
            <w:r w:rsidRPr="0013396E">
              <w:rPr>
                <w:iCs/>
                <w:sz w:val="20"/>
              </w:rPr>
              <w:t>—The capacity reduction factor of the RMR Unit</w:t>
            </w:r>
            <w:r w:rsidRPr="0013396E">
              <w:rPr>
                <w:i/>
                <w:sz w:val="20"/>
              </w:rPr>
              <w:t xml:space="preserve"> r </w:t>
            </w:r>
            <w:r w:rsidRPr="0013396E">
              <w:rPr>
                <w:sz w:val="20"/>
              </w:rPr>
              <w:t xml:space="preserve">represented by QSE </w:t>
            </w:r>
            <w:r w:rsidRPr="0013396E">
              <w:rPr>
                <w:i/>
                <w:sz w:val="20"/>
              </w:rPr>
              <w:t>q</w:t>
            </w:r>
            <w:r w:rsidRPr="0013396E">
              <w:rPr>
                <w:iCs/>
                <w:sz w:val="20"/>
              </w:rPr>
              <w:t xml:space="preserve">, for the hour.  See paragraph (2) of Section 3.14.1.17, Incentive Factor.  Where for a Combined Cycle Train, the Resource </w:t>
            </w:r>
            <w:r w:rsidRPr="0013396E">
              <w:rPr>
                <w:i/>
                <w:iCs/>
                <w:sz w:val="20"/>
              </w:rPr>
              <w:t xml:space="preserve">r </w:t>
            </w:r>
            <w:r w:rsidRPr="0013396E">
              <w:rPr>
                <w:iCs/>
                <w:sz w:val="20"/>
              </w:rPr>
              <w:t>is the Combined Cycle Train.</w:t>
            </w:r>
          </w:p>
        </w:tc>
      </w:tr>
      <w:tr w:rsidR="00326E23" w:rsidRPr="0013396E" w14:paraId="3516A2D7" w14:textId="77777777" w:rsidTr="009B2773">
        <w:trPr>
          <w:cantSplit/>
        </w:trPr>
        <w:tc>
          <w:tcPr>
            <w:tcW w:w="912" w:type="pct"/>
          </w:tcPr>
          <w:p w14:paraId="54CB3201" w14:textId="77777777" w:rsidR="00326E23" w:rsidRPr="0013396E" w:rsidRDefault="00326E23" w:rsidP="009B2773">
            <w:pPr>
              <w:spacing w:after="60"/>
              <w:rPr>
                <w:iCs/>
                <w:sz w:val="20"/>
              </w:rPr>
            </w:pPr>
            <w:r w:rsidRPr="0013396E">
              <w:rPr>
                <w:iCs/>
                <w:sz w:val="20"/>
              </w:rPr>
              <w:t xml:space="preserve">RMRCCAP </w:t>
            </w:r>
            <w:r w:rsidRPr="0013396E">
              <w:rPr>
                <w:i/>
                <w:iCs/>
                <w:sz w:val="20"/>
                <w:vertAlign w:val="subscript"/>
              </w:rPr>
              <w:t>q, r</w:t>
            </w:r>
          </w:p>
        </w:tc>
        <w:tc>
          <w:tcPr>
            <w:tcW w:w="417" w:type="pct"/>
          </w:tcPr>
          <w:p w14:paraId="124A26AF" w14:textId="77777777" w:rsidR="00326E23" w:rsidRPr="0013396E" w:rsidRDefault="00326E23" w:rsidP="009B2773">
            <w:pPr>
              <w:spacing w:after="60"/>
              <w:rPr>
                <w:iCs/>
                <w:sz w:val="20"/>
              </w:rPr>
            </w:pPr>
            <w:r w:rsidRPr="0013396E">
              <w:rPr>
                <w:iCs/>
                <w:sz w:val="20"/>
              </w:rPr>
              <w:t>MW</w:t>
            </w:r>
          </w:p>
        </w:tc>
        <w:tc>
          <w:tcPr>
            <w:tcW w:w="3671" w:type="pct"/>
          </w:tcPr>
          <w:p w14:paraId="41BAC4A4" w14:textId="77777777" w:rsidR="00326E23" w:rsidRPr="0013396E" w:rsidRDefault="00326E23" w:rsidP="009B2773">
            <w:pPr>
              <w:spacing w:after="60"/>
              <w:rPr>
                <w:iCs/>
                <w:sz w:val="20"/>
              </w:rPr>
            </w:pPr>
            <w:r w:rsidRPr="0013396E">
              <w:rPr>
                <w:i/>
                <w:iCs/>
                <w:sz w:val="20"/>
              </w:rPr>
              <w:t>Reliability Must-Run Contractual Capacity per QSE per Resource</w:t>
            </w:r>
            <w:r w:rsidRPr="0013396E">
              <w:rPr>
                <w:iCs/>
                <w:sz w:val="20"/>
              </w:rPr>
              <w:t xml:space="preserve">—The seasonal capacity of RMR Unit </w:t>
            </w:r>
            <w:r w:rsidRPr="0013396E">
              <w:rPr>
                <w:i/>
                <w:iCs/>
                <w:sz w:val="20"/>
              </w:rPr>
              <w:t>r</w:t>
            </w:r>
            <w:r w:rsidRPr="0013396E">
              <w:rPr>
                <w:iCs/>
                <w:sz w:val="20"/>
              </w:rPr>
              <w:t xml:space="preserve"> represented by QSE </w:t>
            </w:r>
            <w:r w:rsidRPr="0013396E">
              <w:rPr>
                <w:i/>
                <w:iCs/>
                <w:sz w:val="20"/>
              </w:rPr>
              <w:t>q</w:t>
            </w:r>
            <w:r w:rsidRPr="0013396E">
              <w:rPr>
                <w:iCs/>
                <w:sz w:val="20"/>
              </w:rPr>
              <w:t xml:space="preserve"> as specified in the RMR Agreement.  The monthly value is allocated evenly across all hours for all days in the month.  Where for a Combined Cycle Train, the Resource </w:t>
            </w:r>
            <w:r w:rsidRPr="0013396E">
              <w:rPr>
                <w:i/>
                <w:iCs/>
                <w:sz w:val="20"/>
              </w:rPr>
              <w:t xml:space="preserve">r </w:t>
            </w:r>
            <w:r w:rsidRPr="0013396E">
              <w:rPr>
                <w:iCs/>
                <w:sz w:val="20"/>
              </w:rPr>
              <w:t>is the Combined Cycle Train.</w:t>
            </w:r>
          </w:p>
        </w:tc>
      </w:tr>
      <w:tr w:rsidR="00326E23" w:rsidRPr="0013396E" w14:paraId="7B902023" w14:textId="77777777" w:rsidTr="009B2773">
        <w:trPr>
          <w:cantSplit/>
        </w:trPr>
        <w:tc>
          <w:tcPr>
            <w:tcW w:w="912" w:type="pct"/>
          </w:tcPr>
          <w:p w14:paraId="4071F516" w14:textId="77777777" w:rsidR="00326E23" w:rsidRPr="0013396E" w:rsidRDefault="00326E23" w:rsidP="009B2773">
            <w:pPr>
              <w:spacing w:after="60"/>
              <w:rPr>
                <w:iCs/>
                <w:sz w:val="20"/>
              </w:rPr>
            </w:pPr>
            <w:r w:rsidRPr="0013396E">
              <w:rPr>
                <w:iCs/>
                <w:sz w:val="20"/>
              </w:rPr>
              <w:t xml:space="preserve">RMRTCAP </w:t>
            </w:r>
            <w:r w:rsidRPr="0013396E">
              <w:rPr>
                <w:i/>
                <w:iCs/>
                <w:sz w:val="20"/>
                <w:vertAlign w:val="subscript"/>
              </w:rPr>
              <w:t>q, r</w:t>
            </w:r>
          </w:p>
        </w:tc>
        <w:tc>
          <w:tcPr>
            <w:tcW w:w="417" w:type="pct"/>
          </w:tcPr>
          <w:p w14:paraId="6ED424CE" w14:textId="77777777" w:rsidR="00326E23" w:rsidRPr="0013396E" w:rsidRDefault="00326E23" w:rsidP="009B2773">
            <w:pPr>
              <w:spacing w:after="60"/>
              <w:rPr>
                <w:iCs/>
                <w:sz w:val="20"/>
              </w:rPr>
            </w:pPr>
            <w:r w:rsidRPr="0013396E">
              <w:rPr>
                <w:iCs/>
                <w:sz w:val="20"/>
              </w:rPr>
              <w:t>MW</w:t>
            </w:r>
          </w:p>
        </w:tc>
        <w:tc>
          <w:tcPr>
            <w:tcW w:w="3671" w:type="pct"/>
          </w:tcPr>
          <w:p w14:paraId="5B94EE8B" w14:textId="77777777" w:rsidR="00326E23" w:rsidRPr="0013396E" w:rsidRDefault="00326E23" w:rsidP="009B2773">
            <w:pPr>
              <w:spacing w:after="60"/>
              <w:rPr>
                <w:iCs/>
                <w:sz w:val="20"/>
              </w:rPr>
            </w:pPr>
            <w:r w:rsidRPr="0013396E">
              <w:rPr>
                <w:i/>
                <w:iCs/>
                <w:sz w:val="20"/>
              </w:rPr>
              <w:t>Reliability Must-Run Testing Capacity by hour</w:t>
            </w:r>
            <w:r w:rsidRPr="0013396E">
              <w:rPr>
                <w:iCs/>
                <w:sz w:val="20"/>
              </w:rPr>
              <w:t>—The testing capacity of RMR Unit</w:t>
            </w:r>
            <w:r w:rsidRPr="0013396E">
              <w:rPr>
                <w:i/>
                <w:iCs/>
                <w:sz w:val="20"/>
              </w:rPr>
              <w:t xml:space="preserve"> r</w:t>
            </w:r>
            <w:r w:rsidRPr="0013396E">
              <w:rPr>
                <w:iCs/>
                <w:sz w:val="20"/>
              </w:rPr>
              <w:t xml:space="preserve"> represented by QSE </w:t>
            </w:r>
            <w:r w:rsidRPr="0013396E">
              <w:rPr>
                <w:i/>
                <w:iCs/>
                <w:sz w:val="20"/>
              </w:rPr>
              <w:t>q</w:t>
            </w:r>
            <w:r w:rsidRPr="0013396E">
              <w:rPr>
                <w:iCs/>
                <w:sz w:val="20"/>
              </w:rPr>
              <w:t xml:space="preserve">, for the hour.  Where for a Combined Cycle Train, the Resource </w:t>
            </w:r>
            <w:r w:rsidRPr="0013396E">
              <w:rPr>
                <w:i/>
                <w:iCs/>
                <w:sz w:val="20"/>
              </w:rPr>
              <w:t xml:space="preserve">r </w:t>
            </w:r>
            <w:r w:rsidRPr="0013396E">
              <w:rPr>
                <w:iCs/>
                <w:sz w:val="20"/>
              </w:rPr>
              <w:t>is the Combined Cycle Train.</w:t>
            </w:r>
          </w:p>
        </w:tc>
      </w:tr>
      <w:tr w:rsidR="00326E23" w:rsidRPr="0013396E" w14:paraId="2EBE4A2D" w14:textId="77777777" w:rsidTr="009B2773">
        <w:trPr>
          <w:cantSplit/>
        </w:trPr>
        <w:tc>
          <w:tcPr>
            <w:tcW w:w="912" w:type="pct"/>
          </w:tcPr>
          <w:p w14:paraId="632DD028" w14:textId="77777777" w:rsidR="00326E23" w:rsidRPr="0013396E" w:rsidRDefault="00326E23" w:rsidP="009B2773">
            <w:pPr>
              <w:spacing w:after="60"/>
              <w:rPr>
                <w:iCs/>
                <w:sz w:val="20"/>
              </w:rPr>
            </w:pPr>
            <w:r w:rsidRPr="0013396E">
              <w:rPr>
                <w:iCs/>
                <w:sz w:val="20"/>
              </w:rPr>
              <w:t xml:space="preserve">RMRTA </w:t>
            </w:r>
            <w:r w:rsidRPr="0013396E">
              <w:rPr>
                <w:i/>
                <w:iCs/>
                <w:sz w:val="20"/>
                <w:vertAlign w:val="subscript"/>
              </w:rPr>
              <w:t>q, r</w:t>
            </w:r>
          </w:p>
        </w:tc>
        <w:tc>
          <w:tcPr>
            <w:tcW w:w="417" w:type="pct"/>
          </w:tcPr>
          <w:p w14:paraId="6F9768AB" w14:textId="77777777" w:rsidR="00326E23" w:rsidRPr="0013396E" w:rsidRDefault="00326E23" w:rsidP="009B2773">
            <w:pPr>
              <w:spacing w:after="60"/>
              <w:rPr>
                <w:iCs/>
                <w:sz w:val="20"/>
              </w:rPr>
            </w:pPr>
            <w:r w:rsidRPr="0013396E">
              <w:rPr>
                <w:iCs/>
                <w:sz w:val="20"/>
              </w:rPr>
              <w:t>none</w:t>
            </w:r>
          </w:p>
        </w:tc>
        <w:tc>
          <w:tcPr>
            <w:tcW w:w="3671" w:type="pct"/>
          </w:tcPr>
          <w:p w14:paraId="1E9755AB" w14:textId="77777777" w:rsidR="00326E23" w:rsidRPr="0013396E" w:rsidRDefault="00326E23" w:rsidP="009B2773">
            <w:pPr>
              <w:spacing w:after="60"/>
              <w:rPr>
                <w:iCs/>
                <w:sz w:val="20"/>
              </w:rPr>
            </w:pPr>
            <w:r w:rsidRPr="0013396E">
              <w:rPr>
                <w:i/>
                <w:iCs/>
                <w:sz w:val="20"/>
              </w:rPr>
              <w:t>Reliability Must-Run Target Availability per QSE per Resource</w:t>
            </w:r>
            <w:r w:rsidRPr="0013396E">
              <w:rPr>
                <w:iCs/>
                <w:sz w:val="20"/>
              </w:rPr>
              <w:t>—The Target Availability of RMR Unit</w:t>
            </w:r>
            <w:r w:rsidRPr="0013396E">
              <w:rPr>
                <w:i/>
                <w:iCs/>
                <w:sz w:val="20"/>
              </w:rPr>
              <w:t xml:space="preserve"> r</w:t>
            </w:r>
            <w:r w:rsidRPr="0013396E">
              <w:rPr>
                <w:iCs/>
                <w:sz w:val="20"/>
              </w:rPr>
              <w:t xml:space="preserve"> represented by QSE </w:t>
            </w:r>
            <w:r w:rsidRPr="0013396E">
              <w:rPr>
                <w:i/>
                <w:iCs/>
                <w:sz w:val="20"/>
              </w:rPr>
              <w:t>q</w:t>
            </w:r>
            <w:r w:rsidRPr="0013396E">
              <w:rPr>
                <w:iCs/>
                <w:sz w:val="20"/>
              </w:rPr>
              <w:t xml:space="preserve">, as specified in the RMR Agreement and divided by 100 to convert a percentage to a fraction.  Where for a Combined Cycle Train, the Resource </w:t>
            </w:r>
            <w:r w:rsidRPr="0013396E">
              <w:rPr>
                <w:i/>
                <w:iCs/>
                <w:sz w:val="20"/>
              </w:rPr>
              <w:t xml:space="preserve">r </w:t>
            </w:r>
            <w:r w:rsidRPr="0013396E">
              <w:rPr>
                <w:iCs/>
                <w:sz w:val="20"/>
              </w:rPr>
              <w:t>is the Combined Cycle Train.</w:t>
            </w:r>
          </w:p>
        </w:tc>
      </w:tr>
      <w:tr w:rsidR="00326E23" w:rsidRPr="0013396E" w14:paraId="7D5918E0" w14:textId="77777777" w:rsidTr="009B2773">
        <w:trPr>
          <w:cantSplit/>
        </w:trPr>
        <w:tc>
          <w:tcPr>
            <w:tcW w:w="912" w:type="pct"/>
          </w:tcPr>
          <w:p w14:paraId="55307E02" w14:textId="77777777" w:rsidR="00326E23" w:rsidRPr="0013396E" w:rsidRDefault="00326E23" w:rsidP="009B2773">
            <w:pPr>
              <w:spacing w:after="60"/>
              <w:rPr>
                <w:iCs/>
                <w:sz w:val="20"/>
              </w:rPr>
            </w:pPr>
            <w:r w:rsidRPr="0013396E">
              <w:rPr>
                <w:iCs/>
                <w:sz w:val="20"/>
              </w:rPr>
              <w:t xml:space="preserve">RMRHREAF </w:t>
            </w:r>
            <w:r w:rsidRPr="0013396E">
              <w:rPr>
                <w:i/>
                <w:iCs/>
                <w:sz w:val="20"/>
                <w:vertAlign w:val="subscript"/>
              </w:rPr>
              <w:t>q, r</w:t>
            </w:r>
          </w:p>
        </w:tc>
        <w:tc>
          <w:tcPr>
            <w:tcW w:w="417" w:type="pct"/>
          </w:tcPr>
          <w:p w14:paraId="405EEE84" w14:textId="77777777" w:rsidR="00326E23" w:rsidRPr="0013396E" w:rsidRDefault="00326E23" w:rsidP="009B2773">
            <w:pPr>
              <w:spacing w:after="60"/>
              <w:rPr>
                <w:iCs/>
                <w:sz w:val="20"/>
              </w:rPr>
            </w:pPr>
            <w:r w:rsidRPr="0013396E">
              <w:rPr>
                <w:iCs/>
                <w:sz w:val="20"/>
              </w:rPr>
              <w:t>none</w:t>
            </w:r>
          </w:p>
        </w:tc>
        <w:tc>
          <w:tcPr>
            <w:tcW w:w="3671" w:type="pct"/>
          </w:tcPr>
          <w:p w14:paraId="14F104FD" w14:textId="77777777" w:rsidR="00326E23" w:rsidRPr="0013396E" w:rsidRDefault="00326E23" w:rsidP="009B2773">
            <w:pPr>
              <w:spacing w:after="60"/>
              <w:rPr>
                <w:iCs/>
                <w:sz w:val="20"/>
              </w:rPr>
            </w:pPr>
            <w:r w:rsidRPr="0013396E">
              <w:rPr>
                <w:i/>
                <w:iCs/>
                <w:sz w:val="20"/>
              </w:rPr>
              <w:t>Reliability Must-Run Hourly Rolling Equivalent Availability Factor per QSE per Resource by hour</w:t>
            </w:r>
            <w:r w:rsidRPr="0013396E">
              <w:rPr>
                <w:iCs/>
                <w:sz w:val="20"/>
              </w:rPr>
              <w:t xml:space="preserve">—The equivalent availability factor of RMR Unit </w:t>
            </w:r>
            <w:r w:rsidRPr="0013396E">
              <w:rPr>
                <w:i/>
                <w:iCs/>
                <w:sz w:val="20"/>
              </w:rPr>
              <w:t>r</w:t>
            </w:r>
            <w:r w:rsidRPr="0013396E">
              <w:rPr>
                <w:iCs/>
                <w:sz w:val="20"/>
              </w:rPr>
              <w:t xml:space="preserve"> represented by QSE </w:t>
            </w:r>
            <w:r w:rsidRPr="0013396E">
              <w:rPr>
                <w:i/>
                <w:iCs/>
                <w:sz w:val="20"/>
              </w:rPr>
              <w:t>q</w:t>
            </w:r>
            <w:r w:rsidRPr="0013396E">
              <w:rPr>
                <w:iCs/>
                <w:sz w:val="20"/>
              </w:rPr>
              <w:t xml:space="preserve"> over the current hour plus the prior 4379 hours</w:t>
            </w:r>
            <w:r w:rsidRPr="0013396E">
              <w:rPr>
                <w:sz w:val="20"/>
              </w:rPr>
              <w:t xml:space="preserve"> for which availability is required under the RMR Agreement</w:t>
            </w:r>
            <w:r w:rsidRPr="0013396E">
              <w:rPr>
                <w:iCs/>
                <w:sz w:val="20"/>
              </w:rPr>
              <w:t xml:space="preserve">, for the hour.  Where for a Combined Cycle Train, the Resource </w:t>
            </w:r>
            <w:r w:rsidRPr="0013396E">
              <w:rPr>
                <w:i/>
                <w:iCs/>
                <w:sz w:val="20"/>
              </w:rPr>
              <w:t xml:space="preserve">r </w:t>
            </w:r>
            <w:r w:rsidRPr="0013396E">
              <w:rPr>
                <w:iCs/>
                <w:sz w:val="20"/>
              </w:rPr>
              <w:t>is the Combined Cycle Train. The available capacity is calculated in accordance with paragraph (3) of Section 3.14.1.17.</w:t>
            </w:r>
          </w:p>
        </w:tc>
      </w:tr>
      <w:tr w:rsidR="00326E23" w:rsidRPr="0013396E" w14:paraId="654B4A5A" w14:textId="77777777" w:rsidTr="009B2773">
        <w:trPr>
          <w:cantSplit/>
        </w:trPr>
        <w:tc>
          <w:tcPr>
            <w:tcW w:w="912" w:type="pct"/>
          </w:tcPr>
          <w:p w14:paraId="5E1C47B4" w14:textId="77777777" w:rsidR="00326E23" w:rsidRPr="0013396E" w:rsidRDefault="00326E23" w:rsidP="009B2773">
            <w:pPr>
              <w:pStyle w:val="Default"/>
              <w:rPr>
                <w:rFonts w:ascii="Times New Roman" w:hAnsi="Times New Roman" w:cs="Times New Roman"/>
                <w:sz w:val="13"/>
                <w:szCs w:val="13"/>
              </w:rPr>
            </w:pPr>
            <w:r w:rsidRPr="0013396E">
              <w:rPr>
                <w:rFonts w:ascii="Times New Roman" w:hAnsi="Times New Roman" w:cs="Times New Roman"/>
                <w:sz w:val="20"/>
                <w:szCs w:val="20"/>
              </w:rPr>
              <w:t xml:space="preserve">RMRMNFNCC </w:t>
            </w:r>
            <w:r w:rsidRPr="0013396E">
              <w:rPr>
                <w:rFonts w:ascii="Times New Roman" w:hAnsi="Times New Roman" w:cs="Times New Roman"/>
                <w:i/>
                <w:iCs/>
                <w:sz w:val="13"/>
                <w:szCs w:val="13"/>
              </w:rPr>
              <w:t xml:space="preserve">q, r </w:t>
            </w:r>
          </w:p>
        </w:tc>
        <w:tc>
          <w:tcPr>
            <w:tcW w:w="417" w:type="pct"/>
          </w:tcPr>
          <w:p w14:paraId="7DF7A7D1" w14:textId="77777777" w:rsidR="00326E23" w:rsidRPr="0013396E" w:rsidRDefault="00326E23" w:rsidP="009B2773">
            <w:pPr>
              <w:pStyle w:val="Default"/>
              <w:rPr>
                <w:sz w:val="20"/>
                <w:szCs w:val="20"/>
              </w:rPr>
            </w:pPr>
            <w:r w:rsidRPr="0013396E">
              <w:rPr>
                <w:sz w:val="20"/>
                <w:szCs w:val="20"/>
              </w:rPr>
              <w:t xml:space="preserve">$ </w:t>
            </w:r>
          </w:p>
        </w:tc>
        <w:tc>
          <w:tcPr>
            <w:tcW w:w="3671" w:type="pct"/>
          </w:tcPr>
          <w:p w14:paraId="20EDFE8E" w14:textId="77777777" w:rsidR="00326E23" w:rsidRPr="0013396E" w:rsidRDefault="00326E23" w:rsidP="009B2773">
            <w:pPr>
              <w:pStyle w:val="Default"/>
              <w:rPr>
                <w:rFonts w:ascii="Times New Roman" w:hAnsi="Times New Roman" w:cs="Times New Roman"/>
                <w:sz w:val="20"/>
                <w:szCs w:val="20"/>
              </w:rPr>
            </w:pPr>
            <w:r w:rsidRPr="0013396E">
              <w:rPr>
                <w:rFonts w:ascii="Times New Roman" w:hAnsi="Times New Roman" w:cs="Times New Roman"/>
                <w:i/>
                <w:iCs/>
                <w:sz w:val="20"/>
                <w:szCs w:val="20"/>
              </w:rPr>
              <w:t>Reliability Must-Run Monthly Non-Fuel Non-Capital Cost per QSE per Resource</w:t>
            </w:r>
            <w:r w:rsidRPr="0013396E">
              <w:rPr>
                <w:rFonts w:ascii="Times New Roman" w:hAnsi="Times New Roman" w:cs="Times New Roman"/>
                <w:sz w:val="20"/>
                <w:szCs w:val="20"/>
              </w:rPr>
              <w:t xml:space="preserve">—The actual non-capital and non-fuel Eligible Cost of RMR Unit </w:t>
            </w:r>
            <w:r w:rsidRPr="0013396E">
              <w:rPr>
                <w:rFonts w:ascii="Times New Roman" w:hAnsi="Times New Roman" w:cs="Times New Roman"/>
                <w:i/>
                <w:iCs/>
                <w:sz w:val="20"/>
                <w:szCs w:val="20"/>
              </w:rPr>
              <w:t xml:space="preserve">r </w:t>
            </w:r>
            <w:r w:rsidRPr="0013396E">
              <w:rPr>
                <w:rFonts w:ascii="Times New Roman" w:hAnsi="Times New Roman" w:cs="Times New Roman"/>
                <w:sz w:val="20"/>
                <w:szCs w:val="20"/>
              </w:rPr>
              <w:t xml:space="preserve">represented by QSE </w:t>
            </w:r>
            <w:r w:rsidRPr="0013396E">
              <w:rPr>
                <w:rFonts w:ascii="Times New Roman" w:hAnsi="Times New Roman" w:cs="Times New Roman"/>
                <w:i/>
                <w:iCs/>
                <w:sz w:val="20"/>
                <w:szCs w:val="20"/>
              </w:rPr>
              <w:t>q</w:t>
            </w:r>
            <w:r w:rsidRPr="0013396E">
              <w:rPr>
                <w:rFonts w:ascii="Times New Roman" w:hAnsi="Times New Roman" w:cs="Times New Roman"/>
                <w:sz w:val="20"/>
                <w:szCs w:val="20"/>
              </w:rPr>
              <w:t xml:space="preserve">, for the month. Where for a Combined Cycle Train, the Resource </w:t>
            </w:r>
            <w:r w:rsidRPr="0013396E">
              <w:rPr>
                <w:rFonts w:ascii="Times New Roman" w:hAnsi="Times New Roman" w:cs="Times New Roman"/>
                <w:i/>
                <w:iCs/>
                <w:sz w:val="20"/>
                <w:szCs w:val="20"/>
              </w:rPr>
              <w:t xml:space="preserve">r </w:t>
            </w:r>
            <w:r w:rsidRPr="0013396E">
              <w:rPr>
                <w:rFonts w:ascii="Times New Roman" w:hAnsi="Times New Roman" w:cs="Times New Roman"/>
                <w:sz w:val="20"/>
                <w:szCs w:val="20"/>
              </w:rPr>
              <w:t xml:space="preserve">is the Combined Cycle Train. </w:t>
            </w:r>
          </w:p>
        </w:tc>
      </w:tr>
      <w:tr w:rsidR="00326E23" w:rsidRPr="0013396E" w14:paraId="79DA2E83" w14:textId="77777777" w:rsidTr="009B2773">
        <w:trPr>
          <w:cantSplit/>
        </w:trPr>
        <w:tc>
          <w:tcPr>
            <w:tcW w:w="912" w:type="pct"/>
          </w:tcPr>
          <w:p w14:paraId="14704473" w14:textId="77777777" w:rsidR="00326E23" w:rsidRPr="0013396E" w:rsidRDefault="00326E23" w:rsidP="009B2773">
            <w:pPr>
              <w:pStyle w:val="Default"/>
              <w:rPr>
                <w:rFonts w:ascii="Times New Roman" w:hAnsi="Times New Roman" w:cs="Times New Roman"/>
                <w:sz w:val="13"/>
                <w:szCs w:val="13"/>
              </w:rPr>
            </w:pPr>
            <w:r w:rsidRPr="0013396E">
              <w:rPr>
                <w:rFonts w:ascii="Times New Roman" w:hAnsi="Times New Roman" w:cs="Times New Roman"/>
                <w:sz w:val="20"/>
                <w:szCs w:val="20"/>
              </w:rPr>
              <w:t xml:space="preserve">RMRMNFCC </w:t>
            </w:r>
            <w:r w:rsidRPr="0013396E">
              <w:rPr>
                <w:rFonts w:ascii="Times New Roman" w:hAnsi="Times New Roman" w:cs="Times New Roman"/>
                <w:i/>
                <w:iCs/>
                <w:sz w:val="13"/>
                <w:szCs w:val="13"/>
              </w:rPr>
              <w:t xml:space="preserve">q, r </w:t>
            </w:r>
          </w:p>
        </w:tc>
        <w:tc>
          <w:tcPr>
            <w:tcW w:w="417" w:type="pct"/>
          </w:tcPr>
          <w:p w14:paraId="31FEBCE1" w14:textId="77777777" w:rsidR="00326E23" w:rsidRPr="0013396E" w:rsidRDefault="00326E23" w:rsidP="009B2773">
            <w:pPr>
              <w:pStyle w:val="Default"/>
              <w:rPr>
                <w:sz w:val="20"/>
                <w:szCs w:val="20"/>
              </w:rPr>
            </w:pPr>
            <w:r w:rsidRPr="0013396E">
              <w:rPr>
                <w:sz w:val="20"/>
                <w:szCs w:val="20"/>
              </w:rPr>
              <w:t xml:space="preserve">$ </w:t>
            </w:r>
          </w:p>
        </w:tc>
        <w:tc>
          <w:tcPr>
            <w:tcW w:w="3671" w:type="pct"/>
          </w:tcPr>
          <w:p w14:paraId="14A0DA0F" w14:textId="77777777" w:rsidR="00326E23" w:rsidRPr="0013396E" w:rsidRDefault="00326E23" w:rsidP="009B2773">
            <w:pPr>
              <w:pStyle w:val="Default"/>
              <w:rPr>
                <w:rFonts w:ascii="Times New Roman" w:hAnsi="Times New Roman" w:cs="Times New Roman"/>
                <w:sz w:val="20"/>
                <w:szCs w:val="20"/>
              </w:rPr>
            </w:pPr>
            <w:r w:rsidRPr="0013396E">
              <w:rPr>
                <w:rFonts w:ascii="Times New Roman" w:hAnsi="Times New Roman" w:cs="Times New Roman"/>
                <w:i/>
                <w:iCs/>
                <w:sz w:val="20"/>
                <w:szCs w:val="20"/>
              </w:rPr>
              <w:t>Reliability Must-Run Monthly Non-Fuel Capital Cost per QSE per Resource</w:t>
            </w:r>
            <w:r w:rsidRPr="0013396E">
              <w:rPr>
                <w:rFonts w:ascii="Times New Roman" w:hAnsi="Times New Roman" w:cs="Times New Roman"/>
                <w:sz w:val="20"/>
                <w:szCs w:val="20"/>
              </w:rPr>
              <w:t xml:space="preserve">—The actual non-fuel and capital Eligible Cost of RMR Unit </w:t>
            </w:r>
            <w:r w:rsidRPr="0013396E">
              <w:rPr>
                <w:rFonts w:ascii="Times New Roman" w:hAnsi="Times New Roman" w:cs="Times New Roman"/>
                <w:i/>
                <w:iCs/>
                <w:sz w:val="20"/>
                <w:szCs w:val="20"/>
              </w:rPr>
              <w:t xml:space="preserve">r </w:t>
            </w:r>
            <w:r w:rsidRPr="0013396E">
              <w:rPr>
                <w:rFonts w:ascii="Times New Roman" w:hAnsi="Times New Roman" w:cs="Times New Roman"/>
                <w:sz w:val="20"/>
                <w:szCs w:val="20"/>
              </w:rPr>
              <w:t xml:space="preserve">represented by QSE </w:t>
            </w:r>
            <w:r w:rsidRPr="0013396E">
              <w:rPr>
                <w:rFonts w:ascii="Times New Roman" w:hAnsi="Times New Roman" w:cs="Times New Roman"/>
                <w:i/>
                <w:iCs/>
                <w:sz w:val="20"/>
                <w:szCs w:val="20"/>
              </w:rPr>
              <w:t>q</w:t>
            </w:r>
            <w:r w:rsidRPr="0013396E">
              <w:rPr>
                <w:rFonts w:ascii="Times New Roman" w:hAnsi="Times New Roman" w:cs="Times New Roman"/>
                <w:sz w:val="20"/>
                <w:szCs w:val="20"/>
              </w:rPr>
              <w:t xml:space="preserve">, for the month. Where for a Combined Cycle Train, the Resource </w:t>
            </w:r>
            <w:r w:rsidRPr="0013396E">
              <w:rPr>
                <w:rFonts w:ascii="Times New Roman" w:hAnsi="Times New Roman" w:cs="Times New Roman"/>
                <w:i/>
                <w:iCs/>
                <w:sz w:val="20"/>
                <w:szCs w:val="20"/>
              </w:rPr>
              <w:t xml:space="preserve">r </w:t>
            </w:r>
            <w:r w:rsidRPr="0013396E">
              <w:rPr>
                <w:rFonts w:ascii="Times New Roman" w:hAnsi="Times New Roman" w:cs="Times New Roman"/>
                <w:sz w:val="20"/>
                <w:szCs w:val="20"/>
              </w:rPr>
              <w:t>is the Combined Cycle Train. Notwithstanding the above, reservation and transportation costs associated with firm fuel supplies as described in paragraph (1)(a)(vi) of Section 3.14.1.10, Eligible Costs, shall be included herein.</w:t>
            </w:r>
          </w:p>
        </w:tc>
      </w:tr>
      <w:tr w:rsidR="00326E23" w:rsidRPr="0013396E" w14:paraId="59605233" w14:textId="77777777" w:rsidTr="009B2773">
        <w:trPr>
          <w:cantSplit/>
        </w:trPr>
        <w:tc>
          <w:tcPr>
            <w:tcW w:w="912" w:type="pct"/>
            <w:tcBorders>
              <w:top w:val="single" w:sz="4" w:space="0" w:color="auto"/>
              <w:left w:val="single" w:sz="4" w:space="0" w:color="auto"/>
              <w:bottom w:val="single" w:sz="4" w:space="0" w:color="auto"/>
              <w:right w:val="single" w:sz="4" w:space="0" w:color="auto"/>
            </w:tcBorders>
          </w:tcPr>
          <w:p w14:paraId="42375937" w14:textId="77777777" w:rsidR="00326E23" w:rsidRPr="0013396E" w:rsidRDefault="00326E23" w:rsidP="009B2773">
            <w:pPr>
              <w:spacing w:after="60"/>
              <w:rPr>
                <w:iCs/>
                <w:sz w:val="20"/>
              </w:rPr>
            </w:pPr>
            <w:r w:rsidRPr="0013396E">
              <w:rPr>
                <w:iCs/>
                <w:sz w:val="20"/>
              </w:rPr>
              <w:t xml:space="preserve">MH </w:t>
            </w:r>
            <w:r w:rsidRPr="0013396E">
              <w:rPr>
                <w:i/>
                <w:iCs/>
                <w:sz w:val="20"/>
                <w:vertAlign w:val="subscript"/>
              </w:rPr>
              <w:t>q, r</w:t>
            </w:r>
          </w:p>
        </w:tc>
        <w:tc>
          <w:tcPr>
            <w:tcW w:w="417" w:type="pct"/>
            <w:tcBorders>
              <w:top w:val="single" w:sz="4" w:space="0" w:color="auto"/>
              <w:left w:val="single" w:sz="4" w:space="0" w:color="auto"/>
              <w:bottom w:val="single" w:sz="4" w:space="0" w:color="auto"/>
              <w:right w:val="single" w:sz="4" w:space="0" w:color="auto"/>
            </w:tcBorders>
          </w:tcPr>
          <w:p w14:paraId="6066761C" w14:textId="77777777" w:rsidR="00326E23" w:rsidRPr="0013396E" w:rsidRDefault="00326E23" w:rsidP="009B2773">
            <w:pPr>
              <w:spacing w:after="60"/>
              <w:rPr>
                <w:iCs/>
                <w:sz w:val="20"/>
              </w:rPr>
            </w:pPr>
            <w:r w:rsidRPr="0013396E">
              <w:rPr>
                <w:iCs/>
                <w:sz w:val="20"/>
              </w:rPr>
              <w:t>hour</w:t>
            </w:r>
          </w:p>
        </w:tc>
        <w:tc>
          <w:tcPr>
            <w:tcW w:w="3671" w:type="pct"/>
            <w:tcBorders>
              <w:top w:val="single" w:sz="4" w:space="0" w:color="auto"/>
              <w:left w:val="single" w:sz="4" w:space="0" w:color="auto"/>
              <w:bottom w:val="single" w:sz="4" w:space="0" w:color="auto"/>
              <w:right w:val="single" w:sz="4" w:space="0" w:color="auto"/>
            </w:tcBorders>
          </w:tcPr>
          <w:p w14:paraId="55CDF5EC" w14:textId="77777777" w:rsidR="00326E23" w:rsidRPr="0013396E" w:rsidRDefault="00326E23" w:rsidP="009B2773">
            <w:pPr>
              <w:spacing w:after="60"/>
              <w:rPr>
                <w:iCs/>
                <w:sz w:val="20"/>
              </w:rPr>
            </w:pPr>
            <w:r w:rsidRPr="0013396E">
              <w:rPr>
                <w:i/>
                <w:iCs/>
                <w:sz w:val="20"/>
              </w:rPr>
              <w:t>Number of Hours in the Month per QSE per Resource</w:t>
            </w:r>
            <w:r w:rsidRPr="0013396E">
              <w:rPr>
                <w:iCs/>
                <w:sz w:val="20"/>
              </w:rPr>
              <w:t>—The total number of hours of the month, when RMR Unit</w:t>
            </w:r>
            <w:r w:rsidRPr="0013396E">
              <w:rPr>
                <w:i/>
                <w:iCs/>
                <w:sz w:val="20"/>
              </w:rPr>
              <w:t xml:space="preserve"> r</w:t>
            </w:r>
            <w:r w:rsidRPr="0013396E">
              <w:rPr>
                <w:iCs/>
                <w:sz w:val="20"/>
              </w:rPr>
              <w:t xml:space="preserve"> represented by QSE </w:t>
            </w:r>
            <w:r w:rsidRPr="0013396E">
              <w:rPr>
                <w:i/>
                <w:iCs/>
                <w:sz w:val="20"/>
              </w:rPr>
              <w:t>q</w:t>
            </w:r>
            <w:r w:rsidRPr="0013396E">
              <w:rPr>
                <w:iCs/>
                <w:sz w:val="20"/>
              </w:rPr>
              <w:t xml:space="preserve"> is under an RMR Agreement.  Where for a Combined Cycle Train, the Resource </w:t>
            </w:r>
            <w:r w:rsidRPr="0013396E">
              <w:rPr>
                <w:i/>
                <w:iCs/>
                <w:sz w:val="20"/>
              </w:rPr>
              <w:t xml:space="preserve">r </w:t>
            </w:r>
            <w:r w:rsidRPr="0013396E">
              <w:rPr>
                <w:iCs/>
                <w:sz w:val="20"/>
              </w:rPr>
              <w:t>is the Combined Cycle Train.</w:t>
            </w:r>
          </w:p>
        </w:tc>
      </w:tr>
      <w:tr w:rsidR="00326E23" w:rsidRPr="0013396E" w14:paraId="4D655C0E" w14:textId="77777777" w:rsidTr="009B2773">
        <w:trPr>
          <w:cantSplit/>
        </w:trPr>
        <w:tc>
          <w:tcPr>
            <w:tcW w:w="912" w:type="pct"/>
          </w:tcPr>
          <w:p w14:paraId="5F3E44D8" w14:textId="77777777" w:rsidR="00326E23" w:rsidRPr="0013396E" w:rsidRDefault="00326E23" w:rsidP="009B2773">
            <w:pPr>
              <w:spacing w:after="60"/>
              <w:rPr>
                <w:iCs/>
                <w:sz w:val="20"/>
              </w:rPr>
            </w:pPr>
            <w:r w:rsidRPr="0013396E">
              <w:rPr>
                <w:iCs/>
                <w:sz w:val="20"/>
              </w:rPr>
              <w:t>RMRIF</w:t>
            </w:r>
          </w:p>
        </w:tc>
        <w:tc>
          <w:tcPr>
            <w:tcW w:w="417" w:type="pct"/>
          </w:tcPr>
          <w:p w14:paraId="72E3F5E5" w14:textId="77777777" w:rsidR="00326E23" w:rsidRPr="0013396E" w:rsidRDefault="00326E23" w:rsidP="009B2773">
            <w:pPr>
              <w:spacing w:after="60"/>
              <w:rPr>
                <w:iCs/>
                <w:sz w:val="20"/>
              </w:rPr>
            </w:pPr>
            <w:r w:rsidRPr="0013396E">
              <w:rPr>
                <w:iCs/>
                <w:sz w:val="20"/>
              </w:rPr>
              <w:t>none</w:t>
            </w:r>
          </w:p>
        </w:tc>
        <w:tc>
          <w:tcPr>
            <w:tcW w:w="3671" w:type="pct"/>
          </w:tcPr>
          <w:p w14:paraId="2E5D53D2" w14:textId="77777777" w:rsidR="00326E23" w:rsidRPr="0013396E" w:rsidRDefault="00326E23" w:rsidP="009B2773">
            <w:pPr>
              <w:spacing w:after="60"/>
              <w:rPr>
                <w:iCs/>
                <w:sz w:val="20"/>
              </w:rPr>
            </w:pPr>
            <w:r w:rsidRPr="0013396E">
              <w:rPr>
                <w:i/>
                <w:iCs/>
                <w:sz w:val="20"/>
              </w:rPr>
              <w:t>Reliability Must Run Incentive Factor</w:t>
            </w:r>
            <w:r w:rsidRPr="0013396E">
              <w:rPr>
                <w:iCs/>
                <w:sz w:val="20"/>
              </w:rPr>
              <w:t>—The Incentive Factor of RMR Units under RMR Agreement.</w:t>
            </w:r>
          </w:p>
        </w:tc>
      </w:tr>
      <w:tr w:rsidR="00326E23" w:rsidRPr="0013396E" w14:paraId="64C20E78" w14:textId="77777777" w:rsidTr="009B2773">
        <w:trPr>
          <w:cantSplit/>
        </w:trPr>
        <w:tc>
          <w:tcPr>
            <w:tcW w:w="912" w:type="pct"/>
          </w:tcPr>
          <w:p w14:paraId="44896AD7" w14:textId="77777777" w:rsidR="00326E23" w:rsidRPr="0013396E" w:rsidRDefault="00326E23" w:rsidP="009B2773">
            <w:pPr>
              <w:spacing w:after="60"/>
              <w:rPr>
                <w:iCs/>
                <w:sz w:val="20"/>
              </w:rPr>
            </w:pPr>
            <w:r w:rsidRPr="0013396E">
              <w:rPr>
                <w:iCs/>
                <w:sz w:val="20"/>
              </w:rPr>
              <w:t xml:space="preserve">RMRARF </w:t>
            </w:r>
            <w:r w:rsidRPr="0013396E">
              <w:rPr>
                <w:i/>
                <w:iCs/>
                <w:sz w:val="20"/>
                <w:vertAlign w:val="subscript"/>
              </w:rPr>
              <w:t>q, r</w:t>
            </w:r>
          </w:p>
        </w:tc>
        <w:tc>
          <w:tcPr>
            <w:tcW w:w="417" w:type="pct"/>
          </w:tcPr>
          <w:p w14:paraId="66D48734" w14:textId="77777777" w:rsidR="00326E23" w:rsidRPr="0013396E" w:rsidRDefault="00326E23" w:rsidP="009B2773">
            <w:pPr>
              <w:spacing w:after="60"/>
              <w:rPr>
                <w:iCs/>
                <w:sz w:val="20"/>
              </w:rPr>
            </w:pPr>
            <w:r w:rsidRPr="0013396E">
              <w:rPr>
                <w:iCs/>
                <w:sz w:val="20"/>
              </w:rPr>
              <w:t>none</w:t>
            </w:r>
          </w:p>
        </w:tc>
        <w:tc>
          <w:tcPr>
            <w:tcW w:w="3671" w:type="pct"/>
          </w:tcPr>
          <w:p w14:paraId="0253D293" w14:textId="77777777" w:rsidR="00326E23" w:rsidRPr="0013396E" w:rsidRDefault="00326E23" w:rsidP="009B2773">
            <w:pPr>
              <w:spacing w:after="60"/>
              <w:rPr>
                <w:iCs/>
                <w:sz w:val="20"/>
              </w:rPr>
            </w:pPr>
            <w:r w:rsidRPr="0013396E">
              <w:rPr>
                <w:i/>
                <w:iCs/>
                <w:sz w:val="20"/>
              </w:rPr>
              <w:t>Reliability Must-Run Availability Reduction Factor per QSE per Resource by hour</w:t>
            </w:r>
            <w:r w:rsidRPr="0013396E">
              <w:rPr>
                <w:iCs/>
                <w:sz w:val="20"/>
              </w:rPr>
              <w:t xml:space="preserve">—The availability reduction factor of RMR Unit </w:t>
            </w:r>
            <w:r w:rsidRPr="0013396E">
              <w:rPr>
                <w:i/>
                <w:iCs/>
                <w:sz w:val="20"/>
              </w:rPr>
              <w:t>r</w:t>
            </w:r>
            <w:r w:rsidRPr="0013396E">
              <w:rPr>
                <w:iCs/>
                <w:sz w:val="20"/>
              </w:rPr>
              <w:t xml:space="preserve"> represented by QSE </w:t>
            </w:r>
            <w:r w:rsidRPr="0013396E">
              <w:rPr>
                <w:i/>
                <w:iCs/>
                <w:sz w:val="20"/>
              </w:rPr>
              <w:t>q</w:t>
            </w:r>
            <w:r w:rsidRPr="0013396E">
              <w:rPr>
                <w:iCs/>
                <w:sz w:val="20"/>
              </w:rPr>
              <w:t xml:space="preserve">, as calculated for the hour.  Where for a Combined Cycle Train, the Resource </w:t>
            </w:r>
            <w:r w:rsidRPr="0013396E">
              <w:rPr>
                <w:i/>
                <w:iCs/>
                <w:sz w:val="20"/>
              </w:rPr>
              <w:t xml:space="preserve">r </w:t>
            </w:r>
            <w:r w:rsidRPr="0013396E">
              <w:rPr>
                <w:iCs/>
                <w:sz w:val="20"/>
              </w:rPr>
              <w:t>is the Combined Cycle Train.</w:t>
            </w:r>
          </w:p>
        </w:tc>
      </w:tr>
      <w:tr w:rsidR="00326E23" w:rsidRPr="0013396E" w14:paraId="262D7D0E" w14:textId="77777777" w:rsidTr="009B2773">
        <w:trPr>
          <w:cantSplit/>
        </w:trPr>
        <w:tc>
          <w:tcPr>
            <w:tcW w:w="912" w:type="pct"/>
          </w:tcPr>
          <w:p w14:paraId="03B1ECDD" w14:textId="77777777" w:rsidR="00326E23" w:rsidRPr="0013396E" w:rsidRDefault="00326E23" w:rsidP="009B2773">
            <w:pPr>
              <w:spacing w:after="60"/>
              <w:rPr>
                <w:iCs/>
                <w:sz w:val="20"/>
              </w:rPr>
            </w:pPr>
            <w:r w:rsidRPr="0013396E">
              <w:rPr>
                <w:iCs/>
                <w:sz w:val="20"/>
              </w:rPr>
              <w:lastRenderedPageBreak/>
              <w:t xml:space="preserve">HSL </w:t>
            </w:r>
            <w:r w:rsidRPr="0013396E">
              <w:rPr>
                <w:i/>
                <w:iCs/>
                <w:sz w:val="20"/>
                <w:vertAlign w:val="subscript"/>
              </w:rPr>
              <w:t>q, r, hr</w:t>
            </w:r>
          </w:p>
        </w:tc>
        <w:tc>
          <w:tcPr>
            <w:tcW w:w="417" w:type="pct"/>
          </w:tcPr>
          <w:p w14:paraId="5BD8878A" w14:textId="77777777" w:rsidR="00326E23" w:rsidRPr="0013396E" w:rsidRDefault="00326E23" w:rsidP="009B2773">
            <w:pPr>
              <w:spacing w:after="60"/>
              <w:rPr>
                <w:iCs/>
                <w:sz w:val="20"/>
              </w:rPr>
            </w:pPr>
            <w:r w:rsidRPr="0013396E">
              <w:rPr>
                <w:iCs/>
                <w:sz w:val="20"/>
              </w:rPr>
              <w:t>MW</w:t>
            </w:r>
          </w:p>
        </w:tc>
        <w:tc>
          <w:tcPr>
            <w:tcW w:w="3671" w:type="pct"/>
          </w:tcPr>
          <w:p w14:paraId="1CD4AE40" w14:textId="1D4ECFC3" w:rsidR="00326E23" w:rsidRPr="0013396E" w:rsidRDefault="00326E23" w:rsidP="009B2773">
            <w:pPr>
              <w:spacing w:after="60"/>
              <w:rPr>
                <w:i/>
                <w:iCs/>
                <w:sz w:val="20"/>
              </w:rPr>
            </w:pPr>
            <w:r w:rsidRPr="0013396E">
              <w:rPr>
                <w:i/>
                <w:iCs/>
                <w:sz w:val="20"/>
              </w:rPr>
              <w:t>High Sustained Limit</w:t>
            </w:r>
            <w:r w:rsidRPr="0013396E">
              <w:rPr>
                <w:iCs/>
                <w:sz w:val="20"/>
              </w:rPr>
              <w:t xml:space="preserve">—The HSL of a Generation Resource as defined in Section 2.1, Definitions, for the hour that includes the Settlement Interval </w:t>
            </w:r>
            <w:r w:rsidRPr="0013396E">
              <w:rPr>
                <w:i/>
                <w:iCs/>
                <w:sz w:val="20"/>
              </w:rPr>
              <w:t>i</w:t>
            </w:r>
            <w:r w:rsidRPr="0013396E">
              <w:rPr>
                <w:iCs/>
                <w:sz w:val="20"/>
              </w:rPr>
              <w:t xml:space="preserve">.  Where for a combined cycle Resource, </w:t>
            </w:r>
            <w:r w:rsidRPr="0013396E">
              <w:rPr>
                <w:i/>
                <w:iCs/>
                <w:sz w:val="20"/>
              </w:rPr>
              <w:t>r</w:t>
            </w:r>
            <w:r w:rsidRPr="0013396E">
              <w:rPr>
                <w:iCs/>
                <w:sz w:val="20"/>
              </w:rPr>
              <w:t xml:space="preserve"> is a Combined Cycle Generation Resource.</w:t>
            </w:r>
          </w:p>
        </w:tc>
      </w:tr>
      <w:tr w:rsidR="00326E23" w:rsidRPr="0013396E" w14:paraId="39BC038B" w14:textId="77777777" w:rsidTr="009B2773">
        <w:trPr>
          <w:cantSplit/>
        </w:trPr>
        <w:tc>
          <w:tcPr>
            <w:tcW w:w="912" w:type="pct"/>
          </w:tcPr>
          <w:p w14:paraId="3A235794" w14:textId="77777777" w:rsidR="00326E23" w:rsidRPr="0013396E" w:rsidRDefault="00326E23" w:rsidP="009B2773">
            <w:pPr>
              <w:spacing w:after="60"/>
              <w:rPr>
                <w:iCs/>
                <w:sz w:val="20"/>
              </w:rPr>
            </w:pPr>
            <w:r w:rsidRPr="0013396E">
              <w:rPr>
                <w:iCs/>
                <w:sz w:val="20"/>
              </w:rPr>
              <w:t xml:space="preserve">RMRAFLAG </w:t>
            </w:r>
            <w:r w:rsidRPr="0013396E">
              <w:rPr>
                <w:i/>
                <w:iCs/>
                <w:sz w:val="20"/>
                <w:vertAlign w:val="subscript"/>
              </w:rPr>
              <w:t>q, r, hr</w:t>
            </w:r>
          </w:p>
        </w:tc>
        <w:tc>
          <w:tcPr>
            <w:tcW w:w="417" w:type="pct"/>
          </w:tcPr>
          <w:p w14:paraId="78E3AC44" w14:textId="77777777" w:rsidR="00326E23" w:rsidRPr="0013396E" w:rsidRDefault="00326E23" w:rsidP="009B2773">
            <w:pPr>
              <w:spacing w:after="60"/>
              <w:rPr>
                <w:iCs/>
                <w:sz w:val="20"/>
              </w:rPr>
            </w:pPr>
            <w:r w:rsidRPr="0013396E">
              <w:rPr>
                <w:iCs/>
                <w:sz w:val="20"/>
              </w:rPr>
              <w:t>none</w:t>
            </w:r>
          </w:p>
        </w:tc>
        <w:tc>
          <w:tcPr>
            <w:tcW w:w="3671" w:type="pct"/>
          </w:tcPr>
          <w:p w14:paraId="5154B54C" w14:textId="7CAE669A" w:rsidR="00326E23" w:rsidRPr="0013396E" w:rsidRDefault="00326E23" w:rsidP="009B2773">
            <w:pPr>
              <w:spacing w:after="60"/>
              <w:rPr>
                <w:i/>
                <w:sz w:val="20"/>
              </w:rPr>
            </w:pPr>
            <w:r w:rsidRPr="0013396E">
              <w:rPr>
                <w:i/>
                <w:iCs/>
                <w:sz w:val="20"/>
              </w:rPr>
              <w:t>RMR Availability Flag per QSE per Resource by hour</w:t>
            </w:r>
            <w:r w:rsidRPr="0013396E">
              <w:rPr>
                <w:iCs/>
                <w:sz w:val="20"/>
              </w:rPr>
              <w:t>—The flag of the availability of RMR Unit</w:t>
            </w:r>
            <w:r w:rsidRPr="0013396E">
              <w:rPr>
                <w:i/>
                <w:iCs/>
                <w:sz w:val="20"/>
              </w:rPr>
              <w:t xml:space="preserve"> r</w:t>
            </w:r>
            <w:r w:rsidRPr="0013396E">
              <w:rPr>
                <w:iCs/>
                <w:sz w:val="20"/>
              </w:rPr>
              <w:t xml:space="preserve"> represented by QSE </w:t>
            </w:r>
            <w:r w:rsidRPr="0013396E">
              <w:rPr>
                <w:i/>
                <w:iCs/>
                <w:sz w:val="20"/>
              </w:rPr>
              <w:t xml:space="preserve">q </w:t>
            </w:r>
            <w:r w:rsidRPr="0013396E">
              <w:rPr>
                <w:iCs/>
                <w:sz w:val="20"/>
              </w:rPr>
              <w:t xml:space="preserve">as determined by the COP, 1 for available and 0 for unavailable, for the hour.  Where for a Combined Cycle Train, the Resource </w:t>
            </w:r>
            <w:r w:rsidRPr="0013396E">
              <w:rPr>
                <w:i/>
                <w:iCs/>
                <w:sz w:val="20"/>
              </w:rPr>
              <w:t xml:space="preserve">r </w:t>
            </w:r>
            <w:r w:rsidRPr="0013396E">
              <w:rPr>
                <w:iCs/>
                <w:sz w:val="20"/>
              </w:rPr>
              <w:t>is a Combined Cycle Generation Resource within the Combined Cycle Train.</w:t>
            </w:r>
          </w:p>
        </w:tc>
      </w:tr>
      <w:tr w:rsidR="00326E23" w:rsidRPr="0013396E" w14:paraId="78CB648B" w14:textId="77777777" w:rsidTr="009B2773">
        <w:trPr>
          <w:cantSplit/>
        </w:trPr>
        <w:tc>
          <w:tcPr>
            <w:tcW w:w="912" w:type="pct"/>
          </w:tcPr>
          <w:p w14:paraId="7CE0CAA7" w14:textId="77777777" w:rsidR="00326E23" w:rsidRPr="0013396E" w:rsidRDefault="00326E23" w:rsidP="009B2773">
            <w:pPr>
              <w:spacing w:after="60"/>
              <w:rPr>
                <w:iCs/>
                <w:sz w:val="20"/>
              </w:rPr>
            </w:pPr>
            <w:r w:rsidRPr="0013396E">
              <w:rPr>
                <w:iCs/>
                <w:sz w:val="20"/>
              </w:rPr>
              <w:t>RMRTCAPA</w:t>
            </w:r>
            <w:r w:rsidRPr="0013396E">
              <w:rPr>
                <w:iCs/>
                <w:sz w:val="20"/>
                <w:vertAlign w:val="subscript"/>
              </w:rPr>
              <w:t xml:space="preserve"> </w:t>
            </w:r>
            <w:r w:rsidRPr="0013396E">
              <w:rPr>
                <w:i/>
                <w:iCs/>
                <w:sz w:val="20"/>
                <w:vertAlign w:val="subscript"/>
              </w:rPr>
              <w:t>q, r</w:t>
            </w:r>
          </w:p>
        </w:tc>
        <w:tc>
          <w:tcPr>
            <w:tcW w:w="417" w:type="pct"/>
          </w:tcPr>
          <w:p w14:paraId="56CB5CBB" w14:textId="77777777" w:rsidR="00326E23" w:rsidRPr="0013396E" w:rsidRDefault="00326E23" w:rsidP="009B2773">
            <w:pPr>
              <w:spacing w:after="60"/>
              <w:rPr>
                <w:iCs/>
                <w:sz w:val="20"/>
              </w:rPr>
            </w:pPr>
            <w:r w:rsidRPr="0013396E">
              <w:rPr>
                <w:iCs/>
                <w:sz w:val="20"/>
              </w:rPr>
              <w:t>MW</w:t>
            </w:r>
          </w:p>
        </w:tc>
        <w:tc>
          <w:tcPr>
            <w:tcW w:w="3671" w:type="pct"/>
          </w:tcPr>
          <w:p w14:paraId="52B159B5" w14:textId="77777777" w:rsidR="00326E23" w:rsidRPr="0013396E" w:rsidRDefault="00326E23" w:rsidP="009B2773">
            <w:pPr>
              <w:spacing w:after="60"/>
              <w:rPr>
                <w:iCs/>
                <w:sz w:val="20"/>
              </w:rPr>
            </w:pPr>
            <w:r w:rsidRPr="0013396E">
              <w:rPr>
                <w:i/>
                <w:iCs/>
                <w:sz w:val="20"/>
              </w:rPr>
              <w:t>Reliability Must-Run Testing Capacity Adjustment by hour</w:t>
            </w:r>
            <w:r w:rsidRPr="0013396E">
              <w:rPr>
                <w:iCs/>
                <w:sz w:val="20"/>
              </w:rPr>
              <w:t>—The testing capacity adjustment factor, in the event an ERCOT Operator has deemed that a RMR Unit’s Tested Capacity did not materially affect the reliability of the ERCOT System, of an RMR Unit</w:t>
            </w:r>
            <w:r w:rsidRPr="0013396E">
              <w:rPr>
                <w:i/>
                <w:iCs/>
                <w:sz w:val="20"/>
              </w:rPr>
              <w:t xml:space="preserve"> r</w:t>
            </w:r>
            <w:r w:rsidRPr="0013396E">
              <w:rPr>
                <w:iCs/>
                <w:sz w:val="20"/>
              </w:rPr>
              <w:t xml:space="preserve"> represented by QSE </w:t>
            </w:r>
            <w:r w:rsidRPr="0013396E">
              <w:rPr>
                <w:i/>
                <w:iCs/>
                <w:sz w:val="20"/>
              </w:rPr>
              <w:t>q</w:t>
            </w:r>
            <w:r w:rsidRPr="0013396E">
              <w:rPr>
                <w:iCs/>
                <w:sz w:val="20"/>
              </w:rPr>
              <w:t xml:space="preserve">, for the hour.  See paragraph (2) of Section 3.14.1.17.  Where for a Combined Cycle Train, the Resource </w:t>
            </w:r>
            <w:r w:rsidRPr="0013396E">
              <w:rPr>
                <w:i/>
                <w:iCs/>
                <w:sz w:val="20"/>
              </w:rPr>
              <w:t xml:space="preserve">r </w:t>
            </w:r>
            <w:r w:rsidRPr="0013396E">
              <w:rPr>
                <w:iCs/>
                <w:sz w:val="20"/>
              </w:rPr>
              <w:t>is the Combined Cycle Train.</w:t>
            </w:r>
          </w:p>
        </w:tc>
      </w:tr>
      <w:tr w:rsidR="00326E23" w:rsidRPr="0013396E" w14:paraId="6E4B89CC" w14:textId="77777777" w:rsidTr="009B2773">
        <w:trPr>
          <w:cantSplit/>
        </w:trPr>
        <w:tc>
          <w:tcPr>
            <w:tcW w:w="912" w:type="pct"/>
          </w:tcPr>
          <w:p w14:paraId="2DDD2900" w14:textId="77777777" w:rsidR="00326E23" w:rsidRPr="0013396E" w:rsidRDefault="00326E23" w:rsidP="009B2773">
            <w:pPr>
              <w:spacing w:after="60"/>
              <w:rPr>
                <w:i/>
                <w:iCs/>
                <w:sz w:val="20"/>
              </w:rPr>
            </w:pPr>
            <w:r w:rsidRPr="0013396E">
              <w:rPr>
                <w:i/>
                <w:iCs/>
                <w:sz w:val="20"/>
              </w:rPr>
              <w:t>q</w:t>
            </w:r>
          </w:p>
        </w:tc>
        <w:tc>
          <w:tcPr>
            <w:tcW w:w="417" w:type="pct"/>
          </w:tcPr>
          <w:p w14:paraId="187AAC42" w14:textId="77777777" w:rsidR="00326E23" w:rsidRPr="0013396E" w:rsidRDefault="00326E23" w:rsidP="009B2773">
            <w:pPr>
              <w:spacing w:after="60"/>
              <w:rPr>
                <w:iCs/>
                <w:sz w:val="20"/>
              </w:rPr>
            </w:pPr>
            <w:r w:rsidRPr="0013396E">
              <w:rPr>
                <w:iCs/>
                <w:sz w:val="20"/>
              </w:rPr>
              <w:t>none</w:t>
            </w:r>
          </w:p>
        </w:tc>
        <w:tc>
          <w:tcPr>
            <w:tcW w:w="3671" w:type="pct"/>
          </w:tcPr>
          <w:p w14:paraId="352F2FDA" w14:textId="77777777" w:rsidR="00326E23" w:rsidRPr="0013396E" w:rsidRDefault="00326E23" w:rsidP="009B2773">
            <w:pPr>
              <w:spacing w:after="60"/>
              <w:rPr>
                <w:iCs/>
                <w:sz w:val="20"/>
              </w:rPr>
            </w:pPr>
            <w:r w:rsidRPr="0013396E">
              <w:rPr>
                <w:iCs/>
                <w:sz w:val="20"/>
              </w:rPr>
              <w:t>A QSE.</w:t>
            </w:r>
          </w:p>
        </w:tc>
      </w:tr>
      <w:tr w:rsidR="00326E23" w:rsidRPr="0013396E" w14:paraId="087734F1" w14:textId="77777777" w:rsidTr="009B2773">
        <w:trPr>
          <w:cantSplit/>
        </w:trPr>
        <w:tc>
          <w:tcPr>
            <w:tcW w:w="912" w:type="pct"/>
          </w:tcPr>
          <w:p w14:paraId="62F23B83" w14:textId="77777777" w:rsidR="00326E23" w:rsidRPr="0013396E" w:rsidRDefault="00326E23" w:rsidP="009B2773">
            <w:pPr>
              <w:spacing w:after="60"/>
              <w:rPr>
                <w:i/>
                <w:iCs/>
                <w:sz w:val="20"/>
              </w:rPr>
            </w:pPr>
            <w:r w:rsidRPr="0013396E">
              <w:rPr>
                <w:i/>
                <w:iCs/>
                <w:sz w:val="20"/>
              </w:rPr>
              <w:t>r</w:t>
            </w:r>
          </w:p>
        </w:tc>
        <w:tc>
          <w:tcPr>
            <w:tcW w:w="417" w:type="pct"/>
          </w:tcPr>
          <w:p w14:paraId="01E1F9B8" w14:textId="77777777" w:rsidR="00326E23" w:rsidRPr="0013396E" w:rsidRDefault="00326E23" w:rsidP="009B2773">
            <w:pPr>
              <w:spacing w:after="60"/>
              <w:rPr>
                <w:iCs/>
                <w:sz w:val="20"/>
              </w:rPr>
            </w:pPr>
            <w:r w:rsidRPr="0013396E">
              <w:rPr>
                <w:iCs/>
                <w:sz w:val="20"/>
              </w:rPr>
              <w:t>none</w:t>
            </w:r>
          </w:p>
        </w:tc>
        <w:tc>
          <w:tcPr>
            <w:tcW w:w="3671" w:type="pct"/>
          </w:tcPr>
          <w:p w14:paraId="5535B540" w14:textId="77777777" w:rsidR="00326E23" w:rsidRPr="0013396E" w:rsidRDefault="00326E23" w:rsidP="009B2773">
            <w:pPr>
              <w:spacing w:after="60"/>
              <w:rPr>
                <w:iCs/>
                <w:sz w:val="20"/>
              </w:rPr>
            </w:pPr>
            <w:r w:rsidRPr="0013396E">
              <w:rPr>
                <w:iCs/>
                <w:sz w:val="20"/>
              </w:rPr>
              <w:t>An RMR Unit.</w:t>
            </w:r>
          </w:p>
        </w:tc>
      </w:tr>
      <w:tr w:rsidR="00326E23" w:rsidRPr="0013396E" w14:paraId="658F9ABF" w14:textId="77777777" w:rsidTr="009B2773">
        <w:trPr>
          <w:cantSplit/>
        </w:trPr>
        <w:tc>
          <w:tcPr>
            <w:tcW w:w="912" w:type="pct"/>
          </w:tcPr>
          <w:p w14:paraId="6036C01D" w14:textId="77777777" w:rsidR="00326E23" w:rsidRPr="0013396E" w:rsidRDefault="00326E23" w:rsidP="009B2773">
            <w:pPr>
              <w:spacing w:after="60"/>
              <w:rPr>
                <w:i/>
                <w:iCs/>
                <w:sz w:val="20"/>
              </w:rPr>
            </w:pPr>
            <w:r w:rsidRPr="0013396E">
              <w:rPr>
                <w:i/>
                <w:iCs/>
                <w:sz w:val="20"/>
              </w:rPr>
              <w:t>hr</w:t>
            </w:r>
          </w:p>
        </w:tc>
        <w:tc>
          <w:tcPr>
            <w:tcW w:w="417" w:type="pct"/>
          </w:tcPr>
          <w:p w14:paraId="2F750C13" w14:textId="77777777" w:rsidR="00326E23" w:rsidRPr="0013396E" w:rsidRDefault="00326E23" w:rsidP="009B2773">
            <w:pPr>
              <w:spacing w:after="60"/>
              <w:rPr>
                <w:iCs/>
                <w:sz w:val="20"/>
              </w:rPr>
            </w:pPr>
            <w:r w:rsidRPr="0013396E">
              <w:rPr>
                <w:iCs/>
                <w:sz w:val="20"/>
              </w:rPr>
              <w:t>none</w:t>
            </w:r>
          </w:p>
        </w:tc>
        <w:tc>
          <w:tcPr>
            <w:tcW w:w="3671" w:type="pct"/>
          </w:tcPr>
          <w:p w14:paraId="385D1230" w14:textId="77777777" w:rsidR="00326E23" w:rsidRPr="0013396E" w:rsidRDefault="00326E23" w:rsidP="009B2773">
            <w:pPr>
              <w:spacing w:after="60"/>
              <w:rPr>
                <w:iCs/>
                <w:sz w:val="20"/>
              </w:rPr>
            </w:pPr>
            <w:r w:rsidRPr="0013396E">
              <w:rPr>
                <w:iCs/>
                <w:sz w:val="20"/>
              </w:rPr>
              <w:t>The index for a given hour and all the previous 4379 hours</w:t>
            </w:r>
            <w:r w:rsidRPr="0013396E">
              <w:rPr>
                <w:sz w:val="20"/>
              </w:rPr>
              <w:t xml:space="preserve"> for which availability is required under the RMR Agreement</w:t>
            </w:r>
            <w:r w:rsidRPr="0013396E">
              <w:rPr>
                <w:iCs/>
                <w:sz w:val="20"/>
              </w:rPr>
              <w:t>.</w:t>
            </w:r>
          </w:p>
        </w:tc>
      </w:tr>
      <w:tr w:rsidR="00326E23" w:rsidRPr="0013396E" w14:paraId="27DA289A" w14:textId="77777777" w:rsidTr="009B2773">
        <w:trPr>
          <w:cantSplit/>
        </w:trPr>
        <w:tc>
          <w:tcPr>
            <w:tcW w:w="912" w:type="pct"/>
          </w:tcPr>
          <w:p w14:paraId="51306D06" w14:textId="77777777" w:rsidR="00326E23" w:rsidRPr="0013396E" w:rsidRDefault="00326E23" w:rsidP="009B2773">
            <w:pPr>
              <w:spacing w:after="60"/>
              <w:rPr>
                <w:iCs/>
                <w:sz w:val="20"/>
              </w:rPr>
            </w:pPr>
            <w:r w:rsidRPr="0013396E">
              <w:rPr>
                <w:iCs/>
                <w:sz w:val="20"/>
              </w:rPr>
              <w:t>4380</w:t>
            </w:r>
          </w:p>
        </w:tc>
        <w:tc>
          <w:tcPr>
            <w:tcW w:w="417" w:type="pct"/>
          </w:tcPr>
          <w:p w14:paraId="49D35EA3" w14:textId="77777777" w:rsidR="00326E23" w:rsidRPr="0013396E" w:rsidRDefault="00326E23" w:rsidP="009B2773">
            <w:pPr>
              <w:spacing w:after="60"/>
              <w:rPr>
                <w:iCs/>
                <w:sz w:val="20"/>
              </w:rPr>
            </w:pPr>
            <w:r w:rsidRPr="0013396E">
              <w:rPr>
                <w:iCs/>
                <w:sz w:val="20"/>
              </w:rPr>
              <w:t>none</w:t>
            </w:r>
          </w:p>
        </w:tc>
        <w:tc>
          <w:tcPr>
            <w:tcW w:w="3671" w:type="pct"/>
          </w:tcPr>
          <w:p w14:paraId="4CE27CCA" w14:textId="77777777" w:rsidR="00326E23" w:rsidRPr="0013396E" w:rsidRDefault="00326E23" w:rsidP="009B2773">
            <w:pPr>
              <w:spacing w:after="60"/>
              <w:rPr>
                <w:iCs/>
                <w:sz w:val="20"/>
              </w:rPr>
            </w:pPr>
            <w:r w:rsidRPr="0013396E">
              <w:rPr>
                <w:iCs/>
                <w:sz w:val="20"/>
              </w:rPr>
              <w:t>The number of hours in a six-month period.</w:t>
            </w:r>
          </w:p>
        </w:tc>
      </w:tr>
    </w:tbl>
    <w:p w14:paraId="77545FE7" w14:textId="77777777" w:rsidR="001F04FD" w:rsidRPr="0013396E" w:rsidRDefault="001F04FD" w:rsidP="0099247E">
      <w:pPr>
        <w:pStyle w:val="BodyTextNumbered"/>
        <w:spacing w:before="240"/>
      </w:pPr>
      <w:bookmarkStart w:id="1919" w:name="_Toc87951799"/>
      <w:bookmarkStart w:id="1920" w:name="_Toc109009409"/>
      <w:r w:rsidRPr="0013396E">
        <w:t>(4)</w:t>
      </w:r>
      <w:r w:rsidRPr="0013396E">
        <w:tab/>
        <w:t>The total of the Standby Payments to each QSE for all RMR Units represented by this QSE for a given hour is calculated as follows:</w:t>
      </w:r>
    </w:p>
    <w:p w14:paraId="7AF01774" w14:textId="77777777" w:rsidR="001F04FD" w:rsidRPr="0013396E" w:rsidRDefault="001F04FD" w:rsidP="001F04FD">
      <w:pPr>
        <w:pStyle w:val="FormulaBold"/>
      </w:pPr>
      <w:r w:rsidRPr="0013396E">
        <w:t xml:space="preserve">RMRSBAMTQSETOT </w:t>
      </w:r>
      <w:r w:rsidRPr="0013396E">
        <w:rPr>
          <w:i/>
          <w:vertAlign w:val="subscript"/>
        </w:rPr>
        <w:t>q</w:t>
      </w:r>
      <w:r w:rsidRPr="0013396E">
        <w:tab/>
        <w:t>=</w:t>
      </w:r>
      <w:r w:rsidRPr="0013396E">
        <w:tab/>
      </w:r>
      <w:r w:rsidRPr="0013396E">
        <w:rPr>
          <w:position w:val="-18"/>
        </w:rPr>
        <w:object w:dxaOrig="225" w:dyaOrig="420" w14:anchorId="7A399907">
          <v:shape id="_x0000_i1163" type="#_x0000_t75" style="width:12pt;height:24pt" o:ole="">
            <v:imagedata r:id="rId199" o:title=""/>
          </v:shape>
          <o:OLEObject Type="Embed" ProgID="Equation.3" ShapeID="_x0000_i1163" DrawAspect="Content" ObjectID="_1836311442" r:id="rId200"/>
        </w:object>
      </w:r>
      <w:r w:rsidRPr="0013396E">
        <w:t xml:space="preserve">RMRSBAMT </w:t>
      </w:r>
      <w:r w:rsidRPr="0013396E">
        <w:rPr>
          <w:i/>
          <w:vertAlign w:val="subscript"/>
        </w:rPr>
        <w:t>q, r</w:t>
      </w:r>
    </w:p>
    <w:p w14:paraId="67C0A4C4" w14:textId="77777777" w:rsidR="001F04FD" w:rsidRPr="0013396E" w:rsidRDefault="001F04FD" w:rsidP="001F04FD">
      <w:r w:rsidRPr="0013396E">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1"/>
        <w:gridCol w:w="605"/>
        <w:gridCol w:w="6524"/>
      </w:tblGrid>
      <w:tr w:rsidR="001F04FD" w:rsidRPr="0013396E" w14:paraId="7D15AAB6" w14:textId="77777777" w:rsidTr="00AC4DEE">
        <w:trPr>
          <w:cantSplit/>
          <w:tblHeader/>
        </w:trPr>
        <w:tc>
          <w:tcPr>
            <w:tcW w:w="1197" w:type="pct"/>
          </w:tcPr>
          <w:p w14:paraId="647DD522" w14:textId="77777777" w:rsidR="001F04FD" w:rsidRPr="0013396E" w:rsidRDefault="001F04FD" w:rsidP="00AC4DEE">
            <w:pPr>
              <w:pStyle w:val="TableHead"/>
            </w:pPr>
            <w:r w:rsidRPr="0013396E">
              <w:t>Variable</w:t>
            </w:r>
          </w:p>
        </w:tc>
        <w:tc>
          <w:tcPr>
            <w:tcW w:w="305" w:type="pct"/>
          </w:tcPr>
          <w:p w14:paraId="4A6662B3" w14:textId="77777777" w:rsidR="001F04FD" w:rsidRPr="0013396E" w:rsidRDefault="001F04FD" w:rsidP="00AC4DEE">
            <w:pPr>
              <w:pStyle w:val="TableHead"/>
            </w:pPr>
            <w:r w:rsidRPr="0013396E">
              <w:t>Unit</w:t>
            </w:r>
          </w:p>
        </w:tc>
        <w:tc>
          <w:tcPr>
            <w:tcW w:w="3497" w:type="pct"/>
          </w:tcPr>
          <w:p w14:paraId="54E555B4" w14:textId="77777777" w:rsidR="001F04FD" w:rsidRPr="0013396E" w:rsidRDefault="001F04FD" w:rsidP="00AC4DEE">
            <w:pPr>
              <w:pStyle w:val="TableHead"/>
            </w:pPr>
            <w:r w:rsidRPr="0013396E">
              <w:t>Definition</w:t>
            </w:r>
          </w:p>
        </w:tc>
      </w:tr>
      <w:tr w:rsidR="001F04FD" w:rsidRPr="0013396E" w14:paraId="4BEBC20B" w14:textId="77777777" w:rsidTr="00AC4DEE">
        <w:trPr>
          <w:cantSplit/>
        </w:trPr>
        <w:tc>
          <w:tcPr>
            <w:tcW w:w="1197" w:type="pct"/>
          </w:tcPr>
          <w:p w14:paraId="4342FD88" w14:textId="77777777" w:rsidR="001F04FD" w:rsidRPr="0013396E" w:rsidRDefault="001F04FD" w:rsidP="00AC4DEE">
            <w:pPr>
              <w:pStyle w:val="TableBody"/>
            </w:pPr>
            <w:r w:rsidRPr="0013396E">
              <w:t xml:space="preserve">RMRSBAMTQSETOT </w:t>
            </w:r>
            <w:r w:rsidRPr="0013396E">
              <w:rPr>
                <w:vertAlign w:val="subscript"/>
              </w:rPr>
              <w:t>q</w:t>
            </w:r>
          </w:p>
        </w:tc>
        <w:tc>
          <w:tcPr>
            <w:tcW w:w="305" w:type="pct"/>
          </w:tcPr>
          <w:p w14:paraId="7C051628" w14:textId="77777777" w:rsidR="001F04FD" w:rsidRPr="0013396E" w:rsidRDefault="001F04FD" w:rsidP="00AC4DEE">
            <w:pPr>
              <w:pStyle w:val="TableBody"/>
            </w:pPr>
            <w:r w:rsidRPr="0013396E">
              <w:t>$</w:t>
            </w:r>
          </w:p>
        </w:tc>
        <w:tc>
          <w:tcPr>
            <w:tcW w:w="3497" w:type="pct"/>
          </w:tcPr>
          <w:p w14:paraId="6A2FEEDF" w14:textId="77777777" w:rsidR="001F04FD" w:rsidRPr="0013396E" w:rsidRDefault="001F04FD" w:rsidP="00AC4DEE">
            <w:pPr>
              <w:pStyle w:val="TableBody"/>
            </w:pPr>
            <w:r w:rsidRPr="0013396E">
              <w:rPr>
                <w:i/>
              </w:rPr>
              <w:t>Reliability Must-Run Standby Amount QSE Total per QSE</w:t>
            </w:r>
            <w:r w:rsidRPr="0013396E">
              <w:sym w:font="Symbol" w:char="F0BE"/>
            </w:r>
            <w:r w:rsidRPr="0013396E">
              <w:t xml:space="preserve">The total of the Standby Payments to QSE </w:t>
            </w:r>
            <w:r w:rsidRPr="0013396E">
              <w:rPr>
                <w:i/>
              </w:rPr>
              <w:t>q</w:t>
            </w:r>
            <w:r w:rsidRPr="0013396E">
              <w:t xml:space="preserve"> for all RMR Units represented by this QSE for the hour.</w:t>
            </w:r>
          </w:p>
        </w:tc>
      </w:tr>
      <w:tr w:rsidR="001F04FD" w:rsidRPr="0013396E" w14:paraId="2886541A" w14:textId="77777777" w:rsidTr="00AC4DEE">
        <w:trPr>
          <w:cantSplit/>
        </w:trPr>
        <w:tc>
          <w:tcPr>
            <w:tcW w:w="1197" w:type="pct"/>
          </w:tcPr>
          <w:p w14:paraId="2E800274" w14:textId="77777777" w:rsidR="001F04FD" w:rsidRPr="0013396E" w:rsidRDefault="001F04FD" w:rsidP="00AC4DEE">
            <w:pPr>
              <w:pStyle w:val="TableBody"/>
            </w:pPr>
            <w:r w:rsidRPr="0013396E">
              <w:t xml:space="preserve">RMRSBAMT </w:t>
            </w:r>
            <w:r w:rsidRPr="0013396E">
              <w:rPr>
                <w:vertAlign w:val="subscript"/>
              </w:rPr>
              <w:t>q, r</w:t>
            </w:r>
          </w:p>
        </w:tc>
        <w:tc>
          <w:tcPr>
            <w:tcW w:w="305" w:type="pct"/>
          </w:tcPr>
          <w:p w14:paraId="7FEAE98A" w14:textId="77777777" w:rsidR="001F04FD" w:rsidRPr="0013396E" w:rsidRDefault="001F04FD" w:rsidP="00AC4DEE">
            <w:pPr>
              <w:pStyle w:val="TableBody"/>
            </w:pPr>
            <w:r w:rsidRPr="0013396E">
              <w:t>$</w:t>
            </w:r>
          </w:p>
        </w:tc>
        <w:tc>
          <w:tcPr>
            <w:tcW w:w="3497" w:type="pct"/>
          </w:tcPr>
          <w:p w14:paraId="720E4552" w14:textId="77777777" w:rsidR="001F04FD" w:rsidRPr="0013396E" w:rsidRDefault="001F04FD" w:rsidP="00AC4DEE">
            <w:pPr>
              <w:pStyle w:val="TableBody"/>
            </w:pPr>
            <w:r w:rsidRPr="0013396E">
              <w:rPr>
                <w:i/>
              </w:rPr>
              <w:t>Reliability Must-Run Standby Payment per QSE per Resource</w:t>
            </w:r>
            <w:r w:rsidRPr="0013396E">
              <w:t xml:space="preserve">—The Standby Payment to QSE </w:t>
            </w:r>
            <w:r w:rsidRPr="0013396E">
              <w:rPr>
                <w:i/>
              </w:rPr>
              <w:t>q</w:t>
            </w:r>
            <w:r w:rsidRPr="0013396E">
              <w:t xml:space="preserve"> for RMR Unit </w:t>
            </w:r>
            <w:r w:rsidRPr="0013396E">
              <w:rPr>
                <w:i/>
              </w:rPr>
              <w:t>r</w:t>
            </w:r>
            <w:r w:rsidRPr="0013396E">
              <w:t xml:space="preserve">, for the hour.  Where for a Combined Cycle Train, the Resource </w:t>
            </w:r>
            <w:r w:rsidRPr="0013396E">
              <w:rPr>
                <w:i/>
              </w:rPr>
              <w:t xml:space="preserve">r </w:t>
            </w:r>
            <w:r w:rsidRPr="0013396E">
              <w:t xml:space="preserve">is the Combined Cycle Train.  </w:t>
            </w:r>
          </w:p>
        </w:tc>
      </w:tr>
      <w:tr w:rsidR="001F04FD" w:rsidRPr="0013396E" w14:paraId="14DFB453" w14:textId="77777777" w:rsidTr="00AC4DEE">
        <w:trPr>
          <w:cantSplit/>
        </w:trPr>
        <w:tc>
          <w:tcPr>
            <w:tcW w:w="1197" w:type="pct"/>
            <w:tcBorders>
              <w:top w:val="single" w:sz="4" w:space="0" w:color="auto"/>
              <w:left w:val="single" w:sz="4" w:space="0" w:color="auto"/>
              <w:bottom w:val="single" w:sz="4" w:space="0" w:color="auto"/>
              <w:right w:val="single" w:sz="4" w:space="0" w:color="auto"/>
            </w:tcBorders>
          </w:tcPr>
          <w:p w14:paraId="44551FEB" w14:textId="77777777" w:rsidR="001F04FD" w:rsidRPr="0013396E" w:rsidRDefault="001F04FD" w:rsidP="00AC4DEE">
            <w:pPr>
              <w:pStyle w:val="TableBody"/>
              <w:rPr>
                <w:i/>
              </w:rPr>
            </w:pPr>
            <w:r w:rsidRPr="0013396E">
              <w:rPr>
                <w:i/>
              </w:rPr>
              <w:t>q</w:t>
            </w:r>
          </w:p>
        </w:tc>
        <w:tc>
          <w:tcPr>
            <w:tcW w:w="305" w:type="pct"/>
            <w:tcBorders>
              <w:top w:val="single" w:sz="4" w:space="0" w:color="auto"/>
              <w:left w:val="single" w:sz="4" w:space="0" w:color="auto"/>
              <w:bottom w:val="single" w:sz="4" w:space="0" w:color="auto"/>
              <w:right w:val="single" w:sz="4" w:space="0" w:color="auto"/>
            </w:tcBorders>
          </w:tcPr>
          <w:p w14:paraId="10B6563D" w14:textId="77777777" w:rsidR="001F04FD" w:rsidRPr="0013396E" w:rsidRDefault="001F04FD" w:rsidP="00AC4DEE">
            <w:pPr>
              <w:pStyle w:val="TableBody"/>
            </w:pPr>
            <w:r w:rsidRPr="0013396E">
              <w:t>none</w:t>
            </w:r>
          </w:p>
        </w:tc>
        <w:tc>
          <w:tcPr>
            <w:tcW w:w="3497" w:type="pct"/>
            <w:tcBorders>
              <w:top w:val="single" w:sz="4" w:space="0" w:color="auto"/>
              <w:left w:val="single" w:sz="4" w:space="0" w:color="auto"/>
              <w:bottom w:val="single" w:sz="4" w:space="0" w:color="auto"/>
              <w:right w:val="single" w:sz="4" w:space="0" w:color="auto"/>
            </w:tcBorders>
          </w:tcPr>
          <w:p w14:paraId="3E1709CC" w14:textId="77777777" w:rsidR="001F04FD" w:rsidRPr="0013396E" w:rsidRDefault="001F04FD" w:rsidP="00AC4DEE">
            <w:pPr>
              <w:pStyle w:val="TableBody"/>
            </w:pPr>
            <w:r w:rsidRPr="0013396E">
              <w:t>A QSE.</w:t>
            </w:r>
          </w:p>
        </w:tc>
      </w:tr>
      <w:tr w:rsidR="001F04FD" w:rsidRPr="0013396E" w14:paraId="354B65B1" w14:textId="77777777" w:rsidTr="00AC4DEE">
        <w:trPr>
          <w:cantSplit/>
        </w:trPr>
        <w:tc>
          <w:tcPr>
            <w:tcW w:w="1197" w:type="pct"/>
            <w:tcBorders>
              <w:top w:val="single" w:sz="4" w:space="0" w:color="auto"/>
              <w:left w:val="single" w:sz="4" w:space="0" w:color="auto"/>
              <w:bottom w:val="single" w:sz="4" w:space="0" w:color="auto"/>
              <w:right w:val="single" w:sz="4" w:space="0" w:color="auto"/>
            </w:tcBorders>
          </w:tcPr>
          <w:p w14:paraId="65158621" w14:textId="77777777" w:rsidR="001F04FD" w:rsidRPr="0013396E" w:rsidRDefault="001F04FD" w:rsidP="00AC4DEE">
            <w:pPr>
              <w:pStyle w:val="TableBody"/>
              <w:rPr>
                <w:i/>
              </w:rPr>
            </w:pPr>
            <w:r w:rsidRPr="0013396E">
              <w:rPr>
                <w:i/>
              </w:rPr>
              <w:t>r</w:t>
            </w:r>
          </w:p>
        </w:tc>
        <w:tc>
          <w:tcPr>
            <w:tcW w:w="305" w:type="pct"/>
            <w:tcBorders>
              <w:top w:val="single" w:sz="4" w:space="0" w:color="auto"/>
              <w:left w:val="single" w:sz="4" w:space="0" w:color="auto"/>
              <w:bottom w:val="single" w:sz="4" w:space="0" w:color="auto"/>
              <w:right w:val="single" w:sz="4" w:space="0" w:color="auto"/>
            </w:tcBorders>
          </w:tcPr>
          <w:p w14:paraId="05C77FC0" w14:textId="77777777" w:rsidR="001F04FD" w:rsidRPr="0013396E" w:rsidRDefault="001F04FD" w:rsidP="00AC4DEE">
            <w:pPr>
              <w:pStyle w:val="TableBody"/>
            </w:pPr>
            <w:r w:rsidRPr="0013396E">
              <w:t>none</w:t>
            </w:r>
          </w:p>
        </w:tc>
        <w:tc>
          <w:tcPr>
            <w:tcW w:w="3497" w:type="pct"/>
            <w:tcBorders>
              <w:top w:val="single" w:sz="4" w:space="0" w:color="auto"/>
              <w:left w:val="single" w:sz="4" w:space="0" w:color="auto"/>
              <w:bottom w:val="single" w:sz="4" w:space="0" w:color="auto"/>
              <w:right w:val="single" w:sz="4" w:space="0" w:color="auto"/>
            </w:tcBorders>
          </w:tcPr>
          <w:p w14:paraId="517CA178" w14:textId="77777777" w:rsidR="001F04FD" w:rsidRPr="0013396E" w:rsidRDefault="001F04FD" w:rsidP="00AC4DEE">
            <w:pPr>
              <w:pStyle w:val="TableBody"/>
            </w:pPr>
            <w:r w:rsidRPr="0013396E">
              <w:t>An RMR Unit.</w:t>
            </w:r>
          </w:p>
        </w:tc>
      </w:tr>
    </w:tbl>
    <w:p w14:paraId="2888FCC3" w14:textId="77777777" w:rsidR="001F04FD" w:rsidRPr="0013396E" w:rsidRDefault="001F04FD" w:rsidP="001F04FD">
      <w:pPr>
        <w:pStyle w:val="H4"/>
        <w:spacing w:before="480"/>
        <w:ind w:left="1267" w:hanging="1267"/>
      </w:pPr>
      <w:bookmarkStart w:id="1921" w:name="_Toc397505028"/>
      <w:bookmarkStart w:id="1922" w:name="_Toc402357160"/>
      <w:bookmarkStart w:id="1923" w:name="_Toc422486540"/>
      <w:bookmarkStart w:id="1924" w:name="_Toc433093393"/>
      <w:bookmarkStart w:id="1925" w:name="_Toc433093551"/>
      <w:bookmarkStart w:id="1926" w:name="_Toc440874781"/>
      <w:bookmarkStart w:id="1927" w:name="_Toc448142338"/>
      <w:bookmarkStart w:id="1928" w:name="_Toc448142495"/>
      <w:bookmarkStart w:id="1929" w:name="_Toc458770336"/>
      <w:bookmarkStart w:id="1930" w:name="_Toc459294304"/>
      <w:bookmarkStart w:id="1931" w:name="_Toc463262797"/>
      <w:bookmarkStart w:id="1932" w:name="_Toc468286870"/>
      <w:bookmarkStart w:id="1933" w:name="_Toc481502910"/>
      <w:bookmarkStart w:id="1934" w:name="_Toc496080078"/>
      <w:bookmarkStart w:id="1935" w:name="_Toc214878995"/>
      <w:r w:rsidRPr="0013396E">
        <w:t>6.6.6.2</w:t>
      </w:r>
      <w:r w:rsidRPr="0013396E">
        <w:tab/>
        <w:t>RMR Payment for Energy</w:t>
      </w:r>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p>
    <w:p w14:paraId="2A5586EE" w14:textId="77777777" w:rsidR="001F04FD" w:rsidRPr="0013396E" w:rsidRDefault="001F04FD" w:rsidP="001F04FD">
      <w:pPr>
        <w:pStyle w:val="BodyTextNumbered"/>
      </w:pPr>
      <w:r w:rsidRPr="0013396E">
        <w:t>(1)</w:t>
      </w:r>
      <w:r w:rsidRPr="0013396E">
        <w:tab/>
        <w:t>Payment for energy on the Initial Settlement and settlements executed before true-up and before actual cost data is submitted must be calculated using the estimated input/output curve and startup fuel as specified in the RMR Agreement, the actual energy produced and the FIP.  The payment for energy for all other settlements must be based on actual fuel costs for the RMR Unit.  The payment for energy for each hour is calculated as follows:</w:t>
      </w:r>
    </w:p>
    <w:p w14:paraId="2E2613E1" w14:textId="77777777" w:rsidR="001F04FD" w:rsidRPr="0013396E" w:rsidRDefault="001F04FD" w:rsidP="001F04FD">
      <w:pPr>
        <w:pStyle w:val="FormulaBold"/>
        <w:tabs>
          <w:tab w:val="clear" w:pos="2250"/>
          <w:tab w:val="clear" w:pos="3960"/>
          <w:tab w:val="left" w:pos="2700"/>
        </w:tabs>
        <w:ind w:left="3150" w:hanging="2430"/>
        <w:rPr>
          <w:lang w:val="pt-BR"/>
        </w:rPr>
      </w:pPr>
      <w:r w:rsidRPr="0013396E">
        <w:rPr>
          <w:lang w:val="pt-BR"/>
        </w:rPr>
        <w:lastRenderedPageBreak/>
        <w:t xml:space="preserve">RMREAMT </w:t>
      </w:r>
      <w:r w:rsidRPr="0013396E">
        <w:rPr>
          <w:i/>
          <w:vertAlign w:val="subscript"/>
          <w:lang w:val="pt-BR"/>
        </w:rPr>
        <w:t>q, r</w:t>
      </w:r>
      <w:r w:rsidRPr="0013396E">
        <w:rPr>
          <w:vertAlign w:val="subscript"/>
          <w:lang w:val="pt-BR"/>
        </w:rPr>
        <w:tab/>
      </w:r>
      <w:r w:rsidRPr="0013396E">
        <w:rPr>
          <w:lang w:val="pt-BR"/>
        </w:rPr>
        <w:t>=</w:t>
      </w:r>
      <w:r w:rsidRPr="0013396E">
        <w:rPr>
          <w:lang w:val="pt-BR"/>
        </w:rPr>
        <w:tab/>
        <w:t>(-1) * (((FIP + RMRCEFA</w:t>
      </w:r>
      <w:r w:rsidRPr="0013396E">
        <w:rPr>
          <w:i/>
          <w:vertAlign w:val="subscript"/>
          <w:lang w:val="pt-BR"/>
        </w:rPr>
        <w:t xml:space="preserve"> q, r</w:t>
      </w:r>
      <w:r w:rsidRPr="0013396E">
        <w:rPr>
          <w:lang w:val="pt-BR"/>
        </w:rPr>
        <w:t xml:space="preserve">) * RMRSUFQ </w:t>
      </w:r>
      <w:r w:rsidRPr="0013396E">
        <w:rPr>
          <w:i/>
          <w:vertAlign w:val="subscript"/>
          <w:lang w:val="pt-BR"/>
        </w:rPr>
        <w:t>q, r</w:t>
      </w:r>
      <w:r w:rsidRPr="0013396E">
        <w:rPr>
          <w:lang w:val="pt-BR"/>
        </w:rPr>
        <w:t xml:space="preserve"> </w:t>
      </w:r>
      <w:r w:rsidRPr="0013396E">
        <w:rPr>
          <w:sz w:val="32"/>
          <w:szCs w:val="32"/>
          <w:lang w:val="pt-BR"/>
        </w:rPr>
        <w:t>/</w:t>
      </w:r>
      <w:r w:rsidRPr="0013396E">
        <w:rPr>
          <w:lang w:val="pt-BR"/>
        </w:rPr>
        <w:t xml:space="preserve"> RMRH </w:t>
      </w:r>
      <w:r w:rsidRPr="0013396E">
        <w:rPr>
          <w:i/>
          <w:vertAlign w:val="subscript"/>
          <w:lang w:val="pt-BR"/>
        </w:rPr>
        <w:t>q, r</w:t>
      </w:r>
      <w:r w:rsidRPr="0013396E">
        <w:rPr>
          <w:lang w:val="pt-BR"/>
        </w:rPr>
        <w:t xml:space="preserve">) * RMRALLOCFLAG </w:t>
      </w:r>
      <w:r w:rsidRPr="0013396E">
        <w:rPr>
          <w:i/>
          <w:vertAlign w:val="subscript"/>
          <w:lang w:val="pt-BR"/>
        </w:rPr>
        <w:t>q, r</w:t>
      </w:r>
      <w:r w:rsidRPr="0013396E">
        <w:rPr>
          <w:lang w:val="pt-BR"/>
        </w:rPr>
        <w:t xml:space="preserve"> + </w:t>
      </w:r>
      <w:r w:rsidRPr="0013396E">
        <w:rPr>
          <w:position w:val="-20"/>
        </w:rPr>
        <w:object w:dxaOrig="255" w:dyaOrig="585" w14:anchorId="0EB0A472">
          <v:shape id="_x0000_i1164" type="#_x0000_t75" style="width:12pt;height:30pt" o:ole="">
            <v:imagedata r:id="rId201" o:title=""/>
          </v:shape>
          <o:OLEObject Type="Embed" ProgID="Equation.3" ShapeID="_x0000_i1164" DrawAspect="Content" ObjectID="_1836311443" r:id="rId202"/>
        </w:object>
      </w:r>
      <w:r w:rsidRPr="0013396E">
        <w:rPr>
          <w:lang w:val="pt-BR"/>
        </w:rPr>
        <w:t>(((FIP + RMRCEFA</w:t>
      </w:r>
      <w:r w:rsidRPr="0013396E">
        <w:rPr>
          <w:i/>
          <w:vertAlign w:val="subscript"/>
          <w:lang w:val="pt-BR"/>
        </w:rPr>
        <w:t xml:space="preserve"> q, r</w:t>
      </w:r>
      <w:r w:rsidRPr="0013396E">
        <w:rPr>
          <w:lang w:val="pt-BR"/>
        </w:rPr>
        <w:t xml:space="preserve">) * RMRHR </w:t>
      </w:r>
      <w:r w:rsidRPr="0013396E">
        <w:rPr>
          <w:i/>
          <w:vertAlign w:val="subscript"/>
          <w:lang w:val="pt-BR"/>
        </w:rPr>
        <w:t>q, r, i</w:t>
      </w:r>
      <w:r w:rsidRPr="0013396E">
        <w:rPr>
          <w:lang w:val="pt-BR"/>
        </w:rPr>
        <w:t xml:space="preserve"> + RMRVCC </w:t>
      </w:r>
      <w:r w:rsidRPr="0013396E">
        <w:rPr>
          <w:i/>
          <w:vertAlign w:val="subscript"/>
          <w:lang w:val="pt-BR"/>
        </w:rPr>
        <w:t>q, r</w:t>
      </w:r>
      <w:r w:rsidRPr="0013396E">
        <w:rPr>
          <w:lang w:val="pt-BR"/>
        </w:rPr>
        <w:t xml:space="preserve">) * RTMG </w:t>
      </w:r>
      <w:r w:rsidRPr="0013396E">
        <w:rPr>
          <w:i/>
          <w:vertAlign w:val="subscript"/>
          <w:lang w:val="pt-BR"/>
        </w:rPr>
        <w:t>q, r, i</w:t>
      </w:r>
      <w:r w:rsidRPr="0013396E">
        <w:rPr>
          <w:lang w:val="pt-BR"/>
        </w:rPr>
        <w:t>))</w:t>
      </w:r>
    </w:p>
    <w:p w14:paraId="05D57A28" w14:textId="77777777" w:rsidR="001F04FD" w:rsidRPr="0013396E" w:rsidRDefault="001F04FD" w:rsidP="001F04FD">
      <w:r w:rsidRPr="0013396E">
        <w:t>The above variables are defined as follows:</w:t>
      </w:r>
    </w:p>
    <w:tbl>
      <w:tblPr>
        <w:tblW w:w="9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1080"/>
        <w:gridCol w:w="6775"/>
      </w:tblGrid>
      <w:tr w:rsidR="001F04FD" w:rsidRPr="0013396E" w14:paraId="0ED0F647" w14:textId="77777777" w:rsidTr="00AC4DEE">
        <w:trPr>
          <w:cantSplit/>
          <w:tblHeader/>
        </w:trPr>
        <w:tc>
          <w:tcPr>
            <w:tcW w:w="2088" w:type="dxa"/>
          </w:tcPr>
          <w:p w14:paraId="69BBF4B8" w14:textId="77777777" w:rsidR="001F04FD" w:rsidRPr="0013396E" w:rsidRDefault="001F04FD" w:rsidP="00AC4DEE">
            <w:pPr>
              <w:pStyle w:val="TableHead"/>
            </w:pPr>
            <w:r w:rsidRPr="0013396E">
              <w:t>Variable</w:t>
            </w:r>
          </w:p>
        </w:tc>
        <w:tc>
          <w:tcPr>
            <w:tcW w:w="1080" w:type="dxa"/>
          </w:tcPr>
          <w:p w14:paraId="6AA82CC7" w14:textId="77777777" w:rsidR="001F04FD" w:rsidRPr="0013396E" w:rsidRDefault="001F04FD" w:rsidP="00AC4DEE">
            <w:pPr>
              <w:pStyle w:val="TableHead"/>
            </w:pPr>
            <w:r w:rsidRPr="0013396E">
              <w:t>Unit</w:t>
            </w:r>
          </w:p>
        </w:tc>
        <w:tc>
          <w:tcPr>
            <w:tcW w:w="6775" w:type="dxa"/>
          </w:tcPr>
          <w:p w14:paraId="50CACAC0" w14:textId="77777777" w:rsidR="001F04FD" w:rsidRPr="0013396E" w:rsidRDefault="001F04FD" w:rsidP="00AC4DEE">
            <w:pPr>
              <w:pStyle w:val="TableHead"/>
            </w:pPr>
            <w:r w:rsidRPr="0013396E">
              <w:t>Definition</w:t>
            </w:r>
          </w:p>
        </w:tc>
      </w:tr>
      <w:tr w:rsidR="001F04FD" w:rsidRPr="0013396E" w14:paraId="0E1B5EB9" w14:textId="77777777" w:rsidTr="00AC4DEE">
        <w:trPr>
          <w:cantSplit/>
        </w:trPr>
        <w:tc>
          <w:tcPr>
            <w:tcW w:w="2088" w:type="dxa"/>
          </w:tcPr>
          <w:p w14:paraId="0184C30F" w14:textId="77777777" w:rsidR="001F04FD" w:rsidRPr="0013396E" w:rsidRDefault="001F04FD" w:rsidP="00AC4DEE">
            <w:pPr>
              <w:pStyle w:val="TableBody"/>
            </w:pPr>
            <w:r w:rsidRPr="0013396E">
              <w:t xml:space="preserve">RMREAMT </w:t>
            </w:r>
            <w:r w:rsidRPr="0013396E">
              <w:rPr>
                <w:i/>
                <w:vertAlign w:val="subscript"/>
              </w:rPr>
              <w:t>q, r</w:t>
            </w:r>
          </w:p>
        </w:tc>
        <w:tc>
          <w:tcPr>
            <w:tcW w:w="1080" w:type="dxa"/>
          </w:tcPr>
          <w:p w14:paraId="5D3BD1F1" w14:textId="77777777" w:rsidR="001F04FD" w:rsidRPr="0013396E" w:rsidRDefault="001F04FD" w:rsidP="00AC4DEE">
            <w:pPr>
              <w:pStyle w:val="TableBody"/>
            </w:pPr>
            <w:r w:rsidRPr="0013396E">
              <w:t>$</w:t>
            </w:r>
          </w:p>
        </w:tc>
        <w:tc>
          <w:tcPr>
            <w:tcW w:w="6775" w:type="dxa"/>
          </w:tcPr>
          <w:p w14:paraId="5AF1ECEE" w14:textId="77777777" w:rsidR="001F04FD" w:rsidRPr="0013396E" w:rsidRDefault="001F04FD" w:rsidP="00AC4DEE">
            <w:pPr>
              <w:pStyle w:val="TableBody"/>
            </w:pPr>
            <w:r w:rsidRPr="0013396E">
              <w:rPr>
                <w:i/>
              </w:rPr>
              <w:t>Reliability Must-Run Energy Amount per QSE per Resource by hour</w:t>
            </w:r>
            <w:r w:rsidRPr="0013396E">
              <w:t xml:space="preserve">—The energy payment to QSE </w:t>
            </w:r>
            <w:r w:rsidRPr="0013396E">
              <w:rPr>
                <w:i/>
              </w:rPr>
              <w:t>q</w:t>
            </w:r>
            <w:r w:rsidRPr="0013396E">
              <w:t xml:space="preserve"> for RMR Unit </w:t>
            </w:r>
            <w:r w:rsidRPr="0013396E">
              <w:rPr>
                <w:i/>
              </w:rPr>
              <w:t>r</w:t>
            </w:r>
            <w:r w:rsidRPr="0013396E">
              <w:t xml:space="preserve">, for the hour.  Where for a Combined Cycle Train, the Resource </w:t>
            </w:r>
            <w:r w:rsidRPr="0013396E">
              <w:rPr>
                <w:i/>
              </w:rPr>
              <w:t xml:space="preserve">r </w:t>
            </w:r>
            <w:r w:rsidRPr="0013396E">
              <w:t>is the Combined Cycle Train.</w:t>
            </w:r>
          </w:p>
        </w:tc>
      </w:tr>
      <w:tr w:rsidR="001F04FD" w:rsidRPr="0013396E" w14:paraId="06A85861" w14:textId="77777777" w:rsidTr="00AC4DEE">
        <w:trPr>
          <w:cantSplit/>
        </w:trPr>
        <w:tc>
          <w:tcPr>
            <w:tcW w:w="2088" w:type="dxa"/>
          </w:tcPr>
          <w:p w14:paraId="4B0DA723" w14:textId="77777777" w:rsidR="001F04FD" w:rsidRPr="0013396E" w:rsidRDefault="001F04FD" w:rsidP="00AC4DEE">
            <w:pPr>
              <w:pStyle w:val="TableBody"/>
            </w:pPr>
            <w:r w:rsidRPr="0013396E">
              <w:t>FIP</w:t>
            </w:r>
          </w:p>
        </w:tc>
        <w:tc>
          <w:tcPr>
            <w:tcW w:w="1080" w:type="dxa"/>
          </w:tcPr>
          <w:p w14:paraId="65D1D1F0" w14:textId="77777777" w:rsidR="001F04FD" w:rsidRPr="0013396E" w:rsidRDefault="001F04FD" w:rsidP="00AC4DEE">
            <w:pPr>
              <w:pStyle w:val="TableBody"/>
            </w:pPr>
            <w:r w:rsidRPr="0013396E">
              <w:t>$/MMBtu</w:t>
            </w:r>
          </w:p>
        </w:tc>
        <w:tc>
          <w:tcPr>
            <w:tcW w:w="6775" w:type="dxa"/>
          </w:tcPr>
          <w:p w14:paraId="3D6FD76D" w14:textId="77777777" w:rsidR="001F04FD" w:rsidRPr="0013396E" w:rsidRDefault="001F04FD" w:rsidP="00AC4DEE">
            <w:pPr>
              <w:pStyle w:val="TableBody"/>
            </w:pPr>
            <w:r w:rsidRPr="0013396E">
              <w:rPr>
                <w:i/>
              </w:rPr>
              <w:t>Fuel Index Price</w:t>
            </w:r>
            <w:r w:rsidRPr="0013396E">
              <w:t>—The FIP for the Operating Day.</w:t>
            </w:r>
          </w:p>
        </w:tc>
      </w:tr>
      <w:tr w:rsidR="001F04FD" w:rsidRPr="0013396E" w14:paraId="1C88B5C6" w14:textId="77777777" w:rsidTr="00AC4DEE">
        <w:trPr>
          <w:cantSplit/>
        </w:trPr>
        <w:tc>
          <w:tcPr>
            <w:tcW w:w="2088" w:type="dxa"/>
          </w:tcPr>
          <w:p w14:paraId="0353244F" w14:textId="77777777" w:rsidR="001F04FD" w:rsidRPr="0013396E" w:rsidRDefault="001F04FD" w:rsidP="00AC4DEE">
            <w:pPr>
              <w:pStyle w:val="TableBody"/>
            </w:pPr>
            <w:r w:rsidRPr="0013396E">
              <w:t xml:space="preserve">RMRSUFQ </w:t>
            </w:r>
            <w:r w:rsidRPr="0013396E">
              <w:rPr>
                <w:i/>
                <w:vertAlign w:val="subscript"/>
              </w:rPr>
              <w:t>q, r</w:t>
            </w:r>
          </w:p>
        </w:tc>
        <w:tc>
          <w:tcPr>
            <w:tcW w:w="1080" w:type="dxa"/>
          </w:tcPr>
          <w:p w14:paraId="27A49E7A" w14:textId="77777777" w:rsidR="001F04FD" w:rsidRPr="0013396E" w:rsidRDefault="001F04FD" w:rsidP="00AC4DEE">
            <w:pPr>
              <w:pStyle w:val="TableBody"/>
            </w:pPr>
            <w:r w:rsidRPr="0013396E">
              <w:t>MMBtu</w:t>
            </w:r>
          </w:p>
        </w:tc>
        <w:tc>
          <w:tcPr>
            <w:tcW w:w="6775" w:type="dxa"/>
          </w:tcPr>
          <w:p w14:paraId="71607580" w14:textId="77777777" w:rsidR="001F04FD" w:rsidRPr="0013396E" w:rsidRDefault="001F04FD" w:rsidP="00AC4DEE">
            <w:pPr>
              <w:pStyle w:val="TableBody"/>
            </w:pPr>
            <w:r w:rsidRPr="0013396E">
              <w:rPr>
                <w:i/>
              </w:rPr>
              <w:t>Reliability Must-Run Startup Fuel Quantity per QSE per Resource</w:t>
            </w:r>
            <w:r w:rsidRPr="0013396E">
              <w:sym w:font="Symbol" w:char="F0BE"/>
            </w:r>
            <w:r w:rsidRPr="0013396E">
              <w:t xml:space="preserve">The Estimated Start Up Fuel specified in the RMR Agreement for RMR Unit </w:t>
            </w:r>
            <w:r w:rsidRPr="0013396E">
              <w:rPr>
                <w:i/>
              </w:rPr>
              <w:t>r</w:t>
            </w:r>
            <w:r w:rsidRPr="0013396E">
              <w:t xml:space="preserve"> represented by QSE </w:t>
            </w:r>
            <w:r w:rsidRPr="0013396E">
              <w:rPr>
                <w:i/>
              </w:rPr>
              <w:t>q</w:t>
            </w:r>
            <w:r w:rsidRPr="0013396E">
              <w:t xml:space="preserve">.  Where for a Combined Cycle Train, the Resource </w:t>
            </w:r>
            <w:r w:rsidRPr="0013396E">
              <w:rPr>
                <w:i/>
              </w:rPr>
              <w:t xml:space="preserve">r </w:t>
            </w:r>
            <w:r w:rsidRPr="0013396E">
              <w:t>is the Combined Cycle Train.</w:t>
            </w:r>
          </w:p>
        </w:tc>
      </w:tr>
      <w:tr w:rsidR="001F04FD" w:rsidRPr="0013396E" w14:paraId="3401518A" w14:textId="77777777" w:rsidTr="00AC4DEE">
        <w:trPr>
          <w:cantSplit/>
        </w:trPr>
        <w:tc>
          <w:tcPr>
            <w:tcW w:w="2088" w:type="dxa"/>
          </w:tcPr>
          <w:p w14:paraId="43B23396" w14:textId="77777777" w:rsidR="001F04FD" w:rsidRPr="0013396E" w:rsidRDefault="001F04FD" w:rsidP="00AC4DEE">
            <w:pPr>
              <w:pStyle w:val="TableBody"/>
            </w:pPr>
            <w:r w:rsidRPr="0013396E">
              <w:t xml:space="preserve">RMRH </w:t>
            </w:r>
            <w:r w:rsidRPr="0013396E">
              <w:rPr>
                <w:i/>
                <w:vertAlign w:val="subscript"/>
              </w:rPr>
              <w:t>q, r,h</w:t>
            </w:r>
          </w:p>
        </w:tc>
        <w:tc>
          <w:tcPr>
            <w:tcW w:w="1080" w:type="dxa"/>
          </w:tcPr>
          <w:p w14:paraId="2671E659" w14:textId="77777777" w:rsidR="001F04FD" w:rsidRPr="0013396E" w:rsidRDefault="001F04FD" w:rsidP="00AC4DEE">
            <w:pPr>
              <w:pStyle w:val="TableBody"/>
            </w:pPr>
            <w:r w:rsidRPr="0013396E">
              <w:t>hour</w:t>
            </w:r>
          </w:p>
        </w:tc>
        <w:tc>
          <w:tcPr>
            <w:tcW w:w="6775" w:type="dxa"/>
          </w:tcPr>
          <w:p w14:paraId="7A9EAA89" w14:textId="77777777" w:rsidR="001F04FD" w:rsidRPr="0013396E" w:rsidRDefault="001F04FD" w:rsidP="00AC4DEE">
            <w:pPr>
              <w:pStyle w:val="TableBody"/>
            </w:pPr>
            <w:r w:rsidRPr="0013396E">
              <w:rPr>
                <w:i/>
              </w:rPr>
              <w:t>Reliability Must-Run Hours</w:t>
            </w:r>
            <w:r w:rsidRPr="0013396E">
              <w:t xml:space="preserve">—The number of hours during which RMR Unit </w:t>
            </w:r>
            <w:r w:rsidRPr="0013396E">
              <w:rPr>
                <w:i/>
              </w:rPr>
              <w:t>r</w:t>
            </w:r>
            <w:r w:rsidRPr="0013396E">
              <w:t xml:space="preserve"> represented by QSE </w:t>
            </w:r>
            <w:r w:rsidRPr="0013396E">
              <w:rPr>
                <w:i/>
              </w:rPr>
              <w:t>q</w:t>
            </w:r>
            <w:r w:rsidRPr="0013396E">
              <w:t xml:space="preserve"> is instructed On-Line for the Operating Day.  Where for a Combined Cycle Train, the Resource </w:t>
            </w:r>
            <w:r w:rsidRPr="0013396E">
              <w:rPr>
                <w:i/>
              </w:rPr>
              <w:t xml:space="preserve">r </w:t>
            </w:r>
            <w:r w:rsidRPr="0013396E">
              <w:t>is the Combined Cycle Train.</w:t>
            </w:r>
          </w:p>
        </w:tc>
      </w:tr>
      <w:tr w:rsidR="001F04FD" w:rsidRPr="0013396E" w14:paraId="0576B214" w14:textId="77777777" w:rsidTr="00AC4DEE">
        <w:trPr>
          <w:cantSplit/>
        </w:trPr>
        <w:tc>
          <w:tcPr>
            <w:tcW w:w="2088" w:type="dxa"/>
          </w:tcPr>
          <w:p w14:paraId="31A1FA11" w14:textId="77777777" w:rsidR="001F04FD" w:rsidRPr="0013396E" w:rsidRDefault="001F04FD" w:rsidP="00AC4DEE">
            <w:pPr>
              <w:pStyle w:val="TableBody"/>
            </w:pPr>
            <w:r w:rsidRPr="0013396E">
              <w:t xml:space="preserve">RMRALLOCFLAG </w:t>
            </w:r>
            <w:r w:rsidRPr="0013396E">
              <w:rPr>
                <w:i/>
                <w:vertAlign w:val="subscript"/>
              </w:rPr>
              <w:t>q, r</w:t>
            </w:r>
          </w:p>
        </w:tc>
        <w:tc>
          <w:tcPr>
            <w:tcW w:w="1080" w:type="dxa"/>
          </w:tcPr>
          <w:p w14:paraId="2E033D56" w14:textId="77777777" w:rsidR="001F04FD" w:rsidRPr="0013396E" w:rsidRDefault="001F04FD" w:rsidP="00AC4DEE">
            <w:pPr>
              <w:pStyle w:val="TableBody"/>
            </w:pPr>
            <w:r w:rsidRPr="0013396E">
              <w:t>none</w:t>
            </w:r>
          </w:p>
        </w:tc>
        <w:tc>
          <w:tcPr>
            <w:tcW w:w="6775" w:type="dxa"/>
          </w:tcPr>
          <w:p w14:paraId="4D54D9F1" w14:textId="77777777" w:rsidR="001F04FD" w:rsidRPr="0013396E" w:rsidRDefault="001F04FD" w:rsidP="00AC4DEE">
            <w:pPr>
              <w:pStyle w:val="TableBody"/>
            </w:pPr>
            <w:r w:rsidRPr="0013396E">
              <w:rPr>
                <w:i/>
              </w:rPr>
              <w:t>Reliability Must-Run Startup Flag per QSE per Resource by hour</w:t>
            </w:r>
            <w:r w:rsidRPr="0013396E">
              <w:t xml:space="preserve">—The number that indicates whether or not the startup fuel cost of RMR Unit </w:t>
            </w:r>
            <w:r w:rsidRPr="0013396E">
              <w:rPr>
                <w:i/>
              </w:rPr>
              <w:t>r</w:t>
            </w:r>
            <w:r w:rsidRPr="0013396E">
              <w:t xml:space="preserve"> represented by QSE </w:t>
            </w:r>
            <w:r w:rsidRPr="0013396E">
              <w:rPr>
                <w:i/>
              </w:rPr>
              <w:t>q</w:t>
            </w:r>
            <w:r w:rsidRPr="0013396E">
              <w:t xml:space="preserve"> is allocated to the hour.  Where for a Combined Cycle Train, the Resource </w:t>
            </w:r>
            <w:r w:rsidRPr="0013396E">
              <w:rPr>
                <w:i/>
              </w:rPr>
              <w:t xml:space="preserve">r </w:t>
            </w:r>
            <w:r w:rsidRPr="0013396E">
              <w:t xml:space="preserve">is the Combined Cycle Train.  The startup fuel cost will be allocated equally to all contiguous intervals for which there is an eligible start.  The RMRALLOCFLAG </w:t>
            </w:r>
            <w:r w:rsidRPr="0013396E">
              <w:rPr>
                <w:vertAlign w:val="subscript"/>
              </w:rPr>
              <w:t xml:space="preserve">q, r </w:t>
            </w:r>
            <w:r w:rsidRPr="0013396E">
              <w:t>value is 1 if the startup fuel cost is allocated; otherwise, its value is 0.</w:t>
            </w:r>
          </w:p>
          <w:p w14:paraId="4B39DA40" w14:textId="2B6D43BB" w:rsidR="001F04FD" w:rsidRPr="0013396E" w:rsidRDefault="001F04FD" w:rsidP="00F602B7">
            <w:pPr>
              <w:pStyle w:val="TableBody"/>
              <w:rPr>
                <w:i/>
              </w:rPr>
            </w:pPr>
            <w:r w:rsidRPr="0013396E">
              <w:t>The RMRALLOCFLAG</w:t>
            </w:r>
            <w:r w:rsidRPr="0013396E">
              <w:rPr>
                <w:vertAlign w:val="subscript"/>
              </w:rPr>
              <w:t xml:space="preserve"> q, r</w:t>
            </w:r>
            <w:r w:rsidRPr="0013396E">
              <w:t xml:space="preserve"> for eligibility is determined in Sections 5.6.2</w:t>
            </w:r>
            <w:r w:rsidRPr="0013396E">
              <w:rPr>
                <w:iCs w:val="0"/>
              </w:rPr>
              <w:t>, RUC Startup Cost Eligibility,</w:t>
            </w:r>
            <w:r w:rsidRPr="0013396E">
              <w:t xml:space="preserve"> and 5.6.3</w:t>
            </w:r>
            <w:r w:rsidRPr="0013396E">
              <w:rPr>
                <w:iCs w:val="0"/>
              </w:rPr>
              <w:t>, Forced Outage of a RUC-Committed Resource,</w:t>
            </w:r>
            <w:r w:rsidRPr="0013396E">
              <w:t xml:space="preserve"> for start-up payments and commitments in either the </w:t>
            </w:r>
            <w:r w:rsidR="00F602B7" w:rsidRPr="0013396E">
              <w:t>Reliability Unit Commitment (</w:t>
            </w:r>
            <w:r w:rsidRPr="0013396E">
              <w:t>RUC</w:t>
            </w:r>
            <w:r w:rsidR="00F602B7" w:rsidRPr="0013396E">
              <w:t>)</w:t>
            </w:r>
            <w:r w:rsidRPr="0013396E">
              <w:t xml:space="preserve"> or DAM.</w:t>
            </w:r>
          </w:p>
        </w:tc>
      </w:tr>
      <w:tr w:rsidR="001F04FD" w:rsidRPr="0013396E" w14:paraId="15D5F747" w14:textId="77777777" w:rsidTr="00AC4DEE">
        <w:trPr>
          <w:cantSplit/>
        </w:trPr>
        <w:tc>
          <w:tcPr>
            <w:tcW w:w="2088" w:type="dxa"/>
          </w:tcPr>
          <w:p w14:paraId="359A612A" w14:textId="77777777" w:rsidR="001F04FD" w:rsidRPr="0013396E" w:rsidRDefault="001F04FD" w:rsidP="00AC4DEE">
            <w:pPr>
              <w:pStyle w:val="TableBody"/>
            </w:pPr>
            <w:r w:rsidRPr="0013396E">
              <w:t xml:space="preserve">RMRHR </w:t>
            </w:r>
            <w:r w:rsidRPr="0013396E">
              <w:rPr>
                <w:i/>
                <w:vertAlign w:val="subscript"/>
              </w:rPr>
              <w:t>q, r, i</w:t>
            </w:r>
          </w:p>
        </w:tc>
        <w:tc>
          <w:tcPr>
            <w:tcW w:w="1080" w:type="dxa"/>
          </w:tcPr>
          <w:p w14:paraId="7E8E4F10" w14:textId="77777777" w:rsidR="001F04FD" w:rsidRPr="0013396E" w:rsidRDefault="001F04FD" w:rsidP="00AC4DEE">
            <w:pPr>
              <w:pStyle w:val="TableBody"/>
            </w:pPr>
            <w:r w:rsidRPr="0013396E">
              <w:t>MMBtu /MWh</w:t>
            </w:r>
          </w:p>
        </w:tc>
        <w:tc>
          <w:tcPr>
            <w:tcW w:w="6775" w:type="dxa"/>
          </w:tcPr>
          <w:p w14:paraId="347C0B9B" w14:textId="77777777" w:rsidR="001F04FD" w:rsidRPr="0013396E" w:rsidRDefault="001F04FD" w:rsidP="00AC4DEE">
            <w:pPr>
              <w:pStyle w:val="TableBody"/>
              <w:rPr>
                <w:i/>
              </w:rPr>
            </w:pPr>
            <w:r w:rsidRPr="0013396E">
              <w:rPr>
                <w:i/>
              </w:rPr>
              <w:t>Reliability Must-Run Heat Rate per QSE per Resource by Settlement Interval by hour</w:t>
            </w:r>
            <w:r w:rsidRPr="0013396E">
              <w:t>—The multiplier determined based on the input/output curve and the Real-Time generation of RMR Unit</w:t>
            </w:r>
            <w:r w:rsidRPr="0013396E">
              <w:rPr>
                <w:i/>
              </w:rPr>
              <w:t xml:space="preserve"> r</w:t>
            </w:r>
            <w:r w:rsidRPr="0013396E">
              <w:t xml:space="preserve"> represented by QSE </w:t>
            </w:r>
            <w:r w:rsidRPr="0013396E">
              <w:rPr>
                <w:i/>
              </w:rPr>
              <w:t>q</w:t>
            </w:r>
            <w:r w:rsidRPr="0013396E">
              <w:t xml:space="preserve">, for the 15-minute Settlement Interval </w:t>
            </w:r>
            <w:r w:rsidRPr="0013396E">
              <w:rPr>
                <w:i/>
              </w:rPr>
              <w:t>i</w:t>
            </w:r>
            <w:r w:rsidRPr="0013396E">
              <w:t xml:space="preserve"> in the hour.  Where for a Combined Cycle Train, the Resource </w:t>
            </w:r>
            <w:r w:rsidRPr="0013396E">
              <w:rPr>
                <w:i/>
              </w:rPr>
              <w:t xml:space="preserve">r </w:t>
            </w:r>
            <w:r w:rsidRPr="0013396E">
              <w:t>is the Combined Cycle Train.</w:t>
            </w:r>
          </w:p>
        </w:tc>
      </w:tr>
      <w:tr w:rsidR="001F04FD" w:rsidRPr="0013396E" w14:paraId="7BD54574" w14:textId="77777777" w:rsidTr="00AC4DEE">
        <w:trPr>
          <w:cantSplit/>
        </w:trPr>
        <w:tc>
          <w:tcPr>
            <w:tcW w:w="2088" w:type="dxa"/>
          </w:tcPr>
          <w:p w14:paraId="4C7C1A96" w14:textId="77777777" w:rsidR="001F04FD" w:rsidRPr="0013396E" w:rsidRDefault="001F04FD" w:rsidP="00AC4DEE">
            <w:pPr>
              <w:pStyle w:val="TableBody"/>
            </w:pPr>
            <w:r w:rsidRPr="0013396E">
              <w:t xml:space="preserve">RMRVCC </w:t>
            </w:r>
            <w:r w:rsidRPr="0013396E">
              <w:rPr>
                <w:i/>
                <w:vertAlign w:val="subscript"/>
              </w:rPr>
              <w:t>q, r</w:t>
            </w:r>
          </w:p>
        </w:tc>
        <w:tc>
          <w:tcPr>
            <w:tcW w:w="1080" w:type="dxa"/>
          </w:tcPr>
          <w:p w14:paraId="5014C462" w14:textId="77777777" w:rsidR="001F04FD" w:rsidRPr="0013396E" w:rsidRDefault="001F04FD" w:rsidP="00AC4DEE">
            <w:pPr>
              <w:pStyle w:val="TableBody"/>
            </w:pPr>
            <w:r w:rsidRPr="0013396E">
              <w:t>$/MWh</w:t>
            </w:r>
          </w:p>
        </w:tc>
        <w:tc>
          <w:tcPr>
            <w:tcW w:w="6775" w:type="dxa"/>
          </w:tcPr>
          <w:p w14:paraId="47BEBFEA" w14:textId="77777777" w:rsidR="001F04FD" w:rsidRPr="0013396E" w:rsidRDefault="001F04FD" w:rsidP="00AC4DEE">
            <w:pPr>
              <w:pStyle w:val="TableBody"/>
              <w:rPr>
                <w:i/>
              </w:rPr>
            </w:pPr>
            <w:r w:rsidRPr="0013396E">
              <w:rPr>
                <w:i/>
              </w:rPr>
              <w:t>Reliability Must-Run Variable Cost Component per QSE per Resource</w:t>
            </w:r>
            <w:r w:rsidRPr="0013396E">
              <w:t xml:space="preserve">—The monthly cost component that is used to adjust the energy cost calculation to reflect the actual fuel costs of RMR Unit </w:t>
            </w:r>
            <w:r w:rsidRPr="0013396E">
              <w:rPr>
                <w:i/>
              </w:rPr>
              <w:t>r</w:t>
            </w:r>
            <w:r w:rsidRPr="0013396E">
              <w:t xml:space="preserve"> represented by QSE </w:t>
            </w:r>
            <w:r w:rsidRPr="0013396E">
              <w:rPr>
                <w:i/>
              </w:rPr>
              <w:t>q</w:t>
            </w:r>
            <w:r w:rsidRPr="0013396E">
              <w:t xml:space="preserve">.  The value is initially set to zero.  For resettlements, see item (2) below.  Where for a Combined Cycle Train, the Resource </w:t>
            </w:r>
            <w:r w:rsidRPr="0013396E">
              <w:rPr>
                <w:i/>
              </w:rPr>
              <w:t xml:space="preserve">r </w:t>
            </w:r>
            <w:r w:rsidRPr="0013396E">
              <w:t>is the Combined Cycle Train.</w:t>
            </w:r>
          </w:p>
        </w:tc>
      </w:tr>
      <w:tr w:rsidR="001F04FD" w:rsidRPr="0013396E" w14:paraId="0199C651" w14:textId="77777777" w:rsidTr="00AC4DEE">
        <w:trPr>
          <w:cantSplit/>
        </w:trPr>
        <w:tc>
          <w:tcPr>
            <w:tcW w:w="2088" w:type="dxa"/>
          </w:tcPr>
          <w:p w14:paraId="3FD65DFD" w14:textId="77777777" w:rsidR="001F04FD" w:rsidRPr="0013396E" w:rsidRDefault="001F04FD" w:rsidP="00AC4DEE">
            <w:pPr>
              <w:pStyle w:val="TableBody"/>
            </w:pPr>
            <w:r w:rsidRPr="0013396E">
              <w:t xml:space="preserve">RTMG </w:t>
            </w:r>
            <w:r w:rsidRPr="0013396E">
              <w:rPr>
                <w:i/>
                <w:vertAlign w:val="subscript"/>
              </w:rPr>
              <w:t>q, r, i,</w:t>
            </w:r>
          </w:p>
        </w:tc>
        <w:tc>
          <w:tcPr>
            <w:tcW w:w="1080" w:type="dxa"/>
          </w:tcPr>
          <w:p w14:paraId="1DE08DA7" w14:textId="77777777" w:rsidR="001F04FD" w:rsidRPr="0013396E" w:rsidRDefault="001F04FD" w:rsidP="00AC4DEE">
            <w:pPr>
              <w:pStyle w:val="TableBody"/>
            </w:pPr>
            <w:r w:rsidRPr="0013396E">
              <w:t>MWh</w:t>
            </w:r>
          </w:p>
        </w:tc>
        <w:tc>
          <w:tcPr>
            <w:tcW w:w="6775" w:type="dxa"/>
          </w:tcPr>
          <w:p w14:paraId="4AA6F1DF" w14:textId="77777777" w:rsidR="001F04FD" w:rsidRPr="0013396E" w:rsidRDefault="001F04FD" w:rsidP="00AC4DEE">
            <w:pPr>
              <w:pStyle w:val="TableBody"/>
              <w:rPr>
                <w:i/>
              </w:rPr>
            </w:pPr>
            <w:r w:rsidRPr="0013396E">
              <w:rPr>
                <w:i/>
              </w:rPr>
              <w:t>Real-Time Metered Generation per QSE per Resource by Settlement Interval by hour</w:t>
            </w:r>
            <w:r w:rsidRPr="0013396E">
              <w:t>—The Real-Time energy from RMR Unit</w:t>
            </w:r>
            <w:r w:rsidRPr="0013396E">
              <w:rPr>
                <w:i/>
              </w:rPr>
              <w:t xml:space="preserve"> r</w:t>
            </w:r>
            <w:r w:rsidRPr="0013396E">
              <w:t xml:space="preserve"> represented by QSE </w:t>
            </w:r>
            <w:r w:rsidRPr="0013396E">
              <w:rPr>
                <w:i/>
              </w:rPr>
              <w:t>q</w:t>
            </w:r>
            <w:r w:rsidRPr="0013396E">
              <w:t xml:space="preserve">, for the 15-minute Settlement Interval </w:t>
            </w:r>
            <w:r w:rsidRPr="0013396E">
              <w:rPr>
                <w:i/>
              </w:rPr>
              <w:t xml:space="preserve">i </w:t>
            </w:r>
            <w:r w:rsidRPr="0013396E">
              <w:t>in the hour</w:t>
            </w:r>
            <w:r w:rsidRPr="0013396E">
              <w:rPr>
                <w:i/>
              </w:rPr>
              <w:t xml:space="preserve"> h</w:t>
            </w:r>
            <w:r w:rsidRPr="0013396E">
              <w:t xml:space="preserve">.  Where for a Combined Cycle Train, the Resource </w:t>
            </w:r>
            <w:r w:rsidRPr="0013396E">
              <w:rPr>
                <w:i/>
              </w:rPr>
              <w:t xml:space="preserve">r </w:t>
            </w:r>
            <w:r w:rsidRPr="0013396E">
              <w:t>is the Combined Cycle Train.</w:t>
            </w:r>
          </w:p>
        </w:tc>
      </w:tr>
      <w:tr w:rsidR="001F04FD" w:rsidRPr="0013396E" w14:paraId="6F8ED6FD" w14:textId="77777777" w:rsidTr="00AC4DEE">
        <w:trPr>
          <w:cantSplit/>
        </w:trPr>
        <w:tc>
          <w:tcPr>
            <w:tcW w:w="2088" w:type="dxa"/>
          </w:tcPr>
          <w:p w14:paraId="0359BDCA" w14:textId="77777777" w:rsidR="001F04FD" w:rsidRPr="0013396E" w:rsidRDefault="001F04FD" w:rsidP="00AC4DEE">
            <w:pPr>
              <w:pStyle w:val="TableBody"/>
            </w:pPr>
            <w:r w:rsidRPr="0013396E">
              <w:t>RMRCEFA</w:t>
            </w:r>
            <w:r w:rsidRPr="0013396E">
              <w:rPr>
                <w:vertAlign w:val="subscript"/>
              </w:rPr>
              <w:t xml:space="preserve"> </w:t>
            </w:r>
            <w:r w:rsidRPr="0013396E">
              <w:rPr>
                <w:i/>
                <w:vertAlign w:val="subscript"/>
              </w:rPr>
              <w:t>q, r</w:t>
            </w:r>
          </w:p>
        </w:tc>
        <w:tc>
          <w:tcPr>
            <w:tcW w:w="1080" w:type="dxa"/>
          </w:tcPr>
          <w:p w14:paraId="24D28FE1" w14:textId="77777777" w:rsidR="001F04FD" w:rsidRPr="0013396E" w:rsidRDefault="001F04FD" w:rsidP="00AC4DEE">
            <w:pPr>
              <w:pStyle w:val="TableBody"/>
            </w:pPr>
            <w:r w:rsidRPr="0013396E">
              <w:t>$/MMBtu</w:t>
            </w:r>
          </w:p>
        </w:tc>
        <w:tc>
          <w:tcPr>
            <w:tcW w:w="6775" w:type="dxa"/>
          </w:tcPr>
          <w:p w14:paraId="3CE67121" w14:textId="77777777" w:rsidR="001F04FD" w:rsidRPr="0013396E" w:rsidRDefault="001F04FD" w:rsidP="00AC4DEE">
            <w:pPr>
              <w:pStyle w:val="TableBody"/>
            </w:pPr>
            <w:r w:rsidRPr="0013396E">
              <w:rPr>
                <w:i/>
              </w:rPr>
              <w:t>Reliability Must-Run Contractual Estimated Fuel Adder</w:t>
            </w:r>
            <w:r w:rsidRPr="0013396E">
              <w:t xml:space="preserve">—The Estimated Fuel Adder that is contractually agreed upon in Section 22, Attachment B, Standard Form Reliability Must-Run Agreement.  Where for a Combined Cycle Train, the Resource </w:t>
            </w:r>
            <w:r w:rsidRPr="0013396E">
              <w:rPr>
                <w:i/>
              </w:rPr>
              <w:t xml:space="preserve">r </w:t>
            </w:r>
            <w:r w:rsidRPr="0013396E">
              <w:t>is the Combined Cycle Train.  The fuel adder will be subsequently trued up to reflect actual fuel costs as set forth in item (1) above.</w:t>
            </w:r>
          </w:p>
        </w:tc>
      </w:tr>
      <w:tr w:rsidR="001F04FD" w:rsidRPr="0013396E" w14:paraId="30F22B57" w14:textId="77777777" w:rsidTr="00AC4DEE">
        <w:trPr>
          <w:cantSplit/>
        </w:trPr>
        <w:tc>
          <w:tcPr>
            <w:tcW w:w="2088" w:type="dxa"/>
          </w:tcPr>
          <w:p w14:paraId="55DAA1E4" w14:textId="77777777" w:rsidR="001F04FD" w:rsidRPr="0013396E" w:rsidRDefault="001F04FD" w:rsidP="00AC4DEE">
            <w:pPr>
              <w:pStyle w:val="TableBody"/>
              <w:rPr>
                <w:i/>
              </w:rPr>
            </w:pPr>
            <w:r w:rsidRPr="0013396E">
              <w:rPr>
                <w:i/>
              </w:rPr>
              <w:t>q</w:t>
            </w:r>
          </w:p>
        </w:tc>
        <w:tc>
          <w:tcPr>
            <w:tcW w:w="1080" w:type="dxa"/>
          </w:tcPr>
          <w:p w14:paraId="3F819CF1" w14:textId="77777777" w:rsidR="001F04FD" w:rsidRPr="0013396E" w:rsidRDefault="001F04FD" w:rsidP="00AC4DEE">
            <w:pPr>
              <w:pStyle w:val="TableBody"/>
            </w:pPr>
            <w:r w:rsidRPr="0013396E">
              <w:t>none</w:t>
            </w:r>
          </w:p>
        </w:tc>
        <w:tc>
          <w:tcPr>
            <w:tcW w:w="6775" w:type="dxa"/>
          </w:tcPr>
          <w:p w14:paraId="6A6E9FB7" w14:textId="77777777" w:rsidR="001F04FD" w:rsidRPr="0013396E" w:rsidRDefault="001F04FD" w:rsidP="00AC4DEE">
            <w:pPr>
              <w:pStyle w:val="TableBody"/>
            </w:pPr>
            <w:r w:rsidRPr="0013396E">
              <w:t>A QSE.</w:t>
            </w:r>
          </w:p>
        </w:tc>
      </w:tr>
      <w:tr w:rsidR="001F04FD" w:rsidRPr="0013396E" w14:paraId="3C2BDA2B" w14:textId="77777777" w:rsidTr="00AC4DEE">
        <w:trPr>
          <w:cantSplit/>
        </w:trPr>
        <w:tc>
          <w:tcPr>
            <w:tcW w:w="2088" w:type="dxa"/>
          </w:tcPr>
          <w:p w14:paraId="557565BF" w14:textId="77777777" w:rsidR="001F04FD" w:rsidRPr="0013396E" w:rsidRDefault="001F04FD" w:rsidP="00AC4DEE">
            <w:pPr>
              <w:pStyle w:val="TableBody"/>
              <w:rPr>
                <w:i/>
              </w:rPr>
            </w:pPr>
            <w:r w:rsidRPr="0013396E">
              <w:rPr>
                <w:i/>
              </w:rPr>
              <w:t>r</w:t>
            </w:r>
          </w:p>
        </w:tc>
        <w:tc>
          <w:tcPr>
            <w:tcW w:w="1080" w:type="dxa"/>
          </w:tcPr>
          <w:p w14:paraId="13CD329F" w14:textId="77777777" w:rsidR="001F04FD" w:rsidRPr="0013396E" w:rsidRDefault="001F04FD" w:rsidP="00AC4DEE">
            <w:pPr>
              <w:pStyle w:val="TableBody"/>
            </w:pPr>
            <w:r w:rsidRPr="0013396E">
              <w:t>none</w:t>
            </w:r>
          </w:p>
        </w:tc>
        <w:tc>
          <w:tcPr>
            <w:tcW w:w="6775" w:type="dxa"/>
          </w:tcPr>
          <w:p w14:paraId="421BB642" w14:textId="77777777" w:rsidR="001F04FD" w:rsidRPr="0013396E" w:rsidRDefault="001F04FD" w:rsidP="00AC4DEE">
            <w:pPr>
              <w:pStyle w:val="TableBody"/>
            </w:pPr>
            <w:r w:rsidRPr="0013396E">
              <w:t>An RMR Unit.</w:t>
            </w:r>
          </w:p>
        </w:tc>
      </w:tr>
      <w:tr w:rsidR="001F04FD" w:rsidRPr="0013396E" w14:paraId="4E643914" w14:textId="77777777" w:rsidTr="00AC4DEE">
        <w:trPr>
          <w:cantSplit/>
        </w:trPr>
        <w:tc>
          <w:tcPr>
            <w:tcW w:w="2088" w:type="dxa"/>
          </w:tcPr>
          <w:p w14:paraId="795D7571" w14:textId="77777777" w:rsidR="001F04FD" w:rsidRPr="0013396E" w:rsidRDefault="001F04FD" w:rsidP="00AC4DEE">
            <w:pPr>
              <w:pStyle w:val="TableBody"/>
              <w:rPr>
                <w:i/>
              </w:rPr>
            </w:pPr>
            <w:r w:rsidRPr="0013396E">
              <w:rPr>
                <w:i/>
              </w:rPr>
              <w:lastRenderedPageBreak/>
              <w:t>i</w:t>
            </w:r>
          </w:p>
        </w:tc>
        <w:tc>
          <w:tcPr>
            <w:tcW w:w="1080" w:type="dxa"/>
          </w:tcPr>
          <w:p w14:paraId="116F5761" w14:textId="77777777" w:rsidR="001F04FD" w:rsidRPr="0013396E" w:rsidRDefault="001F04FD" w:rsidP="00AC4DEE">
            <w:pPr>
              <w:pStyle w:val="TableBody"/>
            </w:pPr>
            <w:r w:rsidRPr="0013396E">
              <w:t>none</w:t>
            </w:r>
          </w:p>
        </w:tc>
        <w:tc>
          <w:tcPr>
            <w:tcW w:w="6775" w:type="dxa"/>
          </w:tcPr>
          <w:p w14:paraId="7777EA4B" w14:textId="77777777" w:rsidR="001F04FD" w:rsidRPr="0013396E" w:rsidRDefault="001F04FD" w:rsidP="00AC4DEE">
            <w:pPr>
              <w:pStyle w:val="TableBody"/>
            </w:pPr>
            <w:r w:rsidRPr="0013396E">
              <w:t>A 15-minute Settlement Interval.</w:t>
            </w:r>
          </w:p>
        </w:tc>
      </w:tr>
    </w:tbl>
    <w:p w14:paraId="29B531B8" w14:textId="77777777" w:rsidR="001F04FD" w:rsidRPr="0013396E" w:rsidRDefault="001F04FD" w:rsidP="001F04FD">
      <w:pPr>
        <w:pStyle w:val="BodyTextNumbered"/>
        <w:spacing w:before="240"/>
      </w:pPr>
      <w:r w:rsidRPr="0013396E">
        <w:t>(2)</w:t>
      </w:r>
      <w:r w:rsidRPr="0013396E">
        <w:tab/>
        <w:t>If the RMR actual fuel cost is filed in accordance with the timeline in these Protocols, the monthly RMR variable cost component is calculated for the subsequent resettlements as follows:</w:t>
      </w:r>
    </w:p>
    <w:p w14:paraId="274131D1" w14:textId="77777777" w:rsidR="001F04FD" w:rsidRPr="0013396E" w:rsidRDefault="001F04FD" w:rsidP="001F04FD">
      <w:pPr>
        <w:pStyle w:val="FormulaBold"/>
        <w:tabs>
          <w:tab w:val="left" w:pos="2610"/>
        </w:tabs>
        <w:spacing w:after="0"/>
        <w:rPr>
          <w:lang w:val="pt-BR"/>
        </w:rPr>
      </w:pPr>
      <w:r w:rsidRPr="0013396E">
        <w:rPr>
          <w:lang w:val="pt-BR"/>
        </w:rPr>
        <w:t xml:space="preserve">RMRVCC </w:t>
      </w:r>
      <w:r w:rsidRPr="0013396E">
        <w:rPr>
          <w:i/>
          <w:vertAlign w:val="subscript"/>
          <w:lang w:val="pt-BR"/>
        </w:rPr>
        <w:t>q, r</w:t>
      </w:r>
      <w:r w:rsidRPr="0013396E">
        <w:rPr>
          <w:vertAlign w:val="subscript"/>
          <w:lang w:val="pt-BR"/>
        </w:rPr>
        <w:tab/>
      </w:r>
      <w:r w:rsidRPr="0013396E">
        <w:rPr>
          <w:lang w:val="pt-BR"/>
        </w:rPr>
        <w:t>=</w:t>
      </w:r>
      <w:r w:rsidRPr="0013396E">
        <w:rPr>
          <w:lang w:val="pt-BR"/>
        </w:rPr>
        <w:tab/>
        <w:t xml:space="preserve">(RMRMFCOST </w:t>
      </w:r>
      <w:r w:rsidRPr="0013396E">
        <w:rPr>
          <w:i/>
          <w:vertAlign w:val="subscript"/>
          <w:lang w:val="pt-BR"/>
        </w:rPr>
        <w:t>q, r</w:t>
      </w:r>
      <w:r w:rsidRPr="0013396E">
        <w:rPr>
          <w:lang w:val="pt-BR"/>
        </w:rPr>
        <w:t xml:space="preserve"> + </w:t>
      </w:r>
      <w:r w:rsidRPr="0013396E">
        <w:rPr>
          <w:position w:val="-20"/>
        </w:rPr>
        <w:object w:dxaOrig="225" w:dyaOrig="435" w14:anchorId="305852C6">
          <v:shape id="_x0000_i1165" type="#_x0000_t75" style="width:12pt;height:24pt" o:ole="">
            <v:imagedata r:id="rId203" o:title=""/>
          </v:shape>
          <o:OLEObject Type="Embed" ProgID="Equation.3" ShapeID="_x0000_i1165" DrawAspect="Content" ObjectID="_1836311444" r:id="rId204"/>
        </w:object>
      </w:r>
      <w:r w:rsidRPr="0013396E">
        <w:rPr>
          <w:lang w:val="pt-BR"/>
        </w:rPr>
        <w:t xml:space="preserve">RMREAMT </w:t>
      </w:r>
      <w:r w:rsidRPr="0013396E">
        <w:rPr>
          <w:i/>
          <w:vertAlign w:val="subscript"/>
          <w:lang w:val="pt-BR"/>
        </w:rPr>
        <w:t>q, r, f, h</w:t>
      </w:r>
      <w:r w:rsidRPr="0013396E">
        <w:rPr>
          <w:lang w:val="pt-BR"/>
        </w:rPr>
        <w:t xml:space="preserve">) / </w:t>
      </w:r>
    </w:p>
    <w:p w14:paraId="0B20EDD4" w14:textId="77777777" w:rsidR="001F04FD" w:rsidRPr="0013396E" w:rsidRDefault="001F04FD" w:rsidP="001F04FD">
      <w:pPr>
        <w:pStyle w:val="FormulaBold"/>
        <w:tabs>
          <w:tab w:val="left" w:pos="2610"/>
        </w:tabs>
        <w:ind w:hanging="1350"/>
        <w:rPr>
          <w:lang w:val="pt-BR"/>
        </w:rPr>
      </w:pPr>
      <w:r w:rsidRPr="0013396E">
        <w:rPr>
          <w:lang w:val="pt-BR"/>
        </w:rPr>
        <w:t>(</w:t>
      </w:r>
      <w:r w:rsidRPr="0013396E">
        <w:rPr>
          <w:position w:val="-20"/>
        </w:rPr>
        <w:object w:dxaOrig="225" w:dyaOrig="435" w14:anchorId="476C4D85">
          <v:shape id="_x0000_i1166" type="#_x0000_t75" style="width:12pt;height:24pt" o:ole="">
            <v:imagedata r:id="rId205" o:title=""/>
          </v:shape>
          <o:OLEObject Type="Embed" ProgID="Equation.3" ShapeID="_x0000_i1166" DrawAspect="Content" ObjectID="_1836311445" r:id="rId206"/>
        </w:object>
      </w:r>
      <w:r w:rsidRPr="0013396E">
        <w:rPr>
          <w:lang w:val="pt-BR"/>
        </w:rPr>
        <w:t xml:space="preserve">RTMG </w:t>
      </w:r>
      <w:r w:rsidRPr="0013396E">
        <w:rPr>
          <w:i/>
          <w:vertAlign w:val="subscript"/>
          <w:lang w:val="pt-BR"/>
        </w:rPr>
        <w:t>q, r, i</w:t>
      </w:r>
      <w:r w:rsidRPr="0013396E">
        <w:rPr>
          <w:lang w:val="pt-BR"/>
        </w:rPr>
        <w:t>)</w:t>
      </w:r>
    </w:p>
    <w:p w14:paraId="09509BC3" w14:textId="77777777" w:rsidR="001F04FD" w:rsidRPr="0013396E" w:rsidRDefault="001F04FD" w:rsidP="001F04FD">
      <w:r w:rsidRPr="0013396E">
        <w:t>The above variables are defined as follows:</w:t>
      </w: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98"/>
        <w:gridCol w:w="776"/>
        <w:gridCol w:w="7038"/>
      </w:tblGrid>
      <w:tr w:rsidR="001F04FD" w:rsidRPr="0013396E" w14:paraId="707DC9DB" w14:textId="77777777" w:rsidTr="00AC4DEE">
        <w:trPr>
          <w:cantSplit/>
          <w:tblHeader/>
        </w:trPr>
        <w:tc>
          <w:tcPr>
            <w:tcW w:w="1998" w:type="dxa"/>
          </w:tcPr>
          <w:p w14:paraId="74742EBA" w14:textId="77777777" w:rsidR="001F04FD" w:rsidRPr="0013396E" w:rsidRDefault="001F04FD" w:rsidP="00AC4DEE">
            <w:pPr>
              <w:pStyle w:val="TableHead"/>
            </w:pPr>
            <w:r w:rsidRPr="0013396E">
              <w:t>Variable</w:t>
            </w:r>
          </w:p>
        </w:tc>
        <w:tc>
          <w:tcPr>
            <w:tcW w:w="776" w:type="dxa"/>
          </w:tcPr>
          <w:p w14:paraId="283179D3" w14:textId="77777777" w:rsidR="001F04FD" w:rsidRPr="0013396E" w:rsidRDefault="001F04FD" w:rsidP="00AC4DEE">
            <w:pPr>
              <w:pStyle w:val="TableHead"/>
            </w:pPr>
            <w:r w:rsidRPr="0013396E">
              <w:t>Unit</w:t>
            </w:r>
          </w:p>
        </w:tc>
        <w:tc>
          <w:tcPr>
            <w:tcW w:w="7038" w:type="dxa"/>
          </w:tcPr>
          <w:p w14:paraId="0D1B6EFE" w14:textId="77777777" w:rsidR="001F04FD" w:rsidRPr="0013396E" w:rsidRDefault="001F04FD" w:rsidP="00AC4DEE">
            <w:pPr>
              <w:pStyle w:val="TableHead"/>
            </w:pPr>
            <w:r w:rsidRPr="0013396E">
              <w:t>Definition</w:t>
            </w:r>
          </w:p>
        </w:tc>
      </w:tr>
      <w:tr w:rsidR="001F04FD" w:rsidRPr="0013396E" w14:paraId="24107EAD" w14:textId="77777777" w:rsidTr="00AC4DEE">
        <w:trPr>
          <w:cantSplit/>
        </w:trPr>
        <w:tc>
          <w:tcPr>
            <w:tcW w:w="1998" w:type="dxa"/>
          </w:tcPr>
          <w:p w14:paraId="24B5D09E" w14:textId="77777777" w:rsidR="001F04FD" w:rsidRPr="0013396E" w:rsidRDefault="001F04FD" w:rsidP="00AC4DEE">
            <w:pPr>
              <w:pStyle w:val="TableBody"/>
            </w:pPr>
            <w:r w:rsidRPr="0013396E">
              <w:t xml:space="preserve">RMRVCC </w:t>
            </w:r>
            <w:r w:rsidRPr="0013396E">
              <w:rPr>
                <w:i/>
                <w:vertAlign w:val="subscript"/>
              </w:rPr>
              <w:t>q, r</w:t>
            </w:r>
          </w:p>
        </w:tc>
        <w:tc>
          <w:tcPr>
            <w:tcW w:w="776" w:type="dxa"/>
          </w:tcPr>
          <w:p w14:paraId="6E111330" w14:textId="77777777" w:rsidR="001F04FD" w:rsidRPr="0013396E" w:rsidRDefault="001F04FD" w:rsidP="00AC4DEE">
            <w:pPr>
              <w:pStyle w:val="TableBody"/>
            </w:pPr>
            <w:r w:rsidRPr="0013396E">
              <w:t>$/MWh</w:t>
            </w:r>
          </w:p>
        </w:tc>
        <w:tc>
          <w:tcPr>
            <w:tcW w:w="7038" w:type="dxa"/>
          </w:tcPr>
          <w:p w14:paraId="201A17D1" w14:textId="77777777" w:rsidR="001F04FD" w:rsidRPr="0013396E" w:rsidRDefault="001F04FD" w:rsidP="00AC4DEE">
            <w:pPr>
              <w:pStyle w:val="TableBody"/>
            </w:pPr>
            <w:r w:rsidRPr="0013396E">
              <w:rPr>
                <w:i/>
              </w:rPr>
              <w:t>Reliability Must-Run Variable Cost Component per QSE per Resource</w:t>
            </w:r>
            <w:r w:rsidRPr="0013396E">
              <w:t xml:space="preserve">—The monthly cost component that is used to adjust the energy cost calculation to reflect the actual fuel costs of RMR Unit </w:t>
            </w:r>
            <w:r w:rsidRPr="0013396E">
              <w:rPr>
                <w:i/>
              </w:rPr>
              <w:t>r</w:t>
            </w:r>
            <w:r w:rsidRPr="0013396E">
              <w:t xml:space="preserve"> represented by QSE </w:t>
            </w:r>
            <w:r w:rsidRPr="0013396E">
              <w:rPr>
                <w:i/>
              </w:rPr>
              <w:t>q</w:t>
            </w:r>
            <w:r w:rsidRPr="0013396E">
              <w:t xml:space="preserve">.  Where for a Combined Cycle Train, the Resource </w:t>
            </w:r>
            <w:r w:rsidRPr="0013396E">
              <w:rPr>
                <w:i/>
              </w:rPr>
              <w:t xml:space="preserve">r </w:t>
            </w:r>
            <w:r w:rsidRPr="0013396E">
              <w:t>is the Combined Cycle Train.</w:t>
            </w:r>
          </w:p>
        </w:tc>
      </w:tr>
      <w:tr w:rsidR="001F04FD" w:rsidRPr="0013396E" w14:paraId="06B054DE" w14:textId="77777777" w:rsidTr="00AC4DEE">
        <w:trPr>
          <w:cantSplit/>
        </w:trPr>
        <w:tc>
          <w:tcPr>
            <w:tcW w:w="1998" w:type="dxa"/>
          </w:tcPr>
          <w:p w14:paraId="27D86CD8" w14:textId="77777777" w:rsidR="001F04FD" w:rsidRPr="0013396E" w:rsidRDefault="001F04FD" w:rsidP="00AC4DEE">
            <w:pPr>
              <w:pStyle w:val="TableBody"/>
            </w:pPr>
            <w:r w:rsidRPr="0013396E">
              <w:t xml:space="preserve">RMRMFCOST </w:t>
            </w:r>
            <w:r w:rsidRPr="0013396E">
              <w:rPr>
                <w:i/>
                <w:vertAlign w:val="subscript"/>
              </w:rPr>
              <w:t>q, r</w:t>
            </w:r>
          </w:p>
        </w:tc>
        <w:tc>
          <w:tcPr>
            <w:tcW w:w="776" w:type="dxa"/>
          </w:tcPr>
          <w:p w14:paraId="34D46493" w14:textId="77777777" w:rsidR="001F04FD" w:rsidRPr="0013396E" w:rsidRDefault="001F04FD" w:rsidP="00AC4DEE">
            <w:pPr>
              <w:pStyle w:val="TableBody"/>
            </w:pPr>
            <w:r w:rsidRPr="0013396E">
              <w:t>$</w:t>
            </w:r>
          </w:p>
        </w:tc>
        <w:tc>
          <w:tcPr>
            <w:tcW w:w="7038" w:type="dxa"/>
          </w:tcPr>
          <w:p w14:paraId="53232787" w14:textId="77777777" w:rsidR="001F04FD" w:rsidRPr="0013396E" w:rsidRDefault="001F04FD" w:rsidP="00AC4DEE">
            <w:pPr>
              <w:pStyle w:val="TableBody"/>
            </w:pPr>
            <w:r w:rsidRPr="0013396E">
              <w:rPr>
                <w:i/>
              </w:rPr>
              <w:t>Reliability Must-Run Monthly actual Fuel Cost per QSE per Resource</w:t>
            </w:r>
            <w:r w:rsidRPr="0013396E">
              <w:t xml:space="preserve">—The monthly actual fuel cost of RMR Unit </w:t>
            </w:r>
            <w:r w:rsidRPr="0013396E">
              <w:rPr>
                <w:i/>
              </w:rPr>
              <w:t>r</w:t>
            </w:r>
            <w:r w:rsidRPr="0013396E">
              <w:t xml:space="preserve"> represented by QSE </w:t>
            </w:r>
            <w:r w:rsidRPr="0013396E">
              <w:rPr>
                <w:i/>
              </w:rPr>
              <w:t>q</w:t>
            </w:r>
            <w:r w:rsidRPr="0013396E">
              <w:t xml:space="preserve">, for the month.  Where for a Combined Cycle Train, the Resource </w:t>
            </w:r>
            <w:r w:rsidRPr="0013396E">
              <w:rPr>
                <w:i/>
              </w:rPr>
              <w:t xml:space="preserve">r </w:t>
            </w:r>
            <w:r w:rsidRPr="0013396E">
              <w:t>is the Combined Cycle Train.</w:t>
            </w:r>
          </w:p>
        </w:tc>
      </w:tr>
      <w:tr w:rsidR="001F04FD" w:rsidRPr="0013396E" w14:paraId="5D17F386" w14:textId="77777777" w:rsidTr="00AC4DEE">
        <w:trPr>
          <w:cantSplit/>
        </w:trPr>
        <w:tc>
          <w:tcPr>
            <w:tcW w:w="1998" w:type="dxa"/>
          </w:tcPr>
          <w:p w14:paraId="35B46E90" w14:textId="77777777" w:rsidR="001F04FD" w:rsidRPr="0013396E" w:rsidRDefault="001F04FD" w:rsidP="00AC4DEE">
            <w:pPr>
              <w:pStyle w:val="TableBody"/>
            </w:pPr>
            <w:r w:rsidRPr="0013396E">
              <w:t xml:space="preserve">RTMG </w:t>
            </w:r>
            <w:r w:rsidRPr="0013396E">
              <w:rPr>
                <w:i/>
                <w:vertAlign w:val="subscript"/>
                <w:lang w:val="pt-BR"/>
              </w:rPr>
              <w:t xml:space="preserve">q, r, </w:t>
            </w:r>
            <w:r w:rsidRPr="0013396E">
              <w:rPr>
                <w:i/>
                <w:vertAlign w:val="subscript"/>
              </w:rPr>
              <w:t>i</w:t>
            </w:r>
          </w:p>
        </w:tc>
        <w:tc>
          <w:tcPr>
            <w:tcW w:w="776" w:type="dxa"/>
          </w:tcPr>
          <w:p w14:paraId="660260B4" w14:textId="77777777" w:rsidR="001F04FD" w:rsidRPr="0013396E" w:rsidRDefault="001F04FD" w:rsidP="00AC4DEE">
            <w:pPr>
              <w:pStyle w:val="TableBody"/>
            </w:pPr>
            <w:r w:rsidRPr="0013396E">
              <w:t>MWh</w:t>
            </w:r>
          </w:p>
        </w:tc>
        <w:tc>
          <w:tcPr>
            <w:tcW w:w="7038" w:type="dxa"/>
          </w:tcPr>
          <w:p w14:paraId="0444C3CB" w14:textId="77777777" w:rsidR="001F04FD" w:rsidRPr="0013396E" w:rsidRDefault="001F04FD" w:rsidP="00AC4DEE">
            <w:pPr>
              <w:pStyle w:val="TableBody"/>
            </w:pPr>
            <w:r w:rsidRPr="0013396E">
              <w:rPr>
                <w:i/>
              </w:rPr>
              <w:t>Real-Time Metered Generation per QSE per Resource by Settlement Interval</w:t>
            </w:r>
            <w:r w:rsidRPr="0013396E">
              <w:t xml:space="preserve">—The Real-Time energy from RMR Unit </w:t>
            </w:r>
            <w:r w:rsidRPr="0013396E">
              <w:rPr>
                <w:i/>
              </w:rPr>
              <w:t>r</w:t>
            </w:r>
            <w:r w:rsidRPr="0013396E">
              <w:t xml:space="preserve"> represented by QSE </w:t>
            </w:r>
            <w:r w:rsidRPr="0013396E">
              <w:rPr>
                <w:i/>
              </w:rPr>
              <w:t>q</w:t>
            </w:r>
            <w:r w:rsidRPr="0013396E">
              <w:t xml:space="preserve"> for the 15-minute Settlement Interval </w:t>
            </w:r>
            <w:r w:rsidRPr="0013396E">
              <w:rPr>
                <w:i/>
              </w:rPr>
              <w:t>i</w:t>
            </w:r>
            <w:r w:rsidRPr="0013396E">
              <w:t xml:space="preserve">.  Where for a Combined Cycle Train, the Resource </w:t>
            </w:r>
            <w:r w:rsidRPr="0013396E">
              <w:rPr>
                <w:i/>
              </w:rPr>
              <w:t xml:space="preserve">r </w:t>
            </w:r>
            <w:r w:rsidRPr="0013396E">
              <w:t>is the Combined Cycle Train.</w:t>
            </w:r>
          </w:p>
        </w:tc>
      </w:tr>
      <w:tr w:rsidR="001F04FD" w:rsidRPr="0013396E" w14:paraId="11F9D8E6" w14:textId="77777777" w:rsidTr="00AC4DEE">
        <w:trPr>
          <w:cantSplit/>
        </w:trPr>
        <w:tc>
          <w:tcPr>
            <w:tcW w:w="1998" w:type="dxa"/>
            <w:tcBorders>
              <w:top w:val="single" w:sz="4" w:space="0" w:color="auto"/>
              <w:left w:val="single" w:sz="4" w:space="0" w:color="auto"/>
              <w:bottom w:val="single" w:sz="4" w:space="0" w:color="auto"/>
              <w:right w:val="single" w:sz="4" w:space="0" w:color="auto"/>
            </w:tcBorders>
          </w:tcPr>
          <w:p w14:paraId="7AE63F08" w14:textId="77777777" w:rsidR="001F04FD" w:rsidRPr="0013396E" w:rsidRDefault="001F04FD" w:rsidP="00AC4DEE">
            <w:pPr>
              <w:pStyle w:val="TableBody"/>
              <w:rPr>
                <w:lang w:val="de-DE"/>
              </w:rPr>
            </w:pPr>
            <w:r w:rsidRPr="0013396E">
              <w:rPr>
                <w:lang w:val="de-DE"/>
              </w:rPr>
              <w:t xml:space="preserve">RMREAMT </w:t>
            </w:r>
            <w:r w:rsidRPr="0013396E">
              <w:rPr>
                <w:i/>
                <w:vertAlign w:val="subscript"/>
                <w:lang w:val="de-DE"/>
              </w:rPr>
              <w:t>q, r, f, h</w:t>
            </w:r>
          </w:p>
        </w:tc>
        <w:tc>
          <w:tcPr>
            <w:tcW w:w="776" w:type="dxa"/>
            <w:tcBorders>
              <w:top w:val="single" w:sz="4" w:space="0" w:color="auto"/>
              <w:left w:val="single" w:sz="4" w:space="0" w:color="auto"/>
              <w:bottom w:val="single" w:sz="4" w:space="0" w:color="auto"/>
              <w:right w:val="single" w:sz="4" w:space="0" w:color="auto"/>
            </w:tcBorders>
          </w:tcPr>
          <w:p w14:paraId="6E0D1090" w14:textId="77777777" w:rsidR="001F04FD" w:rsidRPr="0013396E" w:rsidRDefault="001F04FD" w:rsidP="00AC4DEE">
            <w:pPr>
              <w:pStyle w:val="TableBody"/>
            </w:pPr>
            <w:r w:rsidRPr="0013396E">
              <w:t>$</w:t>
            </w:r>
          </w:p>
        </w:tc>
        <w:tc>
          <w:tcPr>
            <w:tcW w:w="7038" w:type="dxa"/>
            <w:tcBorders>
              <w:top w:val="single" w:sz="4" w:space="0" w:color="auto"/>
              <w:left w:val="single" w:sz="4" w:space="0" w:color="auto"/>
              <w:bottom w:val="single" w:sz="4" w:space="0" w:color="auto"/>
              <w:right w:val="single" w:sz="4" w:space="0" w:color="auto"/>
            </w:tcBorders>
          </w:tcPr>
          <w:p w14:paraId="06414B7E" w14:textId="77777777" w:rsidR="001F04FD" w:rsidRPr="0013396E" w:rsidRDefault="001F04FD" w:rsidP="00AC4DEE">
            <w:pPr>
              <w:pStyle w:val="TableBody"/>
            </w:pPr>
            <w:r w:rsidRPr="0013396E">
              <w:rPr>
                <w:i/>
              </w:rPr>
              <w:t>Reliability Must-Run Energy Amount per QSE per Resource by hour</w:t>
            </w:r>
            <w:r w:rsidRPr="0013396E">
              <w:t xml:space="preserve">—The energy payment to QSE </w:t>
            </w:r>
            <w:r w:rsidRPr="0013396E">
              <w:rPr>
                <w:i/>
              </w:rPr>
              <w:t>q</w:t>
            </w:r>
            <w:r w:rsidRPr="0013396E">
              <w:t xml:space="preserve"> for RMR Unit </w:t>
            </w:r>
            <w:r w:rsidRPr="0013396E">
              <w:rPr>
                <w:i/>
              </w:rPr>
              <w:t>r</w:t>
            </w:r>
            <w:r w:rsidRPr="0013396E">
              <w:t xml:space="preserve">, for the hour </w:t>
            </w:r>
            <w:r w:rsidRPr="0013396E">
              <w:rPr>
                <w:i/>
              </w:rPr>
              <w:t>h,</w:t>
            </w:r>
            <w:r w:rsidRPr="0013396E">
              <w:t xml:space="preserve"> from the former Settlement Statement </w:t>
            </w:r>
            <w:r w:rsidRPr="0013396E">
              <w:rPr>
                <w:i/>
              </w:rPr>
              <w:t>f</w:t>
            </w:r>
            <w:r w:rsidRPr="0013396E">
              <w:t xml:space="preserve">.  Where for a Combined Cycle Train, the Resource </w:t>
            </w:r>
            <w:r w:rsidRPr="0013396E">
              <w:rPr>
                <w:i/>
              </w:rPr>
              <w:t xml:space="preserve">r </w:t>
            </w:r>
            <w:r w:rsidRPr="0013396E">
              <w:t>is the Combined Cycle Train.</w:t>
            </w:r>
          </w:p>
        </w:tc>
      </w:tr>
      <w:tr w:rsidR="001F04FD" w:rsidRPr="0013396E" w14:paraId="14A47FD4" w14:textId="77777777" w:rsidTr="00AC4DEE">
        <w:trPr>
          <w:cantSplit/>
        </w:trPr>
        <w:tc>
          <w:tcPr>
            <w:tcW w:w="1998" w:type="dxa"/>
          </w:tcPr>
          <w:p w14:paraId="3902A4E8" w14:textId="77777777" w:rsidR="001F04FD" w:rsidRPr="0013396E" w:rsidRDefault="001F04FD" w:rsidP="00AC4DEE">
            <w:pPr>
              <w:pStyle w:val="TableBody"/>
              <w:rPr>
                <w:i/>
              </w:rPr>
            </w:pPr>
            <w:r w:rsidRPr="0013396E">
              <w:rPr>
                <w:i/>
              </w:rPr>
              <w:t>q</w:t>
            </w:r>
          </w:p>
        </w:tc>
        <w:tc>
          <w:tcPr>
            <w:tcW w:w="776" w:type="dxa"/>
          </w:tcPr>
          <w:p w14:paraId="357D1859" w14:textId="77777777" w:rsidR="001F04FD" w:rsidRPr="0013396E" w:rsidRDefault="001F04FD" w:rsidP="00AC4DEE">
            <w:pPr>
              <w:pStyle w:val="TableBody"/>
            </w:pPr>
            <w:r w:rsidRPr="0013396E">
              <w:t>none</w:t>
            </w:r>
          </w:p>
        </w:tc>
        <w:tc>
          <w:tcPr>
            <w:tcW w:w="7038" w:type="dxa"/>
          </w:tcPr>
          <w:p w14:paraId="1B1BCD6D" w14:textId="77777777" w:rsidR="001F04FD" w:rsidRPr="0013396E" w:rsidRDefault="001F04FD" w:rsidP="00AC4DEE">
            <w:pPr>
              <w:pStyle w:val="TableBody"/>
            </w:pPr>
            <w:r w:rsidRPr="0013396E">
              <w:t>A QSE.</w:t>
            </w:r>
          </w:p>
        </w:tc>
      </w:tr>
      <w:tr w:rsidR="001F04FD" w:rsidRPr="0013396E" w14:paraId="77FEE849" w14:textId="77777777" w:rsidTr="00AC4DEE">
        <w:trPr>
          <w:cantSplit/>
        </w:trPr>
        <w:tc>
          <w:tcPr>
            <w:tcW w:w="1998" w:type="dxa"/>
          </w:tcPr>
          <w:p w14:paraId="05C8A875" w14:textId="77777777" w:rsidR="001F04FD" w:rsidRPr="0013396E" w:rsidRDefault="001F04FD" w:rsidP="00AC4DEE">
            <w:pPr>
              <w:pStyle w:val="TableBody"/>
              <w:rPr>
                <w:i/>
              </w:rPr>
            </w:pPr>
            <w:r w:rsidRPr="0013396E">
              <w:rPr>
                <w:i/>
              </w:rPr>
              <w:t>r</w:t>
            </w:r>
          </w:p>
        </w:tc>
        <w:tc>
          <w:tcPr>
            <w:tcW w:w="776" w:type="dxa"/>
          </w:tcPr>
          <w:p w14:paraId="7DF34C12" w14:textId="77777777" w:rsidR="001F04FD" w:rsidRPr="0013396E" w:rsidRDefault="001F04FD" w:rsidP="00AC4DEE">
            <w:pPr>
              <w:pStyle w:val="TableBody"/>
            </w:pPr>
            <w:r w:rsidRPr="0013396E">
              <w:t>none</w:t>
            </w:r>
          </w:p>
        </w:tc>
        <w:tc>
          <w:tcPr>
            <w:tcW w:w="7038" w:type="dxa"/>
          </w:tcPr>
          <w:p w14:paraId="79BA37E3" w14:textId="77777777" w:rsidR="001F04FD" w:rsidRPr="0013396E" w:rsidRDefault="001F04FD" w:rsidP="00AC4DEE">
            <w:pPr>
              <w:pStyle w:val="TableBody"/>
            </w:pPr>
            <w:r w:rsidRPr="0013396E">
              <w:t>An RMR Unit.</w:t>
            </w:r>
          </w:p>
        </w:tc>
      </w:tr>
      <w:tr w:rsidR="001F04FD" w:rsidRPr="0013396E" w14:paraId="60CD1545" w14:textId="77777777" w:rsidTr="00AC4DEE">
        <w:trPr>
          <w:cantSplit/>
        </w:trPr>
        <w:tc>
          <w:tcPr>
            <w:tcW w:w="1998" w:type="dxa"/>
          </w:tcPr>
          <w:p w14:paraId="09223D39" w14:textId="77777777" w:rsidR="001F04FD" w:rsidRPr="0013396E" w:rsidRDefault="001F04FD" w:rsidP="00AC4DEE">
            <w:pPr>
              <w:pStyle w:val="TableBody"/>
              <w:rPr>
                <w:i/>
              </w:rPr>
            </w:pPr>
            <w:r w:rsidRPr="0013396E">
              <w:rPr>
                <w:i/>
              </w:rPr>
              <w:t>h</w:t>
            </w:r>
          </w:p>
        </w:tc>
        <w:tc>
          <w:tcPr>
            <w:tcW w:w="776" w:type="dxa"/>
          </w:tcPr>
          <w:p w14:paraId="01935B33" w14:textId="77777777" w:rsidR="001F04FD" w:rsidRPr="0013396E" w:rsidRDefault="001F04FD" w:rsidP="00AC4DEE">
            <w:pPr>
              <w:pStyle w:val="TableBody"/>
            </w:pPr>
            <w:r w:rsidRPr="0013396E">
              <w:t>none</w:t>
            </w:r>
          </w:p>
        </w:tc>
        <w:tc>
          <w:tcPr>
            <w:tcW w:w="7038" w:type="dxa"/>
          </w:tcPr>
          <w:p w14:paraId="0D1E5C71" w14:textId="77777777" w:rsidR="001F04FD" w:rsidRPr="0013396E" w:rsidRDefault="001F04FD" w:rsidP="00AC4DEE">
            <w:pPr>
              <w:pStyle w:val="TableBody"/>
              <w:rPr>
                <w:i/>
              </w:rPr>
            </w:pPr>
            <w:r w:rsidRPr="0013396E">
              <w:t>An hour in the month.</w:t>
            </w:r>
          </w:p>
        </w:tc>
      </w:tr>
      <w:tr w:rsidR="001F04FD" w:rsidRPr="0013396E" w14:paraId="3CA01561" w14:textId="77777777" w:rsidTr="00AC4DEE">
        <w:trPr>
          <w:cantSplit/>
        </w:trPr>
        <w:tc>
          <w:tcPr>
            <w:tcW w:w="1998" w:type="dxa"/>
          </w:tcPr>
          <w:p w14:paraId="36B5E294" w14:textId="77777777" w:rsidR="001F04FD" w:rsidRPr="0013396E" w:rsidRDefault="001F04FD" w:rsidP="00AC4DEE">
            <w:pPr>
              <w:pStyle w:val="TableBody"/>
              <w:rPr>
                <w:i/>
              </w:rPr>
            </w:pPr>
            <w:r w:rsidRPr="0013396E">
              <w:rPr>
                <w:i/>
              </w:rPr>
              <w:t>i</w:t>
            </w:r>
          </w:p>
        </w:tc>
        <w:tc>
          <w:tcPr>
            <w:tcW w:w="776" w:type="dxa"/>
          </w:tcPr>
          <w:p w14:paraId="7AC21623" w14:textId="77777777" w:rsidR="001F04FD" w:rsidRPr="0013396E" w:rsidRDefault="001F04FD" w:rsidP="00AC4DEE">
            <w:pPr>
              <w:pStyle w:val="TableBody"/>
            </w:pPr>
            <w:r w:rsidRPr="0013396E">
              <w:t>none</w:t>
            </w:r>
          </w:p>
        </w:tc>
        <w:tc>
          <w:tcPr>
            <w:tcW w:w="7038" w:type="dxa"/>
          </w:tcPr>
          <w:p w14:paraId="02D83CC5" w14:textId="77777777" w:rsidR="001F04FD" w:rsidRPr="0013396E" w:rsidRDefault="001F04FD" w:rsidP="00AC4DEE">
            <w:pPr>
              <w:pStyle w:val="TableBody"/>
              <w:rPr>
                <w:i/>
              </w:rPr>
            </w:pPr>
            <w:r w:rsidRPr="0013396E">
              <w:t>A 15-minute Settlement Interval in the month.</w:t>
            </w:r>
          </w:p>
        </w:tc>
      </w:tr>
      <w:tr w:rsidR="001F04FD" w:rsidRPr="0013396E" w14:paraId="13483CA2" w14:textId="77777777" w:rsidTr="00AC4DEE">
        <w:trPr>
          <w:cantSplit/>
        </w:trPr>
        <w:tc>
          <w:tcPr>
            <w:tcW w:w="1998" w:type="dxa"/>
            <w:tcBorders>
              <w:top w:val="single" w:sz="4" w:space="0" w:color="auto"/>
              <w:left w:val="single" w:sz="4" w:space="0" w:color="auto"/>
              <w:bottom w:val="single" w:sz="4" w:space="0" w:color="auto"/>
              <w:right w:val="single" w:sz="4" w:space="0" w:color="auto"/>
            </w:tcBorders>
          </w:tcPr>
          <w:p w14:paraId="6460EC7A" w14:textId="77777777" w:rsidR="001F04FD" w:rsidRPr="0013396E" w:rsidRDefault="001F04FD" w:rsidP="00AC4DEE">
            <w:pPr>
              <w:pStyle w:val="TableBody"/>
              <w:rPr>
                <w:i/>
              </w:rPr>
            </w:pPr>
            <w:r w:rsidRPr="0013396E">
              <w:rPr>
                <w:i/>
              </w:rPr>
              <w:t>f</w:t>
            </w:r>
          </w:p>
        </w:tc>
        <w:tc>
          <w:tcPr>
            <w:tcW w:w="776" w:type="dxa"/>
            <w:tcBorders>
              <w:top w:val="single" w:sz="4" w:space="0" w:color="auto"/>
              <w:left w:val="single" w:sz="4" w:space="0" w:color="auto"/>
              <w:bottom w:val="single" w:sz="4" w:space="0" w:color="auto"/>
              <w:right w:val="single" w:sz="4" w:space="0" w:color="auto"/>
            </w:tcBorders>
          </w:tcPr>
          <w:p w14:paraId="755CE4AD" w14:textId="77777777" w:rsidR="001F04FD" w:rsidRPr="0013396E" w:rsidRDefault="001F04FD" w:rsidP="00AC4DEE">
            <w:pPr>
              <w:pStyle w:val="TableBody"/>
            </w:pPr>
            <w:r w:rsidRPr="0013396E">
              <w:t>none</w:t>
            </w:r>
          </w:p>
        </w:tc>
        <w:tc>
          <w:tcPr>
            <w:tcW w:w="7038" w:type="dxa"/>
            <w:tcBorders>
              <w:top w:val="single" w:sz="4" w:space="0" w:color="auto"/>
              <w:left w:val="single" w:sz="4" w:space="0" w:color="auto"/>
              <w:bottom w:val="single" w:sz="4" w:space="0" w:color="auto"/>
              <w:right w:val="single" w:sz="4" w:space="0" w:color="auto"/>
            </w:tcBorders>
          </w:tcPr>
          <w:p w14:paraId="07BDB152" w14:textId="77777777" w:rsidR="001F04FD" w:rsidRPr="0013396E" w:rsidRDefault="001F04FD" w:rsidP="00AC4DEE">
            <w:pPr>
              <w:pStyle w:val="TableBody"/>
            </w:pPr>
            <w:r w:rsidRPr="0013396E">
              <w:t>Amount from former settlement run.</w:t>
            </w:r>
          </w:p>
        </w:tc>
      </w:tr>
    </w:tbl>
    <w:p w14:paraId="554ABBE9" w14:textId="77777777" w:rsidR="001F04FD" w:rsidRPr="0013396E" w:rsidRDefault="001F04FD" w:rsidP="001F04FD"/>
    <w:p w14:paraId="2F17C82A" w14:textId="77777777" w:rsidR="001F04FD" w:rsidRPr="0013396E" w:rsidRDefault="001F04FD" w:rsidP="001F04FD">
      <w:pPr>
        <w:pStyle w:val="BodyTextNumbered"/>
      </w:pPr>
      <w:bookmarkStart w:id="1936" w:name="_Toc87951800"/>
      <w:bookmarkStart w:id="1937" w:name="_Toc109009410"/>
      <w:r w:rsidRPr="0013396E">
        <w:t>(3)</w:t>
      </w:r>
      <w:r w:rsidRPr="0013396E">
        <w:tab/>
        <w:t>The total of the payments for energy to each QSE for all RMR Units represented by this QSE for a given hour is calculated as follows:</w:t>
      </w:r>
    </w:p>
    <w:p w14:paraId="3E66CA06" w14:textId="77777777" w:rsidR="001F04FD" w:rsidRPr="0013396E" w:rsidRDefault="001F04FD" w:rsidP="001F04FD">
      <w:pPr>
        <w:pStyle w:val="FormulaBold"/>
      </w:pPr>
      <w:r w:rsidRPr="0013396E">
        <w:t xml:space="preserve">RMREAMTQSETOT </w:t>
      </w:r>
      <w:r w:rsidRPr="0013396E">
        <w:rPr>
          <w:i/>
          <w:vertAlign w:val="subscript"/>
        </w:rPr>
        <w:t>q</w:t>
      </w:r>
      <w:r w:rsidRPr="0013396E">
        <w:tab/>
        <w:t>=</w:t>
      </w:r>
      <w:r w:rsidRPr="0013396E">
        <w:tab/>
      </w:r>
      <w:r w:rsidRPr="0013396E">
        <w:rPr>
          <w:position w:val="-18"/>
        </w:rPr>
        <w:object w:dxaOrig="225" w:dyaOrig="420" w14:anchorId="20E6CE1F">
          <v:shape id="_x0000_i1167" type="#_x0000_t75" style="width:12pt;height:24pt" o:ole="">
            <v:imagedata r:id="rId207" o:title=""/>
          </v:shape>
          <o:OLEObject Type="Embed" ProgID="Equation.3" ShapeID="_x0000_i1167" DrawAspect="Content" ObjectID="_1836311446" r:id="rId208"/>
        </w:object>
      </w:r>
      <w:r w:rsidRPr="0013396E">
        <w:t xml:space="preserve">RMREAMT </w:t>
      </w:r>
      <w:r w:rsidRPr="0013396E">
        <w:rPr>
          <w:i/>
          <w:vertAlign w:val="subscript"/>
        </w:rPr>
        <w:t>q, r</w:t>
      </w:r>
    </w:p>
    <w:p w14:paraId="08612F0F" w14:textId="77777777" w:rsidR="001F04FD" w:rsidRPr="0013396E" w:rsidRDefault="001F04FD" w:rsidP="001F04FD">
      <w:r w:rsidRPr="0013396E">
        <w:t>The above variables are defined as follows:</w:t>
      </w: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5"/>
        <w:gridCol w:w="832"/>
        <w:gridCol w:w="6074"/>
      </w:tblGrid>
      <w:tr w:rsidR="001F04FD" w:rsidRPr="0013396E" w14:paraId="48C379FC" w14:textId="77777777" w:rsidTr="00AC4DEE">
        <w:tc>
          <w:tcPr>
            <w:tcW w:w="2165" w:type="dxa"/>
          </w:tcPr>
          <w:p w14:paraId="135714FD" w14:textId="77777777" w:rsidR="001F04FD" w:rsidRPr="0013396E" w:rsidRDefault="001F04FD" w:rsidP="00AC4DEE">
            <w:pPr>
              <w:pStyle w:val="TableHead"/>
            </w:pPr>
            <w:r w:rsidRPr="0013396E">
              <w:t>Variable</w:t>
            </w:r>
          </w:p>
        </w:tc>
        <w:tc>
          <w:tcPr>
            <w:tcW w:w="832" w:type="dxa"/>
          </w:tcPr>
          <w:p w14:paraId="0ECCECC7" w14:textId="77777777" w:rsidR="001F04FD" w:rsidRPr="0013396E" w:rsidRDefault="001F04FD" w:rsidP="00AC4DEE">
            <w:pPr>
              <w:pStyle w:val="TableHead"/>
            </w:pPr>
            <w:r w:rsidRPr="0013396E">
              <w:t>Unit</w:t>
            </w:r>
          </w:p>
        </w:tc>
        <w:tc>
          <w:tcPr>
            <w:tcW w:w="6074" w:type="dxa"/>
          </w:tcPr>
          <w:p w14:paraId="66A450FA" w14:textId="77777777" w:rsidR="001F04FD" w:rsidRPr="0013396E" w:rsidRDefault="001F04FD" w:rsidP="00AC4DEE">
            <w:pPr>
              <w:pStyle w:val="TableHead"/>
            </w:pPr>
            <w:r w:rsidRPr="0013396E">
              <w:t>Definition</w:t>
            </w:r>
          </w:p>
        </w:tc>
      </w:tr>
      <w:tr w:rsidR="001F04FD" w:rsidRPr="0013396E" w14:paraId="25B69265" w14:textId="77777777" w:rsidTr="00AC4DEE">
        <w:tc>
          <w:tcPr>
            <w:tcW w:w="2165" w:type="dxa"/>
          </w:tcPr>
          <w:p w14:paraId="0E2B995C" w14:textId="77777777" w:rsidR="001F04FD" w:rsidRPr="0013396E" w:rsidRDefault="001F04FD" w:rsidP="00AC4DEE">
            <w:pPr>
              <w:pStyle w:val="TableBody"/>
            </w:pPr>
            <w:r w:rsidRPr="0013396E">
              <w:t xml:space="preserve">RMREAMTQSETOT </w:t>
            </w:r>
            <w:r w:rsidRPr="0013396E">
              <w:rPr>
                <w:i/>
                <w:vertAlign w:val="subscript"/>
              </w:rPr>
              <w:t>q</w:t>
            </w:r>
          </w:p>
        </w:tc>
        <w:tc>
          <w:tcPr>
            <w:tcW w:w="832" w:type="dxa"/>
          </w:tcPr>
          <w:p w14:paraId="39A7059C" w14:textId="77777777" w:rsidR="001F04FD" w:rsidRPr="0013396E" w:rsidRDefault="001F04FD" w:rsidP="00AC4DEE">
            <w:pPr>
              <w:pStyle w:val="TableBody"/>
            </w:pPr>
            <w:r w:rsidRPr="0013396E">
              <w:t>$</w:t>
            </w:r>
          </w:p>
        </w:tc>
        <w:tc>
          <w:tcPr>
            <w:tcW w:w="6074" w:type="dxa"/>
          </w:tcPr>
          <w:p w14:paraId="578F0B6F" w14:textId="77777777" w:rsidR="001F04FD" w:rsidRPr="0013396E" w:rsidRDefault="001F04FD" w:rsidP="00AC4DEE">
            <w:pPr>
              <w:pStyle w:val="TableBody"/>
            </w:pPr>
            <w:r w:rsidRPr="0013396E">
              <w:rPr>
                <w:i/>
              </w:rPr>
              <w:t>Reliability Must-Run Energy Amount QSE Total per QSE</w:t>
            </w:r>
            <w:r w:rsidRPr="0013396E">
              <w:sym w:font="Symbol" w:char="F0BE"/>
            </w:r>
            <w:r w:rsidRPr="0013396E">
              <w:t xml:space="preserve">The total of the energy payments to QSE </w:t>
            </w:r>
            <w:r w:rsidRPr="0013396E">
              <w:rPr>
                <w:i/>
              </w:rPr>
              <w:t>q</w:t>
            </w:r>
            <w:r w:rsidRPr="0013396E">
              <w:t xml:space="preserve"> for all RMR Units represented by this QSE for the hour.</w:t>
            </w:r>
          </w:p>
        </w:tc>
      </w:tr>
      <w:tr w:rsidR="001F04FD" w:rsidRPr="0013396E" w14:paraId="46E18E60" w14:textId="77777777" w:rsidTr="00AC4DEE">
        <w:tc>
          <w:tcPr>
            <w:tcW w:w="2165" w:type="dxa"/>
          </w:tcPr>
          <w:p w14:paraId="681AE3D6" w14:textId="77777777" w:rsidR="001F04FD" w:rsidRPr="0013396E" w:rsidRDefault="001F04FD" w:rsidP="00AC4DEE">
            <w:pPr>
              <w:pStyle w:val="TableBody"/>
            </w:pPr>
            <w:r w:rsidRPr="0013396E">
              <w:lastRenderedPageBreak/>
              <w:t xml:space="preserve">RMREAMT </w:t>
            </w:r>
            <w:r w:rsidRPr="0013396E">
              <w:rPr>
                <w:i/>
                <w:vertAlign w:val="subscript"/>
              </w:rPr>
              <w:t>q, r</w:t>
            </w:r>
          </w:p>
        </w:tc>
        <w:tc>
          <w:tcPr>
            <w:tcW w:w="832" w:type="dxa"/>
          </w:tcPr>
          <w:p w14:paraId="6AA37CF4" w14:textId="77777777" w:rsidR="001F04FD" w:rsidRPr="0013396E" w:rsidRDefault="001F04FD" w:rsidP="00AC4DEE">
            <w:pPr>
              <w:pStyle w:val="TableBody"/>
            </w:pPr>
            <w:r w:rsidRPr="0013396E">
              <w:t>$</w:t>
            </w:r>
          </w:p>
        </w:tc>
        <w:tc>
          <w:tcPr>
            <w:tcW w:w="6074" w:type="dxa"/>
          </w:tcPr>
          <w:p w14:paraId="1CFD9248" w14:textId="77777777" w:rsidR="001F04FD" w:rsidRPr="0013396E" w:rsidRDefault="001F04FD" w:rsidP="00AC4DEE">
            <w:pPr>
              <w:pStyle w:val="TableBody"/>
            </w:pPr>
            <w:r w:rsidRPr="0013396E">
              <w:rPr>
                <w:i/>
              </w:rPr>
              <w:t>Reliability Must-Run Energy Amount per QSE per Resource by hour</w:t>
            </w:r>
            <w:r w:rsidRPr="0013396E">
              <w:t xml:space="preserve">—The energy payment to QSE </w:t>
            </w:r>
            <w:r w:rsidRPr="0013396E">
              <w:rPr>
                <w:i/>
              </w:rPr>
              <w:t>q</w:t>
            </w:r>
            <w:r w:rsidRPr="0013396E">
              <w:t xml:space="preserve"> for RMR Unit </w:t>
            </w:r>
            <w:r w:rsidRPr="0013396E">
              <w:rPr>
                <w:i/>
              </w:rPr>
              <w:t>r</w:t>
            </w:r>
            <w:r w:rsidRPr="0013396E">
              <w:t xml:space="preserve">, for the hour.  Where for a Combined Cycle Train, the Resource </w:t>
            </w:r>
            <w:r w:rsidRPr="0013396E">
              <w:rPr>
                <w:i/>
              </w:rPr>
              <w:t xml:space="preserve">r </w:t>
            </w:r>
            <w:r w:rsidRPr="0013396E">
              <w:t>is the Combined Cycle Train.</w:t>
            </w:r>
          </w:p>
        </w:tc>
      </w:tr>
      <w:tr w:rsidR="001F04FD" w:rsidRPr="0013396E" w14:paraId="05D1EF2B" w14:textId="77777777" w:rsidTr="00AC4DEE">
        <w:tc>
          <w:tcPr>
            <w:tcW w:w="2165" w:type="dxa"/>
            <w:tcBorders>
              <w:top w:val="single" w:sz="4" w:space="0" w:color="auto"/>
              <w:left w:val="single" w:sz="4" w:space="0" w:color="auto"/>
              <w:bottom w:val="single" w:sz="4" w:space="0" w:color="auto"/>
              <w:right w:val="single" w:sz="4" w:space="0" w:color="auto"/>
            </w:tcBorders>
          </w:tcPr>
          <w:p w14:paraId="561FD7E2" w14:textId="77777777" w:rsidR="001F04FD" w:rsidRPr="0013396E" w:rsidRDefault="001F04FD" w:rsidP="00AC4DEE">
            <w:pPr>
              <w:pStyle w:val="TableBody"/>
              <w:rPr>
                <w:i/>
              </w:rPr>
            </w:pPr>
            <w:r w:rsidRPr="0013396E">
              <w:rPr>
                <w:i/>
              </w:rPr>
              <w:t>q</w:t>
            </w:r>
          </w:p>
        </w:tc>
        <w:tc>
          <w:tcPr>
            <w:tcW w:w="832" w:type="dxa"/>
            <w:tcBorders>
              <w:top w:val="single" w:sz="4" w:space="0" w:color="auto"/>
              <w:left w:val="single" w:sz="4" w:space="0" w:color="auto"/>
              <w:bottom w:val="single" w:sz="4" w:space="0" w:color="auto"/>
              <w:right w:val="single" w:sz="4" w:space="0" w:color="auto"/>
            </w:tcBorders>
          </w:tcPr>
          <w:p w14:paraId="1EA9DF3B" w14:textId="77777777" w:rsidR="001F04FD" w:rsidRPr="0013396E" w:rsidRDefault="001F04FD" w:rsidP="00AC4DEE">
            <w:pPr>
              <w:pStyle w:val="TableBody"/>
            </w:pPr>
            <w:r w:rsidRPr="0013396E">
              <w:t>none</w:t>
            </w:r>
          </w:p>
        </w:tc>
        <w:tc>
          <w:tcPr>
            <w:tcW w:w="6074" w:type="dxa"/>
            <w:tcBorders>
              <w:top w:val="single" w:sz="4" w:space="0" w:color="auto"/>
              <w:left w:val="single" w:sz="4" w:space="0" w:color="auto"/>
              <w:bottom w:val="single" w:sz="4" w:space="0" w:color="auto"/>
              <w:right w:val="single" w:sz="4" w:space="0" w:color="auto"/>
            </w:tcBorders>
          </w:tcPr>
          <w:p w14:paraId="75E5A403" w14:textId="77777777" w:rsidR="001F04FD" w:rsidRPr="0013396E" w:rsidRDefault="001F04FD" w:rsidP="00AC4DEE">
            <w:pPr>
              <w:pStyle w:val="TableBody"/>
            </w:pPr>
            <w:r w:rsidRPr="0013396E">
              <w:t>A QSE.</w:t>
            </w:r>
          </w:p>
        </w:tc>
      </w:tr>
      <w:tr w:rsidR="001F04FD" w:rsidRPr="0013396E" w14:paraId="2598DB51" w14:textId="77777777" w:rsidTr="00AC4DEE">
        <w:tc>
          <w:tcPr>
            <w:tcW w:w="2165" w:type="dxa"/>
            <w:tcBorders>
              <w:top w:val="single" w:sz="4" w:space="0" w:color="auto"/>
              <w:left w:val="single" w:sz="4" w:space="0" w:color="auto"/>
              <w:bottom w:val="single" w:sz="4" w:space="0" w:color="auto"/>
              <w:right w:val="single" w:sz="4" w:space="0" w:color="auto"/>
            </w:tcBorders>
          </w:tcPr>
          <w:p w14:paraId="61D103A2" w14:textId="77777777" w:rsidR="001F04FD" w:rsidRPr="0013396E" w:rsidRDefault="001F04FD" w:rsidP="00AC4DEE">
            <w:pPr>
              <w:pStyle w:val="TableBody"/>
              <w:rPr>
                <w:i/>
              </w:rPr>
            </w:pPr>
            <w:r w:rsidRPr="0013396E">
              <w:rPr>
                <w:i/>
              </w:rPr>
              <w:t>r</w:t>
            </w:r>
          </w:p>
        </w:tc>
        <w:tc>
          <w:tcPr>
            <w:tcW w:w="832" w:type="dxa"/>
            <w:tcBorders>
              <w:top w:val="single" w:sz="4" w:space="0" w:color="auto"/>
              <w:left w:val="single" w:sz="4" w:space="0" w:color="auto"/>
              <w:bottom w:val="single" w:sz="4" w:space="0" w:color="auto"/>
              <w:right w:val="single" w:sz="4" w:space="0" w:color="auto"/>
            </w:tcBorders>
          </w:tcPr>
          <w:p w14:paraId="2A8554D7" w14:textId="77777777" w:rsidR="001F04FD" w:rsidRPr="0013396E" w:rsidRDefault="001F04FD" w:rsidP="00AC4DEE">
            <w:pPr>
              <w:pStyle w:val="TableBody"/>
            </w:pPr>
            <w:r w:rsidRPr="0013396E">
              <w:t>none</w:t>
            </w:r>
          </w:p>
        </w:tc>
        <w:tc>
          <w:tcPr>
            <w:tcW w:w="6074" w:type="dxa"/>
            <w:tcBorders>
              <w:top w:val="single" w:sz="4" w:space="0" w:color="auto"/>
              <w:left w:val="single" w:sz="4" w:space="0" w:color="auto"/>
              <w:bottom w:val="single" w:sz="4" w:space="0" w:color="auto"/>
              <w:right w:val="single" w:sz="4" w:space="0" w:color="auto"/>
            </w:tcBorders>
          </w:tcPr>
          <w:p w14:paraId="581480AA" w14:textId="77777777" w:rsidR="001F04FD" w:rsidRPr="0013396E" w:rsidRDefault="001F04FD" w:rsidP="00AC4DEE">
            <w:pPr>
              <w:pStyle w:val="TableBody"/>
            </w:pPr>
            <w:r w:rsidRPr="0013396E">
              <w:t>An RMR Unit.</w:t>
            </w:r>
          </w:p>
        </w:tc>
      </w:tr>
    </w:tbl>
    <w:p w14:paraId="742278EE" w14:textId="77777777" w:rsidR="001F04FD" w:rsidRPr="0013396E" w:rsidRDefault="001F04FD" w:rsidP="001F04FD">
      <w:pPr>
        <w:pStyle w:val="H4"/>
        <w:spacing w:before="480"/>
        <w:ind w:left="1267" w:hanging="1267"/>
      </w:pPr>
      <w:bookmarkStart w:id="1938" w:name="_Toc397505029"/>
      <w:bookmarkStart w:id="1939" w:name="_Toc402357161"/>
      <w:bookmarkStart w:id="1940" w:name="_Toc422486541"/>
      <w:bookmarkStart w:id="1941" w:name="_Toc433093394"/>
      <w:bookmarkStart w:id="1942" w:name="_Toc433093552"/>
      <w:bookmarkStart w:id="1943" w:name="_Toc440874782"/>
      <w:bookmarkStart w:id="1944" w:name="_Toc448142339"/>
      <w:bookmarkStart w:id="1945" w:name="_Toc448142496"/>
      <w:bookmarkStart w:id="1946" w:name="_Toc458770337"/>
      <w:bookmarkStart w:id="1947" w:name="_Toc459294305"/>
      <w:bookmarkStart w:id="1948" w:name="_Toc463262798"/>
      <w:bookmarkStart w:id="1949" w:name="_Toc468286871"/>
      <w:bookmarkStart w:id="1950" w:name="_Toc481502911"/>
      <w:bookmarkStart w:id="1951" w:name="_Toc496080079"/>
      <w:bookmarkStart w:id="1952" w:name="_Toc214878996"/>
      <w:r w:rsidRPr="0013396E">
        <w:t>6.6.6.3</w:t>
      </w:r>
      <w:r w:rsidRPr="0013396E">
        <w:tab/>
        <w:t>RMR Adjustment Charge</w:t>
      </w:r>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p>
    <w:p w14:paraId="69863FBD" w14:textId="77777777" w:rsidR="001F04FD" w:rsidRPr="0013396E" w:rsidRDefault="001F04FD" w:rsidP="001F04FD">
      <w:pPr>
        <w:pStyle w:val="BodyTextNumbered"/>
      </w:pPr>
      <w:r w:rsidRPr="0013396E">
        <w:t>(1)</w:t>
      </w:r>
      <w:r w:rsidRPr="0013396E">
        <w:tab/>
        <w:t>Each QSE that represents an RMR Unit shall pay a charge designed to recover the net total revenues from RUC settlements, and from Real-Time settlements received by that QSE for all RMR Units that it represents, except that the charge does not include net revenues received by the QSE for the RMR Standby Payments calculated under Section 6.6.6.1, RMR Standby Payment, and the RMR energy payments calculated under Section 6.6.6.2, RMR Payment for Energy.</w:t>
      </w:r>
    </w:p>
    <w:p w14:paraId="5E482A79" w14:textId="77777777" w:rsidR="001F04FD" w:rsidRPr="0013396E" w:rsidRDefault="001F04FD" w:rsidP="001F04FD">
      <w:pPr>
        <w:pStyle w:val="BodyTextNumbered"/>
        <w:rPr>
          <w:iCs/>
        </w:rPr>
      </w:pPr>
      <w:r w:rsidRPr="0013396E">
        <w:rPr>
          <w:iCs/>
        </w:rPr>
        <w:t>(2)</w:t>
      </w:r>
      <w:r w:rsidRPr="0013396E">
        <w:rPr>
          <w:iCs/>
        </w:rPr>
        <w:tab/>
        <w:t>The charge for each QSE representing an RMR Unit for a given Operating Hour is calculated as follows:</w:t>
      </w:r>
    </w:p>
    <w:p w14:paraId="1192449E" w14:textId="77777777" w:rsidR="001F04FD" w:rsidRPr="0013396E" w:rsidRDefault="001F04FD" w:rsidP="001F04FD">
      <w:pPr>
        <w:pStyle w:val="FormulaBold"/>
        <w:tabs>
          <w:tab w:val="clear" w:pos="2250"/>
          <w:tab w:val="clear" w:pos="3150"/>
          <w:tab w:val="clear" w:pos="3960"/>
          <w:tab w:val="left" w:pos="2790"/>
          <w:tab w:val="left" w:pos="3240"/>
        </w:tabs>
        <w:ind w:left="3240" w:hanging="2520"/>
      </w:pPr>
      <w:r w:rsidRPr="0013396E">
        <w:t xml:space="preserve">RMRAAMT </w:t>
      </w:r>
      <w:r w:rsidRPr="0013396E">
        <w:rPr>
          <w:i/>
          <w:vertAlign w:val="subscript"/>
        </w:rPr>
        <w:t>q</w:t>
      </w:r>
      <w:r w:rsidRPr="0013396E">
        <w:tab/>
        <w:t>=</w:t>
      </w:r>
      <w:r w:rsidRPr="0013396E">
        <w:tab/>
        <w:t>(-1) * [</w:t>
      </w:r>
      <w:r w:rsidRPr="0013396E">
        <w:rPr>
          <w:position w:val="-22"/>
        </w:rPr>
        <w:object w:dxaOrig="225" w:dyaOrig="465" w14:anchorId="517E36D4">
          <v:shape id="_x0000_i1168" type="#_x0000_t75" style="width:12pt;height:24pt" o:ole="">
            <v:imagedata r:id="rId209" o:title=""/>
          </v:shape>
          <o:OLEObject Type="Embed" ProgID="Equation.3" ShapeID="_x0000_i1168" DrawAspect="Content" ObjectID="_1836311447" r:id="rId210"/>
        </w:object>
      </w:r>
      <w:r w:rsidRPr="0013396E">
        <w:rPr>
          <w:position w:val="-18"/>
        </w:rPr>
        <w:object w:dxaOrig="225" w:dyaOrig="420" w14:anchorId="720A4C5D">
          <v:shape id="_x0000_i1169" type="#_x0000_t75" style="width:12pt;height:24pt" o:ole="">
            <v:imagedata r:id="rId211" o:title=""/>
          </v:shape>
          <o:OLEObject Type="Embed" ProgID="Equation.3" ShapeID="_x0000_i1169" DrawAspect="Content" ObjectID="_1836311448" r:id="rId212"/>
        </w:object>
      </w:r>
      <w:r w:rsidRPr="0013396E">
        <w:t xml:space="preserve">((-1) * </w:t>
      </w:r>
      <w:r w:rsidRPr="0013396E">
        <w:rPr>
          <w:position w:val="-20"/>
        </w:rPr>
        <w:object w:dxaOrig="255" w:dyaOrig="585" w14:anchorId="10207477">
          <v:shape id="_x0000_i1170" type="#_x0000_t75" style="width:12pt;height:30pt" o:ole="">
            <v:imagedata r:id="rId201" o:title=""/>
          </v:shape>
          <o:OLEObject Type="Embed" ProgID="Equation.3" ShapeID="_x0000_i1170" DrawAspect="Content" ObjectID="_1836311449" r:id="rId213"/>
        </w:object>
      </w:r>
      <w:r w:rsidRPr="0013396E">
        <w:t xml:space="preserve">RESREV </w:t>
      </w:r>
      <w:r w:rsidRPr="0013396E">
        <w:rPr>
          <w:i/>
          <w:vertAlign w:val="subscript"/>
        </w:rPr>
        <w:t>q, r, gsc, p</w:t>
      </w:r>
      <w:r w:rsidRPr="0013396E">
        <w:t xml:space="preserve"> + </w:t>
      </w:r>
      <w:r w:rsidRPr="0013396E">
        <w:rPr>
          <w:position w:val="-20"/>
        </w:rPr>
        <w:object w:dxaOrig="255" w:dyaOrig="585" w14:anchorId="4820A344">
          <v:shape id="_x0000_i1171" type="#_x0000_t75" style="width:12pt;height:30pt" o:ole="">
            <v:imagedata r:id="rId201" o:title=""/>
          </v:shape>
          <o:OLEObject Type="Embed" ProgID="Equation.3" ShapeID="_x0000_i1171" DrawAspect="Content" ObjectID="_1836311450" r:id="rId214"/>
        </w:object>
      </w:r>
      <w:r w:rsidRPr="0013396E">
        <w:t xml:space="preserve">EMREAMT </w:t>
      </w:r>
      <w:r w:rsidRPr="0013396E">
        <w:rPr>
          <w:i/>
          <w:vertAlign w:val="subscript"/>
        </w:rPr>
        <w:t>q, r, p, i</w:t>
      </w:r>
      <w:r w:rsidRPr="0013396E">
        <w:t xml:space="preserve"> + RUCMWAMT </w:t>
      </w:r>
      <w:r w:rsidRPr="0013396E">
        <w:rPr>
          <w:i/>
          <w:vertAlign w:val="subscript"/>
        </w:rPr>
        <w:t>q, r, p</w:t>
      </w:r>
      <w:r w:rsidRPr="0013396E">
        <w:t xml:space="preserve"> + RUCCBAMT </w:t>
      </w:r>
      <w:r w:rsidRPr="0013396E">
        <w:rPr>
          <w:i/>
          <w:vertAlign w:val="subscript"/>
        </w:rPr>
        <w:t>q, r, p</w:t>
      </w:r>
      <w:r w:rsidRPr="0013396E">
        <w:t xml:space="preserve"> + RUCDCAMT </w:t>
      </w:r>
      <w:r w:rsidRPr="0013396E">
        <w:rPr>
          <w:i/>
          <w:vertAlign w:val="subscript"/>
        </w:rPr>
        <w:t>q, r, p</w:t>
      </w:r>
      <w:r w:rsidRPr="0013396E">
        <w:t xml:space="preserve"> + </w:t>
      </w:r>
      <w:r w:rsidRPr="0013396E">
        <w:rPr>
          <w:position w:val="-20"/>
        </w:rPr>
        <w:object w:dxaOrig="255" w:dyaOrig="585" w14:anchorId="27243DB9">
          <v:shape id="_x0000_i1172" type="#_x0000_t75" style="width:12pt;height:30pt" o:ole="">
            <v:imagedata r:id="rId201" o:title=""/>
          </v:shape>
          <o:OLEObject Type="Embed" ProgID="Equation.3" ShapeID="_x0000_i1172" DrawAspect="Content" ObjectID="_1836311451" r:id="rId215"/>
        </w:object>
      </w:r>
      <w:r w:rsidRPr="0013396E">
        <w:t xml:space="preserve">VSSEAMT </w:t>
      </w:r>
      <w:r w:rsidRPr="0013396E">
        <w:rPr>
          <w:i/>
          <w:vertAlign w:val="subscript"/>
        </w:rPr>
        <w:t>q, r, p, i</w:t>
      </w:r>
      <w:r w:rsidRPr="0013396E">
        <w:t xml:space="preserve"> + </w:t>
      </w:r>
      <w:r w:rsidRPr="0013396E">
        <w:rPr>
          <w:position w:val="-20"/>
        </w:rPr>
        <w:object w:dxaOrig="255" w:dyaOrig="585" w14:anchorId="3460A9C4">
          <v:shape id="_x0000_i1173" type="#_x0000_t75" style="width:12pt;height:30pt" o:ole="">
            <v:imagedata r:id="rId201" o:title=""/>
          </v:shape>
          <o:OLEObject Type="Embed" ProgID="Equation.3" ShapeID="_x0000_i1173" DrawAspect="Content" ObjectID="_1836311452" r:id="rId216"/>
        </w:object>
      </w:r>
      <w:r w:rsidRPr="0013396E">
        <w:t xml:space="preserve">VSSVARAMT </w:t>
      </w:r>
      <w:r w:rsidRPr="0013396E">
        <w:rPr>
          <w:i/>
          <w:vertAlign w:val="subscript"/>
        </w:rPr>
        <w:t>q, r, i</w:t>
      </w:r>
      <w:r w:rsidRPr="0013396E">
        <w:rPr>
          <w:rFonts w:ascii="Times New Roman Bold" w:hAnsi="Times New Roman Bold"/>
        </w:rPr>
        <w:t>)]</w:t>
      </w:r>
    </w:p>
    <w:p w14:paraId="335F2103" w14:textId="77777777" w:rsidR="001F04FD" w:rsidRPr="0013396E" w:rsidRDefault="001F04FD" w:rsidP="001F04FD">
      <w:r w:rsidRPr="0013396E">
        <w:t>The above variables are defined as follows:</w:t>
      </w:r>
    </w:p>
    <w:tbl>
      <w:tblPr>
        <w:tblW w:w="9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3"/>
        <w:gridCol w:w="840"/>
        <w:gridCol w:w="6399"/>
      </w:tblGrid>
      <w:tr w:rsidR="001F04FD" w:rsidRPr="0013396E" w14:paraId="1022C35A" w14:textId="77777777" w:rsidTr="00AC4DEE">
        <w:trPr>
          <w:cantSplit/>
          <w:tblHeader/>
        </w:trPr>
        <w:tc>
          <w:tcPr>
            <w:tcW w:w="1207" w:type="pct"/>
          </w:tcPr>
          <w:p w14:paraId="63825218" w14:textId="77777777" w:rsidR="001F04FD" w:rsidRPr="0013396E" w:rsidRDefault="001F04FD" w:rsidP="00AC4DEE">
            <w:pPr>
              <w:pStyle w:val="TableHead"/>
            </w:pPr>
            <w:r w:rsidRPr="0013396E">
              <w:t>Variable</w:t>
            </w:r>
          </w:p>
        </w:tc>
        <w:tc>
          <w:tcPr>
            <w:tcW w:w="440" w:type="pct"/>
          </w:tcPr>
          <w:p w14:paraId="1994530A" w14:textId="77777777" w:rsidR="001F04FD" w:rsidRPr="0013396E" w:rsidRDefault="001F04FD" w:rsidP="00AC4DEE">
            <w:pPr>
              <w:pStyle w:val="TableHead"/>
            </w:pPr>
            <w:r w:rsidRPr="0013396E">
              <w:t>Unit</w:t>
            </w:r>
          </w:p>
        </w:tc>
        <w:tc>
          <w:tcPr>
            <w:tcW w:w="3353" w:type="pct"/>
          </w:tcPr>
          <w:p w14:paraId="6A4264D2" w14:textId="77777777" w:rsidR="001F04FD" w:rsidRPr="0013396E" w:rsidRDefault="001F04FD" w:rsidP="00AC4DEE">
            <w:pPr>
              <w:pStyle w:val="TableHead"/>
            </w:pPr>
            <w:r w:rsidRPr="0013396E">
              <w:t>Definition</w:t>
            </w:r>
          </w:p>
        </w:tc>
      </w:tr>
      <w:tr w:rsidR="001F04FD" w:rsidRPr="0013396E" w14:paraId="431D508C" w14:textId="77777777" w:rsidTr="00AC4DEE">
        <w:trPr>
          <w:cantSplit/>
        </w:trPr>
        <w:tc>
          <w:tcPr>
            <w:tcW w:w="1207" w:type="pct"/>
          </w:tcPr>
          <w:p w14:paraId="20AD1F3A" w14:textId="77777777" w:rsidR="001F04FD" w:rsidRPr="0013396E" w:rsidRDefault="001F04FD" w:rsidP="00AC4DEE">
            <w:pPr>
              <w:pStyle w:val="TableBody"/>
            </w:pPr>
            <w:r w:rsidRPr="0013396E">
              <w:t xml:space="preserve">RMRAAMT </w:t>
            </w:r>
            <w:r w:rsidRPr="0013396E">
              <w:rPr>
                <w:i/>
                <w:vertAlign w:val="subscript"/>
              </w:rPr>
              <w:t>q</w:t>
            </w:r>
          </w:p>
        </w:tc>
        <w:tc>
          <w:tcPr>
            <w:tcW w:w="440" w:type="pct"/>
          </w:tcPr>
          <w:p w14:paraId="2C93AB25" w14:textId="77777777" w:rsidR="001F04FD" w:rsidRPr="0013396E" w:rsidRDefault="001F04FD" w:rsidP="00AC4DEE">
            <w:pPr>
              <w:pStyle w:val="TableBody"/>
            </w:pPr>
            <w:r w:rsidRPr="0013396E">
              <w:t>$</w:t>
            </w:r>
          </w:p>
        </w:tc>
        <w:tc>
          <w:tcPr>
            <w:tcW w:w="3353" w:type="pct"/>
          </w:tcPr>
          <w:p w14:paraId="38197153" w14:textId="77777777" w:rsidR="001F04FD" w:rsidRPr="0013396E" w:rsidRDefault="001F04FD" w:rsidP="00AC4DEE">
            <w:pPr>
              <w:pStyle w:val="TableBody"/>
              <w:rPr>
                <w:i/>
              </w:rPr>
            </w:pPr>
            <w:r w:rsidRPr="0013396E">
              <w:rPr>
                <w:i/>
              </w:rPr>
              <w:t>RMR Adjustment Charge per QSE</w:t>
            </w:r>
            <w:r w:rsidRPr="0013396E">
              <w:t xml:space="preserve">—The adjustment from QSE </w:t>
            </w:r>
            <w:r w:rsidRPr="0013396E">
              <w:rPr>
                <w:i/>
              </w:rPr>
              <w:t>q</w:t>
            </w:r>
            <w:r w:rsidRPr="0013396E">
              <w:t xml:space="preserve"> Standby Payments and energy payments for all RMR Units represented by this QSE, for the revenues received for the same RMR Units from RUC and Real-Time operations, for the hour.</w:t>
            </w:r>
          </w:p>
        </w:tc>
      </w:tr>
      <w:tr w:rsidR="001F04FD" w:rsidRPr="0013396E" w14:paraId="2E002C56" w14:textId="77777777" w:rsidTr="00AC4DEE">
        <w:trPr>
          <w:cantSplit/>
        </w:trPr>
        <w:tc>
          <w:tcPr>
            <w:tcW w:w="1207" w:type="pct"/>
          </w:tcPr>
          <w:p w14:paraId="56A7EB11" w14:textId="77777777" w:rsidR="001F04FD" w:rsidRPr="0013396E" w:rsidRDefault="001F04FD" w:rsidP="00AC4DEE">
            <w:pPr>
              <w:pStyle w:val="TableBody"/>
              <w:rPr>
                <w:lang w:val="pt-BR"/>
              </w:rPr>
            </w:pPr>
            <w:r w:rsidRPr="0013396E">
              <w:rPr>
                <w:lang w:val="pt-BR"/>
              </w:rPr>
              <w:t xml:space="preserve">EMREAMT </w:t>
            </w:r>
            <w:r w:rsidRPr="0013396E">
              <w:rPr>
                <w:i/>
                <w:vertAlign w:val="subscript"/>
                <w:lang w:val="pt-BR"/>
              </w:rPr>
              <w:t>q, r, p, i</w:t>
            </w:r>
          </w:p>
        </w:tc>
        <w:tc>
          <w:tcPr>
            <w:tcW w:w="440" w:type="pct"/>
          </w:tcPr>
          <w:p w14:paraId="02F1CDB6" w14:textId="77777777" w:rsidR="001F04FD" w:rsidRPr="0013396E" w:rsidRDefault="001F04FD" w:rsidP="00AC4DEE">
            <w:pPr>
              <w:pStyle w:val="TableBody"/>
            </w:pPr>
            <w:r w:rsidRPr="0013396E">
              <w:t>$</w:t>
            </w:r>
          </w:p>
        </w:tc>
        <w:tc>
          <w:tcPr>
            <w:tcW w:w="3353" w:type="pct"/>
          </w:tcPr>
          <w:p w14:paraId="1CCCAB95" w14:textId="642FA764" w:rsidR="00537026" w:rsidRPr="0013396E" w:rsidRDefault="00C236A2" w:rsidP="00AC4DEE">
            <w:pPr>
              <w:pStyle w:val="TableBody"/>
              <w:rPr>
                <w:i/>
              </w:rPr>
            </w:pPr>
            <w:r w:rsidRPr="0013396E">
              <w:rPr>
                <w:i/>
                <w:iCs w:val="0"/>
              </w:rPr>
              <w:t>Emergency Energy Amount per QSE per Settlement Point per unit per interval</w:t>
            </w:r>
            <w:r w:rsidRPr="0013396E">
              <w:rPr>
                <w:iCs w:val="0"/>
              </w:rPr>
              <w:t xml:space="preserve">—The payment to QSE </w:t>
            </w:r>
            <w:r w:rsidRPr="0013396E">
              <w:rPr>
                <w:i/>
                <w:iCs w:val="0"/>
              </w:rPr>
              <w:t>q</w:t>
            </w:r>
            <w:r w:rsidRPr="0013396E">
              <w:rPr>
                <w:iCs w:val="0"/>
              </w:rPr>
              <w:t xml:space="preserve"> as additional compensation for the additional energy or Ancillary Services produced or consumed by Resource </w:t>
            </w:r>
            <w:r w:rsidRPr="0013396E">
              <w:rPr>
                <w:i/>
                <w:iCs w:val="0"/>
              </w:rPr>
              <w:t>r</w:t>
            </w:r>
            <w:r w:rsidRPr="0013396E">
              <w:rPr>
                <w:iCs w:val="0"/>
              </w:rPr>
              <w:t xml:space="preserve"> at Resource Node </w:t>
            </w:r>
            <w:r w:rsidRPr="0013396E">
              <w:rPr>
                <w:i/>
                <w:iCs w:val="0"/>
              </w:rPr>
              <w:t>p</w:t>
            </w:r>
            <w:r w:rsidRPr="0013396E">
              <w:rPr>
                <w:iCs w:val="0"/>
              </w:rPr>
              <w:t xml:space="preserve"> in Real-Time during the Emergency Condition, for the 15-minute Settlement Interval </w:t>
            </w:r>
            <w:r w:rsidRPr="0013396E">
              <w:rPr>
                <w:i/>
                <w:iCs w:val="0"/>
              </w:rPr>
              <w:t>i</w:t>
            </w:r>
            <w:r w:rsidRPr="0013396E">
              <w:rPr>
                <w:iCs w:val="0"/>
              </w:rPr>
              <w:t>.  Payment for emergency energy is made to the Combined Cycle Train.</w:t>
            </w:r>
          </w:p>
          <w:p w14:paraId="116D6D20" w14:textId="072E7860" w:rsidR="001F04FD" w:rsidRPr="0013396E" w:rsidRDefault="001F04FD" w:rsidP="00AC4DEE">
            <w:pPr>
              <w:pStyle w:val="TableBody"/>
              <w:rPr>
                <w:i/>
              </w:rPr>
            </w:pPr>
          </w:p>
        </w:tc>
      </w:tr>
      <w:tr w:rsidR="001F04FD" w:rsidRPr="0013396E" w14:paraId="2A81C5CE" w14:textId="77777777" w:rsidTr="00AC4DEE">
        <w:trPr>
          <w:cantSplit/>
        </w:trPr>
        <w:tc>
          <w:tcPr>
            <w:tcW w:w="1207" w:type="pct"/>
          </w:tcPr>
          <w:p w14:paraId="57B1A333" w14:textId="77777777" w:rsidR="001F04FD" w:rsidRPr="0013396E" w:rsidRDefault="001F04FD" w:rsidP="00AC4DEE">
            <w:pPr>
              <w:pStyle w:val="TableBody"/>
            </w:pPr>
            <w:r w:rsidRPr="0013396E">
              <w:t xml:space="preserve">RESREV </w:t>
            </w:r>
            <w:r w:rsidRPr="0013396E">
              <w:rPr>
                <w:i/>
                <w:vertAlign w:val="subscript"/>
              </w:rPr>
              <w:t>q, r, gsc, p</w:t>
            </w:r>
          </w:p>
        </w:tc>
        <w:tc>
          <w:tcPr>
            <w:tcW w:w="440" w:type="pct"/>
          </w:tcPr>
          <w:p w14:paraId="54CED210" w14:textId="77777777" w:rsidR="001F04FD" w:rsidRPr="0013396E" w:rsidRDefault="001F04FD" w:rsidP="00AC4DEE">
            <w:pPr>
              <w:pStyle w:val="TableBody"/>
            </w:pPr>
            <w:r w:rsidRPr="0013396E">
              <w:t>$</w:t>
            </w:r>
          </w:p>
        </w:tc>
        <w:tc>
          <w:tcPr>
            <w:tcW w:w="3353" w:type="pct"/>
          </w:tcPr>
          <w:p w14:paraId="1D5D974A" w14:textId="77777777" w:rsidR="001F04FD" w:rsidRPr="0013396E" w:rsidRDefault="001F04FD" w:rsidP="00AC4DEE">
            <w:pPr>
              <w:pStyle w:val="TableBody"/>
              <w:rPr>
                <w:i/>
              </w:rPr>
            </w:pPr>
            <w:r w:rsidRPr="0013396E">
              <w:rPr>
                <w:i/>
              </w:rPr>
              <w:t>Resource Share Revenue Settlement Payment</w:t>
            </w:r>
            <w:r w:rsidRPr="0013396E">
              <w:t xml:space="preserve">—The RMR Resource share of the total payment to the entire Facility with a net metering arrangement attributed to Resource </w:t>
            </w:r>
            <w:r w:rsidRPr="0013396E">
              <w:rPr>
                <w:i/>
              </w:rPr>
              <w:t>r</w:t>
            </w:r>
            <w:r w:rsidRPr="0013396E">
              <w:t xml:space="preserve"> that is part of a generation site code </w:t>
            </w:r>
            <w:r w:rsidRPr="0013396E">
              <w:rPr>
                <w:i/>
              </w:rPr>
              <w:t>gsc</w:t>
            </w:r>
            <w:r w:rsidRPr="0013396E">
              <w:t xml:space="preserve"> for the QSE </w:t>
            </w:r>
            <w:r w:rsidRPr="0013396E">
              <w:rPr>
                <w:i/>
              </w:rPr>
              <w:t>q</w:t>
            </w:r>
            <w:r w:rsidRPr="0013396E">
              <w:t xml:space="preserve"> at Settlement Point </w:t>
            </w:r>
            <w:r w:rsidRPr="0013396E">
              <w:rPr>
                <w:i/>
              </w:rPr>
              <w:t>p</w:t>
            </w:r>
            <w:r w:rsidRPr="0013396E">
              <w:t>.</w:t>
            </w:r>
          </w:p>
        </w:tc>
      </w:tr>
      <w:tr w:rsidR="001F04FD" w:rsidRPr="0013396E" w14:paraId="2D409995" w14:textId="77777777" w:rsidTr="00AC4DEE">
        <w:trPr>
          <w:cantSplit/>
        </w:trPr>
        <w:tc>
          <w:tcPr>
            <w:tcW w:w="1207" w:type="pct"/>
          </w:tcPr>
          <w:p w14:paraId="4F8E3418" w14:textId="77777777" w:rsidR="001F04FD" w:rsidRPr="0013396E" w:rsidRDefault="001F04FD" w:rsidP="00AC4DEE">
            <w:pPr>
              <w:pStyle w:val="TableBody"/>
            </w:pPr>
            <w:r w:rsidRPr="0013396E">
              <w:t xml:space="preserve">RUCMWAMT </w:t>
            </w:r>
            <w:r w:rsidRPr="0013396E">
              <w:rPr>
                <w:i/>
                <w:vertAlign w:val="subscript"/>
              </w:rPr>
              <w:t>q, r, p</w:t>
            </w:r>
          </w:p>
        </w:tc>
        <w:tc>
          <w:tcPr>
            <w:tcW w:w="440" w:type="pct"/>
          </w:tcPr>
          <w:p w14:paraId="1D7168C5" w14:textId="77777777" w:rsidR="001F04FD" w:rsidRPr="0013396E" w:rsidRDefault="001F04FD" w:rsidP="00AC4DEE">
            <w:pPr>
              <w:pStyle w:val="TableBody"/>
            </w:pPr>
            <w:r w:rsidRPr="0013396E">
              <w:t>$</w:t>
            </w:r>
          </w:p>
        </w:tc>
        <w:tc>
          <w:tcPr>
            <w:tcW w:w="3353" w:type="pct"/>
          </w:tcPr>
          <w:p w14:paraId="22CCFE32" w14:textId="77777777" w:rsidR="001F04FD" w:rsidRPr="0013396E" w:rsidRDefault="001F04FD" w:rsidP="00AC4DEE">
            <w:pPr>
              <w:pStyle w:val="TableBody"/>
              <w:rPr>
                <w:i/>
              </w:rPr>
            </w:pPr>
            <w:r w:rsidRPr="0013396E">
              <w:rPr>
                <w:i/>
              </w:rPr>
              <w:t>RUC Make-Whole Amount per QSE per Settlement Point per unit</w:t>
            </w:r>
            <w:r w:rsidRPr="0013396E">
              <w:t xml:space="preserve">—The amount calculated for RMR Unit </w:t>
            </w:r>
            <w:r w:rsidRPr="0013396E">
              <w:rPr>
                <w:i/>
              </w:rPr>
              <w:t>r</w:t>
            </w:r>
            <w:r w:rsidRPr="0013396E">
              <w:t xml:space="preserve"> committed in RUC at Resource Node </w:t>
            </w:r>
            <w:r w:rsidRPr="0013396E">
              <w:rPr>
                <w:i/>
              </w:rPr>
              <w:t>p</w:t>
            </w:r>
            <w:r w:rsidRPr="0013396E">
              <w:t xml:space="preserve"> to make whole the Startup Cost and minimum-energy cost of this unit, for the hour.  See Section 5.7.1, RUC Make-Whole Payment.  When one or more Combined Cycle Generation Resources are committed by RUC, payment is made to the Combined Cycle Train for all RUC-committed Combined Cycle Generation Resources.</w:t>
            </w:r>
          </w:p>
        </w:tc>
      </w:tr>
      <w:tr w:rsidR="001F04FD" w:rsidRPr="0013396E" w14:paraId="633611BE" w14:textId="77777777" w:rsidTr="00AC4DEE">
        <w:trPr>
          <w:cantSplit/>
        </w:trPr>
        <w:tc>
          <w:tcPr>
            <w:tcW w:w="1207" w:type="pct"/>
          </w:tcPr>
          <w:p w14:paraId="2250C5AB" w14:textId="77777777" w:rsidR="001F04FD" w:rsidRPr="0013396E" w:rsidRDefault="001F04FD" w:rsidP="00AC4DEE">
            <w:pPr>
              <w:pStyle w:val="TableBody"/>
            </w:pPr>
            <w:r w:rsidRPr="0013396E">
              <w:lastRenderedPageBreak/>
              <w:t xml:space="preserve">RUCCBAMT </w:t>
            </w:r>
            <w:r w:rsidRPr="0013396E">
              <w:rPr>
                <w:i/>
                <w:vertAlign w:val="subscript"/>
              </w:rPr>
              <w:t>q, r</w:t>
            </w:r>
          </w:p>
        </w:tc>
        <w:tc>
          <w:tcPr>
            <w:tcW w:w="440" w:type="pct"/>
          </w:tcPr>
          <w:p w14:paraId="0FBBF11D" w14:textId="77777777" w:rsidR="001F04FD" w:rsidRPr="0013396E" w:rsidRDefault="001F04FD" w:rsidP="00AC4DEE">
            <w:pPr>
              <w:pStyle w:val="TableBody"/>
            </w:pPr>
            <w:r w:rsidRPr="0013396E">
              <w:t>$</w:t>
            </w:r>
          </w:p>
        </w:tc>
        <w:tc>
          <w:tcPr>
            <w:tcW w:w="3353" w:type="pct"/>
          </w:tcPr>
          <w:p w14:paraId="381D9DA8" w14:textId="77777777" w:rsidR="001F04FD" w:rsidRPr="0013396E" w:rsidRDefault="001F04FD" w:rsidP="00AC4DEE">
            <w:pPr>
              <w:pStyle w:val="TableBody"/>
              <w:rPr>
                <w:i/>
              </w:rPr>
            </w:pPr>
            <w:r w:rsidRPr="0013396E">
              <w:rPr>
                <w:i/>
              </w:rPr>
              <w:t>RUC Clawback Charge per QSE per unit</w:t>
            </w:r>
            <w:r w:rsidRPr="0013396E">
              <w:t xml:space="preserve">—The RUC Clawback Charge to QSE </w:t>
            </w:r>
            <w:r w:rsidRPr="0013396E">
              <w:rPr>
                <w:i/>
              </w:rPr>
              <w:t>q</w:t>
            </w:r>
            <w:r w:rsidRPr="0013396E">
              <w:t xml:space="preserve"> for RMR Unit </w:t>
            </w:r>
            <w:r w:rsidRPr="0013396E">
              <w:rPr>
                <w:i/>
              </w:rPr>
              <w:t>r</w:t>
            </w:r>
            <w:r w:rsidRPr="0013396E">
              <w:t>, for the hour.  See Section 5.7.2, RUC Clawback Charge.  When one or more Combined Cycle Generation Resources are committed by RUC, a charge is made to the Combined Cycle Train for all RUC-committed Combined Cycle Generation Resources.</w:t>
            </w:r>
          </w:p>
        </w:tc>
      </w:tr>
      <w:tr w:rsidR="001F04FD" w:rsidRPr="0013396E" w14:paraId="58EF04FB" w14:textId="77777777" w:rsidTr="00AC4DEE">
        <w:trPr>
          <w:cantSplit/>
          <w:trHeight w:val="1538"/>
        </w:trPr>
        <w:tc>
          <w:tcPr>
            <w:tcW w:w="1207" w:type="pct"/>
          </w:tcPr>
          <w:p w14:paraId="2C538C74" w14:textId="77777777" w:rsidR="001F04FD" w:rsidRPr="0013396E" w:rsidRDefault="001F04FD" w:rsidP="00AC4DEE">
            <w:pPr>
              <w:pStyle w:val="TableBody"/>
            </w:pPr>
            <w:r w:rsidRPr="0013396E">
              <w:t xml:space="preserve">RUCDCAMT </w:t>
            </w:r>
            <w:r w:rsidRPr="0013396E">
              <w:rPr>
                <w:i/>
                <w:vertAlign w:val="subscript"/>
              </w:rPr>
              <w:t>q, r, p</w:t>
            </w:r>
          </w:p>
        </w:tc>
        <w:tc>
          <w:tcPr>
            <w:tcW w:w="440" w:type="pct"/>
          </w:tcPr>
          <w:p w14:paraId="1C3FFD3C" w14:textId="77777777" w:rsidR="001F04FD" w:rsidRPr="0013396E" w:rsidRDefault="001F04FD" w:rsidP="00AC4DEE">
            <w:pPr>
              <w:pStyle w:val="TableBody"/>
            </w:pPr>
            <w:r w:rsidRPr="0013396E">
              <w:t>$</w:t>
            </w:r>
          </w:p>
        </w:tc>
        <w:tc>
          <w:tcPr>
            <w:tcW w:w="3353" w:type="pct"/>
          </w:tcPr>
          <w:p w14:paraId="5DE29806" w14:textId="77777777" w:rsidR="001F04FD" w:rsidRPr="0013396E" w:rsidRDefault="001F04FD" w:rsidP="00AC4DEE">
            <w:pPr>
              <w:pStyle w:val="TableBody"/>
              <w:rPr>
                <w:i/>
              </w:rPr>
            </w:pPr>
            <w:r w:rsidRPr="0013396E">
              <w:rPr>
                <w:i/>
              </w:rPr>
              <w:t>RUC Decommitment Amount per QSE per Settlement Point per unit</w:t>
            </w:r>
            <w:r w:rsidRPr="0013396E">
              <w:t xml:space="preserve">—The amount calculated for RMR Unit </w:t>
            </w:r>
            <w:r w:rsidRPr="0013396E">
              <w:rPr>
                <w:i/>
              </w:rPr>
              <w:t>r</w:t>
            </w:r>
            <w:r w:rsidRPr="0013396E">
              <w:t xml:space="preserve"> at Resource Node </w:t>
            </w:r>
            <w:r w:rsidRPr="0013396E">
              <w:rPr>
                <w:i/>
              </w:rPr>
              <w:t>p</w:t>
            </w:r>
            <w:r w:rsidRPr="0013396E">
              <w:t xml:space="preserve"> represented by QSE </w:t>
            </w:r>
            <w:r w:rsidRPr="0013396E">
              <w:rPr>
                <w:i/>
              </w:rPr>
              <w:t>q</w:t>
            </w:r>
            <w:r w:rsidRPr="0013396E">
              <w:t xml:space="preserve"> due to ERCOT de-commitment, for the hour.  When one or more Combined Cycle Generation Resources are decommitted by RUC, payment is made to the Combined Cycle Train for all RUC-decommitted Combined Cycle Generation Resources.</w:t>
            </w:r>
          </w:p>
        </w:tc>
      </w:tr>
      <w:tr w:rsidR="001F04FD" w:rsidRPr="0013396E" w14:paraId="5708589D" w14:textId="77777777" w:rsidTr="00AC4DEE">
        <w:trPr>
          <w:cantSplit/>
        </w:trPr>
        <w:tc>
          <w:tcPr>
            <w:tcW w:w="1207" w:type="pct"/>
          </w:tcPr>
          <w:p w14:paraId="649EF31D" w14:textId="77777777" w:rsidR="001F04FD" w:rsidRPr="0013396E" w:rsidRDefault="001F04FD" w:rsidP="00AC4DEE">
            <w:pPr>
              <w:pStyle w:val="TableBody"/>
              <w:rPr>
                <w:lang w:val="pt-BR"/>
              </w:rPr>
            </w:pPr>
            <w:r w:rsidRPr="0013396E">
              <w:rPr>
                <w:lang w:val="pt-BR"/>
              </w:rPr>
              <w:t xml:space="preserve">VSSEAMT </w:t>
            </w:r>
            <w:r w:rsidRPr="0013396E">
              <w:rPr>
                <w:i/>
                <w:vertAlign w:val="subscript"/>
                <w:lang w:val="pt-BR"/>
              </w:rPr>
              <w:t>q, r, p, i</w:t>
            </w:r>
          </w:p>
        </w:tc>
        <w:tc>
          <w:tcPr>
            <w:tcW w:w="440" w:type="pct"/>
          </w:tcPr>
          <w:p w14:paraId="40E188E2" w14:textId="77777777" w:rsidR="001F04FD" w:rsidRPr="0013396E" w:rsidRDefault="001F04FD" w:rsidP="00AC4DEE">
            <w:pPr>
              <w:pStyle w:val="TableBody"/>
            </w:pPr>
            <w:r w:rsidRPr="0013396E">
              <w:t>$</w:t>
            </w:r>
          </w:p>
        </w:tc>
        <w:tc>
          <w:tcPr>
            <w:tcW w:w="3353" w:type="pct"/>
          </w:tcPr>
          <w:p w14:paraId="274D2EC7" w14:textId="77777777" w:rsidR="001F04FD" w:rsidRPr="0013396E" w:rsidRDefault="001F04FD" w:rsidP="00AC4DEE">
            <w:pPr>
              <w:pStyle w:val="TableBody"/>
              <w:rPr>
                <w:i/>
              </w:rPr>
            </w:pPr>
            <w:r w:rsidRPr="0013396E">
              <w:rPr>
                <w:i/>
              </w:rPr>
              <w:t xml:space="preserve">Voltage Support Service Energy Amount per QSE per Settlement Point per unit per interval </w:t>
            </w:r>
            <w:r w:rsidRPr="0013396E">
              <w:t xml:space="preserve">—The compensation to QSE </w:t>
            </w:r>
            <w:r w:rsidRPr="0013396E">
              <w:rPr>
                <w:i/>
              </w:rPr>
              <w:t>q</w:t>
            </w:r>
            <w:r w:rsidRPr="0013396E">
              <w:t xml:space="preserve"> for ERCOT-directed power reduction from RMR Unit </w:t>
            </w:r>
            <w:r w:rsidRPr="0013396E">
              <w:rPr>
                <w:i/>
              </w:rPr>
              <w:t>r</w:t>
            </w:r>
            <w:r w:rsidRPr="0013396E">
              <w:t xml:space="preserve"> at Resource Node </w:t>
            </w:r>
            <w:r w:rsidRPr="0013396E">
              <w:rPr>
                <w:i/>
              </w:rPr>
              <w:t>p</w:t>
            </w:r>
            <w:r w:rsidRPr="0013396E">
              <w:t xml:space="preserve"> to provide Voltage Support Service (VSS), for the 15-minute Settlement Interval </w:t>
            </w:r>
            <w:r w:rsidRPr="0013396E">
              <w:rPr>
                <w:i/>
              </w:rPr>
              <w:t>i</w:t>
            </w:r>
            <w:r w:rsidRPr="0013396E">
              <w:t>.  Payment for VSS is made to the Combined Cycle Train.</w:t>
            </w:r>
          </w:p>
        </w:tc>
      </w:tr>
      <w:tr w:rsidR="001F04FD" w:rsidRPr="0013396E" w14:paraId="49230256" w14:textId="77777777" w:rsidTr="00AC4DEE">
        <w:trPr>
          <w:cantSplit/>
        </w:trPr>
        <w:tc>
          <w:tcPr>
            <w:tcW w:w="1207" w:type="pct"/>
          </w:tcPr>
          <w:p w14:paraId="763C7472" w14:textId="77777777" w:rsidR="001F04FD" w:rsidRPr="0013396E" w:rsidRDefault="001F04FD" w:rsidP="00AC4DEE">
            <w:pPr>
              <w:pStyle w:val="TableBody"/>
            </w:pPr>
            <w:r w:rsidRPr="0013396E">
              <w:t xml:space="preserve">VSSVARAMT </w:t>
            </w:r>
            <w:r w:rsidRPr="0013396E">
              <w:rPr>
                <w:i/>
                <w:vertAlign w:val="subscript"/>
              </w:rPr>
              <w:t>q, r, i</w:t>
            </w:r>
          </w:p>
        </w:tc>
        <w:tc>
          <w:tcPr>
            <w:tcW w:w="440" w:type="pct"/>
          </w:tcPr>
          <w:p w14:paraId="084C2B75" w14:textId="77777777" w:rsidR="001F04FD" w:rsidRPr="0013396E" w:rsidRDefault="001F04FD" w:rsidP="00AC4DEE">
            <w:pPr>
              <w:pStyle w:val="TableBody"/>
            </w:pPr>
            <w:r w:rsidRPr="0013396E">
              <w:t>$</w:t>
            </w:r>
          </w:p>
        </w:tc>
        <w:tc>
          <w:tcPr>
            <w:tcW w:w="3353" w:type="pct"/>
          </w:tcPr>
          <w:p w14:paraId="6D2BECA9" w14:textId="77777777" w:rsidR="001F04FD" w:rsidRPr="0013396E" w:rsidRDefault="001F04FD" w:rsidP="00AC4DEE">
            <w:pPr>
              <w:pStyle w:val="TableBody"/>
              <w:rPr>
                <w:i/>
              </w:rPr>
            </w:pPr>
            <w:r w:rsidRPr="0013396E">
              <w:rPr>
                <w:i/>
              </w:rPr>
              <w:t>Voltage Support Service VAr Amount per QSE per Unit</w:t>
            </w:r>
            <w:r w:rsidRPr="0013396E">
              <w:t xml:space="preserve">—The payment to QSE </w:t>
            </w:r>
            <w:r w:rsidRPr="0013396E">
              <w:rPr>
                <w:i/>
              </w:rPr>
              <w:t>q</w:t>
            </w:r>
            <w:r w:rsidRPr="0013396E">
              <w:t xml:space="preserve"> for the VSS provided by RMR Unit </w:t>
            </w:r>
            <w:r w:rsidRPr="0013396E">
              <w:rPr>
                <w:i/>
              </w:rPr>
              <w:t>r</w:t>
            </w:r>
            <w:r w:rsidRPr="0013396E">
              <w:t xml:space="preserve">, for the 15-minute Settlement Interval </w:t>
            </w:r>
            <w:r w:rsidRPr="0013396E">
              <w:rPr>
                <w:i/>
              </w:rPr>
              <w:t>i</w:t>
            </w:r>
            <w:r w:rsidRPr="0013396E">
              <w:t>.  Payment for VSS is made to the Combined Cycle Train.</w:t>
            </w:r>
          </w:p>
        </w:tc>
      </w:tr>
      <w:tr w:rsidR="001F04FD" w:rsidRPr="0013396E" w14:paraId="7A3E51B3" w14:textId="77777777" w:rsidTr="00AC4DEE">
        <w:trPr>
          <w:cantSplit/>
        </w:trPr>
        <w:tc>
          <w:tcPr>
            <w:tcW w:w="1207" w:type="pct"/>
          </w:tcPr>
          <w:p w14:paraId="5F1D694B" w14:textId="77777777" w:rsidR="001F04FD" w:rsidRPr="0013396E" w:rsidRDefault="001F04FD" w:rsidP="00AC4DEE">
            <w:pPr>
              <w:pStyle w:val="TableBody"/>
              <w:rPr>
                <w:i/>
              </w:rPr>
            </w:pPr>
            <w:r w:rsidRPr="0013396E">
              <w:rPr>
                <w:i/>
              </w:rPr>
              <w:t>q</w:t>
            </w:r>
          </w:p>
        </w:tc>
        <w:tc>
          <w:tcPr>
            <w:tcW w:w="440" w:type="pct"/>
          </w:tcPr>
          <w:p w14:paraId="065D4A1A" w14:textId="77777777" w:rsidR="001F04FD" w:rsidRPr="0013396E" w:rsidRDefault="001F04FD" w:rsidP="00AC4DEE">
            <w:pPr>
              <w:pStyle w:val="TableBody"/>
            </w:pPr>
            <w:r w:rsidRPr="0013396E">
              <w:t>none</w:t>
            </w:r>
          </w:p>
        </w:tc>
        <w:tc>
          <w:tcPr>
            <w:tcW w:w="3353" w:type="pct"/>
          </w:tcPr>
          <w:p w14:paraId="43F0717B" w14:textId="77777777" w:rsidR="001F04FD" w:rsidRPr="0013396E" w:rsidRDefault="001F04FD" w:rsidP="00AC4DEE">
            <w:pPr>
              <w:pStyle w:val="TableBody"/>
              <w:rPr>
                <w:i/>
              </w:rPr>
            </w:pPr>
            <w:r w:rsidRPr="0013396E">
              <w:t>A QSE.</w:t>
            </w:r>
          </w:p>
        </w:tc>
      </w:tr>
      <w:tr w:rsidR="001F04FD" w:rsidRPr="0013396E" w14:paraId="219C8D2C" w14:textId="77777777" w:rsidTr="00AC4DEE">
        <w:trPr>
          <w:cantSplit/>
        </w:trPr>
        <w:tc>
          <w:tcPr>
            <w:tcW w:w="1207" w:type="pct"/>
          </w:tcPr>
          <w:p w14:paraId="43D12DF2" w14:textId="77777777" w:rsidR="001F04FD" w:rsidRPr="0013396E" w:rsidRDefault="001F04FD" w:rsidP="00AC4DEE">
            <w:pPr>
              <w:pStyle w:val="TableBody"/>
              <w:rPr>
                <w:i/>
              </w:rPr>
            </w:pPr>
            <w:r w:rsidRPr="0013396E">
              <w:rPr>
                <w:i/>
              </w:rPr>
              <w:t>gsc</w:t>
            </w:r>
          </w:p>
        </w:tc>
        <w:tc>
          <w:tcPr>
            <w:tcW w:w="440" w:type="pct"/>
          </w:tcPr>
          <w:p w14:paraId="4ADC88BC" w14:textId="77777777" w:rsidR="001F04FD" w:rsidRPr="0013396E" w:rsidRDefault="001F04FD" w:rsidP="00AC4DEE">
            <w:pPr>
              <w:pStyle w:val="TableBody"/>
            </w:pPr>
            <w:r w:rsidRPr="0013396E">
              <w:t>none</w:t>
            </w:r>
          </w:p>
        </w:tc>
        <w:tc>
          <w:tcPr>
            <w:tcW w:w="3353" w:type="pct"/>
          </w:tcPr>
          <w:p w14:paraId="09767CC0" w14:textId="77777777" w:rsidR="001F04FD" w:rsidRPr="0013396E" w:rsidRDefault="001F04FD" w:rsidP="00AC4DEE">
            <w:pPr>
              <w:pStyle w:val="TableBody"/>
            </w:pPr>
            <w:r w:rsidRPr="0013396E">
              <w:t>A generation site code.</w:t>
            </w:r>
          </w:p>
        </w:tc>
      </w:tr>
      <w:tr w:rsidR="001F04FD" w:rsidRPr="0013396E" w14:paraId="7D90964F" w14:textId="77777777" w:rsidTr="00AC4DEE">
        <w:trPr>
          <w:cantSplit/>
        </w:trPr>
        <w:tc>
          <w:tcPr>
            <w:tcW w:w="1207" w:type="pct"/>
          </w:tcPr>
          <w:p w14:paraId="0DE08609" w14:textId="77777777" w:rsidR="001F04FD" w:rsidRPr="0013396E" w:rsidRDefault="001F04FD" w:rsidP="00AC4DEE">
            <w:pPr>
              <w:pStyle w:val="TableBody"/>
              <w:rPr>
                <w:i/>
              </w:rPr>
            </w:pPr>
            <w:r w:rsidRPr="0013396E">
              <w:rPr>
                <w:i/>
              </w:rPr>
              <w:t>p</w:t>
            </w:r>
          </w:p>
        </w:tc>
        <w:tc>
          <w:tcPr>
            <w:tcW w:w="440" w:type="pct"/>
          </w:tcPr>
          <w:p w14:paraId="7982D1D2" w14:textId="77777777" w:rsidR="001F04FD" w:rsidRPr="0013396E" w:rsidRDefault="001F04FD" w:rsidP="00AC4DEE">
            <w:pPr>
              <w:pStyle w:val="TableBody"/>
            </w:pPr>
            <w:r w:rsidRPr="0013396E">
              <w:t>none</w:t>
            </w:r>
          </w:p>
        </w:tc>
        <w:tc>
          <w:tcPr>
            <w:tcW w:w="3353" w:type="pct"/>
          </w:tcPr>
          <w:p w14:paraId="2AB85B3A" w14:textId="77777777" w:rsidR="001F04FD" w:rsidRPr="0013396E" w:rsidRDefault="001F04FD" w:rsidP="00AC4DEE">
            <w:pPr>
              <w:pStyle w:val="TableBody"/>
            </w:pPr>
            <w:r w:rsidRPr="0013396E">
              <w:t>A Resource Node Settlement Point.</w:t>
            </w:r>
          </w:p>
        </w:tc>
      </w:tr>
      <w:tr w:rsidR="001F04FD" w:rsidRPr="0013396E" w14:paraId="795326FD" w14:textId="77777777" w:rsidTr="00AC4DEE">
        <w:trPr>
          <w:cantSplit/>
        </w:trPr>
        <w:tc>
          <w:tcPr>
            <w:tcW w:w="1207" w:type="pct"/>
          </w:tcPr>
          <w:p w14:paraId="2EE35787" w14:textId="77777777" w:rsidR="001F04FD" w:rsidRPr="0013396E" w:rsidRDefault="001F04FD" w:rsidP="00AC4DEE">
            <w:pPr>
              <w:pStyle w:val="TableBody"/>
              <w:rPr>
                <w:i/>
              </w:rPr>
            </w:pPr>
            <w:r w:rsidRPr="0013396E">
              <w:rPr>
                <w:i/>
              </w:rPr>
              <w:t>r</w:t>
            </w:r>
          </w:p>
        </w:tc>
        <w:tc>
          <w:tcPr>
            <w:tcW w:w="440" w:type="pct"/>
          </w:tcPr>
          <w:p w14:paraId="62A18F36" w14:textId="77777777" w:rsidR="001F04FD" w:rsidRPr="0013396E" w:rsidRDefault="001F04FD" w:rsidP="00AC4DEE">
            <w:pPr>
              <w:pStyle w:val="TableBody"/>
            </w:pPr>
            <w:r w:rsidRPr="0013396E">
              <w:t>none</w:t>
            </w:r>
          </w:p>
        </w:tc>
        <w:tc>
          <w:tcPr>
            <w:tcW w:w="3353" w:type="pct"/>
          </w:tcPr>
          <w:p w14:paraId="6AFFFB28" w14:textId="77777777" w:rsidR="001F04FD" w:rsidRPr="0013396E" w:rsidRDefault="001F04FD" w:rsidP="00AC4DEE">
            <w:pPr>
              <w:pStyle w:val="TableBody"/>
              <w:rPr>
                <w:i/>
              </w:rPr>
            </w:pPr>
            <w:r w:rsidRPr="0013396E">
              <w:t>An RMR Unit.</w:t>
            </w:r>
          </w:p>
        </w:tc>
      </w:tr>
      <w:tr w:rsidR="001F04FD" w:rsidRPr="0013396E" w14:paraId="772A4C10" w14:textId="77777777" w:rsidTr="00AC4DEE">
        <w:trPr>
          <w:cantSplit/>
        </w:trPr>
        <w:tc>
          <w:tcPr>
            <w:tcW w:w="1207" w:type="pct"/>
          </w:tcPr>
          <w:p w14:paraId="060BA2B0" w14:textId="77777777" w:rsidR="001F04FD" w:rsidRPr="0013396E" w:rsidRDefault="001F04FD" w:rsidP="00AC4DEE">
            <w:pPr>
              <w:pStyle w:val="TableBody"/>
              <w:rPr>
                <w:i/>
              </w:rPr>
            </w:pPr>
            <w:r w:rsidRPr="0013396E">
              <w:rPr>
                <w:i/>
              </w:rPr>
              <w:t>i</w:t>
            </w:r>
          </w:p>
        </w:tc>
        <w:tc>
          <w:tcPr>
            <w:tcW w:w="440" w:type="pct"/>
          </w:tcPr>
          <w:p w14:paraId="076CE746" w14:textId="77777777" w:rsidR="001F04FD" w:rsidRPr="0013396E" w:rsidRDefault="001F04FD" w:rsidP="00AC4DEE">
            <w:pPr>
              <w:pStyle w:val="TableBody"/>
            </w:pPr>
            <w:r w:rsidRPr="0013396E">
              <w:t>none</w:t>
            </w:r>
          </w:p>
        </w:tc>
        <w:tc>
          <w:tcPr>
            <w:tcW w:w="3353" w:type="pct"/>
          </w:tcPr>
          <w:p w14:paraId="77F117C8" w14:textId="77777777" w:rsidR="001F04FD" w:rsidRPr="0013396E" w:rsidRDefault="001F04FD" w:rsidP="00AC4DEE">
            <w:pPr>
              <w:pStyle w:val="TableBody"/>
              <w:rPr>
                <w:i/>
              </w:rPr>
            </w:pPr>
            <w:r w:rsidRPr="0013396E">
              <w:t>A 15-minute Settlement Interval in the hour.</w:t>
            </w:r>
          </w:p>
        </w:tc>
      </w:tr>
    </w:tbl>
    <w:p w14:paraId="2CB4FE1F" w14:textId="77777777" w:rsidR="001F04FD" w:rsidRPr="0013396E" w:rsidRDefault="001F04FD" w:rsidP="001F04FD">
      <w:pPr>
        <w:pStyle w:val="H4"/>
        <w:spacing w:before="480"/>
        <w:ind w:left="1267" w:hanging="1267"/>
      </w:pPr>
      <w:bookmarkStart w:id="1953" w:name="_Toc397505030"/>
      <w:bookmarkStart w:id="1954" w:name="_Toc402357162"/>
      <w:bookmarkStart w:id="1955" w:name="_Toc422486542"/>
      <w:bookmarkStart w:id="1956" w:name="_Toc433093395"/>
      <w:bookmarkStart w:id="1957" w:name="_Toc433093553"/>
      <w:bookmarkStart w:id="1958" w:name="_Toc440874783"/>
      <w:bookmarkStart w:id="1959" w:name="_Toc448142340"/>
      <w:bookmarkStart w:id="1960" w:name="_Toc448142497"/>
      <w:bookmarkStart w:id="1961" w:name="_Toc458770338"/>
      <w:bookmarkStart w:id="1962" w:name="_Toc459294306"/>
      <w:bookmarkStart w:id="1963" w:name="_Toc463262799"/>
      <w:bookmarkStart w:id="1964" w:name="_Toc468286872"/>
      <w:bookmarkStart w:id="1965" w:name="_Toc481502912"/>
      <w:bookmarkStart w:id="1966" w:name="_Toc496080080"/>
      <w:bookmarkStart w:id="1967" w:name="_Toc214878997"/>
      <w:r w:rsidRPr="0013396E">
        <w:t>6.6.6.4</w:t>
      </w:r>
      <w:r w:rsidRPr="0013396E">
        <w:tab/>
        <w:t>RMR Charge for Unexcused Misconduct</w:t>
      </w:r>
      <w:bookmarkEnd w:id="1936"/>
      <w:bookmarkEnd w:id="1937"/>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r w:rsidRPr="0013396E">
        <w:t xml:space="preserve"> </w:t>
      </w:r>
    </w:p>
    <w:p w14:paraId="3685ABED" w14:textId="77777777" w:rsidR="001F04FD" w:rsidRPr="0013396E" w:rsidRDefault="001F04FD" w:rsidP="001F04FD">
      <w:pPr>
        <w:pStyle w:val="BodyTextNumbered"/>
      </w:pPr>
      <w:r w:rsidRPr="0013396E">
        <w:t>(1)</w:t>
      </w:r>
      <w:r w:rsidRPr="0013396E">
        <w:tab/>
        <w:t xml:space="preserve">If a Misconduct Event, as defined in the RMR Agreement, is not excused as provided in the RMR Agreement, then ERCOT shall charge the QSE that represents the RMR Unit an unexcused misconduct amount of $10,000 for each unexcused Misconduct Event as follows:  </w:t>
      </w:r>
    </w:p>
    <w:p w14:paraId="41217392" w14:textId="77777777" w:rsidR="001F04FD" w:rsidRPr="0013396E" w:rsidRDefault="001F04FD" w:rsidP="001F04FD">
      <w:pPr>
        <w:pStyle w:val="FormulaBold"/>
      </w:pPr>
      <w:r w:rsidRPr="0013396E">
        <w:t xml:space="preserve">RMRNPAMT </w:t>
      </w:r>
      <w:r w:rsidRPr="0013396E">
        <w:rPr>
          <w:i/>
          <w:vertAlign w:val="subscript"/>
        </w:rPr>
        <w:t>q, r</w:t>
      </w:r>
      <w:r w:rsidRPr="0013396E">
        <w:tab/>
        <w:t>=</w:t>
      </w:r>
      <w:r w:rsidRPr="0013396E">
        <w:tab/>
        <w:t>$10,000 * RMRNPFLAG</w:t>
      </w:r>
      <w:r w:rsidRPr="0013396E">
        <w:rPr>
          <w:rFonts w:ascii="Times New Roman Bold" w:hAnsi="Times New Roman Bold"/>
          <w:i/>
          <w:vertAlign w:val="subscript"/>
        </w:rPr>
        <w:t>q,r</w:t>
      </w:r>
    </w:p>
    <w:p w14:paraId="3B5B8507" w14:textId="77777777" w:rsidR="001F04FD" w:rsidRPr="0013396E" w:rsidRDefault="001F04FD" w:rsidP="001F04FD">
      <w:r w:rsidRPr="0013396E">
        <w:t>The above variable is defined as follows:</w:t>
      </w:r>
    </w:p>
    <w:tbl>
      <w:tblPr>
        <w:tblW w:w="9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5"/>
        <w:gridCol w:w="605"/>
        <w:gridCol w:w="7506"/>
      </w:tblGrid>
      <w:tr w:rsidR="001F04FD" w:rsidRPr="0013396E" w14:paraId="424E33E3" w14:textId="77777777" w:rsidTr="00AC4DEE">
        <w:trPr>
          <w:cantSplit/>
          <w:tblHeader/>
        </w:trPr>
        <w:tc>
          <w:tcPr>
            <w:tcW w:w="1685" w:type="dxa"/>
          </w:tcPr>
          <w:p w14:paraId="410B20FB" w14:textId="77777777" w:rsidR="001F04FD" w:rsidRPr="0013396E" w:rsidRDefault="001F04FD" w:rsidP="00AC4DEE">
            <w:pPr>
              <w:pStyle w:val="TableHead"/>
            </w:pPr>
            <w:r w:rsidRPr="0013396E">
              <w:t>Variable</w:t>
            </w:r>
          </w:p>
        </w:tc>
        <w:tc>
          <w:tcPr>
            <w:tcW w:w="0" w:type="auto"/>
          </w:tcPr>
          <w:p w14:paraId="62FD02F1" w14:textId="77777777" w:rsidR="001F04FD" w:rsidRPr="0013396E" w:rsidRDefault="001F04FD" w:rsidP="00AC4DEE">
            <w:pPr>
              <w:pStyle w:val="TableHead"/>
            </w:pPr>
            <w:r w:rsidRPr="0013396E">
              <w:t>Unit</w:t>
            </w:r>
          </w:p>
        </w:tc>
        <w:tc>
          <w:tcPr>
            <w:tcW w:w="0" w:type="auto"/>
          </w:tcPr>
          <w:p w14:paraId="1F66B583" w14:textId="77777777" w:rsidR="001F04FD" w:rsidRPr="0013396E" w:rsidRDefault="001F04FD" w:rsidP="00AC4DEE">
            <w:pPr>
              <w:pStyle w:val="TableHead"/>
            </w:pPr>
            <w:r w:rsidRPr="0013396E">
              <w:t>Definition</w:t>
            </w:r>
          </w:p>
        </w:tc>
      </w:tr>
      <w:tr w:rsidR="001F04FD" w:rsidRPr="0013396E" w14:paraId="5DA3FE6F" w14:textId="77777777" w:rsidTr="00AC4DEE">
        <w:trPr>
          <w:cantSplit/>
        </w:trPr>
        <w:tc>
          <w:tcPr>
            <w:tcW w:w="1685" w:type="dxa"/>
          </w:tcPr>
          <w:p w14:paraId="4D296860" w14:textId="77777777" w:rsidR="001F04FD" w:rsidRPr="0013396E" w:rsidRDefault="001F04FD" w:rsidP="00AC4DEE">
            <w:pPr>
              <w:pStyle w:val="TableBody"/>
            </w:pPr>
            <w:r w:rsidRPr="0013396E">
              <w:t xml:space="preserve">RMRNPAMT </w:t>
            </w:r>
            <w:r w:rsidRPr="0013396E">
              <w:rPr>
                <w:i/>
                <w:vertAlign w:val="subscript"/>
              </w:rPr>
              <w:t>q, r</w:t>
            </w:r>
          </w:p>
        </w:tc>
        <w:tc>
          <w:tcPr>
            <w:tcW w:w="0" w:type="auto"/>
          </w:tcPr>
          <w:p w14:paraId="48960DB5" w14:textId="77777777" w:rsidR="001F04FD" w:rsidRPr="0013396E" w:rsidRDefault="001F04FD" w:rsidP="00AC4DEE">
            <w:pPr>
              <w:pStyle w:val="TableBody"/>
            </w:pPr>
            <w:r w:rsidRPr="0013396E">
              <w:t>$</w:t>
            </w:r>
          </w:p>
        </w:tc>
        <w:tc>
          <w:tcPr>
            <w:tcW w:w="0" w:type="auto"/>
          </w:tcPr>
          <w:p w14:paraId="3F98A2A2" w14:textId="77777777" w:rsidR="001F04FD" w:rsidRPr="0013396E" w:rsidRDefault="001F04FD" w:rsidP="00AC4DEE">
            <w:pPr>
              <w:pStyle w:val="TableBody"/>
            </w:pPr>
            <w:r w:rsidRPr="0013396E">
              <w:rPr>
                <w:i/>
              </w:rPr>
              <w:t>Reliability Must-Run Unexcused Misconduct Charge per QSE per Resource</w:t>
            </w:r>
            <w:r w:rsidRPr="0013396E">
              <w:t xml:space="preserve">—The charge to QSE </w:t>
            </w:r>
            <w:r w:rsidRPr="0013396E">
              <w:rPr>
                <w:i/>
              </w:rPr>
              <w:t>q</w:t>
            </w:r>
            <w:r w:rsidRPr="0013396E">
              <w:t xml:space="preserve"> for the unexcused Misconduct Event of RMR Unit </w:t>
            </w:r>
            <w:r w:rsidRPr="0013396E">
              <w:rPr>
                <w:i/>
              </w:rPr>
              <w:t>r</w:t>
            </w:r>
            <w:r w:rsidRPr="0013396E">
              <w:t xml:space="preserve"> for an Operating Day.  Where for a Combined Cycle Train, the Resource </w:t>
            </w:r>
            <w:r w:rsidRPr="0013396E">
              <w:rPr>
                <w:i/>
              </w:rPr>
              <w:t xml:space="preserve">r </w:t>
            </w:r>
            <w:r w:rsidRPr="0013396E">
              <w:t xml:space="preserve">is the Combined Cycle Train. </w:t>
            </w:r>
          </w:p>
        </w:tc>
      </w:tr>
      <w:tr w:rsidR="001F04FD" w:rsidRPr="0013396E" w14:paraId="1F1E2099" w14:textId="77777777" w:rsidTr="00AC4DEE">
        <w:trPr>
          <w:cantSplit/>
        </w:trPr>
        <w:tc>
          <w:tcPr>
            <w:tcW w:w="1685" w:type="dxa"/>
            <w:tcBorders>
              <w:top w:val="single" w:sz="4" w:space="0" w:color="auto"/>
              <w:left w:val="single" w:sz="4" w:space="0" w:color="auto"/>
              <w:bottom w:val="single" w:sz="4" w:space="0" w:color="auto"/>
              <w:right w:val="single" w:sz="4" w:space="0" w:color="auto"/>
            </w:tcBorders>
          </w:tcPr>
          <w:p w14:paraId="7764E381" w14:textId="77777777" w:rsidR="001F04FD" w:rsidRPr="0013396E" w:rsidRDefault="001F04FD" w:rsidP="00AC4DEE">
            <w:pPr>
              <w:pStyle w:val="TableBody"/>
            </w:pPr>
            <w:r w:rsidRPr="0013396E">
              <w:t xml:space="preserve">RMRNPFLAG </w:t>
            </w:r>
            <w:r w:rsidRPr="0013396E">
              <w:rPr>
                <w:i/>
                <w:vertAlign w:val="subscript"/>
              </w:rPr>
              <w:t>q, r</w:t>
            </w:r>
          </w:p>
        </w:tc>
        <w:tc>
          <w:tcPr>
            <w:tcW w:w="0" w:type="auto"/>
            <w:tcBorders>
              <w:top w:val="single" w:sz="4" w:space="0" w:color="auto"/>
              <w:left w:val="single" w:sz="4" w:space="0" w:color="auto"/>
              <w:bottom w:val="single" w:sz="4" w:space="0" w:color="auto"/>
              <w:right w:val="single" w:sz="4" w:space="0" w:color="auto"/>
            </w:tcBorders>
          </w:tcPr>
          <w:p w14:paraId="7478BD60" w14:textId="77777777" w:rsidR="001F04FD" w:rsidRPr="0013396E" w:rsidRDefault="001F04FD" w:rsidP="00AC4DEE">
            <w:pPr>
              <w:pStyle w:val="TableBody"/>
            </w:pPr>
            <w:r w:rsidRPr="0013396E">
              <w:t>$</w:t>
            </w:r>
          </w:p>
        </w:tc>
        <w:tc>
          <w:tcPr>
            <w:tcW w:w="0" w:type="auto"/>
            <w:tcBorders>
              <w:top w:val="single" w:sz="4" w:space="0" w:color="auto"/>
              <w:left w:val="single" w:sz="4" w:space="0" w:color="auto"/>
              <w:bottom w:val="single" w:sz="4" w:space="0" w:color="auto"/>
              <w:right w:val="single" w:sz="4" w:space="0" w:color="auto"/>
            </w:tcBorders>
          </w:tcPr>
          <w:p w14:paraId="57061345" w14:textId="77777777" w:rsidR="001F04FD" w:rsidRPr="0013396E" w:rsidRDefault="001F04FD" w:rsidP="00AC4DEE">
            <w:pPr>
              <w:pStyle w:val="TableBody"/>
            </w:pPr>
            <w:r w:rsidRPr="0013396E">
              <w:rPr>
                <w:i/>
              </w:rPr>
              <w:t>Reliability Must-Run Non-Performance Flag per QSE per Resource</w:t>
            </w:r>
            <w:r w:rsidRPr="0013396E">
              <w:t xml:space="preserve">—A flag for the QSE </w:t>
            </w:r>
            <w:r w:rsidRPr="0013396E">
              <w:rPr>
                <w:i/>
              </w:rPr>
              <w:t xml:space="preserve">q </w:t>
            </w:r>
            <w:r w:rsidRPr="0013396E">
              <w:t xml:space="preserve">for the unexcused Misconduct Event of RMR Unit </w:t>
            </w:r>
            <w:r w:rsidRPr="0013396E">
              <w:rPr>
                <w:i/>
              </w:rPr>
              <w:t>r</w:t>
            </w:r>
            <w:r w:rsidRPr="0013396E">
              <w:t xml:space="preserve"> for an Operating Day.  Where for a Combined Cycle Train, the Resource </w:t>
            </w:r>
            <w:r w:rsidRPr="0013396E">
              <w:rPr>
                <w:i/>
              </w:rPr>
              <w:t xml:space="preserve">r </w:t>
            </w:r>
            <w:r w:rsidRPr="0013396E">
              <w:t xml:space="preserve">is the Combined Cycle Train. </w:t>
            </w:r>
          </w:p>
        </w:tc>
      </w:tr>
      <w:tr w:rsidR="001F04FD" w:rsidRPr="0013396E" w14:paraId="5565C1E8" w14:textId="77777777" w:rsidTr="00AC4DEE">
        <w:trPr>
          <w:cantSplit/>
        </w:trPr>
        <w:tc>
          <w:tcPr>
            <w:tcW w:w="1685" w:type="dxa"/>
          </w:tcPr>
          <w:p w14:paraId="61D561F3" w14:textId="77777777" w:rsidR="001F04FD" w:rsidRPr="0013396E" w:rsidRDefault="001F04FD" w:rsidP="00AC4DEE">
            <w:pPr>
              <w:pStyle w:val="TableBody"/>
              <w:rPr>
                <w:i/>
              </w:rPr>
            </w:pPr>
            <w:r w:rsidRPr="0013396E">
              <w:rPr>
                <w:i/>
              </w:rPr>
              <w:t>q</w:t>
            </w:r>
          </w:p>
        </w:tc>
        <w:tc>
          <w:tcPr>
            <w:tcW w:w="0" w:type="auto"/>
          </w:tcPr>
          <w:p w14:paraId="521B9559" w14:textId="77777777" w:rsidR="001F04FD" w:rsidRPr="0013396E" w:rsidRDefault="001F04FD" w:rsidP="00AC4DEE">
            <w:pPr>
              <w:pStyle w:val="TableBody"/>
            </w:pPr>
            <w:r w:rsidRPr="0013396E">
              <w:t>none</w:t>
            </w:r>
          </w:p>
        </w:tc>
        <w:tc>
          <w:tcPr>
            <w:tcW w:w="0" w:type="auto"/>
          </w:tcPr>
          <w:p w14:paraId="073D4AA8" w14:textId="77777777" w:rsidR="001F04FD" w:rsidRPr="0013396E" w:rsidRDefault="001F04FD" w:rsidP="00AC4DEE">
            <w:pPr>
              <w:pStyle w:val="TableBody"/>
              <w:rPr>
                <w:i/>
              </w:rPr>
            </w:pPr>
            <w:r w:rsidRPr="0013396E">
              <w:t>A QSE.</w:t>
            </w:r>
          </w:p>
        </w:tc>
      </w:tr>
      <w:tr w:rsidR="001F04FD" w:rsidRPr="0013396E" w14:paraId="55E3ADE1" w14:textId="77777777" w:rsidTr="00AC4DEE">
        <w:trPr>
          <w:cantSplit/>
        </w:trPr>
        <w:tc>
          <w:tcPr>
            <w:tcW w:w="1685" w:type="dxa"/>
          </w:tcPr>
          <w:p w14:paraId="3BCCC7EF" w14:textId="77777777" w:rsidR="001F04FD" w:rsidRPr="0013396E" w:rsidRDefault="001F04FD" w:rsidP="00AC4DEE">
            <w:pPr>
              <w:pStyle w:val="TableBody"/>
              <w:rPr>
                <w:i/>
              </w:rPr>
            </w:pPr>
            <w:r w:rsidRPr="0013396E">
              <w:rPr>
                <w:i/>
              </w:rPr>
              <w:t>r</w:t>
            </w:r>
          </w:p>
        </w:tc>
        <w:tc>
          <w:tcPr>
            <w:tcW w:w="0" w:type="auto"/>
          </w:tcPr>
          <w:p w14:paraId="3A1EEFD2" w14:textId="77777777" w:rsidR="001F04FD" w:rsidRPr="0013396E" w:rsidRDefault="001F04FD" w:rsidP="00AC4DEE">
            <w:pPr>
              <w:pStyle w:val="TableBody"/>
            </w:pPr>
            <w:r w:rsidRPr="0013396E">
              <w:t>none</w:t>
            </w:r>
          </w:p>
        </w:tc>
        <w:tc>
          <w:tcPr>
            <w:tcW w:w="0" w:type="auto"/>
          </w:tcPr>
          <w:p w14:paraId="4FE31684" w14:textId="77777777" w:rsidR="001F04FD" w:rsidRPr="0013396E" w:rsidRDefault="001F04FD" w:rsidP="00AC4DEE">
            <w:pPr>
              <w:pStyle w:val="TableBody"/>
              <w:rPr>
                <w:i/>
              </w:rPr>
            </w:pPr>
            <w:r w:rsidRPr="0013396E">
              <w:t>An RMR Unit.</w:t>
            </w:r>
          </w:p>
        </w:tc>
      </w:tr>
    </w:tbl>
    <w:p w14:paraId="1A92681B" w14:textId="77777777" w:rsidR="001F04FD" w:rsidRPr="0013396E" w:rsidRDefault="001F04FD" w:rsidP="001F04FD"/>
    <w:p w14:paraId="7DB0A5B4" w14:textId="77777777" w:rsidR="001F04FD" w:rsidRPr="0013396E" w:rsidRDefault="001F04FD" w:rsidP="001F04FD">
      <w:pPr>
        <w:pStyle w:val="BodyTextNumbered"/>
      </w:pPr>
      <w:bookmarkStart w:id="1968" w:name="_Toc87951801"/>
      <w:bookmarkStart w:id="1969" w:name="_Toc109009411"/>
      <w:r w:rsidRPr="0013396E">
        <w:lastRenderedPageBreak/>
        <w:t>(2)</w:t>
      </w:r>
      <w:r w:rsidRPr="0013396E">
        <w:tab/>
        <w:t>The total of the charges to each QSE for unexcused Misconduct Events of all RMR Units represented by this QSE for a given Operating Day is calculated as follows:</w:t>
      </w:r>
    </w:p>
    <w:p w14:paraId="7CD1D8AF" w14:textId="77777777" w:rsidR="001F04FD" w:rsidRPr="0013396E" w:rsidRDefault="001F04FD" w:rsidP="001F04FD">
      <w:pPr>
        <w:pStyle w:val="FormulaBold"/>
      </w:pPr>
      <w:r w:rsidRPr="0013396E">
        <w:t xml:space="preserve">RMRNPAMTQSETOT </w:t>
      </w:r>
      <w:r w:rsidRPr="0013396E">
        <w:rPr>
          <w:i/>
          <w:vertAlign w:val="subscript"/>
        </w:rPr>
        <w:t>q</w:t>
      </w:r>
      <w:r w:rsidRPr="0013396E">
        <w:tab/>
        <w:t>=</w:t>
      </w:r>
      <w:r w:rsidRPr="0013396E">
        <w:tab/>
      </w:r>
      <w:r w:rsidRPr="0013396E">
        <w:rPr>
          <w:position w:val="-18"/>
        </w:rPr>
        <w:object w:dxaOrig="225" w:dyaOrig="420" w14:anchorId="7B5D8995">
          <v:shape id="_x0000_i1174" type="#_x0000_t75" style="width:12pt;height:24pt" o:ole="">
            <v:imagedata r:id="rId207" o:title=""/>
          </v:shape>
          <o:OLEObject Type="Embed" ProgID="Equation.3" ShapeID="_x0000_i1174" DrawAspect="Content" ObjectID="_1836311453" r:id="rId217"/>
        </w:object>
      </w:r>
      <w:r w:rsidRPr="0013396E">
        <w:t xml:space="preserve">RMRNPAMT </w:t>
      </w:r>
      <w:r w:rsidRPr="0013396E">
        <w:rPr>
          <w:i/>
          <w:vertAlign w:val="subscript"/>
        </w:rPr>
        <w:t>q, r</w:t>
      </w:r>
    </w:p>
    <w:p w14:paraId="197299CD" w14:textId="77777777" w:rsidR="001F04FD" w:rsidRPr="0013396E" w:rsidRDefault="001F04FD" w:rsidP="001F04FD">
      <w:r w:rsidRPr="0013396E">
        <w:t>The above variables are defined as follows:</w:t>
      </w:r>
    </w:p>
    <w:tbl>
      <w:tblPr>
        <w:tblW w:w="9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3"/>
        <w:gridCol w:w="832"/>
        <w:gridCol w:w="6074"/>
      </w:tblGrid>
      <w:tr w:rsidR="001F04FD" w:rsidRPr="0013396E" w14:paraId="0B1D9D4A" w14:textId="77777777" w:rsidTr="00AC4DEE">
        <w:trPr>
          <w:cantSplit/>
          <w:tblHeader/>
        </w:trPr>
        <w:tc>
          <w:tcPr>
            <w:tcW w:w="2343" w:type="dxa"/>
          </w:tcPr>
          <w:p w14:paraId="5C831A6C" w14:textId="77777777" w:rsidR="001F04FD" w:rsidRPr="0013396E" w:rsidRDefault="001F04FD" w:rsidP="00AC4DEE">
            <w:pPr>
              <w:pStyle w:val="TableHead"/>
            </w:pPr>
            <w:r w:rsidRPr="0013396E">
              <w:t>Variable</w:t>
            </w:r>
          </w:p>
        </w:tc>
        <w:tc>
          <w:tcPr>
            <w:tcW w:w="832" w:type="dxa"/>
          </w:tcPr>
          <w:p w14:paraId="2C998FFB" w14:textId="77777777" w:rsidR="001F04FD" w:rsidRPr="0013396E" w:rsidRDefault="001F04FD" w:rsidP="00AC4DEE">
            <w:pPr>
              <w:pStyle w:val="TableHead"/>
            </w:pPr>
            <w:r w:rsidRPr="0013396E">
              <w:t>Unit</w:t>
            </w:r>
          </w:p>
        </w:tc>
        <w:tc>
          <w:tcPr>
            <w:tcW w:w="6074" w:type="dxa"/>
          </w:tcPr>
          <w:p w14:paraId="1A35557F" w14:textId="77777777" w:rsidR="001F04FD" w:rsidRPr="0013396E" w:rsidRDefault="001F04FD" w:rsidP="00AC4DEE">
            <w:pPr>
              <w:pStyle w:val="TableHead"/>
            </w:pPr>
            <w:r w:rsidRPr="0013396E">
              <w:t>Definition</w:t>
            </w:r>
          </w:p>
        </w:tc>
      </w:tr>
      <w:tr w:rsidR="001F04FD" w:rsidRPr="0013396E" w14:paraId="734BE831" w14:textId="77777777" w:rsidTr="00AC4DEE">
        <w:trPr>
          <w:cantSplit/>
        </w:trPr>
        <w:tc>
          <w:tcPr>
            <w:tcW w:w="2343" w:type="dxa"/>
          </w:tcPr>
          <w:p w14:paraId="0A27E38C" w14:textId="77777777" w:rsidR="001F04FD" w:rsidRPr="0013396E" w:rsidRDefault="001F04FD" w:rsidP="00AC4DEE">
            <w:pPr>
              <w:pStyle w:val="TableBody"/>
            </w:pPr>
            <w:r w:rsidRPr="0013396E">
              <w:t xml:space="preserve">RMRNPAMTQSETOT </w:t>
            </w:r>
            <w:r w:rsidRPr="0013396E">
              <w:rPr>
                <w:i/>
                <w:vertAlign w:val="subscript"/>
              </w:rPr>
              <w:t>q</w:t>
            </w:r>
          </w:p>
        </w:tc>
        <w:tc>
          <w:tcPr>
            <w:tcW w:w="832" w:type="dxa"/>
          </w:tcPr>
          <w:p w14:paraId="37512629" w14:textId="77777777" w:rsidR="001F04FD" w:rsidRPr="0013396E" w:rsidRDefault="001F04FD" w:rsidP="00AC4DEE">
            <w:pPr>
              <w:pStyle w:val="TableBody"/>
            </w:pPr>
            <w:r w:rsidRPr="0013396E">
              <w:t>$</w:t>
            </w:r>
          </w:p>
        </w:tc>
        <w:tc>
          <w:tcPr>
            <w:tcW w:w="6074" w:type="dxa"/>
          </w:tcPr>
          <w:p w14:paraId="3F31C47E" w14:textId="77777777" w:rsidR="001F04FD" w:rsidRPr="0013396E" w:rsidRDefault="001F04FD" w:rsidP="00AC4DEE">
            <w:pPr>
              <w:pStyle w:val="TableBody"/>
            </w:pPr>
            <w:r w:rsidRPr="0013396E">
              <w:rPr>
                <w:i/>
              </w:rPr>
              <w:t>Reliability Must-Run Unexcused Misconduct Amount QSE Total per QSE</w:t>
            </w:r>
            <w:r w:rsidRPr="0013396E">
              <w:sym w:font="Symbol" w:char="F0BE"/>
            </w:r>
            <w:r w:rsidRPr="0013396E">
              <w:t xml:space="preserve">The total of the charges to QSE </w:t>
            </w:r>
            <w:r w:rsidRPr="0013396E">
              <w:rPr>
                <w:i/>
              </w:rPr>
              <w:t>q</w:t>
            </w:r>
            <w:r w:rsidRPr="0013396E">
              <w:t xml:space="preserve"> for unexcused Misconduct Events of the RMR Units represented by this QSE for the Operating Day.</w:t>
            </w:r>
          </w:p>
        </w:tc>
      </w:tr>
      <w:tr w:rsidR="001F04FD" w:rsidRPr="0013396E" w14:paraId="26EE393C" w14:textId="77777777" w:rsidTr="00AC4DEE">
        <w:trPr>
          <w:cantSplit/>
        </w:trPr>
        <w:tc>
          <w:tcPr>
            <w:tcW w:w="2343" w:type="dxa"/>
          </w:tcPr>
          <w:p w14:paraId="42179883" w14:textId="77777777" w:rsidR="001F04FD" w:rsidRPr="0013396E" w:rsidRDefault="001F04FD" w:rsidP="00AC4DEE">
            <w:pPr>
              <w:pStyle w:val="TableBody"/>
            </w:pPr>
            <w:r w:rsidRPr="0013396E">
              <w:t xml:space="preserve">RMRNPAMT </w:t>
            </w:r>
            <w:r w:rsidRPr="0013396E">
              <w:rPr>
                <w:i/>
                <w:vertAlign w:val="subscript"/>
              </w:rPr>
              <w:t>q, r</w:t>
            </w:r>
          </w:p>
        </w:tc>
        <w:tc>
          <w:tcPr>
            <w:tcW w:w="832" w:type="dxa"/>
          </w:tcPr>
          <w:p w14:paraId="1E42A50C" w14:textId="77777777" w:rsidR="001F04FD" w:rsidRPr="0013396E" w:rsidRDefault="001F04FD" w:rsidP="00AC4DEE">
            <w:pPr>
              <w:pStyle w:val="TableBody"/>
            </w:pPr>
            <w:r w:rsidRPr="0013396E">
              <w:t>$</w:t>
            </w:r>
          </w:p>
        </w:tc>
        <w:tc>
          <w:tcPr>
            <w:tcW w:w="6074" w:type="dxa"/>
          </w:tcPr>
          <w:p w14:paraId="7DC26D76" w14:textId="77777777" w:rsidR="001F04FD" w:rsidRPr="0013396E" w:rsidRDefault="001F04FD" w:rsidP="00AC4DEE">
            <w:pPr>
              <w:pStyle w:val="TableBody"/>
            </w:pPr>
            <w:r w:rsidRPr="0013396E">
              <w:rPr>
                <w:i/>
              </w:rPr>
              <w:t>Reliability Must-Run Unexcused Misconduct Charge per QSE per Resource</w:t>
            </w:r>
            <w:r w:rsidRPr="0013396E">
              <w:t xml:space="preserve">—The charge to QSE </w:t>
            </w:r>
            <w:r w:rsidRPr="0013396E">
              <w:rPr>
                <w:i/>
              </w:rPr>
              <w:t>q</w:t>
            </w:r>
            <w:r w:rsidRPr="0013396E">
              <w:t xml:space="preserve"> for the unexcused Misconduct Event of RMR Unit </w:t>
            </w:r>
            <w:r w:rsidRPr="0013396E">
              <w:rPr>
                <w:i/>
              </w:rPr>
              <w:t>r</w:t>
            </w:r>
            <w:r w:rsidRPr="0013396E">
              <w:t xml:space="preserve"> for the Operating Day.  Where for a Combined Cycle Train, the Resource </w:t>
            </w:r>
            <w:r w:rsidRPr="0013396E">
              <w:rPr>
                <w:i/>
              </w:rPr>
              <w:t xml:space="preserve">r </w:t>
            </w:r>
            <w:r w:rsidRPr="0013396E">
              <w:t xml:space="preserve">is the Combined Cycle Train. </w:t>
            </w:r>
          </w:p>
        </w:tc>
      </w:tr>
      <w:tr w:rsidR="001F04FD" w:rsidRPr="0013396E" w14:paraId="66022088" w14:textId="77777777" w:rsidTr="00AC4DEE">
        <w:trPr>
          <w:cantSplit/>
        </w:trPr>
        <w:tc>
          <w:tcPr>
            <w:tcW w:w="2343" w:type="dxa"/>
            <w:tcBorders>
              <w:top w:val="single" w:sz="4" w:space="0" w:color="auto"/>
              <w:left w:val="single" w:sz="4" w:space="0" w:color="auto"/>
              <w:bottom w:val="single" w:sz="4" w:space="0" w:color="auto"/>
              <w:right w:val="single" w:sz="4" w:space="0" w:color="auto"/>
            </w:tcBorders>
          </w:tcPr>
          <w:p w14:paraId="1C1685E5" w14:textId="77777777" w:rsidR="001F04FD" w:rsidRPr="0013396E" w:rsidRDefault="001F04FD" w:rsidP="00AC4DEE">
            <w:pPr>
              <w:pStyle w:val="TableBody"/>
              <w:rPr>
                <w:i/>
              </w:rPr>
            </w:pPr>
            <w:r w:rsidRPr="0013396E">
              <w:rPr>
                <w:i/>
              </w:rPr>
              <w:t>q</w:t>
            </w:r>
          </w:p>
        </w:tc>
        <w:tc>
          <w:tcPr>
            <w:tcW w:w="832" w:type="dxa"/>
            <w:tcBorders>
              <w:top w:val="single" w:sz="4" w:space="0" w:color="auto"/>
              <w:left w:val="single" w:sz="4" w:space="0" w:color="auto"/>
              <w:bottom w:val="single" w:sz="4" w:space="0" w:color="auto"/>
              <w:right w:val="single" w:sz="4" w:space="0" w:color="auto"/>
            </w:tcBorders>
          </w:tcPr>
          <w:p w14:paraId="271B6687" w14:textId="77777777" w:rsidR="001F04FD" w:rsidRPr="0013396E" w:rsidRDefault="001F04FD" w:rsidP="00AC4DEE">
            <w:pPr>
              <w:pStyle w:val="TableBody"/>
            </w:pPr>
            <w:r w:rsidRPr="0013396E">
              <w:t>none</w:t>
            </w:r>
          </w:p>
        </w:tc>
        <w:tc>
          <w:tcPr>
            <w:tcW w:w="6074" w:type="dxa"/>
            <w:tcBorders>
              <w:top w:val="single" w:sz="4" w:space="0" w:color="auto"/>
              <w:left w:val="single" w:sz="4" w:space="0" w:color="auto"/>
              <w:bottom w:val="single" w:sz="4" w:space="0" w:color="auto"/>
              <w:right w:val="single" w:sz="4" w:space="0" w:color="auto"/>
            </w:tcBorders>
          </w:tcPr>
          <w:p w14:paraId="613915B1" w14:textId="77777777" w:rsidR="001F04FD" w:rsidRPr="0013396E" w:rsidRDefault="001F04FD" w:rsidP="00AC4DEE">
            <w:pPr>
              <w:pStyle w:val="TableBody"/>
            </w:pPr>
            <w:r w:rsidRPr="0013396E">
              <w:t>A QSE.</w:t>
            </w:r>
          </w:p>
        </w:tc>
      </w:tr>
      <w:tr w:rsidR="001F04FD" w:rsidRPr="0013396E" w14:paraId="262D38C6" w14:textId="77777777" w:rsidTr="00AC4DEE">
        <w:trPr>
          <w:cantSplit/>
        </w:trPr>
        <w:tc>
          <w:tcPr>
            <w:tcW w:w="2343" w:type="dxa"/>
            <w:tcBorders>
              <w:top w:val="single" w:sz="4" w:space="0" w:color="auto"/>
              <w:left w:val="single" w:sz="4" w:space="0" w:color="auto"/>
              <w:bottom w:val="single" w:sz="4" w:space="0" w:color="auto"/>
              <w:right w:val="single" w:sz="4" w:space="0" w:color="auto"/>
            </w:tcBorders>
          </w:tcPr>
          <w:p w14:paraId="7AA6FD8F" w14:textId="77777777" w:rsidR="001F04FD" w:rsidRPr="0013396E" w:rsidRDefault="001F04FD" w:rsidP="00AC4DEE">
            <w:pPr>
              <w:pStyle w:val="TableBody"/>
              <w:rPr>
                <w:i/>
              </w:rPr>
            </w:pPr>
            <w:r w:rsidRPr="0013396E">
              <w:rPr>
                <w:i/>
              </w:rPr>
              <w:t>r</w:t>
            </w:r>
          </w:p>
        </w:tc>
        <w:tc>
          <w:tcPr>
            <w:tcW w:w="832" w:type="dxa"/>
            <w:tcBorders>
              <w:top w:val="single" w:sz="4" w:space="0" w:color="auto"/>
              <w:left w:val="single" w:sz="4" w:space="0" w:color="auto"/>
              <w:bottom w:val="single" w:sz="4" w:space="0" w:color="auto"/>
              <w:right w:val="single" w:sz="4" w:space="0" w:color="auto"/>
            </w:tcBorders>
          </w:tcPr>
          <w:p w14:paraId="735A5653" w14:textId="77777777" w:rsidR="001F04FD" w:rsidRPr="0013396E" w:rsidRDefault="001F04FD" w:rsidP="00AC4DEE">
            <w:pPr>
              <w:pStyle w:val="TableBody"/>
            </w:pPr>
            <w:r w:rsidRPr="0013396E">
              <w:t>none</w:t>
            </w:r>
          </w:p>
        </w:tc>
        <w:tc>
          <w:tcPr>
            <w:tcW w:w="6074" w:type="dxa"/>
            <w:tcBorders>
              <w:top w:val="single" w:sz="4" w:space="0" w:color="auto"/>
              <w:left w:val="single" w:sz="4" w:space="0" w:color="auto"/>
              <w:bottom w:val="single" w:sz="4" w:space="0" w:color="auto"/>
              <w:right w:val="single" w:sz="4" w:space="0" w:color="auto"/>
            </w:tcBorders>
          </w:tcPr>
          <w:p w14:paraId="6BAEA643" w14:textId="77777777" w:rsidR="001F04FD" w:rsidRPr="0013396E" w:rsidRDefault="001F04FD" w:rsidP="00AC4DEE">
            <w:pPr>
              <w:pStyle w:val="TableBody"/>
            </w:pPr>
            <w:r w:rsidRPr="0013396E">
              <w:t>An RMR Unit.</w:t>
            </w:r>
          </w:p>
        </w:tc>
      </w:tr>
    </w:tbl>
    <w:p w14:paraId="2FE7D514" w14:textId="77777777" w:rsidR="001F04FD" w:rsidRPr="0013396E" w:rsidRDefault="001F04FD" w:rsidP="001F04FD">
      <w:pPr>
        <w:pStyle w:val="H4"/>
        <w:spacing w:before="480"/>
        <w:ind w:left="1267" w:hanging="1267"/>
      </w:pPr>
      <w:bookmarkStart w:id="1970" w:name="_Toc397505031"/>
      <w:bookmarkStart w:id="1971" w:name="_Toc402357163"/>
      <w:bookmarkStart w:id="1972" w:name="_Toc422486543"/>
      <w:bookmarkStart w:id="1973" w:name="_Toc433093396"/>
      <w:bookmarkStart w:id="1974" w:name="_Toc433093554"/>
      <w:bookmarkStart w:id="1975" w:name="_Toc440874784"/>
      <w:bookmarkStart w:id="1976" w:name="_Toc448142341"/>
      <w:bookmarkStart w:id="1977" w:name="_Toc448142498"/>
      <w:bookmarkStart w:id="1978" w:name="_Toc458770339"/>
      <w:bookmarkStart w:id="1979" w:name="_Toc459294307"/>
      <w:bookmarkStart w:id="1980" w:name="_Toc463262800"/>
      <w:bookmarkStart w:id="1981" w:name="_Toc468286873"/>
      <w:bookmarkStart w:id="1982" w:name="_Toc481502913"/>
      <w:bookmarkStart w:id="1983" w:name="_Toc496080081"/>
      <w:bookmarkStart w:id="1984" w:name="_Toc214878998"/>
      <w:bookmarkStart w:id="1985" w:name="_Toc87951808"/>
      <w:bookmarkStart w:id="1986" w:name="_Toc109009412"/>
      <w:bookmarkEnd w:id="1968"/>
      <w:bookmarkEnd w:id="1969"/>
      <w:r w:rsidRPr="0013396E">
        <w:t>6.6.6.5</w:t>
      </w:r>
      <w:r w:rsidRPr="0013396E">
        <w:tab/>
        <w:t>RMR Service Charge</w:t>
      </w:r>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p>
    <w:p w14:paraId="6BE62F3D" w14:textId="77777777" w:rsidR="001F04FD" w:rsidRPr="0013396E" w:rsidRDefault="001F04FD" w:rsidP="001F04FD">
      <w:pPr>
        <w:pStyle w:val="BodyTextNumbered"/>
      </w:pPr>
      <w:r w:rsidRPr="0013396E">
        <w:t>(1)</w:t>
      </w:r>
      <w:r w:rsidRPr="0013396E">
        <w:tab/>
        <w:t>The total RMR cost for all RMR Units is allocated to the QSEs representing Loads based on LRS.  The RMR Service charge to each QSE for a given hour is calculated as follows:</w:t>
      </w:r>
    </w:p>
    <w:p w14:paraId="78AF223B" w14:textId="77777777" w:rsidR="001F04FD" w:rsidRPr="0013396E" w:rsidRDefault="001F04FD" w:rsidP="001F04FD">
      <w:pPr>
        <w:pStyle w:val="FormulaBold"/>
        <w:tabs>
          <w:tab w:val="clear" w:pos="2250"/>
          <w:tab w:val="clear" w:pos="3150"/>
          <w:tab w:val="clear" w:pos="3960"/>
          <w:tab w:val="left" w:pos="2610"/>
          <w:tab w:val="left" w:pos="3060"/>
        </w:tabs>
        <w:ind w:left="3060" w:hanging="2340"/>
        <w:rPr>
          <w:i/>
          <w:vertAlign w:val="subscript"/>
        </w:rPr>
      </w:pPr>
      <w:r w:rsidRPr="0013396E">
        <w:t xml:space="preserve">LARMRAMT </w:t>
      </w:r>
      <w:r w:rsidRPr="0013396E">
        <w:rPr>
          <w:i/>
          <w:vertAlign w:val="subscript"/>
        </w:rPr>
        <w:t>q</w:t>
      </w:r>
      <w:r w:rsidRPr="0013396E">
        <w:tab/>
        <w:t>=</w:t>
      </w:r>
      <w:r w:rsidRPr="0013396E">
        <w:tab/>
        <w:t xml:space="preserve">(-1) * (RMRSBAMTTOT + RMREAMTTOT </w:t>
      </w:r>
      <w:r w:rsidRPr="0013396E">
        <w:br/>
        <w:t xml:space="preserve">+ RMRAAMTTOT + RMRNPAMTTOT / H) * HLRS </w:t>
      </w:r>
      <w:r w:rsidRPr="0013396E">
        <w:rPr>
          <w:i/>
          <w:vertAlign w:val="subscript"/>
        </w:rPr>
        <w:t>q</w:t>
      </w:r>
    </w:p>
    <w:p w14:paraId="71C12100" w14:textId="77777777" w:rsidR="001F04FD" w:rsidRPr="0013396E" w:rsidRDefault="001F04FD" w:rsidP="001F04FD">
      <w:pPr>
        <w:pStyle w:val="BodyText"/>
        <w:ind w:firstLine="720"/>
      </w:pPr>
      <w:r w:rsidRPr="0013396E">
        <w:t>Where:</w:t>
      </w:r>
    </w:p>
    <w:p w14:paraId="191BE8AD" w14:textId="77777777" w:rsidR="001F04FD" w:rsidRPr="0013396E" w:rsidRDefault="001F04FD" w:rsidP="001F04FD">
      <w:pPr>
        <w:ind w:firstLine="720"/>
      </w:pPr>
      <w:r w:rsidRPr="0013396E">
        <w:t>RMR Standby Amount Total</w:t>
      </w:r>
    </w:p>
    <w:p w14:paraId="5EB9E912" w14:textId="77777777" w:rsidR="001F04FD" w:rsidRPr="0013396E" w:rsidRDefault="001F04FD" w:rsidP="001F04FD">
      <w:pPr>
        <w:pStyle w:val="Formula"/>
        <w:ind w:left="2880" w:hanging="2160"/>
        <w:rPr>
          <w:i/>
          <w:vertAlign w:val="subscript"/>
        </w:rPr>
      </w:pPr>
      <w:r w:rsidRPr="0013396E">
        <w:t>RMRSBAMTTOT</w:t>
      </w:r>
      <w:r w:rsidRPr="0013396E">
        <w:tab/>
        <w:t>=</w:t>
      </w:r>
      <w:r w:rsidRPr="0013396E">
        <w:tab/>
      </w:r>
      <w:r w:rsidRPr="0013396E">
        <w:rPr>
          <w:position w:val="-22"/>
        </w:rPr>
        <w:object w:dxaOrig="210" w:dyaOrig="465" w14:anchorId="4E7420F9">
          <v:shape id="_x0000_i1175" type="#_x0000_t75" style="width:6pt;height:24pt" o:ole="">
            <v:imagedata r:id="rId218" o:title=""/>
          </v:shape>
          <o:OLEObject Type="Embed" ProgID="Equation.3" ShapeID="_x0000_i1175" DrawAspect="Content" ObjectID="_1836311454" r:id="rId219"/>
        </w:object>
      </w:r>
      <w:r w:rsidRPr="0013396E">
        <w:t xml:space="preserve">RMRSBAMTQSETOT </w:t>
      </w:r>
      <w:r w:rsidRPr="0013396E">
        <w:rPr>
          <w:i/>
          <w:vertAlign w:val="subscript"/>
        </w:rPr>
        <w:t>q</w:t>
      </w:r>
    </w:p>
    <w:p w14:paraId="1D2F4889" w14:textId="77777777" w:rsidR="001F04FD" w:rsidRPr="0013396E" w:rsidRDefault="001F04FD" w:rsidP="001F04FD">
      <w:pPr>
        <w:ind w:firstLine="720"/>
      </w:pPr>
      <w:r w:rsidRPr="0013396E">
        <w:t>RMR Energy Amount Total</w:t>
      </w:r>
    </w:p>
    <w:p w14:paraId="39FE5FF3" w14:textId="77777777" w:rsidR="001F04FD" w:rsidRPr="0013396E" w:rsidRDefault="001F04FD" w:rsidP="001F04FD">
      <w:pPr>
        <w:pStyle w:val="Formula"/>
        <w:ind w:left="2880" w:hanging="2160"/>
        <w:rPr>
          <w:i/>
          <w:vertAlign w:val="subscript"/>
        </w:rPr>
      </w:pPr>
      <w:r w:rsidRPr="0013396E">
        <w:t>RMREAMTTOT</w:t>
      </w:r>
      <w:r w:rsidRPr="0013396E">
        <w:tab/>
        <w:t>=</w:t>
      </w:r>
      <w:r w:rsidRPr="0013396E">
        <w:tab/>
      </w:r>
      <w:r w:rsidRPr="0013396E">
        <w:rPr>
          <w:position w:val="-22"/>
        </w:rPr>
        <w:object w:dxaOrig="210" w:dyaOrig="465" w14:anchorId="5821D66F">
          <v:shape id="_x0000_i1176" type="#_x0000_t75" style="width:6pt;height:24pt" o:ole="">
            <v:imagedata r:id="rId220" o:title=""/>
          </v:shape>
          <o:OLEObject Type="Embed" ProgID="Equation.3" ShapeID="_x0000_i1176" DrawAspect="Content" ObjectID="_1836311455" r:id="rId221"/>
        </w:object>
      </w:r>
      <w:r w:rsidRPr="0013396E">
        <w:t xml:space="preserve">RMREAMTQSETOT </w:t>
      </w:r>
      <w:r w:rsidRPr="0013396E">
        <w:rPr>
          <w:i/>
          <w:vertAlign w:val="subscript"/>
        </w:rPr>
        <w:t>q</w:t>
      </w:r>
    </w:p>
    <w:p w14:paraId="6EB3BF3F" w14:textId="77777777" w:rsidR="001F04FD" w:rsidRPr="0013396E" w:rsidRDefault="001F04FD" w:rsidP="001F04FD">
      <w:pPr>
        <w:ind w:firstLine="720"/>
      </w:pPr>
      <w:r w:rsidRPr="0013396E">
        <w:t>RMR Adjustment Charge Total</w:t>
      </w:r>
    </w:p>
    <w:p w14:paraId="00BCC927" w14:textId="77777777" w:rsidR="001F04FD" w:rsidRPr="0013396E" w:rsidRDefault="001F04FD" w:rsidP="001F04FD">
      <w:pPr>
        <w:pStyle w:val="Formula"/>
        <w:ind w:left="2880" w:hanging="2160"/>
      </w:pPr>
      <w:r w:rsidRPr="0013396E">
        <w:t>RMRAAMTTOT</w:t>
      </w:r>
      <w:r w:rsidRPr="0013396E">
        <w:tab/>
        <w:t>=</w:t>
      </w:r>
      <w:r w:rsidRPr="0013396E">
        <w:tab/>
      </w:r>
      <w:r w:rsidRPr="0013396E">
        <w:rPr>
          <w:position w:val="-22"/>
        </w:rPr>
        <w:object w:dxaOrig="210" w:dyaOrig="465" w14:anchorId="252C4255">
          <v:shape id="_x0000_i1177" type="#_x0000_t75" style="width:6pt;height:24pt" o:ole="">
            <v:imagedata r:id="rId220" o:title=""/>
          </v:shape>
          <o:OLEObject Type="Embed" ProgID="Equation.3" ShapeID="_x0000_i1177" DrawAspect="Content" ObjectID="_1836311456" r:id="rId222"/>
        </w:object>
      </w:r>
      <w:r w:rsidRPr="0013396E">
        <w:t xml:space="preserve">RMRAAMT </w:t>
      </w:r>
      <w:r w:rsidRPr="0013396E">
        <w:rPr>
          <w:i/>
          <w:vertAlign w:val="subscript"/>
        </w:rPr>
        <w:t>q</w:t>
      </w:r>
    </w:p>
    <w:p w14:paraId="657D9AFB" w14:textId="77777777" w:rsidR="001F04FD" w:rsidRPr="0013396E" w:rsidRDefault="001F04FD" w:rsidP="001F04FD">
      <w:pPr>
        <w:ind w:firstLine="720"/>
      </w:pPr>
      <w:r w:rsidRPr="0013396E">
        <w:t>RMR Non-Performance Amount Total</w:t>
      </w:r>
    </w:p>
    <w:p w14:paraId="1EAF89C5" w14:textId="77777777" w:rsidR="001F04FD" w:rsidRPr="0013396E" w:rsidRDefault="001F04FD" w:rsidP="001F04FD">
      <w:pPr>
        <w:pStyle w:val="Formula"/>
        <w:ind w:left="2880" w:hanging="2160"/>
      </w:pPr>
      <w:r w:rsidRPr="0013396E">
        <w:t>RMRNPAMTTOT</w:t>
      </w:r>
      <w:r w:rsidRPr="0013396E">
        <w:tab/>
        <w:t>=</w:t>
      </w:r>
      <w:r w:rsidRPr="0013396E">
        <w:tab/>
      </w:r>
      <w:r w:rsidRPr="0013396E">
        <w:rPr>
          <w:position w:val="-22"/>
        </w:rPr>
        <w:object w:dxaOrig="210" w:dyaOrig="465" w14:anchorId="2DF980D6">
          <v:shape id="_x0000_i1178" type="#_x0000_t75" style="width:6pt;height:24pt" o:ole="">
            <v:imagedata r:id="rId223" o:title=""/>
          </v:shape>
          <o:OLEObject Type="Embed" ProgID="Equation.3" ShapeID="_x0000_i1178" DrawAspect="Content" ObjectID="_1836311457" r:id="rId224"/>
        </w:object>
      </w:r>
      <w:r w:rsidRPr="0013396E">
        <w:t xml:space="preserve">RMRNPAMTQSETOT </w:t>
      </w:r>
      <w:r w:rsidRPr="0013396E">
        <w:rPr>
          <w:i/>
          <w:vertAlign w:val="subscript"/>
        </w:rPr>
        <w:t>q</w:t>
      </w:r>
    </w:p>
    <w:p w14:paraId="4F450FCD" w14:textId="77777777" w:rsidR="001F04FD" w:rsidRPr="0013396E" w:rsidRDefault="001F04FD" w:rsidP="001F04FD">
      <w:r w:rsidRPr="0013396E">
        <w:t>The above variables are defined as follows:</w:t>
      </w:r>
    </w:p>
    <w:tbl>
      <w:tblPr>
        <w:tblW w:w="50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6"/>
        <w:gridCol w:w="879"/>
        <w:gridCol w:w="6004"/>
      </w:tblGrid>
      <w:tr w:rsidR="001F04FD" w:rsidRPr="0013396E" w14:paraId="0BA58522" w14:textId="77777777" w:rsidTr="00AC4DEE">
        <w:trPr>
          <w:cantSplit/>
          <w:tblHeader/>
        </w:trPr>
        <w:tc>
          <w:tcPr>
            <w:tcW w:w="1358" w:type="pct"/>
          </w:tcPr>
          <w:p w14:paraId="277BFF05" w14:textId="77777777" w:rsidR="001F04FD" w:rsidRPr="0013396E" w:rsidRDefault="001F04FD" w:rsidP="00AC4DEE">
            <w:pPr>
              <w:pStyle w:val="TableHead"/>
            </w:pPr>
            <w:r w:rsidRPr="0013396E">
              <w:lastRenderedPageBreak/>
              <w:t>Variable</w:t>
            </w:r>
          </w:p>
        </w:tc>
        <w:tc>
          <w:tcPr>
            <w:tcW w:w="465" w:type="pct"/>
          </w:tcPr>
          <w:p w14:paraId="5AF32A99" w14:textId="77777777" w:rsidR="001F04FD" w:rsidRPr="0013396E" w:rsidRDefault="001F04FD" w:rsidP="00AC4DEE">
            <w:pPr>
              <w:pStyle w:val="TableHead"/>
            </w:pPr>
            <w:r w:rsidRPr="0013396E">
              <w:t>Unit</w:t>
            </w:r>
          </w:p>
        </w:tc>
        <w:tc>
          <w:tcPr>
            <w:tcW w:w="3177" w:type="pct"/>
          </w:tcPr>
          <w:p w14:paraId="3DB609DF" w14:textId="77777777" w:rsidR="001F04FD" w:rsidRPr="0013396E" w:rsidRDefault="001F04FD" w:rsidP="00AC4DEE">
            <w:pPr>
              <w:pStyle w:val="TableHead"/>
            </w:pPr>
            <w:r w:rsidRPr="0013396E">
              <w:t>Definition</w:t>
            </w:r>
          </w:p>
        </w:tc>
      </w:tr>
      <w:tr w:rsidR="001F04FD" w:rsidRPr="0013396E" w14:paraId="339B8F6E" w14:textId="77777777" w:rsidTr="00AC4DEE">
        <w:trPr>
          <w:cantSplit/>
        </w:trPr>
        <w:tc>
          <w:tcPr>
            <w:tcW w:w="1358" w:type="pct"/>
          </w:tcPr>
          <w:p w14:paraId="67F12A03" w14:textId="77777777" w:rsidR="001F04FD" w:rsidRPr="0013396E" w:rsidRDefault="001F04FD" w:rsidP="00AC4DEE">
            <w:pPr>
              <w:pStyle w:val="TableBody"/>
            </w:pPr>
            <w:r w:rsidRPr="0013396E">
              <w:t xml:space="preserve">LARMRAMT </w:t>
            </w:r>
            <w:r w:rsidRPr="0013396E">
              <w:rPr>
                <w:i/>
                <w:vertAlign w:val="subscript"/>
              </w:rPr>
              <w:t>q</w:t>
            </w:r>
          </w:p>
        </w:tc>
        <w:tc>
          <w:tcPr>
            <w:tcW w:w="465" w:type="pct"/>
          </w:tcPr>
          <w:p w14:paraId="29E5ABEE" w14:textId="77777777" w:rsidR="001F04FD" w:rsidRPr="0013396E" w:rsidRDefault="001F04FD" w:rsidP="00AC4DEE">
            <w:pPr>
              <w:pStyle w:val="TableBody"/>
            </w:pPr>
            <w:r w:rsidRPr="0013396E">
              <w:t>$</w:t>
            </w:r>
          </w:p>
        </w:tc>
        <w:tc>
          <w:tcPr>
            <w:tcW w:w="3177" w:type="pct"/>
          </w:tcPr>
          <w:p w14:paraId="6B018015" w14:textId="77777777" w:rsidR="001F04FD" w:rsidRPr="0013396E" w:rsidRDefault="001F04FD" w:rsidP="00AC4DEE">
            <w:pPr>
              <w:pStyle w:val="TableBody"/>
            </w:pPr>
            <w:r w:rsidRPr="0013396E">
              <w:rPr>
                <w:i/>
              </w:rPr>
              <w:t>Load-Allocated Reliability Must-Run Amount per QSE</w:t>
            </w:r>
            <w:r w:rsidRPr="0013396E">
              <w:t xml:space="preserve">—The amount charged to QSE </w:t>
            </w:r>
            <w:r w:rsidRPr="0013396E">
              <w:rPr>
                <w:i/>
              </w:rPr>
              <w:t>q</w:t>
            </w:r>
            <w:r w:rsidRPr="0013396E">
              <w:t xml:space="preserve"> based on its LRS of the difference between the amount paid to all QSEs for RMR Service under Section 6.6.6, Reliability Must-Run Settlement, and the amount that would have been paid to the QSEs for the same RMR Units if they were not providing RMR Service under the other parts of this Section 6, Adjustment Period and Real-Time Operations, and Section 5, Transmission Security Analysis and Reliability Unit Commitment. </w:t>
            </w:r>
          </w:p>
        </w:tc>
      </w:tr>
      <w:tr w:rsidR="001F04FD" w:rsidRPr="0013396E" w14:paraId="41699901" w14:textId="77777777" w:rsidTr="00AC4DEE">
        <w:trPr>
          <w:cantSplit/>
        </w:trPr>
        <w:tc>
          <w:tcPr>
            <w:tcW w:w="1358" w:type="pct"/>
          </w:tcPr>
          <w:p w14:paraId="71DA34B7" w14:textId="77777777" w:rsidR="001F04FD" w:rsidRPr="0013396E" w:rsidRDefault="001F04FD" w:rsidP="00AC4DEE">
            <w:pPr>
              <w:pStyle w:val="TableBody"/>
            </w:pPr>
            <w:r w:rsidRPr="0013396E">
              <w:t>RMRSBAMTTOT</w:t>
            </w:r>
          </w:p>
        </w:tc>
        <w:tc>
          <w:tcPr>
            <w:tcW w:w="465" w:type="pct"/>
          </w:tcPr>
          <w:p w14:paraId="5B2554CD" w14:textId="77777777" w:rsidR="001F04FD" w:rsidRPr="0013396E" w:rsidRDefault="001F04FD" w:rsidP="00AC4DEE">
            <w:pPr>
              <w:pStyle w:val="TableBody"/>
            </w:pPr>
            <w:r w:rsidRPr="0013396E">
              <w:t>$</w:t>
            </w:r>
          </w:p>
        </w:tc>
        <w:tc>
          <w:tcPr>
            <w:tcW w:w="3177" w:type="pct"/>
          </w:tcPr>
          <w:p w14:paraId="42333448" w14:textId="77777777" w:rsidR="001F04FD" w:rsidRPr="0013396E" w:rsidRDefault="001F04FD" w:rsidP="00AC4DEE">
            <w:pPr>
              <w:pStyle w:val="TableBody"/>
              <w:rPr>
                <w:i/>
              </w:rPr>
            </w:pPr>
            <w:r w:rsidRPr="0013396E">
              <w:rPr>
                <w:i/>
              </w:rPr>
              <w:t>RMR Standby Amount Total</w:t>
            </w:r>
            <w:r w:rsidRPr="0013396E">
              <w:t>—The total of the Standby Payments to all QSEs for all RMR Units, for the hour.</w:t>
            </w:r>
          </w:p>
        </w:tc>
      </w:tr>
      <w:tr w:rsidR="001F04FD" w:rsidRPr="0013396E" w14:paraId="4532E7A5" w14:textId="77777777" w:rsidTr="00AC4DEE">
        <w:trPr>
          <w:cantSplit/>
        </w:trPr>
        <w:tc>
          <w:tcPr>
            <w:tcW w:w="1358" w:type="pct"/>
          </w:tcPr>
          <w:p w14:paraId="0B1F95F5" w14:textId="77777777" w:rsidR="001F04FD" w:rsidRPr="0013396E" w:rsidRDefault="001F04FD" w:rsidP="00AC4DEE">
            <w:pPr>
              <w:pStyle w:val="TableBody"/>
            </w:pPr>
            <w:r w:rsidRPr="0013396E">
              <w:t>RMREAMTTOT</w:t>
            </w:r>
          </w:p>
        </w:tc>
        <w:tc>
          <w:tcPr>
            <w:tcW w:w="465" w:type="pct"/>
          </w:tcPr>
          <w:p w14:paraId="55C87C45" w14:textId="77777777" w:rsidR="001F04FD" w:rsidRPr="0013396E" w:rsidRDefault="001F04FD" w:rsidP="00AC4DEE">
            <w:pPr>
              <w:pStyle w:val="TableBody"/>
            </w:pPr>
            <w:r w:rsidRPr="0013396E">
              <w:t>$</w:t>
            </w:r>
          </w:p>
        </w:tc>
        <w:tc>
          <w:tcPr>
            <w:tcW w:w="3177" w:type="pct"/>
          </w:tcPr>
          <w:p w14:paraId="0754399D" w14:textId="77777777" w:rsidR="001F04FD" w:rsidRPr="0013396E" w:rsidRDefault="001F04FD" w:rsidP="00AC4DEE">
            <w:pPr>
              <w:pStyle w:val="TableBody"/>
              <w:rPr>
                <w:i/>
              </w:rPr>
            </w:pPr>
            <w:r w:rsidRPr="0013396E">
              <w:rPr>
                <w:i/>
              </w:rPr>
              <w:t>RMR Energy Amount Total</w:t>
            </w:r>
            <w:r w:rsidRPr="0013396E">
              <w:t>—The total of the energy cost payments to all QSEs for all RMR Units, for the hour.</w:t>
            </w:r>
          </w:p>
        </w:tc>
      </w:tr>
      <w:tr w:rsidR="001F04FD" w:rsidRPr="0013396E" w14:paraId="5F2F37E7" w14:textId="77777777" w:rsidTr="00AC4DEE">
        <w:trPr>
          <w:cantSplit/>
        </w:trPr>
        <w:tc>
          <w:tcPr>
            <w:tcW w:w="1358" w:type="pct"/>
          </w:tcPr>
          <w:p w14:paraId="4CED73D7" w14:textId="77777777" w:rsidR="001F04FD" w:rsidRPr="0013396E" w:rsidRDefault="001F04FD" w:rsidP="00AC4DEE">
            <w:pPr>
              <w:pStyle w:val="TableBody"/>
            </w:pPr>
            <w:r w:rsidRPr="0013396E">
              <w:t>RMRAAMTTOT</w:t>
            </w:r>
          </w:p>
        </w:tc>
        <w:tc>
          <w:tcPr>
            <w:tcW w:w="465" w:type="pct"/>
          </w:tcPr>
          <w:p w14:paraId="4C81E336" w14:textId="77777777" w:rsidR="001F04FD" w:rsidRPr="0013396E" w:rsidRDefault="001F04FD" w:rsidP="00AC4DEE">
            <w:pPr>
              <w:pStyle w:val="TableBody"/>
            </w:pPr>
            <w:r w:rsidRPr="0013396E">
              <w:t>$</w:t>
            </w:r>
          </w:p>
        </w:tc>
        <w:tc>
          <w:tcPr>
            <w:tcW w:w="3177" w:type="pct"/>
          </w:tcPr>
          <w:p w14:paraId="2DF65BDF" w14:textId="77777777" w:rsidR="001F04FD" w:rsidRPr="0013396E" w:rsidRDefault="001F04FD" w:rsidP="00AC4DEE">
            <w:pPr>
              <w:pStyle w:val="TableBody"/>
              <w:rPr>
                <w:i/>
              </w:rPr>
            </w:pPr>
            <w:r w:rsidRPr="0013396E">
              <w:rPr>
                <w:i/>
              </w:rPr>
              <w:t>RMR Adjusted Amount Total</w:t>
            </w:r>
            <w:r w:rsidRPr="0013396E">
              <w:t>—The total of the adjusted amounts from all QSEs representing RMR Units for the revenues received for these units from RUC, Real-Time operations and Ancillary Service markets, for the hour.</w:t>
            </w:r>
          </w:p>
        </w:tc>
      </w:tr>
      <w:tr w:rsidR="001F04FD" w:rsidRPr="0013396E" w14:paraId="109AAD0B" w14:textId="77777777" w:rsidTr="00AC4DEE">
        <w:trPr>
          <w:cantSplit/>
        </w:trPr>
        <w:tc>
          <w:tcPr>
            <w:tcW w:w="1358" w:type="pct"/>
          </w:tcPr>
          <w:p w14:paraId="3180741B" w14:textId="77777777" w:rsidR="001F04FD" w:rsidRPr="0013396E" w:rsidRDefault="001F04FD" w:rsidP="00AC4DEE">
            <w:pPr>
              <w:pStyle w:val="TableBody"/>
            </w:pPr>
            <w:r w:rsidRPr="0013396E">
              <w:t>RMRNPAMTTOT</w:t>
            </w:r>
          </w:p>
        </w:tc>
        <w:tc>
          <w:tcPr>
            <w:tcW w:w="465" w:type="pct"/>
          </w:tcPr>
          <w:p w14:paraId="27F30BD3" w14:textId="77777777" w:rsidR="001F04FD" w:rsidRPr="0013396E" w:rsidRDefault="001F04FD" w:rsidP="00AC4DEE">
            <w:pPr>
              <w:pStyle w:val="TableBody"/>
            </w:pPr>
            <w:r w:rsidRPr="0013396E">
              <w:t>$</w:t>
            </w:r>
          </w:p>
        </w:tc>
        <w:tc>
          <w:tcPr>
            <w:tcW w:w="3177" w:type="pct"/>
          </w:tcPr>
          <w:p w14:paraId="3219533A" w14:textId="77777777" w:rsidR="001F04FD" w:rsidRPr="0013396E" w:rsidRDefault="001F04FD" w:rsidP="00AC4DEE">
            <w:pPr>
              <w:pStyle w:val="TableBody"/>
              <w:rPr>
                <w:i/>
              </w:rPr>
            </w:pPr>
            <w:r w:rsidRPr="0013396E">
              <w:rPr>
                <w:i/>
              </w:rPr>
              <w:t>RMR Non-Performance Amount Total</w:t>
            </w:r>
            <w:r w:rsidRPr="0013396E">
              <w:t>—The total of the charges to all QSEs for unexcused Misconduct Events of all RMR Units, for the Operating Day.</w:t>
            </w:r>
          </w:p>
        </w:tc>
      </w:tr>
      <w:tr w:rsidR="001F04FD" w:rsidRPr="0013396E" w14:paraId="46FD9DF0" w14:textId="77777777" w:rsidTr="00AC4DEE">
        <w:trPr>
          <w:cantSplit/>
        </w:trPr>
        <w:tc>
          <w:tcPr>
            <w:tcW w:w="1358" w:type="pct"/>
          </w:tcPr>
          <w:p w14:paraId="18ED31BA" w14:textId="77777777" w:rsidR="001F04FD" w:rsidRPr="0013396E" w:rsidRDefault="001F04FD" w:rsidP="00AC4DEE">
            <w:pPr>
              <w:pStyle w:val="TableBody"/>
            </w:pPr>
            <w:r w:rsidRPr="0013396E">
              <w:t xml:space="preserve">HLRS </w:t>
            </w:r>
            <w:r w:rsidRPr="0013396E">
              <w:rPr>
                <w:i/>
                <w:vertAlign w:val="subscript"/>
              </w:rPr>
              <w:t>q</w:t>
            </w:r>
          </w:p>
        </w:tc>
        <w:tc>
          <w:tcPr>
            <w:tcW w:w="465" w:type="pct"/>
          </w:tcPr>
          <w:p w14:paraId="5E995EEC" w14:textId="77777777" w:rsidR="001F04FD" w:rsidRPr="0013396E" w:rsidRDefault="001F04FD" w:rsidP="00AC4DEE">
            <w:pPr>
              <w:pStyle w:val="TableBody"/>
            </w:pPr>
            <w:r w:rsidRPr="0013396E">
              <w:t>none</w:t>
            </w:r>
          </w:p>
        </w:tc>
        <w:tc>
          <w:tcPr>
            <w:tcW w:w="3177" w:type="pct"/>
          </w:tcPr>
          <w:p w14:paraId="3CDB5FF9" w14:textId="77777777" w:rsidR="001F04FD" w:rsidRPr="0013396E" w:rsidRDefault="001F04FD" w:rsidP="00BD4C7C">
            <w:pPr>
              <w:pStyle w:val="TableBody"/>
            </w:pPr>
            <w:r w:rsidRPr="0013396E">
              <w:t xml:space="preserve">The hourly LRS calculated for QSE </w:t>
            </w:r>
            <w:r w:rsidRPr="0013396E">
              <w:rPr>
                <w:i/>
              </w:rPr>
              <w:t>q</w:t>
            </w:r>
            <w:r w:rsidRPr="0013396E">
              <w:t xml:space="preserve"> for the hour.  See Section 6.6.2.</w:t>
            </w:r>
            <w:r w:rsidR="00BD4C7C" w:rsidRPr="0013396E">
              <w:t>4</w:t>
            </w:r>
            <w:r w:rsidRPr="0013396E">
              <w:t>, QSE Load Ratio Share for an Operating Hour.</w:t>
            </w:r>
          </w:p>
        </w:tc>
      </w:tr>
      <w:tr w:rsidR="001F04FD" w:rsidRPr="0013396E" w14:paraId="46DBE71A" w14:textId="77777777" w:rsidTr="00AC4DEE">
        <w:trPr>
          <w:cantSplit/>
        </w:trPr>
        <w:tc>
          <w:tcPr>
            <w:tcW w:w="1358" w:type="pct"/>
          </w:tcPr>
          <w:p w14:paraId="0AA0C8CC" w14:textId="77777777" w:rsidR="001F04FD" w:rsidRPr="0013396E" w:rsidRDefault="001F04FD" w:rsidP="00AC4DEE">
            <w:pPr>
              <w:pStyle w:val="TableBody"/>
            </w:pPr>
            <w:r w:rsidRPr="0013396E">
              <w:t xml:space="preserve">RMRSBAMTQSETOT </w:t>
            </w:r>
            <w:r w:rsidRPr="0013396E">
              <w:rPr>
                <w:i/>
                <w:vertAlign w:val="subscript"/>
              </w:rPr>
              <w:t>q</w:t>
            </w:r>
          </w:p>
        </w:tc>
        <w:tc>
          <w:tcPr>
            <w:tcW w:w="465" w:type="pct"/>
          </w:tcPr>
          <w:p w14:paraId="5543EDF5" w14:textId="77777777" w:rsidR="001F04FD" w:rsidRPr="0013396E" w:rsidRDefault="001F04FD" w:rsidP="00AC4DEE">
            <w:pPr>
              <w:pStyle w:val="TableBody"/>
            </w:pPr>
            <w:r w:rsidRPr="0013396E">
              <w:t>$</w:t>
            </w:r>
          </w:p>
        </w:tc>
        <w:tc>
          <w:tcPr>
            <w:tcW w:w="3177" w:type="pct"/>
          </w:tcPr>
          <w:p w14:paraId="2A0CC485" w14:textId="77777777" w:rsidR="001F04FD" w:rsidRPr="0013396E" w:rsidRDefault="001F04FD" w:rsidP="00AC4DEE">
            <w:pPr>
              <w:pStyle w:val="TableBody"/>
            </w:pPr>
            <w:r w:rsidRPr="0013396E">
              <w:rPr>
                <w:i/>
              </w:rPr>
              <w:t>Reliability Must-Run Standby Amount QSE Total per QSE</w:t>
            </w:r>
            <w:r w:rsidRPr="0013396E">
              <w:sym w:font="Symbol" w:char="F0BE"/>
            </w:r>
            <w:r w:rsidRPr="0013396E">
              <w:t xml:space="preserve">The total of the Standby Payments to QSE </w:t>
            </w:r>
            <w:r w:rsidRPr="0013396E">
              <w:rPr>
                <w:i/>
              </w:rPr>
              <w:t>q</w:t>
            </w:r>
            <w:r w:rsidRPr="0013396E">
              <w:t xml:space="preserve"> for the RMR Units represented by the same QSE for the hour.</w:t>
            </w:r>
          </w:p>
        </w:tc>
      </w:tr>
      <w:tr w:rsidR="001F04FD" w:rsidRPr="0013396E" w14:paraId="0ED4DCAB" w14:textId="77777777" w:rsidTr="00AC4DEE">
        <w:trPr>
          <w:cantSplit/>
        </w:trPr>
        <w:tc>
          <w:tcPr>
            <w:tcW w:w="1358" w:type="pct"/>
          </w:tcPr>
          <w:p w14:paraId="7D3DA08A" w14:textId="77777777" w:rsidR="001F04FD" w:rsidRPr="0013396E" w:rsidRDefault="001F04FD" w:rsidP="00AC4DEE">
            <w:pPr>
              <w:pStyle w:val="TableBody"/>
            </w:pPr>
            <w:r w:rsidRPr="0013396E">
              <w:t xml:space="preserve">RMREAMTQSETOT </w:t>
            </w:r>
            <w:r w:rsidRPr="0013396E">
              <w:rPr>
                <w:i/>
                <w:vertAlign w:val="subscript"/>
              </w:rPr>
              <w:t>q</w:t>
            </w:r>
          </w:p>
        </w:tc>
        <w:tc>
          <w:tcPr>
            <w:tcW w:w="465" w:type="pct"/>
          </w:tcPr>
          <w:p w14:paraId="4044D501" w14:textId="77777777" w:rsidR="001F04FD" w:rsidRPr="0013396E" w:rsidRDefault="001F04FD" w:rsidP="00AC4DEE">
            <w:pPr>
              <w:pStyle w:val="TableBody"/>
            </w:pPr>
            <w:r w:rsidRPr="0013396E">
              <w:t>$</w:t>
            </w:r>
          </w:p>
        </w:tc>
        <w:tc>
          <w:tcPr>
            <w:tcW w:w="3177" w:type="pct"/>
          </w:tcPr>
          <w:p w14:paraId="2BAC5F68" w14:textId="77777777" w:rsidR="001F04FD" w:rsidRPr="0013396E" w:rsidRDefault="001F04FD" w:rsidP="00AC4DEE">
            <w:pPr>
              <w:pStyle w:val="TableBody"/>
            </w:pPr>
            <w:r w:rsidRPr="0013396E">
              <w:rPr>
                <w:i/>
              </w:rPr>
              <w:t>Reliability Must-Run Energy Amount QSE Total per QSE</w:t>
            </w:r>
            <w:r w:rsidRPr="0013396E">
              <w:sym w:font="Symbol" w:char="F0BE"/>
            </w:r>
            <w:r w:rsidRPr="0013396E">
              <w:t xml:space="preserve">The total of the energy payments to QSE </w:t>
            </w:r>
            <w:r w:rsidRPr="0013396E">
              <w:rPr>
                <w:i/>
              </w:rPr>
              <w:t>q</w:t>
            </w:r>
            <w:r w:rsidRPr="0013396E">
              <w:t xml:space="preserve"> for the RMR Units represented by the same QSE for the hour.</w:t>
            </w:r>
          </w:p>
        </w:tc>
      </w:tr>
      <w:tr w:rsidR="001F04FD" w:rsidRPr="0013396E" w14:paraId="5F15DC64" w14:textId="77777777" w:rsidTr="00AC4DEE">
        <w:trPr>
          <w:cantSplit/>
        </w:trPr>
        <w:tc>
          <w:tcPr>
            <w:tcW w:w="1358" w:type="pct"/>
          </w:tcPr>
          <w:p w14:paraId="17225554" w14:textId="77777777" w:rsidR="001F04FD" w:rsidRPr="0013396E" w:rsidRDefault="001F04FD" w:rsidP="00AC4DEE">
            <w:pPr>
              <w:pStyle w:val="TableBody"/>
            </w:pPr>
            <w:r w:rsidRPr="0013396E">
              <w:t xml:space="preserve">RMRAAMT </w:t>
            </w:r>
            <w:r w:rsidRPr="0013396E">
              <w:rPr>
                <w:i/>
                <w:vertAlign w:val="subscript"/>
              </w:rPr>
              <w:t>q</w:t>
            </w:r>
          </w:p>
        </w:tc>
        <w:tc>
          <w:tcPr>
            <w:tcW w:w="465" w:type="pct"/>
          </w:tcPr>
          <w:p w14:paraId="1B303CC0" w14:textId="77777777" w:rsidR="001F04FD" w:rsidRPr="0013396E" w:rsidRDefault="001F04FD" w:rsidP="00AC4DEE">
            <w:pPr>
              <w:pStyle w:val="TableBody"/>
            </w:pPr>
            <w:r w:rsidRPr="0013396E">
              <w:t>$</w:t>
            </w:r>
          </w:p>
        </w:tc>
        <w:tc>
          <w:tcPr>
            <w:tcW w:w="3177" w:type="pct"/>
          </w:tcPr>
          <w:p w14:paraId="2497654C" w14:textId="77777777" w:rsidR="001F04FD" w:rsidRPr="0013396E" w:rsidRDefault="001F04FD" w:rsidP="00AC4DEE">
            <w:pPr>
              <w:pStyle w:val="TableBody"/>
              <w:rPr>
                <w:i/>
              </w:rPr>
            </w:pPr>
            <w:r w:rsidRPr="0013396E">
              <w:rPr>
                <w:i/>
              </w:rPr>
              <w:t>RMR Adjusted Amount per QSE</w:t>
            </w:r>
            <w:r w:rsidRPr="0013396E">
              <w:t xml:space="preserve">—The adjustment from QSE </w:t>
            </w:r>
            <w:r w:rsidRPr="0013396E">
              <w:rPr>
                <w:i/>
              </w:rPr>
              <w:t>q</w:t>
            </w:r>
            <w:r w:rsidRPr="0013396E">
              <w:t xml:space="preserve"> Standby Payments and energy payments for all RMR Units represented by this QSE, for the revenues received for the same RMR Units from RUC and Real-Time operations, for the hour.</w:t>
            </w:r>
          </w:p>
        </w:tc>
      </w:tr>
      <w:tr w:rsidR="001F04FD" w:rsidRPr="0013396E" w14:paraId="26A17FA9" w14:textId="77777777" w:rsidTr="00AC4DEE">
        <w:trPr>
          <w:cantSplit/>
        </w:trPr>
        <w:tc>
          <w:tcPr>
            <w:tcW w:w="1358" w:type="pct"/>
          </w:tcPr>
          <w:p w14:paraId="64B4C29D" w14:textId="77777777" w:rsidR="001F04FD" w:rsidRPr="0013396E" w:rsidRDefault="001F04FD" w:rsidP="00AC4DEE">
            <w:pPr>
              <w:pStyle w:val="TableBody"/>
            </w:pPr>
            <w:r w:rsidRPr="0013396E">
              <w:t>RMRNPAMTQSETOT</w:t>
            </w:r>
            <w:r w:rsidRPr="0013396E">
              <w:rPr>
                <w:i/>
              </w:rPr>
              <w:t xml:space="preserve"> </w:t>
            </w:r>
            <w:r w:rsidRPr="0013396E">
              <w:rPr>
                <w:i/>
                <w:vertAlign w:val="subscript"/>
              </w:rPr>
              <w:t>q</w:t>
            </w:r>
          </w:p>
        </w:tc>
        <w:tc>
          <w:tcPr>
            <w:tcW w:w="465" w:type="pct"/>
          </w:tcPr>
          <w:p w14:paraId="059AFC85" w14:textId="77777777" w:rsidR="001F04FD" w:rsidRPr="0013396E" w:rsidRDefault="001F04FD" w:rsidP="00AC4DEE">
            <w:pPr>
              <w:pStyle w:val="TableBody"/>
            </w:pPr>
            <w:r w:rsidRPr="0013396E">
              <w:t>$</w:t>
            </w:r>
          </w:p>
        </w:tc>
        <w:tc>
          <w:tcPr>
            <w:tcW w:w="3177" w:type="pct"/>
          </w:tcPr>
          <w:p w14:paraId="25D63AFB" w14:textId="77777777" w:rsidR="001F04FD" w:rsidRPr="0013396E" w:rsidRDefault="001F04FD" w:rsidP="00AC4DEE">
            <w:pPr>
              <w:pStyle w:val="TableBody"/>
            </w:pPr>
            <w:r w:rsidRPr="0013396E">
              <w:rPr>
                <w:i/>
              </w:rPr>
              <w:t>Reliability Must-Run Unexcused Misconduct Amount QSE Total per QSE</w:t>
            </w:r>
            <w:r w:rsidRPr="0013396E">
              <w:sym w:font="Symbol" w:char="F0BE"/>
            </w:r>
            <w:r w:rsidRPr="0013396E">
              <w:t xml:space="preserve">The total of the charges to QSE </w:t>
            </w:r>
            <w:r w:rsidRPr="0013396E">
              <w:rPr>
                <w:i/>
              </w:rPr>
              <w:t>q</w:t>
            </w:r>
            <w:r w:rsidRPr="0013396E">
              <w:t xml:space="preserve"> for unexcused Misconduct Events of the RMR Units represented by the same QSE for the Operating Day.</w:t>
            </w:r>
          </w:p>
        </w:tc>
      </w:tr>
      <w:tr w:rsidR="001F04FD" w:rsidRPr="0013396E" w14:paraId="1F8D6D8D" w14:textId="77777777" w:rsidTr="00AC4DEE">
        <w:trPr>
          <w:cantSplit/>
        </w:trPr>
        <w:tc>
          <w:tcPr>
            <w:tcW w:w="1358" w:type="pct"/>
          </w:tcPr>
          <w:p w14:paraId="1CAB2D05" w14:textId="77777777" w:rsidR="001F04FD" w:rsidRPr="0013396E" w:rsidRDefault="001F04FD" w:rsidP="00AC4DEE">
            <w:pPr>
              <w:pStyle w:val="TableBody"/>
              <w:rPr>
                <w:i/>
              </w:rPr>
            </w:pPr>
            <w:r w:rsidRPr="0013396E">
              <w:rPr>
                <w:i/>
              </w:rPr>
              <w:t>q</w:t>
            </w:r>
          </w:p>
        </w:tc>
        <w:tc>
          <w:tcPr>
            <w:tcW w:w="465" w:type="pct"/>
          </w:tcPr>
          <w:p w14:paraId="6DEADC40" w14:textId="77777777" w:rsidR="001F04FD" w:rsidRPr="0013396E" w:rsidRDefault="001F04FD" w:rsidP="00AC4DEE">
            <w:pPr>
              <w:pStyle w:val="TableBody"/>
            </w:pPr>
            <w:r w:rsidRPr="0013396E">
              <w:t>none</w:t>
            </w:r>
          </w:p>
        </w:tc>
        <w:tc>
          <w:tcPr>
            <w:tcW w:w="3177" w:type="pct"/>
          </w:tcPr>
          <w:p w14:paraId="66106F5F" w14:textId="77777777" w:rsidR="001F04FD" w:rsidRPr="0013396E" w:rsidRDefault="001F04FD" w:rsidP="00AC4DEE">
            <w:pPr>
              <w:pStyle w:val="TableBody"/>
              <w:rPr>
                <w:i/>
              </w:rPr>
            </w:pPr>
            <w:r w:rsidRPr="0013396E">
              <w:t>A QSE.</w:t>
            </w:r>
          </w:p>
        </w:tc>
      </w:tr>
      <w:tr w:rsidR="001F04FD" w:rsidRPr="0013396E" w14:paraId="0399A3D8" w14:textId="77777777" w:rsidTr="00AC4DEE">
        <w:trPr>
          <w:cantSplit/>
        </w:trPr>
        <w:tc>
          <w:tcPr>
            <w:tcW w:w="1358" w:type="pct"/>
          </w:tcPr>
          <w:p w14:paraId="0FB06C21" w14:textId="77777777" w:rsidR="001F04FD" w:rsidRPr="0013396E" w:rsidRDefault="001F04FD" w:rsidP="00AC4DEE">
            <w:pPr>
              <w:pStyle w:val="TableBody"/>
            </w:pPr>
            <w:r w:rsidRPr="0013396E">
              <w:t>H</w:t>
            </w:r>
          </w:p>
        </w:tc>
        <w:tc>
          <w:tcPr>
            <w:tcW w:w="465" w:type="pct"/>
          </w:tcPr>
          <w:p w14:paraId="7E30E069" w14:textId="77777777" w:rsidR="001F04FD" w:rsidRPr="0013396E" w:rsidRDefault="001F04FD" w:rsidP="00AC4DEE">
            <w:pPr>
              <w:pStyle w:val="TableBody"/>
            </w:pPr>
            <w:r w:rsidRPr="0013396E">
              <w:t>none</w:t>
            </w:r>
          </w:p>
        </w:tc>
        <w:tc>
          <w:tcPr>
            <w:tcW w:w="3177" w:type="pct"/>
          </w:tcPr>
          <w:p w14:paraId="341E25B7" w14:textId="77777777" w:rsidR="001F04FD" w:rsidRPr="0013396E" w:rsidRDefault="001F04FD" w:rsidP="00AC4DEE">
            <w:pPr>
              <w:pStyle w:val="TableBody"/>
            </w:pPr>
            <w:r w:rsidRPr="0013396E">
              <w:t>The number of hours of the Operating Day.</w:t>
            </w:r>
          </w:p>
        </w:tc>
      </w:tr>
    </w:tbl>
    <w:p w14:paraId="382F3816" w14:textId="77777777" w:rsidR="001F04FD" w:rsidRPr="0013396E" w:rsidRDefault="001F04FD" w:rsidP="001F04FD">
      <w:pPr>
        <w:pStyle w:val="H4"/>
        <w:spacing w:before="480"/>
        <w:ind w:left="1267" w:hanging="1267"/>
        <w:rPr>
          <w:szCs w:val="24"/>
        </w:rPr>
      </w:pPr>
      <w:bookmarkStart w:id="1987" w:name="_Toc463262801"/>
      <w:bookmarkStart w:id="1988" w:name="_Toc468286874"/>
      <w:bookmarkStart w:id="1989" w:name="_Toc481502914"/>
      <w:bookmarkStart w:id="1990" w:name="_Toc496080082"/>
      <w:bookmarkStart w:id="1991" w:name="_Toc214878999"/>
      <w:bookmarkStart w:id="1992" w:name="_Toc397505032"/>
      <w:bookmarkStart w:id="1993" w:name="_Toc402357164"/>
      <w:bookmarkStart w:id="1994" w:name="_Toc422486544"/>
      <w:bookmarkStart w:id="1995" w:name="_Toc433093397"/>
      <w:bookmarkStart w:id="1996" w:name="_Toc433093555"/>
      <w:bookmarkStart w:id="1997" w:name="_Toc440874785"/>
      <w:bookmarkStart w:id="1998" w:name="_Toc448142342"/>
      <w:bookmarkStart w:id="1999" w:name="_Toc448142499"/>
      <w:bookmarkStart w:id="2000" w:name="_Toc458770340"/>
      <w:bookmarkStart w:id="2001" w:name="_Toc459294308"/>
      <w:r w:rsidRPr="0013396E">
        <w:rPr>
          <w:szCs w:val="24"/>
        </w:rPr>
        <w:t>6.6.6.6</w:t>
      </w:r>
      <w:r w:rsidRPr="0013396E">
        <w:rPr>
          <w:szCs w:val="24"/>
        </w:rPr>
        <w:tab/>
      </w:r>
      <w:r w:rsidR="00326E23" w:rsidRPr="0013396E">
        <w:t>Method for Reconciling RMR Actual Eligible Costs, RMR and MRA Contributed Capital Expenditures, and Miscellaneous RMR Incurred Expenses</w:t>
      </w:r>
      <w:bookmarkEnd w:id="1987"/>
      <w:bookmarkEnd w:id="1988"/>
      <w:bookmarkEnd w:id="1989"/>
      <w:bookmarkEnd w:id="1990"/>
      <w:bookmarkEnd w:id="1991"/>
    </w:p>
    <w:p w14:paraId="06877AB0" w14:textId="10E7E7B5" w:rsidR="00326E23" w:rsidRPr="0013396E" w:rsidRDefault="00326E23" w:rsidP="00326E23">
      <w:pPr>
        <w:spacing w:after="240"/>
        <w:ind w:left="720" w:hanging="720"/>
      </w:pPr>
      <w:r w:rsidRPr="0013396E">
        <w:rPr>
          <w:bCs/>
        </w:rPr>
        <w:t>(1)</w:t>
      </w:r>
      <w:r w:rsidRPr="0013396E">
        <w:rPr>
          <w:bCs/>
        </w:rPr>
        <w:tab/>
      </w:r>
      <w:r w:rsidRPr="0013396E">
        <w:rPr>
          <w:bCs/>
          <w:iCs/>
        </w:rPr>
        <w:t xml:space="preserve">No later than 30 days after the RTM True-Up Statement is issued for the termination date of the RMR Agreement, ERCOT shall issue a miscellaneous Invoice to charge the </w:t>
      </w:r>
      <w:r w:rsidRPr="0013396E">
        <w:t>QSE</w:t>
      </w:r>
      <w:r w:rsidRPr="0013396E">
        <w:rPr>
          <w:bCs/>
          <w:iCs/>
        </w:rPr>
        <w:t xml:space="preserve"> representing the RMR Unit for </w:t>
      </w:r>
      <w:r w:rsidRPr="0013396E">
        <w:rPr>
          <w:bCs/>
        </w:rPr>
        <w:t xml:space="preserve">any overpayments to the QSE representing the RMR Unit as described in Section 3.14.1.16, Reconciliation of Actual Eligible Costs, and contributed capital expenditures described in Section 3.14.1.19, </w:t>
      </w:r>
      <w:r w:rsidRPr="0013396E">
        <w:t>Charge</w:t>
      </w:r>
      <w:r w:rsidRPr="0013396E">
        <w:rPr>
          <w:bCs/>
        </w:rPr>
        <w:t xml:space="preserve"> for Contributed </w:t>
      </w:r>
      <w:r w:rsidRPr="0013396E">
        <w:rPr>
          <w:bCs/>
        </w:rPr>
        <w:lastRenderedPageBreak/>
        <w:t>Capital Expenditures.  Refunded contributed capital expenditures are prorated evenly and on a monthly basis over the RMR Agreement period before being allocated to Load on an hourly LRS basis.  Refunded overpayments described in Section 3.14.1.16 are allocated directly to the month in which the overpayment occurred before being allocated to Load on an hourly LRS basis.  A separate Invoice will be sent for each RMR Agreement.</w:t>
      </w:r>
    </w:p>
    <w:p w14:paraId="167A6B7C" w14:textId="77777777" w:rsidR="00326E23" w:rsidRPr="0013396E" w:rsidRDefault="00326E23" w:rsidP="00326E23">
      <w:pPr>
        <w:spacing w:after="240"/>
        <w:ind w:left="1440" w:hanging="720"/>
      </w:pPr>
      <w:r w:rsidRPr="0013396E">
        <w:t>(a)</w:t>
      </w:r>
      <w:r w:rsidRPr="0013396E">
        <w:tab/>
        <w:t xml:space="preserve">The one-time charge to the QSE to collect the lump sum of over-payments and contributed capital </w:t>
      </w:r>
      <w:r w:rsidRPr="0013396E">
        <w:rPr>
          <w:iCs/>
        </w:rPr>
        <w:t>expenditures</w:t>
      </w:r>
      <w:r w:rsidRPr="0013396E">
        <w:t xml:space="preserve"> is calculated as follows:</w:t>
      </w:r>
    </w:p>
    <w:p w14:paraId="717A3AB4" w14:textId="4AC3CE37" w:rsidR="00326E23" w:rsidRPr="0013396E" w:rsidRDefault="00326E23" w:rsidP="00326E23">
      <w:pPr>
        <w:spacing w:after="240"/>
        <w:ind w:left="1440" w:hanging="720"/>
        <w:rPr>
          <w:i/>
          <w:vertAlign w:val="subscript"/>
        </w:rPr>
      </w:pPr>
      <w:r w:rsidRPr="0013396E">
        <w:tab/>
        <w:t xml:space="preserve">RMRRAMT </w:t>
      </w:r>
      <w:r w:rsidRPr="0013396E">
        <w:rPr>
          <w:i/>
          <w:vertAlign w:val="subscript"/>
        </w:rPr>
        <w:t xml:space="preserve">q, r, c   </w:t>
      </w:r>
      <w:r w:rsidRPr="0013396E">
        <w:rPr>
          <w:lang w:val="pt-BR"/>
        </w:rPr>
        <w:t xml:space="preserve">= RMRCE </w:t>
      </w:r>
      <w:r w:rsidRPr="0013396E">
        <w:rPr>
          <w:i/>
          <w:vertAlign w:val="subscript"/>
          <w:lang w:val="pt-BR"/>
        </w:rPr>
        <w:t xml:space="preserve">q, r, c </w:t>
      </w:r>
      <w:r w:rsidRPr="0013396E">
        <w:rPr>
          <w:lang w:val="pt-BR"/>
        </w:rPr>
        <w:t xml:space="preserve">+ </w:t>
      </w:r>
      <w:r w:rsidR="00A94020" w:rsidRPr="0013396E">
        <w:rPr>
          <w:noProof/>
          <w:position w:val="-28"/>
        </w:rPr>
        <w:drawing>
          <wp:inline distT="0" distB="0" distL="0" distR="0" wp14:anchorId="57D04FEE" wp14:editId="7C044479">
            <wp:extent cx="276225" cy="457200"/>
            <wp:effectExtent l="0" t="0" r="0" b="0"/>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225" cstate="print">
                      <a:extLst>
                        <a:ext uri="{28A0092B-C50C-407E-A947-70E740481C1C}">
                          <a14:useLocalDpi xmlns:a14="http://schemas.microsoft.com/office/drawing/2010/main" val="0"/>
                        </a:ext>
                      </a:extLst>
                    </a:blip>
                    <a:srcRect/>
                    <a:stretch>
                      <a:fillRect/>
                    </a:stretch>
                  </pic:blipFill>
                  <pic:spPr bwMode="auto">
                    <a:xfrm>
                      <a:off x="0" y="0"/>
                      <a:ext cx="276225" cy="457200"/>
                    </a:xfrm>
                    <a:prstGeom prst="rect">
                      <a:avLst/>
                    </a:prstGeom>
                    <a:noFill/>
                    <a:ln>
                      <a:noFill/>
                    </a:ln>
                  </pic:spPr>
                </pic:pic>
              </a:graphicData>
            </a:graphic>
          </wp:inline>
        </w:drawing>
      </w:r>
      <w:r w:rsidRPr="0013396E">
        <w:rPr>
          <w:lang w:val="pt-BR"/>
        </w:rPr>
        <w:t xml:space="preserve">RMROP </w:t>
      </w:r>
      <w:r w:rsidRPr="0013396E">
        <w:rPr>
          <w:i/>
          <w:vertAlign w:val="subscript"/>
          <w:lang w:val="pt-BR"/>
        </w:rPr>
        <w:t>q, r, c, m</w:t>
      </w:r>
    </w:p>
    <w:p w14:paraId="792AF03E" w14:textId="77777777" w:rsidR="00326E23" w:rsidRPr="0013396E" w:rsidRDefault="00326E23" w:rsidP="00326E23">
      <w:pPr>
        <w:spacing w:after="240"/>
        <w:ind w:left="1440" w:hanging="720"/>
      </w:pPr>
      <w:r w:rsidRPr="0013396E">
        <w:t>(b)</w:t>
      </w:r>
      <w:r w:rsidRPr="0013396E">
        <w:tab/>
        <w:t>The one-</w:t>
      </w:r>
      <w:r w:rsidRPr="0013396E">
        <w:rPr>
          <w:iCs/>
        </w:rPr>
        <w:t>time</w:t>
      </w:r>
      <w:r w:rsidRPr="0013396E">
        <w:t xml:space="preserve"> payment is calculated as follows:</w:t>
      </w:r>
    </w:p>
    <w:p w14:paraId="7F4F673E" w14:textId="5D6F051D" w:rsidR="00326E23" w:rsidRPr="0013396E" w:rsidRDefault="00326E23" w:rsidP="00326E23">
      <w:pPr>
        <w:ind w:left="2160" w:hanging="720"/>
        <w:rPr>
          <w:lang w:val="pt-BR"/>
        </w:rPr>
      </w:pPr>
      <w:r w:rsidRPr="0013396E">
        <w:t>LARMRRAMT</w:t>
      </w:r>
      <w:r w:rsidRPr="0013396E">
        <w:rPr>
          <w:i/>
          <w:vertAlign w:val="subscript"/>
        </w:rPr>
        <w:t xml:space="preserve"> q</w:t>
      </w:r>
      <w:r w:rsidRPr="0013396E">
        <w:t xml:space="preserve">  =   (-1) * </w:t>
      </w:r>
      <w:r w:rsidR="00A94020" w:rsidRPr="0013396E">
        <w:rPr>
          <w:noProof/>
          <w:position w:val="-28"/>
        </w:rPr>
        <w:drawing>
          <wp:inline distT="0" distB="0" distL="0" distR="0" wp14:anchorId="6D975485" wp14:editId="17CAE2E4">
            <wp:extent cx="276225" cy="457200"/>
            <wp:effectExtent l="0" t="0" r="0" b="0"/>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225" cstate="print">
                      <a:extLst>
                        <a:ext uri="{28A0092B-C50C-407E-A947-70E740481C1C}">
                          <a14:useLocalDpi xmlns:a14="http://schemas.microsoft.com/office/drawing/2010/main" val="0"/>
                        </a:ext>
                      </a:extLst>
                    </a:blip>
                    <a:srcRect/>
                    <a:stretch>
                      <a:fillRect/>
                    </a:stretch>
                  </pic:blipFill>
                  <pic:spPr bwMode="auto">
                    <a:xfrm>
                      <a:off x="0" y="0"/>
                      <a:ext cx="276225" cy="457200"/>
                    </a:xfrm>
                    <a:prstGeom prst="rect">
                      <a:avLst/>
                    </a:prstGeom>
                    <a:noFill/>
                    <a:ln>
                      <a:noFill/>
                    </a:ln>
                  </pic:spPr>
                </pic:pic>
              </a:graphicData>
            </a:graphic>
          </wp:inline>
        </w:drawing>
      </w:r>
      <w:r w:rsidRPr="0013396E">
        <w:t xml:space="preserve"> (</w:t>
      </w:r>
      <w:r w:rsidRPr="0013396E">
        <w:rPr>
          <w:lang w:val="pt-BR"/>
        </w:rPr>
        <w:t xml:space="preserve">MRMRCE </w:t>
      </w:r>
      <w:r w:rsidRPr="0013396E">
        <w:rPr>
          <w:i/>
          <w:vertAlign w:val="subscript"/>
        </w:rPr>
        <w:t xml:space="preserve">m </w:t>
      </w:r>
      <w:r w:rsidRPr="0013396E">
        <w:rPr>
          <w:i/>
        </w:rPr>
        <w:t>+</w:t>
      </w:r>
      <w:r w:rsidRPr="0013396E">
        <w:rPr>
          <w:lang w:val="pt-BR"/>
        </w:rPr>
        <w:t xml:space="preserve"> RMROP</w:t>
      </w:r>
      <w:r w:rsidRPr="0013396E">
        <w:rPr>
          <w:i/>
          <w:vertAlign w:val="subscript"/>
        </w:rPr>
        <w:t xml:space="preserve"> q, r, c, m</w:t>
      </w:r>
      <w:r w:rsidRPr="0013396E">
        <w:rPr>
          <w:lang w:val="pt-BR"/>
        </w:rPr>
        <w:t>)</w:t>
      </w:r>
      <w:r w:rsidRPr="0013396E">
        <w:rPr>
          <w:i/>
          <w:vertAlign w:val="subscript"/>
        </w:rPr>
        <w:t xml:space="preserve"> </w:t>
      </w:r>
      <w:r w:rsidRPr="0013396E">
        <w:rPr>
          <w:lang w:val="pt-BR"/>
        </w:rPr>
        <w:t xml:space="preserve">/ MH </w:t>
      </w:r>
      <w:r w:rsidRPr="0013396E">
        <w:rPr>
          <w:i/>
          <w:vertAlign w:val="subscript"/>
        </w:rPr>
        <w:t>m</w:t>
      </w:r>
      <w:r w:rsidRPr="0013396E">
        <w:rPr>
          <w:lang w:val="pt-BR"/>
        </w:rPr>
        <w:t xml:space="preserve"> * </w:t>
      </w:r>
    </w:p>
    <w:p w14:paraId="2438A4F2" w14:textId="77777777" w:rsidR="00326E23" w:rsidRPr="0013396E" w:rsidRDefault="00326E23" w:rsidP="00326E23">
      <w:pPr>
        <w:spacing w:after="240"/>
        <w:ind w:left="2160" w:hanging="720"/>
        <w:rPr>
          <w:i/>
          <w:vertAlign w:val="subscript"/>
        </w:rPr>
      </w:pPr>
      <w:r w:rsidRPr="0013396E">
        <w:tab/>
      </w:r>
      <w:r w:rsidRPr="0013396E">
        <w:tab/>
      </w:r>
      <w:r w:rsidRPr="0013396E">
        <w:tab/>
      </w:r>
      <w:r w:rsidRPr="0013396E">
        <w:rPr>
          <w:lang w:val="pt-BR"/>
        </w:rPr>
        <w:t>HLRS</w:t>
      </w:r>
      <w:r w:rsidRPr="0013396E">
        <w:rPr>
          <w:i/>
          <w:vertAlign w:val="subscript"/>
        </w:rPr>
        <w:t xml:space="preserve"> q, m</w:t>
      </w:r>
    </w:p>
    <w:p w14:paraId="2C1C8F4A" w14:textId="77777777" w:rsidR="00326E23" w:rsidRPr="0013396E" w:rsidRDefault="00326E23" w:rsidP="00326E23">
      <w:pPr>
        <w:spacing w:after="240"/>
        <w:ind w:left="720" w:firstLine="720"/>
        <w:rPr>
          <w:i/>
          <w:vertAlign w:val="subscript"/>
        </w:rPr>
      </w:pPr>
      <w:r w:rsidRPr="0013396E">
        <w:t xml:space="preserve">Where: </w:t>
      </w:r>
    </w:p>
    <w:p w14:paraId="5EB1C646" w14:textId="31D9DBA4" w:rsidR="00326E23" w:rsidRPr="0013396E" w:rsidRDefault="00326E23" w:rsidP="00326E23">
      <w:pPr>
        <w:spacing w:after="240"/>
        <w:ind w:left="1440"/>
        <w:rPr>
          <w:i/>
          <w:vertAlign w:val="subscript"/>
        </w:rPr>
      </w:pPr>
      <w:r w:rsidRPr="0013396E" w:rsidDel="005E3B3E">
        <w:rPr>
          <w:lang w:val="pt-BR"/>
        </w:rPr>
        <w:t>M</w:t>
      </w:r>
      <w:r w:rsidRPr="0013396E">
        <w:rPr>
          <w:lang w:val="pt-BR"/>
        </w:rPr>
        <w:t>RMRCE</w:t>
      </w:r>
      <w:r w:rsidRPr="0013396E">
        <w:rPr>
          <w:i/>
          <w:vertAlign w:val="subscript"/>
        </w:rPr>
        <w:t xml:space="preserve"> m</w:t>
      </w:r>
      <w:r w:rsidRPr="0013396E">
        <w:rPr>
          <w:lang w:val="pt-BR"/>
        </w:rPr>
        <w:t xml:space="preserve">   =    </w:t>
      </w:r>
      <w:r w:rsidR="00A94020" w:rsidRPr="0013396E">
        <w:rPr>
          <w:noProof/>
          <w:position w:val="-30"/>
        </w:rPr>
        <w:drawing>
          <wp:inline distT="0" distB="0" distL="0" distR="0" wp14:anchorId="61926435" wp14:editId="4AD393CC">
            <wp:extent cx="276225" cy="457200"/>
            <wp:effectExtent l="0" t="0" r="0" b="0"/>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226" cstate="print">
                      <a:extLst>
                        <a:ext uri="{28A0092B-C50C-407E-A947-70E740481C1C}">
                          <a14:useLocalDpi xmlns:a14="http://schemas.microsoft.com/office/drawing/2010/main" val="0"/>
                        </a:ext>
                      </a:extLst>
                    </a:blip>
                    <a:srcRect/>
                    <a:stretch>
                      <a:fillRect/>
                    </a:stretch>
                  </pic:blipFill>
                  <pic:spPr bwMode="auto">
                    <a:xfrm>
                      <a:off x="0" y="0"/>
                      <a:ext cx="276225" cy="457200"/>
                    </a:xfrm>
                    <a:prstGeom prst="rect">
                      <a:avLst/>
                    </a:prstGeom>
                    <a:noFill/>
                    <a:ln>
                      <a:noFill/>
                    </a:ln>
                  </pic:spPr>
                </pic:pic>
              </a:graphicData>
            </a:graphic>
          </wp:inline>
        </w:drawing>
      </w:r>
      <w:r w:rsidR="00A94020" w:rsidRPr="0013396E">
        <w:rPr>
          <w:noProof/>
          <w:position w:val="-28"/>
        </w:rPr>
        <w:drawing>
          <wp:inline distT="0" distB="0" distL="0" distR="0" wp14:anchorId="481B22B0" wp14:editId="7A1DC1B1">
            <wp:extent cx="276225" cy="457200"/>
            <wp:effectExtent l="0" t="0" r="0" b="0"/>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227" cstate="print">
                      <a:extLst>
                        <a:ext uri="{28A0092B-C50C-407E-A947-70E740481C1C}">
                          <a14:useLocalDpi xmlns:a14="http://schemas.microsoft.com/office/drawing/2010/main" val="0"/>
                        </a:ext>
                      </a:extLst>
                    </a:blip>
                    <a:srcRect/>
                    <a:stretch>
                      <a:fillRect/>
                    </a:stretch>
                  </pic:blipFill>
                  <pic:spPr bwMode="auto">
                    <a:xfrm>
                      <a:off x="0" y="0"/>
                      <a:ext cx="276225" cy="457200"/>
                    </a:xfrm>
                    <a:prstGeom prst="rect">
                      <a:avLst/>
                    </a:prstGeom>
                    <a:noFill/>
                    <a:ln>
                      <a:noFill/>
                    </a:ln>
                  </pic:spPr>
                </pic:pic>
              </a:graphicData>
            </a:graphic>
          </wp:inline>
        </w:drawing>
      </w:r>
      <w:r w:rsidRPr="0013396E">
        <w:rPr>
          <w:lang w:val="pt-BR"/>
        </w:rPr>
        <w:t>RMRCE</w:t>
      </w:r>
      <w:r w:rsidRPr="0013396E">
        <w:rPr>
          <w:i/>
          <w:vertAlign w:val="subscript"/>
        </w:rPr>
        <w:t xml:space="preserve"> q, r, c</w:t>
      </w:r>
      <w:r w:rsidRPr="0013396E">
        <w:rPr>
          <w:lang w:val="pt-BR"/>
        </w:rPr>
        <w:t xml:space="preserve"> / CM</w:t>
      </w:r>
      <w:r w:rsidRPr="0013396E">
        <w:rPr>
          <w:i/>
          <w:vertAlign w:val="subscript"/>
        </w:rPr>
        <w:t xml:space="preserve"> q, r, c</w:t>
      </w:r>
    </w:p>
    <w:p w14:paraId="651054B4" w14:textId="77777777" w:rsidR="00326E23" w:rsidRPr="0013396E" w:rsidRDefault="00326E23" w:rsidP="00326E23">
      <w:pPr>
        <w:spacing w:after="240"/>
        <w:ind w:left="1440"/>
      </w:pPr>
      <w:r w:rsidRPr="0013396E">
        <w:t xml:space="preserve">The HLRS used will be the HLRS for each day within the contracted month </w:t>
      </w:r>
      <w:r w:rsidRPr="0013396E">
        <w:rPr>
          <w:i/>
        </w:rPr>
        <w:t>m</w:t>
      </w:r>
      <w:r w:rsidRPr="0013396E">
        <w:t>.  The most recent approved HLRS available at time the miscellaneous Invoice is posted will be used.  The miscellaneous Invoice will not be re-calculated with subsequent Settlement runs unless required by a dispute or Alternative Dispute Resolution (ADR).  If a dispute or ADR requires ERCOT to re-issue the miscellaneous Invoice, the most recent approved HLRS values will be used.</w:t>
      </w:r>
    </w:p>
    <w:p w14:paraId="3E8E5F19" w14:textId="77777777" w:rsidR="00326E23" w:rsidRPr="0013396E" w:rsidRDefault="00326E23" w:rsidP="00326E23">
      <w:pPr>
        <w:spacing w:after="240"/>
        <w:ind w:left="1440" w:hanging="720"/>
      </w:pPr>
      <w:r w:rsidRPr="0013396E">
        <w:t xml:space="preserve">(c) </w:t>
      </w:r>
      <w:r w:rsidRPr="0013396E">
        <w:tab/>
        <w:t>Upon issuance of the miscellaneous Invoice, ERCOT shall issue a Market Notice containing the values of RMROP, RMRCE, and the Settlement run containing the HLRS that was used in the Settlement.</w:t>
      </w:r>
    </w:p>
    <w:p w14:paraId="76E31686" w14:textId="77777777" w:rsidR="00326E23" w:rsidRPr="0013396E" w:rsidRDefault="00326E23" w:rsidP="00326E23">
      <w:pPr>
        <w:tabs>
          <w:tab w:val="left" w:pos="2250"/>
          <w:tab w:val="left" w:pos="3150"/>
          <w:tab w:val="left" w:pos="3960"/>
        </w:tabs>
      </w:pPr>
      <w:r w:rsidRPr="0013396E">
        <w:t>The above variables are defined as follows:</w:t>
      </w:r>
    </w:p>
    <w:tbl>
      <w:tblPr>
        <w:tblW w:w="9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56"/>
        <w:gridCol w:w="898"/>
        <w:gridCol w:w="6121"/>
      </w:tblGrid>
      <w:tr w:rsidR="00326E23" w:rsidRPr="0013396E" w14:paraId="22CA5B0D" w14:textId="77777777" w:rsidTr="009B2773">
        <w:tc>
          <w:tcPr>
            <w:tcW w:w="1296" w:type="pct"/>
          </w:tcPr>
          <w:p w14:paraId="00E407B9" w14:textId="77777777" w:rsidR="00326E23" w:rsidRPr="0013396E" w:rsidRDefault="00326E23" w:rsidP="009B2773">
            <w:pPr>
              <w:spacing w:after="240"/>
              <w:rPr>
                <w:b/>
                <w:iCs/>
                <w:sz w:val="20"/>
              </w:rPr>
            </w:pPr>
            <w:r w:rsidRPr="0013396E">
              <w:rPr>
                <w:b/>
                <w:iCs/>
                <w:sz w:val="20"/>
              </w:rPr>
              <w:t>Variable</w:t>
            </w:r>
          </w:p>
        </w:tc>
        <w:tc>
          <w:tcPr>
            <w:tcW w:w="474" w:type="pct"/>
          </w:tcPr>
          <w:p w14:paraId="4708ED31" w14:textId="77777777" w:rsidR="00326E23" w:rsidRPr="0013396E" w:rsidRDefault="00326E23" w:rsidP="009B2773">
            <w:pPr>
              <w:spacing w:after="240"/>
              <w:rPr>
                <w:b/>
                <w:iCs/>
                <w:sz w:val="20"/>
              </w:rPr>
            </w:pPr>
            <w:r w:rsidRPr="0013396E">
              <w:rPr>
                <w:b/>
                <w:iCs/>
                <w:sz w:val="20"/>
              </w:rPr>
              <w:t>Unit</w:t>
            </w:r>
          </w:p>
        </w:tc>
        <w:tc>
          <w:tcPr>
            <w:tcW w:w="3230" w:type="pct"/>
          </w:tcPr>
          <w:p w14:paraId="3C80585A" w14:textId="77777777" w:rsidR="00326E23" w:rsidRPr="0013396E" w:rsidRDefault="00326E23" w:rsidP="009B2773">
            <w:pPr>
              <w:spacing w:after="240"/>
              <w:rPr>
                <w:b/>
                <w:iCs/>
                <w:sz w:val="20"/>
              </w:rPr>
            </w:pPr>
            <w:r w:rsidRPr="0013396E">
              <w:rPr>
                <w:b/>
                <w:iCs/>
                <w:sz w:val="20"/>
              </w:rPr>
              <w:t>Description</w:t>
            </w:r>
          </w:p>
        </w:tc>
      </w:tr>
      <w:tr w:rsidR="00326E23" w:rsidRPr="0013396E" w14:paraId="2DA40A2B" w14:textId="77777777" w:rsidTr="009B2773">
        <w:tc>
          <w:tcPr>
            <w:tcW w:w="1296" w:type="pct"/>
          </w:tcPr>
          <w:p w14:paraId="4813B9D8" w14:textId="77777777" w:rsidR="00326E23" w:rsidRPr="0013396E" w:rsidRDefault="00326E23" w:rsidP="009B2773">
            <w:pPr>
              <w:spacing w:after="240"/>
              <w:rPr>
                <w:b/>
                <w:iCs/>
                <w:sz w:val="20"/>
              </w:rPr>
            </w:pPr>
            <w:r w:rsidRPr="0013396E">
              <w:rPr>
                <w:iCs/>
                <w:sz w:val="20"/>
                <w:lang w:val="pt-BR"/>
              </w:rPr>
              <w:t>RMRRAMT</w:t>
            </w:r>
            <w:r w:rsidRPr="0013396E">
              <w:rPr>
                <w:i/>
                <w:vertAlign w:val="subscript"/>
              </w:rPr>
              <w:t xml:space="preserve"> </w:t>
            </w:r>
            <w:r w:rsidRPr="0013396E">
              <w:rPr>
                <w:i/>
                <w:iCs/>
                <w:sz w:val="20"/>
                <w:vertAlign w:val="subscript"/>
              </w:rPr>
              <w:t>q, r, c</w:t>
            </w:r>
            <w:r w:rsidRPr="0013396E">
              <w:rPr>
                <w:i/>
                <w:vertAlign w:val="subscript"/>
              </w:rPr>
              <w:t xml:space="preserve">  </w:t>
            </w:r>
          </w:p>
        </w:tc>
        <w:tc>
          <w:tcPr>
            <w:tcW w:w="474" w:type="pct"/>
          </w:tcPr>
          <w:p w14:paraId="37CD6F2F" w14:textId="77777777" w:rsidR="00326E23" w:rsidRPr="0013396E" w:rsidRDefault="00326E23" w:rsidP="009B2773">
            <w:pPr>
              <w:spacing w:after="240"/>
              <w:rPr>
                <w:b/>
                <w:iCs/>
                <w:sz w:val="20"/>
              </w:rPr>
            </w:pPr>
            <w:r w:rsidRPr="0013396E">
              <w:rPr>
                <w:b/>
                <w:iCs/>
                <w:sz w:val="20"/>
              </w:rPr>
              <w:t>$</w:t>
            </w:r>
          </w:p>
        </w:tc>
        <w:tc>
          <w:tcPr>
            <w:tcW w:w="3230" w:type="pct"/>
          </w:tcPr>
          <w:p w14:paraId="5F2F1E23" w14:textId="77777777" w:rsidR="00326E23" w:rsidRPr="0013396E" w:rsidRDefault="00326E23" w:rsidP="009B2773">
            <w:pPr>
              <w:spacing w:after="60"/>
              <w:rPr>
                <w:iCs/>
                <w:sz w:val="20"/>
              </w:rPr>
            </w:pPr>
            <w:r w:rsidRPr="0013396E">
              <w:rPr>
                <w:i/>
                <w:iCs/>
                <w:sz w:val="20"/>
              </w:rPr>
              <w:t>Reliability Must-Run Reconciled Amount –</w:t>
            </w:r>
            <w:r w:rsidRPr="0013396E">
              <w:rPr>
                <w:b/>
                <w:iCs/>
                <w:sz w:val="20"/>
              </w:rPr>
              <w:t xml:space="preserve"> </w:t>
            </w:r>
            <w:r w:rsidRPr="0013396E">
              <w:rPr>
                <w:iCs/>
                <w:sz w:val="20"/>
              </w:rPr>
              <w:t xml:space="preserve">The lump sum charge to the QSE </w:t>
            </w:r>
            <w:r w:rsidRPr="0013396E">
              <w:rPr>
                <w:i/>
                <w:iCs/>
                <w:sz w:val="20"/>
              </w:rPr>
              <w:t>q</w:t>
            </w:r>
            <w:r w:rsidRPr="0013396E">
              <w:rPr>
                <w:iCs/>
                <w:sz w:val="20"/>
              </w:rPr>
              <w:t xml:space="preserve"> representing the RMR Unit </w:t>
            </w:r>
            <w:r w:rsidRPr="0013396E">
              <w:rPr>
                <w:i/>
                <w:iCs/>
                <w:sz w:val="20"/>
              </w:rPr>
              <w:t>r</w:t>
            </w:r>
            <w:r w:rsidRPr="0013396E">
              <w:rPr>
                <w:iCs/>
                <w:sz w:val="20"/>
              </w:rPr>
              <w:t xml:space="preserve"> that reconciles any contributed capital expenditure amounts and any over-payments to the QSE during the period of the RMR Agreement </w:t>
            </w:r>
            <w:r w:rsidRPr="0013396E">
              <w:rPr>
                <w:i/>
                <w:iCs/>
                <w:sz w:val="20"/>
              </w:rPr>
              <w:t>c</w:t>
            </w:r>
            <w:r w:rsidRPr="0013396E">
              <w:rPr>
                <w:iCs/>
                <w:sz w:val="20"/>
              </w:rPr>
              <w:t>.</w:t>
            </w:r>
          </w:p>
        </w:tc>
      </w:tr>
      <w:tr w:rsidR="00326E23" w:rsidRPr="0013396E" w14:paraId="4AC4A8D2" w14:textId="77777777" w:rsidTr="009B2773">
        <w:trPr>
          <w:cantSplit/>
          <w:trHeight w:val="692"/>
        </w:trPr>
        <w:tc>
          <w:tcPr>
            <w:tcW w:w="1296" w:type="pct"/>
          </w:tcPr>
          <w:p w14:paraId="0926EB37" w14:textId="77777777" w:rsidR="00326E23" w:rsidRPr="0013396E" w:rsidRDefault="00326E23" w:rsidP="009B2773">
            <w:pPr>
              <w:spacing w:after="60"/>
              <w:rPr>
                <w:iCs/>
                <w:sz w:val="20"/>
              </w:rPr>
            </w:pPr>
            <w:r w:rsidRPr="0013396E">
              <w:rPr>
                <w:iCs/>
                <w:sz w:val="20"/>
                <w:lang w:val="pt-BR"/>
              </w:rPr>
              <w:t>RMRCE</w:t>
            </w:r>
            <w:r w:rsidRPr="0013396E">
              <w:rPr>
                <w:i/>
                <w:iCs/>
                <w:sz w:val="20"/>
                <w:vertAlign w:val="subscript"/>
              </w:rPr>
              <w:t xml:space="preserve"> q, r, c</w:t>
            </w:r>
          </w:p>
        </w:tc>
        <w:tc>
          <w:tcPr>
            <w:tcW w:w="474" w:type="pct"/>
          </w:tcPr>
          <w:p w14:paraId="351A5D6B" w14:textId="77777777" w:rsidR="00326E23" w:rsidRPr="0013396E" w:rsidRDefault="00326E23" w:rsidP="009B2773">
            <w:pPr>
              <w:spacing w:after="60"/>
              <w:rPr>
                <w:iCs/>
                <w:sz w:val="20"/>
              </w:rPr>
            </w:pPr>
            <w:r w:rsidRPr="0013396E">
              <w:rPr>
                <w:iCs/>
                <w:sz w:val="20"/>
              </w:rPr>
              <w:t>$</w:t>
            </w:r>
          </w:p>
        </w:tc>
        <w:tc>
          <w:tcPr>
            <w:tcW w:w="3230" w:type="pct"/>
          </w:tcPr>
          <w:p w14:paraId="4F7EB3CD" w14:textId="77777777" w:rsidR="00326E23" w:rsidRPr="0013396E" w:rsidRDefault="00326E23" w:rsidP="009B2773">
            <w:pPr>
              <w:spacing w:after="60"/>
              <w:rPr>
                <w:iCs/>
                <w:sz w:val="20"/>
              </w:rPr>
            </w:pPr>
            <w:r w:rsidRPr="0013396E">
              <w:rPr>
                <w:i/>
                <w:iCs/>
                <w:sz w:val="20"/>
              </w:rPr>
              <w:t>Reliability Must-Run Capital Expenditure Refund</w:t>
            </w:r>
            <w:r w:rsidRPr="0013396E">
              <w:rPr>
                <w:iCs/>
                <w:sz w:val="20"/>
              </w:rPr>
              <w:t>– The lump sum amount of contributed capital expenditures for the QSE</w:t>
            </w:r>
            <w:r w:rsidRPr="0013396E">
              <w:rPr>
                <w:i/>
                <w:iCs/>
                <w:sz w:val="20"/>
              </w:rPr>
              <w:t xml:space="preserve"> q</w:t>
            </w:r>
            <w:r w:rsidRPr="0013396E">
              <w:rPr>
                <w:iCs/>
                <w:sz w:val="20"/>
              </w:rPr>
              <w:t xml:space="preserve"> representing the RMR Unit </w:t>
            </w:r>
            <w:r w:rsidRPr="0013396E">
              <w:rPr>
                <w:i/>
                <w:iCs/>
                <w:sz w:val="20"/>
              </w:rPr>
              <w:t>r</w:t>
            </w:r>
            <w:r w:rsidRPr="0013396E">
              <w:rPr>
                <w:iCs/>
                <w:sz w:val="20"/>
              </w:rPr>
              <w:t xml:space="preserve"> for the period of the RMR Agreement </w:t>
            </w:r>
            <w:r w:rsidRPr="0013396E">
              <w:rPr>
                <w:i/>
                <w:iCs/>
                <w:sz w:val="20"/>
              </w:rPr>
              <w:t xml:space="preserve">c </w:t>
            </w:r>
            <w:r w:rsidRPr="0013396E">
              <w:rPr>
                <w:iCs/>
                <w:sz w:val="20"/>
              </w:rPr>
              <w:t xml:space="preserve">to be refunded to ERCOT per Section </w:t>
            </w:r>
            <w:r w:rsidRPr="0013396E">
              <w:rPr>
                <w:bCs/>
                <w:iCs/>
                <w:sz w:val="20"/>
              </w:rPr>
              <w:t>3.14.1.19</w:t>
            </w:r>
            <w:r w:rsidRPr="0013396E">
              <w:rPr>
                <w:iCs/>
                <w:sz w:val="20"/>
              </w:rPr>
              <w:t xml:space="preserve">. </w:t>
            </w:r>
          </w:p>
        </w:tc>
      </w:tr>
      <w:tr w:rsidR="00326E23" w:rsidRPr="0013396E" w14:paraId="7292CE64" w14:textId="77777777" w:rsidTr="009B2773">
        <w:trPr>
          <w:cantSplit/>
          <w:trHeight w:val="692"/>
        </w:trPr>
        <w:tc>
          <w:tcPr>
            <w:tcW w:w="1296" w:type="pct"/>
          </w:tcPr>
          <w:p w14:paraId="758D68F6" w14:textId="77777777" w:rsidR="00326E23" w:rsidRPr="0013396E" w:rsidRDefault="00326E23" w:rsidP="009B2773">
            <w:pPr>
              <w:spacing w:after="60"/>
              <w:rPr>
                <w:iCs/>
                <w:sz w:val="20"/>
                <w:lang w:val="pt-BR"/>
              </w:rPr>
            </w:pPr>
            <w:r w:rsidRPr="0013396E">
              <w:rPr>
                <w:iCs/>
                <w:sz w:val="20"/>
                <w:lang w:val="pt-BR"/>
              </w:rPr>
              <w:lastRenderedPageBreak/>
              <w:t xml:space="preserve">RMROP </w:t>
            </w:r>
            <w:r w:rsidRPr="0013396E">
              <w:rPr>
                <w:i/>
                <w:iCs/>
                <w:sz w:val="20"/>
                <w:vertAlign w:val="subscript"/>
              </w:rPr>
              <w:t>q, r, c, m</w:t>
            </w:r>
          </w:p>
        </w:tc>
        <w:tc>
          <w:tcPr>
            <w:tcW w:w="474" w:type="pct"/>
          </w:tcPr>
          <w:p w14:paraId="4D009C0E" w14:textId="77777777" w:rsidR="00326E23" w:rsidRPr="0013396E" w:rsidRDefault="00326E23" w:rsidP="009B2773">
            <w:pPr>
              <w:spacing w:after="60"/>
              <w:rPr>
                <w:iCs/>
                <w:sz w:val="20"/>
              </w:rPr>
            </w:pPr>
            <w:r w:rsidRPr="0013396E">
              <w:rPr>
                <w:iCs/>
                <w:sz w:val="20"/>
              </w:rPr>
              <w:t>$</w:t>
            </w:r>
          </w:p>
        </w:tc>
        <w:tc>
          <w:tcPr>
            <w:tcW w:w="3230" w:type="pct"/>
          </w:tcPr>
          <w:p w14:paraId="2B6F9423" w14:textId="77777777" w:rsidR="00326E23" w:rsidRPr="0013396E" w:rsidRDefault="00326E23" w:rsidP="009B2773">
            <w:pPr>
              <w:spacing w:after="60"/>
              <w:rPr>
                <w:i/>
                <w:iCs/>
                <w:sz w:val="20"/>
              </w:rPr>
            </w:pPr>
            <w:r w:rsidRPr="0013396E">
              <w:rPr>
                <w:i/>
                <w:iCs/>
                <w:sz w:val="20"/>
              </w:rPr>
              <w:t>Reliability Must-Run Over-Payment –</w:t>
            </w:r>
            <w:r w:rsidRPr="0013396E">
              <w:rPr>
                <w:iCs/>
                <w:sz w:val="20"/>
              </w:rPr>
              <w:t xml:space="preserve"> The amount of overpayments to the QSE </w:t>
            </w:r>
            <w:r w:rsidRPr="0013396E">
              <w:rPr>
                <w:i/>
                <w:iCs/>
                <w:sz w:val="20"/>
              </w:rPr>
              <w:t>q</w:t>
            </w:r>
            <w:r w:rsidRPr="0013396E">
              <w:rPr>
                <w:iCs/>
                <w:sz w:val="20"/>
              </w:rPr>
              <w:t xml:space="preserve"> representing the RMR Unit </w:t>
            </w:r>
            <w:r w:rsidRPr="0013396E">
              <w:rPr>
                <w:i/>
                <w:iCs/>
                <w:sz w:val="20"/>
              </w:rPr>
              <w:t>r</w:t>
            </w:r>
            <w:r w:rsidRPr="0013396E">
              <w:rPr>
                <w:iCs/>
                <w:sz w:val="20"/>
              </w:rPr>
              <w:t xml:space="preserve"> for the month </w:t>
            </w:r>
            <w:r w:rsidRPr="0013396E">
              <w:rPr>
                <w:i/>
                <w:iCs/>
                <w:sz w:val="20"/>
              </w:rPr>
              <w:t>m</w:t>
            </w:r>
            <w:r w:rsidRPr="0013396E">
              <w:rPr>
                <w:iCs/>
                <w:sz w:val="20"/>
              </w:rPr>
              <w:t xml:space="preserve"> during the period of the RMR Agreement </w:t>
            </w:r>
            <w:r w:rsidRPr="0013396E">
              <w:rPr>
                <w:i/>
                <w:iCs/>
                <w:sz w:val="20"/>
              </w:rPr>
              <w:t>c</w:t>
            </w:r>
            <w:r w:rsidRPr="0013396E">
              <w:rPr>
                <w:iCs/>
                <w:sz w:val="20"/>
              </w:rPr>
              <w:t xml:space="preserve"> to be refunded to ERCOT per Section 3.14.1.19. This amount cannot be negative.</w:t>
            </w:r>
          </w:p>
        </w:tc>
      </w:tr>
      <w:tr w:rsidR="00326E23" w:rsidRPr="0013396E" w14:paraId="733EE9C6" w14:textId="77777777" w:rsidTr="009B2773">
        <w:trPr>
          <w:cantSplit/>
        </w:trPr>
        <w:tc>
          <w:tcPr>
            <w:tcW w:w="1296" w:type="pct"/>
          </w:tcPr>
          <w:p w14:paraId="0504BDB4" w14:textId="77777777" w:rsidR="00326E23" w:rsidRPr="0013396E" w:rsidRDefault="00326E23" w:rsidP="009B2773">
            <w:pPr>
              <w:spacing w:after="60"/>
              <w:rPr>
                <w:iCs/>
                <w:sz w:val="20"/>
              </w:rPr>
            </w:pPr>
            <w:r w:rsidRPr="0013396E" w:rsidDel="00584004">
              <w:rPr>
                <w:iCs/>
                <w:sz w:val="20"/>
                <w:lang w:val="pt-BR"/>
              </w:rPr>
              <w:t>M</w:t>
            </w:r>
            <w:r w:rsidRPr="0013396E">
              <w:rPr>
                <w:iCs/>
                <w:sz w:val="20"/>
                <w:lang w:val="pt-BR"/>
              </w:rPr>
              <w:t>RMRCE</w:t>
            </w:r>
            <w:r w:rsidRPr="0013396E">
              <w:rPr>
                <w:i/>
                <w:iCs/>
                <w:sz w:val="20"/>
                <w:vertAlign w:val="subscript"/>
              </w:rPr>
              <w:t xml:space="preserve"> m</w:t>
            </w:r>
          </w:p>
        </w:tc>
        <w:tc>
          <w:tcPr>
            <w:tcW w:w="474" w:type="pct"/>
          </w:tcPr>
          <w:p w14:paraId="21EE611C" w14:textId="77777777" w:rsidR="00326E23" w:rsidRPr="0013396E" w:rsidRDefault="00326E23" w:rsidP="009B2773">
            <w:pPr>
              <w:tabs>
                <w:tab w:val="left" w:pos="2160"/>
              </w:tabs>
              <w:spacing w:after="60"/>
              <w:contextualSpacing/>
              <w:rPr>
                <w:iCs/>
                <w:sz w:val="20"/>
              </w:rPr>
            </w:pPr>
            <w:r w:rsidRPr="0013396E">
              <w:rPr>
                <w:sz w:val="20"/>
              </w:rPr>
              <w:t>$</w:t>
            </w:r>
          </w:p>
        </w:tc>
        <w:tc>
          <w:tcPr>
            <w:tcW w:w="3230" w:type="pct"/>
          </w:tcPr>
          <w:p w14:paraId="511023EC" w14:textId="77777777" w:rsidR="00326E23" w:rsidRPr="0013396E" w:rsidRDefault="00326E23" w:rsidP="009B2773">
            <w:pPr>
              <w:spacing w:after="60"/>
              <w:rPr>
                <w:iCs/>
                <w:sz w:val="20"/>
              </w:rPr>
            </w:pPr>
            <w:r w:rsidRPr="0013396E">
              <w:rPr>
                <w:i/>
                <w:iCs/>
                <w:sz w:val="20"/>
              </w:rPr>
              <w:t xml:space="preserve">Monthly Reliability Must-Run Capital Expenditure Refund </w:t>
            </w:r>
            <w:r w:rsidRPr="0013396E">
              <w:rPr>
                <w:iCs/>
                <w:sz w:val="20"/>
              </w:rPr>
              <w:t xml:space="preserve">– The lump sum amount of contributed capital expenditures for the month </w:t>
            </w:r>
            <w:r w:rsidRPr="0013396E">
              <w:rPr>
                <w:i/>
                <w:iCs/>
                <w:sz w:val="20"/>
              </w:rPr>
              <w:t>m</w:t>
            </w:r>
            <w:r w:rsidRPr="0013396E">
              <w:rPr>
                <w:iCs/>
                <w:sz w:val="20"/>
              </w:rPr>
              <w:t xml:space="preserve"> refunded to ERCOT per Section </w:t>
            </w:r>
            <w:r w:rsidRPr="0013396E">
              <w:rPr>
                <w:bCs/>
                <w:iCs/>
                <w:sz w:val="20"/>
              </w:rPr>
              <w:t>3.14.1.19</w:t>
            </w:r>
            <w:r w:rsidRPr="0013396E">
              <w:rPr>
                <w:iCs/>
                <w:sz w:val="20"/>
              </w:rPr>
              <w:t xml:space="preserve"> pro-rated over the number of months of the RMR Agreement.</w:t>
            </w:r>
          </w:p>
        </w:tc>
      </w:tr>
      <w:tr w:rsidR="00326E23" w:rsidRPr="0013396E" w14:paraId="20E935E1" w14:textId="77777777" w:rsidTr="009B2773">
        <w:trPr>
          <w:cantSplit/>
        </w:trPr>
        <w:tc>
          <w:tcPr>
            <w:tcW w:w="1296" w:type="pct"/>
          </w:tcPr>
          <w:p w14:paraId="4F9B575A" w14:textId="77777777" w:rsidR="00326E23" w:rsidRPr="0013396E" w:rsidRDefault="00326E23" w:rsidP="009B2773">
            <w:pPr>
              <w:spacing w:after="60"/>
              <w:rPr>
                <w:iCs/>
                <w:sz w:val="20"/>
              </w:rPr>
            </w:pPr>
            <w:r w:rsidRPr="0013396E">
              <w:rPr>
                <w:iCs/>
                <w:sz w:val="20"/>
              </w:rPr>
              <w:t>LARMRRAMT</w:t>
            </w:r>
            <w:r w:rsidRPr="0013396E">
              <w:rPr>
                <w:i/>
                <w:iCs/>
                <w:sz w:val="20"/>
                <w:vertAlign w:val="subscript"/>
              </w:rPr>
              <w:t xml:space="preserve"> q</w:t>
            </w:r>
          </w:p>
        </w:tc>
        <w:tc>
          <w:tcPr>
            <w:tcW w:w="474" w:type="pct"/>
          </w:tcPr>
          <w:p w14:paraId="1572EC71" w14:textId="77777777" w:rsidR="00326E23" w:rsidRPr="0013396E" w:rsidRDefault="00326E23" w:rsidP="009B2773">
            <w:pPr>
              <w:tabs>
                <w:tab w:val="left" w:pos="2880"/>
              </w:tabs>
              <w:spacing w:after="60"/>
              <w:contextualSpacing/>
              <w:rPr>
                <w:iCs/>
                <w:sz w:val="20"/>
              </w:rPr>
            </w:pPr>
            <w:r w:rsidRPr="0013396E">
              <w:rPr>
                <w:iCs/>
                <w:sz w:val="20"/>
              </w:rPr>
              <w:t>$</w:t>
            </w:r>
          </w:p>
        </w:tc>
        <w:tc>
          <w:tcPr>
            <w:tcW w:w="3230" w:type="pct"/>
          </w:tcPr>
          <w:p w14:paraId="74E56F3C" w14:textId="77777777" w:rsidR="00326E23" w:rsidRPr="0013396E" w:rsidRDefault="00326E23" w:rsidP="009B2773">
            <w:pPr>
              <w:tabs>
                <w:tab w:val="left" w:pos="2880"/>
              </w:tabs>
              <w:spacing w:after="60"/>
              <w:contextualSpacing/>
              <w:rPr>
                <w:iCs/>
                <w:sz w:val="20"/>
              </w:rPr>
            </w:pPr>
            <w:r w:rsidRPr="0013396E">
              <w:rPr>
                <w:i/>
                <w:iCs/>
                <w:sz w:val="20"/>
              </w:rPr>
              <w:t xml:space="preserve">Load Allocated Reliability Must-Run Reconciled Amount </w:t>
            </w:r>
            <w:r w:rsidRPr="0013396E">
              <w:rPr>
                <w:iCs/>
                <w:sz w:val="20"/>
              </w:rPr>
              <w:t>– The amount of refunded capital expenditures paid to QSE</w:t>
            </w:r>
            <w:r w:rsidRPr="0013396E">
              <w:rPr>
                <w:i/>
                <w:iCs/>
                <w:sz w:val="20"/>
              </w:rPr>
              <w:t xml:space="preserve"> q</w:t>
            </w:r>
            <w:r w:rsidRPr="0013396E">
              <w:rPr>
                <w:iCs/>
                <w:sz w:val="20"/>
              </w:rPr>
              <w:t xml:space="preserve"> based on its HLRS.</w:t>
            </w:r>
          </w:p>
        </w:tc>
      </w:tr>
      <w:tr w:rsidR="00326E23" w:rsidRPr="0013396E" w14:paraId="22423467" w14:textId="77777777" w:rsidTr="009B2773">
        <w:trPr>
          <w:cantSplit/>
        </w:trPr>
        <w:tc>
          <w:tcPr>
            <w:tcW w:w="1296" w:type="pct"/>
          </w:tcPr>
          <w:p w14:paraId="2DC4AD90" w14:textId="77777777" w:rsidR="00326E23" w:rsidRPr="0013396E" w:rsidRDefault="00326E23" w:rsidP="009B2773">
            <w:pPr>
              <w:spacing w:after="60"/>
              <w:rPr>
                <w:iCs/>
                <w:sz w:val="20"/>
              </w:rPr>
            </w:pPr>
            <w:r w:rsidRPr="0013396E">
              <w:rPr>
                <w:iCs/>
                <w:sz w:val="20"/>
              </w:rPr>
              <w:t xml:space="preserve">HLRS </w:t>
            </w:r>
            <w:r w:rsidRPr="0013396E">
              <w:rPr>
                <w:i/>
                <w:iCs/>
                <w:sz w:val="20"/>
                <w:vertAlign w:val="subscript"/>
              </w:rPr>
              <w:t xml:space="preserve">q, m </w:t>
            </w:r>
          </w:p>
        </w:tc>
        <w:tc>
          <w:tcPr>
            <w:tcW w:w="474" w:type="pct"/>
          </w:tcPr>
          <w:p w14:paraId="6D434952" w14:textId="77777777" w:rsidR="00326E23" w:rsidRPr="0013396E" w:rsidRDefault="00326E23" w:rsidP="009B2773">
            <w:pPr>
              <w:tabs>
                <w:tab w:val="left" w:pos="2880"/>
              </w:tabs>
              <w:spacing w:after="60"/>
              <w:contextualSpacing/>
              <w:rPr>
                <w:iCs/>
                <w:sz w:val="20"/>
              </w:rPr>
            </w:pPr>
            <w:r w:rsidRPr="0013396E">
              <w:rPr>
                <w:iCs/>
                <w:sz w:val="20"/>
              </w:rPr>
              <w:t>none</w:t>
            </w:r>
          </w:p>
        </w:tc>
        <w:tc>
          <w:tcPr>
            <w:tcW w:w="3230" w:type="pct"/>
          </w:tcPr>
          <w:p w14:paraId="4960D117" w14:textId="77777777" w:rsidR="00326E23" w:rsidRPr="0013396E" w:rsidRDefault="00326E23" w:rsidP="009B2773">
            <w:pPr>
              <w:autoSpaceDE w:val="0"/>
              <w:autoSpaceDN w:val="0"/>
              <w:adjustRightInd w:val="0"/>
              <w:spacing w:after="60"/>
              <w:rPr>
                <w:color w:val="000000"/>
                <w:sz w:val="20"/>
              </w:rPr>
            </w:pPr>
            <w:r w:rsidRPr="0013396E">
              <w:rPr>
                <w:i/>
                <w:iCs/>
                <w:color w:val="000000"/>
                <w:sz w:val="20"/>
              </w:rPr>
              <w:t>Hourly Load Ratio Share per QSE</w:t>
            </w:r>
            <w:r w:rsidRPr="0013396E">
              <w:rPr>
                <w:i/>
                <w:color w:val="000000"/>
                <w:sz w:val="20"/>
              </w:rPr>
              <w:t xml:space="preserve"> </w:t>
            </w:r>
            <w:r w:rsidRPr="0013396E">
              <w:rPr>
                <w:color w:val="000000"/>
                <w:sz w:val="20"/>
              </w:rPr>
              <w:t xml:space="preserve">– The hourly LRS calculated for QSE </w:t>
            </w:r>
            <w:r w:rsidRPr="0013396E">
              <w:rPr>
                <w:i/>
                <w:color w:val="000000"/>
                <w:sz w:val="20"/>
              </w:rPr>
              <w:t>q</w:t>
            </w:r>
            <w:r w:rsidRPr="0013396E">
              <w:rPr>
                <w:color w:val="000000"/>
                <w:sz w:val="20"/>
              </w:rPr>
              <w:t xml:space="preserve"> for the hour for month </w:t>
            </w:r>
            <w:r w:rsidRPr="0013396E">
              <w:rPr>
                <w:i/>
                <w:color w:val="000000"/>
                <w:sz w:val="20"/>
              </w:rPr>
              <w:t>m</w:t>
            </w:r>
            <w:r w:rsidRPr="0013396E">
              <w:rPr>
                <w:color w:val="000000"/>
                <w:sz w:val="20"/>
              </w:rPr>
              <w:t xml:space="preserve">.  See Section 6.6.2.4, QSE Load Ratio Share for an Operating Hour. </w:t>
            </w:r>
          </w:p>
        </w:tc>
      </w:tr>
      <w:tr w:rsidR="00326E23" w:rsidRPr="0013396E" w14:paraId="047246E8" w14:textId="77777777" w:rsidTr="009B2773">
        <w:trPr>
          <w:cantSplit/>
        </w:trPr>
        <w:tc>
          <w:tcPr>
            <w:tcW w:w="1296" w:type="pct"/>
          </w:tcPr>
          <w:p w14:paraId="60E10D1C" w14:textId="77777777" w:rsidR="00326E23" w:rsidRPr="0013396E" w:rsidRDefault="00326E23" w:rsidP="009B2773">
            <w:pPr>
              <w:spacing w:after="60"/>
              <w:rPr>
                <w:iCs/>
                <w:sz w:val="20"/>
              </w:rPr>
            </w:pPr>
            <w:r w:rsidRPr="0013396E">
              <w:rPr>
                <w:iCs/>
                <w:sz w:val="20"/>
              </w:rPr>
              <w:t xml:space="preserve">MH </w:t>
            </w:r>
            <w:r w:rsidRPr="0013396E">
              <w:rPr>
                <w:i/>
                <w:iCs/>
                <w:sz w:val="20"/>
                <w:vertAlign w:val="subscript"/>
              </w:rPr>
              <w:t>m</w:t>
            </w:r>
          </w:p>
        </w:tc>
        <w:tc>
          <w:tcPr>
            <w:tcW w:w="474" w:type="pct"/>
          </w:tcPr>
          <w:p w14:paraId="34C0E621" w14:textId="77777777" w:rsidR="00326E23" w:rsidRPr="0013396E" w:rsidRDefault="00326E23" w:rsidP="009B2773">
            <w:pPr>
              <w:tabs>
                <w:tab w:val="left" w:pos="2880"/>
              </w:tabs>
              <w:spacing w:after="60"/>
              <w:contextualSpacing/>
              <w:rPr>
                <w:iCs/>
                <w:sz w:val="20"/>
              </w:rPr>
            </w:pPr>
            <w:r w:rsidRPr="0013396E">
              <w:rPr>
                <w:iCs/>
                <w:sz w:val="20"/>
              </w:rPr>
              <w:t>hour</w:t>
            </w:r>
          </w:p>
        </w:tc>
        <w:tc>
          <w:tcPr>
            <w:tcW w:w="3230" w:type="pct"/>
          </w:tcPr>
          <w:p w14:paraId="67495C99" w14:textId="77777777" w:rsidR="00326E23" w:rsidRPr="0013396E" w:rsidRDefault="00326E23" w:rsidP="009B2773">
            <w:pPr>
              <w:tabs>
                <w:tab w:val="left" w:pos="2880"/>
              </w:tabs>
              <w:spacing w:after="60"/>
              <w:contextualSpacing/>
              <w:rPr>
                <w:i/>
                <w:iCs/>
                <w:sz w:val="20"/>
              </w:rPr>
            </w:pPr>
            <w:r w:rsidRPr="0013396E">
              <w:rPr>
                <w:i/>
                <w:iCs/>
                <w:sz w:val="20"/>
              </w:rPr>
              <w:t xml:space="preserve">Number of Hours in the Month </w:t>
            </w:r>
            <w:r w:rsidRPr="0013396E">
              <w:rPr>
                <w:iCs/>
                <w:sz w:val="20"/>
              </w:rPr>
              <w:t xml:space="preserve">—The total number of hours in the month </w:t>
            </w:r>
            <w:r w:rsidRPr="0013396E">
              <w:rPr>
                <w:i/>
                <w:iCs/>
                <w:sz w:val="20"/>
              </w:rPr>
              <w:t>m</w:t>
            </w:r>
            <w:r w:rsidRPr="0013396E">
              <w:rPr>
                <w:iCs/>
                <w:sz w:val="20"/>
              </w:rPr>
              <w:t xml:space="preserve">, which overlaps a month in which an RMR Agreement was effective.  Where for a Combined Cycle Train, the Resource </w:t>
            </w:r>
            <w:r w:rsidRPr="0013396E">
              <w:rPr>
                <w:i/>
                <w:iCs/>
                <w:sz w:val="20"/>
              </w:rPr>
              <w:t xml:space="preserve">r </w:t>
            </w:r>
            <w:r w:rsidRPr="0013396E">
              <w:rPr>
                <w:iCs/>
                <w:sz w:val="20"/>
              </w:rPr>
              <w:t>is the Combined Cycle Train.</w:t>
            </w:r>
          </w:p>
        </w:tc>
      </w:tr>
      <w:tr w:rsidR="00326E23" w:rsidRPr="0013396E" w14:paraId="331B79CF" w14:textId="77777777" w:rsidTr="009B2773">
        <w:trPr>
          <w:cantSplit/>
          <w:trHeight w:val="251"/>
        </w:trPr>
        <w:tc>
          <w:tcPr>
            <w:tcW w:w="1296" w:type="pct"/>
          </w:tcPr>
          <w:p w14:paraId="2F16E648" w14:textId="77777777" w:rsidR="00326E23" w:rsidRPr="0013396E" w:rsidRDefault="00326E23" w:rsidP="009B2773">
            <w:pPr>
              <w:spacing w:after="60"/>
              <w:ind w:left="720" w:hanging="720"/>
              <w:rPr>
                <w:sz w:val="20"/>
              </w:rPr>
            </w:pPr>
            <w:r w:rsidRPr="0013396E">
              <w:rPr>
                <w:sz w:val="20"/>
              </w:rPr>
              <w:t xml:space="preserve">CM </w:t>
            </w:r>
            <w:r w:rsidRPr="0013396E">
              <w:rPr>
                <w:i/>
                <w:sz w:val="20"/>
                <w:vertAlign w:val="subscript"/>
              </w:rPr>
              <w:t>q, r, c</w:t>
            </w:r>
          </w:p>
        </w:tc>
        <w:tc>
          <w:tcPr>
            <w:tcW w:w="474" w:type="pct"/>
          </w:tcPr>
          <w:p w14:paraId="1C8D343F" w14:textId="77777777" w:rsidR="00326E23" w:rsidRPr="0013396E" w:rsidRDefault="00326E23" w:rsidP="009B2773">
            <w:pPr>
              <w:tabs>
                <w:tab w:val="left" w:pos="2880"/>
              </w:tabs>
              <w:spacing w:after="60"/>
              <w:contextualSpacing/>
              <w:rPr>
                <w:iCs/>
                <w:sz w:val="20"/>
              </w:rPr>
            </w:pPr>
            <w:r w:rsidRPr="0013396E">
              <w:rPr>
                <w:iCs/>
                <w:sz w:val="20"/>
              </w:rPr>
              <w:t>none</w:t>
            </w:r>
          </w:p>
        </w:tc>
        <w:tc>
          <w:tcPr>
            <w:tcW w:w="3230" w:type="pct"/>
          </w:tcPr>
          <w:p w14:paraId="701A116D" w14:textId="77777777" w:rsidR="00326E23" w:rsidRPr="0013396E" w:rsidRDefault="00326E23" w:rsidP="009B2773">
            <w:pPr>
              <w:tabs>
                <w:tab w:val="left" w:pos="2880"/>
              </w:tabs>
              <w:spacing w:after="60"/>
              <w:contextualSpacing/>
              <w:rPr>
                <w:i/>
                <w:iCs/>
                <w:sz w:val="20"/>
              </w:rPr>
            </w:pPr>
            <w:r w:rsidRPr="0013396E">
              <w:rPr>
                <w:iCs/>
                <w:sz w:val="20"/>
              </w:rPr>
              <w:t>The number of months of the RMR Agreement period.</w:t>
            </w:r>
          </w:p>
        </w:tc>
      </w:tr>
      <w:tr w:rsidR="00326E23" w:rsidRPr="0013396E" w14:paraId="4B71EEFC" w14:textId="77777777" w:rsidTr="009B2773">
        <w:trPr>
          <w:cantSplit/>
          <w:trHeight w:val="323"/>
        </w:trPr>
        <w:tc>
          <w:tcPr>
            <w:tcW w:w="1296" w:type="pct"/>
          </w:tcPr>
          <w:p w14:paraId="401CD3BD" w14:textId="77777777" w:rsidR="00326E23" w:rsidRPr="0013396E" w:rsidRDefault="00326E23" w:rsidP="009B2773">
            <w:pPr>
              <w:spacing w:after="60"/>
              <w:rPr>
                <w:iCs/>
                <w:sz w:val="20"/>
              </w:rPr>
            </w:pPr>
            <w:r w:rsidRPr="0013396E">
              <w:rPr>
                <w:i/>
                <w:iCs/>
                <w:sz w:val="20"/>
              </w:rPr>
              <w:t>m</w:t>
            </w:r>
          </w:p>
        </w:tc>
        <w:tc>
          <w:tcPr>
            <w:tcW w:w="474" w:type="pct"/>
          </w:tcPr>
          <w:p w14:paraId="2CF3D5D3" w14:textId="77777777" w:rsidR="00326E23" w:rsidRPr="0013396E" w:rsidRDefault="00326E23" w:rsidP="009B2773">
            <w:pPr>
              <w:tabs>
                <w:tab w:val="left" w:pos="2880"/>
              </w:tabs>
              <w:spacing w:after="60"/>
              <w:contextualSpacing/>
              <w:rPr>
                <w:iCs/>
                <w:sz w:val="20"/>
              </w:rPr>
            </w:pPr>
            <w:r w:rsidRPr="0013396E">
              <w:rPr>
                <w:iCs/>
                <w:sz w:val="20"/>
              </w:rPr>
              <w:t>none</w:t>
            </w:r>
          </w:p>
        </w:tc>
        <w:tc>
          <w:tcPr>
            <w:tcW w:w="3230" w:type="pct"/>
          </w:tcPr>
          <w:p w14:paraId="215EC32A" w14:textId="77777777" w:rsidR="00326E23" w:rsidRPr="0013396E" w:rsidRDefault="00326E23" w:rsidP="009B2773">
            <w:pPr>
              <w:tabs>
                <w:tab w:val="left" w:pos="2880"/>
              </w:tabs>
              <w:spacing w:after="60"/>
              <w:contextualSpacing/>
              <w:rPr>
                <w:iCs/>
                <w:sz w:val="20"/>
              </w:rPr>
            </w:pPr>
            <w:r w:rsidRPr="0013396E">
              <w:rPr>
                <w:iCs/>
                <w:sz w:val="20"/>
              </w:rPr>
              <w:t>A month in the RMR Agreement period.</w:t>
            </w:r>
          </w:p>
        </w:tc>
      </w:tr>
      <w:tr w:rsidR="00326E23" w:rsidRPr="0013396E" w14:paraId="7483B459" w14:textId="77777777" w:rsidTr="009B2773">
        <w:trPr>
          <w:cantSplit/>
          <w:trHeight w:val="323"/>
        </w:trPr>
        <w:tc>
          <w:tcPr>
            <w:tcW w:w="1296" w:type="pct"/>
          </w:tcPr>
          <w:p w14:paraId="6CEA1362" w14:textId="77777777" w:rsidR="00326E23" w:rsidRPr="0013396E" w:rsidRDefault="00326E23" w:rsidP="009B2773">
            <w:pPr>
              <w:spacing w:after="60"/>
              <w:rPr>
                <w:i/>
                <w:iCs/>
                <w:sz w:val="20"/>
              </w:rPr>
            </w:pPr>
            <w:r w:rsidRPr="0013396E">
              <w:rPr>
                <w:i/>
                <w:iCs/>
                <w:sz w:val="20"/>
              </w:rPr>
              <w:t>q</w:t>
            </w:r>
          </w:p>
        </w:tc>
        <w:tc>
          <w:tcPr>
            <w:tcW w:w="474" w:type="pct"/>
          </w:tcPr>
          <w:p w14:paraId="6AF68EA2" w14:textId="77777777" w:rsidR="00326E23" w:rsidRPr="0013396E" w:rsidRDefault="00326E23" w:rsidP="009B2773">
            <w:pPr>
              <w:tabs>
                <w:tab w:val="left" w:pos="2880"/>
              </w:tabs>
              <w:spacing w:after="60"/>
              <w:contextualSpacing/>
              <w:rPr>
                <w:iCs/>
                <w:sz w:val="20"/>
              </w:rPr>
            </w:pPr>
            <w:r w:rsidRPr="0013396E">
              <w:rPr>
                <w:iCs/>
                <w:sz w:val="20"/>
              </w:rPr>
              <w:t>none</w:t>
            </w:r>
          </w:p>
        </w:tc>
        <w:tc>
          <w:tcPr>
            <w:tcW w:w="3230" w:type="pct"/>
          </w:tcPr>
          <w:p w14:paraId="0FCADCC2" w14:textId="77777777" w:rsidR="00326E23" w:rsidRPr="0013396E" w:rsidRDefault="00326E23" w:rsidP="009B2773">
            <w:pPr>
              <w:tabs>
                <w:tab w:val="left" w:pos="2880"/>
              </w:tabs>
              <w:spacing w:after="60"/>
              <w:contextualSpacing/>
              <w:rPr>
                <w:iCs/>
                <w:sz w:val="20"/>
              </w:rPr>
            </w:pPr>
            <w:r w:rsidRPr="0013396E">
              <w:rPr>
                <w:iCs/>
                <w:sz w:val="20"/>
              </w:rPr>
              <w:t>A QSE.</w:t>
            </w:r>
          </w:p>
        </w:tc>
      </w:tr>
      <w:tr w:rsidR="00326E23" w:rsidRPr="0013396E" w14:paraId="059C625D" w14:textId="77777777" w:rsidTr="009B2773">
        <w:trPr>
          <w:cantSplit/>
          <w:trHeight w:val="323"/>
        </w:trPr>
        <w:tc>
          <w:tcPr>
            <w:tcW w:w="1296" w:type="pct"/>
          </w:tcPr>
          <w:p w14:paraId="7BAAAB2C" w14:textId="77777777" w:rsidR="00326E23" w:rsidRPr="0013396E" w:rsidRDefault="00326E23" w:rsidP="009B2773">
            <w:pPr>
              <w:spacing w:after="60"/>
              <w:rPr>
                <w:i/>
                <w:iCs/>
                <w:sz w:val="20"/>
              </w:rPr>
            </w:pPr>
            <w:r w:rsidRPr="0013396E">
              <w:rPr>
                <w:i/>
                <w:iCs/>
                <w:sz w:val="20"/>
              </w:rPr>
              <w:t>c</w:t>
            </w:r>
          </w:p>
        </w:tc>
        <w:tc>
          <w:tcPr>
            <w:tcW w:w="474" w:type="pct"/>
          </w:tcPr>
          <w:p w14:paraId="5D75A61A" w14:textId="77777777" w:rsidR="00326E23" w:rsidRPr="0013396E" w:rsidRDefault="00326E23" w:rsidP="009B2773">
            <w:pPr>
              <w:tabs>
                <w:tab w:val="left" w:pos="2880"/>
              </w:tabs>
              <w:spacing w:after="60"/>
              <w:contextualSpacing/>
              <w:rPr>
                <w:iCs/>
                <w:sz w:val="20"/>
              </w:rPr>
            </w:pPr>
            <w:r w:rsidRPr="0013396E">
              <w:rPr>
                <w:iCs/>
                <w:sz w:val="20"/>
              </w:rPr>
              <w:t>none</w:t>
            </w:r>
          </w:p>
        </w:tc>
        <w:tc>
          <w:tcPr>
            <w:tcW w:w="3230" w:type="pct"/>
          </w:tcPr>
          <w:p w14:paraId="05721BAD" w14:textId="77777777" w:rsidR="00326E23" w:rsidRPr="0013396E" w:rsidRDefault="00326E23" w:rsidP="009B2773">
            <w:pPr>
              <w:tabs>
                <w:tab w:val="left" w:pos="2880"/>
              </w:tabs>
              <w:spacing w:after="60"/>
              <w:contextualSpacing/>
              <w:rPr>
                <w:iCs/>
                <w:sz w:val="20"/>
              </w:rPr>
            </w:pPr>
            <w:r w:rsidRPr="0013396E">
              <w:rPr>
                <w:iCs/>
                <w:sz w:val="20"/>
              </w:rPr>
              <w:t>An RMR Agreement.</w:t>
            </w:r>
          </w:p>
        </w:tc>
      </w:tr>
      <w:tr w:rsidR="00326E23" w:rsidRPr="0013396E" w14:paraId="07040BA1" w14:textId="77777777" w:rsidTr="009B2773">
        <w:trPr>
          <w:cantSplit/>
          <w:trHeight w:val="323"/>
        </w:trPr>
        <w:tc>
          <w:tcPr>
            <w:tcW w:w="1296" w:type="pct"/>
          </w:tcPr>
          <w:p w14:paraId="5B764B32" w14:textId="77777777" w:rsidR="00326E23" w:rsidRPr="0013396E" w:rsidRDefault="00326E23" w:rsidP="009B2773">
            <w:pPr>
              <w:spacing w:after="60"/>
              <w:rPr>
                <w:i/>
                <w:iCs/>
                <w:sz w:val="20"/>
              </w:rPr>
            </w:pPr>
            <w:r w:rsidRPr="0013396E">
              <w:rPr>
                <w:i/>
                <w:iCs/>
                <w:sz w:val="20"/>
              </w:rPr>
              <w:t>r</w:t>
            </w:r>
          </w:p>
        </w:tc>
        <w:tc>
          <w:tcPr>
            <w:tcW w:w="474" w:type="pct"/>
          </w:tcPr>
          <w:p w14:paraId="642FACF5" w14:textId="77777777" w:rsidR="00326E23" w:rsidRPr="0013396E" w:rsidRDefault="00326E23" w:rsidP="009B2773">
            <w:pPr>
              <w:tabs>
                <w:tab w:val="left" w:pos="2880"/>
              </w:tabs>
              <w:spacing w:after="60"/>
              <w:contextualSpacing/>
              <w:rPr>
                <w:iCs/>
                <w:sz w:val="20"/>
              </w:rPr>
            </w:pPr>
            <w:r w:rsidRPr="0013396E">
              <w:rPr>
                <w:iCs/>
                <w:sz w:val="20"/>
              </w:rPr>
              <w:t>none</w:t>
            </w:r>
          </w:p>
        </w:tc>
        <w:tc>
          <w:tcPr>
            <w:tcW w:w="3230" w:type="pct"/>
          </w:tcPr>
          <w:p w14:paraId="140B0D25" w14:textId="77777777" w:rsidR="00326E23" w:rsidRPr="0013396E" w:rsidRDefault="00326E23" w:rsidP="009B2773">
            <w:pPr>
              <w:tabs>
                <w:tab w:val="left" w:pos="2880"/>
              </w:tabs>
              <w:spacing w:after="60"/>
              <w:contextualSpacing/>
              <w:rPr>
                <w:iCs/>
                <w:sz w:val="20"/>
              </w:rPr>
            </w:pPr>
            <w:r w:rsidRPr="0013396E">
              <w:rPr>
                <w:iCs/>
                <w:sz w:val="20"/>
              </w:rPr>
              <w:t>An RMR Unit.</w:t>
            </w:r>
          </w:p>
        </w:tc>
      </w:tr>
    </w:tbl>
    <w:p w14:paraId="413EC208" w14:textId="77777777" w:rsidR="00326E23" w:rsidRPr="0013396E" w:rsidRDefault="00326E23" w:rsidP="00326E23">
      <w:pPr>
        <w:spacing w:before="240" w:after="240"/>
        <w:ind w:left="720" w:hanging="720"/>
        <w:rPr>
          <w:iCs/>
        </w:rPr>
      </w:pPr>
      <w:r w:rsidRPr="0013396E">
        <w:rPr>
          <w:iCs/>
        </w:rPr>
        <w:t>(2)</w:t>
      </w:r>
      <w:r w:rsidRPr="0013396E">
        <w:rPr>
          <w:iCs/>
        </w:rPr>
        <w:tab/>
        <w:t>ERCOT shall issue a miscellaneous Invoice allocating expenses incurred related to the processing of an RMR Agreement or validation and/or processing of RMR budgets on an LRS basis.  ERCOT shall issue the miscellaneous Invoice no later than 30 days after the RTM True-Up Statement is issued for the last day of the calendar month in which ERCOT incurred the expense.</w:t>
      </w:r>
      <w:r w:rsidRPr="0013396E" w:rsidDel="00684213">
        <w:rPr>
          <w:iCs/>
        </w:rPr>
        <w:t xml:space="preserve"> </w:t>
      </w:r>
      <w:r w:rsidRPr="0013396E">
        <w:rPr>
          <w:iCs/>
        </w:rPr>
        <w:t xml:space="preserve"> A separate Invoice will be sent for each RMR Agreement.</w:t>
      </w:r>
    </w:p>
    <w:p w14:paraId="1FA67CA2" w14:textId="77777777" w:rsidR="00326E23" w:rsidRPr="0013396E" w:rsidRDefault="00326E23" w:rsidP="00326E23">
      <w:pPr>
        <w:spacing w:after="240"/>
        <w:ind w:left="1440" w:hanging="720"/>
        <w:jc w:val="both"/>
      </w:pPr>
      <w:r w:rsidRPr="0013396E">
        <w:t>(a)</w:t>
      </w:r>
      <w:r w:rsidRPr="0013396E">
        <w:tab/>
        <w:t>The one-</w:t>
      </w:r>
      <w:r w:rsidRPr="0013396E">
        <w:rPr>
          <w:iCs/>
        </w:rPr>
        <w:t>time</w:t>
      </w:r>
      <w:r w:rsidRPr="0013396E">
        <w:t xml:space="preserve"> charge is calculated as follows:</w:t>
      </w:r>
    </w:p>
    <w:p w14:paraId="51081084" w14:textId="63713A19" w:rsidR="00326E23" w:rsidRPr="0013396E" w:rsidRDefault="00326E23" w:rsidP="00326E23">
      <w:pPr>
        <w:spacing w:after="240"/>
        <w:ind w:left="720" w:firstLine="720"/>
        <w:rPr>
          <w:i/>
          <w:vertAlign w:val="subscript"/>
        </w:rPr>
      </w:pPr>
      <w:r w:rsidRPr="0013396E">
        <w:t>LARMROEIAMT</w:t>
      </w:r>
      <w:r w:rsidRPr="0013396E">
        <w:rPr>
          <w:i/>
          <w:vertAlign w:val="subscript"/>
        </w:rPr>
        <w:t xml:space="preserve"> q</w:t>
      </w:r>
      <w:r w:rsidRPr="0013396E">
        <w:t xml:space="preserve">   =  (-1) * </w:t>
      </w:r>
      <w:r w:rsidR="00A94020" w:rsidRPr="0013396E">
        <w:rPr>
          <w:noProof/>
          <w:position w:val="-28"/>
        </w:rPr>
        <w:drawing>
          <wp:inline distT="0" distB="0" distL="0" distR="0" wp14:anchorId="540EA72F" wp14:editId="403F9CDA">
            <wp:extent cx="276225" cy="457200"/>
            <wp:effectExtent l="0" t="0" r="0" b="0"/>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225" cstate="print">
                      <a:extLst>
                        <a:ext uri="{28A0092B-C50C-407E-A947-70E740481C1C}">
                          <a14:useLocalDpi xmlns:a14="http://schemas.microsoft.com/office/drawing/2010/main" val="0"/>
                        </a:ext>
                      </a:extLst>
                    </a:blip>
                    <a:srcRect/>
                    <a:stretch>
                      <a:fillRect/>
                    </a:stretch>
                  </pic:blipFill>
                  <pic:spPr bwMode="auto">
                    <a:xfrm>
                      <a:off x="0" y="0"/>
                      <a:ext cx="276225" cy="457200"/>
                    </a:xfrm>
                    <a:prstGeom prst="rect">
                      <a:avLst/>
                    </a:prstGeom>
                    <a:noFill/>
                    <a:ln>
                      <a:noFill/>
                    </a:ln>
                  </pic:spPr>
                </pic:pic>
              </a:graphicData>
            </a:graphic>
          </wp:inline>
        </w:drawing>
      </w:r>
      <w:r w:rsidRPr="0013396E">
        <w:t xml:space="preserve"> </w:t>
      </w:r>
      <w:r w:rsidRPr="0013396E">
        <w:rPr>
          <w:lang w:val="pt-BR"/>
        </w:rPr>
        <w:t xml:space="preserve">RMROEIAMT </w:t>
      </w:r>
      <w:r w:rsidRPr="0013396E">
        <w:rPr>
          <w:i/>
          <w:vertAlign w:val="subscript"/>
        </w:rPr>
        <w:t xml:space="preserve">m </w:t>
      </w:r>
      <w:r w:rsidRPr="0013396E">
        <w:rPr>
          <w:lang w:val="pt-BR"/>
        </w:rPr>
        <w:t xml:space="preserve">/ MH </w:t>
      </w:r>
      <w:r w:rsidRPr="0013396E">
        <w:rPr>
          <w:i/>
          <w:iCs/>
          <w:sz w:val="20"/>
          <w:vertAlign w:val="subscript"/>
        </w:rPr>
        <w:t>m</w:t>
      </w:r>
      <w:r w:rsidRPr="0013396E">
        <w:rPr>
          <w:lang w:val="pt-BR"/>
        </w:rPr>
        <w:t xml:space="preserve"> * HLRS</w:t>
      </w:r>
      <w:r w:rsidRPr="0013396E">
        <w:rPr>
          <w:i/>
          <w:vertAlign w:val="subscript"/>
        </w:rPr>
        <w:t xml:space="preserve"> q,</w:t>
      </w:r>
      <w:r w:rsidRPr="0013396E">
        <w:rPr>
          <w:i/>
          <w:iCs/>
          <w:sz w:val="20"/>
          <w:vertAlign w:val="subscript"/>
        </w:rPr>
        <w:t xml:space="preserve"> m</w:t>
      </w:r>
    </w:p>
    <w:p w14:paraId="3D6E849A" w14:textId="77777777" w:rsidR="00326E23" w:rsidRPr="0013396E" w:rsidRDefault="00326E23" w:rsidP="00326E23">
      <w:pPr>
        <w:spacing w:after="240"/>
        <w:ind w:left="1440"/>
        <w:jc w:val="both"/>
      </w:pPr>
      <w:r w:rsidRPr="0013396E">
        <w:t xml:space="preserve">The HLRS used will be the HLRS for each day within the contracted month </w:t>
      </w:r>
      <w:r w:rsidRPr="0013396E">
        <w:rPr>
          <w:i/>
        </w:rPr>
        <w:t>m</w:t>
      </w:r>
      <w:r w:rsidRPr="0013396E">
        <w:t>.  The most recent approved HLRS available at the time the miscellaneous Invoice is posted will be used.  The miscellaneous Invoice will not be re-calculated with subsequent Settlement runs unless required by a dispute or ADR.  If a dispute or ADR requires ERCOT to re-issue the miscellaneous Invoice, the most recent approved HLRS values will be used.</w:t>
      </w:r>
    </w:p>
    <w:p w14:paraId="53E1C9F5" w14:textId="77777777" w:rsidR="00326E23" w:rsidRPr="0013396E" w:rsidRDefault="00326E23" w:rsidP="00326E23">
      <w:pPr>
        <w:spacing w:after="240"/>
        <w:ind w:left="1440" w:hanging="720"/>
        <w:jc w:val="both"/>
      </w:pPr>
      <w:r w:rsidRPr="0013396E">
        <w:t xml:space="preserve">(b) </w:t>
      </w:r>
      <w:r w:rsidRPr="0013396E">
        <w:tab/>
        <w:t>Upon issuance of the miscellaneous Invoice, ERCOT shall issue a Market Notice containing the value of RMROEIAMT and the Settlement run containing the HLRS that was used in the Settlement.</w:t>
      </w:r>
    </w:p>
    <w:p w14:paraId="180D96D2" w14:textId="77777777" w:rsidR="00326E23" w:rsidRPr="0013396E" w:rsidRDefault="00326E23" w:rsidP="00326E23">
      <w:pPr>
        <w:tabs>
          <w:tab w:val="left" w:pos="2250"/>
          <w:tab w:val="left" w:pos="3150"/>
          <w:tab w:val="left" w:pos="3960"/>
        </w:tabs>
      </w:pPr>
      <w:r w:rsidRPr="0013396E">
        <w:t>The above variables are defined as follows:</w:t>
      </w:r>
    </w:p>
    <w:tbl>
      <w:tblPr>
        <w:tblW w:w="9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56"/>
        <w:gridCol w:w="898"/>
        <w:gridCol w:w="6121"/>
      </w:tblGrid>
      <w:tr w:rsidR="00326E23" w:rsidRPr="0013396E" w14:paraId="77E07BD6" w14:textId="77777777" w:rsidTr="009B2773">
        <w:tc>
          <w:tcPr>
            <w:tcW w:w="1296" w:type="pct"/>
          </w:tcPr>
          <w:p w14:paraId="5C5FAF75" w14:textId="77777777" w:rsidR="00326E23" w:rsidRPr="0013396E" w:rsidRDefault="00326E23" w:rsidP="009B2773">
            <w:pPr>
              <w:spacing w:after="240"/>
              <w:rPr>
                <w:b/>
                <w:iCs/>
                <w:sz w:val="20"/>
              </w:rPr>
            </w:pPr>
            <w:r w:rsidRPr="0013396E">
              <w:rPr>
                <w:b/>
                <w:iCs/>
                <w:sz w:val="20"/>
              </w:rPr>
              <w:t>Variable</w:t>
            </w:r>
          </w:p>
        </w:tc>
        <w:tc>
          <w:tcPr>
            <w:tcW w:w="474" w:type="pct"/>
          </w:tcPr>
          <w:p w14:paraId="5DDB0C0B" w14:textId="77777777" w:rsidR="00326E23" w:rsidRPr="0013396E" w:rsidRDefault="00326E23" w:rsidP="009B2773">
            <w:pPr>
              <w:spacing w:after="240"/>
              <w:rPr>
                <w:b/>
                <w:iCs/>
                <w:sz w:val="20"/>
              </w:rPr>
            </w:pPr>
            <w:r w:rsidRPr="0013396E">
              <w:rPr>
                <w:b/>
                <w:iCs/>
                <w:sz w:val="20"/>
              </w:rPr>
              <w:t>Unit</w:t>
            </w:r>
          </w:p>
        </w:tc>
        <w:tc>
          <w:tcPr>
            <w:tcW w:w="3230" w:type="pct"/>
          </w:tcPr>
          <w:p w14:paraId="3769FB75" w14:textId="77777777" w:rsidR="00326E23" w:rsidRPr="0013396E" w:rsidRDefault="00326E23" w:rsidP="009B2773">
            <w:pPr>
              <w:spacing w:after="240"/>
              <w:rPr>
                <w:b/>
                <w:iCs/>
                <w:sz w:val="20"/>
              </w:rPr>
            </w:pPr>
            <w:r w:rsidRPr="0013396E">
              <w:rPr>
                <w:b/>
                <w:iCs/>
                <w:sz w:val="20"/>
              </w:rPr>
              <w:t>Description</w:t>
            </w:r>
          </w:p>
        </w:tc>
      </w:tr>
      <w:tr w:rsidR="00326E23" w:rsidRPr="0013396E" w14:paraId="701D3666" w14:textId="77777777" w:rsidTr="009B2773">
        <w:trPr>
          <w:cantSplit/>
          <w:trHeight w:val="692"/>
        </w:trPr>
        <w:tc>
          <w:tcPr>
            <w:tcW w:w="1296" w:type="pct"/>
          </w:tcPr>
          <w:p w14:paraId="79FBB3C1" w14:textId="77777777" w:rsidR="00326E23" w:rsidRPr="0013396E" w:rsidRDefault="00326E23" w:rsidP="009B2773">
            <w:pPr>
              <w:spacing w:after="60"/>
              <w:rPr>
                <w:iCs/>
                <w:sz w:val="20"/>
              </w:rPr>
            </w:pPr>
            <w:r w:rsidRPr="0013396E">
              <w:rPr>
                <w:iCs/>
                <w:sz w:val="20"/>
                <w:lang w:val="pt-BR"/>
              </w:rPr>
              <w:lastRenderedPageBreak/>
              <w:t xml:space="preserve">RMROEIAMT </w:t>
            </w:r>
            <w:r w:rsidRPr="0013396E">
              <w:rPr>
                <w:i/>
                <w:iCs/>
                <w:sz w:val="20"/>
                <w:vertAlign w:val="subscript"/>
              </w:rPr>
              <w:t>m</w:t>
            </w:r>
          </w:p>
        </w:tc>
        <w:tc>
          <w:tcPr>
            <w:tcW w:w="474" w:type="pct"/>
          </w:tcPr>
          <w:p w14:paraId="482BEC6C" w14:textId="77777777" w:rsidR="00326E23" w:rsidRPr="0013396E" w:rsidRDefault="00326E23" w:rsidP="009B2773">
            <w:pPr>
              <w:spacing w:after="60"/>
              <w:rPr>
                <w:iCs/>
                <w:sz w:val="20"/>
              </w:rPr>
            </w:pPr>
            <w:r w:rsidRPr="0013396E">
              <w:rPr>
                <w:iCs/>
                <w:sz w:val="20"/>
              </w:rPr>
              <w:t>$</w:t>
            </w:r>
          </w:p>
        </w:tc>
        <w:tc>
          <w:tcPr>
            <w:tcW w:w="3230" w:type="pct"/>
          </w:tcPr>
          <w:p w14:paraId="5819C812" w14:textId="77777777" w:rsidR="00326E23" w:rsidRPr="0013396E" w:rsidRDefault="00326E23" w:rsidP="009B2773">
            <w:pPr>
              <w:spacing w:after="60"/>
              <w:rPr>
                <w:iCs/>
                <w:sz w:val="20"/>
              </w:rPr>
            </w:pPr>
            <w:r w:rsidRPr="0013396E">
              <w:rPr>
                <w:i/>
                <w:iCs/>
                <w:sz w:val="20"/>
              </w:rPr>
              <w:t>RMR Other Expense Incurred Amount –</w:t>
            </w:r>
            <w:r w:rsidRPr="0013396E">
              <w:rPr>
                <w:iCs/>
                <w:sz w:val="20"/>
              </w:rPr>
              <w:t xml:space="preserve"> The amount of expenses incurred in the validation and processing of an RMR Agreement, for the month </w:t>
            </w:r>
            <w:r w:rsidRPr="0013396E">
              <w:rPr>
                <w:i/>
                <w:iCs/>
                <w:sz w:val="20"/>
              </w:rPr>
              <w:t>m</w:t>
            </w:r>
            <w:r w:rsidRPr="0013396E">
              <w:rPr>
                <w:iCs/>
                <w:sz w:val="20"/>
              </w:rPr>
              <w:t>, that are not paid to the QSE representing the RMR Unit e.g. third-party expenses incurred in the evaluation and validation of submitted RMR budgets.</w:t>
            </w:r>
          </w:p>
        </w:tc>
      </w:tr>
      <w:tr w:rsidR="00326E23" w:rsidRPr="0013396E" w14:paraId="5E1C39BE" w14:textId="77777777" w:rsidTr="009B2773">
        <w:trPr>
          <w:cantSplit/>
        </w:trPr>
        <w:tc>
          <w:tcPr>
            <w:tcW w:w="1296" w:type="pct"/>
          </w:tcPr>
          <w:p w14:paraId="2BBCDB6B" w14:textId="77777777" w:rsidR="00326E23" w:rsidRPr="0013396E" w:rsidRDefault="00326E23" w:rsidP="009B2773">
            <w:pPr>
              <w:spacing w:after="60"/>
              <w:rPr>
                <w:iCs/>
                <w:sz w:val="20"/>
              </w:rPr>
            </w:pPr>
            <w:r w:rsidRPr="0013396E">
              <w:rPr>
                <w:iCs/>
                <w:sz w:val="20"/>
              </w:rPr>
              <w:t>LARMROEIAMT</w:t>
            </w:r>
            <w:r w:rsidRPr="0013396E">
              <w:rPr>
                <w:i/>
                <w:iCs/>
                <w:sz w:val="20"/>
                <w:vertAlign w:val="subscript"/>
              </w:rPr>
              <w:t xml:space="preserve"> q</w:t>
            </w:r>
          </w:p>
        </w:tc>
        <w:tc>
          <w:tcPr>
            <w:tcW w:w="474" w:type="pct"/>
          </w:tcPr>
          <w:p w14:paraId="073A7529" w14:textId="77777777" w:rsidR="00326E23" w:rsidRPr="0013396E" w:rsidRDefault="00326E23" w:rsidP="009B2773">
            <w:pPr>
              <w:tabs>
                <w:tab w:val="left" w:pos="2880"/>
              </w:tabs>
              <w:spacing w:after="60"/>
              <w:contextualSpacing/>
              <w:rPr>
                <w:iCs/>
                <w:sz w:val="20"/>
              </w:rPr>
            </w:pPr>
            <w:r w:rsidRPr="0013396E">
              <w:rPr>
                <w:iCs/>
                <w:sz w:val="20"/>
              </w:rPr>
              <w:t>$</w:t>
            </w:r>
          </w:p>
        </w:tc>
        <w:tc>
          <w:tcPr>
            <w:tcW w:w="3230" w:type="pct"/>
          </w:tcPr>
          <w:p w14:paraId="68AD5ED6" w14:textId="77777777" w:rsidR="00326E23" w:rsidRPr="0013396E" w:rsidRDefault="00326E23" w:rsidP="009B2773">
            <w:pPr>
              <w:tabs>
                <w:tab w:val="left" w:pos="2880"/>
              </w:tabs>
              <w:spacing w:after="60"/>
              <w:contextualSpacing/>
              <w:rPr>
                <w:iCs/>
                <w:sz w:val="20"/>
              </w:rPr>
            </w:pPr>
            <w:r w:rsidRPr="0013396E">
              <w:rPr>
                <w:i/>
                <w:iCs/>
                <w:sz w:val="20"/>
              </w:rPr>
              <w:t xml:space="preserve">Load Allocated RMR Other Expense Incurred Amount </w:t>
            </w:r>
            <w:r w:rsidRPr="0013396E">
              <w:rPr>
                <w:iCs/>
                <w:sz w:val="20"/>
              </w:rPr>
              <w:t>– The amount of other expenses incurred charged to QSE</w:t>
            </w:r>
            <w:r w:rsidRPr="0013396E">
              <w:rPr>
                <w:i/>
                <w:iCs/>
                <w:sz w:val="20"/>
              </w:rPr>
              <w:t xml:space="preserve"> q</w:t>
            </w:r>
            <w:r w:rsidRPr="0013396E">
              <w:rPr>
                <w:iCs/>
                <w:sz w:val="20"/>
              </w:rPr>
              <w:t xml:space="preserve"> based on its HLRS.</w:t>
            </w:r>
          </w:p>
        </w:tc>
      </w:tr>
      <w:tr w:rsidR="00326E23" w:rsidRPr="0013396E" w14:paraId="163769FF" w14:textId="77777777" w:rsidTr="009B2773">
        <w:trPr>
          <w:cantSplit/>
        </w:trPr>
        <w:tc>
          <w:tcPr>
            <w:tcW w:w="1296" w:type="pct"/>
          </w:tcPr>
          <w:p w14:paraId="7BE00D7B" w14:textId="77777777" w:rsidR="00326E23" w:rsidRPr="0013396E" w:rsidRDefault="00326E23" w:rsidP="009B2773">
            <w:pPr>
              <w:spacing w:after="60"/>
              <w:rPr>
                <w:iCs/>
                <w:sz w:val="20"/>
              </w:rPr>
            </w:pPr>
            <w:r w:rsidRPr="0013396E">
              <w:rPr>
                <w:iCs/>
                <w:sz w:val="20"/>
              </w:rPr>
              <w:t xml:space="preserve">HLRS </w:t>
            </w:r>
            <w:r w:rsidRPr="0013396E">
              <w:rPr>
                <w:i/>
                <w:iCs/>
                <w:sz w:val="20"/>
                <w:vertAlign w:val="subscript"/>
              </w:rPr>
              <w:t>q, m</w:t>
            </w:r>
          </w:p>
        </w:tc>
        <w:tc>
          <w:tcPr>
            <w:tcW w:w="474" w:type="pct"/>
          </w:tcPr>
          <w:p w14:paraId="5D721142" w14:textId="77777777" w:rsidR="00326E23" w:rsidRPr="0013396E" w:rsidRDefault="00326E23" w:rsidP="009B2773">
            <w:pPr>
              <w:tabs>
                <w:tab w:val="left" w:pos="2880"/>
              </w:tabs>
              <w:spacing w:after="60"/>
              <w:contextualSpacing/>
              <w:rPr>
                <w:iCs/>
                <w:sz w:val="20"/>
              </w:rPr>
            </w:pPr>
            <w:r w:rsidRPr="0013396E">
              <w:rPr>
                <w:iCs/>
                <w:sz w:val="20"/>
              </w:rPr>
              <w:t>none</w:t>
            </w:r>
          </w:p>
        </w:tc>
        <w:tc>
          <w:tcPr>
            <w:tcW w:w="3230" w:type="pct"/>
          </w:tcPr>
          <w:p w14:paraId="7C0CE844" w14:textId="77777777" w:rsidR="00326E23" w:rsidRPr="0013396E" w:rsidRDefault="00326E23" w:rsidP="009B2773">
            <w:pPr>
              <w:autoSpaceDE w:val="0"/>
              <w:autoSpaceDN w:val="0"/>
              <w:adjustRightInd w:val="0"/>
              <w:spacing w:after="60"/>
              <w:rPr>
                <w:color w:val="000000"/>
                <w:sz w:val="20"/>
              </w:rPr>
            </w:pPr>
            <w:r w:rsidRPr="0013396E">
              <w:rPr>
                <w:i/>
                <w:iCs/>
                <w:color w:val="000000"/>
                <w:sz w:val="20"/>
              </w:rPr>
              <w:t>Hourly Load Ratio Share per QSE</w:t>
            </w:r>
            <w:r w:rsidRPr="0013396E">
              <w:rPr>
                <w:i/>
                <w:color w:val="000000"/>
                <w:sz w:val="20"/>
              </w:rPr>
              <w:t xml:space="preserve"> </w:t>
            </w:r>
            <w:r w:rsidRPr="0013396E">
              <w:rPr>
                <w:color w:val="000000"/>
                <w:sz w:val="20"/>
              </w:rPr>
              <w:t xml:space="preserve">– The hourly LRS calculated for QSE </w:t>
            </w:r>
            <w:r w:rsidRPr="0013396E">
              <w:rPr>
                <w:i/>
                <w:color w:val="000000"/>
                <w:sz w:val="20"/>
              </w:rPr>
              <w:t>q</w:t>
            </w:r>
            <w:r w:rsidRPr="0013396E">
              <w:rPr>
                <w:color w:val="000000"/>
                <w:sz w:val="20"/>
              </w:rPr>
              <w:t xml:space="preserve"> for the hour for month </w:t>
            </w:r>
            <w:r w:rsidRPr="0013396E">
              <w:rPr>
                <w:i/>
                <w:iCs/>
                <w:sz w:val="20"/>
              </w:rPr>
              <w:t>m</w:t>
            </w:r>
            <w:r w:rsidRPr="0013396E">
              <w:rPr>
                <w:color w:val="000000"/>
                <w:sz w:val="20"/>
              </w:rPr>
              <w:t xml:space="preserve">.  See Section 6.6.2.4, QSE Load Ratio Share for an Operating Hour. </w:t>
            </w:r>
          </w:p>
        </w:tc>
      </w:tr>
      <w:tr w:rsidR="00326E23" w:rsidRPr="0013396E" w14:paraId="3F3BF1AD" w14:textId="77777777" w:rsidTr="009B2773">
        <w:trPr>
          <w:cantSplit/>
        </w:trPr>
        <w:tc>
          <w:tcPr>
            <w:tcW w:w="1296" w:type="pct"/>
          </w:tcPr>
          <w:p w14:paraId="66EA27B0" w14:textId="77777777" w:rsidR="00326E23" w:rsidRPr="0013396E" w:rsidRDefault="00326E23" w:rsidP="009B2773">
            <w:pPr>
              <w:spacing w:after="60"/>
              <w:rPr>
                <w:iCs/>
                <w:sz w:val="20"/>
              </w:rPr>
            </w:pPr>
            <w:r w:rsidRPr="0013396E">
              <w:rPr>
                <w:iCs/>
                <w:sz w:val="20"/>
              </w:rPr>
              <w:t>MH</w:t>
            </w:r>
            <w:r w:rsidRPr="0013396E">
              <w:rPr>
                <w:i/>
                <w:iCs/>
                <w:sz w:val="20"/>
                <w:vertAlign w:val="subscript"/>
              </w:rPr>
              <w:t xml:space="preserve"> m</w:t>
            </w:r>
            <w:r w:rsidRPr="0013396E">
              <w:rPr>
                <w:iCs/>
                <w:sz w:val="20"/>
              </w:rPr>
              <w:t xml:space="preserve"> </w:t>
            </w:r>
          </w:p>
        </w:tc>
        <w:tc>
          <w:tcPr>
            <w:tcW w:w="474" w:type="pct"/>
          </w:tcPr>
          <w:p w14:paraId="400172CA" w14:textId="77777777" w:rsidR="00326E23" w:rsidRPr="0013396E" w:rsidRDefault="00326E23" w:rsidP="009B2773">
            <w:pPr>
              <w:tabs>
                <w:tab w:val="left" w:pos="2880"/>
              </w:tabs>
              <w:spacing w:after="60"/>
              <w:contextualSpacing/>
              <w:rPr>
                <w:iCs/>
                <w:sz w:val="20"/>
              </w:rPr>
            </w:pPr>
            <w:r w:rsidRPr="0013396E">
              <w:rPr>
                <w:iCs/>
                <w:sz w:val="20"/>
              </w:rPr>
              <w:t>hour</w:t>
            </w:r>
          </w:p>
        </w:tc>
        <w:tc>
          <w:tcPr>
            <w:tcW w:w="3230" w:type="pct"/>
          </w:tcPr>
          <w:p w14:paraId="129D7FC9" w14:textId="77777777" w:rsidR="00326E23" w:rsidRPr="0013396E" w:rsidRDefault="00326E23" w:rsidP="009B2773">
            <w:pPr>
              <w:tabs>
                <w:tab w:val="left" w:pos="2880"/>
              </w:tabs>
              <w:spacing w:after="60"/>
              <w:contextualSpacing/>
              <w:rPr>
                <w:i/>
                <w:iCs/>
                <w:sz w:val="20"/>
              </w:rPr>
            </w:pPr>
            <w:r w:rsidRPr="0013396E">
              <w:rPr>
                <w:i/>
                <w:iCs/>
                <w:sz w:val="20"/>
              </w:rPr>
              <w:t xml:space="preserve">Number of Hours in the Month </w:t>
            </w:r>
            <w:r w:rsidRPr="0013396E">
              <w:rPr>
                <w:iCs/>
                <w:sz w:val="20"/>
              </w:rPr>
              <w:t xml:space="preserve">—The total number of hours in the month </w:t>
            </w:r>
            <w:r w:rsidRPr="0013396E">
              <w:rPr>
                <w:i/>
                <w:iCs/>
                <w:sz w:val="20"/>
              </w:rPr>
              <w:t>m</w:t>
            </w:r>
            <w:r w:rsidRPr="0013396E">
              <w:rPr>
                <w:iCs/>
                <w:sz w:val="20"/>
              </w:rPr>
              <w:t>, which overlaps a month in which an RMR Agreement was effective.</w:t>
            </w:r>
          </w:p>
        </w:tc>
      </w:tr>
      <w:tr w:rsidR="00326E23" w:rsidRPr="0013396E" w14:paraId="6568AC60" w14:textId="77777777" w:rsidTr="009B2773">
        <w:trPr>
          <w:cantSplit/>
          <w:trHeight w:val="323"/>
        </w:trPr>
        <w:tc>
          <w:tcPr>
            <w:tcW w:w="1296" w:type="pct"/>
          </w:tcPr>
          <w:p w14:paraId="79B34167" w14:textId="77777777" w:rsidR="00326E23" w:rsidRPr="0013396E" w:rsidRDefault="00326E23" w:rsidP="009B2773">
            <w:pPr>
              <w:spacing w:after="60"/>
              <w:rPr>
                <w:iCs/>
                <w:sz w:val="20"/>
              </w:rPr>
            </w:pPr>
            <w:r w:rsidRPr="0013396E">
              <w:rPr>
                <w:i/>
                <w:iCs/>
                <w:sz w:val="20"/>
              </w:rPr>
              <w:t>m</w:t>
            </w:r>
          </w:p>
        </w:tc>
        <w:tc>
          <w:tcPr>
            <w:tcW w:w="474" w:type="pct"/>
          </w:tcPr>
          <w:p w14:paraId="6CE0F82A" w14:textId="77777777" w:rsidR="00326E23" w:rsidRPr="0013396E" w:rsidRDefault="00326E23" w:rsidP="009B2773">
            <w:pPr>
              <w:tabs>
                <w:tab w:val="left" w:pos="2880"/>
              </w:tabs>
              <w:spacing w:after="60"/>
              <w:contextualSpacing/>
              <w:rPr>
                <w:iCs/>
                <w:sz w:val="20"/>
              </w:rPr>
            </w:pPr>
            <w:r w:rsidRPr="0013396E">
              <w:rPr>
                <w:iCs/>
                <w:sz w:val="20"/>
              </w:rPr>
              <w:t>none</w:t>
            </w:r>
          </w:p>
        </w:tc>
        <w:tc>
          <w:tcPr>
            <w:tcW w:w="3230" w:type="pct"/>
          </w:tcPr>
          <w:p w14:paraId="0D9D44E5" w14:textId="77777777" w:rsidR="00326E23" w:rsidRPr="0013396E" w:rsidRDefault="00326E23" w:rsidP="009B2773">
            <w:pPr>
              <w:tabs>
                <w:tab w:val="left" w:pos="2880"/>
              </w:tabs>
              <w:spacing w:after="60"/>
              <w:contextualSpacing/>
              <w:rPr>
                <w:iCs/>
                <w:sz w:val="20"/>
              </w:rPr>
            </w:pPr>
            <w:r w:rsidRPr="0013396E">
              <w:rPr>
                <w:iCs/>
                <w:sz w:val="20"/>
              </w:rPr>
              <w:t>A month in the RMR Agreement period.</w:t>
            </w:r>
          </w:p>
        </w:tc>
      </w:tr>
      <w:tr w:rsidR="00326E23" w:rsidRPr="0013396E" w14:paraId="40F8C6A9" w14:textId="77777777" w:rsidTr="009B2773">
        <w:trPr>
          <w:cantSplit/>
          <w:trHeight w:val="323"/>
        </w:trPr>
        <w:tc>
          <w:tcPr>
            <w:tcW w:w="1296" w:type="pct"/>
          </w:tcPr>
          <w:p w14:paraId="7BA9DF00" w14:textId="77777777" w:rsidR="00326E23" w:rsidRPr="0013396E" w:rsidRDefault="00326E23" w:rsidP="009B2773">
            <w:pPr>
              <w:spacing w:after="60"/>
              <w:rPr>
                <w:i/>
                <w:iCs/>
                <w:sz w:val="20"/>
              </w:rPr>
            </w:pPr>
            <w:r w:rsidRPr="0013396E">
              <w:rPr>
                <w:i/>
                <w:iCs/>
                <w:sz w:val="20"/>
              </w:rPr>
              <w:t>q</w:t>
            </w:r>
          </w:p>
        </w:tc>
        <w:tc>
          <w:tcPr>
            <w:tcW w:w="474" w:type="pct"/>
          </w:tcPr>
          <w:p w14:paraId="3EDCF411" w14:textId="77777777" w:rsidR="00326E23" w:rsidRPr="0013396E" w:rsidRDefault="00326E23" w:rsidP="009B2773">
            <w:pPr>
              <w:tabs>
                <w:tab w:val="left" w:pos="2880"/>
              </w:tabs>
              <w:spacing w:after="60"/>
              <w:contextualSpacing/>
              <w:rPr>
                <w:iCs/>
                <w:sz w:val="20"/>
              </w:rPr>
            </w:pPr>
            <w:r w:rsidRPr="0013396E">
              <w:rPr>
                <w:iCs/>
                <w:sz w:val="20"/>
              </w:rPr>
              <w:t>none</w:t>
            </w:r>
          </w:p>
        </w:tc>
        <w:tc>
          <w:tcPr>
            <w:tcW w:w="3230" w:type="pct"/>
          </w:tcPr>
          <w:p w14:paraId="3D8C0DC3" w14:textId="77777777" w:rsidR="00326E23" w:rsidRPr="0013396E" w:rsidRDefault="00326E23" w:rsidP="009B2773">
            <w:pPr>
              <w:tabs>
                <w:tab w:val="left" w:pos="2880"/>
              </w:tabs>
              <w:spacing w:after="60"/>
              <w:contextualSpacing/>
              <w:rPr>
                <w:iCs/>
                <w:sz w:val="20"/>
              </w:rPr>
            </w:pPr>
            <w:r w:rsidRPr="0013396E">
              <w:rPr>
                <w:iCs/>
                <w:sz w:val="20"/>
              </w:rPr>
              <w:t>A QSE.</w:t>
            </w:r>
          </w:p>
        </w:tc>
      </w:tr>
      <w:tr w:rsidR="00326E23" w:rsidRPr="0013396E" w14:paraId="260D3C08" w14:textId="77777777" w:rsidTr="009B2773">
        <w:trPr>
          <w:cantSplit/>
          <w:trHeight w:val="323"/>
        </w:trPr>
        <w:tc>
          <w:tcPr>
            <w:tcW w:w="1296" w:type="pct"/>
          </w:tcPr>
          <w:p w14:paraId="22EA0C8D" w14:textId="77777777" w:rsidR="00326E23" w:rsidRPr="0013396E" w:rsidRDefault="00326E23" w:rsidP="009B2773">
            <w:pPr>
              <w:spacing w:after="60"/>
              <w:rPr>
                <w:i/>
                <w:iCs/>
                <w:sz w:val="20"/>
              </w:rPr>
            </w:pPr>
            <w:r w:rsidRPr="0013396E">
              <w:rPr>
                <w:i/>
                <w:iCs/>
                <w:sz w:val="20"/>
              </w:rPr>
              <w:t>r</w:t>
            </w:r>
          </w:p>
        </w:tc>
        <w:tc>
          <w:tcPr>
            <w:tcW w:w="474" w:type="pct"/>
          </w:tcPr>
          <w:p w14:paraId="07F037D2" w14:textId="77777777" w:rsidR="00326E23" w:rsidRPr="0013396E" w:rsidRDefault="00326E23" w:rsidP="009B2773">
            <w:pPr>
              <w:tabs>
                <w:tab w:val="left" w:pos="2880"/>
              </w:tabs>
              <w:spacing w:after="60"/>
              <w:contextualSpacing/>
              <w:rPr>
                <w:iCs/>
                <w:sz w:val="20"/>
              </w:rPr>
            </w:pPr>
            <w:r w:rsidRPr="0013396E">
              <w:rPr>
                <w:iCs/>
                <w:sz w:val="20"/>
              </w:rPr>
              <w:t>none</w:t>
            </w:r>
          </w:p>
        </w:tc>
        <w:tc>
          <w:tcPr>
            <w:tcW w:w="3230" w:type="pct"/>
          </w:tcPr>
          <w:p w14:paraId="259A286A" w14:textId="77777777" w:rsidR="00326E23" w:rsidRPr="0013396E" w:rsidRDefault="00326E23" w:rsidP="009B2773">
            <w:pPr>
              <w:tabs>
                <w:tab w:val="left" w:pos="2880"/>
              </w:tabs>
              <w:spacing w:after="60"/>
              <w:contextualSpacing/>
              <w:rPr>
                <w:iCs/>
                <w:sz w:val="20"/>
              </w:rPr>
            </w:pPr>
            <w:r w:rsidRPr="0013396E">
              <w:rPr>
                <w:iCs/>
                <w:sz w:val="20"/>
              </w:rPr>
              <w:t>An RMR Unit.</w:t>
            </w:r>
          </w:p>
        </w:tc>
      </w:tr>
    </w:tbl>
    <w:p w14:paraId="64C4CA5B" w14:textId="77777777" w:rsidR="00326E23" w:rsidRPr="0013396E" w:rsidRDefault="00326E23" w:rsidP="00326E23">
      <w:pPr>
        <w:spacing w:before="240" w:after="240"/>
        <w:ind w:left="720" w:hanging="720"/>
      </w:pPr>
      <w:r w:rsidRPr="0013396E">
        <w:rPr>
          <w:bCs/>
        </w:rPr>
        <w:t>(3)</w:t>
      </w:r>
      <w:r w:rsidRPr="0013396E">
        <w:rPr>
          <w:bCs/>
        </w:rPr>
        <w:tab/>
        <w:t>ERCOT shall collect and distribute Must-Run Alternative (MRA) contributed capital expenditures described in Section 3.14.1.19 as follows:</w:t>
      </w:r>
    </w:p>
    <w:p w14:paraId="6C9401E3" w14:textId="77777777" w:rsidR="00326E23" w:rsidRPr="0013396E" w:rsidRDefault="00326E23" w:rsidP="00326E23">
      <w:pPr>
        <w:spacing w:after="240"/>
        <w:ind w:left="1440" w:hanging="720"/>
      </w:pPr>
      <w:r w:rsidRPr="0013396E">
        <w:t>(a)</w:t>
      </w:r>
      <w:r w:rsidRPr="0013396E">
        <w:tab/>
        <w:t xml:space="preserve">The one-time charge to the QSE to collect the lump sum of contributed capital </w:t>
      </w:r>
      <w:r w:rsidRPr="0013396E">
        <w:rPr>
          <w:iCs/>
        </w:rPr>
        <w:t>expenditures</w:t>
      </w:r>
      <w:r w:rsidRPr="0013396E">
        <w:t xml:space="preserve"> will be reflected as:</w:t>
      </w:r>
    </w:p>
    <w:p w14:paraId="051952D6" w14:textId="77777777" w:rsidR="00326E23" w:rsidRPr="0013396E" w:rsidRDefault="00326E23" w:rsidP="00326E23">
      <w:pPr>
        <w:spacing w:before="240" w:after="240"/>
        <w:ind w:left="720" w:firstLine="720"/>
      </w:pPr>
      <w:r w:rsidRPr="0013396E">
        <w:rPr>
          <w:lang w:val="pt-BR"/>
        </w:rPr>
        <w:t>MRACERAMT</w:t>
      </w:r>
      <w:r w:rsidRPr="0013396E">
        <w:rPr>
          <w:i/>
          <w:vertAlign w:val="subscript"/>
        </w:rPr>
        <w:t xml:space="preserve"> q, r, c</w:t>
      </w:r>
    </w:p>
    <w:p w14:paraId="378B887A" w14:textId="77777777" w:rsidR="00326E23" w:rsidRPr="0013396E" w:rsidRDefault="00326E23" w:rsidP="00326E23">
      <w:pPr>
        <w:spacing w:after="240"/>
        <w:ind w:left="1440" w:hanging="720"/>
      </w:pPr>
      <w:r w:rsidRPr="0013396E">
        <w:t>(b)</w:t>
      </w:r>
      <w:r w:rsidRPr="0013396E">
        <w:tab/>
        <w:t>The one-</w:t>
      </w:r>
      <w:r w:rsidRPr="0013396E">
        <w:rPr>
          <w:iCs/>
        </w:rPr>
        <w:t>time</w:t>
      </w:r>
      <w:r w:rsidRPr="0013396E">
        <w:t xml:space="preserve"> payment is calculated as follows:</w:t>
      </w:r>
    </w:p>
    <w:p w14:paraId="7EFF74A7" w14:textId="52D447FD" w:rsidR="00326E23" w:rsidRPr="0013396E" w:rsidRDefault="00326E23" w:rsidP="00326E23">
      <w:pPr>
        <w:spacing w:after="240"/>
        <w:ind w:left="720" w:firstLine="720"/>
        <w:rPr>
          <w:i/>
          <w:vertAlign w:val="subscript"/>
        </w:rPr>
      </w:pPr>
      <w:r w:rsidRPr="0013396E">
        <w:t>LAMRACERAMT</w:t>
      </w:r>
      <w:r w:rsidRPr="0013396E">
        <w:rPr>
          <w:i/>
          <w:vertAlign w:val="subscript"/>
        </w:rPr>
        <w:t xml:space="preserve"> q</w:t>
      </w:r>
      <w:r w:rsidRPr="0013396E">
        <w:t xml:space="preserve">   =   (-1) * </w:t>
      </w:r>
      <w:r w:rsidR="00A94020" w:rsidRPr="0013396E">
        <w:rPr>
          <w:noProof/>
          <w:position w:val="-18"/>
        </w:rPr>
        <w:drawing>
          <wp:inline distT="0" distB="0" distL="0" distR="0" wp14:anchorId="51308978" wp14:editId="3B44A0A9">
            <wp:extent cx="133350" cy="257175"/>
            <wp:effectExtent l="0" t="0" r="0" b="9525"/>
            <wp:docPr id="12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8" cstate="print">
                      <a:extLst>
                        <a:ext uri="{28A0092B-C50C-407E-A947-70E740481C1C}">
                          <a14:useLocalDpi xmlns:a14="http://schemas.microsoft.com/office/drawing/2010/main" val="0"/>
                        </a:ext>
                      </a:extLst>
                    </a:blip>
                    <a:srcRect/>
                    <a:stretch>
                      <a:fillRect/>
                    </a:stretch>
                  </pic:blipFill>
                  <pic:spPr bwMode="auto">
                    <a:xfrm>
                      <a:off x="0" y="0"/>
                      <a:ext cx="133350" cy="257175"/>
                    </a:xfrm>
                    <a:prstGeom prst="rect">
                      <a:avLst/>
                    </a:prstGeom>
                    <a:noFill/>
                    <a:ln>
                      <a:noFill/>
                    </a:ln>
                  </pic:spPr>
                </pic:pic>
              </a:graphicData>
            </a:graphic>
          </wp:inline>
        </w:drawing>
      </w:r>
      <w:r w:rsidR="00A94020" w:rsidRPr="0013396E">
        <w:rPr>
          <w:noProof/>
          <w:position w:val="-18"/>
        </w:rPr>
        <w:drawing>
          <wp:inline distT="0" distB="0" distL="0" distR="0" wp14:anchorId="4E16A0CD" wp14:editId="676652FE">
            <wp:extent cx="133350" cy="257175"/>
            <wp:effectExtent l="0" t="0" r="0" b="9525"/>
            <wp:docPr id="12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9" cstate="print">
                      <a:extLst>
                        <a:ext uri="{28A0092B-C50C-407E-A947-70E740481C1C}">
                          <a14:useLocalDpi xmlns:a14="http://schemas.microsoft.com/office/drawing/2010/main" val="0"/>
                        </a:ext>
                      </a:extLst>
                    </a:blip>
                    <a:srcRect/>
                    <a:stretch>
                      <a:fillRect/>
                    </a:stretch>
                  </pic:blipFill>
                  <pic:spPr bwMode="auto">
                    <a:xfrm>
                      <a:off x="0" y="0"/>
                      <a:ext cx="133350" cy="257175"/>
                    </a:xfrm>
                    <a:prstGeom prst="rect">
                      <a:avLst/>
                    </a:prstGeom>
                    <a:noFill/>
                    <a:ln>
                      <a:noFill/>
                    </a:ln>
                  </pic:spPr>
                </pic:pic>
              </a:graphicData>
            </a:graphic>
          </wp:inline>
        </w:drawing>
      </w:r>
      <w:r w:rsidRPr="0013396E">
        <w:t xml:space="preserve"> </w:t>
      </w:r>
      <w:r w:rsidRPr="0013396E">
        <w:rPr>
          <w:lang w:val="pt-BR"/>
        </w:rPr>
        <w:t>MMRACER / MH</w:t>
      </w:r>
      <w:r w:rsidRPr="0013396E">
        <w:rPr>
          <w:i/>
          <w:vertAlign w:val="subscript"/>
        </w:rPr>
        <w:t xml:space="preserve"> q, r</w:t>
      </w:r>
      <w:r w:rsidRPr="0013396E">
        <w:rPr>
          <w:lang w:val="pt-BR"/>
        </w:rPr>
        <w:t xml:space="preserve"> * HLRS</w:t>
      </w:r>
      <w:r w:rsidRPr="0013396E">
        <w:rPr>
          <w:i/>
          <w:vertAlign w:val="subscript"/>
        </w:rPr>
        <w:t xml:space="preserve"> q</w:t>
      </w:r>
    </w:p>
    <w:p w14:paraId="292B1DAF" w14:textId="77777777" w:rsidR="00326E23" w:rsidRPr="0013396E" w:rsidRDefault="00326E23" w:rsidP="00326E23">
      <w:pPr>
        <w:spacing w:after="240"/>
        <w:ind w:left="720" w:firstLine="720"/>
        <w:rPr>
          <w:i/>
          <w:vertAlign w:val="subscript"/>
        </w:rPr>
      </w:pPr>
      <w:r w:rsidRPr="0013396E">
        <w:t>Where:</w:t>
      </w:r>
    </w:p>
    <w:p w14:paraId="761E9584" w14:textId="77777777" w:rsidR="00326E23" w:rsidRPr="0013396E" w:rsidRDefault="00326E23" w:rsidP="00326E23">
      <w:pPr>
        <w:spacing w:after="240"/>
        <w:ind w:left="1440"/>
        <w:rPr>
          <w:i/>
          <w:vertAlign w:val="subscript"/>
        </w:rPr>
      </w:pPr>
      <w:r w:rsidRPr="0013396E">
        <w:rPr>
          <w:lang w:val="pt-BR"/>
        </w:rPr>
        <w:t>MMRACER =    MRACERAMT</w:t>
      </w:r>
      <w:r w:rsidRPr="0013396E">
        <w:rPr>
          <w:i/>
          <w:vertAlign w:val="subscript"/>
        </w:rPr>
        <w:t xml:space="preserve"> q, r, c</w:t>
      </w:r>
      <w:r w:rsidRPr="0013396E">
        <w:rPr>
          <w:lang w:val="pt-BR"/>
        </w:rPr>
        <w:t xml:space="preserve"> / CM</w:t>
      </w:r>
      <w:r w:rsidRPr="0013396E">
        <w:rPr>
          <w:i/>
          <w:vertAlign w:val="subscript"/>
        </w:rPr>
        <w:t xml:space="preserve"> q, r, c</w:t>
      </w:r>
    </w:p>
    <w:p w14:paraId="0E5AEC15" w14:textId="77777777" w:rsidR="00326E23" w:rsidRPr="0013396E" w:rsidRDefault="00326E23" w:rsidP="00326E23">
      <w:pPr>
        <w:spacing w:after="240"/>
        <w:ind w:left="1440"/>
        <w:jc w:val="both"/>
      </w:pPr>
      <w:r w:rsidRPr="0013396E">
        <w:t>The HLRS used will be the HLRS for each day within the contracted month M.  The most recent approved HLRS available at time the miscellaneous Invoice is posted will be used.  The miscellaneous Invoice will not be re-calculated with subsequent Settlement runs unless required by a dispute or ADR.  If a dispute or ADR requires ERCOT to re-issue the miscellaneous Invoice, the most recent approved HLRS values will be used.</w:t>
      </w:r>
    </w:p>
    <w:p w14:paraId="511F904F" w14:textId="77777777" w:rsidR="00326E23" w:rsidRPr="0013396E" w:rsidRDefault="00326E23" w:rsidP="00326E23">
      <w:pPr>
        <w:tabs>
          <w:tab w:val="left" w:pos="2250"/>
          <w:tab w:val="left" w:pos="3150"/>
          <w:tab w:val="left" w:pos="3960"/>
        </w:tabs>
      </w:pPr>
      <w:r w:rsidRPr="0013396E">
        <w:t>The above variables are defined as follows:</w:t>
      </w:r>
    </w:p>
    <w:tbl>
      <w:tblPr>
        <w:tblW w:w="94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56"/>
        <w:gridCol w:w="898"/>
        <w:gridCol w:w="6120"/>
      </w:tblGrid>
      <w:tr w:rsidR="00326E23" w:rsidRPr="0013396E" w14:paraId="20C50F21" w14:textId="77777777" w:rsidTr="00E15B46">
        <w:tc>
          <w:tcPr>
            <w:tcW w:w="1296" w:type="pct"/>
          </w:tcPr>
          <w:p w14:paraId="42F006C2" w14:textId="77777777" w:rsidR="00326E23" w:rsidRPr="0013396E" w:rsidRDefault="00326E23" w:rsidP="009B2773">
            <w:pPr>
              <w:spacing w:after="240"/>
              <w:rPr>
                <w:b/>
                <w:iCs/>
                <w:sz w:val="20"/>
              </w:rPr>
            </w:pPr>
            <w:r w:rsidRPr="0013396E">
              <w:rPr>
                <w:b/>
                <w:iCs/>
                <w:sz w:val="20"/>
              </w:rPr>
              <w:t>Variable</w:t>
            </w:r>
          </w:p>
        </w:tc>
        <w:tc>
          <w:tcPr>
            <w:tcW w:w="474" w:type="pct"/>
          </w:tcPr>
          <w:p w14:paraId="0D401513" w14:textId="77777777" w:rsidR="00326E23" w:rsidRPr="0013396E" w:rsidRDefault="00326E23" w:rsidP="009B2773">
            <w:pPr>
              <w:spacing w:after="240"/>
              <w:rPr>
                <w:b/>
                <w:iCs/>
                <w:sz w:val="20"/>
              </w:rPr>
            </w:pPr>
            <w:r w:rsidRPr="0013396E">
              <w:rPr>
                <w:b/>
                <w:iCs/>
                <w:sz w:val="20"/>
              </w:rPr>
              <w:t>Unit</w:t>
            </w:r>
          </w:p>
        </w:tc>
        <w:tc>
          <w:tcPr>
            <w:tcW w:w="3230" w:type="pct"/>
          </w:tcPr>
          <w:p w14:paraId="6E753026" w14:textId="77777777" w:rsidR="00326E23" w:rsidRPr="0013396E" w:rsidRDefault="00326E23" w:rsidP="009B2773">
            <w:pPr>
              <w:spacing w:after="240"/>
              <w:rPr>
                <w:b/>
                <w:iCs/>
                <w:sz w:val="20"/>
              </w:rPr>
            </w:pPr>
            <w:r w:rsidRPr="0013396E">
              <w:rPr>
                <w:b/>
                <w:iCs/>
                <w:sz w:val="20"/>
              </w:rPr>
              <w:t>Description</w:t>
            </w:r>
          </w:p>
        </w:tc>
      </w:tr>
      <w:tr w:rsidR="00326E23" w:rsidRPr="0013396E" w14:paraId="202C2FA0" w14:textId="77777777" w:rsidTr="00E15B46">
        <w:trPr>
          <w:cantSplit/>
          <w:trHeight w:val="692"/>
        </w:trPr>
        <w:tc>
          <w:tcPr>
            <w:tcW w:w="1296" w:type="pct"/>
          </w:tcPr>
          <w:p w14:paraId="42E21910" w14:textId="77777777" w:rsidR="00326E23" w:rsidRPr="0013396E" w:rsidRDefault="00326E23" w:rsidP="009B2773">
            <w:pPr>
              <w:spacing w:after="60"/>
              <w:rPr>
                <w:iCs/>
                <w:sz w:val="20"/>
              </w:rPr>
            </w:pPr>
            <w:r w:rsidRPr="0013396E">
              <w:rPr>
                <w:iCs/>
                <w:sz w:val="20"/>
                <w:lang w:val="pt-BR"/>
              </w:rPr>
              <w:t>MRACERAMT</w:t>
            </w:r>
            <w:r w:rsidRPr="0013396E">
              <w:rPr>
                <w:i/>
                <w:iCs/>
                <w:sz w:val="20"/>
                <w:vertAlign w:val="subscript"/>
              </w:rPr>
              <w:t xml:space="preserve"> q, r, c</w:t>
            </w:r>
          </w:p>
        </w:tc>
        <w:tc>
          <w:tcPr>
            <w:tcW w:w="474" w:type="pct"/>
          </w:tcPr>
          <w:p w14:paraId="76E85DDD" w14:textId="77777777" w:rsidR="00326E23" w:rsidRPr="0013396E" w:rsidRDefault="00326E23" w:rsidP="009B2773">
            <w:pPr>
              <w:spacing w:after="60"/>
              <w:rPr>
                <w:iCs/>
                <w:sz w:val="20"/>
              </w:rPr>
            </w:pPr>
            <w:r w:rsidRPr="0013396E">
              <w:rPr>
                <w:iCs/>
                <w:sz w:val="20"/>
              </w:rPr>
              <w:t>$</w:t>
            </w:r>
          </w:p>
        </w:tc>
        <w:tc>
          <w:tcPr>
            <w:tcW w:w="3230" w:type="pct"/>
          </w:tcPr>
          <w:p w14:paraId="4B65EC6F" w14:textId="77777777" w:rsidR="00326E23" w:rsidRPr="0013396E" w:rsidRDefault="00326E23" w:rsidP="009B2773">
            <w:pPr>
              <w:spacing w:after="60"/>
              <w:rPr>
                <w:iCs/>
                <w:sz w:val="20"/>
              </w:rPr>
            </w:pPr>
            <w:r w:rsidRPr="0013396E">
              <w:rPr>
                <w:i/>
                <w:iCs/>
                <w:sz w:val="20"/>
              </w:rPr>
              <w:t>Must-Run Alternative Capital Expenditure Refund Amount</w:t>
            </w:r>
            <w:r w:rsidRPr="0013396E">
              <w:rPr>
                <w:iCs/>
                <w:sz w:val="20"/>
              </w:rPr>
              <w:t xml:space="preserve"> – The lump sum amount of contributed capital expenditures refunded to ERCOT per Section </w:t>
            </w:r>
            <w:r w:rsidRPr="0013396E">
              <w:rPr>
                <w:bCs/>
                <w:iCs/>
                <w:sz w:val="20"/>
              </w:rPr>
              <w:t>3.14.1.19</w:t>
            </w:r>
            <w:r w:rsidRPr="0013396E">
              <w:rPr>
                <w:iCs/>
                <w:sz w:val="20"/>
              </w:rPr>
              <w:t xml:space="preserve">. </w:t>
            </w:r>
          </w:p>
        </w:tc>
      </w:tr>
      <w:tr w:rsidR="00326E23" w:rsidRPr="0013396E" w14:paraId="45A726EC" w14:textId="77777777" w:rsidTr="00E15B46">
        <w:trPr>
          <w:cantSplit/>
        </w:trPr>
        <w:tc>
          <w:tcPr>
            <w:tcW w:w="1296" w:type="pct"/>
          </w:tcPr>
          <w:p w14:paraId="5A2BC3AC" w14:textId="77777777" w:rsidR="00326E23" w:rsidRPr="0013396E" w:rsidRDefault="00326E23" w:rsidP="009B2773">
            <w:pPr>
              <w:spacing w:after="60"/>
              <w:rPr>
                <w:iCs/>
                <w:sz w:val="20"/>
              </w:rPr>
            </w:pPr>
            <w:r w:rsidRPr="0013396E">
              <w:rPr>
                <w:iCs/>
                <w:sz w:val="20"/>
                <w:lang w:val="pt-BR"/>
              </w:rPr>
              <w:t>MMRACER</w:t>
            </w:r>
          </w:p>
        </w:tc>
        <w:tc>
          <w:tcPr>
            <w:tcW w:w="474" w:type="pct"/>
          </w:tcPr>
          <w:p w14:paraId="5BFE8050" w14:textId="77777777" w:rsidR="00326E23" w:rsidRPr="0013396E" w:rsidRDefault="00326E23" w:rsidP="009B2773">
            <w:pPr>
              <w:tabs>
                <w:tab w:val="left" w:pos="2160"/>
              </w:tabs>
              <w:spacing w:after="60"/>
              <w:contextualSpacing/>
              <w:rPr>
                <w:iCs/>
                <w:sz w:val="20"/>
              </w:rPr>
            </w:pPr>
            <w:r w:rsidRPr="0013396E">
              <w:rPr>
                <w:sz w:val="20"/>
              </w:rPr>
              <w:t>$</w:t>
            </w:r>
          </w:p>
        </w:tc>
        <w:tc>
          <w:tcPr>
            <w:tcW w:w="3230" w:type="pct"/>
          </w:tcPr>
          <w:p w14:paraId="4D8D6D4E" w14:textId="77777777" w:rsidR="00326E23" w:rsidRPr="0013396E" w:rsidRDefault="00326E23" w:rsidP="009B2773">
            <w:pPr>
              <w:spacing w:after="60"/>
              <w:rPr>
                <w:iCs/>
                <w:sz w:val="20"/>
              </w:rPr>
            </w:pPr>
            <w:r w:rsidRPr="0013396E">
              <w:rPr>
                <w:i/>
                <w:iCs/>
                <w:sz w:val="20"/>
              </w:rPr>
              <w:t xml:space="preserve">Monthly Must-Run Alternative Capital Expenditure Refund </w:t>
            </w:r>
            <w:r w:rsidRPr="0013396E">
              <w:rPr>
                <w:iCs/>
                <w:sz w:val="20"/>
              </w:rPr>
              <w:t xml:space="preserve">– The lump sum amount of contributed capital expenditures refunded to ERCOT per Section </w:t>
            </w:r>
            <w:r w:rsidRPr="0013396E">
              <w:rPr>
                <w:bCs/>
                <w:iCs/>
                <w:sz w:val="20"/>
              </w:rPr>
              <w:t>3.14.1.19</w:t>
            </w:r>
            <w:r w:rsidRPr="0013396E">
              <w:rPr>
                <w:iCs/>
                <w:sz w:val="20"/>
              </w:rPr>
              <w:t xml:space="preserve"> pro-rated over the number of months of the MRA Agreement.</w:t>
            </w:r>
          </w:p>
        </w:tc>
      </w:tr>
      <w:tr w:rsidR="00326E23" w:rsidRPr="0013396E" w14:paraId="3C7931E3" w14:textId="77777777" w:rsidTr="00E15B46">
        <w:trPr>
          <w:cantSplit/>
        </w:trPr>
        <w:tc>
          <w:tcPr>
            <w:tcW w:w="1296" w:type="pct"/>
          </w:tcPr>
          <w:p w14:paraId="388D008E" w14:textId="77777777" w:rsidR="00326E23" w:rsidRPr="0013396E" w:rsidRDefault="00326E23" w:rsidP="009B2773">
            <w:pPr>
              <w:spacing w:after="60"/>
              <w:rPr>
                <w:iCs/>
                <w:sz w:val="20"/>
              </w:rPr>
            </w:pPr>
            <w:r w:rsidRPr="0013396E">
              <w:rPr>
                <w:iCs/>
                <w:sz w:val="20"/>
              </w:rPr>
              <w:lastRenderedPageBreak/>
              <w:t>LAMRACERAMT</w:t>
            </w:r>
            <w:r w:rsidRPr="0013396E">
              <w:rPr>
                <w:i/>
                <w:iCs/>
                <w:sz w:val="20"/>
                <w:vertAlign w:val="subscript"/>
              </w:rPr>
              <w:t xml:space="preserve"> q</w:t>
            </w:r>
          </w:p>
        </w:tc>
        <w:tc>
          <w:tcPr>
            <w:tcW w:w="474" w:type="pct"/>
          </w:tcPr>
          <w:p w14:paraId="145B12BE" w14:textId="77777777" w:rsidR="00326E23" w:rsidRPr="0013396E" w:rsidRDefault="00326E23" w:rsidP="009B2773">
            <w:pPr>
              <w:tabs>
                <w:tab w:val="left" w:pos="2880"/>
              </w:tabs>
              <w:spacing w:after="60"/>
              <w:contextualSpacing/>
              <w:rPr>
                <w:iCs/>
                <w:sz w:val="20"/>
              </w:rPr>
            </w:pPr>
            <w:r w:rsidRPr="0013396E">
              <w:rPr>
                <w:iCs/>
                <w:sz w:val="20"/>
              </w:rPr>
              <w:t>$</w:t>
            </w:r>
          </w:p>
        </w:tc>
        <w:tc>
          <w:tcPr>
            <w:tcW w:w="3230" w:type="pct"/>
          </w:tcPr>
          <w:p w14:paraId="04EABD9F" w14:textId="77777777" w:rsidR="00326E23" w:rsidRPr="0013396E" w:rsidRDefault="00326E23" w:rsidP="009B2773">
            <w:pPr>
              <w:tabs>
                <w:tab w:val="left" w:pos="2880"/>
              </w:tabs>
              <w:spacing w:after="60"/>
              <w:contextualSpacing/>
              <w:rPr>
                <w:iCs/>
                <w:sz w:val="20"/>
              </w:rPr>
            </w:pPr>
            <w:r w:rsidRPr="0013396E">
              <w:rPr>
                <w:i/>
                <w:iCs/>
                <w:sz w:val="20"/>
              </w:rPr>
              <w:t xml:space="preserve">Load Allocated Must-Run Alternative Capital Expenditure Refund Amount </w:t>
            </w:r>
            <w:r w:rsidRPr="0013396E">
              <w:rPr>
                <w:iCs/>
                <w:sz w:val="20"/>
              </w:rPr>
              <w:t>– The amount of refunded capital expenditures paid to QSE</w:t>
            </w:r>
            <w:r w:rsidRPr="0013396E">
              <w:rPr>
                <w:i/>
                <w:iCs/>
                <w:sz w:val="20"/>
              </w:rPr>
              <w:t xml:space="preserve"> q</w:t>
            </w:r>
            <w:r w:rsidRPr="0013396E">
              <w:rPr>
                <w:iCs/>
                <w:sz w:val="20"/>
              </w:rPr>
              <w:t xml:space="preserve"> based on its HLRS.</w:t>
            </w:r>
          </w:p>
        </w:tc>
      </w:tr>
      <w:tr w:rsidR="00326E23" w:rsidRPr="0013396E" w14:paraId="319FBDC4" w14:textId="77777777" w:rsidTr="00E15B46">
        <w:trPr>
          <w:cantSplit/>
        </w:trPr>
        <w:tc>
          <w:tcPr>
            <w:tcW w:w="1296" w:type="pct"/>
          </w:tcPr>
          <w:p w14:paraId="107BA2FD" w14:textId="77777777" w:rsidR="00326E23" w:rsidRPr="0013396E" w:rsidRDefault="00326E23" w:rsidP="009B2773">
            <w:pPr>
              <w:spacing w:after="60"/>
              <w:rPr>
                <w:iCs/>
                <w:sz w:val="20"/>
              </w:rPr>
            </w:pPr>
            <w:r w:rsidRPr="0013396E">
              <w:rPr>
                <w:iCs/>
                <w:sz w:val="20"/>
              </w:rPr>
              <w:t xml:space="preserve">HLRS </w:t>
            </w:r>
            <w:r w:rsidRPr="0013396E">
              <w:rPr>
                <w:i/>
                <w:iCs/>
                <w:sz w:val="20"/>
                <w:vertAlign w:val="subscript"/>
              </w:rPr>
              <w:t>q</w:t>
            </w:r>
          </w:p>
        </w:tc>
        <w:tc>
          <w:tcPr>
            <w:tcW w:w="474" w:type="pct"/>
          </w:tcPr>
          <w:p w14:paraId="72288F5C" w14:textId="77777777" w:rsidR="00326E23" w:rsidRPr="0013396E" w:rsidRDefault="00326E23" w:rsidP="009B2773">
            <w:pPr>
              <w:tabs>
                <w:tab w:val="left" w:pos="2880"/>
              </w:tabs>
              <w:spacing w:after="60"/>
              <w:contextualSpacing/>
              <w:rPr>
                <w:iCs/>
                <w:sz w:val="20"/>
              </w:rPr>
            </w:pPr>
            <w:r w:rsidRPr="0013396E">
              <w:rPr>
                <w:iCs/>
                <w:sz w:val="20"/>
              </w:rPr>
              <w:t>none</w:t>
            </w:r>
          </w:p>
        </w:tc>
        <w:tc>
          <w:tcPr>
            <w:tcW w:w="3230" w:type="pct"/>
          </w:tcPr>
          <w:p w14:paraId="1910B941" w14:textId="77777777" w:rsidR="00326E23" w:rsidRPr="0013396E" w:rsidRDefault="00326E23" w:rsidP="009B2773">
            <w:pPr>
              <w:autoSpaceDE w:val="0"/>
              <w:autoSpaceDN w:val="0"/>
              <w:adjustRightInd w:val="0"/>
              <w:spacing w:after="60"/>
              <w:rPr>
                <w:color w:val="000000"/>
                <w:sz w:val="20"/>
              </w:rPr>
            </w:pPr>
            <w:r w:rsidRPr="0013396E">
              <w:rPr>
                <w:i/>
                <w:iCs/>
                <w:color w:val="000000"/>
                <w:sz w:val="20"/>
              </w:rPr>
              <w:t>Hourly Load Ratio Share per QSE</w:t>
            </w:r>
            <w:r w:rsidRPr="0013396E">
              <w:rPr>
                <w:i/>
                <w:color w:val="000000"/>
                <w:sz w:val="20"/>
              </w:rPr>
              <w:t xml:space="preserve"> </w:t>
            </w:r>
            <w:r w:rsidRPr="0013396E">
              <w:rPr>
                <w:color w:val="000000"/>
                <w:sz w:val="20"/>
              </w:rPr>
              <w:t xml:space="preserve">– The hourly LRS calculated for QSE </w:t>
            </w:r>
            <w:r w:rsidRPr="0013396E">
              <w:rPr>
                <w:i/>
                <w:color w:val="000000"/>
                <w:sz w:val="20"/>
              </w:rPr>
              <w:t>q</w:t>
            </w:r>
            <w:r w:rsidRPr="0013396E">
              <w:rPr>
                <w:color w:val="000000"/>
                <w:sz w:val="20"/>
              </w:rPr>
              <w:t xml:space="preserve"> for the hour for month M.  See Section 6.6.2.4, QSE Load Ratio Share for an Operating Hour. </w:t>
            </w:r>
          </w:p>
        </w:tc>
      </w:tr>
      <w:tr w:rsidR="00326E23" w:rsidRPr="0013396E" w14:paraId="04680115" w14:textId="77777777" w:rsidTr="00E15B46">
        <w:trPr>
          <w:cantSplit/>
        </w:trPr>
        <w:tc>
          <w:tcPr>
            <w:tcW w:w="1296" w:type="pct"/>
          </w:tcPr>
          <w:p w14:paraId="583FE929" w14:textId="77777777" w:rsidR="00326E23" w:rsidRPr="0013396E" w:rsidRDefault="00326E23" w:rsidP="009B2773">
            <w:pPr>
              <w:spacing w:after="60"/>
              <w:rPr>
                <w:iCs/>
                <w:sz w:val="20"/>
              </w:rPr>
            </w:pPr>
            <w:r w:rsidRPr="0013396E">
              <w:rPr>
                <w:iCs/>
                <w:sz w:val="20"/>
              </w:rPr>
              <w:t xml:space="preserve">MH </w:t>
            </w:r>
            <w:r w:rsidRPr="0013396E">
              <w:rPr>
                <w:i/>
                <w:iCs/>
                <w:sz w:val="20"/>
                <w:vertAlign w:val="subscript"/>
              </w:rPr>
              <w:t>q, r</w:t>
            </w:r>
          </w:p>
        </w:tc>
        <w:tc>
          <w:tcPr>
            <w:tcW w:w="474" w:type="pct"/>
          </w:tcPr>
          <w:p w14:paraId="26E0A562" w14:textId="77777777" w:rsidR="00326E23" w:rsidRPr="0013396E" w:rsidRDefault="00326E23" w:rsidP="009B2773">
            <w:pPr>
              <w:tabs>
                <w:tab w:val="left" w:pos="2880"/>
              </w:tabs>
              <w:spacing w:after="60"/>
              <w:contextualSpacing/>
              <w:rPr>
                <w:iCs/>
                <w:sz w:val="20"/>
              </w:rPr>
            </w:pPr>
            <w:r w:rsidRPr="0013396E">
              <w:rPr>
                <w:iCs/>
                <w:sz w:val="20"/>
              </w:rPr>
              <w:t>hour</w:t>
            </w:r>
          </w:p>
        </w:tc>
        <w:tc>
          <w:tcPr>
            <w:tcW w:w="3230" w:type="pct"/>
          </w:tcPr>
          <w:p w14:paraId="13357220" w14:textId="77777777" w:rsidR="00326E23" w:rsidRPr="0013396E" w:rsidRDefault="00326E23" w:rsidP="009B2773">
            <w:pPr>
              <w:tabs>
                <w:tab w:val="left" w:pos="2880"/>
              </w:tabs>
              <w:spacing w:after="60"/>
              <w:contextualSpacing/>
              <w:rPr>
                <w:i/>
                <w:iCs/>
                <w:sz w:val="20"/>
              </w:rPr>
            </w:pPr>
            <w:r w:rsidRPr="0013396E">
              <w:rPr>
                <w:i/>
                <w:iCs/>
                <w:sz w:val="20"/>
              </w:rPr>
              <w:t>Number of Hours in the Month per QSE per Resource</w:t>
            </w:r>
            <w:r w:rsidRPr="0013396E">
              <w:rPr>
                <w:iCs/>
                <w:sz w:val="20"/>
              </w:rPr>
              <w:t xml:space="preserve">—The total number of hours in the month, when MRA </w:t>
            </w:r>
            <w:r w:rsidRPr="0013396E">
              <w:rPr>
                <w:i/>
                <w:iCs/>
                <w:sz w:val="20"/>
              </w:rPr>
              <w:t>r</w:t>
            </w:r>
            <w:r w:rsidRPr="0013396E">
              <w:rPr>
                <w:iCs/>
                <w:sz w:val="20"/>
              </w:rPr>
              <w:t xml:space="preserve"> represented by QSE </w:t>
            </w:r>
            <w:r w:rsidRPr="0013396E">
              <w:rPr>
                <w:i/>
                <w:iCs/>
                <w:sz w:val="20"/>
              </w:rPr>
              <w:t>q</w:t>
            </w:r>
            <w:r w:rsidRPr="0013396E">
              <w:rPr>
                <w:iCs/>
                <w:sz w:val="20"/>
              </w:rPr>
              <w:t xml:space="preserve"> is under an MRA Agreement.  Where for a Combined Cycle Train, the Resource </w:t>
            </w:r>
            <w:r w:rsidRPr="0013396E">
              <w:rPr>
                <w:i/>
                <w:iCs/>
                <w:sz w:val="20"/>
              </w:rPr>
              <w:t xml:space="preserve">r </w:t>
            </w:r>
            <w:r w:rsidRPr="0013396E">
              <w:rPr>
                <w:iCs/>
                <w:sz w:val="20"/>
              </w:rPr>
              <w:t>is a Combined Cycle Train.</w:t>
            </w:r>
          </w:p>
        </w:tc>
      </w:tr>
      <w:tr w:rsidR="00326E23" w:rsidRPr="0013396E" w14:paraId="71404900" w14:textId="77777777" w:rsidTr="00E15B46">
        <w:trPr>
          <w:cantSplit/>
          <w:trHeight w:val="251"/>
        </w:trPr>
        <w:tc>
          <w:tcPr>
            <w:tcW w:w="1296" w:type="pct"/>
          </w:tcPr>
          <w:p w14:paraId="24FE32BC" w14:textId="77777777" w:rsidR="00326E23" w:rsidRPr="0013396E" w:rsidRDefault="00326E23" w:rsidP="009B2773">
            <w:pPr>
              <w:spacing w:after="60"/>
              <w:ind w:left="720" w:hanging="720"/>
              <w:rPr>
                <w:sz w:val="20"/>
              </w:rPr>
            </w:pPr>
            <w:r w:rsidRPr="0013396E">
              <w:rPr>
                <w:sz w:val="20"/>
              </w:rPr>
              <w:t xml:space="preserve">CM </w:t>
            </w:r>
            <w:r w:rsidRPr="0013396E">
              <w:rPr>
                <w:i/>
                <w:sz w:val="20"/>
                <w:vertAlign w:val="subscript"/>
              </w:rPr>
              <w:t>q, r, c</w:t>
            </w:r>
          </w:p>
        </w:tc>
        <w:tc>
          <w:tcPr>
            <w:tcW w:w="474" w:type="pct"/>
          </w:tcPr>
          <w:p w14:paraId="46ED214D" w14:textId="77777777" w:rsidR="00326E23" w:rsidRPr="0013396E" w:rsidRDefault="00326E23" w:rsidP="009B2773">
            <w:pPr>
              <w:tabs>
                <w:tab w:val="left" w:pos="2880"/>
              </w:tabs>
              <w:spacing w:after="60"/>
              <w:contextualSpacing/>
              <w:rPr>
                <w:iCs/>
                <w:sz w:val="20"/>
              </w:rPr>
            </w:pPr>
            <w:r w:rsidRPr="0013396E">
              <w:rPr>
                <w:iCs/>
                <w:sz w:val="20"/>
              </w:rPr>
              <w:t>none</w:t>
            </w:r>
          </w:p>
        </w:tc>
        <w:tc>
          <w:tcPr>
            <w:tcW w:w="3230" w:type="pct"/>
          </w:tcPr>
          <w:p w14:paraId="122359FF" w14:textId="77777777" w:rsidR="00326E23" w:rsidRPr="0013396E" w:rsidRDefault="00326E23" w:rsidP="009B2773">
            <w:pPr>
              <w:tabs>
                <w:tab w:val="left" w:pos="2880"/>
              </w:tabs>
              <w:spacing w:after="60"/>
              <w:contextualSpacing/>
              <w:rPr>
                <w:i/>
                <w:iCs/>
                <w:sz w:val="20"/>
              </w:rPr>
            </w:pPr>
            <w:r w:rsidRPr="0013396E">
              <w:rPr>
                <w:iCs/>
                <w:sz w:val="20"/>
              </w:rPr>
              <w:t>The number of months of the MRA Agreement period.</w:t>
            </w:r>
          </w:p>
        </w:tc>
      </w:tr>
      <w:tr w:rsidR="00326E23" w:rsidRPr="0013396E" w14:paraId="60C860DC" w14:textId="77777777" w:rsidTr="00E15B46">
        <w:trPr>
          <w:cantSplit/>
          <w:trHeight w:val="323"/>
        </w:trPr>
        <w:tc>
          <w:tcPr>
            <w:tcW w:w="1296" w:type="pct"/>
          </w:tcPr>
          <w:p w14:paraId="4A3D7C23" w14:textId="77777777" w:rsidR="00326E23" w:rsidRPr="0013396E" w:rsidRDefault="00326E23" w:rsidP="009B2773">
            <w:pPr>
              <w:spacing w:after="60"/>
              <w:rPr>
                <w:iCs/>
                <w:sz w:val="20"/>
              </w:rPr>
            </w:pPr>
            <w:r w:rsidRPr="0013396E">
              <w:rPr>
                <w:iCs/>
                <w:sz w:val="20"/>
              </w:rPr>
              <w:t>M</w:t>
            </w:r>
          </w:p>
        </w:tc>
        <w:tc>
          <w:tcPr>
            <w:tcW w:w="474" w:type="pct"/>
          </w:tcPr>
          <w:p w14:paraId="33D01D5D" w14:textId="77777777" w:rsidR="00326E23" w:rsidRPr="0013396E" w:rsidRDefault="00326E23" w:rsidP="009B2773">
            <w:pPr>
              <w:tabs>
                <w:tab w:val="left" w:pos="2880"/>
              </w:tabs>
              <w:spacing w:after="60"/>
              <w:contextualSpacing/>
              <w:rPr>
                <w:iCs/>
                <w:sz w:val="20"/>
              </w:rPr>
            </w:pPr>
            <w:r w:rsidRPr="0013396E">
              <w:rPr>
                <w:iCs/>
                <w:sz w:val="20"/>
              </w:rPr>
              <w:t>none</w:t>
            </w:r>
          </w:p>
        </w:tc>
        <w:tc>
          <w:tcPr>
            <w:tcW w:w="3230" w:type="pct"/>
          </w:tcPr>
          <w:p w14:paraId="520339AC" w14:textId="77777777" w:rsidR="00326E23" w:rsidRPr="0013396E" w:rsidRDefault="00326E23" w:rsidP="009B2773">
            <w:pPr>
              <w:tabs>
                <w:tab w:val="left" w:pos="2880"/>
              </w:tabs>
              <w:spacing w:after="60"/>
              <w:contextualSpacing/>
              <w:rPr>
                <w:iCs/>
                <w:sz w:val="20"/>
              </w:rPr>
            </w:pPr>
            <w:r w:rsidRPr="0013396E">
              <w:rPr>
                <w:iCs/>
                <w:sz w:val="20"/>
              </w:rPr>
              <w:t>A month in the MRA Agreement period.</w:t>
            </w:r>
          </w:p>
        </w:tc>
      </w:tr>
      <w:tr w:rsidR="00326E23" w:rsidRPr="0013396E" w14:paraId="56D80249" w14:textId="77777777" w:rsidTr="00E15B46">
        <w:trPr>
          <w:cantSplit/>
          <w:trHeight w:val="323"/>
        </w:trPr>
        <w:tc>
          <w:tcPr>
            <w:tcW w:w="1296" w:type="pct"/>
          </w:tcPr>
          <w:p w14:paraId="0238CEE9" w14:textId="77777777" w:rsidR="00326E23" w:rsidRPr="0013396E" w:rsidRDefault="00326E23" w:rsidP="009B2773">
            <w:pPr>
              <w:spacing w:after="60"/>
              <w:rPr>
                <w:iCs/>
                <w:sz w:val="20"/>
              </w:rPr>
            </w:pPr>
            <w:r w:rsidRPr="0013396E">
              <w:rPr>
                <w:iCs/>
                <w:sz w:val="20"/>
              </w:rPr>
              <w:t>D</w:t>
            </w:r>
          </w:p>
        </w:tc>
        <w:tc>
          <w:tcPr>
            <w:tcW w:w="474" w:type="pct"/>
          </w:tcPr>
          <w:p w14:paraId="58668534" w14:textId="77777777" w:rsidR="00326E23" w:rsidRPr="0013396E" w:rsidRDefault="00326E23" w:rsidP="009B2773">
            <w:pPr>
              <w:tabs>
                <w:tab w:val="left" w:pos="2880"/>
              </w:tabs>
              <w:spacing w:after="60"/>
              <w:contextualSpacing/>
              <w:rPr>
                <w:iCs/>
                <w:sz w:val="20"/>
              </w:rPr>
            </w:pPr>
            <w:r w:rsidRPr="0013396E">
              <w:rPr>
                <w:iCs/>
                <w:sz w:val="20"/>
              </w:rPr>
              <w:t>none</w:t>
            </w:r>
          </w:p>
        </w:tc>
        <w:tc>
          <w:tcPr>
            <w:tcW w:w="3230" w:type="pct"/>
          </w:tcPr>
          <w:p w14:paraId="7010FD72" w14:textId="77777777" w:rsidR="00326E23" w:rsidRPr="0013396E" w:rsidRDefault="00326E23" w:rsidP="009B2773">
            <w:pPr>
              <w:tabs>
                <w:tab w:val="left" w:pos="2880"/>
              </w:tabs>
              <w:spacing w:after="60"/>
              <w:contextualSpacing/>
              <w:rPr>
                <w:iCs/>
                <w:sz w:val="20"/>
              </w:rPr>
            </w:pPr>
            <w:r w:rsidRPr="0013396E">
              <w:rPr>
                <w:iCs/>
                <w:sz w:val="20"/>
              </w:rPr>
              <w:t>The number of days in the month.</w:t>
            </w:r>
          </w:p>
        </w:tc>
      </w:tr>
      <w:tr w:rsidR="00326E23" w:rsidRPr="0013396E" w14:paraId="25A5F8C6" w14:textId="77777777" w:rsidTr="00E15B46">
        <w:trPr>
          <w:cantSplit/>
          <w:trHeight w:val="323"/>
        </w:trPr>
        <w:tc>
          <w:tcPr>
            <w:tcW w:w="1296" w:type="pct"/>
          </w:tcPr>
          <w:p w14:paraId="37DC9EBC" w14:textId="77777777" w:rsidR="00326E23" w:rsidRPr="0013396E" w:rsidRDefault="00326E23" w:rsidP="009B2773">
            <w:pPr>
              <w:spacing w:after="60"/>
              <w:rPr>
                <w:i/>
                <w:iCs/>
                <w:sz w:val="20"/>
              </w:rPr>
            </w:pPr>
            <w:r w:rsidRPr="0013396E">
              <w:rPr>
                <w:i/>
                <w:iCs/>
                <w:sz w:val="20"/>
              </w:rPr>
              <w:t>q</w:t>
            </w:r>
          </w:p>
        </w:tc>
        <w:tc>
          <w:tcPr>
            <w:tcW w:w="474" w:type="pct"/>
          </w:tcPr>
          <w:p w14:paraId="25C26193" w14:textId="77777777" w:rsidR="00326E23" w:rsidRPr="0013396E" w:rsidRDefault="00326E23" w:rsidP="009B2773">
            <w:pPr>
              <w:tabs>
                <w:tab w:val="left" w:pos="2880"/>
              </w:tabs>
              <w:spacing w:after="60"/>
              <w:contextualSpacing/>
              <w:rPr>
                <w:iCs/>
                <w:sz w:val="20"/>
              </w:rPr>
            </w:pPr>
            <w:r w:rsidRPr="0013396E">
              <w:rPr>
                <w:iCs/>
                <w:sz w:val="20"/>
              </w:rPr>
              <w:t>none</w:t>
            </w:r>
          </w:p>
        </w:tc>
        <w:tc>
          <w:tcPr>
            <w:tcW w:w="3230" w:type="pct"/>
          </w:tcPr>
          <w:p w14:paraId="2D25FEA0" w14:textId="77777777" w:rsidR="00326E23" w:rsidRPr="0013396E" w:rsidRDefault="00326E23" w:rsidP="009B2773">
            <w:pPr>
              <w:tabs>
                <w:tab w:val="left" w:pos="2880"/>
              </w:tabs>
              <w:spacing w:after="60"/>
              <w:contextualSpacing/>
              <w:rPr>
                <w:iCs/>
                <w:sz w:val="20"/>
              </w:rPr>
            </w:pPr>
            <w:r w:rsidRPr="0013396E">
              <w:rPr>
                <w:iCs/>
                <w:sz w:val="20"/>
              </w:rPr>
              <w:t>A QSE.</w:t>
            </w:r>
          </w:p>
        </w:tc>
      </w:tr>
      <w:tr w:rsidR="00326E23" w:rsidRPr="0013396E" w14:paraId="1B72F1A1" w14:textId="77777777" w:rsidTr="00E15B46">
        <w:trPr>
          <w:cantSplit/>
          <w:trHeight w:val="323"/>
        </w:trPr>
        <w:tc>
          <w:tcPr>
            <w:tcW w:w="1296" w:type="pct"/>
          </w:tcPr>
          <w:p w14:paraId="6B4583B1" w14:textId="77777777" w:rsidR="00326E23" w:rsidRPr="0013396E" w:rsidRDefault="00326E23" w:rsidP="009B2773">
            <w:pPr>
              <w:spacing w:after="60"/>
              <w:rPr>
                <w:i/>
                <w:iCs/>
                <w:sz w:val="20"/>
              </w:rPr>
            </w:pPr>
            <w:r w:rsidRPr="0013396E">
              <w:rPr>
                <w:i/>
                <w:iCs/>
                <w:sz w:val="20"/>
              </w:rPr>
              <w:t>c</w:t>
            </w:r>
          </w:p>
        </w:tc>
        <w:tc>
          <w:tcPr>
            <w:tcW w:w="474" w:type="pct"/>
          </w:tcPr>
          <w:p w14:paraId="64DA0D3E" w14:textId="77777777" w:rsidR="00326E23" w:rsidRPr="0013396E" w:rsidRDefault="00326E23" w:rsidP="009B2773">
            <w:pPr>
              <w:tabs>
                <w:tab w:val="left" w:pos="2880"/>
              </w:tabs>
              <w:spacing w:after="60"/>
              <w:contextualSpacing/>
              <w:rPr>
                <w:iCs/>
                <w:sz w:val="20"/>
              </w:rPr>
            </w:pPr>
            <w:r w:rsidRPr="0013396E">
              <w:rPr>
                <w:iCs/>
                <w:sz w:val="20"/>
              </w:rPr>
              <w:t>none</w:t>
            </w:r>
          </w:p>
        </w:tc>
        <w:tc>
          <w:tcPr>
            <w:tcW w:w="3230" w:type="pct"/>
          </w:tcPr>
          <w:p w14:paraId="1C3AEBC0" w14:textId="77777777" w:rsidR="00326E23" w:rsidRPr="0013396E" w:rsidRDefault="00326E23" w:rsidP="009B2773">
            <w:pPr>
              <w:tabs>
                <w:tab w:val="left" w:pos="2880"/>
              </w:tabs>
              <w:spacing w:after="60"/>
              <w:contextualSpacing/>
              <w:rPr>
                <w:iCs/>
                <w:sz w:val="20"/>
              </w:rPr>
            </w:pPr>
            <w:r w:rsidRPr="0013396E">
              <w:rPr>
                <w:iCs/>
                <w:sz w:val="20"/>
              </w:rPr>
              <w:t>An MRA Agreement.</w:t>
            </w:r>
          </w:p>
        </w:tc>
      </w:tr>
      <w:tr w:rsidR="00326E23" w:rsidRPr="0013396E" w14:paraId="19535E24" w14:textId="77777777" w:rsidTr="00E15B46">
        <w:trPr>
          <w:cantSplit/>
          <w:trHeight w:val="323"/>
        </w:trPr>
        <w:tc>
          <w:tcPr>
            <w:tcW w:w="1296" w:type="pct"/>
          </w:tcPr>
          <w:p w14:paraId="23AC6EE7" w14:textId="77777777" w:rsidR="00326E23" w:rsidRPr="0013396E" w:rsidRDefault="00326E23" w:rsidP="009B2773">
            <w:pPr>
              <w:spacing w:after="60"/>
              <w:rPr>
                <w:i/>
                <w:iCs/>
                <w:sz w:val="20"/>
              </w:rPr>
            </w:pPr>
            <w:r w:rsidRPr="0013396E">
              <w:rPr>
                <w:i/>
                <w:iCs/>
                <w:sz w:val="20"/>
              </w:rPr>
              <w:t>r</w:t>
            </w:r>
          </w:p>
        </w:tc>
        <w:tc>
          <w:tcPr>
            <w:tcW w:w="474" w:type="pct"/>
          </w:tcPr>
          <w:p w14:paraId="29275D59" w14:textId="77777777" w:rsidR="00326E23" w:rsidRPr="0013396E" w:rsidRDefault="00326E23" w:rsidP="009B2773">
            <w:pPr>
              <w:tabs>
                <w:tab w:val="left" w:pos="2880"/>
              </w:tabs>
              <w:spacing w:after="60"/>
              <w:contextualSpacing/>
              <w:rPr>
                <w:iCs/>
                <w:sz w:val="20"/>
              </w:rPr>
            </w:pPr>
            <w:r w:rsidRPr="0013396E">
              <w:rPr>
                <w:iCs/>
                <w:sz w:val="20"/>
              </w:rPr>
              <w:t>none</w:t>
            </w:r>
          </w:p>
        </w:tc>
        <w:tc>
          <w:tcPr>
            <w:tcW w:w="3230" w:type="pct"/>
          </w:tcPr>
          <w:p w14:paraId="6634F978" w14:textId="77777777" w:rsidR="00326E23" w:rsidRPr="0013396E" w:rsidRDefault="00326E23" w:rsidP="009B2773">
            <w:pPr>
              <w:tabs>
                <w:tab w:val="left" w:pos="2880"/>
              </w:tabs>
              <w:spacing w:after="60"/>
              <w:contextualSpacing/>
              <w:rPr>
                <w:iCs/>
                <w:sz w:val="20"/>
              </w:rPr>
            </w:pPr>
            <w:r w:rsidRPr="0013396E">
              <w:rPr>
                <w:iCs/>
                <w:sz w:val="20"/>
              </w:rPr>
              <w:t>An MRA.</w:t>
            </w:r>
          </w:p>
        </w:tc>
      </w:tr>
    </w:tbl>
    <w:p w14:paraId="2E4F53FC" w14:textId="77777777" w:rsidR="005C6D56" w:rsidRPr="0013396E" w:rsidRDefault="005C6D56"/>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82"/>
      </w:tblGrid>
      <w:tr w:rsidR="005C6D56" w:rsidRPr="0013396E" w14:paraId="10D58557" w14:textId="77777777" w:rsidTr="005C6D56">
        <w:trPr>
          <w:trHeight w:val="206"/>
        </w:trPr>
        <w:tc>
          <w:tcPr>
            <w:tcW w:w="5000" w:type="pct"/>
            <w:shd w:val="pct12" w:color="auto" w:fill="auto"/>
          </w:tcPr>
          <w:p w14:paraId="3455BA46" w14:textId="6B54341A" w:rsidR="005C6D56" w:rsidRPr="0013396E" w:rsidRDefault="005C6D56" w:rsidP="00CE1011">
            <w:pPr>
              <w:pStyle w:val="Instructions"/>
              <w:spacing w:before="120"/>
            </w:pPr>
            <w:bookmarkStart w:id="2002" w:name="_Toc463262802"/>
            <w:bookmarkStart w:id="2003" w:name="_Toc468286875"/>
            <w:bookmarkStart w:id="2004" w:name="_Toc481502915"/>
            <w:bookmarkStart w:id="2005" w:name="_Toc496080083"/>
            <w:r w:rsidRPr="0013396E">
              <w:t>[NPRR885</w:t>
            </w:r>
            <w:r w:rsidR="00086215" w:rsidRPr="0013396E">
              <w:t xml:space="preserve"> and NPRR1256</w:t>
            </w:r>
            <w:r w:rsidRPr="0013396E">
              <w:t xml:space="preserve">:  Insert </w:t>
            </w:r>
            <w:r w:rsidR="00086215" w:rsidRPr="0013396E">
              <w:t xml:space="preserve">applicable portions of </w:t>
            </w:r>
            <w:r w:rsidRPr="0013396E">
              <w:t>Section 6.6.6.7 below upon system implementation</w:t>
            </w:r>
            <w:r w:rsidR="00086215" w:rsidRPr="0013396E">
              <w:t xml:space="preserve"> for NPRR885; or upon system implementation of NPRR885 and upon system implementation for NPRR1256</w:t>
            </w:r>
            <w:r w:rsidRPr="0013396E">
              <w:t>:]</w:t>
            </w:r>
          </w:p>
          <w:p w14:paraId="57D7CD18" w14:textId="77777777" w:rsidR="005C6D56" w:rsidRPr="0013396E" w:rsidRDefault="005C6D56" w:rsidP="005C6D56">
            <w:pPr>
              <w:keepNext/>
              <w:widowControl w:val="0"/>
              <w:tabs>
                <w:tab w:val="left" w:pos="1260"/>
              </w:tabs>
              <w:spacing w:before="240" w:after="240"/>
              <w:ind w:left="1260" w:hanging="1260"/>
              <w:outlineLvl w:val="3"/>
              <w:rPr>
                <w:b/>
                <w:bCs/>
                <w:snapToGrid w:val="0"/>
                <w:color w:val="000000"/>
              </w:rPr>
            </w:pPr>
            <w:bookmarkStart w:id="2006" w:name="_Toc17798754"/>
            <w:bookmarkStart w:id="2007" w:name="_Toc214879000"/>
            <w:r w:rsidRPr="0013396E">
              <w:rPr>
                <w:b/>
                <w:bCs/>
                <w:snapToGrid w:val="0"/>
                <w:color w:val="000000"/>
              </w:rPr>
              <w:t>6.6.6.7</w:t>
            </w:r>
            <w:r w:rsidRPr="0013396E">
              <w:rPr>
                <w:b/>
                <w:bCs/>
                <w:snapToGrid w:val="0"/>
                <w:color w:val="000000"/>
              </w:rPr>
              <w:tab/>
              <w:t>MRA Standby Payment</w:t>
            </w:r>
            <w:bookmarkEnd w:id="2006"/>
            <w:bookmarkEnd w:id="2007"/>
          </w:p>
          <w:p w14:paraId="0CE3FE5E" w14:textId="77777777" w:rsidR="005C6D56" w:rsidRPr="0013396E" w:rsidRDefault="005C6D56" w:rsidP="005C6D56">
            <w:pPr>
              <w:spacing w:after="240"/>
              <w:ind w:left="720" w:hanging="720"/>
              <w:rPr>
                <w:iCs/>
              </w:rPr>
            </w:pPr>
            <w:r w:rsidRPr="0013396E">
              <w:rPr>
                <w:iCs/>
              </w:rPr>
              <w:t>(1)</w:t>
            </w:r>
            <w:r w:rsidRPr="0013396E">
              <w:rPr>
                <w:iCs/>
              </w:rPr>
              <w:tab/>
              <w:t xml:space="preserve">The Standby Payment for MRA Service is paid to each QSE representing an MRA for each MRA Contracted Hour under performance requirements set forth in Section 22, Attachment </w:t>
            </w:r>
            <w:r w:rsidR="00D56763" w:rsidRPr="0013396E">
              <w:rPr>
                <w:iCs/>
              </w:rPr>
              <w:t>N</w:t>
            </w:r>
            <w:r w:rsidRPr="0013396E">
              <w:rPr>
                <w:iCs/>
              </w:rPr>
              <w:t xml:space="preserve">, Standard Form Must-Run Alternative Agreement, the MRA Request for Proposal (RFP), and the Protocols.  </w:t>
            </w:r>
          </w:p>
          <w:p w14:paraId="21A21E2A" w14:textId="77777777" w:rsidR="005C6D56" w:rsidRPr="0013396E" w:rsidRDefault="005C6D56" w:rsidP="005C6D56">
            <w:pPr>
              <w:spacing w:after="240"/>
              <w:ind w:left="720" w:hanging="720"/>
              <w:rPr>
                <w:iCs/>
              </w:rPr>
            </w:pPr>
            <w:r w:rsidRPr="0013396E">
              <w:rPr>
                <w:bCs/>
                <w:iCs/>
                <w:color w:val="000000"/>
                <w:lang w:val="pt-BR"/>
              </w:rPr>
              <w:t>(2)</w:t>
            </w:r>
            <w:r w:rsidRPr="0013396E">
              <w:rPr>
                <w:bCs/>
                <w:iCs/>
                <w:color w:val="000000"/>
                <w:lang w:val="pt-BR"/>
              </w:rPr>
              <w:tab/>
              <w:t>The standby payment to each QSE representing a Generation Resource MRA registered is calculated as follows for each hour:</w:t>
            </w:r>
          </w:p>
          <w:p w14:paraId="636BE5B5" w14:textId="2C316ADA" w:rsidR="005C6D56" w:rsidRPr="0013396E" w:rsidRDefault="005C6D56" w:rsidP="005C6D56">
            <w:pPr>
              <w:tabs>
                <w:tab w:val="left" w:pos="2340"/>
                <w:tab w:val="left" w:pos="3420"/>
              </w:tabs>
              <w:spacing w:after="240"/>
              <w:ind w:left="2880" w:hanging="2160"/>
              <w:rPr>
                <w:bCs/>
                <w:i/>
                <w:szCs w:val="24"/>
                <w:vertAlign w:val="subscript"/>
                <w:lang w:val="pt-BR"/>
              </w:rPr>
            </w:pPr>
            <w:r w:rsidRPr="0013396E">
              <w:rPr>
                <w:bCs/>
                <w:szCs w:val="24"/>
                <w:lang w:val="pt-BR"/>
              </w:rPr>
              <w:t xml:space="preserve">MRASBAMT </w:t>
            </w:r>
            <w:r w:rsidRPr="0013396E">
              <w:rPr>
                <w:bCs/>
                <w:i/>
                <w:szCs w:val="24"/>
                <w:vertAlign w:val="subscript"/>
                <w:lang w:val="pt-BR"/>
              </w:rPr>
              <w:t xml:space="preserve">q, r, h  </w:t>
            </w:r>
            <w:r w:rsidRPr="0013396E">
              <w:rPr>
                <w:bCs/>
                <w:szCs w:val="24"/>
                <w:lang w:val="pt-BR"/>
              </w:rPr>
              <w:t xml:space="preserve">=  (-1) * MRASBPR </w:t>
            </w:r>
            <w:r w:rsidRPr="0013396E">
              <w:rPr>
                <w:bCs/>
                <w:i/>
                <w:szCs w:val="24"/>
                <w:vertAlign w:val="subscript"/>
                <w:lang w:val="pt-BR"/>
              </w:rPr>
              <w:t xml:space="preserve">q, r, m </w:t>
            </w:r>
            <w:r w:rsidRPr="0013396E">
              <w:rPr>
                <w:bCs/>
                <w:szCs w:val="24"/>
                <w:lang w:val="pt-BR"/>
              </w:rPr>
              <w:t>* MRACCAP</w:t>
            </w:r>
            <w:r w:rsidRPr="0013396E">
              <w:rPr>
                <w:bCs/>
                <w:i/>
                <w:szCs w:val="24"/>
                <w:vertAlign w:val="subscript"/>
                <w:lang w:val="pt-BR"/>
              </w:rPr>
              <w:t xml:space="preserve"> q, r, m </w:t>
            </w:r>
            <w:r w:rsidRPr="0013396E">
              <w:rPr>
                <w:bCs/>
                <w:szCs w:val="24"/>
                <w:lang w:val="pt-BR"/>
              </w:rPr>
              <w:t xml:space="preserve">* MRACRF </w:t>
            </w:r>
            <w:r w:rsidRPr="0013396E">
              <w:rPr>
                <w:bCs/>
                <w:i/>
                <w:szCs w:val="24"/>
                <w:vertAlign w:val="subscript"/>
                <w:lang w:val="pt-BR"/>
              </w:rPr>
              <w:t xml:space="preserve">q, r, m </w:t>
            </w:r>
            <w:r w:rsidRPr="0013396E">
              <w:rPr>
                <w:bCs/>
                <w:szCs w:val="24"/>
                <w:lang w:val="pt-BR"/>
              </w:rPr>
              <w:t>* MRAARF</w:t>
            </w:r>
            <w:r w:rsidRPr="0013396E">
              <w:rPr>
                <w:bCs/>
                <w:i/>
                <w:szCs w:val="24"/>
                <w:vertAlign w:val="subscript"/>
                <w:lang w:val="pt-BR"/>
              </w:rPr>
              <w:t xml:space="preserve"> q, r, m</w:t>
            </w:r>
          </w:p>
          <w:p w14:paraId="3D58304A" w14:textId="77777777" w:rsidR="005C6D56" w:rsidRPr="0013396E" w:rsidRDefault="005C6D56" w:rsidP="005C6D56">
            <w:pPr>
              <w:tabs>
                <w:tab w:val="left" w:pos="2340"/>
                <w:tab w:val="left" w:pos="3420"/>
              </w:tabs>
              <w:spacing w:after="240"/>
              <w:rPr>
                <w:bCs/>
                <w:szCs w:val="24"/>
                <w:lang w:val="pt-BR"/>
              </w:rPr>
            </w:pPr>
            <w:r w:rsidRPr="0013396E">
              <w:rPr>
                <w:bCs/>
                <w:szCs w:val="24"/>
                <w:lang w:val="pt-BR"/>
              </w:rPr>
              <w:t>Where:</w:t>
            </w:r>
          </w:p>
          <w:p w14:paraId="7B41510F" w14:textId="776A5AB8" w:rsidR="005C6D56" w:rsidRPr="0013396E" w:rsidRDefault="005C6D56" w:rsidP="005C6D56">
            <w:pPr>
              <w:tabs>
                <w:tab w:val="left" w:pos="2340"/>
                <w:tab w:val="left" w:pos="3420"/>
              </w:tabs>
              <w:spacing w:after="240"/>
              <w:ind w:left="2880" w:hanging="2160"/>
              <w:rPr>
                <w:bCs/>
                <w:szCs w:val="24"/>
                <w:lang w:val="pt-BR"/>
              </w:rPr>
            </w:pPr>
            <w:r w:rsidRPr="0013396E">
              <w:rPr>
                <w:bCs/>
                <w:szCs w:val="24"/>
                <w:lang w:val="pt-BR"/>
              </w:rPr>
              <w:t xml:space="preserve">MRACRF </w:t>
            </w:r>
            <w:r w:rsidRPr="0013396E">
              <w:rPr>
                <w:bCs/>
                <w:i/>
                <w:szCs w:val="24"/>
                <w:vertAlign w:val="subscript"/>
                <w:lang w:val="pt-BR"/>
              </w:rPr>
              <w:t>q, r, m</w:t>
            </w:r>
            <w:r w:rsidRPr="0013396E">
              <w:rPr>
                <w:bCs/>
                <w:szCs w:val="24"/>
                <w:lang w:val="pt-BR"/>
              </w:rPr>
              <w:t xml:space="preserve">  = (MRATCAP </w:t>
            </w:r>
            <w:r w:rsidRPr="0013396E">
              <w:rPr>
                <w:bCs/>
                <w:i/>
                <w:szCs w:val="24"/>
                <w:vertAlign w:val="subscript"/>
                <w:lang w:val="pt-BR"/>
              </w:rPr>
              <w:t>q, r, m</w:t>
            </w:r>
            <w:r w:rsidRPr="0013396E">
              <w:rPr>
                <w:bCs/>
                <w:szCs w:val="24"/>
                <w:lang w:val="pt-BR"/>
              </w:rPr>
              <w:t xml:space="preserve">  + MRATCAPA </w:t>
            </w:r>
            <w:r w:rsidRPr="0013396E">
              <w:rPr>
                <w:bCs/>
                <w:i/>
                <w:szCs w:val="24"/>
                <w:vertAlign w:val="subscript"/>
                <w:lang w:val="pt-BR"/>
              </w:rPr>
              <w:t>q, r, m</w:t>
            </w:r>
            <w:r w:rsidRPr="0013396E">
              <w:rPr>
                <w:bCs/>
                <w:szCs w:val="24"/>
                <w:lang w:val="pt-BR"/>
              </w:rPr>
              <w:t xml:space="preserve">) /MRACCAP </w:t>
            </w:r>
            <w:r w:rsidRPr="0013396E">
              <w:rPr>
                <w:bCs/>
                <w:i/>
                <w:szCs w:val="24"/>
                <w:vertAlign w:val="subscript"/>
                <w:lang w:val="pt-BR"/>
              </w:rPr>
              <w:t>q, r, m</w:t>
            </w:r>
          </w:p>
          <w:p w14:paraId="34092A97" w14:textId="77777777" w:rsidR="00086215" w:rsidRPr="0013396E" w:rsidRDefault="00086215" w:rsidP="00086215">
            <w:pPr>
              <w:spacing w:after="240"/>
              <w:ind w:left="720" w:hanging="720"/>
              <w:rPr>
                <w:iCs/>
              </w:rPr>
            </w:pPr>
            <w:r w:rsidRPr="0013396E">
              <w:rPr>
                <w:bCs/>
                <w:iCs/>
                <w:color w:val="000000"/>
                <w:lang w:val="pt-BR"/>
              </w:rPr>
              <w:t>(3)</w:t>
            </w:r>
            <w:r w:rsidRPr="0013396E">
              <w:rPr>
                <w:bCs/>
                <w:iCs/>
                <w:color w:val="000000"/>
                <w:lang w:val="pt-BR"/>
              </w:rPr>
              <w:tab/>
              <w:t>The standby payment to each QSE representing an Energy Storage Resource (ESR) MRA registered is calculated as follows for each hour:</w:t>
            </w:r>
          </w:p>
          <w:p w14:paraId="5EB3A1B8" w14:textId="77777777" w:rsidR="00086215" w:rsidRPr="0013396E" w:rsidRDefault="00086215" w:rsidP="00086215">
            <w:pPr>
              <w:tabs>
                <w:tab w:val="left" w:pos="2340"/>
                <w:tab w:val="left" w:pos="3420"/>
              </w:tabs>
              <w:spacing w:after="240"/>
              <w:ind w:left="2880" w:hanging="2160"/>
              <w:rPr>
                <w:bCs/>
                <w:i/>
                <w:vertAlign w:val="subscript"/>
                <w:lang w:val="pt-BR"/>
              </w:rPr>
            </w:pPr>
            <w:r w:rsidRPr="0013396E">
              <w:rPr>
                <w:bCs/>
                <w:lang w:val="pt-BR"/>
              </w:rPr>
              <w:t xml:space="preserve">MRASBAMT </w:t>
            </w:r>
            <w:r w:rsidRPr="0013396E">
              <w:rPr>
                <w:bCs/>
                <w:i/>
                <w:vertAlign w:val="subscript"/>
                <w:lang w:val="pt-BR"/>
              </w:rPr>
              <w:t xml:space="preserve">q, r, h  </w:t>
            </w:r>
            <w:r w:rsidRPr="0013396E">
              <w:rPr>
                <w:bCs/>
                <w:lang w:val="pt-BR"/>
              </w:rPr>
              <w:t xml:space="preserve">=  (-1) * MRASBPR </w:t>
            </w:r>
            <w:r w:rsidRPr="0013396E">
              <w:rPr>
                <w:bCs/>
                <w:i/>
                <w:vertAlign w:val="subscript"/>
                <w:lang w:val="pt-BR"/>
              </w:rPr>
              <w:t xml:space="preserve">q, r, m </w:t>
            </w:r>
            <w:r w:rsidRPr="0013396E">
              <w:rPr>
                <w:bCs/>
                <w:lang w:val="pt-BR"/>
              </w:rPr>
              <w:t>* MRACCAP</w:t>
            </w:r>
            <w:r w:rsidRPr="0013396E">
              <w:rPr>
                <w:bCs/>
                <w:i/>
                <w:vertAlign w:val="subscript"/>
                <w:lang w:val="pt-BR"/>
              </w:rPr>
              <w:t xml:space="preserve"> q, r, m </w:t>
            </w:r>
            <w:r w:rsidRPr="0013396E">
              <w:rPr>
                <w:bCs/>
                <w:lang w:val="pt-BR"/>
              </w:rPr>
              <w:t xml:space="preserve">* MRACRF </w:t>
            </w:r>
            <w:r w:rsidRPr="0013396E">
              <w:rPr>
                <w:bCs/>
                <w:i/>
                <w:vertAlign w:val="subscript"/>
                <w:lang w:val="pt-BR"/>
              </w:rPr>
              <w:t xml:space="preserve">q, r, m </w:t>
            </w:r>
            <w:r w:rsidRPr="0013396E">
              <w:rPr>
                <w:bCs/>
                <w:lang w:val="pt-BR"/>
              </w:rPr>
              <w:t>* MRAARF</w:t>
            </w:r>
            <w:r w:rsidRPr="0013396E">
              <w:rPr>
                <w:bCs/>
                <w:i/>
                <w:vertAlign w:val="subscript"/>
                <w:lang w:val="pt-BR"/>
              </w:rPr>
              <w:t xml:space="preserve"> q, r, m </w:t>
            </w:r>
            <w:r w:rsidRPr="0013396E">
              <w:rPr>
                <w:bCs/>
                <w:lang w:val="pt-BR"/>
              </w:rPr>
              <w:t xml:space="preserve">* MRAESRERF </w:t>
            </w:r>
            <w:r w:rsidRPr="0013396E">
              <w:rPr>
                <w:bCs/>
                <w:i/>
                <w:vertAlign w:val="subscript"/>
                <w:lang w:val="pt-BR"/>
              </w:rPr>
              <w:t>q, r, h</w:t>
            </w:r>
          </w:p>
          <w:p w14:paraId="2C4FF8E5" w14:textId="77777777" w:rsidR="00086215" w:rsidRPr="0013396E" w:rsidRDefault="00086215" w:rsidP="00086215">
            <w:pPr>
              <w:tabs>
                <w:tab w:val="left" w:pos="2340"/>
                <w:tab w:val="left" w:pos="3420"/>
              </w:tabs>
              <w:spacing w:after="240"/>
              <w:rPr>
                <w:bCs/>
                <w:lang w:val="pt-BR"/>
              </w:rPr>
            </w:pPr>
            <w:r w:rsidRPr="0013396E">
              <w:rPr>
                <w:bCs/>
                <w:lang w:val="pt-BR"/>
              </w:rPr>
              <w:t>Where:</w:t>
            </w:r>
          </w:p>
          <w:p w14:paraId="130C35FF" w14:textId="77777777" w:rsidR="00086215" w:rsidRPr="0013396E" w:rsidRDefault="00086215" w:rsidP="00086215">
            <w:pPr>
              <w:tabs>
                <w:tab w:val="left" w:pos="2340"/>
                <w:tab w:val="left" w:pos="3420"/>
              </w:tabs>
              <w:spacing w:after="240"/>
              <w:ind w:left="2880" w:hanging="2160"/>
              <w:rPr>
                <w:bCs/>
                <w:lang w:val="pt-BR"/>
              </w:rPr>
            </w:pPr>
            <w:r w:rsidRPr="0013396E">
              <w:rPr>
                <w:bCs/>
                <w:lang w:val="pt-BR"/>
              </w:rPr>
              <w:lastRenderedPageBreak/>
              <w:t xml:space="preserve">MRACRF </w:t>
            </w:r>
            <w:r w:rsidRPr="0013396E">
              <w:rPr>
                <w:bCs/>
                <w:i/>
                <w:vertAlign w:val="subscript"/>
                <w:lang w:val="pt-BR"/>
              </w:rPr>
              <w:t>q, r, m</w:t>
            </w:r>
            <w:r w:rsidRPr="0013396E">
              <w:rPr>
                <w:bCs/>
                <w:lang w:val="pt-BR"/>
              </w:rPr>
              <w:t xml:space="preserve">  = (MRATCAP </w:t>
            </w:r>
            <w:r w:rsidRPr="0013396E">
              <w:rPr>
                <w:bCs/>
                <w:i/>
                <w:vertAlign w:val="subscript"/>
                <w:lang w:val="pt-BR"/>
              </w:rPr>
              <w:t>q, r, m</w:t>
            </w:r>
            <w:r w:rsidRPr="0013396E">
              <w:rPr>
                <w:bCs/>
                <w:lang w:val="pt-BR"/>
              </w:rPr>
              <w:t xml:space="preserve"> + MRATCAPA </w:t>
            </w:r>
            <w:r w:rsidRPr="0013396E">
              <w:rPr>
                <w:bCs/>
                <w:i/>
                <w:vertAlign w:val="subscript"/>
                <w:lang w:val="pt-BR"/>
              </w:rPr>
              <w:t>q, r, m</w:t>
            </w:r>
            <w:r w:rsidRPr="0013396E">
              <w:rPr>
                <w:bCs/>
                <w:lang w:val="pt-BR"/>
              </w:rPr>
              <w:t xml:space="preserve">) / MRACCAP </w:t>
            </w:r>
            <w:r w:rsidRPr="0013396E">
              <w:rPr>
                <w:bCs/>
                <w:i/>
                <w:vertAlign w:val="subscript"/>
                <w:lang w:val="pt-BR"/>
              </w:rPr>
              <w:t>q, r, m</w:t>
            </w:r>
            <w:r w:rsidRPr="0013396E">
              <w:rPr>
                <w:bCs/>
                <w:lang w:val="pt-BR"/>
              </w:rPr>
              <w:t xml:space="preserve"> </w:t>
            </w:r>
          </w:p>
          <w:p w14:paraId="56803214" w14:textId="77777777" w:rsidR="00086215" w:rsidRPr="0013396E" w:rsidRDefault="00086215" w:rsidP="00086215">
            <w:pPr>
              <w:tabs>
                <w:tab w:val="left" w:pos="2340"/>
                <w:tab w:val="left" w:pos="3420"/>
              </w:tabs>
              <w:spacing w:after="240"/>
              <w:rPr>
                <w:lang w:val="pt-BR"/>
              </w:rPr>
            </w:pPr>
            <w:r w:rsidRPr="0013396E">
              <w:rPr>
                <w:lang w:val="pt-BR"/>
              </w:rPr>
              <w:t>And,</w:t>
            </w:r>
          </w:p>
          <w:p w14:paraId="0F0E1D2F" w14:textId="77777777" w:rsidR="00086215" w:rsidRPr="0013396E" w:rsidRDefault="00086215" w:rsidP="00086215">
            <w:pPr>
              <w:tabs>
                <w:tab w:val="left" w:pos="2340"/>
                <w:tab w:val="left" w:pos="3420"/>
              </w:tabs>
              <w:spacing w:after="240"/>
              <w:ind w:left="2880" w:hanging="2160"/>
              <w:rPr>
                <w:bCs/>
                <w:lang w:val="pt-BR"/>
              </w:rPr>
            </w:pPr>
            <w:r w:rsidRPr="0013396E">
              <w:rPr>
                <w:bCs/>
                <w:lang w:val="pt-BR"/>
              </w:rPr>
              <w:t xml:space="preserve">MRAESRERF </w:t>
            </w:r>
            <w:r w:rsidRPr="0013396E">
              <w:rPr>
                <w:bCs/>
                <w:i/>
                <w:vertAlign w:val="subscript"/>
                <w:lang w:val="pt-BR"/>
              </w:rPr>
              <w:t>q, r, h</w:t>
            </w:r>
            <w:r w:rsidRPr="0013396E">
              <w:rPr>
                <w:bCs/>
                <w:lang w:val="pt-BR"/>
              </w:rPr>
              <w:t xml:space="preserve">  = Min [1, (MRAHOSOC</w:t>
            </w:r>
            <w:r w:rsidRPr="0013396E">
              <w:rPr>
                <w:bCs/>
                <w:i/>
                <w:vertAlign w:val="subscript"/>
                <w:lang w:val="pt-BR"/>
              </w:rPr>
              <w:t xml:space="preserve"> q, r, b, m</w:t>
            </w:r>
            <w:r w:rsidRPr="0013396E">
              <w:rPr>
                <w:bCs/>
                <w:lang w:val="pt-BR"/>
              </w:rPr>
              <w:t xml:space="preserve">) / (MRACCAP </w:t>
            </w:r>
            <w:r w:rsidRPr="0013396E">
              <w:rPr>
                <w:bCs/>
                <w:i/>
                <w:vertAlign w:val="subscript"/>
                <w:lang w:val="pt-BR"/>
              </w:rPr>
              <w:t xml:space="preserve">q, r, m  </w:t>
            </w:r>
            <w:r w:rsidRPr="0013396E">
              <w:rPr>
                <w:bCs/>
                <w:lang w:val="pt-BR"/>
              </w:rPr>
              <w:t>* MRABHO</w:t>
            </w:r>
            <w:r w:rsidRPr="0013396E">
              <w:rPr>
                <w:bCs/>
                <w:i/>
                <w:vertAlign w:val="subscript"/>
                <w:lang w:val="pt-BR"/>
              </w:rPr>
              <w:t xml:space="preserve"> q, r, b, m</w:t>
            </w:r>
            <w:r w:rsidRPr="0013396E">
              <w:rPr>
                <w:bCs/>
                <w:lang w:val="pt-BR"/>
              </w:rPr>
              <w:t>)]</w:t>
            </w:r>
          </w:p>
          <w:p w14:paraId="13CFA5E9" w14:textId="632B2653" w:rsidR="005C6D56" w:rsidRPr="0013396E" w:rsidRDefault="005C6D56" w:rsidP="005C6D56">
            <w:pPr>
              <w:spacing w:after="240"/>
              <w:ind w:left="720" w:hanging="720"/>
              <w:rPr>
                <w:iCs/>
              </w:rPr>
            </w:pPr>
            <w:r w:rsidRPr="0013396E">
              <w:rPr>
                <w:iCs/>
              </w:rPr>
              <w:t>(</w:t>
            </w:r>
            <w:r w:rsidR="00086215" w:rsidRPr="0013396E">
              <w:rPr>
                <w:iCs/>
              </w:rPr>
              <w:t>4</w:t>
            </w:r>
            <w:r w:rsidRPr="0013396E">
              <w:rPr>
                <w:iCs/>
              </w:rPr>
              <w:t>)</w:t>
            </w:r>
            <w:r w:rsidRPr="0013396E">
              <w:rPr>
                <w:iCs/>
              </w:rPr>
              <w:tab/>
              <w:t>The standby payment to each QSE representing an Other Generation MRA or Demand Response MRA is calculated as follows for each hour:</w:t>
            </w:r>
          </w:p>
          <w:p w14:paraId="201CA00E" w14:textId="77777777" w:rsidR="005C6D56" w:rsidRPr="0013396E" w:rsidRDefault="005C6D56" w:rsidP="005C6D56">
            <w:pPr>
              <w:tabs>
                <w:tab w:val="left" w:pos="2340"/>
                <w:tab w:val="left" w:pos="3420"/>
              </w:tabs>
              <w:spacing w:after="240"/>
              <w:ind w:left="2880" w:hanging="2160"/>
              <w:rPr>
                <w:bCs/>
                <w:i/>
                <w:szCs w:val="24"/>
                <w:vertAlign w:val="subscript"/>
                <w:lang w:val="pt-BR"/>
              </w:rPr>
            </w:pPr>
            <w:r w:rsidRPr="0013396E">
              <w:rPr>
                <w:bCs/>
                <w:szCs w:val="24"/>
                <w:lang w:val="pt-BR"/>
              </w:rPr>
              <w:t xml:space="preserve">MRASBAMT </w:t>
            </w:r>
            <w:r w:rsidRPr="0013396E">
              <w:rPr>
                <w:bCs/>
                <w:i/>
                <w:szCs w:val="24"/>
                <w:vertAlign w:val="subscript"/>
                <w:lang w:val="pt-BR"/>
              </w:rPr>
              <w:t xml:space="preserve">q, r, h  </w:t>
            </w:r>
            <w:r w:rsidRPr="0013396E">
              <w:rPr>
                <w:bCs/>
                <w:szCs w:val="24"/>
                <w:lang w:val="pt-BR"/>
              </w:rPr>
              <w:t xml:space="preserve">=  (-1) * MRASBPR </w:t>
            </w:r>
            <w:r w:rsidRPr="0013396E">
              <w:rPr>
                <w:bCs/>
                <w:i/>
                <w:szCs w:val="24"/>
                <w:vertAlign w:val="subscript"/>
                <w:lang w:val="pt-BR"/>
              </w:rPr>
              <w:t xml:space="preserve">q, r, m </w:t>
            </w:r>
            <w:r w:rsidRPr="0013396E">
              <w:rPr>
                <w:bCs/>
                <w:szCs w:val="24"/>
                <w:lang w:val="pt-BR"/>
              </w:rPr>
              <w:t>* MRACCAP</w:t>
            </w:r>
            <w:r w:rsidRPr="0013396E">
              <w:rPr>
                <w:bCs/>
                <w:i/>
                <w:szCs w:val="24"/>
                <w:vertAlign w:val="subscript"/>
                <w:lang w:val="pt-BR"/>
              </w:rPr>
              <w:t xml:space="preserve"> q, r, m  </w:t>
            </w:r>
            <w:r w:rsidRPr="0013396E">
              <w:rPr>
                <w:bCs/>
                <w:szCs w:val="24"/>
                <w:lang w:val="pt-BR"/>
              </w:rPr>
              <w:t>* MRAEPRF</w:t>
            </w:r>
            <w:r w:rsidRPr="0013396E">
              <w:rPr>
                <w:bCs/>
                <w:szCs w:val="24"/>
                <w:vertAlign w:val="subscript"/>
                <w:lang w:val="pt-BR"/>
              </w:rPr>
              <w:t xml:space="preserve"> </w:t>
            </w:r>
            <w:r w:rsidRPr="0013396E">
              <w:rPr>
                <w:bCs/>
                <w:i/>
                <w:szCs w:val="24"/>
                <w:vertAlign w:val="subscript"/>
                <w:lang w:val="pt-BR"/>
              </w:rPr>
              <w:t>q, r, m</w:t>
            </w:r>
            <w:r w:rsidRPr="0013396E">
              <w:rPr>
                <w:bCs/>
                <w:szCs w:val="24"/>
                <w:lang w:val="pt-BR"/>
              </w:rPr>
              <w:t xml:space="preserve">  * MRAARF</w:t>
            </w:r>
            <w:r w:rsidRPr="0013396E">
              <w:rPr>
                <w:bCs/>
                <w:i/>
                <w:szCs w:val="24"/>
                <w:vertAlign w:val="subscript"/>
                <w:lang w:val="pt-BR"/>
              </w:rPr>
              <w:t xml:space="preserve"> q, r, m</w:t>
            </w:r>
          </w:p>
          <w:p w14:paraId="05350CB6" w14:textId="5B7983F2" w:rsidR="005C6D56" w:rsidRPr="0013396E" w:rsidRDefault="005C6D56" w:rsidP="005C6D56">
            <w:pPr>
              <w:spacing w:after="240"/>
              <w:ind w:left="720" w:hanging="720"/>
              <w:rPr>
                <w:iCs/>
              </w:rPr>
            </w:pPr>
            <w:r w:rsidRPr="0013396E">
              <w:rPr>
                <w:iCs/>
              </w:rPr>
              <w:t>(</w:t>
            </w:r>
            <w:r w:rsidR="00086215" w:rsidRPr="0013396E">
              <w:rPr>
                <w:iCs/>
              </w:rPr>
              <w:t>5</w:t>
            </w:r>
            <w:r w:rsidRPr="0013396E">
              <w:rPr>
                <w:iCs/>
              </w:rPr>
              <w:t>)</w:t>
            </w:r>
            <w:r w:rsidRPr="0013396E">
              <w:rPr>
                <w:iCs/>
              </w:rPr>
              <w:tab/>
              <w:t>The MRA Capacity Availability Reduction Factor (MRAARF) is calculated as:</w:t>
            </w:r>
          </w:p>
          <w:p w14:paraId="5F354A81" w14:textId="77777777" w:rsidR="005C6D56" w:rsidRPr="0013396E" w:rsidRDefault="005C6D56" w:rsidP="005C6D56">
            <w:pPr>
              <w:tabs>
                <w:tab w:val="left" w:pos="2340"/>
                <w:tab w:val="left" w:pos="3420"/>
              </w:tabs>
              <w:spacing w:after="240"/>
              <w:ind w:left="2880" w:hanging="2160"/>
              <w:rPr>
                <w:bCs/>
                <w:szCs w:val="24"/>
                <w:lang w:val="pt-BR"/>
              </w:rPr>
            </w:pPr>
            <w:r w:rsidRPr="0013396E">
              <w:rPr>
                <w:bCs/>
                <w:szCs w:val="24"/>
                <w:lang w:val="pt-BR"/>
              </w:rPr>
              <w:t>For initial Settlement</w:t>
            </w:r>
          </w:p>
          <w:p w14:paraId="1A780D09" w14:textId="77777777" w:rsidR="005C6D56" w:rsidRPr="0013396E" w:rsidRDefault="005C6D56" w:rsidP="005C6D56">
            <w:pPr>
              <w:tabs>
                <w:tab w:val="left" w:pos="2340"/>
                <w:tab w:val="left" w:pos="3420"/>
              </w:tabs>
              <w:spacing w:after="240"/>
              <w:ind w:left="2880" w:hanging="2160"/>
              <w:rPr>
                <w:bCs/>
                <w:szCs w:val="24"/>
                <w:lang w:val="pt-BR"/>
              </w:rPr>
            </w:pPr>
            <w:r w:rsidRPr="0013396E">
              <w:rPr>
                <w:bCs/>
                <w:szCs w:val="24"/>
                <w:lang w:val="pt-BR"/>
              </w:rPr>
              <w:t>MRAARF</w:t>
            </w:r>
            <w:r w:rsidRPr="0013396E">
              <w:rPr>
                <w:bCs/>
                <w:i/>
                <w:szCs w:val="24"/>
                <w:vertAlign w:val="subscript"/>
                <w:lang w:val="pt-BR"/>
              </w:rPr>
              <w:t xml:space="preserve"> q, r, m</w:t>
            </w:r>
            <w:r w:rsidRPr="0013396E">
              <w:rPr>
                <w:bCs/>
                <w:szCs w:val="24"/>
                <w:lang w:val="pt-BR"/>
              </w:rPr>
              <w:t xml:space="preserve"> = 1</w:t>
            </w:r>
          </w:p>
          <w:p w14:paraId="0A98C167" w14:textId="77777777" w:rsidR="005C6D56" w:rsidRPr="0013396E" w:rsidRDefault="005C6D56" w:rsidP="005C6D56">
            <w:pPr>
              <w:tabs>
                <w:tab w:val="left" w:pos="2340"/>
                <w:tab w:val="left" w:pos="3420"/>
              </w:tabs>
              <w:spacing w:after="240"/>
              <w:ind w:left="2880" w:hanging="2160"/>
              <w:rPr>
                <w:bCs/>
                <w:szCs w:val="24"/>
                <w:lang w:val="pt-BR"/>
              </w:rPr>
            </w:pPr>
            <w:r w:rsidRPr="0013396E">
              <w:rPr>
                <w:bCs/>
                <w:szCs w:val="24"/>
                <w:lang w:val="pt-BR"/>
              </w:rPr>
              <w:t>For all other resettlements</w:t>
            </w:r>
          </w:p>
          <w:p w14:paraId="21404990" w14:textId="77777777" w:rsidR="005C6D56" w:rsidRPr="0013396E" w:rsidRDefault="005C6D56" w:rsidP="005C6D56">
            <w:pPr>
              <w:spacing w:after="240"/>
              <w:ind w:firstLine="720"/>
              <w:rPr>
                <w:szCs w:val="24"/>
                <w:lang w:val="pt-BR"/>
              </w:rPr>
            </w:pPr>
            <w:r w:rsidRPr="0013396E">
              <w:rPr>
                <w:szCs w:val="24"/>
                <w:lang w:val="pt-BR"/>
              </w:rPr>
              <w:t xml:space="preserve">If MRACMAF </w:t>
            </w:r>
            <w:r w:rsidRPr="0013396E">
              <w:rPr>
                <w:i/>
                <w:szCs w:val="24"/>
                <w:vertAlign w:val="subscript"/>
                <w:lang w:val="pt-BR"/>
              </w:rPr>
              <w:t xml:space="preserve">q, r, m </w:t>
            </w:r>
            <w:r w:rsidRPr="0013396E">
              <w:rPr>
                <w:szCs w:val="24"/>
              </w:rPr>
              <w:t xml:space="preserve"> ≥ 95% * MRATA </w:t>
            </w:r>
            <w:r w:rsidRPr="0013396E">
              <w:rPr>
                <w:i/>
                <w:szCs w:val="24"/>
                <w:vertAlign w:val="subscript"/>
              </w:rPr>
              <w:t>q, r, m</w:t>
            </w:r>
            <w:r w:rsidRPr="0013396E">
              <w:rPr>
                <w:szCs w:val="24"/>
              </w:rPr>
              <w:t xml:space="preserve"> </w:t>
            </w:r>
          </w:p>
          <w:p w14:paraId="3A52D52E" w14:textId="77777777" w:rsidR="005C6D56" w:rsidRPr="0013396E" w:rsidRDefault="005C6D56" w:rsidP="005C6D56">
            <w:pPr>
              <w:spacing w:after="240"/>
              <w:ind w:left="1440"/>
              <w:rPr>
                <w:szCs w:val="24"/>
                <w:lang w:val="pt-BR"/>
              </w:rPr>
            </w:pPr>
            <w:r w:rsidRPr="0013396E">
              <w:rPr>
                <w:szCs w:val="24"/>
              </w:rPr>
              <w:t>MRAARF</w:t>
            </w:r>
            <w:r w:rsidRPr="0013396E">
              <w:rPr>
                <w:i/>
                <w:szCs w:val="24"/>
                <w:vertAlign w:val="subscript"/>
              </w:rPr>
              <w:t xml:space="preserve">q, r, m </w:t>
            </w:r>
            <w:r w:rsidRPr="0013396E">
              <w:rPr>
                <w:szCs w:val="24"/>
                <w:lang w:val="pt-BR"/>
              </w:rPr>
              <w:t xml:space="preserve">= 1 </w:t>
            </w:r>
          </w:p>
          <w:p w14:paraId="16C92493" w14:textId="77777777" w:rsidR="005C6D56" w:rsidRPr="0013396E" w:rsidRDefault="005C6D56" w:rsidP="005C6D56">
            <w:pPr>
              <w:spacing w:after="240"/>
              <w:ind w:firstLine="720"/>
              <w:rPr>
                <w:szCs w:val="24"/>
                <w:lang w:val="pt-BR"/>
              </w:rPr>
            </w:pPr>
            <w:r w:rsidRPr="0013396E">
              <w:rPr>
                <w:szCs w:val="24"/>
                <w:lang w:val="pt-BR"/>
              </w:rPr>
              <w:t>If 85% *</w:t>
            </w:r>
            <w:r w:rsidRPr="0013396E">
              <w:rPr>
                <w:szCs w:val="24"/>
              </w:rPr>
              <w:t xml:space="preserve"> </w:t>
            </w:r>
            <w:r w:rsidRPr="0013396E">
              <w:rPr>
                <w:szCs w:val="24"/>
                <w:lang w:val="pt-BR"/>
              </w:rPr>
              <w:t>MRATA</w:t>
            </w:r>
            <w:r w:rsidRPr="0013396E">
              <w:rPr>
                <w:szCs w:val="24"/>
              </w:rPr>
              <w:t xml:space="preserve"> </w:t>
            </w:r>
            <w:r w:rsidRPr="0013396E">
              <w:rPr>
                <w:i/>
                <w:szCs w:val="24"/>
                <w:vertAlign w:val="subscript"/>
              </w:rPr>
              <w:t>q, r, m</w:t>
            </w:r>
            <w:r w:rsidRPr="0013396E">
              <w:rPr>
                <w:szCs w:val="24"/>
              </w:rPr>
              <w:t xml:space="preserve"> </w:t>
            </w:r>
            <w:r w:rsidRPr="0013396E">
              <w:rPr>
                <w:szCs w:val="24"/>
                <w:lang w:val="pt-BR"/>
              </w:rPr>
              <w:t xml:space="preserve">≤ MRACMAF </w:t>
            </w:r>
            <w:r w:rsidRPr="0013396E">
              <w:rPr>
                <w:i/>
                <w:szCs w:val="24"/>
                <w:vertAlign w:val="subscript"/>
                <w:lang w:val="pt-BR"/>
              </w:rPr>
              <w:t xml:space="preserve">q, r,m </w:t>
            </w:r>
            <w:r w:rsidRPr="0013396E">
              <w:rPr>
                <w:szCs w:val="24"/>
              </w:rPr>
              <w:t xml:space="preserve"> </w:t>
            </w:r>
            <w:r w:rsidRPr="0013396E">
              <w:rPr>
                <w:szCs w:val="24"/>
                <w:lang w:val="pt-BR"/>
              </w:rPr>
              <w:t>&lt;</w:t>
            </w:r>
            <w:r w:rsidRPr="0013396E">
              <w:rPr>
                <w:szCs w:val="24"/>
              </w:rPr>
              <w:t xml:space="preserve"> 95%* MRATA </w:t>
            </w:r>
            <w:r w:rsidRPr="0013396E">
              <w:rPr>
                <w:i/>
                <w:szCs w:val="24"/>
                <w:vertAlign w:val="subscript"/>
              </w:rPr>
              <w:t>q, r, m</w:t>
            </w:r>
            <w:r w:rsidRPr="0013396E">
              <w:rPr>
                <w:szCs w:val="24"/>
              </w:rPr>
              <w:t xml:space="preserve"> </w:t>
            </w:r>
          </w:p>
          <w:p w14:paraId="3D8CCD3B" w14:textId="77777777" w:rsidR="005C6D56" w:rsidRPr="0013396E" w:rsidRDefault="005C6D56" w:rsidP="005C6D56">
            <w:pPr>
              <w:spacing w:after="240"/>
              <w:ind w:left="1440"/>
              <w:rPr>
                <w:szCs w:val="24"/>
                <w:lang w:val="pt-BR"/>
              </w:rPr>
            </w:pPr>
            <w:r w:rsidRPr="0013396E">
              <w:rPr>
                <w:szCs w:val="24"/>
              </w:rPr>
              <w:t>MRAARF</w:t>
            </w:r>
            <w:r w:rsidRPr="0013396E">
              <w:rPr>
                <w:i/>
                <w:szCs w:val="24"/>
                <w:vertAlign w:val="subscript"/>
              </w:rPr>
              <w:t xml:space="preserve">q, r, m </w:t>
            </w:r>
            <w:r w:rsidRPr="0013396E">
              <w:rPr>
                <w:szCs w:val="24"/>
                <w:lang w:val="pt-BR"/>
              </w:rPr>
              <w:t xml:space="preserve">= MRACMAF </w:t>
            </w:r>
            <w:r w:rsidRPr="0013396E">
              <w:rPr>
                <w:i/>
                <w:szCs w:val="24"/>
                <w:vertAlign w:val="subscript"/>
                <w:lang w:val="pt-BR"/>
              </w:rPr>
              <w:t xml:space="preserve">q, r, m </w:t>
            </w:r>
            <w:r w:rsidRPr="0013396E">
              <w:rPr>
                <w:szCs w:val="24"/>
              </w:rPr>
              <w:t xml:space="preserve"> </w:t>
            </w:r>
            <w:r w:rsidRPr="0013396E">
              <w:rPr>
                <w:i/>
                <w:szCs w:val="24"/>
                <w:vertAlign w:val="subscript"/>
              </w:rPr>
              <w:t xml:space="preserve"> </w:t>
            </w:r>
          </w:p>
          <w:p w14:paraId="5DAA2241" w14:textId="77777777" w:rsidR="005C6D56" w:rsidRPr="0013396E" w:rsidRDefault="005C6D56" w:rsidP="005C6D56">
            <w:pPr>
              <w:spacing w:after="240"/>
              <w:ind w:firstLine="720"/>
              <w:rPr>
                <w:szCs w:val="24"/>
                <w:lang w:val="pt-BR"/>
              </w:rPr>
            </w:pPr>
            <w:r w:rsidRPr="0013396E">
              <w:rPr>
                <w:szCs w:val="24"/>
                <w:lang w:val="pt-BR"/>
              </w:rPr>
              <w:t xml:space="preserve">If MRACMAF </w:t>
            </w:r>
            <w:r w:rsidRPr="0013396E">
              <w:rPr>
                <w:i/>
                <w:szCs w:val="24"/>
                <w:vertAlign w:val="subscript"/>
                <w:lang w:val="pt-BR"/>
              </w:rPr>
              <w:t xml:space="preserve">q, r, m </w:t>
            </w:r>
            <w:r w:rsidRPr="0013396E">
              <w:rPr>
                <w:szCs w:val="24"/>
              </w:rPr>
              <w:t xml:space="preserve"> </w:t>
            </w:r>
            <w:r w:rsidRPr="0013396E">
              <w:rPr>
                <w:szCs w:val="24"/>
                <w:lang w:val="pt-BR"/>
              </w:rPr>
              <w:t>&lt;</w:t>
            </w:r>
            <w:r w:rsidRPr="0013396E">
              <w:rPr>
                <w:szCs w:val="24"/>
              </w:rPr>
              <w:t xml:space="preserve"> 85% * MRATA </w:t>
            </w:r>
            <w:r w:rsidRPr="0013396E">
              <w:rPr>
                <w:i/>
                <w:szCs w:val="24"/>
                <w:vertAlign w:val="subscript"/>
              </w:rPr>
              <w:t>q, r, m</w:t>
            </w:r>
          </w:p>
          <w:p w14:paraId="62F0FEF0" w14:textId="77777777" w:rsidR="005C6D56" w:rsidRPr="0013396E" w:rsidRDefault="005C6D56" w:rsidP="005C6D56">
            <w:pPr>
              <w:spacing w:after="240"/>
              <w:ind w:left="1440"/>
              <w:rPr>
                <w:szCs w:val="24"/>
                <w:lang w:val="pt-BR"/>
              </w:rPr>
            </w:pPr>
            <w:r w:rsidRPr="0013396E">
              <w:rPr>
                <w:szCs w:val="24"/>
              </w:rPr>
              <w:t>MRAARF</w:t>
            </w:r>
            <w:r w:rsidRPr="0013396E">
              <w:rPr>
                <w:i/>
                <w:szCs w:val="24"/>
                <w:vertAlign w:val="subscript"/>
              </w:rPr>
              <w:t xml:space="preserve">q, r, m </w:t>
            </w:r>
            <w:r w:rsidRPr="0013396E">
              <w:rPr>
                <w:szCs w:val="24"/>
                <w:lang w:val="pt-BR"/>
              </w:rPr>
              <w:t xml:space="preserve">= (MRACMAF </w:t>
            </w:r>
            <w:r w:rsidRPr="0013396E">
              <w:rPr>
                <w:i/>
                <w:szCs w:val="24"/>
                <w:vertAlign w:val="subscript"/>
                <w:lang w:val="pt-BR"/>
              </w:rPr>
              <w:t xml:space="preserve">q, r, m </w:t>
            </w:r>
            <w:r w:rsidRPr="0013396E">
              <w:rPr>
                <w:i/>
                <w:szCs w:val="24"/>
                <w:lang w:val="pt-BR"/>
              </w:rPr>
              <w:t>)</w:t>
            </w:r>
            <w:r w:rsidRPr="0013396E">
              <w:rPr>
                <w:i/>
                <w:color w:val="000000"/>
                <w:szCs w:val="24"/>
                <w:vertAlign w:val="superscript"/>
                <w:lang w:val="pt-BR"/>
              </w:rPr>
              <w:t>2</w:t>
            </w:r>
          </w:p>
          <w:p w14:paraId="52712988" w14:textId="77777777" w:rsidR="005C6D56" w:rsidRPr="0013396E" w:rsidRDefault="005C6D56" w:rsidP="005C6D56">
            <w:pPr>
              <w:spacing w:after="240"/>
              <w:ind w:firstLine="720"/>
              <w:rPr>
                <w:szCs w:val="24"/>
                <w:lang w:val="pt-BR"/>
              </w:rPr>
            </w:pPr>
            <w:r w:rsidRPr="0013396E">
              <w:rPr>
                <w:szCs w:val="24"/>
                <w:lang w:val="pt-BR"/>
              </w:rPr>
              <w:t>Where:</w:t>
            </w:r>
          </w:p>
          <w:p w14:paraId="5A533945" w14:textId="7EB6A170" w:rsidR="005C6D56" w:rsidRPr="0013396E" w:rsidRDefault="005C6D56" w:rsidP="005C6D56">
            <w:pPr>
              <w:spacing w:after="240"/>
              <w:ind w:left="720" w:firstLine="720"/>
              <w:rPr>
                <w:szCs w:val="24"/>
                <w:lang w:val="pt-BR"/>
              </w:rPr>
            </w:pPr>
            <w:r w:rsidRPr="0013396E">
              <w:rPr>
                <w:szCs w:val="24"/>
              </w:rPr>
              <w:t xml:space="preserve">For </w:t>
            </w:r>
            <w:r w:rsidRPr="0013396E">
              <w:rPr>
                <w:bCs/>
                <w:color w:val="000000"/>
                <w:szCs w:val="24"/>
                <w:lang w:val="pt-BR"/>
              </w:rPr>
              <w:t>an MRA registered as a Generation Resource</w:t>
            </w:r>
            <w:r w:rsidR="00086215" w:rsidRPr="0013396E">
              <w:rPr>
                <w:bCs/>
                <w:color w:val="000000"/>
                <w:szCs w:val="24"/>
                <w:lang w:val="pt-BR"/>
              </w:rPr>
              <w:t xml:space="preserve"> or ESR</w:t>
            </w:r>
            <w:r w:rsidRPr="0013396E">
              <w:rPr>
                <w:bCs/>
                <w:color w:val="000000"/>
                <w:szCs w:val="24"/>
                <w:lang w:val="pt-BR"/>
              </w:rPr>
              <w:t xml:space="preserve">, </w:t>
            </w:r>
          </w:p>
          <w:p w14:paraId="45C8F75D" w14:textId="127E320F" w:rsidR="005C6D56" w:rsidRPr="0013396E" w:rsidRDefault="005C6D56" w:rsidP="005C6D56">
            <w:pPr>
              <w:spacing w:after="240"/>
              <w:ind w:left="1440" w:firstLine="720"/>
              <w:rPr>
                <w:i/>
                <w:szCs w:val="24"/>
                <w:lang w:val="pt-BR"/>
              </w:rPr>
            </w:pPr>
            <w:r w:rsidRPr="0013396E">
              <w:rPr>
                <w:szCs w:val="24"/>
                <w:lang w:val="pt-BR"/>
              </w:rPr>
              <w:t xml:space="preserve">MRACMAF </w:t>
            </w:r>
            <w:r w:rsidRPr="0013396E">
              <w:rPr>
                <w:i/>
                <w:szCs w:val="24"/>
                <w:vertAlign w:val="subscript"/>
                <w:lang w:val="pt-BR"/>
              </w:rPr>
              <w:t xml:space="preserve">q, r, m </w:t>
            </w:r>
            <w:r w:rsidRPr="0013396E">
              <w:rPr>
                <w:szCs w:val="24"/>
              </w:rPr>
              <w:t xml:space="preserve"> </w:t>
            </w:r>
            <w:r w:rsidRPr="0013396E">
              <w:rPr>
                <w:szCs w:val="24"/>
                <w:lang w:val="pt-BR"/>
              </w:rPr>
              <w:t xml:space="preserve">= </w:t>
            </w:r>
            <w:r w:rsidRPr="0013396E">
              <w:rPr>
                <w:szCs w:val="24"/>
              </w:rPr>
              <w:t xml:space="preserve"> </w:t>
            </w:r>
            <w:r w:rsidR="00A94020" w:rsidRPr="0013396E">
              <w:rPr>
                <w:b/>
                <w:noProof/>
                <w:position w:val="-20"/>
                <w:szCs w:val="24"/>
              </w:rPr>
              <w:drawing>
                <wp:inline distT="0" distB="0" distL="0" distR="0" wp14:anchorId="5523BB01" wp14:editId="51E67E0A">
                  <wp:extent cx="142875" cy="276225"/>
                  <wp:effectExtent l="0" t="0" r="9525" b="9525"/>
                  <wp:docPr id="12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30"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rsidRPr="0013396E">
              <w:rPr>
                <w:szCs w:val="24"/>
              </w:rPr>
              <w:t xml:space="preserve"> (</w:t>
            </w:r>
            <w:r w:rsidRPr="0013396E">
              <w:rPr>
                <w:szCs w:val="24"/>
                <w:lang w:val="pt-BR"/>
              </w:rPr>
              <w:t>MRAMAH</w:t>
            </w:r>
            <w:r w:rsidRPr="0013396E">
              <w:rPr>
                <w:i/>
                <w:szCs w:val="24"/>
                <w:vertAlign w:val="subscript"/>
                <w:lang w:val="pt-BR"/>
              </w:rPr>
              <w:t xml:space="preserve"> q, r, h</w:t>
            </w:r>
            <w:r w:rsidRPr="0013396E">
              <w:rPr>
                <w:szCs w:val="24"/>
                <w:lang w:val="pt-BR"/>
              </w:rPr>
              <w:t xml:space="preserve"> ) / </w:t>
            </w:r>
            <w:r w:rsidRPr="0013396E">
              <w:rPr>
                <w:szCs w:val="24"/>
              </w:rPr>
              <w:t xml:space="preserve"> (</w:t>
            </w:r>
            <w:r w:rsidRPr="0013396E">
              <w:rPr>
                <w:szCs w:val="24"/>
                <w:lang w:val="pt-BR"/>
              </w:rPr>
              <w:t>MH</w:t>
            </w:r>
            <w:r w:rsidRPr="0013396E">
              <w:rPr>
                <w:i/>
                <w:szCs w:val="24"/>
                <w:vertAlign w:val="subscript"/>
                <w:lang w:val="pt-BR"/>
              </w:rPr>
              <w:t xml:space="preserve"> q, r, m</w:t>
            </w:r>
            <w:r w:rsidRPr="0013396E">
              <w:rPr>
                <w:i/>
                <w:szCs w:val="24"/>
                <w:lang w:val="pt-BR"/>
              </w:rPr>
              <w:t>)</w:t>
            </w:r>
          </w:p>
          <w:p w14:paraId="49C688D2" w14:textId="77777777" w:rsidR="005C6D56" w:rsidRPr="0013396E" w:rsidRDefault="005C6D56" w:rsidP="004A39F9">
            <w:pPr>
              <w:spacing w:after="240"/>
              <w:ind w:firstLine="720"/>
              <w:rPr>
                <w:szCs w:val="24"/>
              </w:rPr>
            </w:pPr>
            <w:r w:rsidRPr="0013396E">
              <w:rPr>
                <w:szCs w:val="24"/>
              </w:rPr>
              <w:t xml:space="preserve">And, </w:t>
            </w:r>
          </w:p>
          <w:p w14:paraId="607BB88E" w14:textId="7BCE8846" w:rsidR="005C6D56" w:rsidRPr="0013396E" w:rsidRDefault="005C6D56" w:rsidP="004A39F9">
            <w:pPr>
              <w:spacing w:after="240"/>
              <w:ind w:left="1440"/>
              <w:rPr>
                <w:szCs w:val="24"/>
              </w:rPr>
            </w:pPr>
            <w:r w:rsidRPr="0013396E">
              <w:rPr>
                <w:szCs w:val="24"/>
              </w:rPr>
              <w:t xml:space="preserve">For an </w:t>
            </w:r>
            <w:r w:rsidRPr="0013396E">
              <w:rPr>
                <w:bCs/>
                <w:snapToGrid w:val="0"/>
              </w:rPr>
              <w:t>MRA not registered as a Generation Resource</w:t>
            </w:r>
            <w:r w:rsidR="00086215" w:rsidRPr="0013396E">
              <w:rPr>
                <w:bCs/>
                <w:snapToGrid w:val="0"/>
              </w:rPr>
              <w:t xml:space="preserve"> or ESR</w:t>
            </w:r>
            <w:r w:rsidRPr="0013396E">
              <w:rPr>
                <w:bCs/>
                <w:snapToGrid w:val="0"/>
              </w:rPr>
              <w:t>,</w:t>
            </w:r>
            <w:r w:rsidRPr="0013396E">
              <w:rPr>
                <w:szCs w:val="24"/>
              </w:rPr>
              <w:t xml:space="preserve"> the availability factor is calculated pursuant to Section 3.14.4.6.4, MRA Availability Measurement and Verification.</w:t>
            </w:r>
          </w:p>
          <w:p w14:paraId="0563F861" w14:textId="77777777" w:rsidR="005C6D56" w:rsidRPr="0013396E" w:rsidRDefault="005C6D56" w:rsidP="005C6D56">
            <w:pPr>
              <w:rPr>
                <w:szCs w:val="24"/>
              </w:rPr>
            </w:pPr>
            <w:r w:rsidRPr="0013396E">
              <w:rPr>
                <w:szCs w:val="24"/>
              </w:rPr>
              <w:t>The above variables are defined as follows:</w:t>
            </w:r>
          </w:p>
          <w:tbl>
            <w:tblPr>
              <w:tblW w:w="9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4"/>
              <w:gridCol w:w="788"/>
              <w:gridCol w:w="6780"/>
            </w:tblGrid>
            <w:tr w:rsidR="0057461A" w:rsidRPr="0013396E" w14:paraId="7FA20484" w14:textId="77777777" w:rsidTr="00086215">
              <w:trPr>
                <w:cantSplit/>
                <w:tblHeader/>
              </w:trPr>
              <w:tc>
                <w:tcPr>
                  <w:tcW w:w="949" w:type="pct"/>
                </w:tcPr>
                <w:p w14:paraId="673C5E14" w14:textId="77777777" w:rsidR="0057461A" w:rsidRPr="0013396E" w:rsidRDefault="0057461A" w:rsidP="0057461A">
                  <w:pPr>
                    <w:spacing w:after="120"/>
                    <w:rPr>
                      <w:b/>
                      <w:iCs/>
                      <w:sz w:val="20"/>
                    </w:rPr>
                  </w:pPr>
                  <w:r w:rsidRPr="0013396E">
                    <w:rPr>
                      <w:b/>
                      <w:iCs/>
                      <w:sz w:val="20"/>
                    </w:rPr>
                    <w:lastRenderedPageBreak/>
                    <w:t>Variable</w:t>
                  </w:r>
                </w:p>
              </w:tc>
              <w:tc>
                <w:tcPr>
                  <w:tcW w:w="422" w:type="pct"/>
                </w:tcPr>
                <w:p w14:paraId="11F211FD" w14:textId="77777777" w:rsidR="0057461A" w:rsidRPr="0013396E" w:rsidRDefault="0057461A" w:rsidP="0057461A">
                  <w:pPr>
                    <w:spacing w:after="120"/>
                    <w:rPr>
                      <w:b/>
                      <w:iCs/>
                      <w:sz w:val="20"/>
                    </w:rPr>
                  </w:pPr>
                  <w:r w:rsidRPr="0013396E">
                    <w:rPr>
                      <w:b/>
                      <w:iCs/>
                      <w:sz w:val="20"/>
                    </w:rPr>
                    <w:t>Unit</w:t>
                  </w:r>
                </w:p>
              </w:tc>
              <w:tc>
                <w:tcPr>
                  <w:tcW w:w="3629" w:type="pct"/>
                </w:tcPr>
                <w:p w14:paraId="0EA8DFE5" w14:textId="77777777" w:rsidR="0057461A" w:rsidRPr="0013396E" w:rsidRDefault="0057461A" w:rsidP="0057461A">
                  <w:pPr>
                    <w:spacing w:after="120"/>
                    <w:rPr>
                      <w:b/>
                      <w:iCs/>
                      <w:sz w:val="20"/>
                    </w:rPr>
                  </w:pPr>
                  <w:r w:rsidRPr="0013396E">
                    <w:rPr>
                      <w:b/>
                      <w:iCs/>
                      <w:sz w:val="20"/>
                    </w:rPr>
                    <w:t>Definition</w:t>
                  </w:r>
                </w:p>
              </w:tc>
            </w:tr>
            <w:tr w:rsidR="0057461A" w:rsidRPr="0013396E" w14:paraId="412F08CE" w14:textId="77777777" w:rsidTr="00086215">
              <w:trPr>
                <w:cantSplit/>
              </w:trPr>
              <w:tc>
                <w:tcPr>
                  <w:tcW w:w="949" w:type="pct"/>
                </w:tcPr>
                <w:p w14:paraId="0594423A" w14:textId="77777777" w:rsidR="0057461A" w:rsidRPr="0013396E" w:rsidRDefault="0057461A" w:rsidP="0057461A">
                  <w:pPr>
                    <w:spacing w:after="60"/>
                    <w:rPr>
                      <w:iCs/>
                      <w:sz w:val="20"/>
                    </w:rPr>
                  </w:pPr>
                  <w:r w:rsidRPr="0013396E">
                    <w:rPr>
                      <w:iCs/>
                      <w:sz w:val="20"/>
                    </w:rPr>
                    <w:t xml:space="preserve">MRASBAMT </w:t>
                  </w:r>
                  <w:r w:rsidRPr="0013396E">
                    <w:rPr>
                      <w:i/>
                      <w:iCs/>
                      <w:sz w:val="20"/>
                      <w:vertAlign w:val="subscript"/>
                    </w:rPr>
                    <w:t>q, r, h</w:t>
                  </w:r>
                </w:p>
              </w:tc>
              <w:tc>
                <w:tcPr>
                  <w:tcW w:w="422" w:type="pct"/>
                </w:tcPr>
                <w:p w14:paraId="23BD71BB" w14:textId="77777777" w:rsidR="0057461A" w:rsidRPr="0013396E" w:rsidRDefault="0057461A" w:rsidP="0057461A">
                  <w:pPr>
                    <w:spacing w:after="60"/>
                    <w:rPr>
                      <w:iCs/>
                      <w:sz w:val="20"/>
                    </w:rPr>
                  </w:pPr>
                  <w:r w:rsidRPr="0013396E">
                    <w:rPr>
                      <w:iCs/>
                      <w:sz w:val="20"/>
                    </w:rPr>
                    <w:t xml:space="preserve">$ </w:t>
                  </w:r>
                </w:p>
              </w:tc>
              <w:tc>
                <w:tcPr>
                  <w:tcW w:w="3629" w:type="pct"/>
                </w:tcPr>
                <w:p w14:paraId="35C0D16D" w14:textId="77777777" w:rsidR="0057461A" w:rsidRPr="0013396E" w:rsidRDefault="0057461A" w:rsidP="0057461A">
                  <w:pPr>
                    <w:spacing w:after="60"/>
                    <w:rPr>
                      <w:i/>
                      <w:iCs/>
                      <w:sz w:val="20"/>
                    </w:rPr>
                  </w:pPr>
                  <w:r w:rsidRPr="0013396E">
                    <w:rPr>
                      <w:i/>
                      <w:iCs/>
                      <w:sz w:val="20"/>
                    </w:rPr>
                    <w:t>Must-Run Alternative Standby Amount per QSE per Resource by hour</w:t>
                  </w:r>
                  <w:r w:rsidRPr="0013396E">
                    <w:rPr>
                      <w:iCs/>
                      <w:sz w:val="20"/>
                    </w:rPr>
                    <w:t xml:space="preserve">—The hourly standby payment amount for MRA </w:t>
                  </w:r>
                  <w:r w:rsidRPr="0013396E">
                    <w:rPr>
                      <w:i/>
                      <w:iCs/>
                      <w:sz w:val="20"/>
                    </w:rPr>
                    <w:t xml:space="preserve">r </w:t>
                  </w:r>
                  <w:r w:rsidRPr="0013396E">
                    <w:rPr>
                      <w:iCs/>
                      <w:sz w:val="20"/>
                    </w:rPr>
                    <w:t xml:space="preserve">represented by QSE </w:t>
                  </w:r>
                  <w:r w:rsidRPr="0013396E">
                    <w:rPr>
                      <w:i/>
                      <w:iCs/>
                      <w:sz w:val="20"/>
                    </w:rPr>
                    <w:t>q</w:t>
                  </w:r>
                  <w:r w:rsidRPr="0013396E">
                    <w:rPr>
                      <w:sz w:val="20"/>
                    </w:rPr>
                    <w:t xml:space="preserve">, for the hour </w:t>
                  </w:r>
                  <w:r w:rsidRPr="0013396E">
                    <w:rPr>
                      <w:i/>
                      <w:sz w:val="20"/>
                    </w:rPr>
                    <w:t>h</w:t>
                  </w:r>
                  <w:r w:rsidRPr="0013396E">
                    <w:rPr>
                      <w:iCs/>
                      <w:sz w:val="20"/>
                    </w:rPr>
                    <w:t xml:space="preserve">.  Where for a Combined Cycle Train, the Resource </w:t>
                  </w:r>
                  <w:r w:rsidRPr="0013396E">
                    <w:rPr>
                      <w:i/>
                      <w:iCs/>
                      <w:sz w:val="20"/>
                    </w:rPr>
                    <w:t xml:space="preserve">r </w:t>
                  </w:r>
                  <w:r w:rsidRPr="0013396E">
                    <w:rPr>
                      <w:iCs/>
                      <w:sz w:val="20"/>
                    </w:rPr>
                    <w:t>is a Combined Cycle Train.</w:t>
                  </w:r>
                </w:p>
              </w:tc>
            </w:tr>
            <w:tr w:rsidR="0057461A" w:rsidRPr="0013396E" w14:paraId="499F2B75" w14:textId="77777777" w:rsidTr="00086215">
              <w:trPr>
                <w:cantSplit/>
              </w:trPr>
              <w:tc>
                <w:tcPr>
                  <w:tcW w:w="949" w:type="pct"/>
                </w:tcPr>
                <w:p w14:paraId="4471A83E" w14:textId="77777777" w:rsidR="0057461A" w:rsidRPr="0013396E" w:rsidRDefault="0057461A" w:rsidP="0057461A">
                  <w:pPr>
                    <w:spacing w:after="60"/>
                    <w:rPr>
                      <w:iCs/>
                      <w:sz w:val="20"/>
                    </w:rPr>
                  </w:pPr>
                  <w:r w:rsidRPr="0013396E">
                    <w:rPr>
                      <w:iCs/>
                      <w:sz w:val="20"/>
                    </w:rPr>
                    <w:t xml:space="preserve">MRASBPR </w:t>
                  </w:r>
                  <w:r w:rsidRPr="0013396E">
                    <w:rPr>
                      <w:i/>
                      <w:iCs/>
                      <w:sz w:val="20"/>
                      <w:vertAlign w:val="subscript"/>
                    </w:rPr>
                    <w:t>q, r, m</w:t>
                  </w:r>
                </w:p>
              </w:tc>
              <w:tc>
                <w:tcPr>
                  <w:tcW w:w="422" w:type="pct"/>
                </w:tcPr>
                <w:p w14:paraId="57503175" w14:textId="77777777" w:rsidR="0057461A" w:rsidRPr="0013396E" w:rsidRDefault="0057461A" w:rsidP="0057461A">
                  <w:pPr>
                    <w:spacing w:after="60"/>
                    <w:rPr>
                      <w:iCs/>
                      <w:sz w:val="20"/>
                    </w:rPr>
                  </w:pPr>
                  <w:r w:rsidRPr="0013396E">
                    <w:rPr>
                      <w:iCs/>
                      <w:sz w:val="20"/>
                    </w:rPr>
                    <w:t>$/MW per hour</w:t>
                  </w:r>
                </w:p>
              </w:tc>
              <w:tc>
                <w:tcPr>
                  <w:tcW w:w="3629" w:type="pct"/>
                </w:tcPr>
                <w:p w14:paraId="3A8634AA" w14:textId="77777777" w:rsidR="0057461A" w:rsidRPr="0013396E" w:rsidRDefault="0057461A" w:rsidP="0057461A">
                  <w:pPr>
                    <w:spacing w:after="60"/>
                    <w:rPr>
                      <w:i/>
                      <w:iCs/>
                      <w:sz w:val="20"/>
                    </w:rPr>
                  </w:pPr>
                  <w:r w:rsidRPr="0013396E">
                    <w:rPr>
                      <w:i/>
                      <w:iCs/>
                      <w:sz w:val="20"/>
                    </w:rPr>
                    <w:t>Must-Run Alternative Standby Price per QSE per Resource per MW per hour</w:t>
                  </w:r>
                  <w:r w:rsidRPr="0013396E">
                    <w:rPr>
                      <w:iCs/>
                      <w:sz w:val="20"/>
                    </w:rPr>
                    <w:t xml:space="preserve">—The hourly standby price per MW for MRA </w:t>
                  </w:r>
                  <w:r w:rsidRPr="0013396E">
                    <w:rPr>
                      <w:i/>
                      <w:iCs/>
                      <w:sz w:val="20"/>
                    </w:rPr>
                    <w:t xml:space="preserve">r </w:t>
                  </w:r>
                  <w:r w:rsidRPr="0013396E">
                    <w:rPr>
                      <w:iCs/>
                      <w:sz w:val="20"/>
                    </w:rPr>
                    <w:t xml:space="preserve">represented by QSE </w:t>
                  </w:r>
                  <w:r w:rsidRPr="0013396E">
                    <w:rPr>
                      <w:i/>
                      <w:iCs/>
                      <w:sz w:val="20"/>
                    </w:rPr>
                    <w:t>q</w:t>
                  </w:r>
                  <w:r w:rsidRPr="0013396E">
                    <w:rPr>
                      <w:sz w:val="20"/>
                    </w:rPr>
                    <w:t xml:space="preserve">, for the month </w:t>
                  </w:r>
                  <w:r w:rsidRPr="0013396E">
                    <w:rPr>
                      <w:i/>
                      <w:sz w:val="20"/>
                    </w:rPr>
                    <w:t>m</w:t>
                  </w:r>
                  <w:r w:rsidRPr="0013396E">
                    <w:rPr>
                      <w:iCs/>
                      <w:sz w:val="20"/>
                    </w:rPr>
                    <w:t xml:space="preserve">.  Where for a Combined Cycle Train, the Resource </w:t>
                  </w:r>
                  <w:r w:rsidRPr="0013396E">
                    <w:rPr>
                      <w:i/>
                      <w:iCs/>
                      <w:sz w:val="20"/>
                    </w:rPr>
                    <w:t xml:space="preserve">r </w:t>
                  </w:r>
                  <w:r w:rsidRPr="0013396E">
                    <w:rPr>
                      <w:iCs/>
                      <w:sz w:val="20"/>
                    </w:rPr>
                    <w:t>is a Combined Cycle Train.</w:t>
                  </w:r>
                </w:p>
              </w:tc>
            </w:tr>
            <w:tr w:rsidR="0057461A" w:rsidRPr="0013396E" w14:paraId="3089D7B4" w14:textId="77777777" w:rsidTr="00086215">
              <w:trPr>
                <w:cantSplit/>
              </w:trPr>
              <w:tc>
                <w:tcPr>
                  <w:tcW w:w="949" w:type="pct"/>
                </w:tcPr>
                <w:p w14:paraId="7A530F34" w14:textId="77777777" w:rsidR="0057461A" w:rsidRPr="0013396E" w:rsidRDefault="0057461A" w:rsidP="0057461A">
                  <w:pPr>
                    <w:spacing w:after="60"/>
                    <w:rPr>
                      <w:iCs/>
                      <w:sz w:val="20"/>
                    </w:rPr>
                  </w:pPr>
                  <w:r w:rsidRPr="0013396E">
                    <w:rPr>
                      <w:sz w:val="20"/>
                    </w:rPr>
                    <w:t>MRAEPRF</w:t>
                  </w:r>
                  <w:r w:rsidRPr="0013396E">
                    <w:rPr>
                      <w:i/>
                      <w:sz w:val="20"/>
                      <w:vertAlign w:val="subscript"/>
                    </w:rPr>
                    <w:t xml:space="preserve"> q, r, m</w:t>
                  </w:r>
                </w:p>
              </w:tc>
              <w:tc>
                <w:tcPr>
                  <w:tcW w:w="422" w:type="pct"/>
                </w:tcPr>
                <w:p w14:paraId="5F7B26B7" w14:textId="77777777" w:rsidR="0057461A" w:rsidRPr="0013396E" w:rsidRDefault="0057461A" w:rsidP="0057461A">
                  <w:pPr>
                    <w:spacing w:after="60"/>
                    <w:rPr>
                      <w:iCs/>
                      <w:sz w:val="20"/>
                    </w:rPr>
                  </w:pPr>
                  <w:r w:rsidRPr="0013396E">
                    <w:rPr>
                      <w:iCs/>
                      <w:sz w:val="20"/>
                    </w:rPr>
                    <w:t>None</w:t>
                  </w:r>
                </w:p>
              </w:tc>
              <w:tc>
                <w:tcPr>
                  <w:tcW w:w="3629" w:type="pct"/>
                </w:tcPr>
                <w:p w14:paraId="128918D1" w14:textId="77777777" w:rsidR="0057461A" w:rsidRPr="0013396E" w:rsidRDefault="0057461A" w:rsidP="0057461A">
                  <w:pPr>
                    <w:tabs>
                      <w:tab w:val="left" w:pos="1080"/>
                      <w:tab w:val="left" w:pos="5940"/>
                      <w:tab w:val="left" w:pos="6300"/>
                      <w:tab w:val="left" w:pos="6840"/>
                    </w:tabs>
                    <w:rPr>
                      <w:lang w:val="pt-BR"/>
                    </w:rPr>
                  </w:pPr>
                  <w:r w:rsidRPr="0013396E">
                    <w:rPr>
                      <w:i/>
                      <w:iCs/>
                      <w:sz w:val="20"/>
                    </w:rPr>
                    <w:t xml:space="preserve">Must-Run Alternative Event Performance Reduction </w:t>
                  </w:r>
                  <w:r w:rsidRPr="0013396E">
                    <w:rPr>
                      <w:i/>
                      <w:sz w:val="20"/>
                    </w:rPr>
                    <w:t>Factor per QSE per Resource</w:t>
                  </w:r>
                  <w:r w:rsidRPr="0013396E">
                    <w:rPr>
                      <w:sz w:val="20"/>
                    </w:rPr>
                    <w:t>—The Event Performance Reduction Factor of the MRA</w:t>
                  </w:r>
                  <w:r w:rsidRPr="0013396E">
                    <w:rPr>
                      <w:i/>
                      <w:iCs/>
                      <w:sz w:val="20"/>
                    </w:rPr>
                    <w:t xml:space="preserve"> r </w:t>
                  </w:r>
                  <w:r w:rsidRPr="0013396E">
                    <w:rPr>
                      <w:iCs/>
                      <w:sz w:val="20"/>
                    </w:rPr>
                    <w:t xml:space="preserve">represented by QSE </w:t>
                  </w:r>
                  <w:r w:rsidRPr="0013396E">
                    <w:rPr>
                      <w:i/>
                      <w:iCs/>
                      <w:sz w:val="20"/>
                    </w:rPr>
                    <w:t>q</w:t>
                  </w:r>
                  <w:r w:rsidRPr="0013396E">
                    <w:rPr>
                      <w:sz w:val="20"/>
                    </w:rPr>
                    <w:t xml:space="preserve">, for each hour of the month m, as calculated per Section 3.14.4.6.5, MRA Event Performance Measurement and Verification.  If the MRAEPRF for the month is not available then the most recent MRAEPRF prior to month of the Operating Day shall be used.  If no previous MRAEPRF is available then MRAEPRF shall be set to 1.  Where for a Combined Cycle Train, the Resource </w:t>
                  </w:r>
                  <w:r w:rsidRPr="0013396E">
                    <w:rPr>
                      <w:i/>
                      <w:sz w:val="20"/>
                    </w:rPr>
                    <w:t xml:space="preserve">r </w:t>
                  </w:r>
                  <w:r w:rsidRPr="0013396E">
                    <w:rPr>
                      <w:sz w:val="20"/>
                    </w:rPr>
                    <w:t>is the Combined Cycle Train.</w:t>
                  </w:r>
                </w:p>
              </w:tc>
            </w:tr>
            <w:tr w:rsidR="0057461A" w:rsidRPr="0013396E" w14:paraId="4AE3AB4E" w14:textId="77777777" w:rsidTr="00086215">
              <w:trPr>
                <w:cantSplit/>
              </w:trPr>
              <w:tc>
                <w:tcPr>
                  <w:tcW w:w="949" w:type="pct"/>
                </w:tcPr>
                <w:p w14:paraId="3324DCB3" w14:textId="0ED00667" w:rsidR="0057461A" w:rsidRPr="0013396E" w:rsidRDefault="0057461A" w:rsidP="0057461A">
                  <w:pPr>
                    <w:spacing w:after="60"/>
                    <w:rPr>
                      <w:sz w:val="20"/>
                    </w:rPr>
                  </w:pPr>
                  <w:r w:rsidRPr="0013396E">
                    <w:rPr>
                      <w:sz w:val="20"/>
                    </w:rPr>
                    <w:t xml:space="preserve">MRACRF </w:t>
                  </w:r>
                  <w:r w:rsidRPr="0013396E">
                    <w:rPr>
                      <w:i/>
                      <w:sz w:val="20"/>
                      <w:vertAlign w:val="subscript"/>
                    </w:rPr>
                    <w:t>q, r, m</w:t>
                  </w:r>
                </w:p>
              </w:tc>
              <w:tc>
                <w:tcPr>
                  <w:tcW w:w="422" w:type="pct"/>
                </w:tcPr>
                <w:p w14:paraId="28337D5F" w14:textId="77777777" w:rsidR="0057461A" w:rsidRPr="0013396E" w:rsidRDefault="0057461A" w:rsidP="0057461A">
                  <w:pPr>
                    <w:spacing w:after="60"/>
                    <w:rPr>
                      <w:iCs/>
                      <w:sz w:val="20"/>
                    </w:rPr>
                  </w:pPr>
                  <w:r w:rsidRPr="0013396E">
                    <w:rPr>
                      <w:iCs/>
                      <w:sz w:val="20"/>
                    </w:rPr>
                    <w:t>None</w:t>
                  </w:r>
                </w:p>
              </w:tc>
              <w:tc>
                <w:tcPr>
                  <w:tcW w:w="3629" w:type="pct"/>
                </w:tcPr>
                <w:p w14:paraId="5A5D5DC8" w14:textId="67738693" w:rsidR="0057461A" w:rsidRPr="0013396E" w:rsidRDefault="0057461A" w:rsidP="0057461A">
                  <w:pPr>
                    <w:spacing w:after="60"/>
                    <w:rPr>
                      <w:i/>
                      <w:sz w:val="20"/>
                    </w:rPr>
                  </w:pPr>
                  <w:r w:rsidRPr="0013396E">
                    <w:rPr>
                      <w:i/>
                      <w:iCs/>
                      <w:sz w:val="20"/>
                    </w:rPr>
                    <w:t>Must-Run Alternative Generation Resource</w:t>
                  </w:r>
                  <w:r w:rsidR="00086215" w:rsidRPr="0013396E">
                    <w:rPr>
                      <w:i/>
                      <w:iCs/>
                      <w:sz w:val="20"/>
                    </w:rPr>
                    <w:t xml:space="preserve"> or ESR</w:t>
                  </w:r>
                  <w:r w:rsidRPr="0013396E">
                    <w:rPr>
                      <w:i/>
                      <w:iCs/>
                      <w:sz w:val="20"/>
                    </w:rPr>
                    <w:t xml:space="preserve"> </w:t>
                  </w:r>
                  <w:r w:rsidRPr="0013396E">
                    <w:rPr>
                      <w:i/>
                      <w:sz w:val="20"/>
                    </w:rPr>
                    <w:t xml:space="preserve">Capacity Reduction Factor per QSE per Resource per month </w:t>
                  </w:r>
                  <w:r w:rsidRPr="0013396E">
                    <w:rPr>
                      <w:sz w:val="20"/>
                    </w:rPr>
                    <w:t>—The capacity reduction factor of the Generation Resource</w:t>
                  </w:r>
                  <w:r w:rsidR="00086215" w:rsidRPr="0013396E">
                    <w:rPr>
                      <w:sz w:val="20"/>
                    </w:rPr>
                    <w:t xml:space="preserve"> or ESR</w:t>
                  </w:r>
                  <w:r w:rsidRPr="0013396E">
                    <w:rPr>
                      <w:sz w:val="20"/>
                    </w:rPr>
                    <w:t xml:space="preserve"> MRA</w:t>
                  </w:r>
                  <w:r w:rsidRPr="0013396E">
                    <w:rPr>
                      <w:i/>
                      <w:iCs/>
                      <w:sz w:val="20"/>
                    </w:rPr>
                    <w:t xml:space="preserve"> r </w:t>
                  </w:r>
                  <w:r w:rsidRPr="0013396E">
                    <w:rPr>
                      <w:iCs/>
                      <w:sz w:val="20"/>
                    </w:rPr>
                    <w:t xml:space="preserve">represented by QSE </w:t>
                  </w:r>
                  <w:r w:rsidRPr="0013396E">
                    <w:rPr>
                      <w:i/>
                      <w:iCs/>
                      <w:sz w:val="20"/>
                    </w:rPr>
                    <w:t>q</w:t>
                  </w:r>
                  <w:r w:rsidRPr="0013396E">
                    <w:rPr>
                      <w:sz w:val="20"/>
                    </w:rPr>
                    <w:t xml:space="preserve">, for each hour of the month </w:t>
                  </w:r>
                  <w:r w:rsidRPr="0013396E">
                    <w:rPr>
                      <w:i/>
                      <w:sz w:val="20"/>
                    </w:rPr>
                    <w:t>m</w:t>
                  </w:r>
                  <w:r w:rsidRPr="0013396E">
                    <w:rPr>
                      <w:sz w:val="20"/>
                    </w:rPr>
                    <w:t xml:space="preserve">.  Where for a Combined Cycle Train, the Resource </w:t>
                  </w:r>
                  <w:r w:rsidRPr="0013396E">
                    <w:rPr>
                      <w:i/>
                      <w:sz w:val="20"/>
                    </w:rPr>
                    <w:t xml:space="preserve">r </w:t>
                  </w:r>
                  <w:r w:rsidRPr="0013396E">
                    <w:rPr>
                      <w:sz w:val="20"/>
                    </w:rPr>
                    <w:t>is the Combined Cycle Train.</w:t>
                  </w:r>
                </w:p>
              </w:tc>
            </w:tr>
            <w:tr w:rsidR="00086215" w:rsidRPr="0013396E" w14:paraId="5C4BC205" w14:textId="77777777" w:rsidTr="00086215">
              <w:trPr>
                <w:cantSplit/>
              </w:trPr>
              <w:tc>
                <w:tcPr>
                  <w:tcW w:w="949" w:type="pct"/>
                </w:tcPr>
                <w:p w14:paraId="22BDAFAB" w14:textId="45DD60BA" w:rsidR="00086215" w:rsidRPr="0013396E" w:rsidRDefault="00086215" w:rsidP="00086215">
                  <w:pPr>
                    <w:spacing w:after="60"/>
                    <w:rPr>
                      <w:sz w:val="20"/>
                    </w:rPr>
                  </w:pPr>
                  <w:r w:rsidRPr="0013396E">
                    <w:rPr>
                      <w:sz w:val="20"/>
                    </w:rPr>
                    <w:t>MRAESRERF</w:t>
                  </w:r>
                  <w:r w:rsidRPr="0013396E">
                    <w:rPr>
                      <w:i/>
                      <w:sz w:val="20"/>
                    </w:rPr>
                    <w:t xml:space="preserve"> </w:t>
                  </w:r>
                  <w:r w:rsidRPr="0013396E">
                    <w:rPr>
                      <w:i/>
                      <w:sz w:val="20"/>
                      <w:vertAlign w:val="subscript"/>
                    </w:rPr>
                    <w:t xml:space="preserve">q, r, h  </w:t>
                  </w:r>
                </w:p>
              </w:tc>
              <w:tc>
                <w:tcPr>
                  <w:tcW w:w="422" w:type="pct"/>
                </w:tcPr>
                <w:p w14:paraId="6208EC11" w14:textId="58D49895" w:rsidR="00086215" w:rsidRPr="0013396E" w:rsidRDefault="00086215" w:rsidP="00086215">
                  <w:pPr>
                    <w:spacing w:after="60"/>
                    <w:rPr>
                      <w:iCs/>
                      <w:sz w:val="20"/>
                    </w:rPr>
                  </w:pPr>
                  <w:r w:rsidRPr="0013396E">
                    <w:rPr>
                      <w:iCs/>
                      <w:sz w:val="20"/>
                    </w:rPr>
                    <w:t>None</w:t>
                  </w:r>
                </w:p>
              </w:tc>
              <w:tc>
                <w:tcPr>
                  <w:tcW w:w="3629" w:type="pct"/>
                </w:tcPr>
                <w:p w14:paraId="0B5523D1" w14:textId="6EEE843D" w:rsidR="00086215" w:rsidRPr="0013396E" w:rsidRDefault="00086215" w:rsidP="00086215">
                  <w:pPr>
                    <w:spacing w:after="60"/>
                    <w:rPr>
                      <w:i/>
                      <w:iCs/>
                      <w:sz w:val="20"/>
                    </w:rPr>
                  </w:pPr>
                  <w:r w:rsidRPr="0013396E">
                    <w:rPr>
                      <w:i/>
                      <w:iCs/>
                      <w:sz w:val="20"/>
                    </w:rPr>
                    <w:t xml:space="preserve">Must-Run Alternative Energy Storage Resource Energy </w:t>
                  </w:r>
                  <w:r w:rsidRPr="0013396E">
                    <w:rPr>
                      <w:i/>
                      <w:sz w:val="20"/>
                    </w:rPr>
                    <w:t>Reduction Factor per QSE per Resource per hour</w:t>
                  </w:r>
                  <w:r w:rsidRPr="0013396E">
                    <w:rPr>
                      <w:sz w:val="20"/>
                    </w:rPr>
                    <w:t>—The energy reduction factor of the MRA ESR</w:t>
                  </w:r>
                  <w:r w:rsidRPr="0013396E">
                    <w:rPr>
                      <w:i/>
                      <w:iCs/>
                      <w:sz w:val="20"/>
                    </w:rPr>
                    <w:t xml:space="preserve"> r </w:t>
                  </w:r>
                  <w:r w:rsidRPr="0013396E">
                    <w:rPr>
                      <w:iCs/>
                      <w:sz w:val="20"/>
                    </w:rPr>
                    <w:t xml:space="preserve">represented by QSE </w:t>
                  </w:r>
                  <w:r w:rsidRPr="0013396E">
                    <w:rPr>
                      <w:i/>
                      <w:iCs/>
                      <w:sz w:val="20"/>
                    </w:rPr>
                    <w:t>q</w:t>
                  </w:r>
                  <w:r w:rsidRPr="0013396E">
                    <w:rPr>
                      <w:sz w:val="20"/>
                    </w:rPr>
                    <w:t xml:space="preserve">, for each hour </w:t>
                  </w:r>
                  <w:r w:rsidRPr="0013396E">
                    <w:rPr>
                      <w:i/>
                      <w:iCs/>
                      <w:sz w:val="20"/>
                    </w:rPr>
                    <w:t xml:space="preserve">h </w:t>
                  </w:r>
                  <w:r w:rsidRPr="0013396E">
                    <w:rPr>
                      <w:sz w:val="20"/>
                    </w:rPr>
                    <w:t xml:space="preserve">of the obligation block(s) of the month.  </w:t>
                  </w:r>
                </w:p>
              </w:tc>
            </w:tr>
            <w:tr w:rsidR="00086215" w:rsidRPr="0013396E" w14:paraId="7AED8052" w14:textId="77777777" w:rsidTr="00086215">
              <w:trPr>
                <w:cantSplit/>
              </w:trPr>
              <w:tc>
                <w:tcPr>
                  <w:tcW w:w="949" w:type="pct"/>
                </w:tcPr>
                <w:p w14:paraId="078859BD" w14:textId="4F53F884" w:rsidR="00086215" w:rsidRPr="0013396E" w:rsidRDefault="00086215" w:rsidP="00086215">
                  <w:pPr>
                    <w:spacing w:after="60"/>
                    <w:rPr>
                      <w:sz w:val="20"/>
                    </w:rPr>
                  </w:pPr>
                  <w:r w:rsidRPr="0013396E">
                    <w:rPr>
                      <w:iCs/>
                      <w:sz w:val="20"/>
                    </w:rPr>
                    <w:t>MRAHOSOC</w:t>
                  </w:r>
                  <w:r w:rsidRPr="0013396E">
                    <w:rPr>
                      <w:i/>
                      <w:sz w:val="20"/>
                    </w:rPr>
                    <w:t xml:space="preserve"> </w:t>
                  </w:r>
                  <w:r w:rsidRPr="0013396E">
                    <w:rPr>
                      <w:i/>
                      <w:sz w:val="20"/>
                      <w:vertAlign w:val="subscript"/>
                    </w:rPr>
                    <w:t>q, r, b, m</w:t>
                  </w:r>
                </w:p>
              </w:tc>
              <w:tc>
                <w:tcPr>
                  <w:tcW w:w="422" w:type="pct"/>
                </w:tcPr>
                <w:p w14:paraId="14E759CA" w14:textId="6371D092" w:rsidR="00086215" w:rsidRPr="0013396E" w:rsidRDefault="00086215" w:rsidP="00086215">
                  <w:pPr>
                    <w:spacing w:after="60"/>
                    <w:rPr>
                      <w:iCs/>
                      <w:sz w:val="20"/>
                    </w:rPr>
                  </w:pPr>
                  <w:r w:rsidRPr="0013396E">
                    <w:rPr>
                      <w:iCs/>
                      <w:sz w:val="20"/>
                    </w:rPr>
                    <w:t>MWh</w:t>
                  </w:r>
                </w:p>
              </w:tc>
              <w:tc>
                <w:tcPr>
                  <w:tcW w:w="3629" w:type="pct"/>
                </w:tcPr>
                <w:p w14:paraId="0A6C61B8" w14:textId="205B4B1B" w:rsidR="00086215" w:rsidRPr="0013396E" w:rsidRDefault="00086215" w:rsidP="00086215">
                  <w:pPr>
                    <w:spacing w:after="60"/>
                    <w:rPr>
                      <w:i/>
                      <w:iCs/>
                      <w:sz w:val="20"/>
                    </w:rPr>
                  </w:pPr>
                  <w:r w:rsidRPr="0013396E">
                    <w:rPr>
                      <w:i/>
                      <w:sz w:val="20"/>
                    </w:rPr>
                    <w:t>Must-Run Alternative Hour of Obligation Block State of Charge per QSE per Resource—</w:t>
                  </w:r>
                  <w:r w:rsidRPr="0013396E">
                    <w:rPr>
                      <w:sz w:val="20"/>
                    </w:rPr>
                    <w:t xml:space="preserve">The most recent telemetered state-of-charge prior to or at the start of the obligation block </w:t>
                  </w:r>
                  <w:r w:rsidRPr="0013396E">
                    <w:rPr>
                      <w:i/>
                      <w:iCs/>
                      <w:sz w:val="20"/>
                    </w:rPr>
                    <w:t>b</w:t>
                  </w:r>
                  <w:r w:rsidRPr="0013396E">
                    <w:rPr>
                      <w:sz w:val="20"/>
                    </w:rPr>
                    <w:t xml:space="preserve"> for MRA ESR </w:t>
                  </w:r>
                  <w:r w:rsidRPr="0013396E">
                    <w:rPr>
                      <w:i/>
                      <w:iCs/>
                      <w:sz w:val="20"/>
                    </w:rPr>
                    <w:t>r</w:t>
                  </w:r>
                  <w:r w:rsidRPr="0013396E">
                    <w:rPr>
                      <w:sz w:val="20"/>
                    </w:rPr>
                    <w:t xml:space="preserve"> represented by QSE </w:t>
                  </w:r>
                  <w:r w:rsidRPr="0013396E">
                    <w:rPr>
                      <w:i/>
                      <w:iCs/>
                      <w:sz w:val="20"/>
                    </w:rPr>
                    <w:t>q</w:t>
                  </w:r>
                  <w:r w:rsidRPr="0013396E">
                    <w:rPr>
                      <w:sz w:val="20"/>
                    </w:rPr>
                    <w:t xml:space="preserve"> as specified in the MRA Agreement, for the MRA Contracted Month </w:t>
                  </w:r>
                  <w:r w:rsidRPr="0013396E">
                    <w:rPr>
                      <w:i/>
                      <w:iCs/>
                      <w:sz w:val="20"/>
                    </w:rPr>
                    <w:t>m</w:t>
                  </w:r>
                  <w:r w:rsidRPr="0013396E">
                    <w:rPr>
                      <w:sz w:val="20"/>
                    </w:rPr>
                    <w:t xml:space="preserve">.  </w:t>
                  </w:r>
                </w:p>
              </w:tc>
            </w:tr>
            <w:tr w:rsidR="00086215" w:rsidRPr="0013396E" w14:paraId="56D91348" w14:textId="77777777" w:rsidTr="00086215">
              <w:trPr>
                <w:cantSplit/>
              </w:trPr>
              <w:tc>
                <w:tcPr>
                  <w:tcW w:w="949" w:type="pct"/>
                </w:tcPr>
                <w:p w14:paraId="3BF715CA" w14:textId="695D0B05" w:rsidR="00086215" w:rsidRPr="0013396E" w:rsidRDefault="00086215" w:rsidP="00086215">
                  <w:pPr>
                    <w:spacing w:after="60"/>
                    <w:rPr>
                      <w:sz w:val="20"/>
                    </w:rPr>
                  </w:pPr>
                  <w:r w:rsidRPr="0013396E">
                    <w:rPr>
                      <w:iCs/>
                      <w:sz w:val="20"/>
                    </w:rPr>
                    <w:t>MRABHO</w:t>
                  </w:r>
                  <w:r w:rsidRPr="0013396E">
                    <w:rPr>
                      <w:sz w:val="20"/>
                    </w:rPr>
                    <w:t xml:space="preserve"> </w:t>
                  </w:r>
                  <w:r w:rsidRPr="0013396E">
                    <w:rPr>
                      <w:i/>
                      <w:sz w:val="20"/>
                      <w:vertAlign w:val="subscript"/>
                    </w:rPr>
                    <w:t>q, r, b, m</w:t>
                  </w:r>
                </w:p>
              </w:tc>
              <w:tc>
                <w:tcPr>
                  <w:tcW w:w="422" w:type="pct"/>
                </w:tcPr>
                <w:p w14:paraId="110BBFC7" w14:textId="317CB235" w:rsidR="00086215" w:rsidRPr="0013396E" w:rsidRDefault="00086215" w:rsidP="00086215">
                  <w:pPr>
                    <w:spacing w:after="60"/>
                    <w:rPr>
                      <w:iCs/>
                      <w:sz w:val="20"/>
                    </w:rPr>
                  </w:pPr>
                  <w:r w:rsidRPr="0013396E">
                    <w:rPr>
                      <w:iCs/>
                      <w:sz w:val="20"/>
                    </w:rPr>
                    <w:t>Hours</w:t>
                  </w:r>
                </w:p>
              </w:tc>
              <w:tc>
                <w:tcPr>
                  <w:tcW w:w="3629" w:type="pct"/>
                </w:tcPr>
                <w:p w14:paraId="0AC8DD29" w14:textId="17CD6A9B" w:rsidR="00086215" w:rsidRPr="0013396E" w:rsidRDefault="00086215" w:rsidP="00086215">
                  <w:pPr>
                    <w:spacing w:after="60"/>
                    <w:rPr>
                      <w:i/>
                      <w:iCs/>
                      <w:sz w:val="20"/>
                    </w:rPr>
                  </w:pPr>
                  <w:r w:rsidRPr="0013396E">
                    <w:rPr>
                      <w:i/>
                      <w:iCs/>
                      <w:sz w:val="20"/>
                    </w:rPr>
                    <w:t xml:space="preserve">Must-Run Alternative </w:t>
                  </w:r>
                  <w:r w:rsidRPr="0013396E">
                    <w:rPr>
                      <w:i/>
                      <w:sz w:val="20"/>
                    </w:rPr>
                    <w:t>Hours of Obligation Block per QSE per Resource—</w:t>
                  </w:r>
                  <w:r w:rsidRPr="0013396E">
                    <w:rPr>
                      <w:iCs/>
                      <w:sz w:val="20"/>
                    </w:rPr>
                    <w:t xml:space="preserve">The number of hours per block </w:t>
                  </w:r>
                  <w:r w:rsidRPr="0013396E">
                    <w:rPr>
                      <w:i/>
                      <w:sz w:val="20"/>
                    </w:rPr>
                    <w:t xml:space="preserve">b </w:t>
                  </w:r>
                  <w:r w:rsidRPr="0013396E">
                    <w:rPr>
                      <w:iCs/>
                      <w:sz w:val="20"/>
                    </w:rPr>
                    <w:t xml:space="preserve">of hours of obligation for </w:t>
                  </w:r>
                  <w:r w:rsidRPr="0013396E">
                    <w:rPr>
                      <w:sz w:val="20"/>
                    </w:rPr>
                    <w:t xml:space="preserve">a registered MRA ESR </w:t>
                  </w:r>
                  <w:r w:rsidRPr="0013396E">
                    <w:rPr>
                      <w:i/>
                      <w:iCs/>
                      <w:sz w:val="20"/>
                    </w:rPr>
                    <w:t>r,</w:t>
                  </w:r>
                  <w:r w:rsidRPr="0013396E">
                    <w:rPr>
                      <w:sz w:val="20"/>
                    </w:rPr>
                    <w:t xml:space="preserve"> represented by QSE </w:t>
                  </w:r>
                  <w:r w:rsidRPr="0013396E">
                    <w:rPr>
                      <w:i/>
                      <w:iCs/>
                      <w:sz w:val="20"/>
                    </w:rPr>
                    <w:t>q,</w:t>
                  </w:r>
                  <w:r w:rsidRPr="0013396E">
                    <w:rPr>
                      <w:sz w:val="20"/>
                    </w:rPr>
                    <w:t xml:space="preserve"> as specified in the MRA Agreement, for the MRA Contracted Month </w:t>
                  </w:r>
                  <w:r w:rsidRPr="0013396E">
                    <w:rPr>
                      <w:i/>
                      <w:iCs/>
                      <w:sz w:val="20"/>
                    </w:rPr>
                    <w:t>m.</w:t>
                  </w:r>
                  <w:r w:rsidRPr="0013396E">
                    <w:rPr>
                      <w:sz w:val="20"/>
                    </w:rPr>
                    <w:t xml:space="preserve">  </w:t>
                  </w:r>
                </w:p>
              </w:tc>
            </w:tr>
            <w:tr w:rsidR="0057461A" w:rsidRPr="0013396E" w14:paraId="65A7DD3D" w14:textId="77777777" w:rsidTr="00086215">
              <w:trPr>
                <w:cantSplit/>
              </w:trPr>
              <w:tc>
                <w:tcPr>
                  <w:tcW w:w="949" w:type="pct"/>
                </w:tcPr>
                <w:p w14:paraId="1B2FAD86" w14:textId="77777777" w:rsidR="0057461A" w:rsidRPr="0013396E" w:rsidRDefault="0057461A" w:rsidP="0057461A">
                  <w:pPr>
                    <w:spacing w:after="60"/>
                    <w:rPr>
                      <w:iCs/>
                      <w:sz w:val="20"/>
                    </w:rPr>
                  </w:pPr>
                  <w:r w:rsidRPr="0013396E">
                    <w:rPr>
                      <w:sz w:val="20"/>
                    </w:rPr>
                    <w:t>MRACCAP</w:t>
                  </w:r>
                  <w:r w:rsidRPr="0013396E">
                    <w:rPr>
                      <w:sz w:val="20"/>
                      <w:vertAlign w:val="subscript"/>
                    </w:rPr>
                    <w:t xml:space="preserve"> </w:t>
                  </w:r>
                  <w:r w:rsidRPr="0013396E">
                    <w:rPr>
                      <w:i/>
                      <w:sz w:val="20"/>
                      <w:vertAlign w:val="subscript"/>
                    </w:rPr>
                    <w:t xml:space="preserve">q, r, </w:t>
                  </w:r>
                  <w:r w:rsidRPr="0013396E">
                    <w:rPr>
                      <w:i/>
                      <w:iCs/>
                      <w:sz w:val="20"/>
                      <w:vertAlign w:val="subscript"/>
                    </w:rPr>
                    <w:t>m</w:t>
                  </w:r>
                </w:p>
              </w:tc>
              <w:tc>
                <w:tcPr>
                  <w:tcW w:w="422" w:type="pct"/>
                </w:tcPr>
                <w:p w14:paraId="0F20AD86" w14:textId="77777777" w:rsidR="0057461A" w:rsidRPr="0013396E" w:rsidRDefault="0057461A" w:rsidP="0057461A">
                  <w:pPr>
                    <w:spacing w:after="60"/>
                    <w:rPr>
                      <w:iCs/>
                      <w:sz w:val="20"/>
                    </w:rPr>
                  </w:pPr>
                  <w:r w:rsidRPr="0013396E">
                    <w:rPr>
                      <w:iCs/>
                      <w:sz w:val="20"/>
                    </w:rPr>
                    <w:t>MW</w:t>
                  </w:r>
                </w:p>
              </w:tc>
              <w:tc>
                <w:tcPr>
                  <w:tcW w:w="3629" w:type="pct"/>
                </w:tcPr>
                <w:p w14:paraId="73AD97DD" w14:textId="77777777" w:rsidR="0057461A" w:rsidRPr="0013396E" w:rsidRDefault="0057461A" w:rsidP="0057461A">
                  <w:pPr>
                    <w:spacing w:after="60"/>
                    <w:rPr>
                      <w:i/>
                      <w:iCs/>
                      <w:sz w:val="20"/>
                    </w:rPr>
                  </w:pPr>
                  <w:r w:rsidRPr="0013396E">
                    <w:rPr>
                      <w:i/>
                      <w:sz w:val="20"/>
                    </w:rPr>
                    <w:t>Must-Run Alternative Contract Capacity per QSE per Resource</w:t>
                  </w:r>
                  <w:r w:rsidRPr="0013396E">
                    <w:rPr>
                      <w:sz w:val="20"/>
                    </w:rPr>
                    <w:t xml:space="preserve">—The capacity of MRA </w:t>
                  </w:r>
                  <w:r w:rsidRPr="0013396E">
                    <w:rPr>
                      <w:i/>
                      <w:sz w:val="20"/>
                    </w:rPr>
                    <w:t>r</w:t>
                  </w:r>
                  <w:r w:rsidRPr="0013396E">
                    <w:rPr>
                      <w:sz w:val="20"/>
                    </w:rPr>
                    <w:t xml:space="preserve"> represented by QSE </w:t>
                  </w:r>
                  <w:r w:rsidRPr="0013396E">
                    <w:rPr>
                      <w:i/>
                      <w:sz w:val="20"/>
                    </w:rPr>
                    <w:t>q</w:t>
                  </w:r>
                  <w:r w:rsidRPr="0013396E">
                    <w:rPr>
                      <w:sz w:val="20"/>
                    </w:rPr>
                    <w:t xml:space="preserve"> as specified in the MRA Agreement, for the MRA Contracted Month </w:t>
                  </w:r>
                  <w:r w:rsidRPr="0013396E">
                    <w:rPr>
                      <w:i/>
                      <w:sz w:val="20"/>
                    </w:rPr>
                    <w:t>m</w:t>
                  </w:r>
                  <w:r w:rsidRPr="0013396E">
                    <w:rPr>
                      <w:sz w:val="20"/>
                    </w:rPr>
                    <w:t xml:space="preserve">.  Where for a Combined Cycle Train, the Resource </w:t>
                  </w:r>
                  <w:r w:rsidRPr="0013396E">
                    <w:rPr>
                      <w:i/>
                      <w:sz w:val="20"/>
                    </w:rPr>
                    <w:t xml:space="preserve">r </w:t>
                  </w:r>
                  <w:r w:rsidRPr="0013396E">
                    <w:rPr>
                      <w:sz w:val="20"/>
                    </w:rPr>
                    <w:t>is the Combined Cycle Train.</w:t>
                  </w:r>
                </w:p>
              </w:tc>
            </w:tr>
            <w:tr w:rsidR="0057461A" w:rsidRPr="0013396E" w14:paraId="1DB97EC9" w14:textId="77777777" w:rsidTr="00086215">
              <w:trPr>
                <w:cantSplit/>
              </w:trPr>
              <w:tc>
                <w:tcPr>
                  <w:tcW w:w="949" w:type="pct"/>
                </w:tcPr>
                <w:p w14:paraId="73DF52FC" w14:textId="77777777" w:rsidR="0057461A" w:rsidRPr="0013396E" w:rsidRDefault="0057461A" w:rsidP="0057461A">
                  <w:pPr>
                    <w:spacing w:after="60"/>
                    <w:rPr>
                      <w:sz w:val="20"/>
                    </w:rPr>
                  </w:pPr>
                  <w:r w:rsidRPr="0013396E">
                    <w:rPr>
                      <w:sz w:val="20"/>
                    </w:rPr>
                    <w:t xml:space="preserve">MRAARF </w:t>
                  </w:r>
                  <w:r w:rsidRPr="0013396E">
                    <w:rPr>
                      <w:i/>
                      <w:sz w:val="20"/>
                      <w:vertAlign w:val="subscript"/>
                    </w:rPr>
                    <w:t>q, r, m</w:t>
                  </w:r>
                </w:p>
              </w:tc>
              <w:tc>
                <w:tcPr>
                  <w:tcW w:w="422" w:type="pct"/>
                </w:tcPr>
                <w:p w14:paraId="597F87FA" w14:textId="77777777" w:rsidR="0057461A" w:rsidRPr="0013396E" w:rsidRDefault="0057461A" w:rsidP="0057461A">
                  <w:pPr>
                    <w:spacing w:after="60"/>
                    <w:rPr>
                      <w:sz w:val="20"/>
                    </w:rPr>
                  </w:pPr>
                  <w:r w:rsidRPr="0013396E">
                    <w:rPr>
                      <w:sz w:val="20"/>
                    </w:rPr>
                    <w:t>None</w:t>
                  </w:r>
                </w:p>
              </w:tc>
              <w:tc>
                <w:tcPr>
                  <w:tcW w:w="3629" w:type="pct"/>
                </w:tcPr>
                <w:p w14:paraId="0C907A89" w14:textId="77777777" w:rsidR="0057461A" w:rsidRPr="0013396E" w:rsidRDefault="0057461A" w:rsidP="0057461A">
                  <w:pPr>
                    <w:spacing w:after="60"/>
                    <w:rPr>
                      <w:i/>
                      <w:sz w:val="20"/>
                    </w:rPr>
                  </w:pPr>
                  <w:r w:rsidRPr="0013396E">
                    <w:rPr>
                      <w:i/>
                      <w:sz w:val="20"/>
                    </w:rPr>
                    <w:t xml:space="preserve">Must-Run </w:t>
                  </w:r>
                  <w:r w:rsidRPr="0013396E">
                    <w:rPr>
                      <w:i/>
                      <w:iCs/>
                      <w:sz w:val="20"/>
                    </w:rPr>
                    <w:t xml:space="preserve">Alternative </w:t>
                  </w:r>
                  <w:r w:rsidRPr="0013396E">
                    <w:rPr>
                      <w:i/>
                      <w:sz w:val="20"/>
                    </w:rPr>
                    <w:t>Availability Reduction Factor per QSE per Resource</w:t>
                  </w:r>
                  <w:r w:rsidRPr="0013396E">
                    <w:rPr>
                      <w:sz w:val="20"/>
                    </w:rPr>
                    <w:t xml:space="preserve">—The availability reduction factor of MRA </w:t>
                  </w:r>
                  <w:r w:rsidRPr="0013396E">
                    <w:rPr>
                      <w:i/>
                      <w:sz w:val="20"/>
                    </w:rPr>
                    <w:t>r</w:t>
                  </w:r>
                  <w:r w:rsidRPr="0013396E">
                    <w:rPr>
                      <w:sz w:val="20"/>
                    </w:rPr>
                    <w:t xml:space="preserve"> represented by QSE </w:t>
                  </w:r>
                  <w:r w:rsidRPr="0013396E">
                    <w:rPr>
                      <w:i/>
                      <w:sz w:val="20"/>
                    </w:rPr>
                    <w:t>q</w:t>
                  </w:r>
                  <w:r w:rsidRPr="0013396E">
                    <w:rPr>
                      <w:sz w:val="20"/>
                    </w:rPr>
                    <w:t xml:space="preserve">, for each hour of the MRA Contracted Month </w:t>
                  </w:r>
                  <w:r w:rsidRPr="0013396E">
                    <w:rPr>
                      <w:i/>
                      <w:sz w:val="20"/>
                    </w:rPr>
                    <w:t>m</w:t>
                  </w:r>
                  <w:r w:rsidRPr="0013396E">
                    <w:rPr>
                      <w:sz w:val="20"/>
                    </w:rPr>
                    <w:t xml:space="preserve">.  Where for a Combined Cycle Train, the Resource </w:t>
                  </w:r>
                  <w:r w:rsidRPr="0013396E">
                    <w:rPr>
                      <w:i/>
                      <w:sz w:val="20"/>
                    </w:rPr>
                    <w:t xml:space="preserve">r </w:t>
                  </w:r>
                  <w:r w:rsidRPr="0013396E">
                    <w:rPr>
                      <w:sz w:val="20"/>
                    </w:rPr>
                    <w:t>is the Combined Cycle Train.</w:t>
                  </w:r>
                </w:p>
              </w:tc>
            </w:tr>
            <w:tr w:rsidR="0057461A" w:rsidRPr="0013396E" w14:paraId="3CC299EA" w14:textId="77777777" w:rsidTr="00086215">
              <w:trPr>
                <w:cantSplit/>
              </w:trPr>
              <w:tc>
                <w:tcPr>
                  <w:tcW w:w="949" w:type="pct"/>
                </w:tcPr>
                <w:p w14:paraId="7041B484" w14:textId="77777777" w:rsidR="0057461A" w:rsidRPr="0013396E" w:rsidRDefault="0057461A" w:rsidP="0057461A">
                  <w:pPr>
                    <w:spacing w:after="60"/>
                    <w:rPr>
                      <w:sz w:val="20"/>
                    </w:rPr>
                  </w:pPr>
                  <w:r w:rsidRPr="0013396E">
                    <w:rPr>
                      <w:sz w:val="20"/>
                    </w:rPr>
                    <w:t>MRATCAPA</w:t>
                  </w:r>
                  <w:r w:rsidRPr="0013396E">
                    <w:rPr>
                      <w:sz w:val="20"/>
                      <w:vertAlign w:val="subscript"/>
                    </w:rPr>
                    <w:t xml:space="preserve"> </w:t>
                  </w:r>
                  <w:r w:rsidRPr="0013396E">
                    <w:rPr>
                      <w:i/>
                      <w:sz w:val="20"/>
                      <w:vertAlign w:val="subscript"/>
                    </w:rPr>
                    <w:t>q, r, m</w:t>
                  </w:r>
                </w:p>
              </w:tc>
              <w:tc>
                <w:tcPr>
                  <w:tcW w:w="422" w:type="pct"/>
                </w:tcPr>
                <w:p w14:paraId="23B72171" w14:textId="77777777" w:rsidR="0057461A" w:rsidRPr="0013396E" w:rsidRDefault="0057461A" w:rsidP="0057461A">
                  <w:pPr>
                    <w:spacing w:after="60"/>
                    <w:rPr>
                      <w:sz w:val="20"/>
                    </w:rPr>
                  </w:pPr>
                  <w:r w:rsidRPr="0013396E">
                    <w:rPr>
                      <w:sz w:val="20"/>
                    </w:rPr>
                    <w:t>MW</w:t>
                  </w:r>
                </w:p>
              </w:tc>
              <w:tc>
                <w:tcPr>
                  <w:tcW w:w="3629" w:type="pct"/>
                </w:tcPr>
                <w:p w14:paraId="438ABEB2" w14:textId="77777777" w:rsidR="0057461A" w:rsidRPr="0013396E" w:rsidRDefault="0057461A" w:rsidP="0057461A">
                  <w:pPr>
                    <w:spacing w:after="60"/>
                    <w:rPr>
                      <w:i/>
                      <w:sz w:val="20"/>
                    </w:rPr>
                  </w:pPr>
                  <w:r w:rsidRPr="0013396E">
                    <w:rPr>
                      <w:i/>
                      <w:sz w:val="20"/>
                    </w:rPr>
                    <w:t xml:space="preserve">Must-Run </w:t>
                  </w:r>
                  <w:r w:rsidRPr="0013396E">
                    <w:rPr>
                      <w:i/>
                      <w:iCs/>
                      <w:sz w:val="20"/>
                    </w:rPr>
                    <w:t xml:space="preserve">Alternative </w:t>
                  </w:r>
                  <w:r w:rsidRPr="0013396E">
                    <w:rPr>
                      <w:i/>
                      <w:sz w:val="20"/>
                    </w:rPr>
                    <w:t>Testing Capacity Adjustment per month</w:t>
                  </w:r>
                  <w:r w:rsidRPr="0013396E">
                    <w:rPr>
                      <w:sz w:val="20"/>
                    </w:rPr>
                    <w:t>—The testing capacity adjustment factor of an MRA</w:t>
                  </w:r>
                  <w:r w:rsidRPr="0013396E">
                    <w:rPr>
                      <w:i/>
                      <w:sz w:val="20"/>
                    </w:rPr>
                    <w:t xml:space="preserve"> r</w:t>
                  </w:r>
                  <w:r w:rsidRPr="0013396E">
                    <w:rPr>
                      <w:sz w:val="20"/>
                    </w:rPr>
                    <w:t xml:space="preserve"> represented by QSE </w:t>
                  </w:r>
                  <w:r w:rsidRPr="0013396E">
                    <w:rPr>
                      <w:i/>
                      <w:sz w:val="20"/>
                    </w:rPr>
                    <w:t>q</w:t>
                  </w:r>
                  <w:r w:rsidRPr="0013396E">
                    <w:rPr>
                      <w:sz w:val="20"/>
                    </w:rPr>
                    <w:t xml:space="preserve">, for each hour of the MRA Contracted Month </w:t>
                  </w:r>
                  <w:r w:rsidRPr="0013396E">
                    <w:rPr>
                      <w:i/>
                      <w:sz w:val="20"/>
                    </w:rPr>
                    <w:t>m</w:t>
                  </w:r>
                  <w:r w:rsidRPr="0013396E">
                    <w:rPr>
                      <w:sz w:val="20"/>
                    </w:rPr>
                    <w:t xml:space="preserve">.  Where for a Combined Cycle Train, the Resource </w:t>
                  </w:r>
                  <w:r w:rsidRPr="0013396E">
                    <w:rPr>
                      <w:i/>
                      <w:sz w:val="20"/>
                    </w:rPr>
                    <w:t xml:space="preserve">r </w:t>
                  </w:r>
                  <w:r w:rsidRPr="0013396E">
                    <w:rPr>
                      <w:sz w:val="20"/>
                    </w:rPr>
                    <w:t>is the Combined Cycle Train.</w:t>
                  </w:r>
                </w:p>
              </w:tc>
            </w:tr>
            <w:tr w:rsidR="0057461A" w:rsidRPr="0013396E" w14:paraId="0CC78211" w14:textId="77777777" w:rsidTr="00086215">
              <w:trPr>
                <w:cantSplit/>
              </w:trPr>
              <w:tc>
                <w:tcPr>
                  <w:tcW w:w="949" w:type="pct"/>
                </w:tcPr>
                <w:p w14:paraId="10978B64" w14:textId="77777777" w:rsidR="0057461A" w:rsidRPr="0013396E" w:rsidRDefault="0057461A" w:rsidP="0057461A">
                  <w:pPr>
                    <w:spacing w:after="60"/>
                    <w:rPr>
                      <w:sz w:val="20"/>
                    </w:rPr>
                  </w:pPr>
                  <w:r w:rsidRPr="0013396E">
                    <w:rPr>
                      <w:sz w:val="20"/>
                    </w:rPr>
                    <w:t xml:space="preserve">MRATCAP </w:t>
                  </w:r>
                  <w:r w:rsidRPr="0013396E">
                    <w:rPr>
                      <w:i/>
                      <w:sz w:val="20"/>
                      <w:vertAlign w:val="subscript"/>
                    </w:rPr>
                    <w:t>q, r, m</w:t>
                  </w:r>
                </w:p>
              </w:tc>
              <w:tc>
                <w:tcPr>
                  <w:tcW w:w="422" w:type="pct"/>
                </w:tcPr>
                <w:p w14:paraId="20CB2597" w14:textId="77777777" w:rsidR="0057461A" w:rsidRPr="0013396E" w:rsidRDefault="0057461A" w:rsidP="0057461A">
                  <w:pPr>
                    <w:spacing w:after="60"/>
                    <w:rPr>
                      <w:sz w:val="20"/>
                    </w:rPr>
                  </w:pPr>
                  <w:r w:rsidRPr="0013396E">
                    <w:rPr>
                      <w:sz w:val="20"/>
                    </w:rPr>
                    <w:t>MW</w:t>
                  </w:r>
                </w:p>
              </w:tc>
              <w:tc>
                <w:tcPr>
                  <w:tcW w:w="3629" w:type="pct"/>
                </w:tcPr>
                <w:p w14:paraId="2C6DD66B" w14:textId="77777777" w:rsidR="0057461A" w:rsidRPr="0013396E" w:rsidRDefault="0057461A" w:rsidP="0057461A">
                  <w:pPr>
                    <w:spacing w:after="60"/>
                    <w:rPr>
                      <w:i/>
                      <w:sz w:val="20"/>
                    </w:rPr>
                  </w:pPr>
                  <w:r w:rsidRPr="0013396E">
                    <w:rPr>
                      <w:i/>
                      <w:sz w:val="20"/>
                    </w:rPr>
                    <w:t xml:space="preserve">Must-Run </w:t>
                  </w:r>
                  <w:r w:rsidRPr="0013396E">
                    <w:rPr>
                      <w:i/>
                      <w:iCs/>
                      <w:sz w:val="20"/>
                    </w:rPr>
                    <w:t xml:space="preserve">Alternative </w:t>
                  </w:r>
                  <w:r w:rsidRPr="0013396E">
                    <w:rPr>
                      <w:i/>
                      <w:sz w:val="20"/>
                    </w:rPr>
                    <w:t>Testing Capacity per month</w:t>
                  </w:r>
                  <w:r w:rsidRPr="0013396E">
                    <w:rPr>
                      <w:sz w:val="20"/>
                    </w:rPr>
                    <w:t>—The testing capacity value of MRA</w:t>
                  </w:r>
                  <w:r w:rsidRPr="0013396E">
                    <w:rPr>
                      <w:i/>
                      <w:sz w:val="20"/>
                    </w:rPr>
                    <w:t xml:space="preserve"> r</w:t>
                  </w:r>
                  <w:r w:rsidRPr="0013396E">
                    <w:rPr>
                      <w:sz w:val="20"/>
                    </w:rPr>
                    <w:t xml:space="preserve"> represented by QSE </w:t>
                  </w:r>
                  <w:r w:rsidRPr="0013396E">
                    <w:rPr>
                      <w:i/>
                      <w:sz w:val="20"/>
                    </w:rPr>
                    <w:t>q</w:t>
                  </w:r>
                  <w:r w:rsidRPr="0013396E">
                    <w:rPr>
                      <w:sz w:val="20"/>
                    </w:rPr>
                    <w:t xml:space="preserve">, for each hour of the MRA Contracted Month </w:t>
                  </w:r>
                  <w:r w:rsidRPr="0013396E">
                    <w:rPr>
                      <w:i/>
                      <w:sz w:val="20"/>
                    </w:rPr>
                    <w:t>m</w:t>
                  </w:r>
                  <w:r w:rsidRPr="0013396E">
                    <w:rPr>
                      <w:sz w:val="20"/>
                    </w:rPr>
                    <w:t xml:space="preserve">.  If the MRATCAP for the month is not available then the most recent MRATCAP prior to month of the Operating Day shall be used.  If no previous MRATCAP is available, then MRATCAP shall be set to MRACCAP.  Where for a Combined Cycle Train, the Resource </w:t>
                  </w:r>
                  <w:r w:rsidRPr="0013396E">
                    <w:rPr>
                      <w:i/>
                      <w:sz w:val="20"/>
                    </w:rPr>
                    <w:t xml:space="preserve">r </w:t>
                  </w:r>
                  <w:r w:rsidRPr="0013396E">
                    <w:rPr>
                      <w:sz w:val="20"/>
                    </w:rPr>
                    <w:t xml:space="preserve">is a Combined Cycle Train. </w:t>
                  </w:r>
                </w:p>
              </w:tc>
            </w:tr>
            <w:tr w:rsidR="0057461A" w:rsidRPr="0013396E" w14:paraId="4BBFA75D" w14:textId="77777777" w:rsidTr="00086215">
              <w:trPr>
                <w:cantSplit/>
              </w:trPr>
              <w:tc>
                <w:tcPr>
                  <w:tcW w:w="949" w:type="pct"/>
                </w:tcPr>
                <w:p w14:paraId="5CD58CAF" w14:textId="77777777" w:rsidR="0057461A" w:rsidRPr="0013396E" w:rsidRDefault="0057461A" w:rsidP="0057461A">
                  <w:pPr>
                    <w:spacing w:after="60"/>
                    <w:rPr>
                      <w:iCs/>
                      <w:sz w:val="20"/>
                    </w:rPr>
                  </w:pPr>
                  <w:r w:rsidRPr="0013396E">
                    <w:rPr>
                      <w:sz w:val="20"/>
                    </w:rPr>
                    <w:lastRenderedPageBreak/>
                    <w:t xml:space="preserve">MRATA </w:t>
                  </w:r>
                  <w:r w:rsidRPr="0013396E">
                    <w:rPr>
                      <w:i/>
                      <w:sz w:val="20"/>
                      <w:vertAlign w:val="subscript"/>
                    </w:rPr>
                    <w:t>q, r, m</w:t>
                  </w:r>
                </w:p>
              </w:tc>
              <w:tc>
                <w:tcPr>
                  <w:tcW w:w="422" w:type="pct"/>
                </w:tcPr>
                <w:p w14:paraId="0782EC7F" w14:textId="77777777" w:rsidR="0057461A" w:rsidRPr="0013396E" w:rsidRDefault="0057461A" w:rsidP="0057461A">
                  <w:pPr>
                    <w:spacing w:after="60"/>
                    <w:rPr>
                      <w:iCs/>
                      <w:sz w:val="20"/>
                    </w:rPr>
                  </w:pPr>
                  <w:r w:rsidRPr="0013396E">
                    <w:rPr>
                      <w:sz w:val="20"/>
                    </w:rPr>
                    <w:t>None</w:t>
                  </w:r>
                </w:p>
              </w:tc>
              <w:tc>
                <w:tcPr>
                  <w:tcW w:w="3629" w:type="pct"/>
                </w:tcPr>
                <w:p w14:paraId="44B76C39" w14:textId="77777777" w:rsidR="0057461A" w:rsidRPr="0013396E" w:rsidRDefault="0057461A" w:rsidP="0057461A">
                  <w:pPr>
                    <w:spacing w:after="60"/>
                    <w:rPr>
                      <w:i/>
                      <w:iCs/>
                      <w:sz w:val="20"/>
                    </w:rPr>
                  </w:pPr>
                  <w:r w:rsidRPr="0013396E">
                    <w:rPr>
                      <w:i/>
                      <w:sz w:val="20"/>
                    </w:rPr>
                    <w:t>Must-Run Alternative Target Availability per QSE per Resource per Month</w:t>
                  </w:r>
                  <w:r w:rsidRPr="0013396E">
                    <w:rPr>
                      <w:sz w:val="20"/>
                    </w:rPr>
                    <w:t>—The monthly Target Availability of MRA</w:t>
                  </w:r>
                  <w:r w:rsidRPr="0013396E">
                    <w:rPr>
                      <w:i/>
                      <w:sz w:val="20"/>
                    </w:rPr>
                    <w:t xml:space="preserve"> r</w:t>
                  </w:r>
                  <w:r w:rsidRPr="0013396E">
                    <w:rPr>
                      <w:sz w:val="20"/>
                    </w:rPr>
                    <w:t xml:space="preserve"> represented by QSE </w:t>
                  </w:r>
                  <w:r w:rsidRPr="0013396E">
                    <w:rPr>
                      <w:i/>
                      <w:sz w:val="20"/>
                    </w:rPr>
                    <w:t>q</w:t>
                  </w:r>
                  <w:r w:rsidRPr="0013396E">
                    <w:rPr>
                      <w:sz w:val="20"/>
                    </w:rPr>
                    <w:t xml:space="preserve">, as specified in the MRA Agreement and divided by 100 to convert a percentage to a fraction.  Where for a Combined Cycle Train, the Resource </w:t>
                  </w:r>
                  <w:r w:rsidRPr="0013396E">
                    <w:rPr>
                      <w:i/>
                      <w:sz w:val="20"/>
                    </w:rPr>
                    <w:t xml:space="preserve">r </w:t>
                  </w:r>
                  <w:r w:rsidRPr="0013396E">
                    <w:rPr>
                      <w:sz w:val="20"/>
                    </w:rPr>
                    <w:t>is a Combined Cycle Train.</w:t>
                  </w:r>
                </w:p>
              </w:tc>
            </w:tr>
            <w:tr w:rsidR="0057461A" w:rsidRPr="0013396E" w14:paraId="640B4393" w14:textId="77777777" w:rsidTr="00086215">
              <w:trPr>
                <w:cantSplit/>
              </w:trPr>
              <w:tc>
                <w:tcPr>
                  <w:tcW w:w="949" w:type="pct"/>
                </w:tcPr>
                <w:p w14:paraId="128480C4" w14:textId="77777777" w:rsidR="0057461A" w:rsidRPr="0013396E" w:rsidRDefault="0057461A" w:rsidP="0057461A">
                  <w:pPr>
                    <w:spacing w:after="60"/>
                    <w:rPr>
                      <w:strike/>
                      <w:sz w:val="20"/>
                    </w:rPr>
                  </w:pPr>
                  <w:r w:rsidRPr="0013396E">
                    <w:rPr>
                      <w:sz w:val="20"/>
                    </w:rPr>
                    <w:t xml:space="preserve">MRACMAF </w:t>
                  </w:r>
                  <w:r w:rsidRPr="0013396E">
                    <w:rPr>
                      <w:i/>
                      <w:sz w:val="20"/>
                      <w:vertAlign w:val="subscript"/>
                    </w:rPr>
                    <w:t>q, r, m</w:t>
                  </w:r>
                </w:p>
              </w:tc>
              <w:tc>
                <w:tcPr>
                  <w:tcW w:w="422" w:type="pct"/>
                </w:tcPr>
                <w:p w14:paraId="004C9ADA" w14:textId="77777777" w:rsidR="0057461A" w:rsidRPr="0013396E" w:rsidRDefault="0057461A" w:rsidP="0057461A">
                  <w:pPr>
                    <w:spacing w:after="60"/>
                    <w:rPr>
                      <w:strike/>
                      <w:sz w:val="20"/>
                    </w:rPr>
                  </w:pPr>
                  <w:r w:rsidRPr="0013396E">
                    <w:rPr>
                      <w:sz w:val="20"/>
                    </w:rPr>
                    <w:t>None</w:t>
                  </w:r>
                </w:p>
              </w:tc>
              <w:tc>
                <w:tcPr>
                  <w:tcW w:w="3629" w:type="pct"/>
                </w:tcPr>
                <w:p w14:paraId="15DD40CA" w14:textId="77777777" w:rsidR="0057461A" w:rsidRPr="0013396E" w:rsidRDefault="0057461A" w:rsidP="0057461A">
                  <w:pPr>
                    <w:spacing w:after="60"/>
                    <w:rPr>
                      <w:i/>
                      <w:strike/>
                      <w:sz w:val="20"/>
                    </w:rPr>
                  </w:pPr>
                  <w:r w:rsidRPr="0013396E">
                    <w:rPr>
                      <w:i/>
                      <w:sz w:val="20"/>
                    </w:rPr>
                    <w:t xml:space="preserve">Must-Run </w:t>
                  </w:r>
                  <w:r w:rsidRPr="0013396E">
                    <w:rPr>
                      <w:i/>
                      <w:iCs/>
                      <w:sz w:val="20"/>
                    </w:rPr>
                    <w:t xml:space="preserve">Alternative Calculated Monthly </w:t>
                  </w:r>
                  <w:r w:rsidRPr="0013396E">
                    <w:rPr>
                      <w:i/>
                      <w:sz w:val="20"/>
                    </w:rPr>
                    <w:t>Availability Factor per QSE per Resource</w:t>
                  </w:r>
                  <w:r w:rsidRPr="0013396E">
                    <w:rPr>
                      <w:sz w:val="20"/>
                    </w:rPr>
                    <w:t xml:space="preserve">—The calculated monthly availability factor of MRA </w:t>
                  </w:r>
                  <w:r w:rsidRPr="0013396E">
                    <w:rPr>
                      <w:i/>
                      <w:sz w:val="20"/>
                    </w:rPr>
                    <w:t>r</w:t>
                  </w:r>
                  <w:r w:rsidRPr="0013396E">
                    <w:rPr>
                      <w:sz w:val="20"/>
                    </w:rPr>
                    <w:t xml:space="preserve"> represented by QSE </w:t>
                  </w:r>
                  <w:r w:rsidRPr="0013396E">
                    <w:rPr>
                      <w:i/>
                      <w:sz w:val="20"/>
                    </w:rPr>
                    <w:t>q</w:t>
                  </w:r>
                  <w:r w:rsidRPr="0013396E">
                    <w:rPr>
                      <w:sz w:val="20"/>
                    </w:rPr>
                    <w:t xml:space="preserve">.  Where for a Combined Cycle Train, the Resource </w:t>
                  </w:r>
                  <w:r w:rsidRPr="0013396E">
                    <w:rPr>
                      <w:i/>
                      <w:sz w:val="20"/>
                    </w:rPr>
                    <w:t xml:space="preserve">r </w:t>
                  </w:r>
                  <w:r w:rsidRPr="0013396E">
                    <w:rPr>
                      <w:sz w:val="20"/>
                    </w:rPr>
                    <w:t>is the Combined Cycle Train.</w:t>
                  </w:r>
                </w:p>
              </w:tc>
            </w:tr>
            <w:tr w:rsidR="0057461A" w:rsidRPr="0013396E" w14:paraId="22B1396E" w14:textId="77777777" w:rsidTr="00086215">
              <w:trPr>
                <w:cantSplit/>
              </w:trPr>
              <w:tc>
                <w:tcPr>
                  <w:tcW w:w="949" w:type="pct"/>
                </w:tcPr>
                <w:p w14:paraId="1F2C3D78" w14:textId="77777777" w:rsidR="0057461A" w:rsidRPr="0013396E" w:rsidRDefault="0057461A" w:rsidP="0057461A">
                  <w:pPr>
                    <w:spacing w:after="60"/>
                    <w:rPr>
                      <w:sz w:val="20"/>
                    </w:rPr>
                  </w:pPr>
                  <w:r w:rsidRPr="0013396E">
                    <w:rPr>
                      <w:sz w:val="20"/>
                    </w:rPr>
                    <w:t xml:space="preserve">MRAMAH </w:t>
                  </w:r>
                  <w:r w:rsidRPr="0013396E">
                    <w:rPr>
                      <w:i/>
                      <w:sz w:val="20"/>
                      <w:vertAlign w:val="subscript"/>
                    </w:rPr>
                    <w:t>q, r, h</w:t>
                  </w:r>
                </w:p>
              </w:tc>
              <w:tc>
                <w:tcPr>
                  <w:tcW w:w="422" w:type="pct"/>
                </w:tcPr>
                <w:p w14:paraId="7F3EF331" w14:textId="77777777" w:rsidR="0057461A" w:rsidRPr="0013396E" w:rsidRDefault="0057461A" w:rsidP="0057461A">
                  <w:pPr>
                    <w:spacing w:after="60"/>
                    <w:rPr>
                      <w:sz w:val="20"/>
                    </w:rPr>
                  </w:pPr>
                  <w:r w:rsidRPr="0013396E">
                    <w:rPr>
                      <w:sz w:val="20"/>
                    </w:rPr>
                    <w:t>Hour</w:t>
                  </w:r>
                </w:p>
              </w:tc>
              <w:tc>
                <w:tcPr>
                  <w:tcW w:w="3629" w:type="pct"/>
                </w:tcPr>
                <w:p w14:paraId="2D048D65" w14:textId="10130217" w:rsidR="0057461A" w:rsidRPr="0013396E" w:rsidRDefault="0057461A" w:rsidP="0057461A">
                  <w:pPr>
                    <w:spacing w:after="60"/>
                    <w:rPr>
                      <w:i/>
                      <w:sz w:val="20"/>
                    </w:rPr>
                  </w:pPr>
                  <w:r w:rsidRPr="0013396E">
                    <w:rPr>
                      <w:i/>
                      <w:sz w:val="20"/>
                    </w:rPr>
                    <w:t>Number of Available Hours in the Month per QSE per Resource</w:t>
                  </w:r>
                  <w:r w:rsidRPr="0013396E">
                    <w:rPr>
                      <w:sz w:val="20"/>
                    </w:rPr>
                    <w:t xml:space="preserve">— For </w:t>
                  </w:r>
                  <w:r w:rsidRPr="0013396E">
                    <w:rPr>
                      <w:bCs/>
                      <w:color w:val="000000"/>
                      <w:sz w:val="20"/>
                      <w:lang w:val="pt-BR"/>
                    </w:rPr>
                    <w:t>an MRA registered as a Generation Resource</w:t>
                  </w:r>
                  <w:r w:rsidR="00086215" w:rsidRPr="0013396E">
                    <w:rPr>
                      <w:bCs/>
                      <w:color w:val="000000"/>
                      <w:sz w:val="20"/>
                      <w:lang w:val="pt-BR"/>
                    </w:rPr>
                    <w:t xml:space="preserve"> or ESR</w:t>
                  </w:r>
                  <w:r w:rsidRPr="0013396E">
                    <w:rPr>
                      <w:sz w:val="20"/>
                    </w:rPr>
                    <w:t xml:space="preserve">, the total number of hours in the month when the MRA </w:t>
                  </w:r>
                  <w:r w:rsidRPr="0013396E">
                    <w:rPr>
                      <w:i/>
                      <w:sz w:val="20"/>
                    </w:rPr>
                    <w:t>r</w:t>
                  </w:r>
                  <w:r w:rsidRPr="0013396E">
                    <w:rPr>
                      <w:sz w:val="20"/>
                    </w:rPr>
                    <w:t xml:space="preserve"> represented by QSE </w:t>
                  </w:r>
                  <w:r w:rsidRPr="0013396E">
                    <w:rPr>
                      <w:i/>
                      <w:sz w:val="20"/>
                    </w:rPr>
                    <w:t>q</w:t>
                  </w:r>
                  <w:r w:rsidRPr="0013396E">
                    <w:rPr>
                      <w:sz w:val="20"/>
                    </w:rPr>
                    <w:t xml:space="preserve"> was available for the MRA Contracted Hours if the MRA’s Availability Plan and telemetry both indicate availability for that hour.  Where for a Combined Cycle Train, the Resource </w:t>
                  </w:r>
                  <w:r w:rsidRPr="0013396E">
                    <w:rPr>
                      <w:i/>
                      <w:sz w:val="20"/>
                    </w:rPr>
                    <w:t>r</w:t>
                  </w:r>
                  <w:r w:rsidRPr="0013396E">
                    <w:rPr>
                      <w:sz w:val="20"/>
                    </w:rPr>
                    <w:t xml:space="preserve"> is the Combined Cycle Train.</w:t>
                  </w:r>
                </w:p>
              </w:tc>
            </w:tr>
            <w:tr w:rsidR="0057461A" w:rsidRPr="0013396E" w14:paraId="4D3679EB" w14:textId="77777777" w:rsidTr="00086215">
              <w:trPr>
                <w:cantSplit/>
              </w:trPr>
              <w:tc>
                <w:tcPr>
                  <w:tcW w:w="949" w:type="pct"/>
                </w:tcPr>
                <w:p w14:paraId="03F4ED5B" w14:textId="77777777" w:rsidR="0057461A" w:rsidRPr="0013396E" w:rsidRDefault="0057461A" w:rsidP="0057461A">
                  <w:pPr>
                    <w:spacing w:after="60"/>
                    <w:rPr>
                      <w:sz w:val="20"/>
                    </w:rPr>
                  </w:pPr>
                  <w:r w:rsidRPr="0013396E">
                    <w:rPr>
                      <w:sz w:val="20"/>
                    </w:rPr>
                    <w:t xml:space="preserve">MH </w:t>
                  </w:r>
                  <w:r w:rsidRPr="0013396E">
                    <w:rPr>
                      <w:i/>
                      <w:sz w:val="20"/>
                      <w:vertAlign w:val="subscript"/>
                    </w:rPr>
                    <w:t>q, r, m</w:t>
                  </w:r>
                </w:p>
              </w:tc>
              <w:tc>
                <w:tcPr>
                  <w:tcW w:w="422" w:type="pct"/>
                </w:tcPr>
                <w:p w14:paraId="66427EF8" w14:textId="77777777" w:rsidR="0057461A" w:rsidRPr="0013396E" w:rsidRDefault="0057461A" w:rsidP="0057461A">
                  <w:pPr>
                    <w:spacing w:after="60"/>
                    <w:rPr>
                      <w:sz w:val="20"/>
                    </w:rPr>
                  </w:pPr>
                  <w:r w:rsidRPr="0013396E">
                    <w:rPr>
                      <w:sz w:val="20"/>
                    </w:rPr>
                    <w:t>Hour</w:t>
                  </w:r>
                </w:p>
              </w:tc>
              <w:tc>
                <w:tcPr>
                  <w:tcW w:w="3629" w:type="pct"/>
                </w:tcPr>
                <w:p w14:paraId="200DD1CD" w14:textId="77777777" w:rsidR="0057461A" w:rsidRPr="0013396E" w:rsidRDefault="0057461A" w:rsidP="0057461A">
                  <w:pPr>
                    <w:spacing w:after="60"/>
                    <w:rPr>
                      <w:i/>
                      <w:sz w:val="20"/>
                    </w:rPr>
                  </w:pPr>
                  <w:r w:rsidRPr="0013396E">
                    <w:rPr>
                      <w:i/>
                      <w:sz w:val="20"/>
                    </w:rPr>
                    <w:t>Number of Total MRA Contracted Hours in the Month per QSE per Resource</w:t>
                  </w:r>
                  <w:r w:rsidRPr="0013396E">
                    <w:rPr>
                      <w:sz w:val="20"/>
                    </w:rPr>
                    <w:t>—The total number of MRA Contracted Hours in the month for the MRA</w:t>
                  </w:r>
                  <w:r w:rsidRPr="0013396E">
                    <w:rPr>
                      <w:i/>
                      <w:sz w:val="20"/>
                    </w:rPr>
                    <w:t xml:space="preserve"> r</w:t>
                  </w:r>
                  <w:r w:rsidRPr="0013396E">
                    <w:rPr>
                      <w:sz w:val="20"/>
                    </w:rPr>
                    <w:t xml:space="preserve"> represented by QSE </w:t>
                  </w:r>
                  <w:r w:rsidRPr="0013396E">
                    <w:rPr>
                      <w:i/>
                      <w:sz w:val="20"/>
                    </w:rPr>
                    <w:t>q</w:t>
                  </w:r>
                  <w:r w:rsidRPr="0013396E">
                    <w:rPr>
                      <w:sz w:val="20"/>
                    </w:rPr>
                    <w:t xml:space="preserve"> as indicated in the MRA Agreement.  Where for a Combined Cycle Train, the Resource </w:t>
                  </w:r>
                  <w:r w:rsidRPr="0013396E">
                    <w:rPr>
                      <w:i/>
                      <w:sz w:val="20"/>
                    </w:rPr>
                    <w:t xml:space="preserve">r </w:t>
                  </w:r>
                  <w:r w:rsidRPr="0013396E">
                    <w:rPr>
                      <w:sz w:val="20"/>
                    </w:rPr>
                    <w:t>is the Combined Cycle Train.</w:t>
                  </w:r>
                </w:p>
              </w:tc>
            </w:tr>
            <w:tr w:rsidR="0057461A" w:rsidRPr="0013396E" w14:paraId="4BCEDC71" w14:textId="77777777" w:rsidTr="00086215">
              <w:trPr>
                <w:cantSplit/>
              </w:trPr>
              <w:tc>
                <w:tcPr>
                  <w:tcW w:w="949" w:type="pct"/>
                </w:tcPr>
                <w:p w14:paraId="3DEFFB0C" w14:textId="77777777" w:rsidR="0057461A" w:rsidRPr="0013396E" w:rsidRDefault="0057461A" w:rsidP="0057461A">
                  <w:pPr>
                    <w:spacing w:after="60"/>
                    <w:rPr>
                      <w:sz w:val="20"/>
                    </w:rPr>
                  </w:pPr>
                  <w:r w:rsidRPr="0013396E">
                    <w:rPr>
                      <w:i/>
                      <w:sz w:val="20"/>
                    </w:rPr>
                    <w:t>h</w:t>
                  </w:r>
                </w:p>
              </w:tc>
              <w:tc>
                <w:tcPr>
                  <w:tcW w:w="422" w:type="pct"/>
                </w:tcPr>
                <w:p w14:paraId="3A7ECA8F" w14:textId="77777777" w:rsidR="0057461A" w:rsidRPr="0013396E" w:rsidRDefault="0057461A" w:rsidP="0057461A">
                  <w:pPr>
                    <w:spacing w:after="60"/>
                    <w:rPr>
                      <w:sz w:val="20"/>
                    </w:rPr>
                  </w:pPr>
                  <w:r w:rsidRPr="0013396E">
                    <w:rPr>
                      <w:sz w:val="20"/>
                    </w:rPr>
                    <w:t>None</w:t>
                  </w:r>
                </w:p>
              </w:tc>
              <w:tc>
                <w:tcPr>
                  <w:tcW w:w="3629" w:type="pct"/>
                </w:tcPr>
                <w:p w14:paraId="2D2DA991" w14:textId="77777777" w:rsidR="0057461A" w:rsidRPr="0013396E" w:rsidRDefault="0057461A" w:rsidP="0057461A">
                  <w:pPr>
                    <w:spacing w:after="60"/>
                    <w:rPr>
                      <w:i/>
                      <w:sz w:val="20"/>
                    </w:rPr>
                  </w:pPr>
                  <w:r w:rsidRPr="0013396E">
                    <w:rPr>
                      <w:sz w:val="20"/>
                    </w:rPr>
                    <w:t xml:space="preserve">A MRA Contracted Hour under the </w:t>
                  </w:r>
                  <w:r w:rsidRPr="0013396E">
                    <w:rPr>
                      <w:iCs/>
                      <w:sz w:val="20"/>
                    </w:rPr>
                    <w:t>MRA Agreement</w:t>
                  </w:r>
                  <w:r w:rsidRPr="0013396E">
                    <w:rPr>
                      <w:sz w:val="20"/>
                    </w:rPr>
                    <w:t xml:space="preserve"> for the MRA Contracted month.</w:t>
                  </w:r>
                </w:p>
              </w:tc>
            </w:tr>
            <w:tr w:rsidR="0057461A" w:rsidRPr="0013396E" w14:paraId="116BB44C" w14:textId="77777777" w:rsidTr="00086215">
              <w:trPr>
                <w:cantSplit/>
              </w:trPr>
              <w:tc>
                <w:tcPr>
                  <w:tcW w:w="949" w:type="pct"/>
                </w:tcPr>
                <w:p w14:paraId="59EBC0CD" w14:textId="77777777" w:rsidR="0057461A" w:rsidRPr="0013396E" w:rsidRDefault="0057461A" w:rsidP="0057461A">
                  <w:pPr>
                    <w:spacing w:after="60"/>
                    <w:rPr>
                      <w:iCs/>
                      <w:sz w:val="20"/>
                    </w:rPr>
                  </w:pPr>
                  <w:r w:rsidRPr="0013396E">
                    <w:rPr>
                      <w:i/>
                      <w:iCs/>
                      <w:sz w:val="20"/>
                    </w:rPr>
                    <w:t>q</w:t>
                  </w:r>
                </w:p>
              </w:tc>
              <w:tc>
                <w:tcPr>
                  <w:tcW w:w="422" w:type="pct"/>
                </w:tcPr>
                <w:p w14:paraId="44506BF0" w14:textId="77777777" w:rsidR="0057461A" w:rsidRPr="0013396E" w:rsidRDefault="0057461A" w:rsidP="0057461A">
                  <w:pPr>
                    <w:spacing w:after="60"/>
                    <w:rPr>
                      <w:iCs/>
                      <w:sz w:val="20"/>
                    </w:rPr>
                  </w:pPr>
                  <w:r w:rsidRPr="0013396E">
                    <w:rPr>
                      <w:iCs/>
                      <w:sz w:val="20"/>
                    </w:rPr>
                    <w:t>None</w:t>
                  </w:r>
                </w:p>
              </w:tc>
              <w:tc>
                <w:tcPr>
                  <w:tcW w:w="3629" w:type="pct"/>
                </w:tcPr>
                <w:p w14:paraId="5C49AC81" w14:textId="77777777" w:rsidR="0057461A" w:rsidRPr="0013396E" w:rsidRDefault="0057461A" w:rsidP="0057461A">
                  <w:pPr>
                    <w:spacing w:after="60"/>
                    <w:rPr>
                      <w:i/>
                      <w:iCs/>
                      <w:sz w:val="20"/>
                    </w:rPr>
                  </w:pPr>
                  <w:r w:rsidRPr="0013396E">
                    <w:rPr>
                      <w:iCs/>
                      <w:sz w:val="20"/>
                    </w:rPr>
                    <w:t>A QSE.</w:t>
                  </w:r>
                </w:p>
              </w:tc>
            </w:tr>
            <w:tr w:rsidR="0057461A" w:rsidRPr="0013396E" w14:paraId="0BD7A6C2" w14:textId="77777777" w:rsidTr="00086215">
              <w:trPr>
                <w:cantSplit/>
              </w:trPr>
              <w:tc>
                <w:tcPr>
                  <w:tcW w:w="949" w:type="pct"/>
                </w:tcPr>
                <w:p w14:paraId="6BF07C82" w14:textId="77777777" w:rsidR="0057461A" w:rsidRPr="0013396E" w:rsidRDefault="0057461A" w:rsidP="0057461A">
                  <w:pPr>
                    <w:spacing w:after="60"/>
                    <w:rPr>
                      <w:i/>
                      <w:iCs/>
                      <w:sz w:val="20"/>
                    </w:rPr>
                  </w:pPr>
                  <w:r w:rsidRPr="0013396E">
                    <w:rPr>
                      <w:i/>
                      <w:iCs/>
                      <w:sz w:val="20"/>
                    </w:rPr>
                    <w:t>r</w:t>
                  </w:r>
                </w:p>
              </w:tc>
              <w:tc>
                <w:tcPr>
                  <w:tcW w:w="422" w:type="pct"/>
                </w:tcPr>
                <w:p w14:paraId="03E56A36" w14:textId="77777777" w:rsidR="0057461A" w:rsidRPr="0013396E" w:rsidRDefault="0057461A" w:rsidP="0057461A">
                  <w:pPr>
                    <w:spacing w:after="60"/>
                    <w:rPr>
                      <w:iCs/>
                      <w:sz w:val="20"/>
                    </w:rPr>
                  </w:pPr>
                  <w:r w:rsidRPr="0013396E">
                    <w:rPr>
                      <w:iCs/>
                      <w:sz w:val="20"/>
                    </w:rPr>
                    <w:t>None</w:t>
                  </w:r>
                </w:p>
              </w:tc>
              <w:tc>
                <w:tcPr>
                  <w:tcW w:w="3629" w:type="pct"/>
                </w:tcPr>
                <w:p w14:paraId="13284B26" w14:textId="77777777" w:rsidR="0057461A" w:rsidRPr="0013396E" w:rsidRDefault="0057461A" w:rsidP="0057461A">
                  <w:pPr>
                    <w:spacing w:after="60"/>
                    <w:rPr>
                      <w:iCs/>
                      <w:sz w:val="20"/>
                    </w:rPr>
                  </w:pPr>
                  <w:r w:rsidRPr="0013396E">
                    <w:rPr>
                      <w:iCs/>
                      <w:sz w:val="20"/>
                    </w:rPr>
                    <w:t>An MRA.</w:t>
                  </w:r>
                </w:p>
              </w:tc>
            </w:tr>
            <w:tr w:rsidR="0057461A" w:rsidRPr="0013396E" w14:paraId="563BE865" w14:textId="77777777" w:rsidTr="00086215">
              <w:trPr>
                <w:cantSplit/>
              </w:trPr>
              <w:tc>
                <w:tcPr>
                  <w:tcW w:w="949" w:type="pct"/>
                </w:tcPr>
                <w:p w14:paraId="6B250B8F" w14:textId="77777777" w:rsidR="0057461A" w:rsidRPr="0013396E" w:rsidRDefault="0057461A" w:rsidP="0057461A">
                  <w:pPr>
                    <w:spacing w:after="60"/>
                    <w:rPr>
                      <w:i/>
                      <w:iCs/>
                      <w:sz w:val="20"/>
                    </w:rPr>
                  </w:pPr>
                  <w:r w:rsidRPr="0013396E">
                    <w:rPr>
                      <w:i/>
                      <w:iCs/>
                      <w:sz w:val="20"/>
                    </w:rPr>
                    <w:t>m</w:t>
                  </w:r>
                </w:p>
              </w:tc>
              <w:tc>
                <w:tcPr>
                  <w:tcW w:w="422" w:type="pct"/>
                </w:tcPr>
                <w:p w14:paraId="073957CD" w14:textId="77777777" w:rsidR="0057461A" w:rsidRPr="0013396E" w:rsidRDefault="0057461A" w:rsidP="0057461A">
                  <w:pPr>
                    <w:spacing w:after="60"/>
                    <w:rPr>
                      <w:iCs/>
                      <w:sz w:val="20"/>
                    </w:rPr>
                  </w:pPr>
                  <w:r w:rsidRPr="0013396E">
                    <w:rPr>
                      <w:iCs/>
                      <w:sz w:val="20"/>
                    </w:rPr>
                    <w:t>None</w:t>
                  </w:r>
                </w:p>
              </w:tc>
              <w:tc>
                <w:tcPr>
                  <w:tcW w:w="3629" w:type="pct"/>
                </w:tcPr>
                <w:p w14:paraId="3DEA07D9" w14:textId="77777777" w:rsidR="0057461A" w:rsidRPr="0013396E" w:rsidRDefault="0057461A" w:rsidP="0057461A">
                  <w:pPr>
                    <w:spacing w:after="60"/>
                    <w:rPr>
                      <w:iCs/>
                      <w:sz w:val="20"/>
                    </w:rPr>
                  </w:pPr>
                  <w:r w:rsidRPr="0013396E">
                    <w:rPr>
                      <w:sz w:val="20"/>
                    </w:rPr>
                    <w:t xml:space="preserve">An MRA Contracted Month </w:t>
                  </w:r>
                  <w:r w:rsidRPr="0013396E">
                    <w:rPr>
                      <w:iCs/>
                      <w:sz w:val="20"/>
                    </w:rPr>
                    <w:t>under the MRA Agreement</w:t>
                  </w:r>
                  <w:r w:rsidRPr="0013396E">
                    <w:rPr>
                      <w:sz w:val="20"/>
                    </w:rPr>
                    <w:t>.</w:t>
                  </w:r>
                </w:p>
              </w:tc>
            </w:tr>
            <w:tr w:rsidR="00086215" w:rsidRPr="0013396E" w14:paraId="0C5898AA" w14:textId="77777777" w:rsidTr="00086215">
              <w:trPr>
                <w:cantSplit/>
              </w:trPr>
              <w:tc>
                <w:tcPr>
                  <w:tcW w:w="949" w:type="pct"/>
                </w:tcPr>
                <w:p w14:paraId="6F2E11AA" w14:textId="07F96AB7" w:rsidR="00086215" w:rsidRPr="0013396E" w:rsidRDefault="00086215" w:rsidP="00086215">
                  <w:pPr>
                    <w:spacing w:after="60"/>
                    <w:rPr>
                      <w:i/>
                      <w:iCs/>
                      <w:sz w:val="20"/>
                    </w:rPr>
                  </w:pPr>
                  <w:r w:rsidRPr="0013396E">
                    <w:rPr>
                      <w:i/>
                      <w:iCs/>
                      <w:sz w:val="20"/>
                    </w:rPr>
                    <w:t>b</w:t>
                  </w:r>
                </w:p>
              </w:tc>
              <w:tc>
                <w:tcPr>
                  <w:tcW w:w="422" w:type="pct"/>
                </w:tcPr>
                <w:p w14:paraId="55688F22" w14:textId="067FA482" w:rsidR="00086215" w:rsidRPr="0013396E" w:rsidRDefault="00086215" w:rsidP="00086215">
                  <w:pPr>
                    <w:spacing w:after="60"/>
                    <w:rPr>
                      <w:iCs/>
                      <w:sz w:val="20"/>
                    </w:rPr>
                  </w:pPr>
                  <w:r w:rsidRPr="0013396E">
                    <w:rPr>
                      <w:iCs/>
                      <w:sz w:val="20"/>
                    </w:rPr>
                    <w:t>None</w:t>
                  </w:r>
                </w:p>
              </w:tc>
              <w:tc>
                <w:tcPr>
                  <w:tcW w:w="3629" w:type="pct"/>
                </w:tcPr>
                <w:p w14:paraId="2747E63E" w14:textId="69D6C147" w:rsidR="00086215" w:rsidRPr="0013396E" w:rsidRDefault="00086215" w:rsidP="00086215">
                  <w:pPr>
                    <w:spacing w:after="60"/>
                    <w:rPr>
                      <w:sz w:val="20"/>
                    </w:rPr>
                  </w:pPr>
                  <w:r w:rsidRPr="0013396E">
                    <w:rPr>
                      <w:sz w:val="20"/>
                    </w:rPr>
                    <w:t xml:space="preserve">An obligation block under the MRA Agreement. </w:t>
                  </w:r>
                </w:p>
              </w:tc>
            </w:tr>
          </w:tbl>
          <w:p w14:paraId="534F5F5B" w14:textId="447B376B" w:rsidR="0057461A" w:rsidRPr="0013396E" w:rsidRDefault="0057461A" w:rsidP="0057461A">
            <w:pPr>
              <w:spacing w:before="240" w:after="240"/>
              <w:ind w:left="720" w:hanging="720"/>
              <w:rPr>
                <w:iCs/>
              </w:rPr>
            </w:pPr>
            <w:r w:rsidRPr="0013396E">
              <w:rPr>
                <w:iCs/>
              </w:rPr>
              <w:t>(</w:t>
            </w:r>
            <w:r w:rsidR="00086215" w:rsidRPr="0013396E">
              <w:rPr>
                <w:iCs/>
              </w:rPr>
              <w:t>6</w:t>
            </w:r>
            <w:r w:rsidRPr="0013396E">
              <w:rPr>
                <w:iCs/>
              </w:rPr>
              <w:t>)</w:t>
            </w:r>
            <w:r w:rsidRPr="0013396E">
              <w:rPr>
                <w:iCs/>
              </w:rPr>
              <w:tab/>
              <w:t>The total of the Standby Payments for all MRAs represented by the QSE for a given hour is calculated as follows:</w:t>
            </w:r>
          </w:p>
          <w:p w14:paraId="2709F8C8" w14:textId="77777777" w:rsidR="0057461A" w:rsidRPr="0013396E" w:rsidRDefault="0057461A" w:rsidP="0057461A">
            <w:pPr>
              <w:tabs>
                <w:tab w:val="left" w:pos="2340"/>
                <w:tab w:val="left" w:pos="3420"/>
              </w:tabs>
              <w:spacing w:after="240"/>
              <w:ind w:left="2880" w:hanging="2160"/>
              <w:rPr>
                <w:bCs/>
                <w:szCs w:val="24"/>
                <w:lang w:val="pt-BR"/>
              </w:rPr>
            </w:pPr>
            <w:r w:rsidRPr="0013396E">
              <w:rPr>
                <w:bCs/>
                <w:szCs w:val="24"/>
                <w:lang w:val="pt-BR"/>
              </w:rPr>
              <w:t xml:space="preserve">MRASBAMTQSETOT </w:t>
            </w:r>
            <w:r w:rsidRPr="0013396E">
              <w:rPr>
                <w:bCs/>
                <w:i/>
                <w:szCs w:val="24"/>
                <w:vertAlign w:val="subscript"/>
                <w:lang w:val="pt-BR"/>
              </w:rPr>
              <w:t>q</w:t>
            </w:r>
            <w:r w:rsidRPr="0013396E">
              <w:rPr>
                <w:bCs/>
                <w:szCs w:val="24"/>
                <w:vertAlign w:val="subscript"/>
                <w:lang w:val="pt-BR"/>
              </w:rPr>
              <w:t xml:space="preserve">  </w:t>
            </w:r>
            <w:r w:rsidRPr="0013396E">
              <w:rPr>
                <w:bCs/>
                <w:szCs w:val="24"/>
                <w:lang w:val="pt-BR"/>
              </w:rPr>
              <w:t xml:space="preserve">=   </w:t>
            </w:r>
            <w:r w:rsidR="00343E89">
              <w:rPr>
                <w:bCs/>
                <w:position w:val="-18"/>
                <w:szCs w:val="24"/>
                <w:lang w:val="pt-BR"/>
              </w:rPr>
              <w:pict w14:anchorId="56C9E9BB">
                <v:shape id="_x0000_i1179" type="#_x0000_t75" style="width:12pt;height:24pt">
                  <v:imagedata r:id="rId207" o:title=""/>
                </v:shape>
              </w:pict>
            </w:r>
            <w:r w:rsidRPr="0013396E">
              <w:rPr>
                <w:bCs/>
                <w:szCs w:val="24"/>
                <w:lang w:val="pt-BR"/>
              </w:rPr>
              <w:t xml:space="preserve">MRASBAMT </w:t>
            </w:r>
            <w:r w:rsidRPr="0013396E">
              <w:rPr>
                <w:bCs/>
                <w:i/>
                <w:szCs w:val="24"/>
                <w:vertAlign w:val="subscript"/>
                <w:lang w:val="pt-BR"/>
              </w:rPr>
              <w:t>q, r, h</w:t>
            </w:r>
          </w:p>
          <w:p w14:paraId="4499D883" w14:textId="77777777" w:rsidR="0057461A" w:rsidRPr="0013396E" w:rsidRDefault="0057461A" w:rsidP="002C448D">
            <w:pPr>
              <w:tabs>
                <w:tab w:val="left" w:pos="2340"/>
                <w:tab w:val="left" w:pos="3420"/>
              </w:tabs>
              <w:rPr>
                <w:bCs/>
                <w:szCs w:val="24"/>
                <w:lang w:val="pt-BR"/>
              </w:rPr>
            </w:pPr>
            <w:r w:rsidRPr="0013396E">
              <w:rPr>
                <w:bCs/>
                <w:szCs w:val="24"/>
                <w:lang w:val="pt-BR"/>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5"/>
              <w:gridCol w:w="994"/>
              <w:gridCol w:w="6093"/>
            </w:tblGrid>
            <w:tr w:rsidR="002C448D" w:rsidRPr="0013396E" w14:paraId="4FEBF0D2" w14:textId="77777777" w:rsidTr="00CE1011">
              <w:trPr>
                <w:cantSplit/>
                <w:tblHeader/>
              </w:trPr>
              <w:tc>
                <w:tcPr>
                  <w:tcW w:w="1207" w:type="pct"/>
                </w:tcPr>
                <w:p w14:paraId="5D13FAD8" w14:textId="77777777" w:rsidR="002C448D" w:rsidRPr="0013396E" w:rsidRDefault="002C448D" w:rsidP="002C448D">
                  <w:pPr>
                    <w:pStyle w:val="TableHead"/>
                  </w:pPr>
                  <w:r w:rsidRPr="0013396E">
                    <w:t>Variable</w:t>
                  </w:r>
                </w:p>
              </w:tc>
              <w:tc>
                <w:tcPr>
                  <w:tcW w:w="532" w:type="pct"/>
                </w:tcPr>
                <w:p w14:paraId="628B27D4" w14:textId="77777777" w:rsidR="002C448D" w:rsidRPr="0013396E" w:rsidRDefault="002C448D" w:rsidP="002C448D">
                  <w:pPr>
                    <w:pStyle w:val="TableHead"/>
                  </w:pPr>
                  <w:r w:rsidRPr="0013396E">
                    <w:t>Unit</w:t>
                  </w:r>
                </w:p>
              </w:tc>
              <w:tc>
                <w:tcPr>
                  <w:tcW w:w="3261" w:type="pct"/>
                </w:tcPr>
                <w:p w14:paraId="0F83D76C" w14:textId="77777777" w:rsidR="002C448D" w:rsidRPr="0013396E" w:rsidRDefault="002C448D" w:rsidP="002C448D">
                  <w:pPr>
                    <w:pStyle w:val="TableHead"/>
                  </w:pPr>
                  <w:r w:rsidRPr="0013396E">
                    <w:t>Definition</w:t>
                  </w:r>
                </w:p>
              </w:tc>
            </w:tr>
            <w:tr w:rsidR="002C448D" w:rsidRPr="0013396E" w14:paraId="00C1F6D2" w14:textId="77777777" w:rsidTr="00CE1011">
              <w:trPr>
                <w:cantSplit/>
              </w:trPr>
              <w:tc>
                <w:tcPr>
                  <w:tcW w:w="1207" w:type="pct"/>
                </w:tcPr>
                <w:p w14:paraId="29829709" w14:textId="77777777" w:rsidR="002C448D" w:rsidRPr="0013396E" w:rsidRDefault="002C448D" w:rsidP="002C448D">
                  <w:pPr>
                    <w:pStyle w:val="TableBody"/>
                  </w:pPr>
                  <w:r w:rsidRPr="0013396E">
                    <w:t xml:space="preserve">MRASBAMTQSETOT </w:t>
                  </w:r>
                  <w:r w:rsidRPr="0013396E">
                    <w:rPr>
                      <w:i/>
                      <w:iCs w:val="0"/>
                      <w:vertAlign w:val="subscript"/>
                    </w:rPr>
                    <w:t>q</w:t>
                  </w:r>
                </w:p>
              </w:tc>
              <w:tc>
                <w:tcPr>
                  <w:tcW w:w="532" w:type="pct"/>
                </w:tcPr>
                <w:p w14:paraId="11E8F995" w14:textId="77777777" w:rsidR="002C448D" w:rsidRPr="0013396E" w:rsidRDefault="002C448D" w:rsidP="002C448D">
                  <w:pPr>
                    <w:pStyle w:val="TableBody"/>
                  </w:pPr>
                  <w:r w:rsidRPr="0013396E">
                    <w:t>$</w:t>
                  </w:r>
                </w:p>
              </w:tc>
              <w:tc>
                <w:tcPr>
                  <w:tcW w:w="3261" w:type="pct"/>
                </w:tcPr>
                <w:p w14:paraId="31BB7D48" w14:textId="77777777" w:rsidR="002C448D" w:rsidRPr="0013396E" w:rsidRDefault="002C448D" w:rsidP="002C448D">
                  <w:pPr>
                    <w:pStyle w:val="TableBody"/>
                  </w:pPr>
                  <w:r w:rsidRPr="0013396E">
                    <w:rPr>
                      <w:i/>
                    </w:rPr>
                    <w:t xml:space="preserve">Must-Run Alternative Standby Amount Total per QSE per hour </w:t>
                  </w:r>
                  <w:r w:rsidRPr="0013396E">
                    <w:sym w:font="Symbol" w:char="F0BE"/>
                  </w:r>
                  <w:r w:rsidRPr="0013396E">
                    <w:t xml:space="preserve"> The total of the Standby Payments for all MRAs represented by the QSE </w:t>
                  </w:r>
                  <w:r w:rsidRPr="0013396E">
                    <w:rPr>
                      <w:i/>
                    </w:rPr>
                    <w:t>q</w:t>
                  </w:r>
                  <w:r w:rsidRPr="0013396E">
                    <w:t xml:space="preserve"> for the hour.</w:t>
                  </w:r>
                </w:p>
              </w:tc>
            </w:tr>
            <w:tr w:rsidR="002C448D" w:rsidRPr="0013396E" w14:paraId="311BBAC5" w14:textId="77777777" w:rsidTr="00CE1011">
              <w:trPr>
                <w:cantSplit/>
              </w:trPr>
              <w:tc>
                <w:tcPr>
                  <w:tcW w:w="1207" w:type="pct"/>
                </w:tcPr>
                <w:p w14:paraId="2C268A97" w14:textId="77777777" w:rsidR="002C448D" w:rsidRPr="0013396E" w:rsidRDefault="002C448D" w:rsidP="002C448D">
                  <w:pPr>
                    <w:pStyle w:val="TableBody"/>
                  </w:pPr>
                  <w:r w:rsidRPr="0013396E">
                    <w:rPr>
                      <w:iCs w:val="0"/>
                    </w:rPr>
                    <w:t xml:space="preserve">MRASBAMT </w:t>
                  </w:r>
                  <w:r w:rsidRPr="0013396E">
                    <w:rPr>
                      <w:i/>
                      <w:iCs w:val="0"/>
                      <w:vertAlign w:val="subscript"/>
                    </w:rPr>
                    <w:t>q, r, h</w:t>
                  </w:r>
                </w:p>
              </w:tc>
              <w:tc>
                <w:tcPr>
                  <w:tcW w:w="532" w:type="pct"/>
                </w:tcPr>
                <w:p w14:paraId="5D9F9474" w14:textId="77777777" w:rsidR="002C448D" w:rsidRPr="0013396E" w:rsidRDefault="002C448D" w:rsidP="002C448D">
                  <w:pPr>
                    <w:pStyle w:val="TableBody"/>
                  </w:pPr>
                  <w:r w:rsidRPr="0013396E">
                    <w:rPr>
                      <w:iCs w:val="0"/>
                    </w:rPr>
                    <w:t xml:space="preserve">$ </w:t>
                  </w:r>
                </w:p>
              </w:tc>
              <w:tc>
                <w:tcPr>
                  <w:tcW w:w="3261" w:type="pct"/>
                </w:tcPr>
                <w:p w14:paraId="4E0F0410" w14:textId="77777777" w:rsidR="002C448D" w:rsidRPr="0013396E" w:rsidRDefault="002C448D" w:rsidP="002C448D">
                  <w:pPr>
                    <w:pStyle w:val="TableBody"/>
                  </w:pPr>
                  <w:r w:rsidRPr="0013396E">
                    <w:rPr>
                      <w:i/>
                      <w:iCs w:val="0"/>
                    </w:rPr>
                    <w:t xml:space="preserve">Must-Run Alternative Standby Amount per QSE per Resource by hour </w:t>
                  </w:r>
                  <w:r w:rsidRPr="0013396E">
                    <w:rPr>
                      <w:iCs w:val="0"/>
                    </w:rPr>
                    <w:t xml:space="preserve">—The hourly standby payment amount for MRA </w:t>
                  </w:r>
                  <w:r w:rsidRPr="0013396E">
                    <w:rPr>
                      <w:i/>
                      <w:iCs w:val="0"/>
                    </w:rPr>
                    <w:t xml:space="preserve">r </w:t>
                  </w:r>
                  <w:r w:rsidRPr="0013396E">
                    <w:rPr>
                      <w:iCs w:val="0"/>
                    </w:rPr>
                    <w:t xml:space="preserve">represented by QSE </w:t>
                  </w:r>
                  <w:r w:rsidRPr="0013396E">
                    <w:rPr>
                      <w:i/>
                      <w:iCs w:val="0"/>
                    </w:rPr>
                    <w:t>q</w:t>
                  </w:r>
                  <w:r w:rsidRPr="0013396E">
                    <w:t xml:space="preserve">, for the hour </w:t>
                  </w:r>
                  <w:r w:rsidRPr="0013396E">
                    <w:rPr>
                      <w:i/>
                    </w:rPr>
                    <w:t>h</w:t>
                  </w:r>
                  <w:r w:rsidRPr="0013396E">
                    <w:rPr>
                      <w:iCs w:val="0"/>
                    </w:rPr>
                    <w:t xml:space="preserve">.  Where for a Combined Cycle Train, the Resource </w:t>
                  </w:r>
                  <w:r w:rsidRPr="0013396E">
                    <w:rPr>
                      <w:i/>
                      <w:iCs w:val="0"/>
                    </w:rPr>
                    <w:t xml:space="preserve">r </w:t>
                  </w:r>
                  <w:r w:rsidRPr="0013396E">
                    <w:rPr>
                      <w:iCs w:val="0"/>
                    </w:rPr>
                    <w:t>is a Combined Cycle Train.</w:t>
                  </w:r>
                </w:p>
              </w:tc>
            </w:tr>
            <w:tr w:rsidR="002C448D" w:rsidRPr="0013396E" w14:paraId="434A1718" w14:textId="77777777" w:rsidTr="00CE1011">
              <w:trPr>
                <w:cantSplit/>
              </w:trPr>
              <w:tc>
                <w:tcPr>
                  <w:tcW w:w="1207" w:type="pct"/>
                  <w:tcBorders>
                    <w:top w:val="single" w:sz="4" w:space="0" w:color="auto"/>
                    <w:left w:val="single" w:sz="4" w:space="0" w:color="auto"/>
                    <w:bottom w:val="single" w:sz="4" w:space="0" w:color="auto"/>
                    <w:right w:val="single" w:sz="4" w:space="0" w:color="auto"/>
                  </w:tcBorders>
                </w:tcPr>
                <w:p w14:paraId="0FD8F30F" w14:textId="77777777" w:rsidR="002C448D" w:rsidRPr="0013396E" w:rsidRDefault="002C448D" w:rsidP="002C448D">
                  <w:pPr>
                    <w:pStyle w:val="TableBody"/>
                    <w:rPr>
                      <w:i/>
                    </w:rPr>
                  </w:pPr>
                  <w:r w:rsidRPr="0013396E">
                    <w:rPr>
                      <w:i/>
                    </w:rPr>
                    <w:t>q</w:t>
                  </w:r>
                </w:p>
              </w:tc>
              <w:tc>
                <w:tcPr>
                  <w:tcW w:w="532" w:type="pct"/>
                  <w:tcBorders>
                    <w:top w:val="single" w:sz="4" w:space="0" w:color="auto"/>
                    <w:left w:val="single" w:sz="4" w:space="0" w:color="auto"/>
                    <w:bottom w:val="single" w:sz="4" w:space="0" w:color="auto"/>
                    <w:right w:val="single" w:sz="4" w:space="0" w:color="auto"/>
                  </w:tcBorders>
                </w:tcPr>
                <w:p w14:paraId="10F1319C" w14:textId="77777777" w:rsidR="002C448D" w:rsidRPr="0013396E" w:rsidRDefault="002C448D" w:rsidP="002C448D">
                  <w:pPr>
                    <w:pStyle w:val="TableBody"/>
                  </w:pPr>
                  <w:r w:rsidRPr="0013396E">
                    <w:t>None</w:t>
                  </w:r>
                </w:p>
              </w:tc>
              <w:tc>
                <w:tcPr>
                  <w:tcW w:w="3261" w:type="pct"/>
                  <w:tcBorders>
                    <w:top w:val="single" w:sz="4" w:space="0" w:color="auto"/>
                    <w:left w:val="single" w:sz="4" w:space="0" w:color="auto"/>
                    <w:bottom w:val="single" w:sz="4" w:space="0" w:color="auto"/>
                    <w:right w:val="single" w:sz="4" w:space="0" w:color="auto"/>
                  </w:tcBorders>
                </w:tcPr>
                <w:p w14:paraId="1008F921" w14:textId="77777777" w:rsidR="002C448D" w:rsidRPr="0013396E" w:rsidRDefault="002C448D" w:rsidP="002C448D">
                  <w:pPr>
                    <w:pStyle w:val="TableBody"/>
                  </w:pPr>
                  <w:r w:rsidRPr="0013396E">
                    <w:t>A QSE.</w:t>
                  </w:r>
                </w:p>
              </w:tc>
            </w:tr>
            <w:tr w:rsidR="002C448D" w:rsidRPr="0013396E" w14:paraId="6893EF3E" w14:textId="77777777" w:rsidTr="00CE1011">
              <w:trPr>
                <w:cantSplit/>
              </w:trPr>
              <w:tc>
                <w:tcPr>
                  <w:tcW w:w="1207" w:type="pct"/>
                  <w:tcBorders>
                    <w:top w:val="single" w:sz="4" w:space="0" w:color="auto"/>
                    <w:left w:val="single" w:sz="4" w:space="0" w:color="auto"/>
                    <w:bottom w:val="single" w:sz="4" w:space="0" w:color="auto"/>
                    <w:right w:val="single" w:sz="4" w:space="0" w:color="auto"/>
                  </w:tcBorders>
                </w:tcPr>
                <w:p w14:paraId="0C64BEBA" w14:textId="77777777" w:rsidR="002C448D" w:rsidRPr="0013396E" w:rsidRDefault="002C448D" w:rsidP="002C448D">
                  <w:pPr>
                    <w:pStyle w:val="TableBody"/>
                    <w:rPr>
                      <w:i/>
                    </w:rPr>
                  </w:pPr>
                  <w:r w:rsidRPr="0013396E">
                    <w:rPr>
                      <w:i/>
                    </w:rPr>
                    <w:t>r</w:t>
                  </w:r>
                </w:p>
              </w:tc>
              <w:tc>
                <w:tcPr>
                  <w:tcW w:w="532" w:type="pct"/>
                  <w:tcBorders>
                    <w:top w:val="single" w:sz="4" w:space="0" w:color="auto"/>
                    <w:left w:val="single" w:sz="4" w:space="0" w:color="auto"/>
                    <w:bottom w:val="single" w:sz="4" w:space="0" w:color="auto"/>
                    <w:right w:val="single" w:sz="4" w:space="0" w:color="auto"/>
                  </w:tcBorders>
                </w:tcPr>
                <w:p w14:paraId="0FF5923B" w14:textId="77777777" w:rsidR="002C448D" w:rsidRPr="0013396E" w:rsidRDefault="002C448D" w:rsidP="002C448D">
                  <w:pPr>
                    <w:pStyle w:val="TableBody"/>
                  </w:pPr>
                  <w:r w:rsidRPr="0013396E">
                    <w:t>None</w:t>
                  </w:r>
                </w:p>
              </w:tc>
              <w:tc>
                <w:tcPr>
                  <w:tcW w:w="3261" w:type="pct"/>
                  <w:tcBorders>
                    <w:top w:val="single" w:sz="4" w:space="0" w:color="auto"/>
                    <w:left w:val="single" w:sz="4" w:space="0" w:color="auto"/>
                    <w:bottom w:val="single" w:sz="4" w:space="0" w:color="auto"/>
                    <w:right w:val="single" w:sz="4" w:space="0" w:color="auto"/>
                  </w:tcBorders>
                </w:tcPr>
                <w:p w14:paraId="5AF79ECC" w14:textId="77777777" w:rsidR="002C448D" w:rsidRPr="0013396E" w:rsidRDefault="002C448D" w:rsidP="002C448D">
                  <w:pPr>
                    <w:pStyle w:val="TableBody"/>
                  </w:pPr>
                  <w:r w:rsidRPr="0013396E">
                    <w:t>An MRA.</w:t>
                  </w:r>
                </w:p>
              </w:tc>
            </w:tr>
            <w:tr w:rsidR="002C448D" w:rsidRPr="0013396E" w14:paraId="1A046C5D" w14:textId="77777777" w:rsidTr="00CE1011">
              <w:trPr>
                <w:cantSplit/>
              </w:trPr>
              <w:tc>
                <w:tcPr>
                  <w:tcW w:w="1207" w:type="pct"/>
                  <w:tcBorders>
                    <w:top w:val="single" w:sz="4" w:space="0" w:color="auto"/>
                    <w:left w:val="single" w:sz="4" w:space="0" w:color="auto"/>
                    <w:bottom w:val="single" w:sz="4" w:space="0" w:color="auto"/>
                    <w:right w:val="single" w:sz="4" w:space="0" w:color="auto"/>
                  </w:tcBorders>
                </w:tcPr>
                <w:p w14:paraId="0E4E1663" w14:textId="77777777" w:rsidR="002C448D" w:rsidRPr="0013396E" w:rsidRDefault="002C448D" w:rsidP="002C448D">
                  <w:pPr>
                    <w:pStyle w:val="TableBody"/>
                    <w:rPr>
                      <w:i/>
                    </w:rPr>
                  </w:pPr>
                  <w:r w:rsidRPr="0013396E">
                    <w:rPr>
                      <w:i/>
                    </w:rPr>
                    <w:t>h</w:t>
                  </w:r>
                </w:p>
              </w:tc>
              <w:tc>
                <w:tcPr>
                  <w:tcW w:w="532" w:type="pct"/>
                  <w:tcBorders>
                    <w:top w:val="single" w:sz="4" w:space="0" w:color="auto"/>
                    <w:left w:val="single" w:sz="4" w:space="0" w:color="auto"/>
                    <w:bottom w:val="single" w:sz="4" w:space="0" w:color="auto"/>
                    <w:right w:val="single" w:sz="4" w:space="0" w:color="auto"/>
                  </w:tcBorders>
                </w:tcPr>
                <w:p w14:paraId="64BD86EA" w14:textId="77777777" w:rsidR="002C448D" w:rsidRPr="0013396E" w:rsidRDefault="002C448D" w:rsidP="002C448D">
                  <w:pPr>
                    <w:pStyle w:val="TableBody"/>
                  </w:pPr>
                  <w:r w:rsidRPr="0013396E">
                    <w:t>None</w:t>
                  </w:r>
                </w:p>
              </w:tc>
              <w:tc>
                <w:tcPr>
                  <w:tcW w:w="3261" w:type="pct"/>
                  <w:tcBorders>
                    <w:top w:val="single" w:sz="4" w:space="0" w:color="auto"/>
                    <w:left w:val="single" w:sz="4" w:space="0" w:color="auto"/>
                    <w:bottom w:val="single" w:sz="4" w:space="0" w:color="auto"/>
                    <w:right w:val="single" w:sz="4" w:space="0" w:color="auto"/>
                  </w:tcBorders>
                </w:tcPr>
                <w:p w14:paraId="55EDACA0" w14:textId="77777777" w:rsidR="002C448D" w:rsidRPr="0013396E" w:rsidRDefault="002C448D" w:rsidP="002C448D">
                  <w:pPr>
                    <w:pStyle w:val="TableBody"/>
                  </w:pPr>
                  <w:r w:rsidRPr="0013396E">
                    <w:t xml:space="preserve">An MRA Contracted Hour under the </w:t>
                  </w:r>
                  <w:r w:rsidRPr="0013396E">
                    <w:rPr>
                      <w:iCs w:val="0"/>
                    </w:rPr>
                    <w:t>MRA Agreement</w:t>
                  </w:r>
                  <w:r w:rsidRPr="0013396E">
                    <w:t xml:space="preserve"> for the calendar month.</w:t>
                  </w:r>
                </w:p>
              </w:tc>
            </w:tr>
          </w:tbl>
          <w:p w14:paraId="36BDF764" w14:textId="15D4515E" w:rsidR="002C448D" w:rsidRPr="0013396E" w:rsidRDefault="002C448D" w:rsidP="002C448D">
            <w:pPr>
              <w:pStyle w:val="BodyTextNumbered"/>
              <w:spacing w:before="240"/>
            </w:pPr>
            <w:r w:rsidRPr="0013396E">
              <w:t>(</w:t>
            </w:r>
            <w:r w:rsidR="00086215" w:rsidRPr="0013396E">
              <w:t>7</w:t>
            </w:r>
            <w:r w:rsidRPr="0013396E">
              <w:t>)</w:t>
            </w:r>
            <w:r w:rsidRPr="0013396E">
              <w:tab/>
              <w:t>The total of the Standby Payments for a given hour is calculated as follows:</w:t>
            </w:r>
          </w:p>
          <w:p w14:paraId="30C8755F" w14:textId="77777777" w:rsidR="002C448D" w:rsidRPr="0013396E" w:rsidRDefault="002C448D" w:rsidP="002C448D">
            <w:pPr>
              <w:pStyle w:val="Formula"/>
              <w:ind w:left="2880" w:hanging="2160"/>
              <w:rPr>
                <w:i/>
                <w:vertAlign w:val="subscript"/>
              </w:rPr>
            </w:pPr>
            <w:r w:rsidRPr="0013396E">
              <w:lastRenderedPageBreak/>
              <w:t>MRASBAMTTOT</w:t>
            </w:r>
            <w:r w:rsidRPr="0013396E">
              <w:tab/>
              <w:t xml:space="preserve">= </w:t>
            </w:r>
            <w:r w:rsidRPr="0013396E">
              <w:rPr>
                <w:position w:val="-22"/>
              </w:rPr>
              <w:object w:dxaOrig="210" w:dyaOrig="465" w14:anchorId="1B189901">
                <v:shape id="_x0000_i1180" type="#_x0000_t75" style="width:6pt;height:24pt" o:ole="">
                  <v:imagedata r:id="rId155" o:title=""/>
                </v:shape>
                <o:OLEObject Type="Embed" ProgID="Equation.3" ShapeID="_x0000_i1180" DrawAspect="Content" ObjectID="_1836311458" r:id="rId231"/>
              </w:object>
            </w:r>
            <w:r w:rsidRPr="0013396E">
              <w:t xml:space="preserve"> MRASBAMTQSETOT </w:t>
            </w:r>
            <w:r w:rsidRPr="0013396E">
              <w:rPr>
                <w:i/>
                <w:vertAlign w:val="subscript"/>
              </w:rPr>
              <w:t>q</w:t>
            </w:r>
            <w:r w:rsidRPr="0013396E">
              <w:rPr>
                <w:b/>
                <w:bCs w:val="0"/>
              </w:rPr>
              <w:t xml:space="preserve"> </w:t>
            </w:r>
          </w:p>
          <w:p w14:paraId="154B8047" w14:textId="77777777" w:rsidR="002C448D" w:rsidRPr="0013396E" w:rsidRDefault="002C448D" w:rsidP="002C448D">
            <w:r w:rsidRPr="0013396E">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4"/>
              <w:gridCol w:w="809"/>
              <w:gridCol w:w="6199"/>
            </w:tblGrid>
            <w:tr w:rsidR="002C448D" w:rsidRPr="0013396E" w14:paraId="7BACF785" w14:textId="77777777" w:rsidTr="00CE1011">
              <w:trPr>
                <w:cantSplit/>
                <w:tblHeader/>
              </w:trPr>
              <w:tc>
                <w:tcPr>
                  <w:tcW w:w="1249" w:type="pct"/>
                </w:tcPr>
                <w:p w14:paraId="0C84D134" w14:textId="77777777" w:rsidR="002C448D" w:rsidRPr="0013396E" w:rsidRDefault="002C448D" w:rsidP="002C448D">
                  <w:pPr>
                    <w:pStyle w:val="TableHead"/>
                  </w:pPr>
                  <w:r w:rsidRPr="0013396E">
                    <w:t>Variable</w:t>
                  </w:r>
                </w:p>
              </w:tc>
              <w:tc>
                <w:tcPr>
                  <w:tcW w:w="433" w:type="pct"/>
                </w:tcPr>
                <w:p w14:paraId="5E5A6E36" w14:textId="77777777" w:rsidR="002C448D" w:rsidRPr="0013396E" w:rsidRDefault="002C448D" w:rsidP="002C448D">
                  <w:pPr>
                    <w:pStyle w:val="TableHead"/>
                  </w:pPr>
                  <w:r w:rsidRPr="0013396E">
                    <w:t>Unit</w:t>
                  </w:r>
                </w:p>
              </w:tc>
              <w:tc>
                <w:tcPr>
                  <w:tcW w:w="3318" w:type="pct"/>
                </w:tcPr>
                <w:p w14:paraId="4E4301E8" w14:textId="77777777" w:rsidR="002C448D" w:rsidRPr="0013396E" w:rsidRDefault="002C448D" w:rsidP="002C448D">
                  <w:pPr>
                    <w:pStyle w:val="TableHead"/>
                  </w:pPr>
                  <w:r w:rsidRPr="0013396E">
                    <w:t>Definition</w:t>
                  </w:r>
                </w:p>
              </w:tc>
            </w:tr>
            <w:tr w:rsidR="002C448D" w:rsidRPr="0013396E" w14:paraId="2B5B3E3A" w14:textId="77777777" w:rsidTr="00CE1011">
              <w:trPr>
                <w:cantSplit/>
              </w:trPr>
              <w:tc>
                <w:tcPr>
                  <w:tcW w:w="1249" w:type="pct"/>
                </w:tcPr>
                <w:p w14:paraId="35A0AC24" w14:textId="77777777" w:rsidR="002C448D" w:rsidRPr="0013396E" w:rsidRDefault="002C448D" w:rsidP="002C448D">
                  <w:pPr>
                    <w:pStyle w:val="TableBody"/>
                  </w:pPr>
                  <w:r w:rsidRPr="0013396E">
                    <w:t>MRASBAMTTOT</w:t>
                  </w:r>
                </w:p>
              </w:tc>
              <w:tc>
                <w:tcPr>
                  <w:tcW w:w="433" w:type="pct"/>
                </w:tcPr>
                <w:p w14:paraId="6FF8C09C" w14:textId="77777777" w:rsidR="002C448D" w:rsidRPr="0013396E" w:rsidRDefault="002C448D" w:rsidP="002C448D">
                  <w:pPr>
                    <w:pStyle w:val="TableBody"/>
                  </w:pPr>
                  <w:r w:rsidRPr="0013396E">
                    <w:t>$</w:t>
                  </w:r>
                </w:p>
              </w:tc>
              <w:tc>
                <w:tcPr>
                  <w:tcW w:w="3318" w:type="pct"/>
                </w:tcPr>
                <w:p w14:paraId="35021137" w14:textId="77777777" w:rsidR="002C448D" w:rsidRPr="0013396E" w:rsidRDefault="002C448D" w:rsidP="002C448D">
                  <w:pPr>
                    <w:pStyle w:val="TableBody"/>
                  </w:pPr>
                  <w:r w:rsidRPr="0013396E">
                    <w:rPr>
                      <w:i/>
                    </w:rPr>
                    <w:t xml:space="preserve">Must-Run Alternative Standby Amount Total </w:t>
                  </w:r>
                  <w:r w:rsidRPr="0013396E">
                    <w:sym w:font="Symbol" w:char="F0BE"/>
                  </w:r>
                  <w:r w:rsidRPr="0013396E">
                    <w:t xml:space="preserve">The total of the Standby Payments to all QSEs </w:t>
                  </w:r>
                  <w:r w:rsidRPr="0013396E">
                    <w:rPr>
                      <w:i/>
                    </w:rPr>
                    <w:t>q</w:t>
                  </w:r>
                  <w:r w:rsidRPr="0013396E">
                    <w:t xml:space="preserve"> for all MRAs for the hour.</w:t>
                  </w:r>
                </w:p>
              </w:tc>
            </w:tr>
            <w:tr w:rsidR="002C448D" w:rsidRPr="0013396E" w14:paraId="2A7DF3AC" w14:textId="77777777" w:rsidTr="00CE1011">
              <w:trPr>
                <w:cantSplit/>
              </w:trPr>
              <w:tc>
                <w:tcPr>
                  <w:tcW w:w="1249" w:type="pct"/>
                </w:tcPr>
                <w:p w14:paraId="666F0957" w14:textId="77777777" w:rsidR="002C448D" w:rsidRPr="0013396E" w:rsidRDefault="002C448D" w:rsidP="002C448D">
                  <w:pPr>
                    <w:pStyle w:val="TableBody"/>
                  </w:pPr>
                  <w:r w:rsidRPr="0013396E">
                    <w:t xml:space="preserve">MRASBAMTQSETOT </w:t>
                  </w:r>
                  <w:r w:rsidRPr="0013396E">
                    <w:rPr>
                      <w:i/>
                      <w:vertAlign w:val="subscript"/>
                    </w:rPr>
                    <w:t>q</w:t>
                  </w:r>
                </w:p>
              </w:tc>
              <w:tc>
                <w:tcPr>
                  <w:tcW w:w="433" w:type="pct"/>
                </w:tcPr>
                <w:p w14:paraId="4CC63961" w14:textId="77777777" w:rsidR="002C448D" w:rsidRPr="0013396E" w:rsidRDefault="002C448D" w:rsidP="002C448D">
                  <w:pPr>
                    <w:pStyle w:val="TableBody"/>
                  </w:pPr>
                  <w:r w:rsidRPr="0013396E">
                    <w:t>$</w:t>
                  </w:r>
                </w:p>
              </w:tc>
              <w:tc>
                <w:tcPr>
                  <w:tcW w:w="3318" w:type="pct"/>
                </w:tcPr>
                <w:p w14:paraId="6B9411DB" w14:textId="77777777" w:rsidR="002C448D" w:rsidRPr="0013396E" w:rsidRDefault="002C448D" w:rsidP="002C448D">
                  <w:pPr>
                    <w:pStyle w:val="TableBody"/>
                  </w:pPr>
                  <w:r w:rsidRPr="0013396E">
                    <w:rPr>
                      <w:i/>
                    </w:rPr>
                    <w:t xml:space="preserve">Must-Run Alternative Standby Amount Total per QSE per hour </w:t>
                  </w:r>
                  <w:r w:rsidRPr="0013396E">
                    <w:sym w:font="Symbol" w:char="F0BE"/>
                  </w:r>
                  <w:r w:rsidRPr="0013396E">
                    <w:t xml:space="preserve">The total of the Standby Payments for all MRAs represented by the QSE </w:t>
                  </w:r>
                  <w:r w:rsidRPr="0013396E">
                    <w:rPr>
                      <w:i/>
                    </w:rPr>
                    <w:t>q</w:t>
                  </w:r>
                  <w:r w:rsidRPr="0013396E">
                    <w:t xml:space="preserve"> for the hour.</w:t>
                  </w:r>
                </w:p>
              </w:tc>
            </w:tr>
            <w:tr w:rsidR="002C448D" w:rsidRPr="0013396E" w14:paraId="32E18E7D" w14:textId="77777777" w:rsidTr="00CE1011">
              <w:trPr>
                <w:cantSplit/>
              </w:trPr>
              <w:tc>
                <w:tcPr>
                  <w:tcW w:w="1249" w:type="pct"/>
                  <w:tcBorders>
                    <w:top w:val="single" w:sz="4" w:space="0" w:color="auto"/>
                    <w:left w:val="single" w:sz="4" w:space="0" w:color="auto"/>
                    <w:bottom w:val="single" w:sz="4" w:space="0" w:color="auto"/>
                    <w:right w:val="single" w:sz="4" w:space="0" w:color="auto"/>
                  </w:tcBorders>
                </w:tcPr>
                <w:p w14:paraId="3CF9E3BA" w14:textId="77777777" w:rsidR="002C448D" w:rsidRPr="0013396E" w:rsidRDefault="002C448D" w:rsidP="002C448D">
                  <w:pPr>
                    <w:pStyle w:val="TableBody"/>
                    <w:rPr>
                      <w:i/>
                    </w:rPr>
                  </w:pPr>
                  <w:r w:rsidRPr="0013396E">
                    <w:rPr>
                      <w:i/>
                    </w:rPr>
                    <w:t>q</w:t>
                  </w:r>
                </w:p>
              </w:tc>
              <w:tc>
                <w:tcPr>
                  <w:tcW w:w="433" w:type="pct"/>
                  <w:tcBorders>
                    <w:top w:val="single" w:sz="4" w:space="0" w:color="auto"/>
                    <w:left w:val="single" w:sz="4" w:space="0" w:color="auto"/>
                    <w:bottom w:val="single" w:sz="4" w:space="0" w:color="auto"/>
                    <w:right w:val="single" w:sz="4" w:space="0" w:color="auto"/>
                  </w:tcBorders>
                </w:tcPr>
                <w:p w14:paraId="59A23308" w14:textId="77777777" w:rsidR="002C448D" w:rsidRPr="0013396E" w:rsidRDefault="002C448D" w:rsidP="002C448D">
                  <w:pPr>
                    <w:pStyle w:val="TableBody"/>
                  </w:pPr>
                  <w:r w:rsidRPr="0013396E">
                    <w:t>None</w:t>
                  </w:r>
                </w:p>
              </w:tc>
              <w:tc>
                <w:tcPr>
                  <w:tcW w:w="3318" w:type="pct"/>
                  <w:tcBorders>
                    <w:top w:val="single" w:sz="4" w:space="0" w:color="auto"/>
                    <w:left w:val="single" w:sz="4" w:space="0" w:color="auto"/>
                    <w:bottom w:val="single" w:sz="4" w:space="0" w:color="auto"/>
                    <w:right w:val="single" w:sz="4" w:space="0" w:color="auto"/>
                  </w:tcBorders>
                </w:tcPr>
                <w:p w14:paraId="3E8C994A" w14:textId="77777777" w:rsidR="002C448D" w:rsidRPr="0013396E" w:rsidRDefault="002C448D" w:rsidP="002C448D">
                  <w:pPr>
                    <w:pStyle w:val="TableBody"/>
                  </w:pPr>
                  <w:r w:rsidRPr="0013396E">
                    <w:t>A QSE.</w:t>
                  </w:r>
                </w:p>
              </w:tc>
            </w:tr>
          </w:tbl>
          <w:p w14:paraId="12242CC0" w14:textId="77777777" w:rsidR="005C6D56" w:rsidRPr="0013396E" w:rsidRDefault="005C6D56" w:rsidP="00CE1011">
            <w:pPr>
              <w:pStyle w:val="H3"/>
            </w:pPr>
          </w:p>
        </w:tc>
      </w:tr>
    </w:tbl>
    <w:p w14:paraId="6A6907EF" w14:textId="77777777" w:rsidR="002C6FAE" w:rsidRPr="0013396E" w:rsidRDefault="002C6FAE" w:rsidP="002C6FAE">
      <w:pPr>
        <w:pStyle w:val="H3"/>
        <w:spacing w:before="0" w:after="0"/>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76"/>
      </w:tblGrid>
      <w:tr w:rsidR="002C6FAE" w:rsidRPr="0013396E" w14:paraId="668A6A12" w14:textId="77777777" w:rsidTr="00CE1011">
        <w:trPr>
          <w:trHeight w:val="206"/>
        </w:trPr>
        <w:tc>
          <w:tcPr>
            <w:tcW w:w="5000" w:type="pct"/>
            <w:shd w:val="pct12" w:color="auto" w:fill="auto"/>
          </w:tcPr>
          <w:p w14:paraId="5A6257E7" w14:textId="695B946E" w:rsidR="002C6FAE" w:rsidRPr="0013396E" w:rsidRDefault="002C6FAE" w:rsidP="00CE1011">
            <w:pPr>
              <w:pStyle w:val="Instructions"/>
              <w:spacing w:before="120"/>
            </w:pPr>
            <w:r w:rsidRPr="0013396E">
              <w:t>[NPRR885:  Insert Section 6.6.6.8 below upon system implementation:]</w:t>
            </w:r>
          </w:p>
          <w:p w14:paraId="09D33155" w14:textId="77777777" w:rsidR="002C6FAE" w:rsidRPr="0013396E" w:rsidRDefault="002C6FAE" w:rsidP="002C6FAE">
            <w:pPr>
              <w:keepNext/>
              <w:widowControl w:val="0"/>
              <w:tabs>
                <w:tab w:val="left" w:pos="1260"/>
              </w:tabs>
              <w:spacing w:before="240" w:after="240"/>
              <w:ind w:left="1260" w:hanging="1260"/>
              <w:outlineLvl w:val="3"/>
              <w:rPr>
                <w:b/>
                <w:bCs/>
                <w:snapToGrid w:val="0"/>
                <w:color w:val="000000"/>
              </w:rPr>
            </w:pPr>
            <w:bookmarkStart w:id="2008" w:name="_Toc17798755"/>
            <w:bookmarkStart w:id="2009" w:name="_Toc214879001"/>
            <w:r w:rsidRPr="0013396E">
              <w:rPr>
                <w:b/>
                <w:bCs/>
                <w:snapToGrid w:val="0"/>
                <w:color w:val="000000"/>
              </w:rPr>
              <w:t>6.6.6.8</w:t>
            </w:r>
            <w:r w:rsidRPr="0013396E">
              <w:rPr>
                <w:b/>
                <w:bCs/>
                <w:snapToGrid w:val="0"/>
                <w:color w:val="000000"/>
              </w:rPr>
              <w:tab/>
              <w:t>MRA Contributed Capital Expenditures Payment</w:t>
            </w:r>
            <w:bookmarkEnd w:id="2008"/>
            <w:bookmarkEnd w:id="2009"/>
          </w:p>
          <w:p w14:paraId="06183963" w14:textId="77777777" w:rsidR="002C6FAE" w:rsidRPr="0013396E" w:rsidRDefault="002C6FAE" w:rsidP="002C6FAE">
            <w:pPr>
              <w:pStyle w:val="BodyTextNumbered"/>
            </w:pPr>
            <w:r w:rsidRPr="0013396E">
              <w:t>(1)</w:t>
            </w:r>
            <w:r w:rsidRPr="0013396E">
              <w:tab/>
              <w:t xml:space="preserve">The contributed capital expenditure payment to each QSE for each MRA for each MRA Contracted Hour of each month is calculated as follows:  </w:t>
            </w:r>
          </w:p>
          <w:p w14:paraId="6A5E4495" w14:textId="77777777" w:rsidR="002C6FAE" w:rsidRPr="0013396E" w:rsidRDefault="002C6FAE" w:rsidP="002C6FAE">
            <w:pPr>
              <w:pStyle w:val="FormulaBold"/>
            </w:pPr>
            <w:r w:rsidRPr="0013396E">
              <w:t xml:space="preserve">MRACAPEXAMT </w:t>
            </w:r>
            <w:r w:rsidRPr="0013396E">
              <w:rPr>
                <w:i/>
                <w:vertAlign w:val="subscript"/>
              </w:rPr>
              <w:t xml:space="preserve">q, r  </w:t>
            </w:r>
            <w:r w:rsidRPr="0013396E">
              <w:t xml:space="preserve">=  (-1) * MRAMCAPEX </w:t>
            </w:r>
            <w:r w:rsidRPr="0013396E">
              <w:rPr>
                <w:i/>
                <w:vertAlign w:val="subscript"/>
              </w:rPr>
              <w:t xml:space="preserve">q, r, m </w:t>
            </w:r>
            <w:r w:rsidRPr="0013396E">
              <w:t xml:space="preserve">/ MH </w:t>
            </w:r>
            <w:r w:rsidRPr="0013396E">
              <w:rPr>
                <w:i/>
                <w:vertAlign w:val="subscript"/>
              </w:rPr>
              <w:t xml:space="preserve">q, r, m </w:t>
            </w:r>
          </w:p>
          <w:p w14:paraId="3D79FC1E" w14:textId="77777777" w:rsidR="002C6FAE" w:rsidRPr="0013396E" w:rsidRDefault="002C6FAE" w:rsidP="002C6FAE">
            <w:r w:rsidRPr="0013396E">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8"/>
              <w:gridCol w:w="605"/>
              <w:gridCol w:w="6513"/>
            </w:tblGrid>
            <w:tr w:rsidR="000B2DD1" w:rsidRPr="0013396E" w14:paraId="5F062DF2" w14:textId="77777777" w:rsidTr="00CE1011">
              <w:trPr>
                <w:cantSplit/>
                <w:tblHeader/>
              </w:trPr>
              <w:tc>
                <w:tcPr>
                  <w:tcW w:w="1188" w:type="pct"/>
                </w:tcPr>
                <w:p w14:paraId="0BC9EBA2" w14:textId="77777777" w:rsidR="000B2DD1" w:rsidRPr="0013396E" w:rsidRDefault="000B2DD1" w:rsidP="000B2DD1">
                  <w:pPr>
                    <w:spacing w:after="120"/>
                    <w:rPr>
                      <w:b/>
                      <w:iCs/>
                      <w:sz w:val="20"/>
                    </w:rPr>
                  </w:pPr>
                  <w:r w:rsidRPr="0013396E">
                    <w:rPr>
                      <w:b/>
                      <w:iCs/>
                      <w:sz w:val="20"/>
                    </w:rPr>
                    <w:t>Variable</w:t>
                  </w:r>
                </w:p>
              </w:tc>
              <w:tc>
                <w:tcPr>
                  <w:tcW w:w="324" w:type="pct"/>
                </w:tcPr>
                <w:p w14:paraId="5C616C6F" w14:textId="77777777" w:rsidR="000B2DD1" w:rsidRPr="0013396E" w:rsidRDefault="000B2DD1" w:rsidP="000B2DD1">
                  <w:pPr>
                    <w:spacing w:after="120"/>
                    <w:rPr>
                      <w:b/>
                      <w:iCs/>
                      <w:sz w:val="20"/>
                    </w:rPr>
                  </w:pPr>
                  <w:r w:rsidRPr="0013396E">
                    <w:rPr>
                      <w:b/>
                      <w:iCs/>
                      <w:sz w:val="20"/>
                    </w:rPr>
                    <w:t>Unit</w:t>
                  </w:r>
                </w:p>
              </w:tc>
              <w:tc>
                <w:tcPr>
                  <w:tcW w:w="3488" w:type="pct"/>
                </w:tcPr>
                <w:p w14:paraId="2089BC36" w14:textId="77777777" w:rsidR="000B2DD1" w:rsidRPr="0013396E" w:rsidRDefault="000B2DD1" w:rsidP="000B2DD1">
                  <w:pPr>
                    <w:spacing w:after="120"/>
                    <w:rPr>
                      <w:b/>
                      <w:iCs/>
                      <w:sz w:val="20"/>
                    </w:rPr>
                  </w:pPr>
                  <w:r w:rsidRPr="0013396E">
                    <w:rPr>
                      <w:b/>
                      <w:iCs/>
                      <w:sz w:val="20"/>
                    </w:rPr>
                    <w:t>Definition</w:t>
                  </w:r>
                </w:p>
              </w:tc>
            </w:tr>
            <w:tr w:rsidR="000B2DD1" w:rsidRPr="0013396E" w14:paraId="3C3868D6" w14:textId="77777777" w:rsidTr="00CE1011">
              <w:trPr>
                <w:cantSplit/>
              </w:trPr>
              <w:tc>
                <w:tcPr>
                  <w:tcW w:w="1188" w:type="pct"/>
                </w:tcPr>
                <w:p w14:paraId="0B1D7DF3" w14:textId="77777777" w:rsidR="000B2DD1" w:rsidRPr="0013396E" w:rsidRDefault="000B2DD1" w:rsidP="000B2DD1">
                  <w:pPr>
                    <w:spacing w:after="60"/>
                    <w:rPr>
                      <w:iCs/>
                      <w:sz w:val="20"/>
                    </w:rPr>
                  </w:pPr>
                  <w:r w:rsidRPr="0013396E">
                    <w:rPr>
                      <w:sz w:val="20"/>
                    </w:rPr>
                    <w:t xml:space="preserve">MRACAPEXAMT </w:t>
                  </w:r>
                  <w:r w:rsidRPr="0013396E">
                    <w:rPr>
                      <w:i/>
                      <w:sz w:val="20"/>
                      <w:vertAlign w:val="subscript"/>
                    </w:rPr>
                    <w:t>q, r</w:t>
                  </w:r>
                </w:p>
              </w:tc>
              <w:tc>
                <w:tcPr>
                  <w:tcW w:w="324" w:type="pct"/>
                </w:tcPr>
                <w:p w14:paraId="05758F60" w14:textId="77777777" w:rsidR="000B2DD1" w:rsidRPr="0013396E" w:rsidRDefault="000B2DD1" w:rsidP="000B2DD1">
                  <w:pPr>
                    <w:spacing w:after="60"/>
                    <w:rPr>
                      <w:iCs/>
                      <w:sz w:val="20"/>
                    </w:rPr>
                  </w:pPr>
                  <w:r w:rsidRPr="0013396E">
                    <w:rPr>
                      <w:iCs/>
                      <w:sz w:val="20"/>
                    </w:rPr>
                    <w:t>$</w:t>
                  </w:r>
                </w:p>
              </w:tc>
              <w:tc>
                <w:tcPr>
                  <w:tcW w:w="3488" w:type="pct"/>
                </w:tcPr>
                <w:p w14:paraId="0A09FCEB" w14:textId="77777777" w:rsidR="000B2DD1" w:rsidRPr="0013396E" w:rsidRDefault="000B2DD1" w:rsidP="000B2DD1">
                  <w:pPr>
                    <w:spacing w:after="60"/>
                    <w:rPr>
                      <w:iCs/>
                      <w:sz w:val="20"/>
                    </w:rPr>
                  </w:pPr>
                  <w:r w:rsidRPr="0013396E">
                    <w:rPr>
                      <w:i/>
                      <w:iCs/>
                      <w:sz w:val="20"/>
                    </w:rPr>
                    <w:t>Must-Run Alternative Contributed Capital Expenditures Amount per QSE per Resource per hour</w:t>
                  </w:r>
                  <w:r w:rsidRPr="0013396E">
                    <w:rPr>
                      <w:sz w:val="20"/>
                    </w:rPr>
                    <w:t>—</w:t>
                  </w:r>
                  <w:r w:rsidRPr="0013396E">
                    <w:rPr>
                      <w:iCs/>
                      <w:sz w:val="20"/>
                    </w:rPr>
                    <w:t xml:space="preserve"> The total monthly contributed capital expenditure payment for MRA </w:t>
                  </w:r>
                  <w:r w:rsidRPr="0013396E">
                    <w:rPr>
                      <w:i/>
                      <w:iCs/>
                      <w:sz w:val="20"/>
                    </w:rPr>
                    <w:t xml:space="preserve">r </w:t>
                  </w:r>
                  <w:r w:rsidRPr="0013396E">
                    <w:rPr>
                      <w:iCs/>
                      <w:sz w:val="20"/>
                    </w:rPr>
                    <w:t xml:space="preserve">represented by QSE </w:t>
                  </w:r>
                  <w:r w:rsidRPr="0013396E">
                    <w:rPr>
                      <w:i/>
                      <w:iCs/>
                      <w:sz w:val="20"/>
                    </w:rPr>
                    <w:t>q</w:t>
                  </w:r>
                  <w:r w:rsidRPr="0013396E">
                    <w:rPr>
                      <w:iCs/>
                      <w:sz w:val="20"/>
                    </w:rPr>
                    <w:t xml:space="preserve">, allocated to each MRA Contracted Hour.  Where for a Combined Cycle Train, the Resource </w:t>
                  </w:r>
                  <w:r w:rsidRPr="0013396E">
                    <w:rPr>
                      <w:i/>
                      <w:iCs/>
                      <w:sz w:val="20"/>
                    </w:rPr>
                    <w:t xml:space="preserve">r </w:t>
                  </w:r>
                  <w:r w:rsidRPr="0013396E">
                    <w:rPr>
                      <w:iCs/>
                      <w:sz w:val="20"/>
                    </w:rPr>
                    <w:t>is a Combined Cycle Train.</w:t>
                  </w:r>
                </w:p>
              </w:tc>
            </w:tr>
            <w:tr w:rsidR="000B2DD1" w:rsidRPr="0013396E" w14:paraId="4A6152DB" w14:textId="77777777" w:rsidTr="00CE1011">
              <w:trPr>
                <w:cantSplit/>
              </w:trPr>
              <w:tc>
                <w:tcPr>
                  <w:tcW w:w="1188" w:type="pct"/>
                </w:tcPr>
                <w:p w14:paraId="5B1AACB0" w14:textId="77777777" w:rsidR="000B2DD1" w:rsidRPr="0013396E" w:rsidRDefault="000B2DD1" w:rsidP="000B2DD1">
                  <w:pPr>
                    <w:spacing w:after="60"/>
                    <w:rPr>
                      <w:iCs/>
                      <w:sz w:val="20"/>
                    </w:rPr>
                  </w:pPr>
                  <w:r w:rsidRPr="0013396E">
                    <w:rPr>
                      <w:sz w:val="20"/>
                    </w:rPr>
                    <w:t>MRAMCAPEX</w:t>
                  </w:r>
                  <w:r w:rsidRPr="0013396E">
                    <w:rPr>
                      <w:i/>
                      <w:sz w:val="20"/>
                      <w:vertAlign w:val="subscript"/>
                    </w:rPr>
                    <w:t xml:space="preserve"> q, r, m</w:t>
                  </w:r>
                </w:p>
              </w:tc>
              <w:tc>
                <w:tcPr>
                  <w:tcW w:w="324" w:type="pct"/>
                </w:tcPr>
                <w:p w14:paraId="295FB8B3" w14:textId="77777777" w:rsidR="000B2DD1" w:rsidRPr="0013396E" w:rsidRDefault="000B2DD1" w:rsidP="000B2DD1">
                  <w:pPr>
                    <w:spacing w:after="60"/>
                    <w:rPr>
                      <w:iCs/>
                      <w:sz w:val="20"/>
                    </w:rPr>
                  </w:pPr>
                  <w:r w:rsidRPr="0013396E">
                    <w:rPr>
                      <w:iCs/>
                      <w:sz w:val="20"/>
                    </w:rPr>
                    <w:t>$</w:t>
                  </w:r>
                </w:p>
              </w:tc>
              <w:tc>
                <w:tcPr>
                  <w:tcW w:w="3488" w:type="pct"/>
                </w:tcPr>
                <w:p w14:paraId="583D7FEC" w14:textId="77777777" w:rsidR="000B2DD1" w:rsidRPr="0013396E" w:rsidRDefault="000B2DD1" w:rsidP="000B2DD1">
                  <w:pPr>
                    <w:spacing w:after="60"/>
                    <w:rPr>
                      <w:iCs/>
                      <w:sz w:val="20"/>
                    </w:rPr>
                  </w:pPr>
                  <w:r w:rsidRPr="0013396E">
                    <w:rPr>
                      <w:i/>
                      <w:iCs/>
                      <w:sz w:val="20"/>
                    </w:rPr>
                    <w:t>Must-Run Alternative Monthly Contributed Capital Expenditures per QSE</w:t>
                  </w:r>
                  <w:r w:rsidRPr="0013396E">
                    <w:rPr>
                      <w:sz w:val="20"/>
                    </w:rPr>
                    <w:t>—</w:t>
                  </w:r>
                  <w:r w:rsidRPr="0013396E">
                    <w:rPr>
                      <w:iCs/>
                      <w:sz w:val="20"/>
                    </w:rPr>
                    <w:t xml:space="preserve"> The total monthly contributed capital expenditures for MRA </w:t>
                  </w:r>
                  <w:r w:rsidRPr="0013396E">
                    <w:rPr>
                      <w:i/>
                      <w:iCs/>
                      <w:sz w:val="20"/>
                    </w:rPr>
                    <w:t xml:space="preserve">r </w:t>
                  </w:r>
                  <w:r w:rsidRPr="0013396E">
                    <w:rPr>
                      <w:iCs/>
                      <w:sz w:val="20"/>
                    </w:rPr>
                    <w:t xml:space="preserve">represented by QSE </w:t>
                  </w:r>
                  <w:r w:rsidRPr="0013396E">
                    <w:rPr>
                      <w:i/>
                      <w:iCs/>
                      <w:sz w:val="20"/>
                    </w:rPr>
                    <w:t>q</w:t>
                  </w:r>
                  <w:r w:rsidRPr="0013396E">
                    <w:rPr>
                      <w:iCs/>
                      <w:sz w:val="20"/>
                    </w:rPr>
                    <w:t xml:space="preserve">.  Where for a Combined Cycle Train, the Resource </w:t>
                  </w:r>
                  <w:r w:rsidRPr="0013396E">
                    <w:rPr>
                      <w:i/>
                      <w:iCs/>
                      <w:sz w:val="20"/>
                    </w:rPr>
                    <w:t xml:space="preserve">r </w:t>
                  </w:r>
                  <w:r w:rsidRPr="0013396E">
                    <w:rPr>
                      <w:iCs/>
                      <w:sz w:val="20"/>
                    </w:rPr>
                    <w:t>is a Combined Cycle Train.</w:t>
                  </w:r>
                </w:p>
              </w:tc>
            </w:tr>
            <w:tr w:rsidR="000B2DD1" w:rsidRPr="0013396E" w14:paraId="3E69BEB4" w14:textId="77777777" w:rsidTr="00CE1011">
              <w:trPr>
                <w:cantSplit/>
              </w:trPr>
              <w:tc>
                <w:tcPr>
                  <w:tcW w:w="1188" w:type="pct"/>
                </w:tcPr>
                <w:p w14:paraId="12B47866" w14:textId="77777777" w:rsidR="000B2DD1" w:rsidRPr="0013396E" w:rsidRDefault="000B2DD1" w:rsidP="000B2DD1">
                  <w:pPr>
                    <w:spacing w:after="60"/>
                    <w:rPr>
                      <w:iCs/>
                      <w:sz w:val="20"/>
                    </w:rPr>
                  </w:pPr>
                  <w:r w:rsidRPr="0013396E">
                    <w:rPr>
                      <w:sz w:val="20"/>
                    </w:rPr>
                    <w:t xml:space="preserve">MH </w:t>
                  </w:r>
                  <w:r w:rsidRPr="0013396E">
                    <w:rPr>
                      <w:i/>
                      <w:sz w:val="20"/>
                      <w:vertAlign w:val="subscript"/>
                    </w:rPr>
                    <w:t>q, r, m</w:t>
                  </w:r>
                </w:p>
              </w:tc>
              <w:tc>
                <w:tcPr>
                  <w:tcW w:w="324" w:type="pct"/>
                </w:tcPr>
                <w:p w14:paraId="307B968E" w14:textId="77777777" w:rsidR="000B2DD1" w:rsidRPr="0013396E" w:rsidRDefault="000B2DD1" w:rsidP="000B2DD1">
                  <w:pPr>
                    <w:spacing w:after="60"/>
                    <w:rPr>
                      <w:iCs/>
                      <w:sz w:val="20"/>
                    </w:rPr>
                  </w:pPr>
                  <w:r w:rsidRPr="0013396E">
                    <w:rPr>
                      <w:sz w:val="20"/>
                    </w:rPr>
                    <w:t>hour</w:t>
                  </w:r>
                </w:p>
              </w:tc>
              <w:tc>
                <w:tcPr>
                  <w:tcW w:w="3488" w:type="pct"/>
                </w:tcPr>
                <w:p w14:paraId="104B9397" w14:textId="77777777" w:rsidR="000B2DD1" w:rsidRPr="0013396E" w:rsidRDefault="000B2DD1" w:rsidP="000B2DD1">
                  <w:pPr>
                    <w:spacing w:after="60"/>
                    <w:rPr>
                      <w:i/>
                      <w:iCs/>
                      <w:sz w:val="20"/>
                    </w:rPr>
                  </w:pPr>
                  <w:r w:rsidRPr="0013396E">
                    <w:rPr>
                      <w:i/>
                      <w:sz w:val="20"/>
                    </w:rPr>
                    <w:t>Number of Total Contracted Hours in the Month per QSE per Resource</w:t>
                  </w:r>
                  <w:r w:rsidRPr="0013396E">
                    <w:rPr>
                      <w:sz w:val="20"/>
                    </w:rPr>
                    <w:t xml:space="preserve">—The total number of MRA Contracted Hours in the MRA Contracted Month </w:t>
                  </w:r>
                  <w:r w:rsidRPr="0013396E">
                    <w:rPr>
                      <w:i/>
                      <w:sz w:val="20"/>
                    </w:rPr>
                    <w:t>m</w:t>
                  </w:r>
                  <w:r w:rsidRPr="0013396E">
                    <w:rPr>
                      <w:sz w:val="20"/>
                    </w:rPr>
                    <w:t xml:space="preserve"> for the MRA </w:t>
                  </w:r>
                  <w:r w:rsidRPr="0013396E">
                    <w:rPr>
                      <w:i/>
                      <w:sz w:val="20"/>
                    </w:rPr>
                    <w:t>r</w:t>
                  </w:r>
                  <w:r w:rsidRPr="0013396E">
                    <w:rPr>
                      <w:sz w:val="20"/>
                    </w:rPr>
                    <w:t xml:space="preserve"> </w:t>
                  </w:r>
                  <w:r w:rsidRPr="0013396E">
                    <w:rPr>
                      <w:iCs/>
                      <w:sz w:val="20"/>
                    </w:rPr>
                    <w:t xml:space="preserve">represented by QSE </w:t>
                  </w:r>
                  <w:r w:rsidRPr="0013396E">
                    <w:rPr>
                      <w:i/>
                      <w:iCs/>
                      <w:sz w:val="20"/>
                    </w:rPr>
                    <w:t>q</w:t>
                  </w:r>
                  <w:r w:rsidRPr="0013396E">
                    <w:rPr>
                      <w:sz w:val="20"/>
                    </w:rPr>
                    <w:t xml:space="preserve"> as indicated in the MRA Agreement.  Where for a Combined Cycle Train, the Resource </w:t>
                  </w:r>
                  <w:r w:rsidRPr="0013396E">
                    <w:rPr>
                      <w:i/>
                      <w:sz w:val="20"/>
                    </w:rPr>
                    <w:t xml:space="preserve">r </w:t>
                  </w:r>
                  <w:r w:rsidRPr="0013396E">
                    <w:rPr>
                      <w:sz w:val="20"/>
                    </w:rPr>
                    <w:t>is the Combined Cycle Train.</w:t>
                  </w:r>
                </w:p>
              </w:tc>
            </w:tr>
            <w:tr w:rsidR="000B2DD1" w:rsidRPr="0013396E" w14:paraId="56710D70" w14:textId="77777777" w:rsidTr="00CE1011">
              <w:trPr>
                <w:cantSplit/>
              </w:trPr>
              <w:tc>
                <w:tcPr>
                  <w:tcW w:w="1188" w:type="pct"/>
                  <w:tcBorders>
                    <w:top w:val="single" w:sz="4" w:space="0" w:color="auto"/>
                    <w:left w:val="single" w:sz="4" w:space="0" w:color="auto"/>
                    <w:bottom w:val="single" w:sz="4" w:space="0" w:color="auto"/>
                    <w:right w:val="single" w:sz="4" w:space="0" w:color="auto"/>
                  </w:tcBorders>
                </w:tcPr>
                <w:p w14:paraId="79C5D7BA" w14:textId="77777777" w:rsidR="000B2DD1" w:rsidRPr="0013396E" w:rsidRDefault="000B2DD1" w:rsidP="000B2DD1">
                  <w:pPr>
                    <w:spacing w:after="60"/>
                    <w:rPr>
                      <w:i/>
                      <w:iCs/>
                      <w:sz w:val="20"/>
                    </w:rPr>
                  </w:pPr>
                  <w:r w:rsidRPr="0013396E">
                    <w:rPr>
                      <w:i/>
                      <w:iCs/>
                      <w:sz w:val="20"/>
                    </w:rPr>
                    <w:t>q</w:t>
                  </w:r>
                </w:p>
              </w:tc>
              <w:tc>
                <w:tcPr>
                  <w:tcW w:w="324" w:type="pct"/>
                  <w:tcBorders>
                    <w:top w:val="single" w:sz="4" w:space="0" w:color="auto"/>
                    <w:left w:val="single" w:sz="4" w:space="0" w:color="auto"/>
                    <w:bottom w:val="single" w:sz="4" w:space="0" w:color="auto"/>
                    <w:right w:val="single" w:sz="4" w:space="0" w:color="auto"/>
                  </w:tcBorders>
                </w:tcPr>
                <w:p w14:paraId="35F200B1" w14:textId="77777777" w:rsidR="000B2DD1" w:rsidRPr="0013396E" w:rsidRDefault="000B2DD1" w:rsidP="000B2DD1">
                  <w:pPr>
                    <w:spacing w:after="60"/>
                    <w:rPr>
                      <w:iCs/>
                      <w:sz w:val="20"/>
                    </w:rPr>
                  </w:pPr>
                  <w:r w:rsidRPr="0013396E">
                    <w:rPr>
                      <w:iCs/>
                      <w:sz w:val="20"/>
                    </w:rPr>
                    <w:t>none</w:t>
                  </w:r>
                </w:p>
              </w:tc>
              <w:tc>
                <w:tcPr>
                  <w:tcW w:w="3488" w:type="pct"/>
                  <w:tcBorders>
                    <w:top w:val="single" w:sz="4" w:space="0" w:color="auto"/>
                    <w:left w:val="single" w:sz="4" w:space="0" w:color="auto"/>
                    <w:bottom w:val="single" w:sz="4" w:space="0" w:color="auto"/>
                    <w:right w:val="single" w:sz="4" w:space="0" w:color="auto"/>
                  </w:tcBorders>
                </w:tcPr>
                <w:p w14:paraId="20116589" w14:textId="77777777" w:rsidR="000B2DD1" w:rsidRPr="0013396E" w:rsidRDefault="000B2DD1" w:rsidP="000B2DD1">
                  <w:pPr>
                    <w:spacing w:after="60"/>
                    <w:rPr>
                      <w:iCs/>
                      <w:sz w:val="20"/>
                    </w:rPr>
                  </w:pPr>
                  <w:r w:rsidRPr="0013396E">
                    <w:rPr>
                      <w:iCs/>
                      <w:sz w:val="20"/>
                    </w:rPr>
                    <w:t>A QSE.</w:t>
                  </w:r>
                </w:p>
              </w:tc>
            </w:tr>
            <w:tr w:rsidR="000B2DD1" w:rsidRPr="0013396E" w14:paraId="29473799" w14:textId="77777777" w:rsidTr="00CE1011">
              <w:trPr>
                <w:cantSplit/>
              </w:trPr>
              <w:tc>
                <w:tcPr>
                  <w:tcW w:w="1188" w:type="pct"/>
                  <w:tcBorders>
                    <w:top w:val="single" w:sz="4" w:space="0" w:color="auto"/>
                    <w:left w:val="single" w:sz="4" w:space="0" w:color="auto"/>
                    <w:bottom w:val="single" w:sz="4" w:space="0" w:color="auto"/>
                    <w:right w:val="single" w:sz="4" w:space="0" w:color="auto"/>
                  </w:tcBorders>
                </w:tcPr>
                <w:p w14:paraId="4A1D6544" w14:textId="77777777" w:rsidR="000B2DD1" w:rsidRPr="0013396E" w:rsidRDefault="000B2DD1" w:rsidP="000B2DD1">
                  <w:pPr>
                    <w:spacing w:after="60"/>
                    <w:rPr>
                      <w:i/>
                      <w:iCs/>
                      <w:sz w:val="20"/>
                    </w:rPr>
                  </w:pPr>
                  <w:r w:rsidRPr="0013396E">
                    <w:rPr>
                      <w:i/>
                      <w:iCs/>
                      <w:sz w:val="20"/>
                    </w:rPr>
                    <w:t>r</w:t>
                  </w:r>
                </w:p>
              </w:tc>
              <w:tc>
                <w:tcPr>
                  <w:tcW w:w="324" w:type="pct"/>
                  <w:tcBorders>
                    <w:top w:val="single" w:sz="4" w:space="0" w:color="auto"/>
                    <w:left w:val="single" w:sz="4" w:space="0" w:color="auto"/>
                    <w:bottom w:val="single" w:sz="4" w:space="0" w:color="auto"/>
                    <w:right w:val="single" w:sz="4" w:space="0" w:color="auto"/>
                  </w:tcBorders>
                </w:tcPr>
                <w:p w14:paraId="64C2CAE7" w14:textId="77777777" w:rsidR="000B2DD1" w:rsidRPr="0013396E" w:rsidRDefault="000B2DD1" w:rsidP="000B2DD1">
                  <w:pPr>
                    <w:spacing w:after="60"/>
                    <w:rPr>
                      <w:iCs/>
                      <w:sz w:val="20"/>
                    </w:rPr>
                  </w:pPr>
                  <w:r w:rsidRPr="0013396E">
                    <w:rPr>
                      <w:iCs/>
                      <w:sz w:val="20"/>
                    </w:rPr>
                    <w:t>none</w:t>
                  </w:r>
                </w:p>
              </w:tc>
              <w:tc>
                <w:tcPr>
                  <w:tcW w:w="3488" w:type="pct"/>
                  <w:tcBorders>
                    <w:top w:val="single" w:sz="4" w:space="0" w:color="auto"/>
                    <w:left w:val="single" w:sz="4" w:space="0" w:color="auto"/>
                    <w:bottom w:val="single" w:sz="4" w:space="0" w:color="auto"/>
                    <w:right w:val="single" w:sz="4" w:space="0" w:color="auto"/>
                  </w:tcBorders>
                </w:tcPr>
                <w:p w14:paraId="1FEEDAA9" w14:textId="77777777" w:rsidR="000B2DD1" w:rsidRPr="0013396E" w:rsidRDefault="000B2DD1" w:rsidP="000B2DD1">
                  <w:pPr>
                    <w:spacing w:after="60"/>
                    <w:rPr>
                      <w:iCs/>
                      <w:sz w:val="20"/>
                    </w:rPr>
                  </w:pPr>
                  <w:r w:rsidRPr="0013396E">
                    <w:rPr>
                      <w:iCs/>
                      <w:sz w:val="20"/>
                    </w:rPr>
                    <w:t>An MRA.</w:t>
                  </w:r>
                </w:p>
              </w:tc>
            </w:tr>
            <w:tr w:rsidR="000B2DD1" w:rsidRPr="0013396E" w14:paraId="7E0D287B" w14:textId="77777777" w:rsidTr="00CE1011">
              <w:trPr>
                <w:cantSplit/>
              </w:trPr>
              <w:tc>
                <w:tcPr>
                  <w:tcW w:w="1188" w:type="pct"/>
                  <w:tcBorders>
                    <w:top w:val="single" w:sz="4" w:space="0" w:color="auto"/>
                    <w:left w:val="single" w:sz="4" w:space="0" w:color="auto"/>
                    <w:bottom w:val="single" w:sz="4" w:space="0" w:color="auto"/>
                    <w:right w:val="single" w:sz="4" w:space="0" w:color="auto"/>
                  </w:tcBorders>
                </w:tcPr>
                <w:p w14:paraId="2C2CB6E2" w14:textId="77777777" w:rsidR="000B2DD1" w:rsidRPr="0013396E" w:rsidRDefault="000B2DD1" w:rsidP="000B2DD1">
                  <w:pPr>
                    <w:spacing w:after="60"/>
                    <w:rPr>
                      <w:i/>
                      <w:iCs/>
                      <w:sz w:val="20"/>
                    </w:rPr>
                  </w:pPr>
                  <w:r w:rsidRPr="0013396E">
                    <w:rPr>
                      <w:i/>
                      <w:iCs/>
                      <w:sz w:val="20"/>
                    </w:rPr>
                    <w:t>m</w:t>
                  </w:r>
                </w:p>
              </w:tc>
              <w:tc>
                <w:tcPr>
                  <w:tcW w:w="324" w:type="pct"/>
                  <w:tcBorders>
                    <w:top w:val="single" w:sz="4" w:space="0" w:color="auto"/>
                    <w:left w:val="single" w:sz="4" w:space="0" w:color="auto"/>
                    <w:bottom w:val="single" w:sz="4" w:space="0" w:color="auto"/>
                    <w:right w:val="single" w:sz="4" w:space="0" w:color="auto"/>
                  </w:tcBorders>
                </w:tcPr>
                <w:p w14:paraId="4A70CED2" w14:textId="77777777" w:rsidR="000B2DD1" w:rsidRPr="0013396E" w:rsidRDefault="000B2DD1" w:rsidP="000B2DD1">
                  <w:pPr>
                    <w:spacing w:after="60"/>
                    <w:rPr>
                      <w:iCs/>
                      <w:sz w:val="20"/>
                    </w:rPr>
                  </w:pPr>
                  <w:r w:rsidRPr="0013396E">
                    <w:rPr>
                      <w:iCs/>
                      <w:sz w:val="20"/>
                    </w:rPr>
                    <w:t>none</w:t>
                  </w:r>
                </w:p>
              </w:tc>
              <w:tc>
                <w:tcPr>
                  <w:tcW w:w="3488" w:type="pct"/>
                  <w:tcBorders>
                    <w:top w:val="single" w:sz="4" w:space="0" w:color="auto"/>
                    <w:left w:val="single" w:sz="4" w:space="0" w:color="auto"/>
                    <w:bottom w:val="single" w:sz="4" w:space="0" w:color="auto"/>
                    <w:right w:val="single" w:sz="4" w:space="0" w:color="auto"/>
                  </w:tcBorders>
                </w:tcPr>
                <w:p w14:paraId="64BB3C82" w14:textId="77777777" w:rsidR="000B2DD1" w:rsidRPr="0013396E" w:rsidRDefault="000B2DD1" w:rsidP="000B2DD1">
                  <w:pPr>
                    <w:spacing w:after="60"/>
                    <w:rPr>
                      <w:iCs/>
                      <w:sz w:val="20"/>
                    </w:rPr>
                  </w:pPr>
                  <w:r w:rsidRPr="0013396E">
                    <w:rPr>
                      <w:iCs/>
                      <w:sz w:val="20"/>
                    </w:rPr>
                    <w:t>An MRA Contracted Month under the MRA Agreement.</w:t>
                  </w:r>
                </w:p>
              </w:tc>
            </w:tr>
          </w:tbl>
          <w:p w14:paraId="59D6EE0B" w14:textId="77777777" w:rsidR="000B2DD1" w:rsidRPr="0013396E" w:rsidRDefault="000B2DD1" w:rsidP="000B2DD1">
            <w:pPr>
              <w:pStyle w:val="BodyTextNumbered"/>
              <w:spacing w:before="240"/>
            </w:pPr>
            <w:r w:rsidRPr="0013396E">
              <w:t>(2)</w:t>
            </w:r>
            <w:r w:rsidRPr="0013396E">
              <w:tab/>
              <w:t>The total of the contributed capital expenditure payments for all MRAs represented by the QSE for a given hour is calculated as follows:</w:t>
            </w:r>
          </w:p>
          <w:p w14:paraId="25770379" w14:textId="77777777" w:rsidR="000B2DD1" w:rsidRPr="0013396E" w:rsidRDefault="000B2DD1" w:rsidP="000B2DD1">
            <w:pPr>
              <w:pStyle w:val="FormulaBold"/>
            </w:pPr>
            <w:r w:rsidRPr="0013396E">
              <w:t>MRACAPEXAMTQSETOT</w:t>
            </w:r>
            <w:r w:rsidRPr="0013396E">
              <w:rPr>
                <w:i/>
                <w:vertAlign w:val="subscript"/>
              </w:rPr>
              <w:t xml:space="preserve"> q</w:t>
            </w:r>
            <w:r w:rsidRPr="0013396E" w:rsidDel="003977DD">
              <w:rPr>
                <w:vertAlign w:val="subscript"/>
              </w:rPr>
              <w:t xml:space="preserve"> </w:t>
            </w:r>
            <w:r w:rsidRPr="0013396E">
              <w:t xml:space="preserve">  =  </w:t>
            </w:r>
            <w:r w:rsidRPr="0013396E">
              <w:rPr>
                <w:position w:val="-18"/>
              </w:rPr>
              <w:object w:dxaOrig="225" w:dyaOrig="420" w14:anchorId="19B28EB0">
                <v:shape id="_x0000_i1181" type="#_x0000_t75" style="width:12pt;height:24pt" o:ole="">
                  <v:imagedata r:id="rId199" o:title=""/>
                </v:shape>
                <o:OLEObject Type="Embed" ProgID="Equation.3" ShapeID="_x0000_i1181" DrawAspect="Content" ObjectID="_1836311459" r:id="rId232"/>
              </w:object>
            </w:r>
            <w:r w:rsidRPr="0013396E">
              <w:t xml:space="preserve">MRACAPEXAMT </w:t>
            </w:r>
            <w:r w:rsidRPr="0013396E">
              <w:rPr>
                <w:i/>
                <w:vertAlign w:val="subscript"/>
              </w:rPr>
              <w:t xml:space="preserve">q, r  </w:t>
            </w:r>
          </w:p>
          <w:p w14:paraId="61CD0CE0" w14:textId="77777777" w:rsidR="000B2DD1" w:rsidRPr="0013396E" w:rsidRDefault="000B2DD1" w:rsidP="000B2DD1">
            <w:r w:rsidRPr="0013396E">
              <w:lastRenderedPageBreak/>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1"/>
              <w:gridCol w:w="629"/>
              <w:gridCol w:w="6016"/>
            </w:tblGrid>
            <w:tr w:rsidR="0092766A" w:rsidRPr="0013396E" w14:paraId="4F2E4518" w14:textId="77777777" w:rsidTr="00CE1011">
              <w:trPr>
                <w:cantSplit/>
                <w:tblHeader/>
              </w:trPr>
              <w:tc>
                <w:tcPr>
                  <w:tcW w:w="1441" w:type="pct"/>
                </w:tcPr>
                <w:p w14:paraId="1273D800" w14:textId="77777777" w:rsidR="0092766A" w:rsidRPr="0013396E" w:rsidRDefault="0092766A" w:rsidP="0092766A">
                  <w:pPr>
                    <w:pStyle w:val="TableHead"/>
                  </w:pPr>
                  <w:r w:rsidRPr="0013396E">
                    <w:t>Variable</w:t>
                  </w:r>
                </w:p>
              </w:tc>
              <w:tc>
                <w:tcPr>
                  <w:tcW w:w="337" w:type="pct"/>
                </w:tcPr>
                <w:p w14:paraId="01323DB0" w14:textId="77777777" w:rsidR="0092766A" w:rsidRPr="0013396E" w:rsidRDefault="0092766A" w:rsidP="0092766A">
                  <w:pPr>
                    <w:pStyle w:val="TableHead"/>
                  </w:pPr>
                  <w:r w:rsidRPr="0013396E">
                    <w:t>Unit</w:t>
                  </w:r>
                </w:p>
              </w:tc>
              <w:tc>
                <w:tcPr>
                  <w:tcW w:w="3222" w:type="pct"/>
                </w:tcPr>
                <w:p w14:paraId="7F753990" w14:textId="77777777" w:rsidR="0092766A" w:rsidRPr="0013396E" w:rsidRDefault="0092766A" w:rsidP="0092766A">
                  <w:pPr>
                    <w:pStyle w:val="TableHead"/>
                  </w:pPr>
                  <w:r w:rsidRPr="0013396E">
                    <w:t>Definition</w:t>
                  </w:r>
                </w:p>
              </w:tc>
            </w:tr>
            <w:tr w:rsidR="0092766A" w:rsidRPr="0013396E" w14:paraId="2C090BEC" w14:textId="77777777" w:rsidTr="00CE1011">
              <w:trPr>
                <w:cantSplit/>
              </w:trPr>
              <w:tc>
                <w:tcPr>
                  <w:tcW w:w="1441" w:type="pct"/>
                </w:tcPr>
                <w:p w14:paraId="3D1D91CB" w14:textId="77777777" w:rsidR="0092766A" w:rsidRPr="0013396E" w:rsidRDefault="0092766A" w:rsidP="0092766A">
                  <w:pPr>
                    <w:pStyle w:val="TableBody"/>
                  </w:pPr>
                  <w:r w:rsidRPr="0013396E">
                    <w:t xml:space="preserve">MRACAPEXAMTQSETOT </w:t>
                  </w:r>
                  <w:r w:rsidRPr="0013396E">
                    <w:rPr>
                      <w:i/>
                      <w:vertAlign w:val="subscript"/>
                    </w:rPr>
                    <w:t>q</w:t>
                  </w:r>
                  <w:r w:rsidRPr="0013396E">
                    <w:t xml:space="preserve">  </w:t>
                  </w:r>
                </w:p>
              </w:tc>
              <w:tc>
                <w:tcPr>
                  <w:tcW w:w="337" w:type="pct"/>
                </w:tcPr>
                <w:p w14:paraId="326EFE0D" w14:textId="77777777" w:rsidR="0092766A" w:rsidRPr="0013396E" w:rsidRDefault="0092766A" w:rsidP="0092766A">
                  <w:pPr>
                    <w:pStyle w:val="TableBody"/>
                  </w:pPr>
                  <w:r w:rsidRPr="0013396E">
                    <w:t>$</w:t>
                  </w:r>
                </w:p>
              </w:tc>
              <w:tc>
                <w:tcPr>
                  <w:tcW w:w="3222" w:type="pct"/>
                </w:tcPr>
                <w:p w14:paraId="67150260" w14:textId="77777777" w:rsidR="0092766A" w:rsidRPr="0013396E" w:rsidRDefault="0092766A" w:rsidP="0092766A">
                  <w:pPr>
                    <w:pStyle w:val="TableBody"/>
                  </w:pPr>
                  <w:r w:rsidRPr="0013396E">
                    <w:rPr>
                      <w:i/>
                      <w:iCs w:val="0"/>
                    </w:rPr>
                    <w:t xml:space="preserve">Must-Run Alternative Contributed Capital Expenditures per QSE per hour </w:t>
                  </w:r>
                  <w:r w:rsidRPr="0013396E">
                    <w:rPr>
                      <w:iCs w:val="0"/>
                    </w:rPr>
                    <w:t xml:space="preserve">– </w:t>
                  </w:r>
                  <w:r w:rsidRPr="0013396E">
                    <w:t xml:space="preserve">The total </w:t>
                  </w:r>
                  <w:r w:rsidRPr="0013396E">
                    <w:rPr>
                      <w:iCs w:val="0"/>
                    </w:rPr>
                    <w:t xml:space="preserve">contributed capital expenditures for all </w:t>
                  </w:r>
                  <w:r w:rsidRPr="0013396E">
                    <w:t xml:space="preserve">MRAs </w:t>
                  </w:r>
                  <w:r w:rsidRPr="0013396E">
                    <w:rPr>
                      <w:i/>
                    </w:rPr>
                    <w:t xml:space="preserve">r </w:t>
                  </w:r>
                  <w:r w:rsidRPr="0013396E">
                    <w:t xml:space="preserve">represented by QSE </w:t>
                  </w:r>
                  <w:r w:rsidRPr="0013396E">
                    <w:rPr>
                      <w:i/>
                    </w:rPr>
                    <w:t>q</w:t>
                  </w:r>
                  <w:r w:rsidRPr="0013396E">
                    <w:t xml:space="preserve"> for the MRA Contracted Hour. </w:t>
                  </w:r>
                </w:p>
              </w:tc>
            </w:tr>
            <w:tr w:rsidR="0092766A" w:rsidRPr="0013396E" w14:paraId="5D177086" w14:textId="77777777" w:rsidTr="00CE1011">
              <w:trPr>
                <w:cantSplit/>
              </w:trPr>
              <w:tc>
                <w:tcPr>
                  <w:tcW w:w="1441" w:type="pct"/>
                </w:tcPr>
                <w:p w14:paraId="721B178D" w14:textId="77777777" w:rsidR="0092766A" w:rsidRPr="0013396E" w:rsidRDefault="0092766A" w:rsidP="0092766A">
                  <w:pPr>
                    <w:pStyle w:val="TableBody"/>
                  </w:pPr>
                  <w:r w:rsidRPr="0013396E">
                    <w:t xml:space="preserve">MRACAPEXAMT </w:t>
                  </w:r>
                  <w:r w:rsidRPr="0013396E">
                    <w:rPr>
                      <w:i/>
                      <w:vertAlign w:val="subscript"/>
                    </w:rPr>
                    <w:t xml:space="preserve">q, r  </w:t>
                  </w:r>
                </w:p>
              </w:tc>
              <w:tc>
                <w:tcPr>
                  <w:tcW w:w="337" w:type="pct"/>
                </w:tcPr>
                <w:p w14:paraId="14636C9E" w14:textId="77777777" w:rsidR="0092766A" w:rsidRPr="0013396E" w:rsidRDefault="0092766A" w:rsidP="0092766A">
                  <w:pPr>
                    <w:pStyle w:val="TableBody"/>
                  </w:pPr>
                  <w:r w:rsidRPr="0013396E">
                    <w:t>$</w:t>
                  </w:r>
                </w:p>
              </w:tc>
              <w:tc>
                <w:tcPr>
                  <w:tcW w:w="3222" w:type="pct"/>
                </w:tcPr>
                <w:p w14:paraId="454AAE8F" w14:textId="77777777" w:rsidR="0092766A" w:rsidRPr="0013396E" w:rsidRDefault="0092766A" w:rsidP="0092766A">
                  <w:pPr>
                    <w:pStyle w:val="TableBody"/>
                  </w:pPr>
                  <w:r w:rsidRPr="0013396E">
                    <w:rPr>
                      <w:i/>
                      <w:iCs w:val="0"/>
                    </w:rPr>
                    <w:t xml:space="preserve">Must-Run Alternative Contributed Capital Expenditures Amount per QSE per Resource </w:t>
                  </w:r>
                  <w:r w:rsidRPr="0013396E">
                    <w:rPr>
                      <w:iCs w:val="0"/>
                    </w:rPr>
                    <w:t xml:space="preserve">– </w:t>
                  </w:r>
                  <w:r w:rsidRPr="0013396E">
                    <w:t xml:space="preserve">The total </w:t>
                  </w:r>
                  <w:r w:rsidRPr="0013396E">
                    <w:rPr>
                      <w:iCs w:val="0"/>
                    </w:rPr>
                    <w:t xml:space="preserve">monthly contributed capital expenditure payment </w:t>
                  </w:r>
                  <w:r w:rsidRPr="0013396E">
                    <w:t xml:space="preserve">for MRA </w:t>
                  </w:r>
                  <w:r w:rsidRPr="0013396E">
                    <w:rPr>
                      <w:i/>
                    </w:rPr>
                    <w:t xml:space="preserve">r </w:t>
                  </w:r>
                  <w:r w:rsidRPr="0013396E">
                    <w:t>represented by QSE q</w:t>
                  </w:r>
                  <w:r w:rsidRPr="0013396E">
                    <w:rPr>
                      <w:iCs w:val="0"/>
                    </w:rPr>
                    <w:t>, allocated to each MRA Contracted Hour</w:t>
                  </w:r>
                  <w:r w:rsidRPr="0013396E">
                    <w:t xml:space="preserve">.  Where for a Combined Cycle Train, the Resource </w:t>
                  </w:r>
                  <w:r w:rsidRPr="0013396E">
                    <w:rPr>
                      <w:i/>
                    </w:rPr>
                    <w:t xml:space="preserve">r </w:t>
                  </w:r>
                  <w:r w:rsidRPr="0013396E">
                    <w:t>is a Combined Cycle Train.</w:t>
                  </w:r>
                </w:p>
              </w:tc>
            </w:tr>
            <w:tr w:rsidR="0092766A" w:rsidRPr="0013396E" w14:paraId="0D295E4E" w14:textId="77777777" w:rsidTr="00CE1011">
              <w:trPr>
                <w:cantSplit/>
              </w:trPr>
              <w:tc>
                <w:tcPr>
                  <w:tcW w:w="1441" w:type="pct"/>
                  <w:tcBorders>
                    <w:top w:val="single" w:sz="4" w:space="0" w:color="auto"/>
                    <w:left w:val="single" w:sz="4" w:space="0" w:color="auto"/>
                    <w:bottom w:val="single" w:sz="4" w:space="0" w:color="auto"/>
                    <w:right w:val="single" w:sz="4" w:space="0" w:color="auto"/>
                  </w:tcBorders>
                </w:tcPr>
                <w:p w14:paraId="6744B6F1" w14:textId="77777777" w:rsidR="0092766A" w:rsidRPr="0013396E" w:rsidRDefault="0092766A" w:rsidP="0092766A">
                  <w:pPr>
                    <w:pStyle w:val="TableBody"/>
                    <w:rPr>
                      <w:i/>
                    </w:rPr>
                  </w:pPr>
                  <w:r w:rsidRPr="0013396E">
                    <w:rPr>
                      <w:i/>
                    </w:rPr>
                    <w:t>q</w:t>
                  </w:r>
                </w:p>
              </w:tc>
              <w:tc>
                <w:tcPr>
                  <w:tcW w:w="337" w:type="pct"/>
                  <w:tcBorders>
                    <w:top w:val="single" w:sz="4" w:space="0" w:color="auto"/>
                    <w:left w:val="single" w:sz="4" w:space="0" w:color="auto"/>
                    <w:bottom w:val="single" w:sz="4" w:space="0" w:color="auto"/>
                    <w:right w:val="single" w:sz="4" w:space="0" w:color="auto"/>
                  </w:tcBorders>
                </w:tcPr>
                <w:p w14:paraId="522B3BD4" w14:textId="77777777" w:rsidR="0092766A" w:rsidRPr="0013396E" w:rsidRDefault="0092766A" w:rsidP="0092766A">
                  <w:pPr>
                    <w:pStyle w:val="TableBody"/>
                  </w:pPr>
                  <w:r w:rsidRPr="0013396E">
                    <w:t>none</w:t>
                  </w:r>
                </w:p>
              </w:tc>
              <w:tc>
                <w:tcPr>
                  <w:tcW w:w="3222" w:type="pct"/>
                  <w:tcBorders>
                    <w:top w:val="single" w:sz="4" w:space="0" w:color="auto"/>
                    <w:left w:val="single" w:sz="4" w:space="0" w:color="auto"/>
                    <w:bottom w:val="single" w:sz="4" w:space="0" w:color="auto"/>
                    <w:right w:val="single" w:sz="4" w:space="0" w:color="auto"/>
                  </w:tcBorders>
                </w:tcPr>
                <w:p w14:paraId="5FA30CA7" w14:textId="77777777" w:rsidR="0092766A" w:rsidRPr="0013396E" w:rsidRDefault="0092766A" w:rsidP="0092766A">
                  <w:pPr>
                    <w:pStyle w:val="TableBody"/>
                  </w:pPr>
                  <w:r w:rsidRPr="0013396E">
                    <w:t>A QSE.</w:t>
                  </w:r>
                </w:p>
              </w:tc>
            </w:tr>
            <w:tr w:rsidR="0092766A" w:rsidRPr="0013396E" w14:paraId="24F26E40" w14:textId="77777777" w:rsidTr="00CE1011">
              <w:trPr>
                <w:cantSplit/>
              </w:trPr>
              <w:tc>
                <w:tcPr>
                  <w:tcW w:w="1441" w:type="pct"/>
                  <w:tcBorders>
                    <w:top w:val="single" w:sz="4" w:space="0" w:color="auto"/>
                    <w:left w:val="single" w:sz="4" w:space="0" w:color="auto"/>
                    <w:bottom w:val="single" w:sz="4" w:space="0" w:color="auto"/>
                    <w:right w:val="single" w:sz="4" w:space="0" w:color="auto"/>
                  </w:tcBorders>
                </w:tcPr>
                <w:p w14:paraId="07137E94" w14:textId="77777777" w:rsidR="0092766A" w:rsidRPr="0013396E" w:rsidRDefault="0092766A" w:rsidP="0092766A">
                  <w:pPr>
                    <w:pStyle w:val="TableBody"/>
                    <w:rPr>
                      <w:i/>
                    </w:rPr>
                  </w:pPr>
                  <w:r w:rsidRPr="0013396E">
                    <w:rPr>
                      <w:i/>
                    </w:rPr>
                    <w:t>r</w:t>
                  </w:r>
                </w:p>
              </w:tc>
              <w:tc>
                <w:tcPr>
                  <w:tcW w:w="337" w:type="pct"/>
                  <w:tcBorders>
                    <w:top w:val="single" w:sz="4" w:space="0" w:color="auto"/>
                    <w:left w:val="single" w:sz="4" w:space="0" w:color="auto"/>
                    <w:bottom w:val="single" w:sz="4" w:space="0" w:color="auto"/>
                    <w:right w:val="single" w:sz="4" w:space="0" w:color="auto"/>
                  </w:tcBorders>
                </w:tcPr>
                <w:p w14:paraId="11EB95A3" w14:textId="77777777" w:rsidR="0092766A" w:rsidRPr="0013396E" w:rsidRDefault="0092766A" w:rsidP="0092766A">
                  <w:pPr>
                    <w:pStyle w:val="TableBody"/>
                  </w:pPr>
                  <w:r w:rsidRPr="0013396E">
                    <w:t>none</w:t>
                  </w:r>
                </w:p>
              </w:tc>
              <w:tc>
                <w:tcPr>
                  <w:tcW w:w="3222" w:type="pct"/>
                  <w:tcBorders>
                    <w:top w:val="single" w:sz="4" w:space="0" w:color="auto"/>
                    <w:left w:val="single" w:sz="4" w:space="0" w:color="auto"/>
                    <w:bottom w:val="single" w:sz="4" w:space="0" w:color="auto"/>
                    <w:right w:val="single" w:sz="4" w:space="0" w:color="auto"/>
                  </w:tcBorders>
                </w:tcPr>
                <w:p w14:paraId="15D84597" w14:textId="77777777" w:rsidR="0092766A" w:rsidRPr="0013396E" w:rsidRDefault="0092766A" w:rsidP="0092766A">
                  <w:pPr>
                    <w:pStyle w:val="TableBody"/>
                  </w:pPr>
                  <w:r w:rsidRPr="0013396E">
                    <w:t>An MRA.</w:t>
                  </w:r>
                </w:p>
              </w:tc>
            </w:tr>
          </w:tbl>
          <w:p w14:paraId="037C502A" w14:textId="77777777" w:rsidR="0092766A" w:rsidRPr="0013396E" w:rsidRDefault="0092766A" w:rsidP="0092766A">
            <w:pPr>
              <w:pStyle w:val="BodyTextNumbered"/>
              <w:spacing w:before="240"/>
            </w:pPr>
            <w:r w:rsidRPr="0013396E">
              <w:t>(3)</w:t>
            </w:r>
            <w:r w:rsidRPr="0013396E">
              <w:tab/>
              <w:t>The total contributed capital expenditure payments for a given MRA Contracted Hour is calculated as follows:</w:t>
            </w:r>
          </w:p>
          <w:p w14:paraId="531C169A" w14:textId="77777777" w:rsidR="0092766A" w:rsidRPr="0013396E" w:rsidRDefault="0092766A" w:rsidP="0092766A">
            <w:pPr>
              <w:pStyle w:val="FormulaBold"/>
            </w:pPr>
            <w:r w:rsidRPr="0013396E">
              <w:t xml:space="preserve">MRACAPEXAMTTOT  =  </w:t>
            </w:r>
            <w:r w:rsidRPr="0013396E">
              <w:rPr>
                <w:position w:val="-22"/>
              </w:rPr>
              <w:object w:dxaOrig="210" w:dyaOrig="465" w14:anchorId="7218A8D0">
                <v:shape id="_x0000_i1182" type="#_x0000_t75" style="width:6pt;height:24pt" o:ole="">
                  <v:imagedata r:id="rId155" o:title=""/>
                </v:shape>
                <o:OLEObject Type="Embed" ProgID="Equation.3" ShapeID="_x0000_i1182" DrawAspect="Content" ObjectID="_1836311460" r:id="rId233"/>
              </w:object>
            </w:r>
            <w:r w:rsidRPr="0013396E">
              <w:t xml:space="preserve"> MRACAPEXAMTQSETOT </w:t>
            </w:r>
            <w:r w:rsidRPr="0013396E">
              <w:rPr>
                <w:i/>
                <w:vertAlign w:val="subscript"/>
              </w:rPr>
              <w:t xml:space="preserve">q  </w:t>
            </w:r>
          </w:p>
          <w:p w14:paraId="779BE663" w14:textId="77777777" w:rsidR="0092766A" w:rsidRPr="0013396E" w:rsidRDefault="0092766A" w:rsidP="0092766A">
            <w:r w:rsidRPr="0013396E">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1"/>
              <w:gridCol w:w="629"/>
              <w:gridCol w:w="6016"/>
            </w:tblGrid>
            <w:tr w:rsidR="0092766A" w:rsidRPr="0013396E" w14:paraId="376DEE03" w14:textId="77777777" w:rsidTr="00CE1011">
              <w:trPr>
                <w:cantSplit/>
                <w:tblHeader/>
              </w:trPr>
              <w:tc>
                <w:tcPr>
                  <w:tcW w:w="1441" w:type="pct"/>
                </w:tcPr>
                <w:p w14:paraId="32E25901" w14:textId="77777777" w:rsidR="0092766A" w:rsidRPr="0013396E" w:rsidRDefault="0092766A" w:rsidP="0092766A">
                  <w:pPr>
                    <w:pStyle w:val="TableHead"/>
                  </w:pPr>
                  <w:r w:rsidRPr="0013396E">
                    <w:t>Variable</w:t>
                  </w:r>
                </w:p>
              </w:tc>
              <w:tc>
                <w:tcPr>
                  <w:tcW w:w="337" w:type="pct"/>
                </w:tcPr>
                <w:p w14:paraId="307D4AB7" w14:textId="77777777" w:rsidR="0092766A" w:rsidRPr="0013396E" w:rsidRDefault="0092766A" w:rsidP="0092766A">
                  <w:pPr>
                    <w:pStyle w:val="TableHead"/>
                  </w:pPr>
                  <w:r w:rsidRPr="0013396E">
                    <w:t>Unit</w:t>
                  </w:r>
                </w:p>
              </w:tc>
              <w:tc>
                <w:tcPr>
                  <w:tcW w:w="3222" w:type="pct"/>
                </w:tcPr>
                <w:p w14:paraId="51A80FAB" w14:textId="77777777" w:rsidR="0092766A" w:rsidRPr="0013396E" w:rsidRDefault="0092766A" w:rsidP="0092766A">
                  <w:pPr>
                    <w:pStyle w:val="TableHead"/>
                  </w:pPr>
                  <w:r w:rsidRPr="0013396E">
                    <w:t>Definition</w:t>
                  </w:r>
                </w:p>
              </w:tc>
            </w:tr>
            <w:tr w:rsidR="0092766A" w:rsidRPr="0013396E" w14:paraId="21F584B4" w14:textId="77777777" w:rsidTr="00CE1011">
              <w:trPr>
                <w:cantSplit/>
              </w:trPr>
              <w:tc>
                <w:tcPr>
                  <w:tcW w:w="1441" w:type="pct"/>
                </w:tcPr>
                <w:p w14:paraId="0F50A93B" w14:textId="77777777" w:rsidR="0092766A" w:rsidRPr="0013396E" w:rsidRDefault="0092766A" w:rsidP="0092766A">
                  <w:pPr>
                    <w:pStyle w:val="TableBody"/>
                  </w:pPr>
                  <w:r w:rsidRPr="0013396E">
                    <w:t xml:space="preserve">MRACAPEXAMTTOT  </w:t>
                  </w:r>
                </w:p>
              </w:tc>
              <w:tc>
                <w:tcPr>
                  <w:tcW w:w="337" w:type="pct"/>
                </w:tcPr>
                <w:p w14:paraId="2479027E" w14:textId="77777777" w:rsidR="0092766A" w:rsidRPr="0013396E" w:rsidRDefault="0092766A" w:rsidP="0092766A">
                  <w:pPr>
                    <w:pStyle w:val="TableBody"/>
                  </w:pPr>
                  <w:r w:rsidRPr="0013396E">
                    <w:t>$</w:t>
                  </w:r>
                </w:p>
              </w:tc>
              <w:tc>
                <w:tcPr>
                  <w:tcW w:w="3222" w:type="pct"/>
                </w:tcPr>
                <w:p w14:paraId="51616F3E" w14:textId="77777777" w:rsidR="0092766A" w:rsidRPr="0013396E" w:rsidRDefault="0092766A" w:rsidP="0092766A">
                  <w:pPr>
                    <w:pStyle w:val="TableBody"/>
                  </w:pPr>
                  <w:r w:rsidRPr="0013396E">
                    <w:rPr>
                      <w:i/>
                      <w:iCs w:val="0"/>
                    </w:rPr>
                    <w:t xml:space="preserve">Must-Run Alternative Contributed Capital Expenditures per hour </w:t>
                  </w:r>
                  <w:r w:rsidRPr="0013396E">
                    <w:rPr>
                      <w:iCs w:val="0"/>
                    </w:rPr>
                    <w:t xml:space="preserve">– </w:t>
                  </w:r>
                  <w:r w:rsidRPr="0013396E">
                    <w:t xml:space="preserve">The total </w:t>
                  </w:r>
                  <w:r w:rsidRPr="0013396E">
                    <w:rPr>
                      <w:iCs w:val="0"/>
                    </w:rPr>
                    <w:t xml:space="preserve">contributed capital expenditures to all QSEs for all </w:t>
                  </w:r>
                  <w:r w:rsidRPr="0013396E">
                    <w:t xml:space="preserve">MRAs for the MRA Contracted Hour. </w:t>
                  </w:r>
                </w:p>
              </w:tc>
            </w:tr>
            <w:tr w:rsidR="0092766A" w:rsidRPr="0013396E" w14:paraId="0AB6EC4F" w14:textId="77777777" w:rsidTr="00CE1011">
              <w:trPr>
                <w:cantSplit/>
              </w:trPr>
              <w:tc>
                <w:tcPr>
                  <w:tcW w:w="1441" w:type="pct"/>
                </w:tcPr>
                <w:p w14:paraId="62F0A56F" w14:textId="77777777" w:rsidR="0092766A" w:rsidRPr="0013396E" w:rsidRDefault="0092766A" w:rsidP="0092766A">
                  <w:pPr>
                    <w:pStyle w:val="TableBody"/>
                  </w:pPr>
                  <w:r w:rsidRPr="0013396E">
                    <w:t xml:space="preserve">MRACAPEXAMTQSETOT </w:t>
                  </w:r>
                  <w:r w:rsidRPr="0013396E">
                    <w:rPr>
                      <w:i/>
                      <w:vertAlign w:val="subscript"/>
                    </w:rPr>
                    <w:t>q</w:t>
                  </w:r>
                  <w:r w:rsidRPr="0013396E">
                    <w:t xml:space="preserve"> </w:t>
                  </w:r>
                </w:p>
              </w:tc>
              <w:tc>
                <w:tcPr>
                  <w:tcW w:w="337" w:type="pct"/>
                </w:tcPr>
                <w:p w14:paraId="45078E6E" w14:textId="77777777" w:rsidR="0092766A" w:rsidRPr="0013396E" w:rsidRDefault="0092766A" w:rsidP="0092766A">
                  <w:pPr>
                    <w:pStyle w:val="TableBody"/>
                  </w:pPr>
                  <w:r w:rsidRPr="0013396E">
                    <w:t>$</w:t>
                  </w:r>
                </w:p>
              </w:tc>
              <w:tc>
                <w:tcPr>
                  <w:tcW w:w="3222" w:type="pct"/>
                </w:tcPr>
                <w:p w14:paraId="4DEFFC82" w14:textId="77777777" w:rsidR="0092766A" w:rsidRPr="0013396E" w:rsidRDefault="0092766A" w:rsidP="0092766A">
                  <w:pPr>
                    <w:pStyle w:val="TableBody"/>
                  </w:pPr>
                  <w:r w:rsidRPr="0013396E">
                    <w:rPr>
                      <w:i/>
                      <w:iCs w:val="0"/>
                    </w:rPr>
                    <w:t xml:space="preserve">Must-Run Alternative Contributed Capital Expenditures per QSE per hour </w:t>
                  </w:r>
                  <w:r w:rsidRPr="0013396E">
                    <w:rPr>
                      <w:iCs w:val="0"/>
                    </w:rPr>
                    <w:t xml:space="preserve">– </w:t>
                  </w:r>
                  <w:r w:rsidRPr="0013396E">
                    <w:t xml:space="preserve">The total </w:t>
                  </w:r>
                  <w:r w:rsidRPr="0013396E">
                    <w:rPr>
                      <w:iCs w:val="0"/>
                    </w:rPr>
                    <w:t xml:space="preserve">contributed capital expenditures for all </w:t>
                  </w:r>
                  <w:r w:rsidRPr="0013396E">
                    <w:t>MRAs</w:t>
                  </w:r>
                  <w:r w:rsidRPr="0013396E">
                    <w:rPr>
                      <w:i/>
                    </w:rPr>
                    <w:t xml:space="preserve"> </w:t>
                  </w:r>
                  <w:r w:rsidRPr="0013396E">
                    <w:t xml:space="preserve">represented by QSE </w:t>
                  </w:r>
                  <w:r w:rsidRPr="0013396E">
                    <w:rPr>
                      <w:i/>
                    </w:rPr>
                    <w:t>q</w:t>
                  </w:r>
                  <w:r w:rsidRPr="0013396E">
                    <w:t xml:space="preserve"> for the MRA Contracted Hour. </w:t>
                  </w:r>
                </w:p>
              </w:tc>
            </w:tr>
            <w:tr w:rsidR="0092766A" w:rsidRPr="0013396E" w14:paraId="190E15EE" w14:textId="77777777" w:rsidTr="00CE1011">
              <w:trPr>
                <w:cantSplit/>
              </w:trPr>
              <w:tc>
                <w:tcPr>
                  <w:tcW w:w="1441" w:type="pct"/>
                  <w:tcBorders>
                    <w:top w:val="single" w:sz="4" w:space="0" w:color="auto"/>
                    <w:left w:val="single" w:sz="4" w:space="0" w:color="auto"/>
                    <w:bottom w:val="single" w:sz="4" w:space="0" w:color="auto"/>
                    <w:right w:val="single" w:sz="4" w:space="0" w:color="auto"/>
                  </w:tcBorders>
                </w:tcPr>
                <w:p w14:paraId="26944773" w14:textId="77777777" w:rsidR="0092766A" w:rsidRPr="0013396E" w:rsidRDefault="0092766A" w:rsidP="0092766A">
                  <w:pPr>
                    <w:pStyle w:val="TableBody"/>
                    <w:rPr>
                      <w:i/>
                    </w:rPr>
                  </w:pPr>
                  <w:r w:rsidRPr="0013396E">
                    <w:rPr>
                      <w:i/>
                    </w:rPr>
                    <w:t>q</w:t>
                  </w:r>
                </w:p>
              </w:tc>
              <w:tc>
                <w:tcPr>
                  <w:tcW w:w="337" w:type="pct"/>
                  <w:tcBorders>
                    <w:top w:val="single" w:sz="4" w:space="0" w:color="auto"/>
                    <w:left w:val="single" w:sz="4" w:space="0" w:color="auto"/>
                    <w:bottom w:val="single" w:sz="4" w:space="0" w:color="auto"/>
                    <w:right w:val="single" w:sz="4" w:space="0" w:color="auto"/>
                  </w:tcBorders>
                </w:tcPr>
                <w:p w14:paraId="2185DBD3" w14:textId="77777777" w:rsidR="0092766A" w:rsidRPr="0013396E" w:rsidRDefault="0092766A" w:rsidP="0092766A">
                  <w:pPr>
                    <w:pStyle w:val="TableBody"/>
                  </w:pPr>
                  <w:r w:rsidRPr="0013396E">
                    <w:t>none</w:t>
                  </w:r>
                </w:p>
              </w:tc>
              <w:tc>
                <w:tcPr>
                  <w:tcW w:w="3222" w:type="pct"/>
                  <w:tcBorders>
                    <w:top w:val="single" w:sz="4" w:space="0" w:color="auto"/>
                    <w:left w:val="single" w:sz="4" w:space="0" w:color="auto"/>
                    <w:bottom w:val="single" w:sz="4" w:space="0" w:color="auto"/>
                    <w:right w:val="single" w:sz="4" w:space="0" w:color="auto"/>
                  </w:tcBorders>
                </w:tcPr>
                <w:p w14:paraId="274EE759" w14:textId="77777777" w:rsidR="0092766A" w:rsidRPr="0013396E" w:rsidRDefault="0092766A" w:rsidP="0092766A">
                  <w:pPr>
                    <w:pStyle w:val="TableBody"/>
                  </w:pPr>
                  <w:r w:rsidRPr="0013396E">
                    <w:t>A QSE.</w:t>
                  </w:r>
                </w:p>
              </w:tc>
            </w:tr>
          </w:tbl>
          <w:p w14:paraId="4C6C01B5" w14:textId="77777777" w:rsidR="002C6FAE" w:rsidRPr="0013396E" w:rsidRDefault="002C6FAE" w:rsidP="00CE1011">
            <w:pPr>
              <w:spacing w:after="240"/>
              <w:ind w:left="720" w:hanging="720"/>
            </w:pPr>
          </w:p>
        </w:tc>
      </w:tr>
    </w:tbl>
    <w:p w14:paraId="67143544" w14:textId="77777777" w:rsidR="000C1EEE" w:rsidRPr="0013396E" w:rsidRDefault="000C1EEE" w:rsidP="000C1EEE">
      <w:pPr>
        <w:pStyle w:val="H3"/>
        <w:spacing w:before="0" w:after="0"/>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95"/>
      </w:tblGrid>
      <w:tr w:rsidR="000C1EEE" w:rsidRPr="0013396E" w14:paraId="5CC3F1CB" w14:textId="77777777" w:rsidTr="00CE1011">
        <w:trPr>
          <w:trHeight w:val="206"/>
        </w:trPr>
        <w:tc>
          <w:tcPr>
            <w:tcW w:w="5000" w:type="pct"/>
            <w:shd w:val="pct12" w:color="auto" w:fill="auto"/>
          </w:tcPr>
          <w:p w14:paraId="0D4C4DCB" w14:textId="77A6B749" w:rsidR="000C1EEE" w:rsidRPr="0013396E" w:rsidRDefault="000C1EEE" w:rsidP="00CE1011">
            <w:pPr>
              <w:pStyle w:val="Instructions"/>
              <w:spacing w:before="120"/>
            </w:pPr>
            <w:r w:rsidRPr="0013396E">
              <w:t>[NPRR885</w:t>
            </w:r>
            <w:r w:rsidR="00AA432B" w:rsidRPr="0013396E">
              <w:t xml:space="preserve"> and NPRR1256</w:t>
            </w:r>
            <w:r w:rsidRPr="0013396E">
              <w:t xml:space="preserve">:  Insert </w:t>
            </w:r>
            <w:r w:rsidR="00AA432B" w:rsidRPr="0013396E">
              <w:t xml:space="preserve">applicable portions of </w:t>
            </w:r>
            <w:r w:rsidRPr="0013396E">
              <w:t>Section 6.6.6.9 below upon system implementation</w:t>
            </w:r>
            <w:r w:rsidR="00AA432B" w:rsidRPr="0013396E">
              <w:t xml:space="preserve"> for NPRR885; or upon system implementation of NPRR885 and upon system implementation for NPRR1256</w:t>
            </w:r>
            <w:r w:rsidRPr="0013396E">
              <w:t>:]</w:t>
            </w:r>
          </w:p>
          <w:p w14:paraId="4351214A" w14:textId="77777777" w:rsidR="000C1EEE" w:rsidRPr="0013396E" w:rsidRDefault="000C1EEE" w:rsidP="000C1EEE">
            <w:pPr>
              <w:keepNext/>
              <w:widowControl w:val="0"/>
              <w:tabs>
                <w:tab w:val="left" w:pos="1260"/>
              </w:tabs>
              <w:spacing w:before="240" w:after="240"/>
              <w:ind w:left="1267" w:hanging="1267"/>
              <w:outlineLvl w:val="3"/>
              <w:rPr>
                <w:b/>
                <w:bCs/>
                <w:snapToGrid w:val="0"/>
                <w:color w:val="000000"/>
              </w:rPr>
            </w:pPr>
            <w:bookmarkStart w:id="2010" w:name="_Toc17798756"/>
            <w:bookmarkStart w:id="2011" w:name="_Toc214879002"/>
            <w:r w:rsidRPr="0013396E">
              <w:rPr>
                <w:b/>
                <w:bCs/>
                <w:snapToGrid w:val="0"/>
                <w:color w:val="000000"/>
              </w:rPr>
              <w:t>6.6.6.9</w:t>
            </w:r>
            <w:r w:rsidRPr="0013396E">
              <w:rPr>
                <w:b/>
                <w:bCs/>
                <w:snapToGrid w:val="0"/>
                <w:color w:val="000000"/>
              </w:rPr>
              <w:tab/>
              <w:t>MRA Payment for Deployment Event</w:t>
            </w:r>
            <w:bookmarkEnd w:id="2010"/>
            <w:bookmarkEnd w:id="2011"/>
          </w:p>
          <w:p w14:paraId="1A76E4BC" w14:textId="77777777" w:rsidR="000C1EEE" w:rsidRPr="0013396E" w:rsidRDefault="000C1EEE" w:rsidP="000C1EEE">
            <w:pPr>
              <w:spacing w:after="240"/>
              <w:ind w:left="720" w:hanging="720"/>
              <w:rPr>
                <w:bCs/>
                <w:color w:val="000000"/>
                <w:lang w:val="pt-BR"/>
              </w:rPr>
            </w:pPr>
            <w:r w:rsidRPr="0013396E">
              <w:rPr>
                <w:bCs/>
                <w:lang w:val="pt-BR"/>
              </w:rPr>
              <w:t>(1)</w:t>
            </w:r>
            <w:r w:rsidRPr="0013396E">
              <w:rPr>
                <w:bCs/>
                <w:lang w:val="pt-BR"/>
              </w:rPr>
              <w:tab/>
            </w:r>
            <w:r w:rsidRPr="0013396E">
              <w:rPr>
                <w:bCs/>
                <w:color w:val="000000"/>
                <w:lang w:val="pt-BR"/>
              </w:rPr>
              <w:t>The deployment event payment to each QSE representing a Generation Resource MRA:</w:t>
            </w:r>
          </w:p>
          <w:p w14:paraId="5E31B365" w14:textId="77777777" w:rsidR="000C1EEE" w:rsidRPr="0013396E" w:rsidRDefault="000C1EEE" w:rsidP="000C1EEE">
            <w:pPr>
              <w:tabs>
                <w:tab w:val="left" w:pos="2700"/>
                <w:tab w:val="left" w:pos="3150"/>
              </w:tabs>
              <w:spacing w:after="240"/>
              <w:ind w:left="2700" w:hanging="1890"/>
            </w:pPr>
            <w:r w:rsidRPr="0013396E">
              <w:rPr>
                <w:bCs/>
                <w:color w:val="000000"/>
                <w:lang w:val="pt-BR"/>
              </w:rPr>
              <w:t xml:space="preserve">MRADEAMT </w:t>
            </w:r>
            <w:r w:rsidRPr="0013396E">
              <w:rPr>
                <w:bCs/>
                <w:i/>
                <w:vertAlign w:val="subscript"/>
                <w:lang w:val="pt-BR"/>
              </w:rPr>
              <w:t>q, r, h</w:t>
            </w:r>
            <w:r w:rsidRPr="0013396E">
              <w:rPr>
                <w:bCs/>
                <w:lang w:val="pt-BR"/>
              </w:rPr>
              <w:t xml:space="preserve"> = (-1) * Max{EDPRICE </w:t>
            </w:r>
            <w:r w:rsidRPr="0013396E">
              <w:rPr>
                <w:bCs/>
                <w:i/>
                <w:vertAlign w:val="subscript"/>
                <w:lang w:val="pt-BR"/>
              </w:rPr>
              <w:t>q, r, m</w:t>
            </w:r>
            <w:r w:rsidRPr="0013396E">
              <w:rPr>
                <w:bCs/>
                <w:lang w:val="pt-BR"/>
              </w:rPr>
              <w:t>, (FIP + MRACEFA</w:t>
            </w:r>
            <w:r w:rsidRPr="0013396E">
              <w:rPr>
                <w:bCs/>
                <w:i/>
                <w:vertAlign w:val="subscript"/>
                <w:lang w:val="pt-BR"/>
              </w:rPr>
              <w:t xml:space="preserve"> q, r</w:t>
            </w:r>
            <w:r w:rsidRPr="0013396E">
              <w:rPr>
                <w:bCs/>
                <w:lang w:val="pt-BR"/>
              </w:rPr>
              <w:t xml:space="preserve">) * MRAPSUFQ </w:t>
            </w:r>
            <w:r w:rsidRPr="0013396E">
              <w:rPr>
                <w:bCs/>
                <w:i/>
                <w:vertAlign w:val="subscript"/>
                <w:lang w:val="pt-BR"/>
              </w:rPr>
              <w:t>q, r</w:t>
            </w:r>
            <w:r w:rsidRPr="0013396E">
              <w:rPr>
                <w:bCs/>
                <w:lang w:val="pt-BR"/>
              </w:rPr>
              <w:t xml:space="preserve">} * MRAFLAG </w:t>
            </w:r>
            <w:r w:rsidRPr="0013396E">
              <w:rPr>
                <w:bCs/>
                <w:i/>
                <w:vertAlign w:val="subscript"/>
                <w:lang w:val="pt-BR"/>
              </w:rPr>
              <w:t>q, r, h</w:t>
            </w:r>
            <w:r w:rsidRPr="0013396E">
              <w:rPr>
                <w:bCs/>
                <w:lang w:val="pt-BR"/>
              </w:rPr>
              <w:t xml:space="preserve"> </w:t>
            </w:r>
            <w:r w:rsidRPr="0013396E">
              <w:rPr>
                <w:bCs/>
                <w:i/>
                <w:lang w:val="pt-BR"/>
              </w:rPr>
              <w:t xml:space="preserve">/ </w:t>
            </w:r>
            <w:r w:rsidRPr="0013396E">
              <w:rPr>
                <w:bCs/>
                <w:lang w:val="pt-BR"/>
              </w:rPr>
              <w:t>MRAH</w:t>
            </w:r>
            <w:r w:rsidRPr="0013396E">
              <w:rPr>
                <w:i/>
                <w:vertAlign w:val="subscript"/>
              </w:rPr>
              <w:t xml:space="preserve"> q, r</w:t>
            </w:r>
          </w:p>
          <w:p w14:paraId="2EFCBDE5" w14:textId="77777777" w:rsidR="00AA432B" w:rsidRPr="0013396E" w:rsidRDefault="00AA432B" w:rsidP="00AA432B">
            <w:pPr>
              <w:spacing w:after="240"/>
              <w:ind w:left="720" w:hanging="720"/>
              <w:rPr>
                <w:bCs/>
                <w:color w:val="000000"/>
                <w:lang w:val="pt-BR"/>
              </w:rPr>
            </w:pPr>
            <w:r w:rsidRPr="0013396E">
              <w:rPr>
                <w:bCs/>
                <w:lang w:val="pt-BR"/>
              </w:rPr>
              <w:t>(2)</w:t>
            </w:r>
            <w:r w:rsidRPr="0013396E">
              <w:rPr>
                <w:bCs/>
                <w:lang w:val="pt-BR"/>
              </w:rPr>
              <w:tab/>
            </w:r>
            <w:r w:rsidRPr="0013396E">
              <w:rPr>
                <w:bCs/>
                <w:color w:val="000000"/>
                <w:lang w:val="pt-BR"/>
              </w:rPr>
              <w:t>The deployment event payment to each QSE representing an ESR MRA:</w:t>
            </w:r>
          </w:p>
          <w:p w14:paraId="310DC5DF" w14:textId="77777777" w:rsidR="00AA432B" w:rsidRPr="0013396E" w:rsidRDefault="00AA432B" w:rsidP="00AA432B">
            <w:pPr>
              <w:tabs>
                <w:tab w:val="left" w:pos="2700"/>
                <w:tab w:val="left" w:pos="3150"/>
              </w:tabs>
              <w:spacing w:after="240"/>
              <w:ind w:left="2700" w:hanging="1890"/>
              <w:rPr>
                <w:iCs/>
              </w:rPr>
            </w:pPr>
            <w:r w:rsidRPr="0013396E">
              <w:rPr>
                <w:bCs/>
                <w:color w:val="000000"/>
                <w:lang w:val="pt-BR"/>
              </w:rPr>
              <w:t xml:space="preserve">MRADEAMT </w:t>
            </w:r>
            <w:r w:rsidRPr="0013396E">
              <w:rPr>
                <w:bCs/>
                <w:i/>
                <w:vertAlign w:val="subscript"/>
                <w:lang w:val="pt-BR"/>
              </w:rPr>
              <w:t>q, r, h</w:t>
            </w:r>
            <w:r w:rsidRPr="0013396E">
              <w:rPr>
                <w:bCs/>
                <w:lang w:val="pt-BR"/>
              </w:rPr>
              <w:t xml:space="preserve"> = (-1) * (EDPRICE </w:t>
            </w:r>
            <w:r w:rsidRPr="0013396E">
              <w:rPr>
                <w:bCs/>
                <w:i/>
                <w:vertAlign w:val="subscript"/>
                <w:lang w:val="pt-BR"/>
              </w:rPr>
              <w:t>q, r, m</w:t>
            </w:r>
            <w:r w:rsidRPr="0013396E">
              <w:rPr>
                <w:bCs/>
                <w:lang w:val="pt-BR"/>
              </w:rPr>
              <w:t xml:space="preserve">) * MRAFLAG </w:t>
            </w:r>
            <w:r w:rsidRPr="0013396E">
              <w:rPr>
                <w:bCs/>
                <w:i/>
                <w:vertAlign w:val="subscript"/>
                <w:lang w:val="pt-BR"/>
              </w:rPr>
              <w:t>q, r, h</w:t>
            </w:r>
            <w:r w:rsidRPr="0013396E">
              <w:rPr>
                <w:bCs/>
                <w:lang w:val="pt-BR"/>
              </w:rPr>
              <w:t xml:space="preserve"> </w:t>
            </w:r>
            <w:r w:rsidRPr="0013396E">
              <w:rPr>
                <w:bCs/>
                <w:i/>
                <w:lang w:val="pt-BR"/>
              </w:rPr>
              <w:t xml:space="preserve">/ </w:t>
            </w:r>
            <w:r w:rsidRPr="0013396E">
              <w:rPr>
                <w:bCs/>
                <w:lang w:val="pt-BR"/>
              </w:rPr>
              <w:t>MRAH</w:t>
            </w:r>
            <w:r w:rsidRPr="0013396E">
              <w:rPr>
                <w:i/>
                <w:vertAlign w:val="subscript"/>
              </w:rPr>
              <w:t xml:space="preserve"> q, r</w:t>
            </w:r>
          </w:p>
          <w:p w14:paraId="33BC2540" w14:textId="6BE03853" w:rsidR="000C1EEE" w:rsidRPr="0013396E" w:rsidRDefault="000C1EEE" w:rsidP="000C1EEE">
            <w:pPr>
              <w:spacing w:after="240"/>
              <w:ind w:left="720" w:hanging="720"/>
              <w:rPr>
                <w:iCs/>
              </w:rPr>
            </w:pPr>
            <w:r w:rsidRPr="0013396E">
              <w:rPr>
                <w:iCs/>
              </w:rPr>
              <w:t>(</w:t>
            </w:r>
            <w:r w:rsidR="00AA432B" w:rsidRPr="0013396E">
              <w:rPr>
                <w:iCs/>
              </w:rPr>
              <w:t>3</w:t>
            </w:r>
            <w:r w:rsidRPr="0013396E">
              <w:rPr>
                <w:iCs/>
              </w:rPr>
              <w:t>)</w:t>
            </w:r>
            <w:r w:rsidRPr="0013396E">
              <w:rPr>
                <w:iCs/>
              </w:rPr>
              <w:tab/>
              <w:t>The deployment event payment to each QSE representing a Demand Response MRA or Other Generation MRA:</w:t>
            </w:r>
          </w:p>
          <w:p w14:paraId="53EDCFE1" w14:textId="77777777" w:rsidR="000C1EEE" w:rsidRPr="0013396E" w:rsidRDefault="000C1EEE" w:rsidP="000C1EEE">
            <w:pPr>
              <w:ind w:firstLine="720"/>
              <w:rPr>
                <w:bCs/>
                <w:lang w:val="pt-BR"/>
              </w:rPr>
            </w:pPr>
            <w:r w:rsidRPr="0013396E">
              <w:rPr>
                <w:bCs/>
                <w:color w:val="000000"/>
                <w:lang w:val="pt-BR"/>
              </w:rPr>
              <w:lastRenderedPageBreak/>
              <w:t xml:space="preserve">MRADEAMT </w:t>
            </w:r>
            <w:r w:rsidRPr="0013396E">
              <w:rPr>
                <w:bCs/>
                <w:i/>
                <w:vertAlign w:val="subscript"/>
                <w:lang w:val="pt-BR"/>
              </w:rPr>
              <w:t>q, r, h</w:t>
            </w:r>
            <w:r w:rsidRPr="0013396E">
              <w:rPr>
                <w:bCs/>
                <w:lang w:val="pt-BR"/>
              </w:rPr>
              <w:t xml:space="preserve"> = (-1) * Max{EDPRICE</w:t>
            </w:r>
            <w:r w:rsidRPr="0013396E">
              <w:rPr>
                <w:bCs/>
                <w:i/>
                <w:vertAlign w:val="subscript"/>
                <w:lang w:val="pt-BR"/>
              </w:rPr>
              <w:t xml:space="preserve"> q, r</w:t>
            </w:r>
            <w:r w:rsidRPr="0013396E">
              <w:rPr>
                <w:bCs/>
                <w:lang w:val="pt-BR"/>
              </w:rPr>
              <w:t>, (FIP + MRACEFA</w:t>
            </w:r>
            <w:r w:rsidRPr="0013396E">
              <w:rPr>
                <w:bCs/>
                <w:i/>
                <w:vertAlign w:val="subscript"/>
                <w:lang w:val="pt-BR"/>
              </w:rPr>
              <w:t xml:space="preserve"> q, r</w:t>
            </w:r>
            <w:r w:rsidRPr="0013396E">
              <w:rPr>
                <w:bCs/>
                <w:lang w:val="pt-BR"/>
              </w:rPr>
              <w:t xml:space="preserve">) * </w:t>
            </w:r>
          </w:p>
          <w:p w14:paraId="654CDD74" w14:textId="77777777" w:rsidR="000C1EEE" w:rsidRPr="0013396E" w:rsidRDefault="000C1EEE" w:rsidP="000C1EEE">
            <w:pPr>
              <w:tabs>
                <w:tab w:val="left" w:pos="2700"/>
                <w:tab w:val="left" w:pos="3150"/>
              </w:tabs>
              <w:spacing w:after="240"/>
              <w:ind w:left="2700" w:hanging="1890"/>
            </w:pPr>
            <w:r w:rsidRPr="0013396E">
              <w:rPr>
                <w:bCs/>
                <w:lang w:val="pt-BR"/>
              </w:rPr>
              <w:tab/>
              <w:t xml:space="preserve">MRAPSUFQ </w:t>
            </w:r>
            <w:r w:rsidRPr="0013396E">
              <w:rPr>
                <w:bCs/>
                <w:i/>
                <w:vertAlign w:val="subscript"/>
                <w:lang w:val="pt-BR"/>
              </w:rPr>
              <w:t>q, r</w:t>
            </w:r>
            <w:r w:rsidRPr="0013396E">
              <w:rPr>
                <w:bCs/>
                <w:lang w:val="pt-BR"/>
              </w:rPr>
              <w:t xml:space="preserve">} * MRAEPRF </w:t>
            </w:r>
            <w:r w:rsidRPr="0013396E">
              <w:rPr>
                <w:bCs/>
                <w:i/>
                <w:vertAlign w:val="subscript"/>
                <w:lang w:val="pt-BR"/>
              </w:rPr>
              <w:t>q, r, m</w:t>
            </w:r>
            <w:r w:rsidRPr="0013396E">
              <w:rPr>
                <w:bCs/>
                <w:lang w:val="pt-BR"/>
              </w:rPr>
              <w:t xml:space="preserve"> </w:t>
            </w:r>
            <w:r w:rsidRPr="0013396E">
              <w:rPr>
                <w:bCs/>
                <w:i/>
                <w:lang w:val="pt-BR"/>
              </w:rPr>
              <w:t xml:space="preserve">/ </w:t>
            </w:r>
            <w:r w:rsidRPr="0013396E">
              <w:rPr>
                <w:bCs/>
                <w:lang w:val="pt-BR"/>
              </w:rPr>
              <w:t>MRAH</w:t>
            </w:r>
            <w:r w:rsidRPr="0013396E">
              <w:rPr>
                <w:i/>
                <w:vertAlign w:val="subscript"/>
              </w:rPr>
              <w:t xml:space="preserve"> q, r</w:t>
            </w:r>
          </w:p>
          <w:p w14:paraId="50D88880" w14:textId="77777777" w:rsidR="000C1EEE" w:rsidRPr="0013396E" w:rsidRDefault="000C1EEE" w:rsidP="000C1EEE">
            <w:r w:rsidRPr="0013396E">
              <w:t>The above variables are defined as follows:</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5"/>
              <w:gridCol w:w="1080"/>
              <w:gridCol w:w="6390"/>
            </w:tblGrid>
            <w:tr w:rsidR="00DB3017" w:rsidRPr="0013396E" w14:paraId="1B0166F6" w14:textId="77777777" w:rsidTr="00CE1011">
              <w:trPr>
                <w:cantSplit/>
                <w:tblHeader/>
              </w:trPr>
              <w:tc>
                <w:tcPr>
                  <w:tcW w:w="1885" w:type="dxa"/>
                </w:tcPr>
                <w:p w14:paraId="1DF97CC8" w14:textId="77777777" w:rsidR="00DB3017" w:rsidRPr="0013396E" w:rsidRDefault="00DB3017" w:rsidP="00DB3017">
                  <w:pPr>
                    <w:spacing w:after="120"/>
                    <w:rPr>
                      <w:b/>
                      <w:iCs/>
                      <w:sz w:val="20"/>
                    </w:rPr>
                  </w:pPr>
                  <w:r w:rsidRPr="0013396E">
                    <w:rPr>
                      <w:b/>
                      <w:iCs/>
                      <w:sz w:val="20"/>
                    </w:rPr>
                    <w:t>Variable</w:t>
                  </w:r>
                </w:p>
              </w:tc>
              <w:tc>
                <w:tcPr>
                  <w:tcW w:w="1080" w:type="dxa"/>
                </w:tcPr>
                <w:p w14:paraId="0734B5D0" w14:textId="77777777" w:rsidR="00DB3017" w:rsidRPr="0013396E" w:rsidRDefault="00DB3017" w:rsidP="00DB3017">
                  <w:pPr>
                    <w:spacing w:after="120"/>
                    <w:rPr>
                      <w:b/>
                      <w:iCs/>
                      <w:sz w:val="20"/>
                    </w:rPr>
                  </w:pPr>
                  <w:r w:rsidRPr="0013396E">
                    <w:rPr>
                      <w:b/>
                      <w:iCs/>
                      <w:sz w:val="20"/>
                    </w:rPr>
                    <w:t>Unit</w:t>
                  </w:r>
                </w:p>
              </w:tc>
              <w:tc>
                <w:tcPr>
                  <w:tcW w:w="6390" w:type="dxa"/>
                </w:tcPr>
                <w:p w14:paraId="0C2FA609" w14:textId="77777777" w:rsidR="00DB3017" w:rsidRPr="0013396E" w:rsidRDefault="00DB3017" w:rsidP="00DB3017">
                  <w:pPr>
                    <w:spacing w:after="120"/>
                    <w:rPr>
                      <w:b/>
                      <w:iCs/>
                      <w:sz w:val="20"/>
                    </w:rPr>
                  </w:pPr>
                  <w:r w:rsidRPr="0013396E">
                    <w:rPr>
                      <w:b/>
                      <w:iCs/>
                      <w:sz w:val="20"/>
                    </w:rPr>
                    <w:t>Definition</w:t>
                  </w:r>
                </w:p>
              </w:tc>
            </w:tr>
            <w:tr w:rsidR="00DB3017" w:rsidRPr="0013396E" w14:paraId="0FBB5EC8" w14:textId="77777777" w:rsidTr="00CE1011">
              <w:trPr>
                <w:cantSplit/>
              </w:trPr>
              <w:tc>
                <w:tcPr>
                  <w:tcW w:w="1885" w:type="dxa"/>
                </w:tcPr>
                <w:p w14:paraId="1FD7ADFB" w14:textId="77777777" w:rsidR="00DB3017" w:rsidRPr="0013396E" w:rsidRDefault="00DB3017" w:rsidP="00DB3017">
                  <w:pPr>
                    <w:spacing w:after="60"/>
                    <w:rPr>
                      <w:iCs/>
                      <w:sz w:val="20"/>
                    </w:rPr>
                  </w:pPr>
                  <w:r w:rsidRPr="0013396E">
                    <w:rPr>
                      <w:iCs/>
                      <w:sz w:val="20"/>
                    </w:rPr>
                    <w:t xml:space="preserve">MRADEAMT </w:t>
                  </w:r>
                  <w:r w:rsidRPr="0013396E">
                    <w:rPr>
                      <w:i/>
                      <w:iCs/>
                      <w:sz w:val="20"/>
                      <w:vertAlign w:val="subscript"/>
                    </w:rPr>
                    <w:t>q, r, h</w:t>
                  </w:r>
                </w:p>
              </w:tc>
              <w:tc>
                <w:tcPr>
                  <w:tcW w:w="1080" w:type="dxa"/>
                </w:tcPr>
                <w:p w14:paraId="303A3C05" w14:textId="77777777" w:rsidR="00DB3017" w:rsidRPr="0013396E" w:rsidRDefault="00DB3017" w:rsidP="00DB3017">
                  <w:pPr>
                    <w:spacing w:after="60"/>
                    <w:rPr>
                      <w:iCs/>
                      <w:sz w:val="20"/>
                    </w:rPr>
                  </w:pPr>
                  <w:r w:rsidRPr="0013396E">
                    <w:rPr>
                      <w:iCs/>
                      <w:sz w:val="20"/>
                    </w:rPr>
                    <w:t>$</w:t>
                  </w:r>
                </w:p>
              </w:tc>
              <w:tc>
                <w:tcPr>
                  <w:tcW w:w="6390" w:type="dxa"/>
                </w:tcPr>
                <w:p w14:paraId="451D4A62" w14:textId="77777777" w:rsidR="00DB3017" w:rsidRPr="0013396E" w:rsidRDefault="00DB3017" w:rsidP="00DB3017">
                  <w:pPr>
                    <w:spacing w:after="60"/>
                    <w:rPr>
                      <w:i/>
                      <w:iCs/>
                      <w:sz w:val="20"/>
                    </w:rPr>
                  </w:pPr>
                  <w:r w:rsidRPr="0013396E">
                    <w:rPr>
                      <w:i/>
                      <w:iCs/>
                      <w:sz w:val="20"/>
                    </w:rPr>
                    <w:t>Must-Run Alternative Deployment Event Amount per QSE per Resource by hour</w:t>
                  </w:r>
                  <w:r w:rsidRPr="0013396E">
                    <w:rPr>
                      <w:iCs/>
                      <w:sz w:val="20"/>
                    </w:rPr>
                    <w:t xml:space="preserve">—The deployment event payment to QSE </w:t>
                  </w:r>
                  <w:r w:rsidRPr="0013396E">
                    <w:rPr>
                      <w:i/>
                      <w:iCs/>
                      <w:sz w:val="20"/>
                    </w:rPr>
                    <w:t>q</w:t>
                  </w:r>
                  <w:r w:rsidRPr="0013396E">
                    <w:rPr>
                      <w:iCs/>
                      <w:sz w:val="20"/>
                    </w:rPr>
                    <w:t xml:space="preserve"> for MRA </w:t>
                  </w:r>
                  <w:r w:rsidRPr="0013396E">
                    <w:rPr>
                      <w:i/>
                      <w:iCs/>
                      <w:sz w:val="20"/>
                    </w:rPr>
                    <w:t>r</w:t>
                  </w:r>
                  <w:r w:rsidRPr="0013396E">
                    <w:rPr>
                      <w:iCs/>
                      <w:sz w:val="20"/>
                    </w:rPr>
                    <w:t xml:space="preserve">, for the MRA Contracted Hour </w:t>
                  </w:r>
                  <w:r w:rsidRPr="0013396E">
                    <w:rPr>
                      <w:i/>
                      <w:iCs/>
                      <w:sz w:val="20"/>
                    </w:rPr>
                    <w:t>h</w:t>
                  </w:r>
                  <w:r w:rsidRPr="0013396E">
                    <w:rPr>
                      <w:iCs/>
                      <w:sz w:val="20"/>
                    </w:rPr>
                    <w:t>.  Where for a Combined Cycle Train, the Resource r is the Combined Cycle Train.</w:t>
                  </w:r>
                </w:p>
              </w:tc>
            </w:tr>
            <w:tr w:rsidR="00DB3017" w:rsidRPr="0013396E" w14:paraId="3F034F98" w14:textId="77777777" w:rsidTr="00CE1011">
              <w:trPr>
                <w:cantSplit/>
              </w:trPr>
              <w:tc>
                <w:tcPr>
                  <w:tcW w:w="1885" w:type="dxa"/>
                </w:tcPr>
                <w:p w14:paraId="222FD595" w14:textId="77777777" w:rsidR="00DB3017" w:rsidRPr="0013396E" w:rsidRDefault="00DB3017" w:rsidP="00DB3017">
                  <w:pPr>
                    <w:spacing w:after="60"/>
                    <w:rPr>
                      <w:iCs/>
                      <w:sz w:val="20"/>
                    </w:rPr>
                  </w:pPr>
                  <w:r w:rsidRPr="0013396E">
                    <w:rPr>
                      <w:iCs/>
                      <w:sz w:val="20"/>
                    </w:rPr>
                    <w:t>FIP</w:t>
                  </w:r>
                </w:p>
              </w:tc>
              <w:tc>
                <w:tcPr>
                  <w:tcW w:w="1080" w:type="dxa"/>
                </w:tcPr>
                <w:p w14:paraId="20216E14" w14:textId="77777777" w:rsidR="00DB3017" w:rsidRPr="0013396E" w:rsidRDefault="00DB3017" w:rsidP="00DB3017">
                  <w:pPr>
                    <w:spacing w:after="60"/>
                    <w:rPr>
                      <w:iCs/>
                      <w:sz w:val="20"/>
                    </w:rPr>
                  </w:pPr>
                  <w:r w:rsidRPr="0013396E">
                    <w:rPr>
                      <w:iCs/>
                      <w:sz w:val="20"/>
                    </w:rPr>
                    <w:t>$/MMBtu</w:t>
                  </w:r>
                </w:p>
              </w:tc>
              <w:tc>
                <w:tcPr>
                  <w:tcW w:w="6390" w:type="dxa"/>
                </w:tcPr>
                <w:p w14:paraId="3D88AA8A" w14:textId="77777777" w:rsidR="00DB3017" w:rsidRPr="0013396E" w:rsidRDefault="00DB3017" w:rsidP="00DB3017">
                  <w:pPr>
                    <w:spacing w:after="60"/>
                    <w:rPr>
                      <w:iCs/>
                      <w:sz w:val="20"/>
                    </w:rPr>
                  </w:pPr>
                  <w:r w:rsidRPr="0013396E">
                    <w:rPr>
                      <w:i/>
                      <w:iCs/>
                      <w:sz w:val="20"/>
                    </w:rPr>
                    <w:t>Fuel Index Price</w:t>
                  </w:r>
                  <w:r w:rsidRPr="0013396E">
                    <w:rPr>
                      <w:iCs/>
                      <w:sz w:val="20"/>
                    </w:rPr>
                    <w:t>—The FIP for the Operating Day.</w:t>
                  </w:r>
                </w:p>
              </w:tc>
            </w:tr>
            <w:tr w:rsidR="00DB3017" w:rsidRPr="0013396E" w14:paraId="6985FAA8" w14:textId="77777777" w:rsidTr="00CE1011">
              <w:trPr>
                <w:cantSplit/>
              </w:trPr>
              <w:tc>
                <w:tcPr>
                  <w:tcW w:w="1885" w:type="dxa"/>
                </w:tcPr>
                <w:p w14:paraId="7D113D6D" w14:textId="77777777" w:rsidR="00DB3017" w:rsidRPr="0013396E" w:rsidRDefault="00DB3017" w:rsidP="00DB3017">
                  <w:pPr>
                    <w:spacing w:after="60"/>
                    <w:rPr>
                      <w:iCs/>
                      <w:sz w:val="20"/>
                    </w:rPr>
                  </w:pPr>
                  <w:r w:rsidRPr="0013396E">
                    <w:rPr>
                      <w:bCs/>
                      <w:sz w:val="20"/>
                      <w:lang w:val="pt-BR"/>
                    </w:rPr>
                    <w:t>EDPRICE</w:t>
                  </w:r>
                  <w:r w:rsidRPr="0013396E">
                    <w:rPr>
                      <w:i/>
                      <w:iCs/>
                      <w:sz w:val="20"/>
                      <w:vertAlign w:val="subscript"/>
                    </w:rPr>
                    <w:t xml:space="preserve"> q, r</w:t>
                  </w:r>
                </w:p>
              </w:tc>
              <w:tc>
                <w:tcPr>
                  <w:tcW w:w="1080" w:type="dxa"/>
                </w:tcPr>
                <w:p w14:paraId="196E7C2E" w14:textId="77777777" w:rsidR="00DB3017" w:rsidRPr="0013396E" w:rsidRDefault="00DB3017" w:rsidP="00DB3017">
                  <w:pPr>
                    <w:spacing w:after="60"/>
                    <w:rPr>
                      <w:iCs/>
                      <w:sz w:val="20"/>
                    </w:rPr>
                  </w:pPr>
                  <w:r w:rsidRPr="0013396E">
                    <w:rPr>
                      <w:iCs/>
                      <w:sz w:val="20"/>
                    </w:rPr>
                    <w:t>$</w:t>
                  </w:r>
                </w:p>
              </w:tc>
              <w:tc>
                <w:tcPr>
                  <w:tcW w:w="6390" w:type="dxa"/>
                </w:tcPr>
                <w:p w14:paraId="3E9EB4AC" w14:textId="77777777" w:rsidR="00DB3017" w:rsidRPr="0013396E" w:rsidRDefault="00DB3017" w:rsidP="00DB3017">
                  <w:pPr>
                    <w:spacing w:after="60"/>
                    <w:rPr>
                      <w:i/>
                      <w:iCs/>
                      <w:sz w:val="20"/>
                    </w:rPr>
                  </w:pPr>
                  <w:r w:rsidRPr="0013396E">
                    <w:rPr>
                      <w:i/>
                      <w:iCs/>
                      <w:sz w:val="20"/>
                    </w:rPr>
                    <w:t>Event Deployment Price per QSE per Resource</w:t>
                  </w:r>
                  <w:r w:rsidRPr="0013396E">
                    <w:rPr>
                      <w:iCs/>
                      <w:sz w:val="20"/>
                    </w:rPr>
                    <w:t xml:space="preserve">—The event deployment price to QSE </w:t>
                  </w:r>
                  <w:r w:rsidRPr="0013396E">
                    <w:rPr>
                      <w:i/>
                      <w:iCs/>
                      <w:sz w:val="20"/>
                    </w:rPr>
                    <w:t>q</w:t>
                  </w:r>
                  <w:r w:rsidRPr="0013396E">
                    <w:rPr>
                      <w:iCs/>
                      <w:sz w:val="20"/>
                    </w:rPr>
                    <w:t xml:space="preserve"> for MRA </w:t>
                  </w:r>
                  <w:r w:rsidRPr="0013396E">
                    <w:rPr>
                      <w:i/>
                      <w:iCs/>
                      <w:sz w:val="20"/>
                    </w:rPr>
                    <w:t>r</w:t>
                  </w:r>
                  <w:r w:rsidRPr="0013396E">
                    <w:rPr>
                      <w:iCs/>
                      <w:sz w:val="20"/>
                    </w:rPr>
                    <w:t xml:space="preserve">, </w:t>
                  </w:r>
                  <w:r w:rsidRPr="0013396E">
                    <w:rPr>
                      <w:sz w:val="20"/>
                    </w:rPr>
                    <w:t>as specified in the MRA Agreement</w:t>
                  </w:r>
                  <w:r w:rsidRPr="0013396E">
                    <w:rPr>
                      <w:iCs/>
                      <w:sz w:val="20"/>
                    </w:rPr>
                    <w:t xml:space="preserve">.  Where for a Combined Cycle Train, the Resource </w:t>
                  </w:r>
                  <w:r w:rsidRPr="0013396E">
                    <w:rPr>
                      <w:i/>
                      <w:iCs/>
                      <w:sz w:val="20"/>
                    </w:rPr>
                    <w:t xml:space="preserve">r </w:t>
                  </w:r>
                  <w:r w:rsidRPr="0013396E">
                    <w:rPr>
                      <w:iCs/>
                      <w:sz w:val="20"/>
                    </w:rPr>
                    <w:t>is the Combined Cycle Train.</w:t>
                  </w:r>
                </w:p>
              </w:tc>
            </w:tr>
            <w:tr w:rsidR="00DB3017" w:rsidRPr="0013396E" w14:paraId="574EB4DC" w14:textId="77777777" w:rsidTr="00CE1011">
              <w:trPr>
                <w:cantSplit/>
              </w:trPr>
              <w:tc>
                <w:tcPr>
                  <w:tcW w:w="1885" w:type="dxa"/>
                </w:tcPr>
                <w:p w14:paraId="53EDE682" w14:textId="77777777" w:rsidR="00DB3017" w:rsidRPr="0013396E" w:rsidRDefault="00DB3017" w:rsidP="00DB3017">
                  <w:pPr>
                    <w:spacing w:after="60"/>
                    <w:rPr>
                      <w:bCs/>
                      <w:sz w:val="20"/>
                      <w:lang w:val="pt-BR"/>
                    </w:rPr>
                  </w:pPr>
                  <w:r w:rsidRPr="0013396E">
                    <w:rPr>
                      <w:sz w:val="20"/>
                    </w:rPr>
                    <w:t>MRAEPRF</w:t>
                  </w:r>
                  <w:r w:rsidRPr="0013396E">
                    <w:rPr>
                      <w:i/>
                      <w:sz w:val="20"/>
                      <w:vertAlign w:val="subscript"/>
                    </w:rPr>
                    <w:t xml:space="preserve"> q, r, m</w:t>
                  </w:r>
                </w:p>
              </w:tc>
              <w:tc>
                <w:tcPr>
                  <w:tcW w:w="1080" w:type="dxa"/>
                </w:tcPr>
                <w:p w14:paraId="68B0DD25" w14:textId="77777777" w:rsidR="00DB3017" w:rsidRPr="0013396E" w:rsidRDefault="00DB3017" w:rsidP="00DB3017">
                  <w:pPr>
                    <w:spacing w:after="60"/>
                    <w:rPr>
                      <w:iCs/>
                      <w:sz w:val="20"/>
                    </w:rPr>
                  </w:pPr>
                  <w:r w:rsidRPr="0013396E">
                    <w:rPr>
                      <w:iCs/>
                      <w:sz w:val="20"/>
                    </w:rPr>
                    <w:t>None</w:t>
                  </w:r>
                </w:p>
              </w:tc>
              <w:tc>
                <w:tcPr>
                  <w:tcW w:w="6390" w:type="dxa"/>
                </w:tcPr>
                <w:p w14:paraId="6420BF10" w14:textId="77777777" w:rsidR="00DB3017" w:rsidRPr="0013396E" w:rsidRDefault="00DB3017" w:rsidP="00DB3017">
                  <w:pPr>
                    <w:spacing w:after="60"/>
                    <w:rPr>
                      <w:i/>
                      <w:iCs/>
                      <w:sz w:val="20"/>
                    </w:rPr>
                  </w:pPr>
                  <w:r w:rsidRPr="0013396E">
                    <w:rPr>
                      <w:i/>
                      <w:iCs/>
                      <w:sz w:val="20"/>
                    </w:rPr>
                    <w:t xml:space="preserve">Must-Run Alternative Event Performance Reduction </w:t>
                  </w:r>
                  <w:r w:rsidRPr="0013396E">
                    <w:rPr>
                      <w:i/>
                      <w:sz w:val="20"/>
                    </w:rPr>
                    <w:t xml:space="preserve">Factor per QSE per Resource  </w:t>
                  </w:r>
                  <w:r w:rsidRPr="0013396E">
                    <w:rPr>
                      <w:sz w:val="20"/>
                    </w:rPr>
                    <w:t>—The event performance reduction factor of the MRA</w:t>
                  </w:r>
                  <w:r w:rsidRPr="0013396E">
                    <w:rPr>
                      <w:i/>
                      <w:iCs/>
                      <w:sz w:val="20"/>
                    </w:rPr>
                    <w:t xml:space="preserve"> r </w:t>
                  </w:r>
                  <w:r w:rsidRPr="0013396E">
                    <w:rPr>
                      <w:iCs/>
                      <w:sz w:val="20"/>
                    </w:rPr>
                    <w:t xml:space="preserve">represented by QSE </w:t>
                  </w:r>
                  <w:r w:rsidRPr="0013396E">
                    <w:rPr>
                      <w:i/>
                      <w:iCs/>
                      <w:sz w:val="20"/>
                    </w:rPr>
                    <w:t>q</w:t>
                  </w:r>
                  <w:r w:rsidRPr="0013396E">
                    <w:rPr>
                      <w:sz w:val="20"/>
                    </w:rPr>
                    <w:t xml:space="preserve">, for each hour of the month </w:t>
                  </w:r>
                  <w:r w:rsidRPr="0013396E">
                    <w:rPr>
                      <w:i/>
                      <w:sz w:val="20"/>
                    </w:rPr>
                    <w:t>m</w:t>
                  </w:r>
                  <w:r w:rsidRPr="0013396E">
                    <w:rPr>
                      <w:sz w:val="20"/>
                    </w:rPr>
                    <w:t xml:space="preserve">, as calculated per Section 3.14.4.6.5, MRA Event Performance Measurement and Verification.  If the MRAEPRF for the month is not available then the most recent MRAEPRF prior to the month of the Operating Day shall be used.  If no previous MRAEPRF is available then MRAEPRF shall be set to 1.  Where for a Combined Cycle Train, the Resource </w:t>
                  </w:r>
                  <w:r w:rsidRPr="0013396E">
                    <w:rPr>
                      <w:i/>
                      <w:sz w:val="20"/>
                    </w:rPr>
                    <w:t xml:space="preserve">r </w:t>
                  </w:r>
                  <w:r w:rsidRPr="0013396E">
                    <w:rPr>
                      <w:sz w:val="20"/>
                    </w:rPr>
                    <w:t>is the Combined Cycle Train.</w:t>
                  </w:r>
                </w:p>
              </w:tc>
            </w:tr>
            <w:tr w:rsidR="00DB3017" w:rsidRPr="0013396E" w14:paraId="2604C42B" w14:textId="77777777" w:rsidTr="00CE1011">
              <w:trPr>
                <w:cantSplit/>
              </w:trPr>
              <w:tc>
                <w:tcPr>
                  <w:tcW w:w="1885" w:type="dxa"/>
                </w:tcPr>
                <w:p w14:paraId="017D32EB" w14:textId="77777777" w:rsidR="00DB3017" w:rsidRPr="0013396E" w:rsidRDefault="00DB3017" w:rsidP="00DB3017">
                  <w:pPr>
                    <w:spacing w:after="60"/>
                    <w:rPr>
                      <w:iCs/>
                      <w:sz w:val="20"/>
                    </w:rPr>
                  </w:pPr>
                  <w:r w:rsidRPr="0013396E">
                    <w:rPr>
                      <w:iCs/>
                      <w:sz w:val="20"/>
                    </w:rPr>
                    <w:t xml:space="preserve">MRAPSUFQ </w:t>
                  </w:r>
                  <w:r w:rsidRPr="0013396E">
                    <w:rPr>
                      <w:i/>
                      <w:iCs/>
                      <w:sz w:val="20"/>
                      <w:vertAlign w:val="subscript"/>
                    </w:rPr>
                    <w:t>q, r</w:t>
                  </w:r>
                </w:p>
              </w:tc>
              <w:tc>
                <w:tcPr>
                  <w:tcW w:w="1080" w:type="dxa"/>
                </w:tcPr>
                <w:p w14:paraId="3B17106D" w14:textId="77777777" w:rsidR="00DB3017" w:rsidRPr="0013396E" w:rsidRDefault="00DB3017" w:rsidP="00DB3017">
                  <w:pPr>
                    <w:spacing w:after="60"/>
                    <w:rPr>
                      <w:iCs/>
                      <w:sz w:val="20"/>
                    </w:rPr>
                  </w:pPr>
                  <w:r w:rsidRPr="0013396E">
                    <w:rPr>
                      <w:iCs/>
                      <w:sz w:val="20"/>
                    </w:rPr>
                    <w:t>MMBtu</w:t>
                  </w:r>
                </w:p>
              </w:tc>
              <w:tc>
                <w:tcPr>
                  <w:tcW w:w="6390" w:type="dxa"/>
                </w:tcPr>
                <w:p w14:paraId="7EDE0222" w14:textId="77777777" w:rsidR="00DB3017" w:rsidRPr="0013396E" w:rsidRDefault="00DB3017" w:rsidP="00DB3017">
                  <w:pPr>
                    <w:spacing w:after="60"/>
                    <w:rPr>
                      <w:iCs/>
                      <w:sz w:val="20"/>
                    </w:rPr>
                  </w:pPr>
                  <w:r w:rsidRPr="0013396E">
                    <w:rPr>
                      <w:i/>
                      <w:iCs/>
                      <w:sz w:val="20"/>
                    </w:rPr>
                    <w:t>Must-Run Alternative Proxy Startup Fuel Quantity per QSE per Resource</w:t>
                  </w:r>
                  <w:r w:rsidRPr="0013396E">
                    <w:rPr>
                      <w:iCs/>
                      <w:sz w:val="20"/>
                    </w:rPr>
                    <w:sym w:font="Symbol" w:char="F0BE"/>
                  </w:r>
                  <w:r w:rsidRPr="0013396E">
                    <w:rPr>
                      <w:iCs/>
                      <w:sz w:val="20"/>
                    </w:rPr>
                    <w:t xml:space="preserve">The proxy start up fuel quantity specified in the MRA Agreement for MRA </w:t>
                  </w:r>
                  <w:r w:rsidRPr="0013396E">
                    <w:rPr>
                      <w:i/>
                      <w:iCs/>
                      <w:sz w:val="20"/>
                    </w:rPr>
                    <w:t>r</w:t>
                  </w:r>
                  <w:r w:rsidRPr="0013396E">
                    <w:rPr>
                      <w:iCs/>
                      <w:sz w:val="20"/>
                    </w:rPr>
                    <w:t xml:space="preserve"> represented by QSE </w:t>
                  </w:r>
                  <w:r w:rsidRPr="0013396E">
                    <w:rPr>
                      <w:i/>
                      <w:iCs/>
                      <w:sz w:val="20"/>
                    </w:rPr>
                    <w:t>q</w:t>
                  </w:r>
                  <w:r w:rsidRPr="0013396E">
                    <w:rPr>
                      <w:iCs/>
                      <w:sz w:val="20"/>
                    </w:rPr>
                    <w:t xml:space="preserve">.  Where for a Combined Cycle Train, the Resource </w:t>
                  </w:r>
                  <w:r w:rsidRPr="0013396E">
                    <w:rPr>
                      <w:i/>
                      <w:iCs/>
                      <w:sz w:val="20"/>
                    </w:rPr>
                    <w:t xml:space="preserve">r </w:t>
                  </w:r>
                  <w:r w:rsidRPr="0013396E">
                    <w:rPr>
                      <w:iCs/>
                      <w:sz w:val="20"/>
                    </w:rPr>
                    <w:t>is the Combined Cycle Train.</w:t>
                  </w:r>
                </w:p>
              </w:tc>
            </w:tr>
            <w:tr w:rsidR="00DB3017" w:rsidRPr="0013396E" w14:paraId="0E661FFD" w14:textId="77777777" w:rsidTr="00CE1011">
              <w:trPr>
                <w:cantSplit/>
              </w:trPr>
              <w:tc>
                <w:tcPr>
                  <w:tcW w:w="1885" w:type="dxa"/>
                </w:tcPr>
                <w:p w14:paraId="1FE67C2A" w14:textId="77777777" w:rsidR="00DB3017" w:rsidRPr="0013396E" w:rsidRDefault="00DB3017" w:rsidP="00DB3017">
                  <w:pPr>
                    <w:spacing w:after="60"/>
                    <w:rPr>
                      <w:iCs/>
                      <w:sz w:val="20"/>
                    </w:rPr>
                  </w:pPr>
                  <w:r w:rsidRPr="0013396E">
                    <w:rPr>
                      <w:iCs/>
                      <w:sz w:val="20"/>
                    </w:rPr>
                    <w:t>MRAH</w:t>
                  </w:r>
                  <w:r w:rsidRPr="0013396E">
                    <w:rPr>
                      <w:i/>
                      <w:sz w:val="20"/>
                      <w:vertAlign w:val="subscript"/>
                    </w:rPr>
                    <w:t xml:space="preserve"> </w:t>
                  </w:r>
                  <w:r w:rsidRPr="0013396E">
                    <w:rPr>
                      <w:i/>
                      <w:iCs/>
                      <w:sz w:val="20"/>
                      <w:vertAlign w:val="subscript"/>
                    </w:rPr>
                    <w:t>q, r</w:t>
                  </w:r>
                </w:p>
              </w:tc>
              <w:tc>
                <w:tcPr>
                  <w:tcW w:w="1080" w:type="dxa"/>
                </w:tcPr>
                <w:p w14:paraId="6836293A" w14:textId="77777777" w:rsidR="00DB3017" w:rsidRPr="0013396E" w:rsidRDefault="00DB3017" w:rsidP="00DB3017">
                  <w:pPr>
                    <w:spacing w:after="60"/>
                    <w:rPr>
                      <w:iCs/>
                      <w:sz w:val="20"/>
                    </w:rPr>
                  </w:pPr>
                  <w:r w:rsidRPr="0013396E">
                    <w:rPr>
                      <w:sz w:val="20"/>
                    </w:rPr>
                    <w:t>Hour</w:t>
                  </w:r>
                </w:p>
              </w:tc>
              <w:tc>
                <w:tcPr>
                  <w:tcW w:w="6390" w:type="dxa"/>
                </w:tcPr>
                <w:p w14:paraId="00D88B56" w14:textId="77777777" w:rsidR="00DB3017" w:rsidRPr="0013396E" w:rsidRDefault="00DB3017" w:rsidP="00DB3017">
                  <w:pPr>
                    <w:spacing w:after="60"/>
                    <w:rPr>
                      <w:i/>
                      <w:sz w:val="20"/>
                    </w:rPr>
                  </w:pPr>
                  <w:r w:rsidRPr="0013396E">
                    <w:rPr>
                      <w:i/>
                      <w:iCs/>
                      <w:sz w:val="20"/>
                    </w:rPr>
                    <w:t>Must-Run Alternative Hours</w:t>
                  </w:r>
                  <w:r w:rsidRPr="0013396E">
                    <w:rPr>
                      <w:iCs/>
                      <w:sz w:val="20"/>
                    </w:rPr>
                    <w:t xml:space="preserve">—The number of hours during which MRA </w:t>
                  </w:r>
                  <w:r w:rsidRPr="0013396E">
                    <w:rPr>
                      <w:i/>
                      <w:iCs/>
                      <w:sz w:val="20"/>
                    </w:rPr>
                    <w:t>r</w:t>
                  </w:r>
                  <w:r w:rsidRPr="0013396E">
                    <w:rPr>
                      <w:iCs/>
                      <w:sz w:val="20"/>
                    </w:rPr>
                    <w:t xml:space="preserve"> represented by QSE </w:t>
                  </w:r>
                  <w:r w:rsidRPr="0013396E">
                    <w:rPr>
                      <w:i/>
                      <w:iCs/>
                      <w:sz w:val="20"/>
                    </w:rPr>
                    <w:t>q</w:t>
                  </w:r>
                  <w:r w:rsidRPr="0013396E">
                    <w:rPr>
                      <w:iCs/>
                      <w:sz w:val="20"/>
                    </w:rPr>
                    <w:t xml:space="preserve"> received a deployment instruction for each deployment event for the Operating Day.  Where for a Combined Cycle Train, the Resource </w:t>
                  </w:r>
                  <w:r w:rsidRPr="0013396E">
                    <w:rPr>
                      <w:i/>
                      <w:iCs/>
                      <w:sz w:val="20"/>
                    </w:rPr>
                    <w:t xml:space="preserve">r </w:t>
                  </w:r>
                  <w:r w:rsidRPr="0013396E">
                    <w:rPr>
                      <w:iCs/>
                      <w:sz w:val="20"/>
                    </w:rPr>
                    <w:t>is the Combined Cycle Train.</w:t>
                  </w:r>
                </w:p>
              </w:tc>
            </w:tr>
            <w:tr w:rsidR="00DB3017" w:rsidRPr="0013396E" w14:paraId="72B6419E" w14:textId="77777777" w:rsidTr="00CE1011">
              <w:trPr>
                <w:cantSplit/>
              </w:trPr>
              <w:tc>
                <w:tcPr>
                  <w:tcW w:w="1885" w:type="dxa"/>
                </w:tcPr>
                <w:p w14:paraId="7EE5D3CC" w14:textId="77777777" w:rsidR="00DB3017" w:rsidRPr="0013396E" w:rsidRDefault="00DB3017" w:rsidP="00DB3017">
                  <w:pPr>
                    <w:spacing w:after="60"/>
                    <w:rPr>
                      <w:iCs/>
                      <w:sz w:val="20"/>
                    </w:rPr>
                  </w:pPr>
                  <w:r w:rsidRPr="0013396E">
                    <w:rPr>
                      <w:iCs/>
                      <w:sz w:val="20"/>
                    </w:rPr>
                    <w:t xml:space="preserve">MRAFLAG </w:t>
                  </w:r>
                  <w:r w:rsidRPr="0013396E">
                    <w:rPr>
                      <w:i/>
                      <w:iCs/>
                      <w:sz w:val="20"/>
                      <w:vertAlign w:val="subscript"/>
                    </w:rPr>
                    <w:t>q, r, h</w:t>
                  </w:r>
                </w:p>
              </w:tc>
              <w:tc>
                <w:tcPr>
                  <w:tcW w:w="1080" w:type="dxa"/>
                </w:tcPr>
                <w:p w14:paraId="51FB28DD" w14:textId="77777777" w:rsidR="00DB3017" w:rsidRPr="0013396E" w:rsidRDefault="00DB3017" w:rsidP="00DB3017">
                  <w:pPr>
                    <w:spacing w:after="60"/>
                    <w:rPr>
                      <w:sz w:val="20"/>
                    </w:rPr>
                  </w:pPr>
                  <w:r w:rsidRPr="0013396E">
                    <w:rPr>
                      <w:sz w:val="20"/>
                    </w:rPr>
                    <w:t>none</w:t>
                  </w:r>
                </w:p>
              </w:tc>
              <w:tc>
                <w:tcPr>
                  <w:tcW w:w="6390" w:type="dxa"/>
                </w:tcPr>
                <w:p w14:paraId="2B5B9029" w14:textId="77777777" w:rsidR="00DB3017" w:rsidRPr="0013396E" w:rsidRDefault="00DB3017" w:rsidP="00DB3017">
                  <w:pPr>
                    <w:spacing w:after="60"/>
                    <w:rPr>
                      <w:iCs/>
                      <w:sz w:val="20"/>
                    </w:rPr>
                  </w:pPr>
                  <w:r w:rsidRPr="0013396E">
                    <w:rPr>
                      <w:i/>
                      <w:iCs/>
                      <w:sz w:val="20"/>
                    </w:rPr>
                    <w:t xml:space="preserve">Must-Run Alternative Flag – </w:t>
                  </w:r>
                  <w:r w:rsidRPr="0013396E">
                    <w:rPr>
                      <w:iCs/>
                      <w:sz w:val="20"/>
                    </w:rPr>
                    <w:t xml:space="preserve">An indicator to signify that an MRA </w:t>
                  </w:r>
                  <w:r w:rsidRPr="0013396E">
                    <w:rPr>
                      <w:i/>
                      <w:iCs/>
                      <w:sz w:val="20"/>
                    </w:rPr>
                    <w:t xml:space="preserve">r </w:t>
                  </w:r>
                  <w:r w:rsidRPr="0013396E">
                    <w:rPr>
                      <w:iCs/>
                      <w:sz w:val="20"/>
                    </w:rPr>
                    <w:t xml:space="preserve">represented by QSE </w:t>
                  </w:r>
                  <w:r w:rsidRPr="0013396E">
                    <w:rPr>
                      <w:i/>
                      <w:iCs/>
                      <w:sz w:val="20"/>
                    </w:rPr>
                    <w:t xml:space="preserve">q </w:t>
                  </w:r>
                  <w:r w:rsidRPr="0013396E">
                    <w:rPr>
                      <w:iCs/>
                      <w:sz w:val="20"/>
                    </w:rPr>
                    <w:t xml:space="preserve">followed the deployment instruction for the event for the hour </w:t>
                  </w:r>
                  <w:r w:rsidRPr="0013396E">
                    <w:rPr>
                      <w:i/>
                      <w:iCs/>
                      <w:sz w:val="20"/>
                    </w:rPr>
                    <w:t>h</w:t>
                  </w:r>
                  <w:r w:rsidRPr="0013396E">
                    <w:rPr>
                      <w:iCs/>
                      <w:sz w:val="20"/>
                    </w:rPr>
                    <w:t xml:space="preserve">.  An MRAFLAG value of 1 represents followed and a 0 represents did not follow the deployment.  </w:t>
                  </w:r>
                  <w:r w:rsidRPr="0013396E">
                    <w:rPr>
                      <w:sz w:val="20"/>
                    </w:rPr>
                    <w:t xml:space="preserve">Where for a Combined Cycle Train, the Resource </w:t>
                  </w:r>
                  <w:r w:rsidRPr="0013396E">
                    <w:rPr>
                      <w:i/>
                      <w:sz w:val="20"/>
                    </w:rPr>
                    <w:t xml:space="preserve">r </w:t>
                  </w:r>
                  <w:r w:rsidRPr="0013396E">
                    <w:rPr>
                      <w:sz w:val="20"/>
                    </w:rPr>
                    <w:t>is the Combined Cycle Train.</w:t>
                  </w:r>
                </w:p>
              </w:tc>
            </w:tr>
            <w:tr w:rsidR="00DB3017" w:rsidRPr="0013396E" w14:paraId="5CAB6A7F" w14:textId="77777777" w:rsidTr="00CE1011">
              <w:trPr>
                <w:cantSplit/>
              </w:trPr>
              <w:tc>
                <w:tcPr>
                  <w:tcW w:w="1885" w:type="dxa"/>
                </w:tcPr>
                <w:p w14:paraId="55004A9A" w14:textId="77777777" w:rsidR="00DB3017" w:rsidRPr="0013396E" w:rsidRDefault="00DB3017" w:rsidP="00DB3017">
                  <w:pPr>
                    <w:spacing w:after="60"/>
                    <w:rPr>
                      <w:iCs/>
                      <w:sz w:val="20"/>
                    </w:rPr>
                  </w:pPr>
                  <w:r w:rsidRPr="0013396E">
                    <w:rPr>
                      <w:iCs/>
                      <w:sz w:val="20"/>
                    </w:rPr>
                    <w:t>MRACEFA</w:t>
                  </w:r>
                  <w:r w:rsidRPr="0013396E">
                    <w:rPr>
                      <w:iCs/>
                      <w:sz w:val="20"/>
                      <w:vertAlign w:val="subscript"/>
                    </w:rPr>
                    <w:t xml:space="preserve"> </w:t>
                  </w:r>
                  <w:r w:rsidRPr="0013396E">
                    <w:rPr>
                      <w:i/>
                      <w:iCs/>
                      <w:sz w:val="20"/>
                      <w:vertAlign w:val="subscript"/>
                    </w:rPr>
                    <w:t>q, r</w:t>
                  </w:r>
                </w:p>
              </w:tc>
              <w:tc>
                <w:tcPr>
                  <w:tcW w:w="1080" w:type="dxa"/>
                </w:tcPr>
                <w:p w14:paraId="073AC7B2" w14:textId="77777777" w:rsidR="00DB3017" w:rsidRPr="0013396E" w:rsidRDefault="00DB3017" w:rsidP="00DB3017">
                  <w:pPr>
                    <w:spacing w:after="60"/>
                    <w:rPr>
                      <w:iCs/>
                      <w:sz w:val="20"/>
                    </w:rPr>
                  </w:pPr>
                  <w:r w:rsidRPr="0013396E">
                    <w:rPr>
                      <w:iCs/>
                      <w:sz w:val="20"/>
                    </w:rPr>
                    <w:t>$/MMBtu</w:t>
                  </w:r>
                </w:p>
              </w:tc>
              <w:tc>
                <w:tcPr>
                  <w:tcW w:w="6390" w:type="dxa"/>
                </w:tcPr>
                <w:p w14:paraId="750BB1A8" w14:textId="0C73A4EC" w:rsidR="00DB3017" w:rsidRPr="0013396E" w:rsidRDefault="00DB3017" w:rsidP="00DB3017">
                  <w:pPr>
                    <w:spacing w:after="60"/>
                    <w:rPr>
                      <w:iCs/>
                      <w:sz w:val="20"/>
                    </w:rPr>
                  </w:pPr>
                  <w:r w:rsidRPr="0013396E">
                    <w:rPr>
                      <w:i/>
                      <w:iCs/>
                      <w:sz w:val="20"/>
                    </w:rPr>
                    <w:t>Must-Run Alternative Contractual Estimated Fuel Adder</w:t>
                  </w:r>
                  <w:r w:rsidRPr="0013396E">
                    <w:rPr>
                      <w:iCs/>
                      <w:sz w:val="20"/>
                    </w:rPr>
                    <w:t xml:space="preserve">—The </w:t>
                  </w:r>
                  <w:r w:rsidR="00371616" w:rsidRPr="0013396E">
                    <w:rPr>
                      <w:iCs/>
                      <w:sz w:val="20"/>
                    </w:rPr>
                    <w:t xml:space="preserve">MRA </w:t>
                  </w:r>
                  <w:r w:rsidRPr="0013396E">
                    <w:rPr>
                      <w:iCs/>
                      <w:sz w:val="20"/>
                    </w:rPr>
                    <w:t xml:space="preserve">Estimated Fuel Adder for the </w:t>
                  </w:r>
                  <w:r w:rsidRPr="0013396E">
                    <w:rPr>
                      <w:sz w:val="20"/>
                    </w:rPr>
                    <w:t>MRA</w:t>
                  </w:r>
                  <w:r w:rsidRPr="0013396E">
                    <w:rPr>
                      <w:i/>
                      <w:iCs/>
                      <w:sz w:val="20"/>
                    </w:rPr>
                    <w:t xml:space="preserve"> r </w:t>
                  </w:r>
                  <w:r w:rsidRPr="0013396E">
                    <w:rPr>
                      <w:iCs/>
                      <w:sz w:val="20"/>
                    </w:rPr>
                    <w:t xml:space="preserve">represented by QSE </w:t>
                  </w:r>
                  <w:r w:rsidRPr="0013396E">
                    <w:rPr>
                      <w:i/>
                      <w:iCs/>
                      <w:sz w:val="20"/>
                    </w:rPr>
                    <w:t>q</w:t>
                  </w:r>
                  <w:r w:rsidRPr="0013396E">
                    <w:rPr>
                      <w:iCs/>
                      <w:sz w:val="20"/>
                    </w:rPr>
                    <w:t xml:space="preserve"> as specified in the MRA Agreement.  Where for a Combined Cycle Train, the Generation Resource </w:t>
                  </w:r>
                  <w:r w:rsidRPr="0013396E">
                    <w:rPr>
                      <w:i/>
                      <w:iCs/>
                      <w:sz w:val="20"/>
                    </w:rPr>
                    <w:t xml:space="preserve">r </w:t>
                  </w:r>
                  <w:r w:rsidRPr="0013396E">
                    <w:rPr>
                      <w:iCs/>
                      <w:sz w:val="20"/>
                    </w:rPr>
                    <w:t xml:space="preserve">is the Combined Cycle Train.  </w:t>
                  </w:r>
                </w:p>
              </w:tc>
            </w:tr>
            <w:tr w:rsidR="00DB3017" w:rsidRPr="0013396E" w14:paraId="5F5CE265" w14:textId="77777777" w:rsidTr="00CE1011">
              <w:trPr>
                <w:cantSplit/>
              </w:trPr>
              <w:tc>
                <w:tcPr>
                  <w:tcW w:w="1885" w:type="dxa"/>
                </w:tcPr>
                <w:p w14:paraId="37217CB4" w14:textId="77777777" w:rsidR="00DB3017" w:rsidRPr="0013396E" w:rsidRDefault="00DB3017" w:rsidP="00DB3017">
                  <w:pPr>
                    <w:spacing w:after="60"/>
                    <w:rPr>
                      <w:i/>
                      <w:iCs/>
                      <w:sz w:val="20"/>
                    </w:rPr>
                  </w:pPr>
                  <w:r w:rsidRPr="0013396E">
                    <w:rPr>
                      <w:i/>
                      <w:iCs/>
                      <w:sz w:val="20"/>
                    </w:rPr>
                    <w:t>q</w:t>
                  </w:r>
                </w:p>
              </w:tc>
              <w:tc>
                <w:tcPr>
                  <w:tcW w:w="1080" w:type="dxa"/>
                </w:tcPr>
                <w:p w14:paraId="1AB9D4D1" w14:textId="77777777" w:rsidR="00DB3017" w:rsidRPr="0013396E" w:rsidRDefault="00DB3017" w:rsidP="00DB3017">
                  <w:pPr>
                    <w:spacing w:after="60"/>
                    <w:rPr>
                      <w:iCs/>
                      <w:sz w:val="20"/>
                    </w:rPr>
                  </w:pPr>
                  <w:r w:rsidRPr="0013396E">
                    <w:rPr>
                      <w:iCs/>
                      <w:sz w:val="20"/>
                    </w:rPr>
                    <w:t>none</w:t>
                  </w:r>
                </w:p>
              </w:tc>
              <w:tc>
                <w:tcPr>
                  <w:tcW w:w="6390" w:type="dxa"/>
                </w:tcPr>
                <w:p w14:paraId="66261E14" w14:textId="77777777" w:rsidR="00DB3017" w:rsidRPr="0013396E" w:rsidRDefault="00DB3017" w:rsidP="00DB3017">
                  <w:pPr>
                    <w:spacing w:after="60"/>
                    <w:rPr>
                      <w:iCs/>
                      <w:sz w:val="20"/>
                    </w:rPr>
                  </w:pPr>
                  <w:r w:rsidRPr="0013396E">
                    <w:rPr>
                      <w:iCs/>
                      <w:sz w:val="20"/>
                    </w:rPr>
                    <w:t>A QSE.</w:t>
                  </w:r>
                </w:p>
              </w:tc>
            </w:tr>
            <w:tr w:rsidR="00DB3017" w:rsidRPr="0013396E" w14:paraId="76BC6F89" w14:textId="77777777" w:rsidTr="00CE1011">
              <w:trPr>
                <w:cantSplit/>
              </w:trPr>
              <w:tc>
                <w:tcPr>
                  <w:tcW w:w="1885" w:type="dxa"/>
                </w:tcPr>
                <w:p w14:paraId="09662392" w14:textId="77777777" w:rsidR="00DB3017" w:rsidRPr="0013396E" w:rsidRDefault="00DB3017" w:rsidP="00DB3017">
                  <w:pPr>
                    <w:spacing w:after="60"/>
                    <w:rPr>
                      <w:i/>
                      <w:iCs/>
                      <w:sz w:val="20"/>
                    </w:rPr>
                  </w:pPr>
                  <w:r w:rsidRPr="0013396E">
                    <w:rPr>
                      <w:i/>
                      <w:iCs/>
                      <w:sz w:val="20"/>
                    </w:rPr>
                    <w:t>r</w:t>
                  </w:r>
                </w:p>
              </w:tc>
              <w:tc>
                <w:tcPr>
                  <w:tcW w:w="1080" w:type="dxa"/>
                </w:tcPr>
                <w:p w14:paraId="2E6F5A94" w14:textId="77777777" w:rsidR="00DB3017" w:rsidRPr="0013396E" w:rsidRDefault="00DB3017" w:rsidP="00DB3017">
                  <w:pPr>
                    <w:spacing w:after="60"/>
                    <w:rPr>
                      <w:iCs/>
                      <w:sz w:val="20"/>
                    </w:rPr>
                  </w:pPr>
                  <w:r w:rsidRPr="0013396E">
                    <w:rPr>
                      <w:iCs/>
                      <w:sz w:val="20"/>
                    </w:rPr>
                    <w:t>none</w:t>
                  </w:r>
                </w:p>
              </w:tc>
              <w:tc>
                <w:tcPr>
                  <w:tcW w:w="6390" w:type="dxa"/>
                </w:tcPr>
                <w:p w14:paraId="00F29EA2" w14:textId="77777777" w:rsidR="00DB3017" w:rsidRPr="0013396E" w:rsidRDefault="00DB3017" w:rsidP="00DB3017">
                  <w:pPr>
                    <w:spacing w:after="60"/>
                    <w:rPr>
                      <w:iCs/>
                      <w:sz w:val="20"/>
                    </w:rPr>
                  </w:pPr>
                  <w:r w:rsidRPr="0013396E">
                    <w:rPr>
                      <w:iCs/>
                      <w:sz w:val="20"/>
                    </w:rPr>
                    <w:t>An MRA.</w:t>
                  </w:r>
                </w:p>
              </w:tc>
            </w:tr>
            <w:tr w:rsidR="00DB3017" w:rsidRPr="0013396E" w14:paraId="758DA43B" w14:textId="77777777" w:rsidTr="00CE1011">
              <w:trPr>
                <w:cantSplit/>
              </w:trPr>
              <w:tc>
                <w:tcPr>
                  <w:tcW w:w="1885" w:type="dxa"/>
                </w:tcPr>
                <w:p w14:paraId="360FCDF0" w14:textId="77777777" w:rsidR="00DB3017" w:rsidRPr="0013396E" w:rsidRDefault="00DB3017" w:rsidP="00DB3017">
                  <w:pPr>
                    <w:spacing w:after="60"/>
                    <w:rPr>
                      <w:i/>
                      <w:iCs/>
                      <w:sz w:val="20"/>
                    </w:rPr>
                  </w:pPr>
                  <w:r w:rsidRPr="0013396E">
                    <w:rPr>
                      <w:i/>
                      <w:iCs/>
                      <w:sz w:val="20"/>
                    </w:rPr>
                    <w:t>m</w:t>
                  </w:r>
                </w:p>
              </w:tc>
              <w:tc>
                <w:tcPr>
                  <w:tcW w:w="1080" w:type="dxa"/>
                </w:tcPr>
                <w:p w14:paraId="175C3640" w14:textId="77777777" w:rsidR="00DB3017" w:rsidRPr="0013396E" w:rsidRDefault="00DB3017" w:rsidP="00DB3017">
                  <w:pPr>
                    <w:spacing w:after="60"/>
                    <w:rPr>
                      <w:iCs/>
                      <w:sz w:val="20"/>
                    </w:rPr>
                  </w:pPr>
                  <w:r w:rsidRPr="0013396E">
                    <w:rPr>
                      <w:iCs/>
                      <w:sz w:val="20"/>
                    </w:rPr>
                    <w:t>none</w:t>
                  </w:r>
                </w:p>
              </w:tc>
              <w:tc>
                <w:tcPr>
                  <w:tcW w:w="6390" w:type="dxa"/>
                </w:tcPr>
                <w:p w14:paraId="4799E25B" w14:textId="77777777" w:rsidR="00DB3017" w:rsidRPr="0013396E" w:rsidRDefault="00DB3017" w:rsidP="00DB3017">
                  <w:pPr>
                    <w:spacing w:after="60"/>
                    <w:rPr>
                      <w:iCs/>
                      <w:sz w:val="20"/>
                    </w:rPr>
                  </w:pPr>
                  <w:r w:rsidRPr="0013396E">
                    <w:rPr>
                      <w:sz w:val="20"/>
                    </w:rPr>
                    <w:t xml:space="preserve">An MRA Contracted Month </w:t>
                  </w:r>
                  <w:r w:rsidRPr="0013396E">
                    <w:rPr>
                      <w:iCs/>
                      <w:sz w:val="20"/>
                    </w:rPr>
                    <w:t>under the MRA Agreement</w:t>
                  </w:r>
                  <w:r w:rsidRPr="0013396E">
                    <w:rPr>
                      <w:sz w:val="20"/>
                    </w:rPr>
                    <w:t>.</w:t>
                  </w:r>
                </w:p>
              </w:tc>
            </w:tr>
            <w:tr w:rsidR="00DB3017" w:rsidRPr="0013396E" w14:paraId="0C38CA4E" w14:textId="77777777" w:rsidTr="00CE1011">
              <w:trPr>
                <w:cantSplit/>
              </w:trPr>
              <w:tc>
                <w:tcPr>
                  <w:tcW w:w="1885" w:type="dxa"/>
                  <w:tcBorders>
                    <w:top w:val="single" w:sz="4" w:space="0" w:color="auto"/>
                    <w:left w:val="single" w:sz="4" w:space="0" w:color="auto"/>
                    <w:bottom w:val="single" w:sz="4" w:space="0" w:color="auto"/>
                    <w:right w:val="single" w:sz="4" w:space="0" w:color="auto"/>
                  </w:tcBorders>
                </w:tcPr>
                <w:p w14:paraId="55E27035" w14:textId="77777777" w:rsidR="00DB3017" w:rsidRPr="0013396E" w:rsidRDefault="00DB3017" w:rsidP="00DB3017">
                  <w:pPr>
                    <w:rPr>
                      <w:i/>
                      <w:iCs/>
                      <w:sz w:val="20"/>
                    </w:rPr>
                  </w:pPr>
                  <w:r w:rsidRPr="0013396E">
                    <w:rPr>
                      <w:i/>
                      <w:iCs/>
                      <w:sz w:val="20"/>
                    </w:rPr>
                    <w:t>h</w:t>
                  </w:r>
                </w:p>
              </w:tc>
              <w:tc>
                <w:tcPr>
                  <w:tcW w:w="1080" w:type="dxa"/>
                  <w:tcBorders>
                    <w:top w:val="single" w:sz="4" w:space="0" w:color="auto"/>
                    <w:left w:val="single" w:sz="4" w:space="0" w:color="auto"/>
                    <w:bottom w:val="single" w:sz="4" w:space="0" w:color="auto"/>
                    <w:right w:val="single" w:sz="4" w:space="0" w:color="auto"/>
                  </w:tcBorders>
                </w:tcPr>
                <w:p w14:paraId="6AF775FF" w14:textId="77777777" w:rsidR="00DB3017" w:rsidRPr="0013396E" w:rsidRDefault="00DB3017" w:rsidP="00DB3017">
                  <w:pPr>
                    <w:rPr>
                      <w:iCs/>
                      <w:sz w:val="20"/>
                    </w:rPr>
                  </w:pPr>
                  <w:r w:rsidRPr="0013396E">
                    <w:rPr>
                      <w:iCs/>
                      <w:sz w:val="20"/>
                    </w:rPr>
                    <w:t>none</w:t>
                  </w:r>
                </w:p>
              </w:tc>
              <w:tc>
                <w:tcPr>
                  <w:tcW w:w="6390" w:type="dxa"/>
                  <w:tcBorders>
                    <w:top w:val="single" w:sz="4" w:space="0" w:color="auto"/>
                    <w:left w:val="single" w:sz="4" w:space="0" w:color="auto"/>
                    <w:bottom w:val="single" w:sz="4" w:space="0" w:color="auto"/>
                    <w:right w:val="single" w:sz="4" w:space="0" w:color="auto"/>
                  </w:tcBorders>
                </w:tcPr>
                <w:p w14:paraId="3276A230" w14:textId="77777777" w:rsidR="00DB3017" w:rsidRPr="0013396E" w:rsidRDefault="00DB3017" w:rsidP="00DB3017">
                  <w:pPr>
                    <w:rPr>
                      <w:sz w:val="20"/>
                    </w:rPr>
                  </w:pPr>
                  <w:r w:rsidRPr="0013396E">
                    <w:rPr>
                      <w:sz w:val="20"/>
                    </w:rPr>
                    <w:t>An MRA Contracted Hour under the MRA Agreement for the MRA Contracted Month.</w:t>
                  </w:r>
                </w:p>
              </w:tc>
            </w:tr>
          </w:tbl>
          <w:p w14:paraId="79B5D505" w14:textId="13DD4DFF" w:rsidR="00DB3017" w:rsidRPr="0013396E" w:rsidRDefault="00DB3017" w:rsidP="00DB3017">
            <w:pPr>
              <w:spacing w:before="240" w:after="240"/>
              <w:ind w:left="720" w:hanging="720"/>
              <w:rPr>
                <w:iCs/>
              </w:rPr>
            </w:pPr>
            <w:r w:rsidRPr="0013396E">
              <w:rPr>
                <w:iCs/>
              </w:rPr>
              <w:t>(</w:t>
            </w:r>
            <w:r w:rsidR="00AA432B" w:rsidRPr="0013396E">
              <w:rPr>
                <w:iCs/>
              </w:rPr>
              <w:t>4</w:t>
            </w:r>
            <w:r w:rsidRPr="0013396E">
              <w:rPr>
                <w:iCs/>
              </w:rPr>
              <w:t>)</w:t>
            </w:r>
            <w:r w:rsidRPr="0013396E">
              <w:rPr>
                <w:iCs/>
              </w:rPr>
              <w:tab/>
              <w:t>The total of the deployment event payments for all MRAs represented by the QSE for a given MRA Contracted Hour is calculated as follows:</w:t>
            </w:r>
          </w:p>
          <w:p w14:paraId="4FBA13FB" w14:textId="77777777" w:rsidR="00DB3017" w:rsidRPr="0013396E" w:rsidRDefault="00DB3017" w:rsidP="00DB3017">
            <w:pPr>
              <w:tabs>
                <w:tab w:val="left" w:pos="2340"/>
                <w:tab w:val="left" w:pos="3420"/>
              </w:tabs>
              <w:spacing w:after="240"/>
              <w:ind w:left="3870" w:hanging="3150"/>
              <w:rPr>
                <w:bCs/>
                <w:lang w:val="pt-BR"/>
              </w:rPr>
            </w:pPr>
            <w:r w:rsidRPr="0013396E">
              <w:rPr>
                <w:bCs/>
                <w:lang w:val="pt-BR"/>
              </w:rPr>
              <w:t xml:space="preserve">MRADEAMTQSETOT </w:t>
            </w:r>
            <w:r w:rsidRPr="0013396E">
              <w:rPr>
                <w:bCs/>
                <w:i/>
                <w:vertAlign w:val="subscript"/>
                <w:lang w:val="pt-BR"/>
              </w:rPr>
              <w:t>q</w:t>
            </w:r>
            <w:r w:rsidRPr="0013396E">
              <w:rPr>
                <w:bCs/>
                <w:lang w:val="pt-BR"/>
              </w:rPr>
              <w:t xml:space="preserve">  =  </w:t>
            </w:r>
            <w:r w:rsidRPr="0013396E">
              <w:rPr>
                <w:bCs/>
                <w:position w:val="-18"/>
                <w:lang w:val="pt-BR"/>
              </w:rPr>
              <w:object w:dxaOrig="225" w:dyaOrig="420" w14:anchorId="37111A37">
                <v:shape id="_x0000_i1183" type="#_x0000_t75" style="width:12pt;height:24pt" o:ole="">
                  <v:imagedata r:id="rId199" o:title=""/>
                </v:shape>
                <o:OLEObject Type="Embed" ProgID="Equation.3" ShapeID="_x0000_i1183" DrawAspect="Content" ObjectID="_1836311461" r:id="rId234"/>
              </w:object>
            </w:r>
            <w:r w:rsidRPr="0013396E">
              <w:rPr>
                <w:bCs/>
                <w:color w:val="000000"/>
                <w:lang w:val="pt-BR"/>
              </w:rPr>
              <w:t xml:space="preserve"> MRADEAMT </w:t>
            </w:r>
            <w:r w:rsidRPr="0013396E">
              <w:rPr>
                <w:bCs/>
                <w:i/>
                <w:vertAlign w:val="subscript"/>
                <w:lang w:val="pt-BR"/>
              </w:rPr>
              <w:t>q, r, h</w:t>
            </w:r>
            <w:r w:rsidRPr="0013396E">
              <w:rPr>
                <w:bCs/>
                <w:lang w:val="pt-BR"/>
              </w:rPr>
              <w:t xml:space="preserve"> </w:t>
            </w:r>
            <w:r w:rsidRPr="0013396E">
              <w:rPr>
                <w:bCs/>
                <w:i/>
                <w:vertAlign w:val="subscript"/>
                <w:lang w:val="pt-BR"/>
              </w:rPr>
              <w:t xml:space="preserve">  </w:t>
            </w:r>
          </w:p>
          <w:p w14:paraId="309D6511" w14:textId="77777777" w:rsidR="00DB3017" w:rsidRPr="0013396E" w:rsidRDefault="00DB3017" w:rsidP="00DB3017">
            <w:r w:rsidRPr="0013396E">
              <w:lastRenderedPageBreak/>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619"/>
              <w:gridCol w:w="6399"/>
            </w:tblGrid>
            <w:tr w:rsidR="00A628E7" w:rsidRPr="0013396E" w14:paraId="6471906E" w14:textId="77777777" w:rsidTr="00CE1011">
              <w:trPr>
                <w:cantSplit/>
                <w:tblHeader/>
              </w:trPr>
              <w:tc>
                <w:tcPr>
                  <w:tcW w:w="1249" w:type="pct"/>
                </w:tcPr>
                <w:p w14:paraId="213B11B2" w14:textId="77777777" w:rsidR="00A628E7" w:rsidRPr="0013396E" w:rsidRDefault="00A628E7" w:rsidP="00A628E7">
                  <w:pPr>
                    <w:spacing w:after="240"/>
                    <w:rPr>
                      <w:b/>
                      <w:iCs/>
                      <w:sz w:val="20"/>
                    </w:rPr>
                  </w:pPr>
                  <w:r w:rsidRPr="0013396E">
                    <w:rPr>
                      <w:b/>
                      <w:iCs/>
                      <w:sz w:val="20"/>
                    </w:rPr>
                    <w:t>Variable</w:t>
                  </w:r>
                </w:p>
              </w:tc>
              <w:tc>
                <w:tcPr>
                  <w:tcW w:w="331" w:type="pct"/>
                </w:tcPr>
                <w:p w14:paraId="7222AF4E" w14:textId="77777777" w:rsidR="00A628E7" w:rsidRPr="0013396E" w:rsidRDefault="00A628E7" w:rsidP="00A628E7">
                  <w:pPr>
                    <w:spacing w:after="240"/>
                    <w:rPr>
                      <w:b/>
                      <w:iCs/>
                      <w:sz w:val="20"/>
                    </w:rPr>
                  </w:pPr>
                  <w:r w:rsidRPr="0013396E">
                    <w:rPr>
                      <w:b/>
                      <w:iCs/>
                      <w:sz w:val="20"/>
                    </w:rPr>
                    <w:t>Unit</w:t>
                  </w:r>
                </w:p>
              </w:tc>
              <w:tc>
                <w:tcPr>
                  <w:tcW w:w="3420" w:type="pct"/>
                </w:tcPr>
                <w:p w14:paraId="37AC34C7" w14:textId="77777777" w:rsidR="00A628E7" w:rsidRPr="0013396E" w:rsidRDefault="00A628E7" w:rsidP="00A628E7">
                  <w:pPr>
                    <w:spacing w:after="240"/>
                    <w:rPr>
                      <w:b/>
                      <w:iCs/>
                      <w:sz w:val="20"/>
                    </w:rPr>
                  </w:pPr>
                  <w:r w:rsidRPr="0013396E">
                    <w:rPr>
                      <w:b/>
                      <w:iCs/>
                      <w:sz w:val="20"/>
                    </w:rPr>
                    <w:t>Definition</w:t>
                  </w:r>
                </w:p>
              </w:tc>
            </w:tr>
            <w:tr w:rsidR="00A628E7" w:rsidRPr="0013396E" w14:paraId="31CEE5E1" w14:textId="77777777" w:rsidTr="00CE1011">
              <w:trPr>
                <w:cantSplit/>
              </w:trPr>
              <w:tc>
                <w:tcPr>
                  <w:tcW w:w="1249" w:type="pct"/>
                </w:tcPr>
                <w:p w14:paraId="73BEB981" w14:textId="77777777" w:rsidR="00A628E7" w:rsidRPr="0013396E" w:rsidRDefault="00A628E7" w:rsidP="00A628E7">
                  <w:pPr>
                    <w:spacing w:after="60"/>
                    <w:rPr>
                      <w:iCs/>
                      <w:sz w:val="20"/>
                    </w:rPr>
                  </w:pPr>
                  <w:r w:rsidRPr="0013396E">
                    <w:rPr>
                      <w:iCs/>
                      <w:sz w:val="20"/>
                    </w:rPr>
                    <w:t xml:space="preserve">MRADEAMTQSETOT </w:t>
                  </w:r>
                  <w:r w:rsidRPr="0013396E">
                    <w:rPr>
                      <w:i/>
                      <w:iCs/>
                      <w:sz w:val="20"/>
                      <w:vertAlign w:val="subscript"/>
                    </w:rPr>
                    <w:t>q</w:t>
                  </w:r>
                  <w:r w:rsidRPr="0013396E">
                    <w:rPr>
                      <w:iCs/>
                      <w:sz w:val="20"/>
                    </w:rPr>
                    <w:t xml:space="preserve">  </w:t>
                  </w:r>
                </w:p>
              </w:tc>
              <w:tc>
                <w:tcPr>
                  <w:tcW w:w="331" w:type="pct"/>
                </w:tcPr>
                <w:p w14:paraId="76DF7921" w14:textId="77777777" w:rsidR="00A628E7" w:rsidRPr="0013396E" w:rsidRDefault="00A628E7" w:rsidP="00A628E7">
                  <w:pPr>
                    <w:spacing w:after="60"/>
                    <w:rPr>
                      <w:iCs/>
                      <w:sz w:val="20"/>
                    </w:rPr>
                  </w:pPr>
                  <w:r w:rsidRPr="0013396E">
                    <w:rPr>
                      <w:iCs/>
                      <w:sz w:val="20"/>
                    </w:rPr>
                    <w:t>$</w:t>
                  </w:r>
                </w:p>
              </w:tc>
              <w:tc>
                <w:tcPr>
                  <w:tcW w:w="3420" w:type="pct"/>
                </w:tcPr>
                <w:p w14:paraId="7636DD26" w14:textId="77777777" w:rsidR="00A628E7" w:rsidRPr="0013396E" w:rsidRDefault="00A628E7" w:rsidP="00A628E7">
                  <w:pPr>
                    <w:spacing w:after="60"/>
                    <w:rPr>
                      <w:iCs/>
                      <w:sz w:val="20"/>
                    </w:rPr>
                  </w:pPr>
                  <w:r w:rsidRPr="0013396E">
                    <w:rPr>
                      <w:i/>
                      <w:iCs/>
                      <w:sz w:val="20"/>
                    </w:rPr>
                    <w:t xml:space="preserve">Must-Run Alternative </w:t>
                  </w:r>
                  <w:r w:rsidRPr="0013396E">
                    <w:rPr>
                      <w:i/>
                      <w:sz w:val="20"/>
                    </w:rPr>
                    <w:t xml:space="preserve">Deployment </w:t>
                  </w:r>
                  <w:r w:rsidRPr="0013396E">
                    <w:rPr>
                      <w:i/>
                      <w:iCs/>
                      <w:sz w:val="20"/>
                    </w:rPr>
                    <w:t>Event Amount per QSE by hour</w:t>
                  </w:r>
                  <w:r w:rsidRPr="0013396E">
                    <w:rPr>
                      <w:iCs/>
                      <w:sz w:val="20"/>
                    </w:rPr>
                    <w:t xml:space="preserve">—The total of the </w:t>
                  </w:r>
                  <w:r w:rsidRPr="0013396E">
                    <w:rPr>
                      <w:sz w:val="20"/>
                    </w:rPr>
                    <w:t xml:space="preserve">deployment event payments </w:t>
                  </w:r>
                  <w:r w:rsidRPr="0013396E">
                    <w:rPr>
                      <w:iCs/>
                      <w:sz w:val="20"/>
                    </w:rPr>
                    <w:t xml:space="preserve">for all MRAs </w:t>
                  </w:r>
                  <w:r w:rsidRPr="0013396E">
                    <w:rPr>
                      <w:i/>
                      <w:iCs/>
                      <w:sz w:val="20"/>
                    </w:rPr>
                    <w:t>r</w:t>
                  </w:r>
                  <w:r w:rsidRPr="0013396E">
                    <w:rPr>
                      <w:iCs/>
                      <w:sz w:val="20"/>
                    </w:rPr>
                    <w:t xml:space="preserve">, represented by the QSE q for the hour. </w:t>
                  </w:r>
                </w:p>
              </w:tc>
            </w:tr>
            <w:tr w:rsidR="00A628E7" w:rsidRPr="0013396E" w14:paraId="58AC1B7A" w14:textId="77777777" w:rsidTr="00CE1011">
              <w:trPr>
                <w:cantSplit/>
              </w:trPr>
              <w:tc>
                <w:tcPr>
                  <w:tcW w:w="1249" w:type="pct"/>
                </w:tcPr>
                <w:p w14:paraId="6955B1F1" w14:textId="77777777" w:rsidR="00A628E7" w:rsidRPr="0013396E" w:rsidRDefault="00A628E7" w:rsidP="00A628E7">
                  <w:pPr>
                    <w:spacing w:after="60"/>
                    <w:rPr>
                      <w:iCs/>
                      <w:sz w:val="20"/>
                    </w:rPr>
                  </w:pPr>
                  <w:r w:rsidRPr="0013396E">
                    <w:rPr>
                      <w:iCs/>
                      <w:sz w:val="20"/>
                    </w:rPr>
                    <w:t>MRADEAMT</w:t>
                  </w:r>
                  <w:r w:rsidRPr="0013396E">
                    <w:rPr>
                      <w:sz w:val="20"/>
                    </w:rPr>
                    <w:t xml:space="preserve"> </w:t>
                  </w:r>
                  <w:r w:rsidRPr="0013396E">
                    <w:rPr>
                      <w:i/>
                      <w:sz w:val="20"/>
                      <w:vertAlign w:val="subscript"/>
                    </w:rPr>
                    <w:t>q, r, h</w:t>
                  </w:r>
                </w:p>
              </w:tc>
              <w:tc>
                <w:tcPr>
                  <w:tcW w:w="331" w:type="pct"/>
                </w:tcPr>
                <w:p w14:paraId="17985627" w14:textId="77777777" w:rsidR="00A628E7" w:rsidRPr="0013396E" w:rsidRDefault="00A628E7" w:rsidP="00A628E7">
                  <w:pPr>
                    <w:spacing w:after="60"/>
                    <w:rPr>
                      <w:iCs/>
                      <w:sz w:val="20"/>
                    </w:rPr>
                  </w:pPr>
                  <w:r w:rsidRPr="0013396E">
                    <w:rPr>
                      <w:iCs/>
                      <w:sz w:val="20"/>
                    </w:rPr>
                    <w:t>$</w:t>
                  </w:r>
                </w:p>
              </w:tc>
              <w:tc>
                <w:tcPr>
                  <w:tcW w:w="3420" w:type="pct"/>
                </w:tcPr>
                <w:p w14:paraId="4A2DC359" w14:textId="77777777" w:rsidR="00A628E7" w:rsidRPr="0013396E" w:rsidRDefault="00A628E7" w:rsidP="00A628E7">
                  <w:pPr>
                    <w:spacing w:after="60"/>
                    <w:rPr>
                      <w:iCs/>
                      <w:sz w:val="20"/>
                    </w:rPr>
                  </w:pPr>
                  <w:r w:rsidRPr="0013396E">
                    <w:rPr>
                      <w:i/>
                      <w:sz w:val="20"/>
                    </w:rPr>
                    <w:t>Must-Run Alternative Deployment Event Amount per QSE per Resource by hour</w:t>
                  </w:r>
                  <w:r w:rsidRPr="0013396E">
                    <w:rPr>
                      <w:sz w:val="20"/>
                    </w:rPr>
                    <w:t xml:space="preserve">—The deployment event payment to QSE </w:t>
                  </w:r>
                  <w:r w:rsidRPr="0013396E">
                    <w:rPr>
                      <w:i/>
                      <w:sz w:val="20"/>
                    </w:rPr>
                    <w:t>q</w:t>
                  </w:r>
                  <w:r w:rsidRPr="0013396E">
                    <w:rPr>
                      <w:sz w:val="20"/>
                    </w:rPr>
                    <w:t xml:space="preserve"> for MRA </w:t>
                  </w:r>
                  <w:r w:rsidRPr="0013396E">
                    <w:rPr>
                      <w:i/>
                      <w:sz w:val="20"/>
                    </w:rPr>
                    <w:t>r</w:t>
                  </w:r>
                  <w:r w:rsidRPr="0013396E">
                    <w:rPr>
                      <w:sz w:val="20"/>
                    </w:rPr>
                    <w:t xml:space="preserve">, for the hour.  Where for a Combined Cycle Train, the Resource </w:t>
                  </w:r>
                  <w:r w:rsidRPr="0013396E">
                    <w:rPr>
                      <w:i/>
                      <w:sz w:val="20"/>
                    </w:rPr>
                    <w:t xml:space="preserve">r </w:t>
                  </w:r>
                  <w:r w:rsidRPr="0013396E">
                    <w:rPr>
                      <w:sz w:val="20"/>
                    </w:rPr>
                    <w:t>is the Combined Cycle Train.</w:t>
                  </w:r>
                </w:p>
              </w:tc>
            </w:tr>
            <w:tr w:rsidR="00A628E7" w:rsidRPr="0013396E" w14:paraId="5B6CDA9E" w14:textId="77777777" w:rsidTr="00CE1011">
              <w:trPr>
                <w:cantSplit/>
              </w:trPr>
              <w:tc>
                <w:tcPr>
                  <w:tcW w:w="1249" w:type="pct"/>
                  <w:tcBorders>
                    <w:top w:val="single" w:sz="4" w:space="0" w:color="auto"/>
                    <w:left w:val="single" w:sz="4" w:space="0" w:color="auto"/>
                    <w:bottom w:val="single" w:sz="4" w:space="0" w:color="auto"/>
                    <w:right w:val="single" w:sz="4" w:space="0" w:color="auto"/>
                  </w:tcBorders>
                </w:tcPr>
                <w:p w14:paraId="5DA6F19B" w14:textId="77777777" w:rsidR="00A628E7" w:rsidRPr="0013396E" w:rsidRDefault="00A628E7" w:rsidP="00A628E7">
                  <w:pPr>
                    <w:spacing w:after="60"/>
                    <w:rPr>
                      <w:i/>
                      <w:iCs/>
                      <w:sz w:val="20"/>
                    </w:rPr>
                  </w:pPr>
                  <w:r w:rsidRPr="0013396E">
                    <w:rPr>
                      <w:i/>
                      <w:iCs/>
                      <w:sz w:val="20"/>
                    </w:rPr>
                    <w:t>q</w:t>
                  </w:r>
                </w:p>
              </w:tc>
              <w:tc>
                <w:tcPr>
                  <w:tcW w:w="331" w:type="pct"/>
                  <w:tcBorders>
                    <w:top w:val="single" w:sz="4" w:space="0" w:color="auto"/>
                    <w:left w:val="single" w:sz="4" w:space="0" w:color="auto"/>
                    <w:bottom w:val="single" w:sz="4" w:space="0" w:color="auto"/>
                    <w:right w:val="single" w:sz="4" w:space="0" w:color="auto"/>
                  </w:tcBorders>
                </w:tcPr>
                <w:p w14:paraId="688FC2CA" w14:textId="77777777" w:rsidR="00A628E7" w:rsidRPr="0013396E" w:rsidRDefault="00A628E7" w:rsidP="00A628E7">
                  <w:pPr>
                    <w:spacing w:after="60"/>
                    <w:rPr>
                      <w:iCs/>
                      <w:sz w:val="20"/>
                    </w:rPr>
                  </w:pPr>
                  <w:r w:rsidRPr="0013396E">
                    <w:rPr>
                      <w:iCs/>
                      <w:sz w:val="20"/>
                    </w:rPr>
                    <w:t>none</w:t>
                  </w:r>
                </w:p>
              </w:tc>
              <w:tc>
                <w:tcPr>
                  <w:tcW w:w="3420" w:type="pct"/>
                  <w:tcBorders>
                    <w:top w:val="single" w:sz="4" w:space="0" w:color="auto"/>
                    <w:left w:val="single" w:sz="4" w:space="0" w:color="auto"/>
                    <w:bottom w:val="single" w:sz="4" w:space="0" w:color="auto"/>
                    <w:right w:val="single" w:sz="4" w:space="0" w:color="auto"/>
                  </w:tcBorders>
                </w:tcPr>
                <w:p w14:paraId="6E30A668" w14:textId="77777777" w:rsidR="00A628E7" w:rsidRPr="0013396E" w:rsidRDefault="00A628E7" w:rsidP="00A628E7">
                  <w:pPr>
                    <w:spacing w:after="60"/>
                    <w:rPr>
                      <w:iCs/>
                      <w:sz w:val="20"/>
                    </w:rPr>
                  </w:pPr>
                  <w:r w:rsidRPr="0013396E">
                    <w:rPr>
                      <w:iCs/>
                      <w:sz w:val="20"/>
                    </w:rPr>
                    <w:t>A QSE.</w:t>
                  </w:r>
                </w:p>
              </w:tc>
            </w:tr>
            <w:tr w:rsidR="00A628E7" w:rsidRPr="0013396E" w14:paraId="7B8A0A74" w14:textId="77777777" w:rsidTr="00CE1011">
              <w:trPr>
                <w:cantSplit/>
              </w:trPr>
              <w:tc>
                <w:tcPr>
                  <w:tcW w:w="1249" w:type="pct"/>
                  <w:tcBorders>
                    <w:top w:val="single" w:sz="4" w:space="0" w:color="auto"/>
                    <w:left w:val="single" w:sz="4" w:space="0" w:color="auto"/>
                    <w:bottom w:val="single" w:sz="4" w:space="0" w:color="auto"/>
                    <w:right w:val="single" w:sz="4" w:space="0" w:color="auto"/>
                  </w:tcBorders>
                </w:tcPr>
                <w:p w14:paraId="7A0BBC88" w14:textId="77777777" w:rsidR="00A628E7" w:rsidRPr="0013396E" w:rsidRDefault="00A628E7" w:rsidP="00A628E7">
                  <w:pPr>
                    <w:spacing w:after="60"/>
                    <w:rPr>
                      <w:i/>
                      <w:iCs/>
                      <w:sz w:val="20"/>
                    </w:rPr>
                  </w:pPr>
                  <w:r w:rsidRPr="0013396E">
                    <w:rPr>
                      <w:i/>
                      <w:iCs/>
                      <w:sz w:val="20"/>
                    </w:rPr>
                    <w:t>r</w:t>
                  </w:r>
                </w:p>
              </w:tc>
              <w:tc>
                <w:tcPr>
                  <w:tcW w:w="331" w:type="pct"/>
                  <w:tcBorders>
                    <w:top w:val="single" w:sz="4" w:space="0" w:color="auto"/>
                    <w:left w:val="single" w:sz="4" w:space="0" w:color="auto"/>
                    <w:bottom w:val="single" w:sz="4" w:space="0" w:color="auto"/>
                    <w:right w:val="single" w:sz="4" w:space="0" w:color="auto"/>
                  </w:tcBorders>
                </w:tcPr>
                <w:p w14:paraId="2F4CA525" w14:textId="77777777" w:rsidR="00A628E7" w:rsidRPr="0013396E" w:rsidRDefault="00A628E7" w:rsidP="00A628E7">
                  <w:pPr>
                    <w:spacing w:after="60"/>
                    <w:rPr>
                      <w:iCs/>
                      <w:sz w:val="20"/>
                    </w:rPr>
                  </w:pPr>
                  <w:r w:rsidRPr="0013396E">
                    <w:rPr>
                      <w:iCs/>
                      <w:sz w:val="20"/>
                    </w:rPr>
                    <w:t>none</w:t>
                  </w:r>
                </w:p>
              </w:tc>
              <w:tc>
                <w:tcPr>
                  <w:tcW w:w="3420" w:type="pct"/>
                  <w:tcBorders>
                    <w:top w:val="single" w:sz="4" w:space="0" w:color="auto"/>
                    <w:left w:val="single" w:sz="4" w:space="0" w:color="auto"/>
                    <w:bottom w:val="single" w:sz="4" w:space="0" w:color="auto"/>
                    <w:right w:val="single" w:sz="4" w:space="0" w:color="auto"/>
                  </w:tcBorders>
                </w:tcPr>
                <w:p w14:paraId="2A683A1C" w14:textId="77777777" w:rsidR="00A628E7" w:rsidRPr="0013396E" w:rsidRDefault="00A628E7" w:rsidP="00A628E7">
                  <w:pPr>
                    <w:spacing w:after="60"/>
                    <w:rPr>
                      <w:iCs/>
                      <w:sz w:val="20"/>
                    </w:rPr>
                  </w:pPr>
                  <w:r w:rsidRPr="0013396E">
                    <w:rPr>
                      <w:iCs/>
                      <w:sz w:val="20"/>
                    </w:rPr>
                    <w:t>An MRA.</w:t>
                  </w:r>
                </w:p>
              </w:tc>
            </w:tr>
            <w:tr w:rsidR="00A628E7" w:rsidRPr="0013396E" w14:paraId="4457BA9A" w14:textId="77777777" w:rsidTr="00CE1011">
              <w:trPr>
                <w:cantSplit/>
              </w:trPr>
              <w:tc>
                <w:tcPr>
                  <w:tcW w:w="1249" w:type="pct"/>
                  <w:tcBorders>
                    <w:top w:val="single" w:sz="4" w:space="0" w:color="auto"/>
                    <w:left w:val="single" w:sz="4" w:space="0" w:color="auto"/>
                    <w:bottom w:val="single" w:sz="4" w:space="0" w:color="auto"/>
                    <w:right w:val="single" w:sz="4" w:space="0" w:color="auto"/>
                  </w:tcBorders>
                </w:tcPr>
                <w:p w14:paraId="79BFEC83" w14:textId="77777777" w:rsidR="00A628E7" w:rsidRPr="0013396E" w:rsidRDefault="00A628E7" w:rsidP="00A628E7">
                  <w:pPr>
                    <w:spacing w:after="60"/>
                    <w:rPr>
                      <w:i/>
                      <w:iCs/>
                      <w:sz w:val="20"/>
                    </w:rPr>
                  </w:pPr>
                  <w:r w:rsidRPr="0013396E">
                    <w:rPr>
                      <w:i/>
                      <w:iCs/>
                      <w:sz w:val="20"/>
                    </w:rPr>
                    <w:t>h</w:t>
                  </w:r>
                </w:p>
              </w:tc>
              <w:tc>
                <w:tcPr>
                  <w:tcW w:w="331" w:type="pct"/>
                  <w:tcBorders>
                    <w:top w:val="single" w:sz="4" w:space="0" w:color="auto"/>
                    <w:left w:val="single" w:sz="4" w:space="0" w:color="auto"/>
                    <w:bottom w:val="single" w:sz="4" w:space="0" w:color="auto"/>
                    <w:right w:val="single" w:sz="4" w:space="0" w:color="auto"/>
                  </w:tcBorders>
                </w:tcPr>
                <w:p w14:paraId="52E15ED7" w14:textId="77777777" w:rsidR="00A628E7" w:rsidRPr="0013396E" w:rsidRDefault="00A628E7" w:rsidP="00A628E7">
                  <w:pPr>
                    <w:spacing w:after="60"/>
                    <w:rPr>
                      <w:iCs/>
                      <w:sz w:val="20"/>
                    </w:rPr>
                  </w:pPr>
                  <w:r w:rsidRPr="0013396E">
                    <w:rPr>
                      <w:iCs/>
                      <w:sz w:val="20"/>
                    </w:rPr>
                    <w:t>none</w:t>
                  </w:r>
                </w:p>
              </w:tc>
              <w:tc>
                <w:tcPr>
                  <w:tcW w:w="3420" w:type="pct"/>
                  <w:tcBorders>
                    <w:top w:val="single" w:sz="4" w:space="0" w:color="auto"/>
                    <w:left w:val="single" w:sz="4" w:space="0" w:color="auto"/>
                    <w:bottom w:val="single" w:sz="4" w:space="0" w:color="auto"/>
                    <w:right w:val="single" w:sz="4" w:space="0" w:color="auto"/>
                  </w:tcBorders>
                </w:tcPr>
                <w:p w14:paraId="2B0044AF" w14:textId="77777777" w:rsidR="00A628E7" w:rsidRPr="0013396E" w:rsidRDefault="00A628E7" w:rsidP="00A628E7">
                  <w:pPr>
                    <w:spacing w:after="60"/>
                    <w:rPr>
                      <w:iCs/>
                      <w:sz w:val="20"/>
                    </w:rPr>
                  </w:pPr>
                  <w:r w:rsidRPr="0013396E">
                    <w:rPr>
                      <w:sz w:val="20"/>
                    </w:rPr>
                    <w:t>An MRA Contracted Hour under the MRA Agreement for the MRA Contracted Month.</w:t>
                  </w:r>
                </w:p>
              </w:tc>
            </w:tr>
          </w:tbl>
          <w:p w14:paraId="749E754B" w14:textId="0338973A" w:rsidR="00A628E7" w:rsidRPr="0013396E" w:rsidRDefault="00A628E7" w:rsidP="00A628E7">
            <w:pPr>
              <w:spacing w:before="240" w:after="240"/>
              <w:ind w:left="720" w:hanging="720"/>
              <w:rPr>
                <w:iCs/>
              </w:rPr>
            </w:pPr>
            <w:r w:rsidRPr="0013396E">
              <w:rPr>
                <w:iCs/>
              </w:rPr>
              <w:t>(</w:t>
            </w:r>
            <w:r w:rsidR="00AA432B" w:rsidRPr="0013396E">
              <w:rPr>
                <w:iCs/>
              </w:rPr>
              <w:t>5</w:t>
            </w:r>
            <w:r w:rsidRPr="0013396E">
              <w:rPr>
                <w:iCs/>
              </w:rPr>
              <w:t>)</w:t>
            </w:r>
            <w:r w:rsidRPr="0013396E">
              <w:rPr>
                <w:iCs/>
              </w:rPr>
              <w:tab/>
              <w:t>The total of the deployment event payments for a given MRA Contracted Hour is calculated as follows:</w:t>
            </w:r>
          </w:p>
          <w:p w14:paraId="7E06A5CB" w14:textId="77777777" w:rsidR="00A628E7" w:rsidRPr="0013396E" w:rsidRDefault="00A628E7" w:rsidP="00A628E7">
            <w:pPr>
              <w:spacing w:after="240"/>
              <w:ind w:left="720"/>
              <w:rPr>
                <w:iCs/>
              </w:rPr>
            </w:pPr>
            <w:r w:rsidRPr="0013396E">
              <w:rPr>
                <w:iCs/>
              </w:rPr>
              <w:t xml:space="preserve">MRADEAMTTOT  =  </w:t>
            </w:r>
            <w:r w:rsidRPr="0013396E">
              <w:rPr>
                <w:iCs/>
                <w:position w:val="-22"/>
              </w:rPr>
              <w:object w:dxaOrig="210" w:dyaOrig="465" w14:anchorId="26278420">
                <v:shape id="_x0000_i1184" type="#_x0000_t75" style="width:6pt;height:24pt" o:ole="">
                  <v:imagedata r:id="rId155" o:title=""/>
                </v:shape>
                <o:OLEObject Type="Embed" ProgID="Equation.3" ShapeID="_x0000_i1184" DrawAspect="Content" ObjectID="_1836311462" r:id="rId235"/>
              </w:object>
            </w:r>
            <w:r w:rsidRPr="0013396E">
              <w:rPr>
                <w:iCs/>
              </w:rPr>
              <w:t xml:space="preserve"> MRADEAMTQSETOT </w:t>
            </w:r>
            <w:r w:rsidRPr="0013396E">
              <w:rPr>
                <w:i/>
                <w:iCs/>
                <w:vertAlign w:val="subscript"/>
              </w:rPr>
              <w:t>q</w:t>
            </w:r>
            <w:r w:rsidRPr="0013396E">
              <w:rPr>
                <w:iCs/>
              </w:rPr>
              <w:t xml:space="preserve">  </w:t>
            </w:r>
          </w:p>
          <w:p w14:paraId="60135E25" w14:textId="77777777" w:rsidR="00A628E7" w:rsidRPr="0013396E" w:rsidRDefault="00A628E7" w:rsidP="00A628E7">
            <w:r w:rsidRPr="0013396E">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2"/>
              <w:gridCol w:w="605"/>
              <w:gridCol w:w="6158"/>
            </w:tblGrid>
            <w:tr w:rsidR="004C48C1" w:rsidRPr="0013396E" w14:paraId="27C2BC31" w14:textId="77777777" w:rsidTr="00CE1011">
              <w:trPr>
                <w:cantSplit/>
                <w:tblHeader/>
              </w:trPr>
              <w:tc>
                <w:tcPr>
                  <w:tcW w:w="1389" w:type="pct"/>
                </w:tcPr>
                <w:p w14:paraId="620FA5F4" w14:textId="77777777" w:rsidR="004C48C1" w:rsidRPr="0013396E" w:rsidRDefault="004C48C1" w:rsidP="004C48C1">
                  <w:pPr>
                    <w:spacing w:after="240"/>
                    <w:rPr>
                      <w:b/>
                      <w:iCs/>
                      <w:sz w:val="20"/>
                    </w:rPr>
                  </w:pPr>
                  <w:r w:rsidRPr="0013396E">
                    <w:rPr>
                      <w:b/>
                      <w:iCs/>
                      <w:sz w:val="20"/>
                    </w:rPr>
                    <w:t>Variable</w:t>
                  </w:r>
                </w:p>
              </w:tc>
              <w:tc>
                <w:tcPr>
                  <w:tcW w:w="316" w:type="pct"/>
                </w:tcPr>
                <w:p w14:paraId="0D5E6CCB" w14:textId="77777777" w:rsidR="004C48C1" w:rsidRPr="0013396E" w:rsidRDefault="004C48C1" w:rsidP="004C48C1">
                  <w:pPr>
                    <w:spacing w:after="240"/>
                    <w:rPr>
                      <w:b/>
                      <w:iCs/>
                      <w:sz w:val="20"/>
                    </w:rPr>
                  </w:pPr>
                  <w:r w:rsidRPr="0013396E">
                    <w:rPr>
                      <w:b/>
                      <w:iCs/>
                      <w:sz w:val="20"/>
                    </w:rPr>
                    <w:t>Unit</w:t>
                  </w:r>
                </w:p>
              </w:tc>
              <w:tc>
                <w:tcPr>
                  <w:tcW w:w="3295" w:type="pct"/>
                </w:tcPr>
                <w:p w14:paraId="7A80517A" w14:textId="77777777" w:rsidR="004C48C1" w:rsidRPr="0013396E" w:rsidRDefault="004C48C1" w:rsidP="004C48C1">
                  <w:pPr>
                    <w:spacing w:after="240"/>
                    <w:rPr>
                      <w:b/>
                      <w:iCs/>
                      <w:sz w:val="20"/>
                    </w:rPr>
                  </w:pPr>
                  <w:r w:rsidRPr="0013396E">
                    <w:rPr>
                      <w:b/>
                      <w:iCs/>
                      <w:sz w:val="20"/>
                    </w:rPr>
                    <w:t>Definition</w:t>
                  </w:r>
                </w:p>
              </w:tc>
            </w:tr>
            <w:tr w:rsidR="004C48C1" w:rsidRPr="0013396E" w14:paraId="3F040AAE" w14:textId="77777777" w:rsidTr="00CE1011">
              <w:trPr>
                <w:cantSplit/>
              </w:trPr>
              <w:tc>
                <w:tcPr>
                  <w:tcW w:w="1389" w:type="pct"/>
                </w:tcPr>
                <w:p w14:paraId="74BA7BD7" w14:textId="77777777" w:rsidR="004C48C1" w:rsidRPr="0013396E" w:rsidRDefault="004C48C1" w:rsidP="004C48C1">
                  <w:pPr>
                    <w:spacing w:after="60"/>
                    <w:rPr>
                      <w:iCs/>
                      <w:sz w:val="20"/>
                    </w:rPr>
                  </w:pPr>
                  <w:r w:rsidRPr="0013396E">
                    <w:rPr>
                      <w:iCs/>
                      <w:sz w:val="20"/>
                    </w:rPr>
                    <w:t>MRADEAMTTOT</w:t>
                  </w:r>
                </w:p>
              </w:tc>
              <w:tc>
                <w:tcPr>
                  <w:tcW w:w="316" w:type="pct"/>
                </w:tcPr>
                <w:p w14:paraId="312DD15B" w14:textId="77777777" w:rsidR="004C48C1" w:rsidRPr="0013396E" w:rsidRDefault="004C48C1" w:rsidP="004C48C1">
                  <w:pPr>
                    <w:spacing w:after="60"/>
                    <w:rPr>
                      <w:iCs/>
                      <w:sz w:val="20"/>
                    </w:rPr>
                  </w:pPr>
                  <w:r w:rsidRPr="0013396E">
                    <w:rPr>
                      <w:iCs/>
                      <w:sz w:val="20"/>
                    </w:rPr>
                    <w:t>$</w:t>
                  </w:r>
                </w:p>
              </w:tc>
              <w:tc>
                <w:tcPr>
                  <w:tcW w:w="3295" w:type="pct"/>
                </w:tcPr>
                <w:p w14:paraId="45C5596A" w14:textId="77777777" w:rsidR="004C48C1" w:rsidRPr="0013396E" w:rsidRDefault="004C48C1" w:rsidP="004C48C1">
                  <w:pPr>
                    <w:spacing w:after="60"/>
                    <w:rPr>
                      <w:iCs/>
                      <w:sz w:val="20"/>
                    </w:rPr>
                  </w:pPr>
                  <w:r w:rsidRPr="0013396E">
                    <w:rPr>
                      <w:i/>
                      <w:iCs/>
                      <w:sz w:val="20"/>
                    </w:rPr>
                    <w:t xml:space="preserve">Must-Run Alternative </w:t>
                  </w:r>
                  <w:r w:rsidRPr="0013396E">
                    <w:rPr>
                      <w:i/>
                      <w:sz w:val="20"/>
                    </w:rPr>
                    <w:t xml:space="preserve">Deployment </w:t>
                  </w:r>
                  <w:r w:rsidRPr="0013396E">
                    <w:rPr>
                      <w:i/>
                      <w:iCs/>
                      <w:sz w:val="20"/>
                    </w:rPr>
                    <w:t>Event Amount Total by hour</w:t>
                  </w:r>
                  <w:r w:rsidRPr="0013396E">
                    <w:rPr>
                      <w:iCs/>
                      <w:sz w:val="20"/>
                    </w:rPr>
                    <w:t xml:space="preserve">—The total </w:t>
                  </w:r>
                  <w:r w:rsidRPr="0013396E">
                    <w:rPr>
                      <w:sz w:val="20"/>
                    </w:rPr>
                    <w:t xml:space="preserve">deployment event payment </w:t>
                  </w:r>
                  <w:r w:rsidRPr="0013396E">
                    <w:rPr>
                      <w:iCs/>
                      <w:sz w:val="20"/>
                    </w:rPr>
                    <w:t xml:space="preserve">to all QSEs for all MRAs, for the hour.  </w:t>
                  </w:r>
                </w:p>
              </w:tc>
            </w:tr>
            <w:tr w:rsidR="004C48C1" w:rsidRPr="0013396E" w14:paraId="17566785" w14:textId="77777777" w:rsidTr="00CE1011">
              <w:trPr>
                <w:cantSplit/>
              </w:trPr>
              <w:tc>
                <w:tcPr>
                  <w:tcW w:w="1389" w:type="pct"/>
                </w:tcPr>
                <w:p w14:paraId="191A8084" w14:textId="77777777" w:rsidR="004C48C1" w:rsidRPr="0013396E" w:rsidRDefault="004C48C1" w:rsidP="004C48C1">
                  <w:pPr>
                    <w:spacing w:after="60"/>
                    <w:rPr>
                      <w:iCs/>
                      <w:sz w:val="20"/>
                    </w:rPr>
                  </w:pPr>
                  <w:r w:rsidRPr="0013396E">
                    <w:rPr>
                      <w:iCs/>
                      <w:sz w:val="20"/>
                    </w:rPr>
                    <w:t xml:space="preserve">MRADEAMTQSETOT </w:t>
                  </w:r>
                  <w:r w:rsidRPr="0013396E">
                    <w:rPr>
                      <w:i/>
                      <w:iCs/>
                      <w:sz w:val="20"/>
                      <w:vertAlign w:val="subscript"/>
                    </w:rPr>
                    <w:t>q</w:t>
                  </w:r>
                  <w:r w:rsidRPr="0013396E">
                    <w:rPr>
                      <w:iCs/>
                      <w:sz w:val="20"/>
                    </w:rPr>
                    <w:t xml:space="preserve">  </w:t>
                  </w:r>
                </w:p>
              </w:tc>
              <w:tc>
                <w:tcPr>
                  <w:tcW w:w="316" w:type="pct"/>
                </w:tcPr>
                <w:p w14:paraId="28C1107C" w14:textId="77777777" w:rsidR="004C48C1" w:rsidRPr="0013396E" w:rsidRDefault="004C48C1" w:rsidP="004C48C1">
                  <w:pPr>
                    <w:spacing w:after="60"/>
                    <w:rPr>
                      <w:iCs/>
                      <w:sz w:val="20"/>
                    </w:rPr>
                  </w:pPr>
                  <w:r w:rsidRPr="0013396E">
                    <w:rPr>
                      <w:iCs/>
                      <w:sz w:val="20"/>
                    </w:rPr>
                    <w:t>$</w:t>
                  </w:r>
                </w:p>
              </w:tc>
              <w:tc>
                <w:tcPr>
                  <w:tcW w:w="3295" w:type="pct"/>
                </w:tcPr>
                <w:p w14:paraId="11A2384C" w14:textId="77777777" w:rsidR="004C48C1" w:rsidRPr="0013396E" w:rsidRDefault="004C48C1" w:rsidP="004C48C1">
                  <w:pPr>
                    <w:spacing w:after="60"/>
                    <w:rPr>
                      <w:iCs/>
                      <w:sz w:val="20"/>
                    </w:rPr>
                  </w:pPr>
                  <w:r w:rsidRPr="0013396E">
                    <w:rPr>
                      <w:i/>
                      <w:iCs/>
                      <w:sz w:val="20"/>
                    </w:rPr>
                    <w:t xml:space="preserve">Must-Run Alternative </w:t>
                  </w:r>
                  <w:r w:rsidRPr="0013396E">
                    <w:rPr>
                      <w:i/>
                      <w:sz w:val="20"/>
                    </w:rPr>
                    <w:t xml:space="preserve">Deployment </w:t>
                  </w:r>
                  <w:r w:rsidRPr="0013396E">
                    <w:rPr>
                      <w:i/>
                      <w:iCs/>
                      <w:sz w:val="20"/>
                    </w:rPr>
                    <w:t>Event Amount per QSE by hour</w:t>
                  </w:r>
                  <w:r w:rsidRPr="0013396E">
                    <w:rPr>
                      <w:iCs/>
                      <w:sz w:val="20"/>
                    </w:rPr>
                    <w:t xml:space="preserve">—The total of the </w:t>
                  </w:r>
                  <w:r w:rsidRPr="0013396E">
                    <w:rPr>
                      <w:sz w:val="20"/>
                    </w:rPr>
                    <w:t xml:space="preserve">deployment event payments </w:t>
                  </w:r>
                  <w:r w:rsidRPr="0013396E">
                    <w:rPr>
                      <w:iCs/>
                      <w:sz w:val="20"/>
                    </w:rPr>
                    <w:t xml:space="preserve">for all MRAs represented by the QSE </w:t>
                  </w:r>
                  <w:r w:rsidRPr="0013396E">
                    <w:rPr>
                      <w:i/>
                      <w:iCs/>
                      <w:sz w:val="20"/>
                    </w:rPr>
                    <w:t>q</w:t>
                  </w:r>
                  <w:r w:rsidRPr="0013396E">
                    <w:rPr>
                      <w:iCs/>
                      <w:sz w:val="20"/>
                    </w:rPr>
                    <w:t xml:space="preserve"> for the MRA Contracted Hour. </w:t>
                  </w:r>
                </w:p>
              </w:tc>
            </w:tr>
            <w:tr w:rsidR="004C48C1" w:rsidRPr="0013396E" w14:paraId="54E1E164" w14:textId="77777777" w:rsidTr="00CE1011">
              <w:trPr>
                <w:cantSplit/>
              </w:trPr>
              <w:tc>
                <w:tcPr>
                  <w:tcW w:w="1389" w:type="pct"/>
                  <w:tcBorders>
                    <w:top w:val="single" w:sz="4" w:space="0" w:color="auto"/>
                    <w:left w:val="single" w:sz="4" w:space="0" w:color="auto"/>
                    <w:bottom w:val="single" w:sz="4" w:space="0" w:color="auto"/>
                    <w:right w:val="single" w:sz="4" w:space="0" w:color="auto"/>
                  </w:tcBorders>
                </w:tcPr>
                <w:p w14:paraId="68CE1DB9" w14:textId="77777777" w:rsidR="004C48C1" w:rsidRPr="0013396E" w:rsidRDefault="004C48C1" w:rsidP="004C48C1">
                  <w:pPr>
                    <w:spacing w:after="60"/>
                    <w:rPr>
                      <w:i/>
                      <w:iCs/>
                      <w:sz w:val="20"/>
                    </w:rPr>
                  </w:pPr>
                  <w:r w:rsidRPr="0013396E">
                    <w:rPr>
                      <w:i/>
                      <w:iCs/>
                      <w:sz w:val="20"/>
                    </w:rPr>
                    <w:t>q</w:t>
                  </w:r>
                </w:p>
              </w:tc>
              <w:tc>
                <w:tcPr>
                  <w:tcW w:w="316" w:type="pct"/>
                  <w:tcBorders>
                    <w:top w:val="single" w:sz="4" w:space="0" w:color="auto"/>
                    <w:left w:val="single" w:sz="4" w:space="0" w:color="auto"/>
                    <w:bottom w:val="single" w:sz="4" w:space="0" w:color="auto"/>
                    <w:right w:val="single" w:sz="4" w:space="0" w:color="auto"/>
                  </w:tcBorders>
                </w:tcPr>
                <w:p w14:paraId="46573C31" w14:textId="77777777" w:rsidR="004C48C1" w:rsidRPr="0013396E" w:rsidRDefault="004C48C1" w:rsidP="004C48C1">
                  <w:pPr>
                    <w:spacing w:after="60"/>
                    <w:rPr>
                      <w:iCs/>
                      <w:sz w:val="20"/>
                    </w:rPr>
                  </w:pPr>
                  <w:r w:rsidRPr="0013396E">
                    <w:rPr>
                      <w:iCs/>
                      <w:sz w:val="20"/>
                    </w:rPr>
                    <w:t>none</w:t>
                  </w:r>
                </w:p>
              </w:tc>
              <w:tc>
                <w:tcPr>
                  <w:tcW w:w="3295" w:type="pct"/>
                  <w:tcBorders>
                    <w:top w:val="single" w:sz="4" w:space="0" w:color="auto"/>
                    <w:left w:val="single" w:sz="4" w:space="0" w:color="auto"/>
                    <w:bottom w:val="single" w:sz="4" w:space="0" w:color="auto"/>
                    <w:right w:val="single" w:sz="4" w:space="0" w:color="auto"/>
                  </w:tcBorders>
                </w:tcPr>
                <w:p w14:paraId="1BACF28E" w14:textId="77777777" w:rsidR="004C48C1" w:rsidRPr="0013396E" w:rsidRDefault="004C48C1" w:rsidP="004C48C1">
                  <w:pPr>
                    <w:spacing w:after="60"/>
                    <w:rPr>
                      <w:iCs/>
                      <w:sz w:val="20"/>
                    </w:rPr>
                  </w:pPr>
                  <w:r w:rsidRPr="0013396E">
                    <w:rPr>
                      <w:iCs/>
                      <w:sz w:val="20"/>
                    </w:rPr>
                    <w:t>A QSE.</w:t>
                  </w:r>
                </w:p>
              </w:tc>
            </w:tr>
          </w:tbl>
          <w:p w14:paraId="78908ED1" w14:textId="77777777" w:rsidR="000C1EEE" w:rsidRPr="0013396E" w:rsidRDefault="000C1EEE" w:rsidP="00CE1011">
            <w:pPr>
              <w:spacing w:after="240"/>
              <w:ind w:left="720" w:hanging="720"/>
            </w:pPr>
          </w:p>
        </w:tc>
      </w:tr>
    </w:tbl>
    <w:p w14:paraId="641FDAFA" w14:textId="77777777" w:rsidR="00CE74E6" w:rsidRPr="0013396E" w:rsidRDefault="00CE74E6" w:rsidP="00CE74E6">
      <w:pPr>
        <w:pStyle w:val="H3"/>
        <w:spacing w:before="0" w:after="0"/>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76"/>
      </w:tblGrid>
      <w:tr w:rsidR="00CE74E6" w:rsidRPr="0013396E" w14:paraId="5946FEA4" w14:textId="77777777" w:rsidTr="00CE1011">
        <w:trPr>
          <w:trHeight w:val="206"/>
        </w:trPr>
        <w:tc>
          <w:tcPr>
            <w:tcW w:w="5000" w:type="pct"/>
            <w:shd w:val="pct12" w:color="auto" w:fill="auto"/>
          </w:tcPr>
          <w:p w14:paraId="352087AE" w14:textId="030E7D03" w:rsidR="00CE74E6" w:rsidRPr="0013396E" w:rsidRDefault="00CE74E6" w:rsidP="00CE1011">
            <w:pPr>
              <w:pStyle w:val="Instructions"/>
              <w:spacing w:before="120"/>
            </w:pPr>
            <w:r w:rsidRPr="0013396E">
              <w:t>[NPRR885:  Insert Section 6.6.6.10 below upon system implementation:]</w:t>
            </w:r>
          </w:p>
          <w:p w14:paraId="3C01F667" w14:textId="77777777" w:rsidR="00CE74E6" w:rsidRPr="0013396E" w:rsidRDefault="00CE74E6" w:rsidP="00427EDA">
            <w:pPr>
              <w:keepNext/>
              <w:widowControl w:val="0"/>
              <w:tabs>
                <w:tab w:val="left" w:pos="1260"/>
              </w:tabs>
              <w:spacing w:before="240" w:after="240"/>
              <w:ind w:left="1267" w:hanging="1267"/>
              <w:outlineLvl w:val="3"/>
              <w:rPr>
                <w:b/>
                <w:bCs/>
                <w:snapToGrid w:val="0"/>
                <w:color w:val="000000"/>
              </w:rPr>
            </w:pPr>
            <w:bookmarkStart w:id="2012" w:name="_Toc17798757"/>
            <w:bookmarkStart w:id="2013" w:name="_Toc214879003"/>
            <w:r w:rsidRPr="0013396E">
              <w:rPr>
                <w:b/>
                <w:bCs/>
                <w:snapToGrid w:val="0"/>
                <w:color w:val="000000"/>
              </w:rPr>
              <w:t>6.6.6.10</w:t>
            </w:r>
            <w:r w:rsidRPr="0013396E">
              <w:rPr>
                <w:b/>
                <w:bCs/>
                <w:snapToGrid w:val="0"/>
                <w:color w:val="000000"/>
              </w:rPr>
              <w:tab/>
              <w:t>MRA Variable Payment for Deployment</w:t>
            </w:r>
            <w:bookmarkEnd w:id="2012"/>
            <w:bookmarkEnd w:id="2013"/>
            <w:r w:rsidRPr="0013396E">
              <w:rPr>
                <w:b/>
                <w:bCs/>
                <w:snapToGrid w:val="0"/>
                <w:color w:val="000000"/>
              </w:rPr>
              <w:t xml:space="preserve"> </w:t>
            </w:r>
          </w:p>
          <w:p w14:paraId="32569F3E" w14:textId="77777777" w:rsidR="00CE74E6" w:rsidRPr="0013396E" w:rsidRDefault="00CE74E6" w:rsidP="00CE74E6">
            <w:pPr>
              <w:pStyle w:val="BodyTextNumbered"/>
              <w:spacing w:before="240"/>
            </w:pPr>
            <w:r w:rsidRPr="0013396E">
              <w:rPr>
                <w:color w:val="000000"/>
              </w:rPr>
              <w:t>(1)</w:t>
            </w:r>
            <w:r w:rsidRPr="0013396E">
              <w:rPr>
                <w:color w:val="000000"/>
              </w:rPr>
              <w:tab/>
            </w:r>
            <w:r w:rsidRPr="0013396E">
              <w:rPr>
                <w:bCs/>
                <w:color w:val="000000"/>
                <w:lang w:val="pt-BR"/>
              </w:rPr>
              <w:t>The variable payment to each QSE representing a Generation Resource MRA:</w:t>
            </w:r>
            <w:r w:rsidRPr="0013396E" w:rsidDel="008431E4">
              <w:t xml:space="preserve"> </w:t>
            </w:r>
          </w:p>
          <w:p w14:paraId="4027CE7D" w14:textId="77777777" w:rsidR="00CE74E6" w:rsidRPr="0013396E" w:rsidRDefault="00CE74E6" w:rsidP="00CE74E6">
            <w:pPr>
              <w:tabs>
                <w:tab w:val="left" w:pos="2700"/>
                <w:tab w:val="left" w:pos="3150"/>
              </w:tabs>
              <w:spacing w:after="240"/>
              <w:ind w:left="720"/>
              <w:rPr>
                <w:bCs/>
                <w:color w:val="000000"/>
                <w:lang w:val="pt-BR"/>
              </w:rPr>
            </w:pPr>
            <w:r w:rsidRPr="0013396E">
              <w:rPr>
                <w:iCs/>
              </w:rPr>
              <w:t>Outside of the MRA Contracted Hours, a Generation Resource MRA shall be treated in Settlements in the same manner as any Generation Resource registered with ERCOT</w:t>
            </w:r>
          </w:p>
          <w:p w14:paraId="52295764" w14:textId="77777777" w:rsidR="00CE74E6" w:rsidRPr="0013396E" w:rsidRDefault="00CE74E6" w:rsidP="00CE74E6">
            <w:pPr>
              <w:tabs>
                <w:tab w:val="left" w:pos="2700"/>
                <w:tab w:val="left" w:pos="3150"/>
              </w:tabs>
              <w:spacing w:after="240"/>
              <w:ind w:left="720"/>
              <w:rPr>
                <w:bCs/>
                <w:color w:val="000000"/>
                <w:lang w:val="pt-BR"/>
              </w:rPr>
            </w:pPr>
            <w:r w:rsidRPr="0013396E">
              <w:rPr>
                <w:bCs/>
                <w:color w:val="000000"/>
                <w:lang w:val="pt-BR"/>
              </w:rPr>
              <w:t>For MRA Contracted Hours with a deployment instruction:</w:t>
            </w:r>
          </w:p>
          <w:p w14:paraId="170A8A32" w14:textId="77777777" w:rsidR="00CE74E6" w:rsidRPr="0013396E" w:rsidRDefault="00CE74E6" w:rsidP="00CE74E6">
            <w:pPr>
              <w:tabs>
                <w:tab w:val="left" w:pos="2700"/>
                <w:tab w:val="left" w:pos="3150"/>
              </w:tabs>
              <w:spacing w:after="240"/>
              <w:ind w:left="3510" w:hanging="2430"/>
              <w:rPr>
                <w:bCs/>
                <w:lang w:val="pt-BR"/>
              </w:rPr>
            </w:pPr>
            <w:r w:rsidRPr="0013396E">
              <w:rPr>
                <w:bCs/>
                <w:color w:val="000000"/>
                <w:lang w:val="pt-BR"/>
              </w:rPr>
              <w:t xml:space="preserve">MRAVAMT </w:t>
            </w:r>
            <w:r w:rsidRPr="0013396E">
              <w:rPr>
                <w:bCs/>
                <w:i/>
                <w:vertAlign w:val="subscript"/>
                <w:lang w:val="pt-BR"/>
              </w:rPr>
              <w:t>q, r, h</w:t>
            </w:r>
            <w:r w:rsidRPr="0013396E">
              <w:rPr>
                <w:bCs/>
                <w:lang w:val="pt-BR"/>
              </w:rPr>
              <w:t xml:space="preserve"> = (-1) * (</w:t>
            </w:r>
            <w:r w:rsidRPr="0013396E">
              <w:rPr>
                <w:bCs/>
                <w:color w:val="000000"/>
                <w:lang w:val="pt-BR"/>
              </w:rPr>
              <w:t>MRAGRCVP</w:t>
            </w:r>
            <w:r w:rsidRPr="0013396E">
              <w:rPr>
                <w:bCs/>
                <w:lang w:val="pt-BR"/>
              </w:rPr>
              <w:t xml:space="preserve"> </w:t>
            </w:r>
            <w:r w:rsidRPr="0013396E">
              <w:rPr>
                <w:bCs/>
                <w:i/>
                <w:vertAlign w:val="subscript"/>
                <w:lang w:val="pt-BR"/>
              </w:rPr>
              <w:t>q, r, h</w:t>
            </w:r>
            <w:r w:rsidRPr="0013396E">
              <w:rPr>
                <w:bCs/>
                <w:lang w:val="pt-BR"/>
              </w:rPr>
              <w:t xml:space="preserve"> – MRARTREV</w:t>
            </w:r>
            <w:r w:rsidRPr="0013396E">
              <w:rPr>
                <w:bCs/>
                <w:i/>
                <w:vertAlign w:val="subscript"/>
                <w:lang w:val="pt-BR"/>
              </w:rPr>
              <w:t xml:space="preserve"> q, r, h</w:t>
            </w:r>
            <w:r w:rsidRPr="0013396E">
              <w:rPr>
                <w:bCs/>
                <w:lang w:val="pt-BR"/>
              </w:rPr>
              <w:t xml:space="preserve">) </w:t>
            </w:r>
          </w:p>
          <w:p w14:paraId="0A64651A" w14:textId="77777777" w:rsidR="00CE74E6" w:rsidRPr="0013396E" w:rsidRDefault="00CE74E6" w:rsidP="00CE74E6">
            <w:pPr>
              <w:tabs>
                <w:tab w:val="left" w:pos="2700"/>
                <w:tab w:val="left" w:pos="3150"/>
              </w:tabs>
              <w:spacing w:after="240"/>
              <w:ind w:left="720"/>
              <w:rPr>
                <w:bCs/>
                <w:color w:val="000000"/>
                <w:lang w:val="pt-BR"/>
              </w:rPr>
            </w:pPr>
            <w:r w:rsidRPr="0013396E">
              <w:rPr>
                <w:bCs/>
                <w:color w:val="000000"/>
                <w:lang w:val="pt-BR"/>
              </w:rPr>
              <w:t>For MRA Contracted Hours without a deployment instruction:</w:t>
            </w:r>
          </w:p>
          <w:p w14:paraId="48874E1E" w14:textId="77777777" w:rsidR="00CE74E6" w:rsidRPr="0013396E" w:rsidRDefault="00CE74E6" w:rsidP="00CE74E6">
            <w:pPr>
              <w:tabs>
                <w:tab w:val="left" w:pos="2700"/>
                <w:tab w:val="left" w:pos="3150"/>
              </w:tabs>
              <w:spacing w:after="240"/>
              <w:ind w:left="1440"/>
              <w:contextualSpacing/>
              <w:rPr>
                <w:bCs/>
                <w:lang w:val="pt-BR"/>
              </w:rPr>
            </w:pPr>
            <w:r w:rsidRPr="0013396E">
              <w:rPr>
                <w:bCs/>
                <w:color w:val="000000"/>
                <w:lang w:val="pt-BR"/>
              </w:rPr>
              <w:t xml:space="preserve">MRAVAMT </w:t>
            </w:r>
            <w:r w:rsidRPr="0013396E">
              <w:rPr>
                <w:bCs/>
                <w:i/>
                <w:vertAlign w:val="subscript"/>
                <w:lang w:val="pt-BR"/>
              </w:rPr>
              <w:t>q, r, h</w:t>
            </w:r>
            <w:r w:rsidRPr="0013396E">
              <w:rPr>
                <w:bCs/>
                <w:lang w:val="pt-BR"/>
              </w:rPr>
              <w:t xml:space="preserve"> = (-1) * (Min (</w:t>
            </w:r>
            <w:r w:rsidRPr="0013396E">
              <w:rPr>
                <w:bCs/>
                <w:color w:val="000000"/>
                <w:lang w:val="pt-BR"/>
              </w:rPr>
              <w:t>MRAGRCVP</w:t>
            </w:r>
            <w:r w:rsidRPr="0013396E">
              <w:rPr>
                <w:bCs/>
                <w:lang w:val="pt-BR"/>
              </w:rPr>
              <w:t xml:space="preserve"> </w:t>
            </w:r>
            <w:r w:rsidRPr="0013396E">
              <w:rPr>
                <w:bCs/>
                <w:i/>
                <w:vertAlign w:val="subscript"/>
                <w:lang w:val="pt-BR"/>
              </w:rPr>
              <w:t>q, r, h</w:t>
            </w:r>
            <w:r w:rsidRPr="0013396E">
              <w:rPr>
                <w:bCs/>
                <w:lang w:val="pt-BR"/>
              </w:rPr>
              <w:t>, MRARTREV</w:t>
            </w:r>
            <w:r w:rsidRPr="0013396E">
              <w:rPr>
                <w:bCs/>
                <w:i/>
                <w:vertAlign w:val="subscript"/>
                <w:lang w:val="pt-BR"/>
              </w:rPr>
              <w:t xml:space="preserve"> q, r, h</w:t>
            </w:r>
            <w:r w:rsidRPr="0013396E">
              <w:rPr>
                <w:bCs/>
                <w:lang w:val="pt-BR"/>
              </w:rPr>
              <w:t>) – MRARTREV</w:t>
            </w:r>
            <w:r w:rsidRPr="0013396E">
              <w:rPr>
                <w:bCs/>
                <w:i/>
                <w:vertAlign w:val="subscript"/>
                <w:lang w:val="pt-BR"/>
              </w:rPr>
              <w:t xml:space="preserve"> q, r, h</w:t>
            </w:r>
            <w:r w:rsidRPr="0013396E">
              <w:rPr>
                <w:bCs/>
                <w:lang w:val="pt-BR"/>
              </w:rPr>
              <w:t>)</w:t>
            </w:r>
          </w:p>
          <w:p w14:paraId="09CCAD2B" w14:textId="77777777" w:rsidR="00CE74E6" w:rsidRPr="0013396E" w:rsidRDefault="00CE74E6" w:rsidP="00CE74E6">
            <w:pPr>
              <w:ind w:left="720"/>
            </w:pPr>
            <w:r w:rsidRPr="0013396E">
              <w:lastRenderedPageBreak/>
              <w:t xml:space="preserve">Where, </w:t>
            </w:r>
          </w:p>
          <w:p w14:paraId="0C1BFD0D" w14:textId="77777777" w:rsidR="00CE74E6" w:rsidRPr="0013396E" w:rsidRDefault="00CE74E6" w:rsidP="00CE74E6"/>
          <w:p w14:paraId="28C79891" w14:textId="4F54E17F" w:rsidR="00CE74E6" w:rsidRPr="0013396E" w:rsidRDefault="00CE74E6" w:rsidP="00CE74E6">
            <w:pPr>
              <w:tabs>
                <w:tab w:val="left" w:pos="2700"/>
                <w:tab w:val="left" w:pos="3150"/>
              </w:tabs>
              <w:ind w:left="1440"/>
              <w:rPr>
                <w:bCs/>
                <w:lang w:val="pt-BR"/>
              </w:rPr>
            </w:pPr>
            <w:r w:rsidRPr="0013396E">
              <w:rPr>
                <w:bCs/>
                <w:color w:val="000000"/>
                <w:lang w:val="pt-BR"/>
              </w:rPr>
              <w:t>MRAGRCVP</w:t>
            </w:r>
            <w:r w:rsidRPr="0013396E">
              <w:rPr>
                <w:bCs/>
                <w:lang w:val="pt-BR"/>
              </w:rPr>
              <w:t xml:space="preserve"> </w:t>
            </w:r>
            <w:r w:rsidRPr="0013396E">
              <w:rPr>
                <w:bCs/>
                <w:i/>
                <w:vertAlign w:val="subscript"/>
                <w:lang w:val="pt-BR"/>
              </w:rPr>
              <w:t xml:space="preserve">q, r, h </w:t>
            </w:r>
            <w:r w:rsidRPr="0013396E">
              <w:rPr>
                <w:bCs/>
                <w:lang w:val="pt-BR"/>
              </w:rPr>
              <w:t xml:space="preserve">= </w:t>
            </w:r>
            <w:r w:rsidR="00A94020" w:rsidRPr="0013396E">
              <w:rPr>
                <w:noProof/>
                <w:position w:val="-20"/>
              </w:rPr>
              <w:drawing>
                <wp:inline distT="0" distB="0" distL="0" distR="0" wp14:anchorId="550498CA" wp14:editId="05F2D152">
                  <wp:extent cx="180975" cy="361950"/>
                  <wp:effectExtent l="0" t="0" r="9525" b="0"/>
                  <wp:docPr id="135"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36" cstate="print">
                            <a:extLst>
                              <a:ext uri="{28A0092B-C50C-407E-A947-70E740481C1C}">
                                <a14:useLocalDpi xmlns:a14="http://schemas.microsoft.com/office/drawing/2010/main" val="0"/>
                              </a:ext>
                            </a:extLst>
                          </a:blip>
                          <a:srcRect/>
                          <a:stretch>
                            <a:fillRect/>
                          </a:stretch>
                        </pic:blipFill>
                        <pic:spPr bwMode="auto">
                          <a:xfrm>
                            <a:off x="0" y="0"/>
                            <a:ext cx="180975" cy="361950"/>
                          </a:xfrm>
                          <a:prstGeom prst="rect">
                            <a:avLst/>
                          </a:prstGeom>
                          <a:noFill/>
                          <a:ln>
                            <a:noFill/>
                          </a:ln>
                        </pic:spPr>
                      </pic:pic>
                    </a:graphicData>
                  </a:graphic>
                </wp:inline>
              </w:drawing>
            </w:r>
            <w:r w:rsidRPr="0013396E">
              <w:rPr>
                <w:bCs/>
                <w:lang w:val="pt-BR"/>
              </w:rPr>
              <w:t>Max [VPRICE</w:t>
            </w:r>
            <w:r w:rsidRPr="0013396E">
              <w:rPr>
                <w:bCs/>
                <w:i/>
                <w:vertAlign w:val="subscript"/>
                <w:lang w:val="pt-BR"/>
              </w:rPr>
              <w:t xml:space="preserve"> q</w:t>
            </w:r>
            <w:r w:rsidRPr="0013396E">
              <w:rPr>
                <w:bCs/>
                <w:vertAlign w:val="subscript"/>
                <w:lang w:val="pt-BR"/>
              </w:rPr>
              <w:t xml:space="preserve">, </w:t>
            </w:r>
            <w:r w:rsidRPr="0013396E">
              <w:rPr>
                <w:bCs/>
                <w:i/>
                <w:vertAlign w:val="subscript"/>
                <w:lang w:val="pt-BR"/>
              </w:rPr>
              <w:t>r</w:t>
            </w:r>
            <w:r w:rsidRPr="0013396E">
              <w:rPr>
                <w:bCs/>
                <w:lang w:val="pt-BR"/>
              </w:rPr>
              <w:t>, (FIP + MRACEFA</w:t>
            </w:r>
            <w:r w:rsidRPr="0013396E">
              <w:rPr>
                <w:bCs/>
                <w:i/>
                <w:vertAlign w:val="subscript"/>
                <w:lang w:val="pt-BR"/>
              </w:rPr>
              <w:t xml:space="preserve"> q, r</w:t>
            </w:r>
            <w:r w:rsidRPr="0013396E">
              <w:rPr>
                <w:bCs/>
                <w:lang w:val="pt-BR"/>
              </w:rPr>
              <w:t xml:space="preserve">) * </w:t>
            </w:r>
          </w:p>
          <w:p w14:paraId="0C34B909" w14:textId="77777777" w:rsidR="00CE74E6" w:rsidRPr="0013396E" w:rsidRDefault="00CE74E6" w:rsidP="00CE74E6">
            <w:pPr>
              <w:tabs>
                <w:tab w:val="left" w:pos="2700"/>
                <w:tab w:val="left" w:pos="3150"/>
              </w:tabs>
              <w:spacing w:after="240"/>
              <w:ind w:left="1440"/>
              <w:rPr>
                <w:iCs/>
                <w:vertAlign w:val="subscript"/>
              </w:rPr>
            </w:pPr>
            <w:r w:rsidRPr="0013396E">
              <w:rPr>
                <w:bCs/>
                <w:lang w:val="pt-BR"/>
              </w:rPr>
              <w:tab/>
            </w:r>
            <w:r w:rsidRPr="0013396E">
              <w:rPr>
                <w:bCs/>
                <w:lang w:val="pt-BR"/>
              </w:rPr>
              <w:tab/>
              <w:t xml:space="preserve">MRAPHR </w:t>
            </w:r>
            <w:r w:rsidRPr="0013396E">
              <w:rPr>
                <w:bCs/>
                <w:i/>
                <w:vertAlign w:val="subscript"/>
                <w:lang w:val="pt-BR"/>
              </w:rPr>
              <w:t>q, r</w:t>
            </w:r>
            <w:r w:rsidRPr="0013396E">
              <w:rPr>
                <w:bCs/>
                <w:lang w:val="pt-BR"/>
              </w:rPr>
              <w:t>] *</w:t>
            </w:r>
            <w:r w:rsidRPr="0013396E">
              <w:rPr>
                <w:iCs/>
              </w:rPr>
              <w:t xml:space="preserve"> Min(RTMG </w:t>
            </w:r>
            <w:r w:rsidRPr="0013396E">
              <w:rPr>
                <w:i/>
                <w:iCs/>
                <w:vertAlign w:val="subscript"/>
              </w:rPr>
              <w:t>q, r, p, i</w:t>
            </w:r>
            <w:r w:rsidRPr="0013396E">
              <w:rPr>
                <w:iCs/>
                <w:vertAlign w:val="subscript"/>
              </w:rPr>
              <w:t xml:space="preserve"> </w:t>
            </w:r>
            <w:r w:rsidRPr="0013396E">
              <w:rPr>
                <w:iCs/>
              </w:rPr>
              <w:t>, MRACCAP</w:t>
            </w:r>
            <w:r w:rsidRPr="0013396E">
              <w:rPr>
                <w:vertAlign w:val="subscript"/>
              </w:rPr>
              <w:t xml:space="preserve"> </w:t>
            </w:r>
            <w:r w:rsidRPr="0013396E">
              <w:rPr>
                <w:i/>
                <w:vertAlign w:val="subscript"/>
              </w:rPr>
              <w:t xml:space="preserve">q, r, </w:t>
            </w:r>
            <w:r w:rsidRPr="0013396E">
              <w:rPr>
                <w:i/>
                <w:iCs/>
                <w:vertAlign w:val="subscript"/>
              </w:rPr>
              <w:t xml:space="preserve">m </w:t>
            </w:r>
            <w:r w:rsidRPr="0013396E">
              <w:rPr>
                <w:iCs/>
              </w:rPr>
              <w:t>/ 4)</w:t>
            </w:r>
          </w:p>
          <w:p w14:paraId="5DAB5740" w14:textId="14B94E25" w:rsidR="00CE74E6" w:rsidRPr="0013396E" w:rsidRDefault="00CE74E6" w:rsidP="00CE74E6">
            <w:pPr>
              <w:tabs>
                <w:tab w:val="left" w:pos="2700"/>
                <w:tab w:val="left" w:pos="3150"/>
              </w:tabs>
              <w:ind w:left="1440"/>
              <w:rPr>
                <w:lang w:val="pt-BR"/>
              </w:rPr>
            </w:pPr>
            <w:r w:rsidRPr="0013396E">
              <w:rPr>
                <w:bCs/>
                <w:color w:val="000000"/>
                <w:lang w:val="pt-BR"/>
              </w:rPr>
              <w:t>MRARTREV</w:t>
            </w:r>
            <w:r w:rsidRPr="0013396E">
              <w:rPr>
                <w:bCs/>
                <w:i/>
                <w:vertAlign w:val="subscript"/>
                <w:lang w:val="pt-BR"/>
              </w:rPr>
              <w:t xml:space="preserve"> q,</w:t>
            </w:r>
            <w:r w:rsidRPr="0013396E">
              <w:rPr>
                <w:bCs/>
                <w:vertAlign w:val="subscript"/>
                <w:lang w:val="pt-BR"/>
              </w:rPr>
              <w:t>r,h</w:t>
            </w:r>
            <w:r w:rsidRPr="0013396E">
              <w:rPr>
                <w:bCs/>
                <w:i/>
                <w:vertAlign w:val="subscript"/>
                <w:lang w:val="pt-BR"/>
              </w:rPr>
              <w:t xml:space="preserve"> </w:t>
            </w:r>
            <w:r w:rsidRPr="0013396E">
              <w:rPr>
                <w:bCs/>
                <w:lang w:val="pt-BR"/>
              </w:rPr>
              <w:t xml:space="preserve"> =  </w:t>
            </w:r>
            <w:r w:rsidR="00A94020" w:rsidRPr="0013396E">
              <w:rPr>
                <w:noProof/>
                <w:position w:val="-20"/>
              </w:rPr>
              <w:drawing>
                <wp:inline distT="0" distB="0" distL="0" distR="0" wp14:anchorId="2C665D11" wp14:editId="6BF79919">
                  <wp:extent cx="180975" cy="361950"/>
                  <wp:effectExtent l="0" t="0" r="9525" b="0"/>
                  <wp:docPr id="136"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36" cstate="print">
                            <a:extLst>
                              <a:ext uri="{28A0092B-C50C-407E-A947-70E740481C1C}">
                                <a14:useLocalDpi xmlns:a14="http://schemas.microsoft.com/office/drawing/2010/main" val="0"/>
                              </a:ext>
                            </a:extLst>
                          </a:blip>
                          <a:srcRect/>
                          <a:stretch>
                            <a:fillRect/>
                          </a:stretch>
                        </pic:blipFill>
                        <pic:spPr bwMode="auto">
                          <a:xfrm>
                            <a:off x="0" y="0"/>
                            <a:ext cx="180975" cy="361950"/>
                          </a:xfrm>
                          <a:prstGeom prst="rect">
                            <a:avLst/>
                          </a:prstGeom>
                          <a:noFill/>
                          <a:ln>
                            <a:noFill/>
                          </a:ln>
                        </pic:spPr>
                      </pic:pic>
                    </a:graphicData>
                  </a:graphic>
                </wp:inline>
              </w:drawing>
            </w:r>
            <w:r w:rsidRPr="0013396E">
              <w:rPr>
                <w:bCs/>
                <w:lang w:val="pt-BR"/>
              </w:rPr>
              <w:t>Max [0, (</w:t>
            </w:r>
            <w:r w:rsidRPr="0013396E">
              <w:t>RESREV</w:t>
            </w:r>
            <w:r w:rsidRPr="0013396E">
              <w:rPr>
                <w:b/>
                <w:i/>
                <w:vertAlign w:val="subscript"/>
              </w:rPr>
              <w:t xml:space="preserve"> </w:t>
            </w:r>
            <w:r w:rsidRPr="0013396E">
              <w:rPr>
                <w:i/>
                <w:vertAlign w:val="subscript"/>
              </w:rPr>
              <w:t>q, r, gsc, p, i</w:t>
            </w:r>
            <w:r w:rsidRPr="0013396E">
              <w:rPr>
                <w:iCs/>
                <w:vertAlign w:val="subscript"/>
              </w:rPr>
              <w:t xml:space="preserve"> </w:t>
            </w:r>
            <w:r w:rsidRPr="0013396E">
              <w:rPr>
                <w:bCs/>
                <w:lang w:val="pt-BR"/>
              </w:rPr>
              <w:t>+ (-1) * (</w:t>
            </w:r>
            <w:r w:rsidRPr="0013396E">
              <w:rPr>
                <w:lang w:val="pt-BR"/>
              </w:rPr>
              <w:t xml:space="preserve">EMREAMT </w:t>
            </w:r>
            <w:r w:rsidRPr="0013396E">
              <w:rPr>
                <w:i/>
                <w:vertAlign w:val="subscript"/>
                <w:lang w:val="pt-BR"/>
              </w:rPr>
              <w:t xml:space="preserve">q, r, p, i </w:t>
            </w:r>
            <w:r w:rsidRPr="0013396E">
              <w:rPr>
                <w:lang w:val="pt-BR"/>
              </w:rPr>
              <w:t xml:space="preserve">+ </w:t>
            </w:r>
          </w:p>
          <w:p w14:paraId="113F08F2" w14:textId="77777777" w:rsidR="00CE74E6" w:rsidRPr="0013396E" w:rsidRDefault="00CE74E6" w:rsidP="00CE74E6">
            <w:pPr>
              <w:tabs>
                <w:tab w:val="left" w:pos="2700"/>
                <w:tab w:val="left" w:pos="3150"/>
              </w:tabs>
              <w:spacing w:after="240"/>
              <w:ind w:left="1440"/>
              <w:rPr>
                <w:lang w:val="pt-BR"/>
              </w:rPr>
            </w:pPr>
            <w:r w:rsidRPr="0013396E">
              <w:rPr>
                <w:lang w:val="pt-BR"/>
              </w:rPr>
              <w:tab/>
            </w:r>
            <w:r w:rsidRPr="0013396E">
              <w:rPr>
                <w:lang w:val="pt-BR"/>
              </w:rPr>
              <w:tab/>
            </w:r>
            <w:r w:rsidRPr="0013396E">
              <w:t xml:space="preserve">VSSVARAMT </w:t>
            </w:r>
            <w:r w:rsidRPr="0013396E">
              <w:rPr>
                <w:i/>
                <w:vertAlign w:val="subscript"/>
              </w:rPr>
              <w:t>q, r, i</w:t>
            </w:r>
            <w:r w:rsidRPr="0013396E">
              <w:rPr>
                <w:iCs/>
                <w:vertAlign w:val="subscript"/>
              </w:rPr>
              <w:t xml:space="preserve"> </w:t>
            </w:r>
            <w:r w:rsidRPr="0013396E">
              <w:rPr>
                <w:bCs/>
                <w:lang w:val="pt-BR"/>
              </w:rPr>
              <w:t xml:space="preserve">+ </w:t>
            </w:r>
            <w:r w:rsidRPr="0013396E">
              <w:rPr>
                <w:lang w:val="pt-BR"/>
              </w:rPr>
              <w:t xml:space="preserve">VSSEAMT </w:t>
            </w:r>
            <w:r w:rsidRPr="0013396E">
              <w:rPr>
                <w:i/>
                <w:vertAlign w:val="subscript"/>
                <w:lang w:val="pt-BR"/>
              </w:rPr>
              <w:t>q, r, i</w:t>
            </w:r>
            <w:r w:rsidRPr="0013396E">
              <w:rPr>
                <w:lang w:val="pt-BR"/>
              </w:rPr>
              <w:t>))]</w:t>
            </w:r>
          </w:p>
          <w:p w14:paraId="63885A96" w14:textId="77777777" w:rsidR="00AA432B" w:rsidRPr="0013396E" w:rsidRDefault="00AA432B" w:rsidP="00AA432B">
            <w:pPr>
              <w:spacing w:before="240" w:after="240"/>
              <w:ind w:left="720" w:hanging="720"/>
            </w:pPr>
            <w:r w:rsidRPr="0013396E">
              <w:rPr>
                <w:color w:val="000000"/>
              </w:rPr>
              <w:t>(2)</w:t>
            </w:r>
            <w:r w:rsidRPr="0013396E">
              <w:rPr>
                <w:color w:val="000000"/>
              </w:rPr>
              <w:tab/>
            </w:r>
            <w:r w:rsidRPr="0013396E">
              <w:rPr>
                <w:bCs/>
                <w:color w:val="000000"/>
                <w:lang w:val="pt-BR"/>
              </w:rPr>
              <w:t>The variable payment to each QSE representing an Energy Storage Resource (ESR) MRA:</w:t>
            </w:r>
            <w:r w:rsidRPr="0013396E" w:rsidDel="008431E4">
              <w:t xml:space="preserve"> </w:t>
            </w:r>
          </w:p>
          <w:p w14:paraId="01081EB0" w14:textId="77777777" w:rsidR="00AA432B" w:rsidRPr="0013396E" w:rsidRDefault="00AA432B" w:rsidP="00AA432B">
            <w:pPr>
              <w:spacing w:after="240"/>
              <w:ind w:left="1440" w:hanging="720"/>
            </w:pPr>
            <w:r w:rsidRPr="0013396E">
              <w:t>(a)</w:t>
            </w:r>
            <w:r w:rsidRPr="0013396E">
              <w:rPr>
                <w:color w:val="000000"/>
              </w:rPr>
              <w:tab/>
            </w:r>
            <w:r w:rsidRPr="0013396E">
              <w:t>ESR MRA will be compensated for energy consumed to re-charge the MRA capability after the hours of injection to the ERCOT system during an event deployment or an ERCOT-required Capacity Test based on the cost of the energy as metered by the meter recording load.  The QSE will not be compensated for energy costs incurred during a re-test.  An ESR shall only consume energy in hours that are not Contracted Hours, and it must be re-charged to a level sufficient to provide the contracted amount of MRA Service prior to the next start of a block of Contracted Hours.  Additionally, the QSE shall use its best efforts to minimize the cost to re-charge and submit bid-to-buy curves taking into consideration estimates of future prices.  The cost to re-charge shall be determined by starting with the least expensive consumed energy.</w:t>
            </w:r>
          </w:p>
          <w:p w14:paraId="2F8DF285" w14:textId="59A6394B" w:rsidR="00AA432B" w:rsidRPr="0013396E" w:rsidRDefault="00AA432B" w:rsidP="00AA432B">
            <w:pPr>
              <w:spacing w:after="240"/>
              <w:ind w:left="1440" w:hanging="720"/>
              <w:rPr>
                <w:rFonts w:eastAsia="Calibri" w:cs="Arial"/>
                <w:sz w:val="22"/>
                <w:szCs w:val="22"/>
              </w:rPr>
            </w:pPr>
            <w:r w:rsidRPr="0013396E">
              <w:rPr>
                <w:iCs/>
              </w:rPr>
              <w:t>(b)</w:t>
            </w:r>
            <w:r w:rsidRPr="0013396E">
              <w:rPr>
                <w:color w:val="000000"/>
              </w:rPr>
              <w:tab/>
            </w:r>
            <w:r w:rsidRPr="0013396E">
              <w:rPr>
                <w:iCs/>
              </w:rPr>
              <w:t xml:space="preserve">Outside of the MRA Contracted Hours, an ESR MRA shall be treated in Settlements in the same manner as </w:t>
            </w:r>
            <w:r w:rsidRPr="0013396E">
              <w:t>any</w:t>
            </w:r>
            <w:r w:rsidRPr="0013396E">
              <w:rPr>
                <w:iCs/>
              </w:rPr>
              <w:t xml:space="preserve"> ESR registered with ERCOT.</w:t>
            </w:r>
          </w:p>
          <w:p w14:paraId="739DB513" w14:textId="77777777" w:rsidR="00AA432B" w:rsidRPr="0013396E" w:rsidRDefault="00AA432B" w:rsidP="00AA432B">
            <w:pPr>
              <w:tabs>
                <w:tab w:val="left" w:pos="2700"/>
                <w:tab w:val="left" w:pos="3150"/>
              </w:tabs>
              <w:spacing w:after="240"/>
              <w:ind w:left="720"/>
              <w:rPr>
                <w:bCs/>
                <w:color w:val="000000"/>
                <w:lang w:val="pt-BR"/>
              </w:rPr>
            </w:pPr>
            <w:r w:rsidRPr="0013396E">
              <w:rPr>
                <w:bCs/>
                <w:color w:val="000000"/>
                <w:lang w:val="pt-BR"/>
              </w:rPr>
              <w:t>For MRA Contracted Hours with a deployment instruction:</w:t>
            </w:r>
          </w:p>
          <w:p w14:paraId="0438A0AA" w14:textId="77777777" w:rsidR="00AA432B" w:rsidRPr="0013396E" w:rsidRDefault="00AA432B" w:rsidP="00AA432B">
            <w:pPr>
              <w:tabs>
                <w:tab w:val="left" w:pos="2700"/>
                <w:tab w:val="left" w:pos="3150"/>
              </w:tabs>
              <w:spacing w:after="240"/>
              <w:ind w:left="3510" w:hanging="2430"/>
              <w:rPr>
                <w:bCs/>
                <w:lang w:val="pt-BR"/>
              </w:rPr>
            </w:pPr>
            <w:r w:rsidRPr="0013396E">
              <w:rPr>
                <w:bCs/>
                <w:color w:val="000000"/>
                <w:lang w:val="pt-BR"/>
              </w:rPr>
              <w:t xml:space="preserve">MRAVAMT </w:t>
            </w:r>
            <w:r w:rsidRPr="0013396E">
              <w:rPr>
                <w:bCs/>
                <w:i/>
                <w:vertAlign w:val="subscript"/>
                <w:lang w:val="pt-BR"/>
              </w:rPr>
              <w:t>q, r, h</w:t>
            </w:r>
            <w:r w:rsidRPr="0013396E">
              <w:rPr>
                <w:bCs/>
                <w:lang w:val="pt-BR"/>
              </w:rPr>
              <w:t xml:space="preserve"> = (-1) * (</w:t>
            </w:r>
            <w:r w:rsidRPr="0013396E">
              <w:rPr>
                <w:bCs/>
                <w:color w:val="000000"/>
                <w:lang w:val="pt-BR"/>
              </w:rPr>
              <w:t>MRAESRCVP</w:t>
            </w:r>
            <w:r w:rsidRPr="0013396E">
              <w:rPr>
                <w:bCs/>
                <w:lang w:val="pt-BR"/>
              </w:rPr>
              <w:t xml:space="preserve"> </w:t>
            </w:r>
            <w:r w:rsidRPr="0013396E">
              <w:rPr>
                <w:bCs/>
                <w:i/>
                <w:vertAlign w:val="subscript"/>
                <w:lang w:val="pt-BR"/>
              </w:rPr>
              <w:t>q, r, h</w:t>
            </w:r>
            <w:r w:rsidRPr="0013396E">
              <w:rPr>
                <w:bCs/>
                <w:lang w:val="pt-BR"/>
              </w:rPr>
              <w:t xml:space="preserve"> – MRARTREV</w:t>
            </w:r>
            <w:r w:rsidRPr="0013396E">
              <w:rPr>
                <w:bCs/>
                <w:i/>
                <w:vertAlign w:val="subscript"/>
                <w:lang w:val="pt-BR"/>
              </w:rPr>
              <w:t xml:space="preserve"> q, r, h</w:t>
            </w:r>
            <w:r w:rsidRPr="0013396E">
              <w:rPr>
                <w:bCs/>
                <w:lang w:val="pt-BR"/>
              </w:rPr>
              <w:t xml:space="preserve">) </w:t>
            </w:r>
          </w:p>
          <w:p w14:paraId="0B785448" w14:textId="77777777" w:rsidR="00AA432B" w:rsidRPr="0013396E" w:rsidRDefault="00AA432B" w:rsidP="00AA432B">
            <w:pPr>
              <w:tabs>
                <w:tab w:val="left" w:pos="2700"/>
                <w:tab w:val="left" w:pos="3150"/>
              </w:tabs>
              <w:spacing w:after="240"/>
              <w:ind w:left="720"/>
              <w:rPr>
                <w:bCs/>
                <w:color w:val="000000"/>
                <w:lang w:val="pt-BR"/>
              </w:rPr>
            </w:pPr>
            <w:r w:rsidRPr="0013396E">
              <w:rPr>
                <w:bCs/>
                <w:color w:val="000000"/>
                <w:lang w:val="pt-BR"/>
              </w:rPr>
              <w:t>For MRA Contracted Hours without a deployment instruction:</w:t>
            </w:r>
          </w:p>
          <w:p w14:paraId="2245FC50" w14:textId="77777777" w:rsidR="00AA432B" w:rsidRPr="0013396E" w:rsidRDefault="00AA432B" w:rsidP="00AA432B">
            <w:pPr>
              <w:tabs>
                <w:tab w:val="left" w:pos="2700"/>
                <w:tab w:val="left" w:pos="3150"/>
              </w:tabs>
              <w:spacing w:after="240"/>
              <w:ind w:left="1440"/>
              <w:contextualSpacing/>
              <w:rPr>
                <w:bCs/>
                <w:lang w:val="pt-BR"/>
              </w:rPr>
            </w:pPr>
            <w:r w:rsidRPr="0013396E">
              <w:rPr>
                <w:bCs/>
                <w:color w:val="000000"/>
                <w:lang w:val="pt-BR"/>
              </w:rPr>
              <w:t xml:space="preserve">MRAVAMT </w:t>
            </w:r>
            <w:r w:rsidRPr="0013396E">
              <w:rPr>
                <w:bCs/>
                <w:i/>
                <w:vertAlign w:val="subscript"/>
                <w:lang w:val="pt-BR"/>
              </w:rPr>
              <w:t>q, r, h</w:t>
            </w:r>
            <w:r w:rsidRPr="0013396E">
              <w:rPr>
                <w:bCs/>
                <w:lang w:val="pt-BR"/>
              </w:rPr>
              <w:t xml:space="preserve"> = (-1) * (Min (</w:t>
            </w:r>
            <w:r w:rsidRPr="0013396E">
              <w:rPr>
                <w:bCs/>
                <w:color w:val="000000"/>
                <w:lang w:val="pt-BR"/>
              </w:rPr>
              <w:t>MRAESRCVP</w:t>
            </w:r>
            <w:r w:rsidRPr="0013396E">
              <w:rPr>
                <w:bCs/>
                <w:lang w:val="pt-BR"/>
              </w:rPr>
              <w:t xml:space="preserve"> </w:t>
            </w:r>
            <w:r w:rsidRPr="0013396E">
              <w:rPr>
                <w:bCs/>
                <w:i/>
                <w:vertAlign w:val="subscript"/>
                <w:lang w:val="pt-BR"/>
              </w:rPr>
              <w:t>q, r, h</w:t>
            </w:r>
            <w:r w:rsidRPr="0013396E">
              <w:rPr>
                <w:bCs/>
                <w:vertAlign w:val="subscript"/>
                <w:lang w:val="pt-BR"/>
              </w:rPr>
              <w:t>,</w:t>
            </w:r>
            <w:r w:rsidRPr="0013396E">
              <w:rPr>
                <w:bCs/>
                <w:lang w:val="pt-BR"/>
              </w:rPr>
              <w:t xml:space="preserve"> MRARTREV</w:t>
            </w:r>
            <w:r w:rsidRPr="0013396E">
              <w:rPr>
                <w:bCs/>
                <w:i/>
                <w:vertAlign w:val="subscript"/>
                <w:lang w:val="pt-BR"/>
              </w:rPr>
              <w:t xml:space="preserve"> q, r, h</w:t>
            </w:r>
            <w:r w:rsidRPr="0013396E">
              <w:rPr>
                <w:bCs/>
                <w:lang w:val="pt-BR"/>
              </w:rPr>
              <w:t>) – MRARTREV</w:t>
            </w:r>
            <w:r w:rsidRPr="0013396E">
              <w:rPr>
                <w:bCs/>
                <w:i/>
                <w:vertAlign w:val="subscript"/>
                <w:lang w:val="pt-BR"/>
              </w:rPr>
              <w:t xml:space="preserve"> q, r, h</w:t>
            </w:r>
            <w:r w:rsidRPr="0013396E">
              <w:rPr>
                <w:bCs/>
                <w:lang w:val="pt-BR"/>
              </w:rPr>
              <w:t>)</w:t>
            </w:r>
          </w:p>
          <w:p w14:paraId="71ED5EB4" w14:textId="77777777" w:rsidR="00AA432B" w:rsidRPr="0013396E" w:rsidRDefault="00AA432B" w:rsidP="00AA432B">
            <w:pPr>
              <w:ind w:left="720"/>
            </w:pPr>
          </w:p>
          <w:p w14:paraId="3A5710D5" w14:textId="77777777" w:rsidR="00AA432B" w:rsidRPr="0013396E" w:rsidRDefault="00AA432B" w:rsidP="00AA432B">
            <w:pPr>
              <w:ind w:left="720"/>
            </w:pPr>
            <w:r w:rsidRPr="0013396E">
              <w:t xml:space="preserve">Where, </w:t>
            </w:r>
          </w:p>
          <w:p w14:paraId="392D9585" w14:textId="58CDC074" w:rsidR="00AA432B" w:rsidRPr="0013396E" w:rsidRDefault="00AA432B" w:rsidP="00AA432B">
            <w:pPr>
              <w:tabs>
                <w:tab w:val="left" w:pos="2700"/>
                <w:tab w:val="left" w:pos="3150"/>
              </w:tabs>
              <w:ind w:left="1440"/>
              <w:rPr>
                <w:iCs/>
                <w:vertAlign w:val="subscript"/>
              </w:rPr>
            </w:pPr>
            <w:r w:rsidRPr="0013396E">
              <w:rPr>
                <w:bCs/>
                <w:color w:val="000000"/>
                <w:lang w:val="pt-BR"/>
              </w:rPr>
              <w:t>MRAESRCVP</w:t>
            </w:r>
            <w:r w:rsidRPr="0013396E">
              <w:rPr>
                <w:bCs/>
                <w:lang w:val="pt-BR"/>
              </w:rPr>
              <w:t xml:space="preserve"> </w:t>
            </w:r>
            <w:r w:rsidRPr="0013396E">
              <w:rPr>
                <w:bCs/>
                <w:i/>
                <w:vertAlign w:val="subscript"/>
                <w:lang w:val="pt-BR"/>
              </w:rPr>
              <w:t xml:space="preserve">q, r, h </w:t>
            </w:r>
            <w:r w:rsidRPr="0013396E">
              <w:rPr>
                <w:bCs/>
                <w:lang w:val="pt-BR"/>
              </w:rPr>
              <w:t xml:space="preserve">= </w:t>
            </w:r>
            <w:r w:rsidRPr="0013396E">
              <w:rPr>
                <w:noProof/>
                <w:position w:val="-20"/>
              </w:rPr>
              <w:drawing>
                <wp:inline distT="0" distB="0" distL="0" distR="0" wp14:anchorId="3AFE2681" wp14:editId="431806E5">
                  <wp:extent cx="180975" cy="361950"/>
                  <wp:effectExtent l="0" t="0" r="9525" b="0"/>
                  <wp:docPr id="104656358"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36" cstate="print">
                            <a:extLst>
                              <a:ext uri="{28A0092B-C50C-407E-A947-70E740481C1C}">
                                <a14:useLocalDpi xmlns:a14="http://schemas.microsoft.com/office/drawing/2010/main" val="0"/>
                              </a:ext>
                            </a:extLst>
                          </a:blip>
                          <a:srcRect/>
                          <a:stretch>
                            <a:fillRect/>
                          </a:stretch>
                        </pic:blipFill>
                        <pic:spPr bwMode="auto">
                          <a:xfrm>
                            <a:off x="0" y="0"/>
                            <a:ext cx="180975" cy="361950"/>
                          </a:xfrm>
                          <a:prstGeom prst="rect">
                            <a:avLst/>
                          </a:prstGeom>
                          <a:noFill/>
                          <a:ln>
                            <a:noFill/>
                          </a:ln>
                        </pic:spPr>
                      </pic:pic>
                    </a:graphicData>
                  </a:graphic>
                </wp:inline>
              </w:drawing>
            </w:r>
            <w:r w:rsidRPr="0013396E">
              <w:rPr>
                <w:bCs/>
                <w:lang w:val="pt-BR"/>
              </w:rPr>
              <w:t>Max [VPRICE</w:t>
            </w:r>
            <w:r w:rsidRPr="0013396E">
              <w:rPr>
                <w:bCs/>
                <w:i/>
                <w:vertAlign w:val="subscript"/>
                <w:lang w:val="pt-BR"/>
              </w:rPr>
              <w:t xml:space="preserve"> q</w:t>
            </w:r>
            <w:r w:rsidRPr="0013396E">
              <w:rPr>
                <w:bCs/>
                <w:vertAlign w:val="subscript"/>
                <w:lang w:val="pt-BR"/>
              </w:rPr>
              <w:t xml:space="preserve">, </w:t>
            </w:r>
            <w:r w:rsidRPr="0013396E">
              <w:rPr>
                <w:bCs/>
                <w:i/>
                <w:vertAlign w:val="subscript"/>
                <w:lang w:val="pt-BR"/>
              </w:rPr>
              <w:t>r</w:t>
            </w:r>
            <w:r w:rsidRPr="0013396E">
              <w:rPr>
                <w:bCs/>
                <w:vertAlign w:val="subscript"/>
                <w:lang w:val="pt-BR"/>
              </w:rPr>
              <w:t>,</w:t>
            </w:r>
            <w:r w:rsidRPr="0013396E">
              <w:rPr>
                <w:bCs/>
                <w:lang w:val="pt-BR"/>
              </w:rPr>
              <w:t xml:space="preserve"> ESRARCOST</w:t>
            </w:r>
            <w:r w:rsidRPr="0013396E">
              <w:rPr>
                <w:bCs/>
                <w:i/>
                <w:vertAlign w:val="subscript"/>
                <w:lang w:val="pt-BR"/>
              </w:rPr>
              <w:t xml:space="preserve"> q</w:t>
            </w:r>
            <w:r w:rsidRPr="0013396E">
              <w:rPr>
                <w:bCs/>
                <w:vertAlign w:val="subscript"/>
                <w:lang w:val="pt-BR"/>
              </w:rPr>
              <w:t xml:space="preserve">, </w:t>
            </w:r>
            <w:r w:rsidRPr="0013396E">
              <w:rPr>
                <w:bCs/>
                <w:i/>
                <w:vertAlign w:val="subscript"/>
                <w:lang w:val="pt-BR"/>
              </w:rPr>
              <w:t>r</w:t>
            </w:r>
            <w:r w:rsidRPr="0013396E">
              <w:rPr>
                <w:bCs/>
                <w:lang w:val="pt-BR"/>
              </w:rPr>
              <w:t>] *</w:t>
            </w:r>
            <w:r w:rsidRPr="0013396E">
              <w:rPr>
                <w:iCs/>
              </w:rPr>
              <w:t xml:space="preserve"> Min(RTMG </w:t>
            </w:r>
            <w:r w:rsidRPr="0013396E">
              <w:rPr>
                <w:i/>
                <w:iCs/>
                <w:vertAlign w:val="subscript"/>
              </w:rPr>
              <w:t>q, r, p, i</w:t>
            </w:r>
            <w:r w:rsidRPr="0013396E">
              <w:rPr>
                <w:iCs/>
              </w:rPr>
              <w:t>, MRACCAP</w:t>
            </w:r>
            <w:r w:rsidRPr="0013396E">
              <w:rPr>
                <w:vertAlign w:val="subscript"/>
              </w:rPr>
              <w:t xml:space="preserve"> </w:t>
            </w:r>
            <w:r w:rsidRPr="0013396E">
              <w:rPr>
                <w:i/>
                <w:vertAlign w:val="subscript"/>
              </w:rPr>
              <w:t xml:space="preserve">q, r, </w:t>
            </w:r>
            <w:r w:rsidRPr="0013396E">
              <w:rPr>
                <w:i/>
                <w:iCs/>
                <w:vertAlign w:val="subscript"/>
              </w:rPr>
              <w:t xml:space="preserve">m </w:t>
            </w:r>
            <w:r w:rsidRPr="0013396E">
              <w:rPr>
                <w:iCs/>
              </w:rPr>
              <w:t>/ 4)</w:t>
            </w:r>
          </w:p>
          <w:p w14:paraId="24CDD680" w14:textId="77777777" w:rsidR="00AA432B" w:rsidRPr="0013396E" w:rsidRDefault="00AA432B" w:rsidP="00AA432B">
            <w:pPr>
              <w:tabs>
                <w:tab w:val="left" w:pos="2700"/>
                <w:tab w:val="left" w:pos="3150"/>
              </w:tabs>
              <w:ind w:left="1440"/>
              <w:rPr>
                <w:lang w:val="pt-BR"/>
              </w:rPr>
            </w:pPr>
            <w:r w:rsidRPr="0013396E">
              <w:rPr>
                <w:bCs/>
                <w:color w:val="000000"/>
                <w:lang w:val="pt-BR"/>
              </w:rPr>
              <w:t>MRARTREV</w:t>
            </w:r>
            <w:r w:rsidRPr="0013396E">
              <w:rPr>
                <w:bCs/>
                <w:i/>
                <w:vertAlign w:val="subscript"/>
                <w:lang w:val="pt-BR"/>
              </w:rPr>
              <w:t xml:space="preserve"> q, r, h </w:t>
            </w:r>
            <w:r w:rsidRPr="0013396E">
              <w:rPr>
                <w:bCs/>
                <w:lang w:val="pt-BR"/>
              </w:rPr>
              <w:t xml:space="preserve"> = </w:t>
            </w:r>
            <w:r w:rsidRPr="0013396E">
              <w:rPr>
                <w:noProof/>
                <w:position w:val="-20"/>
              </w:rPr>
              <w:drawing>
                <wp:inline distT="0" distB="0" distL="0" distR="0" wp14:anchorId="0BCD457A" wp14:editId="5CEF1B55">
                  <wp:extent cx="180975" cy="361950"/>
                  <wp:effectExtent l="0" t="0" r="9525" b="0"/>
                  <wp:docPr id="359906617"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36" cstate="print">
                            <a:extLst>
                              <a:ext uri="{28A0092B-C50C-407E-A947-70E740481C1C}">
                                <a14:useLocalDpi xmlns:a14="http://schemas.microsoft.com/office/drawing/2010/main" val="0"/>
                              </a:ext>
                            </a:extLst>
                          </a:blip>
                          <a:srcRect/>
                          <a:stretch>
                            <a:fillRect/>
                          </a:stretch>
                        </pic:blipFill>
                        <pic:spPr bwMode="auto">
                          <a:xfrm>
                            <a:off x="0" y="0"/>
                            <a:ext cx="180975" cy="361950"/>
                          </a:xfrm>
                          <a:prstGeom prst="rect">
                            <a:avLst/>
                          </a:prstGeom>
                          <a:noFill/>
                          <a:ln>
                            <a:noFill/>
                          </a:ln>
                        </pic:spPr>
                      </pic:pic>
                    </a:graphicData>
                  </a:graphic>
                </wp:inline>
              </w:drawing>
            </w:r>
            <w:r w:rsidRPr="0013396E">
              <w:rPr>
                <w:bCs/>
                <w:lang w:val="pt-BR"/>
              </w:rPr>
              <w:t>Max [0, (</w:t>
            </w:r>
            <w:r w:rsidRPr="0013396E">
              <w:t>RESREV</w:t>
            </w:r>
            <w:r w:rsidRPr="0013396E">
              <w:rPr>
                <w:b/>
                <w:i/>
                <w:vertAlign w:val="subscript"/>
              </w:rPr>
              <w:t xml:space="preserve"> </w:t>
            </w:r>
            <w:r w:rsidRPr="0013396E">
              <w:rPr>
                <w:i/>
                <w:vertAlign w:val="subscript"/>
              </w:rPr>
              <w:t>q, r, gsc, p, i</w:t>
            </w:r>
            <w:r w:rsidRPr="0013396E">
              <w:rPr>
                <w:iCs/>
                <w:vertAlign w:val="subscript"/>
              </w:rPr>
              <w:t xml:space="preserve"> </w:t>
            </w:r>
            <w:r w:rsidRPr="0013396E">
              <w:rPr>
                <w:bCs/>
                <w:lang w:val="pt-BR"/>
              </w:rPr>
              <w:t>+ (-1) * (</w:t>
            </w:r>
            <w:r w:rsidRPr="0013396E">
              <w:rPr>
                <w:lang w:val="pt-BR"/>
              </w:rPr>
              <w:t xml:space="preserve">EMREAMT </w:t>
            </w:r>
            <w:r w:rsidRPr="0013396E">
              <w:rPr>
                <w:i/>
                <w:vertAlign w:val="subscript"/>
                <w:lang w:val="pt-BR"/>
              </w:rPr>
              <w:t xml:space="preserve">q, r, p, i </w:t>
            </w:r>
            <w:r w:rsidRPr="0013396E">
              <w:rPr>
                <w:lang w:val="pt-BR"/>
              </w:rPr>
              <w:t xml:space="preserve">+ </w:t>
            </w:r>
          </w:p>
          <w:p w14:paraId="07AAB569" w14:textId="77777777" w:rsidR="00AA432B" w:rsidRPr="0013396E" w:rsidRDefault="00AA432B" w:rsidP="00AA432B">
            <w:pPr>
              <w:tabs>
                <w:tab w:val="left" w:pos="2700"/>
                <w:tab w:val="left" w:pos="3150"/>
              </w:tabs>
              <w:spacing w:after="240"/>
              <w:ind w:left="1440"/>
              <w:rPr>
                <w:lang w:val="pt-BR"/>
              </w:rPr>
            </w:pPr>
            <w:r w:rsidRPr="0013396E">
              <w:rPr>
                <w:lang w:val="pt-BR"/>
              </w:rPr>
              <w:tab/>
            </w:r>
            <w:r w:rsidRPr="0013396E">
              <w:rPr>
                <w:lang w:val="pt-BR"/>
              </w:rPr>
              <w:tab/>
            </w:r>
            <w:r w:rsidRPr="0013396E">
              <w:t xml:space="preserve">VSSVARAMT </w:t>
            </w:r>
            <w:r w:rsidRPr="0013396E">
              <w:rPr>
                <w:i/>
                <w:vertAlign w:val="subscript"/>
              </w:rPr>
              <w:t>q, r, i</w:t>
            </w:r>
            <w:r w:rsidRPr="0013396E">
              <w:rPr>
                <w:iCs/>
                <w:vertAlign w:val="subscript"/>
              </w:rPr>
              <w:t xml:space="preserve"> </w:t>
            </w:r>
            <w:r w:rsidRPr="0013396E">
              <w:rPr>
                <w:bCs/>
                <w:lang w:val="pt-BR"/>
              </w:rPr>
              <w:t xml:space="preserve">+ </w:t>
            </w:r>
            <w:r w:rsidRPr="0013396E">
              <w:rPr>
                <w:lang w:val="pt-BR"/>
              </w:rPr>
              <w:t xml:space="preserve">VSSEAMT </w:t>
            </w:r>
            <w:r w:rsidRPr="0013396E">
              <w:rPr>
                <w:i/>
                <w:vertAlign w:val="subscript"/>
                <w:lang w:val="pt-BR"/>
              </w:rPr>
              <w:t>q, r, i</w:t>
            </w:r>
            <w:r w:rsidRPr="0013396E">
              <w:rPr>
                <w:lang w:val="pt-BR"/>
              </w:rPr>
              <w:t>))]</w:t>
            </w:r>
          </w:p>
          <w:p w14:paraId="3A46E576" w14:textId="3F5C0B00" w:rsidR="00CE74E6" w:rsidRPr="0013396E" w:rsidRDefault="00CE74E6" w:rsidP="00CE74E6">
            <w:pPr>
              <w:pStyle w:val="BodyTextNumbered"/>
              <w:spacing w:before="240"/>
            </w:pPr>
            <w:r w:rsidRPr="0013396E">
              <w:rPr>
                <w:color w:val="000000"/>
              </w:rPr>
              <w:t>(</w:t>
            </w:r>
            <w:r w:rsidR="00AA432B" w:rsidRPr="0013396E">
              <w:rPr>
                <w:color w:val="000000"/>
              </w:rPr>
              <w:t>3</w:t>
            </w:r>
            <w:r w:rsidRPr="0013396E">
              <w:rPr>
                <w:color w:val="000000"/>
              </w:rPr>
              <w:t>)</w:t>
            </w:r>
            <w:r w:rsidRPr="0013396E">
              <w:rPr>
                <w:color w:val="000000"/>
              </w:rPr>
              <w:tab/>
            </w:r>
            <w:r w:rsidRPr="0013396E">
              <w:rPr>
                <w:bCs/>
                <w:color w:val="000000"/>
                <w:lang w:val="pt-BR"/>
              </w:rPr>
              <w:t xml:space="preserve">The variable payment to each QSE representing an Other Generation MRA:  </w:t>
            </w:r>
          </w:p>
          <w:p w14:paraId="4CDDA686" w14:textId="77777777" w:rsidR="00CE74E6" w:rsidRPr="0013396E" w:rsidRDefault="00CE74E6" w:rsidP="00CE74E6">
            <w:pPr>
              <w:tabs>
                <w:tab w:val="left" w:pos="2700"/>
                <w:tab w:val="left" w:pos="3150"/>
              </w:tabs>
              <w:spacing w:after="240"/>
              <w:ind w:left="720"/>
              <w:rPr>
                <w:bCs/>
                <w:color w:val="000000"/>
                <w:lang w:val="pt-BR"/>
              </w:rPr>
            </w:pPr>
            <w:r w:rsidRPr="0013396E">
              <w:rPr>
                <w:bCs/>
                <w:color w:val="000000"/>
                <w:lang w:val="pt-BR"/>
              </w:rPr>
              <w:lastRenderedPageBreak/>
              <w:t>For MRA Contracted Hours with a deployment instruction:</w:t>
            </w:r>
          </w:p>
          <w:p w14:paraId="6E4A4788" w14:textId="77777777" w:rsidR="00CE74E6" w:rsidRPr="0013396E" w:rsidRDefault="00CE74E6" w:rsidP="00CE74E6">
            <w:pPr>
              <w:tabs>
                <w:tab w:val="left" w:pos="720"/>
                <w:tab w:val="left" w:pos="3150"/>
              </w:tabs>
              <w:spacing w:after="240"/>
              <w:ind w:left="1440"/>
              <w:contextualSpacing/>
              <w:rPr>
                <w:bCs/>
                <w:lang w:val="pt-BR"/>
              </w:rPr>
            </w:pPr>
            <w:r w:rsidRPr="0013396E">
              <w:rPr>
                <w:bCs/>
                <w:color w:val="000000"/>
                <w:lang w:val="pt-BR"/>
              </w:rPr>
              <w:t xml:space="preserve">MRAVAMT </w:t>
            </w:r>
            <w:r w:rsidRPr="0013396E">
              <w:rPr>
                <w:bCs/>
                <w:i/>
                <w:vertAlign w:val="subscript"/>
                <w:lang w:val="pt-BR"/>
              </w:rPr>
              <w:t>q, r, h</w:t>
            </w:r>
            <w:r w:rsidRPr="0013396E">
              <w:rPr>
                <w:bCs/>
                <w:lang w:val="pt-BR"/>
              </w:rPr>
              <w:t xml:space="preserve"> = (-1) * (</w:t>
            </w:r>
            <w:r w:rsidRPr="0013396E">
              <w:rPr>
                <w:bCs/>
                <w:color w:val="000000"/>
                <w:lang w:val="pt-BR"/>
              </w:rPr>
              <w:t>MRACVP</w:t>
            </w:r>
            <w:r w:rsidRPr="0013396E">
              <w:rPr>
                <w:bCs/>
                <w:lang w:val="pt-BR"/>
              </w:rPr>
              <w:t xml:space="preserve"> </w:t>
            </w:r>
            <w:r w:rsidRPr="0013396E">
              <w:rPr>
                <w:bCs/>
                <w:i/>
                <w:vertAlign w:val="subscript"/>
                <w:lang w:val="pt-BR"/>
              </w:rPr>
              <w:t>q, r, h</w:t>
            </w:r>
            <w:r w:rsidRPr="0013396E">
              <w:rPr>
                <w:bCs/>
                <w:lang w:val="pt-BR"/>
              </w:rPr>
              <w:t xml:space="preserve"> – </w:t>
            </w:r>
            <w:r w:rsidRPr="0013396E">
              <w:rPr>
                <w:bCs/>
                <w:color w:val="000000"/>
                <w:lang w:val="pt-BR"/>
              </w:rPr>
              <w:t xml:space="preserve">MRACRTREV </w:t>
            </w:r>
            <w:r w:rsidRPr="0013396E">
              <w:rPr>
                <w:bCs/>
                <w:i/>
                <w:vertAlign w:val="subscript"/>
                <w:lang w:val="pt-BR"/>
              </w:rPr>
              <w:t>q, r, h</w:t>
            </w:r>
            <w:r w:rsidRPr="0013396E">
              <w:rPr>
                <w:bCs/>
                <w:lang w:val="pt-BR"/>
              </w:rPr>
              <w:t>)</w:t>
            </w:r>
          </w:p>
          <w:p w14:paraId="32A718FA" w14:textId="77777777" w:rsidR="00CE74E6" w:rsidRPr="0013396E" w:rsidRDefault="00CE74E6" w:rsidP="00CE74E6">
            <w:pPr>
              <w:tabs>
                <w:tab w:val="left" w:pos="2700"/>
                <w:tab w:val="left" w:pos="3150"/>
              </w:tabs>
              <w:spacing w:after="240"/>
              <w:ind w:left="720"/>
              <w:contextualSpacing/>
              <w:rPr>
                <w:bCs/>
                <w:lang w:val="pt-BR"/>
              </w:rPr>
            </w:pPr>
          </w:p>
          <w:p w14:paraId="4F76104D" w14:textId="77777777" w:rsidR="00CE74E6" w:rsidRPr="0013396E" w:rsidRDefault="00CE74E6" w:rsidP="00CE74E6">
            <w:pPr>
              <w:tabs>
                <w:tab w:val="left" w:pos="2700"/>
                <w:tab w:val="left" w:pos="3150"/>
              </w:tabs>
              <w:spacing w:after="240"/>
              <w:ind w:left="720"/>
              <w:rPr>
                <w:bCs/>
                <w:color w:val="000000"/>
                <w:lang w:val="pt-BR"/>
              </w:rPr>
            </w:pPr>
            <w:r w:rsidRPr="0013396E">
              <w:rPr>
                <w:bCs/>
                <w:color w:val="000000"/>
                <w:lang w:val="pt-BR"/>
              </w:rPr>
              <w:t>For MRA Contracted Hours without a deployment instruction:</w:t>
            </w:r>
          </w:p>
          <w:p w14:paraId="7F5C3FDF" w14:textId="77777777" w:rsidR="00CE74E6" w:rsidRPr="0013396E" w:rsidRDefault="00CE74E6" w:rsidP="00CE74E6">
            <w:pPr>
              <w:tabs>
                <w:tab w:val="left" w:pos="720"/>
                <w:tab w:val="left" w:pos="3150"/>
              </w:tabs>
              <w:spacing w:after="240"/>
              <w:ind w:left="1440"/>
              <w:rPr>
                <w:bCs/>
                <w:lang w:val="pt-BR"/>
              </w:rPr>
            </w:pPr>
            <w:r w:rsidRPr="0013396E">
              <w:rPr>
                <w:bCs/>
                <w:color w:val="000000"/>
                <w:lang w:val="pt-BR"/>
              </w:rPr>
              <w:t xml:space="preserve">MRAVAMT </w:t>
            </w:r>
            <w:r w:rsidRPr="0013396E">
              <w:rPr>
                <w:bCs/>
                <w:i/>
                <w:vertAlign w:val="subscript"/>
                <w:lang w:val="pt-BR"/>
              </w:rPr>
              <w:t>q, r,h</w:t>
            </w:r>
            <w:r w:rsidRPr="0013396E">
              <w:rPr>
                <w:bCs/>
                <w:lang w:val="pt-BR"/>
              </w:rPr>
              <w:t xml:space="preserve"> = (-1) * (Min(</w:t>
            </w:r>
            <w:r w:rsidRPr="0013396E">
              <w:rPr>
                <w:bCs/>
                <w:color w:val="000000"/>
                <w:lang w:val="pt-BR"/>
              </w:rPr>
              <w:t>MRACVP</w:t>
            </w:r>
            <w:r w:rsidRPr="0013396E">
              <w:rPr>
                <w:bCs/>
                <w:lang w:val="pt-BR"/>
              </w:rPr>
              <w:t xml:space="preserve"> </w:t>
            </w:r>
            <w:r w:rsidRPr="0013396E">
              <w:rPr>
                <w:bCs/>
                <w:i/>
                <w:vertAlign w:val="subscript"/>
                <w:lang w:val="pt-BR"/>
              </w:rPr>
              <w:t>q, r, h</w:t>
            </w:r>
            <w:r w:rsidRPr="0013396E">
              <w:rPr>
                <w:bCs/>
                <w:vertAlign w:val="subscript"/>
                <w:lang w:val="pt-BR"/>
              </w:rPr>
              <w:t xml:space="preserve"> </w:t>
            </w:r>
            <w:r w:rsidRPr="0013396E">
              <w:rPr>
                <w:bCs/>
                <w:lang w:val="pt-BR"/>
              </w:rPr>
              <w:t xml:space="preserve">, </w:t>
            </w:r>
            <w:r w:rsidRPr="0013396E">
              <w:rPr>
                <w:bCs/>
                <w:color w:val="000000"/>
                <w:lang w:val="pt-BR"/>
              </w:rPr>
              <w:t>MRACRTREV</w:t>
            </w:r>
            <w:r w:rsidRPr="0013396E">
              <w:rPr>
                <w:bCs/>
                <w:lang w:val="pt-BR"/>
              </w:rPr>
              <w:t xml:space="preserve"> </w:t>
            </w:r>
            <w:r w:rsidRPr="0013396E">
              <w:rPr>
                <w:bCs/>
                <w:i/>
                <w:vertAlign w:val="subscript"/>
                <w:lang w:val="pt-BR"/>
              </w:rPr>
              <w:t>q, r, h</w:t>
            </w:r>
            <w:r w:rsidRPr="0013396E">
              <w:rPr>
                <w:bCs/>
                <w:lang w:val="pt-BR"/>
              </w:rPr>
              <w:t>) –</w:t>
            </w:r>
            <w:r w:rsidRPr="0013396E">
              <w:rPr>
                <w:bCs/>
                <w:color w:val="000000"/>
                <w:lang w:val="pt-BR"/>
              </w:rPr>
              <w:t>MRACRTREV</w:t>
            </w:r>
            <w:r w:rsidRPr="0013396E">
              <w:rPr>
                <w:bCs/>
                <w:lang w:val="pt-BR"/>
              </w:rPr>
              <w:t xml:space="preserve"> </w:t>
            </w:r>
            <w:r w:rsidRPr="0013396E">
              <w:rPr>
                <w:bCs/>
                <w:i/>
                <w:vertAlign w:val="subscript"/>
                <w:lang w:val="pt-BR"/>
              </w:rPr>
              <w:t>q, r, h</w:t>
            </w:r>
            <w:r w:rsidRPr="0013396E">
              <w:rPr>
                <w:bCs/>
                <w:lang w:val="pt-BR"/>
              </w:rPr>
              <w:t>)</w:t>
            </w:r>
          </w:p>
          <w:p w14:paraId="110B4F6B" w14:textId="77777777" w:rsidR="00CE74E6" w:rsidRPr="0013396E" w:rsidRDefault="00CE74E6" w:rsidP="00CE74E6">
            <w:pPr>
              <w:ind w:firstLine="720"/>
            </w:pPr>
            <w:r w:rsidRPr="0013396E">
              <w:t xml:space="preserve">Where, </w:t>
            </w:r>
          </w:p>
          <w:p w14:paraId="79F263A8" w14:textId="77777777" w:rsidR="00CE74E6" w:rsidRPr="0013396E" w:rsidRDefault="00CE74E6" w:rsidP="00CE74E6"/>
          <w:p w14:paraId="62E60F2D" w14:textId="12B4FF8D" w:rsidR="00CE74E6" w:rsidRPr="0013396E" w:rsidRDefault="00CE74E6" w:rsidP="00CE74E6">
            <w:pPr>
              <w:tabs>
                <w:tab w:val="left" w:pos="720"/>
                <w:tab w:val="left" w:pos="3150"/>
              </w:tabs>
              <w:spacing w:after="240"/>
              <w:contextualSpacing/>
              <w:rPr>
                <w:bCs/>
                <w:lang w:val="pt-BR"/>
              </w:rPr>
            </w:pPr>
            <w:r w:rsidRPr="0013396E">
              <w:rPr>
                <w:bCs/>
                <w:color w:val="000000"/>
                <w:lang w:val="pt-BR"/>
              </w:rPr>
              <w:tab/>
              <w:t>MRACVP</w:t>
            </w:r>
            <w:r w:rsidRPr="0013396E">
              <w:rPr>
                <w:bCs/>
                <w:lang w:val="pt-BR"/>
              </w:rPr>
              <w:t xml:space="preserve"> </w:t>
            </w:r>
            <w:r w:rsidRPr="0013396E">
              <w:rPr>
                <w:bCs/>
                <w:i/>
                <w:vertAlign w:val="subscript"/>
                <w:lang w:val="pt-BR"/>
              </w:rPr>
              <w:t>q, r, h</w:t>
            </w:r>
            <w:r w:rsidRPr="0013396E">
              <w:rPr>
                <w:bCs/>
                <w:vertAlign w:val="subscript"/>
                <w:lang w:val="pt-BR"/>
              </w:rPr>
              <w:t xml:space="preserve"> </w:t>
            </w:r>
            <w:r w:rsidRPr="0013396E">
              <w:rPr>
                <w:bCs/>
                <w:lang w:val="pt-BR"/>
              </w:rPr>
              <w:t xml:space="preserve">= </w:t>
            </w:r>
            <w:r w:rsidR="00A94020" w:rsidRPr="0013396E">
              <w:rPr>
                <w:noProof/>
                <w:position w:val="-20"/>
              </w:rPr>
              <w:drawing>
                <wp:inline distT="0" distB="0" distL="0" distR="0" wp14:anchorId="6E0D2D4A" wp14:editId="7F5FA11E">
                  <wp:extent cx="180975" cy="361950"/>
                  <wp:effectExtent l="0" t="0" r="9525" b="0"/>
                  <wp:docPr id="137"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36" cstate="print">
                            <a:extLst>
                              <a:ext uri="{28A0092B-C50C-407E-A947-70E740481C1C}">
                                <a14:useLocalDpi xmlns:a14="http://schemas.microsoft.com/office/drawing/2010/main" val="0"/>
                              </a:ext>
                            </a:extLst>
                          </a:blip>
                          <a:srcRect/>
                          <a:stretch>
                            <a:fillRect/>
                          </a:stretch>
                        </pic:blipFill>
                        <pic:spPr bwMode="auto">
                          <a:xfrm>
                            <a:off x="0" y="0"/>
                            <a:ext cx="180975" cy="361950"/>
                          </a:xfrm>
                          <a:prstGeom prst="rect">
                            <a:avLst/>
                          </a:prstGeom>
                          <a:noFill/>
                          <a:ln>
                            <a:noFill/>
                          </a:ln>
                        </pic:spPr>
                      </pic:pic>
                    </a:graphicData>
                  </a:graphic>
                </wp:inline>
              </w:drawing>
            </w:r>
            <w:r w:rsidRPr="0013396E">
              <w:rPr>
                <w:bCs/>
                <w:lang w:val="pt-BR"/>
              </w:rPr>
              <w:t xml:space="preserve">Max[VPRICE </w:t>
            </w:r>
            <w:r w:rsidRPr="0013396E">
              <w:rPr>
                <w:bCs/>
                <w:i/>
                <w:vertAlign w:val="subscript"/>
                <w:lang w:val="pt-BR"/>
              </w:rPr>
              <w:t>q, r</w:t>
            </w:r>
            <w:r w:rsidRPr="0013396E">
              <w:rPr>
                <w:bCs/>
                <w:lang w:val="pt-BR"/>
              </w:rPr>
              <w:t>, (FIP + MRACEFA</w:t>
            </w:r>
            <w:r w:rsidRPr="0013396E">
              <w:rPr>
                <w:bCs/>
                <w:i/>
                <w:vertAlign w:val="subscript"/>
                <w:lang w:val="pt-BR"/>
              </w:rPr>
              <w:t xml:space="preserve"> q, r</w:t>
            </w:r>
            <w:r w:rsidRPr="0013396E">
              <w:rPr>
                <w:bCs/>
                <w:lang w:val="pt-BR"/>
              </w:rPr>
              <w:t xml:space="preserve">) * MRAPHR </w:t>
            </w:r>
            <w:r w:rsidRPr="0013396E">
              <w:rPr>
                <w:bCs/>
                <w:i/>
                <w:vertAlign w:val="subscript"/>
                <w:lang w:val="pt-BR"/>
              </w:rPr>
              <w:t>q, r</w:t>
            </w:r>
            <w:r w:rsidRPr="0013396E">
              <w:rPr>
                <w:bCs/>
                <w:lang w:val="pt-BR"/>
              </w:rPr>
              <w:t xml:space="preserve"> ] *</w:t>
            </w:r>
          </w:p>
          <w:p w14:paraId="2EE127F6" w14:textId="77777777" w:rsidR="00CE74E6" w:rsidRPr="0013396E" w:rsidRDefault="00CE74E6" w:rsidP="00CE74E6">
            <w:pPr>
              <w:tabs>
                <w:tab w:val="left" w:pos="2700"/>
                <w:tab w:val="left" w:pos="3150"/>
              </w:tabs>
              <w:spacing w:after="240"/>
              <w:rPr>
                <w:bCs/>
                <w:i/>
                <w:vertAlign w:val="subscript"/>
                <w:lang w:val="pt-BR"/>
              </w:rPr>
            </w:pPr>
            <w:r w:rsidRPr="0013396E">
              <w:rPr>
                <w:bCs/>
                <w:lang w:val="pt-BR"/>
              </w:rPr>
              <w:tab/>
              <w:t xml:space="preserve">RTVQ </w:t>
            </w:r>
            <w:r w:rsidRPr="0013396E">
              <w:rPr>
                <w:bCs/>
                <w:i/>
                <w:vertAlign w:val="subscript"/>
                <w:lang w:val="pt-BR"/>
              </w:rPr>
              <w:t>q, r, i</w:t>
            </w:r>
          </w:p>
          <w:p w14:paraId="0EC6D074" w14:textId="1177F1CE" w:rsidR="00CE74E6" w:rsidRPr="0013396E" w:rsidRDefault="00CE74E6" w:rsidP="00CE74E6">
            <w:pPr>
              <w:tabs>
                <w:tab w:val="left" w:pos="2700"/>
                <w:tab w:val="left" w:pos="3150"/>
              </w:tabs>
              <w:spacing w:after="240"/>
              <w:ind w:left="3150" w:hanging="2430"/>
              <w:rPr>
                <w:bCs/>
                <w:lang w:val="pt-BR"/>
              </w:rPr>
            </w:pPr>
            <w:r w:rsidRPr="0013396E">
              <w:rPr>
                <w:bCs/>
                <w:color w:val="000000"/>
                <w:lang w:val="pt-BR"/>
              </w:rPr>
              <w:t>MRACRTREV</w:t>
            </w:r>
            <w:r w:rsidRPr="0013396E">
              <w:rPr>
                <w:bCs/>
                <w:lang w:val="pt-BR"/>
              </w:rPr>
              <w:t xml:space="preserve"> </w:t>
            </w:r>
            <w:r w:rsidRPr="0013396E">
              <w:rPr>
                <w:bCs/>
                <w:i/>
                <w:vertAlign w:val="subscript"/>
                <w:lang w:val="pt-BR"/>
              </w:rPr>
              <w:t>q, r, h</w:t>
            </w:r>
            <w:r w:rsidRPr="0013396E">
              <w:rPr>
                <w:bCs/>
                <w:vertAlign w:val="subscript"/>
                <w:lang w:val="pt-BR"/>
              </w:rPr>
              <w:t xml:space="preserve"> </w:t>
            </w:r>
            <w:r w:rsidRPr="0013396E">
              <w:rPr>
                <w:bCs/>
                <w:lang w:val="pt-BR"/>
              </w:rPr>
              <w:t xml:space="preserve">= </w:t>
            </w:r>
            <w:r w:rsidR="00A94020" w:rsidRPr="0013396E">
              <w:rPr>
                <w:noProof/>
                <w:position w:val="-20"/>
              </w:rPr>
              <w:drawing>
                <wp:inline distT="0" distB="0" distL="0" distR="0" wp14:anchorId="0A8F611A" wp14:editId="5156FEC0">
                  <wp:extent cx="180975" cy="361950"/>
                  <wp:effectExtent l="0" t="0" r="9525" b="0"/>
                  <wp:docPr id="138"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36" cstate="print">
                            <a:extLst>
                              <a:ext uri="{28A0092B-C50C-407E-A947-70E740481C1C}">
                                <a14:useLocalDpi xmlns:a14="http://schemas.microsoft.com/office/drawing/2010/main" val="0"/>
                              </a:ext>
                            </a:extLst>
                          </a:blip>
                          <a:srcRect/>
                          <a:stretch>
                            <a:fillRect/>
                          </a:stretch>
                        </pic:blipFill>
                        <pic:spPr bwMode="auto">
                          <a:xfrm>
                            <a:off x="0" y="0"/>
                            <a:ext cx="180975" cy="361950"/>
                          </a:xfrm>
                          <a:prstGeom prst="rect">
                            <a:avLst/>
                          </a:prstGeom>
                          <a:noFill/>
                          <a:ln>
                            <a:noFill/>
                          </a:ln>
                        </pic:spPr>
                      </pic:pic>
                    </a:graphicData>
                  </a:graphic>
                </wp:inline>
              </w:drawing>
            </w:r>
            <w:r w:rsidRPr="0013396E">
              <w:rPr>
                <w:bCs/>
              </w:rPr>
              <w:t>(</w:t>
            </w:r>
            <w:r w:rsidRPr="0013396E">
              <w:rPr>
                <w:bCs/>
                <w:lang w:val="pt-BR"/>
              </w:rPr>
              <w:t xml:space="preserve">Max(0, Min(RTVQ </w:t>
            </w:r>
            <w:r w:rsidRPr="0013396E">
              <w:rPr>
                <w:bCs/>
                <w:i/>
                <w:vertAlign w:val="subscript"/>
                <w:lang w:val="pt-BR"/>
              </w:rPr>
              <w:t xml:space="preserve">q, r, i </w:t>
            </w:r>
            <w:r w:rsidRPr="0013396E">
              <w:rPr>
                <w:iCs/>
              </w:rPr>
              <w:t>, MRACCAP</w:t>
            </w:r>
            <w:r w:rsidRPr="0013396E">
              <w:rPr>
                <w:sz w:val="20"/>
                <w:vertAlign w:val="subscript"/>
              </w:rPr>
              <w:t xml:space="preserve"> </w:t>
            </w:r>
            <w:r w:rsidRPr="0013396E">
              <w:rPr>
                <w:i/>
                <w:sz w:val="20"/>
                <w:vertAlign w:val="subscript"/>
              </w:rPr>
              <w:t xml:space="preserve">q, r, </w:t>
            </w:r>
            <w:r w:rsidRPr="0013396E">
              <w:rPr>
                <w:i/>
                <w:iCs/>
                <w:sz w:val="20"/>
                <w:vertAlign w:val="subscript"/>
              </w:rPr>
              <w:t xml:space="preserve">m  </w:t>
            </w:r>
            <w:r w:rsidRPr="0013396E">
              <w:rPr>
                <w:iCs/>
              </w:rPr>
              <w:t xml:space="preserve">/ 4) </w:t>
            </w:r>
            <w:r w:rsidRPr="0013396E">
              <w:rPr>
                <w:bCs/>
                <w:lang w:val="pt-BR"/>
              </w:rPr>
              <w:t xml:space="preserve">* </w:t>
            </w:r>
            <w:r w:rsidRPr="0013396E">
              <w:t xml:space="preserve">RTSPP </w:t>
            </w:r>
            <w:r w:rsidRPr="0013396E">
              <w:rPr>
                <w:i/>
                <w:vertAlign w:val="subscript"/>
              </w:rPr>
              <w:t>p</w:t>
            </w:r>
            <w:r w:rsidRPr="0013396E">
              <w:rPr>
                <w:i/>
              </w:rPr>
              <w:t xml:space="preserve">, </w:t>
            </w:r>
            <w:r w:rsidRPr="0013396E">
              <w:rPr>
                <w:i/>
                <w:vertAlign w:val="subscript"/>
              </w:rPr>
              <w:t>i</w:t>
            </w:r>
            <w:r w:rsidRPr="0013396E">
              <w:rPr>
                <w:bCs/>
                <w:lang w:val="pt-BR"/>
              </w:rPr>
              <w:t xml:space="preserve">)) </w:t>
            </w:r>
          </w:p>
          <w:p w14:paraId="7C379B93" w14:textId="77777777" w:rsidR="00CE74E6" w:rsidRPr="0013396E" w:rsidRDefault="00CE74E6" w:rsidP="00CE74E6">
            <w:pPr>
              <w:tabs>
                <w:tab w:val="left" w:pos="2700"/>
                <w:tab w:val="left" w:pos="3150"/>
              </w:tabs>
              <w:spacing w:after="240"/>
              <w:ind w:left="3150" w:hanging="2430"/>
              <w:rPr>
                <w:bCs/>
                <w:color w:val="000000"/>
                <w:lang w:val="pt-BR"/>
              </w:rPr>
            </w:pPr>
            <w:r w:rsidRPr="0013396E">
              <w:rPr>
                <w:bCs/>
                <w:color w:val="000000"/>
                <w:lang w:val="pt-BR"/>
              </w:rPr>
              <w:t>Where,</w:t>
            </w:r>
          </w:p>
          <w:p w14:paraId="7C584166" w14:textId="77777777" w:rsidR="00CE74E6" w:rsidRPr="0013396E" w:rsidRDefault="00CE74E6" w:rsidP="00CE74E6">
            <w:pPr>
              <w:tabs>
                <w:tab w:val="left" w:pos="2700"/>
                <w:tab w:val="left" w:pos="3150"/>
              </w:tabs>
              <w:spacing w:after="240"/>
              <w:ind w:left="3150" w:hanging="2430"/>
              <w:rPr>
                <w:bCs/>
                <w:lang w:val="pt-BR"/>
              </w:rPr>
            </w:pPr>
            <w:r w:rsidRPr="0013396E">
              <w:rPr>
                <w:bCs/>
                <w:color w:val="000000"/>
                <w:lang w:val="pt-BR"/>
              </w:rPr>
              <w:tab/>
            </w:r>
            <w:r w:rsidRPr="0013396E">
              <w:rPr>
                <w:bCs/>
                <w:lang w:val="pt-BR"/>
              </w:rPr>
              <w:t xml:space="preserve">RTVQ </w:t>
            </w:r>
            <w:r w:rsidRPr="0013396E">
              <w:rPr>
                <w:bCs/>
                <w:i/>
                <w:vertAlign w:val="subscript"/>
                <w:lang w:val="pt-BR"/>
              </w:rPr>
              <w:t xml:space="preserve">q, r, i </w:t>
            </w:r>
            <w:r w:rsidRPr="0013396E">
              <w:rPr>
                <w:bCs/>
                <w:lang w:val="pt-BR"/>
              </w:rPr>
              <w:t>= MRAIPF</w:t>
            </w:r>
            <w:r w:rsidRPr="0013396E">
              <w:rPr>
                <w:bCs/>
                <w:i/>
                <w:vertAlign w:val="subscript"/>
                <w:lang w:val="pt-BR"/>
              </w:rPr>
              <w:t xml:space="preserve"> q, r,i</w:t>
            </w:r>
            <w:r w:rsidRPr="0013396E">
              <w:rPr>
                <w:bCs/>
                <w:lang w:val="pt-BR"/>
              </w:rPr>
              <w:t xml:space="preserve"> * </w:t>
            </w:r>
            <w:r w:rsidRPr="0013396E">
              <w:rPr>
                <w:iCs/>
              </w:rPr>
              <w:t>MRACCAP</w:t>
            </w:r>
            <w:r w:rsidRPr="0013396E">
              <w:rPr>
                <w:sz w:val="20"/>
                <w:vertAlign w:val="subscript"/>
              </w:rPr>
              <w:t xml:space="preserve"> </w:t>
            </w:r>
            <w:r w:rsidRPr="0013396E">
              <w:rPr>
                <w:i/>
                <w:sz w:val="20"/>
                <w:vertAlign w:val="subscript"/>
              </w:rPr>
              <w:t xml:space="preserve">q, r, </w:t>
            </w:r>
            <w:r w:rsidRPr="0013396E">
              <w:rPr>
                <w:i/>
                <w:iCs/>
                <w:sz w:val="20"/>
                <w:vertAlign w:val="subscript"/>
              </w:rPr>
              <w:t xml:space="preserve">m  </w:t>
            </w:r>
            <w:r w:rsidRPr="0013396E">
              <w:rPr>
                <w:bCs/>
                <w:lang w:val="pt-BR"/>
              </w:rPr>
              <w:t>/ 4</w:t>
            </w:r>
          </w:p>
          <w:p w14:paraId="60D1CE94" w14:textId="343834D3" w:rsidR="00CE74E6" w:rsidRPr="0013396E" w:rsidRDefault="00CE74E6" w:rsidP="00CE74E6">
            <w:pPr>
              <w:pStyle w:val="BodyTextNumbered"/>
              <w:spacing w:before="240"/>
            </w:pPr>
            <w:r w:rsidRPr="0013396E">
              <w:rPr>
                <w:color w:val="000000"/>
              </w:rPr>
              <w:t>(</w:t>
            </w:r>
            <w:r w:rsidR="00AA432B" w:rsidRPr="0013396E">
              <w:rPr>
                <w:color w:val="000000"/>
              </w:rPr>
              <w:t>4</w:t>
            </w:r>
            <w:r w:rsidRPr="0013396E">
              <w:rPr>
                <w:color w:val="000000"/>
              </w:rPr>
              <w:t>)</w:t>
            </w:r>
            <w:r w:rsidRPr="0013396E">
              <w:rPr>
                <w:color w:val="000000"/>
              </w:rPr>
              <w:tab/>
            </w:r>
            <w:r w:rsidRPr="0013396E">
              <w:rPr>
                <w:bCs/>
                <w:color w:val="000000"/>
                <w:lang w:val="pt-BR"/>
              </w:rPr>
              <w:t xml:space="preserve">The variable payment to each QSE representing a Demand Response MRA: </w:t>
            </w:r>
          </w:p>
          <w:p w14:paraId="6BEEEC97" w14:textId="77777777" w:rsidR="00CE74E6" w:rsidRPr="0013396E" w:rsidRDefault="00CE74E6" w:rsidP="00CE74E6">
            <w:pPr>
              <w:tabs>
                <w:tab w:val="left" w:pos="2700"/>
                <w:tab w:val="left" w:pos="3150"/>
              </w:tabs>
              <w:spacing w:after="240"/>
              <w:ind w:left="720"/>
              <w:rPr>
                <w:bCs/>
                <w:color w:val="000000"/>
                <w:lang w:val="pt-BR"/>
              </w:rPr>
            </w:pPr>
            <w:r w:rsidRPr="0013396E">
              <w:rPr>
                <w:bCs/>
                <w:color w:val="000000"/>
                <w:lang w:val="pt-BR"/>
              </w:rPr>
              <w:t>For MRA Contracted Hours with a deployment instruction:</w:t>
            </w:r>
          </w:p>
          <w:p w14:paraId="47F73B1D" w14:textId="5920EFC9" w:rsidR="00CE74E6" w:rsidRPr="0013396E" w:rsidRDefault="00CE74E6" w:rsidP="00CE74E6">
            <w:pPr>
              <w:tabs>
                <w:tab w:val="left" w:pos="2700"/>
                <w:tab w:val="left" w:pos="3150"/>
              </w:tabs>
              <w:spacing w:after="240"/>
              <w:ind w:left="3150" w:hanging="2430"/>
              <w:rPr>
                <w:bCs/>
                <w:i/>
                <w:vertAlign w:val="subscript"/>
                <w:lang w:val="pt-BR"/>
              </w:rPr>
            </w:pPr>
            <w:r w:rsidRPr="0013396E">
              <w:rPr>
                <w:bCs/>
                <w:color w:val="000000"/>
                <w:lang w:val="pt-BR"/>
              </w:rPr>
              <w:t>MRAVAMT</w:t>
            </w:r>
            <w:r w:rsidRPr="0013396E">
              <w:rPr>
                <w:bCs/>
                <w:i/>
                <w:vertAlign w:val="subscript"/>
                <w:lang w:val="pt-BR"/>
              </w:rPr>
              <w:t>q, r</w:t>
            </w:r>
            <w:r w:rsidRPr="0013396E">
              <w:rPr>
                <w:bCs/>
                <w:vertAlign w:val="subscript"/>
                <w:lang w:val="pt-BR"/>
              </w:rPr>
              <w:t xml:space="preserve">, </w:t>
            </w:r>
            <w:r w:rsidRPr="0013396E">
              <w:rPr>
                <w:bCs/>
                <w:i/>
                <w:vertAlign w:val="subscript"/>
                <w:lang w:val="pt-BR"/>
              </w:rPr>
              <w:t>h</w:t>
            </w:r>
            <w:r w:rsidRPr="0013396E">
              <w:rPr>
                <w:bCs/>
                <w:lang w:val="pt-BR"/>
              </w:rPr>
              <w:t xml:space="preserve"> = (-1) * </w:t>
            </w:r>
            <w:r w:rsidR="00A94020" w:rsidRPr="0013396E">
              <w:rPr>
                <w:noProof/>
                <w:position w:val="-20"/>
              </w:rPr>
              <w:drawing>
                <wp:inline distT="0" distB="0" distL="0" distR="0" wp14:anchorId="398CE79B" wp14:editId="18B7AAD2">
                  <wp:extent cx="180975" cy="361950"/>
                  <wp:effectExtent l="0" t="0" r="9525" b="0"/>
                  <wp:docPr id="139"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36" cstate="print">
                            <a:extLst>
                              <a:ext uri="{28A0092B-C50C-407E-A947-70E740481C1C}">
                                <a14:useLocalDpi xmlns:a14="http://schemas.microsoft.com/office/drawing/2010/main" val="0"/>
                              </a:ext>
                            </a:extLst>
                          </a:blip>
                          <a:srcRect/>
                          <a:stretch>
                            <a:fillRect/>
                          </a:stretch>
                        </pic:blipFill>
                        <pic:spPr bwMode="auto">
                          <a:xfrm>
                            <a:off x="0" y="0"/>
                            <a:ext cx="180975" cy="361950"/>
                          </a:xfrm>
                          <a:prstGeom prst="rect">
                            <a:avLst/>
                          </a:prstGeom>
                          <a:noFill/>
                          <a:ln>
                            <a:noFill/>
                          </a:ln>
                        </pic:spPr>
                      </pic:pic>
                    </a:graphicData>
                  </a:graphic>
                </wp:inline>
              </w:drawing>
            </w:r>
            <w:r w:rsidRPr="0013396E">
              <w:rPr>
                <w:bCs/>
                <w:lang w:val="pt-BR"/>
              </w:rPr>
              <w:t>Max[VPRICE</w:t>
            </w:r>
            <w:r w:rsidRPr="0013396E">
              <w:rPr>
                <w:bCs/>
                <w:i/>
                <w:vertAlign w:val="subscript"/>
                <w:lang w:val="pt-BR"/>
              </w:rPr>
              <w:t xml:space="preserve"> q, r</w:t>
            </w:r>
            <w:r w:rsidRPr="0013396E">
              <w:rPr>
                <w:bCs/>
                <w:lang w:val="pt-BR"/>
              </w:rPr>
              <w:t>, (FIP + MRACEFA</w:t>
            </w:r>
            <w:r w:rsidRPr="0013396E">
              <w:rPr>
                <w:bCs/>
                <w:i/>
                <w:vertAlign w:val="subscript"/>
                <w:lang w:val="pt-BR"/>
              </w:rPr>
              <w:t xml:space="preserve"> q, r</w:t>
            </w:r>
            <w:r w:rsidRPr="0013396E">
              <w:rPr>
                <w:bCs/>
                <w:lang w:val="pt-BR"/>
              </w:rPr>
              <w:t xml:space="preserve">) * MRAPHR </w:t>
            </w:r>
            <w:r w:rsidRPr="0013396E">
              <w:rPr>
                <w:bCs/>
                <w:i/>
                <w:vertAlign w:val="subscript"/>
                <w:lang w:val="pt-BR"/>
              </w:rPr>
              <w:t>q, r</w:t>
            </w:r>
            <w:r w:rsidRPr="0013396E">
              <w:rPr>
                <w:bCs/>
                <w:lang w:val="pt-BR"/>
              </w:rPr>
              <w:t xml:space="preserve"> ] * RTVQ </w:t>
            </w:r>
            <w:r w:rsidRPr="0013396E">
              <w:rPr>
                <w:bCs/>
                <w:i/>
                <w:vertAlign w:val="subscript"/>
                <w:lang w:val="pt-BR"/>
              </w:rPr>
              <w:t xml:space="preserve">q, r, i </w:t>
            </w:r>
          </w:p>
          <w:p w14:paraId="72A3B4DA" w14:textId="77777777" w:rsidR="00CE74E6" w:rsidRPr="0013396E" w:rsidRDefault="00CE74E6" w:rsidP="00CE74E6">
            <w:pPr>
              <w:tabs>
                <w:tab w:val="left" w:pos="2700"/>
                <w:tab w:val="left" w:pos="3150"/>
              </w:tabs>
              <w:spacing w:after="240"/>
              <w:ind w:left="3150" w:hanging="2430"/>
              <w:rPr>
                <w:bCs/>
                <w:color w:val="000000"/>
                <w:lang w:val="pt-BR"/>
              </w:rPr>
            </w:pPr>
            <w:r w:rsidRPr="0013396E">
              <w:rPr>
                <w:bCs/>
                <w:color w:val="000000"/>
                <w:lang w:val="pt-BR"/>
              </w:rPr>
              <w:t>Where,</w:t>
            </w:r>
          </w:p>
          <w:p w14:paraId="0D5E0FED" w14:textId="77777777" w:rsidR="00CE74E6" w:rsidRPr="0013396E" w:rsidRDefault="00CE74E6" w:rsidP="00CE74E6">
            <w:pPr>
              <w:tabs>
                <w:tab w:val="left" w:pos="2700"/>
                <w:tab w:val="left" w:pos="3150"/>
              </w:tabs>
              <w:spacing w:after="240"/>
              <w:ind w:left="3150" w:hanging="2430"/>
              <w:rPr>
                <w:bCs/>
                <w:lang w:val="pt-BR"/>
              </w:rPr>
            </w:pPr>
            <w:r w:rsidRPr="0013396E">
              <w:rPr>
                <w:bCs/>
                <w:color w:val="000000"/>
                <w:lang w:val="pt-BR"/>
              </w:rPr>
              <w:tab/>
            </w:r>
            <w:r w:rsidRPr="0013396E">
              <w:rPr>
                <w:bCs/>
                <w:lang w:val="pt-BR"/>
              </w:rPr>
              <w:t xml:space="preserve">RTVQ </w:t>
            </w:r>
            <w:r w:rsidRPr="0013396E">
              <w:rPr>
                <w:bCs/>
                <w:i/>
                <w:vertAlign w:val="subscript"/>
                <w:lang w:val="pt-BR"/>
              </w:rPr>
              <w:t xml:space="preserve">q, r, i </w:t>
            </w:r>
            <w:r w:rsidRPr="0013396E">
              <w:rPr>
                <w:bCs/>
                <w:lang w:val="pt-BR"/>
              </w:rPr>
              <w:t>= MRAIPF</w:t>
            </w:r>
            <w:r w:rsidRPr="0013396E">
              <w:rPr>
                <w:bCs/>
                <w:i/>
                <w:vertAlign w:val="subscript"/>
                <w:lang w:val="pt-BR"/>
              </w:rPr>
              <w:t xml:space="preserve"> q, r,i</w:t>
            </w:r>
            <w:r w:rsidRPr="0013396E">
              <w:rPr>
                <w:bCs/>
                <w:lang w:val="pt-BR"/>
              </w:rPr>
              <w:t xml:space="preserve"> * </w:t>
            </w:r>
            <w:r w:rsidRPr="0013396E">
              <w:rPr>
                <w:iCs/>
              </w:rPr>
              <w:t>MRACCAP</w:t>
            </w:r>
            <w:r w:rsidRPr="0013396E">
              <w:rPr>
                <w:sz w:val="20"/>
                <w:vertAlign w:val="subscript"/>
              </w:rPr>
              <w:t xml:space="preserve"> </w:t>
            </w:r>
            <w:r w:rsidRPr="0013396E">
              <w:rPr>
                <w:i/>
                <w:sz w:val="20"/>
                <w:vertAlign w:val="subscript"/>
              </w:rPr>
              <w:t>q, r, m</w:t>
            </w:r>
            <w:r w:rsidRPr="0013396E">
              <w:rPr>
                <w:i/>
                <w:iCs/>
                <w:sz w:val="20"/>
                <w:vertAlign w:val="subscript"/>
              </w:rPr>
              <w:t xml:space="preserve">  </w:t>
            </w:r>
            <w:r w:rsidRPr="0013396E">
              <w:rPr>
                <w:bCs/>
                <w:lang w:val="pt-BR"/>
              </w:rPr>
              <w:t>/ 4</w:t>
            </w:r>
          </w:p>
          <w:p w14:paraId="6C95ACF8" w14:textId="77777777" w:rsidR="00CE74E6" w:rsidRPr="0013396E" w:rsidRDefault="00CE74E6" w:rsidP="00CE74E6">
            <w:r w:rsidRPr="0013396E">
              <w:t>The above variables are defined as follows:</w:t>
            </w: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5"/>
              <w:gridCol w:w="1080"/>
              <w:gridCol w:w="6300"/>
            </w:tblGrid>
            <w:tr w:rsidR="00A76C0B" w:rsidRPr="0013396E" w14:paraId="12AD754E" w14:textId="77777777" w:rsidTr="00CE1011">
              <w:trPr>
                <w:cantSplit/>
                <w:tblHeader/>
              </w:trPr>
              <w:tc>
                <w:tcPr>
                  <w:tcW w:w="1885" w:type="dxa"/>
                </w:tcPr>
                <w:p w14:paraId="451996F0" w14:textId="77777777" w:rsidR="00A76C0B" w:rsidRPr="0013396E" w:rsidRDefault="00A76C0B" w:rsidP="00A76C0B">
                  <w:pPr>
                    <w:spacing w:after="120"/>
                    <w:rPr>
                      <w:b/>
                      <w:iCs/>
                      <w:sz w:val="20"/>
                    </w:rPr>
                  </w:pPr>
                  <w:r w:rsidRPr="0013396E">
                    <w:rPr>
                      <w:b/>
                      <w:iCs/>
                      <w:sz w:val="20"/>
                    </w:rPr>
                    <w:t>Variable</w:t>
                  </w:r>
                </w:p>
              </w:tc>
              <w:tc>
                <w:tcPr>
                  <w:tcW w:w="1080" w:type="dxa"/>
                </w:tcPr>
                <w:p w14:paraId="01C03DF2" w14:textId="77777777" w:rsidR="00A76C0B" w:rsidRPr="0013396E" w:rsidRDefault="00A76C0B" w:rsidP="00A76C0B">
                  <w:pPr>
                    <w:spacing w:after="120"/>
                    <w:rPr>
                      <w:b/>
                      <w:iCs/>
                      <w:sz w:val="20"/>
                    </w:rPr>
                  </w:pPr>
                  <w:r w:rsidRPr="0013396E">
                    <w:rPr>
                      <w:b/>
                      <w:iCs/>
                      <w:sz w:val="20"/>
                    </w:rPr>
                    <w:t>Unit</w:t>
                  </w:r>
                </w:p>
              </w:tc>
              <w:tc>
                <w:tcPr>
                  <w:tcW w:w="6300" w:type="dxa"/>
                </w:tcPr>
                <w:p w14:paraId="47152EB3" w14:textId="77777777" w:rsidR="00A76C0B" w:rsidRPr="0013396E" w:rsidRDefault="00A76C0B" w:rsidP="00A76C0B">
                  <w:pPr>
                    <w:spacing w:after="120"/>
                    <w:rPr>
                      <w:b/>
                      <w:iCs/>
                      <w:sz w:val="20"/>
                    </w:rPr>
                  </w:pPr>
                  <w:r w:rsidRPr="0013396E">
                    <w:rPr>
                      <w:b/>
                      <w:iCs/>
                      <w:sz w:val="20"/>
                    </w:rPr>
                    <w:t>Definition</w:t>
                  </w:r>
                </w:p>
              </w:tc>
            </w:tr>
            <w:tr w:rsidR="00A76C0B" w:rsidRPr="0013396E" w14:paraId="107C7AF7" w14:textId="77777777" w:rsidTr="00CE1011">
              <w:trPr>
                <w:cantSplit/>
              </w:trPr>
              <w:tc>
                <w:tcPr>
                  <w:tcW w:w="1885" w:type="dxa"/>
                </w:tcPr>
                <w:p w14:paraId="2379E783" w14:textId="77777777" w:rsidR="00A76C0B" w:rsidRPr="0013396E" w:rsidRDefault="00A76C0B" w:rsidP="00A76C0B">
                  <w:pPr>
                    <w:spacing w:after="60"/>
                    <w:rPr>
                      <w:iCs/>
                      <w:sz w:val="20"/>
                    </w:rPr>
                  </w:pPr>
                  <w:r w:rsidRPr="0013396E">
                    <w:rPr>
                      <w:bCs/>
                      <w:color w:val="000000"/>
                      <w:sz w:val="20"/>
                      <w:lang w:val="pt-BR"/>
                    </w:rPr>
                    <w:t>MRAVAMT</w:t>
                  </w:r>
                  <w:r w:rsidRPr="0013396E">
                    <w:rPr>
                      <w:iCs/>
                      <w:sz w:val="20"/>
                    </w:rPr>
                    <w:t xml:space="preserve"> </w:t>
                  </w:r>
                  <w:r w:rsidRPr="0013396E">
                    <w:rPr>
                      <w:i/>
                      <w:iCs/>
                      <w:sz w:val="20"/>
                      <w:vertAlign w:val="subscript"/>
                    </w:rPr>
                    <w:t>q, r, h</w:t>
                  </w:r>
                </w:p>
              </w:tc>
              <w:tc>
                <w:tcPr>
                  <w:tcW w:w="1080" w:type="dxa"/>
                </w:tcPr>
                <w:p w14:paraId="16B34C95" w14:textId="77777777" w:rsidR="00A76C0B" w:rsidRPr="0013396E" w:rsidRDefault="00A76C0B" w:rsidP="00A76C0B">
                  <w:pPr>
                    <w:spacing w:after="60"/>
                    <w:rPr>
                      <w:iCs/>
                      <w:sz w:val="20"/>
                    </w:rPr>
                  </w:pPr>
                  <w:r w:rsidRPr="0013396E">
                    <w:rPr>
                      <w:iCs/>
                      <w:sz w:val="20"/>
                    </w:rPr>
                    <w:t>$</w:t>
                  </w:r>
                </w:p>
              </w:tc>
              <w:tc>
                <w:tcPr>
                  <w:tcW w:w="6300" w:type="dxa"/>
                </w:tcPr>
                <w:p w14:paraId="778DA83F" w14:textId="02013451" w:rsidR="00A76C0B" w:rsidRPr="0013396E" w:rsidRDefault="00A76C0B" w:rsidP="00A76C0B">
                  <w:pPr>
                    <w:spacing w:after="60"/>
                    <w:rPr>
                      <w:iCs/>
                      <w:sz w:val="20"/>
                    </w:rPr>
                  </w:pPr>
                  <w:r w:rsidRPr="0013396E">
                    <w:rPr>
                      <w:i/>
                      <w:iCs/>
                      <w:sz w:val="20"/>
                    </w:rPr>
                    <w:t>Must-Run Alternative Variable Amount per QSE per Resource by hour</w:t>
                  </w:r>
                  <w:r w:rsidRPr="0013396E">
                    <w:rPr>
                      <w:iCs/>
                      <w:sz w:val="20"/>
                    </w:rPr>
                    <w:t xml:space="preserve">—The variable payment to QSE </w:t>
                  </w:r>
                  <w:r w:rsidRPr="0013396E">
                    <w:rPr>
                      <w:i/>
                      <w:iCs/>
                      <w:sz w:val="20"/>
                    </w:rPr>
                    <w:t>q</w:t>
                  </w:r>
                  <w:r w:rsidRPr="0013396E">
                    <w:rPr>
                      <w:iCs/>
                      <w:sz w:val="20"/>
                    </w:rPr>
                    <w:t xml:space="preserve"> for MRA </w:t>
                  </w:r>
                  <w:r w:rsidRPr="0013396E">
                    <w:rPr>
                      <w:i/>
                      <w:iCs/>
                      <w:sz w:val="20"/>
                    </w:rPr>
                    <w:t>r</w:t>
                  </w:r>
                  <w:r w:rsidRPr="0013396E">
                    <w:rPr>
                      <w:iCs/>
                      <w:sz w:val="20"/>
                    </w:rPr>
                    <w:t>, for the hour</w:t>
                  </w:r>
                  <w:r w:rsidR="00AA432B" w:rsidRPr="0013396E">
                    <w:rPr>
                      <w:i/>
                      <w:sz w:val="20"/>
                    </w:rPr>
                    <w:t xml:space="preserve"> h</w:t>
                  </w:r>
                  <w:r w:rsidRPr="0013396E">
                    <w:rPr>
                      <w:iCs/>
                      <w:sz w:val="20"/>
                    </w:rPr>
                    <w:t xml:space="preserve">.  Where for a Combined Cycle Train, the Resource </w:t>
                  </w:r>
                  <w:r w:rsidRPr="0013396E">
                    <w:rPr>
                      <w:i/>
                      <w:iCs/>
                      <w:sz w:val="20"/>
                    </w:rPr>
                    <w:t xml:space="preserve">r </w:t>
                  </w:r>
                  <w:r w:rsidRPr="0013396E">
                    <w:rPr>
                      <w:iCs/>
                      <w:sz w:val="20"/>
                    </w:rPr>
                    <w:t>is the Combined Cycle Train.</w:t>
                  </w:r>
                </w:p>
              </w:tc>
            </w:tr>
            <w:tr w:rsidR="00A76C0B" w:rsidRPr="0013396E" w14:paraId="26C073B4" w14:textId="77777777" w:rsidTr="00CE1011">
              <w:trPr>
                <w:cantSplit/>
              </w:trPr>
              <w:tc>
                <w:tcPr>
                  <w:tcW w:w="1885" w:type="dxa"/>
                </w:tcPr>
                <w:p w14:paraId="128615CC" w14:textId="77777777" w:rsidR="00A76C0B" w:rsidRPr="0013396E" w:rsidRDefault="00A76C0B" w:rsidP="00A76C0B">
                  <w:pPr>
                    <w:spacing w:after="60"/>
                    <w:rPr>
                      <w:iCs/>
                      <w:color w:val="92D050"/>
                      <w:sz w:val="20"/>
                    </w:rPr>
                  </w:pPr>
                  <w:r w:rsidRPr="0013396E">
                    <w:rPr>
                      <w:bCs/>
                      <w:color w:val="000000"/>
                      <w:sz w:val="20"/>
                      <w:lang w:val="pt-BR"/>
                    </w:rPr>
                    <w:t>MRAGRCVP</w:t>
                  </w:r>
                  <w:r w:rsidRPr="0013396E">
                    <w:rPr>
                      <w:bCs/>
                      <w:sz w:val="20"/>
                      <w:lang w:val="pt-BR"/>
                    </w:rPr>
                    <w:t xml:space="preserve"> </w:t>
                  </w:r>
                  <w:r w:rsidRPr="0013396E">
                    <w:rPr>
                      <w:bCs/>
                      <w:i/>
                      <w:sz w:val="20"/>
                      <w:vertAlign w:val="subscript"/>
                      <w:lang w:val="pt-BR"/>
                    </w:rPr>
                    <w:t>q, r, h</w:t>
                  </w:r>
                  <w:r w:rsidRPr="0013396E">
                    <w:rPr>
                      <w:bCs/>
                      <w:sz w:val="20"/>
                      <w:lang w:val="pt-BR"/>
                    </w:rPr>
                    <w:t xml:space="preserve"> </w:t>
                  </w:r>
                </w:p>
              </w:tc>
              <w:tc>
                <w:tcPr>
                  <w:tcW w:w="1080" w:type="dxa"/>
                </w:tcPr>
                <w:p w14:paraId="3CFEF233" w14:textId="77777777" w:rsidR="00A76C0B" w:rsidRPr="0013396E" w:rsidRDefault="00A76C0B" w:rsidP="00A76C0B">
                  <w:pPr>
                    <w:spacing w:after="60"/>
                    <w:rPr>
                      <w:iCs/>
                      <w:sz w:val="20"/>
                    </w:rPr>
                  </w:pPr>
                  <w:r w:rsidRPr="0013396E">
                    <w:rPr>
                      <w:iCs/>
                      <w:sz w:val="20"/>
                    </w:rPr>
                    <w:t>$</w:t>
                  </w:r>
                </w:p>
              </w:tc>
              <w:tc>
                <w:tcPr>
                  <w:tcW w:w="6300" w:type="dxa"/>
                </w:tcPr>
                <w:p w14:paraId="1B9E661F" w14:textId="6ED04CD4" w:rsidR="00A76C0B" w:rsidRPr="0013396E" w:rsidRDefault="00A76C0B" w:rsidP="00A76C0B">
                  <w:pPr>
                    <w:spacing w:after="60"/>
                    <w:rPr>
                      <w:i/>
                      <w:iCs/>
                      <w:sz w:val="20"/>
                    </w:rPr>
                  </w:pPr>
                  <w:r w:rsidRPr="0013396E">
                    <w:rPr>
                      <w:i/>
                      <w:iCs/>
                      <w:sz w:val="20"/>
                    </w:rPr>
                    <w:t xml:space="preserve">Must-Run Alternative Generation Resource Calculated Variable Payment per QSE per Resource - </w:t>
                  </w:r>
                  <w:r w:rsidRPr="0013396E">
                    <w:rPr>
                      <w:iCs/>
                      <w:sz w:val="20"/>
                    </w:rPr>
                    <w:t xml:space="preserve">The variable payment to QSE </w:t>
                  </w:r>
                  <w:r w:rsidRPr="0013396E">
                    <w:rPr>
                      <w:i/>
                      <w:iCs/>
                      <w:sz w:val="20"/>
                    </w:rPr>
                    <w:t>q</w:t>
                  </w:r>
                  <w:r w:rsidRPr="0013396E">
                    <w:rPr>
                      <w:iCs/>
                      <w:sz w:val="20"/>
                    </w:rPr>
                    <w:t xml:space="preserve"> for Generation Resource MRA </w:t>
                  </w:r>
                  <w:r w:rsidRPr="0013396E">
                    <w:rPr>
                      <w:i/>
                      <w:iCs/>
                      <w:sz w:val="20"/>
                    </w:rPr>
                    <w:t>r</w:t>
                  </w:r>
                  <w:r w:rsidRPr="0013396E">
                    <w:rPr>
                      <w:iCs/>
                      <w:sz w:val="20"/>
                    </w:rPr>
                    <w:t>, for the hour</w:t>
                  </w:r>
                  <w:r w:rsidR="00AA432B" w:rsidRPr="0013396E">
                    <w:rPr>
                      <w:i/>
                      <w:sz w:val="20"/>
                    </w:rPr>
                    <w:t xml:space="preserve"> h</w:t>
                  </w:r>
                  <w:r w:rsidRPr="0013396E">
                    <w:rPr>
                      <w:iCs/>
                      <w:sz w:val="20"/>
                    </w:rPr>
                    <w:t xml:space="preserve">.  Where for a Combined Cycle Train, the Resource </w:t>
                  </w:r>
                  <w:r w:rsidRPr="0013396E">
                    <w:rPr>
                      <w:i/>
                      <w:iCs/>
                      <w:sz w:val="20"/>
                    </w:rPr>
                    <w:t xml:space="preserve">r </w:t>
                  </w:r>
                  <w:r w:rsidRPr="0013396E">
                    <w:rPr>
                      <w:iCs/>
                      <w:sz w:val="20"/>
                    </w:rPr>
                    <w:t>is the Combined Cycle Train.</w:t>
                  </w:r>
                </w:p>
              </w:tc>
            </w:tr>
            <w:tr w:rsidR="00A76C0B" w:rsidRPr="0013396E" w14:paraId="158FC4D6" w14:textId="77777777" w:rsidTr="00CE1011">
              <w:trPr>
                <w:cantSplit/>
              </w:trPr>
              <w:tc>
                <w:tcPr>
                  <w:tcW w:w="1885" w:type="dxa"/>
                </w:tcPr>
                <w:p w14:paraId="40237BF5" w14:textId="77777777" w:rsidR="00A76C0B" w:rsidRPr="0013396E" w:rsidRDefault="00A76C0B" w:rsidP="00A76C0B">
                  <w:pPr>
                    <w:spacing w:after="60"/>
                    <w:rPr>
                      <w:iCs/>
                      <w:sz w:val="20"/>
                    </w:rPr>
                  </w:pPr>
                  <w:r w:rsidRPr="0013396E">
                    <w:rPr>
                      <w:iCs/>
                      <w:sz w:val="20"/>
                    </w:rPr>
                    <w:t>FIP</w:t>
                  </w:r>
                </w:p>
              </w:tc>
              <w:tc>
                <w:tcPr>
                  <w:tcW w:w="1080" w:type="dxa"/>
                </w:tcPr>
                <w:p w14:paraId="2C574F5B" w14:textId="77777777" w:rsidR="00A76C0B" w:rsidRPr="0013396E" w:rsidRDefault="00A76C0B" w:rsidP="00A76C0B">
                  <w:pPr>
                    <w:spacing w:after="60"/>
                    <w:rPr>
                      <w:iCs/>
                      <w:sz w:val="20"/>
                    </w:rPr>
                  </w:pPr>
                  <w:r w:rsidRPr="0013396E">
                    <w:rPr>
                      <w:iCs/>
                      <w:sz w:val="20"/>
                    </w:rPr>
                    <w:t>$/MMBtu</w:t>
                  </w:r>
                </w:p>
              </w:tc>
              <w:tc>
                <w:tcPr>
                  <w:tcW w:w="6300" w:type="dxa"/>
                </w:tcPr>
                <w:p w14:paraId="2C8C185F" w14:textId="77777777" w:rsidR="00A76C0B" w:rsidRPr="0013396E" w:rsidRDefault="00A76C0B" w:rsidP="00A76C0B">
                  <w:pPr>
                    <w:spacing w:after="60"/>
                    <w:rPr>
                      <w:iCs/>
                      <w:sz w:val="20"/>
                    </w:rPr>
                  </w:pPr>
                  <w:r w:rsidRPr="0013396E">
                    <w:rPr>
                      <w:i/>
                      <w:iCs/>
                      <w:sz w:val="20"/>
                    </w:rPr>
                    <w:t>Fuel Index Price</w:t>
                  </w:r>
                  <w:r w:rsidRPr="0013396E">
                    <w:rPr>
                      <w:iCs/>
                      <w:sz w:val="20"/>
                    </w:rPr>
                    <w:t>—The FIP for the Operating Day.</w:t>
                  </w:r>
                </w:p>
              </w:tc>
            </w:tr>
            <w:tr w:rsidR="00A76C0B" w:rsidRPr="0013396E" w14:paraId="35372463" w14:textId="77777777" w:rsidTr="00CE1011">
              <w:trPr>
                <w:cantSplit/>
              </w:trPr>
              <w:tc>
                <w:tcPr>
                  <w:tcW w:w="1885" w:type="dxa"/>
                </w:tcPr>
                <w:p w14:paraId="477F14CB" w14:textId="77777777" w:rsidR="00A76C0B" w:rsidRPr="0013396E" w:rsidRDefault="00A76C0B" w:rsidP="00A76C0B">
                  <w:pPr>
                    <w:spacing w:after="60"/>
                    <w:rPr>
                      <w:iCs/>
                      <w:sz w:val="20"/>
                    </w:rPr>
                  </w:pPr>
                  <w:r w:rsidRPr="0013396E">
                    <w:rPr>
                      <w:bCs/>
                      <w:color w:val="000000"/>
                      <w:sz w:val="20"/>
                      <w:lang w:val="pt-BR"/>
                    </w:rPr>
                    <w:t>MRARTREV</w:t>
                  </w:r>
                  <w:r w:rsidRPr="0013396E">
                    <w:rPr>
                      <w:bCs/>
                      <w:i/>
                      <w:sz w:val="20"/>
                      <w:vertAlign w:val="subscript"/>
                      <w:lang w:val="pt-BR"/>
                    </w:rPr>
                    <w:t>q, r</w:t>
                  </w:r>
                  <w:r w:rsidRPr="0013396E">
                    <w:rPr>
                      <w:bCs/>
                      <w:sz w:val="20"/>
                      <w:vertAlign w:val="subscript"/>
                      <w:lang w:val="pt-BR"/>
                    </w:rPr>
                    <w:t xml:space="preserve">, </w:t>
                  </w:r>
                  <w:r w:rsidRPr="0013396E">
                    <w:rPr>
                      <w:bCs/>
                      <w:i/>
                      <w:sz w:val="20"/>
                      <w:vertAlign w:val="subscript"/>
                      <w:lang w:val="pt-BR"/>
                    </w:rPr>
                    <w:t>h</w:t>
                  </w:r>
                </w:p>
              </w:tc>
              <w:tc>
                <w:tcPr>
                  <w:tcW w:w="1080" w:type="dxa"/>
                </w:tcPr>
                <w:p w14:paraId="714D7B6C" w14:textId="77777777" w:rsidR="00A76C0B" w:rsidRPr="0013396E" w:rsidRDefault="00A76C0B" w:rsidP="00A76C0B">
                  <w:pPr>
                    <w:spacing w:after="60"/>
                    <w:rPr>
                      <w:iCs/>
                      <w:sz w:val="20"/>
                    </w:rPr>
                  </w:pPr>
                  <w:r w:rsidRPr="0013396E">
                    <w:rPr>
                      <w:iCs/>
                      <w:sz w:val="20"/>
                    </w:rPr>
                    <w:t>$</w:t>
                  </w:r>
                </w:p>
              </w:tc>
              <w:tc>
                <w:tcPr>
                  <w:tcW w:w="6300" w:type="dxa"/>
                </w:tcPr>
                <w:p w14:paraId="4484C99B" w14:textId="2AF34D53" w:rsidR="00A76C0B" w:rsidRPr="0013396E" w:rsidRDefault="00A76C0B" w:rsidP="00A76C0B">
                  <w:pPr>
                    <w:spacing w:after="60"/>
                    <w:rPr>
                      <w:i/>
                      <w:iCs/>
                      <w:sz w:val="20"/>
                    </w:rPr>
                  </w:pPr>
                  <w:r w:rsidRPr="0013396E">
                    <w:rPr>
                      <w:i/>
                      <w:iCs/>
                      <w:sz w:val="20"/>
                    </w:rPr>
                    <w:t>Must-Run Alternative Real-Time Revenues per QSE per Resource by hour</w:t>
                  </w:r>
                  <w:r w:rsidRPr="0013396E">
                    <w:rPr>
                      <w:iCs/>
                      <w:sz w:val="20"/>
                    </w:rPr>
                    <w:t xml:space="preserve">—The revenues received in Real-Time for QSE </w:t>
                  </w:r>
                  <w:r w:rsidRPr="0013396E">
                    <w:rPr>
                      <w:i/>
                      <w:iCs/>
                      <w:sz w:val="20"/>
                    </w:rPr>
                    <w:t>q</w:t>
                  </w:r>
                  <w:r w:rsidRPr="0013396E">
                    <w:rPr>
                      <w:iCs/>
                      <w:sz w:val="20"/>
                    </w:rPr>
                    <w:t xml:space="preserve"> for MRA </w:t>
                  </w:r>
                  <w:r w:rsidRPr="0013396E">
                    <w:rPr>
                      <w:i/>
                      <w:iCs/>
                      <w:sz w:val="20"/>
                    </w:rPr>
                    <w:t>r</w:t>
                  </w:r>
                  <w:r w:rsidRPr="0013396E">
                    <w:rPr>
                      <w:iCs/>
                      <w:sz w:val="20"/>
                    </w:rPr>
                    <w:t>, for the hour</w:t>
                  </w:r>
                  <w:r w:rsidR="00AA432B" w:rsidRPr="0013396E">
                    <w:rPr>
                      <w:i/>
                      <w:sz w:val="20"/>
                    </w:rPr>
                    <w:t xml:space="preserve"> h</w:t>
                  </w:r>
                  <w:r w:rsidRPr="0013396E">
                    <w:rPr>
                      <w:iCs/>
                      <w:sz w:val="20"/>
                    </w:rPr>
                    <w:t xml:space="preserve">.  Where for a Combined Cycle Train, the Resource </w:t>
                  </w:r>
                  <w:r w:rsidRPr="0013396E">
                    <w:rPr>
                      <w:i/>
                      <w:iCs/>
                      <w:sz w:val="20"/>
                    </w:rPr>
                    <w:t xml:space="preserve">r </w:t>
                  </w:r>
                  <w:r w:rsidRPr="0013396E">
                    <w:rPr>
                      <w:iCs/>
                      <w:sz w:val="20"/>
                    </w:rPr>
                    <w:t>is the Combined Cycle Train.</w:t>
                  </w:r>
                </w:p>
              </w:tc>
            </w:tr>
            <w:tr w:rsidR="00AA432B" w:rsidRPr="0013396E" w14:paraId="452AD0F3" w14:textId="77777777" w:rsidTr="00CE1011">
              <w:trPr>
                <w:cantSplit/>
              </w:trPr>
              <w:tc>
                <w:tcPr>
                  <w:tcW w:w="1885" w:type="dxa"/>
                </w:tcPr>
                <w:p w14:paraId="3EBE9E46" w14:textId="1DD56DC2" w:rsidR="00AA432B" w:rsidRPr="0013396E" w:rsidRDefault="00AA432B" w:rsidP="00AA432B">
                  <w:pPr>
                    <w:spacing w:after="60"/>
                    <w:rPr>
                      <w:bCs/>
                      <w:color w:val="000000"/>
                      <w:sz w:val="20"/>
                      <w:lang w:val="pt-BR"/>
                    </w:rPr>
                  </w:pPr>
                  <w:r w:rsidRPr="0013396E">
                    <w:rPr>
                      <w:sz w:val="20"/>
                    </w:rPr>
                    <w:lastRenderedPageBreak/>
                    <w:t>MRAESRCVP</w:t>
                  </w:r>
                  <w:r w:rsidRPr="0013396E">
                    <w:t xml:space="preserve"> </w:t>
                  </w:r>
                  <w:r w:rsidRPr="0013396E">
                    <w:rPr>
                      <w:bCs/>
                      <w:i/>
                      <w:sz w:val="20"/>
                      <w:vertAlign w:val="subscript"/>
                      <w:lang w:val="pt-BR"/>
                    </w:rPr>
                    <w:t>q, r, h</w:t>
                  </w:r>
                  <w:r w:rsidRPr="0013396E">
                    <w:t xml:space="preserve"> </w:t>
                  </w:r>
                </w:p>
              </w:tc>
              <w:tc>
                <w:tcPr>
                  <w:tcW w:w="1080" w:type="dxa"/>
                </w:tcPr>
                <w:p w14:paraId="31CAAFA2" w14:textId="1FE075F5" w:rsidR="00AA432B" w:rsidRPr="0013396E" w:rsidRDefault="00AA432B" w:rsidP="00AA432B">
                  <w:pPr>
                    <w:spacing w:after="60"/>
                    <w:rPr>
                      <w:iCs/>
                      <w:sz w:val="20"/>
                    </w:rPr>
                  </w:pPr>
                  <w:r w:rsidRPr="0013396E">
                    <w:rPr>
                      <w:sz w:val="20"/>
                    </w:rPr>
                    <w:t>$</w:t>
                  </w:r>
                </w:p>
              </w:tc>
              <w:tc>
                <w:tcPr>
                  <w:tcW w:w="6300" w:type="dxa"/>
                </w:tcPr>
                <w:p w14:paraId="47C0A947" w14:textId="011A009D" w:rsidR="00AA432B" w:rsidRPr="0013396E" w:rsidRDefault="00AA432B" w:rsidP="00AA432B">
                  <w:pPr>
                    <w:spacing w:after="60"/>
                    <w:rPr>
                      <w:i/>
                      <w:iCs/>
                      <w:sz w:val="20"/>
                    </w:rPr>
                  </w:pPr>
                  <w:r w:rsidRPr="0013396E">
                    <w:rPr>
                      <w:i/>
                      <w:iCs/>
                      <w:sz w:val="20"/>
                    </w:rPr>
                    <w:t>Must-Run Alternative Energy Storage Resource Calculated Variable Payment per QSE per Resource</w:t>
                  </w:r>
                  <w:r w:rsidRPr="0013396E">
                    <w:rPr>
                      <w:iCs/>
                      <w:sz w:val="20"/>
                    </w:rPr>
                    <w:t>—</w:t>
                  </w:r>
                  <w:r w:rsidRPr="0013396E">
                    <w:rPr>
                      <w:sz w:val="20"/>
                    </w:rPr>
                    <w:t xml:space="preserve">The variable payment to QSE </w:t>
                  </w:r>
                  <w:r w:rsidRPr="0013396E">
                    <w:rPr>
                      <w:i/>
                      <w:iCs/>
                      <w:sz w:val="20"/>
                    </w:rPr>
                    <w:t>q</w:t>
                  </w:r>
                  <w:r w:rsidRPr="0013396E">
                    <w:rPr>
                      <w:sz w:val="20"/>
                    </w:rPr>
                    <w:t xml:space="preserve"> for ESR MRA </w:t>
                  </w:r>
                  <w:r w:rsidRPr="0013396E">
                    <w:rPr>
                      <w:i/>
                      <w:iCs/>
                      <w:sz w:val="20"/>
                    </w:rPr>
                    <w:t>r</w:t>
                  </w:r>
                  <w:r w:rsidRPr="0013396E">
                    <w:rPr>
                      <w:sz w:val="20"/>
                    </w:rPr>
                    <w:t>, for the hour</w:t>
                  </w:r>
                  <w:r w:rsidRPr="0013396E">
                    <w:rPr>
                      <w:i/>
                      <w:sz w:val="20"/>
                    </w:rPr>
                    <w:t xml:space="preserve"> h</w:t>
                  </w:r>
                  <w:r w:rsidRPr="0013396E">
                    <w:rPr>
                      <w:sz w:val="20"/>
                    </w:rPr>
                    <w:t>.</w:t>
                  </w:r>
                  <w:r w:rsidRPr="0013396E">
                    <w:t xml:space="preserve">  </w:t>
                  </w:r>
                </w:p>
              </w:tc>
            </w:tr>
            <w:tr w:rsidR="00AA432B" w:rsidRPr="0013396E" w14:paraId="662F9A69" w14:textId="77777777" w:rsidTr="00CE1011">
              <w:trPr>
                <w:cantSplit/>
              </w:trPr>
              <w:tc>
                <w:tcPr>
                  <w:tcW w:w="1885" w:type="dxa"/>
                </w:tcPr>
                <w:p w14:paraId="0CB9D52D" w14:textId="5D963AE2" w:rsidR="00AA432B" w:rsidRPr="0013396E" w:rsidRDefault="00AA432B" w:rsidP="00AA432B">
                  <w:pPr>
                    <w:spacing w:after="60"/>
                    <w:rPr>
                      <w:bCs/>
                      <w:color w:val="000000"/>
                      <w:sz w:val="20"/>
                      <w:lang w:val="pt-BR"/>
                    </w:rPr>
                  </w:pPr>
                  <w:r w:rsidRPr="0013396E">
                    <w:rPr>
                      <w:sz w:val="20"/>
                    </w:rPr>
                    <w:t>ESRARCOST</w:t>
                  </w:r>
                  <w:r w:rsidRPr="0013396E">
                    <w:rPr>
                      <w:i/>
                      <w:iCs/>
                    </w:rPr>
                    <w:t xml:space="preserve"> </w:t>
                  </w:r>
                  <w:r w:rsidRPr="0013396E">
                    <w:rPr>
                      <w:bCs/>
                      <w:i/>
                      <w:iCs/>
                      <w:sz w:val="20"/>
                      <w:vertAlign w:val="subscript"/>
                      <w:lang w:val="pt-BR"/>
                    </w:rPr>
                    <w:t>q, r</w:t>
                  </w:r>
                </w:p>
              </w:tc>
              <w:tc>
                <w:tcPr>
                  <w:tcW w:w="1080" w:type="dxa"/>
                </w:tcPr>
                <w:p w14:paraId="5033C8A2" w14:textId="675DE49D" w:rsidR="00AA432B" w:rsidRPr="0013396E" w:rsidRDefault="00AA432B" w:rsidP="00AA432B">
                  <w:pPr>
                    <w:spacing w:after="60"/>
                    <w:rPr>
                      <w:iCs/>
                      <w:sz w:val="20"/>
                    </w:rPr>
                  </w:pPr>
                  <w:r w:rsidRPr="0013396E">
                    <w:rPr>
                      <w:sz w:val="20"/>
                    </w:rPr>
                    <w:t>$/MWh</w:t>
                  </w:r>
                </w:p>
              </w:tc>
              <w:tc>
                <w:tcPr>
                  <w:tcW w:w="6300" w:type="dxa"/>
                </w:tcPr>
                <w:p w14:paraId="6DA4CBE9" w14:textId="181851A6" w:rsidR="00AA432B" w:rsidRPr="0013396E" w:rsidRDefault="00AA432B" w:rsidP="00AA432B">
                  <w:pPr>
                    <w:spacing w:after="60"/>
                    <w:rPr>
                      <w:i/>
                      <w:iCs/>
                      <w:sz w:val="20"/>
                    </w:rPr>
                  </w:pPr>
                  <w:r w:rsidRPr="0013396E">
                    <w:rPr>
                      <w:i/>
                      <w:iCs/>
                      <w:sz w:val="20"/>
                    </w:rPr>
                    <w:t>Must-Run Alternative Energy Storage Resource Average Recharge Cost per QSE per Resource</w:t>
                  </w:r>
                  <w:r w:rsidRPr="0013396E">
                    <w:t>—</w:t>
                  </w:r>
                  <w:r w:rsidRPr="0013396E">
                    <w:rPr>
                      <w:sz w:val="20"/>
                    </w:rPr>
                    <w:t xml:space="preserve">The average cost to recharge the ESR MRA </w:t>
                  </w:r>
                  <w:r w:rsidRPr="0013396E">
                    <w:rPr>
                      <w:i/>
                      <w:iCs/>
                      <w:sz w:val="20"/>
                    </w:rPr>
                    <w:t>r</w:t>
                  </w:r>
                  <w:r w:rsidRPr="0013396E">
                    <w:rPr>
                      <w:sz w:val="20"/>
                    </w:rPr>
                    <w:t xml:space="preserve">, for QSE </w:t>
                  </w:r>
                  <w:r w:rsidRPr="0013396E">
                    <w:rPr>
                      <w:i/>
                      <w:iCs/>
                      <w:sz w:val="20"/>
                    </w:rPr>
                    <w:t>q</w:t>
                  </w:r>
                  <w:r w:rsidRPr="0013396E">
                    <w:rPr>
                      <w:sz w:val="20"/>
                    </w:rPr>
                    <w:t>, during the period the ESR is charging to restore its capability to provide the contracted amount of MRA service</w:t>
                  </w:r>
                  <w:r w:rsidRPr="0013396E">
                    <w:t xml:space="preserve">.  </w:t>
                  </w:r>
                </w:p>
              </w:tc>
            </w:tr>
            <w:tr w:rsidR="00A76C0B" w:rsidRPr="0013396E" w14:paraId="676C5212" w14:textId="77777777" w:rsidTr="00CE1011">
              <w:trPr>
                <w:cantSplit/>
              </w:trPr>
              <w:tc>
                <w:tcPr>
                  <w:tcW w:w="1885" w:type="dxa"/>
                </w:tcPr>
                <w:p w14:paraId="1F7BC514" w14:textId="77777777" w:rsidR="00A76C0B" w:rsidRPr="0013396E" w:rsidRDefault="00A76C0B" w:rsidP="00A76C0B">
                  <w:pPr>
                    <w:spacing w:after="60"/>
                    <w:rPr>
                      <w:bCs/>
                      <w:color w:val="000000"/>
                      <w:sz w:val="20"/>
                      <w:lang w:val="pt-BR"/>
                    </w:rPr>
                  </w:pPr>
                  <w:r w:rsidRPr="0013396E">
                    <w:rPr>
                      <w:sz w:val="20"/>
                    </w:rPr>
                    <w:t>MRACCAP</w:t>
                  </w:r>
                  <w:r w:rsidRPr="0013396E">
                    <w:rPr>
                      <w:sz w:val="20"/>
                      <w:vertAlign w:val="subscript"/>
                    </w:rPr>
                    <w:t xml:space="preserve"> </w:t>
                  </w:r>
                  <w:r w:rsidRPr="0013396E">
                    <w:rPr>
                      <w:i/>
                      <w:sz w:val="20"/>
                      <w:vertAlign w:val="subscript"/>
                    </w:rPr>
                    <w:t xml:space="preserve">q, r, </w:t>
                  </w:r>
                  <w:r w:rsidRPr="0013396E">
                    <w:rPr>
                      <w:i/>
                      <w:iCs/>
                      <w:sz w:val="20"/>
                      <w:vertAlign w:val="subscript"/>
                    </w:rPr>
                    <w:t>m</w:t>
                  </w:r>
                </w:p>
              </w:tc>
              <w:tc>
                <w:tcPr>
                  <w:tcW w:w="1080" w:type="dxa"/>
                </w:tcPr>
                <w:p w14:paraId="6A44654F" w14:textId="77777777" w:rsidR="00A76C0B" w:rsidRPr="0013396E" w:rsidRDefault="00A76C0B" w:rsidP="00A76C0B">
                  <w:pPr>
                    <w:spacing w:after="60"/>
                    <w:rPr>
                      <w:iCs/>
                      <w:sz w:val="20"/>
                    </w:rPr>
                  </w:pPr>
                  <w:r w:rsidRPr="0013396E">
                    <w:rPr>
                      <w:iCs/>
                      <w:sz w:val="20"/>
                    </w:rPr>
                    <w:t>MW</w:t>
                  </w:r>
                </w:p>
              </w:tc>
              <w:tc>
                <w:tcPr>
                  <w:tcW w:w="6300" w:type="dxa"/>
                </w:tcPr>
                <w:p w14:paraId="5CEF67C1" w14:textId="77777777" w:rsidR="00A76C0B" w:rsidRPr="0013396E" w:rsidRDefault="00A76C0B" w:rsidP="00A76C0B">
                  <w:pPr>
                    <w:spacing w:after="60"/>
                    <w:rPr>
                      <w:i/>
                      <w:iCs/>
                      <w:sz w:val="20"/>
                    </w:rPr>
                  </w:pPr>
                  <w:r w:rsidRPr="0013396E">
                    <w:rPr>
                      <w:i/>
                      <w:sz w:val="20"/>
                    </w:rPr>
                    <w:t>Must-Run Alternative Contract Capacity per QSE per Resource</w:t>
                  </w:r>
                  <w:r w:rsidRPr="0013396E">
                    <w:rPr>
                      <w:sz w:val="20"/>
                    </w:rPr>
                    <w:t xml:space="preserve">—The capacity of MRA </w:t>
                  </w:r>
                  <w:r w:rsidRPr="0013396E">
                    <w:rPr>
                      <w:i/>
                      <w:sz w:val="20"/>
                    </w:rPr>
                    <w:t>r</w:t>
                  </w:r>
                  <w:r w:rsidRPr="0013396E">
                    <w:rPr>
                      <w:sz w:val="20"/>
                    </w:rPr>
                    <w:t xml:space="preserve"> represented by QSE </w:t>
                  </w:r>
                  <w:r w:rsidRPr="0013396E">
                    <w:rPr>
                      <w:i/>
                      <w:sz w:val="20"/>
                    </w:rPr>
                    <w:t>q</w:t>
                  </w:r>
                  <w:r w:rsidRPr="0013396E">
                    <w:rPr>
                      <w:sz w:val="20"/>
                    </w:rPr>
                    <w:t xml:space="preserve"> as specified in the MRA Agreement, for the month.  Where for a Combined Cycle Train, the Resource </w:t>
                  </w:r>
                  <w:r w:rsidRPr="0013396E">
                    <w:rPr>
                      <w:i/>
                      <w:sz w:val="20"/>
                    </w:rPr>
                    <w:t xml:space="preserve">r </w:t>
                  </w:r>
                  <w:r w:rsidRPr="0013396E">
                    <w:rPr>
                      <w:sz w:val="20"/>
                    </w:rPr>
                    <w:t>is the Combined Cycle Train.</w:t>
                  </w:r>
                </w:p>
              </w:tc>
            </w:tr>
            <w:tr w:rsidR="00A76C0B" w:rsidRPr="0013396E" w14:paraId="018E4B00" w14:textId="77777777" w:rsidTr="00CE1011">
              <w:trPr>
                <w:cantSplit/>
              </w:trPr>
              <w:tc>
                <w:tcPr>
                  <w:tcW w:w="1885" w:type="dxa"/>
                </w:tcPr>
                <w:p w14:paraId="41955927" w14:textId="77777777" w:rsidR="00A76C0B" w:rsidRPr="0013396E" w:rsidRDefault="00A76C0B" w:rsidP="00A76C0B">
                  <w:pPr>
                    <w:spacing w:after="60"/>
                    <w:rPr>
                      <w:sz w:val="20"/>
                    </w:rPr>
                  </w:pPr>
                  <w:r w:rsidRPr="0013396E">
                    <w:rPr>
                      <w:iCs/>
                      <w:sz w:val="20"/>
                    </w:rPr>
                    <w:t xml:space="preserve">MRAIPF </w:t>
                  </w:r>
                  <w:r w:rsidRPr="0013396E">
                    <w:rPr>
                      <w:bCs/>
                      <w:i/>
                      <w:vertAlign w:val="subscript"/>
                      <w:lang w:val="pt-BR"/>
                    </w:rPr>
                    <w:t>q, r, i</w:t>
                  </w:r>
                </w:p>
              </w:tc>
              <w:tc>
                <w:tcPr>
                  <w:tcW w:w="1080" w:type="dxa"/>
                </w:tcPr>
                <w:p w14:paraId="1989F421" w14:textId="77777777" w:rsidR="00A76C0B" w:rsidRPr="0013396E" w:rsidRDefault="00A76C0B" w:rsidP="00A76C0B">
                  <w:pPr>
                    <w:spacing w:after="60"/>
                    <w:rPr>
                      <w:iCs/>
                      <w:sz w:val="20"/>
                    </w:rPr>
                  </w:pPr>
                  <w:r w:rsidRPr="0013396E">
                    <w:rPr>
                      <w:sz w:val="20"/>
                    </w:rPr>
                    <w:t>none</w:t>
                  </w:r>
                </w:p>
              </w:tc>
              <w:tc>
                <w:tcPr>
                  <w:tcW w:w="6300" w:type="dxa"/>
                </w:tcPr>
                <w:p w14:paraId="5C6749FD" w14:textId="77777777" w:rsidR="00A76C0B" w:rsidRPr="0013396E" w:rsidRDefault="00A76C0B" w:rsidP="00A76C0B">
                  <w:pPr>
                    <w:spacing w:after="60"/>
                    <w:rPr>
                      <w:i/>
                      <w:sz w:val="20"/>
                    </w:rPr>
                  </w:pPr>
                  <w:r w:rsidRPr="0013396E">
                    <w:rPr>
                      <w:i/>
                      <w:iCs/>
                      <w:sz w:val="20"/>
                    </w:rPr>
                    <w:t xml:space="preserve">Must-Run Alternative Interval Performance </w:t>
                  </w:r>
                  <w:r w:rsidRPr="0013396E">
                    <w:rPr>
                      <w:i/>
                      <w:sz w:val="20"/>
                    </w:rPr>
                    <w:t>Factor per QSE per Resource for the interval</w:t>
                  </w:r>
                  <w:r w:rsidRPr="0013396E">
                    <w:rPr>
                      <w:sz w:val="20"/>
                    </w:rPr>
                    <w:t>— The interval performance factor of the MRA</w:t>
                  </w:r>
                  <w:r w:rsidRPr="0013396E">
                    <w:rPr>
                      <w:i/>
                      <w:iCs/>
                      <w:sz w:val="20"/>
                    </w:rPr>
                    <w:t xml:space="preserve"> r </w:t>
                  </w:r>
                  <w:r w:rsidRPr="0013396E">
                    <w:rPr>
                      <w:iCs/>
                      <w:sz w:val="20"/>
                    </w:rPr>
                    <w:t xml:space="preserve">represented by QSE </w:t>
                  </w:r>
                  <w:r w:rsidRPr="0013396E">
                    <w:rPr>
                      <w:i/>
                      <w:iCs/>
                      <w:sz w:val="20"/>
                    </w:rPr>
                    <w:t>q</w:t>
                  </w:r>
                  <w:r w:rsidRPr="0013396E">
                    <w:rPr>
                      <w:sz w:val="20"/>
                    </w:rPr>
                    <w:t xml:space="preserve">, for the 15-minute Settlement Interval </w:t>
                  </w:r>
                  <w:r w:rsidRPr="0013396E">
                    <w:rPr>
                      <w:i/>
                      <w:sz w:val="20"/>
                    </w:rPr>
                    <w:t>i</w:t>
                  </w:r>
                  <w:r w:rsidRPr="0013396E">
                    <w:rPr>
                      <w:sz w:val="20"/>
                    </w:rPr>
                    <w:t xml:space="preserve">.  </w:t>
                  </w:r>
                </w:p>
              </w:tc>
            </w:tr>
            <w:tr w:rsidR="00A76C0B" w:rsidRPr="0013396E" w14:paraId="6553FCBB" w14:textId="77777777" w:rsidTr="00CE1011">
              <w:trPr>
                <w:cantSplit/>
              </w:trPr>
              <w:tc>
                <w:tcPr>
                  <w:tcW w:w="1885" w:type="dxa"/>
                </w:tcPr>
                <w:p w14:paraId="4ADFFB8B" w14:textId="77777777" w:rsidR="00A76C0B" w:rsidRPr="0013396E" w:rsidRDefault="00A76C0B" w:rsidP="00A76C0B">
                  <w:pPr>
                    <w:spacing w:after="60"/>
                    <w:rPr>
                      <w:bCs/>
                      <w:color w:val="000000"/>
                      <w:sz w:val="20"/>
                      <w:lang w:val="pt-BR"/>
                    </w:rPr>
                  </w:pPr>
                  <w:r w:rsidRPr="0013396E">
                    <w:rPr>
                      <w:bCs/>
                      <w:color w:val="000000"/>
                      <w:sz w:val="20"/>
                      <w:lang w:val="pt-BR"/>
                    </w:rPr>
                    <w:t>MRACVP</w:t>
                  </w:r>
                  <w:r w:rsidRPr="0013396E">
                    <w:rPr>
                      <w:bCs/>
                      <w:sz w:val="20"/>
                      <w:lang w:val="pt-BR"/>
                    </w:rPr>
                    <w:t xml:space="preserve"> </w:t>
                  </w:r>
                  <w:r w:rsidRPr="0013396E">
                    <w:rPr>
                      <w:bCs/>
                      <w:i/>
                      <w:sz w:val="20"/>
                      <w:vertAlign w:val="subscript"/>
                      <w:lang w:val="pt-BR"/>
                    </w:rPr>
                    <w:t>q, r,h</w:t>
                  </w:r>
                  <w:r w:rsidRPr="0013396E">
                    <w:rPr>
                      <w:bCs/>
                      <w:sz w:val="20"/>
                      <w:vertAlign w:val="subscript"/>
                      <w:lang w:val="pt-BR"/>
                    </w:rPr>
                    <w:t xml:space="preserve"> </w:t>
                  </w:r>
                  <w:r w:rsidRPr="0013396E">
                    <w:rPr>
                      <w:bCs/>
                      <w:sz w:val="20"/>
                      <w:lang w:val="pt-BR"/>
                    </w:rPr>
                    <w:t xml:space="preserve"> </w:t>
                  </w:r>
                </w:p>
              </w:tc>
              <w:tc>
                <w:tcPr>
                  <w:tcW w:w="1080" w:type="dxa"/>
                </w:tcPr>
                <w:p w14:paraId="0DC1D459" w14:textId="77777777" w:rsidR="00A76C0B" w:rsidRPr="0013396E" w:rsidRDefault="00A76C0B" w:rsidP="00A76C0B">
                  <w:pPr>
                    <w:spacing w:after="60"/>
                    <w:rPr>
                      <w:iCs/>
                      <w:sz w:val="20"/>
                    </w:rPr>
                  </w:pPr>
                  <w:r w:rsidRPr="0013396E">
                    <w:rPr>
                      <w:iCs/>
                      <w:sz w:val="20"/>
                    </w:rPr>
                    <w:t>$</w:t>
                  </w:r>
                </w:p>
              </w:tc>
              <w:tc>
                <w:tcPr>
                  <w:tcW w:w="6300" w:type="dxa"/>
                </w:tcPr>
                <w:p w14:paraId="5FFC18E5" w14:textId="00FD058D" w:rsidR="00A76C0B" w:rsidRPr="0013396E" w:rsidRDefault="00A76C0B" w:rsidP="00A76C0B">
                  <w:pPr>
                    <w:spacing w:after="60"/>
                    <w:rPr>
                      <w:i/>
                      <w:iCs/>
                      <w:sz w:val="20"/>
                    </w:rPr>
                  </w:pPr>
                  <w:r w:rsidRPr="0013396E">
                    <w:rPr>
                      <w:i/>
                      <w:iCs/>
                      <w:sz w:val="20"/>
                    </w:rPr>
                    <w:t xml:space="preserve">Must-Run Alternative Calculated Variable Payment per QSE per Resource - </w:t>
                  </w:r>
                  <w:r w:rsidRPr="0013396E">
                    <w:rPr>
                      <w:iCs/>
                      <w:sz w:val="20"/>
                    </w:rPr>
                    <w:t xml:space="preserve">The variable payment to QSE </w:t>
                  </w:r>
                  <w:r w:rsidRPr="0013396E">
                    <w:rPr>
                      <w:i/>
                      <w:iCs/>
                      <w:sz w:val="20"/>
                    </w:rPr>
                    <w:t>q</w:t>
                  </w:r>
                  <w:r w:rsidRPr="0013396E">
                    <w:rPr>
                      <w:iCs/>
                      <w:sz w:val="20"/>
                    </w:rPr>
                    <w:t xml:space="preserve"> for an Other Generation MRA or Demand Response MRA </w:t>
                  </w:r>
                  <w:r w:rsidRPr="0013396E">
                    <w:rPr>
                      <w:i/>
                      <w:iCs/>
                      <w:sz w:val="20"/>
                    </w:rPr>
                    <w:t>r</w:t>
                  </w:r>
                  <w:r w:rsidRPr="0013396E">
                    <w:rPr>
                      <w:iCs/>
                      <w:sz w:val="20"/>
                    </w:rPr>
                    <w:t>, for the hour</w:t>
                  </w:r>
                  <w:r w:rsidR="00AA432B" w:rsidRPr="0013396E">
                    <w:rPr>
                      <w:i/>
                      <w:sz w:val="20"/>
                    </w:rPr>
                    <w:t xml:space="preserve"> h</w:t>
                  </w:r>
                  <w:r w:rsidRPr="0013396E">
                    <w:rPr>
                      <w:iCs/>
                      <w:sz w:val="20"/>
                    </w:rPr>
                    <w:t xml:space="preserve">.  Where for a Combined Cycle Train, the Resource </w:t>
                  </w:r>
                  <w:r w:rsidRPr="0013396E">
                    <w:rPr>
                      <w:i/>
                      <w:iCs/>
                      <w:sz w:val="20"/>
                    </w:rPr>
                    <w:t xml:space="preserve">r </w:t>
                  </w:r>
                  <w:r w:rsidRPr="0013396E">
                    <w:rPr>
                      <w:iCs/>
                      <w:sz w:val="20"/>
                    </w:rPr>
                    <w:t>is the Combined Cycle Train.</w:t>
                  </w:r>
                </w:p>
              </w:tc>
            </w:tr>
            <w:tr w:rsidR="00A76C0B" w:rsidRPr="0013396E" w14:paraId="20A96FCC" w14:textId="77777777" w:rsidTr="00CE1011">
              <w:trPr>
                <w:cantSplit/>
              </w:trPr>
              <w:tc>
                <w:tcPr>
                  <w:tcW w:w="1885" w:type="dxa"/>
                </w:tcPr>
                <w:p w14:paraId="62136F38" w14:textId="77777777" w:rsidR="00A76C0B" w:rsidRPr="0013396E" w:rsidRDefault="00A76C0B" w:rsidP="00A76C0B">
                  <w:pPr>
                    <w:spacing w:after="60"/>
                    <w:rPr>
                      <w:bCs/>
                      <w:color w:val="000000"/>
                      <w:sz w:val="20"/>
                      <w:lang w:val="pt-BR"/>
                    </w:rPr>
                  </w:pPr>
                  <w:r w:rsidRPr="0013396E">
                    <w:rPr>
                      <w:sz w:val="20"/>
                    </w:rPr>
                    <w:t xml:space="preserve">VSSVARAMT </w:t>
                  </w:r>
                  <w:r w:rsidRPr="0013396E">
                    <w:rPr>
                      <w:i/>
                      <w:sz w:val="20"/>
                      <w:vertAlign w:val="subscript"/>
                    </w:rPr>
                    <w:t>q, r, i</w:t>
                  </w:r>
                </w:p>
              </w:tc>
              <w:tc>
                <w:tcPr>
                  <w:tcW w:w="1080" w:type="dxa"/>
                </w:tcPr>
                <w:p w14:paraId="1E9E96A8" w14:textId="77777777" w:rsidR="00A76C0B" w:rsidRPr="0013396E" w:rsidRDefault="00A76C0B" w:rsidP="00A76C0B">
                  <w:pPr>
                    <w:spacing w:after="60"/>
                    <w:rPr>
                      <w:iCs/>
                      <w:sz w:val="20"/>
                    </w:rPr>
                  </w:pPr>
                  <w:r w:rsidRPr="0013396E">
                    <w:rPr>
                      <w:iCs/>
                      <w:sz w:val="20"/>
                    </w:rPr>
                    <w:t>$</w:t>
                  </w:r>
                </w:p>
              </w:tc>
              <w:tc>
                <w:tcPr>
                  <w:tcW w:w="6300" w:type="dxa"/>
                </w:tcPr>
                <w:p w14:paraId="4506604E" w14:textId="77777777" w:rsidR="00A76C0B" w:rsidRPr="0013396E" w:rsidRDefault="00A76C0B" w:rsidP="00A76C0B">
                  <w:pPr>
                    <w:spacing w:after="60"/>
                    <w:rPr>
                      <w:i/>
                      <w:iCs/>
                      <w:sz w:val="20"/>
                    </w:rPr>
                  </w:pPr>
                  <w:r w:rsidRPr="0013396E">
                    <w:rPr>
                      <w:i/>
                      <w:sz w:val="20"/>
                    </w:rPr>
                    <w:t xml:space="preserve">Voltage Support Service VAr Amount per QSE per Generation Resource - </w:t>
                  </w:r>
                  <w:r w:rsidRPr="0013396E">
                    <w:rPr>
                      <w:sz w:val="20"/>
                    </w:rPr>
                    <w:t xml:space="preserve">The payment to QSE </w:t>
                  </w:r>
                  <w:r w:rsidRPr="0013396E">
                    <w:rPr>
                      <w:i/>
                      <w:sz w:val="20"/>
                    </w:rPr>
                    <w:t>q</w:t>
                  </w:r>
                  <w:r w:rsidRPr="0013396E">
                    <w:rPr>
                      <w:sz w:val="20"/>
                    </w:rPr>
                    <w:t xml:space="preserve"> for the VSS provided by Generation Resource MRA </w:t>
                  </w:r>
                  <w:r w:rsidRPr="0013396E">
                    <w:rPr>
                      <w:i/>
                      <w:sz w:val="20"/>
                    </w:rPr>
                    <w:t>r</w:t>
                  </w:r>
                  <w:r w:rsidRPr="0013396E">
                    <w:rPr>
                      <w:sz w:val="20"/>
                    </w:rPr>
                    <w:t xml:space="preserve">, for the 15-minute Settlement Interval </w:t>
                  </w:r>
                  <w:r w:rsidRPr="0013396E">
                    <w:rPr>
                      <w:i/>
                      <w:sz w:val="20"/>
                    </w:rPr>
                    <w:t>i</w:t>
                  </w:r>
                  <w:r w:rsidRPr="0013396E">
                    <w:rPr>
                      <w:sz w:val="20"/>
                    </w:rPr>
                    <w:t xml:space="preserve">.  Where for a combined cycle resource, </w:t>
                  </w:r>
                  <w:r w:rsidRPr="0013396E">
                    <w:rPr>
                      <w:i/>
                      <w:sz w:val="20"/>
                    </w:rPr>
                    <w:t>r</w:t>
                  </w:r>
                  <w:r w:rsidRPr="0013396E">
                    <w:rPr>
                      <w:sz w:val="20"/>
                    </w:rPr>
                    <w:t xml:space="preserve"> is a Combined Cycle Train.</w:t>
                  </w:r>
                </w:p>
              </w:tc>
            </w:tr>
            <w:tr w:rsidR="00A76C0B" w:rsidRPr="0013396E" w14:paraId="799B312F" w14:textId="77777777" w:rsidTr="00CE1011">
              <w:trPr>
                <w:cantSplit/>
              </w:trPr>
              <w:tc>
                <w:tcPr>
                  <w:tcW w:w="1885" w:type="dxa"/>
                </w:tcPr>
                <w:p w14:paraId="1F32A853" w14:textId="77777777" w:rsidR="00A76C0B" w:rsidRPr="0013396E" w:rsidRDefault="00A76C0B" w:rsidP="00A76C0B">
                  <w:pPr>
                    <w:spacing w:after="60"/>
                    <w:rPr>
                      <w:sz w:val="20"/>
                    </w:rPr>
                  </w:pPr>
                  <w:r w:rsidRPr="0013396E">
                    <w:rPr>
                      <w:sz w:val="20"/>
                    </w:rPr>
                    <w:t xml:space="preserve">VSSEAMT </w:t>
                  </w:r>
                  <w:r w:rsidRPr="0013396E">
                    <w:rPr>
                      <w:i/>
                      <w:sz w:val="20"/>
                      <w:vertAlign w:val="subscript"/>
                    </w:rPr>
                    <w:t>q, r, i</w:t>
                  </w:r>
                </w:p>
              </w:tc>
              <w:tc>
                <w:tcPr>
                  <w:tcW w:w="1080" w:type="dxa"/>
                </w:tcPr>
                <w:p w14:paraId="75702901" w14:textId="77777777" w:rsidR="00A76C0B" w:rsidRPr="0013396E" w:rsidRDefault="00A76C0B" w:rsidP="00A76C0B">
                  <w:pPr>
                    <w:spacing w:after="60"/>
                    <w:rPr>
                      <w:iCs/>
                      <w:sz w:val="20"/>
                    </w:rPr>
                  </w:pPr>
                  <w:r w:rsidRPr="0013396E">
                    <w:rPr>
                      <w:iCs/>
                      <w:sz w:val="20"/>
                    </w:rPr>
                    <w:t>$</w:t>
                  </w:r>
                </w:p>
              </w:tc>
              <w:tc>
                <w:tcPr>
                  <w:tcW w:w="6300" w:type="dxa"/>
                </w:tcPr>
                <w:p w14:paraId="6AE1F5AF" w14:textId="77777777" w:rsidR="00A76C0B" w:rsidRPr="0013396E" w:rsidRDefault="00A76C0B" w:rsidP="00A76C0B">
                  <w:pPr>
                    <w:spacing w:after="60"/>
                    <w:rPr>
                      <w:i/>
                      <w:sz w:val="20"/>
                    </w:rPr>
                  </w:pPr>
                  <w:r w:rsidRPr="0013396E">
                    <w:rPr>
                      <w:i/>
                      <w:sz w:val="20"/>
                    </w:rPr>
                    <w:t>Voltage Support Service Energy Amount per QSE per Generation Resource</w:t>
                  </w:r>
                  <w:r w:rsidRPr="0013396E">
                    <w:rPr>
                      <w:sz w:val="20"/>
                    </w:rPr>
                    <w:t xml:space="preserve">—The lost opportunity payment to QSE </w:t>
                  </w:r>
                  <w:r w:rsidRPr="0013396E">
                    <w:rPr>
                      <w:i/>
                      <w:sz w:val="20"/>
                    </w:rPr>
                    <w:t>q</w:t>
                  </w:r>
                  <w:r w:rsidRPr="0013396E">
                    <w:rPr>
                      <w:sz w:val="20"/>
                    </w:rPr>
                    <w:t xml:space="preserve"> for ERCOT-directed VSS from Generation Resource MRA </w:t>
                  </w:r>
                  <w:r w:rsidRPr="0013396E">
                    <w:rPr>
                      <w:i/>
                      <w:sz w:val="20"/>
                    </w:rPr>
                    <w:t>r</w:t>
                  </w:r>
                  <w:r w:rsidRPr="0013396E">
                    <w:rPr>
                      <w:sz w:val="20"/>
                    </w:rPr>
                    <w:t xml:space="preserve"> for the 15-minute Settlement Interval.  Where for a combined cycle resource, </w:t>
                  </w:r>
                  <w:r w:rsidRPr="0013396E">
                    <w:rPr>
                      <w:i/>
                      <w:sz w:val="20"/>
                    </w:rPr>
                    <w:t>r</w:t>
                  </w:r>
                  <w:r w:rsidRPr="0013396E">
                    <w:rPr>
                      <w:sz w:val="20"/>
                    </w:rPr>
                    <w:t xml:space="preserve"> is a Combined Cycle Train.</w:t>
                  </w:r>
                </w:p>
              </w:tc>
            </w:tr>
            <w:tr w:rsidR="00A76C0B" w:rsidRPr="0013396E" w14:paraId="623C6706" w14:textId="77777777" w:rsidTr="00CE1011">
              <w:trPr>
                <w:cantSplit/>
              </w:trPr>
              <w:tc>
                <w:tcPr>
                  <w:tcW w:w="1885" w:type="dxa"/>
                </w:tcPr>
                <w:p w14:paraId="51BAC698" w14:textId="77777777" w:rsidR="00A76C0B" w:rsidRPr="0013396E" w:rsidRDefault="00A76C0B" w:rsidP="00A76C0B">
                  <w:pPr>
                    <w:spacing w:after="60"/>
                    <w:rPr>
                      <w:iCs/>
                      <w:sz w:val="20"/>
                    </w:rPr>
                  </w:pPr>
                  <w:r w:rsidRPr="0013396E">
                    <w:rPr>
                      <w:sz w:val="20"/>
                    </w:rPr>
                    <w:t xml:space="preserve">RESREV </w:t>
                  </w:r>
                  <w:r w:rsidRPr="0013396E">
                    <w:rPr>
                      <w:i/>
                      <w:sz w:val="20"/>
                      <w:vertAlign w:val="subscript"/>
                    </w:rPr>
                    <w:t>q, r, gsc, p, i</w:t>
                  </w:r>
                </w:p>
              </w:tc>
              <w:tc>
                <w:tcPr>
                  <w:tcW w:w="1080" w:type="dxa"/>
                </w:tcPr>
                <w:p w14:paraId="05618C11" w14:textId="77777777" w:rsidR="00A76C0B" w:rsidRPr="0013396E" w:rsidRDefault="00A76C0B" w:rsidP="00A76C0B">
                  <w:pPr>
                    <w:spacing w:after="60"/>
                    <w:rPr>
                      <w:iCs/>
                      <w:sz w:val="20"/>
                    </w:rPr>
                  </w:pPr>
                  <w:r w:rsidRPr="0013396E">
                    <w:rPr>
                      <w:iCs/>
                      <w:sz w:val="20"/>
                    </w:rPr>
                    <w:t>$</w:t>
                  </w:r>
                </w:p>
              </w:tc>
              <w:tc>
                <w:tcPr>
                  <w:tcW w:w="6300" w:type="dxa"/>
                </w:tcPr>
                <w:p w14:paraId="0A47094C" w14:textId="77777777" w:rsidR="00A76C0B" w:rsidRPr="0013396E" w:rsidRDefault="00A76C0B" w:rsidP="00A76C0B">
                  <w:pPr>
                    <w:spacing w:after="60"/>
                    <w:rPr>
                      <w:i/>
                      <w:iCs/>
                      <w:sz w:val="20"/>
                    </w:rPr>
                  </w:pPr>
                  <w:r w:rsidRPr="0013396E">
                    <w:rPr>
                      <w:i/>
                      <w:sz w:val="20"/>
                    </w:rPr>
                    <w:t>Resource Share Revenue Settlement Payment</w:t>
                  </w:r>
                  <w:r w:rsidRPr="0013396E">
                    <w:rPr>
                      <w:sz w:val="20"/>
                    </w:rPr>
                    <w:t xml:space="preserve">—The Resource share of the total payment to the entire Facility with a net metering arrangement attributed to Generation Resource MRA </w:t>
                  </w:r>
                  <w:r w:rsidRPr="0013396E">
                    <w:rPr>
                      <w:i/>
                      <w:sz w:val="20"/>
                    </w:rPr>
                    <w:t>r</w:t>
                  </w:r>
                  <w:r w:rsidRPr="0013396E">
                    <w:rPr>
                      <w:sz w:val="20"/>
                    </w:rPr>
                    <w:t xml:space="preserve"> that is part of a generation site code </w:t>
                  </w:r>
                  <w:r w:rsidRPr="0013396E">
                    <w:rPr>
                      <w:i/>
                      <w:sz w:val="20"/>
                    </w:rPr>
                    <w:t>gsc</w:t>
                  </w:r>
                  <w:r w:rsidRPr="0013396E">
                    <w:rPr>
                      <w:sz w:val="20"/>
                    </w:rPr>
                    <w:t xml:space="preserve"> for the QSE </w:t>
                  </w:r>
                  <w:r w:rsidRPr="0013396E">
                    <w:rPr>
                      <w:i/>
                      <w:sz w:val="20"/>
                    </w:rPr>
                    <w:t>q</w:t>
                  </w:r>
                  <w:r w:rsidRPr="0013396E">
                    <w:rPr>
                      <w:sz w:val="20"/>
                    </w:rPr>
                    <w:t xml:space="preserve"> at Settlement Point </w:t>
                  </w:r>
                  <w:r w:rsidRPr="0013396E">
                    <w:rPr>
                      <w:i/>
                      <w:sz w:val="20"/>
                    </w:rPr>
                    <w:t>p</w:t>
                  </w:r>
                  <w:r w:rsidRPr="0013396E">
                    <w:rPr>
                      <w:sz w:val="20"/>
                    </w:rPr>
                    <w:t xml:space="preserve">, for the 15-minute Settlement Interval </w:t>
                  </w:r>
                  <w:r w:rsidRPr="0013396E">
                    <w:rPr>
                      <w:i/>
                      <w:sz w:val="20"/>
                    </w:rPr>
                    <w:t>i</w:t>
                  </w:r>
                  <w:r w:rsidRPr="0013396E">
                    <w:rPr>
                      <w:sz w:val="20"/>
                    </w:rPr>
                    <w:t>.</w:t>
                  </w:r>
                </w:p>
              </w:tc>
            </w:tr>
            <w:tr w:rsidR="00A76C0B" w:rsidRPr="0013396E" w14:paraId="02232A89" w14:textId="77777777" w:rsidTr="00CE1011">
              <w:trPr>
                <w:cantSplit/>
              </w:trPr>
              <w:tc>
                <w:tcPr>
                  <w:tcW w:w="1885" w:type="dxa"/>
                </w:tcPr>
                <w:p w14:paraId="424936C8" w14:textId="77777777" w:rsidR="00A76C0B" w:rsidRPr="0013396E" w:rsidRDefault="00A76C0B" w:rsidP="00A76C0B">
                  <w:pPr>
                    <w:spacing w:after="60"/>
                    <w:rPr>
                      <w:sz w:val="20"/>
                    </w:rPr>
                  </w:pPr>
                  <w:r w:rsidRPr="0013396E">
                    <w:rPr>
                      <w:sz w:val="20"/>
                    </w:rPr>
                    <w:t>EMREAMT</w:t>
                  </w:r>
                  <w:r w:rsidRPr="0013396E">
                    <w:rPr>
                      <w:sz w:val="20"/>
                      <w:lang w:val="pt-BR"/>
                    </w:rPr>
                    <w:t xml:space="preserve"> </w:t>
                  </w:r>
                  <w:r w:rsidRPr="0013396E">
                    <w:rPr>
                      <w:i/>
                      <w:sz w:val="20"/>
                      <w:vertAlign w:val="subscript"/>
                      <w:lang w:val="pt-BR"/>
                    </w:rPr>
                    <w:t>q, r, p, i</w:t>
                  </w:r>
                </w:p>
              </w:tc>
              <w:tc>
                <w:tcPr>
                  <w:tcW w:w="1080" w:type="dxa"/>
                </w:tcPr>
                <w:p w14:paraId="0DC77C30" w14:textId="77777777" w:rsidR="00A76C0B" w:rsidRPr="0013396E" w:rsidRDefault="00A76C0B" w:rsidP="00A76C0B">
                  <w:pPr>
                    <w:spacing w:after="60"/>
                    <w:rPr>
                      <w:iCs/>
                      <w:sz w:val="20"/>
                    </w:rPr>
                  </w:pPr>
                  <w:r w:rsidRPr="0013396E">
                    <w:rPr>
                      <w:iCs/>
                      <w:sz w:val="20"/>
                    </w:rPr>
                    <w:t>$</w:t>
                  </w:r>
                </w:p>
              </w:tc>
              <w:tc>
                <w:tcPr>
                  <w:tcW w:w="6300" w:type="dxa"/>
                </w:tcPr>
                <w:p w14:paraId="38F3F5A2" w14:textId="21D5861C" w:rsidR="00A76C0B" w:rsidRPr="0013396E" w:rsidRDefault="00A76C0B" w:rsidP="001754D0">
                  <w:pPr>
                    <w:spacing w:after="60"/>
                    <w:rPr>
                      <w:i/>
                      <w:sz w:val="20"/>
                    </w:rPr>
                  </w:pPr>
                  <w:r w:rsidRPr="0013396E">
                    <w:rPr>
                      <w:i/>
                      <w:sz w:val="20"/>
                    </w:rPr>
                    <w:t>Emergency Energy Amount per QSE per Settlement Point per unit per interval—</w:t>
                  </w:r>
                  <w:r w:rsidRPr="0013396E">
                    <w:rPr>
                      <w:sz w:val="20"/>
                    </w:rPr>
                    <w:t xml:space="preserve">The payment to QSE </w:t>
                  </w:r>
                  <w:r w:rsidRPr="0013396E">
                    <w:rPr>
                      <w:i/>
                      <w:sz w:val="20"/>
                    </w:rPr>
                    <w:t>q</w:t>
                  </w:r>
                  <w:r w:rsidRPr="0013396E">
                    <w:rPr>
                      <w:sz w:val="20"/>
                    </w:rPr>
                    <w:t xml:space="preserve"> </w:t>
                  </w:r>
                  <w:r w:rsidR="00537026" w:rsidRPr="0013396E">
                    <w:rPr>
                      <w:sz w:val="20"/>
                    </w:rPr>
                    <w:t xml:space="preserve">as additional compensation </w:t>
                  </w:r>
                  <w:r w:rsidRPr="0013396E">
                    <w:rPr>
                      <w:sz w:val="20"/>
                    </w:rPr>
                    <w:t xml:space="preserve">for the additional energy </w:t>
                  </w:r>
                  <w:r w:rsidR="00537026" w:rsidRPr="0013396E">
                    <w:rPr>
                      <w:sz w:val="20"/>
                    </w:rPr>
                    <w:t xml:space="preserve">or Ancillary Services </w:t>
                  </w:r>
                  <w:r w:rsidRPr="0013396E">
                    <w:rPr>
                      <w:sz w:val="20"/>
                    </w:rPr>
                    <w:t xml:space="preserve">produced </w:t>
                  </w:r>
                  <w:r w:rsidR="001754D0" w:rsidRPr="0013396E">
                    <w:rPr>
                      <w:sz w:val="20"/>
                    </w:rPr>
                    <w:t xml:space="preserve">or consumed </w:t>
                  </w:r>
                  <w:r w:rsidRPr="0013396E">
                    <w:rPr>
                      <w:sz w:val="20"/>
                    </w:rPr>
                    <w:t xml:space="preserve">by Resource MRA </w:t>
                  </w:r>
                  <w:r w:rsidRPr="0013396E">
                    <w:rPr>
                      <w:i/>
                      <w:sz w:val="20"/>
                    </w:rPr>
                    <w:t>r</w:t>
                  </w:r>
                  <w:r w:rsidRPr="0013396E">
                    <w:rPr>
                      <w:sz w:val="20"/>
                    </w:rPr>
                    <w:t xml:space="preserve"> at Resource Node </w:t>
                  </w:r>
                  <w:r w:rsidRPr="0013396E">
                    <w:rPr>
                      <w:i/>
                      <w:sz w:val="20"/>
                    </w:rPr>
                    <w:t>p</w:t>
                  </w:r>
                  <w:r w:rsidRPr="0013396E">
                    <w:rPr>
                      <w:sz w:val="20"/>
                    </w:rPr>
                    <w:t xml:space="preserve"> in Real-Time during the Emergency Condition, for the 15-minute Settlement Interval </w:t>
                  </w:r>
                  <w:r w:rsidRPr="0013396E">
                    <w:rPr>
                      <w:i/>
                      <w:sz w:val="20"/>
                    </w:rPr>
                    <w:t>i</w:t>
                  </w:r>
                  <w:r w:rsidRPr="0013396E">
                    <w:rPr>
                      <w:sz w:val="20"/>
                    </w:rPr>
                    <w:t>.  Payment for emergency energy is made to the Combined Cycle Train.</w:t>
                  </w:r>
                </w:p>
              </w:tc>
            </w:tr>
            <w:tr w:rsidR="00A76C0B" w:rsidRPr="0013396E" w14:paraId="39C6C50A" w14:textId="77777777" w:rsidTr="00CE1011">
              <w:trPr>
                <w:cantSplit/>
              </w:trPr>
              <w:tc>
                <w:tcPr>
                  <w:tcW w:w="1885" w:type="dxa"/>
                </w:tcPr>
                <w:p w14:paraId="1A2385B7" w14:textId="77777777" w:rsidR="00A76C0B" w:rsidRPr="0013396E" w:rsidRDefault="00A76C0B" w:rsidP="00A76C0B">
                  <w:pPr>
                    <w:spacing w:after="60"/>
                    <w:rPr>
                      <w:bCs/>
                      <w:sz w:val="20"/>
                      <w:lang w:val="pt-BR"/>
                    </w:rPr>
                  </w:pPr>
                  <w:r w:rsidRPr="0013396E">
                    <w:rPr>
                      <w:bCs/>
                      <w:sz w:val="20"/>
                      <w:lang w:val="pt-BR"/>
                    </w:rPr>
                    <w:t>VPRICE</w:t>
                  </w:r>
                  <w:r w:rsidRPr="0013396E">
                    <w:rPr>
                      <w:i/>
                      <w:iCs/>
                      <w:sz w:val="20"/>
                      <w:vertAlign w:val="subscript"/>
                    </w:rPr>
                    <w:t xml:space="preserve"> q, r</w:t>
                  </w:r>
                </w:p>
              </w:tc>
              <w:tc>
                <w:tcPr>
                  <w:tcW w:w="1080" w:type="dxa"/>
                </w:tcPr>
                <w:p w14:paraId="5FCD7CF2" w14:textId="77777777" w:rsidR="00A76C0B" w:rsidRPr="0013396E" w:rsidRDefault="00A76C0B" w:rsidP="00A76C0B">
                  <w:pPr>
                    <w:spacing w:after="60"/>
                    <w:rPr>
                      <w:iCs/>
                      <w:sz w:val="20"/>
                    </w:rPr>
                  </w:pPr>
                  <w:r w:rsidRPr="0013396E">
                    <w:rPr>
                      <w:iCs/>
                      <w:sz w:val="20"/>
                    </w:rPr>
                    <w:t>$/MWh</w:t>
                  </w:r>
                </w:p>
              </w:tc>
              <w:tc>
                <w:tcPr>
                  <w:tcW w:w="6300" w:type="dxa"/>
                </w:tcPr>
                <w:p w14:paraId="693F3AFC" w14:textId="77777777" w:rsidR="00A76C0B" w:rsidRPr="0013396E" w:rsidRDefault="00A76C0B" w:rsidP="00A76C0B">
                  <w:pPr>
                    <w:spacing w:after="60"/>
                    <w:rPr>
                      <w:i/>
                      <w:iCs/>
                      <w:sz w:val="20"/>
                    </w:rPr>
                  </w:pPr>
                  <w:r w:rsidRPr="0013396E">
                    <w:rPr>
                      <w:i/>
                      <w:iCs/>
                      <w:sz w:val="20"/>
                    </w:rPr>
                    <w:t>Must-Run Alternative Variable Price per QSE per Resource</w:t>
                  </w:r>
                  <w:r w:rsidRPr="0013396E">
                    <w:rPr>
                      <w:iCs/>
                      <w:sz w:val="20"/>
                    </w:rPr>
                    <w:t xml:space="preserve">—The variable price for QSE </w:t>
                  </w:r>
                  <w:r w:rsidRPr="0013396E">
                    <w:rPr>
                      <w:i/>
                      <w:iCs/>
                      <w:sz w:val="20"/>
                    </w:rPr>
                    <w:t>q</w:t>
                  </w:r>
                  <w:r w:rsidRPr="0013396E">
                    <w:rPr>
                      <w:iCs/>
                      <w:sz w:val="20"/>
                    </w:rPr>
                    <w:t xml:space="preserve"> for MRA </w:t>
                  </w:r>
                  <w:r w:rsidRPr="0013396E">
                    <w:rPr>
                      <w:i/>
                      <w:iCs/>
                      <w:sz w:val="20"/>
                    </w:rPr>
                    <w:t>r</w:t>
                  </w:r>
                  <w:r w:rsidRPr="0013396E">
                    <w:rPr>
                      <w:iCs/>
                      <w:sz w:val="20"/>
                    </w:rPr>
                    <w:t xml:space="preserve">, as specified in the MRA Agreement.  Where for a Combined Cycle Train, the Resource </w:t>
                  </w:r>
                  <w:r w:rsidRPr="0013396E">
                    <w:rPr>
                      <w:i/>
                      <w:iCs/>
                      <w:sz w:val="20"/>
                    </w:rPr>
                    <w:t xml:space="preserve">r </w:t>
                  </w:r>
                  <w:r w:rsidRPr="0013396E">
                    <w:rPr>
                      <w:iCs/>
                      <w:sz w:val="20"/>
                    </w:rPr>
                    <w:t>is the Combined Cycle Train.</w:t>
                  </w:r>
                </w:p>
              </w:tc>
            </w:tr>
            <w:tr w:rsidR="00A76C0B" w:rsidRPr="0013396E" w14:paraId="1D8D752A" w14:textId="77777777" w:rsidTr="00CE1011">
              <w:trPr>
                <w:cantSplit/>
              </w:trPr>
              <w:tc>
                <w:tcPr>
                  <w:tcW w:w="1885" w:type="dxa"/>
                </w:tcPr>
                <w:p w14:paraId="1981F544" w14:textId="77777777" w:rsidR="00A76C0B" w:rsidRPr="0013396E" w:rsidRDefault="00A76C0B" w:rsidP="00A76C0B">
                  <w:pPr>
                    <w:spacing w:after="60"/>
                    <w:rPr>
                      <w:iCs/>
                      <w:sz w:val="20"/>
                    </w:rPr>
                  </w:pPr>
                  <w:r w:rsidRPr="0013396E">
                    <w:rPr>
                      <w:iCs/>
                      <w:sz w:val="20"/>
                    </w:rPr>
                    <w:t xml:space="preserve">MRAPHR </w:t>
                  </w:r>
                  <w:r w:rsidRPr="0013396E">
                    <w:rPr>
                      <w:i/>
                      <w:iCs/>
                      <w:sz w:val="20"/>
                      <w:vertAlign w:val="subscript"/>
                    </w:rPr>
                    <w:t>q, r</w:t>
                  </w:r>
                </w:p>
              </w:tc>
              <w:tc>
                <w:tcPr>
                  <w:tcW w:w="1080" w:type="dxa"/>
                </w:tcPr>
                <w:p w14:paraId="29AAE302" w14:textId="77777777" w:rsidR="00A76C0B" w:rsidRPr="0013396E" w:rsidRDefault="00A76C0B" w:rsidP="00A76C0B">
                  <w:pPr>
                    <w:spacing w:after="60"/>
                    <w:rPr>
                      <w:iCs/>
                      <w:sz w:val="20"/>
                    </w:rPr>
                  </w:pPr>
                  <w:r w:rsidRPr="0013396E">
                    <w:rPr>
                      <w:iCs/>
                      <w:sz w:val="20"/>
                    </w:rPr>
                    <w:t>MMBtu /MWh</w:t>
                  </w:r>
                </w:p>
              </w:tc>
              <w:tc>
                <w:tcPr>
                  <w:tcW w:w="6300" w:type="dxa"/>
                </w:tcPr>
                <w:p w14:paraId="1BD38B23" w14:textId="77777777" w:rsidR="00A76C0B" w:rsidRPr="0013396E" w:rsidRDefault="00A76C0B" w:rsidP="00A76C0B">
                  <w:pPr>
                    <w:spacing w:after="60"/>
                    <w:rPr>
                      <w:i/>
                      <w:iCs/>
                      <w:sz w:val="20"/>
                    </w:rPr>
                  </w:pPr>
                  <w:r w:rsidRPr="0013396E">
                    <w:rPr>
                      <w:i/>
                      <w:iCs/>
                      <w:sz w:val="20"/>
                    </w:rPr>
                    <w:t xml:space="preserve">Must-Run Alternative Proxy Heat Rate per QSE per Resource – A proxy heat rate value for </w:t>
                  </w:r>
                  <w:r w:rsidRPr="0013396E">
                    <w:rPr>
                      <w:iCs/>
                      <w:sz w:val="20"/>
                    </w:rPr>
                    <w:t xml:space="preserve">MRA </w:t>
                  </w:r>
                  <w:r w:rsidRPr="0013396E">
                    <w:rPr>
                      <w:i/>
                      <w:iCs/>
                      <w:sz w:val="20"/>
                    </w:rPr>
                    <w:t>r</w:t>
                  </w:r>
                  <w:r w:rsidRPr="0013396E">
                    <w:rPr>
                      <w:iCs/>
                      <w:sz w:val="20"/>
                    </w:rPr>
                    <w:t xml:space="preserve"> represented by QSE </w:t>
                  </w:r>
                  <w:r w:rsidRPr="0013396E">
                    <w:rPr>
                      <w:i/>
                      <w:iCs/>
                      <w:sz w:val="20"/>
                    </w:rPr>
                    <w:t xml:space="preserve">q, as </w:t>
                  </w:r>
                  <w:r w:rsidRPr="0013396E">
                    <w:rPr>
                      <w:iCs/>
                      <w:sz w:val="20"/>
                    </w:rPr>
                    <w:t xml:space="preserve">specified in the MRA Agreement.  Where for a Combined Cycle Train, the Resource </w:t>
                  </w:r>
                  <w:r w:rsidRPr="0013396E">
                    <w:rPr>
                      <w:i/>
                      <w:iCs/>
                      <w:sz w:val="20"/>
                    </w:rPr>
                    <w:t xml:space="preserve">r </w:t>
                  </w:r>
                  <w:r w:rsidRPr="0013396E">
                    <w:rPr>
                      <w:iCs/>
                      <w:sz w:val="20"/>
                    </w:rPr>
                    <w:t>is the Combined Cycle Train.</w:t>
                  </w:r>
                </w:p>
              </w:tc>
            </w:tr>
            <w:tr w:rsidR="00A76C0B" w:rsidRPr="0013396E" w14:paraId="5F450542" w14:textId="77777777" w:rsidTr="00CE1011">
              <w:trPr>
                <w:cantSplit/>
              </w:trPr>
              <w:tc>
                <w:tcPr>
                  <w:tcW w:w="1885" w:type="dxa"/>
                </w:tcPr>
                <w:p w14:paraId="56D48F9E" w14:textId="77777777" w:rsidR="00A76C0B" w:rsidRPr="0013396E" w:rsidRDefault="00A76C0B" w:rsidP="00A76C0B">
                  <w:pPr>
                    <w:spacing w:after="60"/>
                    <w:rPr>
                      <w:bCs/>
                      <w:color w:val="000000"/>
                      <w:sz w:val="20"/>
                      <w:lang w:val="pt-BR"/>
                    </w:rPr>
                  </w:pPr>
                  <w:r w:rsidRPr="0013396E">
                    <w:rPr>
                      <w:bCs/>
                      <w:color w:val="000000"/>
                      <w:sz w:val="20"/>
                      <w:lang w:val="pt-BR"/>
                    </w:rPr>
                    <w:t>MRACRTREV</w:t>
                  </w:r>
                  <w:r w:rsidRPr="0013396E">
                    <w:rPr>
                      <w:bCs/>
                      <w:sz w:val="20"/>
                      <w:lang w:val="pt-BR"/>
                    </w:rPr>
                    <w:t xml:space="preserve"> </w:t>
                  </w:r>
                  <w:r w:rsidRPr="0013396E">
                    <w:rPr>
                      <w:bCs/>
                      <w:i/>
                      <w:sz w:val="20"/>
                      <w:vertAlign w:val="subscript"/>
                      <w:lang w:val="pt-BR"/>
                    </w:rPr>
                    <w:t>q, r, h</w:t>
                  </w:r>
                </w:p>
              </w:tc>
              <w:tc>
                <w:tcPr>
                  <w:tcW w:w="1080" w:type="dxa"/>
                </w:tcPr>
                <w:p w14:paraId="3396858D" w14:textId="77777777" w:rsidR="00A76C0B" w:rsidRPr="0013396E" w:rsidRDefault="00A76C0B" w:rsidP="00A76C0B">
                  <w:pPr>
                    <w:spacing w:after="60"/>
                    <w:rPr>
                      <w:iCs/>
                      <w:sz w:val="20"/>
                    </w:rPr>
                  </w:pPr>
                  <w:r w:rsidRPr="0013396E">
                    <w:rPr>
                      <w:iCs/>
                      <w:sz w:val="20"/>
                    </w:rPr>
                    <w:t>$</w:t>
                  </w:r>
                </w:p>
              </w:tc>
              <w:tc>
                <w:tcPr>
                  <w:tcW w:w="6300" w:type="dxa"/>
                </w:tcPr>
                <w:p w14:paraId="308E544E" w14:textId="77777777" w:rsidR="00A76C0B" w:rsidRPr="0013396E" w:rsidRDefault="00A76C0B" w:rsidP="00A76C0B">
                  <w:pPr>
                    <w:spacing w:after="60"/>
                    <w:rPr>
                      <w:i/>
                      <w:iCs/>
                      <w:sz w:val="20"/>
                    </w:rPr>
                  </w:pPr>
                  <w:r w:rsidRPr="0013396E">
                    <w:rPr>
                      <w:i/>
                      <w:iCs/>
                      <w:sz w:val="20"/>
                    </w:rPr>
                    <w:t xml:space="preserve">Must-Run Alternative Calculated Real-Time Revenues per QSE per Resource </w:t>
                  </w:r>
                  <w:r w:rsidRPr="0013396E">
                    <w:rPr>
                      <w:iCs/>
                      <w:sz w:val="20"/>
                    </w:rPr>
                    <w:t xml:space="preserve">—The calculated variable revenue to QSE </w:t>
                  </w:r>
                  <w:r w:rsidRPr="0013396E">
                    <w:rPr>
                      <w:i/>
                      <w:iCs/>
                      <w:sz w:val="20"/>
                    </w:rPr>
                    <w:t>q</w:t>
                  </w:r>
                  <w:r w:rsidRPr="0013396E">
                    <w:rPr>
                      <w:iCs/>
                      <w:sz w:val="20"/>
                    </w:rPr>
                    <w:t xml:space="preserve"> for MRA </w:t>
                  </w:r>
                  <w:r w:rsidRPr="0013396E">
                    <w:rPr>
                      <w:i/>
                      <w:iCs/>
                      <w:sz w:val="20"/>
                    </w:rPr>
                    <w:t>r</w:t>
                  </w:r>
                  <w:r w:rsidRPr="0013396E">
                    <w:rPr>
                      <w:iCs/>
                      <w:sz w:val="20"/>
                    </w:rPr>
                    <w:t>, for the hour.</w:t>
                  </w:r>
                </w:p>
              </w:tc>
            </w:tr>
            <w:tr w:rsidR="00A76C0B" w:rsidRPr="0013396E" w14:paraId="2FCA9F45" w14:textId="77777777" w:rsidTr="00CE1011">
              <w:trPr>
                <w:cantSplit/>
              </w:trPr>
              <w:tc>
                <w:tcPr>
                  <w:tcW w:w="1885" w:type="dxa"/>
                </w:tcPr>
                <w:p w14:paraId="75E79568" w14:textId="77777777" w:rsidR="00A76C0B" w:rsidRPr="0013396E" w:rsidRDefault="00A76C0B" w:rsidP="00A76C0B">
                  <w:pPr>
                    <w:spacing w:after="60"/>
                    <w:rPr>
                      <w:iCs/>
                      <w:sz w:val="20"/>
                    </w:rPr>
                  </w:pPr>
                  <w:r w:rsidRPr="0013396E">
                    <w:rPr>
                      <w:iCs/>
                      <w:sz w:val="20"/>
                    </w:rPr>
                    <w:t xml:space="preserve">RTVQ </w:t>
                  </w:r>
                  <w:r w:rsidRPr="0013396E">
                    <w:rPr>
                      <w:i/>
                      <w:iCs/>
                      <w:sz w:val="20"/>
                      <w:vertAlign w:val="subscript"/>
                    </w:rPr>
                    <w:t>q, r, i,</w:t>
                  </w:r>
                </w:p>
              </w:tc>
              <w:tc>
                <w:tcPr>
                  <w:tcW w:w="1080" w:type="dxa"/>
                </w:tcPr>
                <w:p w14:paraId="505BAE37" w14:textId="77777777" w:rsidR="00A76C0B" w:rsidRPr="0013396E" w:rsidRDefault="00A76C0B" w:rsidP="00A76C0B">
                  <w:pPr>
                    <w:spacing w:after="60"/>
                    <w:rPr>
                      <w:iCs/>
                      <w:sz w:val="20"/>
                    </w:rPr>
                  </w:pPr>
                  <w:r w:rsidRPr="0013396E">
                    <w:rPr>
                      <w:iCs/>
                      <w:sz w:val="20"/>
                    </w:rPr>
                    <w:t>MWh</w:t>
                  </w:r>
                </w:p>
              </w:tc>
              <w:tc>
                <w:tcPr>
                  <w:tcW w:w="6300" w:type="dxa"/>
                </w:tcPr>
                <w:p w14:paraId="6837627F" w14:textId="77777777" w:rsidR="00A76C0B" w:rsidRPr="0013396E" w:rsidRDefault="00A76C0B" w:rsidP="00A76C0B">
                  <w:pPr>
                    <w:spacing w:after="60"/>
                    <w:rPr>
                      <w:i/>
                      <w:iCs/>
                      <w:sz w:val="20"/>
                    </w:rPr>
                  </w:pPr>
                  <w:r w:rsidRPr="0013396E">
                    <w:rPr>
                      <w:i/>
                      <w:iCs/>
                      <w:sz w:val="20"/>
                    </w:rPr>
                    <w:t xml:space="preserve">Real-Time Variable Quantity per QSE per Resource by Settlement Interval </w:t>
                  </w:r>
                  <w:r w:rsidRPr="0013396E">
                    <w:rPr>
                      <w:iCs/>
                      <w:sz w:val="20"/>
                    </w:rPr>
                    <w:t>— The Real-Time variable quantity for MRA</w:t>
                  </w:r>
                  <w:r w:rsidRPr="0013396E">
                    <w:rPr>
                      <w:i/>
                      <w:iCs/>
                      <w:sz w:val="20"/>
                    </w:rPr>
                    <w:t xml:space="preserve"> r</w:t>
                  </w:r>
                  <w:r w:rsidRPr="0013396E">
                    <w:rPr>
                      <w:iCs/>
                      <w:sz w:val="20"/>
                    </w:rPr>
                    <w:t xml:space="preserve"> represented by QSE </w:t>
                  </w:r>
                  <w:r w:rsidRPr="0013396E">
                    <w:rPr>
                      <w:i/>
                      <w:iCs/>
                      <w:sz w:val="20"/>
                    </w:rPr>
                    <w:t>q</w:t>
                  </w:r>
                  <w:r w:rsidRPr="0013396E">
                    <w:rPr>
                      <w:iCs/>
                      <w:sz w:val="20"/>
                    </w:rPr>
                    <w:t xml:space="preserve">, for the 15-minute Settlement Interval </w:t>
                  </w:r>
                  <w:r w:rsidRPr="0013396E">
                    <w:rPr>
                      <w:i/>
                      <w:iCs/>
                      <w:sz w:val="20"/>
                    </w:rPr>
                    <w:t>i</w:t>
                  </w:r>
                  <w:r w:rsidRPr="0013396E">
                    <w:rPr>
                      <w:iCs/>
                      <w:sz w:val="20"/>
                    </w:rPr>
                    <w:t xml:space="preserve">. </w:t>
                  </w:r>
                </w:p>
              </w:tc>
            </w:tr>
            <w:tr w:rsidR="00A76C0B" w:rsidRPr="0013396E" w14:paraId="3AB15A99" w14:textId="77777777" w:rsidTr="00CE1011">
              <w:trPr>
                <w:cantSplit/>
              </w:trPr>
              <w:tc>
                <w:tcPr>
                  <w:tcW w:w="1885" w:type="dxa"/>
                </w:tcPr>
                <w:p w14:paraId="0B4CDA95" w14:textId="77777777" w:rsidR="00A76C0B" w:rsidRPr="0013396E" w:rsidRDefault="00A76C0B" w:rsidP="00A76C0B">
                  <w:pPr>
                    <w:spacing w:after="60"/>
                    <w:rPr>
                      <w:iCs/>
                      <w:sz w:val="20"/>
                    </w:rPr>
                  </w:pPr>
                  <w:r w:rsidRPr="0013396E">
                    <w:rPr>
                      <w:color w:val="000000"/>
                      <w:sz w:val="20"/>
                    </w:rPr>
                    <w:lastRenderedPageBreak/>
                    <w:t xml:space="preserve">RTMG </w:t>
                  </w:r>
                  <w:r w:rsidRPr="0013396E">
                    <w:rPr>
                      <w:i/>
                      <w:color w:val="000000"/>
                      <w:sz w:val="20"/>
                      <w:vertAlign w:val="subscript"/>
                    </w:rPr>
                    <w:t>q, r, p, i</w:t>
                  </w:r>
                </w:p>
              </w:tc>
              <w:tc>
                <w:tcPr>
                  <w:tcW w:w="1080" w:type="dxa"/>
                </w:tcPr>
                <w:p w14:paraId="1E6A48AB" w14:textId="77777777" w:rsidR="00A76C0B" w:rsidRPr="0013396E" w:rsidRDefault="00A76C0B" w:rsidP="00A76C0B">
                  <w:pPr>
                    <w:spacing w:after="60"/>
                    <w:rPr>
                      <w:iCs/>
                      <w:sz w:val="20"/>
                    </w:rPr>
                  </w:pPr>
                  <w:r w:rsidRPr="0013396E">
                    <w:rPr>
                      <w:iCs/>
                      <w:sz w:val="20"/>
                    </w:rPr>
                    <w:t>MWh</w:t>
                  </w:r>
                </w:p>
              </w:tc>
              <w:tc>
                <w:tcPr>
                  <w:tcW w:w="6300" w:type="dxa"/>
                </w:tcPr>
                <w:p w14:paraId="6E7286FC" w14:textId="77777777" w:rsidR="00A76C0B" w:rsidRPr="0013396E" w:rsidRDefault="00A76C0B" w:rsidP="00A76C0B">
                  <w:pPr>
                    <w:spacing w:after="60"/>
                    <w:rPr>
                      <w:i/>
                      <w:iCs/>
                      <w:sz w:val="20"/>
                    </w:rPr>
                  </w:pPr>
                  <w:r w:rsidRPr="0013396E">
                    <w:rPr>
                      <w:i/>
                      <w:color w:val="000000"/>
                      <w:sz w:val="20"/>
                    </w:rPr>
                    <w:t>Real-Time Metered Generation per QSE per Settlement Point per Generation Resource</w:t>
                  </w:r>
                  <w:r w:rsidRPr="0013396E">
                    <w:rPr>
                      <w:color w:val="000000"/>
                      <w:sz w:val="20"/>
                    </w:rPr>
                    <w:t xml:space="preserve">—The metered generation of Resource </w:t>
                  </w:r>
                  <w:r w:rsidRPr="0013396E">
                    <w:rPr>
                      <w:i/>
                      <w:color w:val="000000"/>
                      <w:sz w:val="20"/>
                    </w:rPr>
                    <w:t>r</w:t>
                  </w:r>
                  <w:r w:rsidRPr="0013396E">
                    <w:rPr>
                      <w:color w:val="000000"/>
                      <w:sz w:val="20"/>
                    </w:rPr>
                    <w:t xml:space="preserve"> at Resource Node </w:t>
                  </w:r>
                  <w:r w:rsidRPr="0013396E">
                    <w:rPr>
                      <w:i/>
                      <w:color w:val="000000"/>
                      <w:sz w:val="20"/>
                    </w:rPr>
                    <w:t>p</w:t>
                  </w:r>
                  <w:r w:rsidRPr="0013396E">
                    <w:rPr>
                      <w:color w:val="000000"/>
                      <w:sz w:val="20"/>
                    </w:rPr>
                    <w:t xml:space="preserve"> represented by QSE </w:t>
                  </w:r>
                  <w:r w:rsidRPr="0013396E">
                    <w:rPr>
                      <w:i/>
                      <w:color w:val="000000"/>
                      <w:sz w:val="20"/>
                    </w:rPr>
                    <w:t>q</w:t>
                  </w:r>
                  <w:r w:rsidRPr="0013396E">
                    <w:rPr>
                      <w:color w:val="000000"/>
                      <w:sz w:val="20"/>
                    </w:rPr>
                    <w:t xml:space="preserve"> in Real-Time for the 15-minute Settlement Interval </w:t>
                  </w:r>
                  <w:r w:rsidRPr="0013396E">
                    <w:rPr>
                      <w:i/>
                      <w:color w:val="000000"/>
                      <w:sz w:val="20"/>
                    </w:rPr>
                    <w:t>i</w:t>
                  </w:r>
                  <w:r w:rsidRPr="0013396E">
                    <w:rPr>
                      <w:color w:val="000000"/>
                      <w:sz w:val="20"/>
                    </w:rPr>
                    <w:t xml:space="preserve">.  Where for a Combined Cycle Train, the Resource </w:t>
                  </w:r>
                  <w:r w:rsidRPr="0013396E">
                    <w:rPr>
                      <w:i/>
                      <w:color w:val="000000"/>
                      <w:sz w:val="20"/>
                    </w:rPr>
                    <w:t xml:space="preserve">r </w:t>
                  </w:r>
                  <w:r w:rsidRPr="0013396E">
                    <w:rPr>
                      <w:color w:val="000000"/>
                      <w:sz w:val="20"/>
                    </w:rPr>
                    <w:t xml:space="preserve">is the Combined Cycle Train.  </w:t>
                  </w:r>
                </w:p>
              </w:tc>
            </w:tr>
            <w:tr w:rsidR="00A76C0B" w:rsidRPr="0013396E" w14:paraId="0E6B17E9" w14:textId="77777777" w:rsidTr="00CE1011">
              <w:trPr>
                <w:cantSplit/>
              </w:trPr>
              <w:tc>
                <w:tcPr>
                  <w:tcW w:w="1885" w:type="dxa"/>
                </w:tcPr>
                <w:p w14:paraId="40ED6C89" w14:textId="77777777" w:rsidR="00A76C0B" w:rsidRPr="0013396E" w:rsidRDefault="00A76C0B" w:rsidP="00A76C0B">
                  <w:pPr>
                    <w:spacing w:after="60"/>
                    <w:rPr>
                      <w:iCs/>
                      <w:sz w:val="20"/>
                    </w:rPr>
                  </w:pPr>
                  <w:r w:rsidRPr="0013396E">
                    <w:rPr>
                      <w:iCs/>
                      <w:sz w:val="20"/>
                    </w:rPr>
                    <w:t>MRACEFA</w:t>
                  </w:r>
                  <w:r w:rsidRPr="0013396E">
                    <w:rPr>
                      <w:iCs/>
                      <w:sz w:val="20"/>
                      <w:vertAlign w:val="subscript"/>
                    </w:rPr>
                    <w:t xml:space="preserve"> </w:t>
                  </w:r>
                  <w:r w:rsidRPr="0013396E">
                    <w:rPr>
                      <w:i/>
                      <w:iCs/>
                      <w:sz w:val="20"/>
                      <w:vertAlign w:val="subscript"/>
                    </w:rPr>
                    <w:t>q, r</w:t>
                  </w:r>
                </w:p>
              </w:tc>
              <w:tc>
                <w:tcPr>
                  <w:tcW w:w="1080" w:type="dxa"/>
                </w:tcPr>
                <w:p w14:paraId="6F698C26" w14:textId="77777777" w:rsidR="00A76C0B" w:rsidRPr="0013396E" w:rsidRDefault="00A76C0B" w:rsidP="00A76C0B">
                  <w:pPr>
                    <w:spacing w:after="60"/>
                    <w:rPr>
                      <w:iCs/>
                      <w:sz w:val="20"/>
                    </w:rPr>
                  </w:pPr>
                  <w:r w:rsidRPr="0013396E">
                    <w:rPr>
                      <w:iCs/>
                      <w:sz w:val="20"/>
                    </w:rPr>
                    <w:t>$/MMBtu</w:t>
                  </w:r>
                </w:p>
              </w:tc>
              <w:tc>
                <w:tcPr>
                  <w:tcW w:w="6300" w:type="dxa"/>
                </w:tcPr>
                <w:p w14:paraId="3F32797A" w14:textId="77777777" w:rsidR="00A76C0B" w:rsidRPr="0013396E" w:rsidRDefault="00A76C0B" w:rsidP="00D56763">
                  <w:pPr>
                    <w:spacing w:after="60"/>
                    <w:rPr>
                      <w:iCs/>
                      <w:sz w:val="20"/>
                    </w:rPr>
                  </w:pPr>
                  <w:r w:rsidRPr="0013396E">
                    <w:rPr>
                      <w:i/>
                      <w:iCs/>
                      <w:sz w:val="20"/>
                    </w:rPr>
                    <w:t>Must-Run Alternative Contractual Estimated Fuel Adder</w:t>
                  </w:r>
                  <w:r w:rsidRPr="0013396E">
                    <w:rPr>
                      <w:iCs/>
                      <w:sz w:val="20"/>
                    </w:rPr>
                    <w:t xml:space="preserve">—The Estimated Fuel Adder that is contractually agreed upon in Section 22, </w:t>
                  </w:r>
                  <w:r w:rsidRPr="0013396E">
                    <w:rPr>
                      <w:sz w:val="20"/>
                    </w:rPr>
                    <w:t xml:space="preserve">Attachment </w:t>
                  </w:r>
                  <w:r w:rsidR="00D56763" w:rsidRPr="0013396E">
                    <w:rPr>
                      <w:sz w:val="20"/>
                    </w:rPr>
                    <w:t>N</w:t>
                  </w:r>
                  <w:r w:rsidRPr="0013396E">
                    <w:rPr>
                      <w:sz w:val="20"/>
                    </w:rPr>
                    <w:t>, Standard Form Must-Run Alternative Agreement</w:t>
                  </w:r>
                  <w:r w:rsidRPr="0013396E">
                    <w:rPr>
                      <w:iCs/>
                      <w:sz w:val="20"/>
                    </w:rPr>
                    <w:t xml:space="preserve">.  Where for a Combined Cycle Train, the Generation Resource </w:t>
                  </w:r>
                  <w:r w:rsidRPr="0013396E">
                    <w:rPr>
                      <w:i/>
                      <w:iCs/>
                      <w:sz w:val="20"/>
                    </w:rPr>
                    <w:t xml:space="preserve">r </w:t>
                  </w:r>
                  <w:r w:rsidRPr="0013396E">
                    <w:rPr>
                      <w:iCs/>
                      <w:sz w:val="20"/>
                    </w:rPr>
                    <w:t xml:space="preserve">is the Combined Cycle Train.  </w:t>
                  </w:r>
                </w:p>
              </w:tc>
            </w:tr>
            <w:tr w:rsidR="00A76C0B" w:rsidRPr="0013396E" w14:paraId="0FFC1FDD" w14:textId="77777777" w:rsidTr="00CE1011">
              <w:trPr>
                <w:cantSplit/>
              </w:trPr>
              <w:tc>
                <w:tcPr>
                  <w:tcW w:w="1885" w:type="dxa"/>
                </w:tcPr>
                <w:p w14:paraId="3D811046" w14:textId="77777777" w:rsidR="00A76C0B" w:rsidRPr="0013396E" w:rsidRDefault="00A76C0B" w:rsidP="00A76C0B">
                  <w:pPr>
                    <w:spacing w:after="60"/>
                    <w:rPr>
                      <w:iCs/>
                      <w:sz w:val="20"/>
                    </w:rPr>
                  </w:pPr>
                  <w:r w:rsidRPr="0013396E">
                    <w:rPr>
                      <w:sz w:val="20"/>
                    </w:rPr>
                    <w:t xml:space="preserve">RTSPP </w:t>
                  </w:r>
                  <w:r w:rsidRPr="0013396E">
                    <w:rPr>
                      <w:i/>
                      <w:sz w:val="20"/>
                      <w:vertAlign w:val="subscript"/>
                    </w:rPr>
                    <w:t>p, i</w:t>
                  </w:r>
                </w:p>
              </w:tc>
              <w:tc>
                <w:tcPr>
                  <w:tcW w:w="1080" w:type="dxa"/>
                </w:tcPr>
                <w:p w14:paraId="1B5A23F9" w14:textId="77777777" w:rsidR="00A76C0B" w:rsidRPr="0013396E" w:rsidRDefault="00A76C0B" w:rsidP="00A76C0B">
                  <w:pPr>
                    <w:spacing w:after="60"/>
                    <w:rPr>
                      <w:iCs/>
                      <w:sz w:val="20"/>
                    </w:rPr>
                  </w:pPr>
                  <w:r w:rsidRPr="0013396E">
                    <w:rPr>
                      <w:iCs/>
                      <w:sz w:val="20"/>
                    </w:rPr>
                    <w:t>$/MWh</w:t>
                  </w:r>
                </w:p>
              </w:tc>
              <w:tc>
                <w:tcPr>
                  <w:tcW w:w="6300" w:type="dxa"/>
                </w:tcPr>
                <w:p w14:paraId="6C22D96D" w14:textId="77777777" w:rsidR="00A76C0B" w:rsidRPr="0013396E" w:rsidRDefault="00A76C0B" w:rsidP="00A76C0B">
                  <w:pPr>
                    <w:spacing w:after="60"/>
                    <w:rPr>
                      <w:i/>
                      <w:iCs/>
                      <w:sz w:val="20"/>
                    </w:rPr>
                  </w:pPr>
                  <w:r w:rsidRPr="0013396E">
                    <w:rPr>
                      <w:i/>
                      <w:sz w:val="20"/>
                    </w:rPr>
                    <w:t>Real-Time Settlement Point Price</w:t>
                  </w:r>
                  <w:r w:rsidRPr="0013396E">
                    <w:rPr>
                      <w:sz w:val="20"/>
                    </w:rPr>
                    <w:sym w:font="Symbol" w:char="F0BE"/>
                  </w:r>
                  <w:r w:rsidRPr="0013396E">
                    <w:rPr>
                      <w:sz w:val="20"/>
                    </w:rPr>
                    <w:t xml:space="preserve">The Real-Time Settlement Point Price at the Settlement Point </w:t>
                  </w:r>
                  <w:r w:rsidRPr="0013396E">
                    <w:rPr>
                      <w:i/>
                      <w:sz w:val="20"/>
                    </w:rPr>
                    <w:t>p</w:t>
                  </w:r>
                  <w:r w:rsidRPr="0013396E">
                    <w:rPr>
                      <w:sz w:val="20"/>
                    </w:rPr>
                    <w:t xml:space="preserve"> for the 15-minute Settlement Interval </w:t>
                  </w:r>
                  <w:r w:rsidRPr="0013396E">
                    <w:rPr>
                      <w:i/>
                      <w:sz w:val="20"/>
                    </w:rPr>
                    <w:t>i</w:t>
                  </w:r>
                  <w:r w:rsidRPr="0013396E">
                    <w:rPr>
                      <w:sz w:val="20"/>
                    </w:rPr>
                    <w:t>.</w:t>
                  </w:r>
                </w:p>
              </w:tc>
            </w:tr>
            <w:tr w:rsidR="00A76C0B" w:rsidRPr="0013396E" w14:paraId="561D3764" w14:textId="77777777" w:rsidTr="00CE1011">
              <w:trPr>
                <w:cantSplit/>
              </w:trPr>
              <w:tc>
                <w:tcPr>
                  <w:tcW w:w="1885" w:type="dxa"/>
                </w:tcPr>
                <w:p w14:paraId="565F1F1A" w14:textId="77777777" w:rsidR="00A76C0B" w:rsidRPr="0013396E" w:rsidRDefault="00A76C0B" w:rsidP="00A76C0B">
                  <w:pPr>
                    <w:spacing w:after="60"/>
                    <w:rPr>
                      <w:i/>
                      <w:iCs/>
                      <w:sz w:val="20"/>
                    </w:rPr>
                  </w:pPr>
                  <w:r w:rsidRPr="0013396E">
                    <w:rPr>
                      <w:i/>
                      <w:iCs/>
                      <w:sz w:val="20"/>
                    </w:rPr>
                    <w:t>q</w:t>
                  </w:r>
                </w:p>
              </w:tc>
              <w:tc>
                <w:tcPr>
                  <w:tcW w:w="1080" w:type="dxa"/>
                </w:tcPr>
                <w:p w14:paraId="1A38FCAB" w14:textId="77777777" w:rsidR="00A76C0B" w:rsidRPr="0013396E" w:rsidRDefault="00A76C0B" w:rsidP="00A76C0B">
                  <w:pPr>
                    <w:spacing w:after="60"/>
                    <w:rPr>
                      <w:iCs/>
                      <w:sz w:val="20"/>
                    </w:rPr>
                  </w:pPr>
                  <w:r w:rsidRPr="0013396E">
                    <w:rPr>
                      <w:iCs/>
                      <w:sz w:val="20"/>
                    </w:rPr>
                    <w:t>none</w:t>
                  </w:r>
                </w:p>
              </w:tc>
              <w:tc>
                <w:tcPr>
                  <w:tcW w:w="6300" w:type="dxa"/>
                </w:tcPr>
                <w:p w14:paraId="1741E5E5" w14:textId="77777777" w:rsidR="00A76C0B" w:rsidRPr="0013396E" w:rsidRDefault="00A76C0B" w:rsidP="00A76C0B">
                  <w:pPr>
                    <w:spacing w:after="60"/>
                    <w:rPr>
                      <w:iCs/>
                      <w:sz w:val="20"/>
                    </w:rPr>
                  </w:pPr>
                  <w:r w:rsidRPr="0013396E">
                    <w:rPr>
                      <w:iCs/>
                      <w:sz w:val="20"/>
                    </w:rPr>
                    <w:t>A QSE.</w:t>
                  </w:r>
                </w:p>
              </w:tc>
            </w:tr>
            <w:tr w:rsidR="00A76C0B" w:rsidRPr="0013396E" w14:paraId="5A1845CA" w14:textId="77777777" w:rsidTr="00CE1011">
              <w:trPr>
                <w:cantSplit/>
              </w:trPr>
              <w:tc>
                <w:tcPr>
                  <w:tcW w:w="1885" w:type="dxa"/>
                </w:tcPr>
                <w:p w14:paraId="39E2CFD2" w14:textId="77777777" w:rsidR="00A76C0B" w:rsidRPr="0013396E" w:rsidRDefault="00A76C0B" w:rsidP="00A76C0B">
                  <w:pPr>
                    <w:spacing w:after="60"/>
                    <w:rPr>
                      <w:i/>
                      <w:iCs/>
                      <w:sz w:val="20"/>
                    </w:rPr>
                  </w:pPr>
                  <w:r w:rsidRPr="0013396E">
                    <w:rPr>
                      <w:i/>
                      <w:iCs/>
                      <w:sz w:val="20"/>
                    </w:rPr>
                    <w:t>r</w:t>
                  </w:r>
                </w:p>
              </w:tc>
              <w:tc>
                <w:tcPr>
                  <w:tcW w:w="1080" w:type="dxa"/>
                </w:tcPr>
                <w:p w14:paraId="4D4B729F" w14:textId="77777777" w:rsidR="00A76C0B" w:rsidRPr="0013396E" w:rsidRDefault="00A76C0B" w:rsidP="00A76C0B">
                  <w:pPr>
                    <w:spacing w:after="60"/>
                    <w:rPr>
                      <w:iCs/>
                      <w:sz w:val="20"/>
                    </w:rPr>
                  </w:pPr>
                  <w:r w:rsidRPr="0013396E">
                    <w:rPr>
                      <w:iCs/>
                      <w:sz w:val="20"/>
                    </w:rPr>
                    <w:t>none</w:t>
                  </w:r>
                </w:p>
              </w:tc>
              <w:tc>
                <w:tcPr>
                  <w:tcW w:w="6300" w:type="dxa"/>
                </w:tcPr>
                <w:p w14:paraId="6279149A" w14:textId="77777777" w:rsidR="00A76C0B" w:rsidRPr="0013396E" w:rsidRDefault="00A76C0B" w:rsidP="00A76C0B">
                  <w:pPr>
                    <w:spacing w:after="60"/>
                    <w:rPr>
                      <w:iCs/>
                      <w:sz w:val="20"/>
                    </w:rPr>
                  </w:pPr>
                  <w:r w:rsidRPr="0013396E">
                    <w:rPr>
                      <w:iCs/>
                      <w:sz w:val="20"/>
                    </w:rPr>
                    <w:t>An MRA.</w:t>
                  </w:r>
                </w:p>
              </w:tc>
            </w:tr>
            <w:tr w:rsidR="00A76C0B" w:rsidRPr="0013396E" w14:paraId="497D7251" w14:textId="77777777" w:rsidTr="00CE1011">
              <w:trPr>
                <w:cantSplit/>
              </w:trPr>
              <w:tc>
                <w:tcPr>
                  <w:tcW w:w="1885" w:type="dxa"/>
                </w:tcPr>
                <w:p w14:paraId="703A3B29" w14:textId="77777777" w:rsidR="00A76C0B" w:rsidRPr="0013396E" w:rsidRDefault="00A76C0B" w:rsidP="00A76C0B">
                  <w:pPr>
                    <w:spacing w:after="60"/>
                    <w:rPr>
                      <w:i/>
                      <w:iCs/>
                      <w:sz w:val="20"/>
                    </w:rPr>
                  </w:pPr>
                  <w:r w:rsidRPr="0013396E">
                    <w:rPr>
                      <w:i/>
                      <w:iCs/>
                      <w:sz w:val="20"/>
                    </w:rPr>
                    <w:t>m</w:t>
                  </w:r>
                </w:p>
              </w:tc>
              <w:tc>
                <w:tcPr>
                  <w:tcW w:w="1080" w:type="dxa"/>
                </w:tcPr>
                <w:p w14:paraId="04FC7980" w14:textId="77777777" w:rsidR="00A76C0B" w:rsidRPr="0013396E" w:rsidRDefault="00A76C0B" w:rsidP="00A76C0B">
                  <w:pPr>
                    <w:spacing w:after="60"/>
                    <w:rPr>
                      <w:iCs/>
                      <w:sz w:val="20"/>
                    </w:rPr>
                  </w:pPr>
                  <w:r w:rsidRPr="0013396E">
                    <w:rPr>
                      <w:iCs/>
                      <w:sz w:val="20"/>
                    </w:rPr>
                    <w:t>none</w:t>
                  </w:r>
                </w:p>
              </w:tc>
              <w:tc>
                <w:tcPr>
                  <w:tcW w:w="6300" w:type="dxa"/>
                </w:tcPr>
                <w:p w14:paraId="64CDE2AA" w14:textId="77777777" w:rsidR="00A76C0B" w:rsidRPr="0013396E" w:rsidRDefault="00A76C0B" w:rsidP="00A76C0B">
                  <w:pPr>
                    <w:spacing w:after="60"/>
                    <w:rPr>
                      <w:iCs/>
                      <w:sz w:val="20"/>
                    </w:rPr>
                  </w:pPr>
                  <w:r w:rsidRPr="0013396E">
                    <w:rPr>
                      <w:sz w:val="20"/>
                    </w:rPr>
                    <w:t>An MRA Contracted Month.</w:t>
                  </w:r>
                </w:p>
              </w:tc>
            </w:tr>
            <w:tr w:rsidR="00A76C0B" w:rsidRPr="0013396E" w14:paraId="100857DC" w14:textId="77777777" w:rsidTr="00CE1011">
              <w:trPr>
                <w:cantSplit/>
              </w:trPr>
              <w:tc>
                <w:tcPr>
                  <w:tcW w:w="1885" w:type="dxa"/>
                </w:tcPr>
                <w:p w14:paraId="6C97701B" w14:textId="77777777" w:rsidR="00A76C0B" w:rsidRPr="0013396E" w:rsidRDefault="00A76C0B" w:rsidP="00A76C0B">
                  <w:pPr>
                    <w:spacing w:after="60"/>
                    <w:rPr>
                      <w:i/>
                      <w:iCs/>
                      <w:sz w:val="20"/>
                    </w:rPr>
                  </w:pPr>
                  <w:r w:rsidRPr="0013396E">
                    <w:rPr>
                      <w:i/>
                      <w:iCs/>
                      <w:sz w:val="20"/>
                    </w:rPr>
                    <w:t>h</w:t>
                  </w:r>
                </w:p>
              </w:tc>
              <w:tc>
                <w:tcPr>
                  <w:tcW w:w="1080" w:type="dxa"/>
                </w:tcPr>
                <w:p w14:paraId="08B49E1E" w14:textId="77777777" w:rsidR="00A76C0B" w:rsidRPr="0013396E" w:rsidRDefault="00A76C0B" w:rsidP="00A76C0B">
                  <w:pPr>
                    <w:spacing w:after="60"/>
                    <w:rPr>
                      <w:iCs/>
                      <w:sz w:val="20"/>
                    </w:rPr>
                  </w:pPr>
                  <w:r w:rsidRPr="0013396E">
                    <w:rPr>
                      <w:iCs/>
                      <w:sz w:val="20"/>
                    </w:rPr>
                    <w:t>none</w:t>
                  </w:r>
                </w:p>
              </w:tc>
              <w:tc>
                <w:tcPr>
                  <w:tcW w:w="6300" w:type="dxa"/>
                </w:tcPr>
                <w:p w14:paraId="1422A45E" w14:textId="77777777" w:rsidR="00A76C0B" w:rsidRPr="0013396E" w:rsidRDefault="00A76C0B" w:rsidP="00A76C0B">
                  <w:pPr>
                    <w:spacing w:after="60"/>
                    <w:rPr>
                      <w:iCs/>
                      <w:sz w:val="20"/>
                    </w:rPr>
                  </w:pPr>
                  <w:r w:rsidRPr="0013396E">
                    <w:rPr>
                      <w:iCs/>
                      <w:sz w:val="20"/>
                    </w:rPr>
                    <w:t>An MRA Contracted Hour for the MRA Contracted Month.</w:t>
                  </w:r>
                </w:p>
              </w:tc>
            </w:tr>
            <w:tr w:rsidR="00A76C0B" w:rsidRPr="0013396E" w14:paraId="1A7356EA" w14:textId="77777777" w:rsidTr="00CE1011">
              <w:trPr>
                <w:cantSplit/>
              </w:trPr>
              <w:tc>
                <w:tcPr>
                  <w:tcW w:w="1885" w:type="dxa"/>
                </w:tcPr>
                <w:p w14:paraId="2B1F3EC2" w14:textId="77777777" w:rsidR="00A76C0B" w:rsidRPr="0013396E" w:rsidRDefault="00A76C0B" w:rsidP="00A76C0B">
                  <w:pPr>
                    <w:spacing w:after="60"/>
                    <w:rPr>
                      <w:i/>
                      <w:iCs/>
                      <w:sz w:val="20"/>
                    </w:rPr>
                  </w:pPr>
                  <w:r w:rsidRPr="0013396E">
                    <w:rPr>
                      <w:i/>
                      <w:iCs/>
                      <w:sz w:val="20"/>
                    </w:rPr>
                    <w:t>i</w:t>
                  </w:r>
                </w:p>
              </w:tc>
              <w:tc>
                <w:tcPr>
                  <w:tcW w:w="1080" w:type="dxa"/>
                </w:tcPr>
                <w:p w14:paraId="68B755EA" w14:textId="77777777" w:rsidR="00A76C0B" w:rsidRPr="0013396E" w:rsidRDefault="00A76C0B" w:rsidP="00A76C0B">
                  <w:pPr>
                    <w:spacing w:after="60"/>
                    <w:rPr>
                      <w:iCs/>
                      <w:sz w:val="20"/>
                    </w:rPr>
                  </w:pPr>
                  <w:r w:rsidRPr="0013396E">
                    <w:rPr>
                      <w:iCs/>
                      <w:sz w:val="20"/>
                    </w:rPr>
                    <w:t>none</w:t>
                  </w:r>
                </w:p>
              </w:tc>
              <w:tc>
                <w:tcPr>
                  <w:tcW w:w="6300" w:type="dxa"/>
                </w:tcPr>
                <w:p w14:paraId="5C67F01C" w14:textId="77777777" w:rsidR="00A76C0B" w:rsidRPr="0013396E" w:rsidRDefault="00A76C0B" w:rsidP="00A76C0B">
                  <w:pPr>
                    <w:spacing w:after="60"/>
                    <w:rPr>
                      <w:iCs/>
                      <w:sz w:val="20"/>
                    </w:rPr>
                  </w:pPr>
                  <w:r w:rsidRPr="0013396E">
                    <w:rPr>
                      <w:iCs/>
                      <w:sz w:val="20"/>
                    </w:rPr>
                    <w:t>A 15-minute Settlement Interval during the MRA Contracted Hours.</w:t>
                  </w:r>
                </w:p>
              </w:tc>
            </w:tr>
            <w:tr w:rsidR="00A76C0B" w:rsidRPr="0013396E" w14:paraId="2AFB879E" w14:textId="77777777" w:rsidTr="00CE1011">
              <w:trPr>
                <w:cantSplit/>
              </w:trPr>
              <w:tc>
                <w:tcPr>
                  <w:tcW w:w="1885" w:type="dxa"/>
                </w:tcPr>
                <w:p w14:paraId="55DA0255" w14:textId="77777777" w:rsidR="00A76C0B" w:rsidRPr="0013396E" w:rsidRDefault="00A76C0B" w:rsidP="00A76C0B">
                  <w:pPr>
                    <w:spacing w:after="60"/>
                    <w:rPr>
                      <w:i/>
                      <w:iCs/>
                      <w:sz w:val="20"/>
                    </w:rPr>
                  </w:pPr>
                  <w:r w:rsidRPr="0013396E">
                    <w:rPr>
                      <w:i/>
                      <w:iCs/>
                      <w:sz w:val="20"/>
                    </w:rPr>
                    <w:t>gsc</w:t>
                  </w:r>
                </w:p>
              </w:tc>
              <w:tc>
                <w:tcPr>
                  <w:tcW w:w="1080" w:type="dxa"/>
                </w:tcPr>
                <w:p w14:paraId="279860FB" w14:textId="77777777" w:rsidR="00A76C0B" w:rsidRPr="0013396E" w:rsidRDefault="00A76C0B" w:rsidP="00A76C0B">
                  <w:pPr>
                    <w:spacing w:after="60"/>
                    <w:rPr>
                      <w:iCs/>
                      <w:sz w:val="20"/>
                    </w:rPr>
                  </w:pPr>
                  <w:r w:rsidRPr="0013396E">
                    <w:rPr>
                      <w:iCs/>
                      <w:sz w:val="20"/>
                    </w:rPr>
                    <w:t>none</w:t>
                  </w:r>
                </w:p>
              </w:tc>
              <w:tc>
                <w:tcPr>
                  <w:tcW w:w="6300" w:type="dxa"/>
                </w:tcPr>
                <w:p w14:paraId="1BCD3874" w14:textId="77777777" w:rsidR="00A76C0B" w:rsidRPr="0013396E" w:rsidRDefault="00A76C0B" w:rsidP="00A76C0B">
                  <w:pPr>
                    <w:spacing w:after="60"/>
                    <w:rPr>
                      <w:iCs/>
                      <w:sz w:val="20"/>
                    </w:rPr>
                  </w:pPr>
                  <w:r w:rsidRPr="0013396E">
                    <w:rPr>
                      <w:iCs/>
                      <w:sz w:val="20"/>
                    </w:rPr>
                    <w:t>A generation site code.</w:t>
                  </w:r>
                </w:p>
              </w:tc>
            </w:tr>
            <w:tr w:rsidR="00A76C0B" w:rsidRPr="0013396E" w14:paraId="2F774BBC" w14:textId="77777777" w:rsidTr="00CE1011">
              <w:trPr>
                <w:cantSplit/>
              </w:trPr>
              <w:tc>
                <w:tcPr>
                  <w:tcW w:w="1885" w:type="dxa"/>
                </w:tcPr>
                <w:p w14:paraId="0E8E8B33" w14:textId="77777777" w:rsidR="00A76C0B" w:rsidRPr="0013396E" w:rsidRDefault="00A76C0B" w:rsidP="00A76C0B">
                  <w:pPr>
                    <w:spacing w:after="60"/>
                    <w:rPr>
                      <w:i/>
                      <w:iCs/>
                      <w:sz w:val="20"/>
                    </w:rPr>
                  </w:pPr>
                  <w:r w:rsidRPr="0013396E">
                    <w:rPr>
                      <w:i/>
                      <w:iCs/>
                      <w:sz w:val="20"/>
                    </w:rPr>
                    <w:t>p</w:t>
                  </w:r>
                </w:p>
              </w:tc>
              <w:tc>
                <w:tcPr>
                  <w:tcW w:w="1080" w:type="dxa"/>
                </w:tcPr>
                <w:p w14:paraId="0D7ECBFE" w14:textId="77777777" w:rsidR="00A76C0B" w:rsidRPr="0013396E" w:rsidRDefault="00A76C0B" w:rsidP="00A76C0B">
                  <w:pPr>
                    <w:spacing w:after="60"/>
                    <w:rPr>
                      <w:iCs/>
                      <w:sz w:val="20"/>
                    </w:rPr>
                  </w:pPr>
                  <w:r w:rsidRPr="0013396E">
                    <w:rPr>
                      <w:iCs/>
                      <w:sz w:val="20"/>
                    </w:rPr>
                    <w:t>none</w:t>
                  </w:r>
                </w:p>
              </w:tc>
              <w:tc>
                <w:tcPr>
                  <w:tcW w:w="6300" w:type="dxa"/>
                </w:tcPr>
                <w:p w14:paraId="5464860C" w14:textId="77777777" w:rsidR="00A76C0B" w:rsidRPr="0013396E" w:rsidRDefault="00A76C0B" w:rsidP="00A76C0B">
                  <w:pPr>
                    <w:spacing w:after="60"/>
                    <w:rPr>
                      <w:iCs/>
                      <w:sz w:val="20"/>
                    </w:rPr>
                  </w:pPr>
                  <w:r w:rsidRPr="0013396E">
                    <w:rPr>
                      <w:iCs/>
                      <w:sz w:val="20"/>
                    </w:rPr>
                    <w:t>A Resource Node Settlement Point.</w:t>
                  </w:r>
                </w:p>
              </w:tc>
            </w:tr>
          </w:tbl>
          <w:p w14:paraId="0EA128D1" w14:textId="20A7DDAC" w:rsidR="00A76C0B" w:rsidRPr="0013396E" w:rsidRDefault="00A76C0B" w:rsidP="00A76C0B">
            <w:pPr>
              <w:spacing w:before="240" w:after="240"/>
              <w:ind w:left="720" w:hanging="720"/>
              <w:rPr>
                <w:iCs/>
              </w:rPr>
            </w:pPr>
            <w:r w:rsidRPr="0013396E">
              <w:rPr>
                <w:iCs/>
              </w:rPr>
              <w:t>(</w:t>
            </w:r>
            <w:r w:rsidR="00AA432B" w:rsidRPr="0013396E">
              <w:rPr>
                <w:iCs/>
              </w:rPr>
              <w:t>5</w:t>
            </w:r>
            <w:r w:rsidRPr="0013396E">
              <w:rPr>
                <w:iCs/>
              </w:rPr>
              <w:t>)</w:t>
            </w:r>
            <w:r w:rsidRPr="0013396E">
              <w:rPr>
                <w:iCs/>
              </w:rPr>
              <w:tab/>
              <w:t>The total of the variable payments for all MRAs represented by the QSE for a given hour is calculated as follows:</w:t>
            </w:r>
          </w:p>
          <w:p w14:paraId="57A79245" w14:textId="77777777" w:rsidR="00A76C0B" w:rsidRPr="0013396E" w:rsidRDefault="00A76C0B" w:rsidP="00A76C0B">
            <w:pPr>
              <w:tabs>
                <w:tab w:val="left" w:pos="2340"/>
                <w:tab w:val="left" w:pos="3420"/>
              </w:tabs>
              <w:spacing w:after="240"/>
              <w:ind w:left="3870" w:hanging="3150"/>
              <w:rPr>
                <w:bCs/>
                <w:lang w:val="pt-BR"/>
              </w:rPr>
            </w:pPr>
            <w:r w:rsidRPr="0013396E">
              <w:rPr>
                <w:bCs/>
                <w:lang w:val="pt-BR"/>
              </w:rPr>
              <w:t xml:space="preserve">MRAVAMTQSETOT </w:t>
            </w:r>
            <w:r w:rsidRPr="0013396E">
              <w:rPr>
                <w:bCs/>
                <w:i/>
                <w:vertAlign w:val="subscript"/>
                <w:lang w:val="pt-BR"/>
              </w:rPr>
              <w:t>q</w:t>
            </w:r>
            <w:r w:rsidRPr="0013396E">
              <w:rPr>
                <w:bCs/>
                <w:lang w:val="pt-BR"/>
              </w:rPr>
              <w:t xml:space="preserve">  =  </w:t>
            </w:r>
            <w:r w:rsidRPr="0013396E">
              <w:rPr>
                <w:bCs/>
                <w:position w:val="-18"/>
                <w:lang w:val="pt-BR"/>
              </w:rPr>
              <w:object w:dxaOrig="225" w:dyaOrig="420" w14:anchorId="6D9DF1E2">
                <v:shape id="_x0000_i1185" type="#_x0000_t75" style="width:12pt;height:24pt" o:ole="">
                  <v:imagedata r:id="rId199" o:title=""/>
                </v:shape>
                <o:OLEObject Type="Embed" ProgID="Equation.3" ShapeID="_x0000_i1185" DrawAspect="Content" ObjectID="_1836311463" r:id="rId237"/>
              </w:object>
            </w:r>
            <w:r w:rsidRPr="0013396E">
              <w:rPr>
                <w:bCs/>
                <w:color w:val="000000"/>
                <w:lang w:val="pt-BR"/>
              </w:rPr>
              <w:t xml:space="preserve"> MRAVAMT</w:t>
            </w:r>
            <w:r w:rsidRPr="0013396E">
              <w:rPr>
                <w:bCs/>
                <w:lang w:val="pt-BR"/>
              </w:rPr>
              <w:t xml:space="preserve"> </w:t>
            </w:r>
            <w:r w:rsidRPr="0013396E">
              <w:rPr>
                <w:bCs/>
                <w:i/>
                <w:vertAlign w:val="subscript"/>
                <w:lang w:val="pt-BR"/>
              </w:rPr>
              <w:t>q, r, h</w:t>
            </w:r>
            <w:r w:rsidRPr="0013396E">
              <w:rPr>
                <w:bCs/>
                <w:lang w:val="pt-BR"/>
              </w:rPr>
              <w:t xml:space="preserve"> </w:t>
            </w:r>
            <w:r w:rsidRPr="0013396E">
              <w:rPr>
                <w:bCs/>
                <w:i/>
                <w:vertAlign w:val="subscript"/>
                <w:lang w:val="pt-BR"/>
              </w:rPr>
              <w:t xml:space="preserve">  </w:t>
            </w:r>
          </w:p>
          <w:p w14:paraId="52A351AF" w14:textId="77777777" w:rsidR="00A76C0B" w:rsidRPr="0013396E" w:rsidRDefault="00A76C0B" w:rsidP="00A76C0B">
            <w:r w:rsidRPr="0013396E">
              <w:t>The above variables are defined as follows:</w:t>
            </w:r>
          </w:p>
          <w:tbl>
            <w:tblPr>
              <w:tblW w:w="49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764"/>
              <w:gridCol w:w="6328"/>
            </w:tblGrid>
            <w:tr w:rsidR="00DF7682" w:rsidRPr="0013396E" w14:paraId="344A7E48" w14:textId="77777777" w:rsidTr="00CE1011">
              <w:trPr>
                <w:cantSplit/>
                <w:tblHeader/>
              </w:trPr>
              <w:tc>
                <w:tcPr>
                  <w:tcW w:w="1167" w:type="pct"/>
                </w:tcPr>
                <w:p w14:paraId="5E8180A3" w14:textId="77777777" w:rsidR="00DF7682" w:rsidRPr="0013396E" w:rsidRDefault="00DF7682" w:rsidP="00DF7682">
                  <w:pPr>
                    <w:spacing w:after="240"/>
                    <w:rPr>
                      <w:b/>
                      <w:iCs/>
                      <w:sz w:val="20"/>
                    </w:rPr>
                  </w:pPr>
                  <w:r w:rsidRPr="0013396E">
                    <w:rPr>
                      <w:b/>
                      <w:iCs/>
                      <w:sz w:val="20"/>
                    </w:rPr>
                    <w:t>Variable</w:t>
                  </w:r>
                </w:p>
              </w:tc>
              <w:tc>
                <w:tcPr>
                  <w:tcW w:w="413" w:type="pct"/>
                </w:tcPr>
                <w:p w14:paraId="2930D3CB" w14:textId="77777777" w:rsidR="00DF7682" w:rsidRPr="0013396E" w:rsidRDefault="00DF7682" w:rsidP="00DF7682">
                  <w:pPr>
                    <w:spacing w:after="240"/>
                    <w:rPr>
                      <w:b/>
                      <w:iCs/>
                      <w:sz w:val="20"/>
                    </w:rPr>
                  </w:pPr>
                  <w:r w:rsidRPr="0013396E">
                    <w:rPr>
                      <w:b/>
                      <w:iCs/>
                      <w:sz w:val="20"/>
                    </w:rPr>
                    <w:t>Unit</w:t>
                  </w:r>
                </w:p>
              </w:tc>
              <w:tc>
                <w:tcPr>
                  <w:tcW w:w="3420" w:type="pct"/>
                </w:tcPr>
                <w:p w14:paraId="5139DFC6" w14:textId="77777777" w:rsidR="00DF7682" w:rsidRPr="0013396E" w:rsidRDefault="00DF7682" w:rsidP="00DF7682">
                  <w:pPr>
                    <w:spacing w:after="240"/>
                    <w:rPr>
                      <w:b/>
                      <w:iCs/>
                      <w:sz w:val="20"/>
                    </w:rPr>
                  </w:pPr>
                  <w:r w:rsidRPr="0013396E">
                    <w:rPr>
                      <w:b/>
                      <w:iCs/>
                      <w:sz w:val="20"/>
                    </w:rPr>
                    <w:t>Definition</w:t>
                  </w:r>
                </w:p>
              </w:tc>
            </w:tr>
            <w:tr w:rsidR="00DF7682" w:rsidRPr="0013396E" w14:paraId="215F72E0" w14:textId="77777777" w:rsidTr="00CE1011">
              <w:trPr>
                <w:cantSplit/>
              </w:trPr>
              <w:tc>
                <w:tcPr>
                  <w:tcW w:w="1167" w:type="pct"/>
                </w:tcPr>
                <w:p w14:paraId="28DB5158" w14:textId="77777777" w:rsidR="00DF7682" w:rsidRPr="0013396E" w:rsidRDefault="00DF7682" w:rsidP="00DF7682">
                  <w:pPr>
                    <w:spacing w:after="60"/>
                    <w:rPr>
                      <w:iCs/>
                      <w:sz w:val="20"/>
                    </w:rPr>
                  </w:pPr>
                  <w:r w:rsidRPr="0013396E">
                    <w:rPr>
                      <w:iCs/>
                      <w:sz w:val="20"/>
                    </w:rPr>
                    <w:t xml:space="preserve">MRAVAMTQSETOT </w:t>
                  </w:r>
                  <w:r w:rsidRPr="0013396E">
                    <w:rPr>
                      <w:i/>
                      <w:iCs/>
                      <w:sz w:val="20"/>
                      <w:vertAlign w:val="subscript"/>
                    </w:rPr>
                    <w:t>q</w:t>
                  </w:r>
                  <w:r w:rsidRPr="0013396E">
                    <w:rPr>
                      <w:iCs/>
                      <w:sz w:val="20"/>
                    </w:rPr>
                    <w:t xml:space="preserve">  </w:t>
                  </w:r>
                </w:p>
              </w:tc>
              <w:tc>
                <w:tcPr>
                  <w:tcW w:w="413" w:type="pct"/>
                </w:tcPr>
                <w:p w14:paraId="00CC77DC" w14:textId="77777777" w:rsidR="00DF7682" w:rsidRPr="0013396E" w:rsidRDefault="00DF7682" w:rsidP="00DF7682">
                  <w:pPr>
                    <w:spacing w:after="60"/>
                    <w:rPr>
                      <w:iCs/>
                      <w:sz w:val="20"/>
                    </w:rPr>
                  </w:pPr>
                  <w:r w:rsidRPr="0013396E">
                    <w:rPr>
                      <w:iCs/>
                      <w:sz w:val="20"/>
                    </w:rPr>
                    <w:t>$</w:t>
                  </w:r>
                </w:p>
              </w:tc>
              <w:tc>
                <w:tcPr>
                  <w:tcW w:w="3420" w:type="pct"/>
                </w:tcPr>
                <w:p w14:paraId="3F1EF310" w14:textId="77777777" w:rsidR="00DF7682" w:rsidRPr="0013396E" w:rsidRDefault="00DF7682" w:rsidP="00DF7682">
                  <w:pPr>
                    <w:spacing w:after="60"/>
                    <w:rPr>
                      <w:iCs/>
                      <w:sz w:val="20"/>
                    </w:rPr>
                  </w:pPr>
                  <w:r w:rsidRPr="0013396E">
                    <w:rPr>
                      <w:i/>
                      <w:iCs/>
                      <w:sz w:val="20"/>
                    </w:rPr>
                    <w:t>Must-Run Alternative Variable Amount Total per QSE by hour</w:t>
                  </w:r>
                  <w:r w:rsidRPr="0013396E">
                    <w:rPr>
                      <w:iCs/>
                      <w:sz w:val="20"/>
                    </w:rPr>
                    <w:t xml:space="preserve">—The total variable payment for all MRAs </w:t>
                  </w:r>
                  <w:r w:rsidRPr="0013396E">
                    <w:rPr>
                      <w:i/>
                      <w:iCs/>
                      <w:sz w:val="20"/>
                    </w:rPr>
                    <w:t xml:space="preserve">r, </w:t>
                  </w:r>
                  <w:r w:rsidRPr="0013396E">
                    <w:rPr>
                      <w:iCs/>
                      <w:sz w:val="20"/>
                    </w:rPr>
                    <w:t>represented by the QSE</w:t>
                  </w:r>
                  <w:r w:rsidRPr="0013396E">
                    <w:rPr>
                      <w:i/>
                      <w:iCs/>
                      <w:sz w:val="20"/>
                    </w:rPr>
                    <w:t xml:space="preserve"> q</w:t>
                  </w:r>
                  <w:r w:rsidRPr="0013396E">
                    <w:rPr>
                      <w:iCs/>
                      <w:sz w:val="20"/>
                    </w:rPr>
                    <w:t xml:space="preserve">, for the hour. </w:t>
                  </w:r>
                </w:p>
              </w:tc>
            </w:tr>
            <w:tr w:rsidR="00DF7682" w:rsidRPr="0013396E" w14:paraId="419C43A5" w14:textId="77777777" w:rsidTr="00CE1011">
              <w:trPr>
                <w:cantSplit/>
              </w:trPr>
              <w:tc>
                <w:tcPr>
                  <w:tcW w:w="1167" w:type="pct"/>
                </w:tcPr>
                <w:p w14:paraId="65C6B3F2" w14:textId="77777777" w:rsidR="00DF7682" w:rsidRPr="0013396E" w:rsidRDefault="00DF7682" w:rsidP="00DF7682">
                  <w:pPr>
                    <w:spacing w:after="60"/>
                    <w:rPr>
                      <w:iCs/>
                      <w:sz w:val="20"/>
                    </w:rPr>
                  </w:pPr>
                  <w:r w:rsidRPr="0013396E">
                    <w:rPr>
                      <w:bCs/>
                      <w:iCs/>
                      <w:color w:val="000000"/>
                      <w:sz w:val="20"/>
                      <w:lang w:val="pt-BR"/>
                    </w:rPr>
                    <w:t>MRAVAMT</w:t>
                  </w:r>
                  <w:r w:rsidRPr="0013396E">
                    <w:rPr>
                      <w:sz w:val="20"/>
                    </w:rPr>
                    <w:t xml:space="preserve"> </w:t>
                  </w:r>
                  <w:r w:rsidRPr="0013396E">
                    <w:rPr>
                      <w:i/>
                      <w:sz w:val="20"/>
                      <w:vertAlign w:val="subscript"/>
                    </w:rPr>
                    <w:t>q, r, h</w:t>
                  </w:r>
                </w:p>
              </w:tc>
              <w:tc>
                <w:tcPr>
                  <w:tcW w:w="413" w:type="pct"/>
                </w:tcPr>
                <w:p w14:paraId="12F22A13" w14:textId="77777777" w:rsidR="00DF7682" w:rsidRPr="0013396E" w:rsidRDefault="00DF7682" w:rsidP="00DF7682">
                  <w:pPr>
                    <w:spacing w:after="60"/>
                    <w:rPr>
                      <w:iCs/>
                      <w:sz w:val="20"/>
                    </w:rPr>
                  </w:pPr>
                  <w:r w:rsidRPr="0013396E">
                    <w:rPr>
                      <w:sz w:val="20"/>
                    </w:rPr>
                    <w:t>$</w:t>
                  </w:r>
                </w:p>
              </w:tc>
              <w:tc>
                <w:tcPr>
                  <w:tcW w:w="3420" w:type="pct"/>
                </w:tcPr>
                <w:p w14:paraId="6F44E89A" w14:textId="77777777" w:rsidR="00DF7682" w:rsidRPr="0013396E" w:rsidRDefault="00DF7682" w:rsidP="00DF7682">
                  <w:pPr>
                    <w:spacing w:after="60"/>
                    <w:rPr>
                      <w:iCs/>
                      <w:sz w:val="20"/>
                    </w:rPr>
                  </w:pPr>
                  <w:r w:rsidRPr="0013396E">
                    <w:rPr>
                      <w:i/>
                      <w:sz w:val="20"/>
                    </w:rPr>
                    <w:t>Must-Run Alternative Variable Amount per QSE per Resource by hour</w:t>
                  </w:r>
                  <w:r w:rsidRPr="0013396E">
                    <w:rPr>
                      <w:sz w:val="20"/>
                    </w:rPr>
                    <w:t xml:space="preserve">—The variable payment to QSE </w:t>
                  </w:r>
                  <w:r w:rsidRPr="0013396E">
                    <w:rPr>
                      <w:i/>
                      <w:sz w:val="20"/>
                    </w:rPr>
                    <w:t>q</w:t>
                  </w:r>
                  <w:r w:rsidRPr="0013396E">
                    <w:rPr>
                      <w:sz w:val="20"/>
                    </w:rPr>
                    <w:t xml:space="preserve"> representing MRA </w:t>
                  </w:r>
                  <w:r w:rsidRPr="0013396E">
                    <w:rPr>
                      <w:i/>
                      <w:sz w:val="20"/>
                    </w:rPr>
                    <w:t>r</w:t>
                  </w:r>
                  <w:r w:rsidRPr="0013396E">
                    <w:rPr>
                      <w:sz w:val="20"/>
                    </w:rPr>
                    <w:t xml:space="preserve"> for the hour </w:t>
                  </w:r>
                  <w:r w:rsidRPr="0013396E">
                    <w:rPr>
                      <w:i/>
                      <w:sz w:val="20"/>
                    </w:rPr>
                    <w:t>h</w:t>
                  </w:r>
                  <w:r w:rsidRPr="0013396E">
                    <w:rPr>
                      <w:sz w:val="20"/>
                    </w:rPr>
                    <w:t xml:space="preserve">.  Where for a Combined Cycle Train, the Resource </w:t>
                  </w:r>
                  <w:r w:rsidRPr="0013396E">
                    <w:rPr>
                      <w:i/>
                      <w:sz w:val="20"/>
                    </w:rPr>
                    <w:t xml:space="preserve">r </w:t>
                  </w:r>
                  <w:r w:rsidRPr="0013396E">
                    <w:rPr>
                      <w:sz w:val="20"/>
                    </w:rPr>
                    <w:t>is the Combined Cycle Train.</w:t>
                  </w:r>
                </w:p>
              </w:tc>
            </w:tr>
            <w:tr w:rsidR="00DF7682" w:rsidRPr="0013396E" w14:paraId="4A5BBA22" w14:textId="77777777" w:rsidTr="00CE1011">
              <w:trPr>
                <w:cantSplit/>
              </w:trPr>
              <w:tc>
                <w:tcPr>
                  <w:tcW w:w="1167" w:type="pct"/>
                  <w:tcBorders>
                    <w:top w:val="single" w:sz="4" w:space="0" w:color="auto"/>
                    <w:left w:val="single" w:sz="4" w:space="0" w:color="auto"/>
                    <w:bottom w:val="single" w:sz="4" w:space="0" w:color="auto"/>
                    <w:right w:val="single" w:sz="4" w:space="0" w:color="auto"/>
                  </w:tcBorders>
                </w:tcPr>
                <w:p w14:paraId="22DBF9C5" w14:textId="77777777" w:rsidR="00DF7682" w:rsidRPr="0013396E" w:rsidRDefault="00DF7682" w:rsidP="00DF7682">
                  <w:pPr>
                    <w:spacing w:after="60"/>
                    <w:rPr>
                      <w:i/>
                      <w:iCs/>
                      <w:sz w:val="20"/>
                    </w:rPr>
                  </w:pPr>
                  <w:r w:rsidRPr="0013396E">
                    <w:rPr>
                      <w:i/>
                      <w:iCs/>
                      <w:sz w:val="20"/>
                    </w:rPr>
                    <w:t>q</w:t>
                  </w:r>
                </w:p>
              </w:tc>
              <w:tc>
                <w:tcPr>
                  <w:tcW w:w="413" w:type="pct"/>
                  <w:tcBorders>
                    <w:top w:val="single" w:sz="4" w:space="0" w:color="auto"/>
                    <w:left w:val="single" w:sz="4" w:space="0" w:color="auto"/>
                    <w:bottom w:val="single" w:sz="4" w:space="0" w:color="auto"/>
                    <w:right w:val="single" w:sz="4" w:space="0" w:color="auto"/>
                  </w:tcBorders>
                </w:tcPr>
                <w:p w14:paraId="6C09B276" w14:textId="77777777" w:rsidR="00DF7682" w:rsidRPr="0013396E" w:rsidRDefault="00DF7682" w:rsidP="00DF7682">
                  <w:pPr>
                    <w:spacing w:after="60"/>
                    <w:rPr>
                      <w:iCs/>
                      <w:sz w:val="20"/>
                    </w:rPr>
                  </w:pPr>
                  <w:r w:rsidRPr="0013396E">
                    <w:rPr>
                      <w:iCs/>
                      <w:sz w:val="20"/>
                    </w:rPr>
                    <w:t>none</w:t>
                  </w:r>
                </w:p>
              </w:tc>
              <w:tc>
                <w:tcPr>
                  <w:tcW w:w="3420" w:type="pct"/>
                  <w:tcBorders>
                    <w:top w:val="single" w:sz="4" w:space="0" w:color="auto"/>
                    <w:left w:val="single" w:sz="4" w:space="0" w:color="auto"/>
                    <w:bottom w:val="single" w:sz="4" w:space="0" w:color="auto"/>
                    <w:right w:val="single" w:sz="4" w:space="0" w:color="auto"/>
                  </w:tcBorders>
                </w:tcPr>
                <w:p w14:paraId="4B10460A" w14:textId="77777777" w:rsidR="00DF7682" w:rsidRPr="0013396E" w:rsidRDefault="00DF7682" w:rsidP="00DF7682">
                  <w:pPr>
                    <w:spacing w:after="60"/>
                    <w:rPr>
                      <w:iCs/>
                      <w:sz w:val="20"/>
                    </w:rPr>
                  </w:pPr>
                  <w:r w:rsidRPr="0013396E">
                    <w:rPr>
                      <w:iCs/>
                      <w:sz w:val="20"/>
                    </w:rPr>
                    <w:t>A QSE.</w:t>
                  </w:r>
                </w:p>
              </w:tc>
            </w:tr>
            <w:tr w:rsidR="00DF7682" w:rsidRPr="0013396E" w14:paraId="2A4E17F4" w14:textId="77777777" w:rsidTr="00CE1011">
              <w:trPr>
                <w:cantSplit/>
              </w:trPr>
              <w:tc>
                <w:tcPr>
                  <w:tcW w:w="1167" w:type="pct"/>
                  <w:tcBorders>
                    <w:top w:val="single" w:sz="4" w:space="0" w:color="auto"/>
                    <w:left w:val="single" w:sz="4" w:space="0" w:color="auto"/>
                    <w:bottom w:val="single" w:sz="4" w:space="0" w:color="auto"/>
                    <w:right w:val="single" w:sz="4" w:space="0" w:color="auto"/>
                  </w:tcBorders>
                </w:tcPr>
                <w:p w14:paraId="3C0095A6" w14:textId="77777777" w:rsidR="00DF7682" w:rsidRPr="0013396E" w:rsidRDefault="00DF7682" w:rsidP="00DF7682">
                  <w:pPr>
                    <w:spacing w:after="60"/>
                    <w:rPr>
                      <w:i/>
                      <w:iCs/>
                      <w:sz w:val="20"/>
                    </w:rPr>
                  </w:pPr>
                  <w:r w:rsidRPr="0013396E">
                    <w:rPr>
                      <w:i/>
                      <w:iCs/>
                      <w:sz w:val="20"/>
                    </w:rPr>
                    <w:t>r</w:t>
                  </w:r>
                </w:p>
              </w:tc>
              <w:tc>
                <w:tcPr>
                  <w:tcW w:w="413" w:type="pct"/>
                  <w:tcBorders>
                    <w:top w:val="single" w:sz="4" w:space="0" w:color="auto"/>
                    <w:left w:val="single" w:sz="4" w:space="0" w:color="auto"/>
                    <w:bottom w:val="single" w:sz="4" w:space="0" w:color="auto"/>
                    <w:right w:val="single" w:sz="4" w:space="0" w:color="auto"/>
                  </w:tcBorders>
                </w:tcPr>
                <w:p w14:paraId="7D79DF56" w14:textId="77777777" w:rsidR="00DF7682" w:rsidRPr="0013396E" w:rsidRDefault="00DF7682" w:rsidP="00DF7682">
                  <w:pPr>
                    <w:spacing w:after="60"/>
                    <w:rPr>
                      <w:iCs/>
                      <w:sz w:val="20"/>
                    </w:rPr>
                  </w:pPr>
                  <w:r w:rsidRPr="0013396E">
                    <w:rPr>
                      <w:iCs/>
                      <w:sz w:val="20"/>
                    </w:rPr>
                    <w:t>none</w:t>
                  </w:r>
                </w:p>
              </w:tc>
              <w:tc>
                <w:tcPr>
                  <w:tcW w:w="3420" w:type="pct"/>
                  <w:tcBorders>
                    <w:top w:val="single" w:sz="4" w:space="0" w:color="auto"/>
                    <w:left w:val="single" w:sz="4" w:space="0" w:color="auto"/>
                    <w:bottom w:val="single" w:sz="4" w:space="0" w:color="auto"/>
                    <w:right w:val="single" w:sz="4" w:space="0" w:color="auto"/>
                  </w:tcBorders>
                </w:tcPr>
                <w:p w14:paraId="4779E4DF" w14:textId="77777777" w:rsidR="00DF7682" w:rsidRPr="0013396E" w:rsidRDefault="00DF7682" w:rsidP="00DF7682">
                  <w:pPr>
                    <w:spacing w:after="60"/>
                    <w:rPr>
                      <w:iCs/>
                      <w:sz w:val="20"/>
                    </w:rPr>
                  </w:pPr>
                  <w:r w:rsidRPr="0013396E">
                    <w:rPr>
                      <w:iCs/>
                      <w:sz w:val="20"/>
                    </w:rPr>
                    <w:t>An MRA.</w:t>
                  </w:r>
                </w:p>
              </w:tc>
            </w:tr>
            <w:tr w:rsidR="00DF7682" w:rsidRPr="0013396E" w14:paraId="3ECC363F" w14:textId="77777777" w:rsidTr="00CE1011">
              <w:trPr>
                <w:cantSplit/>
              </w:trPr>
              <w:tc>
                <w:tcPr>
                  <w:tcW w:w="1167" w:type="pct"/>
                  <w:tcBorders>
                    <w:top w:val="single" w:sz="4" w:space="0" w:color="auto"/>
                    <w:left w:val="single" w:sz="4" w:space="0" w:color="auto"/>
                    <w:bottom w:val="single" w:sz="4" w:space="0" w:color="auto"/>
                    <w:right w:val="single" w:sz="4" w:space="0" w:color="auto"/>
                  </w:tcBorders>
                </w:tcPr>
                <w:p w14:paraId="10F9B66C" w14:textId="77777777" w:rsidR="00DF7682" w:rsidRPr="0013396E" w:rsidRDefault="00DF7682" w:rsidP="00DF7682">
                  <w:pPr>
                    <w:spacing w:after="60"/>
                    <w:rPr>
                      <w:i/>
                      <w:iCs/>
                      <w:sz w:val="20"/>
                    </w:rPr>
                  </w:pPr>
                  <w:r w:rsidRPr="0013396E">
                    <w:rPr>
                      <w:i/>
                      <w:sz w:val="20"/>
                    </w:rPr>
                    <w:t>h</w:t>
                  </w:r>
                </w:p>
              </w:tc>
              <w:tc>
                <w:tcPr>
                  <w:tcW w:w="413" w:type="pct"/>
                  <w:tcBorders>
                    <w:top w:val="single" w:sz="4" w:space="0" w:color="auto"/>
                    <w:left w:val="single" w:sz="4" w:space="0" w:color="auto"/>
                    <w:bottom w:val="single" w:sz="4" w:space="0" w:color="auto"/>
                    <w:right w:val="single" w:sz="4" w:space="0" w:color="auto"/>
                  </w:tcBorders>
                </w:tcPr>
                <w:p w14:paraId="56D80B59" w14:textId="77777777" w:rsidR="00DF7682" w:rsidRPr="0013396E" w:rsidRDefault="00DF7682" w:rsidP="00DF7682">
                  <w:pPr>
                    <w:spacing w:after="60"/>
                    <w:rPr>
                      <w:iCs/>
                      <w:sz w:val="20"/>
                    </w:rPr>
                  </w:pPr>
                  <w:r w:rsidRPr="0013396E">
                    <w:rPr>
                      <w:sz w:val="20"/>
                    </w:rPr>
                    <w:t>none</w:t>
                  </w:r>
                </w:p>
              </w:tc>
              <w:tc>
                <w:tcPr>
                  <w:tcW w:w="3420" w:type="pct"/>
                  <w:tcBorders>
                    <w:top w:val="single" w:sz="4" w:space="0" w:color="auto"/>
                    <w:left w:val="single" w:sz="4" w:space="0" w:color="auto"/>
                    <w:bottom w:val="single" w:sz="4" w:space="0" w:color="auto"/>
                    <w:right w:val="single" w:sz="4" w:space="0" w:color="auto"/>
                  </w:tcBorders>
                </w:tcPr>
                <w:p w14:paraId="3938456D" w14:textId="77777777" w:rsidR="00DF7682" w:rsidRPr="0013396E" w:rsidRDefault="00DF7682" w:rsidP="00DF7682">
                  <w:pPr>
                    <w:spacing w:after="60"/>
                    <w:rPr>
                      <w:iCs/>
                      <w:sz w:val="20"/>
                    </w:rPr>
                  </w:pPr>
                  <w:r w:rsidRPr="0013396E">
                    <w:rPr>
                      <w:iCs/>
                      <w:sz w:val="20"/>
                    </w:rPr>
                    <w:t>An MRA Contracted Hour for the MRA Contracted Month</w:t>
                  </w:r>
                  <w:r w:rsidRPr="0013396E">
                    <w:rPr>
                      <w:sz w:val="20"/>
                    </w:rPr>
                    <w:t>.</w:t>
                  </w:r>
                </w:p>
              </w:tc>
            </w:tr>
          </w:tbl>
          <w:p w14:paraId="3B49EBF3" w14:textId="0B48EF8D" w:rsidR="00DF7682" w:rsidRPr="0013396E" w:rsidRDefault="00DF7682" w:rsidP="00DF7682">
            <w:pPr>
              <w:spacing w:before="240" w:after="240"/>
              <w:ind w:left="720" w:hanging="720"/>
              <w:rPr>
                <w:iCs/>
              </w:rPr>
            </w:pPr>
            <w:r w:rsidRPr="0013396E">
              <w:rPr>
                <w:iCs/>
              </w:rPr>
              <w:t>(</w:t>
            </w:r>
            <w:r w:rsidR="00AA432B" w:rsidRPr="0013396E">
              <w:rPr>
                <w:iCs/>
              </w:rPr>
              <w:t>6</w:t>
            </w:r>
            <w:r w:rsidRPr="0013396E">
              <w:rPr>
                <w:iCs/>
              </w:rPr>
              <w:t>)</w:t>
            </w:r>
            <w:r w:rsidRPr="0013396E">
              <w:rPr>
                <w:iCs/>
              </w:rPr>
              <w:tab/>
              <w:t>The total of the variable payments for a given MRA Contracted Hour is calculated as follows:</w:t>
            </w:r>
          </w:p>
          <w:p w14:paraId="1DED93AF" w14:textId="77777777" w:rsidR="00DF7682" w:rsidRPr="0013396E" w:rsidRDefault="00DF7682" w:rsidP="00DF7682">
            <w:pPr>
              <w:spacing w:after="240"/>
              <w:ind w:left="720"/>
              <w:rPr>
                <w:iCs/>
              </w:rPr>
            </w:pPr>
            <w:r w:rsidRPr="0013396E">
              <w:rPr>
                <w:iCs/>
              </w:rPr>
              <w:t xml:space="preserve">MRAVAMTTOT  =  </w:t>
            </w:r>
            <w:r w:rsidR="00150223" w:rsidRPr="0013396E">
              <w:rPr>
                <w:iCs/>
                <w:position w:val="-22"/>
              </w:rPr>
              <w:object w:dxaOrig="210" w:dyaOrig="465" w14:anchorId="5F555D5E">
                <v:shape id="_x0000_i1186" type="#_x0000_t75" style="width:6pt;height:29.4pt" o:ole="">
                  <v:imagedata r:id="rId155" o:title=""/>
                </v:shape>
                <o:OLEObject Type="Embed" ProgID="Equation.3" ShapeID="_x0000_i1186" DrawAspect="Content" ObjectID="_1836311464" r:id="rId238"/>
              </w:object>
            </w:r>
            <w:r w:rsidRPr="0013396E">
              <w:rPr>
                <w:iCs/>
              </w:rPr>
              <w:t xml:space="preserve"> MRAVAMTQSETOT </w:t>
            </w:r>
            <w:r w:rsidRPr="0013396E">
              <w:rPr>
                <w:i/>
                <w:iCs/>
                <w:vertAlign w:val="subscript"/>
              </w:rPr>
              <w:t>q</w:t>
            </w:r>
            <w:r w:rsidRPr="0013396E">
              <w:rPr>
                <w:i/>
                <w:iCs/>
              </w:rPr>
              <w:t xml:space="preserve"> </w:t>
            </w:r>
            <w:r w:rsidRPr="0013396E">
              <w:rPr>
                <w:iCs/>
              </w:rPr>
              <w:t xml:space="preserve"> </w:t>
            </w:r>
          </w:p>
          <w:p w14:paraId="3E476236" w14:textId="77777777" w:rsidR="00DF7682" w:rsidRPr="0013396E" w:rsidRDefault="00DF7682" w:rsidP="00DF7682">
            <w:r w:rsidRPr="0013396E">
              <w:t>The above variables are defined as follows:</w:t>
            </w:r>
          </w:p>
          <w:tbl>
            <w:tblPr>
              <w:tblW w:w="49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6"/>
              <w:gridCol w:w="605"/>
              <w:gridCol w:w="6061"/>
            </w:tblGrid>
            <w:tr w:rsidR="00150223" w:rsidRPr="0013396E" w14:paraId="5040290D" w14:textId="77777777" w:rsidTr="00CE1011">
              <w:trPr>
                <w:cantSplit/>
                <w:tblHeader/>
              </w:trPr>
              <w:tc>
                <w:tcPr>
                  <w:tcW w:w="1398" w:type="pct"/>
                </w:tcPr>
                <w:p w14:paraId="538F8FF3" w14:textId="77777777" w:rsidR="00150223" w:rsidRPr="0013396E" w:rsidRDefault="00150223" w:rsidP="00150223">
                  <w:pPr>
                    <w:spacing w:after="240"/>
                    <w:rPr>
                      <w:b/>
                      <w:iCs/>
                      <w:sz w:val="20"/>
                    </w:rPr>
                  </w:pPr>
                  <w:r w:rsidRPr="0013396E">
                    <w:rPr>
                      <w:b/>
                      <w:iCs/>
                      <w:sz w:val="20"/>
                    </w:rPr>
                    <w:t>Variable</w:t>
                  </w:r>
                </w:p>
              </w:tc>
              <w:tc>
                <w:tcPr>
                  <w:tcW w:w="326" w:type="pct"/>
                </w:tcPr>
                <w:p w14:paraId="4592516B" w14:textId="77777777" w:rsidR="00150223" w:rsidRPr="0013396E" w:rsidRDefault="00150223" w:rsidP="00150223">
                  <w:pPr>
                    <w:spacing w:after="240"/>
                    <w:rPr>
                      <w:b/>
                      <w:iCs/>
                      <w:sz w:val="20"/>
                    </w:rPr>
                  </w:pPr>
                  <w:r w:rsidRPr="0013396E">
                    <w:rPr>
                      <w:b/>
                      <w:iCs/>
                      <w:sz w:val="20"/>
                    </w:rPr>
                    <w:t>Unit</w:t>
                  </w:r>
                </w:p>
              </w:tc>
              <w:tc>
                <w:tcPr>
                  <w:tcW w:w="3276" w:type="pct"/>
                </w:tcPr>
                <w:p w14:paraId="194A3E2E" w14:textId="77777777" w:rsidR="00150223" w:rsidRPr="0013396E" w:rsidRDefault="00150223" w:rsidP="00150223">
                  <w:pPr>
                    <w:spacing w:after="240"/>
                    <w:rPr>
                      <w:b/>
                      <w:iCs/>
                      <w:sz w:val="20"/>
                    </w:rPr>
                  </w:pPr>
                  <w:r w:rsidRPr="0013396E">
                    <w:rPr>
                      <w:b/>
                      <w:iCs/>
                      <w:sz w:val="20"/>
                    </w:rPr>
                    <w:t>Definition</w:t>
                  </w:r>
                </w:p>
              </w:tc>
            </w:tr>
            <w:tr w:rsidR="00150223" w:rsidRPr="0013396E" w14:paraId="0FEC4065" w14:textId="77777777" w:rsidTr="00CE1011">
              <w:trPr>
                <w:cantSplit/>
              </w:trPr>
              <w:tc>
                <w:tcPr>
                  <w:tcW w:w="1398" w:type="pct"/>
                </w:tcPr>
                <w:p w14:paraId="4873B65B" w14:textId="77777777" w:rsidR="00150223" w:rsidRPr="0013396E" w:rsidRDefault="00150223" w:rsidP="00150223">
                  <w:pPr>
                    <w:spacing w:after="60"/>
                    <w:rPr>
                      <w:iCs/>
                      <w:sz w:val="20"/>
                    </w:rPr>
                  </w:pPr>
                  <w:r w:rsidRPr="0013396E">
                    <w:rPr>
                      <w:iCs/>
                      <w:sz w:val="20"/>
                    </w:rPr>
                    <w:t>MRAVAMTTOT</w:t>
                  </w:r>
                </w:p>
              </w:tc>
              <w:tc>
                <w:tcPr>
                  <w:tcW w:w="326" w:type="pct"/>
                </w:tcPr>
                <w:p w14:paraId="1A27AAB6" w14:textId="77777777" w:rsidR="00150223" w:rsidRPr="0013396E" w:rsidRDefault="00150223" w:rsidP="00150223">
                  <w:pPr>
                    <w:spacing w:after="60"/>
                    <w:rPr>
                      <w:iCs/>
                      <w:sz w:val="20"/>
                    </w:rPr>
                  </w:pPr>
                  <w:r w:rsidRPr="0013396E">
                    <w:rPr>
                      <w:iCs/>
                      <w:sz w:val="20"/>
                    </w:rPr>
                    <w:t>$</w:t>
                  </w:r>
                </w:p>
              </w:tc>
              <w:tc>
                <w:tcPr>
                  <w:tcW w:w="3276" w:type="pct"/>
                </w:tcPr>
                <w:p w14:paraId="7ECCBFEF" w14:textId="77777777" w:rsidR="00150223" w:rsidRPr="0013396E" w:rsidRDefault="00150223" w:rsidP="00150223">
                  <w:pPr>
                    <w:spacing w:after="60"/>
                    <w:rPr>
                      <w:iCs/>
                      <w:sz w:val="20"/>
                    </w:rPr>
                  </w:pPr>
                  <w:r w:rsidRPr="0013396E">
                    <w:rPr>
                      <w:i/>
                      <w:iCs/>
                      <w:sz w:val="20"/>
                    </w:rPr>
                    <w:t>Must-Run Alternative Variable Amount Total by hour</w:t>
                  </w:r>
                  <w:r w:rsidRPr="0013396E">
                    <w:rPr>
                      <w:iCs/>
                      <w:sz w:val="20"/>
                    </w:rPr>
                    <w:t>—The total variable payments for the MRA Contracted Hour.</w:t>
                  </w:r>
                </w:p>
              </w:tc>
            </w:tr>
            <w:tr w:rsidR="00150223" w:rsidRPr="0013396E" w14:paraId="1B2A290A" w14:textId="77777777" w:rsidTr="00CE1011">
              <w:trPr>
                <w:cantSplit/>
              </w:trPr>
              <w:tc>
                <w:tcPr>
                  <w:tcW w:w="1398" w:type="pct"/>
                </w:tcPr>
                <w:p w14:paraId="756F0CE0" w14:textId="77777777" w:rsidR="00150223" w:rsidRPr="0013396E" w:rsidRDefault="00150223" w:rsidP="00150223">
                  <w:pPr>
                    <w:spacing w:after="60"/>
                    <w:rPr>
                      <w:iCs/>
                      <w:sz w:val="20"/>
                    </w:rPr>
                  </w:pPr>
                  <w:r w:rsidRPr="0013396E">
                    <w:rPr>
                      <w:iCs/>
                      <w:sz w:val="20"/>
                    </w:rPr>
                    <w:lastRenderedPageBreak/>
                    <w:t xml:space="preserve">MRAVAMTQSETOT </w:t>
                  </w:r>
                  <w:r w:rsidRPr="0013396E">
                    <w:rPr>
                      <w:i/>
                      <w:iCs/>
                      <w:sz w:val="20"/>
                      <w:vertAlign w:val="subscript"/>
                    </w:rPr>
                    <w:t>q</w:t>
                  </w:r>
                </w:p>
              </w:tc>
              <w:tc>
                <w:tcPr>
                  <w:tcW w:w="326" w:type="pct"/>
                </w:tcPr>
                <w:p w14:paraId="404DD154" w14:textId="77777777" w:rsidR="00150223" w:rsidRPr="0013396E" w:rsidRDefault="00150223" w:rsidP="00150223">
                  <w:pPr>
                    <w:spacing w:after="60"/>
                    <w:rPr>
                      <w:iCs/>
                      <w:sz w:val="20"/>
                    </w:rPr>
                  </w:pPr>
                  <w:r w:rsidRPr="0013396E">
                    <w:rPr>
                      <w:iCs/>
                      <w:sz w:val="20"/>
                    </w:rPr>
                    <w:t>$</w:t>
                  </w:r>
                </w:p>
              </w:tc>
              <w:tc>
                <w:tcPr>
                  <w:tcW w:w="3276" w:type="pct"/>
                </w:tcPr>
                <w:p w14:paraId="04646959" w14:textId="77777777" w:rsidR="00150223" w:rsidRPr="0013396E" w:rsidRDefault="00150223" w:rsidP="00150223">
                  <w:pPr>
                    <w:spacing w:after="60"/>
                    <w:rPr>
                      <w:iCs/>
                      <w:sz w:val="20"/>
                    </w:rPr>
                  </w:pPr>
                  <w:r w:rsidRPr="0013396E">
                    <w:rPr>
                      <w:i/>
                      <w:iCs/>
                      <w:sz w:val="20"/>
                    </w:rPr>
                    <w:t>Must-Run Alternative Variable Amount Total per QSE by hour</w:t>
                  </w:r>
                  <w:r w:rsidRPr="0013396E">
                    <w:rPr>
                      <w:iCs/>
                      <w:sz w:val="20"/>
                    </w:rPr>
                    <w:t>—The total variable payment for all MRAs</w:t>
                  </w:r>
                  <w:r w:rsidRPr="0013396E">
                    <w:rPr>
                      <w:i/>
                      <w:iCs/>
                      <w:sz w:val="20"/>
                    </w:rPr>
                    <w:t xml:space="preserve">, </w:t>
                  </w:r>
                  <w:r w:rsidRPr="0013396E">
                    <w:rPr>
                      <w:iCs/>
                      <w:sz w:val="20"/>
                    </w:rPr>
                    <w:t>represented by the QSE</w:t>
                  </w:r>
                  <w:r w:rsidRPr="0013396E">
                    <w:rPr>
                      <w:i/>
                      <w:iCs/>
                      <w:sz w:val="20"/>
                    </w:rPr>
                    <w:t xml:space="preserve"> q</w:t>
                  </w:r>
                  <w:r w:rsidRPr="0013396E">
                    <w:rPr>
                      <w:iCs/>
                      <w:sz w:val="20"/>
                    </w:rPr>
                    <w:t xml:space="preserve">, for the MRA Contracted Hour. </w:t>
                  </w:r>
                </w:p>
              </w:tc>
            </w:tr>
            <w:tr w:rsidR="00150223" w:rsidRPr="0013396E" w14:paraId="71990747" w14:textId="77777777" w:rsidTr="00CE1011">
              <w:trPr>
                <w:cantSplit/>
              </w:trPr>
              <w:tc>
                <w:tcPr>
                  <w:tcW w:w="1398" w:type="pct"/>
                  <w:tcBorders>
                    <w:top w:val="single" w:sz="4" w:space="0" w:color="auto"/>
                    <w:left w:val="single" w:sz="4" w:space="0" w:color="auto"/>
                    <w:bottom w:val="single" w:sz="4" w:space="0" w:color="auto"/>
                    <w:right w:val="single" w:sz="4" w:space="0" w:color="auto"/>
                  </w:tcBorders>
                </w:tcPr>
                <w:p w14:paraId="3B7536D4" w14:textId="77777777" w:rsidR="00150223" w:rsidRPr="0013396E" w:rsidRDefault="00150223" w:rsidP="00150223">
                  <w:pPr>
                    <w:spacing w:after="60"/>
                    <w:rPr>
                      <w:i/>
                      <w:iCs/>
                      <w:sz w:val="20"/>
                    </w:rPr>
                  </w:pPr>
                  <w:r w:rsidRPr="0013396E">
                    <w:rPr>
                      <w:i/>
                      <w:iCs/>
                      <w:sz w:val="20"/>
                    </w:rPr>
                    <w:t>q</w:t>
                  </w:r>
                </w:p>
              </w:tc>
              <w:tc>
                <w:tcPr>
                  <w:tcW w:w="326" w:type="pct"/>
                  <w:tcBorders>
                    <w:top w:val="single" w:sz="4" w:space="0" w:color="auto"/>
                    <w:left w:val="single" w:sz="4" w:space="0" w:color="auto"/>
                    <w:bottom w:val="single" w:sz="4" w:space="0" w:color="auto"/>
                    <w:right w:val="single" w:sz="4" w:space="0" w:color="auto"/>
                  </w:tcBorders>
                </w:tcPr>
                <w:p w14:paraId="1AC546D3" w14:textId="77777777" w:rsidR="00150223" w:rsidRPr="0013396E" w:rsidRDefault="00150223" w:rsidP="00150223">
                  <w:pPr>
                    <w:spacing w:after="60"/>
                    <w:rPr>
                      <w:iCs/>
                      <w:sz w:val="20"/>
                    </w:rPr>
                  </w:pPr>
                  <w:r w:rsidRPr="0013396E">
                    <w:rPr>
                      <w:iCs/>
                      <w:sz w:val="20"/>
                    </w:rPr>
                    <w:t>none</w:t>
                  </w:r>
                </w:p>
              </w:tc>
              <w:tc>
                <w:tcPr>
                  <w:tcW w:w="3276" w:type="pct"/>
                  <w:tcBorders>
                    <w:top w:val="single" w:sz="4" w:space="0" w:color="auto"/>
                    <w:left w:val="single" w:sz="4" w:space="0" w:color="auto"/>
                    <w:bottom w:val="single" w:sz="4" w:space="0" w:color="auto"/>
                    <w:right w:val="single" w:sz="4" w:space="0" w:color="auto"/>
                  </w:tcBorders>
                </w:tcPr>
                <w:p w14:paraId="1D3ABE08" w14:textId="77777777" w:rsidR="00150223" w:rsidRPr="0013396E" w:rsidRDefault="00150223" w:rsidP="00150223">
                  <w:pPr>
                    <w:spacing w:after="60"/>
                    <w:rPr>
                      <w:iCs/>
                      <w:sz w:val="20"/>
                    </w:rPr>
                  </w:pPr>
                  <w:r w:rsidRPr="0013396E">
                    <w:rPr>
                      <w:iCs/>
                      <w:sz w:val="20"/>
                    </w:rPr>
                    <w:t>A QSE.</w:t>
                  </w:r>
                </w:p>
              </w:tc>
            </w:tr>
          </w:tbl>
          <w:p w14:paraId="16B92ED9" w14:textId="77777777" w:rsidR="00CE74E6" w:rsidRPr="0013396E" w:rsidRDefault="00CE74E6" w:rsidP="00CE1011">
            <w:pPr>
              <w:spacing w:after="240"/>
              <w:ind w:left="720" w:hanging="720"/>
            </w:pPr>
          </w:p>
        </w:tc>
      </w:tr>
    </w:tbl>
    <w:p w14:paraId="13A3C22E" w14:textId="77777777" w:rsidR="00150223" w:rsidRPr="0013396E" w:rsidRDefault="00150223" w:rsidP="00150223">
      <w:pPr>
        <w:pStyle w:val="H3"/>
        <w:spacing w:before="0" w:after="0"/>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76"/>
      </w:tblGrid>
      <w:tr w:rsidR="00150223" w:rsidRPr="0013396E" w14:paraId="00F556B5" w14:textId="77777777" w:rsidTr="00CE1011">
        <w:trPr>
          <w:trHeight w:val="206"/>
        </w:trPr>
        <w:tc>
          <w:tcPr>
            <w:tcW w:w="5000" w:type="pct"/>
            <w:shd w:val="pct12" w:color="auto" w:fill="auto"/>
          </w:tcPr>
          <w:p w14:paraId="0C5D2812" w14:textId="77777777" w:rsidR="00150223" w:rsidRPr="0013396E" w:rsidRDefault="00150223" w:rsidP="00CE1011">
            <w:pPr>
              <w:pStyle w:val="Instructions"/>
              <w:spacing w:before="120"/>
            </w:pPr>
            <w:r w:rsidRPr="0013396E">
              <w:t>[NPRR885:  Insert Section 6.6.6.11 below upon system implementation:]</w:t>
            </w:r>
          </w:p>
          <w:p w14:paraId="6CD6E758" w14:textId="77777777" w:rsidR="00427EDA" w:rsidRPr="0013396E" w:rsidRDefault="00427EDA" w:rsidP="00427EDA">
            <w:pPr>
              <w:keepNext/>
              <w:widowControl w:val="0"/>
              <w:tabs>
                <w:tab w:val="left" w:pos="1260"/>
              </w:tabs>
              <w:spacing w:before="240" w:after="240"/>
              <w:ind w:left="1267" w:hanging="1267"/>
              <w:outlineLvl w:val="3"/>
              <w:rPr>
                <w:b/>
                <w:bCs/>
                <w:snapToGrid w:val="0"/>
                <w:color w:val="000000"/>
              </w:rPr>
            </w:pPr>
            <w:bookmarkStart w:id="2014" w:name="_Toc17798758"/>
            <w:bookmarkStart w:id="2015" w:name="_Toc214879004"/>
            <w:r w:rsidRPr="0013396E">
              <w:rPr>
                <w:b/>
                <w:bCs/>
                <w:snapToGrid w:val="0"/>
                <w:color w:val="000000"/>
              </w:rPr>
              <w:t>6.6.6.11</w:t>
            </w:r>
            <w:r w:rsidRPr="0013396E">
              <w:rPr>
                <w:b/>
                <w:bCs/>
                <w:snapToGrid w:val="0"/>
                <w:color w:val="000000"/>
              </w:rPr>
              <w:tab/>
              <w:t>MRA Charge for Unexcused Misconduct</w:t>
            </w:r>
            <w:bookmarkEnd w:id="2014"/>
            <w:bookmarkEnd w:id="2015"/>
            <w:r w:rsidRPr="0013396E">
              <w:rPr>
                <w:b/>
                <w:bCs/>
                <w:snapToGrid w:val="0"/>
                <w:color w:val="000000"/>
              </w:rPr>
              <w:t xml:space="preserve"> </w:t>
            </w:r>
          </w:p>
          <w:p w14:paraId="0B760CA3" w14:textId="77777777" w:rsidR="00427EDA" w:rsidRPr="0013396E" w:rsidRDefault="00427EDA" w:rsidP="00427EDA">
            <w:pPr>
              <w:spacing w:after="240"/>
              <w:ind w:left="720" w:hanging="720"/>
            </w:pPr>
            <w:r w:rsidRPr="0013396E">
              <w:t>(1)</w:t>
            </w:r>
            <w:r w:rsidRPr="0013396E">
              <w:tab/>
              <w:t>If one or more Misconduct Events are not excused, as provided for in Section 3.14.4.8, MRA Misconduct Events, then ERCOT shall charge the QSE that represents the MRA an unexcused misconduct amount for the Operating Day as follows:</w:t>
            </w:r>
          </w:p>
          <w:p w14:paraId="4ACF91D2" w14:textId="77777777" w:rsidR="00427EDA" w:rsidRPr="0013396E" w:rsidRDefault="00427EDA" w:rsidP="00427EDA">
            <w:pPr>
              <w:tabs>
                <w:tab w:val="left" w:pos="2250"/>
                <w:tab w:val="left" w:pos="3150"/>
                <w:tab w:val="left" w:pos="3960"/>
              </w:tabs>
              <w:spacing w:after="240"/>
              <w:ind w:left="3960" w:hanging="3240"/>
              <w:rPr>
                <w:bCs/>
              </w:rPr>
            </w:pPr>
            <w:r w:rsidRPr="0013396E">
              <w:rPr>
                <w:bCs/>
              </w:rPr>
              <w:t xml:space="preserve">MRAUMAMT </w:t>
            </w:r>
            <w:r w:rsidRPr="0013396E">
              <w:rPr>
                <w:bCs/>
                <w:i/>
                <w:vertAlign w:val="subscript"/>
              </w:rPr>
              <w:t>q, r,h</w:t>
            </w:r>
            <w:r w:rsidRPr="0013396E">
              <w:rPr>
                <w:bCs/>
              </w:rPr>
              <w:tab/>
              <w:t>=</w:t>
            </w:r>
            <w:r w:rsidRPr="0013396E">
              <w:rPr>
                <w:bCs/>
              </w:rPr>
              <w:tab/>
              <w:t>$10,000 * MRAUMFLAG</w:t>
            </w:r>
            <w:r w:rsidRPr="0013396E">
              <w:rPr>
                <w:bCs/>
                <w:i/>
                <w:vertAlign w:val="subscript"/>
              </w:rPr>
              <w:t xml:space="preserve"> q, r</w:t>
            </w:r>
            <w:r w:rsidRPr="0013396E">
              <w:rPr>
                <w:vertAlign w:val="subscript"/>
              </w:rPr>
              <w:t>,</w:t>
            </w:r>
            <w:r w:rsidRPr="0013396E">
              <w:rPr>
                <w:i/>
                <w:vertAlign w:val="subscript"/>
              </w:rPr>
              <w:t xml:space="preserve"> d</w:t>
            </w:r>
            <w:r w:rsidRPr="0013396E">
              <w:rPr>
                <w:rFonts w:ascii="Times New Roman Bold" w:hAnsi="Times New Roman Bold"/>
                <w:bCs/>
                <w:i/>
                <w:vertAlign w:val="subscript"/>
              </w:rPr>
              <w:t xml:space="preserve">  </w:t>
            </w:r>
            <w:r w:rsidRPr="0013396E">
              <w:rPr>
                <w:rFonts w:ascii="Times New Roman Bold" w:hAnsi="Times New Roman Bold"/>
                <w:bCs/>
              </w:rPr>
              <w:t xml:space="preserve">/ </w:t>
            </w:r>
            <w:r w:rsidRPr="0013396E">
              <w:rPr>
                <w:bCs/>
              </w:rPr>
              <w:t>MRACH</w:t>
            </w:r>
            <w:r w:rsidRPr="0013396E">
              <w:rPr>
                <w:rFonts w:ascii="Times New Roman Bold" w:hAnsi="Times New Roman Bold"/>
                <w:bCs/>
                <w:i/>
                <w:vertAlign w:val="subscript"/>
              </w:rPr>
              <w:t xml:space="preserve"> </w:t>
            </w:r>
            <w:r w:rsidRPr="0013396E">
              <w:rPr>
                <w:bCs/>
                <w:i/>
                <w:vertAlign w:val="subscript"/>
              </w:rPr>
              <w:t>q, r</w:t>
            </w:r>
            <w:r w:rsidRPr="0013396E">
              <w:rPr>
                <w:vertAlign w:val="subscript"/>
              </w:rPr>
              <w:t>,</w:t>
            </w:r>
            <w:r w:rsidRPr="0013396E">
              <w:rPr>
                <w:i/>
                <w:vertAlign w:val="subscript"/>
              </w:rPr>
              <w:t xml:space="preserve"> d</w:t>
            </w:r>
          </w:p>
          <w:p w14:paraId="1819FF81" w14:textId="77777777" w:rsidR="00427EDA" w:rsidRPr="0013396E" w:rsidRDefault="00427EDA" w:rsidP="00427EDA">
            <w:r w:rsidRPr="0013396E">
              <w:t>The above variable is defined as follows:</w:t>
            </w: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5"/>
              <w:gridCol w:w="720"/>
              <w:gridCol w:w="6660"/>
            </w:tblGrid>
            <w:tr w:rsidR="00427EDA" w:rsidRPr="0013396E" w14:paraId="70F8147B" w14:textId="77777777" w:rsidTr="00CE1011">
              <w:trPr>
                <w:cantSplit/>
                <w:tblHeader/>
              </w:trPr>
              <w:tc>
                <w:tcPr>
                  <w:tcW w:w="1885" w:type="dxa"/>
                </w:tcPr>
                <w:p w14:paraId="386BC604" w14:textId="77777777" w:rsidR="00427EDA" w:rsidRPr="0013396E" w:rsidRDefault="00427EDA" w:rsidP="00427EDA">
                  <w:pPr>
                    <w:spacing w:after="120"/>
                    <w:rPr>
                      <w:b/>
                      <w:iCs/>
                      <w:sz w:val="20"/>
                    </w:rPr>
                  </w:pPr>
                  <w:r w:rsidRPr="0013396E">
                    <w:rPr>
                      <w:b/>
                      <w:iCs/>
                      <w:sz w:val="20"/>
                    </w:rPr>
                    <w:t>Variable</w:t>
                  </w:r>
                </w:p>
              </w:tc>
              <w:tc>
                <w:tcPr>
                  <w:tcW w:w="720" w:type="dxa"/>
                </w:tcPr>
                <w:p w14:paraId="19984C3D" w14:textId="77777777" w:rsidR="00427EDA" w:rsidRPr="0013396E" w:rsidRDefault="00427EDA" w:rsidP="00427EDA">
                  <w:pPr>
                    <w:spacing w:after="120"/>
                    <w:rPr>
                      <w:b/>
                      <w:iCs/>
                      <w:sz w:val="20"/>
                    </w:rPr>
                  </w:pPr>
                  <w:r w:rsidRPr="0013396E">
                    <w:rPr>
                      <w:b/>
                      <w:iCs/>
                      <w:sz w:val="20"/>
                    </w:rPr>
                    <w:t>Unit</w:t>
                  </w:r>
                </w:p>
              </w:tc>
              <w:tc>
                <w:tcPr>
                  <w:tcW w:w="6660" w:type="dxa"/>
                </w:tcPr>
                <w:p w14:paraId="02B19043" w14:textId="77777777" w:rsidR="00427EDA" w:rsidRPr="0013396E" w:rsidRDefault="00427EDA" w:rsidP="00427EDA">
                  <w:pPr>
                    <w:spacing w:after="120"/>
                    <w:rPr>
                      <w:b/>
                      <w:iCs/>
                      <w:sz w:val="20"/>
                    </w:rPr>
                  </w:pPr>
                  <w:r w:rsidRPr="0013396E">
                    <w:rPr>
                      <w:b/>
                      <w:iCs/>
                      <w:sz w:val="20"/>
                    </w:rPr>
                    <w:t>Definition</w:t>
                  </w:r>
                </w:p>
              </w:tc>
            </w:tr>
            <w:tr w:rsidR="00427EDA" w:rsidRPr="0013396E" w14:paraId="6F656978" w14:textId="77777777" w:rsidTr="00CE1011">
              <w:trPr>
                <w:cantSplit/>
              </w:trPr>
              <w:tc>
                <w:tcPr>
                  <w:tcW w:w="1885" w:type="dxa"/>
                </w:tcPr>
                <w:p w14:paraId="7836B116" w14:textId="77777777" w:rsidR="00427EDA" w:rsidRPr="0013396E" w:rsidRDefault="00427EDA" w:rsidP="00427EDA">
                  <w:pPr>
                    <w:spacing w:after="60"/>
                    <w:rPr>
                      <w:iCs/>
                      <w:sz w:val="20"/>
                    </w:rPr>
                  </w:pPr>
                  <w:r w:rsidRPr="0013396E">
                    <w:rPr>
                      <w:iCs/>
                      <w:sz w:val="20"/>
                    </w:rPr>
                    <w:t xml:space="preserve">MRAUMAMT </w:t>
                  </w:r>
                  <w:r w:rsidRPr="0013396E">
                    <w:rPr>
                      <w:i/>
                      <w:iCs/>
                      <w:sz w:val="20"/>
                      <w:vertAlign w:val="subscript"/>
                    </w:rPr>
                    <w:t>q, r, h</w:t>
                  </w:r>
                </w:p>
              </w:tc>
              <w:tc>
                <w:tcPr>
                  <w:tcW w:w="720" w:type="dxa"/>
                </w:tcPr>
                <w:p w14:paraId="65349A3E" w14:textId="77777777" w:rsidR="00427EDA" w:rsidRPr="0013396E" w:rsidRDefault="00427EDA" w:rsidP="00427EDA">
                  <w:pPr>
                    <w:spacing w:after="60"/>
                    <w:rPr>
                      <w:iCs/>
                      <w:sz w:val="20"/>
                    </w:rPr>
                  </w:pPr>
                  <w:r w:rsidRPr="0013396E">
                    <w:rPr>
                      <w:iCs/>
                      <w:sz w:val="20"/>
                    </w:rPr>
                    <w:t>$</w:t>
                  </w:r>
                </w:p>
              </w:tc>
              <w:tc>
                <w:tcPr>
                  <w:tcW w:w="6660" w:type="dxa"/>
                </w:tcPr>
                <w:p w14:paraId="2E0E231A" w14:textId="77777777" w:rsidR="00427EDA" w:rsidRPr="0013396E" w:rsidRDefault="00427EDA" w:rsidP="00427EDA">
                  <w:pPr>
                    <w:spacing w:after="60"/>
                    <w:rPr>
                      <w:iCs/>
                      <w:sz w:val="20"/>
                    </w:rPr>
                  </w:pPr>
                  <w:r w:rsidRPr="0013396E">
                    <w:rPr>
                      <w:i/>
                      <w:iCs/>
                      <w:sz w:val="20"/>
                    </w:rPr>
                    <w:t>Must-Run Alternative Unexcused Misconduct Charge per QSE per Resource</w:t>
                  </w:r>
                  <w:r w:rsidRPr="0013396E">
                    <w:rPr>
                      <w:iCs/>
                      <w:sz w:val="20"/>
                    </w:rPr>
                    <w:t xml:space="preserve">—The charge to QSE </w:t>
                  </w:r>
                  <w:r w:rsidRPr="0013396E">
                    <w:rPr>
                      <w:i/>
                      <w:iCs/>
                      <w:sz w:val="20"/>
                    </w:rPr>
                    <w:t>q</w:t>
                  </w:r>
                  <w:r w:rsidRPr="0013396E">
                    <w:rPr>
                      <w:iCs/>
                      <w:sz w:val="20"/>
                    </w:rPr>
                    <w:t xml:space="preserve"> for the unexcused Misconduct Event of MRA </w:t>
                  </w:r>
                  <w:r w:rsidRPr="0013396E">
                    <w:rPr>
                      <w:i/>
                      <w:iCs/>
                      <w:sz w:val="20"/>
                    </w:rPr>
                    <w:t>r</w:t>
                  </w:r>
                  <w:r w:rsidRPr="0013396E">
                    <w:rPr>
                      <w:iCs/>
                      <w:sz w:val="20"/>
                    </w:rPr>
                    <w:t xml:space="preserve"> for the hour </w:t>
                  </w:r>
                  <w:r w:rsidRPr="0013396E">
                    <w:rPr>
                      <w:i/>
                      <w:iCs/>
                      <w:sz w:val="20"/>
                    </w:rPr>
                    <w:t>h</w:t>
                  </w:r>
                  <w:r w:rsidRPr="0013396E">
                    <w:rPr>
                      <w:iCs/>
                      <w:sz w:val="20"/>
                    </w:rPr>
                    <w:t xml:space="preserve">.  Where for a Combined Cycle Train, the Resource </w:t>
                  </w:r>
                  <w:r w:rsidRPr="0013396E">
                    <w:rPr>
                      <w:i/>
                      <w:iCs/>
                      <w:sz w:val="20"/>
                    </w:rPr>
                    <w:t xml:space="preserve">r </w:t>
                  </w:r>
                  <w:r w:rsidRPr="0013396E">
                    <w:rPr>
                      <w:iCs/>
                      <w:sz w:val="20"/>
                    </w:rPr>
                    <w:t xml:space="preserve">is the Combined Cycle Train. </w:t>
                  </w:r>
                </w:p>
              </w:tc>
            </w:tr>
            <w:tr w:rsidR="00427EDA" w:rsidRPr="0013396E" w14:paraId="2B37CD17" w14:textId="77777777" w:rsidTr="00CE1011">
              <w:trPr>
                <w:cantSplit/>
              </w:trPr>
              <w:tc>
                <w:tcPr>
                  <w:tcW w:w="1885" w:type="dxa"/>
                  <w:tcBorders>
                    <w:top w:val="single" w:sz="4" w:space="0" w:color="auto"/>
                    <w:left w:val="single" w:sz="4" w:space="0" w:color="auto"/>
                    <w:bottom w:val="single" w:sz="4" w:space="0" w:color="auto"/>
                    <w:right w:val="single" w:sz="4" w:space="0" w:color="auto"/>
                  </w:tcBorders>
                </w:tcPr>
                <w:p w14:paraId="208C164F" w14:textId="77777777" w:rsidR="00427EDA" w:rsidRPr="0013396E" w:rsidRDefault="00427EDA" w:rsidP="00427EDA">
                  <w:pPr>
                    <w:spacing w:after="60"/>
                    <w:rPr>
                      <w:iCs/>
                      <w:sz w:val="20"/>
                    </w:rPr>
                  </w:pPr>
                  <w:r w:rsidRPr="0013396E">
                    <w:rPr>
                      <w:iCs/>
                      <w:sz w:val="20"/>
                    </w:rPr>
                    <w:t xml:space="preserve">MRAUMFLAG </w:t>
                  </w:r>
                  <w:r w:rsidRPr="0013396E">
                    <w:rPr>
                      <w:i/>
                      <w:iCs/>
                      <w:sz w:val="20"/>
                      <w:vertAlign w:val="subscript"/>
                    </w:rPr>
                    <w:t>q, r, d</w:t>
                  </w:r>
                </w:p>
              </w:tc>
              <w:tc>
                <w:tcPr>
                  <w:tcW w:w="720" w:type="dxa"/>
                  <w:tcBorders>
                    <w:top w:val="single" w:sz="4" w:space="0" w:color="auto"/>
                    <w:left w:val="single" w:sz="4" w:space="0" w:color="auto"/>
                    <w:bottom w:val="single" w:sz="4" w:space="0" w:color="auto"/>
                    <w:right w:val="single" w:sz="4" w:space="0" w:color="auto"/>
                  </w:tcBorders>
                </w:tcPr>
                <w:p w14:paraId="394095F6" w14:textId="77777777" w:rsidR="00427EDA" w:rsidRPr="0013396E" w:rsidRDefault="00427EDA" w:rsidP="00427EDA">
                  <w:pPr>
                    <w:spacing w:after="60"/>
                    <w:rPr>
                      <w:iCs/>
                      <w:sz w:val="20"/>
                    </w:rPr>
                  </w:pPr>
                  <w:r w:rsidRPr="0013396E">
                    <w:rPr>
                      <w:iCs/>
                      <w:sz w:val="20"/>
                    </w:rPr>
                    <w:t>none</w:t>
                  </w:r>
                </w:p>
              </w:tc>
              <w:tc>
                <w:tcPr>
                  <w:tcW w:w="6660" w:type="dxa"/>
                  <w:tcBorders>
                    <w:top w:val="single" w:sz="4" w:space="0" w:color="auto"/>
                    <w:left w:val="single" w:sz="4" w:space="0" w:color="auto"/>
                    <w:bottom w:val="single" w:sz="4" w:space="0" w:color="auto"/>
                    <w:right w:val="single" w:sz="4" w:space="0" w:color="auto"/>
                  </w:tcBorders>
                </w:tcPr>
                <w:p w14:paraId="7DC5E038" w14:textId="19CC1B5A" w:rsidR="00427EDA" w:rsidRPr="0013396E" w:rsidRDefault="00427EDA" w:rsidP="00F602B7">
                  <w:pPr>
                    <w:spacing w:after="60"/>
                    <w:rPr>
                      <w:iCs/>
                      <w:sz w:val="20"/>
                    </w:rPr>
                  </w:pPr>
                  <w:r w:rsidRPr="0013396E">
                    <w:rPr>
                      <w:i/>
                      <w:iCs/>
                      <w:sz w:val="20"/>
                    </w:rPr>
                    <w:t>Must-Run Alternative Unexcused Misconduct Flag per QSE per Resource</w:t>
                  </w:r>
                  <w:r w:rsidRPr="0013396E">
                    <w:rPr>
                      <w:iCs/>
                      <w:sz w:val="20"/>
                    </w:rPr>
                    <w:t xml:space="preserve">—A flag for the QSE </w:t>
                  </w:r>
                  <w:r w:rsidRPr="0013396E">
                    <w:rPr>
                      <w:i/>
                      <w:iCs/>
                      <w:sz w:val="20"/>
                    </w:rPr>
                    <w:t xml:space="preserve">q </w:t>
                  </w:r>
                  <w:r w:rsidRPr="0013396E">
                    <w:rPr>
                      <w:iCs/>
                      <w:sz w:val="20"/>
                    </w:rPr>
                    <w:t xml:space="preserve">for the unexcused Misconduct Event of MRA </w:t>
                  </w:r>
                  <w:r w:rsidRPr="0013396E">
                    <w:rPr>
                      <w:i/>
                      <w:iCs/>
                      <w:sz w:val="20"/>
                    </w:rPr>
                    <w:t>r</w:t>
                  </w:r>
                  <w:r w:rsidRPr="0013396E">
                    <w:rPr>
                      <w:iCs/>
                      <w:sz w:val="20"/>
                    </w:rPr>
                    <w:t xml:space="preserve"> for an Operating Day </w:t>
                  </w:r>
                  <w:r w:rsidRPr="0013396E">
                    <w:rPr>
                      <w:i/>
                      <w:iCs/>
                      <w:sz w:val="20"/>
                    </w:rPr>
                    <w:t>d</w:t>
                  </w:r>
                  <w:r w:rsidRPr="0013396E">
                    <w:rPr>
                      <w:iCs/>
                      <w:sz w:val="20"/>
                    </w:rPr>
                    <w:t xml:space="preserve">.  </w:t>
                  </w:r>
                  <w:r w:rsidRPr="0013396E">
                    <w:rPr>
                      <w:sz w:val="20"/>
                    </w:rPr>
                    <w:t>The MRAUMFLAG</w:t>
                  </w:r>
                  <w:r w:rsidRPr="0013396E">
                    <w:rPr>
                      <w:iCs/>
                      <w:sz w:val="20"/>
                    </w:rPr>
                    <w:t xml:space="preserve"> </w:t>
                  </w:r>
                  <w:r w:rsidRPr="0013396E">
                    <w:rPr>
                      <w:sz w:val="20"/>
                    </w:rPr>
                    <w:t xml:space="preserve">of MRA represented by QSE </w:t>
                  </w:r>
                  <w:r w:rsidRPr="0013396E">
                    <w:rPr>
                      <w:i/>
                      <w:sz w:val="20"/>
                    </w:rPr>
                    <w:t>q</w:t>
                  </w:r>
                  <w:r w:rsidRPr="0013396E">
                    <w:rPr>
                      <w:sz w:val="20"/>
                    </w:rPr>
                    <w:t xml:space="preserve">, 1 for a </w:t>
                  </w:r>
                  <w:r w:rsidRPr="0013396E">
                    <w:rPr>
                      <w:iCs/>
                      <w:sz w:val="20"/>
                    </w:rPr>
                    <w:t>unexcused</w:t>
                  </w:r>
                  <w:r w:rsidRPr="0013396E">
                    <w:rPr>
                      <w:sz w:val="20"/>
                    </w:rPr>
                    <w:t xml:space="preserve"> </w:t>
                  </w:r>
                  <w:r w:rsidRPr="0013396E">
                    <w:rPr>
                      <w:iCs/>
                      <w:sz w:val="20"/>
                    </w:rPr>
                    <w:t xml:space="preserve">misconduct </w:t>
                  </w:r>
                  <w:r w:rsidRPr="0013396E">
                    <w:rPr>
                      <w:sz w:val="20"/>
                    </w:rPr>
                    <w:t xml:space="preserve">and 0 for none, for the day. </w:t>
                  </w:r>
                  <w:r w:rsidRPr="0013396E" w:rsidDel="00A36BCC">
                    <w:rPr>
                      <w:rStyle w:val="CommentReference"/>
                      <w:sz w:val="20"/>
                    </w:rPr>
                    <w:t xml:space="preserve"> </w:t>
                  </w:r>
                  <w:r w:rsidRPr="0013396E">
                    <w:rPr>
                      <w:iCs/>
                      <w:sz w:val="20"/>
                    </w:rPr>
                    <w:t xml:space="preserve">Where for a Combined Cycle Train, the Resource </w:t>
                  </w:r>
                  <w:r w:rsidRPr="0013396E">
                    <w:rPr>
                      <w:i/>
                      <w:iCs/>
                      <w:sz w:val="20"/>
                    </w:rPr>
                    <w:t xml:space="preserve">r </w:t>
                  </w:r>
                  <w:r w:rsidRPr="0013396E">
                    <w:rPr>
                      <w:iCs/>
                      <w:sz w:val="20"/>
                    </w:rPr>
                    <w:t xml:space="preserve">is the Combined Cycle Train. </w:t>
                  </w:r>
                </w:p>
              </w:tc>
            </w:tr>
            <w:tr w:rsidR="00427EDA" w:rsidRPr="0013396E" w14:paraId="475C5156" w14:textId="77777777" w:rsidTr="00CE1011">
              <w:trPr>
                <w:cantSplit/>
              </w:trPr>
              <w:tc>
                <w:tcPr>
                  <w:tcW w:w="1885" w:type="dxa"/>
                  <w:tcBorders>
                    <w:top w:val="single" w:sz="4" w:space="0" w:color="auto"/>
                    <w:left w:val="single" w:sz="4" w:space="0" w:color="auto"/>
                    <w:bottom w:val="single" w:sz="4" w:space="0" w:color="auto"/>
                    <w:right w:val="single" w:sz="4" w:space="0" w:color="auto"/>
                  </w:tcBorders>
                </w:tcPr>
                <w:p w14:paraId="16C3B1DE" w14:textId="77777777" w:rsidR="00427EDA" w:rsidRPr="0013396E" w:rsidRDefault="00427EDA" w:rsidP="00427EDA">
                  <w:pPr>
                    <w:spacing w:after="60"/>
                    <w:rPr>
                      <w:iCs/>
                      <w:sz w:val="20"/>
                    </w:rPr>
                  </w:pPr>
                  <w:r w:rsidRPr="0013396E">
                    <w:rPr>
                      <w:iCs/>
                      <w:sz w:val="20"/>
                    </w:rPr>
                    <w:t xml:space="preserve">MRACH </w:t>
                  </w:r>
                  <w:r w:rsidRPr="0013396E">
                    <w:rPr>
                      <w:i/>
                      <w:iCs/>
                      <w:sz w:val="20"/>
                      <w:vertAlign w:val="subscript"/>
                    </w:rPr>
                    <w:t>q, r, d</w:t>
                  </w:r>
                </w:p>
              </w:tc>
              <w:tc>
                <w:tcPr>
                  <w:tcW w:w="720" w:type="dxa"/>
                  <w:tcBorders>
                    <w:top w:val="single" w:sz="4" w:space="0" w:color="auto"/>
                    <w:left w:val="single" w:sz="4" w:space="0" w:color="auto"/>
                    <w:bottom w:val="single" w:sz="4" w:space="0" w:color="auto"/>
                    <w:right w:val="single" w:sz="4" w:space="0" w:color="auto"/>
                  </w:tcBorders>
                </w:tcPr>
                <w:p w14:paraId="6C8B4233" w14:textId="77777777" w:rsidR="00427EDA" w:rsidRPr="0013396E" w:rsidRDefault="00427EDA" w:rsidP="00427EDA">
                  <w:pPr>
                    <w:spacing w:after="60"/>
                    <w:rPr>
                      <w:iCs/>
                      <w:sz w:val="20"/>
                    </w:rPr>
                  </w:pPr>
                  <w:r w:rsidRPr="0013396E">
                    <w:rPr>
                      <w:iCs/>
                      <w:sz w:val="20"/>
                    </w:rPr>
                    <w:t>hour</w:t>
                  </w:r>
                </w:p>
              </w:tc>
              <w:tc>
                <w:tcPr>
                  <w:tcW w:w="6660" w:type="dxa"/>
                  <w:tcBorders>
                    <w:top w:val="single" w:sz="4" w:space="0" w:color="auto"/>
                    <w:left w:val="single" w:sz="4" w:space="0" w:color="auto"/>
                    <w:bottom w:val="single" w:sz="4" w:space="0" w:color="auto"/>
                    <w:right w:val="single" w:sz="4" w:space="0" w:color="auto"/>
                  </w:tcBorders>
                </w:tcPr>
                <w:p w14:paraId="35779357" w14:textId="77777777" w:rsidR="00427EDA" w:rsidRPr="0013396E" w:rsidRDefault="00427EDA" w:rsidP="00427EDA">
                  <w:pPr>
                    <w:spacing w:after="60"/>
                    <w:rPr>
                      <w:iCs/>
                      <w:sz w:val="20"/>
                    </w:rPr>
                  </w:pPr>
                  <w:r w:rsidRPr="0013396E">
                    <w:rPr>
                      <w:i/>
                      <w:iCs/>
                      <w:sz w:val="20"/>
                    </w:rPr>
                    <w:t xml:space="preserve">Must-Run Alternative Contract Hours in the Operating Day – </w:t>
                  </w:r>
                  <w:r w:rsidRPr="0013396E">
                    <w:rPr>
                      <w:iCs/>
                      <w:sz w:val="20"/>
                    </w:rPr>
                    <w:t xml:space="preserve">The number of MRA Contracted Hours for QSE </w:t>
                  </w:r>
                  <w:r w:rsidRPr="0013396E">
                    <w:rPr>
                      <w:i/>
                      <w:iCs/>
                      <w:sz w:val="20"/>
                    </w:rPr>
                    <w:t>q</w:t>
                  </w:r>
                  <w:r w:rsidRPr="0013396E">
                    <w:rPr>
                      <w:iCs/>
                      <w:sz w:val="20"/>
                    </w:rPr>
                    <w:t xml:space="preserve"> for the MRA </w:t>
                  </w:r>
                  <w:r w:rsidRPr="0013396E">
                    <w:rPr>
                      <w:i/>
                      <w:iCs/>
                      <w:sz w:val="20"/>
                    </w:rPr>
                    <w:t>r</w:t>
                  </w:r>
                  <w:r w:rsidRPr="0013396E">
                    <w:rPr>
                      <w:iCs/>
                      <w:sz w:val="20"/>
                    </w:rPr>
                    <w:t xml:space="preserve"> for an Operating Day </w:t>
                  </w:r>
                  <w:r w:rsidRPr="0013396E">
                    <w:rPr>
                      <w:i/>
                      <w:iCs/>
                      <w:sz w:val="20"/>
                    </w:rPr>
                    <w:t>d</w:t>
                  </w:r>
                  <w:r w:rsidRPr="0013396E">
                    <w:rPr>
                      <w:iCs/>
                      <w:sz w:val="20"/>
                    </w:rPr>
                    <w:t xml:space="preserve">. Where for a Combined Cycle Train, the Resource </w:t>
                  </w:r>
                  <w:r w:rsidRPr="0013396E">
                    <w:rPr>
                      <w:i/>
                      <w:iCs/>
                      <w:sz w:val="20"/>
                    </w:rPr>
                    <w:t xml:space="preserve">r </w:t>
                  </w:r>
                  <w:r w:rsidRPr="0013396E">
                    <w:rPr>
                      <w:iCs/>
                      <w:sz w:val="20"/>
                    </w:rPr>
                    <w:t>is the Combined Cycle Train.</w:t>
                  </w:r>
                </w:p>
              </w:tc>
            </w:tr>
            <w:tr w:rsidR="00427EDA" w:rsidRPr="0013396E" w14:paraId="1DAE59B8" w14:textId="77777777" w:rsidTr="00CE1011">
              <w:trPr>
                <w:cantSplit/>
              </w:trPr>
              <w:tc>
                <w:tcPr>
                  <w:tcW w:w="1885" w:type="dxa"/>
                </w:tcPr>
                <w:p w14:paraId="3BA93D30" w14:textId="77777777" w:rsidR="00427EDA" w:rsidRPr="0013396E" w:rsidRDefault="00427EDA" w:rsidP="00427EDA">
                  <w:pPr>
                    <w:spacing w:after="60"/>
                    <w:rPr>
                      <w:i/>
                      <w:iCs/>
                      <w:sz w:val="20"/>
                    </w:rPr>
                  </w:pPr>
                  <w:r w:rsidRPr="0013396E">
                    <w:rPr>
                      <w:i/>
                      <w:iCs/>
                      <w:sz w:val="20"/>
                    </w:rPr>
                    <w:t>q</w:t>
                  </w:r>
                </w:p>
              </w:tc>
              <w:tc>
                <w:tcPr>
                  <w:tcW w:w="720" w:type="dxa"/>
                </w:tcPr>
                <w:p w14:paraId="669D3852" w14:textId="77777777" w:rsidR="00427EDA" w:rsidRPr="0013396E" w:rsidRDefault="00427EDA" w:rsidP="00427EDA">
                  <w:pPr>
                    <w:spacing w:after="60"/>
                    <w:rPr>
                      <w:iCs/>
                      <w:sz w:val="20"/>
                    </w:rPr>
                  </w:pPr>
                  <w:r w:rsidRPr="0013396E">
                    <w:rPr>
                      <w:iCs/>
                      <w:sz w:val="20"/>
                    </w:rPr>
                    <w:t>none</w:t>
                  </w:r>
                </w:p>
              </w:tc>
              <w:tc>
                <w:tcPr>
                  <w:tcW w:w="6660" w:type="dxa"/>
                </w:tcPr>
                <w:p w14:paraId="3886927B" w14:textId="77777777" w:rsidR="00427EDA" w:rsidRPr="0013396E" w:rsidRDefault="00427EDA" w:rsidP="00427EDA">
                  <w:pPr>
                    <w:spacing w:after="60"/>
                    <w:rPr>
                      <w:i/>
                      <w:iCs/>
                      <w:sz w:val="20"/>
                    </w:rPr>
                  </w:pPr>
                  <w:r w:rsidRPr="0013396E">
                    <w:rPr>
                      <w:iCs/>
                      <w:sz w:val="20"/>
                    </w:rPr>
                    <w:t>A QSE.</w:t>
                  </w:r>
                </w:p>
              </w:tc>
            </w:tr>
            <w:tr w:rsidR="00427EDA" w:rsidRPr="0013396E" w14:paraId="1EEA5B86" w14:textId="77777777" w:rsidTr="00CE1011">
              <w:trPr>
                <w:cantSplit/>
              </w:trPr>
              <w:tc>
                <w:tcPr>
                  <w:tcW w:w="1885" w:type="dxa"/>
                </w:tcPr>
                <w:p w14:paraId="44B4A3F0" w14:textId="77777777" w:rsidR="00427EDA" w:rsidRPr="0013396E" w:rsidRDefault="00427EDA" w:rsidP="00427EDA">
                  <w:pPr>
                    <w:spacing w:after="60"/>
                    <w:rPr>
                      <w:i/>
                      <w:iCs/>
                      <w:sz w:val="20"/>
                    </w:rPr>
                  </w:pPr>
                  <w:r w:rsidRPr="0013396E">
                    <w:rPr>
                      <w:i/>
                      <w:iCs/>
                      <w:sz w:val="20"/>
                    </w:rPr>
                    <w:t>r</w:t>
                  </w:r>
                </w:p>
              </w:tc>
              <w:tc>
                <w:tcPr>
                  <w:tcW w:w="720" w:type="dxa"/>
                </w:tcPr>
                <w:p w14:paraId="6101FB96" w14:textId="77777777" w:rsidR="00427EDA" w:rsidRPr="0013396E" w:rsidRDefault="00427EDA" w:rsidP="00427EDA">
                  <w:pPr>
                    <w:spacing w:after="60"/>
                    <w:rPr>
                      <w:iCs/>
                      <w:sz w:val="20"/>
                    </w:rPr>
                  </w:pPr>
                  <w:r w:rsidRPr="0013396E">
                    <w:rPr>
                      <w:iCs/>
                      <w:sz w:val="20"/>
                    </w:rPr>
                    <w:t>none</w:t>
                  </w:r>
                </w:p>
              </w:tc>
              <w:tc>
                <w:tcPr>
                  <w:tcW w:w="6660" w:type="dxa"/>
                </w:tcPr>
                <w:p w14:paraId="241D9BAF" w14:textId="77777777" w:rsidR="00427EDA" w:rsidRPr="0013396E" w:rsidRDefault="00427EDA" w:rsidP="00427EDA">
                  <w:pPr>
                    <w:spacing w:after="60"/>
                    <w:rPr>
                      <w:i/>
                      <w:iCs/>
                      <w:sz w:val="20"/>
                    </w:rPr>
                  </w:pPr>
                  <w:r w:rsidRPr="0013396E">
                    <w:rPr>
                      <w:iCs/>
                      <w:sz w:val="20"/>
                    </w:rPr>
                    <w:t>An MRA.</w:t>
                  </w:r>
                </w:p>
              </w:tc>
            </w:tr>
            <w:tr w:rsidR="00427EDA" w:rsidRPr="0013396E" w14:paraId="3BB9E74A" w14:textId="77777777" w:rsidTr="00CE1011">
              <w:trPr>
                <w:cantSplit/>
              </w:trPr>
              <w:tc>
                <w:tcPr>
                  <w:tcW w:w="1885" w:type="dxa"/>
                </w:tcPr>
                <w:p w14:paraId="1FC5DA14" w14:textId="77777777" w:rsidR="00427EDA" w:rsidRPr="0013396E" w:rsidRDefault="00427EDA" w:rsidP="00427EDA">
                  <w:pPr>
                    <w:spacing w:after="60"/>
                    <w:rPr>
                      <w:i/>
                      <w:iCs/>
                      <w:sz w:val="20"/>
                    </w:rPr>
                  </w:pPr>
                  <w:r w:rsidRPr="0013396E">
                    <w:rPr>
                      <w:i/>
                      <w:iCs/>
                      <w:sz w:val="20"/>
                    </w:rPr>
                    <w:t>d</w:t>
                  </w:r>
                </w:p>
              </w:tc>
              <w:tc>
                <w:tcPr>
                  <w:tcW w:w="720" w:type="dxa"/>
                </w:tcPr>
                <w:p w14:paraId="044C062A" w14:textId="77777777" w:rsidR="00427EDA" w:rsidRPr="0013396E" w:rsidRDefault="00427EDA" w:rsidP="00427EDA">
                  <w:pPr>
                    <w:spacing w:after="60"/>
                    <w:rPr>
                      <w:iCs/>
                      <w:sz w:val="20"/>
                    </w:rPr>
                  </w:pPr>
                  <w:r w:rsidRPr="0013396E">
                    <w:rPr>
                      <w:iCs/>
                      <w:sz w:val="20"/>
                    </w:rPr>
                    <w:t>none</w:t>
                  </w:r>
                </w:p>
              </w:tc>
              <w:tc>
                <w:tcPr>
                  <w:tcW w:w="6660" w:type="dxa"/>
                </w:tcPr>
                <w:p w14:paraId="73952503" w14:textId="77777777" w:rsidR="00427EDA" w:rsidRPr="0013396E" w:rsidRDefault="00427EDA" w:rsidP="00427EDA">
                  <w:pPr>
                    <w:spacing w:after="60"/>
                    <w:rPr>
                      <w:iCs/>
                      <w:sz w:val="20"/>
                    </w:rPr>
                  </w:pPr>
                  <w:r w:rsidRPr="0013396E">
                    <w:rPr>
                      <w:iCs/>
                      <w:sz w:val="20"/>
                    </w:rPr>
                    <w:t>An Operating Day within a month under an MRA Agreement</w:t>
                  </w:r>
                </w:p>
              </w:tc>
            </w:tr>
            <w:tr w:rsidR="00427EDA" w:rsidRPr="0013396E" w14:paraId="713FD3F7" w14:textId="77777777" w:rsidTr="00CE1011">
              <w:trPr>
                <w:cantSplit/>
              </w:trPr>
              <w:tc>
                <w:tcPr>
                  <w:tcW w:w="1885" w:type="dxa"/>
                </w:tcPr>
                <w:p w14:paraId="65EADDD1" w14:textId="77777777" w:rsidR="00427EDA" w:rsidRPr="0013396E" w:rsidRDefault="00427EDA" w:rsidP="00427EDA">
                  <w:pPr>
                    <w:spacing w:after="60"/>
                    <w:rPr>
                      <w:i/>
                      <w:iCs/>
                      <w:sz w:val="20"/>
                    </w:rPr>
                  </w:pPr>
                  <w:r w:rsidRPr="0013396E">
                    <w:rPr>
                      <w:i/>
                      <w:iCs/>
                      <w:sz w:val="20"/>
                    </w:rPr>
                    <w:t>h</w:t>
                  </w:r>
                </w:p>
              </w:tc>
              <w:tc>
                <w:tcPr>
                  <w:tcW w:w="720" w:type="dxa"/>
                </w:tcPr>
                <w:p w14:paraId="7E4C9641" w14:textId="77777777" w:rsidR="00427EDA" w:rsidRPr="0013396E" w:rsidRDefault="00427EDA" w:rsidP="00427EDA">
                  <w:pPr>
                    <w:spacing w:after="60"/>
                    <w:rPr>
                      <w:iCs/>
                      <w:sz w:val="20"/>
                    </w:rPr>
                  </w:pPr>
                  <w:r w:rsidRPr="0013396E">
                    <w:rPr>
                      <w:iCs/>
                      <w:sz w:val="20"/>
                    </w:rPr>
                    <w:t>none</w:t>
                  </w:r>
                </w:p>
              </w:tc>
              <w:tc>
                <w:tcPr>
                  <w:tcW w:w="6660" w:type="dxa"/>
                </w:tcPr>
                <w:p w14:paraId="5B2D3B11" w14:textId="77777777" w:rsidR="00427EDA" w:rsidRPr="0013396E" w:rsidRDefault="00427EDA" w:rsidP="00427EDA">
                  <w:pPr>
                    <w:spacing w:after="60"/>
                    <w:rPr>
                      <w:iCs/>
                      <w:sz w:val="20"/>
                    </w:rPr>
                  </w:pPr>
                  <w:r w:rsidRPr="0013396E">
                    <w:rPr>
                      <w:iCs/>
                      <w:sz w:val="20"/>
                    </w:rPr>
                    <w:t>An MRA Contracted Hour for the MRA Contracted Month.</w:t>
                  </w:r>
                </w:p>
              </w:tc>
            </w:tr>
          </w:tbl>
          <w:p w14:paraId="38B38DF0" w14:textId="77777777" w:rsidR="00427EDA" w:rsidRPr="0013396E" w:rsidRDefault="00427EDA" w:rsidP="00427EDA">
            <w:pPr>
              <w:spacing w:before="240" w:after="240"/>
              <w:ind w:left="720" w:hanging="720"/>
            </w:pPr>
            <w:r w:rsidRPr="0013396E">
              <w:t>(2)</w:t>
            </w:r>
            <w:r w:rsidRPr="0013396E">
              <w:tab/>
              <w:t>The total of the charges to each QSE for unexcused Misconduct Events of all MRAs represented by this QSE for a given hour is calculated as follows:</w:t>
            </w:r>
          </w:p>
          <w:p w14:paraId="5B58F68B" w14:textId="77777777" w:rsidR="00427EDA" w:rsidRPr="0013396E" w:rsidRDefault="00427EDA" w:rsidP="00427EDA">
            <w:pPr>
              <w:tabs>
                <w:tab w:val="left" w:pos="2250"/>
                <w:tab w:val="left" w:pos="3150"/>
                <w:tab w:val="left" w:pos="3960"/>
              </w:tabs>
              <w:spacing w:after="240"/>
              <w:ind w:left="3960" w:hanging="3240"/>
            </w:pPr>
            <w:r w:rsidRPr="0013396E">
              <w:rPr>
                <w:bCs/>
              </w:rPr>
              <w:t xml:space="preserve">MRAUMAMTQSETOT </w:t>
            </w:r>
            <w:r w:rsidRPr="0013396E">
              <w:rPr>
                <w:bCs/>
                <w:i/>
                <w:vertAlign w:val="subscript"/>
              </w:rPr>
              <w:t>q</w:t>
            </w:r>
            <w:r w:rsidRPr="0013396E">
              <w:rPr>
                <w:bCs/>
              </w:rPr>
              <w:t xml:space="preserve">  =  </w:t>
            </w:r>
            <w:r w:rsidRPr="0013396E">
              <w:rPr>
                <w:position w:val="-18"/>
              </w:rPr>
              <w:object w:dxaOrig="225" w:dyaOrig="420" w14:anchorId="68EBB923">
                <v:shape id="_x0000_i1187" type="#_x0000_t75" style="width:12pt;height:24pt" o:ole="">
                  <v:imagedata r:id="rId199" o:title=""/>
                </v:shape>
                <o:OLEObject Type="Embed" ProgID="Equation.3" ShapeID="_x0000_i1187" DrawAspect="Content" ObjectID="_1836311465" r:id="rId239"/>
              </w:object>
            </w:r>
            <w:r w:rsidRPr="0013396E">
              <w:rPr>
                <w:bCs/>
              </w:rPr>
              <w:t xml:space="preserve">MRAUMAMT </w:t>
            </w:r>
            <w:r w:rsidRPr="0013396E">
              <w:rPr>
                <w:bCs/>
                <w:i/>
                <w:vertAlign w:val="subscript"/>
              </w:rPr>
              <w:t>q, r</w:t>
            </w:r>
            <w:r w:rsidRPr="0013396E">
              <w:rPr>
                <w:vertAlign w:val="subscript"/>
              </w:rPr>
              <w:t>,</w:t>
            </w:r>
            <w:r w:rsidRPr="0013396E">
              <w:rPr>
                <w:i/>
                <w:vertAlign w:val="subscript"/>
              </w:rPr>
              <w:t xml:space="preserve"> h</w:t>
            </w:r>
          </w:p>
          <w:p w14:paraId="7EF721D6" w14:textId="77777777" w:rsidR="00427EDA" w:rsidRPr="0013396E" w:rsidRDefault="00427EDA" w:rsidP="00C36EDA">
            <w:pPr>
              <w:tabs>
                <w:tab w:val="left" w:pos="2250"/>
                <w:tab w:val="left" w:pos="3150"/>
                <w:tab w:val="left" w:pos="3960"/>
              </w:tabs>
            </w:pPr>
            <w:r w:rsidRPr="0013396E">
              <w:t>The above variables are defined as follows:</w:t>
            </w: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5"/>
              <w:gridCol w:w="1170"/>
              <w:gridCol w:w="5580"/>
            </w:tblGrid>
            <w:tr w:rsidR="00C36EDA" w:rsidRPr="0013396E" w14:paraId="5053D7B3" w14:textId="77777777" w:rsidTr="00CE1011">
              <w:trPr>
                <w:cantSplit/>
                <w:tblHeader/>
              </w:trPr>
              <w:tc>
                <w:tcPr>
                  <w:tcW w:w="2515" w:type="dxa"/>
                </w:tcPr>
                <w:p w14:paraId="69DA0BCC" w14:textId="77777777" w:rsidR="00C36EDA" w:rsidRPr="0013396E" w:rsidRDefault="00C36EDA" w:rsidP="00C36EDA">
                  <w:pPr>
                    <w:spacing w:after="120"/>
                    <w:rPr>
                      <w:b/>
                      <w:iCs/>
                      <w:sz w:val="20"/>
                    </w:rPr>
                  </w:pPr>
                  <w:r w:rsidRPr="0013396E">
                    <w:rPr>
                      <w:b/>
                      <w:iCs/>
                      <w:sz w:val="20"/>
                    </w:rPr>
                    <w:t>Variable</w:t>
                  </w:r>
                </w:p>
              </w:tc>
              <w:tc>
                <w:tcPr>
                  <w:tcW w:w="1170" w:type="dxa"/>
                </w:tcPr>
                <w:p w14:paraId="6D037117" w14:textId="77777777" w:rsidR="00C36EDA" w:rsidRPr="0013396E" w:rsidRDefault="00C36EDA" w:rsidP="00C36EDA">
                  <w:pPr>
                    <w:spacing w:after="120"/>
                    <w:rPr>
                      <w:b/>
                      <w:iCs/>
                      <w:sz w:val="20"/>
                    </w:rPr>
                  </w:pPr>
                  <w:r w:rsidRPr="0013396E">
                    <w:rPr>
                      <w:b/>
                      <w:iCs/>
                      <w:sz w:val="20"/>
                    </w:rPr>
                    <w:t>Unit</w:t>
                  </w:r>
                </w:p>
              </w:tc>
              <w:tc>
                <w:tcPr>
                  <w:tcW w:w="5580" w:type="dxa"/>
                </w:tcPr>
                <w:p w14:paraId="38167358" w14:textId="77777777" w:rsidR="00C36EDA" w:rsidRPr="0013396E" w:rsidRDefault="00C36EDA" w:rsidP="00C36EDA">
                  <w:pPr>
                    <w:spacing w:after="120"/>
                    <w:rPr>
                      <w:b/>
                      <w:iCs/>
                      <w:sz w:val="20"/>
                    </w:rPr>
                  </w:pPr>
                  <w:r w:rsidRPr="0013396E">
                    <w:rPr>
                      <w:b/>
                      <w:iCs/>
                      <w:sz w:val="20"/>
                    </w:rPr>
                    <w:t>Definition</w:t>
                  </w:r>
                </w:p>
              </w:tc>
            </w:tr>
            <w:tr w:rsidR="00C36EDA" w:rsidRPr="0013396E" w14:paraId="38F276A4" w14:textId="77777777" w:rsidTr="00CE1011">
              <w:trPr>
                <w:cantSplit/>
              </w:trPr>
              <w:tc>
                <w:tcPr>
                  <w:tcW w:w="2515" w:type="dxa"/>
                </w:tcPr>
                <w:p w14:paraId="3B86DAF9" w14:textId="77777777" w:rsidR="00C36EDA" w:rsidRPr="0013396E" w:rsidRDefault="00C36EDA" w:rsidP="00C36EDA">
                  <w:pPr>
                    <w:spacing w:after="60"/>
                    <w:rPr>
                      <w:iCs/>
                      <w:sz w:val="20"/>
                    </w:rPr>
                  </w:pPr>
                  <w:r w:rsidRPr="0013396E">
                    <w:rPr>
                      <w:iCs/>
                      <w:sz w:val="20"/>
                    </w:rPr>
                    <w:t xml:space="preserve">MRAUMAMTQSETOT </w:t>
                  </w:r>
                  <w:r w:rsidRPr="0013396E">
                    <w:rPr>
                      <w:i/>
                      <w:iCs/>
                      <w:sz w:val="20"/>
                      <w:vertAlign w:val="subscript"/>
                    </w:rPr>
                    <w:t>q</w:t>
                  </w:r>
                </w:p>
              </w:tc>
              <w:tc>
                <w:tcPr>
                  <w:tcW w:w="1170" w:type="dxa"/>
                </w:tcPr>
                <w:p w14:paraId="3F8B6058" w14:textId="77777777" w:rsidR="00C36EDA" w:rsidRPr="0013396E" w:rsidRDefault="00C36EDA" w:rsidP="00C36EDA">
                  <w:pPr>
                    <w:spacing w:after="60"/>
                    <w:rPr>
                      <w:iCs/>
                      <w:sz w:val="20"/>
                    </w:rPr>
                  </w:pPr>
                  <w:r w:rsidRPr="0013396E">
                    <w:rPr>
                      <w:iCs/>
                      <w:sz w:val="20"/>
                    </w:rPr>
                    <w:t>$</w:t>
                  </w:r>
                </w:p>
              </w:tc>
              <w:tc>
                <w:tcPr>
                  <w:tcW w:w="5580" w:type="dxa"/>
                </w:tcPr>
                <w:p w14:paraId="60FBDA4C" w14:textId="77777777" w:rsidR="00C36EDA" w:rsidRPr="0013396E" w:rsidRDefault="00C36EDA" w:rsidP="00C36EDA">
                  <w:pPr>
                    <w:spacing w:after="60"/>
                    <w:rPr>
                      <w:iCs/>
                      <w:sz w:val="20"/>
                    </w:rPr>
                  </w:pPr>
                  <w:r w:rsidRPr="0013396E">
                    <w:rPr>
                      <w:i/>
                      <w:iCs/>
                      <w:sz w:val="20"/>
                    </w:rPr>
                    <w:t>Must-Run Alternative Unexcused Misconduct Amount per QSE</w:t>
                  </w:r>
                  <w:r w:rsidRPr="0013396E">
                    <w:rPr>
                      <w:iCs/>
                      <w:sz w:val="20"/>
                    </w:rPr>
                    <w:sym w:font="Symbol" w:char="F0BE"/>
                  </w:r>
                  <w:r w:rsidRPr="0013396E">
                    <w:rPr>
                      <w:iCs/>
                      <w:sz w:val="20"/>
                    </w:rPr>
                    <w:t xml:space="preserve">The total of the charges to QSE </w:t>
                  </w:r>
                  <w:r w:rsidRPr="0013396E">
                    <w:rPr>
                      <w:i/>
                      <w:iCs/>
                      <w:sz w:val="20"/>
                    </w:rPr>
                    <w:t>q</w:t>
                  </w:r>
                  <w:r w:rsidRPr="0013396E">
                    <w:rPr>
                      <w:iCs/>
                      <w:sz w:val="20"/>
                    </w:rPr>
                    <w:t xml:space="preserve"> for unexcused Misconduct Events of the MRAs for an MRA Contracted Hour.</w:t>
                  </w:r>
                </w:p>
              </w:tc>
            </w:tr>
            <w:tr w:rsidR="00C36EDA" w:rsidRPr="0013396E" w14:paraId="15495403" w14:textId="77777777" w:rsidTr="00CE1011">
              <w:trPr>
                <w:cantSplit/>
              </w:trPr>
              <w:tc>
                <w:tcPr>
                  <w:tcW w:w="2515" w:type="dxa"/>
                </w:tcPr>
                <w:p w14:paraId="48BE5409" w14:textId="77777777" w:rsidR="00C36EDA" w:rsidRPr="0013396E" w:rsidRDefault="00C36EDA" w:rsidP="00C36EDA">
                  <w:pPr>
                    <w:spacing w:after="60"/>
                    <w:rPr>
                      <w:iCs/>
                      <w:sz w:val="20"/>
                    </w:rPr>
                  </w:pPr>
                  <w:r w:rsidRPr="0013396E">
                    <w:rPr>
                      <w:iCs/>
                      <w:sz w:val="20"/>
                    </w:rPr>
                    <w:lastRenderedPageBreak/>
                    <w:t xml:space="preserve">MRAUMAMT </w:t>
                  </w:r>
                  <w:r w:rsidRPr="0013396E">
                    <w:rPr>
                      <w:i/>
                      <w:iCs/>
                      <w:sz w:val="20"/>
                      <w:vertAlign w:val="subscript"/>
                    </w:rPr>
                    <w:t>q, r, h</w:t>
                  </w:r>
                </w:p>
              </w:tc>
              <w:tc>
                <w:tcPr>
                  <w:tcW w:w="1170" w:type="dxa"/>
                </w:tcPr>
                <w:p w14:paraId="48AAAAAC" w14:textId="77777777" w:rsidR="00C36EDA" w:rsidRPr="0013396E" w:rsidRDefault="00C36EDA" w:rsidP="00C36EDA">
                  <w:pPr>
                    <w:spacing w:after="60"/>
                    <w:rPr>
                      <w:iCs/>
                      <w:sz w:val="20"/>
                    </w:rPr>
                  </w:pPr>
                  <w:r w:rsidRPr="0013396E">
                    <w:rPr>
                      <w:iCs/>
                      <w:sz w:val="20"/>
                    </w:rPr>
                    <w:t>$</w:t>
                  </w:r>
                </w:p>
              </w:tc>
              <w:tc>
                <w:tcPr>
                  <w:tcW w:w="5580" w:type="dxa"/>
                </w:tcPr>
                <w:p w14:paraId="56625450" w14:textId="77777777" w:rsidR="00C36EDA" w:rsidRPr="0013396E" w:rsidRDefault="00C36EDA" w:rsidP="00C36EDA">
                  <w:pPr>
                    <w:spacing w:after="60"/>
                    <w:rPr>
                      <w:iCs/>
                      <w:sz w:val="20"/>
                    </w:rPr>
                  </w:pPr>
                  <w:r w:rsidRPr="0013396E">
                    <w:rPr>
                      <w:i/>
                      <w:iCs/>
                      <w:sz w:val="20"/>
                    </w:rPr>
                    <w:t>Must-Run Alternative Unexcused Misconduct Charge per QSE per Resource</w:t>
                  </w:r>
                  <w:r w:rsidRPr="0013396E">
                    <w:rPr>
                      <w:iCs/>
                      <w:sz w:val="20"/>
                    </w:rPr>
                    <w:t xml:space="preserve">—The charge to QSE </w:t>
                  </w:r>
                  <w:r w:rsidRPr="0013396E">
                    <w:rPr>
                      <w:i/>
                      <w:iCs/>
                      <w:sz w:val="20"/>
                    </w:rPr>
                    <w:t>q</w:t>
                  </w:r>
                  <w:r w:rsidRPr="0013396E">
                    <w:rPr>
                      <w:iCs/>
                      <w:sz w:val="20"/>
                    </w:rPr>
                    <w:t xml:space="preserve"> for the unexcused Misconduct Event of MRA </w:t>
                  </w:r>
                  <w:r w:rsidRPr="0013396E">
                    <w:rPr>
                      <w:i/>
                      <w:iCs/>
                      <w:sz w:val="20"/>
                    </w:rPr>
                    <w:t>r</w:t>
                  </w:r>
                  <w:r w:rsidRPr="0013396E">
                    <w:rPr>
                      <w:iCs/>
                      <w:sz w:val="20"/>
                    </w:rPr>
                    <w:t xml:space="preserve"> for the hour </w:t>
                  </w:r>
                  <w:r w:rsidRPr="0013396E">
                    <w:rPr>
                      <w:i/>
                      <w:iCs/>
                      <w:sz w:val="20"/>
                    </w:rPr>
                    <w:t>h</w:t>
                  </w:r>
                  <w:r w:rsidRPr="0013396E">
                    <w:rPr>
                      <w:iCs/>
                      <w:sz w:val="20"/>
                    </w:rPr>
                    <w:t xml:space="preserve">.  Where for a Combined Cycle Train, the Resource </w:t>
                  </w:r>
                  <w:r w:rsidRPr="0013396E">
                    <w:rPr>
                      <w:i/>
                      <w:iCs/>
                      <w:sz w:val="20"/>
                    </w:rPr>
                    <w:t xml:space="preserve">r </w:t>
                  </w:r>
                  <w:r w:rsidRPr="0013396E">
                    <w:rPr>
                      <w:iCs/>
                      <w:sz w:val="20"/>
                    </w:rPr>
                    <w:t xml:space="preserve">is the Combined Cycle Train. </w:t>
                  </w:r>
                </w:p>
              </w:tc>
            </w:tr>
            <w:tr w:rsidR="00C36EDA" w:rsidRPr="0013396E" w14:paraId="1B5D1058" w14:textId="77777777" w:rsidTr="00CE1011">
              <w:trPr>
                <w:cantSplit/>
              </w:trPr>
              <w:tc>
                <w:tcPr>
                  <w:tcW w:w="2515" w:type="dxa"/>
                  <w:tcBorders>
                    <w:top w:val="single" w:sz="4" w:space="0" w:color="auto"/>
                    <w:left w:val="single" w:sz="4" w:space="0" w:color="auto"/>
                    <w:bottom w:val="single" w:sz="4" w:space="0" w:color="auto"/>
                    <w:right w:val="single" w:sz="4" w:space="0" w:color="auto"/>
                  </w:tcBorders>
                </w:tcPr>
                <w:p w14:paraId="3928AD7D" w14:textId="77777777" w:rsidR="00C36EDA" w:rsidRPr="0013396E" w:rsidRDefault="00C36EDA" w:rsidP="00C36EDA">
                  <w:pPr>
                    <w:spacing w:after="60"/>
                    <w:rPr>
                      <w:i/>
                      <w:iCs/>
                      <w:sz w:val="20"/>
                    </w:rPr>
                  </w:pPr>
                  <w:r w:rsidRPr="0013396E">
                    <w:rPr>
                      <w:i/>
                      <w:iCs/>
                      <w:sz w:val="20"/>
                    </w:rPr>
                    <w:t>q</w:t>
                  </w:r>
                </w:p>
              </w:tc>
              <w:tc>
                <w:tcPr>
                  <w:tcW w:w="1170" w:type="dxa"/>
                  <w:tcBorders>
                    <w:top w:val="single" w:sz="4" w:space="0" w:color="auto"/>
                    <w:left w:val="single" w:sz="4" w:space="0" w:color="auto"/>
                    <w:bottom w:val="single" w:sz="4" w:space="0" w:color="auto"/>
                    <w:right w:val="single" w:sz="4" w:space="0" w:color="auto"/>
                  </w:tcBorders>
                </w:tcPr>
                <w:p w14:paraId="6894694D" w14:textId="77777777" w:rsidR="00C36EDA" w:rsidRPr="0013396E" w:rsidRDefault="00C36EDA" w:rsidP="00C36EDA">
                  <w:pPr>
                    <w:spacing w:after="60"/>
                    <w:rPr>
                      <w:iCs/>
                      <w:sz w:val="20"/>
                    </w:rPr>
                  </w:pPr>
                  <w:r w:rsidRPr="0013396E">
                    <w:rPr>
                      <w:iCs/>
                      <w:sz w:val="20"/>
                    </w:rPr>
                    <w:t>none</w:t>
                  </w:r>
                </w:p>
              </w:tc>
              <w:tc>
                <w:tcPr>
                  <w:tcW w:w="5580" w:type="dxa"/>
                  <w:tcBorders>
                    <w:top w:val="single" w:sz="4" w:space="0" w:color="auto"/>
                    <w:left w:val="single" w:sz="4" w:space="0" w:color="auto"/>
                    <w:bottom w:val="single" w:sz="4" w:space="0" w:color="auto"/>
                    <w:right w:val="single" w:sz="4" w:space="0" w:color="auto"/>
                  </w:tcBorders>
                </w:tcPr>
                <w:p w14:paraId="2098A776" w14:textId="77777777" w:rsidR="00C36EDA" w:rsidRPr="0013396E" w:rsidRDefault="00C36EDA" w:rsidP="00C36EDA">
                  <w:pPr>
                    <w:spacing w:after="60"/>
                    <w:rPr>
                      <w:iCs/>
                      <w:sz w:val="20"/>
                    </w:rPr>
                  </w:pPr>
                  <w:r w:rsidRPr="0013396E">
                    <w:rPr>
                      <w:iCs/>
                      <w:sz w:val="20"/>
                    </w:rPr>
                    <w:t>A QSE.</w:t>
                  </w:r>
                </w:p>
              </w:tc>
            </w:tr>
            <w:tr w:rsidR="00C36EDA" w:rsidRPr="0013396E" w14:paraId="07CC424E" w14:textId="77777777" w:rsidTr="00CE1011">
              <w:trPr>
                <w:cantSplit/>
              </w:trPr>
              <w:tc>
                <w:tcPr>
                  <w:tcW w:w="2515" w:type="dxa"/>
                  <w:tcBorders>
                    <w:top w:val="single" w:sz="4" w:space="0" w:color="auto"/>
                    <w:left w:val="single" w:sz="4" w:space="0" w:color="auto"/>
                    <w:bottom w:val="single" w:sz="4" w:space="0" w:color="auto"/>
                    <w:right w:val="single" w:sz="4" w:space="0" w:color="auto"/>
                  </w:tcBorders>
                </w:tcPr>
                <w:p w14:paraId="5C48B577" w14:textId="77777777" w:rsidR="00C36EDA" w:rsidRPr="0013396E" w:rsidRDefault="00C36EDA" w:rsidP="00C36EDA">
                  <w:pPr>
                    <w:spacing w:after="60"/>
                    <w:rPr>
                      <w:i/>
                      <w:iCs/>
                      <w:sz w:val="20"/>
                    </w:rPr>
                  </w:pPr>
                  <w:r w:rsidRPr="0013396E">
                    <w:rPr>
                      <w:i/>
                      <w:iCs/>
                      <w:sz w:val="20"/>
                    </w:rPr>
                    <w:t>r</w:t>
                  </w:r>
                </w:p>
              </w:tc>
              <w:tc>
                <w:tcPr>
                  <w:tcW w:w="1170" w:type="dxa"/>
                  <w:tcBorders>
                    <w:top w:val="single" w:sz="4" w:space="0" w:color="auto"/>
                    <w:left w:val="single" w:sz="4" w:space="0" w:color="auto"/>
                    <w:bottom w:val="single" w:sz="4" w:space="0" w:color="auto"/>
                    <w:right w:val="single" w:sz="4" w:space="0" w:color="auto"/>
                  </w:tcBorders>
                </w:tcPr>
                <w:p w14:paraId="6C668A97" w14:textId="77777777" w:rsidR="00C36EDA" w:rsidRPr="0013396E" w:rsidRDefault="00C36EDA" w:rsidP="00C36EDA">
                  <w:pPr>
                    <w:spacing w:after="60"/>
                    <w:rPr>
                      <w:iCs/>
                      <w:sz w:val="20"/>
                    </w:rPr>
                  </w:pPr>
                  <w:r w:rsidRPr="0013396E">
                    <w:rPr>
                      <w:iCs/>
                      <w:sz w:val="20"/>
                    </w:rPr>
                    <w:t>none</w:t>
                  </w:r>
                </w:p>
              </w:tc>
              <w:tc>
                <w:tcPr>
                  <w:tcW w:w="5580" w:type="dxa"/>
                  <w:tcBorders>
                    <w:top w:val="single" w:sz="4" w:space="0" w:color="auto"/>
                    <w:left w:val="single" w:sz="4" w:space="0" w:color="auto"/>
                    <w:bottom w:val="single" w:sz="4" w:space="0" w:color="auto"/>
                    <w:right w:val="single" w:sz="4" w:space="0" w:color="auto"/>
                  </w:tcBorders>
                </w:tcPr>
                <w:p w14:paraId="34DFC66E" w14:textId="77777777" w:rsidR="00C36EDA" w:rsidRPr="0013396E" w:rsidRDefault="00C36EDA" w:rsidP="00C36EDA">
                  <w:pPr>
                    <w:spacing w:after="60"/>
                    <w:rPr>
                      <w:iCs/>
                      <w:sz w:val="20"/>
                    </w:rPr>
                  </w:pPr>
                  <w:r w:rsidRPr="0013396E">
                    <w:rPr>
                      <w:iCs/>
                      <w:sz w:val="20"/>
                    </w:rPr>
                    <w:t>An MRA.</w:t>
                  </w:r>
                </w:p>
              </w:tc>
            </w:tr>
            <w:tr w:rsidR="00C36EDA" w:rsidRPr="0013396E" w14:paraId="40EE50AE" w14:textId="77777777" w:rsidTr="00CE1011">
              <w:trPr>
                <w:cantSplit/>
              </w:trPr>
              <w:tc>
                <w:tcPr>
                  <w:tcW w:w="2515" w:type="dxa"/>
                  <w:tcBorders>
                    <w:top w:val="single" w:sz="4" w:space="0" w:color="auto"/>
                    <w:left w:val="single" w:sz="4" w:space="0" w:color="auto"/>
                    <w:bottom w:val="single" w:sz="4" w:space="0" w:color="auto"/>
                    <w:right w:val="single" w:sz="4" w:space="0" w:color="auto"/>
                  </w:tcBorders>
                </w:tcPr>
                <w:p w14:paraId="421863BB" w14:textId="77777777" w:rsidR="00C36EDA" w:rsidRPr="0013396E" w:rsidRDefault="00C36EDA" w:rsidP="00C36EDA">
                  <w:pPr>
                    <w:spacing w:after="60"/>
                    <w:rPr>
                      <w:i/>
                      <w:iCs/>
                      <w:sz w:val="20"/>
                    </w:rPr>
                  </w:pPr>
                  <w:r w:rsidRPr="0013396E">
                    <w:rPr>
                      <w:i/>
                      <w:iCs/>
                      <w:sz w:val="20"/>
                    </w:rPr>
                    <w:t>h</w:t>
                  </w:r>
                </w:p>
              </w:tc>
              <w:tc>
                <w:tcPr>
                  <w:tcW w:w="1170" w:type="dxa"/>
                  <w:tcBorders>
                    <w:top w:val="single" w:sz="4" w:space="0" w:color="auto"/>
                    <w:left w:val="single" w:sz="4" w:space="0" w:color="auto"/>
                    <w:bottom w:val="single" w:sz="4" w:space="0" w:color="auto"/>
                    <w:right w:val="single" w:sz="4" w:space="0" w:color="auto"/>
                  </w:tcBorders>
                </w:tcPr>
                <w:p w14:paraId="3CB6DC05" w14:textId="77777777" w:rsidR="00C36EDA" w:rsidRPr="0013396E" w:rsidRDefault="00C36EDA" w:rsidP="00C36EDA">
                  <w:pPr>
                    <w:spacing w:after="60"/>
                    <w:rPr>
                      <w:iCs/>
                      <w:sz w:val="20"/>
                    </w:rPr>
                  </w:pPr>
                  <w:r w:rsidRPr="0013396E">
                    <w:rPr>
                      <w:iCs/>
                      <w:sz w:val="20"/>
                    </w:rPr>
                    <w:t>none</w:t>
                  </w:r>
                </w:p>
              </w:tc>
              <w:tc>
                <w:tcPr>
                  <w:tcW w:w="5580" w:type="dxa"/>
                  <w:tcBorders>
                    <w:top w:val="single" w:sz="4" w:space="0" w:color="auto"/>
                    <w:left w:val="single" w:sz="4" w:space="0" w:color="auto"/>
                    <w:bottom w:val="single" w:sz="4" w:space="0" w:color="auto"/>
                    <w:right w:val="single" w:sz="4" w:space="0" w:color="auto"/>
                  </w:tcBorders>
                </w:tcPr>
                <w:p w14:paraId="4E23728C" w14:textId="77777777" w:rsidR="00C36EDA" w:rsidRPr="0013396E" w:rsidRDefault="00C36EDA" w:rsidP="00C36EDA">
                  <w:pPr>
                    <w:spacing w:after="60"/>
                    <w:rPr>
                      <w:iCs/>
                      <w:sz w:val="20"/>
                    </w:rPr>
                  </w:pPr>
                  <w:r w:rsidRPr="0013396E">
                    <w:rPr>
                      <w:iCs/>
                      <w:sz w:val="20"/>
                    </w:rPr>
                    <w:t>An MRA Contracted Hour for the MRA Contracted Month.</w:t>
                  </w:r>
                </w:p>
              </w:tc>
            </w:tr>
          </w:tbl>
          <w:p w14:paraId="119A0BAA" w14:textId="77777777" w:rsidR="00C36EDA" w:rsidRPr="0013396E" w:rsidRDefault="00C36EDA" w:rsidP="00C36EDA">
            <w:pPr>
              <w:spacing w:before="240" w:after="240"/>
              <w:ind w:left="720" w:hanging="720"/>
            </w:pPr>
            <w:r w:rsidRPr="0013396E">
              <w:t>(3)</w:t>
            </w:r>
            <w:r w:rsidRPr="0013396E">
              <w:tab/>
              <w:t>The total of the charges to all QSEs for unexcused Misconduct Events of all MRAs for an MRA Contracted Hour is calculated as follows:</w:t>
            </w:r>
          </w:p>
          <w:p w14:paraId="5DBE342D" w14:textId="77777777" w:rsidR="00C36EDA" w:rsidRPr="0013396E" w:rsidRDefault="00C36EDA" w:rsidP="00C36EDA">
            <w:pPr>
              <w:tabs>
                <w:tab w:val="left" w:pos="2250"/>
                <w:tab w:val="left" w:pos="3150"/>
                <w:tab w:val="left" w:pos="3960"/>
              </w:tabs>
              <w:spacing w:after="240"/>
              <w:ind w:left="3960" w:hanging="3240"/>
              <w:rPr>
                <w:bCs/>
              </w:rPr>
            </w:pPr>
            <w:r w:rsidRPr="0013396E">
              <w:rPr>
                <w:bCs/>
              </w:rPr>
              <w:t xml:space="preserve">MRAUMAMTTOT  =  </w:t>
            </w:r>
            <w:r w:rsidRPr="0013396E">
              <w:rPr>
                <w:position w:val="-22"/>
              </w:rPr>
              <w:object w:dxaOrig="210" w:dyaOrig="465" w14:anchorId="362A5353">
                <v:shape id="_x0000_i1188" type="#_x0000_t75" style="width:6pt;height:29.4pt" o:ole="">
                  <v:imagedata r:id="rId155" o:title=""/>
                </v:shape>
                <o:OLEObject Type="Embed" ProgID="Equation.3" ShapeID="_x0000_i1188" DrawAspect="Content" ObjectID="_1836311466" r:id="rId240"/>
              </w:object>
            </w:r>
            <w:r w:rsidRPr="0013396E">
              <w:t xml:space="preserve"> </w:t>
            </w:r>
            <w:r w:rsidRPr="0013396E">
              <w:rPr>
                <w:bCs/>
              </w:rPr>
              <w:t xml:space="preserve">MRAUMAMTQSETOT </w:t>
            </w:r>
            <w:r w:rsidRPr="0013396E">
              <w:rPr>
                <w:bCs/>
                <w:i/>
                <w:vertAlign w:val="subscript"/>
              </w:rPr>
              <w:t>q</w:t>
            </w:r>
          </w:p>
          <w:p w14:paraId="64E47DC2" w14:textId="77777777" w:rsidR="00C36EDA" w:rsidRPr="0013396E" w:rsidRDefault="00C36EDA" w:rsidP="00C36EDA">
            <w:r w:rsidRPr="0013396E">
              <w:t>The above variables are defined as follows:</w:t>
            </w:r>
          </w:p>
          <w:tbl>
            <w:tblPr>
              <w:tblW w:w="9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5"/>
              <w:gridCol w:w="750"/>
              <w:gridCol w:w="6074"/>
            </w:tblGrid>
            <w:tr w:rsidR="007D701A" w:rsidRPr="0013396E" w14:paraId="1606ACA3" w14:textId="77777777" w:rsidTr="00CE1011">
              <w:trPr>
                <w:cantSplit/>
                <w:tblHeader/>
              </w:trPr>
              <w:tc>
                <w:tcPr>
                  <w:tcW w:w="2425" w:type="dxa"/>
                </w:tcPr>
                <w:p w14:paraId="2CB96C65" w14:textId="77777777" w:rsidR="007D701A" w:rsidRPr="0013396E" w:rsidRDefault="007D701A" w:rsidP="007D701A">
                  <w:pPr>
                    <w:spacing w:after="120"/>
                    <w:rPr>
                      <w:b/>
                      <w:iCs/>
                      <w:sz w:val="20"/>
                    </w:rPr>
                  </w:pPr>
                  <w:r w:rsidRPr="0013396E">
                    <w:rPr>
                      <w:b/>
                      <w:iCs/>
                      <w:sz w:val="20"/>
                    </w:rPr>
                    <w:t>Variable</w:t>
                  </w:r>
                </w:p>
              </w:tc>
              <w:tc>
                <w:tcPr>
                  <w:tcW w:w="750" w:type="dxa"/>
                </w:tcPr>
                <w:p w14:paraId="60802E43" w14:textId="77777777" w:rsidR="007D701A" w:rsidRPr="0013396E" w:rsidRDefault="007D701A" w:rsidP="007D701A">
                  <w:pPr>
                    <w:spacing w:after="120"/>
                    <w:rPr>
                      <w:b/>
                      <w:iCs/>
                      <w:sz w:val="20"/>
                    </w:rPr>
                  </w:pPr>
                  <w:r w:rsidRPr="0013396E">
                    <w:rPr>
                      <w:b/>
                      <w:iCs/>
                      <w:sz w:val="20"/>
                    </w:rPr>
                    <w:t>Unit</w:t>
                  </w:r>
                </w:p>
              </w:tc>
              <w:tc>
                <w:tcPr>
                  <w:tcW w:w="6074" w:type="dxa"/>
                </w:tcPr>
                <w:p w14:paraId="307BBCCC" w14:textId="77777777" w:rsidR="007D701A" w:rsidRPr="0013396E" w:rsidRDefault="007D701A" w:rsidP="007D701A">
                  <w:pPr>
                    <w:spacing w:after="120"/>
                    <w:rPr>
                      <w:b/>
                      <w:iCs/>
                      <w:sz w:val="20"/>
                    </w:rPr>
                  </w:pPr>
                  <w:r w:rsidRPr="0013396E">
                    <w:rPr>
                      <w:b/>
                      <w:iCs/>
                      <w:sz w:val="20"/>
                    </w:rPr>
                    <w:t>Definition</w:t>
                  </w:r>
                </w:p>
              </w:tc>
            </w:tr>
            <w:tr w:rsidR="007D701A" w:rsidRPr="0013396E" w14:paraId="26D4385E" w14:textId="77777777" w:rsidTr="00CE1011">
              <w:trPr>
                <w:cantSplit/>
              </w:trPr>
              <w:tc>
                <w:tcPr>
                  <w:tcW w:w="2425" w:type="dxa"/>
                </w:tcPr>
                <w:p w14:paraId="1919AA7B" w14:textId="77777777" w:rsidR="007D701A" w:rsidRPr="0013396E" w:rsidRDefault="007D701A" w:rsidP="007D701A">
                  <w:pPr>
                    <w:spacing w:after="60"/>
                    <w:rPr>
                      <w:iCs/>
                      <w:sz w:val="20"/>
                    </w:rPr>
                  </w:pPr>
                  <w:r w:rsidRPr="0013396E">
                    <w:rPr>
                      <w:bCs/>
                      <w:sz w:val="20"/>
                    </w:rPr>
                    <w:t>MRAUMAMTTOT</w:t>
                  </w:r>
                </w:p>
              </w:tc>
              <w:tc>
                <w:tcPr>
                  <w:tcW w:w="750" w:type="dxa"/>
                </w:tcPr>
                <w:p w14:paraId="08ADEC2E" w14:textId="77777777" w:rsidR="007D701A" w:rsidRPr="0013396E" w:rsidRDefault="007D701A" w:rsidP="007D701A">
                  <w:pPr>
                    <w:spacing w:after="60"/>
                    <w:rPr>
                      <w:iCs/>
                      <w:sz w:val="20"/>
                    </w:rPr>
                  </w:pPr>
                  <w:r w:rsidRPr="0013396E">
                    <w:rPr>
                      <w:iCs/>
                      <w:sz w:val="20"/>
                    </w:rPr>
                    <w:t>$</w:t>
                  </w:r>
                </w:p>
              </w:tc>
              <w:tc>
                <w:tcPr>
                  <w:tcW w:w="6074" w:type="dxa"/>
                </w:tcPr>
                <w:p w14:paraId="134A5CBB" w14:textId="77777777" w:rsidR="007D701A" w:rsidRPr="0013396E" w:rsidRDefault="007D701A" w:rsidP="007D701A">
                  <w:pPr>
                    <w:spacing w:after="60"/>
                    <w:rPr>
                      <w:iCs/>
                      <w:sz w:val="20"/>
                    </w:rPr>
                  </w:pPr>
                  <w:r w:rsidRPr="0013396E">
                    <w:rPr>
                      <w:i/>
                      <w:iCs/>
                      <w:sz w:val="20"/>
                    </w:rPr>
                    <w:t xml:space="preserve">Must-Run Alternative Unexcused Misconduct Amount Total per hour </w:t>
                  </w:r>
                  <w:r w:rsidRPr="0013396E">
                    <w:rPr>
                      <w:iCs/>
                      <w:sz w:val="20"/>
                    </w:rPr>
                    <w:sym w:font="Symbol" w:char="F0BE"/>
                  </w:r>
                  <w:r w:rsidRPr="0013396E">
                    <w:rPr>
                      <w:iCs/>
                      <w:sz w:val="20"/>
                    </w:rPr>
                    <w:t>The total of the charges for unexcused Misconduct Events for the hour.</w:t>
                  </w:r>
                </w:p>
              </w:tc>
            </w:tr>
            <w:tr w:rsidR="007D701A" w:rsidRPr="0013396E" w14:paraId="3EA9D28B" w14:textId="77777777" w:rsidTr="00CE1011">
              <w:trPr>
                <w:cantSplit/>
              </w:trPr>
              <w:tc>
                <w:tcPr>
                  <w:tcW w:w="2425" w:type="dxa"/>
                </w:tcPr>
                <w:p w14:paraId="36833E19" w14:textId="77777777" w:rsidR="007D701A" w:rsidRPr="0013396E" w:rsidRDefault="007D701A" w:rsidP="007D701A">
                  <w:pPr>
                    <w:tabs>
                      <w:tab w:val="left" w:pos="2250"/>
                      <w:tab w:val="left" w:pos="3150"/>
                      <w:tab w:val="left" w:pos="3960"/>
                    </w:tabs>
                    <w:spacing w:after="240"/>
                    <w:rPr>
                      <w:bCs/>
                      <w:sz w:val="20"/>
                    </w:rPr>
                  </w:pPr>
                  <w:r w:rsidRPr="0013396E">
                    <w:rPr>
                      <w:bCs/>
                      <w:sz w:val="20"/>
                    </w:rPr>
                    <w:t xml:space="preserve">MRAUMAMTQSETOT </w:t>
                  </w:r>
                  <w:r w:rsidRPr="0013396E">
                    <w:rPr>
                      <w:bCs/>
                      <w:i/>
                      <w:sz w:val="20"/>
                      <w:vertAlign w:val="subscript"/>
                    </w:rPr>
                    <w:t>q</w:t>
                  </w:r>
                </w:p>
                <w:p w14:paraId="63F217A7" w14:textId="77777777" w:rsidR="007D701A" w:rsidRPr="0013396E" w:rsidRDefault="007D701A" w:rsidP="007D701A">
                  <w:pPr>
                    <w:spacing w:after="60"/>
                    <w:rPr>
                      <w:iCs/>
                      <w:sz w:val="20"/>
                    </w:rPr>
                  </w:pPr>
                </w:p>
              </w:tc>
              <w:tc>
                <w:tcPr>
                  <w:tcW w:w="750" w:type="dxa"/>
                </w:tcPr>
                <w:p w14:paraId="598241F3" w14:textId="77777777" w:rsidR="007D701A" w:rsidRPr="0013396E" w:rsidRDefault="007D701A" w:rsidP="007D701A">
                  <w:pPr>
                    <w:spacing w:after="60"/>
                    <w:rPr>
                      <w:iCs/>
                      <w:sz w:val="20"/>
                    </w:rPr>
                  </w:pPr>
                  <w:r w:rsidRPr="0013396E">
                    <w:rPr>
                      <w:iCs/>
                      <w:sz w:val="20"/>
                    </w:rPr>
                    <w:t>$</w:t>
                  </w:r>
                </w:p>
              </w:tc>
              <w:tc>
                <w:tcPr>
                  <w:tcW w:w="6074" w:type="dxa"/>
                </w:tcPr>
                <w:p w14:paraId="7528F0C6" w14:textId="77777777" w:rsidR="007D701A" w:rsidRPr="0013396E" w:rsidRDefault="007D701A" w:rsidP="007D701A">
                  <w:pPr>
                    <w:spacing w:after="60"/>
                    <w:rPr>
                      <w:i/>
                      <w:iCs/>
                      <w:sz w:val="20"/>
                    </w:rPr>
                  </w:pPr>
                  <w:r w:rsidRPr="0013396E">
                    <w:rPr>
                      <w:i/>
                      <w:iCs/>
                      <w:sz w:val="20"/>
                    </w:rPr>
                    <w:t>Must-Run Alternative Unexcused Misconduct Amount per QSE</w:t>
                  </w:r>
                  <w:r w:rsidRPr="0013396E">
                    <w:rPr>
                      <w:iCs/>
                      <w:sz w:val="20"/>
                    </w:rPr>
                    <w:sym w:font="Symbol" w:char="F0BE"/>
                  </w:r>
                  <w:r w:rsidRPr="0013396E">
                    <w:rPr>
                      <w:iCs/>
                      <w:sz w:val="20"/>
                    </w:rPr>
                    <w:t xml:space="preserve">The total of the charges to QSE </w:t>
                  </w:r>
                  <w:r w:rsidRPr="0013396E">
                    <w:rPr>
                      <w:i/>
                      <w:iCs/>
                      <w:sz w:val="20"/>
                    </w:rPr>
                    <w:t>q</w:t>
                  </w:r>
                  <w:r w:rsidRPr="0013396E">
                    <w:rPr>
                      <w:iCs/>
                      <w:sz w:val="20"/>
                    </w:rPr>
                    <w:t xml:space="preserve"> for unexcused Misconduct Events of the MRAs for an MRA Contracted Hour.</w:t>
                  </w:r>
                </w:p>
              </w:tc>
            </w:tr>
            <w:tr w:rsidR="007D701A" w:rsidRPr="0013396E" w14:paraId="18B3556E" w14:textId="77777777" w:rsidTr="00CE1011">
              <w:trPr>
                <w:cantSplit/>
              </w:trPr>
              <w:tc>
                <w:tcPr>
                  <w:tcW w:w="2425" w:type="dxa"/>
                  <w:tcBorders>
                    <w:top w:val="single" w:sz="4" w:space="0" w:color="auto"/>
                    <w:left w:val="single" w:sz="4" w:space="0" w:color="auto"/>
                    <w:bottom w:val="single" w:sz="4" w:space="0" w:color="auto"/>
                    <w:right w:val="single" w:sz="4" w:space="0" w:color="auto"/>
                  </w:tcBorders>
                </w:tcPr>
                <w:p w14:paraId="13FEE6A8" w14:textId="77777777" w:rsidR="007D701A" w:rsidRPr="0013396E" w:rsidRDefault="007D701A" w:rsidP="007D701A">
                  <w:pPr>
                    <w:spacing w:after="60"/>
                    <w:rPr>
                      <w:i/>
                      <w:iCs/>
                      <w:sz w:val="20"/>
                    </w:rPr>
                  </w:pPr>
                  <w:r w:rsidRPr="0013396E">
                    <w:rPr>
                      <w:i/>
                      <w:iCs/>
                      <w:sz w:val="20"/>
                    </w:rPr>
                    <w:t>q</w:t>
                  </w:r>
                </w:p>
              </w:tc>
              <w:tc>
                <w:tcPr>
                  <w:tcW w:w="750" w:type="dxa"/>
                  <w:tcBorders>
                    <w:top w:val="single" w:sz="4" w:space="0" w:color="auto"/>
                    <w:left w:val="single" w:sz="4" w:space="0" w:color="auto"/>
                    <w:bottom w:val="single" w:sz="4" w:space="0" w:color="auto"/>
                    <w:right w:val="single" w:sz="4" w:space="0" w:color="auto"/>
                  </w:tcBorders>
                </w:tcPr>
                <w:p w14:paraId="34E36B70" w14:textId="77777777" w:rsidR="007D701A" w:rsidRPr="0013396E" w:rsidRDefault="007D701A" w:rsidP="007D701A">
                  <w:pPr>
                    <w:spacing w:after="60"/>
                    <w:rPr>
                      <w:iCs/>
                      <w:sz w:val="20"/>
                    </w:rPr>
                  </w:pPr>
                  <w:r w:rsidRPr="0013396E">
                    <w:rPr>
                      <w:iCs/>
                      <w:sz w:val="20"/>
                    </w:rPr>
                    <w:t>none</w:t>
                  </w:r>
                </w:p>
              </w:tc>
              <w:tc>
                <w:tcPr>
                  <w:tcW w:w="6074" w:type="dxa"/>
                  <w:tcBorders>
                    <w:top w:val="single" w:sz="4" w:space="0" w:color="auto"/>
                    <w:left w:val="single" w:sz="4" w:space="0" w:color="auto"/>
                    <w:bottom w:val="single" w:sz="4" w:space="0" w:color="auto"/>
                    <w:right w:val="single" w:sz="4" w:space="0" w:color="auto"/>
                  </w:tcBorders>
                </w:tcPr>
                <w:p w14:paraId="139D6834" w14:textId="77777777" w:rsidR="007D701A" w:rsidRPr="0013396E" w:rsidRDefault="007D701A" w:rsidP="007D701A">
                  <w:pPr>
                    <w:spacing w:after="60"/>
                    <w:rPr>
                      <w:iCs/>
                      <w:sz w:val="20"/>
                    </w:rPr>
                  </w:pPr>
                  <w:r w:rsidRPr="0013396E">
                    <w:rPr>
                      <w:iCs/>
                      <w:sz w:val="20"/>
                    </w:rPr>
                    <w:t>A QSE.</w:t>
                  </w:r>
                </w:p>
              </w:tc>
            </w:tr>
          </w:tbl>
          <w:p w14:paraId="32E11BD4" w14:textId="77777777" w:rsidR="00150223" w:rsidRPr="0013396E" w:rsidRDefault="00150223" w:rsidP="00CE1011">
            <w:pPr>
              <w:spacing w:after="240"/>
              <w:ind w:left="720" w:hanging="720"/>
            </w:pPr>
          </w:p>
        </w:tc>
      </w:tr>
    </w:tbl>
    <w:p w14:paraId="5F0C0431" w14:textId="77777777" w:rsidR="00B040C2" w:rsidRPr="0013396E" w:rsidRDefault="00B040C2" w:rsidP="00B040C2">
      <w:pPr>
        <w:pStyle w:val="H3"/>
        <w:spacing w:before="0" w:after="0"/>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76"/>
      </w:tblGrid>
      <w:tr w:rsidR="00B040C2" w:rsidRPr="0013396E" w14:paraId="50C7EC03" w14:textId="77777777" w:rsidTr="00CE1011">
        <w:trPr>
          <w:trHeight w:val="206"/>
        </w:trPr>
        <w:tc>
          <w:tcPr>
            <w:tcW w:w="5000" w:type="pct"/>
            <w:shd w:val="pct12" w:color="auto" w:fill="auto"/>
          </w:tcPr>
          <w:p w14:paraId="6B09AC9B" w14:textId="77777777" w:rsidR="00B040C2" w:rsidRPr="0013396E" w:rsidRDefault="00B040C2" w:rsidP="00CE1011">
            <w:pPr>
              <w:pStyle w:val="Instructions"/>
              <w:spacing w:before="120"/>
            </w:pPr>
            <w:r w:rsidRPr="0013396E">
              <w:t>[NPRR885:  Insert Section 6.6.6.12 below upon system implementation:]</w:t>
            </w:r>
          </w:p>
          <w:p w14:paraId="6D2FB5AF" w14:textId="77777777" w:rsidR="00B040C2" w:rsidRPr="0013396E" w:rsidRDefault="00B040C2" w:rsidP="006D34E1">
            <w:pPr>
              <w:keepNext/>
              <w:widowControl w:val="0"/>
              <w:tabs>
                <w:tab w:val="left" w:pos="1260"/>
              </w:tabs>
              <w:spacing w:before="240" w:after="240"/>
              <w:ind w:left="1267" w:hanging="1267"/>
              <w:outlineLvl w:val="3"/>
              <w:rPr>
                <w:b/>
                <w:bCs/>
                <w:snapToGrid w:val="0"/>
                <w:color w:val="000000"/>
              </w:rPr>
            </w:pPr>
            <w:bookmarkStart w:id="2016" w:name="_Toc17798759"/>
            <w:bookmarkStart w:id="2017" w:name="_Toc214879005"/>
            <w:r w:rsidRPr="0013396E">
              <w:rPr>
                <w:b/>
                <w:bCs/>
                <w:snapToGrid w:val="0"/>
                <w:color w:val="000000"/>
              </w:rPr>
              <w:t>6.6.6.12</w:t>
            </w:r>
            <w:r w:rsidRPr="0013396E">
              <w:rPr>
                <w:b/>
                <w:bCs/>
                <w:snapToGrid w:val="0"/>
                <w:color w:val="000000"/>
              </w:rPr>
              <w:tab/>
              <w:t>MRA Service Charge</w:t>
            </w:r>
            <w:bookmarkEnd w:id="2016"/>
            <w:bookmarkEnd w:id="2017"/>
          </w:p>
          <w:p w14:paraId="5A59F2AF" w14:textId="77777777" w:rsidR="00B040C2" w:rsidRPr="0013396E" w:rsidRDefault="00B040C2" w:rsidP="00B040C2">
            <w:pPr>
              <w:spacing w:after="240"/>
              <w:ind w:left="720" w:hanging="720"/>
            </w:pPr>
            <w:r w:rsidRPr="0013396E">
              <w:t>(1)</w:t>
            </w:r>
            <w:r w:rsidRPr="0013396E">
              <w:tab/>
              <w:t>The total MRA cost for all MRAs is allocated to the QSEs representing Loads based on HLRS.  The MRA Service charge to each QSE for a given hour is calculated as follows:</w:t>
            </w:r>
          </w:p>
          <w:p w14:paraId="47C00402" w14:textId="77777777" w:rsidR="00B040C2" w:rsidRPr="0013396E" w:rsidRDefault="00B040C2" w:rsidP="00B040C2">
            <w:pPr>
              <w:tabs>
                <w:tab w:val="left" w:pos="2610"/>
                <w:tab w:val="left" w:pos="3060"/>
              </w:tabs>
              <w:spacing w:after="240"/>
              <w:ind w:left="3060" w:hanging="2340"/>
              <w:rPr>
                <w:bCs/>
                <w:i/>
                <w:vertAlign w:val="subscript"/>
              </w:rPr>
            </w:pPr>
            <w:r w:rsidRPr="0013396E">
              <w:rPr>
                <w:bCs/>
              </w:rPr>
              <w:t xml:space="preserve">LAMRAAMT </w:t>
            </w:r>
            <w:r w:rsidRPr="0013396E">
              <w:rPr>
                <w:bCs/>
                <w:i/>
                <w:vertAlign w:val="subscript"/>
              </w:rPr>
              <w:t>q</w:t>
            </w:r>
            <w:r w:rsidRPr="0013396E">
              <w:rPr>
                <w:bCs/>
              </w:rPr>
              <w:tab/>
              <w:t>=</w:t>
            </w:r>
            <w:r w:rsidRPr="0013396E">
              <w:rPr>
                <w:bCs/>
              </w:rPr>
              <w:tab/>
              <w:t>(-1) * (</w:t>
            </w:r>
            <w:r w:rsidRPr="0013396E">
              <w:t>MRASBAMTTOT</w:t>
            </w:r>
            <w:r w:rsidRPr="0013396E">
              <w:rPr>
                <w:bCs/>
              </w:rPr>
              <w:t xml:space="preserve"> + </w:t>
            </w:r>
            <w:r w:rsidRPr="0013396E">
              <w:t xml:space="preserve">MRACAPEXAMTTOT  </w:t>
            </w:r>
            <w:r w:rsidRPr="0013396E">
              <w:rPr>
                <w:bCs/>
              </w:rPr>
              <w:t xml:space="preserve">+ </w:t>
            </w:r>
            <w:r w:rsidRPr="0013396E">
              <w:t xml:space="preserve">MRADEAMTTOT  + MRAVAMTTOT   + </w:t>
            </w:r>
            <w:r w:rsidRPr="0013396E">
              <w:rPr>
                <w:bCs/>
              </w:rPr>
              <w:t xml:space="preserve">MRAUMAMTTOT) * HLRS </w:t>
            </w:r>
            <w:r w:rsidRPr="0013396E">
              <w:rPr>
                <w:bCs/>
                <w:i/>
                <w:vertAlign w:val="subscript"/>
              </w:rPr>
              <w:t>q</w:t>
            </w:r>
          </w:p>
          <w:p w14:paraId="2C6691CD" w14:textId="77777777" w:rsidR="00B040C2" w:rsidRPr="0013396E" w:rsidRDefault="00B040C2" w:rsidP="00B040C2">
            <w:r w:rsidRPr="0013396E">
              <w:t>The above variables are defined as follows:</w:t>
            </w:r>
          </w:p>
          <w:tbl>
            <w:tblPr>
              <w:tblW w:w="49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6"/>
              <w:gridCol w:w="970"/>
              <w:gridCol w:w="5766"/>
            </w:tblGrid>
            <w:tr w:rsidR="00C64EA0" w:rsidRPr="0013396E" w14:paraId="536667E7" w14:textId="77777777" w:rsidTr="00CE1011">
              <w:trPr>
                <w:cantSplit/>
                <w:tblHeader/>
              </w:trPr>
              <w:tc>
                <w:tcPr>
                  <w:tcW w:w="1360" w:type="pct"/>
                </w:tcPr>
                <w:p w14:paraId="75F42D7A" w14:textId="77777777" w:rsidR="00C64EA0" w:rsidRPr="0013396E" w:rsidRDefault="00C64EA0" w:rsidP="00C64EA0">
                  <w:pPr>
                    <w:spacing w:after="120"/>
                    <w:rPr>
                      <w:b/>
                      <w:iCs/>
                      <w:sz w:val="20"/>
                    </w:rPr>
                  </w:pPr>
                  <w:r w:rsidRPr="0013396E">
                    <w:rPr>
                      <w:b/>
                      <w:iCs/>
                      <w:sz w:val="20"/>
                    </w:rPr>
                    <w:t>Variable</w:t>
                  </w:r>
                </w:p>
              </w:tc>
              <w:tc>
                <w:tcPr>
                  <w:tcW w:w="524" w:type="pct"/>
                </w:tcPr>
                <w:p w14:paraId="33819084" w14:textId="77777777" w:rsidR="00C64EA0" w:rsidRPr="0013396E" w:rsidRDefault="00C64EA0" w:rsidP="00C64EA0">
                  <w:pPr>
                    <w:spacing w:after="120"/>
                    <w:rPr>
                      <w:b/>
                      <w:iCs/>
                      <w:sz w:val="20"/>
                    </w:rPr>
                  </w:pPr>
                  <w:r w:rsidRPr="0013396E">
                    <w:rPr>
                      <w:b/>
                      <w:iCs/>
                      <w:sz w:val="20"/>
                    </w:rPr>
                    <w:t>Unit</w:t>
                  </w:r>
                </w:p>
              </w:tc>
              <w:tc>
                <w:tcPr>
                  <w:tcW w:w="3116" w:type="pct"/>
                </w:tcPr>
                <w:p w14:paraId="0C91E0B6" w14:textId="77777777" w:rsidR="00C64EA0" w:rsidRPr="0013396E" w:rsidRDefault="00C64EA0" w:rsidP="00C64EA0">
                  <w:pPr>
                    <w:spacing w:after="120"/>
                    <w:rPr>
                      <w:b/>
                      <w:iCs/>
                      <w:sz w:val="20"/>
                    </w:rPr>
                  </w:pPr>
                  <w:r w:rsidRPr="0013396E">
                    <w:rPr>
                      <w:b/>
                      <w:iCs/>
                      <w:sz w:val="20"/>
                    </w:rPr>
                    <w:t>Definition</w:t>
                  </w:r>
                </w:p>
              </w:tc>
            </w:tr>
            <w:tr w:rsidR="00C64EA0" w:rsidRPr="0013396E" w14:paraId="15F04B59" w14:textId="77777777" w:rsidTr="00CE1011">
              <w:trPr>
                <w:cantSplit/>
              </w:trPr>
              <w:tc>
                <w:tcPr>
                  <w:tcW w:w="1360" w:type="pct"/>
                </w:tcPr>
                <w:p w14:paraId="1AACF531" w14:textId="77777777" w:rsidR="00C64EA0" w:rsidRPr="0013396E" w:rsidRDefault="00C64EA0" w:rsidP="00C64EA0">
                  <w:pPr>
                    <w:spacing w:after="60"/>
                    <w:rPr>
                      <w:iCs/>
                      <w:sz w:val="20"/>
                    </w:rPr>
                  </w:pPr>
                  <w:r w:rsidRPr="0013396E">
                    <w:rPr>
                      <w:iCs/>
                      <w:sz w:val="20"/>
                    </w:rPr>
                    <w:t xml:space="preserve">LAMRAAMT </w:t>
                  </w:r>
                  <w:r w:rsidRPr="0013396E">
                    <w:rPr>
                      <w:i/>
                      <w:iCs/>
                      <w:sz w:val="20"/>
                      <w:vertAlign w:val="subscript"/>
                    </w:rPr>
                    <w:t>q</w:t>
                  </w:r>
                </w:p>
              </w:tc>
              <w:tc>
                <w:tcPr>
                  <w:tcW w:w="524" w:type="pct"/>
                </w:tcPr>
                <w:p w14:paraId="78471E55" w14:textId="77777777" w:rsidR="00C64EA0" w:rsidRPr="0013396E" w:rsidRDefault="00C64EA0" w:rsidP="00C64EA0">
                  <w:pPr>
                    <w:spacing w:after="60"/>
                    <w:rPr>
                      <w:iCs/>
                      <w:sz w:val="20"/>
                    </w:rPr>
                  </w:pPr>
                  <w:r w:rsidRPr="0013396E">
                    <w:rPr>
                      <w:iCs/>
                      <w:sz w:val="20"/>
                    </w:rPr>
                    <w:t>$</w:t>
                  </w:r>
                </w:p>
              </w:tc>
              <w:tc>
                <w:tcPr>
                  <w:tcW w:w="3116" w:type="pct"/>
                </w:tcPr>
                <w:p w14:paraId="5B63924C" w14:textId="77777777" w:rsidR="00C64EA0" w:rsidRPr="0013396E" w:rsidRDefault="00C64EA0" w:rsidP="00C64EA0">
                  <w:pPr>
                    <w:spacing w:after="60"/>
                    <w:rPr>
                      <w:iCs/>
                      <w:sz w:val="20"/>
                    </w:rPr>
                  </w:pPr>
                  <w:r w:rsidRPr="0013396E">
                    <w:rPr>
                      <w:i/>
                      <w:iCs/>
                      <w:sz w:val="20"/>
                    </w:rPr>
                    <w:t>Load-Allocated Must-Run Alternative Amount per QSE</w:t>
                  </w:r>
                  <w:r w:rsidRPr="0013396E">
                    <w:rPr>
                      <w:iCs/>
                      <w:sz w:val="20"/>
                    </w:rPr>
                    <w:t xml:space="preserve">—The MRA cost allocated to QSE </w:t>
                  </w:r>
                  <w:r w:rsidRPr="0013396E">
                    <w:rPr>
                      <w:i/>
                      <w:iCs/>
                      <w:sz w:val="20"/>
                    </w:rPr>
                    <w:t>q</w:t>
                  </w:r>
                  <w:r w:rsidRPr="0013396E">
                    <w:rPr>
                      <w:iCs/>
                      <w:sz w:val="20"/>
                    </w:rPr>
                    <w:t xml:space="preserve"> based on its HLRS.</w:t>
                  </w:r>
                </w:p>
              </w:tc>
            </w:tr>
            <w:tr w:rsidR="00C64EA0" w:rsidRPr="0013396E" w14:paraId="7EC9A7C5" w14:textId="77777777" w:rsidTr="00CE1011">
              <w:trPr>
                <w:cantSplit/>
              </w:trPr>
              <w:tc>
                <w:tcPr>
                  <w:tcW w:w="1360" w:type="pct"/>
                </w:tcPr>
                <w:p w14:paraId="3E8751BA" w14:textId="77777777" w:rsidR="00C64EA0" w:rsidRPr="0013396E" w:rsidRDefault="00C64EA0" w:rsidP="00C64EA0">
                  <w:pPr>
                    <w:spacing w:after="60"/>
                    <w:rPr>
                      <w:iCs/>
                      <w:sz w:val="20"/>
                    </w:rPr>
                  </w:pPr>
                  <w:r w:rsidRPr="0013396E">
                    <w:rPr>
                      <w:sz w:val="20"/>
                    </w:rPr>
                    <w:t>MRASBAMTTOT</w:t>
                  </w:r>
                </w:p>
              </w:tc>
              <w:tc>
                <w:tcPr>
                  <w:tcW w:w="524" w:type="pct"/>
                </w:tcPr>
                <w:p w14:paraId="68570F7B" w14:textId="77777777" w:rsidR="00C64EA0" w:rsidRPr="0013396E" w:rsidRDefault="00C64EA0" w:rsidP="00C64EA0">
                  <w:pPr>
                    <w:spacing w:after="60"/>
                    <w:rPr>
                      <w:iCs/>
                      <w:sz w:val="20"/>
                    </w:rPr>
                  </w:pPr>
                  <w:r w:rsidRPr="0013396E">
                    <w:rPr>
                      <w:iCs/>
                      <w:sz w:val="20"/>
                    </w:rPr>
                    <w:t>$</w:t>
                  </w:r>
                </w:p>
              </w:tc>
              <w:tc>
                <w:tcPr>
                  <w:tcW w:w="3116" w:type="pct"/>
                </w:tcPr>
                <w:p w14:paraId="6EF9C363" w14:textId="77777777" w:rsidR="00C64EA0" w:rsidRPr="0013396E" w:rsidRDefault="00C64EA0" w:rsidP="00C64EA0">
                  <w:pPr>
                    <w:spacing w:after="60"/>
                    <w:rPr>
                      <w:i/>
                      <w:iCs/>
                      <w:sz w:val="20"/>
                    </w:rPr>
                  </w:pPr>
                  <w:r w:rsidRPr="0013396E">
                    <w:rPr>
                      <w:i/>
                      <w:sz w:val="20"/>
                    </w:rPr>
                    <w:t xml:space="preserve">Must-Run Alternative Standby Amount Total  </w:t>
                  </w:r>
                  <w:r w:rsidRPr="0013396E">
                    <w:rPr>
                      <w:i/>
                      <w:sz w:val="20"/>
                    </w:rPr>
                    <w:sym w:font="Symbol" w:char="F0BE"/>
                  </w:r>
                  <w:r w:rsidRPr="0013396E">
                    <w:rPr>
                      <w:sz w:val="20"/>
                    </w:rPr>
                    <w:t xml:space="preserve">The total of the Standby Payments to all QSEs </w:t>
                  </w:r>
                  <w:r w:rsidRPr="0013396E">
                    <w:rPr>
                      <w:i/>
                      <w:sz w:val="20"/>
                    </w:rPr>
                    <w:t>q</w:t>
                  </w:r>
                  <w:r w:rsidRPr="0013396E">
                    <w:rPr>
                      <w:sz w:val="20"/>
                    </w:rPr>
                    <w:t xml:space="preserve"> for all MRAs for the hour.</w:t>
                  </w:r>
                </w:p>
              </w:tc>
            </w:tr>
            <w:tr w:rsidR="00C64EA0" w:rsidRPr="0013396E" w14:paraId="1EDD2355" w14:textId="77777777" w:rsidTr="00CE1011">
              <w:trPr>
                <w:cantSplit/>
              </w:trPr>
              <w:tc>
                <w:tcPr>
                  <w:tcW w:w="1360" w:type="pct"/>
                </w:tcPr>
                <w:p w14:paraId="193625AF" w14:textId="77777777" w:rsidR="00C64EA0" w:rsidRPr="0013396E" w:rsidRDefault="00C64EA0" w:rsidP="00C64EA0">
                  <w:pPr>
                    <w:spacing w:after="60"/>
                    <w:rPr>
                      <w:iCs/>
                      <w:sz w:val="20"/>
                    </w:rPr>
                  </w:pPr>
                  <w:r w:rsidRPr="0013396E">
                    <w:rPr>
                      <w:sz w:val="20"/>
                    </w:rPr>
                    <w:t xml:space="preserve">MRACAPEXAMTTOT  </w:t>
                  </w:r>
                </w:p>
              </w:tc>
              <w:tc>
                <w:tcPr>
                  <w:tcW w:w="524" w:type="pct"/>
                </w:tcPr>
                <w:p w14:paraId="4D505A74" w14:textId="77777777" w:rsidR="00C64EA0" w:rsidRPr="0013396E" w:rsidRDefault="00C64EA0" w:rsidP="00C64EA0">
                  <w:pPr>
                    <w:spacing w:after="60"/>
                    <w:rPr>
                      <w:iCs/>
                      <w:sz w:val="20"/>
                    </w:rPr>
                  </w:pPr>
                  <w:r w:rsidRPr="0013396E">
                    <w:rPr>
                      <w:iCs/>
                      <w:sz w:val="20"/>
                    </w:rPr>
                    <w:t>$</w:t>
                  </w:r>
                </w:p>
              </w:tc>
              <w:tc>
                <w:tcPr>
                  <w:tcW w:w="3116" w:type="pct"/>
                </w:tcPr>
                <w:p w14:paraId="1EAAF09B" w14:textId="77777777" w:rsidR="00C64EA0" w:rsidRPr="0013396E" w:rsidRDefault="00C64EA0" w:rsidP="00C64EA0">
                  <w:pPr>
                    <w:spacing w:after="60"/>
                    <w:rPr>
                      <w:i/>
                      <w:iCs/>
                      <w:sz w:val="20"/>
                    </w:rPr>
                  </w:pPr>
                  <w:r w:rsidRPr="0013396E">
                    <w:rPr>
                      <w:i/>
                      <w:iCs/>
                      <w:sz w:val="20"/>
                    </w:rPr>
                    <w:t xml:space="preserve">Must-Run Alternative Contributed Capital Expenditures per hour </w:t>
                  </w:r>
                  <w:r w:rsidRPr="0013396E">
                    <w:rPr>
                      <w:iCs/>
                      <w:sz w:val="20"/>
                    </w:rPr>
                    <w:t xml:space="preserve">- </w:t>
                  </w:r>
                  <w:r w:rsidRPr="0013396E">
                    <w:rPr>
                      <w:sz w:val="20"/>
                    </w:rPr>
                    <w:t xml:space="preserve">The total </w:t>
                  </w:r>
                  <w:r w:rsidRPr="0013396E">
                    <w:rPr>
                      <w:iCs/>
                      <w:sz w:val="20"/>
                    </w:rPr>
                    <w:t xml:space="preserve">contributed capital expenditures to all QSEs </w:t>
                  </w:r>
                  <w:r w:rsidRPr="0013396E">
                    <w:rPr>
                      <w:i/>
                      <w:iCs/>
                      <w:sz w:val="20"/>
                    </w:rPr>
                    <w:t>q</w:t>
                  </w:r>
                  <w:r w:rsidRPr="0013396E">
                    <w:rPr>
                      <w:iCs/>
                      <w:sz w:val="20"/>
                    </w:rPr>
                    <w:t xml:space="preserve"> for all </w:t>
                  </w:r>
                  <w:r w:rsidRPr="0013396E">
                    <w:rPr>
                      <w:sz w:val="20"/>
                    </w:rPr>
                    <w:t xml:space="preserve">MRAs </w:t>
                  </w:r>
                  <w:r w:rsidRPr="0013396E">
                    <w:rPr>
                      <w:i/>
                      <w:sz w:val="20"/>
                    </w:rPr>
                    <w:t>r</w:t>
                  </w:r>
                  <w:r w:rsidRPr="0013396E">
                    <w:rPr>
                      <w:sz w:val="20"/>
                    </w:rPr>
                    <w:t xml:space="preserve"> for the hour. </w:t>
                  </w:r>
                </w:p>
              </w:tc>
            </w:tr>
            <w:tr w:rsidR="00C64EA0" w:rsidRPr="0013396E" w14:paraId="29F3C01A" w14:textId="77777777" w:rsidTr="00CE1011">
              <w:trPr>
                <w:cantSplit/>
              </w:trPr>
              <w:tc>
                <w:tcPr>
                  <w:tcW w:w="1360" w:type="pct"/>
                </w:tcPr>
                <w:p w14:paraId="24A13020" w14:textId="77777777" w:rsidR="00C64EA0" w:rsidRPr="0013396E" w:rsidRDefault="00C64EA0" w:rsidP="00C64EA0">
                  <w:pPr>
                    <w:spacing w:after="60"/>
                    <w:rPr>
                      <w:iCs/>
                      <w:sz w:val="20"/>
                    </w:rPr>
                  </w:pPr>
                  <w:r w:rsidRPr="0013396E">
                    <w:rPr>
                      <w:sz w:val="20"/>
                    </w:rPr>
                    <w:lastRenderedPageBreak/>
                    <w:t xml:space="preserve">MRADEAMTTOT  </w:t>
                  </w:r>
                </w:p>
              </w:tc>
              <w:tc>
                <w:tcPr>
                  <w:tcW w:w="524" w:type="pct"/>
                </w:tcPr>
                <w:p w14:paraId="56BFF099" w14:textId="77777777" w:rsidR="00C64EA0" w:rsidRPr="0013396E" w:rsidRDefault="00C64EA0" w:rsidP="00C64EA0">
                  <w:pPr>
                    <w:spacing w:after="60"/>
                    <w:rPr>
                      <w:iCs/>
                      <w:sz w:val="20"/>
                    </w:rPr>
                  </w:pPr>
                  <w:r w:rsidRPr="0013396E">
                    <w:rPr>
                      <w:iCs/>
                      <w:sz w:val="20"/>
                    </w:rPr>
                    <w:t>$</w:t>
                  </w:r>
                </w:p>
              </w:tc>
              <w:tc>
                <w:tcPr>
                  <w:tcW w:w="3116" w:type="pct"/>
                </w:tcPr>
                <w:p w14:paraId="1C7E0788" w14:textId="77777777" w:rsidR="00C64EA0" w:rsidRPr="0013396E" w:rsidRDefault="00C64EA0" w:rsidP="00C64EA0">
                  <w:pPr>
                    <w:spacing w:after="60"/>
                    <w:rPr>
                      <w:iCs/>
                      <w:sz w:val="20"/>
                    </w:rPr>
                  </w:pPr>
                  <w:r w:rsidRPr="0013396E">
                    <w:rPr>
                      <w:i/>
                      <w:sz w:val="20"/>
                    </w:rPr>
                    <w:t xml:space="preserve">Must-Run Alternative </w:t>
                  </w:r>
                  <w:r w:rsidRPr="0013396E">
                    <w:rPr>
                      <w:i/>
                      <w:iCs/>
                      <w:sz w:val="20"/>
                    </w:rPr>
                    <w:t xml:space="preserve">Deployment </w:t>
                  </w:r>
                  <w:r w:rsidRPr="0013396E">
                    <w:rPr>
                      <w:i/>
                      <w:sz w:val="20"/>
                    </w:rPr>
                    <w:t>Event Amount Total by hour—</w:t>
                  </w:r>
                  <w:r w:rsidRPr="0013396E">
                    <w:rPr>
                      <w:sz w:val="20"/>
                    </w:rPr>
                    <w:t xml:space="preserve">The total </w:t>
                  </w:r>
                  <w:r w:rsidRPr="0013396E">
                    <w:rPr>
                      <w:iCs/>
                      <w:sz w:val="20"/>
                    </w:rPr>
                    <w:t xml:space="preserve">deployment event payment </w:t>
                  </w:r>
                  <w:r w:rsidRPr="0013396E">
                    <w:rPr>
                      <w:sz w:val="20"/>
                    </w:rPr>
                    <w:t xml:space="preserve">to all QSEs </w:t>
                  </w:r>
                  <w:r w:rsidRPr="0013396E">
                    <w:rPr>
                      <w:i/>
                      <w:sz w:val="20"/>
                    </w:rPr>
                    <w:t>q</w:t>
                  </w:r>
                  <w:r w:rsidRPr="0013396E">
                    <w:rPr>
                      <w:sz w:val="20"/>
                    </w:rPr>
                    <w:t xml:space="preserve"> for all MRAs </w:t>
                  </w:r>
                  <w:r w:rsidRPr="0013396E">
                    <w:rPr>
                      <w:i/>
                      <w:sz w:val="20"/>
                    </w:rPr>
                    <w:t>r</w:t>
                  </w:r>
                  <w:r w:rsidRPr="0013396E">
                    <w:rPr>
                      <w:sz w:val="20"/>
                    </w:rPr>
                    <w:t xml:space="preserve">, for the hour.  </w:t>
                  </w:r>
                </w:p>
              </w:tc>
            </w:tr>
            <w:tr w:rsidR="00C64EA0" w:rsidRPr="0013396E" w14:paraId="24F784E0" w14:textId="77777777" w:rsidTr="00CE1011">
              <w:trPr>
                <w:cantSplit/>
              </w:trPr>
              <w:tc>
                <w:tcPr>
                  <w:tcW w:w="1360" w:type="pct"/>
                </w:tcPr>
                <w:p w14:paraId="071D7B2B" w14:textId="77777777" w:rsidR="00C64EA0" w:rsidRPr="0013396E" w:rsidRDefault="00C64EA0" w:rsidP="00C64EA0">
                  <w:pPr>
                    <w:spacing w:after="60"/>
                    <w:rPr>
                      <w:sz w:val="20"/>
                    </w:rPr>
                  </w:pPr>
                  <w:r w:rsidRPr="0013396E">
                    <w:rPr>
                      <w:sz w:val="20"/>
                    </w:rPr>
                    <w:t>MRAVAMTTOT</w:t>
                  </w:r>
                </w:p>
              </w:tc>
              <w:tc>
                <w:tcPr>
                  <w:tcW w:w="524" w:type="pct"/>
                </w:tcPr>
                <w:p w14:paraId="110ACC4F" w14:textId="77777777" w:rsidR="00C64EA0" w:rsidRPr="0013396E" w:rsidRDefault="00C64EA0" w:rsidP="00C64EA0">
                  <w:pPr>
                    <w:spacing w:after="60"/>
                    <w:rPr>
                      <w:iCs/>
                      <w:sz w:val="20"/>
                    </w:rPr>
                  </w:pPr>
                  <w:r w:rsidRPr="0013396E">
                    <w:rPr>
                      <w:iCs/>
                      <w:sz w:val="20"/>
                    </w:rPr>
                    <w:t>$</w:t>
                  </w:r>
                </w:p>
              </w:tc>
              <w:tc>
                <w:tcPr>
                  <w:tcW w:w="3116" w:type="pct"/>
                </w:tcPr>
                <w:p w14:paraId="664CA234" w14:textId="77777777" w:rsidR="00C64EA0" w:rsidRPr="0013396E" w:rsidRDefault="00C64EA0" w:rsidP="00C64EA0">
                  <w:pPr>
                    <w:spacing w:after="60"/>
                    <w:rPr>
                      <w:i/>
                      <w:sz w:val="20"/>
                    </w:rPr>
                  </w:pPr>
                  <w:r w:rsidRPr="0013396E">
                    <w:rPr>
                      <w:i/>
                      <w:sz w:val="20"/>
                    </w:rPr>
                    <w:t>Must-Run Alternative Variable Amount Total by hour—</w:t>
                  </w:r>
                  <w:r w:rsidRPr="0013396E">
                    <w:rPr>
                      <w:sz w:val="20"/>
                    </w:rPr>
                    <w:t>The total variable payments for the hour.</w:t>
                  </w:r>
                </w:p>
              </w:tc>
            </w:tr>
            <w:tr w:rsidR="00C64EA0" w:rsidRPr="0013396E" w14:paraId="3EC4FEA0" w14:textId="77777777" w:rsidTr="00CE1011">
              <w:trPr>
                <w:cantSplit/>
              </w:trPr>
              <w:tc>
                <w:tcPr>
                  <w:tcW w:w="1360" w:type="pct"/>
                </w:tcPr>
                <w:p w14:paraId="46B15300" w14:textId="77777777" w:rsidR="00C64EA0" w:rsidRPr="0013396E" w:rsidRDefault="00C64EA0" w:rsidP="00C64EA0">
                  <w:pPr>
                    <w:spacing w:after="60"/>
                    <w:rPr>
                      <w:iCs/>
                      <w:sz w:val="20"/>
                    </w:rPr>
                  </w:pPr>
                  <w:r w:rsidRPr="0013396E">
                    <w:rPr>
                      <w:bCs/>
                      <w:sz w:val="20"/>
                    </w:rPr>
                    <w:t xml:space="preserve">MRAUMAMTTOT  </w:t>
                  </w:r>
                </w:p>
              </w:tc>
              <w:tc>
                <w:tcPr>
                  <w:tcW w:w="524" w:type="pct"/>
                </w:tcPr>
                <w:p w14:paraId="1BCA07BC" w14:textId="77777777" w:rsidR="00C64EA0" w:rsidRPr="0013396E" w:rsidRDefault="00C64EA0" w:rsidP="00C64EA0">
                  <w:pPr>
                    <w:spacing w:after="60"/>
                    <w:rPr>
                      <w:iCs/>
                      <w:sz w:val="20"/>
                    </w:rPr>
                  </w:pPr>
                  <w:r w:rsidRPr="0013396E">
                    <w:rPr>
                      <w:iCs/>
                      <w:sz w:val="20"/>
                    </w:rPr>
                    <w:t>$</w:t>
                  </w:r>
                </w:p>
              </w:tc>
              <w:tc>
                <w:tcPr>
                  <w:tcW w:w="3116" w:type="pct"/>
                </w:tcPr>
                <w:p w14:paraId="30977DE1" w14:textId="77777777" w:rsidR="00C64EA0" w:rsidRPr="0013396E" w:rsidRDefault="00C64EA0" w:rsidP="00C64EA0">
                  <w:pPr>
                    <w:spacing w:after="60"/>
                    <w:rPr>
                      <w:iCs/>
                      <w:sz w:val="20"/>
                    </w:rPr>
                  </w:pPr>
                  <w:r w:rsidRPr="0013396E">
                    <w:rPr>
                      <w:i/>
                      <w:iCs/>
                      <w:sz w:val="20"/>
                    </w:rPr>
                    <w:t xml:space="preserve">Must-Run Alternative Unexcused Misconduct Amount Total per hour </w:t>
                  </w:r>
                  <w:r w:rsidRPr="0013396E">
                    <w:rPr>
                      <w:iCs/>
                      <w:sz w:val="20"/>
                    </w:rPr>
                    <w:sym w:font="Symbol" w:char="F0BE"/>
                  </w:r>
                  <w:r w:rsidRPr="0013396E">
                    <w:rPr>
                      <w:iCs/>
                      <w:sz w:val="20"/>
                    </w:rPr>
                    <w:t>The total of the charges for unexcused Misconduct Events for the hour.</w:t>
                  </w:r>
                </w:p>
              </w:tc>
            </w:tr>
            <w:tr w:rsidR="00C64EA0" w:rsidRPr="0013396E" w14:paraId="0263DB75" w14:textId="77777777" w:rsidTr="00CE1011">
              <w:trPr>
                <w:cantSplit/>
              </w:trPr>
              <w:tc>
                <w:tcPr>
                  <w:tcW w:w="1360" w:type="pct"/>
                </w:tcPr>
                <w:p w14:paraId="26690A75" w14:textId="77777777" w:rsidR="00C64EA0" w:rsidRPr="0013396E" w:rsidRDefault="00C64EA0" w:rsidP="00C64EA0">
                  <w:pPr>
                    <w:spacing w:after="60"/>
                    <w:rPr>
                      <w:bCs/>
                      <w:sz w:val="20"/>
                    </w:rPr>
                  </w:pPr>
                  <w:r w:rsidRPr="0013396E">
                    <w:rPr>
                      <w:bCs/>
                      <w:sz w:val="20"/>
                    </w:rPr>
                    <w:t>HLRS</w:t>
                  </w:r>
                  <w:r w:rsidRPr="0013396E">
                    <w:rPr>
                      <w:bCs/>
                      <w:sz w:val="20"/>
                      <w:vertAlign w:val="subscript"/>
                    </w:rPr>
                    <w:t xml:space="preserve"> </w:t>
                  </w:r>
                  <w:r w:rsidRPr="0013396E">
                    <w:rPr>
                      <w:bCs/>
                      <w:i/>
                      <w:sz w:val="20"/>
                      <w:vertAlign w:val="subscript"/>
                    </w:rPr>
                    <w:t>q</w:t>
                  </w:r>
                </w:p>
              </w:tc>
              <w:tc>
                <w:tcPr>
                  <w:tcW w:w="524" w:type="pct"/>
                </w:tcPr>
                <w:p w14:paraId="26C2E52D" w14:textId="77777777" w:rsidR="00C64EA0" w:rsidRPr="0013396E" w:rsidRDefault="00C64EA0" w:rsidP="00C64EA0">
                  <w:pPr>
                    <w:spacing w:after="60"/>
                    <w:rPr>
                      <w:bCs/>
                      <w:sz w:val="20"/>
                    </w:rPr>
                  </w:pPr>
                  <w:r w:rsidRPr="0013396E">
                    <w:rPr>
                      <w:bCs/>
                      <w:sz w:val="20"/>
                    </w:rPr>
                    <w:t>none</w:t>
                  </w:r>
                </w:p>
              </w:tc>
              <w:tc>
                <w:tcPr>
                  <w:tcW w:w="3116" w:type="pct"/>
                </w:tcPr>
                <w:p w14:paraId="1DDEAB71" w14:textId="77777777" w:rsidR="00C64EA0" w:rsidRPr="0013396E" w:rsidRDefault="00C64EA0" w:rsidP="00C64EA0">
                  <w:pPr>
                    <w:spacing w:after="60"/>
                    <w:rPr>
                      <w:bCs/>
                      <w:sz w:val="20"/>
                    </w:rPr>
                  </w:pPr>
                  <w:r w:rsidRPr="0013396E">
                    <w:rPr>
                      <w:bCs/>
                      <w:i/>
                      <w:sz w:val="20"/>
                    </w:rPr>
                    <w:t>The hourly LRS calculated for QSE q for the hour</w:t>
                  </w:r>
                  <w:r w:rsidRPr="0013396E">
                    <w:rPr>
                      <w:bCs/>
                      <w:sz w:val="20"/>
                    </w:rPr>
                    <w:t>.  See Section 6.6.2.4, QSE Load Ratio Share for an Operating Hour.</w:t>
                  </w:r>
                </w:p>
              </w:tc>
            </w:tr>
            <w:tr w:rsidR="00C64EA0" w:rsidRPr="0013396E" w14:paraId="4BD82CF5" w14:textId="77777777" w:rsidTr="00CE1011">
              <w:trPr>
                <w:cantSplit/>
              </w:trPr>
              <w:tc>
                <w:tcPr>
                  <w:tcW w:w="1360" w:type="pct"/>
                </w:tcPr>
                <w:p w14:paraId="4BE6BCF8" w14:textId="77777777" w:rsidR="00C64EA0" w:rsidRPr="0013396E" w:rsidRDefault="00C64EA0" w:rsidP="00C64EA0">
                  <w:pPr>
                    <w:spacing w:after="60"/>
                    <w:rPr>
                      <w:i/>
                      <w:iCs/>
                      <w:sz w:val="20"/>
                    </w:rPr>
                  </w:pPr>
                  <w:r w:rsidRPr="0013396E">
                    <w:rPr>
                      <w:i/>
                      <w:iCs/>
                      <w:sz w:val="20"/>
                    </w:rPr>
                    <w:t>q</w:t>
                  </w:r>
                </w:p>
              </w:tc>
              <w:tc>
                <w:tcPr>
                  <w:tcW w:w="524" w:type="pct"/>
                </w:tcPr>
                <w:p w14:paraId="6DEC490A" w14:textId="77777777" w:rsidR="00C64EA0" w:rsidRPr="0013396E" w:rsidRDefault="00C64EA0" w:rsidP="00C64EA0">
                  <w:pPr>
                    <w:spacing w:after="60"/>
                    <w:rPr>
                      <w:iCs/>
                      <w:sz w:val="20"/>
                    </w:rPr>
                  </w:pPr>
                  <w:r w:rsidRPr="0013396E">
                    <w:rPr>
                      <w:iCs/>
                      <w:sz w:val="20"/>
                    </w:rPr>
                    <w:t>none</w:t>
                  </w:r>
                </w:p>
              </w:tc>
              <w:tc>
                <w:tcPr>
                  <w:tcW w:w="3116" w:type="pct"/>
                </w:tcPr>
                <w:p w14:paraId="1CBAF866" w14:textId="77777777" w:rsidR="00C64EA0" w:rsidRPr="0013396E" w:rsidRDefault="00C64EA0" w:rsidP="00C64EA0">
                  <w:pPr>
                    <w:spacing w:after="60"/>
                    <w:rPr>
                      <w:i/>
                      <w:iCs/>
                      <w:sz w:val="20"/>
                    </w:rPr>
                  </w:pPr>
                  <w:r w:rsidRPr="0013396E">
                    <w:rPr>
                      <w:iCs/>
                      <w:sz w:val="20"/>
                    </w:rPr>
                    <w:t>A QSE.</w:t>
                  </w:r>
                </w:p>
              </w:tc>
            </w:tr>
          </w:tbl>
          <w:p w14:paraId="3F418CEB" w14:textId="77777777" w:rsidR="00B040C2" w:rsidRPr="0013396E" w:rsidRDefault="00B040C2" w:rsidP="00CE1011">
            <w:pPr>
              <w:spacing w:after="240"/>
              <w:ind w:left="720" w:hanging="720"/>
            </w:pPr>
          </w:p>
        </w:tc>
      </w:tr>
    </w:tbl>
    <w:p w14:paraId="20B6045C" w14:textId="77777777" w:rsidR="001F04FD" w:rsidRPr="0013396E" w:rsidRDefault="001F04FD" w:rsidP="001F04FD">
      <w:pPr>
        <w:pStyle w:val="H3"/>
        <w:spacing w:before="480"/>
      </w:pPr>
      <w:bookmarkStart w:id="2018" w:name="_Toc214879006"/>
      <w:r w:rsidRPr="0013396E">
        <w:lastRenderedPageBreak/>
        <w:t>6.6.7</w:t>
      </w:r>
      <w:r w:rsidRPr="0013396E">
        <w:tab/>
        <w:t>Voltage Support Settlement</w:t>
      </w:r>
      <w:bookmarkEnd w:id="1985"/>
      <w:bookmarkEnd w:id="1986"/>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18"/>
      <w:r w:rsidRPr="0013396E">
        <w:t xml:space="preserve"> </w:t>
      </w:r>
    </w:p>
    <w:p w14:paraId="01D20C07" w14:textId="77777777" w:rsidR="001F04FD" w:rsidRPr="0013396E" w:rsidRDefault="001F04FD" w:rsidP="001F04FD">
      <w:pPr>
        <w:pStyle w:val="H4"/>
      </w:pPr>
      <w:bookmarkStart w:id="2019" w:name="_Toc397505033"/>
      <w:bookmarkStart w:id="2020" w:name="_Toc402357165"/>
      <w:bookmarkStart w:id="2021" w:name="_Toc422486545"/>
      <w:bookmarkStart w:id="2022" w:name="_Toc433093398"/>
      <w:bookmarkStart w:id="2023" w:name="_Toc433093556"/>
      <w:bookmarkStart w:id="2024" w:name="_Toc440874786"/>
      <w:bookmarkStart w:id="2025" w:name="_Toc448142343"/>
      <w:bookmarkStart w:id="2026" w:name="_Toc448142500"/>
      <w:bookmarkStart w:id="2027" w:name="_Toc458770341"/>
      <w:bookmarkStart w:id="2028" w:name="_Toc459294309"/>
      <w:bookmarkStart w:id="2029" w:name="_Toc463262803"/>
      <w:bookmarkStart w:id="2030" w:name="_Toc468286876"/>
      <w:bookmarkStart w:id="2031" w:name="_Toc481502916"/>
      <w:bookmarkStart w:id="2032" w:name="_Toc496080084"/>
      <w:bookmarkStart w:id="2033" w:name="_Toc214879007"/>
      <w:r w:rsidRPr="0013396E">
        <w:t>6.6.7.1</w:t>
      </w:r>
      <w:r w:rsidRPr="0013396E">
        <w:tab/>
        <w:t>Voltage Support Service Payments</w:t>
      </w:r>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r w:rsidRPr="0013396E">
        <w:t xml:space="preserve"> </w:t>
      </w:r>
    </w:p>
    <w:p w14:paraId="7E6A916F" w14:textId="77777777" w:rsidR="00C236A2" w:rsidRPr="0013396E" w:rsidRDefault="00C236A2" w:rsidP="00C236A2">
      <w:pPr>
        <w:spacing w:after="240"/>
        <w:ind w:left="720" w:hanging="720"/>
        <w:rPr>
          <w:iCs/>
        </w:rPr>
      </w:pPr>
      <w:r w:rsidRPr="0013396E">
        <w:t>(1)</w:t>
      </w:r>
      <w:r w:rsidRPr="0013396E">
        <w:tab/>
        <w:t>All other Generation Resources or ESRs shall be eligible for compensation for Reactive Power production in accordance with Section 6.5.7.7, Voltage Support Service, only if ERCOT issues a Dispatch Instruction that results in the following unit operation:</w:t>
      </w:r>
    </w:p>
    <w:p w14:paraId="595A5944" w14:textId="77777777" w:rsidR="00C236A2" w:rsidRPr="0013396E" w:rsidRDefault="00C236A2" w:rsidP="00C236A2">
      <w:pPr>
        <w:spacing w:after="240"/>
        <w:ind w:left="1440" w:hanging="720"/>
      </w:pPr>
      <w:r w:rsidRPr="0013396E">
        <w:t>(a)</w:t>
      </w:r>
      <w:r w:rsidRPr="0013396E">
        <w:tab/>
        <w:t>When ERCOT instructs the Generation Resource or ESR to exceed its Unit Reactive Limit (URL) and the Generation Resource or ESR provides additional Reactive Power, then ERCOT shall pay for the additional Reactive Power provided at a price that recognizes the avoided cost of reactive support to Resources on the transmission network.</w:t>
      </w:r>
    </w:p>
    <w:p w14:paraId="7A1F6EF9" w14:textId="77777777" w:rsidR="00C236A2" w:rsidRPr="0013396E" w:rsidRDefault="00C236A2" w:rsidP="00C236A2">
      <w:pPr>
        <w:spacing w:after="240"/>
        <w:ind w:left="1440" w:hanging="720"/>
      </w:pPr>
      <w:r w:rsidRPr="0013396E">
        <w:t>(b)</w:t>
      </w:r>
      <w:r w:rsidRPr="0013396E">
        <w:tab/>
        <w:t>Any real power reduction directed by ERCOT through VDIs to provide for additional reactive capability for voltage support must be compensated as a lost opportunity payment.</w:t>
      </w:r>
    </w:p>
    <w:p w14:paraId="22F14E87" w14:textId="77777777" w:rsidR="00C236A2" w:rsidRPr="0013396E" w:rsidRDefault="00C236A2" w:rsidP="00C236A2">
      <w:pPr>
        <w:spacing w:after="240"/>
        <w:ind w:left="720" w:hanging="720"/>
      </w:pPr>
      <w:r w:rsidRPr="0013396E">
        <w:t>(2)</w:t>
      </w:r>
      <w:r w:rsidRPr="0013396E">
        <w:tab/>
        <w:t>An ESR with a net injection for a Settlement Interval but that has an HSL that is less than zero will not receive compensation for Reactive Power for that Settlement Interval.</w:t>
      </w:r>
    </w:p>
    <w:p w14:paraId="1E5E657D" w14:textId="77777777" w:rsidR="00C236A2" w:rsidRPr="0013396E" w:rsidRDefault="00C236A2" w:rsidP="00C236A2">
      <w:pPr>
        <w:spacing w:after="240"/>
        <w:ind w:left="720" w:hanging="720"/>
      </w:pPr>
      <w:r w:rsidRPr="0013396E">
        <w:t>(3)</w:t>
      </w:r>
      <w:r w:rsidRPr="0013396E">
        <w:tab/>
        <w:t>The payment for a given 15-minute Settlement Interval to each QSE representing a Generation Resource or ESR that operates in accordance with an ERCOT Dispatch Instruction is calculated as follows:</w:t>
      </w:r>
    </w:p>
    <w:p w14:paraId="26683B16" w14:textId="77777777" w:rsidR="00C236A2" w:rsidRPr="0013396E" w:rsidRDefault="00C236A2" w:rsidP="00C236A2">
      <w:pPr>
        <w:spacing w:after="240"/>
        <w:ind w:left="720" w:hanging="720"/>
      </w:pPr>
      <w:r w:rsidRPr="0013396E">
        <w:t>Depending on the Dispatch Instruction, payment for Volt-Amperes reactive (VAr):</w:t>
      </w:r>
    </w:p>
    <w:p w14:paraId="07AF8A32" w14:textId="77777777" w:rsidR="00C236A2" w:rsidRPr="0013396E" w:rsidRDefault="00C236A2" w:rsidP="00C236A2">
      <w:pPr>
        <w:spacing w:after="240"/>
        <w:ind w:firstLine="720"/>
        <w:rPr>
          <w:lang w:val="pt-BR"/>
        </w:rPr>
      </w:pPr>
      <w:r w:rsidRPr="0013396E">
        <w:rPr>
          <w:lang w:val="pt-BR"/>
        </w:rPr>
        <w:t xml:space="preserve">If VSSVARLAG </w:t>
      </w:r>
      <w:r w:rsidRPr="0013396E">
        <w:rPr>
          <w:i/>
          <w:vertAlign w:val="subscript"/>
          <w:lang w:val="pt-BR"/>
        </w:rPr>
        <w:t>q, r</w:t>
      </w:r>
      <w:r w:rsidRPr="0013396E">
        <w:rPr>
          <w:lang w:val="pt-BR"/>
        </w:rPr>
        <w:t xml:space="preserve"> &gt; 0</w:t>
      </w:r>
    </w:p>
    <w:p w14:paraId="7455536A" w14:textId="77777777" w:rsidR="00C236A2" w:rsidRPr="0013396E" w:rsidRDefault="00C236A2" w:rsidP="00C236A2">
      <w:pPr>
        <w:pStyle w:val="FormulaBold"/>
        <w:ind w:hanging="2520"/>
        <w:rPr>
          <w:lang w:val="pt-BR"/>
        </w:rPr>
      </w:pPr>
      <w:r w:rsidRPr="0013396E">
        <w:rPr>
          <w:lang w:val="pt-BR"/>
        </w:rPr>
        <w:t xml:space="preserve">VSSVARAMT </w:t>
      </w:r>
      <w:r w:rsidRPr="0013396E">
        <w:rPr>
          <w:i/>
          <w:vertAlign w:val="subscript"/>
          <w:lang w:val="pt-BR"/>
        </w:rPr>
        <w:t>q, r</w:t>
      </w:r>
      <w:r w:rsidRPr="0013396E">
        <w:rPr>
          <w:lang w:val="pt-BR"/>
        </w:rPr>
        <w:tab/>
        <w:t>=</w:t>
      </w:r>
      <w:r w:rsidRPr="0013396E">
        <w:rPr>
          <w:lang w:val="pt-BR"/>
        </w:rPr>
        <w:tab/>
        <w:t xml:space="preserve">(-1) * VSSVARPR * VSSVARLAG </w:t>
      </w:r>
      <w:r w:rsidRPr="0013396E">
        <w:rPr>
          <w:i/>
          <w:vertAlign w:val="subscript"/>
          <w:lang w:val="pt-BR"/>
        </w:rPr>
        <w:t>q, r</w:t>
      </w:r>
    </w:p>
    <w:p w14:paraId="086DECA4" w14:textId="77777777" w:rsidR="00C236A2" w:rsidRPr="0013396E" w:rsidRDefault="00C236A2" w:rsidP="00C236A2">
      <w:pPr>
        <w:spacing w:after="240"/>
        <w:ind w:firstLine="720"/>
        <w:rPr>
          <w:lang w:val="pt-BR"/>
        </w:rPr>
      </w:pPr>
      <w:r w:rsidRPr="0013396E">
        <w:rPr>
          <w:lang w:val="pt-BR"/>
        </w:rPr>
        <w:t xml:space="preserve">If VSSVARLEAD </w:t>
      </w:r>
      <w:r w:rsidRPr="0013396E">
        <w:rPr>
          <w:i/>
          <w:vertAlign w:val="subscript"/>
          <w:lang w:val="pt-BR"/>
        </w:rPr>
        <w:t>q, r</w:t>
      </w:r>
      <w:r w:rsidRPr="0013396E">
        <w:rPr>
          <w:lang w:val="pt-BR"/>
        </w:rPr>
        <w:t xml:space="preserve"> &gt; 0</w:t>
      </w:r>
    </w:p>
    <w:p w14:paraId="7C1C0F0A" w14:textId="77777777" w:rsidR="00C236A2" w:rsidRPr="0013396E" w:rsidRDefault="00C236A2" w:rsidP="00C236A2">
      <w:pPr>
        <w:pStyle w:val="FormulaBold"/>
        <w:ind w:hanging="2520"/>
        <w:rPr>
          <w:lang w:val="pt-BR"/>
        </w:rPr>
      </w:pPr>
      <w:r w:rsidRPr="0013396E">
        <w:rPr>
          <w:lang w:val="pt-BR"/>
        </w:rPr>
        <w:t xml:space="preserve">VSSVARAMT </w:t>
      </w:r>
      <w:r w:rsidRPr="0013396E">
        <w:rPr>
          <w:i/>
          <w:vertAlign w:val="subscript"/>
          <w:lang w:val="pt-BR"/>
        </w:rPr>
        <w:t>q, r</w:t>
      </w:r>
      <w:r w:rsidRPr="0013396E">
        <w:rPr>
          <w:lang w:val="pt-BR"/>
        </w:rPr>
        <w:tab/>
        <w:t>=</w:t>
      </w:r>
      <w:r w:rsidRPr="0013396E">
        <w:rPr>
          <w:lang w:val="pt-BR"/>
        </w:rPr>
        <w:tab/>
        <w:t>(-1) * VSSVARPR * VSSVARLEAD</w:t>
      </w:r>
      <w:r w:rsidRPr="0013396E">
        <w:rPr>
          <w:i/>
          <w:vertAlign w:val="subscript"/>
          <w:lang w:val="pt-BR"/>
        </w:rPr>
        <w:t xml:space="preserve"> q, r</w:t>
      </w:r>
    </w:p>
    <w:p w14:paraId="5B79ED10" w14:textId="77777777" w:rsidR="00C236A2" w:rsidRPr="0013396E" w:rsidRDefault="00C236A2" w:rsidP="00C236A2">
      <w:pPr>
        <w:spacing w:after="240"/>
        <w:ind w:left="720"/>
        <w:rPr>
          <w:lang w:val="pt-BR"/>
        </w:rPr>
      </w:pPr>
      <w:r w:rsidRPr="0013396E">
        <w:rPr>
          <w:lang w:val="pt-BR"/>
        </w:rPr>
        <w:lastRenderedPageBreak/>
        <w:t>Where:</w:t>
      </w:r>
    </w:p>
    <w:p w14:paraId="6F887785" w14:textId="77777777" w:rsidR="00C236A2" w:rsidRPr="0013396E" w:rsidRDefault="00C236A2" w:rsidP="00C236A2">
      <w:pPr>
        <w:tabs>
          <w:tab w:val="left" w:pos="2340"/>
          <w:tab w:val="left" w:pos="3420"/>
        </w:tabs>
        <w:spacing w:after="240"/>
        <w:ind w:left="3420" w:hanging="2700"/>
        <w:rPr>
          <w:bCs/>
          <w:lang w:val="pt-BR"/>
        </w:rPr>
      </w:pPr>
      <w:r w:rsidRPr="0013396E">
        <w:rPr>
          <w:bCs/>
          <w:lang w:val="pt-BR"/>
        </w:rPr>
        <w:t xml:space="preserve">VSSVARLAG </w:t>
      </w:r>
      <w:r w:rsidRPr="0013396E">
        <w:rPr>
          <w:bCs/>
          <w:i/>
          <w:vertAlign w:val="subscript"/>
          <w:lang w:val="pt-BR"/>
        </w:rPr>
        <w:t>q, r</w:t>
      </w:r>
      <w:r w:rsidRPr="0013396E">
        <w:rPr>
          <w:bCs/>
          <w:lang w:val="pt-BR"/>
        </w:rPr>
        <w:tab/>
        <w:t>=</w:t>
      </w:r>
      <w:r w:rsidRPr="0013396E">
        <w:rPr>
          <w:bCs/>
          <w:lang w:val="pt-BR"/>
        </w:rPr>
        <w:tab/>
        <w:t xml:space="preserve">Max [0, Min (¼ * VSSVARIOL </w:t>
      </w:r>
      <w:r w:rsidRPr="0013396E">
        <w:rPr>
          <w:bCs/>
          <w:i/>
          <w:vertAlign w:val="subscript"/>
          <w:lang w:val="pt-BR"/>
        </w:rPr>
        <w:t>q, r</w:t>
      </w:r>
      <w:r w:rsidRPr="0013396E">
        <w:rPr>
          <w:bCs/>
          <w:lang w:val="pt-BR"/>
        </w:rPr>
        <w:t xml:space="preserve">, RTVAR </w:t>
      </w:r>
      <w:r w:rsidRPr="0013396E">
        <w:rPr>
          <w:bCs/>
          <w:i/>
          <w:vertAlign w:val="subscript"/>
          <w:lang w:val="pt-BR"/>
        </w:rPr>
        <w:t>q, r</w:t>
      </w:r>
      <w:r w:rsidRPr="0013396E">
        <w:rPr>
          <w:bCs/>
          <w:lang w:val="pt-BR"/>
        </w:rPr>
        <w:t xml:space="preserve">) – (¼ * URLLAG </w:t>
      </w:r>
      <w:r w:rsidRPr="0013396E">
        <w:rPr>
          <w:bCs/>
          <w:i/>
          <w:vertAlign w:val="subscript"/>
          <w:lang w:val="pt-BR"/>
        </w:rPr>
        <w:t>q, r</w:t>
      </w:r>
      <w:r w:rsidRPr="0013396E">
        <w:rPr>
          <w:bCs/>
          <w:lang w:val="pt-BR"/>
        </w:rPr>
        <w:t>)]</w:t>
      </w:r>
    </w:p>
    <w:p w14:paraId="615E1B0E" w14:textId="77777777" w:rsidR="00C236A2" w:rsidRPr="0013396E" w:rsidRDefault="00C236A2" w:rsidP="00C236A2">
      <w:pPr>
        <w:tabs>
          <w:tab w:val="left" w:pos="2340"/>
          <w:tab w:val="left" w:pos="3420"/>
        </w:tabs>
        <w:spacing w:after="240"/>
        <w:ind w:left="3420" w:hanging="2700"/>
        <w:rPr>
          <w:bCs/>
          <w:sz w:val="32"/>
          <w:szCs w:val="32"/>
          <w:lang w:val="pt-BR"/>
        </w:rPr>
      </w:pPr>
      <w:r w:rsidRPr="0013396E">
        <w:rPr>
          <w:bCs/>
          <w:lang w:val="pt-BR"/>
        </w:rPr>
        <w:t xml:space="preserve">VSSVARLEAD </w:t>
      </w:r>
      <w:r w:rsidRPr="0013396E">
        <w:rPr>
          <w:bCs/>
          <w:i/>
          <w:vertAlign w:val="subscript"/>
          <w:lang w:val="pt-BR"/>
        </w:rPr>
        <w:t>q, r</w:t>
      </w:r>
      <w:r w:rsidRPr="0013396E">
        <w:rPr>
          <w:bCs/>
          <w:lang w:val="pt-BR"/>
        </w:rPr>
        <w:tab/>
        <w:t>=</w:t>
      </w:r>
      <w:r w:rsidRPr="0013396E">
        <w:rPr>
          <w:bCs/>
          <w:lang w:val="pt-BR"/>
        </w:rPr>
        <w:tab/>
        <w:t xml:space="preserve">Max </w:t>
      </w:r>
      <w:r w:rsidRPr="0013396E">
        <w:rPr>
          <w:bCs/>
          <w:sz w:val="32"/>
          <w:szCs w:val="32"/>
          <w:lang w:val="pt-BR"/>
        </w:rPr>
        <w:t>{</w:t>
      </w:r>
      <w:r w:rsidRPr="0013396E">
        <w:rPr>
          <w:bCs/>
          <w:lang w:val="pt-BR"/>
        </w:rPr>
        <w:t xml:space="preserve">0, [(¼ * URLLEAD </w:t>
      </w:r>
      <w:r w:rsidRPr="0013396E">
        <w:rPr>
          <w:bCs/>
          <w:i/>
          <w:vertAlign w:val="subscript"/>
          <w:lang w:val="pt-BR"/>
        </w:rPr>
        <w:t>q, r</w:t>
      </w:r>
      <w:r w:rsidRPr="0013396E">
        <w:rPr>
          <w:bCs/>
          <w:lang w:val="pt-BR"/>
        </w:rPr>
        <w:t xml:space="preserve"> ) – Max ((¼ * VSSVARIOL </w:t>
      </w:r>
      <w:r w:rsidRPr="0013396E">
        <w:rPr>
          <w:bCs/>
          <w:i/>
          <w:vertAlign w:val="subscript"/>
          <w:lang w:val="pt-BR"/>
        </w:rPr>
        <w:t>q, r</w:t>
      </w:r>
      <w:r w:rsidRPr="0013396E">
        <w:rPr>
          <w:bCs/>
          <w:lang w:val="pt-BR"/>
        </w:rPr>
        <w:t xml:space="preserve">), RTVAR </w:t>
      </w:r>
      <w:r w:rsidRPr="0013396E">
        <w:rPr>
          <w:bCs/>
          <w:i/>
          <w:vertAlign w:val="subscript"/>
          <w:lang w:val="pt-BR"/>
        </w:rPr>
        <w:t>q, r</w:t>
      </w:r>
      <w:r w:rsidRPr="0013396E">
        <w:rPr>
          <w:bCs/>
          <w:lang w:val="pt-BR"/>
        </w:rPr>
        <w:t>)]</w:t>
      </w:r>
      <w:r w:rsidRPr="0013396E">
        <w:rPr>
          <w:bCs/>
          <w:sz w:val="32"/>
          <w:szCs w:val="32"/>
          <w:lang w:val="pt-BR"/>
        </w:rPr>
        <w:t>}</w:t>
      </w:r>
    </w:p>
    <w:p w14:paraId="7240DE18" w14:textId="77777777" w:rsidR="00C236A2" w:rsidRPr="0013396E" w:rsidRDefault="00C236A2" w:rsidP="00C236A2">
      <w:pPr>
        <w:tabs>
          <w:tab w:val="left" w:pos="2340"/>
          <w:tab w:val="left" w:pos="3420"/>
        </w:tabs>
        <w:spacing w:after="240"/>
        <w:ind w:left="3420" w:hanging="2700"/>
        <w:rPr>
          <w:bCs/>
          <w:lang w:val="pt-BR"/>
        </w:rPr>
      </w:pPr>
      <w:r w:rsidRPr="0013396E">
        <w:rPr>
          <w:bCs/>
          <w:lang w:val="pt-BR"/>
        </w:rPr>
        <w:t>And:</w:t>
      </w:r>
    </w:p>
    <w:p w14:paraId="3D954225" w14:textId="77777777" w:rsidR="00C236A2" w:rsidRPr="0013396E" w:rsidRDefault="00C236A2" w:rsidP="00C236A2">
      <w:pPr>
        <w:tabs>
          <w:tab w:val="left" w:pos="2340"/>
          <w:tab w:val="left" w:pos="3420"/>
        </w:tabs>
        <w:spacing w:after="240"/>
        <w:ind w:left="3420" w:hanging="2700"/>
        <w:rPr>
          <w:bCs/>
          <w:lang w:val="pt-BR"/>
        </w:rPr>
      </w:pPr>
      <w:r w:rsidRPr="0013396E">
        <w:rPr>
          <w:bCs/>
          <w:lang w:val="pt-BR"/>
        </w:rPr>
        <w:t xml:space="preserve">If an ESR has a net withdrawal for the Settlement Interval, then: </w:t>
      </w:r>
    </w:p>
    <w:p w14:paraId="22174FFF" w14:textId="77777777" w:rsidR="00C236A2" w:rsidRPr="0013396E" w:rsidRDefault="00C236A2" w:rsidP="00C236A2">
      <w:pPr>
        <w:tabs>
          <w:tab w:val="left" w:pos="2340"/>
          <w:tab w:val="left" w:pos="3420"/>
        </w:tabs>
        <w:spacing w:after="240"/>
        <w:ind w:left="3420" w:hanging="2700"/>
        <w:rPr>
          <w:bCs/>
          <w:lang w:val="pt-BR"/>
        </w:rPr>
      </w:pPr>
      <w:r w:rsidRPr="0013396E">
        <w:rPr>
          <w:bCs/>
          <w:lang w:val="pt-BR"/>
        </w:rPr>
        <w:t xml:space="preserve">URLLAG </w:t>
      </w:r>
      <w:r w:rsidRPr="0013396E">
        <w:rPr>
          <w:bCs/>
          <w:i/>
          <w:vertAlign w:val="subscript"/>
          <w:lang w:val="pt-BR"/>
        </w:rPr>
        <w:t>q,r</w:t>
      </w:r>
      <w:r w:rsidRPr="0013396E">
        <w:rPr>
          <w:bCs/>
          <w:lang w:val="pt-BR"/>
        </w:rPr>
        <w:tab/>
        <w:t>=</w:t>
      </w:r>
      <w:r w:rsidRPr="0013396E">
        <w:rPr>
          <w:bCs/>
          <w:lang w:val="pt-BR"/>
        </w:rPr>
        <w:tab/>
      </w:r>
      <w:r w:rsidRPr="0013396E">
        <w:rPr>
          <w:bCs/>
          <w:lang w:val="pt-BR"/>
        </w:rPr>
        <w:tab/>
        <w:t xml:space="preserve">0.32868 * ABS(LSL </w:t>
      </w:r>
      <w:r w:rsidRPr="0013396E">
        <w:rPr>
          <w:bCs/>
          <w:i/>
          <w:vertAlign w:val="subscript"/>
          <w:lang w:val="pt-BR"/>
        </w:rPr>
        <w:t>q,r</w:t>
      </w:r>
      <w:r w:rsidRPr="0013396E">
        <w:rPr>
          <w:bCs/>
          <w:lang w:val="pt-BR"/>
        </w:rPr>
        <w:t>)</w:t>
      </w:r>
    </w:p>
    <w:p w14:paraId="7364B935" w14:textId="77777777" w:rsidR="00C236A2" w:rsidRPr="0013396E" w:rsidRDefault="00C236A2" w:rsidP="00C236A2">
      <w:pPr>
        <w:tabs>
          <w:tab w:val="left" w:pos="2340"/>
          <w:tab w:val="left" w:pos="3420"/>
        </w:tabs>
        <w:spacing w:after="240"/>
        <w:ind w:left="3420" w:hanging="2700"/>
        <w:rPr>
          <w:bCs/>
          <w:lang w:val="pt-BR"/>
        </w:rPr>
      </w:pPr>
      <w:r w:rsidRPr="0013396E">
        <w:rPr>
          <w:bCs/>
          <w:lang w:val="pt-BR"/>
        </w:rPr>
        <w:t xml:space="preserve">URLLEAD </w:t>
      </w:r>
      <w:r w:rsidRPr="0013396E">
        <w:rPr>
          <w:bCs/>
          <w:i/>
          <w:vertAlign w:val="subscript"/>
          <w:lang w:val="pt-BR"/>
        </w:rPr>
        <w:t>q,r</w:t>
      </w:r>
      <w:r w:rsidRPr="0013396E">
        <w:rPr>
          <w:bCs/>
          <w:lang w:val="pt-BR"/>
        </w:rPr>
        <w:tab/>
        <w:t>=</w:t>
      </w:r>
      <w:r w:rsidRPr="0013396E">
        <w:rPr>
          <w:bCs/>
          <w:lang w:val="pt-BR"/>
        </w:rPr>
        <w:tab/>
        <w:t xml:space="preserve">(-1) * 0.32868 * ABS(LSL </w:t>
      </w:r>
      <w:r w:rsidRPr="0013396E">
        <w:rPr>
          <w:bCs/>
          <w:i/>
          <w:vertAlign w:val="subscript"/>
          <w:lang w:val="pt-BR"/>
        </w:rPr>
        <w:t>q,r</w:t>
      </w:r>
      <w:r w:rsidRPr="0013396E">
        <w:rPr>
          <w:bCs/>
          <w:lang w:val="pt-BR"/>
        </w:rPr>
        <w:t>)</w:t>
      </w:r>
    </w:p>
    <w:p w14:paraId="7A2222B5" w14:textId="77777777" w:rsidR="00C236A2" w:rsidRPr="0013396E" w:rsidRDefault="00C236A2" w:rsidP="00C236A2">
      <w:pPr>
        <w:tabs>
          <w:tab w:val="left" w:pos="780"/>
          <w:tab w:val="left" w:pos="2340"/>
        </w:tabs>
        <w:spacing w:after="240"/>
        <w:ind w:left="690" w:firstLine="30"/>
        <w:rPr>
          <w:bCs/>
          <w:lang w:val="pt-BR"/>
        </w:rPr>
      </w:pPr>
      <w:r w:rsidRPr="0013396E">
        <w:rPr>
          <w:bCs/>
          <w:lang w:val="pt-BR"/>
        </w:rPr>
        <w:t xml:space="preserve">Otherwise, for Generation Resources or ESRs that have a net injection for the Settlement Interval and that have an HSL greater than or equal to 0: </w:t>
      </w:r>
    </w:p>
    <w:p w14:paraId="0A9A6EB8" w14:textId="77777777" w:rsidR="00C236A2" w:rsidRPr="0013396E" w:rsidRDefault="00C236A2" w:rsidP="00C236A2">
      <w:pPr>
        <w:tabs>
          <w:tab w:val="left" w:pos="2340"/>
          <w:tab w:val="left" w:pos="3420"/>
        </w:tabs>
        <w:spacing w:after="240"/>
        <w:ind w:left="3420" w:hanging="2700"/>
        <w:rPr>
          <w:bCs/>
          <w:lang w:val="pt-BR"/>
        </w:rPr>
      </w:pPr>
      <w:r w:rsidRPr="0013396E">
        <w:rPr>
          <w:bCs/>
          <w:lang w:val="pt-BR"/>
        </w:rPr>
        <w:t xml:space="preserve">URLLAG </w:t>
      </w:r>
      <w:r w:rsidRPr="0013396E">
        <w:rPr>
          <w:bCs/>
          <w:i/>
          <w:vertAlign w:val="subscript"/>
          <w:lang w:val="pt-BR"/>
        </w:rPr>
        <w:t>q,r</w:t>
      </w:r>
      <w:r w:rsidRPr="0013396E">
        <w:rPr>
          <w:bCs/>
          <w:lang w:val="pt-BR"/>
        </w:rPr>
        <w:tab/>
        <w:t>=</w:t>
      </w:r>
      <w:r w:rsidRPr="0013396E">
        <w:rPr>
          <w:bCs/>
          <w:lang w:val="pt-BR"/>
        </w:rPr>
        <w:tab/>
        <w:t xml:space="preserve">0.32868 * HSL </w:t>
      </w:r>
      <w:r w:rsidRPr="0013396E">
        <w:rPr>
          <w:bCs/>
          <w:i/>
          <w:vertAlign w:val="subscript"/>
          <w:lang w:val="pt-BR"/>
        </w:rPr>
        <w:t xml:space="preserve">q,r </w:t>
      </w:r>
    </w:p>
    <w:p w14:paraId="61965126" w14:textId="77777777" w:rsidR="00C236A2" w:rsidRPr="0013396E" w:rsidRDefault="00C236A2" w:rsidP="00C236A2">
      <w:pPr>
        <w:tabs>
          <w:tab w:val="left" w:pos="2340"/>
          <w:tab w:val="left" w:pos="3420"/>
        </w:tabs>
        <w:spacing w:after="240"/>
        <w:ind w:left="3420" w:hanging="2700"/>
        <w:rPr>
          <w:bCs/>
          <w:lang w:val="pt-BR"/>
        </w:rPr>
      </w:pPr>
      <w:r w:rsidRPr="0013396E">
        <w:rPr>
          <w:bCs/>
          <w:lang w:val="pt-BR"/>
        </w:rPr>
        <w:t xml:space="preserve">URLLEAD </w:t>
      </w:r>
      <w:r w:rsidRPr="0013396E">
        <w:rPr>
          <w:bCs/>
          <w:i/>
          <w:vertAlign w:val="subscript"/>
          <w:lang w:val="pt-BR"/>
        </w:rPr>
        <w:t>q,r</w:t>
      </w:r>
      <w:r w:rsidRPr="0013396E">
        <w:rPr>
          <w:bCs/>
          <w:lang w:val="pt-BR"/>
        </w:rPr>
        <w:tab/>
        <w:t>=</w:t>
      </w:r>
      <w:r w:rsidRPr="0013396E">
        <w:rPr>
          <w:bCs/>
          <w:lang w:val="pt-BR"/>
        </w:rPr>
        <w:tab/>
        <w:t xml:space="preserve">(-1) * 0.32868 * HSL </w:t>
      </w:r>
      <w:r w:rsidRPr="0013396E">
        <w:rPr>
          <w:bCs/>
          <w:i/>
          <w:vertAlign w:val="subscript"/>
          <w:lang w:val="pt-BR"/>
        </w:rPr>
        <w:t>q,r</w:t>
      </w:r>
    </w:p>
    <w:p w14:paraId="5EB40382" w14:textId="77777777" w:rsidR="00C236A2" w:rsidRPr="0013396E" w:rsidRDefault="00C236A2" w:rsidP="00C236A2">
      <w:r w:rsidRPr="0013396E">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0"/>
        <w:gridCol w:w="1156"/>
        <w:gridCol w:w="6294"/>
      </w:tblGrid>
      <w:tr w:rsidR="00C236A2" w:rsidRPr="0013396E" w14:paraId="7A86ACE8" w14:textId="77777777" w:rsidTr="0099759E">
        <w:trPr>
          <w:cantSplit/>
          <w:tblHeader/>
        </w:trPr>
        <w:tc>
          <w:tcPr>
            <w:tcW w:w="1016" w:type="pct"/>
            <w:tcBorders>
              <w:top w:val="single" w:sz="4" w:space="0" w:color="auto"/>
              <w:left w:val="single" w:sz="4" w:space="0" w:color="auto"/>
              <w:bottom w:val="single" w:sz="4" w:space="0" w:color="auto"/>
              <w:right w:val="single" w:sz="4" w:space="0" w:color="auto"/>
            </w:tcBorders>
            <w:hideMark/>
          </w:tcPr>
          <w:p w14:paraId="3AF770DD" w14:textId="77777777" w:rsidR="00C236A2" w:rsidRPr="0013396E" w:rsidRDefault="00C236A2" w:rsidP="0099759E">
            <w:pPr>
              <w:spacing w:after="240"/>
              <w:rPr>
                <w:b/>
                <w:iCs/>
                <w:sz w:val="20"/>
              </w:rPr>
            </w:pPr>
            <w:r w:rsidRPr="0013396E">
              <w:rPr>
                <w:b/>
                <w:sz w:val="20"/>
              </w:rPr>
              <w:t>Variable</w:t>
            </w:r>
          </w:p>
        </w:tc>
        <w:tc>
          <w:tcPr>
            <w:tcW w:w="618" w:type="pct"/>
            <w:tcBorders>
              <w:top w:val="single" w:sz="4" w:space="0" w:color="auto"/>
              <w:left w:val="single" w:sz="4" w:space="0" w:color="auto"/>
              <w:bottom w:val="single" w:sz="4" w:space="0" w:color="auto"/>
              <w:right w:val="single" w:sz="4" w:space="0" w:color="auto"/>
            </w:tcBorders>
            <w:hideMark/>
          </w:tcPr>
          <w:p w14:paraId="41B19192" w14:textId="77777777" w:rsidR="00C236A2" w:rsidRPr="0013396E" w:rsidRDefault="00C236A2" w:rsidP="0099759E">
            <w:pPr>
              <w:spacing w:after="240"/>
              <w:rPr>
                <w:b/>
                <w:iCs/>
                <w:sz w:val="20"/>
              </w:rPr>
            </w:pPr>
            <w:r w:rsidRPr="0013396E">
              <w:rPr>
                <w:b/>
                <w:iCs/>
                <w:sz w:val="20"/>
              </w:rPr>
              <w:t>Unit</w:t>
            </w:r>
          </w:p>
        </w:tc>
        <w:tc>
          <w:tcPr>
            <w:tcW w:w="3366" w:type="pct"/>
            <w:tcBorders>
              <w:top w:val="single" w:sz="4" w:space="0" w:color="auto"/>
              <w:left w:val="single" w:sz="4" w:space="0" w:color="auto"/>
              <w:bottom w:val="single" w:sz="4" w:space="0" w:color="auto"/>
              <w:right w:val="single" w:sz="4" w:space="0" w:color="auto"/>
            </w:tcBorders>
            <w:hideMark/>
          </w:tcPr>
          <w:p w14:paraId="542A6C39" w14:textId="77777777" w:rsidR="00C236A2" w:rsidRPr="0013396E" w:rsidRDefault="00C236A2" w:rsidP="0099759E">
            <w:pPr>
              <w:spacing w:after="240"/>
              <w:rPr>
                <w:b/>
                <w:iCs/>
                <w:sz w:val="20"/>
              </w:rPr>
            </w:pPr>
            <w:r w:rsidRPr="0013396E">
              <w:rPr>
                <w:b/>
                <w:iCs/>
                <w:sz w:val="20"/>
              </w:rPr>
              <w:t>Definition</w:t>
            </w:r>
          </w:p>
        </w:tc>
      </w:tr>
      <w:tr w:rsidR="00C236A2" w:rsidRPr="0013396E" w14:paraId="7E46EEC4" w14:textId="77777777" w:rsidTr="0099759E">
        <w:trPr>
          <w:cantSplit/>
        </w:trPr>
        <w:tc>
          <w:tcPr>
            <w:tcW w:w="1016" w:type="pct"/>
            <w:tcBorders>
              <w:top w:val="single" w:sz="4" w:space="0" w:color="auto"/>
              <w:left w:val="single" w:sz="4" w:space="0" w:color="auto"/>
              <w:bottom w:val="single" w:sz="4" w:space="0" w:color="auto"/>
              <w:right w:val="single" w:sz="4" w:space="0" w:color="auto"/>
            </w:tcBorders>
            <w:hideMark/>
          </w:tcPr>
          <w:p w14:paraId="1BA43732" w14:textId="77777777" w:rsidR="00C236A2" w:rsidRPr="0013396E" w:rsidRDefault="00C236A2" w:rsidP="0099759E">
            <w:pPr>
              <w:spacing w:after="60"/>
              <w:rPr>
                <w:iCs/>
                <w:sz w:val="20"/>
              </w:rPr>
            </w:pPr>
            <w:r w:rsidRPr="0013396E">
              <w:rPr>
                <w:iCs/>
                <w:sz w:val="20"/>
              </w:rPr>
              <w:t xml:space="preserve">VSSVARAMT </w:t>
            </w:r>
            <w:r w:rsidRPr="0013396E">
              <w:rPr>
                <w:i/>
                <w:iCs/>
                <w:sz w:val="20"/>
                <w:vertAlign w:val="subscript"/>
              </w:rPr>
              <w:t>q, r</w:t>
            </w:r>
          </w:p>
        </w:tc>
        <w:tc>
          <w:tcPr>
            <w:tcW w:w="618" w:type="pct"/>
            <w:tcBorders>
              <w:top w:val="single" w:sz="4" w:space="0" w:color="auto"/>
              <w:left w:val="single" w:sz="4" w:space="0" w:color="auto"/>
              <w:bottom w:val="single" w:sz="4" w:space="0" w:color="auto"/>
              <w:right w:val="single" w:sz="4" w:space="0" w:color="auto"/>
            </w:tcBorders>
            <w:hideMark/>
          </w:tcPr>
          <w:p w14:paraId="05E636D5" w14:textId="77777777" w:rsidR="00C236A2" w:rsidRPr="0013396E" w:rsidRDefault="00C236A2" w:rsidP="0099759E">
            <w:pPr>
              <w:spacing w:after="60"/>
              <w:rPr>
                <w:iCs/>
                <w:sz w:val="20"/>
              </w:rPr>
            </w:pPr>
            <w:r w:rsidRPr="0013396E">
              <w:rPr>
                <w:iCs/>
                <w:sz w:val="20"/>
              </w:rPr>
              <w:t>$</w:t>
            </w:r>
          </w:p>
        </w:tc>
        <w:tc>
          <w:tcPr>
            <w:tcW w:w="3366" w:type="pct"/>
            <w:tcBorders>
              <w:top w:val="single" w:sz="4" w:space="0" w:color="auto"/>
              <w:left w:val="single" w:sz="4" w:space="0" w:color="auto"/>
              <w:bottom w:val="single" w:sz="4" w:space="0" w:color="auto"/>
              <w:right w:val="single" w:sz="4" w:space="0" w:color="auto"/>
            </w:tcBorders>
            <w:hideMark/>
          </w:tcPr>
          <w:p w14:paraId="6BD24FA9" w14:textId="77777777" w:rsidR="00C236A2" w:rsidRPr="0013396E" w:rsidRDefault="00C236A2" w:rsidP="0099759E">
            <w:pPr>
              <w:spacing w:after="60"/>
              <w:rPr>
                <w:iCs/>
                <w:sz w:val="20"/>
              </w:rPr>
            </w:pPr>
            <w:r w:rsidRPr="0013396E">
              <w:rPr>
                <w:i/>
                <w:iCs/>
                <w:sz w:val="20"/>
              </w:rPr>
              <w:t xml:space="preserve">Voltage Support Service VAr Amount per QSE per Resource - </w:t>
            </w:r>
            <w:r w:rsidRPr="0013396E">
              <w:rPr>
                <w:iCs/>
                <w:sz w:val="20"/>
              </w:rPr>
              <w:t xml:space="preserve">The payment to QSE </w:t>
            </w:r>
            <w:r w:rsidRPr="0013396E">
              <w:rPr>
                <w:i/>
                <w:iCs/>
                <w:sz w:val="20"/>
              </w:rPr>
              <w:t>q</w:t>
            </w:r>
            <w:r w:rsidRPr="0013396E">
              <w:rPr>
                <w:iCs/>
                <w:sz w:val="20"/>
              </w:rPr>
              <w:t xml:space="preserve"> for the VSS provided by Resource </w:t>
            </w:r>
            <w:r w:rsidRPr="0013396E">
              <w:rPr>
                <w:i/>
                <w:iCs/>
                <w:sz w:val="20"/>
              </w:rPr>
              <w:t>r</w:t>
            </w:r>
            <w:r w:rsidRPr="0013396E">
              <w:rPr>
                <w:iCs/>
                <w:sz w:val="20"/>
              </w:rPr>
              <w:t xml:space="preserve">, for the 15-minute Settlement Interval.  Where for a combined cycle resource, </w:t>
            </w:r>
            <w:r w:rsidRPr="0013396E">
              <w:rPr>
                <w:i/>
                <w:iCs/>
                <w:sz w:val="20"/>
              </w:rPr>
              <w:t>r</w:t>
            </w:r>
            <w:r w:rsidRPr="0013396E">
              <w:rPr>
                <w:iCs/>
                <w:sz w:val="20"/>
              </w:rPr>
              <w:t xml:space="preserve"> is a Combined Cycle Train.</w:t>
            </w:r>
          </w:p>
        </w:tc>
      </w:tr>
      <w:tr w:rsidR="00C236A2" w:rsidRPr="0013396E" w14:paraId="795F8A5C" w14:textId="77777777" w:rsidTr="0099759E">
        <w:trPr>
          <w:cantSplit/>
        </w:trPr>
        <w:tc>
          <w:tcPr>
            <w:tcW w:w="1016" w:type="pct"/>
            <w:tcBorders>
              <w:top w:val="single" w:sz="4" w:space="0" w:color="auto"/>
              <w:left w:val="single" w:sz="4" w:space="0" w:color="auto"/>
              <w:bottom w:val="single" w:sz="4" w:space="0" w:color="auto"/>
              <w:right w:val="single" w:sz="4" w:space="0" w:color="auto"/>
            </w:tcBorders>
            <w:hideMark/>
          </w:tcPr>
          <w:p w14:paraId="0242D675" w14:textId="77777777" w:rsidR="00C236A2" w:rsidRPr="0013396E" w:rsidRDefault="00C236A2" w:rsidP="0099759E">
            <w:pPr>
              <w:spacing w:after="60"/>
              <w:rPr>
                <w:iCs/>
                <w:sz w:val="20"/>
              </w:rPr>
            </w:pPr>
            <w:r w:rsidRPr="0013396E">
              <w:rPr>
                <w:iCs/>
                <w:sz w:val="20"/>
              </w:rPr>
              <w:t>VSSVARPR</w:t>
            </w:r>
          </w:p>
        </w:tc>
        <w:tc>
          <w:tcPr>
            <w:tcW w:w="618" w:type="pct"/>
            <w:tcBorders>
              <w:top w:val="single" w:sz="4" w:space="0" w:color="auto"/>
              <w:left w:val="single" w:sz="4" w:space="0" w:color="auto"/>
              <w:bottom w:val="single" w:sz="4" w:space="0" w:color="auto"/>
              <w:right w:val="single" w:sz="4" w:space="0" w:color="auto"/>
            </w:tcBorders>
            <w:hideMark/>
          </w:tcPr>
          <w:p w14:paraId="592A06B7" w14:textId="77777777" w:rsidR="00C236A2" w:rsidRPr="0013396E" w:rsidRDefault="00C236A2" w:rsidP="0099759E">
            <w:pPr>
              <w:spacing w:after="60"/>
              <w:rPr>
                <w:i/>
                <w:iCs/>
                <w:sz w:val="20"/>
              </w:rPr>
            </w:pPr>
            <w:r w:rsidRPr="0013396E">
              <w:rPr>
                <w:iCs/>
                <w:sz w:val="20"/>
              </w:rPr>
              <w:t>$/MVArh</w:t>
            </w:r>
          </w:p>
        </w:tc>
        <w:tc>
          <w:tcPr>
            <w:tcW w:w="3366" w:type="pct"/>
            <w:tcBorders>
              <w:top w:val="single" w:sz="4" w:space="0" w:color="auto"/>
              <w:left w:val="single" w:sz="4" w:space="0" w:color="auto"/>
              <w:bottom w:val="single" w:sz="4" w:space="0" w:color="auto"/>
              <w:right w:val="single" w:sz="4" w:space="0" w:color="auto"/>
            </w:tcBorders>
            <w:hideMark/>
          </w:tcPr>
          <w:p w14:paraId="3C508DDF" w14:textId="77777777" w:rsidR="00C236A2" w:rsidRPr="0013396E" w:rsidRDefault="00C236A2" w:rsidP="0099759E">
            <w:pPr>
              <w:spacing w:after="60"/>
              <w:rPr>
                <w:iCs/>
                <w:sz w:val="20"/>
              </w:rPr>
            </w:pPr>
            <w:r w:rsidRPr="0013396E">
              <w:rPr>
                <w:i/>
                <w:iCs/>
                <w:sz w:val="20"/>
              </w:rPr>
              <w:t xml:space="preserve">Voltage Support Service VAr Price - </w:t>
            </w:r>
            <w:r w:rsidRPr="0013396E">
              <w:rPr>
                <w:iCs/>
                <w:sz w:val="20"/>
              </w:rPr>
              <w:t>The price for instructed MVAr beyond a Resource’s URL currently is $2.65/MVArh (based on $50.00/installed kVAr).</w:t>
            </w:r>
          </w:p>
        </w:tc>
      </w:tr>
      <w:tr w:rsidR="00C236A2" w:rsidRPr="0013396E" w14:paraId="7C5FAC2F" w14:textId="77777777" w:rsidTr="0099759E">
        <w:trPr>
          <w:cantSplit/>
        </w:trPr>
        <w:tc>
          <w:tcPr>
            <w:tcW w:w="1016" w:type="pct"/>
            <w:tcBorders>
              <w:top w:val="single" w:sz="4" w:space="0" w:color="auto"/>
              <w:left w:val="single" w:sz="4" w:space="0" w:color="auto"/>
              <w:bottom w:val="single" w:sz="4" w:space="0" w:color="auto"/>
              <w:right w:val="single" w:sz="4" w:space="0" w:color="auto"/>
            </w:tcBorders>
            <w:hideMark/>
          </w:tcPr>
          <w:p w14:paraId="614BF045" w14:textId="77777777" w:rsidR="00C236A2" w:rsidRPr="0013396E" w:rsidRDefault="00C236A2" w:rsidP="0099759E">
            <w:pPr>
              <w:spacing w:after="60"/>
              <w:rPr>
                <w:iCs/>
                <w:sz w:val="20"/>
              </w:rPr>
            </w:pPr>
            <w:r w:rsidRPr="0013396E">
              <w:rPr>
                <w:iCs/>
                <w:sz w:val="20"/>
              </w:rPr>
              <w:t xml:space="preserve">VSSVARLAG </w:t>
            </w:r>
            <w:r w:rsidRPr="0013396E">
              <w:rPr>
                <w:i/>
                <w:iCs/>
                <w:sz w:val="20"/>
                <w:vertAlign w:val="subscript"/>
              </w:rPr>
              <w:t>q, r</w:t>
            </w:r>
          </w:p>
        </w:tc>
        <w:tc>
          <w:tcPr>
            <w:tcW w:w="618" w:type="pct"/>
            <w:tcBorders>
              <w:top w:val="single" w:sz="4" w:space="0" w:color="auto"/>
              <w:left w:val="single" w:sz="4" w:space="0" w:color="auto"/>
              <w:bottom w:val="single" w:sz="4" w:space="0" w:color="auto"/>
              <w:right w:val="single" w:sz="4" w:space="0" w:color="auto"/>
            </w:tcBorders>
            <w:hideMark/>
          </w:tcPr>
          <w:p w14:paraId="394D62DB" w14:textId="77777777" w:rsidR="00C236A2" w:rsidRPr="0013396E" w:rsidRDefault="00C236A2" w:rsidP="0099759E">
            <w:pPr>
              <w:spacing w:after="60"/>
              <w:rPr>
                <w:iCs/>
                <w:sz w:val="20"/>
              </w:rPr>
            </w:pPr>
            <w:r w:rsidRPr="0013396E">
              <w:rPr>
                <w:iCs/>
                <w:sz w:val="20"/>
              </w:rPr>
              <w:t>MVArh</w:t>
            </w:r>
          </w:p>
        </w:tc>
        <w:tc>
          <w:tcPr>
            <w:tcW w:w="3366" w:type="pct"/>
            <w:tcBorders>
              <w:top w:val="single" w:sz="4" w:space="0" w:color="auto"/>
              <w:left w:val="single" w:sz="4" w:space="0" w:color="auto"/>
              <w:bottom w:val="single" w:sz="4" w:space="0" w:color="auto"/>
              <w:right w:val="single" w:sz="4" w:space="0" w:color="auto"/>
            </w:tcBorders>
            <w:hideMark/>
          </w:tcPr>
          <w:p w14:paraId="68D63297" w14:textId="77777777" w:rsidR="00C236A2" w:rsidRPr="0013396E" w:rsidRDefault="00C236A2" w:rsidP="0099759E">
            <w:pPr>
              <w:spacing w:after="60"/>
              <w:rPr>
                <w:iCs/>
                <w:sz w:val="20"/>
              </w:rPr>
            </w:pPr>
            <w:r w:rsidRPr="0013396E">
              <w:rPr>
                <w:i/>
                <w:iCs/>
                <w:sz w:val="20"/>
              </w:rPr>
              <w:t xml:space="preserve">Voltage Support Service VAr Lagging per QSE per Resource - </w:t>
            </w:r>
            <w:r w:rsidRPr="0013396E">
              <w:rPr>
                <w:iCs/>
                <w:sz w:val="20"/>
              </w:rPr>
              <w:t xml:space="preserve">The instructed portion of the Reactive Power above the Resource’s lagging URL for Resource </w:t>
            </w:r>
            <w:r w:rsidRPr="0013396E">
              <w:rPr>
                <w:i/>
                <w:iCs/>
                <w:sz w:val="20"/>
              </w:rPr>
              <w:t>r</w:t>
            </w:r>
            <w:r w:rsidRPr="0013396E">
              <w:rPr>
                <w:iCs/>
                <w:sz w:val="20"/>
              </w:rPr>
              <w:t xml:space="preserve"> represented by QSE </w:t>
            </w:r>
            <w:r w:rsidRPr="0013396E">
              <w:rPr>
                <w:i/>
                <w:iCs/>
                <w:sz w:val="20"/>
              </w:rPr>
              <w:t>q</w:t>
            </w:r>
            <w:r w:rsidRPr="0013396E">
              <w:rPr>
                <w:iCs/>
                <w:sz w:val="20"/>
              </w:rPr>
              <w:t xml:space="preserve">, for the 15-minute Settlement Interval.  Where for a combined cycle resource, </w:t>
            </w:r>
            <w:r w:rsidRPr="0013396E">
              <w:rPr>
                <w:i/>
                <w:iCs/>
                <w:sz w:val="20"/>
              </w:rPr>
              <w:t>r</w:t>
            </w:r>
            <w:r w:rsidRPr="0013396E">
              <w:rPr>
                <w:iCs/>
                <w:sz w:val="20"/>
              </w:rPr>
              <w:t xml:space="preserve"> is a Combined Cycle Train.</w:t>
            </w:r>
          </w:p>
        </w:tc>
      </w:tr>
      <w:tr w:rsidR="00C236A2" w:rsidRPr="0013396E" w14:paraId="38513692" w14:textId="77777777" w:rsidTr="0099759E">
        <w:trPr>
          <w:cantSplit/>
        </w:trPr>
        <w:tc>
          <w:tcPr>
            <w:tcW w:w="1016" w:type="pct"/>
            <w:tcBorders>
              <w:top w:val="single" w:sz="4" w:space="0" w:color="auto"/>
              <w:left w:val="single" w:sz="4" w:space="0" w:color="auto"/>
              <w:bottom w:val="single" w:sz="4" w:space="0" w:color="auto"/>
              <w:right w:val="single" w:sz="4" w:space="0" w:color="auto"/>
            </w:tcBorders>
            <w:hideMark/>
          </w:tcPr>
          <w:p w14:paraId="7D5D8566" w14:textId="77777777" w:rsidR="00C236A2" w:rsidRPr="0013396E" w:rsidRDefault="00C236A2" w:rsidP="0099759E">
            <w:pPr>
              <w:spacing w:after="60"/>
              <w:rPr>
                <w:iCs/>
                <w:sz w:val="20"/>
              </w:rPr>
            </w:pPr>
            <w:r w:rsidRPr="0013396E">
              <w:rPr>
                <w:iCs/>
                <w:sz w:val="20"/>
              </w:rPr>
              <w:t xml:space="preserve">VSSVARLEAD </w:t>
            </w:r>
            <w:r w:rsidRPr="0013396E">
              <w:rPr>
                <w:i/>
                <w:iCs/>
                <w:sz w:val="20"/>
                <w:vertAlign w:val="subscript"/>
              </w:rPr>
              <w:t>q, r</w:t>
            </w:r>
          </w:p>
        </w:tc>
        <w:tc>
          <w:tcPr>
            <w:tcW w:w="618" w:type="pct"/>
            <w:tcBorders>
              <w:top w:val="single" w:sz="4" w:space="0" w:color="auto"/>
              <w:left w:val="single" w:sz="4" w:space="0" w:color="auto"/>
              <w:bottom w:val="single" w:sz="4" w:space="0" w:color="auto"/>
              <w:right w:val="single" w:sz="4" w:space="0" w:color="auto"/>
            </w:tcBorders>
            <w:hideMark/>
          </w:tcPr>
          <w:p w14:paraId="07D3A3DA" w14:textId="77777777" w:rsidR="00C236A2" w:rsidRPr="0013396E" w:rsidRDefault="00C236A2" w:rsidP="0099759E">
            <w:pPr>
              <w:spacing w:after="60"/>
              <w:rPr>
                <w:iCs/>
                <w:sz w:val="20"/>
              </w:rPr>
            </w:pPr>
            <w:r w:rsidRPr="0013396E">
              <w:rPr>
                <w:iCs/>
                <w:sz w:val="20"/>
              </w:rPr>
              <w:t>MVArh</w:t>
            </w:r>
          </w:p>
        </w:tc>
        <w:tc>
          <w:tcPr>
            <w:tcW w:w="3366" w:type="pct"/>
            <w:tcBorders>
              <w:top w:val="single" w:sz="4" w:space="0" w:color="auto"/>
              <w:left w:val="single" w:sz="4" w:space="0" w:color="auto"/>
              <w:bottom w:val="single" w:sz="4" w:space="0" w:color="auto"/>
              <w:right w:val="single" w:sz="4" w:space="0" w:color="auto"/>
            </w:tcBorders>
            <w:hideMark/>
          </w:tcPr>
          <w:p w14:paraId="5D41972B" w14:textId="77777777" w:rsidR="00C236A2" w:rsidRPr="0013396E" w:rsidRDefault="00C236A2" w:rsidP="0099759E">
            <w:pPr>
              <w:spacing w:after="60"/>
              <w:rPr>
                <w:iCs/>
                <w:sz w:val="20"/>
              </w:rPr>
            </w:pPr>
            <w:r w:rsidRPr="0013396E">
              <w:rPr>
                <w:i/>
                <w:iCs/>
                <w:sz w:val="20"/>
              </w:rPr>
              <w:t>Voltage Support Service VAr Leading per QSE per Resource</w:t>
            </w:r>
            <w:r w:rsidRPr="0013396E">
              <w:rPr>
                <w:iCs/>
                <w:sz w:val="20"/>
              </w:rPr>
              <w:t xml:space="preserve"> - The instructed portion of the Reactive Power below the Resource’s leading URL for Resource </w:t>
            </w:r>
            <w:r w:rsidRPr="0013396E">
              <w:rPr>
                <w:i/>
                <w:iCs/>
                <w:sz w:val="20"/>
              </w:rPr>
              <w:t>r</w:t>
            </w:r>
            <w:r w:rsidRPr="0013396E">
              <w:rPr>
                <w:iCs/>
                <w:sz w:val="20"/>
              </w:rPr>
              <w:t xml:space="preserve"> represented by QSE </w:t>
            </w:r>
            <w:r w:rsidRPr="0013396E">
              <w:rPr>
                <w:i/>
                <w:iCs/>
                <w:sz w:val="20"/>
              </w:rPr>
              <w:t>q</w:t>
            </w:r>
            <w:r w:rsidRPr="0013396E">
              <w:rPr>
                <w:iCs/>
                <w:sz w:val="20"/>
              </w:rPr>
              <w:t xml:space="preserve">, for the 15-minute Settlement Interval.  Where for a combined cycle resource, </w:t>
            </w:r>
            <w:r w:rsidRPr="0013396E">
              <w:rPr>
                <w:i/>
                <w:iCs/>
                <w:sz w:val="20"/>
              </w:rPr>
              <w:t>r</w:t>
            </w:r>
            <w:r w:rsidRPr="0013396E">
              <w:rPr>
                <w:iCs/>
                <w:sz w:val="20"/>
              </w:rPr>
              <w:t xml:space="preserve"> is a Combined Cycle Train.</w:t>
            </w:r>
          </w:p>
        </w:tc>
      </w:tr>
      <w:tr w:rsidR="00C236A2" w:rsidRPr="0013396E" w14:paraId="6BE30F5E" w14:textId="77777777" w:rsidTr="0099759E">
        <w:trPr>
          <w:cantSplit/>
        </w:trPr>
        <w:tc>
          <w:tcPr>
            <w:tcW w:w="1016" w:type="pct"/>
            <w:tcBorders>
              <w:top w:val="single" w:sz="4" w:space="0" w:color="auto"/>
              <w:left w:val="single" w:sz="4" w:space="0" w:color="auto"/>
              <w:bottom w:val="single" w:sz="4" w:space="0" w:color="auto"/>
              <w:right w:val="single" w:sz="4" w:space="0" w:color="auto"/>
            </w:tcBorders>
            <w:hideMark/>
          </w:tcPr>
          <w:p w14:paraId="1EA752BC" w14:textId="77777777" w:rsidR="00C236A2" w:rsidRPr="0013396E" w:rsidRDefault="00C236A2" w:rsidP="0099759E">
            <w:pPr>
              <w:spacing w:after="60"/>
              <w:rPr>
                <w:iCs/>
                <w:sz w:val="20"/>
              </w:rPr>
            </w:pPr>
            <w:r w:rsidRPr="0013396E">
              <w:rPr>
                <w:iCs/>
                <w:sz w:val="20"/>
              </w:rPr>
              <w:t xml:space="preserve">VSSVARIOL </w:t>
            </w:r>
            <w:r w:rsidRPr="0013396E">
              <w:rPr>
                <w:i/>
                <w:iCs/>
                <w:sz w:val="20"/>
                <w:vertAlign w:val="subscript"/>
              </w:rPr>
              <w:t>q, r</w:t>
            </w:r>
          </w:p>
        </w:tc>
        <w:tc>
          <w:tcPr>
            <w:tcW w:w="618" w:type="pct"/>
            <w:tcBorders>
              <w:top w:val="single" w:sz="4" w:space="0" w:color="auto"/>
              <w:left w:val="single" w:sz="4" w:space="0" w:color="auto"/>
              <w:bottom w:val="single" w:sz="4" w:space="0" w:color="auto"/>
              <w:right w:val="single" w:sz="4" w:space="0" w:color="auto"/>
            </w:tcBorders>
            <w:hideMark/>
          </w:tcPr>
          <w:p w14:paraId="141DCC05" w14:textId="77777777" w:rsidR="00C236A2" w:rsidRPr="0013396E" w:rsidRDefault="00C236A2" w:rsidP="0099759E">
            <w:pPr>
              <w:spacing w:after="60"/>
              <w:rPr>
                <w:iCs/>
                <w:sz w:val="20"/>
              </w:rPr>
            </w:pPr>
            <w:r w:rsidRPr="0013396E">
              <w:rPr>
                <w:iCs/>
                <w:sz w:val="20"/>
              </w:rPr>
              <w:t>MVAr</w:t>
            </w:r>
          </w:p>
        </w:tc>
        <w:tc>
          <w:tcPr>
            <w:tcW w:w="3366" w:type="pct"/>
            <w:tcBorders>
              <w:top w:val="single" w:sz="4" w:space="0" w:color="auto"/>
              <w:left w:val="single" w:sz="4" w:space="0" w:color="auto"/>
              <w:bottom w:val="single" w:sz="4" w:space="0" w:color="auto"/>
              <w:right w:val="single" w:sz="4" w:space="0" w:color="auto"/>
            </w:tcBorders>
            <w:hideMark/>
          </w:tcPr>
          <w:p w14:paraId="56288780" w14:textId="77777777" w:rsidR="00C236A2" w:rsidRPr="0013396E" w:rsidRDefault="00C236A2" w:rsidP="0099759E">
            <w:pPr>
              <w:spacing w:after="60"/>
              <w:rPr>
                <w:iCs/>
                <w:sz w:val="20"/>
              </w:rPr>
            </w:pPr>
            <w:r w:rsidRPr="0013396E">
              <w:rPr>
                <w:i/>
                <w:iCs/>
                <w:sz w:val="20"/>
              </w:rPr>
              <w:t>Voltage Support Service VAr Instructed Output Level per QSE per Resource</w:t>
            </w:r>
            <w:r w:rsidRPr="0013396E">
              <w:rPr>
                <w:iCs/>
                <w:sz w:val="20"/>
              </w:rPr>
              <w:t xml:space="preserve">—The instructed Reactive Power output level of Resource </w:t>
            </w:r>
            <w:r w:rsidRPr="0013396E">
              <w:rPr>
                <w:i/>
                <w:iCs/>
                <w:sz w:val="20"/>
              </w:rPr>
              <w:t>r</w:t>
            </w:r>
            <w:r w:rsidRPr="0013396E">
              <w:rPr>
                <w:iCs/>
                <w:sz w:val="20"/>
              </w:rPr>
              <w:t xml:space="preserve"> represented by QSE </w:t>
            </w:r>
            <w:r w:rsidRPr="0013396E">
              <w:rPr>
                <w:i/>
                <w:iCs/>
                <w:sz w:val="20"/>
              </w:rPr>
              <w:t>q</w:t>
            </w:r>
            <w:r w:rsidRPr="0013396E">
              <w:rPr>
                <w:iCs/>
                <w:sz w:val="20"/>
              </w:rPr>
              <w:t xml:space="preserve">, lagging Reactive Power if positive and leading Reactive Power if negative, for the 15-minute Settlement Interval.  Where for a combined cycle resource, </w:t>
            </w:r>
            <w:r w:rsidRPr="0013396E">
              <w:rPr>
                <w:i/>
                <w:iCs/>
                <w:sz w:val="20"/>
              </w:rPr>
              <w:t>r</w:t>
            </w:r>
            <w:r w:rsidRPr="0013396E">
              <w:rPr>
                <w:iCs/>
                <w:sz w:val="20"/>
              </w:rPr>
              <w:t xml:space="preserve"> is a Combined Cycle Train.</w:t>
            </w:r>
          </w:p>
        </w:tc>
      </w:tr>
      <w:tr w:rsidR="00C236A2" w:rsidRPr="0013396E" w14:paraId="5ED8F899" w14:textId="77777777" w:rsidTr="0099759E">
        <w:trPr>
          <w:cantSplit/>
        </w:trPr>
        <w:tc>
          <w:tcPr>
            <w:tcW w:w="1016" w:type="pct"/>
            <w:tcBorders>
              <w:top w:val="single" w:sz="4" w:space="0" w:color="auto"/>
              <w:left w:val="single" w:sz="4" w:space="0" w:color="auto"/>
              <w:bottom w:val="single" w:sz="4" w:space="0" w:color="auto"/>
              <w:right w:val="single" w:sz="4" w:space="0" w:color="auto"/>
            </w:tcBorders>
            <w:hideMark/>
          </w:tcPr>
          <w:p w14:paraId="00D16923" w14:textId="77777777" w:rsidR="00C236A2" w:rsidRPr="0013396E" w:rsidRDefault="00C236A2" w:rsidP="0099759E">
            <w:pPr>
              <w:spacing w:after="60"/>
              <w:rPr>
                <w:iCs/>
                <w:sz w:val="20"/>
              </w:rPr>
            </w:pPr>
            <w:r w:rsidRPr="0013396E">
              <w:rPr>
                <w:iCs/>
                <w:sz w:val="20"/>
              </w:rPr>
              <w:lastRenderedPageBreak/>
              <w:t xml:space="preserve">RTVAR </w:t>
            </w:r>
            <w:r w:rsidRPr="0013396E">
              <w:rPr>
                <w:i/>
                <w:iCs/>
                <w:sz w:val="20"/>
                <w:vertAlign w:val="subscript"/>
              </w:rPr>
              <w:t>q, r</w:t>
            </w:r>
          </w:p>
        </w:tc>
        <w:tc>
          <w:tcPr>
            <w:tcW w:w="618" w:type="pct"/>
            <w:tcBorders>
              <w:top w:val="single" w:sz="4" w:space="0" w:color="auto"/>
              <w:left w:val="single" w:sz="4" w:space="0" w:color="auto"/>
              <w:bottom w:val="single" w:sz="4" w:space="0" w:color="auto"/>
              <w:right w:val="single" w:sz="4" w:space="0" w:color="auto"/>
            </w:tcBorders>
            <w:hideMark/>
          </w:tcPr>
          <w:p w14:paraId="7CBB0B0C" w14:textId="77777777" w:rsidR="00C236A2" w:rsidRPr="0013396E" w:rsidRDefault="00C236A2" w:rsidP="0099759E">
            <w:pPr>
              <w:spacing w:after="60"/>
              <w:rPr>
                <w:iCs/>
                <w:sz w:val="20"/>
              </w:rPr>
            </w:pPr>
            <w:r w:rsidRPr="0013396E">
              <w:rPr>
                <w:iCs/>
                <w:sz w:val="20"/>
              </w:rPr>
              <w:t>MVArh</w:t>
            </w:r>
          </w:p>
        </w:tc>
        <w:tc>
          <w:tcPr>
            <w:tcW w:w="3366" w:type="pct"/>
            <w:tcBorders>
              <w:top w:val="single" w:sz="4" w:space="0" w:color="auto"/>
              <w:left w:val="single" w:sz="4" w:space="0" w:color="auto"/>
              <w:bottom w:val="single" w:sz="4" w:space="0" w:color="auto"/>
              <w:right w:val="single" w:sz="4" w:space="0" w:color="auto"/>
            </w:tcBorders>
            <w:hideMark/>
          </w:tcPr>
          <w:p w14:paraId="2EA3D96D" w14:textId="77777777" w:rsidR="00C236A2" w:rsidRPr="0013396E" w:rsidRDefault="00C236A2" w:rsidP="0099759E">
            <w:pPr>
              <w:spacing w:after="60"/>
              <w:rPr>
                <w:iCs/>
                <w:sz w:val="20"/>
              </w:rPr>
            </w:pPr>
            <w:r w:rsidRPr="0013396E">
              <w:rPr>
                <w:i/>
                <w:iCs/>
                <w:sz w:val="20"/>
              </w:rPr>
              <w:t>Real-Time VAr per QSE per Resource</w:t>
            </w:r>
            <w:r w:rsidRPr="0013396E">
              <w:rPr>
                <w:iCs/>
                <w:sz w:val="20"/>
              </w:rPr>
              <w:t xml:space="preserve">—The netted Reactive Energy measured for Resource </w:t>
            </w:r>
            <w:r w:rsidRPr="0013396E">
              <w:rPr>
                <w:i/>
                <w:iCs/>
                <w:sz w:val="20"/>
              </w:rPr>
              <w:t>r</w:t>
            </w:r>
            <w:r w:rsidRPr="0013396E">
              <w:rPr>
                <w:iCs/>
                <w:sz w:val="20"/>
              </w:rPr>
              <w:t xml:space="preserve"> represented by QSE </w:t>
            </w:r>
            <w:r w:rsidRPr="0013396E">
              <w:rPr>
                <w:i/>
                <w:iCs/>
                <w:sz w:val="20"/>
              </w:rPr>
              <w:t>q</w:t>
            </w:r>
            <w:r w:rsidRPr="0013396E">
              <w:rPr>
                <w:iCs/>
                <w:sz w:val="20"/>
              </w:rPr>
              <w:t xml:space="preserve">, for the 15-minute Settlement Interval.  Where for a combined cycle resource, </w:t>
            </w:r>
            <w:r w:rsidRPr="0013396E">
              <w:rPr>
                <w:i/>
                <w:iCs/>
                <w:sz w:val="20"/>
              </w:rPr>
              <w:t>r</w:t>
            </w:r>
            <w:r w:rsidRPr="0013396E">
              <w:rPr>
                <w:iCs/>
                <w:sz w:val="20"/>
              </w:rPr>
              <w:t xml:space="preserve"> is a Combined Cycle Train.</w:t>
            </w:r>
          </w:p>
        </w:tc>
      </w:tr>
      <w:tr w:rsidR="00C236A2" w:rsidRPr="0013396E" w14:paraId="0F0511FD" w14:textId="77777777" w:rsidTr="0099759E">
        <w:trPr>
          <w:cantSplit/>
        </w:trPr>
        <w:tc>
          <w:tcPr>
            <w:tcW w:w="1016" w:type="pct"/>
            <w:tcBorders>
              <w:top w:val="single" w:sz="4" w:space="0" w:color="auto"/>
              <w:left w:val="single" w:sz="4" w:space="0" w:color="auto"/>
              <w:bottom w:val="single" w:sz="4" w:space="0" w:color="auto"/>
              <w:right w:val="single" w:sz="4" w:space="0" w:color="auto"/>
            </w:tcBorders>
            <w:hideMark/>
          </w:tcPr>
          <w:p w14:paraId="44C5E2CB" w14:textId="77777777" w:rsidR="00C236A2" w:rsidRPr="0013396E" w:rsidRDefault="00C236A2" w:rsidP="0099759E">
            <w:pPr>
              <w:spacing w:after="60"/>
              <w:rPr>
                <w:iCs/>
                <w:sz w:val="20"/>
              </w:rPr>
            </w:pPr>
            <w:r w:rsidRPr="0013396E">
              <w:rPr>
                <w:iCs/>
                <w:sz w:val="20"/>
              </w:rPr>
              <w:t xml:space="preserve">URLLAG </w:t>
            </w:r>
            <w:r w:rsidRPr="0013396E">
              <w:rPr>
                <w:i/>
                <w:iCs/>
                <w:sz w:val="20"/>
                <w:vertAlign w:val="subscript"/>
              </w:rPr>
              <w:t>q, r</w:t>
            </w:r>
          </w:p>
        </w:tc>
        <w:tc>
          <w:tcPr>
            <w:tcW w:w="618" w:type="pct"/>
            <w:tcBorders>
              <w:top w:val="single" w:sz="4" w:space="0" w:color="auto"/>
              <w:left w:val="single" w:sz="4" w:space="0" w:color="auto"/>
              <w:bottom w:val="single" w:sz="4" w:space="0" w:color="auto"/>
              <w:right w:val="single" w:sz="4" w:space="0" w:color="auto"/>
            </w:tcBorders>
            <w:hideMark/>
          </w:tcPr>
          <w:p w14:paraId="769A5E15" w14:textId="77777777" w:rsidR="00C236A2" w:rsidRPr="0013396E" w:rsidRDefault="00C236A2" w:rsidP="0099759E">
            <w:pPr>
              <w:spacing w:after="60"/>
              <w:rPr>
                <w:iCs/>
                <w:sz w:val="20"/>
              </w:rPr>
            </w:pPr>
            <w:r w:rsidRPr="0013396E">
              <w:rPr>
                <w:iCs/>
                <w:sz w:val="20"/>
              </w:rPr>
              <w:t>MVAr</w:t>
            </w:r>
          </w:p>
        </w:tc>
        <w:tc>
          <w:tcPr>
            <w:tcW w:w="3366" w:type="pct"/>
            <w:tcBorders>
              <w:top w:val="single" w:sz="4" w:space="0" w:color="auto"/>
              <w:left w:val="single" w:sz="4" w:space="0" w:color="auto"/>
              <w:bottom w:val="single" w:sz="4" w:space="0" w:color="auto"/>
              <w:right w:val="single" w:sz="4" w:space="0" w:color="auto"/>
            </w:tcBorders>
            <w:hideMark/>
          </w:tcPr>
          <w:p w14:paraId="1B1851C1" w14:textId="77777777" w:rsidR="00C236A2" w:rsidRPr="0013396E" w:rsidRDefault="00C236A2" w:rsidP="0099759E">
            <w:pPr>
              <w:spacing w:after="60"/>
              <w:rPr>
                <w:iCs/>
                <w:sz w:val="20"/>
              </w:rPr>
            </w:pPr>
            <w:r w:rsidRPr="0013396E">
              <w:rPr>
                <w:i/>
                <w:iCs/>
                <w:sz w:val="20"/>
              </w:rPr>
              <w:t>Unit Reactive Limit Lagging per QSE per Resource</w:t>
            </w:r>
            <w:r w:rsidRPr="0013396E">
              <w:rPr>
                <w:iCs/>
                <w:sz w:val="20"/>
              </w:rPr>
              <w:t xml:space="preserve">—The URL for lagging Reactive Power of the Resource </w:t>
            </w:r>
            <w:r w:rsidRPr="0013396E">
              <w:rPr>
                <w:i/>
                <w:iCs/>
                <w:sz w:val="20"/>
              </w:rPr>
              <w:t>r</w:t>
            </w:r>
            <w:r w:rsidRPr="0013396E">
              <w:rPr>
                <w:iCs/>
                <w:sz w:val="20"/>
              </w:rPr>
              <w:t xml:space="preserve"> represented by QSE </w:t>
            </w:r>
            <w:r w:rsidRPr="0013396E">
              <w:rPr>
                <w:i/>
                <w:iCs/>
                <w:sz w:val="20"/>
              </w:rPr>
              <w:t>q</w:t>
            </w:r>
            <w:r w:rsidRPr="0013396E">
              <w:rPr>
                <w:iCs/>
                <w:sz w:val="20"/>
              </w:rPr>
              <w:t xml:space="preserve"> as determined in accordance with these Protocols.  Its value is positive.  Where for a combined cycle resource, </w:t>
            </w:r>
            <w:r w:rsidRPr="0013396E">
              <w:rPr>
                <w:i/>
                <w:iCs/>
                <w:sz w:val="20"/>
              </w:rPr>
              <w:t>r</w:t>
            </w:r>
            <w:r w:rsidRPr="0013396E">
              <w:rPr>
                <w:iCs/>
                <w:sz w:val="20"/>
              </w:rPr>
              <w:t xml:space="preserve"> is a Combined Cycle Train.</w:t>
            </w:r>
          </w:p>
        </w:tc>
      </w:tr>
      <w:tr w:rsidR="00C236A2" w:rsidRPr="0013396E" w14:paraId="4F20E98B" w14:textId="77777777" w:rsidTr="0099759E">
        <w:trPr>
          <w:cantSplit/>
        </w:trPr>
        <w:tc>
          <w:tcPr>
            <w:tcW w:w="1016" w:type="pct"/>
            <w:tcBorders>
              <w:top w:val="single" w:sz="4" w:space="0" w:color="auto"/>
              <w:left w:val="single" w:sz="4" w:space="0" w:color="auto"/>
              <w:bottom w:val="single" w:sz="4" w:space="0" w:color="auto"/>
              <w:right w:val="single" w:sz="4" w:space="0" w:color="auto"/>
            </w:tcBorders>
            <w:hideMark/>
          </w:tcPr>
          <w:p w14:paraId="508FC537" w14:textId="77777777" w:rsidR="00C236A2" w:rsidRPr="0013396E" w:rsidRDefault="00C236A2" w:rsidP="0099759E">
            <w:pPr>
              <w:spacing w:after="60"/>
              <w:rPr>
                <w:iCs/>
                <w:sz w:val="20"/>
              </w:rPr>
            </w:pPr>
            <w:r w:rsidRPr="0013396E">
              <w:rPr>
                <w:iCs/>
                <w:sz w:val="20"/>
              </w:rPr>
              <w:t xml:space="preserve">URLLEAD </w:t>
            </w:r>
            <w:r w:rsidRPr="0013396E">
              <w:rPr>
                <w:i/>
                <w:iCs/>
                <w:sz w:val="20"/>
                <w:vertAlign w:val="subscript"/>
              </w:rPr>
              <w:t>q, r</w:t>
            </w:r>
          </w:p>
        </w:tc>
        <w:tc>
          <w:tcPr>
            <w:tcW w:w="618" w:type="pct"/>
            <w:tcBorders>
              <w:top w:val="single" w:sz="4" w:space="0" w:color="auto"/>
              <w:left w:val="single" w:sz="4" w:space="0" w:color="auto"/>
              <w:bottom w:val="single" w:sz="4" w:space="0" w:color="auto"/>
              <w:right w:val="single" w:sz="4" w:space="0" w:color="auto"/>
            </w:tcBorders>
            <w:hideMark/>
          </w:tcPr>
          <w:p w14:paraId="368DB290" w14:textId="77777777" w:rsidR="00C236A2" w:rsidRPr="0013396E" w:rsidRDefault="00C236A2" w:rsidP="0099759E">
            <w:pPr>
              <w:spacing w:after="60"/>
              <w:rPr>
                <w:iCs/>
                <w:sz w:val="20"/>
              </w:rPr>
            </w:pPr>
            <w:r w:rsidRPr="0013396E">
              <w:rPr>
                <w:iCs/>
                <w:sz w:val="20"/>
              </w:rPr>
              <w:t>MVAr</w:t>
            </w:r>
          </w:p>
        </w:tc>
        <w:tc>
          <w:tcPr>
            <w:tcW w:w="3366" w:type="pct"/>
            <w:tcBorders>
              <w:top w:val="single" w:sz="4" w:space="0" w:color="auto"/>
              <w:left w:val="single" w:sz="4" w:space="0" w:color="auto"/>
              <w:bottom w:val="single" w:sz="4" w:space="0" w:color="auto"/>
              <w:right w:val="single" w:sz="4" w:space="0" w:color="auto"/>
            </w:tcBorders>
            <w:hideMark/>
          </w:tcPr>
          <w:p w14:paraId="75080125" w14:textId="77777777" w:rsidR="00C236A2" w:rsidRPr="0013396E" w:rsidRDefault="00C236A2" w:rsidP="0099759E">
            <w:pPr>
              <w:spacing w:after="60"/>
              <w:rPr>
                <w:iCs/>
                <w:sz w:val="20"/>
              </w:rPr>
            </w:pPr>
            <w:r w:rsidRPr="0013396E">
              <w:rPr>
                <w:i/>
                <w:iCs/>
                <w:sz w:val="20"/>
              </w:rPr>
              <w:t>Unit Reactive Limit Leading per QSE per Resource</w:t>
            </w:r>
            <w:r w:rsidRPr="0013396E">
              <w:rPr>
                <w:iCs/>
                <w:sz w:val="20"/>
              </w:rPr>
              <w:t xml:space="preserve">—The URL for leading Reactive Power of the Resource </w:t>
            </w:r>
            <w:r w:rsidRPr="0013396E">
              <w:rPr>
                <w:i/>
                <w:iCs/>
                <w:sz w:val="20"/>
              </w:rPr>
              <w:t>r</w:t>
            </w:r>
            <w:r w:rsidRPr="0013396E">
              <w:rPr>
                <w:iCs/>
                <w:sz w:val="20"/>
              </w:rPr>
              <w:t xml:space="preserve"> represented by QSE </w:t>
            </w:r>
            <w:r w:rsidRPr="0013396E">
              <w:rPr>
                <w:i/>
                <w:iCs/>
                <w:sz w:val="20"/>
              </w:rPr>
              <w:t>q</w:t>
            </w:r>
            <w:r w:rsidRPr="0013396E">
              <w:rPr>
                <w:iCs/>
                <w:sz w:val="20"/>
              </w:rPr>
              <w:t xml:space="preserve"> as determined in accordance with these Protocols.  Its value is negative.  Where for a combined cycle resource, </w:t>
            </w:r>
            <w:r w:rsidRPr="0013396E">
              <w:rPr>
                <w:i/>
                <w:iCs/>
                <w:sz w:val="20"/>
              </w:rPr>
              <w:t>r</w:t>
            </w:r>
            <w:r w:rsidRPr="0013396E">
              <w:rPr>
                <w:iCs/>
                <w:sz w:val="20"/>
              </w:rPr>
              <w:t xml:space="preserve"> is a Combined Cycle Train.</w:t>
            </w:r>
          </w:p>
        </w:tc>
      </w:tr>
      <w:tr w:rsidR="00C236A2" w:rsidRPr="0013396E" w14:paraId="29C3090A" w14:textId="77777777" w:rsidTr="0099759E">
        <w:trPr>
          <w:cantSplit/>
        </w:trPr>
        <w:tc>
          <w:tcPr>
            <w:tcW w:w="1016" w:type="pct"/>
            <w:tcBorders>
              <w:top w:val="single" w:sz="4" w:space="0" w:color="auto"/>
              <w:left w:val="single" w:sz="4" w:space="0" w:color="auto"/>
              <w:bottom w:val="single" w:sz="4" w:space="0" w:color="auto"/>
              <w:right w:val="single" w:sz="4" w:space="0" w:color="auto"/>
            </w:tcBorders>
            <w:hideMark/>
          </w:tcPr>
          <w:p w14:paraId="3CAC5223" w14:textId="77777777" w:rsidR="00C236A2" w:rsidRPr="0013396E" w:rsidRDefault="00C236A2" w:rsidP="0099759E">
            <w:pPr>
              <w:spacing w:after="60"/>
              <w:rPr>
                <w:iCs/>
                <w:sz w:val="20"/>
              </w:rPr>
            </w:pPr>
            <w:r w:rsidRPr="0013396E">
              <w:rPr>
                <w:iCs/>
                <w:sz w:val="20"/>
              </w:rPr>
              <w:t xml:space="preserve">HSL </w:t>
            </w:r>
            <w:r w:rsidRPr="0013396E">
              <w:rPr>
                <w:i/>
                <w:iCs/>
                <w:sz w:val="20"/>
                <w:vertAlign w:val="subscript"/>
              </w:rPr>
              <w:t>q, r</w:t>
            </w:r>
          </w:p>
        </w:tc>
        <w:tc>
          <w:tcPr>
            <w:tcW w:w="618" w:type="pct"/>
            <w:tcBorders>
              <w:top w:val="single" w:sz="4" w:space="0" w:color="auto"/>
              <w:left w:val="single" w:sz="4" w:space="0" w:color="auto"/>
              <w:bottom w:val="single" w:sz="4" w:space="0" w:color="auto"/>
              <w:right w:val="single" w:sz="4" w:space="0" w:color="auto"/>
            </w:tcBorders>
            <w:hideMark/>
          </w:tcPr>
          <w:p w14:paraId="39D7DDFC" w14:textId="77777777" w:rsidR="00C236A2" w:rsidRPr="0013396E" w:rsidRDefault="00C236A2" w:rsidP="0099759E">
            <w:pPr>
              <w:spacing w:after="60"/>
              <w:rPr>
                <w:iCs/>
                <w:sz w:val="20"/>
              </w:rPr>
            </w:pPr>
            <w:r w:rsidRPr="0013396E">
              <w:rPr>
                <w:iCs/>
                <w:sz w:val="20"/>
              </w:rPr>
              <w:t>MW</w:t>
            </w:r>
          </w:p>
        </w:tc>
        <w:tc>
          <w:tcPr>
            <w:tcW w:w="3366" w:type="pct"/>
            <w:tcBorders>
              <w:top w:val="single" w:sz="4" w:space="0" w:color="auto"/>
              <w:left w:val="single" w:sz="4" w:space="0" w:color="auto"/>
              <w:bottom w:val="single" w:sz="4" w:space="0" w:color="auto"/>
              <w:right w:val="single" w:sz="4" w:space="0" w:color="auto"/>
            </w:tcBorders>
            <w:hideMark/>
          </w:tcPr>
          <w:p w14:paraId="296BDB26" w14:textId="77777777" w:rsidR="00C236A2" w:rsidRPr="0013396E" w:rsidRDefault="00C236A2" w:rsidP="0099759E">
            <w:pPr>
              <w:spacing w:after="60"/>
              <w:rPr>
                <w:iCs/>
                <w:sz w:val="20"/>
              </w:rPr>
            </w:pPr>
            <w:r w:rsidRPr="0013396E">
              <w:rPr>
                <w:i/>
                <w:iCs/>
                <w:sz w:val="20"/>
              </w:rPr>
              <w:t>High Sustained Limit</w:t>
            </w:r>
            <w:r w:rsidRPr="0013396E">
              <w:rPr>
                <w:iCs/>
                <w:sz w:val="20"/>
              </w:rPr>
              <w:t xml:space="preserve">—The HSL of Resource </w:t>
            </w:r>
            <w:r w:rsidRPr="0013396E">
              <w:rPr>
                <w:i/>
                <w:iCs/>
                <w:sz w:val="20"/>
              </w:rPr>
              <w:t>r</w:t>
            </w:r>
            <w:r w:rsidRPr="0013396E">
              <w:rPr>
                <w:iCs/>
                <w:sz w:val="20"/>
              </w:rPr>
              <w:t xml:space="preserve"> represented by QSE </w:t>
            </w:r>
            <w:r w:rsidRPr="0013396E">
              <w:rPr>
                <w:i/>
                <w:iCs/>
                <w:sz w:val="20"/>
              </w:rPr>
              <w:t>q</w:t>
            </w:r>
            <w:r w:rsidRPr="0013396E">
              <w:rPr>
                <w:iCs/>
                <w:sz w:val="20"/>
              </w:rPr>
              <w:t xml:space="preserve"> as defined in Section 2, Definitions and Acronyms, for the hour that includes the Settlement Interval.  Where for a combined cycle resource, </w:t>
            </w:r>
            <w:r w:rsidRPr="0013396E">
              <w:rPr>
                <w:i/>
                <w:iCs/>
                <w:sz w:val="20"/>
              </w:rPr>
              <w:t>r</w:t>
            </w:r>
            <w:r w:rsidRPr="0013396E">
              <w:rPr>
                <w:iCs/>
                <w:sz w:val="20"/>
              </w:rPr>
              <w:t xml:space="preserve"> is a Combined Cycle Generation Resource.</w:t>
            </w:r>
          </w:p>
        </w:tc>
      </w:tr>
      <w:tr w:rsidR="00C236A2" w:rsidRPr="0013396E" w14:paraId="41CFBEB1" w14:textId="77777777" w:rsidTr="0099759E">
        <w:trPr>
          <w:cantSplit/>
        </w:trPr>
        <w:tc>
          <w:tcPr>
            <w:tcW w:w="1016" w:type="pct"/>
            <w:tcBorders>
              <w:top w:val="single" w:sz="4" w:space="0" w:color="auto"/>
              <w:left w:val="single" w:sz="4" w:space="0" w:color="auto"/>
              <w:bottom w:val="single" w:sz="4" w:space="0" w:color="auto"/>
              <w:right w:val="single" w:sz="4" w:space="0" w:color="auto"/>
            </w:tcBorders>
            <w:hideMark/>
          </w:tcPr>
          <w:p w14:paraId="3A3E7C01" w14:textId="77777777" w:rsidR="00C236A2" w:rsidRPr="0013396E" w:rsidRDefault="00C236A2" w:rsidP="0099759E">
            <w:pPr>
              <w:spacing w:after="60"/>
              <w:rPr>
                <w:iCs/>
                <w:sz w:val="20"/>
              </w:rPr>
            </w:pPr>
            <w:r w:rsidRPr="0013396E">
              <w:rPr>
                <w:iCs/>
                <w:sz w:val="20"/>
              </w:rPr>
              <w:t xml:space="preserve">LSL </w:t>
            </w:r>
            <w:r w:rsidRPr="0013396E">
              <w:rPr>
                <w:i/>
                <w:iCs/>
                <w:sz w:val="20"/>
                <w:vertAlign w:val="subscript"/>
              </w:rPr>
              <w:t>q, r</w:t>
            </w:r>
          </w:p>
        </w:tc>
        <w:tc>
          <w:tcPr>
            <w:tcW w:w="618" w:type="pct"/>
            <w:tcBorders>
              <w:top w:val="single" w:sz="4" w:space="0" w:color="auto"/>
              <w:left w:val="single" w:sz="4" w:space="0" w:color="auto"/>
              <w:bottom w:val="single" w:sz="4" w:space="0" w:color="auto"/>
              <w:right w:val="single" w:sz="4" w:space="0" w:color="auto"/>
            </w:tcBorders>
            <w:hideMark/>
          </w:tcPr>
          <w:p w14:paraId="0A28151F" w14:textId="77777777" w:rsidR="00C236A2" w:rsidRPr="0013396E" w:rsidRDefault="00C236A2" w:rsidP="0099759E">
            <w:pPr>
              <w:spacing w:after="60"/>
              <w:rPr>
                <w:iCs/>
                <w:sz w:val="20"/>
              </w:rPr>
            </w:pPr>
            <w:r w:rsidRPr="0013396E">
              <w:rPr>
                <w:iCs/>
                <w:sz w:val="20"/>
              </w:rPr>
              <w:t>MW</w:t>
            </w:r>
          </w:p>
        </w:tc>
        <w:tc>
          <w:tcPr>
            <w:tcW w:w="3366" w:type="pct"/>
            <w:tcBorders>
              <w:top w:val="single" w:sz="4" w:space="0" w:color="auto"/>
              <w:left w:val="single" w:sz="4" w:space="0" w:color="auto"/>
              <w:bottom w:val="single" w:sz="4" w:space="0" w:color="auto"/>
              <w:right w:val="single" w:sz="4" w:space="0" w:color="auto"/>
            </w:tcBorders>
            <w:hideMark/>
          </w:tcPr>
          <w:p w14:paraId="3EBF092C" w14:textId="77777777" w:rsidR="00C236A2" w:rsidRPr="0013396E" w:rsidRDefault="00C236A2" w:rsidP="0099759E">
            <w:pPr>
              <w:spacing w:after="60"/>
              <w:rPr>
                <w:i/>
                <w:iCs/>
                <w:sz w:val="20"/>
              </w:rPr>
            </w:pPr>
            <w:r w:rsidRPr="0013396E">
              <w:rPr>
                <w:i/>
                <w:iCs/>
                <w:sz w:val="20"/>
              </w:rPr>
              <w:t>Low Sustained Limit</w:t>
            </w:r>
            <w:r w:rsidRPr="0013396E">
              <w:rPr>
                <w:iCs/>
                <w:sz w:val="20"/>
              </w:rPr>
              <w:t xml:space="preserve">—The LSL for Resource </w:t>
            </w:r>
            <w:r w:rsidRPr="0013396E">
              <w:rPr>
                <w:i/>
                <w:iCs/>
                <w:sz w:val="20"/>
              </w:rPr>
              <w:t>r</w:t>
            </w:r>
            <w:r w:rsidRPr="0013396E">
              <w:rPr>
                <w:iCs/>
                <w:sz w:val="20"/>
              </w:rPr>
              <w:t xml:space="preserve"> represented by QSE </w:t>
            </w:r>
            <w:r w:rsidRPr="0013396E">
              <w:rPr>
                <w:i/>
                <w:iCs/>
                <w:sz w:val="20"/>
              </w:rPr>
              <w:t>q</w:t>
            </w:r>
            <w:r w:rsidRPr="0013396E">
              <w:rPr>
                <w:iCs/>
                <w:sz w:val="20"/>
              </w:rPr>
              <w:t xml:space="preserve">, as defined in Section 2, for the hour that includes the Settlement Interval. Where for a combined cycle resource, </w:t>
            </w:r>
            <w:r w:rsidRPr="0013396E">
              <w:rPr>
                <w:i/>
                <w:iCs/>
                <w:sz w:val="20"/>
              </w:rPr>
              <w:t>r</w:t>
            </w:r>
            <w:r w:rsidRPr="0013396E">
              <w:rPr>
                <w:iCs/>
                <w:sz w:val="20"/>
              </w:rPr>
              <w:t xml:space="preserve"> is a Combined Cycle Generation Resource. </w:t>
            </w:r>
          </w:p>
        </w:tc>
      </w:tr>
      <w:tr w:rsidR="00C236A2" w:rsidRPr="0013396E" w14:paraId="314FCBB5" w14:textId="77777777" w:rsidTr="0099759E">
        <w:trPr>
          <w:cantSplit/>
        </w:trPr>
        <w:tc>
          <w:tcPr>
            <w:tcW w:w="1016" w:type="pct"/>
            <w:tcBorders>
              <w:top w:val="single" w:sz="4" w:space="0" w:color="auto"/>
              <w:left w:val="single" w:sz="4" w:space="0" w:color="auto"/>
              <w:bottom w:val="single" w:sz="4" w:space="0" w:color="auto"/>
              <w:right w:val="single" w:sz="4" w:space="0" w:color="auto"/>
            </w:tcBorders>
            <w:hideMark/>
          </w:tcPr>
          <w:p w14:paraId="59D360BE" w14:textId="77777777" w:rsidR="00C236A2" w:rsidRPr="0013396E" w:rsidRDefault="00C236A2" w:rsidP="0099759E">
            <w:pPr>
              <w:spacing w:after="60"/>
              <w:rPr>
                <w:i/>
                <w:iCs/>
                <w:sz w:val="20"/>
              </w:rPr>
            </w:pPr>
            <w:r w:rsidRPr="0013396E">
              <w:rPr>
                <w:i/>
                <w:iCs/>
                <w:sz w:val="20"/>
              </w:rPr>
              <w:t>q</w:t>
            </w:r>
          </w:p>
        </w:tc>
        <w:tc>
          <w:tcPr>
            <w:tcW w:w="618" w:type="pct"/>
            <w:tcBorders>
              <w:top w:val="single" w:sz="4" w:space="0" w:color="auto"/>
              <w:left w:val="single" w:sz="4" w:space="0" w:color="auto"/>
              <w:bottom w:val="single" w:sz="4" w:space="0" w:color="auto"/>
              <w:right w:val="single" w:sz="4" w:space="0" w:color="auto"/>
            </w:tcBorders>
            <w:hideMark/>
          </w:tcPr>
          <w:p w14:paraId="1D334E10" w14:textId="77777777" w:rsidR="00C236A2" w:rsidRPr="0013396E" w:rsidRDefault="00C236A2" w:rsidP="0099759E">
            <w:pPr>
              <w:spacing w:after="60"/>
              <w:rPr>
                <w:iCs/>
                <w:sz w:val="20"/>
              </w:rPr>
            </w:pPr>
            <w:r w:rsidRPr="0013396E">
              <w:rPr>
                <w:iCs/>
                <w:sz w:val="20"/>
              </w:rPr>
              <w:t>none</w:t>
            </w:r>
          </w:p>
        </w:tc>
        <w:tc>
          <w:tcPr>
            <w:tcW w:w="3366" w:type="pct"/>
            <w:tcBorders>
              <w:top w:val="single" w:sz="4" w:space="0" w:color="auto"/>
              <w:left w:val="single" w:sz="4" w:space="0" w:color="auto"/>
              <w:bottom w:val="single" w:sz="4" w:space="0" w:color="auto"/>
              <w:right w:val="single" w:sz="4" w:space="0" w:color="auto"/>
            </w:tcBorders>
            <w:hideMark/>
          </w:tcPr>
          <w:p w14:paraId="54468B03" w14:textId="77777777" w:rsidR="00C236A2" w:rsidRPr="0013396E" w:rsidRDefault="00C236A2" w:rsidP="0099759E">
            <w:pPr>
              <w:spacing w:after="60"/>
              <w:rPr>
                <w:iCs/>
                <w:sz w:val="20"/>
              </w:rPr>
            </w:pPr>
            <w:r w:rsidRPr="0013396E">
              <w:rPr>
                <w:iCs/>
                <w:sz w:val="20"/>
              </w:rPr>
              <w:t>A QSE.</w:t>
            </w:r>
          </w:p>
        </w:tc>
      </w:tr>
      <w:tr w:rsidR="00C236A2" w:rsidRPr="0013396E" w14:paraId="2E6407F9" w14:textId="77777777" w:rsidTr="0099759E">
        <w:trPr>
          <w:cantSplit/>
        </w:trPr>
        <w:tc>
          <w:tcPr>
            <w:tcW w:w="1016" w:type="pct"/>
            <w:tcBorders>
              <w:top w:val="single" w:sz="4" w:space="0" w:color="auto"/>
              <w:left w:val="single" w:sz="4" w:space="0" w:color="auto"/>
              <w:bottom w:val="single" w:sz="4" w:space="0" w:color="auto"/>
              <w:right w:val="single" w:sz="4" w:space="0" w:color="auto"/>
            </w:tcBorders>
            <w:hideMark/>
          </w:tcPr>
          <w:p w14:paraId="5D469B85" w14:textId="77777777" w:rsidR="00C236A2" w:rsidRPr="0013396E" w:rsidRDefault="00C236A2" w:rsidP="0099759E">
            <w:pPr>
              <w:spacing w:after="60"/>
              <w:rPr>
                <w:i/>
                <w:iCs/>
                <w:sz w:val="20"/>
              </w:rPr>
            </w:pPr>
            <w:r w:rsidRPr="0013396E">
              <w:rPr>
                <w:i/>
                <w:iCs/>
                <w:sz w:val="20"/>
              </w:rPr>
              <w:t>r</w:t>
            </w:r>
          </w:p>
        </w:tc>
        <w:tc>
          <w:tcPr>
            <w:tcW w:w="618" w:type="pct"/>
            <w:tcBorders>
              <w:top w:val="single" w:sz="4" w:space="0" w:color="auto"/>
              <w:left w:val="single" w:sz="4" w:space="0" w:color="auto"/>
              <w:bottom w:val="single" w:sz="4" w:space="0" w:color="auto"/>
              <w:right w:val="single" w:sz="4" w:space="0" w:color="auto"/>
            </w:tcBorders>
            <w:hideMark/>
          </w:tcPr>
          <w:p w14:paraId="78C92311" w14:textId="77777777" w:rsidR="00C236A2" w:rsidRPr="0013396E" w:rsidRDefault="00C236A2" w:rsidP="0099759E">
            <w:pPr>
              <w:spacing w:after="60"/>
              <w:rPr>
                <w:iCs/>
                <w:sz w:val="20"/>
              </w:rPr>
            </w:pPr>
            <w:r w:rsidRPr="0013396E">
              <w:rPr>
                <w:iCs/>
                <w:sz w:val="20"/>
              </w:rPr>
              <w:t>none</w:t>
            </w:r>
          </w:p>
        </w:tc>
        <w:tc>
          <w:tcPr>
            <w:tcW w:w="3366" w:type="pct"/>
            <w:tcBorders>
              <w:top w:val="single" w:sz="4" w:space="0" w:color="auto"/>
              <w:left w:val="single" w:sz="4" w:space="0" w:color="auto"/>
              <w:bottom w:val="single" w:sz="4" w:space="0" w:color="auto"/>
              <w:right w:val="single" w:sz="4" w:space="0" w:color="auto"/>
            </w:tcBorders>
            <w:hideMark/>
          </w:tcPr>
          <w:p w14:paraId="575336A4" w14:textId="77777777" w:rsidR="00C236A2" w:rsidRPr="0013396E" w:rsidRDefault="00C236A2" w:rsidP="0099759E">
            <w:pPr>
              <w:spacing w:after="60"/>
              <w:rPr>
                <w:iCs/>
                <w:sz w:val="20"/>
              </w:rPr>
            </w:pPr>
            <w:r w:rsidRPr="0013396E">
              <w:rPr>
                <w:iCs/>
                <w:sz w:val="20"/>
              </w:rPr>
              <w:t>A Generation Resource or ESR.</w:t>
            </w:r>
          </w:p>
        </w:tc>
      </w:tr>
    </w:tbl>
    <w:p w14:paraId="4E929F7E" w14:textId="77777777" w:rsidR="00C236A2" w:rsidRPr="0013396E" w:rsidRDefault="00C236A2" w:rsidP="00C236A2">
      <w:pPr>
        <w:spacing w:before="240" w:after="240"/>
        <w:ind w:left="720" w:hanging="720"/>
      </w:pPr>
      <w:r w:rsidRPr="0013396E">
        <w:t>(4)</w:t>
      </w:r>
      <w:r w:rsidRPr="0013396E">
        <w:tab/>
        <w:t>The total additional compensation to each QSE for voltage support service for the 15-minute Settlement Interval is calculated as follows:</w:t>
      </w:r>
    </w:p>
    <w:p w14:paraId="69FD7BEA" w14:textId="77777777" w:rsidR="00C236A2" w:rsidRPr="0013396E" w:rsidRDefault="00C236A2" w:rsidP="00C236A2">
      <w:pPr>
        <w:spacing w:after="240"/>
        <w:ind w:left="720"/>
        <w:rPr>
          <w:rFonts w:ascii="Times New Roman Bold" w:hAnsi="Times New Roman Bold"/>
          <w:i/>
          <w:vertAlign w:val="subscript"/>
        </w:rPr>
      </w:pPr>
      <w:r w:rsidRPr="0013396E">
        <w:rPr>
          <w:b/>
        </w:rPr>
        <w:t>VSSVARAMTQSETOT</w:t>
      </w:r>
      <w:r w:rsidRPr="0013396E">
        <w:rPr>
          <w:rFonts w:ascii="Times New Roman Bold" w:hAnsi="Times New Roman Bold"/>
          <w:b/>
          <w:vertAlign w:val="subscript"/>
        </w:rPr>
        <w:t>q</w:t>
      </w:r>
      <w:r w:rsidRPr="0013396E">
        <w:rPr>
          <w:b/>
        </w:rPr>
        <w:t xml:space="preserve"> =  </w:t>
      </w:r>
      <w:r w:rsidRPr="0013396E">
        <w:rPr>
          <w:iCs/>
          <w:position w:val="-28"/>
        </w:rPr>
        <w:object w:dxaOrig="435" w:dyaOrig="735" w14:anchorId="013791F7">
          <v:shape id="_x0000_i1189" type="#_x0000_t75" style="width:24pt;height:36.6pt" o:ole="">
            <v:imagedata r:id="rId241" o:title=""/>
          </v:shape>
          <o:OLEObject Type="Embed" ProgID="Equation.3" ShapeID="_x0000_i1189" DrawAspect="Content" ObjectID="_1836311467" r:id="rId242"/>
        </w:object>
      </w:r>
      <w:r w:rsidRPr="0013396E">
        <w:rPr>
          <w:b/>
        </w:rPr>
        <w:t xml:space="preserve"> VSSVARAMT</w:t>
      </w:r>
      <w:r w:rsidRPr="0013396E">
        <w:rPr>
          <w:rFonts w:ascii="Times New Roman Bold" w:hAnsi="Times New Roman Bold"/>
          <w:i/>
          <w:vertAlign w:val="subscript"/>
        </w:rPr>
        <w:t>q,r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2"/>
        <w:gridCol w:w="886"/>
        <w:gridCol w:w="6162"/>
      </w:tblGrid>
      <w:tr w:rsidR="00C236A2" w:rsidRPr="0013396E" w14:paraId="11BB8E98" w14:textId="77777777" w:rsidTr="0099759E">
        <w:trPr>
          <w:cantSplit/>
          <w:tblHeader/>
        </w:trPr>
        <w:tc>
          <w:tcPr>
            <w:tcW w:w="1231" w:type="pct"/>
            <w:tcBorders>
              <w:top w:val="single" w:sz="4" w:space="0" w:color="auto"/>
              <w:left w:val="single" w:sz="4" w:space="0" w:color="auto"/>
              <w:bottom w:val="single" w:sz="4" w:space="0" w:color="auto"/>
              <w:right w:val="single" w:sz="4" w:space="0" w:color="auto"/>
            </w:tcBorders>
            <w:hideMark/>
          </w:tcPr>
          <w:p w14:paraId="3C87A35D" w14:textId="77777777" w:rsidR="00C236A2" w:rsidRPr="0013396E" w:rsidRDefault="00C236A2" w:rsidP="0099759E">
            <w:pPr>
              <w:spacing w:after="240"/>
              <w:rPr>
                <w:b/>
                <w:iCs/>
                <w:sz w:val="20"/>
              </w:rPr>
            </w:pPr>
            <w:r w:rsidRPr="0013396E">
              <w:rPr>
                <w:b/>
                <w:sz w:val="20"/>
              </w:rPr>
              <w:t>Variable</w:t>
            </w:r>
          </w:p>
        </w:tc>
        <w:tc>
          <w:tcPr>
            <w:tcW w:w="474" w:type="pct"/>
            <w:tcBorders>
              <w:top w:val="single" w:sz="4" w:space="0" w:color="auto"/>
              <w:left w:val="single" w:sz="4" w:space="0" w:color="auto"/>
              <w:bottom w:val="single" w:sz="4" w:space="0" w:color="auto"/>
              <w:right w:val="single" w:sz="4" w:space="0" w:color="auto"/>
            </w:tcBorders>
            <w:hideMark/>
          </w:tcPr>
          <w:p w14:paraId="3A92FB15" w14:textId="77777777" w:rsidR="00C236A2" w:rsidRPr="0013396E" w:rsidRDefault="00C236A2" w:rsidP="0099759E">
            <w:pPr>
              <w:spacing w:after="240"/>
              <w:rPr>
                <w:b/>
                <w:iCs/>
                <w:sz w:val="20"/>
              </w:rPr>
            </w:pPr>
            <w:r w:rsidRPr="0013396E">
              <w:rPr>
                <w:b/>
                <w:iCs/>
                <w:sz w:val="20"/>
              </w:rPr>
              <w:t>Unit</w:t>
            </w:r>
          </w:p>
        </w:tc>
        <w:tc>
          <w:tcPr>
            <w:tcW w:w="3295" w:type="pct"/>
            <w:tcBorders>
              <w:top w:val="single" w:sz="4" w:space="0" w:color="auto"/>
              <w:left w:val="single" w:sz="4" w:space="0" w:color="auto"/>
              <w:bottom w:val="single" w:sz="4" w:space="0" w:color="auto"/>
              <w:right w:val="single" w:sz="4" w:space="0" w:color="auto"/>
            </w:tcBorders>
            <w:hideMark/>
          </w:tcPr>
          <w:p w14:paraId="33B7155E" w14:textId="77777777" w:rsidR="00C236A2" w:rsidRPr="0013396E" w:rsidRDefault="00C236A2" w:rsidP="0099759E">
            <w:pPr>
              <w:spacing w:after="240"/>
              <w:rPr>
                <w:b/>
                <w:iCs/>
                <w:sz w:val="20"/>
              </w:rPr>
            </w:pPr>
            <w:r w:rsidRPr="0013396E">
              <w:rPr>
                <w:b/>
                <w:iCs/>
                <w:sz w:val="20"/>
              </w:rPr>
              <w:t>Definition</w:t>
            </w:r>
          </w:p>
        </w:tc>
      </w:tr>
      <w:tr w:rsidR="00C236A2" w:rsidRPr="0013396E" w14:paraId="13D08C72" w14:textId="77777777" w:rsidTr="0099759E">
        <w:trPr>
          <w:cantSplit/>
        </w:trPr>
        <w:tc>
          <w:tcPr>
            <w:tcW w:w="1231" w:type="pct"/>
            <w:tcBorders>
              <w:top w:val="single" w:sz="4" w:space="0" w:color="auto"/>
              <w:left w:val="single" w:sz="4" w:space="0" w:color="auto"/>
              <w:bottom w:val="single" w:sz="4" w:space="0" w:color="auto"/>
              <w:right w:val="single" w:sz="4" w:space="0" w:color="auto"/>
            </w:tcBorders>
            <w:hideMark/>
          </w:tcPr>
          <w:p w14:paraId="635A0FB8" w14:textId="77777777" w:rsidR="00C236A2" w:rsidRPr="0013396E" w:rsidRDefault="00C236A2" w:rsidP="0099759E">
            <w:pPr>
              <w:spacing w:after="60"/>
              <w:rPr>
                <w:iCs/>
                <w:sz w:val="20"/>
              </w:rPr>
            </w:pPr>
            <w:r w:rsidRPr="0013396E">
              <w:rPr>
                <w:iCs/>
                <w:sz w:val="20"/>
              </w:rPr>
              <w:t xml:space="preserve">VSSVARAMT </w:t>
            </w:r>
            <w:r w:rsidRPr="0013396E">
              <w:rPr>
                <w:i/>
                <w:iCs/>
                <w:sz w:val="20"/>
                <w:vertAlign w:val="subscript"/>
              </w:rPr>
              <w:t>q, r</w:t>
            </w:r>
          </w:p>
        </w:tc>
        <w:tc>
          <w:tcPr>
            <w:tcW w:w="474" w:type="pct"/>
            <w:tcBorders>
              <w:top w:val="single" w:sz="4" w:space="0" w:color="auto"/>
              <w:left w:val="single" w:sz="4" w:space="0" w:color="auto"/>
              <w:bottom w:val="single" w:sz="4" w:space="0" w:color="auto"/>
              <w:right w:val="single" w:sz="4" w:space="0" w:color="auto"/>
            </w:tcBorders>
            <w:hideMark/>
          </w:tcPr>
          <w:p w14:paraId="1119F005" w14:textId="77777777" w:rsidR="00C236A2" w:rsidRPr="0013396E" w:rsidRDefault="00C236A2" w:rsidP="0099759E">
            <w:pPr>
              <w:spacing w:after="60"/>
              <w:rPr>
                <w:iCs/>
                <w:sz w:val="20"/>
              </w:rPr>
            </w:pPr>
            <w:r w:rsidRPr="0013396E">
              <w:rPr>
                <w:iCs/>
                <w:sz w:val="20"/>
              </w:rPr>
              <w:t>$</w:t>
            </w:r>
          </w:p>
        </w:tc>
        <w:tc>
          <w:tcPr>
            <w:tcW w:w="3295" w:type="pct"/>
            <w:tcBorders>
              <w:top w:val="single" w:sz="4" w:space="0" w:color="auto"/>
              <w:left w:val="single" w:sz="4" w:space="0" w:color="auto"/>
              <w:bottom w:val="single" w:sz="4" w:space="0" w:color="auto"/>
              <w:right w:val="single" w:sz="4" w:space="0" w:color="auto"/>
            </w:tcBorders>
            <w:hideMark/>
          </w:tcPr>
          <w:p w14:paraId="2B19B20E" w14:textId="77777777" w:rsidR="00C236A2" w:rsidRPr="0013396E" w:rsidRDefault="00C236A2" w:rsidP="0099759E">
            <w:pPr>
              <w:spacing w:after="60"/>
              <w:rPr>
                <w:iCs/>
                <w:sz w:val="20"/>
              </w:rPr>
            </w:pPr>
            <w:r w:rsidRPr="0013396E">
              <w:rPr>
                <w:i/>
                <w:iCs/>
                <w:sz w:val="20"/>
              </w:rPr>
              <w:t>Voltage Support Service VAr Amount per QSE per Resource</w:t>
            </w:r>
            <w:r w:rsidRPr="0013396E">
              <w:rPr>
                <w:iCs/>
                <w:sz w:val="20"/>
              </w:rPr>
              <w:t xml:space="preserve">—The payment to QSE </w:t>
            </w:r>
            <w:r w:rsidRPr="0013396E">
              <w:rPr>
                <w:i/>
                <w:iCs/>
                <w:sz w:val="20"/>
              </w:rPr>
              <w:t>q</w:t>
            </w:r>
            <w:r w:rsidRPr="0013396E">
              <w:rPr>
                <w:iCs/>
                <w:sz w:val="20"/>
              </w:rPr>
              <w:t xml:space="preserve"> for the VSS provided by Resource </w:t>
            </w:r>
            <w:r w:rsidRPr="0013396E">
              <w:rPr>
                <w:i/>
                <w:iCs/>
                <w:sz w:val="20"/>
              </w:rPr>
              <w:t>r</w:t>
            </w:r>
            <w:r w:rsidRPr="0013396E">
              <w:rPr>
                <w:iCs/>
                <w:sz w:val="20"/>
              </w:rPr>
              <w:t xml:space="preserve">, for the 15-minute Settlement Interval.  Where for a combined cycle resource, </w:t>
            </w:r>
            <w:r w:rsidRPr="0013396E">
              <w:rPr>
                <w:i/>
                <w:iCs/>
                <w:sz w:val="20"/>
              </w:rPr>
              <w:t>r</w:t>
            </w:r>
            <w:r w:rsidRPr="0013396E">
              <w:rPr>
                <w:iCs/>
                <w:sz w:val="20"/>
              </w:rPr>
              <w:t xml:space="preserve"> is a Combined Cycle Train.</w:t>
            </w:r>
          </w:p>
        </w:tc>
      </w:tr>
      <w:tr w:rsidR="00C236A2" w:rsidRPr="0013396E" w14:paraId="56AEB202" w14:textId="77777777" w:rsidTr="0099759E">
        <w:trPr>
          <w:cantSplit/>
        </w:trPr>
        <w:tc>
          <w:tcPr>
            <w:tcW w:w="1231" w:type="pct"/>
            <w:tcBorders>
              <w:top w:val="single" w:sz="4" w:space="0" w:color="auto"/>
              <w:left w:val="single" w:sz="4" w:space="0" w:color="auto"/>
              <w:bottom w:val="single" w:sz="4" w:space="0" w:color="auto"/>
              <w:right w:val="single" w:sz="4" w:space="0" w:color="auto"/>
            </w:tcBorders>
            <w:hideMark/>
          </w:tcPr>
          <w:p w14:paraId="42A89E39" w14:textId="77777777" w:rsidR="00C236A2" w:rsidRPr="0013396E" w:rsidRDefault="00C236A2" w:rsidP="0099759E">
            <w:pPr>
              <w:spacing w:after="60"/>
              <w:rPr>
                <w:iCs/>
                <w:sz w:val="20"/>
              </w:rPr>
            </w:pPr>
            <w:r w:rsidRPr="0013396E">
              <w:rPr>
                <w:iCs/>
                <w:sz w:val="20"/>
              </w:rPr>
              <w:t xml:space="preserve">VSSVARAMTQSETOT </w:t>
            </w:r>
            <w:r w:rsidRPr="0013396E">
              <w:rPr>
                <w:i/>
                <w:iCs/>
                <w:sz w:val="20"/>
                <w:vertAlign w:val="subscript"/>
              </w:rPr>
              <w:t>q</w:t>
            </w:r>
          </w:p>
        </w:tc>
        <w:tc>
          <w:tcPr>
            <w:tcW w:w="474" w:type="pct"/>
            <w:tcBorders>
              <w:top w:val="single" w:sz="4" w:space="0" w:color="auto"/>
              <w:left w:val="single" w:sz="4" w:space="0" w:color="auto"/>
              <w:bottom w:val="single" w:sz="4" w:space="0" w:color="auto"/>
              <w:right w:val="single" w:sz="4" w:space="0" w:color="auto"/>
            </w:tcBorders>
            <w:hideMark/>
          </w:tcPr>
          <w:p w14:paraId="59CABC02" w14:textId="77777777" w:rsidR="00C236A2" w:rsidRPr="0013396E" w:rsidRDefault="00C236A2" w:rsidP="0099759E">
            <w:pPr>
              <w:spacing w:after="60"/>
              <w:rPr>
                <w:i/>
                <w:iCs/>
                <w:sz w:val="20"/>
              </w:rPr>
            </w:pPr>
            <w:r w:rsidRPr="0013396E">
              <w:rPr>
                <w:iCs/>
                <w:sz w:val="20"/>
              </w:rPr>
              <w:t>$</w:t>
            </w:r>
          </w:p>
        </w:tc>
        <w:tc>
          <w:tcPr>
            <w:tcW w:w="3295" w:type="pct"/>
            <w:tcBorders>
              <w:top w:val="single" w:sz="4" w:space="0" w:color="auto"/>
              <w:left w:val="single" w:sz="4" w:space="0" w:color="auto"/>
              <w:bottom w:val="single" w:sz="4" w:space="0" w:color="auto"/>
              <w:right w:val="single" w:sz="4" w:space="0" w:color="auto"/>
            </w:tcBorders>
            <w:hideMark/>
          </w:tcPr>
          <w:p w14:paraId="519B879F" w14:textId="77777777" w:rsidR="00C236A2" w:rsidRPr="0013396E" w:rsidRDefault="00C236A2" w:rsidP="0099759E">
            <w:pPr>
              <w:spacing w:after="60"/>
              <w:rPr>
                <w:iCs/>
                <w:sz w:val="20"/>
              </w:rPr>
            </w:pPr>
            <w:r w:rsidRPr="0013396E">
              <w:rPr>
                <w:i/>
                <w:iCs/>
                <w:sz w:val="20"/>
              </w:rPr>
              <w:t>Voltage Support VAr Amount QSE total per QSE</w:t>
            </w:r>
            <w:r w:rsidRPr="0013396E">
              <w:rPr>
                <w:iCs/>
                <w:sz w:val="20"/>
              </w:rPr>
              <w:t xml:space="preserve">—The total of the payments to QSE </w:t>
            </w:r>
            <w:r w:rsidRPr="0013396E">
              <w:rPr>
                <w:i/>
                <w:iCs/>
                <w:sz w:val="20"/>
              </w:rPr>
              <w:t>q</w:t>
            </w:r>
            <w:r w:rsidRPr="0013396E">
              <w:rPr>
                <w:iCs/>
                <w:sz w:val="20"/>
              </w:rPr>
              <w:t xml:space="preserve"> as compensation for VSS by this QSE for the 15-minute settlement interval.</w:t>
            </w:r>
          </w:p>
        </w:tc>
      </w:tr>
      <w:tr w:rsidR="00C236A2" w:rsidRPr="0013396E" w14:paraId="3A34F1F4" w14:textId="77777777" w:rsidTr="0099759E">
        <w:trPr>
          <w:cantSplit/>
        </w:trPr>
        <w:tc>
          <w:tcPr>
            <w:tcW w:w="1231" w:type="pct"/>
            <w:tcBorders>
              <w:top w:val="single" w:sz="4" w:space="0" w:color="auto"/>
              <w:left w:val="single" w:sz="4" w:space="0" w:color="auto"/>
              <w:bottom w:val="single" w:sz="4" w:space="0" w:color="auto"/>
              <w:right w:val="single" w:sz="4" w:space="0" w:color="auto"/>
            </w:tcBorders>
            <w:hideMark/>
          </w:tcPr>
          <w:p w14:paraId="06EFC900" w14:textId="77777777" w:rsidR="00C236A2" w:rsidRPr="0013396E" w:rsidRDefault="00C236A2" w:rsidP="0099759E">
            <w:pPr>
              <w:spacing w:after="60"/>
              <w:rPr>
                <w:i/>
                <w:iCs/>
                <w:sz w:val="20"/>
              </w:rPr>
            </w:pPr>
            <w:r w:rsidRPr="0013396E">
              <w:rPr>
                <w:i/>
                <w:iCs/>
                <w:sz w:val="20"/>
              </w:rPr>
              <w:t>q</w:t>
            </w:r>
          </w:p>
        </w:tc>
        <w:tc>
          <w:tcPr>
            <w:tcW w:w="474" w:type="pct"/>
            <w:tcBorders>
              <w:top w:val="single" w:sz="4" w:space="0" w:color="auto"/>
              <w:left w:val="single" w:sz="4" w:space="0" w:color="auto"/>
              <w:bottom w:val="single" w:sz="4" w:space="0" w:color="auto"/>
              <w:right w:val="single" w:sz="4" w:space="0" w:color="auto"/>
            </w:tcBorders>
            <w:hideMark/>
          </w:tcPr>
          <w:p w14:paraId="37FEC969" w14:textId="77777777" w:rsidR="00C236A2" w:rsidRPr="0013396E" w:rsidRDefault="00C236A2" w:rsidP="0099759E">
            <w:pPr>
              <w:spacing w:after="60"/>
              <w:rPr>
                <w:iCs/>
                <w:sz w:val="20"/>
              </w:rPr>
            </w:pPr>
            <w:r w:rsidRPr="0013396E">
              <w:rPr>
                <w:iCs/>
                <w:sz w:val="20"/>
              </w:rPr>
              <w:t>None</w:t>
            </w:r>
          </w:p>
        </w:tc>
        <w:tc>
          <w:tcPr>
            <w:tcW w:w="3295" w:type="pct"/>
            <w:tcBorders>
              <w:top w:val="single" w:sz="4" w:space="0" w:color="auto"/>
              <w:left w:val="single" w:sz="4" w:space="0" w:color="auto"/>
              <w:bottom w:val="single" w:sz="4" w:space="0" w:color="auto"/>
              <w:right w:val="single" w:sz="4" w:space="0" w:color="auto"/>
            </w:tcBorders>
            <w:hideMark/>
          </w:tcPr>
          <w:p w14:paraId="448194C4" w14:textId="77777777" w:rsidR="00C236A2" w:rsidRPr="0013396E" w:rsidRDefault="00C236A2" w:rsidP="0099759E">
            <w:pPr>
              <w:spacing w:after="60"/>
              <w:rPr>
                <w:iCs/>
                <w:sz w:val="20"/>
              </w:rPr>
            </w:pPr>
            <w:r w:rsidRPr="0013396E">
              <w:rPr>
                <w:iCs/>
                <w:sz w:val="20"/>
              </w:rPr>
              <w:t>A QSE.</w:t>
            </w:r>
          </w:p>
        </w:tc>
      </w:tr>
      <w:tr w:rsidR="00C236A2" w:rsidRPr="0013396E" w14:paraId="5149CF11" w14:textId="77777777" w:rsidTr="0099759E">
        <w:trPr>
          <w:cantSplit/>
        </w:trPr>
        <w:tc>
          <w:tcPr>
            <w:tcW w:w="1231" w:type="pct"/>
            <w:tcBorders>
              <w:top w:val="single" w:sz="4" w:space="0" w:color="auto"/>
              <w:left w:val="single" w:sz="4" w:space="0" w:color="auto"/>
              <w:bottom w:val="single" w:sz="4" w:space="0" w:color="auto"/>
              <w:right w:val="single" w:sz="4" w:space="0" w:color="auto"/>
            </w:tcBorders>
            <w:hideMark/>
          </w:tcPr>
          <w:p w14:paraId="1C32F3D0" w14:textId="77777777" w:rsidR="00C236A2" w:rsidRPr="0013396E" w:rsidRDefault="00C236A2" w:rsidP="0099759E">
            <w:pPr>
              <w:spacing w:after="60"/>
              <w:rPr>
                <w:i/>
                <w:iCs/>
                <w:sz w:val="20"/>
              </w:rPr>
            </w:pPr>
            <w:r w:rsidRPr="0013396E">
              <w:rPr>
                <w:i/>
                <w:iCs/>
                <w:sz w:val="20"/>
              </w:rPr>
              <w:t>r</w:t>
            </w:r>
          </w:p>
        </w:tc>
        <w:tc>
          <w:tcPr>
            <w:tcW w:w="474" w:type="pct"/>
            <w:tcBorders>
              <w:top w:val="single" w:sz="4" w:space="0" w:color="auto"/>
              <w:left w:val="single" w:sz="4" w:space="0" w:color="auto"/>
              <w:bottom w:val="single" w:sz="4" w:space="0" w:color="auto"/>
              <w:right w:val="single" w:sz="4" w:space="0" w:color="auto"/>
            </w:tcBorders>
            <w:hideMark/>
          </w:tcPr>
          <w:p w14:paraId="69C021B1" w14:textId="77777777" w:rsidR="00C236A2" w:rsidRPr="0013396E" w:rsidRDefault="00C236A2" w:rsidP="0099759E">
            <w:pPr>
              <w:spacing w:after="60"/>
              <w:rPr>
                <w:iCs/>
                <w:sz w:val="20"/>
              </w:rPr>
            </w:pPr>
            <w:r w:rsidRPr="0013396E">
              <w:rPr>
                <w:iCs/>
                <w:sz w:val="20"/>
              </w:rPr>
              <w:t>None</w:t>
            </w:r>
          </w:p>
        </w:tc>
        <w:tc>
          <w:tcPr>
            <w:tcW w:w="3295" w:type="pct"/>
            <w:tcBorders>
              <w:top w:val="single" w:sz="4" w:space="0" w:color="auto"/>
              <w:left w:val="single" w:sz="4" w:space="0" w:color="auto"/>
              <w:bottom w:val="single" w:sz="4" w:space="0" w:color="auto"/>
              <w:right w:val="single" w:sz="4" w:space="0" w:color="auto"/>
            </w:tcBorders>
            <w:hideMark/>
          </w:tcPr>
          <w:p w14:paraId="0AD966CF" w14:textId="77777777" w:rsidR="00C236A2" w:rsidRPr="0013396E" w:rsidRDefault="00C236A2" w:rsidP="0099759E">
            <w:pPr>
              <w:spacing w:after="60"/>
              <w:rPr>
                <w:iCs/>
                <w:sz w:val="20"/>
              </w:rPr>
            </w:pPr>
            <w:r w:rsidRPr="0013396E">
              <w:rPr>
                <w:iCs/>
                <w:sz w:val="20"/>
              </w:rPr>
              <w:t>A Generation Resource or ESR.</w:t>
            </w:r>
          </w:p>
        </w:tc>
      </w:tr>
    </w:tbl>
    <w:p w14:paraId="17999E0A" w14:textId="77777777" w:rsidR="00C236A2" w:rsidRPr="0013396E" w:rsidRDefault="00C236A2" w:rsidP="00C236A2"/>
    <w:p w14:paraId="7B509775" w14:textId="77777777" w:rsidR="00C236A2" w:rsidRPr="0013396E" w:rsidRDefault="00C236A2" w:rsidP="00C236A2">
      <w:pPr>
        <w:spacing w:after="240"/>
        <w:ind w:left="720" w:hanging="720"/>
        <w:rPr>
          <w:iCs/>
        </w:rPr>
      </w:pPr>
      <w:r w:rsidRPr="0013396E">
        <w:t>(5)</w:t>
      </w:r>
      <w:r w:rsidRPr="0013396E">
        <w:tab/>
        <w:t>The lost opportunity payment, if applicable:</w:t>
      </w:r>
    </w:p>
    <w:p w14:paraId="5DCF5BB0" w14:textId="77777777" w:rsidR="00C236A2" w:rsidRPr="0013396E" w:rsidRDefault="00C236A2" w:rsidP="00C236A2">
      <w:pPr>
        <w:tabs>
          <w:tab w:val="left" w:pos="2340"/>
          <w:tab w:val="left" w:pos="3420"/>
        </w:tabs>
        <w:spacing w:after="240"/>
        <w:ind w:left="3420" w:hanging="2700"/>
        <w:rPr>
          <w:bCs/>
          <w:lang w:val="pt-BR"/>
        </w:rPr>
      </w:pPr>
      <w:r w:rsidRPr="0013396E">
        <w:rPr>
          <w:bCs/>
          <w:lang w:val="pt-BR"/>
        </w:rPr>
        <w:t xml:space="preserve">If an ESR has a net withdrawal for the Settlement Interval, then: </w:t>
      </w:r>
    </w:p>
    <w:p w14:paraId="76FD5643" w14:textId="77777777" w:rsidR="00C236A2" w:rsidRPr="0013396E" w:rsidRDefault="00C236A2" w:rsidP="00C236A2">
      <w:pPr>
        <w:tabs>
          <w:tab w:val="left" w:pos="2340"/>
          <w:tab w:val="left" w:pos="3420"/>
        </w:tabs>
        <w:spacing w:after="240"/>
        <w:ind w:left="3420" w:hanging="2700"/>
        <w:rPr>
          <w:rFonts w:asciiTheme="minorHAnsi" w:eastAsiaTheme="minorHAnsi" w:hAnsiTheme="minorHAnsi" w:cstheme="minorBidi"/>
          <w:b/>
          <w:sz w:val="22"/>
          <w:szCs w:val="22"/>
          <w:lang w:val="pt-BR"/>
        </w:rPr>
      </w:pPr>
      <w:r w:rsidRPr="0013396E">
        <w:rPr>
          <w:b/>
          <w:bCs/>
          <w:lang w:val="pt-BR"/>
        </w:rPr>
        <w:t xml:space="preserve">VSSEAMT </w:t>
      </w:r>
      <w:r w:rsidRPr="0013396E">
        <w:rPr>
          <w:b/>
          <w:bCs/>
          <w:i/>
          <w:vertAlign w:val="subscript"/>
          <w:lang w:val="pt-BR"/>
        </w:rPr>
        <w:t>q, r</w:t>
      </w:r>
      <w:r w:rsidRPr="0013396E">
        <w:rPr>
          <w:b/>
          <w:bCs/>
          <w:lang w:val="pt-BR"/>
        </w:rPr>
        <w:tab/>
        <w:t xml:space="preserve"> =  </w:t>
      </w:r>
      <w:r w:rsidRPr="0013396E">
        <w:rPr>
          <w:b/>
          <w:bCs/>
        </w:rPr>
        <w:t xml:space="preserve">(-1) * Max (0, </w:t>
      </w:r>
      <w:r w:rsidRPr="0013396E">
        <w:rPr>
          <w:b/>
          <w:bCs/>
          <w:lang w:val="pt-BR"/>
        </w:rPr>
        <w:t>RTSPP</w:t>
      </w:r>
      <w:r w:rsidRPr="0013396E">
        <w:rPr>
          <w:rFonts w:ascii="Times New Roman Bold" w:hAnsi="Times New Roman Bold"/>
          <w:b/>
          <w:bCs/>
          <w:vertAlign w:val="subscript"/>
          <w:lang w:val="pt-BR"/>
        </w:rPr>
        <w:t xml:space="preserve"> </w:t>
      </w:r>
      <w:r w:rsidRPr="0013396E">
        <w:rPr>
          <w:rFonts w:ascii="Times New Roman Bold" w:hAnsi="Times New Roman Bold"/>
          <w:b/>
          <w:bCs/>
          <w:i/>
          <w:vertAlign w:val="subscript"/>
          <w:lang w:val="pt-BR"/>
        </w:rPr>
        <w:t>p</w:t>
      </w:r>
      <w:r w:rsidRPr="0013396E">
        <w:rPr>
          <w:b/>
          <w:bCs/>
          <w:lang w:val="pt-BR"/>
        </w:rPr>
        <w:t xml:space="preserve"> ) * Max (0,  (ABS(LSL </w:t>
      </w:r>
      <w:r w:rsidRPr="0013396E">
        <w:rPr>
          <w:b/>
          <w:bCs/>
          <w:i/>
          <w:vertAlign w:val="subscript"/>
          <w:lang w:val="pt-BR"/>
        </w:rPr>
        <w:t>q, r</w:t>
      </w:r>
      <w:r w:rsidRPr="0013396E">
        <w:rPr>
          <w:b/>
          <w:bCs/>
          <w:lang w:val="pt-BR"/>
        </w:rPr>
        <w:t xml:space="preserve"> * ¼  - </w:t>
      </w:r>
      <w:r w:rsidRPr="0013396E">
        <w:rPr>
          <w:b/>
          <w:bCs/>
        </w:rPr>
        <w:t>NETVSSA</w:t>
      </w:r>
      <w:r w:rsidRPr="0013396E">
        <w:rPr>
          <w:b/>
          <w:bCs/>
          <w:i/>
          <w:vertAlign w:val="subscript"/>
        </w:rPr>
        <w:t xml:space="preserve"> q, r</w:t>
      </w:r>
      <w:r w:rsidRPr="0013396E">
        <w:rPr>
          <w:b/>
          <w:bCs/>
          <w:lang w:val="pt-BR"/>
        </w:rPr>
        <w:t>)))</w:t>
      </w:r>
    </w:p>
    <w:p w14:paraId="6FE334AF" w14:textId="77777777" w:rsidR="00C236A2" w:rsidRPr="0013396E" w:rsidRDefault="00C236A2" w:rsidP="00C236A2">
      <w:pPr>
        <w:spacing w:after="240"/>
        <w:ind w:left="720" w:hanging="720"/>
        <w:rPr>
          <w:lang w:val="pt-BR"/>
        </w:rPr>
      </w:pPr>
      <w:r w:rsidRPr="0013396E">
        <w:lastRenderedPageBreak/>
        <w:tab/>
      </w:r>
      <w:r w:rsidRPr="0013396E">
        <w:rPr>
          <w:bCs/>
          <w:lang w:val="pt-BR"/>
        </w:rPr>
        <w:t>Otherwise, for Generation Resources or ESRs that have a net injection for the Settlement Interval:</w:t>
      </w:r>
    </w:p>
    <w:p w14:paraId="7A691096" w14:textId="77777777" w:rsidR="00C236A2" w:rsidRPr="0013396E" w:rsidRDefault="00C236A2" w:rsidP="00C236A2">
      <w:pPr>
        <w:pStyle w:val="FormulaBold"/>
        <w:rPr>
          <w:lang w:val="pt-BR"/>
        </w:rPr>
      </w:pPr>
      <w:r w:rsidRPr="0013396E">
        <w:rPr>
          <w:lang w:val="pt-BR"/>
        </w:rPr>
        <w:t xml:space="preserve">VSSEAMT </w:t>
      </w:r>
      <w:r w:rsidRPr="0013396E">
        <w:rPr>
          <w:i/>
          <w:vertAlign w:val="subscript"/>
          <w:lang w:val="pt-BR"/>
        </w:rPr>
        <w:t>q, r</w:t>
      </w:r>
      <w:r w:rsidRPr="0013396E">
        <w:rPr>
          <w:lang w:val="pt-BR"/>
        </w:rPr>
        <w:tab/>
        <w:t xml:space="preserve">=     </w:t>
      </w:r>
      <w:r w:rsidRPr="0013396E">
        <w:t xml:space="preserve">(-1) * </w:t>
      </w:r>
      <w:r w:rsidRPr="0013396E">
        <w:rPr>
          <w:lang w:val="pt-BR"/>
        </w:rPr>
        <w:t>Max (0, (RTSPP</w:t>
      </w:r>
      <w:r w:rsidRPr="0013396E">
        <w:rPr>
          <w:rFonts w:ascii="Times New Roman Bold" w:hAnsi="Times New Roman Bold"/>
          <w:vertAlign w:val="subscript"/>
          <w:lang w:val="pt-BR"/>
        </w:rPr>
        <w:t xml:space="preserve"> </w:t>
      </w:r>
      <w:r w:rsidRPr="0013396E">
        <w:rPr>
          <w:rFonts w:ascii="Times New Roman Bold" w:hAnsi="Times New Roman Bold"/>
          <w:i/>
          <w:vertAlign w:val="subscript"/>
          <w:lang w:val="pt-BR"/>
        </w:rPr>
        <w:t>p</w:t>
      </w:r>
      <w:r w:rsidRPr="0013396E">
        <w:rPr>
          <w:lang w:val="pt-BR"/>
        </w:rPr>
        <w:t xml:space="preserve"> –</w:t>
      </w:r>
      <w:r w:rsidRPr="0013396E">
        <w:t xml:space="preserve"> RTEOCOST </w:t>
      </w:r>
      <w:r w:rsidRPr="0013396E">
        <w:rPr>
          <w:i/>
          <w:vertAlign w:val="subscript"/>
        </w:rPr>
        <w:t>q, r, i</w:t>
      </w:r>
      <w:r w:rsidRPr="0013396E">
        <w:rPr>
          <w:lang w:val="pt-BR"/>
        </w:rPr>
        <w:t xml:space="preserve">) * Max (0, (HSL </w:t>
      </w:r>
      <w:r w:rsidRPr="0013396E">
        <w:rPr>
          <w:i/>
          <w:vertAlign w:val="subscript"/>
          <w:lang w:val="pt-BR"/>
        </w:rPr>
        <w:t>q, r</w:t>
      </w:r>
      <w:r w:rsidRPr="0013396E">
        <w:rPr>
          <w:lang w:val="pt-BR"/>
        </w:rPr>
        <w:t xml:space="preserve"> * ¼ - </w:t>
      </w:r>
      <w:r w:rsidRPr="0013396E">
        <w:rPr>
          <w:bCs w:val="0"/>
        </w:rPr>
        <w:t>NETVSSA</w:t>
      </w:r>
      <w:r w:rsidRPr="0013396E">
        <w:rPr>
          <w:bCs w:val="0"/>
          <w:i/>
          <w:vertAlign w:val="subscript"/>
        </w:rPr>
        <w:t xml:space="preserve"> q, r</w:t>
      </w:r>
      <w:r w:rsidRPr="0013396E">
        <w:rPr>
          <w:lang w:val="pt-BR"/>
        </w:rPr>
        <w:t>)))</w:t>
      </w:r>
    </w:p>
    <w:p w14:paraId="2BAE43CD" w14:textId="77777777" w:rsidR="00C236A2" w:rsidRPr="0013396E" w:rsidRDefault="00C236A2" w:rsidP="00C236A2">
      <w:pPr>
        <w:tabs>
          <w:tab w:val="left" w:pos="2340"/>
          <w:tab w:val="left" w:pos="3420"/>
        </w:tabs>
        <w:spacing w:after="240"/>
        <w:ind w:left="3420" w:hanging="2700"/>
        <w:rPr>
          <w:bCs/>
          <w:lang w:val="pt-BR"/>
        </w:rPr>
      </w:pPr>
      <w:r w:rsidRPr="0013396E">
        <w:rPr>
          <w:bCs/>
          <w:lang w:val="pt-BR"/>
        </w:rPr>
        <w:t>Where:</w:t>
      </w:r>
    </w:p>
    <w:p w14:paraId="576BEC4F" w14:textId="77777777" w:rsidR="00C236A2" w:rsidRPr="0013396E" w:rsidRDefault="00C236A2" w:rsidP="00C236A2">
      <w:pPr>
        <w:tabs>
          <w:tab w:val="left" w:pos="2340"/>
          <w:tab w:val="left" w:pos="3420"/>
        </w:tabs>
        <w:spacing w:after="240"/>
        <w:ind w:left="3420" w:hanging="2700"/>
        <w:rPr>
          <w:b/>
          <w:bCs/>
          <w:lang w:val="pt-BR"/>
        </w:rPr>
      </w:pPr>
      <w:r w:rsidRPr="0013396E">
        <w:rPr>
          <w:bCs/>
        </w:rPr>
        <w:t>NETVSSA</w:t>
      </w:r>
      <w:r w:rsidRPr="0013396E">
        <w:rPr>
          <w:bCs/>
          <w:i/>
          <w:vertAlign w:val="subscript"/>
        </w:rPr>
        <w:t xml:space="preserve"> q, r</w:t>
      </w:r>
      <w:r w:rsidRPr="0013396E">
        <w:rPr>
          <w:bCs/>
        </w:rPr>
        <w:t xml:space="preserve"> = RTCL </w:t>
      </w:r>
      <w:r w:rsidRPr="0013396E">
        <w:rPr>
          <w:bCs/>
          <w:i/>
          <w:vertAlign w:val="subscript"/>
        </w:rPr>
        <w:t xml:space="preserve">q, r </w:t>
      </w:r>
      <w:r w:rsidRPr="0013396E">
        <w:rPr>
          <w:bCs/>
          <w:i/>
        </w:rPr>
        <w:t xml:space="preserve">+ </w:t>
      </w:r>
      <w:r w:rsidRPr="0013396E">
        <w:rPr>
          <w:bCs/>
        </w:rPr>
        <w:t xml:space="preserve">RTMG </w:t>
      </w:r>
      <w:r w:rsidRPr="0013396E">
        <w:rPr>
          <w:bCs/>
          <w:i/>
          <w:vertAlign w:val="subscript"/>
        </w:rPr>
        <w:t>q, r</w:t>
      </w:r>
    </w:p>
    <w:p w14:paraId="62556E8F" w14:textId="77777777" w:rsidR="00C236A2" w:rsidRPr="0013396E" w:rsidRDefault="00C236A2" w:rsidP="00C236A2">
      <w:pPr>
        <w:tabs>
          <w:tab w:val="left" w:pos="2340"/>
          <w:tab w:val="left" w:pos="3420"/>
        </w:tabs>
        <w:spacing w:after="240"/>
        <w:ind w:left="3420" w:hanging="2700"/>
        <w:rPr>
          <w:rFonts w:asciiTheme="minorHAnsi" w:eastAsiaTheme="minorHAnsi" w:hAnsiTheme="minorHAnsi" w:cstheme="minorBidi"/>
          <w:sz w:val="22"/>
          <w:szCs w:val="22"/>
          <w:lang w:val="pt-BR"/>
        </w:rPr>
      </w:pPr>
      <w:r w:rsidRPr="0013396E">
        <w:rPr>
          <w:bCs/>
          <w:lang w:val="pt-BR"/>
        </w:rPr>
        <w:t>For an ESR that is not a WSL:</w:t>
      </w:r>
    </w:p>
    <w:p w14:paraId="027F5851" w14:textId="77777777" w:rsidR="00C236A2" w:rsidRPr="0013396E" w:rsidRDefault="00C236A2" w:rsidP="00C236A2">
      <w:pPr>
        <w:tabs>
          <w:tab w:val="left" w:pos="2340"/>
          <w:tab w:val="left" w:pos="3420"/>
        </w:tabs>
        <w:spacing w:after="240"/>
        <w:ind w:left="3420" w:hanging="2700"/>
      </w:pPr>
      <w:r w:rsidRPr="0013396E">
        <w:rPr>
          <w:bCs/>
        </w:rPr>
        <w:t xml:space="preserve">RTCL </w:t>
      </w:r>
      <w:r w:rsidRPr="0013396E">
        <w:rPr>
          <w:bCs/>
          <w:i/>
          <w:vertAlign w:val="subscript"/>
        </w:rPr>
        <w:t>q, r</w:t>
      </w:r>
      <w:r w:rsidRPr="0013396E">
        <w:rPr>
          <w:bCs/>
        </w:rPr>
        <w:t xml:space="preserve"> = </w:t>
      </w:r>
      <w:r w:rsidRPr="0013396E">
        <w:rPr>
          <w:bCs/>
          <w:position w:val="-22"/>
        </w:rPr>
        <w:t xml:space="preserve"> </w:t>
      </w:r>
      <w:r w:rsidRPr="0013396E">
        <w:rPr>
          <w:bCs/>
          <w:position w:val="-20"/>
        </w:rPr>
        <w:object w:dxaOrig="270" w:dyaOrig="435" w14:anchorId="4BE76EC5">
          <v:shape id="_x0000_i1190" type="#_x0000_t75" style="width:12pt;height:24pt" o:ole="">
            <v:imagedata r:id="rId113" o:title=""/>
          </v:shape>
          <o:OLEObject Type="Embed" ProgID="Equation.3" ShapeID="_x0000_i1190" DrawAspect="Content" ObjectID="_1836311468" r:id="rId243"/>
        </w:object>
      </w:r>
      <w:r w:rsidRPr="0013396E">
        <w:rPr>
          <w:bCs/>
        </w:rPr>
        <w:t xml:space="preserve"> MEBR </w:t>
      </w:r>
      <w:r w:rsidRPr="0013396E">
        <w:rPr>
          <w:bCs/>
          <w:i/>
          <w:vertAlign w:val="subscript"/>
        </w:rPr>
        <w:t>q, r, b</w:t>
      </w:r>
      <w:r w:rsidRPr="0013396E">
        <w:rPr>
          <w:bCs/>
        </w:rPr>
        <w:t xml:space="preserve"> </w:t>
      </w:r>
    </w:p>
    <w:p w14:paraId="6A6BD245" w14:textId="77777777" w:rsidR="00C236A2" w:rsidRPr="0013396E" w:rsidRDefault="00C236A2" w:rsidP="00C236A2">
      <w:pPr>
        <w:tabs>
          <w:tab w:val="left" w:pos="2340"/>
          <w:tab w:val="left" w:pos="3420"/>
        </w:tabs>
        <w:spacing w:after="240"/>
        <w:ind w:left="3420" w:hanging="2700"/>
      </w:pPr>
      <w:r w:rsidRPr="0013396E">
        <w:rPr>
          <w:bCs/>
        </w:rPr>
        <w:t>And for an ESR that is a WSL:</w:t>
      </w:r>
    </w:p>
    <w:p w14:paraId="456E9FC6" w14:textId="77777777" w:rsidR="00C236A2" w:rsidRPr="0013396E" w:rsidRDefault="00C236A2" w:rsidP="00C236A2">
      <w:pPr>
        <w:tabs>
          <w:tab w:val="left" w:pos="2340"/>
          <w:tab w:val="left" w:pos="3420"/>
        </w:tabs>
        <w:spacing w:after="240"/>
        <w:ind w:left="3420" w:hanging="2700"/>
        <w:rPr>
          <w:i/>
          <w:vertAlign w:val="subscript"/>
        </w:rPr>
      </w:pPr>
      <w:r w:rsidRPr="0013396E">
        <w:rPr>
          <w:bCs/>
        </w:rPr>
        <w:t xml:space="preserve">RTCL </w:t>
      </w:r>
      <w:r w:rsidRPr="0013396E">
        <w:rPr>
          <w:bCs/>
          <w:i/>
          <w:vertAlign w:val="subscript"/>
        </w:rPr>
        <w:t>q, r</w:t>
      </w:r>
      <w:r w:rsidRPr="0013396E">
        <w:rPr>
          <w:bCs/>
        </w:rPr>
        <w:t xml:space="preserve"> = </w:t>
      </w:r>
      <w:r w:rsidRPr="0013396E">
        <w:rPr>
          <w:bCs/>
          <w:position w:val="-22"/>
        </w:rPr>
        <w:t xml:space="preserve"> </w:t>
      </w:r>
      <w:r w:rsidRPr="0013396E">
        <w:rPr>
          <w:bCs/>
          <w:position w:val="-20"/>
        </w:rPr>
        <w:object w:dxaOrig="270" w:dyaOrig="435" w14:anchorId="089164B2">
          <v:shape id="_x0000_i1191" type="#_x0000_t75" style="width:12pt;height:24pt" o:ole="">
            <v:imagedata r:id="rId113" o:title=""/>
          </v:shape>
          <o:OLEObject Type="Embed" ProgID="Equation.3" ShapeID="_x0000_i1191" DrawAspect="Content" ObjectID="_1836311469" r:id="rId244"/>
        </w:object>
      </w:r>
      <w:r w:rsidRPr="0013396E">
        <w:rPr>
          <w:bCs/>
        </w:rPr>
        <w:t xml:space="preserve"> MEBL </w:t>
      </w:r>
      <w:r w:rsidRPr="0013396E">
        <w:rPr>
          <w:bCs/>
          <w:i/>
          <w:vertAlign w:val="subscript"/>
        </w:rPr>
        <w:t>q, r, b</w:t>
      </w:r>
      <w:r w:rsidRPr="0013396E">
        <w:rPr>
          <w:bCs/>
        </w:rPr>
        <w:t xml:space="preserve"> </w:t>
      </w:r>
    </w:p>
    <w:p w14:paraId="3FF43F54" w14:textId="77777777" w:rsidR="00C236A2" w:rsidRPr="0013396E" w:rsidRDefault="00C236A2" w:rsidP="00C236A2">
      <w:r w:rsidRPr="0013396E">
        <w:t>The above variables are defined as follows:</w:t>
      </w:r>
    </w:p>
    <w:tbl>
      <w:tblPr>
        <w:tblW w:w="9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0"/>
        <w:gridCol w:w="839"/>
        <w:gridCol w:w="6775"/>
      </w:tblGrid>
      <w:tr w:rsidR="00C236A2" w:rsidRPr="0013396E" w14:paraId="5000FA09" w14:textId="77777777" w:rsidTr="0099759E">
        <w:trPr>
          <w:cantSplit/>
          <w:tblHeader/>
        </w:trPr>
        <w:tc>
          <w:tcPr>
            <w:tcW w:w="823" w:type="pct"/>
            <w:tcBorders>
              <w:top w:val="single" w:sz="4" w:space="0" w:color="auto"/>
              <w:left w:val="single" w:sz="4" w:space="0" w:color="auto"/>
              <w:bottom w:val="single" w:sz="4" w:space="0" w:color="auto"/>
              <w:right w:val="single" w:sz="4" w:space="0" w:color="auto"/>
            </w:tcBorders>
            <w:hideMark/>
          </w:tcPr>
          <w:p w14:paraId="182E4F89" w14:textId="77777777" w:rsidR="00C236A2" w:rsidRPr="0013396E" w:rsidRDefault="00C236A2" w:rsidP="0099759E">
            <w:pPr>
              <w:pStyle w:val="TableHead"/>
              <w:spacing w:line="256" w:lineRule="auto"/>
            </w:pPr>
            <w:r w:rsidRPr="0013396E">
              <w:rPr>
                <w:iCs w:val="0"/>
              </w:rPr>
              <w:t>Variable</w:t>
            </w:r>
          </w:p>
        </w:tc>
        <w:tc>
          <w:tcPr>
            <w:tcW w:w="460" w:type="pct"/>
            <w:tcBorders>
              <w:top w:val="single" w:sz="4" w:space="0" w:color="auto"/>
              <w:left w:val="single" w:sz="4" w:space="0" w:color="auto"/>
              <w:bottom w:val="single" w:sz="4" w:space="0" w:color="auto"/>
              <w:right w:val="single" w:sz="4" w:space="0" w:color="auto"/>
            </w:tcBorders>
            <w:hideMark/>
          </w:tcPr>
          <w:p w14:paraId="43AE0253" w14:textId="77777777" w:rsidR="00C236A2" w:rsidRPr="0013396E" w:rsidRDefault="00C236A2" w:rsidP="0099759E">
            <w:pPr>
              <w:pStyle w:val="TableHead"/>
              <w:spacing w:line="256" w:lineRule="auto"/>
            </w:pPr>
            <w:r w:rsidRPr="0013396E">
              <w:t>Unit</w:t>
            </w:r>
          </w:p>
        </w:tc>
        <w:tc>
          <w:tcPr>
            <w:tcW w:w="3716" w:type="pct"/>
            <w:tcBorders>
              <w:top w:val="single" w:sz="4" w:space="0" w:color="auto"/>
              <w:left w:val="single" w:sz="4" w:space="0" w:color="auto"/>
              <w:bottom w:val="single" w:sz="4" w:space="0" w:color="auto"/>
              <w:right w:val="single" w:sz="4" w:space="0" w:color="auto"/>
            </w:tcBorders>
            <w:hideMark/>
          </w:tcPr>
          <w:p w14:paraId="059C15E7" w14:textId="77777777" w:rsidR="00C236A2" w:rsidRPr="0013396E" w:rsidRDefault="00C236A2" w:rsidP="0099759E">
            <w:pPr>
              <w:pStyle w:val="TableHead"/>
              <w:spacing w:line="256" w:lineRule="auto"/>
            </w:pPr>
            <w:r w:rsidRPr="0013396E">
              <w:t>Definition</w:t>
            </w:r>
          </w:p>
        </w:tc>
      </w:tr>
      <w:tr w:rsidR="00C236A2" w:rsidRPr="0013396E" w14:paraId="6DD6A5CA" w14:textId="77777777" w:rsidTr="0099759E">
        <w:trPr>
          <w:cantSplit/>
        </w:trPr>
        <w:tc>
          <w:tcPr>
            <w:tcW w:w="823" w:type="pct"/>
            <w:tcBorders>
              <w:top w:val="single" w:sz="4" w:space="0" w:color="auto"/>
              <w:left w:val="single" w:sz="4" w:space="0" w:color="auto"/>
              <w:bottom w:val="single" w:sz="4" w:space="0" w:color="auto"/>
              <w:right w:val="single" w:sz="4" w:space="0" w:color="auto"/>
            </w:tcBorders>
            <w:hideMark/>
          </w:tcPr>
          <w:p w14:paraId="5085112C" w14:textId="77777777" w:rsidR="00C236A2" w:rsidRPr="0013396E" w:rsidRDefault="00C236A2" w:rsidP="0099759E">
            <w:pPr>
              <w:pStyle w:val="TableBody"/>
              <w:spacing w:line="256" w:lineRule="auto"/>
            </w:pPr>
            <w:r w:rsidRPr="0013396E">
              <w:t xml:space="preserve">VSSEAMT </w:t>
            </w:r>
            <w:r w:rsidRPr="0013396E">
              <w:rPr>
                <w:i/>
                <w:vertAlign w:val="subscript"/>
              </w:rPr>
              <w:t>q, r</w:t>
            </w:r>
          </w:p>
        </w:tc>
        <w:tc>
          <w:tcPr>
            <w:tcW w:w="460" w:type="pct"/>
            <w:tcBorders>
              <w:top w:val="single" w:sz="4" w:space="0" w:color="auto"/>
              <w:left w:val="single" w:sz="4" w:space="0" w:color="auto"/>
              <w:bottom w:val="single" w:sz="4" w:space="0" w:color="auto"/>
              <w:right w:val="single" w:sz="4" w:space="0" w:color="auto"/>
            </w:tcBorders>
            <w:hideMark/>
          </w:tcPr>
          <w:p w14:paraId="1BF0A006" w14:textId="77777777" w:rsidR="00C236A2" w:rsidRPr="0013396E" w:rsidRDefault="00C236A2" w:rsidP="0099759E">
            <w:pPr>
              <w:pStyle w:val="TableBody"/>
              <w:spacing w:line="256" w:lineRule="auto"/>
            </w:pPr>
            <w:r w:rsidRPr="0013396E">
              <w:t>$</w:t>
            </w:r>
          </w:p>
        </w:tc>
        <w:tc>
          <w:tcPr>
            <w:tcW w:w="3716" w:type="pct"/>
            <w:tcBorders>
              <w:top w:val="single" w:sz="4" w:space="0" w:color="auto"/>
              <w:left w:val="single" w:sz="4" w:space="0" w:color="auto"/>
              <w:bottom w:val="single" w:sz="4" w:space="0" w:color="auto"/>
              <w:right w:val="single" w:sz="4" w:space="0" w:color="auto"/>
            </w:tcBorders>
            <w:hideMark/>
          </w:tcPr>
          <w:p w14:paraId="7937D440" w14:textId="77777777" w:rsidR="00C236A2" w:rsidRPr="0013396E" w:rsidRDefault="00C236A2" w:rsidP="0099759E">
            <w:pPr>
              <w:pStyle w:val="TableBody"/>
              <w:spacing w:line="256" w:lineRule="auto"/>
            </w:pPr>
            <w:r w:rsidRPr="0013396E">
              <w:rPr>
                <w:i/>
              </w:rPr>
              <w:t>Voltage Support Service Energy Amount per QSE per Resource</w:t>
            </w:r>
            <w:r w:rsidRPr="0013396E">
              <w:t xml:space="preserve">—The lost opportunity payment to QSE </w:t>
            </w:r>
            <w:r w:rsidRPr="0013396E">
              <w:rPr>
                <w:i/>
              </w:rPr>
              <w:t>q</w:t>
            </w:r>
            <w:r w:rsidRPr="0013396E">
              <w:t xml:space="preserve"> for ERCOT-directed VSS from Resource </w:t>
            </w:r>
            <w:r w:rsidRPr="0013396E">
              <w:rPr>
                <w:i/>
              </w:rPr>
              <w:t>r</w:t>
            </w:r>
            <w:r w:rsidRPr="0013396E">
              <w:t xml:space="preserve"> for the 15-minute Settlement Interval.  Where for a combined cycle resource, </w:t>
            </w:r>
            <w:r w:rsidRPr="0013396E">
              <w:rPr>
                <w:i/>
              </w:rPr>
              <w:t>r</w:t>
            </w:r>
            <w:r w:rsidRPr="0013396E">
              <w:t xml:space="preserve"> is a Combined Cycle Train.</w:t>
            </w:r>
          </w:p>
        </w:tc>
      </w:tr>
      <w:tr w:rsidR="00C236A2" w:rsidRPr="0013396E" w14:paraId="31DBB76B" w14:textId="77777777" w:rsidTr="0099759E">
        <w:trPr>
          <w:cantSplit/>
        </w:trPr>
        <w:tc>
          <w:tcPr>
            <w:tcW w:w="823" w:type="pct"/>
            <w:tcBorders>
              <w:top w:val="single" w:sz="4" w:space="0" w:color="auto"/>
              <w:left w:val="single" w:sz="4" w:space="0" w:color="auto"/>
              <w:bottom w:val="single" w:sz="4" w:space="0" w:color="auto"/>
              <w:right w:val="single" w:sz="4" w:space="0" w:color="auto"/>
            </w:tcBorders>
            <w:hideMark/>
          </w:tcPr>
          <w:p w14:paraId="5EA3310A" w14:textId="77777777" w:rsidR="00C236A2" w:rsidRPr="0013396E" w:rsidRDefault="00C236A2" w:rsidP="0099759E">
            <w:pPr>
              <w:pStyle w:val="TableBody"/>
              <w:spacing w:line="256" w:lineRule="auto"/>
            </w:pPr>
            <w:r w:rsidRPr="0013396E">
              <w:t xml:space="preserve">RTMG </w:t>
            </w:r>
            <w:r w:rsidRPr="0013396E">
              <w:rPr>
                <w:i/>
                <w:vertAlign w:val="subscript"/>
              </w:rPr>
              <w:t>q, r</w:t>
            </w:r>
          </w:p>
        </w:tc>
        <w:tc>
          <w:tcPr>
            <w:tcW w:w="460" w:type="pct"/>
            <w:tcBorders>
              <w:top w:val="single" w:sz="4" w:space="0" w:color="auto"/>
              <w:left w:val="single" w:sz="4" w:space="0" w:color="auto"/>
              <w:bottom w:val="single" w:sz="4" w:space="0" w:color="auto"/>
              <w:right w:val="single" w:sz="4" w:space="0" w:color="auto"/>
            </w:tcBorders>
            <w:hideMark/>
          </w:tcPr>
          <w:p w14:paraId="359D33CF" w14:textId="77777777" w:rsidR="00C236A2" w:rsidRPr="0013396E" w:rsidRDefault="00C236A2" w:rsidP="0099759E">
            <w:pPr>
              <w:pStyle w:val="TableBody"/>
              <w:spacing w:line="256" w:lineRule="auto"/>
            </w:pPr>
            <w:r w:rsidRPr="0013396E">
              <w:t>MWh</w:t>
            </w:r>
          </w:p>
        </w:tc>
        <w:tc>
          <w:tcPr>
            <w:tcW w:w="3716" w:type="pct"/>
            <w:tcBorders>
              <w:top w:val="single" w:sz="4" w:space="0" w:color="auto"/>
              <w:left w:val="single" w:sz="4" w:space="0" w:color="auto"/>
              <w:bottom w:val="single" w:sz="4" w:space="0" w:color="auto"/>
              <w:right w:val="single" w:sz="4" w:space="0" w:color="auto"/>
            </w:tcBorders>
            <w:hideMark/>
          </w:tcPr>
          <w:p w14:paraId="6AD96A9B" w14:textId="77777777" w:rsidR="00C236A2" w:rsidRPr="0013396E" w:rsidRDefault="00C236A2" w:rsidP="0099759E">
            <w:pPr>
              <w:pStyle w:val="TableBody"/>
              <w:spacing w:line="256" w:lineRule="auto"/>
              <w:rPr>
                <w:i/>
              </w:rPr>
            </w:pPr>
            <w:r w:rsidRPr="0013396E">
              <w:rPr>
                <w:i/>
              </w:rPr>
              <w:t>Real-Time Metered Generation per QSE per Resource</w:t>
            </w:r>
            <w:r w:rsidRPr="0013396E">
              <w:t xml:space="preserve">—The Real-Time metered generation of Resource </w:t>
            </w:r>
            <w:r w:rsidRPr="0013396E">
              <w:rPr>
                <w:i/>
              </w:rPr>
              <w:t>r</w:t>
            </w:r>
            <w:r w:rsidRPr="0013396E">
              <w:t xml:space="preserve"> represented by QSE </w:t>
            </w:r>
            <w:r w:rsidRPr="0013396E">
              <w:rPr>
                <w:i/>
              </w:rPr>
              <w:t>q</w:t>
            </w:r>
            <w:r w:rsidRPr="0013396E">
              <w:t xml:space="preserve">, for the 15-minute Settlement Interval.  Where for a combined cycle resource, </w:t>
            </w:r>
            <w:r w:rsidRPr="0013396E">
              <w:rPr>
                <w:i/>
              </w:rPr>
              <w:t>r</w:t>
            </w:r>
            <w:r w:rsidRPr="0013396E">
              <w:t xml:space="preserve"> is a Combined Cycle Train.</w:t>
            </w:r>
          </w:p>
        </w:tc>
      </w:tr>
      <w:tr w:rsidR="00C236A2" w:rsidRPr="0013396E" w14:paraId="180505C3" w14:textId="77777777" w:rsidTr="000B7133">
        <w:trPr>
          <w:cantSplit/>
        </w:trPr>
        <w:tc>
          <w:tcPr>
            <w:tcW w:w="823" w:type="pct"/>
            <w:tcBorders>
              <w:top w:val="single" w:sz="4" w:space="0" w:color="auto"/>
              <w:left w:val="single" w:sz="4" w:space="0" w:color="auto"/>
              <w:bottom w:val="single" w:sz="4" w:space="0" w:color="auto"/>
              <w:right w:val="single" w:sz="4" w:space="0" w:color="auto"/>
            </w:tcBorders>
            <w:hideMark/>
          </w:tcPr>
          <w:p w14:paraId="55184821" w14:textId="77777777" w:rsidR="00C236A2" w:rsidRPr="0013396E" w:rsidRDefault="00C236A2" w:rsidP="0099759E">
            <w:pPr>
              <w:pStyle w:val="TableBody"/>
              <w:spacing w:line="256" w:lineRule="auto"/>
              <w:rPr>
                <w:vertAlign w:val="subscript"/>
              </w:rPr>
            </w:pPr>
            <w:r w:rsidRPr="0013396E">
              <w:t xml:space="preserve">RTSPP </w:t>
            </w:r>
            <w:r w:rsidRPr="0013396E">
              <w:rPr>
                <w:i/>
                <w:vertAlign w:val="subscript"/>
              </w:rPr>
              <w:t>p</w:t>
            </w:r>
          </w:p>
        </w:tc>
        <w:tc>
          <w:tcPr>
            <w:tcW w:w="460" w:type="pct"/>
            <w:tcBorders>
              <w:top w:val="single" w:sz="4" w:space="0" w:color="auto"/>
              <w:left w:val="single" w:sz="4" w:space="0" w:color="auto"/>
              <w:bottom w:val="single" w:sz="4" w:space="0" w:color="auto"/>
              <w:right w:val="single" w:sz="4" w:space="0" w:color="auto"/>
            </w:tcBorders>
            <w:hideMark/>
          </w:tcPr>
          <w:p w14:paraId="1F94060A" w14:textId="77777777" w:rsidR="00C236A2" w:rsidRPr="0013396E" w:rsidRDefault="00C236A2" w:rsidP="0099759E">
            <w:pPr>
              <w:pStyle w:val="TableBody"/>
              <w:spacing w:line="256" w:lineRule="auto"/>
            </w:pPr>
            <w:r w:rsidRPr="0013396E">
              <w:t>$/MWh</w:t>
            </w:r>
          </w:p>
        </w:tc>
        <w:tc>
          <w:tcPr>
            <w:tcW w:w="3716" w:type="pct"/>
            <w:tcBorders>
              <w:top w:val="single" w:sz="4" w:space="0" w:color="auto"/>
              <w:left w:val="single" w:sz="4" w:space="0" w:color="auto"/>
              <w:bottom w:val="single" w:sz="4" w:space="0" w:color="auto"/>
              <w:right w:val="single" w:sz="4" w:space="0" w:color="auto"/>
            </w:tcBorders>
            <w:hideMark/>
          </w:tcPr>
          <w:p w14:paraId="0CB85E44" w14:textId="77777777" w:rsidR="00C236A2" w:rsidRPr="0013396E" w:rsidRDefault="00C236A2" w:rsidP="0099759E">
            <w:pPr>
              <w:pStyle w:val="TableBody"/>
              <w:spacing w:line="256" w:lineRule="auto"/>
              <w:rPr>
                <w:i/>
              </w:rPr>
            </w:pPr>
            <w:r w:rsidRPr="0013396E">
              <w:rPr>
                <w:i/>
              </w:rPr>
              <w:t>Real-Time Settlement Point Price</w:t>
            </w:r>
            <w:r w:rsidRPr="0013396E">
              <w:t xml:space="preserve">—The Real-Time Settlement Point Price at the Resource Node for the 15-minute Settlement Interval.  </w:t>
            </w:r>
          </w:p>
        </w:tc>
      </w:tr>
      <w:tr w:rsidR="00C236A2" w:rsidRPr="0013396E" w14:paraId="69387D8E" w14:textId="77777777" w:rsidTr="000B7133">
        <w:trPr>
          <w:cantSplit/>
        </w:trPr>
        <w:tc>
          <w:tcPr>
            <w:tcW w:w="823" w:type="pct"/>
            <w:tcBorders>
              <w:top w:val="single" w:sz="4" w:space="0" w:color="auto"/>
              <w:left w:val="single" w:sz="4" w:space="0" w:color="auto"/>
              <w:bottom w:val="nil"/>
              <w:right w:val="single" w:sz="4" w:space="0" w:color="auto"/>
            </w:tcBorders>
            <w:hideMark/>
          </w:tcPr>
          <w:p w14:paraId="13BAC004" w14:textId="77777777" w:rsidR="00C236A2" w:rsidRPr="0013396E" w:rsidRDefault="00C236A2" w:rsidP="0099759E">
            <w:pPr>
              <w:pStyle w:val="TableBody"/>
              <w:spacing w:line="256" w:lineRule="auto"/>
            </w:pPr>
            <w:r w:rsidRPr="0013396E">
              <w:rPr>
                <w:iCs w:val="0"/>
              </w:rPr>
              <w:t>RTEOCOST</w:t>
            </w:r>
            <w:r w:rsidRPr="0013396E">
              <w:rPr>
                <w:i/>
                <w:iCs w:val="0"/>
              </w:rPr>
              <w:t xml:space="preserve"> </w:t>
            </w:r>
            <w:r w:rsidRPr="0013396E">
              <w:rPr>
                <w:i/>
                <w:iCs w:val="0"/>
                <w:vertAlign w:val="subscript"/>
              </w:rPr>
              <w:t>q, r, i</w:t>
            </w:r>
          </w:p>
        </w:tc>
        <w:tc>
          <w:tcPr>
            <w:tcW w:w="460" w:type="pct"/>
            <w:tcBorders>
              <w:top w:val="single" w:sz="4" w:space="0" w:color="auto"/>
              <w:left w:val="single" w:sz="4" w:space="0" w:color="auto"/>
              <w:bottom w:val="nil"/>
              <w:right w:val="single" w:sz="4" w:space="0" w:color="auto"/>
            </w:tcBorders>
            <w:hideMark/>
          </w:tcPr>
          <w:p w14:paraId="7E651970" w14:textId="77777777" w:rsidR="00C236A2" w:rsidRPr="0013396E" w:rsidRDefault="00C236A2" w:rsidP="0099759E">
            <w:pPr>
              <w:pStyle w:val="TableBody"/>
              <w:spacing w:line="256" w:lineRule="auto"/>
            </w:pPr>
            <w:r w:rsidRPr="0013396E">
              <w:t>$/MWh</w:t>
            </w:r>
          </w:p>
        </w:tc>
        <w:tc>
          <w:tcPr>
            <w:tcW w:w="3716" w:type="pct"/>
            <w:tcBorders>
              <w:top w:val="single" w:sz="4" w:space="0" w:color="auto"/>
              <w:left w:val="single" w:sz="4" w:space="0" w:color="auto"/>
              <w:bottom w:val="nil"/>
              <w:right w:val="single" w:sz="4" w:space="0" w:color="auto"/>
            </w:tcBorders>
            <w:hideMark/>
          </w:tcPr>
          <w:p w14:paraId="078DE28A" w14:textId="77777777" w:rsidR="00C236A2" w:rsidRPr="0013396E" w:rsidRDefault="00C236A2" w:rsidP="0099759E">
            <w:pPr>
              <w:pStyle w:val="TableBody"/>
              <w:spacing w:line="256" w:lineRule="auto"/>
              <w:rPr>
                <w:i/>
              </w:rPr>
            </w:pPr>
            <w:r w:rsidRPr="0013396E">
              <w:t xml:space="preserve">Real-Time Energy Offer Curve Cost - The Energy Offer Curve Cost for Resource </w:t>
            </w:r>
            <w:r w:rsidRPr="0013396E">
              <w:rPr>
                <w:i/>
              </w:rPr>
              <w:t>r</w:t>
            </w:r>
            <w:r w:rsidRPr="0013396E">
              <w:t xml:space="preserve"> represented by QSE </w:t>
            </w:r>
            <w:r w:rsidRPr="0013396E">
              <w:rPr>
                <w:i/>
              </w:rPr>
              <w:t>q</w:t>
            </w:r>
            <w:r w:rsidRPr="0013396E">
              <w:t xml:space="preserve">, for the Resource’s generation above the LSL for the Settlement Interval </w:t>
            </w:r>
            <w:r w:rsidRPr="0013396E">
              <w:rPr>
                <w:i/>
              </w:rPr>
              <w:t>i</w:t>
            </w:r>
            <w:r w:rsidRPr="0013396E">
              <w:t xml:space="preserve">.  See Section 4.4.9.3.3, Energy Offer Curve Costs.  Where for a Combined Cycle Train, the Resource </w:t>
            </w:r>
            <w:r w:rsidRPr="0013396E">
              <w:rPr>
                <w:i/>
              </w:rPr>
              <w:t>r</w:t>
            </w:r>
            <w:r w:rsidRPr="0013396E">
              <w:t xml:space="preserve"> is the Combined Cycle Train.</w:t>
            </w:r>
          </w:p>
        </w:tc>
      </w:tr>
      <w:tr w:rsidR="00C236A2" w:rsidRPr="0013396E" w14:paraId="1EFA8785" w14:textId="77777777" w:rsidTr="000B7133">
        <w:trPr>
          <w:cantSplit/>
        </w:trPr>
        <w:tc>
          <w:tcPr>
            <w:tcW w:w="5000" w:type="pct"/>
            <w:gridSpan w:val="3"/>
            <w:tcBorders>
              <w:top w:val="nil"/>
              <w:left w:val="single" w:sz="4" w:space="0" w:color="auto"/>
              <w:bottom w:val="single" w:sz="4" w:space="0" w:color="auto"/>
              <w:right w:val="single" w:sz="4" w:space="0" w:color="auto"/>
            </w:tcBorders>
            <w:hideMark/>
          </w:tcPr>
          <w:p w14:paraId="37359DFB" w14:textId="77777777" w:rsidR="00C236A2" w:rsidRPr="0013396E" w:rsidRDefault="00C236A2" w:rsidP="0099759E">
            <w:pPr>
              <w:pStyle w:val="TableBody"/>
              <w:spacing w:line="256" w:lineRule="auto"/>
              <w:rPr>
                <w:i/>
                <w:noProof/>
              </w:rPr>
            </w:pPr>
          </w:p>
        </w:tc>
      </w:tr>
      <w:tr w:rsidR="00C236A2" w:rsidRPr="0013396E" w14:paraId="5EED5E7F" w14:textId="77777777" w:rsidTr="000B7133">
        <w:trPr>
          <w:cantSplit/>
        </w:trPr>
        <w:tc>
          <w:tcPr>
            <w:tcW w:w="823" w:type="pct"/>
            <w:tcBorders>
              <w:top w:val="single" w:sz="4" w:space="0" w:color="auto"/>
              <w:left w:val="single" w:sz="4" w:space="0" w:color="auto"/>
              <w:bottom w:val="single" w:sz="4" w:space="0" w:color="auto"/>
              <w:right w:val="single" w:sz="4" w:space="0" w:color="auto"/>
            </w:tcBorders>
            <w:hideMark/>
          </w:tcPr>
          <w:p w14:paraId="0C2DAAEC" w14:textId="77777777" w:rsidR="00C236A2" w:rsidRPr="0013396E" w:rsidRDefault="00C236A2" w:rsidP="0099759E">
            <w:pPr>
              <w:spacing w:after="60"/>
              <w:rPr>
                <w:iCs/>
                <w:sz w:val="20"/>
              </w:rPr>
            </w:pPr>
            <w:r w:rsidRPr="0013396E">
              <w:rPr>
                <w:iCs/>
                <w:sz w:val="20"/>
              </w:rPr>
              <w:t>NETVSSA</w:t>
            </w:r>
            <w:r w:rsidRPr="0013396E">
              <w:rPr>
                <w:i/>
                <w:iCs/>
                <w:sz w:val="20"/>
                <w:vertAlign w:val="subscript"/>
              </w:rPr>
              <w:t xml:space="preserve"> q, r</w:t>
            </w:r>
          </w:p>
        </w:tc>
        <w:tc>
          <w:tcPr>
            <w:tcW w:w="460" w:type="pct"/>
            <w:tcBorders>
              <w:top w:val="single" w:sz="4" w:space="0" w:color="auto"/>
              <w:left w:val="single" w:sz="4" w:space="0" w:color="auto"/>
              <w:bottom w:val="single" w:sz="4" w:space="0" w:color="auto"/>
              <w:right w:val="single" w:sz="4" w:space="0" w:color="auto"/>
            </w:tcBorders>
            <w:hideMark/>
          </w:tcPr>
          <w:p w14:paraId="4F02DCA7" w14:textId="77777777" w:rsidR="00C236A2" w:rsidRPr="0013396E" w:rsidRDefault="00C236A2" w:rsidP="0099759E">
            <w:pPr>
              <w:spacing w:after="60"/>
              <w:rPr>
                <w:iCs/>
                <w:sz w:val="20"/>
              </w:rPr>
            </w:pPr>
            <w:r w:rsidRPr="0013396E">
              <w:rPr>
                <w:iCs/>
                <w:sz w:val="20"/>
              </w:rPr>
              <w:t>MWh</w:t>
            </w:r>
          </w:p>
        </w:tc>
        <w:tc>
          <w:tcPr>
            <w:tcW w:w="3716" w:type="pct"/>
            <w:tcBorders>
              <w:top w:val="single" w:sz="4" w:space="0" w:color="auto"/>
              <w:left w:val="single" w:sz="4" w:space="0" w:color="auto"/>
              <w:bottom w:val="single" w:sz="4" w:space="0" w:color="auto"/>
              <w:right w:val="single" w:sz="4" w:space="0" w:color="auto"/>
            </w:tcBorders>
            <w:hideMark/>
          </w:tcPr>
          <w:p w14:paraId="3BD7BFFF" w14:textId="77777777" w:rsidR="00C236A2" w:rsidRPr="0013396E" w:rsidRDefault="00C236A2" w:rsidP="0099759E">
            <w:pPr>
              <w:spacing w:after="60"/>
              <w:rPr>
                <w:i/>
                <w:iCs/>
                <w:sz w:val="20"/>
              </w:rPr>
            </w:pPr>
            <w:r w:rsidRPr="0013396E">
              <w:rPr>
                <w:i/>
                <w:iCs/>
                <w:sz w:val="20"/>
              </w:rPr>
              <w:t>Net VSS Activity</w:t>
            </w:r>
            <w:r w:rsidRPr="0013396E">
              <w:rPr>
                <w:iCs/>
                <w:sz w:val="20"/>
              </w:rPr>
              <w:t xml:space="preserve">—The sum of the total energy metered by the Settlement Meter which measures ESR load and the RTMG, for Resource </w:t>
            </w:r>
            <w:r w:rsidRPr="0013396E">
              <w:rPr>
                <w:i/>
                <w:iCs/>
                <w:sz w:val="20"/>
              </w:rPr>
              <w:t xml:space="preserve">r </w:t>
            </w:r>
            <w:r w:rsidRPr="0013396E">
              <w:rPr>
                <w:iCs/>
                <w:sz w:val="20"/>
              </w:rPr>
              <w:t xml:space="preserve">represented by the QSE </w:t>
            </w:r>
            <w:r w:rsidRPr="0013396E">
              <w:rPr>
                <w:i/>
                <w:iCs/>
                <w:sz w:val="20"/>
              </w:rPr>
              <w:t xml:space="preserve">q </w:t>
            </w:r>
            <w:r w:rsidRPr="0013396E">
              <w:rPr>
                <w:iCs/>
                <w:sz w:val="20"/>
              </w:rPr>
              <w:t xml:space="preserve">for the 15-minute Settlement Interval. </w:t>
            </w:r>
          </w:p>
        </w:tc>
      </w:tr>
      <w:tr w:rsidR="00C236A2" w:rsidRPr="0013396E" w14:paraId="05FA1BFC" w14:textId="77777777" w:rsidTr="000B7133">
        <w:trPr>
          <w:cantSplit/>
        </w:trPr>
        <w:tc>
          <w:tcPr>
            <w:tcW w:w="823" w:type="pct"/>
            <w:tcBorders>
              <w:top w:val="single" w:sz="4" w:space="0" w:color="auto"/>
              <w:left w:val="single" w:sz="4" w:space="0" w:color="auto"/>
              <w:bottom w:val="single" w:sz="4" w:space="0" w:color="auto"/>
              <w:right w:val="single" w:sz="4" w:space="0" w:color="auto"/>
            </w:tcBorders>
            <w:hideMark/>
          </w:tcPr>
          <w:p w14:paraId="534F0534" w14:textId="77777777" w:rsidR="00C236A2" w:rsidRPr="0013396E" w:rsidRDefault="00C236A2" w:rsidP="0099759E">
            <w:pPr>
              <w:spacing w:after="60"/>
              <w:rPr>
                <w:iCs/>
                <w:sz w:val="20"/>
              </w:rPr>
            </w:pPr>
            <w:r w:rsidRPr="0013396E">
              <w:rPr>
                <w:iCs/>
                <w:sz w:val="20"/>
              </w:rPr>
              <w:t xml:space="preserve">RTCL </w:t>
            </w:r>
            <w:r w:rsidRPr="0013396E">
              <w:rPr>
                <w:i/>
                <w:iCs/>
                <w:sz w:val="20"/>
                <w:vertAlign w:val="subscript"/>
              </w:rPr>
              <w:t>q, r</w:t>
            </w:r>
          </w:p>
        </w:tc>
        <w:tc>
          <w:tcPr>
            <w:tcW w:w="460" w:type="pct"/>
            <w:tcBorders>
              <w:top w:val="single" w:sz="4" w:space="0" w:color="auto"/>
              <w:left w:val="single" w:sz="4" w:space="0" w:color="auto"/>
              <w:bottom w:val="single" w:sz="4" w:space="0" w:color="auto"/>
              <w:right w:val="single" w:sz="4" w:space="0" w:color="auto"/>
            </w:tcBorders>
            <w:hideMark/>
          </w:tcPr>
          <w:p w14:paraId="19877848" w14:textId="77777777" w:rsidR="00C236A2" w:rsidRPr="0013396E" w:rsidRDefault="00C236A2" w:rsidP="0099759E">
            <w:pPr>
              <w:spacing w:after="60"/>
              <w:rPr>
                <w:iCs/>
                <w:sz w:val="20"/>
              </w:rPr>
            </w:pPr>
            <w:r w:rsidRPr="0013396E">
              <w:rPr>
                <w:iCs/>
                <w:sz w:val="20"/>
              </w:rPr>
              <w:t>MWh</w:t>
            </w:r>
          </w:p>
        </w:tc>
        <w:tc>
          <w:tcPr>
            <w:tcW w:w="3716" w:type="pct"/>
            <w:tcBorders>
              <w:top w:val="single" w:sz="4" w:space="0" w:color="auto"/>
              <w:left w:val="single" w:sz="4" w:space="0" w:color="auto"/>
              <w:bottom w:val="single" w:sz="4" w:space="0" w:color="auto"/>
              <w:right w:val="single" w:sz="4" w:space="0" w:color="auto"/>
            </w:tcBorders>
            <w:hideMark/>
          </w:tcPr>
          <w:p w14:paraId="7D1E1434" w14:textId="77777777" w:rsidR="00C236A2" w:rsidRPr="0013396E" w:rsidRDefault="00C236A2" w:rsidP="0099759E">
            <w:pPr>
              <w:spacing w:after="60"/>
              <w:rPr>
                <w:iCs/>
                <w:sz w:val="20"/>
              </w:rPr>
            </w:pPr>
            <w:r w:rsidRPr="0013396E">
              <w:rPr>
                <w:i/>
                <w:iCs/>
                <w:sz w:val="20"/>
              </w:rPr>
              <w:t xml:space="preserve">Real-Time Charging Load per QSE per Resource </w:t>
            </w:r>
            <w:r w:rsidRPr="0013396E">
              <w:rPr>
                <w:iCs/>
                <w:sz w:val="20"/>
              </w:rPr>
              <w:t xml:space="preserve">—The charging load for Resource </w:t>
            </w:r>
            <w:r w:rsidRPr="0013396E">
              <w:rPr>
                <w:i/>
                <w:iCs/>
                <w:sz w:val="20"/>
              </w:rPr>
              <w:t xml:space="preserve">r </w:t>
            </w:r>
            <w:r w:rsidRPr="0013396E">
              <w:rPr>
                <w:iCs/>
                <w:sz w:val="20"/>
              </w:rPr>
              <w:t xml:space="preserve">represented by the QSE </w:t>
            </w:r>
            <w:r w:rsidRPr="0013396E">
              <w:rPr>
                <w:i/>
                <w:iCs/>
                <w:sz w:val="20"/>
              </w:rPr>
              <w:t>q</w:t>
            </w:r>
            <w:r w:rsidRPr="0013396E">
              <w:rPr>
                <w:iCs/>
                <w:sz w:val="20"/>
              </w:rPr>
              <w:t>, represented as a negative value,</w:t>
            </w:r>
            <w:r w:rsidRPr="0013396E">
              <w:rPr>
                <w:i/>
                <w:iCs/>
                <w:sz w:val="20"/>
              </w:rPr>
              <w:t xml:space="preserve"> </w:t>
            </w:r>
            <w:r w:rsidRPr="0013396E">
              <w:rPr>
                <w:iCs/>
                <w:sz w:val="20"/>
              </w:rPr>
              <w:t xml:space="preserve">for the 15-minute Settlement Interval. </w:t>
            </w:r>
          </w:p>
        </w:tc>
      </w:tr>
      <w:tr w:rsidR="00C236A2" w:rsidRPr="0013396E" w14:paraId="43EA4D09" w14:textId="77777777" w:rsidTr="0099759E">
        <w:trPr>
          <w:cantSplit/>
        </w:trPr>
        <w:tc>
          <w:tcPr>
            <w:tcW w:w="823" w:type="pct"/>
            <w:tcBorders>
              <w:top w:val="single" w:sz="4" w:space="0" w:color="auto"/>
              <w:left w:val="single" w:sz="4" w:space="0" w:color="auto"/>
              <w:bottom w:val="single" w:sz="4" w:space="0" w:color="auto"/>
              <w:right w:val="single" w:sz="4" w:space="0" w:color="auto"/>
            </w:tcBorders>
            <w:hideMark/>
          </w:tcPr>
          <w:p w14:paraId="67104738" w14:textId="77777777" w:rsidR="00C236A2" w:rsidRPr="0013396E" w:rsidRDefault="00C236A2" w:rsidP="0099759E">
            <w:pPr>
              <w:spacing w:after="60"/>
              <w:rPr>
                <w:iCs/>
                <w:sz w:val="20"/>
              </w:rPr>
            </w:pPr>
            <w:r w:rsidRPr="0013396E">
              <w:rPr>
                <w:bCs/>
                <w:iCs/>
                <w:sz w:val="20"/>
              </w:rPr>
              <w:t xml:space="preserve">MEBL </w:t>
            </w:r>
            <w:r w:rsidRPr="0013396E">
              <w:rPr>
                <w:bCs/>
                <w:i/>
                <w:iCs/>
                <w:sz w:val="20"/>
                <w:vertAlign w:val="subscript"/>
              </w:rPr>
              <w:t>q, r, b</w:t>
            </w:r>
          </w:p>
        </w:tc>
        <w:tc>
          <w:tcPr>
            <w:tcW w:w="460" w:type="pct"/>
            <w:tcBorders>
              <w:top w:val="single" w:sz="4" w:space="0" w:color="auto"/>
              <w:left w:val="single" w:sz="4" w:space="0" w:color="auto"/>
              <w:bottom w:val="single" w:sz="4" w:space="0" w:color="auto"/>
              <w:right w:val="single" w:sz="4" w:space="0" w:color="auto"/>
            </w:tcBorders>
            <w:hideMark/>
          </w:tcPr>
          <w:p w14:paraId="768923C8" w14:textId="77777777" w:rsidR="00C236A2" w:rsidRPr="0013396E" w:rsidRDefault="00C236A2" w:rsidP="0099759E">
            <w:pPr>
              <w:spacing w:after="60"/>
              <w:rPr>
                <w:iCs/>
                <w:sz w:val="20"/>
              </w:rPr>
            </w:pPr>
            <w:r w:rsidRPr="0013396E">
              <w:rPr>
                <w:iCs/>
                <w:sz w:val="20"/>
              </w:rPr>
              <w:t>MWh</w:t>
            </w:r>
          </w:p>
        </w:tc>
        <w:tc>
          <w:tcPr>
            <w:tcW w:w="3716" w:type="pct"/>
            <w:tcBorders>
              <w:top w:val="single" w:sz="4" w:space="0" w:color="auto"/>
              <w:left w:val="single" w:sz="4" w:space="0" w:color="auto"/>
              <w:bottom w:val="single" w:sz="4" w:space="0" w:color="auto"/>
              <w:right w:val="single" w:sz="4" w:space="0" w:color="auto"/>
            </w:tcBorders>
            <w:hideMark/>
          </w:tcPr>
          <w:p w14:paraId="062E93D7" w14:textId="77777777" w:rsidR="00C236A2" w:rsidRPr="0013396E" w:rsidRDefault="00C236A2" w:rsidP="0099759E">
            <w:pPr>
              <w:spacing w:after="60"/>
              <w:rPr>
                <w:i/>
                <w:iCs/>
                <w:sz w:val="20"/>
              </w:rPr>
            </w:pPr>
            <w:r w:rsidRPr="0013396E">
              <w:rPr>
                <w:i/>
                <w:iCs/>
                <w:sz w:val="20"/>
              </w:rPr>
              <w:t>Metered Energy for Wholesale Storage Load at Bus</w:t>
            </w:r>
            <w:r w:rsidRPr="0013396E">
              <w:rPr>
                <w:iCs/>
                <w:sz w:val="20"/>
              </w:rPr>
              <w:sym w:font="Symbol" w:char="F0BE"/>
            </w:r>
            <w:r w:rsidRPr="0013396E">
              <w:rPr>
                <w:iCs/>
                <w:sz w:val="20"/>
              </w:rPr>
              <w:t xml:space="preserve">The WSL energy metered by the Settlement Meter which measures WSL for the 15-minute Settlement Interval represented as a negative value, for the QSE </w:t>
            </w:r>
            <w:r w:rsidRPr="0013396E">
              <w:rPr>
                <w:i/>
                <w:iCs/>
                <w:sz w:val="20"/>
              </w:rPr>
              <w:t>q</w:t>
            </w:r>
            <w:r w:rsidRPr="0013396E">
              <w:rPr>
                <w:iCs/>
                <w:sz w:val="20"/>
              </w:rPr>
              <w:t xml:space="preserve">, Resource </w:t>
            </w:r>
            <w:r w:rsidRPr="0013396E">
              <w:rPr>
                <w:i/>
                <w:iCs/>
                <w:sz w:val="20"/>
              </w:rPr>
              <w:t>r</w:t>
            </w:r>
            <w:r w:rsidRPr="0013396E">
              <w:rPr>
                <w:iCs/>
                <w:sz w:val="20"/>
              </w:rPr>
              <w:t xml:space="preserve">, at bus </w:t>
            </w:r>
            <w:r w:rsidRPr="0013396E">
              <w:rPr>
                <w:i/>
                <w:iCs/>
                <w:sz w:val="20"/>
              </w:rPr>
              <w:t>b</w:t>
            </w:r>
            <w:r w:rsidRPr="0013396E">
              <w:rPr>
                <w:iCs/>
                <w:sz w:val="20"/>
              </w:rPr>
              <w:t xml:space="preserve">.  </w:t>
            </w:r>
          </w:p>
        </w:tc>
      </w:tr>
      <w:tr w:rsidR="00C236A2" w:rsidRPr="0013396E" w14:paraId="047D6C0A" w14:textId="77777777" w:rsidTr="0099759E">
        <w:trPr>
          <w:cantSplit/>
        </w:trPr>
        <w:tc>
          <w:tcPr>
            <w:tcW w:w="823" w:type="pct"/>
            <w:tcBorders>
              <w:top w:val="single" w:sz="4" w:space="0" w:color="auto"/>
              <w:left w:val="single" w:sz="4" w:space="0" w:color="auto"/>
              <w:bottom w:val="single" w:sz="4" w:space="0" w:color="auto"/>
              <w:right w:val="single" w:sz="4" w:space="0" w:color="auto"/>
            </w:tcBorders>
            <w:hideMark/>
          </w:tcPr>
          <w:p w14:paraId="0E9A3960" w14:textId="77777777" w:rsidR="00C236A2" w:rsidRPr="0013396E" w:rsidRDefault="00C236A2" w:rsidP="0099759E">
            <w:pPr>
              <w:spacing w:after="60"/>
              <w:rPr>
                <w:iCs/>
                <w:sz w:val="20"/>
              </w:rPr>
            </w:pPr>
            <w:r w:rsidRPr="0013396E">
              <w:rPr>
                <w:iCs/>
                <w:sz w:val="20"/>
              </w:rPr>
              <w:t xml:space="preserve">MEBR </w:t>
            </w:r>
            <w:r w:rsidRPr="0013396E">
              <w:rPr>
                <w:i/>
                <w:iCs/>
                <w:sz w:val="20"/>
                <w:vertAlign w:val="subscript"/>
              </w:rPr>
              <w:t>q, r, b</w:t>
            </w:r>
          </w:p>
        </w:tc>
        <w:tc>
          <w:tcPr>
            <w:tcW w:w="460" w:type="pct"/>
            <w:tcBorders>
              <w:top w:val="single" w:sz="4" w:space="0" w:color="auto"/>
              <w:left w:val="single" w:sz="4" w:space="0" w:color="auto"/>
              <w:bottom w:val="single" w:sz="4" w:space="0" w:color="auto"/>
              <w:right w:val="single" w:sz="4" w:space="0" w:color="auto"/>
            </w:tcBorders>
            <w:hideMark/>
          </w:tcPr>
          <w:p w14:paraId="4D97C8F4" w14:textId="77777777" w:rsidR="00C236A2" w:rsidRPr="0013396E" w:rsidRDefault="00C236A2" w:rsidP="0099759E">
            <w:pPr>
              <w:spacing w:after="60"/>
              <w:rPr>
                <w:iCs/>
                <w:sz w:val="20"/>
              </w:rPr>
            </w:pPr>
            <w:r w:rsidRPr="0013396E">
              <w:rPr>
                <w:iCs/>
                <w:sz w:val="20"/>
              </w:rPr>
              <w:t>MWh</w:t>
            </w:r>
          </w:p>
        </w:tc>
        <w:tc>
          <w:tcPr>
            <w:tcW w:w="3716" w:type="pct"/>
            <w:tcBorders>
              <w:top w:val="single" w:sz="4" w:space="0" w:color="auto"/>
              <w:left w:val="single" w:sz="4" w:space="0" w:color="auto"/>
              <w:bottom w:val="single" w:sz="4" w:space="0" w:color="auto"/>
              <w:right w:val="single" w:sz="4" w:space="0" w:color="auto"/>
            </w:tcBorders>
            <w:hideMark/>
          </w:tcPr>
          <w:p w14:paraId="53051181" w14:textId="77777777" w:rsidR="00C236A2" w:rsidRPr="0013396E" w:rsidRDefault="00C236A2" w:rsidP="0099759E">
            <w:pPr>
              <w:spacing w:after="60"/>
              <w:rPr>
                <w:i/>
                <w:iCs/>
                <w:sz w:val="20"/>
              </w:rPr>
            </w:pPr>
            <w:r w:rsidRPr="0013396E">
              <w:rPr>
                <w:i/>
                <w:iCs/>
                <w:sz w:val="20"/>
              </w:rPr>
              <w:t xml:space="preserve">Metered Energy for Energy Storage Resource load at Bus </w:t>
            </w:r>
            <w:r w:rsidRPr="0013396E">
              <w:rPr>
                <w:iCs/>
                <w:sz w:val="20"/>
              </w:rPr>
              <w:t xml:space="preserve">- The energy metered by the Settlement Meter which measures ESR load that is not WSL for the 15-minute Settlement Interval represented as a negative value, for the QSE </w:t>
            </w:r>
            <w:r w:rsidRPr="0013396E">
              <w:rPr>
                <w:i/>
                <w:iCs/>
                <w:sz w:val="20"/>
              </w:rPr>
              <w:t>q</w:t>
            </w:r>
            <w:r w:rsidRPr="0013396E">
              <w:rPr>
                <w:iCs/>
                <w:sz w:val="20"/>
              </w:rPr>
              <w:t xml:space="preserve">, Resource </w:t>
            </w:r>
            <w:r w:rsidRPr="0013396E">
              <w:rPr>
                <w:i/>
                <w:iCs/>
                <w:sz w:val="20"/>
              </w:rPr>
              <w:t>r</w:t>
            </w:r>
            <w:r w:rsidRPr="0013396E">
              <w:rPr>
                <w:iCs/>
                <w:sz w:val="20"/>
              </w:rPr>
              <w:t xml:space="preserve">, at bus </w:t>
            </w:r>
            <w:r w:rsidRPr="0013396E">
              <w:rPr>
                <w:i/>
                <w:iCs/>
                <w:sz w:val="20"/>
              </w:rPr>
              <w:t>b</w:t>
            </w:r>
            <w:r w:rsidRPr="0013396E">
              <w:rPr>
                <w:iCs/>
                <w:sz w:val="20"/>
              </w:rPr>
              <w:t xml:space="preserve">.  </w:t>
            </w:r>
            <w:r w:rsidRPr="0013396E">
              <w:rPr>
                <w:i/>
                <w:iCs/>
                <w:sz w:val="20"/>
              </w:rPr>
              <w:t xml:space="preserve"> </w:t>
            </w:r>
          </w:p>
        </w:tc>
      </w:tr>
      <w:tr w:rsidR="00C236A2" w:rsidRPr="0013396E" w14:paraId="1008FF18" w14:textId="77777777" w:rsidTr="0099759E">
        <w:trPr>
          <w:cantSplit/>
        </w:trPr>
        <w:tc>
          <w:tcPr>
            <w:tcW w:w="823" w:type="pct"/>
            <w:tcBorders>
              <w:top w:val="single" w:sz="4" w:space="0" w:color="auto"/>
              <w:left w:val="single" w:sz="4" w:space="0" w:color="auto"/>
              <w:bottom w:val="single" w:sz="4" w:space="0" w:color="auto"/>
              <w:right w:val="single" w:sz="4" w:space="0" w:color="auto"/>
            </w:tcBorders>
            <w:hideMark/>
          </w:tcPr>
          <w:p w14:paraId="5AA67DDE" w14:textId="532A6ECA" w:rsidR="00C236A2" w:rsidRPr="0013396E" w:rsidRDefault="00C236A2" w:rsidP="0099759E">
            <w:pPr>
              <w:pStyle w:val="TableBody"/>
              <w:spacing w:line="256" w:lineRule="auto"/>
            </w:pPr>
            <w:r w:rsidRPr="0013396E">
              <w:rPr>
                <w:iCs w:val="0"/>
              </w:rPr>
              <w:lastRenderedPageBreak/>
              <w:t xml:space="preserve">HSL </w:t>
            </w:r>
            <w:r w:rsidRPr="0013396E">
              <w:rPr>
                <w:i/>
                <w:iCs w:val="0"/>
                <w:vertAlign w:val="subscript"/>
              </w:rPr>
              <w:t>q, r</w:t>
            </w:r>
          </w:p>
        </w:tc>
        <w:tc>
          <w:tcPr>
            <w:tcW w:w="460" w:type="pct"/>
            <w:tcBorders>
              <w:top w:val="single" w:sz="4" w:space="0" w:color="auto"/>
              <w:left w:val="single" w:sz="4" w:space="0" w:color="auto"/>
              <w:bottom w:val="single" w:sz="4" w:space="0" w:color="auto"/>
              <w:right w:val="single" w:sz="4" w:space="0" w:color="auto"/>
            </w:tcBorders>
            <w:hideMark/>
          </w:tcPr>
          <w:p w14:paraId="40379D5E" w14:textId="77777777" w:rsidR="00C236A2" w:rsidRPr="0013396E" w:rsidRDefault="00C236A2" w:rsidP="0099759E">
            <w:pPr>
              <w:pStyle w:val="TableBody"/>
              <w:spacing w:line="256" w:lineRule="auto"/>
            </w:pPr>
            <w:r w:rsidRPr="0013396E">
              <w:t>MW</w:t>
            </w:r>
          </w:p>
        </w:tc>
        <w:tc>
          <w:tcPr>
            <w:tcW w:w="3716" w:type="pct"/>
            <w:tcBorders>
              <w:top w:val="single" w:sz="4" w:space="0" w:color="auto"/>
              <w:left w:val="single" w:sz="4" w:space="0" w:color="auto"/>
              <w:bottom w:val="single" w:sz="4" w:space="0" w:color="auto"/>
              <w:right w:val="single" w:sz="4" w:space="0" w:color="auto"/>
            </w:tcBorders>
            <w:hideMark/>
          </w:tcPr>
          <w:p w14:paraId="309CF252" w14:textId="77777777" w:rsidR="00C236A2" w:rsidRPr="0013396E" w:rsidRDefault="00C236A2" w:rsidP="0099759E">
            <w:pPr>
              <w:pStyle w:val="TableBody"/>
              <w:spacing w:line="256" w:lineRule="auto"/>
            </w:pPr>
            <w:r w:rsidRPr="0013396E">
              <w:rPr>
                <w:i/>
              </w:rPr>
              <w:t>High Sustained Limit per QSE per Settlement Point per Resource</w:t>
            </w:r>
            <w:r w:rsidRPr="0013396E">
              <w:t xml:space="preserve">—The HSL of Resource </w:t>
            </w:r>
            <w:r w:rsidRPr="0013396E">
              <w:rPr>
                <w:i/>
              </w:rPr>
              <w:t>r</w:t>
            </w:r>
            <w:r w:rsidRPr="0013396E">
              <w:t xml:space="preserve"> represented by QSE </w:t>
            </w:r>
            <w:r w:rsidRPr="0013396E">
              <w:rPr>
                <w:i/>
              </w:rPr>
              <w:t>q</w:t>
            </w:r>
            <w:r w:rsidRPr="0013396E">
              <w:t xml:space="preserve"> at Resource Node </w:t>
            </w:r>
            <w:r w:rsidRPr="0013396E">
              <w:rPr>
                <w:i/>
              </w:rPr>
              <w:t>p</w:t>
            </w:r>
            <w:r w:rsidRPr="0013396E">
              <w:t xml:space="preserve"> for the hour that includes the 15-minute Settlement Interval.  Where for a combined cycle resource, </w:t>
            </w:r>
            <w:r w:rsidRPr="0013396E">
              <w:rPr>
                <w:i/>
              </w:rPr>
              <w:t>r</w:t>
            </w:r>
            <w:r w:rsidRPr="0013396E">
              <w:t xml:space="preserve"> is a Combined Cycle Generation Resource.</w:t>
            </w:r>
          </w:p>
        </w:tc>
      </w:tr>
      <w:tr w:rsidR="00C236A2" w:rsidRPr="0013396E" w14:paraId="72F1008D" w14:textId="77777777" w:rsidTr="0099759E">
        <w:trPr>
          <w:cantSplit/>
        </w:trPr>
        <w:tc>
          <w:tcPr>
            <w:tcW w:w="823" w:type="pct"/>
            <w:tcBorders>
              <w:top w:val="single" w:sz="4" w:space="0" w:color="auto"/>
              <w:left w:val="single" w:sz="4" w:space="0" w:color="auto"/>
              <w:bottom w:val="single" w:sz="4" w:space="0" w:color="auto"/>
              <w:right w:val="single" w:sz="4" w:space="0" w:color="auto"/>
            </w:tcBorders>
            <w:hideMark/>
          </w:tcPr>
          <w:p w14:paraId="442F0440" w14:textId="55B066B2" w:rsidR="00C236A2" w:rsidRPr="0013396E" w:rsidRDefault="00C236A2" w:rsidP="0099759E">
            <w:pPr>
              <w:pStyle w:val="TableBody"/>
              <w:spacing w:line="256" w:lineRule="auto"/>
            </w:pPr>
            <w:r w:rsidRPr="0013396E">
              <w:t xml:space="preserve">LSL </w:t>
            </w:r>
            <w:r w:rsidRPr="0013396E">
              <w:rPr>
                <w:i/>
                <w:vertAlign w:val="subscript"/>
              </w:rPr>
              <w:t>q, r</w:t>
            </w:r>
          </w:p>
        </w:tc>
        <w:tc>
          <w:tcPr>
            <w:tcW w:w="460" w:type="pct"/>
            <w:tcBorders>
              <w:top w:val="single" w:sz="4" w:space="0" w:color="auto"/>
              <w:left w:val="single" w:sz="4" w:space="0" w:color="auto"/>
              <w:bottom w:val="single" w:sz="4" w:space="0" w:color="auto"/>
              <w:right w:val="single" w:sz="4" w:space="0" w:color="auto"/>
            </w:tcBorders>
            <w:hideMark/>
          </w:tcPr>
          <w:p w14:paraId="5AC2DE7E" w14:textId="77777777" w:rsidR="00C236A2" w:rsidRPr="0013396E" w:rsidRDefault="00C236A2" w:rsidP="0099759E">
            <w:pPr>
              <w:pStyle w:val="TableBody"/>
              <w:spacing w:line="256" w:lineRule="auto"/>
            </w:pPr>
            <w:r w:rsidRPr="0013396E">
              <w:t>MW</w:t>
            </w:r>
          </w:p>
        </w:tc>
        <w:tc>
          <w:tcPr>
            <w:tcW w:w="3716" w:type="pct"/>
            <w:tcBorders>
              <w:top w:val="single" w:sz="4" w:space="0" w:color="auto"/>
              <w:left w:val="single" w:sz="4" w:space="0" w:color="auto"/>
              <w:bottom w:val="single" w:sz="4" w:space="0" w:color="auto"/>
              <w:right w:val="single" w:sz="4" w:space="0" w:color="auto"/>
            </w:tcBorders>
            <w:hideMark/>
          </w:tcPr>
          <w:p w14:paraId="00DE806A" w14:textId="77777777" w:rsidR="00C236A2" w:rsidRPr="0013396E" w:rsidRDefault="00C236A2" w:rsidP="0099759E">
            <w:pPr>
              <w:pStyle w:val="TableBody"/>
              <w:spacing w:line="256" w:lineRule="auto"/>
            </w:pPr>
            <w:r w:rsidRPr="0013396E">
              <w:rPr>
                <w:i/>
              </w:rPr>
              <w:t>Low Sustained Limit per QSE per Settlement Point per Resource</w:t>
            </w:r>
            <w:r w:rsidRPr="0013396E">
              <w:t xml:space="preserve">—The LSL of Resource </w:t>
            </w:r>
            <w:r w:rsidRPr="0013396E">
              <w:rPr>
                <w:i/>
              </w:rPr>
              <w:t>r</w:t>
            </w:r>
            <w:r w:rsidRPr="0013396E">
              <w:t xml:space="preserve"> represented by QSE </w:t>
            </w:r>
            <w:r w:rsidRPr="0013396E">
              <w:rPr>
                <w:i/>
              </w:rPr>
              <w:t>q</w:t>
            </w:r>
            <w:r w:rsidRPr="0013396E">
              <w:t xml:space="preserve"> at Resource Node </w:t>
            </w:r>
            <w:r w:rsidRPr="0013396E">
              <w:rPr>
                <w:i/>
              </w:rPr>
              <w:t>p</w:t>
            </w:r>
            <w:r w:rsidRPr="0013396E">
              <w:t xml:space="preserve"> for the hour that includes the 15-minute Settlement Interval.  Where for a combined cycle resource, </w:t>
            </w:r>
            <w:r w:rsidRPr="0013396E">
              <w:rPr>
                <w:i/>
              </w:rPr>
              <w:t>r</w:t>
            </w:r>
            <w:r w:rsidRPr="0013396E">
              <w:t xml:space="preserve"> is a Combined Cycle Generation Resource.</w:t>
            </w:r>
          </w:p>
        </w:tc>
      </w:tr>
      <w:tr w:rsidR="00C236A2" w:rsidRPr="0013396E" w14:paraId="432ABD10" w14:textId="77777777" w:rsidTr="0099759E">
        <w:trPr>
          <w:cantSplit/>
        </w:trPr>
        <w:tc>
          <w:tcPr>
            <w:tcW w:w="823" w:type="pct"/>
            <w:tcBorders>
              <w:top w:val="single" w:sz="4" w:space="0" w:color="auto"/>
              <w:left w:val="single" w:sz="4" w:space="0" w:color="auto"/>
              <w:bottom w:val="single" w:sz="4" w:space="0" w:color="auto"/>
              <w:right w:val="single" w:sz="4" w:space="0" w:color="auto"/>
            </w:tcBorders>
            <w:hideMark/>
          </w:tcPr>
          <w:p w14:paraId="22AF1B36" w14:textId="77777777" w:rsidR="00C236A2" w:rsidRPr="0013396E" w:rsidRDefault="00C236A2" w:rsidP="0099759E">
            <w:pPr>
              <w:pStyle w:val="TableBody"/>
              <w:spacing w:line="256" w:lineRule="auto"/>
              <w:rPr>
                <w:i/>
              </w:rPr>
            </w:pPr>
            <w:r w:rsidRPr="0013396E">
              <w:rPr>
                <w:i/>
              </w:rPr>
              <w:t>q</w:t>
            </w:r>
          </w:p>
        </w:tc>
        <w:tc>
          <w:tcPr>
            <w:tcW w:w="460" w:type="pct"/>
            <w:tcBorders>
              <w:top w:val="single" w:sz="4" w:space="0" w:color="auto"/>
              <w:left w:val="single" w:sz="4" w:space="0" w:color="auto"/>
              <w:bottom w:val="single" w:sz="4" w:space="0" w:color="auto"/>
              <w:right w:val="single" w:sz="4" w:space="0" w:color="auto"/>
            </w:tcBorders>
            <w:hideMark/>
          </w:tcPr>
          <w:p w14:paraId="32B39A8B" w14:textId="77777777" w:rsidR="00C236A2" w:rsidRPr="0013396E" w:rsidRDefault="00C236A2" w:rsidP="0099759E">
            <w:pPr>
              <w:pStyle w:val="TableBody"/>
              <w:spacing w:line="256" w:lineRule="auto"/>
            </w:pPr>
            <w:r w:rsidRPr="0013396E">
              <w:t>none</w:t>
            </w:r>
          </w:p>
        </w:tc>
        <w:tc>
          <w:tcPr>
            <w:tcW w:w="3716" w:type="pct"/>
            <w:tcBorders>
              <w:top w:val="single" w:sz="4" w:space="0" w:color="auto"/>
              <w:left w:val="single" w:sz="4" w:space="0" w:color="auto"/>
              <w:bottom w:val="single" w:sz="4" w:space="0" w:color="auto"/>
              <w:right w:val="single" w:sz="4" w:space="0" w:color="auto"/>
            </w:tcBorders>
            <w:hideMark/>
          </w:tcPr>
          <w:p w14:paraId="2F3C9B9E" w14:textId="77777777" w:rsidR="00C236A2" w:rsidRPr="0013396E" w:rsidRDefault="00C236A2" w:rsidP="0099759E">
            <w:pPr>
              <w:pStyle w:val="TableBody"/>
              <w:spacing w:line="256" w:lineRule="auto"/>
              <w:rPr>
                <w:i/>
                <w:iCs w:val="0"/>
              </w:rPr>
            </w:pPr>
            <w:r w:rsidRPr="0013396E">
              <w:t>A QSE.</w:t>
            </w:r>
          </w:p>
        </w:tc>
      </w:tr>
      <w:tr w:rsidR="00C236A2" w:rsidRPr="0013396E" w14:paraId="1D851585" w14:textId="77777777" w:rsidTr="0099759E">
        <w:trPr>
          <w:cantSplit/>
        </w:trPr>
        <w:tc>
          <w:tcPr>
            <w:tcW w:w="823" w:type="pct"/>
            <w:tcBorders>
              <w:top w:val="single" w:sz="4" w:space="0" w:color="auto"/>
              <w:left w:val="single" w:sz="4" w:space="0" w:color="auto"/>
              <w:bottom w:val="single" w:sz="4" w:space="0" w:color="auto"/>
              <w:right w:val="single" w:sz="4" w:space="0" w:color="auto"/>
            </w:tcBorders>
            <w:hideMark/>
          </w:tcPr>
          <w:p w14:paraId="59A3DF49" w14:textId="77777777" w:rsidR="00C236A2" w:rsidRPr="0013396E" w:rsidRDefault="00C236A2" w:rsidP="0099759E">
            <w:pPr>
              <w:pStyle w:val="TableBody"/>
              <w:spacing w:line="256" w:lineRule="auto"/>
              <w:rPr>
                <w:i/>
              </w:rPr>
            </w:pPr>
            <w:r w:rsidRPr="0013396E">
              <w:rPr>
                <w:i/>
              </w:rPr>
              <w:t>r</w:t>
            </w:r>
          </w:p>
        </w:tc>
        <w:tc>
          <w:tcPr>
            <w:tcW w:w="460" w:type="pct"/>
            <w:tcBorders>
              <w:top w:val="single" w:sz="4" w:space="0" w:color="auto"/>
              <w:left w:val="single" w:sz="4" w:space="0" w:color="auto"/>
              <w:bottom w:val="single" w:sz="4" w:space="0" w:color="auto"/>
              <w:right w:val="single" w:sz="4" w:space="0" w:color="auto"/>
            </w:tcBorders>
            <w:hideMark/>
          </w:tcPr>
          <w:p w14:paraId="7EB9D081" w14:textId="77777777" w:rsidR="00C236A2" w:rsidRPr="0013396E" w:rsidRDefault="00C236A2" w:rsidP="0099759E">
            <w:pPr>
              <w:pStyle w:val="TableBody"/>
              <w:spacing w:line="256" w:lineRule="auto"/>
            </w:pPr>
            <w:r w:rsidRPr="0013396E">
              <w:t>none</w:t>
            </w:r>
          </w:p>
        </w:tc>
        <w:tc>
          <w:tcPr>
            <w:tcW w:w="3716" w:type="pct"/>
            <w:tcBorders>
              <w:top w:val="single" w:sz="4" w:space="0" w:color="auto"/>
              <w:left w:val="single" w:sz="4" w:space="0" w:color="auto"/>
              <w:bottom w:val="single" w:sz="4" w:space="0" w:color="auto"/>
              <w:right w:val="single" w:sz="4" w:space="0" w:color="auto"/>
            </w:tcBorders>
            <w:hideMark/>
          </w:tcPr>
          <w:p w14:paraId="3980CEAA" w14:textId="77777777" w:rsidR="00C236A2" w:rsidRPr="0013396E" w:rsidRDefault="00C236A2" w:rsidP="0099759E">
            <w:pPr>
              <w:pStyle w:val="TableBody"/>
              <w:spacing w:line="256" w:lineRule="auto"/>
              <w:rPr>
                <w:i/>
                <w:iCs w:val="0"/>
              </w:rPr>
            </w:pPr>
            <w:r w:rsidRPr="0013396E">
              <w:t>A Generation Resource or ESR.</w:t>
            </w:r>
          </w:p>
        </w:tc>
      </w:tr>
      <w:tr w:rsidR="00C236A2" w:rsidRPr="0013396E" w14:paraId="35065CB8" w14:textId="77777777" w:rsidTr="0099759E">
        <w:trPr>
          <w:cantSplit/>
        </w:trPr>
        <w:tc>
          <w:tcPr>
            <w:tcW w:w="823" w:type="pct"/>
            <w:tcBorders>
              <w:top w:val="single" w:sz="4" w:space="0" w:color="auto"/>
              <w:left w:val="single" w:sz="4" w:space="0" w:color="auto"/>
              <w:bottom w:val="single" w:sz="4" w:space="0" w:color="auto"/>
              <w:right w:val="single" w:sz="4" w:space="0" w:color="auto"/>
            </w:tcBorders>
            <w:hideMark/>
          </w:tcPr>
          <w:p w14:paraId="159746EB" w14:textId="77777777" w:rsidR="00C236A2" w:rsidRPr="0013396E" w:rsidRDefault="00C236A2" w:rsidP="0099759E">
            <w:pPr>
              <w:pStyle w:val="TableBody"/>
              <w:spacing w:line="256" w:lineRule="auto"/>
              <w:rPr>
                <w:i/>
              </w:rPr>
            </w:pPr>
            <w:r w:rsidRPr="0013396E">
              <w:rPr>
                <w:i/>
              </w:rPr>
              <w:t>p</w:t>
            </w:r>
          </w:p>
        </w:tc>
        <w:tc>
          <w:tcPr>
            <w:tcW w:w="460" w:type="pct"/>
            <w:tcBorders>
              <w:top w:val="single" w:sz="4" w:space="0" w:color="auto"/>
              <w:left w:val="single" w:sz="4" w:space="0" w:color="auto"/>
              <w:bottom w:val="single" w:sz="4" w:space="0" w:color="auto"/>
              <w:right w:val="single" w:sz="4" w:space="0" w:color="auto"/>
            </w:tcBorders>
            <w:hideMark/>
          </w:tcPr>
          <w:p w14:paraId="6788504E" w14:textId="77777777" w:rsidR="00C236A2" w:rsidRPr="0013396E" w:rsidRDefault="00C236A2" w:rsidP="0099759E">
            <w:pPr>
              <w:pStyle w:val="TableBody"/>
              <w:spacing w:line="256" w:lineRule="auto"/>
            </w:pPr>
            <w:r w:rsidRPr="0013396E">
              <w:t>none</w:t>
            </w:r>
          </w:p>
        </w:tc>
        <w:tc>
          <w:tcPr>
            <w:tcW w:w="3716" w:type="pct"/>
            <w:tcBorders>
              <w:top w:val="single" w:sz="4" w:space="0" w:color="auto"/>
              <w:left w:val="single" w:sz="4" w:space="0" w:color="auto"/>
              <w:bottom w:val="single" w:sz="4" w:space="0" w:color="auto"/>
              <w:right w:val="single" w:sz="4" w:space="0" w:color="auto"/>
            </w:tcBorders>
            <w:hideMark/>
          </w:tcPr>
          <w:p w14:paraId="737D9D3F" w14:textId="77777777" w:rsidR="00C236A2" w:rsidRPr="0013396E" w:rsidRDefault="00C236A2" w:rsidP="0099759E">
            <w:pPr>
              <w:pStyle w:val="TableBody"/>
              <w:spacing w:line="256" w:lineRule="auto"/>
            </w:pPr>
            <w:r w:rsidRPr="0013396E">
              <w:t>A Resource Node Settlement Point.</w:t>
            </w:r>
          </w:p>
        </w:tc>
      </w:tr>
      <w:tr w:rsidR="00C236A2" w:rsidRPr="0013396E" w14:paraId="591FC41B" w14:textId="77777777" w:rsidTr="0099759E">
        <w:trPr>
          <w:cantSplit/>
        </w:trPr>
        <w:tc>
          <w:tcPr>
            <w:tcW w:w="823" w:type="pct"/>
            <w:tcBorders>
              <w:top w:val="single" w:sz="4" w:space="0" w:color="auto"/>
              <w:left w:val="single" w:sz="4" w:space="0" w:color="auto"/>
              <w:bottom w:val="single" w:sz="4" w:space="0" w:color="auto"/>
              <w:right w:val="single" w:sz="4" w:space="0" w:color="auto"/>
            </w:tcBorders>
            <w:hideMark/>
          </w:tcPr>
          <w:p w14:paraId="501FC8CC" w14:textId="77777777" w:rsidR="00C236A2" w:rsidRPr="0013396E" w:rsidRDefault="00C236A2" w:rsidP="0099759E">
            <w:pPr>
              <w:pStyle w:val="TableBody"/>
              <w:spacing w:line="256" w:lineRule="auto"/>
              <w:rPr>
                <w:i/>
              </w:rPr>
            </w:pPr>
            <w:r w:rsidRPr="0013396E">
              <w:rPr>
                <w:i/>
              </w:rPr>
              <w:t>b</w:t>
            </w:r>
          </w:p>
        </w:tc>
        <w:tc>
          <w:tcPr>
            <w:tcW w:w="460" w:type="pct"/>
            <w:tcBorders>
              <w:top w:val="single" w:sz="4" w:space="0" w:color="auto"/>
              <w:left w:val="single" w:sz="4" w:space="0" w:color="auto"/>
              <w:bottom w:val="single" w:sz="4" w:space="0" w:color="auto"/>
              <w:right w:val="single" w:sz="4" w:space="0" w:color="auto"/>
            </w:tcBorders>
            <w:hideMark/>
          </w:tcPr>
          <w:p w14:paraId="6E671EA9" w14:textId="77777777" w:rsidR="00C236A2" w:rsidRPr="0013396E" w:rsidRDefault="00C236A2" w:rsidP="0099759E">
            <w:pPr>
              <w:pStyle w:val="TableBody"/>
              <w:spacing w:line="256" w:lineRule="auto"/>
            </w:pPr>
            <w:r w:rsidRPr="0013396E">
              <w:t>none</w:t>
            </w:r>
          </w:p>
        </w:tc>
        <w:tc>
          <w:tcPr>
            <w:tcW w:w="3716" w:type="pct"/>
            <w:tcBorders>
              <w:top w:val="single" w:sz="4" w:space="0" w:color="auto"/>
              <w:left w:val="single" w:sz="4" w:space="0" w:color="auto"/>
              <w:bottom w:val="single" w:sz="4" w:space="0" w:color="auto"/>
              <w:right w:val="single" w:sz="4" w:space="0" w:color="auto"/>
            </w:tcBorders>
            <w:hideMark/>
          </w:tcPr>
          <w:p w14:paraId="05103076" w14:textId="77777777" w:rsidR="00C236A2" w:rsidRPr="0013396E" w:rsidRDefault="00C236A2" w:rsidP="0099759E">
            <w:pPr>
              <w:pStyle w:val="TableBody"/>
              <w:spacing w:line="256" w:lineRule="auto"/>
            </w:pPr>
            <w:r w:rsidRPr="0013396E">
              <w:t>An Electrical Bus.</w:t>
            </w:r>
          </w:p>
        </w:tc>
      </w:tr>
    </w:tbl>
    <w:p w14:paraId="32B32437" w14:textId="77777777" w:rsidR="00C236A2" w:rsidRPr="0013396E" w:rsidRDefault="00C236A2" w:rsidP="00C236A2">
      <w:pPr>
        <w:spacing w:before="240" w:after="240"/>
        <w:ind w:left="720" w:hanging="720"/>
      </w:pPr>
      <w:r w:rsidRPr="0013396E">
        <w:t>(6)</w:t>
      </w:r>
      <w:r w:rsidRPr="0013396E">
        <w:tab/>
        <w:t>The total of the payments to each QSE for ERCOT-directed power reduction to provide VSS for a given 15-minute Settlement Interval is calculated as follows:</w:t>
      </w:r>
    </w:p>
    <w:p w14:paraId="1D8114BE" w14:textId="77777777" w:rsidR="00C236A2" w:rsidRPr="0013396E" w:rsidRDefault="00C236A2" w:rsidP="00C236A2">
      <w:pPr>
        <w:tabs>
          <w:tab w:val="left" w:pos="2340"/>
          <w:tab w:val="left" w:pos="3420"/>
        </w:tabs>
        <w:spacing w:after="240"/>
        <w:ind w:left="3420" w:hanging="2700"/>
        <w:rPr>
          <w:b/>
          <w:bCs/>
        </w:rPr>
      </w:pPr>
      <w:r w:rsidRPr="0013396E">
        <w:rPr>
          <w:b/>
          <w:bCs/>
        </w:rPr>
        <w:t xml:space="preserve">VSSEAMTQSETOT </w:t>
      </w:r>
      <w:r w:rsidRPr="0013396E">
        <w:rPr>
          <w:b/>
          <w:bCs/>
          <w:i/>
          <w:vertAlign w:val="subscript"/>
        </w:rPr>
        <w:t>q</w:t>
      </w:r>
      <w:r w:rsidRPr="0013396E">
        <w:rPr>
          <w:b/>
          <w:bCs/>
        </w:rPr>
        <w:tab/>
        <w:t>=</w:t>
      </w:r>
      <w:r w:rsidRPr="0013396E">
        <w:rPr>
          <w:b/>
          <w:bCs/>
        </w:rPr>
        <w:tab/>
      </w:r>
      <w:r w:rsidRPr="0013396E">
        <w:rPr>
          <w:bCs/>
          <w:position w:val="-28"/>
        </w:rPr>
        <w:object w:dxaOrig="435" w:dyaOrig="735" w14:anchorId="4CD0B989">
          <v:shape id="_x0000_i1192" type="#_x0000_t75" style="width:24pt;height:36.6pt" o:ole="">
            <v:imagedata r:id="rId241" o:title=""/>
          </v:shape>
          <o:OLEObject Type="Embed" ProgID="Equation.3" ShapeID="_x0000_i1192" DrawAspect="Content" ObjectID="_1836311470" r:id="rId245"/>
        </w:object>
      </w:r>
      <w:r w:rsidRPr="0013396E">
        <w:rPr>
          <w:b/>
          <w:bCs/>
        </w:rPr>
        <w:t xml:space="preserve">VSSEAMT </w:t>
      </w:r>
      <w:r w:rsidRPr="0013396E">
        <w:rPr>
          <w:b/>
          <w:bCs/>
          <w:i/>
          <w:vertAlign w:val="subscript"/>
        </w:rPr>
        <w:t>q, r</w:t>
      </w:r>
    </w:p>
    <w:p w14:paraId="7C0590CA" w14:textId="77777777" w:rsidR="00C236A2" w:rsidRPr="0013396E" w:rsidRDefault="00C236A2" w:rsidP="00C236A2">
      <w:r w:rsidRPr="0013396E">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1"/>
        <w:gridCol w:w="858"/>
        <w:gridCol w:w="6261"/>
      </w:tblGrid>
      <w:tr w:rsidR="00C236A2" w:rsidRPr="0013396E" w14:paraId="781C88FE" w14:textId="77777777" w:rsidTr="0099759E">
        <w:trPr>
          <w:cantSplit/>
          <w:tblHeader/>
        </w:trPr>
        <w:tc>
          <w:tcPr>
            <w:tcW w:w="1193" w:type="pct"/>
            <w:tcBorders>
              <w:top w:val="single" w:sz="4" w:space="0" w:color="auto"/>
              <w:left w:val="single" w:sz="4" w:space="0" w:color="auto"/>
              <w:bottom w:val="single" w:sz="4" w:space="0" w:color="auto"/>
              <w:right w:val="single" w:sz="4" w:space="0" w:color="auto"/>
            </w:tcBorders>
            <w:hideMark/>
          </w:tcPr>
          <w:p w14:paraId="7C90986E" w14:textId="77777777" w:rsidR="00C236A2" w:rsidRPr="0013396E" w:rsidRDefault="00C236A2" w:rsidP="0099759E">
            <w:pPr>
              <w:spacing w:after="240"/>
              <w:rPr>
                <w:b/>
                <w:iCs/>
                <w:sz w:val="20"/>
              </w:rPr>
            </w:pPr>
            <w:r w:rsidRPr="0013396E">
              <w:rPr>
                <w:b/>
                <w:sz w:val="20"/>
              </w:rPr>
              <w:t>Variable</w:t>
            </w:r>
          </w:p>
        </w:tc>
        <w:tc>
          <w:tcPr>
            <w:tcW w:w="459" w:type="pct"/>
            <w:tcBorders>
              <w:top w:val="single" w:sz="4" w:space="0" w:color="auto"/>
              <w:left w:val="single" w:sz="4" w:space="0" w:color="auto"/>
              <w:bottom w:val="single" w:sz="4" w:space="0" w:color="auto"/>
              <w:right w:val="single" w:sz="4" w:space="0" w:color="auto"/>
            </w:tcBorders>
            <w:hideMark/>
          </w:tcPr>
          <w:p w14:paraId="5234A853" w14:textId="77777777" w:rsidR="00C236A2" w:rsidRPr="0013396E" w:rsidRDefault="00C236A2" w:rsidP="0099759E">
            <w:pPr>
              <w:spacing w:after="240"/>
              <w:rPr>
                <w:b/>
                <w:iCs/>
                <w:sz w:val="20"/>
              </w:rPr>
            </w:pPr>
            <w:r w:rsidRPr="0013396E">
              <w:rPr>
                <w:b/>
                <w:iCs/>
                <w:sz w:val="20"/>
              </w:rPr>
              <w:t>Unit</w:t>
            </w:r>
          </w:p>
        </w:tc>
        <w:tc>
          <w:tcPr>
            <w:tcW w:w="3348" w:type="pct"/>
            <w:tcBorders>
              <w:top w:val="single" w:sz="4" w:space="0" w:color="auto"/>
              <w:left w:val="single" w:sz="4" w:space="0" w:color="auto"/>
              <w:bottom w:val="single" w:sz="4" w:space="0" w:color="auto"/>
              <w:right w:val="single" w:sz="4" w:space="0" w:color="auto"/>
            </w:tcBorders>
            <w:hideMark/>
          </w:tcPr>
          <w:p w14:paraId="492A5570" w14:textId="77777777" w:rsidR="00C236A2" w:rsidRPr="0013396E" w:rsidRDefault="00C236A2" w:rsidP="0099759E">
            <w:pPr>
              <w:spacing w:after="240"/>
              <w:rPr>
                <w:b/>
                <w:iCs/>
                <w:sz w:val="20"/>
              </w:rPr>
            </w:pPr>
            <w:r w:rsidRPr="0013396E">
              <w:rPr>
                <w:b/>
                <w:iCs/>
                <w:sz w:val="20"/>
              </w:rPr>
              <w:t>Definition</w:t>
            </w:r>
          </w:p>
        </w:tc>
      </w:tr>
      <w:tr w:rsidR="00C236A2" w:rsidRPr="0013396E" w14:paraId="570DB49C" w14:textId="77777777" w:rsidTr="0099759E">
        <w:trPr>
          <w:cantSplit/>
        </w:trPr>
        <w:tc>
          <w:tcPr>
            <w:tcW w:w="1193" w:type="pct"/>
            <w:tcBorders>
              <w:top w:val="single" w:sz="4" w:space="0" w:color="auto"/>
              <w:left w:val="single" w:sz="4" w:space="0" w:color="auto"/>
              <w:bottom w:val="single" w:sz="4" w:space="0" w:color="auto"/>
              <w:right w:val="single" w:sz="4" w:space="0" w:color="auto"/>
            </w:tcBorders>
            <w:hideMark/>
          </w:tcPr>
          <w:p w14:paraId="79C07A45" w14:textId="77777777" w:rsidR="00C236A2" w:rsidRPr="0013396E" w:rsidRDefault="00C236A2" w:rsidP="0099759E">
            <w:pPr>
              <w:spacing w:after="60"/>
              <w:rPr>
                <w:iCs/>
                <w:sz w:val="20"/>
              </w:rPr>
            </w:pPr>
            <w:r w:rsidRPr="0013396E">
              <w:rPr>
                <w:iCs/>
                <w:sz w:val="20"/>
              </w:rPr>
              <w:t xml:space="preserve">VSSEAMTQSETOT </w:t>
            </w:r>
            <w:r w:rsidRPr="0013396E">
              <w:rPr>
                <w:i/>
                <w:iCs/>
                <w:sz w:val="20"/>
                <w:vertAlign w:val="subscript"/>
              </w:rPr>
              <w:t>q</w:t>
            </w:r>
          </w:p>
        </w:tc>
        <w:tc>
          <w:tcPr>
            <w:tcW w:w="459" w:type="pct"/>
            <w:tcBorders>
              <w:top w:val="single" w:sz="4" w:space="0" w:color="auto"/>
              <w:left w:val="single" w:sz="4" w:space="0" w:color="auto"/>
              <w:bottom w:val="single" w:sz="4" w:space="0" w:color="auto"/>
              <w:right w:val="single" w:sz="4" w:space="0" w:color="auto"/>
            </w:tcBorders>
            <w:hideMark/>
          </w:tcPr>
          <w:p w14:paraId="681FAEF6" w14:textId="77777777" w:rsidR="00C236A2" w:rsidRPr="0013396E" w:rsidRDefault="00C236A2" w:rsidP="0099759E">
            <w:pPr>
              <w:spacing w:after="60"/>
              <w:rPr>
                <w:iCs/>
                <w:sz w:val="20"/>
              </w:rPr>
            </w:pPr>
            <w:r w:rsidRPr="0013396E">
              <w:rPr>
                <w:iCs/>
                <w:sz w:val="20"/>
              </w:rPr>
              <w:t>$</w:t>
            </w:r>
          </w:p>
        </w:tc>
        <w:tc>
          <w:tcPr>
            <w:tcW w:w="3348" w:type="pct"/>
            <w:tcBorders>
              <w:top w:val="single" w:sz="4" w:space="0" w:color="auto"/>
              <w:left w:val="single" w:sz="4" w:space="0" w:color="auto"/>
              <w:bottom w:val="single" w:sz="4" w:space="0" w:color="auto"/>
              <w:right w:val="single" w:sz="4" w:space="0" w:color="auto"/>
            </w:tcBorders>
            <w:hideMark/>
          </w:tcPr>
          <w:p w14:paraId="228803FD" w14:textId="77777777" w:rsidR="00C236A2" w:rsidRPr="0013396E" w:rsidRDefault="00C236A2" w:rsidP="0099759E">
            <w:pPr>
              <w:spacing w:after="60"/>
              <w:rPr>
                <w:iCs/>
                <w:sz w:val="20"/>
              </w:rPr>
            </w:pPr>
            <w:r w:rsidRPr="0013396E">
              <w:rPr>
                <w:i/>
                <w:iCs/>
                <w:sz w:val="20"/>
              </w:rPr>
              <w:t>Voltage Support Service Lost Opportunity Amount QSE Total per QSE</w:t>
            </w:r>
            <w:r w:rsidRPr="0013396E">
              <w:rPr>
                <w:iCs/>
                <w:sz w:val="20"/>
              </w:rPr>
              <w:sym w:font="Symbol" w:char="F0BE"/>
            </w:r>
            <w:r w:rsidRPr="0013396E">
              <w:rPr>
                <w:iCs/>
                <w:sz w:val="20"/>
              </w:rPr>
              <w:t xml:space="preserve">The total of the lost opportunity payments to QSE </w:t>
            </w:r>
            <w:r w:rsidRPr="0013396E">
              <w:rPr>
                <w:i/>
                <w:iCs/>
                <w:sz w:val="20"/>
              </w:rPr>
              <w:t>q</w:t>
            </w:r>
            <w:r w:rsidRPr="0013396E">
              <w:rPr>
                <w:iCs/>
                <w:sz w:val="20"/>
              </w:rPr>
              <w:t xml:space="preserve"> for providing VSS for providing ERCOT-directed VSS for the 15-minute Settlement Interval.</w:t>
            </w:r>
          </w:p>
        </w:tc>
      </w:tr>
      <w:tr w:rsidR="00C236A2" w:rsidRPr="0013396E" w14:paraId="4FDAEEA1" w14:textId="77777777" w:rsidTr="0099759E">
        <w:trPr>
          <w:cantSplit/>
        </w:trPr>
        <w:tc>
          <w:tcPr>
            <w:tcW w:w="1193" w:type="pct"/>
            <w:tcBorders>
              <w:top w:val="single" w:sz="4" w:space="0" w:color="auto"/>
              <w:left w:val="single" w:sz="4" w:space="0" w:color="auto"/>
              <w:bottom w:val="single" w:sz="4" w:space="0" w:color="auto"/>
              <w:right w:val="single" w:sz="4" w:space="0" w:color="auto"/>
            </w:tcBorders>
            <w:hideMark/>
          </w:tcPr>
          <w:p w14:paraId="43D6AB40" w14:textId="77777777" w:rsidR="00C236A2" w:rsidRPr="0013396E" w:rsidRDefault="00C236A2" w:rsidP="0099759E">
            <w:pPr>
              <w:spacing w:after="60"/>
              <w:rPr>
                <w:iCs/>
                <w:sz w:val="20"/>
              </w:rPr>
            </w:pPr>
            <w:r w:rsidRPr="0013396E">
              <w:rPr>
                <w:iCs/>
                <w:sz w:val="20"/>
              </w:rPr>
              <w:t xml:space="preserve">VSSEAMT </w:t>
            </w:r>
            <w:r w:rsidRPr="0013396E">
              <w:rPr>
                <w:i/>
                <w:iCs/>
                <w:sz w:val="20"/>
                <w:vertAlign w:val="subscript"/>
              </w:rPr>
              <w:t>q, r</w:t>
            </w:r>
          </w:p>
        </w:tc>
        <w:tc>
          <w:tcPr>
            <w:tcW w:w="459" w:type="pct"/>
            <w:tcBorders>
              <w:top w:val="single" w:sz="4" w:space="0" w:color="auto"/>
              <w:left w:val="single" w:sz="4" w:space="0" w:color="auto"/>
              <w:bottom w:val="single" w:sz="4" w:space="0" w:color="auto"/>
              <w:right w:val="single" w:sz="4" w:space="0" w:color="auto"/>
            </w:tcBorders>
            <w:hideMark/>
          </w:tcPr>
          <w:p w14:paraId="1D748347" w14:textId="77777777" w:rsidR="00C236A2" w:rsidRPr="0013396E" w:rsidRDefault="00C236A2" w:rsidP="0099759E">
            <w:pPr>
              <w:spacing w:after="60"/>
              <w:rPr>
                <w:iCs/>
                <w:sz w:val="20"/>
              </w:rPr>
            </w:pPr>
            <w:r w:rsidRPr="0013396E">
              <w:rPr>
                <w:iCs/>
                <w:sz w:val="20"/>
              </w:rPr>
              <w:t>$</w:t>
            </w:r>
          </w:p>
        </w:tc>
        <w:tc>
          <w:tcPr>
            <w:tcW w:w="3348" w:type="pct"/>
            <w:tcBorders>
              <w:top w:val="single" w:sz="4" w:space="0" w:color="auto"/>
              <w:left w:val="single" w:sz="4" w:space="0" w:color="auto"/>
              <w:bottom w:val="single" w:sz="4" w:space="0" w:color="auto"/>
              <w:right w:val="single" w:sz="4" w:space="0" w:color="auto"/>
            </w:tcBorders>
            <w:hideMark/>
          </w:tcPr>
          <w:p w14:paraId="19DD0A25" w14:textId="77777777" w:rsidR="00C236A2" w:rsidRPr="0013396E" w:rsidRDefault="00C236A2" w:rsidP="0099759E">
            <w:pPr>
              <w:spacing w:after="60"/>
              <w:rPr>
                <w:iCs/>
                <w:sz w:val="20"/>
              </w:rPr>
            </w:pPr>
            <w:r w:rsidRPr="0013396E">
              <w:rPr>
                <w:i/>
                <w:iCs/>
                <w:sz w:val="20"/>
              </w:rPr>
              <w:t>Voltage Support Service Energy Amount per QSE per Settlement Point per Resource</w:t>
            </w:r>
            <w:r w:rsidRPr="0013396E">
              <w:rPr>
                <w:iCs/>
                <w:sz w:val="20"/>
              </w:rPr>
              <w:t xml:space="preserve">—The lost opportunity payment to QSE </w:t>
            </w:r>
            <w:r w:rsidRPr="0013396E">
              <w:rPr>
                <w:i/>
                <w:iCs/>
                <w:sz w:val="20"/>
              </w:rPr>
              <w:t>q</w:t>
            </w:r>
            <w:r w:rsidRPr="0013396E">
              <w:rPr>
                <w:iCs/>
                <w:sz w:val="20"/>
              </w:rPr>
              <w:t xml:space="preserve"> for ERCOT-directed VSS from Resource </w:t>
            </w:r>
            <w:r w:rsidRPr="0013396E">
              <w:rPr>
                <w:i/>
                <w:iCs/>
                <w:sz w:val="20"/>
              </w:rPr>
              <w:t>r</w:t>
            </w:r>
            <w:r w:rsidRPr="0013396E">
              <w:rPr>
                <w:iCs/>
                <w:sz w:val="20"/>
              </w:rPr>
              <w:t xml:space="preserve"> for the 15-minute Settlement Interval for the 15-minute Settlement Interval.  Where for a combined cycle resource, </w:t>
            </w:r>
            <w:r w:rsidRPr="0013396E">
              <w:rPr>
                <w:i/>
                <w:iCs/>
                <w:sz w:val="20"/>
              </w:rPr>
              <w:t>r</w:t>
            </w:r>
            <w:r w:rsidRPr="0013396E">
              <w:rPr>
                <w:iCs/>
                <w:sz w:val="20"/>
              </w:rPr>
              <w:t xml:space="preserve"> is a Combined Cycle Train.</w:t>
            </w:r>
          </w:p>
        </w:tc>
      </w:tr>
      <w:tr w:rsidR="00C236A2" w:rsidRPr="0013396E" w14:paraId="3A5E7015" w14:textId="77777777" w:rsidTr="0099759E">
        <w:trPr>
          <w:cantSplit/>
        </w:trPr>
        <w:tc>
          <w:tcPr>
            <w:tcW w:w="1193" w:type="pct"/>
            <w:tcBorders>
              <w:top w:val="single" w:sz="4" w:space="0" w:color="auto"/>
              <w:left w:val="single" w:sz="4" w:space="0" w:color="auto"/>
              <w:bottom w:val="single" w:sz="4" w:space="0" w:color="auto"/>
              <w:right w:val="single" w:sz="4" w:space="0" w:color="auto"/>
            </w:tcBorders>
            <w:hideMark/>
          </w:tcPr>
          <w:p w14:paraId="1D017161" w14:textId="77777777" w:rsidR="00C236A2" w:rsidRPr="0013396E" w:rsidRDefault="00C236A2" w:rsidP="0099759E">
            <w:pPr>
              <w:spacing w:after="60"/>
              <w:rPr>
                <w:i/>
                <w:iCs/>
                <w:sz w:val="20"/>
              </w:rPr>
            </w:pPr>
            <w:r w:rsidRPr="0013396E">
              <w:rPr>
                <w:i/>
                <w:iCs/>
                <w:sz w:val="20"/>
              </w:rPr>
              <w:t>q</w:t>
            </w:r>
          </w:p>
        </w:tc>
        <w:tc>
          <w:tcPr>
            <w:tcW w:w="459" w:type="pct"/>
            <w:tcBorders>
              <w:top w:val="single" w:sz="4" w:space="0" w:color="auto"/>
              <w:left w:val="single" w:sz="4" w:space="0" w:color="auto"/>
              <w:bottom w:val="single" w:sz="4" w:space="0" w:color="auto"/>
              <w:right w:val="single" w:sz="4" w:space="0" w:color="auto"/>
            </w:tcBorders>
            <w:hideMark/>
          </w:tcPr>
          <w:p w14:paraId="5B675660" w14:textId="77777777" w:rsidR="00C236A2" w:rsidRPr="0013396E" w:rsidRDefault="00C236A2" w:rsidP="0099759E">
            <w:pPr>
              <w:spacing w:after="60"/>
              <w:rPr>
                <w:iCs/>
                <w:sz w:val="20"/>
              </w:rPr>
            </w:pPr>
            <w:r w:rsidRPr="0013396E">
              <w:rPr>
                <w:iCs/>
                <w:sz w:val="20"/>
              </w:rPr>
              <w:t>none</w:t>
            </w:r>
          </w:p>
        </w:tc>
        <w:tc>
          <w:tcPr>
            <w:tcW w:w="3348" w:type="pct"/>
            <w:tcBorders>
              <w:top w:val="single" w:sz="4" w:space="0" w:color="auto"/>
              <w:left w:val="single" w:sz="4" w:space="0" w:color="auto"/>
              <w:bottom w:val="single" w:sz="4" w:space="0" w:color="auto"/>
              <w:right w:val="single" w:sz="4" w:space="0" w:color="auto"/>
            </w:tcBorders>
            <w:hideMark/>
          </w:tcPr>
          <w:p w14:paraId="26698D4C" w14:textId="77777777" w:rsidR="00C236A2" w:rsidRPr="0013396E" w:rsidRDefault="00C236A2" w:rsidP="0099759E">
            <w:pPr>
              <w:spacing w:after="60"/>
              <w:rPr>
                <w:iCs/>
                <w:sz w:val="20"/>
              </w:rPr>
            </w:pPr>
            <w:r w:rsidRPr="0013396E">
              <w:rPr>
                <w:iCs/>
                <w:sz w:val="20"/>
              </w:rPr>
              <w:t>A QSE.</w:t>
            </w:r>
          </w:p>
        </w:tc>
      </w:tr>
      <w:tr w:rsidR="00C236A2" w:rsidRPr="0013396E" w14:paraId="6593C538" w14:textId="77777777" w:rsidTr="0099759E">
        <w:trPr>
          <w:cantSplit/>
        </w:trPr>
        <w:tc>
          <w:tcPr>
            <w:tcW w:w="1193" w:type="pct"/>
            <w:tcBorders>
              <w:top w:val="single" w:sz="4" w:space="0" w:color="auto"/>
              <w:left w:val="single" w:sz="4" w:space="0" w:color="auto"/>
              <w:bottom w:val="single" w:sz="4" w:space="0" w:color="auto"/>
              <w:right w:val="single" w:sz="4" w:space="0" w:color="auto"/>
            </w:tcBorders>
            <w:hideMark/>
          </w:tcPr>
          <w:p w14:paraId="53FE9671" w14:textId="77777777" w:rsidR="00C236A2" w:rsidRPr="0013396E" w:rsidRDefault="00C236A2" w:rsidP="0099759E">
            <w:pPr>
              <w:spacing w:after="60"/>
              <w:rPr>
                <w:i/>
                <w:iCs/>
                <w:sz w:val="20"/>
              </w:rPr>
            </w:pPr>
            <w:r w:rsidRPr="0013396E">
              <w:rPr>
                <w:i/>
                <w:iCs/>
                <w:sz w:val="20"/>
              </w:rPr>
              <w:t>r</w:t>
            </w:r>
          </w:p>
        </w:tc>
        <w:tc>
          <w:tcPr>
            <w:tcW w:w="459" w:type="pct"/>
            <w:tcBorders>
              <w:top w:val="single" w:sz="4" w:space="0" w:color="auto"/>
              <w:left w:val="single" w:sz="4" w:space="0" w:color="auto"/>
              <w:bottom w:val="single" w:sz="4" w:space="0" w:color="auto"/>
              <w:right w:val="single" w:sz="4" w:space="0" w:color="auto"/>
            </w:tcBorders>
            <w:hideMark/>
          </w:tcPr>
          <w:p w14:paraId="68DE4B75" w14:textId="77777777" w:rsidR="00C236A2" w:rsidRPr="0013396E" w:rsidRDefault="00C236A2" w:rsidP="0099759E">
            <w:pPr>
              <w:spacing w:after="60"/>
              <w:rPr>
                <w:iCs/>
                <w:sz w:val="20"/>
              </w:rPr>
            </w:pPr>
            <w:r w:rsidRPr="0013396E">
              <w:rPr>
                <w:iCs/>
                <w:sz w:val="20"/>
              </w:rPr>
              <w:t>none</w:t>
            </w:r>
          </w:p>
        </w:tc>
        <w:tc>
          <w:tcPr>
            <w:tcW w:w="3348" w:type="pct"/>
            <w:tcBorders>
              <w:top w:val="single" w:sz="4" w:space="0" w:color="auto"/>
              <w:left w:val="single" w:sz="4" w:space="0" w:color="auto"/>
              <w:bottom w:val="single" w:sz="4" w:space="0" w:color="auto"/>
              <w:right w:val="single" w:sz="4" w:space="0" w:color="auto"/>
            </w:tcBorders>
            <w:hideMark/>
          </w:tcPr>
          <w:p w14:paraId="3301C29D" w14:textId="77777777" w:rsidR="00C236A2" w:rsidRPr="0013396E" w:rsidRDefault="00C236A2" w:rsidP="0099759E">
            <w:pPr>
              <w:spacing w:after="60"/>
              <w:rPr>
                <w:iCs/>
                <w:sz w:val="20"/>
              </w:rPr>
            </w:pPr>
            <w:r w:rsidRPr="0013396E">
              <w:rPr>
                <w:iCs/>
                <w:sz w:val="20"/>
              </w:rPr>
              <w:t>A Generation Resource or ESR.</w:t>
            </w:r>
          </w:p>
        </w:tc>
      </w:tr>
    </w:tbl>
    <w:p w14:paraId="28F0A6BB" w14:textId="06B39048" w:rsidR="001F04FD" w:rsidRPr="0013396E" w:rsidRDefault="001F04FD" w:rsidP="00FB599C">
      <w:pPr>
        <w:pStyle w:val="H4"/>
        <w:spacing w:before="480"/>
      </w:pPr>
      <w:bookmarkStart w:id="2034" w:name="_Toc109009414"/>
      <w:bookmarkStart w:id="2035" w:name="_Toc397505034"/>
      <w:bookmarkStart w:id="2036" w:name="_Toc402357166"/>
      <w:bookmarkStart w:id="2037" w:name="_Toc422486546"/>
      <w:bookmarkStart w:id="2038" w:name="_Toc433093399"/>
      <w:bookmarkStart w:id="2039" w:name="_Toc433093557"/>
      <w:bookmarkStart w:id="2040" w:name="_Toc440874787"/>
      <w:bookmarkStart w:id="2041" w:name="_Toc448142344"/>
      <w:bookmarkStart w:id="2042" w:name="_Toc448142501"/>
      <w:bookmarkStart w:id="2043" w:name="_Toc458770342"/>
      <w:bookmarkStart w:id="2044" w:name="_Toc459294310"/>
      <w:bookmarkStart w:id="2045" w:name="_Toc463262804"/>
      <w:bookmarkStart w:id="2046" w:name="_Toc468286877"/>
      <w:bookmarkStart w:id="2047" w:name="_Toc481502917"/>
      <w:bookmarkStart w:id="2048" w:name="_Toc496080085"/>
      <w:bookmarkStart w:id="2049" w:name="_Toc214879008"/>
      <w:bookmarkStart w:id="2050" w:name="_Toc87951810"/>
      <w:r w:rsidRPr="0013396E">
        <w:t>6.6.7.2</w:t>
      </w:r>
      <w:r w:rsidRPr="0013396E">
        <w:tab/>
        <w:t>Voltage Support Charge</w:t>
      </w:r>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r w:rsidRPr="0013396E">
        <w:t xml:space="preserve"> </w:t>
      </w:r>
    </w:p>
    <w:p w14:paraId="33392E86" w14:textId="77777777" w:rsidR="001F04FD" w:rsidRPr="0013396E" w:rsidRDefault="001F04FD" w:rsidP="001F04FD">
      <w:pPr>
        <w:pStyle w:val="BodyTextNumbered"/>
      </w:pPr>
      <w:r w:rsidRPr="0013396E">
        <w:t>(1)</w:t>
      </w:r>
      <w:r w:rsidRPr="0013396E">
        <w:tab/>
        <w:t>ERCOT shall charge each QSE representing LSEs the total payment for VSS as specified in Section 6.6.7.1, Voltage Support Service Payments, based on a LRS. The charge to each QSE for a given 15-minute Settlement Interval is calculated as follows:</w:t>
      </w:r>
    </w:p>
    <w:p w14:paraId="33BA954F" w14:textId="77777777" w:rsidR="001F04FD" w:rsidRPr="0013396E" w:rsidRDefault="001F04FD" w:rsidP="001F04FD">
      <w:pPr>
        <w:pStyle w:val="FormulaBold"/>
      </w:pPr>
      <w:r w:rsidRPr="0013396E">
        <w:t xml:space="preserve">LAVSSAMT </w:t>
      </w:r>
      <w:r w:rsidRPr="0013396E">
        <w:rPr>
          <w:i/>
          <w:vertAlign w:val="subscript"/>
        </w:rPr>
        <w:t>q</w:t>
      </w:r>
      <w:r w:rsidRPr="0013396E">
        <w:tab/>
        <w:t>=</w:t>
      </w:r>
      <w:r w:rsidRPr="0013396E">
        <w:tab/>
        <w:t xml:space="preserve">(-1) * (VSSVARAMTTOT + VSSEAMTTOT) * LRS </w:t>
      </w:r>
      <w:r w:rsidRPr="0013396E">
        <w:rPr>
          <w:i/>
          <w:vertAlign w:val="subscript"/>
        </w:rPr>
        <w:t>q</w:t>
      </w:r>
    </w:p>
    <w:p w14:paraId="17FECE3F" w14:textId="77777777" w:rsidR="001F04FD" w:rsidRPr="0013396E" w:rsidRDefault="001F04FD" w:rsidP="001F04FD">
      <w:pPr>
        <w:pStyle w:val="BodyText"/>
      </w:pPr>
      <w:r w:rsidRPr="0013396E">
        <w:t>Where:</w:t>
      </w:r>
    </w:p>
    <w:p w14:paraId="253AF27F" w14:textId="77777777" w:rsidR="001F04FD" w:rsidRPr="0013396E" w:rsidRDefault="001F04FD" w:rsidP="001F04FD">
      <w:pPr>
        <w:pStyle w:val="Formula"/>
        <w:ind w:left="2880" w:hanging="2160"/>
        <w:rPr>
          <w:i/>
          <w:vertAlign w:val="subscript"/>
        </w:rPr>
      </w:pPr>
      <w:r w:rsidRPr="0013396E">
        <w:t>VSSVARAMTTOT</w:t>
      </w:r>
      <w:r w:rsidRPr="0013396E">
        <w:tab/>
        <w:t>=</w:t>
      </w:r>
      <w:r w:rsidRPr="0013396E">
        <w:tab/>
      </w:r>
      <w:r w:rsidRPr="0013396E">
        <w:rPr>
          <w:position w:val="-22"/>
        </w:rPr>
        <w:object w:dxaOrig="210" w:dyaOrig="465" w14:anchorId="0395CEFE">
          <v:shape id="_x0000_i1193" type="#_x0000_t75" style="width:6pt;height:24pt" o:ole="">
            <v:imagedata r:id="rId155" o:title=""/>
          </v:shape>
          <o:OLEObject Type="Embed" ProgID="Equation.3" ShapeID="_x0000_i1193" DrawAspect="Content" ObjectID="_1836311471" r:id="rId246"/>
        </w:object>
      </w:r>
      <w:r w:rsidRPr="0013396E">
        <w:t xml:space="preserve">VSSVARAMTQSETOT </w:t>
      </w:r>
      <w:r w:rsidRPr="0013396E">
        <w:rPr>
          <w:i/>
          <w:vertAlign w:val="subscript"/>
        </w:rPr>
        <w:t>q</w:t>
      </w:r>
    </w:p>
    <w:p w14:paraId="6175C109" w14:textId="77777777" w:rsidR="001F04FD" w:rsidRPr="0013396E" w:rsidRDefault="001F04FD" w:rsidP="001F04FD">
      <w:pPr>
        <w:pStyle w:val="Formula"/>
        <w:ind w:left="2880" w:hanging="2160"/>
        <w:rPr>
          <w:i/>
          <w:vertAlign w:val="subscript"/>
        </w:rPr>
      </w:pPr>
      <w:r w:rsidRPr="0013396E">
        <w:lastRenderedPageBreak/>
        <w:t xml:space="preserve">VSSEAMTTOT  </w:t>
      </w:r>
      <w:r w:rsidRPr="0013396E">
        <w:tab/>
        <w:t>=</w:t>
      </w:r>
      <w:r w:rsidRPr="0013396E">
        <w:tab/>
      </w:r>
      <w:r w:rsidRPr="0013396E">
        <w:rPr>
          <w:position w:val="-22"/>
        </w:rPr>
        <w:object w:dxaOrig="210" w:dyaOrig="465" w14:anchorId="2532890B">
          <v:shape id="_x0000_i1194" type="#_x0000_t75" style="width:6pt;height:24pt" o:ole="">
            <v:imagedata r:id="rId155" o:title=""/>
          </v:shape>
          <o:OLEObject Type="Embed" ProgID="Equation.3" ShapeID="_x0000_i1194" DrawAspect="Content" ObjectID="_1836311472" r:id="rId247"/>
        </w:object>
      </w:r>
      <w:r w:rsidRPr="0013396E">
        <w:t xml:space="preserve">VSSEAMTQSETOT </w:t>
      </w:r>
      <w:r w:rsidRPr="0013396E">
        <w:rPr>
          <w:i/>
          <w:vertAlign w:val="subscript"/>
        </w:rPr>
        <w:t>q</w:t>
      </w:r>
    </w:p>
    <w:p w14:paraId="7D7B5A5F" w14:textId="77777777" w:rsidR="001F04FD" w:rsidRPr="0013396E" w:rsidRDefault="001F04FD" w:rsidP="001F04FD">
      <w:r w:rsidRPr="0013396E">
        <w:t>The above variables are defined as follows:</w:t>
      </w:r>
    </w:p>
    <w:tbl>
      <w:tblPr>
        <w:tblW w:w="100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58"/>
        <w:gridCol w:w="720"/>
        <w:gridCol w:w="6959"/>
      </w:tblGrid>
      <w:tr w:rsidR="001F04FD" w:rsidRPr="0013396E" w14:paraId="5B15B363" w14:textId="77777777" w:rsidTr="00AC4DEE">
        <w:trPr>
          <w:tblHeader/>
        </w:trPr>
        <w:tc>
          <w:tcPr>
            <w:tcW w:w="2358" w:type="dxa"/>
          </w:tcPr>
          <w:p w14:paraId="0046E221" w14:textId="77777777" w:rsidR="001F04FD" w:rsidRPr="0013396E" w:rsidRDefault="001F04FD" w:rsidP="00AC4DEE">
            <w:pPr>
              <w:pStyle w:val="TableHead"/>
            </w:pPr>
            <w:r w:rsidRPr="0013396E">
              <w:t>Variable</w:t>
            </w:r>
          </w:p>
        </w:tc>
        <w:tc>
          <w:tcPr>
            <w:tcW w:w="720" w:type="dxa"/>
          </w:tcPr>
          <w:p w14:paraId="3A5DC9F4" w14:textId="77777777" w:rsidR="001F04FD" w:rsidRPr="0013396E" w:rsidRDefault="001F04FD" w:rsidP="00AC4DEE">
            <w:pPr>
              <w:pStyle w:val="TableHead"/>
            </w:pPr>
            <w:r w:rsidRPr="0013396E">
              <w:t>Unit</w:t>
            </w:r>
          </w:p>
        </w:tc>
        <w:tc>
          <w:tcPr>
            <w:tcW w:w="6959" w:type="dxa"/>
          </w:tcPr>
          <w:p w14:paraId="3B1977CC" w14:textId="77777777" w:rsidR="001F04FD" w:rsidRPr="0013396E" w:rsidRDefault="001F04FD" w:rsidP="00AC4DEE">
            <w:pPr>
              <w:pStyle w:val="TableHead"/>
            </w:pPr>
            <w:r w:rsidRPr="0013396E">
              <w:t>Definition</w:t>
            </w:r>
          </w:p>
        </w:tc>
      </w:tr>
      <w:tr w:rsidR="001F04FD" w:rsidRPr="0013396E" w14:paraId="1F590757" w14:textId="77777777" w:rsidTr="00AC4DEE">
        <w:trPr>
          <w:cantSplit/>
        </w:trPr>
        <w:tc>
          <w:tcPr>
            <w:tcW w:w="2358" w:type="dxa"/>
          </w:tcPr>
          <w:p w14:paraId="6A8FB47B" w14:textId="77777777" w:rsidR="001F04FD" w:rsidRPr="0013396E" w:rsidRDefault="001F04FD" w:rsidP="00AC4DEE">
            <w:pPr>
              <w:pStyle w:val="TableBody"/>
            </w:pPr>
            <w:r w:rsidRPr="0013396E">
              <w:t xml:space="preserve">LAVSSAMT </w:t>
            </w:r>
            <w:r w:rsidRPr="0013396E">
              <w:rPr>
                <w:i/>
                <w:vertAlign w:val="subscript"/>
              </w:rPr>
              <w:t>q</w:t>
            </w:r>
          </w:p>
        </w:tc>
        <w:tc>
          <w:tcPr>
            <w:tcW w:w="720" w:type="dxa"/>
          </w:tcPr>
          <w:p w14:paraId="260BB285" w14:textId="77777777" w:rsidR="001F04FD" w:rsidRPr="0013396E" w:rsidRDefault="001F04FD" w:rsidP="00AC4DEE">
            <w:pPr>
              <w:pStyle w:val="TableBody"/>
            </w:pPr>
            <w:r w:rsidRPr="0013396E">
              <w:t>$</w:t>
            </w:r>
          </w:p>
        </w:tc>
        <w:tc>
          <w:tcPr>
            <w:tcW w:w="6959" w:type="dxa"/>
          </w:tcPr>
          <w:p w14:paraId="29CC5802" w14:textId="77777777" w:rsidR="001F04FD" w:rsidRPr="0013396E" w:rsidRDefault="001F04FD" w:rsidP="00AC4DEE">
            <w:pPr>
              <w:pStyle w:val="TableBody"/>
            </w:pPr>
            <w:r w:rsidRPr="0013396E">
              <w:rPr>
                <w:i/>
              </w:rPr>
              <w:t>Load-Allocated Voltage Support Service Amount per QSE</w:t>
            </w:r>
            <w:r w:rsidRPr="0013396E">
              <w:t xml:space="preserve">—The charge to QSE </w:t>
            </w:r>
            <w:r w:rsidRPr="0013396E">
              <w:rPr>
                <w:i/>
              </w:rPr>
              <w:t>q</w:t>
            </w:r>
            <w:r w:rsidRPr="0013396E">
              <w:t xml:space="preserve"> for VSS, for the 15-minute Settlement Interval.</w:t>
            </w:r>
          </w:p>
        </w:tc>
      </w:tr>
      <w:tr w:rsidR="001F04FD" w:rsidRPr="0013396E" w14:paraId="3F3DCDB0" w14:textId="77777777" w:rsidTr="00AC4DEE">
        <w:trPr>
          <w:cantSplit/>
        </w:trPr>
        <w:tc>
          <w:tcPr>
            <w:tcW w:w="2358" w:type="dxa"/>
          </w:tcPr>
          <w:p w14:paraId="357B5A71" w14:textId="77777777" w:rsidR="001F04FD" w:rsidRPr="0013396E" w:rsidRDefault="001F04FD" w:rsidP="00AC4DEE">
            <w:pPr>
              <w:pStyle w:val="TableBody"/>
            </w:pPr>
            <w:r w:rsidRPr="0013396E">
              <w:t>VSSVARAMTTOT</w:t>
            </w:r>
          </w:p>
        </w:tc>
        <w:tc>
          <w:tcPr>
            <w:tcW w:w="720" w:type="dxa"/>
          </w:tcPr>
          <w:p w14:paraId="58495F9D" w14:textId="77777777" w:rsidR="001F04FD" w:rsidRPr="0013396E" w:rsidRDefault="001F04FD" w:rsidP="00AC4DEE">
            <w:pPr>
              <w:pStyle w:val="TableBody"/>
            </w:pPr>
            <w:r w:rsidRPr="0013396E">
              <w:t>$</w:t>
            </w:r>
          </w:p>
        </w:tc>
        <w:tc>
          <w:tcPr>
            <w:tcW w:w="6959" w:type="dxa"/>
          </w:tcPr>
          <w:p w14:paraId="11E5FD94" w14:textId="77777777" w:rsidR="001F04FD" w:rsidRPr="0013396E" w:rsidRDefault="001F04FD" w:rsidP="00AC4DEE">
            <w:pPr>
              <w:pStyle w:val="TableBody"/>
              <w:rPr>
                <w:i/>
              </w:rPr>
            </w:pPr>
            <w:r w:rsidRPr="0013396E">
              <w:rPr>
                <w:i/>
              </w:rPr>
              <w:t>Voltage Support Service var Amount Total</w:t>
            </w:r>
            <w:r w:rsidRPr="0013396E">
              <w:t>—The total of payments to all QSEs providing VSS, for the 15-minute Settlement Interval.</w:t>
            </w:r>
          </w:p>
        </w:tc>
      </w:tr>
      <w:tr w:rsidR="001F04FD" w:rsidRPr="0013396E" w14:paraId="05CC104B" w14:textId="77777777" w:rsidTr="00AC4DEE">
        <w:trPr>
          <w:cantSplit/>
        </w:trPr>
        <w:tc>
          <w:tcPr>
            <w:tcW w:w="2358" w:type="dxa"/>
          </w:tcPr>
          <w:p w14:paraId="4108B83F" w14:textId="77777777" w:rsidR="001F04FD" w:rsidRPr="0013396E" w:rsidRDefault="001F04FD" w:rsidP="00AC4DEE">
            <w:pPr>
              <w:pStyle w:val="TableBody"/>
            </w:pPr>
            <w:r w:rsidRPr="0013396E">
              <w:t xml:space="preserve">VSSVARAMTQSETOT </w:t>
            </w:r>
            <w:r w:rsidRPr="0013396E">
              <w:rPr>
                <w:i/>
                <w:vertAlign w:val="subscript"/>
              </w:rPr>
              <w:t>q</w:t>
            </w:r>
          </w:p>
        </w:tc>
        <w:tc>
          <w:tcPr>
            <w:tcW w:w="720" w:type="dxa"/>
          </w:tcPr>
          <w:p w14:paraId="06912487" w14:textId="77777777" w:rsidR="001F04FD" w:rsidRPr="0013396E" w:rsidRDefault="001F04FD" w:rsidP="00AC4DEE">
            <w:pPr>
              <w:pStyle w:val="TableBody"/>
            </w:pPr>
            <w:r w:rsidRPr="0013396E">
              <w:t>$</w:t>
            </w:r>
          </w:p>
        </w:tc>
        <w:tc>
          <w:tcPr>
            <w:tcW w:w="6959" w:type="dxa"/>
          </w:tcPr>
          <w:p w14:paraId="09330824" w14:textId="77777777" w:rsidR="001F04FD" w:rsidRPr="0013396E" w:rsidRDefault="001F04FD" w:rsidP="00AC4DEE">
            <w:pPr>
              <w:pStyle w:val="TableBody"/>
              <w:rPr>
                <w:i/>
              </w:rPr>
            </w:pPr>
            <w:r w:rsidRPr="0013396E">
              <w:rPr>
                <w:i/>
              </w:rPr>
              <w:t>Voltage Support Service var Amount QSE Total per QSE</w:t>
            </w:r>
            <w:r w:rsidRPr="0013396E">
              <w:sym w:font="Symbol" w:char="F0BE"/>
            </w:r>
            <w:r w:rsidRPr="0013396E">
              <w:t xml:space="preserve">The total of the payments to QSE </w:t>
            </w:r>
            <w:r w:rsidRPr="0013396E">
              <w:rPr>
                <w:i/>
              </w:rPr>
              <w:t>q</w:t>
            </w:r>
            <w:r w:rsidRPr="0013396E">
              <w:t xml:space="preserve"> for providing VSS for the 15-minute Settlement Interval.</w:t>
            </w:r>
          </w:p>
        </w:tc>
      </w:tr>
      <w:tr w:rsidR="001F04FD" w:rsidRPr="0013396E" w14:paraId="08CA9B9F" w14:textId="77777777" w:rsidTr="00AC4DEE">
        <w:trPr>
          <w:cantSplit/>
        </w:trPr>
        <w:tc>
          <w:tcPr>
            <w:tcW w:w="2358" w:type="dxa"/>
          </w:tcPr>
          <w:p w14:paraId="0099BE1B" w14:textId="77777777" w:rsidR="001F04FD" w:rsidRPr="0013396E" w:rsidRDefault="001F04FD" w:rsidP="00AC4DEE">
            <w:pPr>
              <w:pStyle w:val="TableBody"/>
            </w:pPr>
            <w:r w:rsidRPr="0013396E">
              <w:t xml:space="preserve">LRS </w:t>
            </w:r>
            <w:r w:rsidRPr="0013396E">
              <w:rPr>
                <w:i/>
                <w:vertAlign w:val="subscript"/>
              </w:rPr>
              <w:t>q</w:t>
            </w:r>
          </w:p>
        </w:tc>
        <w:tc>
          <w:tcPr>
            <w:tcW w:w="720" w:type="dxa"/>
          </w:tcPr>
          <w:p w14:paraId="251EAF68" w14:textId="77777777" w:rsidR="001F04FD" w:rsidRPr="0013396E" w:rsidRDefault="001F04FD" w:rsidP="00AC4DEE">
            <w:pPr>
              <w:pStyle w:val="TableBody"/>
            </w:pPr>
            <w:r w:rsidRPr="0013396E">
              <w:t>none</w:t>
            </w:r>
          </w:p>
        </w:tc>
        <w:tc>
          <w:tcPr>
            <w:tcW w:w="6959" w:type="dxa"/>
          </w:tcPr>
          <w:p w14:paraId="253BF8F5" w14:textId="77777777" w:rsidR="001F04FD" w:rsidRPr="0013396E" w:rsidRDefault="001F04FD" w:rsidP="00AC4DEE">
            <w:pPr>
              <w:pStyle w:val="TableBody"/>
            </w:pPr>
            <w:r w:rsidRPr="0013396E">
              <w:rPr>
                <w:i/>
              </w:rPr>
              <w:t>The Load Ratio Share</w:t>
            </w:r>
            <w:r w:rsidRPr="0013396E">
              <w:t xml:space="preserve"> calculated for QSE </w:t>
            </w:r>
            <w:r w:rsidRPr="0013396E">
              <w:rPr>
                <w:i/>
              </w:rPr>
              <w:t>q</w:t>
            </w:r>
            <w:r w:rsidRPr="0013396E">
              <w:t xml:space="preserve"> for the 15-minute Settlement Interval.  See Section 6.6.2.2, QSE Load Ratio Share for a 15-Minute Settlement Interval.</w:t>
            </w:r>
          </w:p>
        </w:tc>
      </w:tr>
      <w:tr w:rsidR="001F04FD" w:rsidRPr="0013396E" w14:paraId="0CD4025A" w14:textId="77777777" w:rsidTr="00AC4DEE">
        <w:trPr>
          <w:cantSplit/>
        </w:trPr>
        <w:tc>
          <w:tcPr>
            <w:tcW w:w="2358" w:type="dxa"/>
            <w:tcBorders>
              <w:top w:val="single" w:sz="4" w:space="0" w:color="auto"/>
              <w:left w:val="single" w:sz="4" w:space="0" w:color="auto"/>
              <w:bottom w:val="single" w:sz="4" w:space="0" w:color="auto"/>
              <w:right w:val="single" w:sz="4" w:space="0" w:color="auto"/>
            </w:tcBorders>
          </w:tcPr>
          <w:p w14:paraId="5FC0DEF7" w14:textId="77777777" w:rsidR="001F04FD" w:rsidRPr="0013396E" w:rsidRDefault="001F04FD" w:rsidP="00AC4DEE">
            <w:pPr>
              <w:pStyle w:val="TableBody"/>
            </w:pPr>
            <w:r w:rsidRPr="0013396E">
              <w:t>VSSEAMTTOT</w:t>
            </w:r>
          </w:p>
        </w:tc>
        <w:tc>
          <w:tcPr>
            <w:tcW w:w="720" w:type="dxa"/>
            <w:tcBorders>
              <w:top w:val="single" w:sz="4" w:space="0" w:color="auto"/>
              <w:left w:val="single" w:sz="4" w:space="0" w:color="auto"/>
              <w:bottom w:val="single" w:sz="4" w:space="0" w:color="auto"/>
              <w:right w:val="single" w:sz="4" w:space="0" w:color="auto"/>
            </w:tcBorders>
          </w:tcPr>
          <w:p w14:paraId="053694C5" w14:textId="77777777" w:rsidR="001F04FD" w:rsidRPr="0013396E" w:rsidRDefault="001F04FD" w:rsidP="00AC4DEE">
            <w:pPr>
              <w:pStyle w:val="TableBody"/>
            </w:pPr>
            <w:r w:rsidRPr="0013396E">
              <w:t>$</w:t>
            </w:r>
          </w:p>
        </w:tc>
        <w:tc>
          <w:tcPr>
            <w:tcW w:w="6959" w:type="dxa"/>
            <w:tcBorders>
              <w:top w:val="single" w:sz="4" w:space="0" w:color="auto"/>
              <w:left w:val="single" w:sz="4" w:space="0" w:color="auto"/>
              <w:bottom w:val="single" w:sz="4" w:space="0" w:color="auto"/>
              <w:right w:val="single" w:sz="4" w:space="0" w:color="auto"/>
            </w:tcBorders>
          </w:tcPr>
          <w:p w14:paraId="19F5FC12" w14:textId="77777777" w:rsidR="001F04FD" w:rsidRPr="0013396E" w:rsidRDefault="001F04FD" w:rsidP="00AC4DEE">
            <w:pPr>
              <w:pStyle w:val="TableBody"/>
            </w:pPr>
            <w:r w:rsidRPr="0013396E">
              <w:rPr>
                <w:i/>
              </w:rPr>
              <w:t>Voltage Support Service Lost Opportunity Amount Total</w:t>
            </w:r>
            <w:r w:rsidRPr="0013396E">
              <w:t>—The total of payments to all QSEs providing VSS in lieu of energy, for the 15-minute Settlement Interval.</w:t>
            </w:r>
          </w:p>
        </w:tc>
      </w:tr>
      <w:tr w:rsidR="001F04FD" w:rsidRPr="0013396E" w14:paraId="2733E68E" w14:textId="77777777" w:rsidTr="00AC4DEE">
        <w:trPr>
          <w:cantSplit/>
        </w:trPr>
        <w:tc>
          <w:tcPr>
            <w:tcW w:w="2358" w:type="dxa"/>
            <w:tcBorders>
              <w:top w:val="single" w:sz="4" w:space="0" w:color="auto"/>
              <w:left w:val="single" w:sz="4" w:space="0" w:color="auto"/>
              <w:bottom w:val="single" w:sz="4" w:space="0" w:color="auto"/>
              <w:right w:val="single" w:sz="4" w:space="0" w:color="auto"/>
            </w:tcBorders>
          </w:tcPr>
          <w:p w14:paraId="3C6AF8EF" w14:textId="77777777" w:rsidR="001F04FD" w:rsidRPr="0013396E" w:rsidRDefault="001F04FD" w:rsidP="00AC4DEE">
            <w:pPr>
              <w:pStyle w:val="TableBody"/>
            </w:pPr>
            <w:r w:rsidRPr="0013396E">
              <w:t xml:space="preserve">VSSEAMTQSETOT </w:t>
            </w:r>
            <w:r w:rsidRPr="0013396E">
              <w:rPr>
                <w:i/>
                <w:vertAlign w:val="subscript"/>
              </w:rPr>
              <w:t>q</w:t>
            </w:r>
          </w:p>
        </w:tc>
        <w:tc>
          <w:tcPr>
            <w:tcW w:w="720" w:type="dxa"/>
            <w:tcBorders>
              <w:top w:val="single" w:sz="4" w:space="0" w:color="auto"/>
              <w:left w:val="single" w:sz="4" w:space="0" w:color="auto"/>
              <w:bottom w:val="single" w:sz="4" w:space="0" w:color="auto"/>
              <w:right w:val="single" w:sz="4" w:space="0" w:color="auto"/>
            </w:tcBorders>
          </w:tcPr>
          <w:p w14:paraId="6EDCB22D" w14:textId="77777777" w:rsidR="001F04FD" w:rsidRPr="0013396E" w:rsidRDefault="001F04FD" w:rsidP="00AC4DEE">
            <w:pPr>
              <w:pStyle w:val="TableBody"/>
            </w:pPr>
            <w:r w:rsidRPr="0013396E">
              <w:t>$</w:t>
            </w:r>
          </w:p>
        </w:tc>
        <w:tc>
          <w:tcPr>
            <w:tcW w:w="6959" w:type="dxa"/>
            <w:tcBorders>
              <w:top w:val="single" w:sz="4" w:space="0" w:color="auto"/>
              <w:left w:val="single" w:sz="4" w:space="0" w:color="auto"/>
              <w:bottom w:val="single" w:sz="4" w:space="0" w:color="auto"/>
              <w:right w:val="single" w:sz="4" w:space="0" w:color="auto"/>
            </w:tcBorders>
          </w:tcPr>
          <w:p w14:paraId="23AC61E2" w14:textId="77777777" w:rsidR="001F04FD" w:rsidRPr="0013396E" w:rsidRDefault="001F04FD" w:rsidP="00AC4DEE">
            <w:pPr>
              <w:pStyle w:val="TableBody"/>
            </w:pPr>
            <w:r w:rsidRPr="0013396E">
              <w:rPr>
                <w:i/>
              </w:rPr>
              <w:t>Voltage Support Service Lost Opportunity Amount QSE Total per QSE</w:t>
            </w:r>
            <w:r w:rsidRPr="0013396E">
              <w:sym w:font="Symbol" w:char="F0BE"/>
            </w:r>
            <w:r w:rsidRPr="0013396E">
              <w:t xml:space="preserve">The total of the payments to QSE </w:t>
            </w:r>
            <w:r w:rsidRPr="0013396E">
              <w:rPr>
                <w:i/>
              </w:rPr>
              <w:t>q</w:t>
            </w:r>
            <w:r w:rsidRPr="0013396E">
              <w:t xml:space="preserve"> for providing VSS in lieu of energy, for the 15-minute Settlement Interval.</w:t>
            </w:r>
          </w:p>
        </w:tc>
      </w:tr>
      <w:tr w:rsidR="001F04FD" w:rsidRPr="0013396E" w14:paraId="3F4AB79B" w14:textId="77777777" w:rsidTr="00AC4DEE">
        <w:trPr>
          <w:cantSplit/>
        </w:trPr>
        <w:tc>
          <w:tcPr>
            <w:tcW w:w="2358" w:type="dxa"/>
            <w:tcBorders>
              <w:top w:val="single" w:sz="4" w:space="0" w:color="auto"/>
              <w:left w:val="single" w:sz="4" w:space="0" w:color="auto"/>
              <w:bottom w:val="single" w:sz="4" w:space="0" w:color="auto"/>
              <w:right w:val="single" w:sz="4" w:space="0" w:color="auto"/>
            </w:tcBorders>
          </w:tcPr>
          <w:p w14:paraId="0D20AC0E" w14:textId="77777777" w:rsidR="001F04FD" w:rsidRPr="0013396E" w:rsidRDefault="001F04FD" w:rsidP="00AC4DEE">
            <w:pPr>
              <w:pStyle w:val="TableBody"/>
              <w:rPr>
                <w:i/>
              </w:rPr>
            </w:pPr>
            <w:r w:rsidRPr="0013396E">
              <w:rPr>
                <w:i/>
              </w:rPr>
              <w:t>q</w:t>
            </w:r>
          </w:p>
        </w:tc>
        <w:tc>
          <w:tcPr>
            <w:tcW w:w="720" w:type="dxa"/>
            <w:tcBorders>
              <w:top w:val="single" w:sz="4" w:space="0" w:color="auto"/>
              <w:left w:val="single" w:sz="4" w:space="0" w:color="auto"/>
              <w:bottom w:val="single" w:sz="4" w:space="0" w:color="auto"/>
              <w:right w:val="single" w:sz="4" w:space="0" w:color="auto"/>
            </w:tcBorders>
          </w:tcPr>
          <w:p w14:paraId="39756017" w14:textId="77777777" w:rsidR="001F04FD" w:rsidRPr="0013396E" w:rsidRDefault="001F04FD" w:rsidP="00AC4DEE">
            <w:pPr>
              <w:pStyle w:val="TableBody"/>
            </w:pPr>
            <w:r w:rsidRPr="0013396E">
              <w:t>none</w:t>
            </w:r>
          </w:p>
        </w:tc>
        <w:tc>
          <w:tcPr>
            <w:tcW w:w="6959" w:type="dxa"/>
            <w:tcBorders>
              <w:top w:val="single" w:sz="4" w:space="0" w:color="auto"/>
              <w:left w:val="single" w:sz="4" w:space="0" w:color="auto"/>
              <w:bottom w:val="single" w:sz="4" w:space="0" w:color="auto"/>
              <w:right w:val="single" w:sz="4" w:space="0" w:color="auto"/>
            </w:tcBorders>
          </w:tcPr>
          <w:p w14:paraId="66F42560" w14:textId="77777777" w:rsidR="001F04FD" w:rsidRPr="0013396E" w:rsidRDefault="001F04FD" w:rsidP="00AC4DEE">
            <w:pPr>
              <w:pStyle w:val="TableBody"/>
            </w:pPr>
            <w:r w:rsidRPr="0013396E">
              <w:t>A QSE.</w:t>
            </w:r>
          </w:p>
        </w:tc>
      </w:tr>
    </w:tbl>
    <w:p w14:paraId="30728615" w14:textId="77777777" w:rsidR="001F04FD" w:rsidRPr="0013396E" w:rsidRDefault="001F04FD" w:rsidP="001F04FD">
      <w:bookmarkStart w:id="2051" w:name="_Toc87951811"/>
      <w:bookmarkEnd w:id="2050"/>
    </w:p>
    <w:p w14:paraId="348EA620" w14:textId="77777777" w:rsidR="001F04FD" w:rsidRPr="0013396E" w:rsidRDefault="001F04FD" w:rsidP="001F04FD">
      <w:pPr>
        <w:pStyle w:val="H3"/>
      </w:pPr>
      <w:bookmarkStart w:id="2052" w:name="_Toc109009415"/>
      <w:bookmarkStart w:id="2053" w:name="_Toc397505035"/>
      <w:bookmarkStart w:id="2054" w:name="_Toc402357167"/>
      <w:bookmarkStart w:id="2055" w:name="_Toc422486547"/>
      <w:bookmarkStart w:id="2056" w:name="_Toc433093400"/>
      <w:bookmarkStart w:id="2057" w:name="_Toc433093558"/>
      <w:bookmarkStart w:id="2058" w:name="_Toc440874788"/>
      <w:bookmarkStart w:id="2059" w:name="_Toc448142345"/>
      <w:bookmarkStart w:id="2060" w:name="_Toc448142502"/>
      <w:bookmarkStart w:id="2061" w:name="_Toc458770343"/>
      <w:bookmarkStart w:id="2062" w:name="_Toc459294311"/>
      <w:bookmarkStart w:id="2063" w:name="_Toc463262805"/>
      <w:bookmarkStart w:id="2064" w:name="_Toc468286878"/>
      <w:bookmarkStart w:id="2065" w:name="_Toc481502918"/>
      <w:bookmarkStart w:id="2066" w:name="_Toc496080086"/>
      <w:bookmarkStart w:id="2067" w:name="_Toc214879009"/>
      <w:r w:rsidRPr="0013396E">
        <w:t>6.6.8</w:t>
      </w:r>
      <w:r w:rsidRPr="0013396E">
        <w:tab/>
        <w:t>Black Start Capacity</w:t>
      </w:r>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r w:rsidRPr="0013396E">
        <w:t xml:space="preserve"> </w:t>
      </w:r>
    </w:p>
    <w:p w14:paraId="5F87F2F0" w14:textId="77777777" w:rsidR="001F04FD" w:rsidRPr="0013396E" w:rsidRDefault="001F04FD" w:rsidP="001F04FD">
      <w:pPr>
        <w:pStyle w:val="H4"/>
      </w:pPr>
      <w:bookmarkStart w:id="2068" w:name="_Toc87951812"/>
      <w:bookmarkStart w:id="2069" w:name="_Toc109009416"/>
      <w:bookmarkStart w:id="2070" w:name="_Toc397505036"/>
      <w:bookmarkStart w:id="2071" w:name="_Toc402357168"/>
      <w:bookmarkStart w:id="2072" w:name="_Toc422486548"/>
      <w:bookmarkStart w:id="2073" w:name="_Toc433093401"/>
      <w:bookmarkStart w:id="2074" w:name="_Toc433093559"/>
      <w:bookmarkStart w:id="2075" w:name="_Toc440874789"/>
      <w:bookmarkStart w:id="2076" w:name="_Toc448142346"/>
      <w:bookmarkStart w:id="2077" w:name="_Toc448142503"/>
      <w:bookmarkStart w:id="2078" w:name="_Toc458770344"/>
      <w:bookmarkStart w:id="2079" w:name="_Toc459294312"/>
      <w:bookmarkStart w:id="2080" w:name="_Toc463262806"/>
      <w:bookmarkStart w:id="2081" w:name="_Toc468286879"/>
      <w:bookmarkStart w:id="2082" w:name="_Toc481502919"/>
      <w:bookmarkStart w:id="2083" w:name="_Toc496080087"/>
      <w:bookmarkStart w:id="2084" w:name="_Toc214879010"/>
      <w:r w:rsidRPr="0013396E">
        <w:t>6.6.8.1</w:t>
      </w:r>
      <w:r w:rsidRPr="0013396E">
        <w:tab/>
        <w:t>Black Start Hourly Standby Fee Payment</w:t>
      </w:r>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p>
    <w:p w14:paraId="7D7FCECE" w14:textId="77777777" w:rsidR="001F04FD" w:rsidRPr="0013396E" w:rsidRDefault="001F04FD" w:rsidP="001F04FD">
      <w:pPr>
        <w:pStyle w:val="BodyTextNumbered"/>
      </w:pPr>
      <w:r w:rsidRPr="0013396E">
        <w:t>(1)</w:t>
      </w:r>
      <w:r w:rsidRPr="0013396E">
        <w:tab/>
        <w:t>ERCOT shall pay an Hourly Standby Fee to the QSEs representing a Black Start Resource.  This standby fee is determined through a competitive bi-annual bidding process, with an adjustment for reliability based on a six-month rolling availability equal to 85% in accordance with Section 22, Attachment D, Standard Form Black Start Agreement.</w:t>
      </w:r>
    </w:p>
    <w:p w14:paraId="2B2DAB13" w14:textId="77777777" w:rsidR="001F04FD" w:rsidRPr="0013396E" w:rsidRDefault="001F04FD" w:rsidP="001F04FD">
      <w:pPr>
        <w:spacing w:after="240"/>
        <w:ind w:left="720" w:hanging="720"/>
      </w:pPr>
      <w:r w:rsidRPr="0013396E">
        <w:t>(2)</w:t>
      </w:r>
      <w:r w:rsidRPr="0013396E">
        <w:tab/>
        <w:t>The Black Start Hourly Standby Fee is subject to reduction and</w:t>
      </w:r>
      <w:r w:rsidRPr="0013396E">
        <w:rPr>
          <w:iCs/>
        </w:rPr>
        <w:t xml:space="preserve"> claw-back provisions as described in Section 8.1.1.2.1.5, System Black Start Capability Qualification and Testing.</w:t>
      </w:r>
      <w:r w:rsidRPr="0013396E">
        <w:t xml:space="preserve"> </w:t>
      </w:r>
    </w:p>
    <w:p w14:paraId="1208C3A8" w14:textId="77777777" w:rsidR="001F04FD" w:rsidRPr="0013396E" w:rsidRDefault="001F04FD" w:rsidP="001F04FD">
      <w:pPr>
        <w:pStyle w:val="BodyTextNumbered"/>
      </w:pPr>
      <w:r w:rsidRPr="0013396E">
        <w:t>(3)</w:t>
      </w:r>
      <w:r w:rsidRPr="0013396E">
        <w:tab/>
        <w:t>ERCOT shall pay a Black Start Hourly Standby Fee payment to each QSE for each Black Start Resource.  The payment for each hour is calculated as follows:</w:t>
      </w:r>
    </w:p>
    <w:p w14:paraId="7546D001" w14:textId="77777777" w:rsidR="001F04FD" w:rsidRPr="0013396E" w:rsidRDefault="001F04FD" w:rsidP="001F04FD">
      <w:pPr>
        <w:pStyle w:val="FormulaBold"/>
      </w:pPr>
      <w:r w:rsidRPr="0013396E">
        <w:t xml:space="preserve">BSSAMT </w:t>
      </w:r>
      <w:r w:rsidRPr="0013396E">
        <w:rPr>
          <w:i/>
          <w:vertAlign w:val="subscript"/>
        </w:rPr>
        <w:t>q, r</w:t>
      </w:r>
      <w:r w:rsidRPr="0013396E">
        <w:tab/>
        <w:t>=</w:t>
      </w:r>
      <w:r w:rsidRPr="0013396E">
        <w:tab/>
        <w:t xml:space="preserve">(-1) * BSSPR </w:t>
      </w:r>
      <w:r w:rsidRPr="0013396E">
        <w:rPr>
          <w:i/>
          <w:vertAlign w:val="subscript"/>
        </w:rPr>
        <w:t>q, r</w:t>
      </w:r>
      <w:r w:rsidRPr="0013396E">
        <w:t xml:space="preserve"> * BSSARF </w:t>
      </w:r>
      <w:r w:rsidRPr="0013396E">
        <w:rPr>
          <w:i/>
          <w:vertAlign w:val="subscript"/>
        </w:rPr>
        <w:t>q, r</w:t>
      </w:r>
    </w:p>
    <w:p w14:paraId="38A6BD9C" w14:textId="77777777" w:rsidR="001F04FD" w:rsidRPr="0013396E" w:rsidRDefault="001F04FD" w:rsidP="001F04FD">
      <w:pPr>
        <w:pStyle w:val="BodyText"/>
      </w:pPr>
      <w:r w:rsidRPr="0013396E">
        <w:t>Where:</w:t>
      </w:r>
    </w:p>
    <w:p w14:paraId="6FC4DE43" w14:textId="77777777" w:rsidR="001F04FD" w:rsidRPr="0013396E" w:rsidRDefault="001F04FD" w:rsidP="001F04FD">
      <w:r w:rsidRPr="0013396E">
        <w:t>Black Start Service Availability Reduction Factor</w:t>
      </w:r>
    </w:p>
    <w:p w14:paraId="6E8FB350" w14:textId="77777777" w:rsidR="001F04FD" w:rsidRPr="0013396E" w:rsidRDefault="001F04FD" w:rsidP="001F04FD">
      <w:pPr>
        <w:ind w:firstLine="720"/>
        <w:rPr>
          <w:lang w:val="pt-BR"/>
        </w:rPr>
      </w:pPr>
      <w:r w:rsidRPr="0013396E">
        <w:rPr>
          <w:lang w:val="pt-BR"/>
        </w:rPr>
        <w:t xml:space="preserve">If (BSSHREAF </w:t>
      </w:r>
      <w:r w:rsidRPr="0013396E">
        <w:rPr>
          <w:i/>
          <w:vertAlign w:val="subscript"/>
          <w:lang w:val="pt-BR"/>
        </w:rPr>
        <w:t>q, r</w:t>
      </w:r>
      <w:r w:rsidRPr="0013396E">
        <w:rPr>
          <w:lang w:val="pt-BR"/>
        </w:rPr>
        <w:t xml:space="preserve"> </w:t>
      </w:r>
      <w:r w:rsidRPr="0013396E">
        <w:sym w:font="Symbol" w:char="F0B3"/>
      </w:r>
      <w:r w:rsidRPr="0013396E">
        <w:rPr>
          <w:lang w:val="pt-BR"/>
        </w:rPr>
        <w:t xml:space="preserve"> 0.85)</w:t>
      </w:r>
    </w:p>
    <w:p w14:paraId="19DEF163" w14:textId="77777777" w:rsidR="001F04FD" w:rsidRPr="0013396E" w:rsidRDefault="001F04FD" w:rsidP="001F04FD">
      <w:pPr>
        <w:ind w:left="720" w:firstLine="720"/>
        <w:rPr>
          <w:lang w:val="pt-BR"/>
        </w:rPr>
      </w:pPr>
      <w:r w:rsidRPr="0013396E">
        <w:rPr>
          <w:lang w:val="pt-BR"/>
        </w:rPr>
        <w:t xml:space="preserve">BSSARF </w:t>
      </w:r>
      <w:r w:rsidRPr="0013396E">
        <w:rPr>
          <w:i/>
          <w:vertAlign w:val="subscript"/>
          <w:lang w:val="pt-BR"/>
        </w:rPr>
        <w:t>q, r</w:t>
      </w:r>
      <w:r w:rsidRPr="0013396E">
        <w:rPr>
          <w:lang w:val="pt-BR"/>
        </w:rPr>
        <w:t xml:space="preserve"> </w:t>
      </w:r>
      <w:r w:rsidRPr="0013396E">
        <w:rPr>
          <w:lang w:val="pt-BR"/>
        </w:rPr>
        <w:tab/>
        <w:t xml:space="preserve">= </w:t>
      </w:r>
      <w:r w:rsidRPr="0013396E">
        <w:rPr>
          <w:lang w:val="pt-BR"/>
        </w:rPr>
        <w:tab/>
        <w:t>1</w:t>
      </w:r>
    </w:p>
    <w:p w14:paraId="18DF170B" w14:textId="77777777" w:rsidR="001F04FD" w:rsidRPr="0013396E" w:rsidRDefault="001F04FD" w:rsidP="001F04FD">
      <w:pPr>
        <w:ind w:firstLine="720"/>
        <w:rPr>
          <w:lang w:val="pt-BR"/>
        </w:rPr>
      </w:pPr>
      <w:r w:rsidRPr="0013396E">
        <w:rPr>
          <w:lang w:val="pt-BR"/>
        </w:rPr>
        <w:t>Otherwise</w:t>
      </w:r>
    </w:p>
    <w:p w14:paraId="4183BDB0" w14:textId="77777777" w:rsidR="001F04FD" w:rsidRPr="0013396E" w:rsidRDefault="001F04FD" w:rsidP="001F04FD">
      <w:pPr>
        <w:ind w:left="720" w:firstLine="720"/>
        <w:rPr>
          <w:lang w:val="pt-BR"/>
        </w:rPr>
      </w:pPr>
      <w:r w:rsidRPr="0013396E">
        <w:rPr>
          <w:lang w:val="pt-BR"/>
        </w:rPr>
        <w:t xml:space="preserve">BSSARF </w:t>
      </w:r>
      <w:r w:rsidRPr="0013396E">
        <w:rPr>
          <w:i/>
          <w:vertAlign w:val="subscript"/>
          <w:lang w:val="pt-BR"/>
        </w:rPr>
        <w:t>q, r</w:t>
      </w:r>
      <w:r w:rsidRPr="0013396E">
        <w:rPr>
          <w:lang w:val="pt-BR"/>
        </w:rPr>
        <w:t xml:space="preserve"> </w:t>
      </w:r>
      <w:r w:rsidRPr="0013396E">
        <w:rPr>
          <w:lang w:val="pt-BR"/>
        </w:rPr>
        <w:tab/>
        <w:t xml:space="preserve">= </w:t>
      </w:r>
      <w:r w:rsidRPr="0013396E">
        <w:rPr>
          <w:lang w:val="pt-BR"/>
        </w:rPr>
        <w:tab/>
        <w:t xml:space="preserve">Max (0, 1 - (0.85 - BSSHREAF </w:t>
      </w:r>
      <w:r w:rsidRPr="0013396E">
        <w:rPr>
          <w:i/>
          <w:vertAlign w:val="subscript"/>
          <w:lang w:val="pt-BR"/>
        </w:rPr>
        <w:t>q, r</w:t>
      </w:r>
      <w:r w:rsidRPr="0013396E">
        <w:rPr>
          <w:lang w:val="pt-BR"/>
        </w:rPr>
        <w:t>) * 2)</w:t>
      </w:r>
    </w:p>
    <w:p w14:paraId="7610E7B8" w14:textId="77777777" w:rsidR="001F04FD" w:rsidRPr="0013396E" w:rsidRDefault="001F04FD" w:rsidP="001F04FD">
      <w:pPr>
        <w:rPr>
          <w:lang w:val="pt-BR"/>
        </w:rPr>
      </w:pPr>
    </w:p>
    <w:p w14:paraId="0196756F" w14:textId="77777777" w:rsidR="001F04FD" w:rsidRPr="0013396E" w:rsidRDefault="001F04FD" w:rsidP="001F04FD">
      <w:r w:rsidRPr="0013396E">
        <w:t>Black Start Service Hourly Rolling Equivalent Availability Factor</w:t>
      </w:r>
    </w:p>
    <w:p w14:paraId="0423D2E8" w14:textId="77777777" w:rsidR="001F04FD" w:rsidRPr="0013396E" w:rsidRDefault="001F04FD" w:rsidP="001F04FD">
      <w:pPr>
        <w:ind w:firstLine="720"/>
        <w:rPr>
          <w:lang w:val="pt-BR"/>
        </w:rPr>
      </w:pPr>
      <w:r w:rsidRPr="0013396E">
        <w:rPr>
          <w:lang w:val="pt-BR"/>
        </w:rPr>
        <w:lastRenderedPageBreak/>
        <w:t xml:space="preserve">If (BSSEH </w:t>
      </w:r>
      <w:r w:rsidRPr="0013396E">
        <w:rPr>
          <w:i/>
          <w:vertAlign w:val="subscript"/>
          <w:lang w:val="pt-BR"/>
        </w:rPr>
        <w:t>q, r</w:t>
      </w:r>
      <w:r w:rsidRPr="0013396E">
        <w:rPr>
          <w:lang w:val="pt-BR"/>
        </w:rPr>
        <w:t xml:space="preserve"> &lt; 4380)</w:t>
      </w:r>
    </w:p>
    <w:p w14:paraId="6D5ECEDE" w14:textId="77777777" w:rsidR="001F04FD" w:rsidRPr="0013396E" w:rsidRDefault="001F04FD" w:rsidP="001F04FD">
      <w:pPr>
        <w:ind w:left="720" w:firstLine="720"/>
        <w:rPr>
          <w:lang w:val="pt-BR"/>
        </w:rPr>
      </w:pPr>
      <w:r w:rsidRPr="0013396E">
        <w:rPr>
          <w:lang w:val="pt-BR"/>
        </w:rPr>
        <w:t xml:space="preserve">BSSHREAF </w:t>
      </w:r>
      <w:r w:rsidRPr="0013396E">
        <w:rPr>
          <w:i/>
          <w:vertAlign w:val="subscript"/>
          <w:lang w:val="pt-BR"/>
        </w:rPr>
        <w:t>q, r</w:t>
      </w:r>
      <w:r w:rsidRPr="0013396E">
        <w:rPr>
          <w:lang w:val="pt-BR"/>
        </w:rPr>
        <w:tab/>
        <w:t>=</w:t>
      </w:r>
      <w:r w:rsidRPr="0013396E">
        <w:rPr>
          <w:lang w:val="pt-BR"/>
        </w:rPr>
        <w:tab/>
        <w:t>1</w:t>
      </w:r>
    </w:p>
    <w:p w14:paraId="69331603" w14:textId="77777777" w:rsidR="001F04FD" w:rsidRPr="0013396E" w:rsidRDefault="001F04FD" w:rsidP="001F04FD">
      <w:pPr>
        <w:ind w:firstLine="720"/>
        <w:rPr>
          <w:lang w:val="pt-BR"/>
        </w:rPr>
      </w:pPr>
      <w:r w:rsidRPr="0013396E">
        <w:rPr>
          <w:lang w:val="pt-BR"/>
        </w:rPr>
        <w:t>Otherwise</w:t>
      </w:r>
    </w:p>
    <w:p w14:paraId="67E05950" w14:textId="77777777" w:rsidR="001F04FD" w:rsidRPr="0013396E" w:rsidRDefault="001F04FD" w:rsidP="001F04FD">
      <w:pPr>
        <w:ind w:left="720" w:firstLine="720"/>
        <w:rPr>
          <w:lang w:val="pt-BR"/>
        </w:rPr>
      </w:pPr>
      <w:r w:rsidRPr="0013396E">
        <w:rPr>
          <w:lang w:val="pt-BR"/>
        </w:rPr>
        <w:t xml:space="preserve">BSSHREAF </w:t>
      </w:r>
      <w:r w:rsidRPr="0013396E">
        <w:rPr>
          <w:i/>
          <w:vertAlign w:val="subscript"/>
          <w:lang w:val="pt-BR"/>
        </w:rPr>
        <w:t>q, r</w:t>
      </w:r>
      <w:r w:rsidRPr="0013396E">
        <w:rPr>
          <w:lang w:val="pt-BR"/>
        </w:rPr>
        <w:tab/>
        <w:t>=</w:t>
      </w:r>
      <w:r w:rsidRPr="0013396E">
        <w:rPr>
          <w:lang w:val="pt-BR"/>
        </w:rPr>
        <w:tab/>
        <w:t>(</w:t>
      </w:r>
      <w:r w:rsidRPr="0013396E">
        <w:rPr>
          <w:position w:val="-20"/>
        </w:rPr>
        <w:object w:dxaOrig="735" w:dyaOrig="585" w14:anchorId="1EC02944">
          <v:shape id="_x0000_i1195" type="#_x0000_t75" style="width:36.6pt;height:30pt" o:ole="">
            <v:imagedata r:id="rId248" o:title=""/>
          </v:shape>
          <o:OLEObject Type="Embed" ProgID="Equation.3" ShapeID="_x0000_i1195" DrawAspect="Content" ObjectID="_1836311473" r:id="rId249"/>
        </w:object>
      </w:r>
      <w:r w:rsidRPr="0013396E">
        <w:rPr>
          <w:lang w:val="pt-BR"/>
        </w:rPr>
        <w:t xml:space="preserve"> BSSAFLAG </w:t>
      </w:r>
      <w:r w:rsidRPr="0013396E">
        <w:rPr>
          <w:i/>
          <w:vertAlign w:val="subscript"/>
          <w:lang w:val="pt-BR"/>
        </w:rPr>
        <w:t>q,r,hr</w:t>
      </w:r>
      <w:r w:rsidRPr="0013396E">
        <w:rPr>
          <w:lang w:val="pt-BR"/>
        </w:rPr>
        <w:t>) / 4380</w:t>
      </w:r>
    </w:p>
    <w:p w14:paraId="24CF454E" w14:textId="77777777" w:rsidR="001F04FD" w:rsidRPr="0013396E" w:rsidRDefault="001F04FD" w:rsidP="001F04FD">
      <w:pPr>
        <w:pStyle w:val="List"/>
        <w:ind w:left="0" w:firstLine="0"/>
        <w:rPr>
          <w:lang w:val="pt-BR"/>
        </w:rPr>
      </w:pPr>
      <w:r w:rsidRPr="0013396E">
        <w:t>Availability for a Combined Cycle Train will be determined pursuant to contractual terms but no more than once per hour.</w:t>
      </w:r>
      <w:r w:rsidRPr="0013396E">
        <w:rPr>
          <w:lang w:val="pt-BR"/>
        </w:rPr>
        <w:t xml:space="preserve"> </w:t>
      </w:r>
    </w:p>
    <w:p w14:paraId="3EA282C0" w14:textId="77777777" w:rsidR="001F04FD" w:rsidRPr="0013396E" w:rsidRDefault="001F04FD" w:rsidP="001F04FD">
      <w:r w:rsidRPr="0013396E">
        <w:t>The above variables are defined as follows:</w:t>
      </w: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810"/>
        <w:gridCol w:w="7274"/>
      </w:tblGrid>
      <w:tr w:rsidR="001F04FD" w:rsidRPr="0013396E" w14:paraId="72D4B703" w14:textId="77777777" w:rsidTr="00AC4DEE">
        <w:trPr>
          <w:cantSplit/>
          <w:tblHeader/>
        </w:trPr>
        <w:tc>
          <w:tcPr>
            <w:tcW w:w="1728" w:type="dxa"/>
          </w:tcPr>
          <w:p w14:paraId="7B7EC92D" w14:textId="77777777" w:rsidR="001F04FD" w:rsidRPr="0013396E" w:rsidRDefault="001F04FD" w:rsidP="00AC4DEE">
            <w:pPr>
              <w:pStyle w:val="TableHead"/>
            </w:pPr>
            <w:r w:rsidRPr="0013396E">
              <w:t>Variable</w:t>
            </w:r>
          </w:p>
        </w:tc>
        <w:tc>
          <w:tcPr>
            <w:tcW w:w="810" w:type="dxa"/>
          </w:tcPr>
          <w:p w14:paraId="49F8C3D9" w14:textId="77777777" w:rsidR="001F04FD" w:rsidRPr="0013396E" w:rsidRDefault="001F04FD" w:rsidP="00AC4DEE">
            <w:pPr>
              <w:pStyle w:val="TableHead"/>
            </w:pPr>
            <w:r w:rsidRPr="0013396E">
              <w:t>Unit</w:t>
            </w:r>
          </w:p>
        </w:tc>
        <w:tc>
          <w:tcPr>
            <w:tcW w:w="7274" w:type="dxa"/>
          </w:tcPr>
          <w:p w14:paraId="677E4973" w14:textId="77777777" w:rsidR="001F04FD" w:rsidRPr="0013396E" w:rsidRDefault="001F04FD" w:rsidP="00AC4DEE">
            <w:pPr>
              <w:pStyle w:val="TableHead"/>
            </w:pPr>
            <w:r w:rsidRPr="0013396E">
              <w:t>Definition</w:t>
            </w:r>
          </w:p>
        </w:tc>
      </w:tr>
      <w:tr w:rsidR="001F04FD" w:rsidRPr="0013396E" w14:paraId="1B415E6F" w14:textId="77777777" w:rsidTr="00AC4DEE">
        <w:trPr>
          <w:cantSplit/>
        </w:trPr>
        <w:tc>
          <w:tcPr>
            <w:tcW w:w="1728" w:type="dxa"/>
          </w:tcPr>
          <w:p w14:paraId="657DE00E" w14:textId="77777777" w:rsidR="001F04FD" w:rsidRPr="0013396E" w:rsidRDefault="001F04FD" w:rsidP="00AC4DEE">
            <w:pPr>
              <w:pStyle w:val="TableBody"/>
            </w:pPr>
            <w:r w:rsidRPr="0013396E">
              <w:t xml:space="preserve">BSSAMT </w:t>
            </w:r>
            <w:r w:rsidRPr="0013396E">
              <w:rPr>
                <w:i/>
                <w:vertAlign w:val="subscript"/>
              </w:rPr>
              <w:t>q, r</w:t>
            </w:r>
          </w:p>
        </w:tc>
        <w:tc>
          <w:tcPr>
            <w:tcW w:w="810" w:type="dxa"/>
          </w:tcPr>
          <w:p w14:paraId="29095D91" w14:textId="77777777" w:rsidR="001F04FD" w:rsidRPr="0013396E" w:rsidRDefault="001F04FD" w:rsidP="00AC4DEE">
            <w:pPr>
              <w:pStyle w:val="TableBody"/>
            </w:pPr>
            <w:r w:rsidRPr="0013396E">
              <w:t>$</w:t>
            </w:r>
          </w:p>
        </w:tc>
        <w:tc>
          <w:tcPr>
            <w:tcW w:w="7274" w:type="dxa"/>
          </w:tcPr>
          <w:p w14:paraId="67574D67" w14:textId="77777777" w:rsidR="001F04FD" w:rsidRPr="0013396E" w:rsidRDefault="001F04FD" w:rsidP="00AC4DEE">
            <w:pPr>
              <w:pStyle w:val="TableBody"/>
            </w:pPr>
            <w:r w:rsidRPr="0013396E">
              <w:rPr>
                <w:i/>
              </w:rPr>
              <w:t>Black Start Service Amount per QSE per Resource by hour</w:t>
            </w:r>
            <w:r w:rsidRPr="0013396E">
              <w:t xml:space="preserve">—The standby payment to QSE </w:t>
            </w:r>
            <w:r w:rsidRPr="0013396E">
              <w:rPr>
                <w:i/>
              </w:rPr>
              <w:t>q</w:t>
            </w:r>
            <w:r w:rsidRPr="0013396E">
              <w:t xml:space="preserve"> for the Black Start Service (BSS) provided by Resource </w:t>
            </w:r>
            <w:r w:rsidRPr="0013396E">
              <w:rPr>
                <w:i/>
              </w:rPr>
              <w:t>r</w:t>
            </w:r>
            <w:r w:rsidRPr="0013396E">
              <w:t xml:space="preserve">, for the hour.  Where for a Combined Cycle Train, the Resource </w:t>
            </w:r>
            <w:r w:rsidRPr="0013396E">
              <w:rPr>
                <w:i/>
              </w:rPr>
              <w:t xml:space="preserve">r </w:t>
            </w:r>
            <w:r w:rsidRPr="0013396E">
              <w:t>is the Combined Cycle Train.</w:t>
            </w:r>
          </w:p>
        </w:tc>
      </w:tr>
      <w:tr w:rsidR="001F04FD" w:rsidRPr="0013396E" w14:paraId="77C04752" w14:textId="77777777" w:rsidTr="00AC4DEE">
        <w:trPr>
          <w:cantSplit/>
        </w:trPr>
        <w:tc>
          <w:tcPr>
            <w:tcW w:w="1728" w:type="dxa"/>
          </w:tcPr>
          <w:p w14:paraId="35D07F06" w14:textId="77777777" w:rsidR="001F04FD" w:rsidRPr="0013396E" w:rsidRDefault="001F04FD" w:rsidP="00AC4DEE">
            <w:pPr>
              <w:pStyle w:val="TableBody"/>
            </w:pPr>
            <w:r w:rsidRPr="0013396E">
              <w:t xml:space="preserve">BSSPR </w:t>
            </w:r>
            <w:r w:rsidRPr="0013396E">
              <w:rPr>
                <w:i/>
                <w:vertAlign w:val="subscript"/>
              </w:rPr>
              <w:t>q, r</w:t>
            </w:r>
          </w:p>
        </w:tc>
        <w:tc>
          <w:tcPr>
            <w:tcW w:w="810" w:type="dxa"/>
          </w:tcPr>
          <w:p w14:paraId="1AA5D396" w14:textId="77777777" w:rsidR="001F04FD" w:rsidRPr="0013396E" w:rsidRDefault="001F04FD" w:rsidP="00AC4DEE">
            <w:pPr>
              <w:pStyle w:val="TableBody"/>
            </w:pPr>
            <w:r w:rsidRPr="0013396E">
              <w:t>$ per hour</w:t>
            </w:r>
          </w:p>
        </w:tc>
        <w:tc>
          <w:tcPr>
            <w:tcW w:w="7274" w:type="dxa"/>
          </w:tcPr>
          <w:p w14:paraId="66B2E321" w14:textId="77777777" w:rsidR="001F04FD" w:rsidRPr="0013396E" w:rsidRDefault="001F04FD" w:rsidP="00AC4DEE">
            <w:pPr>
              <w:pStyle w:val="TableBody"/>
            </w:pPr>
            <w:r w:rsidRPr="0013396E">
              <w:rPr>
                <w:i/>
              </w:rPr>
              <w:t>Black Start Service Price per QSE per Resource</w:t>
            </w:r>
            <w:r w:rsidRPr="0013396E">
              <w:t xml:space="preserve">—The standby price of BSS Resource </w:t>
            </w:r>
            <w:r w:rsidRPr="0013396E">
              <w:rPr>
                <w:i/>
              </w:rPr>
              <w:t>r</w:t>
            </w:r>
            <w:r w:rsidRPr="0013396E">
              <w:t xml:space="preserve"> represented by QSE </w:t>
            </w:r>
            <w:r w:rsidRPr="0013396E">
              <w:rPr>
                <w:i/>
              </w:rPr>
              <w:t>q</w:t>
            </w:r>
            <w:r w:rsidRPr="0013396E">
              <w:t xml:space="preserve">, as specified in the Black Start Agreement.  Where for a Combined Cycle Train, the Resource </w:t>
            </w:r>
            <w:r w:rsidRPr="0013396E">
              <w:rPr>
                <w:i/>
              </w:rPr>
              <w:t xml:space="preserve">r </w:t>
            </w:r>
            <w:r w:rsidRPr="0013396E">
              <w:t>is the Combined Cycle Train.</w:t>
            </w:r>
          </w:p>
        </w:tc>
      </w:tr>
      <w:tr w:rsidR="001F04FD" w:rsidRPr="0013396E" w14:paraId="4DED77B2" w14:textId="77777777" w:rsidTr="00AC4DEE">
        <w:trPr>
          <w:cantSplit/>
        </w:trPr>
        <w:tc>
          <w:tcPr>
            <w:tcW w:w="1728" w:type="dxa"/>
          </w:tcPr>
          <w:p w14:paraId="267D08EE" w14:textId="77777777" w:rsidR="001F04FD" w:rsidRPr="0013396E" w:rsidRDefault="001F04FD" w:rsidP="00AC4DEE">
            <w:pPr>
              <w:pStyle w:val="TableBody"/>
            </w:pPr>
            <w:r w:rsidRPr="0013396E">
              <w:t xml:space="preserve">BSSARF </w:t>
            </w:r>
            <w:r w:rsidRPr="0013396E">
              <w:rPr>
                <w:i/>
                <w:vertAlign w:val="subscript"/>
              </w:rPr>
              <w:t>q, r</w:t>
            </w:r>
          </w:p>
        </w:tc>
        <w:tc>
          <w:tcPr>
            <w:tcW w:w="810" w:type="dxa"/>
          </w:tcPr>
          <w:p w14:paraId="25CC5AEB" w14:textId="77777777" w:rsidR="001F04FD" w:rsidRPr="0013396E" w:rsidRDefault="001F04FD" w:rsidP="00AC4DEE">
            <w:pPr>
              <w:pStyle w:val="TableBody"/>
            </w:pPr>
            <w:r w:rsidRPr="0013396E">
              <w:t>none</w:t>
            </w:r>
          </w:p>
        </w:tc>
        <w:tc>
          <w:tcPr>
            <w:tcW w:w="7274" w:type="dxa"/>
          </w:tcPr>
          <w:p w14:paraId="2BC8B5A6" w14:textId="77777777" w:rsidR="001F04FD" w:rsidRPr="0013396E" w:rsidRDefault="001F04FD" w:rsidP="00AC4DEE">
            <w:pPr>
              <w:pStyle w:val="TableBody"/>
            </w:pPr>
            <w:r w:rsidRPr="0013396E">
              <w:rPr>
                <w:i/>
              </w:rPr>
              <w:t>Black Start Service Availability Reduction Factor per QSE per Resource by hour</w:t>
            </w:r>
            <w:r w:rsidRPr="0013396E">
              <w:t xml:space="preserve">—The availability reduction factor of Resource </w:t>
            </w:r>
            <w:r w:rsidRPr="0013396E">
              <w:rPr>
                <w:i/>
              </w:rPr>
              <w:t>r</w:t>
            </w:r>
            <w:r w:rsidRPr="0013396E">
              <w:t xml:space="preserve"> represented by QSE </w:t>
            </w:r>
            <w:r w:rsidRPr="0013396E">
              <w:rPr>
                <w:i/>
              </w:rPr>
              <w:t>q</w:t>
            </w:r>
            <w:r w:rsidRPr="0013396E">
              <w:t xml:space="preserve"> under the Black Start Agreement, for the hour.  Where for a Combined Cycle Train, the Resource </w:t>
            </w:r>
            <w:r w:rsidRPr="0013396E">
              <w:rPr>
                <w:i/>
              </w:rPr>
              <w:t xml:space="preserve">r </w:t>
            </w:r>
            <w:r w:rsidRPr="0013396E">
              <w:t>is the Combined Cycle Train.</w:t>
            </w:r>
          </w:p>
        </w:tc>
      </w:tr>
      <w:tr w:rsidR="001F04FD" w:rsidRPr="0013396E" w14:paraId="09FB07EF" w14:textId="77777777" w:rsidTr="00AC4DEE">
        <w:trPr>
          <w:cantSplit/>
        </w:trPr>
        <w:tc>
          <w:tcPr>
            <w:tcW w:w="1728" w:type="dxa"/>
          </w:tcPr>
          <w:p w14:paraId="2A15D210" w14:textId="77777777" w:rsidR="001F04FD" w:rsidRPr="0013396E" w:rsidRDefault="001F04FD" w:rsidP="00AC4DEE">
            <w:pPr>
              <w:pStyle w:val="TableBody"/>
            </w:pPr>
            <w:r w:rsidRPr="0013396E">
              <w:t xml:space="preserve">BSSHREAF </w:t>
            </w:r>
            <w:r w:rsidRPr="0013396E">
              <w:rPr>
                <w:i/>
                <w:vertAlign w:val="subscript"/>
              </w:rPr>
              <w:t>q, r</w:t>
            </w:r>
          </w:p>
        </w:tc>
        <w:tc>
          <w:tcPr>
            <w:tcW w:w="810" w:type="dxa"/>
          </w:tcPr>
          <w:p w14:paraId="222886F5" w14:textId="77777777" w:rsidR="001F04FD" w:rsidRPr="0013396E" w:rsidRDefault="001F04FD" w:rsidP="00AC4DEE">
            <w:pPr>
              <w:pStyle w:val="TableBody"/>
            </w:pPr>
            <w:r w:rsidRPr="0013396E">
              <w:t>none</w:t>
            </w:r>
          </w:p>
        </w:tc>
        <w:tc>
          <w:tcPr>
            <w:tcW w:w="7274" w:type="dxa"/>
          </w:tcPr>
          <w:p w14:paraId="07CE2200" w14:textId="77777777" w:rsidR="001F04FD" w:rsidRPr="0013396E" w:rsidRDefault="001F04FD" w:rsidP="00AC4DEE">
            <w:pPr>
              <w:pStyle w:val="TableBody"/>
            </w:pPr>
            <w:r w:rsidRPr="0013396E">
              <w:rPr>
                <w:i/>
              </w:rPr>
              <w:t>Black Start Service Hourly Rolling Equivalent Availability Factor per QSE per Resource by hour</w:t>
            </w:r>
            <w:r w:rsidRPr="0013396E">
              <w:t xml:space="preserve">—The equivalent availability factor of the BSS Resource </w:t>
            </w:r>
            <w:r w:rsidRPr="0013396E">
              <w:rPr>
                <w:i/>
              </w:rPr>
              <w:t>r</w:t>
            </w:r>
            <w:r w:rsidRPr="0013396E">
              <w:t xml:space="preserve"> represented by QSE </w:t>
            </w:r>
            <w:r w:rsidRPr="0013396E">
              <w:rPr>
                <w:i/>
              </w:rPr>
              <w:t>q</w:t>
            </w:r>
            <w:r w:rsidRPr="0013396E">
              <w:t xml:space="preserve"> over 4,380 hours, for the hour.  Where for a Combined Cycle Train, the Resource </w:t>
            </w:r>
            <w:r w:rsidRPr="0013396E">
              <w:rPr>
                <w:i/>
              </w:rPr>
              <w:t xml:space="preserve">r </w:t>
            </w:r>
            <w:r w:rsidRPr="0013396E">
              <w:t>is the Combined Cycle Train.</w:t>
            </w:r>
          </w:p>
        </w:tc>
      </w:tr>
      <w:tr w:rsidR="001F04FD" w:rsidRPr="0013396E" w14:paraId="3A7B03DD" w14:textId="77777777" w:rsidTr="00AC4DEE">
        <w:trPr>
          <w:cantSplit/>
        </w:trPr>
        <w:tc>
          <w:tcPr>
            <w:tcW w:w="1728" w:type="dxa"/>
          </w:tcPr>
          <w:p w14:paraId="7E6C1C8F" w14:textId="77777777" w:rsidR="001F04FD" w:rsidRPr="0013396E" w:rsidRDefault="001F04FD" w:rsidP="00AC4DEE">
            <w:pPr>
              <w:pStyle w:val="TableBody"/>
            </w:pPr>
            <w:r w:rsidRPr="0013396E">
              <w:t xml:space="preserve">BSSEH </w:t>
            </w:r>
            <w:r w:rsidRPr="0013396E">
              <w:rPr>
                <w:i/>
                <w:vertAlign w:val="subscript"/>
              </w:rPr>
              <w:t>q, r</w:t>
            </w:r>
          </w:p>
        </w:tc>
        <w:tc>
          <w:tcPr>
            <w:tcW w:w="810" w:type="dxa"/>
          </w:tcPr>
          <w:p w14:paraId="149097C2" w14:textId="77777777" w:rsidR="001F04FD" w:rsidRPr="0013396E" w:rsidRDefault="001F04FD" w:rsidP="00AC4DEE">
            <w:pPr>
              <w:pStyle w:val="TableBody"/>
            </w:pPr>
            <w:r w:rsidRPr="0013396E">
              <w:t>none</w:t>
            </w:r>
          </w:p>
        </w:tc>
        <w:tc>
          <w:tcPr>
            <w:tcW w:w="7274" w:type="dxa"/>
          </w:tcPr>
          <w:p w14:paraId="0A1AA00F" w14:textId="77777777" w:rsidR="001F04FD" w:rsidRPr="0013396E" w:rsidRDefault="001F04FD" w:rsidP="00AC4DEE">
            <w:pPr>
              <w:pStyle w:val="TableBody"/>
            </w:pPr>
            <w:r w:rsidRPr="0013396E">
              <w:rPr>
                <w:i/>
              </w:rPr>
              <w:t>Black Start Service Elapsed number of Hours per QSE per Resource by hour</w:t>
            </w:r>
            <w:r w:rsidRPr="0013396E">
              <w:t xml:space="preserve">—The number of the elapsed hours of BSS Resource </w:t>
            </w:r>
            <w:r w:rsidRPr="0013396E">
              <w:rPr>
                <w:i/>
              </w:rPr>
              <w:t>r</w:t>
            </w:r>
            <w:r w:rsidRPr="0013396E">
              <w:t xml:space="preserve"> represented by QSE </w:t>
            </w:r>
            <w:r w:rsidRPr="0013396E">
              <w:rPr>
                <w:i/>
              </w:rPr>
              <w:t>q</w:t>
            </w:r>
            <w:r w:rsidRPr="0013396E">
              <w:t xml:space="preserve"> since the beginning of the BSS Agreement, for the hour.  Where for a Combined Cycle Train, the Resource </w:t>
            </w:r>
            <w:r w:rsidRPr="0013396E">
              <w:rPr>
                <w:i/>
              </w:rPr>
              <w:t xml:space="preserve">r </w:t>
            </w:r>
            <w:r w:rsidRPr="0013396E">
              <w:t>is the Combined Cycle Train.</w:t>
            </w:r>
          </w:p>
        </w:tc>
      </w:tr>
      <w:tr w:rsidR="001F04FD" w:rsidRPr="0013396E" w14:paraId="3B430405" w14:textId="77777777" w:rsidTr="00AC4DEE">
        <w:trPr>
          <w:cantSplit/>
        </w:trPr>
        <w:tc>
          <w:tcPr>
            <w:tcW w:w="1728" w:type="dxa"/>
          </w:tcPr>
          <w:p w14:paraId="1C5019C4" w14:textId="77777777" w:rsidR="001F04FD" w:rsidRPr="0013396E" w:rsidRDefault="001F04FD" w:rsidP="00AC4DEE">
            <w:pPr>
              <w:pStyle w:val="TableBody"/>
            </w:pPr>
            <w:r w:rsidRPr="0013396E">
              <w:t xml:space="preserve">BSSAFLAG </w:t>
            </w:r>
            <w:r w:rsidRPr="0013396E">
              <w:rPr>
                <w:i/>
                <w:vertAlign w:val="subscript"/>
              </w:rPr>
              <w:t xml:space="preserve">q, r, </w:t>
            </w:r>
            <w:r w:rsidRPr="0013396E">
              <w:rPr>
                <w:i/>
                <w:iCs w:val="0"/>
                <w:vertAlign w:val="subscript"/>
              </w:rPr>
              <w:t>hr</w:t>
            </w:r>
          </w:p>
        </w:tc>
        <w:tc>
          <w:tcPr>
            <w:tcW w:w="810" w:type="dxa"/>
          </w:tcPr>
          <w:p w14:paraId="47F93DEF" w14:textId="77777777" w:rsidR="001F04FD" w:rsidRPr="0013396E" w:rsidRDefault="001F04FD" w:rsidP="00AC4DEE">
            <w:pPr>
              <w:pStyle w:val="TableBody"/>
            </w:pPr>
            <w:r w:rsidRPr="0013396E">
              <w:t>none</w:t>
            </w:r>
          </w:p>
        </w:tc>
        <w:tc>
          <w:tcPr>
            <w:tcW w:w="7274" w:type="dxa"/>
          </w:tcPr>
          <w:p w14:paraId="3FC9C979" w14:textId="77777777" w:rsidR="001F04FD" w:rsidRPr="0013396E" w:rsidRDefault="001F04FD" w:rsidP="00AC4DEE">
            <w:pPr>
              <w:pStyle w:val="TableBody"/>
            </w:pPr>
            <w:r w:rsidRPr="0013396E">
              <w:rPr>
                <w:i/>
              </w:rPr>
              <w:t>Black Start Service Availability Flag per QSE per Resource by hour</w:t>
            </w:r>
            <w:r w:rsidRPr="0013396E">
              <w:t>—The flag of the availability of BSS Resource</w:t>
            </w:r>
            <w:r w:rsidRPr="0013396E">
              <w:rPr>
                <w:i/>
              </w:rPr>
              <w:t xml:space="preserve"> r</w:t>
            </w:r>
            <w:r w:rsidRPr="0013396E">
              <w:t xml:space="preserve"> represented by QSE </w:t>
            </w:r>
            <w:r w:rsidRPr="0013396E">
              <w:rPr>
                <w:i/>
              </w:rPr>
              <w:t>q</w:t>
            </w:r>
            <w:r w:rsidRPr="0013396E">
              <w:t xml:space="preserve">, 1 for available and 0 for unavailable, for the hour.  Where for a Combined Cycle Train, the Resource </w:t>
            </w:r>
            <w:r w:rsidRPr="0013396E">
              <w:rPr>
                <w:i/>
              </w:rPr>
              <w:t xml:space="preserve">r </w:t>
            </w:r>
            <w:r w:rsidRPr="0013396E">
              <w:t>is a Combined Cycle Generation Resource within the Combined Cycle Train.</w:t>
            </w:r>
          </w:p>
        </w:tc>
      </w:tr>
      <w:tr w:rsidR="001F04FD" w:rsidRPr="0013396E" w14:paraId="33DE3630" w14:textId="77777777" w:rsidTr="00AC4DEE">
        <w:trPr>
          <w:cantSplit/>
        </w:trPr>
        <w:tc>
          <w:tcPr>
            <w:tcW w:w="1728" w:type="dxa"/>
          </w:tcPr>
          <w:p w14:paraId="14FDFE39" w14:textId="77777777" w:rsidR="001F04FD" w:rsidRPr="0013396E" w:rsidRDefault="001F04FD" w:rsidP="00AC4DEE">
            <w:pPr>
              <w:pStyle w:val="TableBody"/>
              <w:rPr>
                <w:i/>
              </w:rPr>
            </w:pPr>
            <w:r w:rsidRPr="0013396E">
              <w:rPr>
                <w:i/>
              </w:rPr>
              <w:t>q</w:t>
            </w:r>
          </w:p>
        </w:tc>
        <w:tc>
          <w:tcPr>
            <w:tcW w:w="810" w:type="dxa"/>
          </w:tcPr>
          <w:p w14:paraId="6F0E9257" w14:textId="77777777" w:rsidR="001F04FD" w:rsidRPr="0013396E" w:rsidRDefault="001F04FD" w:rsidP="00AC4DEE">
            <w:pPr>
              <w:pStyle w:val="TableBody"/>
            </w:pPr>
            <w:r w:rsidRPr="0013396E">
              <w:t>none</w:t>
            </w:r>
          </w:p>
        </w:tc>
        <w:tc>
          <w:tcPr>
            <w:tcW w:w="7274" w:type="dxa"/>
          </w:tcPr>
          <w:p w14:paraId="1D11184E" w14:textId="77777777" w:rsidR="001F04FD" w:rsidRPr="0013396E" w:rsidRDefault="001F04FD" w:rsidP="00AC4DEE">
            <w:pPr>
              <w:pStyle w:val="TableBody"/>
            </w:pPr>
            <w:r w:rsidRPr="0013396E">
              <w:t>A QSE.</w:t>
            </w:r>
          </w:p>
        </w:tc>
      </w:tr>
      <w:tr w:rsidR="001F04FD" w:rsidRPr="0013396E" w14:paraId="5504B557" w14:textId="77777777" w:rsidTr="00AC4DEE">
        <w:trPr>
          <w:cantSplit/>
        </w:trPr>
        <w:tc>
          <w:tcPr>
            <w:tcW w:w="1728" w:type="dxa"/>
          </w:tcPr>
          <w:p w14:paraId="6ED19EB6" w14:textId="77777777" w:rsidR="001F04FD" w:rsidRPr="0013396E" w:rsidRDefault="001F04FD" w:rsidP="00AC4DEE">
            <w:pPr>
              <w:pStyle w:val="TableBody"/>
              <w:rPr>
                <w:i/>
              </w:rPr>
            </w:pPr>
            <w:r w:rsidRPr="0013396E">
              <w:rPr>
                <w:i/>
              </w:rPr>
              <w:t>r</w:t>
            </w:r>
          </w:p>
        </w:tc>
        <w:tc>
          <w:tcPr>
            <w:tcW w:w="810" w:type="dxa"/>
          </w:tcPr>
          <w:p w14:paraId="7AC28CB2" w14:textId="77777777" w:rsidR="001F04FD" w:rsidRPr="0013396E" w:rsidRDefault="001F04FD" w:rsidP="00AC4DEE">
            <w:pPr>
              <w:pStyle w:val="TableBody"/>
            </w:pPr>
            <w:r w:rsidRPr="0013396E">
              <w:t>none</w:t>
            </w:r>
          </w:p>
        </w:tc>
        <w:tc>
          <w:tcPr>
            <w:tcW w:w="7274" w:type="dxa"/>
          </w:tcPr>
          <w:p w14:paraId="149C8E1D" w14:textId="77777777" w:rsidR="001F04FD" w:rsidRPr="0013396E" w:rsidRDefault="001F04FD" w:rsidP="00AC4DEE">
            <w:pPr>
              <w:pStyle w:val="TableBody"/>
            </w:pPr>
            <w:r w:rsidRPr="0013396E">
              <w:t>A BSS Resource.</w:t>
            </w:r>
          </w:p>
        </w:tc>
      </w:tr>
      <w:tr w:rsidR="001F04FD" w:rsidRPr="0013396E" w14:paraId="1E44D55A" w14:textId="77777777" w:rsidTr="00AC4DEE">
        <w:trPr>
          <w:cantSplit/>
        </w:trPr>
        <w:tc>
          <w:tcPr>
            <w:tcW w:w="1728" w:type="dxa"/>
          </w:tcPr>
          <w:p w14:paraId="30ADBD66" w14:textId="77777777" w:rsidR="001F04FD" w:rsidRPr="0013396E" w:rsidRDefault="001F04FD" w:rsidP="00AC4DEE">
            <w:pPr>
              <w:pStyle w:val="TableBody"/>
              <w:rPr>
                <w:i/>
              </w:rPr>
            </w:pPr>
            <w:r w:rsidRPr="0013396E">
              <w:rPr>
                <w:i/>
              </w:rPr>
              <w:t>hr</w:t>
            </w:r>
          </w:p>
        </w:tc>
        <w:tc>
          <w:tcPr>
            <w:tcW w:w="810" w:type="dxa"/>
          </w:tcPr>
          <w:p w14:paraId="1447B006" w14:textId="77777777" w:rsidR="001F04FD" w:rsidRPr="0013396E" w:rsidRDefault="001F04FD" w:rsidP="00AC4DEE">
            <w:pPr>
              <w:pStyle w:val="TableBody"/>
            </w:pPr>
            <w:r w:rsidRPr="0013396E">
              <w:t>none</w:t>
            </w:r>
          </w:p>
        </w:tc>
        <w:tc>
          <w:tcPr>
            <w:tcW w:w="7274" w:type="dxa"/>
          </w:tcPr>
          <w:p w14:paraId="1D3891FA" w14:textId="77777777" w:rsidR="001F04FD" w:rsidRPr="0013396E" w:rsidRDefault="001F04FD" w:rsidP="00AC4DEE">
            <w:pPr>
              <w:pStyle w:val="TableBody"/>
            </w:pPr>
            <w:r w:rsidRPr="0013396E">
              <w:t>The index of a given hour and the previous 4379 hours.</w:t>
            </w:r>
          </w:p>
        </w:tc>
      </w:tr>
      <w:tr w:rsidR="001F04FD" w:rsidRPr="0013396E" w14:paraId="0C51C827" w14:textId="77777777" w:rsidTr="00AC4DEE">
        <w:trPr>
          <w:cantSplit/>
        </w:trPr>
        <w:tc>
          <w:tcPr>
            <w:tcW w:w="1728" w:type="dxa"/>
          </w:tcPr>
          <w:p w14:paraId="51B993A5" w14:textId="77777777" w:rsidR="001F04FD" w:rsidRPr="0013396E" w:rsidRDefault="001F04FD" w:rsidP="00AC4DEE">
            <w:pPr>
              <w:pStyle w:val="TableBody"/>
            </w:pPr>
            <w:r w:rsidRPr="0013396E">
              <w:t>4380</w:t>
            </w:r>
          </w:p>
        </w:tc>
        <w:tc>
          <w:tcPr>
            <w:tcW w:w="810" w:type="dxa"/>
          </w:tcPr>
          <w:p w14:paraId="5761F263" w14:textId="77777777" w:rsidR="001F04FD" w:rsidRPr="0013396E" w:rsidRDefault="001F04FD" w:rsidP="00AC4DEE">
            <w:pPr>
              <w:pStyle w:val="TableBody"/>
            </w:pPr>
            <w:r w:rsidRPr="0013396E">
              <w:t>none</w:t>
            </w:r>
          </w:p>
        </w:tc>
        <w:tc>
          <w:tcPr>
            <w:tcW w:w="7274" w:type="dxa"/>
          </w:tcPr>
          <w:p w14:paraId="639CAAD0" w14:textId="77777777" w:rsidR="001F04FD" w:rsidRPr="0013396E" w:rsidRDefault="001F04FD" w:rsidP="00AC4DEE">
            <w:pPr>
              <w:pStyle w:val="TableBody"/>
            </w:pPr>
            <w:r w:rsidRPr="0013396E">
              <w:t>The number of hours in a six-month period.</w:t>
            </w:r>
          </w:p>
        </w:tc>
      </w:tr>
    </w:tbl>
    <w:p w14:paraId="38784ACC" w14:textId="4BF47B58" w:rsidR="001F04FD" w:rsidRPr="0013396E" w:rsidRDefault="001F04FD" w:rsidP="001F04FD">
      <w:pPr>
        <w:pStyle w:val="BodyTextNumbered"/>
        <w:spacing w:before="240"/>
      </w:pPr>
      <w:bookmarkStart w:id="2085" w:name="_Toc87951813"/>
      <w:bookmarkStart w:id="2086" w:name="_Toc109009417"/>
      <w:r w:rsidRPr="0013396E">
        <w:t>(</w:t>
      </w:r>
      <w:r w:rsidR="00FA6B59">
        <w:t>4</w:t>
      </w:r>
      <w:r w:rsidRPr="0013396E">
        <w:t>)</w:t>
      </w:r>
      <w:r w:rsidRPr="0013396E">
        <w:tab/>
        <w:t>The total of the payments to each QSE for all BSS Resources represented by this QSE for a given hour is calculated as follows:</w:t>
      </w:r>
    </w:p>
    <w:p w14:paraId="79DA4AA6" w14:textId="77777777" w:rsidR="001F04FD" w:rsidRPr="0013396E" w:rsidRDefault="001F04FD" w:rsidP="001F04FD">
      <w:pPr>
        <w:pStyle w:val="FormulaBold"/>
      </w:pPr>
      <w:r w:rsidRPr="0013396E">
        <w:t xml:space="preserve">BSSAMTQSETOT </w:t>
      </w:r>
      <w:r w:rsidRPr="0013396E">
        <w:rPr>
          <w:i/>
          <w:vertAlign w:val="subscript"/>
        </w:rPr>
        <w:t>q</w:t>
      </w:r>
      <w:r w:rsidRPr="0013396E">
        <w:tab/>
        <w:t>=</w:t>
      </w:r>
      <w:r w:rsidRPr="0013396E">
        <w:tab/>
      </w:r>
      <w:r w:rsidRPr="0013396E">
        <w:rPr>
          <w:position w:val="-18"/>
        </w:rPr>
        <w:object w:dxaOrig="225" w:dyaOrig="420" w14:anchorId="4CFBC701">
          <v:shape id="_x0000_i1196" type="#_x0000_t75" style="width:12pt;height:24pt" o:ole="">
            <v:imagedata r:id="rId199" o:title=""/>
          </v:shape>
          <o:OLEObject Type="Embed" ProgID="Equation.3" ShapeID="_x0000_i1196" DrawAspect="Content" ObjectID="_1836311474" r:id="rId250"/>
        </w:object>
      </w:r>
      <w:r w:rsidRPr="0013396E">
        <w:t xml:space="preserve">BSSAMT </w:t>
      </w:r>
      <w:r w:rsidRPr="0013396E">
        <w:rPr>
          <w:i/>
          <w:vertAlign w:val="subscript"/>
        </w:rPr>
        <w:t>q, r</w:t>
      </w:r>
    </w:p>
    <w:p w14:paraId="466EBAA4" w14:textId="77777777" w:rsidR="001F04FD" w:rsidRPr="0013396E" w:rsidRDefault="001F04FD" w:rsidP="001F04FD">
      <w:r w:rsidRPr="0013396E">
        <w:t>The above variables are defined as follows:</w:t>
      </w:r>
    </w:p>
    <w:tbl>
      <w:tblPr>
        <w:tblW w:w="9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605"/>
        <w:gridCol w:w="7140"/>
      </w:tblGrid>
      <w:tr w:rsidR="001F04FD" w:rsidRPr="0013396E" w14:paraId="40E3B37E" w14:textId="77777777" w:rsidTr="00AC4DEE">
        <w:trPr>
          <w:cantSplit/>
          <w:tblHeader/>
        </w:trPr>
        <w:tc>
          <w:tcPr>
            <w:tcW w:w="1998" w:type="dxa"/>
          </w:tcPr>
          <w:p w14:paraId="20FAF4A1" w14:textId="77777777" w:rsidR="001F04FD" w:rsidRPr="0013396E" w:rsidRDefault="001F04FD" w:rsidP="00AC4DEE">
            <w:pPr>
              <w:pStyle w:val="TableHead"/>
            </w:pPr>
            <w:r w:rsidRPr="0013396E">
              <w:t>Variable</w:t>
            </w:r>
          </w:p>
        </w:tc>
        <w:tc>
          <w:tcPr>
            <w:tcW w:w="0" w:type="auto"/>
          </w:tcPr>
          <w:p w14:paraId="5687902A" w14:textId="77777777" w:rsidR="001F04FD" w:rsidRPr="0013396E" w:rsidRDefault="001F04FD" w:rsidP="00AC4DEE">
            <w:pPr>
              <w:pStyle w:val="TableHead"/>
            </w:pPr>
            <w:r w:rsidRPr="0013396E">
              <w:t>Unit</w:t>
            </w:r>
          </w:p>
        </w:tc>
        <w:tc>
          <w:tcPr>
            <w:tcW w:w="0" w:type="auto"/>
          </w:tcPr>
          <w:p w14:paraId="29B286A2" w14:textId="77777777" w:rsidR="001F04FD" w:rsidRPr="0013396E" w:rsidRDefault="001F04FD" w:rsidP="00AC4DEE">
            <w:pPr>
              <w:pStyle w:val="TableHead"/>
            </w:pPr>
            <w:r w:rsidRPr="0013396E">
              <w:t>Definition</w:t>
            </w:r>
          </w:p>
        </w:tc>
      </w:tr>
      <w:tr w:rsidR="001F04FD" w:rsidRPr="0013396E" w14:paraId="230DA100" w14:textId="77777777" w:rsidTr="00AC4DEE">
        <w:trPr>
          <w:cantSplit/>
        </w:trPr>
        <w:tc>
          <w:tcPr>
            <w:tcW w:w="1998" w:type="dxa"/>
          </w:tcPr>
          <w:p w14:paraId="7A69BCEA" w14:textId="77777777" w:rsidR="001F04FD" w:rsidRPr="0013396E" w:rsidRDefault="001F04FD" w:rsidP="00AC4DEE">
            <w:pPr>
              <w:pStyle w:val="TableBody"/>
            </w:pPr>
            <w:r w:rsidRPr="0013396E">
              <w:t>BSSAMTQSETOT</w:t>
            </w:r>
            <w:r w:rsidRPr="0013396E">
              <w:rPr>
                <w:i/>
              </w:rPr>
              <w:t xml:space="preserve"> </w:t>
            </w:r>
            <w:r w:rsidRPr="0013396E">
              <w:rPr>
                <w:i/>
                <w:vertAlign w:val="subscript"/>
              </w:rPr>
              <w:t>q</w:t>
            </w:r>
          </w:p>
        </w:tc>
        <w:tc>
          <w:tcPr>
            <w:tcW w:w="0" w:type="auto"/>
          </w:tcPr>
          <w:p w14:paraId="45815C89" w14:textId="77777777" w:rsidR="001F04FD" w:rsidRPr="0013396E" w:rsidRDefault="001F04FD" w:rsidP="00AC4DEE">
            <w:pPr>
              <w:pStyle w:val="TableBody"/>
            </w:pPr>
            <w:r w:rsidRPr="0013396E">
              <w:t>$</w:t>
            </w:r>
          </w:p>
        </w:tc>
        <w:tc>
          <w:tcPr>
            <w:tcW w:w="0" w:type="auto"/>
          </w:tcPr>
          <w:p w14:paraId="0EC7D39B" w14:textId="77777777" w:rsidR="001F04FD" w:rsidRPr="0013396E" w:rsidRDefault="001F04FD" w:rsidP="00AC4DEE">
            <w:pPr>
              <w:pStyle w:val="TableBody"/>
            </w:pPr>
            <w:r w:rsidRPr="0013396E">
              <w:rPr>
                <w:i/>
              </w:rPr>
              <w:t>Black Start Service Amount QSE Total per QSE</w:t>
            </w:r>
            <w:r w:rsidRPr="0013396E">
              <w:sym w:font="Symbol" w:char="F0BE"/>
            </w:r>
            <w:r w:rsidRPr="0013396E">
              <w:t xml:space="preserve">The total of the payments to QSE </w:t>
            </w:r>
            <w:r w:rsidRPr="0013396E">
              <w:rPr>
                <w:i/>
              </w:rPr>
              <w:t>q</w:t>
            </w:r>
            <w:r w:rsidRPr="0013396E">
              <w:t xml:space="preserve"> for BSS provided by all the BSS Resources represented by this QSE for the hour </w:t>
            </w:r>
            <w:r w:rsidRPr="0013396E">
              <w:rPr>
                <w:i/>
              </w:rPr>
              <w:t>h</w:t>
            </w:r>
            <w:r w:rsidRPr="0013396E">
              <w:t>.</w:t>
            </w:r>
          </w:p>
        </w:tc>
      </w:tr>
      <w:tr w:rsidR="001F04FD" w:rsidRPr="0013396E" w14:paraId="4350C6F1" w14:textId="77777777" w:rsidTr="00AC4DEE">
        <w:trPr>
          <w:cantSplit/>
        </w:trPr>
        <w:tc>
          <w:tcPr>
            <w:tcW w:w="1998" w:type="dxa"/>
          </w:tcPr>
          <w:p w14:paraId="5CE63F9C" w14:textId="77777777" w:rsidR="001F04FD" w:rsidRPr="0013396E" w:rsidRDefault="001F04FD" w:rsidP="00AC4DEE">
            <w:pPr>
              <w:pStyle w:val="TableBody"/>
            </w:pPr>
            <w:r w:rsidRPr="0013396E">
              <w:lastRenderedPageBreak/>
              <w:t xml:space="preserve">BSSAMT </w:t>
            </w:r>
            <w:r w:rsidRPr="0013396E">
              <w:rPr>
                <w:i/>
                <w:vertAlign w:val="subscript"/>
              </w:rPr>
              <w:t>q, r</w:t>
            </w:r>
          </w:p>
        </w:tc>
        <w:tc>
          <w:tcPr>
            <w:tcW w:w="0" w:type="auto"/>
          </w:tcPr>
          <w:p w14:paraId="08232FDF" w14:textId="77777777" w:rsidR="001F04FD" w:rsidRPr="0013396E" w:rsidRDefault="001F04FD" w:rsidP="00AC4DEE">
            <w:pPr>
              <w:pStyle w:val="TableBody"/>
            </w:pPr>
            <w:r w:rsidRPr="0013396E">
              <w:t>$</w:t>
            </w:r>
          </w:p>
        </w:tc>
        <w:tc>
          <w:tcPr>
            <w:tcW w:w="0" w:type="auto"/>
          </w:tcPr>
          <w:p w14:paraId="48F03C94" w14:textId="77777777" w:rsidR="001F04FD" w:rsidRPr="0013396E" w:rsidRDefault="001F04FD" w:rsidP="00AC4DEE">
            <w:pPr>
              <w:pStyle w:val="TableBody"/>
            </w:pPr>
            <w:r w:rsidRPr="0013396E">
              <w:rPr>
                <w:i/>
              </w:rPr>
              <w:t>Black Start Service Amount per QSE per Resource</w:t>
            </w:r>
            <w:r w:rsidRPr="0013396E">
              <w:t xml:space="preserve">—The standby payment to QSE </w:t>
            </w:r>
            <w:r w:rsidRPr="0013396E">
              <w:rPr>
                <w:i/>
              </w:rPr>
              <w:t>q</w:t>
            </w:r>
            <w:r w:rsidRPr="0013396E">
              <w:t xml:space="preserve"> for BSS provided by Resource </w:t>
            </w:r>
            <w:r w:rsidRPr="0013396E">
              <w:rPr>
                <w:i/>
              </w:rPr>
              <w:t>r</w:t>
            </w:r>
            <w:r w:rsidRPr="0013396E">
              <w:t xml:space="preserve">, for the hour.  Where for a Combined Cycle Train, the Resource </w:t>
            </w:r>
            <w:r w:rsidRPr="0013396E">
              <w:rPr>
                <w:i/>
              </w:rPr>
              <w:t xml:space="preserve">r </w:t>
            </w:r>
            <w:r w:rsidRPr="0013396E">
              <w:t>is the Combined Cycle Train.</w:t>
            </w:r>
          </w:p>
        </w:tc>
      </w:tr>
      <w:tr w:rsidR="001F04FD" w:rsidRPr="0013396E" w14:paraId="03263FF6" w14:textId="77777777" w:rsidTr="00AC4DEE">
        <w:trPr>
          <w:cantSplit/>
        </w:trPr>
        <w:tc>
          <w:tcPr>
            <w:tcW w:w="1998" w:type="dxa"/>
            <w:tcBorders>
              <w:top w:val="single" w:sz="4" w:space="0" w:color="auto"/>
              <w:left w:val="single" w:sz="4" w:space="0" w:color="auto"/>
              <w:bottom w:val="single" w:sz="4" w:space="0" w:color="auto"/>
              <w:right w:val="single" w:sz="4" w:space="0" w:color="auto"/>
            </w:tcBorders>
          </w:tcPr>
          <w:p w14:paraId="0CECE8D7" w14:textId="77777777" w:rsidR="001F04FD" w:rsidRPr="0013396E" w:rsidRDefault="001F04FD" w:rsidP="00AC4DEE">
            <w:pPr>
              <w:pStyle w:val="TableBody"/>
              <w:rPr>
                <w:i/>
              </w:rPr>
            </w:pPr>
            <w:r w:rsidRPr="0013396E">
              <w:rPr>
                <w:i/>
              </w:rPr>
              <w:t>q</w:t>
            </w:r>
          </w:p>
        </w:tc>
        <w:tc>
          <w:tcPr>
            <w:tcW w:w="0" w:type="auto"/>
            <w:tcBorders>
              <w:top w:val="single" w:sz="4" w:space="0" w:color="auto"/>
              <w:left w:val="single" w:sz="4" w:space="0" w:color="auto"/>
              <w:bottom w:val="single" w:sz="4" w:space="0" w:color="auto"/>
              <w:right w:val="single" w:sz="4" w:space="0" w:color="auto"/>
            </w:tcBorders>
          </w:tcPr>
          <w:p w14:paraId="77AD390C" w14:textId="77777777" w:rsidR="001F04FD" w:rsidRPr="0013396E" w:rsidRDefault="001F04FD" w:rsidP="00AC4DEE">
            <w:pPr>
              <w:pStyle w:val="TableBody"/>
            </w:pPr>
            <w:r w:rsidRPr="0013396E">
              <w:t>none</w:t>
            </w:r>
          </w:p>
        </w:tc>
        <w:tc>
          <w:tcPr>
            <w:tcW w:w="0" w:type="auto"/>
            <w:tcBorders>
              <w:top w:val="single" w:sz="4" w:space="0" w:color="auto"/>
              <w:left w:val="single" w:sz="4" w:space="0" w:color="auto"/>
              <w:bottom w:val="single" w:sz="4" w:space="0" w:color="auto"/>
              <w:right w:val="single" w:sz="4" w:space="0" w:color="auto"/>
            </w:tcBorders>
          </w:tcPr>
          <w:p w14:paraId="4B72835C" w14:textId="77777777" w:rsidR="001F04FD" w:rsidRPr="0013396E" w:rsidRDefault="001F04FD" w:rsidP="00AC4DEE">
            <w:pPr>
              <w:pStyle w:val="TableBody"/>
            </w:pPr>
            <w:r w:rsidRPr="0013396E">
              <w:t>A QSE.</w:t>
            </w:r>
          </w:p>
        </w:tc>
      </w:tr>
      <w:tr w:rsidR="001F04FD" w:rsidRPr="0013396E" w14:paraId="410D3CBD" w14:textId="77777777" w:rsidTr="00AC4DEE">
        <w:trPr>
          <w:cantSplit/>
        </w:trPr>
        <w:tc>
          <w:tcPr>
            <w:tcW w:w="1998" w:type="dxa"/>
            <w:tcBorders>
              <w:top w:val="single" w:sz="4" w:space="0" w:color="auto"/>
              <w:left w:val="single" w:sz="4" w:space="0" w:color="auto"/>
              <w:bottom w:val="single" w:sz="4" w:space="0" w:color="auto"/>
              <w:right w:val="single" w:sz="4" w:space="0" w:color="auto"/>
            </w:tcBorders>
          </w:tcPr>
          <w:p w14:paraId="6D70642E" w14:textId="77777777" w:rsidR="001F04FD" w:rsidRPr="0013396E" w:rsidRDefault="001F04FD" w:rsidP="00AC4DEE">
            <w:pPr>
              <w:pStyle w:val="TableBody"/>
              <w:rPr>
                <w:i/>
              </w:rPr>
            </w:pPr>
            <w:r w:rsidRPr="0013396E">
              <w:rPr>
                <w:i/>
              </w:rPr>
              <w:t>r</w:t>
            </w:r>
          </w:p>
        </w:tc>
        <w:tc>
          <w:tcPr>
            <w:tcW w:w="0" w:type="auto"/>
            <w:tcBorders>
              <w:top w:val="single" w:sz="4" w:space="0" w:color="auto"/>
              <w:left w:val="single" w:sz="4" w:space="0" w:color="auto"/>
              <w:bottom w:val="single" w:sz="4" w:space="0" w:color="auto"/>
              <w:right w:val="single" w:sz="4" w:space="0" w:color="auto"/>
            </w:tcBorders>
          </w:tcPr>
          <w:p w14:paraId="0BC0322D" w14:textId="77777777" w:rsidR="001F04FD" w:rsidRPr="0013396E" w:rsidRDefault="001F04FD" w:rsidP="00AC4DEE">
            <w:pPr>
              <w:pStyle w:val="TableBody"/>
            </w:pPr>
            <w:r w:rsidRPr="0013396E">
              <w:t>none</w:t>
            </w:r>
          </w:p>
        </w:tc>
        <w:tc>
          <w:tcPr>
            <w:tcW w:w="0" w:type="auto"/>
            <w:tcBorders>
              <w:top w:val="single" w:sz="4" w:space="0" w:color="auto"/>
              <w:left w:val="single" w:sz="4" w:space="0" w:color="auto"/>
              <w:bottom w:val="single" w:sz="4" w:space="0" w:color="auto"/>
              <w:right w:val="single" w:sz="4" w:space="0" w:color="auto"/>
            </w:tcBorders>
          </w:tcPr>
          <w:p w14:paraId="67519D52" w14:textId="77777777" w:rsidR="001F04FD" w:rsidRPr="0013396E" w:rsidRDefault="001F04FD" w:rsidP="00AC4DEE">
            <w:pPr>
              <w:pStyle w:val="TableBody"/>
            </w:pPr>
            <w:r w:rsidRPr="0013396E">
              <w:t>A BSS Resource.</w:t>
            </w:r>
          </w:p>
        </w:tc>
      </w:tr>
    </w:tbl>
    <w:p w14:paraId="33DFF25B" w14:textId="77777777" w:rsidR="001F04FD" w:rsidRPr="0013396E" w:rsidRDefault="001F04FD" w:rsidP="001F04FD">
      <w:pPr>
        <w:pStyle w:val="H4"/>
        <w:spacing w:before="480"/>
        <w:ind w:left="1267" w:hanging="1267"/>
      </w:pPr>
      <w:bookmarkStart w:id="2087" w:name="_Toc397505037"/>
      <w:bookmarkStart w:id="2088" w:name="_Toc402357169"/>
      <w:bookmarkStart w:id="2089" w:name="_Toc422486549"/>
      <w:bookmarkStart w:id="2090" w:name="_Toc433093402"/>
      <w:bookmarkStart w:id="2091" w:name="_Toc433093560"/>
      <w:bookmarkStart w:id="2092" w:name="_Toc440874790"/>
      <w:bookmarkStart w:id="2093" w:name="_Toc448142347"/>
      <w:bookmarkStart w:id="2094" w:name="_Toc448142504"/>
      <w:bookmarkStart w:id="2095" w:name="_Toc458770345"/>
      <w:bookmarkStart w:id="2096" w:name="_Toc459294313"/>
      <w:bookmarkStart w:id="2097" w:name="_Toc463262807"/>
      <w:bookmarkStart w:id="2098" w:name="_Toc468286880"/>
      <w:bookmarkStart w:id="2099" w:name="_Toc481502920"/>
      <w:bookmarkStart w:id="2100" w:name="_Toc496080088"/>
      <w:bookmarkStart w:id="2101" w:name="_Toc214879011"/>
      <w:r w:rsidRPr="0013396E">
        <w:t>6.6.8.2</w:t>
      </w:r>
      <w:r w:rsidRPr="0013396E">
        <w:tab/>
        <w:t>Black Start Capacity Charge</w:t>
      </w:r>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p>
    <w:p w14:paraId="316162C7" w14:textId="77777777" w:rsidR="001F04FD" w:rsidRPr="0013396E" w:rsidRDefault="001F04FD" w:rsidP="001F04FD">
      <w:pPr>
        <w:pStyle w:val="BodyTextNumbered"/>
        <w:spacing w:before="240"/>
      </w:pPr>
      <w:r w:rsidRPr="0013396E">
        <w:t>(1)</w:t>
      </w:r>
      <w:r w:rsidRPr="0013396E">
        <w:tab/>
        <w:t>ERCOT shall allocate the total Black Start Service Capacity payment to the QSEs representing Loads based on a LRS.  The resulting charge to each QSE for a given hour is calculated as follows:</w:t>
      </w:r>
    </w:p>
    <w:p w14:paraId="00173E58" w14:textId="77777777" w:rsidR="001F04FD" w:rsidRPr="0013396E" w:rsidRDefault="001F04FD" w:rsidP="001F04FD">
      <w:pPr>
        <w:pStyle w:val="FormulaBold"/>
      </w:pPr>
      <w:r w:rsidRPr="0013396E">
        <w:t xml:space="preserve">LABSSAMT </w:t>
      </w:r>
      <w:r w:rsidRPr="0013396E">
        <w:rPr>
          <w:i/>
          <w:vertAlign w:val="subscript"/>
        </w:rPr>
        <w:t>q</w:t>
      </w:r>
      <w:r w:rsidRPr="0013396E">
        <w:tab/>
        <w:t>=</w:t>
      </w:r>
      <w:r w:rsidRPr="0013396E">
        <w:tab/>
        <w:t xml:space="preserve">(-1) * BSSAMTTOT * HLRS </w:t>
      </w:r>
      <w:r w:rsidRPr="0013396E">
        <w:rPr>
          <w:i/>
          <w:vertAlign w:val="subscript"/>
        </w:rPr>
        <w:t>q</w:t>
      </w:r>
    </w:p>
    <w:p w14:paraId="16BF657A" w14:textId="77777777" w:rsidR="001F04FD" w:rsidRPr="0013396E" w:rsidRDefault="001F04FD" w:rsidP="001F04FD">
      <w:pPr>
        <w:pStyle w:val="BodyText"/>
      </w:pPr>
      <w:r w:rsidRPr="0013396E">
        <w:t>Where:</w:t>
      </w:r>
    </w:p>
    <w:p w14:paraId="47A4B2F1" w14:textId="77777777" w:rsidR="001F04FD" w:rsidRPr="0013396E" w:rsidRDefault="001F04FD" w:rsidP="001F04FD">
      <w:pPr>
        <w:pStyle w:val="Formula"/>
        <w:ind w:left="2880" w:hanging="2160"/>
      </w:pPr>
      <w:r w:rsidRPr="0013396E">
        <w:t>BSSAMTTOT</w:t>
      </w:r>
      <w:r w:rsidRPr="0013396E">
        <w:tab/>
        <w:t>=</w:t>
      </w:r>
      <w:r w:rsidRPr="0013396E">
        <w:tab/>
      </w:r>
      <w:r w:rsidRPr="0013396E">
        <w:rPr>
          <w:position w:val="-22"/>
        </w:rPr>
        <w:object w:dxaOrig="210" w:dyaOrig="465" w14:anchorId="720E5F21">
          <v:shape id="_x0000_i1197" type="#_x0000_t75" style="width:6pt;height:24pt" o:ole="">
            <v:imagedata r:id="rId251" o:title=""/>
          </v:shape>
          <o:OLEObject Type="Embed" ProgID="Equation.3" ShapeID="_x0000_i1197" DrawAspect="Content" ObjectID="_1836311475" r:id="rId252"/>
        </w:object>
      </w:r>
      <w:r w:rsidRPr="0013396E">
        <w:t xml:space="preserve">BSSAMTQSETOT </w:t>
      </w:r>
      <w:r w:rsidRPr="0013396E">
        <w:rPr>
          <w:i/>
          <w:vertAlign w:val="subscript"/>
        </w:rPr>
        <w:t>q</w:t>
      </w:r>
    </w:p>
    <w:p w14:paraId="1471A2D6" w14:textId="77777777" w:rsidR="001F04FD" w:rsidRPr="0013396E" w:rsidRDefault="001F04FD" w:rsidP="001F04FD">
      <w:r w:rsidRPr="0013396E">
        <w:t>The above variables are defined as follows:</w:t>
      </w:r>
    </w:p>
    <w:tbl>
      <w:tblPr>
        <w:tblW w:w="9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605"/>
        <w:gridCol w:w="7113"/>
      </w:tblGrid>
      <w:tr w:rsidR="001F04FD" w:rsidRPr="0013396E" w14:paraId="664D6B4A" w14:textId="77777777" w:rsidTr="00AC4DEE">
        <w:tc>
          <w:tcPr>
            <w:tcW w:w="1998" w:type="dxa"/>
          </w:tcPr>
          <w:p w14:paraId="6680A07D" w14:textId="77777777" w:rsidR="001F04FD" w:rsidRPr="0013396E" w:rsidRDefault="001F04FD" w:rsidP="00AC4DEE">
            <w:pPr>
              <w:pStyle w:val="TableHead"/>
            </w:pPr>
            <w:r w:rsidRPr="0013396E">
              <w:t>Variable</w:t>
            </w:r>
          </w:p>
        </w:tc>
        <w:tc>
          <w:tcPr>
            <w:tcW w:w="0" w:type="auto"/>
          </w:tcPr>
          <w:p w14:paraId="6F99D6D1" w14:textId="77777777" w:rsidR="001F04FD" w:rsidRPr="0013396E" w:rsidRDefault="001F04FD" w:rsidP="00AC4DEE">
            <w:pPr>
              <w:pStyle w:val="TableHead"/>
            </w:pPr>
            <w:r w:rsidRPr="0013396E">
              <w:t>Unit</w:t>
            </w:r>
          </w:p>
        </w:tc>
        <w:tc>
          <w:tcPr>
            <w:tcW w:w="0" w:type="auto"/>
          </w:tcPr>
          <w:p w14:paraId="7BD2EFFB" w14:textId="77777777" w:rsidR="001F04FD" w:rsidRPr="0013396E" w:rsidRDefault="001F04FD" w:rsidP="00AC4DEE">
            <w:pPr>
              <w:pStyle w:val="TableHead"/>
            </w:pPr>
            <w:r w:rsidRPr="0013396E">
              <w:t>Definition</w:t>
            </w:r>
          </w:p>
        </w:tc>
      </w:tr>
      <w:tr w:rsidR="001F04FD" w:rsidRPr="0013396E" w14:paraId="1437FFA3" w14:textId="77777777" w:rsidTr="00AC4DEE">
        <w:trPr>
          <w:cantSplit/>
        </w:trPr>
        <w:tc>
          <w:tcPr>
            <w:tcW w:w="1998" w:type="dxa"/>
          </w:tcPr>
          <w:p w14:paraId="4319E082" w14:textId="77777777" w:rsidR="001F04FD" w:rsidRPr="0013396E" w:rsidRDefault="001F04FD" w:rsidP="00AC4DEE">
            <w:pPr>
              <w:pStyle w:val="TableBody"/>
            </w:pPr>
            <w:r w:rsidRPr="0013396E">
              <w:t xml:space="preserve">LABSSAMT </w:t>
            </w:r>
            <w:r w:rsidRPr="0013396E">
              <w:rPr>
                <w:i/>
                <w:vertAlign w:val="subscript"/>
              </w:rPr>
              <w:t>q</w:t>
            </w:r>
          </w:p>
        </w:tc>
        <w:tc>
          <w:tcPr>
            <w:tcW w:w="0" w:type="auto"/>
          </w:tcPr>
          <w:p w14:paraId="52C6A0E9" w14:textId="77777777" w:rsidR="001F04FD" w:rsidRPr="0013396E" w:rsidRDefault="001F04FD" w:rsidP="00AC4DEE">
            <w:pPr>
              <w:pStyle w:val="TableBody"/>
            </w:pPr>
            <w:r w:rsidRPr="0013396E">
              <w:t>$</w:t>
            </w:r>
          </w:p>
        </w:tc>
        <w:tc>
          <w:tcPr>
            <w:tcW w:w="0" w:type="auto"/>
          </w:tcPr>
          <w:p w14:paraId="2917E1A3" w14:textId="77777777" w:rsidR="001F04FD" w:rsidRPr="0013396E" w:rsidRDefault="001F04FD" w:rsidP="00AC4DEE">
            <w:pPr>
              <w:pStyle w:val="TableBody"/>
            </w:pPr>
            <w:r w:rsidRPr="0013396E">
              <w:rPr>
                <w:i/>
              </w:rPr>
              <w:t>Load-Allocated Black Start Service Amount per QSE</w:t>
            </w:r>
            <w:r w:rsidRPr="0013396E">
              <w:t xml:space="preserve">—The charge allocated to QSE </w:t>
            </w:r>
            <w:r w:rsidRPr="0013396E">
              <w:rPr>
                <w:i/>
              </w:rPr>
              <w:t>q</w:t>
            </w:r>
            <w:r w:rsidRPr="0013396E">
              <w:t xml:space="preserve"> for the BSS, for the hour.</w:t>
            </w:r>
          </w:p>
        </w:tc>
      </w:tr>
      <w:tr w:rsidR="001F04FD" w:rsidRPr="0013396E" w14:paraId="7D5F9D6E" w14:textId="77777777" w:rsidTr="00AC4DEE">
        <w:trPr>
          <w:cantSplit/>
        </w:trPr>
        <w:tc>
          <w:tcPr>
            <w:tcW w:w="1998" w:type="dxa"/>
          </w:tcPr>
          <w:p w14:paraId="4356C663" w14:textId="77777777" w:rsidR="001F04FD" w:rsidRPr="0013396E" w:rsidRDefault="001F04FD" w:rsidP="00AC4DEE">
            <w:pPr>
              <w:pStyle w:val="TableBody"/>
            </w:pPr>
            <w:r w:rsidRPr="0013396E">
              <w:t xml:space="preserve">BSSAMTQSETOT </w:t>
            </w:r>
            <w:r w:rsidRPr="0013396E">
              <w:rPr>
                <w:i/>
                <w:iCs w:val="0"/>
                <w:vertAlign w:val="subscript"/>
              </w:rPr>
              <w:t>q</w:t>
            </w:r>
          </w:p>
        </w:tc>
        <w:tc>
          <w:tcPr>
            <w:tcW w:w="0" w:type="auto"/>
          </w:tcPr>
          <w:p w14:paraId="7305AA50" w14:textId="77777777" w:rsidR="001F04FD" w:rsidRPr="0013396E" w:rsidRDefault="001F04FD" w:rsidP="00AC4DEE">
            <w:pPr>
              <w:pStyle w:val="TableBody"/>
            </w:pPr>
            <w:r w:rsidRPr="0013396E">
              <w:t>$</w:t>
            </w:r>
          </w:p>
        </w:tc>
        <w:tc>
          <w:tcPr>
            <w:tcW w:w="0" w:type="auto"/>
          </w:tcPr>
          <w:p w14:paraId="3B63C3E9" w14:textId="77777777" w:rsidR="001F04FD" w:rsidRPr="0013396E" w:rsidRDefault="001F04FD" w:rsidP="00AC4DEE">
            <w:pPr>
              <w:pStyle w:val="TableBody"/>
            </w:pPr>
            <w:r w:rsidRPr="0013396E">
              <w:rPr>
                <w:i/>
              </w:rPr>
              <w:t>Black Start Service Amount QSE Total per QSE</w:t>
            </w:r>
            <w:r w:rsidRPr="0013396E">
              <w:t xml:space="preserve">—The Black Start Service payment to QSE </w:t>
            </w:r>
            <w:r w:rsidRPr="0013396E">
              <w:rPr>
                <w:i/>
              </w:rPr>
              <w:t>q</w:t>
            </w:r>
            <w:r w:rsidRPr="0013396E">
              <w:t xml:space="preserve"> for BSS Resource </w:t>
            </w:r>
            <w:r w:rsidRPr="0013396E">
              <w:rPr>
                <w:i/>
              </w:rPr>
              <w:t>r</w:t>
            </w:r>
            <w:r w:rsidRPr="0013396E">
              <w:t>, for the hour.</w:t>
            </w:r>
          </w:p>
        </w:tc>
      </w:tr>
      <w:tr w:rsidR="001F04FD" w:rsidRPr="0013396E" w14:paraId="6CC702AC" w14:textId="77777777" w:rsidTr="00AC4DEE">
        <w:trPr>
          <w:cantSplit/>
        </w:trPr>
        <w:tc>
          <w:tcPr>
            <w:tcW w:w="1998" w:type="dxa"/>
          </w:tcPr>
          <w:p w14:paraId="5827725B" w14:textId="77777777" w:rsidR="001F04FD" w:rsidRPr="0013396E" w:rsidRDefault="001F04FD" w:rsidP="00AC4DEE">
            <w:pPr>
              <w:pStyle w:val="TableBody"/>
            </w:pPr>
            <w:r w:rsidRPr="0013396E">
              <w:t>BSSAMTTOT</w:t>
            </w:r>
          </w:p>
        </w:tc>
        <w:tc>
          <w:tcPr>
            <w:tcW w:w="0" w:type="auto"/>
          </w:tcPr>
          <w:p w14:paraId="7C5AEE63" w14:textId="77777777" w:rsidR="001F04FD" w:rsidRPr="0013396E" w:rsidRDefault="001F04FD" w:rsidP="00AC4DEE">
            <w:pPr>
              <w:pStyle w:val="TableBody"/>
            </w:pPr>
            <w:r w:rsidRPr="0013396E">
              <w:t>$</w:t>
            </w:r>
          </w:p>
        </w:tc>
        <w:tc>
          <w:tcPr>
            <w:tcW w:w="0" w:type="auto"/>
          </w:tcPr>
          <w:p w14:paraId="47784A4B" w14:textId="77777777" w:rsidR="001F04FD" w:rsidRPr="0013396E" w:rsidRDefault="001F04FD" w:rsidP="00AC4DEE">
            <w:pPr>
              <w:pStyle w:val="TableBody"/>
            </w:pPr>
            <w:r w:rsidRPr="0013396E">
              <w:rPr>
                <w:i/>
              </w:rPr>
              <w:t xml:space="preserve">Black Start Service Amount QSE Total ERCOT-Wide — </w:t>
            </w:r>
            <w:r w:rsidRPr="0013396E">
              <w:t xml:space="preserve">The total of the payments to QSE </w:t>
            </w:r>
            <w:r w:rsidRPr="0013396E">
              <w:rPr>
                <w:i/>
              </w:rPr>
              <w:t>q</w:t>
            </w:r>
            <w:r w:rsidRPr="0013396E">
              <w:t xml:space="preserve"> for BSS provided by all the BSS Resource represented by this QSE for the hour h.</w:t>
            </w:r>
          </w:p>
        </w:tc>
      </w:tr>
      <w:tr w:rsidR="001F04FD" w:rsidRPr="0013396E" w14:paraId="67B606AB" w14:textId="77777777" w:rsidTr="00AC4DEE">
        <w:trPr>
          <w:cantSplit/>
        </w:trPr>
        <w:tc>
          <w:tcPr>
            <w:tcW w:w="1998" w:type="dxa"/>
          </w:tcPr>
          <w:p w14:paraId="29BE821D" w14:textId="77777777" w:rsidR="001F04FD" w:rsidRPr="0013396E" w:rsidRDefault="001F04FD" w:rsidP="00AC4DEE">
            <w:pPr>
              <w:pStyle w:val="TableBody"/>
            </w:pPr>
            <w:r w:rsidRPr="0013396E">
              <w:t xml:space="preserve">HLRS </w:t>
            </w:r>
            <w:r w:rsidRPr="0013396E">
              <w:rPr>
                <w:i/>
                <w:vertAlign w:val="subscript"/>
              </w:rPr>
              <w:t>q</w:t>
            </w:r>
          </w:p>
        </w:tc>
        <w:tc>
          <w:tcPr>
            <w:tcW w:w="0" w:type="auto"/>
          </w:tcPr>
          <w:p w14:paraId="0C924F4E" w14:textId="77777777" w:rsidR="001F04FD" w:rsidRPr="0013396E" w:rsidRDefault="001F04FD" w:rsidP="00AC4DEE">
            <w:pPr>
              <w:pStyle w:val="TableBody"/>
            </w:pPr>
            <w:r w:rsidRPr="0013396E">
              <w:t>none</w:t>
            </w:r>
          </w:p>
        </w:tc>
        <w:tc>
          <w:tcPr>
            <w:tcW w:w="0" w:type="auto"/>
          </w:tcPr>
          <w:p w14:paraId="63F922B9" w14:textId="77777777" w:rsidR="001F04FD" w:rsidRPr="0013396E" w:rsidRDefault="001F04FD" w:rsidP="00BD4C7C">
            <w:pPr>
              <w:pStyle w:val="TableBody"/>
            </w:pPr>
            <w:r w:rsidRPr="0013396E">
              <w:t xml:space="preserve">The hourly LRS calculated for QSE </w:t>
            </w:r>
            <w:r w:rsidRPr="0013396E">
              <w:rPr>
                <w:i/>
              </w:rPr>
              <w:t>q</w:t>
            </w:r>
            <w:r w:rsidRPr="0013396E">
              <w:t xml:space="preserve"> for the hour.  See Section 6.6.2.</w:t>
            </w:r>
            <w:r w:rsidR="00BD4C7C" w:rsidRPr="0013396E">
              <w:t>4</w:t>
            </w:r>
            <w:r w:rsidRPr="0013396E">
              <w:t>, QSE Load Ratio Share for an Operating Hour.</w:t>
            </w:r>
          </w:p>
        </w:tc>
      </w:tr>
      <w:tr w:rsidR="001F04FD" w:rsidRPr="0013396E" w14:paraId="209A61D8" w14:textId="77777777" w:rsidTr="00AC4DEE">
        <w:trPr>
          <w:cantSplit/>
        </w:trPr>
        <w:tc>
          <w:tcPr>
            <w:tcW w:w="1998" w:type="dxa"/>
            <w:tcBorders>
              <w:top w:val="single" w:sz="4" w:space="0" w:color="auto"/>
              <w:left w:val="single" w:sz="4" w:space="0" w:color="auto"/>
              <w:bottom w:val="single" w:sz="4" w:space="0" w:color="auto"/>
              <w:right w:val="single" w:sz="4" w:space="0" w:color="auto"/>
            </w:tcBorders>
          </w:tcPr>
          <w:p w14:paraId="4D2ACACD" w14:textId="77777777" w:rsidR="001F04FD" w:rsidRPr="0013396E" w:rsidRDefault="001F04FD" w:rsidP="00AC4DEE">
            <w:pPr>
              <w:pStyle w:val="TableBody"/>
              <w:rPr>
                <w:i/>
              </w:rPr>
            </w:pPr>
            <w:r w:rsidRPr="0013396E">
              <w:rPr>
                <w:i/>
              </w:rPr>
              <w:t>q</w:t>
            </w:r>
          </w:p>
        </w:tc>
        <w:tc>
          <w:tcPr>
            <w:tcW w:w="0" w:type="auto"/>
            <w:tcBorders>
              <w:top w:val="single" w:sz="4" w:space="0" w:color="auto"/>
              <w:left w:val="single" w:sz="4" w:space="0" w:color="auto"/>
              <w:bottom w:val="single" w:sz="4" w:space="0" w:color="auto"/>
              <w:right w:val="single" w:sz="4" w:space="0" w:color="auto"/>
            </w:tcBorders>
          </w:tcPr>
          <w:p w14:paraId="7DB2FDE6" w14:textId="77777777" w:rsidR="001F04FD" w:rsidRPr="0013396E" w:rsidRDefault="001F04FD" w:rsidP="00AC4DEE">
            <w:pPr>
              <w:pStyle w:val="TableBody"/>
            </w:pPr>
            <w:r w:rsidRPr="0013396E">
              <w:t>none</w:t>
            </w:r>
          </w:p>
        </w:tc>
        <w:tc>
          <w:tcPr>
            <w:tcW w:w="0" w:type="auto"/>
            <w:tcBorders>
              <w:top w:val="single" w:sz="4" w:space="0" w:color="auto"/>
              <w:left w:val="single" w:sz="4" w:space="0" w:color="auto"/>
              <w:bottom w:val="single" w:sz="4" w:space="0" w:color="auto"/>
              <w:right w:val="single" w:sz="4" w:space="0" w:color="auto"/>
            </w:tcBorders>
          </w:tcPr>
          <w:p w14:paraId="56C3622E" w14:textId="77777777" w:rsidR="001F04FD" w:rsidRPr="0013396E" w:rsidRDefault="001F04FD" w:rsidP="00AC4DEE">
            <w:pPr>
              <w:pStyle w:val="TableBody"/>
            </w:pPr>
            <w:r w:rsidRPr="0013396E">
              <w:t>A QSE.</w:t>
            </w:r>
          </w:p>
        </w:tc>
      </w:tr>
    </w:tbl>
    <w:p w14:paraId="5DA85ADB" w14:textId="77777777" w:rsidR="001F04FD" w:rsidRPr="0013396E" w:rsidRDefault="001F04FD" w:rsidP="001F04FD">
      <w:pPr>
        <w:pStyle w:val="H3"/>
        <w:spacing w:before="480"/>
      </w:pPr>
      <w:bookmarkStart w:id="2102" w:name="_Toc87951814"/>
      <w:bookmarkStart w:id="2103" w:name="_Toc109009418"/>
      <w:bookmarkStart w:id="2104" w:name="_Toc397505038"/>
      <w:bookmarkStart w:id="2105" w:name="_Toc402357170"/>
      <w:bookmarkStart w:id="2106" w:name="_Toc422486550"/>
      <w:bookmarkStart w:id="2107" w:name="_Toc433093403"/>
      <w:bookmarkStart w:id="2108" w:name="_Toc433093561"/>
      <w:bookmarkStart w:id="2109" w:name="_Toc440874791"/>
      <w:bookmarkStart w:id="2110" w:name="_Toc448142348"/>
      <w:bookmarkStart w:id="2111" w:name="_Toc448142505"/>
      <w:bookmarkStart w:id="2112" w:name="_Toc458770346"/>
      <w:bookmarkStart w:id="2113" w:name="_Toc459294314"/>
      <w:bookmarkStart w:id="2114" w:name="_Toc463262808"/>
      <w:bookmarkStart w:id="2115" w:name="_Toc468286881"/>
      <w:bookmarkStart w:id="2116" w:name="_Toc481502921"/>
      <w:bookmarkStart w:id="2117" w:name="_Toc496080089"/>
      <w:bookmarkStart w:id="2118" w:name="_Toc214879012"/>
      <w:r w:rsidRPr="0013396E">
        <w:t>6.6.9</w:t>
      </w:r>
      <w:r w:rsidRPr="0013396E">
        <w:tab/>
        <w:t>Emergency Operations Settlement</w:t>
      </w:r>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p>
    <w:p w14:paraId="6CAE985B" w14:textId="77777777" w:rsidR="00C236A2" w:rsidRPr="0013396E" w:rsidRDefault="00C236A2" w:rsidP="00C236A2">
      <w:pPr>
        <w:spacing w:after="240"/>
        <w:ind w:left="720" w:hanging="720"/>
      </w:pPr>
      <w:r w:rsidRPr="0013396E">
        <w:t>(1)</w:t>
      </w:r>
      <w:r w:rsidRPr="0013396E">
        <w:tab/>
        <w:t xml:space="preserve">Due to Emergency Conditions or Watches, additional compensation for each Generation Resource or ESR for which ERCOT provides an Emergency Base Point may be awarded to the QSE representing the Generation Resource or ESR.  If the Resource was instructed to increase generation at a Settlement Point price that is lower than the price based on their Energy Offer Curve or Energy Bid/Offer Curve, or if the Resource was instructed to increase withdrawal at a Settlement Point price that is higher than the price based on their Energy Bid/Offer Curve, ERCOT shall pay the QSE additional compensation for the change from the SCED Base Point immediately before the Emergency Condition or Watch, per paragraph (1) in Section 6.6.9.1, Payment for Emergency Operations Settlement.  The Energy Offer Curve and Energy/Bid Offer Curve shall be capped by the Mitigated Offer Cap (MOC). </w:t>
      </w:r>
    </w:p>
    <w:p w14:paraId="0117CEC1" w14:textId="77777777" w:rsidR="00C236A2" w:rsidRPr="0013396E" w:rsidRDefault="00C236A2" w:rsidP="00C236A2">
      <w:pPr>
        <w:spacing w:after="240"/>
        <w:ind w:left="720" w:hanging="720"/>
      </w:pPr>
      <w:r w:rsidRPr="0013396E">
        <w:lastRenderedPageBreak/>
        <w:t>(2)</w:t>
      </w:r>
      <w:r w:rsidRPr="0013396E">
        <w:tab/>
        <w:t>In accordance with paragraph (8) of Section 8.1.1.2, General Capacity Testing Requirements, QSEs that receive a VDI to operate the designated Generation Resource for an unannounced Generation Resource test may be considered for additional compensation utilizing the formula as stated in paragraph (1) in Section 6.6.9.1.  If the test period SCED Base Point is higher than the SCED Base Point immediately before the test period and the Settlement Point Price at the Resource Node is lower than the Generation Resource’s Energy Offer Curve price, or MOC if no offer exists, at the test Base Point, and the test was not a retest requested by the QSE, ERCOT shall pay the QSE additional compensation for the additional energy above the pre-test SCED Base Point.  For the purpose of this Settlement, and limited to Settlement Intervals inclusive of the unannounced Generation Resource test, SCED Base Points will be used in place of the Emergency Base Point.</w:t>
      </w:r>
    </w:p>
    <w:p w14:paraId="0963609D" w14:textId="77777777" w:rsidR="00C236A2" w:rsidRPr="0013396E" w:rsidRDefault="00C236A2" w:rsidP="00C236A2">
      <w:pPr>
        <w:spacing w:after="240"/>
        <w:ind w:left="720" w:hanging="720"/>
      </w:pPr>
      <w:r w:rsidRPr="0013396E">
        <w:t>(3)</w:t>
      </w:r>
      <w:r w:rsidRPr="0013396E">
        <w:tab/>
        <w:t xml:space="preserve">A QSE that represents a QSGR that comes On-Line as a result of a Base Point greater than zero shall be considered for additional compensation using the formula in paragraph (2) in Section 6.6.9.1 when the Base Point is less than or equal to its applicable Seasonal net minimum sustainable rating provided in the Resource Registration data.  For the 15-minute Settlement Interval, the process for additional compensation compares the Resource’s energy and Ancillary Services revenue with the Resource’s revenue target, as defined in Section 6.6.9.1, considering both Ancillary Service awards and Base Points, where the Energy Offer Curve is capped per the MOC.  For the purpose of this Settlement, inclusive of the first Settlement Interval in which the QSGR is deployed by SCED from a current SCED Base Point equal to zero MW to a Base Point greater than zero, SCED Base Points will be used in place of the Emergency Base Point.  The compensation specified in this paragraph continues over all applicable Intervals until SCED no longer needs the QSGR to generate energy pursuant to Section 3.8.3.1, Quick Start Generation Resource Decommitment Decision Process, and there is no manual Low Dispatch Limit (LDL) override in place on the QSGR.   </w:t>
      </w:r>
    </w:p>
    <w:p w14:paraId="447E17BD" w14:textId="77777777" w:rsidR="00C236A2" w:rsidRPr="0013396E" w:rsidRDefault="00C236A2" w:rsidP="00C236A2">
      <w:pPr>
        <w:spacing w:after="240"/>
        <w:ind w:left="720" w:hanging="720"/>
      </w:pPr>
      <w:r w:rsidRPr="0013396E">
        <w:t>(4)</w:t>
      </w:r>
      <w:r w:rsidRPr="0013396E">
        <w:tab/>
        <w:t xml:space="preserve">QSEs that received Base Points that are inconsistent with Real-Time LMPs, ignoring the Real-Time Reliability Deployment Price Adder for Energy, QSEs that received Ancillary Service awards that are inconsistent with the Real-Time MCPCs, ignoring the Reliability Deployment Price Adders for Ancillary Services, and QSEs that receive a manual override from the ERCOT Operator shall be considered for additional compensation using the formula in paragraph (2) in Section 6.6.9.1.  For the 15-minute Settlement Interval, the process for additional compensation compares the Resource’s energy and Ancillary Services revenue with the Resource’s revenue target, as defined in Section 6.6.9.1, considering both the Ancillary Service awards and held Base Points, where the Energy Offer Curve or the Energy Bid/Offer Curve is capped per the MOC.  The held Base Point is the Base Point that the QSE received due to a manual override by ERCOT Operator or the Base Point received by the QSE that ERCOT identified as inconsistent with Real-Time LMPs.  The Ancillary Service award is the award received by the QSE that ERCOT identified as inconsistent with Real-Time MCPCs.  For the purpose of this Settlement, and limited to the </w:t>
      </w:r>
      <w:r w:rsidRPr="0013396E">
        <w:rPr>
          <w:iCs/>
        </w:rPr>
        <w:t>held</w:t>
      </w:r>
      <w:r w:rsidRPr="0013396E">
        <w:t xml:space="preserve"> Settlement Intervals inclusive of the manual override or Base Points identified as inconsistent with prices, SCED Base Points will be used in place of the Emergency Base Point.  </w:t>
      </w:r>
    </w:p>
    <w:p w14:paraId="3461958D" w14:textId="494FB0AD" w:rsidR="00C236A2" w:rsidRPr="0013396E" w:rsidRDefault="00C236A2" w:rsidP="00C236A2">
      <w:pPr>
        <w:spacing w:after="240"/>
        <w:ind w:left="720" w:hanging="720"/>
      </w:pPr>
      <w:r w:rsidRPr="0013396E">
        <w:lastRenderedPageBreak/>
        <w:t>(5)       QSEs with at least one Resource that met the criteria in paragraph (1</w:t>
      </w:r>
      <w:r w:rsidR="00BB04FE">
        <w:t>4</w:t>
      </w:r>
      <w:r w:rsidRPr="0013396E">
        <w:t>)(d) of Section 6.5.7.3, Security Constrained Economic Dispatch, that submitted a timely Settlement and billing dispute for each affected Operating Day, consistent with the dispute process described in Section 9.14, Settlement and Billing Dispute Process, shall be considered for additional compensation using the formula in paragraph (1) in Section 6.6.9.1.  If the Resource Settlement Point Price at the Resource Node is lower than the Energy Offer Curve or Energy Bid/Offer Curve price, capped per the MOC pursuant to Section 4.4.9.4.1 Mitigated Offer Cap, at the aggregated Base Point during the 15-minute Settlement Interval, ERCOT shall pay the QSE additional compensation for the amount of energy from a zero Base Point to the aggregated Base Point.  For purposes of this Settlement and limited to the Settlement Intervals meeting the criteria specified in paragraph (1</w:t>
      </w:r>
      <w:r w:rsidR="00BB04FE">
        <w:t>4</w:t>
      </w:r>
      <w:r w:rsidRPr="0013396E">
        <w:t>)(d) of Section 6.5.7.3, SCED Base Points will be used in place of the Emergency Base Point.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C236A2" w:rsidRPr="0013396E" w14:paraId="08441432" w14:textId="77777777" w:rsidTr="0099759E">
        <w:trPr>
          <w:trHeight w:val="206"/>
        </w:trPr>
        <w:tc>
          <w:tcPr>
            <w:tcW w:w="9350" w:type="dxa"/>
            <w:tcBorders>
              <w:top w:val="single" w:sz="4" w:space="0" w:color="auto"/>
              <w:left w:val="single" w:sz="4" w:space="0" w:color="auto"/>
              <w:bottom w:val="single" w:sz="4" w:space="0" w:color="auto"/>
              <w:right w:val="single" w:sz="4" w:space="0" w:color="auto"/>
            </w:tcBorders>
            <w:shd w:val="pct12" w:color="auto" w:fill="auto"/>
            <w:hideMark/>
          </w:tcPr>
          <w:p w14:paraId="3417988C" w14:textId="1A500CFD" w:rsidR="00C236A2" w:rsidRPr="0013396E" w:rsidRDefault="00C236A2" w:rsidP="0099759E">
            <w:pPr>
              <w:spacing w:before="120" w:after="240"/>
              <w:rPr>
                <w:b/>
                <w:i/>
                <w:iCs/>
                <w:szCs w:val="24"/>
              </w:rPr>
            </w:pPr>
            <w:r w:rsidRPr="0013396E">
              <w:rPr>
                <w:b/>
                <w:i/>
                <w:iCs/>
                <w:szCs w:val="24"/>
              </w:rPr>
              <w:t>[NPRR1290:  Delete paragraph (5) above upon system implementation and renumber accordingly.]</w:t>
            </w:r>
          </w:p>
        </w:tc>
      </w:tr>
    </w:tbl>
    <w:p w14:paraId="1EB302F7" w14:textId="2A771B72" w:rsidR="00C236A2" w:rsidRPr="0013396E" w:rsidRDefault="00C236A2" w:rsidP="000B7133">
      <w:pPr>
        <w:spacing w:before="240" w:after="240"/>
        <w:ind w:left="720" w:hanging="720"/>
      </w:pPr>
      <w:r w:rsidRPr="0013396E">
        <w:t>(6)</w:t>
      </w:r>
      <w:r w:rsidRPr="0013396E">
        <w:tab/>
        <w:t xml:space="preserve">In accordance with Section 6.3, Adjustment Period and Real-Time Operations Timeline, if ERCOT sets any SCED interval as failed, then QSEs shall be considered for additional compensation using the formula in paragraph (1) in Section 6.6.9.1.  For the purpose of this Settlement, and limited to the failed </w:t>
      </w:r>
      <w:r w:rsidRPr="0013396E">
        <w:rPr>
          <w:iCs/>
        </w:rPr>
        <w:t>SCED interval,</w:t>
      </w:r>
      <w:r w:rsidRPr="0013396E">
        <w:t xml:space="preserve"> SCED Base Points will be used in place of the Emergency Base Point.</w:t>
      </w:r>
    </w:p>
    <w:p w14:paraId="54856ECF" w14:textId="77777777" w:rsidR="00C236A2" w:rsidRPr="0013396E" w:rsidRDefault="00C236A2" w:rsidP="00C236A2">
      <w:pPr>
        <w:spacing w:after="240"/>
        <w:ind w:left="720" w:hanging="720"/>
      </w:pPr>
      <w:r w:rsidRPr="0013396E">
        <w:t>(7)</w:t>
      </w:r>
      <w:r w:rsidRPr="0013396E">
        <w:tab/>
        <w:t>For each 15-minute Settlement Interval, a QSGR that receives a manual override from the ERCOT Operator shall only be considered for compensation under paragraph (4) above.</w:t>
      </w:r>
    </w:p>
    <w:p w14:paraId="1DF8D411" w14:textId="77777777" w:rsidR="00C236A2" w:rsidRPr="0013396E" w:rsidRDefault="00C236A2" w:rsidP="00C236A2">
      <w:pPr>
        <w:spacing w:after="240"/>
        <w:ind w:left="720" w:hanging="720"/>
      </w:pPr>
      <w:r w:rsidRPr="0013396E">
        <w:t>(8)       For each 15-minute Settlement Interval, if the Generation Resource or ESR represented by the QSE receives Base Points or Ancillary Service Awards that are inconsistent with prices per paragraph (4) above and has submitted a dispute under paragraph (5) above, the Resource shall only be considered for compensation under paragraph (4) above.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C236A2" w:rsidRPr="0013396E" w14:paraId="6429750B" w14:textId="77777777" w:rsidTr="0099759E">
        <w:trPr>
          <w:trHeight w:val="206"/>
        </w:trPr>
        <w:tc>
          <w:tcPr>
            <w:tcW w:w="9350" w:type="dxa"/>
            <w:tcBorders>
              <w:top w:val="single" w:sz="4" w:space="0" w:color="auto"/>
              <w:left w:val="single" w:sz="4" w:space="0" w:color="auto"/>
              <w:bottom w:val="single" w:sz="4" w:space="0" w:color="auto"/>
              <w:right w:val="single" w:sz="4" w:space="0" w:color="auto"/>
            </w:tcBorders>
            <w:shd w:val="pct12" w:color="auto" w:fill="auto"/>
            <w:hideMark/>
          </w:tcPr>
          <w:p w14:paraId="29A2C342" w14:textId="17F02457" w:rsidR="00C236A2" w:rsidRPr="0013396E" w:rsidRDefault="00C236A2" w:rsidP="0099759E">
            <w:pPr>
              <w:spacing w:before="120" w:after="240"/>
              <w:rPr>
                <w:b/>
                <w:i/>
                <w:iCs/>
                <w:szCs w:val="24"/>
              </w:rPr>
            </w:pPr>
            <w:r w:rsidRPr="0013396E">
              <w:rPr>
                <w:b/>
                <w:i/>
                <w:iCs/>
                <w:szCs w:val="24"/>
              </w:rPr>
              <w:t>[NPRR1290:  Delete paragraph (</w:t>
            </w:r>
            <w:r>
              <w:rPr>
                <w:b/>
                <w:i/>
                <w:iCs/>
                <w:szCs w:val="24"/>
              </w:rPr>
              <w:t>8</w:t>
            </w:r>
            <w:r w:rsidRPr="0013396E">
              <w:rPr>
                <w:b/>
                <w:i/>
                <w:iCs/>
                <w:szCs w:val="24"/>
              </w:rPr>
              <w:t>) above upon system implementation and renumber accordingly.]</w:t>
            </w:r>
          </w:p>
        </w:tc>
      </w:tr>
    </w:tbl>
    <w:p w14:paraId="6DEC53FC" w14:textId="7421090E" w:rsidR="00C236A2" w:rsidRPr="0013396E" w:rsidRDefault="00C236A2" w:rsidP="000B7133">
      <w:pPr>
        <w:spacing w:before="240" w:after="240"/>
        <w:ind w:left="720" w:hanging="720"/>
      </w:pPr>
      <w:r w:rsidRPr="0013396E">
        <w:t>(9)</w:t>
      </w:r>
      <w:r w:rsidRPr="0013396E">
        <w:tab/>
        <w:t xml:space="preserve">For a QSGR, the </w:t>
      </w:r>
      <w:r w:rsidRPr="0013396E">
        <w:rPr>
          <w:iCs/>
        </w:rPr>
        <w:t xml:space="preserve">MOC </w:t>
      </w:r>
      <w:r w:rsidRPr="0013396E">
        <w:t>curve used to cap the Energy Offer Curve shall not include the variable Operations and Maintenance (O&amp;M) adjustment cost to start the Resource from first fire to LSL, including the startup fuel described in paragraph (1)(d) of Section 4.4.9.4.1 for all emergency operations Settlement calculations with the exception of paragraph (3) above.</w:t>
      </w:r>
    </w:p>
    <w:p w14:paraId="1E5ED326" w14:textId="77777777" w:rsidR="00C236A2" w:rsidRPr="0013396E" w:rsidRDefault="00C236A2" w:rsidP="00C236A2">
      <w:pPr>
        <w:spacing w:after="240"/>
        <w:ind w:left="720" w:hanging="720"/>
      </w:pPr>
      <w:r w:rsidRPr="0013396E">
        <w:t>(10)</w:t>
      </w:r>
      <w:r w:rsidRPr="0013396E">
        <w:tab/>
        <w:t xml:space="preserve">Any QSE that receives a VDI to operate its Resource for an unannounced CFC test, as described in the ERCOT Operating Guides, or that has been instructed to operate in CFC mode, may be considered for additional compensation utilizing the formula in paragraph (1) in Section 6.6.9.1.  If the Resource increased generation at a Settlement Point Price </w:t>
      </w:r>
      <w:r w:rsidRPr="0013396E">
        <w:lastRenderedPageBreak/>
        <w:t xml:space="preserve">that is lower than the price based on the Energy Offer Curve or Energy Bid/Offer Curve, or if the Resource was instructed to increase withdrawal at a Settlement Point Price that is higher than the price based on its Energy Bid/Offer Curve, ERCOT shall pay the QSE additional compensation for the amount of energy from a zero Base Point to the Emergency Base Point for each Resource that provided CFC.  Compensation for a CFC test will not be provided if the test was a retest requested by the QSE.  For the purpose of this Settlement, and limited to Settlement Intervals inclusive of the CFC period, the Emergency Base Point shall be set to the Average Telemetered Generation for the 5 Minutes (AVGTG5M) and the Energy Offer Curve and Energy/Bid Offer Curve shall be capped by the MOC.  Only Resources that moved in the direction to correct frequency are eligible to receive compensation for providing CFC. </w:t>
      </w:r>
    </w:p>
    <w:p w14:paraId="36D72229" w14:textId="77777777" w:rsidR="00C236A2" w:rsidRPr="0013396E" w:rsidRDefault="00C236A2" w:rsidP="00C236A2">
      <w:pPr>
        <w:spacing w:after="240"/>
        <w:ind w:left="720" w:hanging="720"/>
      </w:pPr>
      <w:r w:rsidRPr="0013396E">
        <w:t>(11)</w:t>
      </w:r>
      <w:r w:rsidRPr="0013396E">
        <w:tab/>
      </w:r>
      <w:r w:rsidRPr="0013396E">
        <w:rPr>
          <w:bCs/>
        </w:rPr>
        <w:t>If Emergency Base Points or SCED Base Points are unavailable, corrupted or otherwise unusable for Settlement purposes due to system conditions, hardware failure, or software failure, the Real-Time Metered Generation (RTMG) and Real-Time Charging Load (RTCL) will be used to create proxy Base Points pursuant to Section 6.6.9.1.  If the RTMG and RTCL are not available, the most accurate available generation and withdrawal data as determined by ERCOT will be used to create proxy Base Points pursuant to Section 6.6.9.1.  ERCOT shall issue a Market Notice stating the Operating Day and Settlement Intervals that were impacted and the data that was used to create proxy Base Points.</w:t>
      </w:r>
      <w:r w:rsidRPr="0013396E">
        <w:t xml:space="preserve"> </w:t>
      </w:r>
    </w:p>
    <w:p w14:paraId="76465210" w14:textId="77777777" w:rsidR="00C236A2" w:rsidRPr="0013396E" w:rsidRDefault="00C236A2" w:rsidP="00C236A2">
      <w:pPr>
        <w:spacing w:after="240"/>
        <w:ind w:left="720" w:hanging="720"/>
      </w:pPr>
      <w:r w:rsidRPr="0013396E">
        <w:t>(12)</w:t>
      </w:r>
      <w:r w:rsidRPr="0013396E">
        <w:tab/>
        <w:t>The Energy Offer Curve or Energy Bid/Offer Curve used to calculate the Emergency Base Point Price (EBPPR) will be the Energy Offer Curve or Energy Bid/Offer Curve that was submitted by the QSE and effective for the applicable Operating Hour at the time of the triggering event that led to emergency Settlement consideration, except when the QSE has received Base Points that are inconsistent with Real-Time Settlement Point Prices, as described in paragraph (4) above.  In the case of the condition described in paragraph (3) above, the triggering event would be the first interval in which the QSGR comes On-Line as a result of a Base Point greater than zero.</w:t>
      </w:r>
    </w:p>
    <w:p w14:paraId="0BEA4CA8" w14:textId="1FCB6ADB" w:rsidR="00537026" w:rsidRPr="0013396E" w:rsidRDefault="00C236A2" w:rsidP="00FC539A">
      <w:pPr>
        <w:spacing w:after="240"/>
        <w:ind w:left="720" w:hanging="720"/>
      </w:pPr>
      <w:r w:rsidRPr="0013396E">
        <w:t>(13)</w:t>
      </w:r>
      <w:r w:rsidRPr="0013396E">
        <w:tab/>
        <w:t xml:space="preserve">For ESRs that qualify for emergency Settlement, for purposes of this section, the MOC curve used to cap the Energy Bid/Offer </w:t>
      </w:r>
      <w:r w:rsidRPr="0013396E">
        <w:rPr>
          <w:bCs/>
        </w:rPr>
        <w:t>Curve</w:t>
      </w:r>
      <w:r w:rsidRPr="0013396E">
        <w:t xml:space="preserve"> shall be set to the highest Real-Time Settlement Point Price (RTSPP) at the Resource’s Settlement Point for the Operating Day. </w:t>
      </w:r>
    </w:p>
    <w:p w14:paraId="2824D8FE" w14:textId="77777777" w:rsidR="00C236A2" w:rsidRPr="0013396E" w:rsidRDefault="00C236A2" w:rsidP="000B7133">
      <w:pPr>
        <w:keepNext/>
        <w:widowControl w:val="0"/>
        <w:tabs>
          <w:tab w:val="left" w:pos="1260"/>
        </w:tabs>
        <w:spacing w:before="240" w:after="240"/>
        <w:ind w:left="1267" w:hanging="1267"/>
        <w:outlineLvl w:val="3"/>
        <w:rPr>
          <w:b/>
          <w:bCs/>
          <w:snapToGrid w:val="0"/>
        </w:rPr>
      </w:pPr>
      <w:bookmarkStart w:id="2119" w:name="_Toc214879013"/>
      <w:r w:rsidRPr="0013396E">
        <w:rPr>
          <w:b/>
          <w:bCs/>
          <w:snapToGrid w:val="0"/>
        </w:rPr>
        <w:t>6.6.9.1</w:t>
      </w:r>
      <w:r w:rsidRPr="0013396E">
        <w:rPr>
          <w:b/>
          <w:bCs/>
          <w:snapToGrid w:val="0"/>
        </w:rPr>
        <w:tab/>
        <w:t>Payment for Emergency Operations Settlement</w:t>
      </w:r>
      <w:bookmarkEnd w:id="2119"/>
    </w:p>
    <w:p w14:paraId="28A5480A" w14:textId="77777777" w:rsidR="00C236A2" w:rsidRPr="0013396E" w:rsidRDefault="00C236A2" w:rsidP="00C236A2">
      <w:pPr>
        <w:spacing w:after="240"/>
        <w:ind w:left="720" w:hanging="720"/>
        <w:rPr>
          <w:iCs/>
        </w:rPr>
      </w:pPr>
      <w:r w:rsidRPr="0013396E">
        <w:rPr>
          <w:iCs/>
        </w:rPr>
        <w:t>(1)</w:t>
      </w:r>
      <w:r w:rsidRPr="0013396E">
        <w:rPr>
          <w:iCs/>
        </w:rPr>
        <w:tab/>
        <w:t>ERCOT shall pay the QSE additional compensation for the Resource at its Resource Node Settlement Point during the Settlement Intervals that qualify for emergency Settlement as described in Section 6.6.9, Emergency Operations Settlement.  The payment for a given 15-minute Settlement Interval is calculated as follows:</w:t>
      </w:r>
    </w:p>
    <w:p w14:paraId="67C97136" w14:textId="77777777" w:rsidR="00C236A2" w:rsidRPr="0013396E" w:rsidRDefault="00C236A2" w:rsidP="00C236A2">
      <w:pPr>
        <w:tabs>
          <w:tab w:val="left" w:pos="2340"/>
          <w:tab w:val="left" w:pos="3420"/>
        </w:tabs>
        <w:spacing w:before="240" w:after="240"/>
        <w:ind w:left="3420" w:hanging="2700"/>
        <w:rPr>
          <w:rFonts w:eastAsiaTheme="minorHAnsi"/>
          <w:b/>
          <w:lang w:val="pt-BR"/>
        </w:rPr>
      </w:pPr>
      <w:r w:rsidRPr="0013396E">
        <w:rPr>
          <w:b/>
          <w:bCs/>
          <w:lang w:val="pt-BR"/>
        </w:rPr>
        <w:t xml:space="preserve">EMREAMT </w:t>
      </w:r>
      <w:r w:rsidRPr="0013396E">
        <w:rPr>
          <w:b/>
          <w:bCs/>
          <w:i/>
          <w:vertAlign w:val="subscript"/>
          <w:lang w:val="pt-BR"/>
        </w:rPr>
        <w:t>q, r, p</w:t>
      </w:r>
      <w:r w:rsidRPr="0013396E">
        <w:rPr>
          <w:b/>
          <w:bCs/>
          <w:lang w:val="pt-BR"/>
        </w:rPr>
        <w:tab/>
        <w:t>=</w:t>
      </w:r>
      <w:r w:rsidRPr="0013396E">
        <w:rPr>
          <w:b/>
          <w:bCs/>
          <w:lang w:val="pt-BR"/>
        </w:rPr>
        <w:tab/>
        <w:t xml:space="preserve">(-1) * (EMREPRGEN </w:t>
      </w:r>
      <w:r w:rsidRPr="0013396E">
        <w:rPr>
          <w:b/>
          <w:bCs/>
          <w:i/>
          <w:vertAlign w:val="subscript"/>
          <w:lang w:val="pt-BR"/>
        </w:rPr>
        <w:t>q, r, p</w:t>
      </w:r>
      <w:r w:rsidRPr="0013396E">
        <w:rPr>
          <w:b/>
          <w:bCs/>
          <w:lang w:val="pt-BR"/>
        </w:rPr>
        <w:t xml:space="preserve"> * EMREGEN </w:t>
      </w:r>
      <w:r w:rsidRPr="0013396E">
        <w:rPr>
          <w:b/>
          <w:bCs/>
          <w:i/>
          <w:vertAlign w:val="subscript"/>
          <w:lang w:val="pt-BR"/>
        </w:rPr>
        <w:t>q, r, p</w:t>
      </w:r>
      <w:r w:rsidRPr="0013396E">
        <w:rPr>
          <w:b/>
          <w:bCs/>
          <w:lang w:val="pt-BR"/>
        </w:rPr>
        <w:t>)</w:t>
      </w:r>
      <w:r w:rsidRPr="0013396E">
        <w:rPr>
          <w:rFonts w:eastAsiaTheme="minorHAnsi"/>
          <w:b/>
          <w:lang w:val="pt-BR"/>
        </w:rPr>
        <w:t xml:space="preserve"> </w:t>
      </w:r>
    </w:p>
    <w:p w14:paraId="36090CB2" w14:textId="77777777" w:rsidR="00C236A2" w:rsidRPr="0013396E" w:rsidRDefault="00C236A2" w:rsidP="00C236A2">
      <w:pPr>
        <w:tabs>
          <w:tab w:val="left" w:pos="2340"/>
          <w:tab w:val="left" w:pos="3420"/>
        </w:tabs>
        <w:spacing w:before="240" w:after="240"/>
        <w:ind w:left="3420" w:hanging="2700"/>
        <w:rPr>
          <w:b/>
          <w:bCs/>
          <w:lang w:val="pt-BR"/>
        </w:rPr>
      </w:pPr>
      <w:r w:rsidRPr="0013396E">
        <w:rPr>
          <w:b/>
          <w:bCs/>
          <w:lang w:val="pt-BR"/>
        </w:rPr>
        <w:tab/>
      </w:r>
      <w:r w:rsidRPr="0013396E">
        <w:rPr>
          <w:b/>
          <w:bCs/>
          <w:lang w:val="pt-BR"/>
        </w:rPr>
        <w:tab/>
      </w:r>
      <w:r w:rsidRPr="0013396E">
        <w:rPr>
          <w:rFonts w:eastAsiaTheme="minorHAnsi"/>
          <w:b/>
          <w:lang w:val="pt-BR"/>
        </w:rPr>
        <w:t xml:space="preserve">+ </w:t>
      </w:r>
      <w:r w:rsidRPr="0013396E">
        <w:rPr>
          <w:b/>
          <w:bCs/>
          <w:lang w:val="pt-BR"/>
        </w:rPr>
        <w:t>(</w:t>
      </w:r>
      <w:r w:rsidRPr="0013396E">
        <w:rPr>
          <w:rFonts w:eastAsiaTheme="minorHAnsi"/>
          <w:b/>
          <w:lang w:val="pt-BR"/>
        </w:rPr>
        <w:t xml:space="preserve">EMREPRLOAD </w:t>
      </w:r>
      <w:r w:rsidRPr="0013396E">
        <w:rPr>
          <w:rFonts w:eastAsiaTheme="minorHAnsi"/>
          <w:b/>
          <w:i/>
          <w:vertAlign w:val="subscript"/>
          <w:lang w:val="pt-BR"/>
        </w:rPr>
        <w:t>q, r, p</w:t>
      </w:r>
      <w:r w:rsidRPr="0013396E">
        <w:rPr>
          <w:rFonts w:eastAsiaTheme="minorHAnsi"/>
          <w:b/>
          <w:lang w:val="pt-BR"/>
        </w:rPr>
        <w:t xml:space="preserve"> * EMRELOAD </w:t>
      </w:r>
      <w:r w:rsidRPr="0013396E">
        <w:rPr>
          <w:rFonts w:eastAsiaTheme="minorHAnsi"/>
          <w:b/>
          <w:i/>
          <w:vertAlign w:val="subscript"/>
          <w:lang w:val="pt-BR"/>
        </w:rPr>
        <w:t>q, r, p</w:t>
      </w:r>
      <w:r w:rsidRPr="0013396E">
        <w:rPr>
          <w:b/>
          <w:bCs/>
          <w:lang w:val="pt-BR"/>
        </w:rPr>
        <w:t>)</w:t>
      </w:r>
    </w:p>
    <w:p w14:paraId="1438C79B" w14:textId="77777777" w:rsidR="00C236A2" w:rsidRPr="0013396E" w:rsidRDefault="00C236A2" w:rsidP="00C236A2">
      <w:pPr>
        <w:spacing w:after="240"/>
        <w:rPr>
          <w:lang w:val="pt-BR"/>
        </w:rPr>
      </w:pPr>
      <w:r w:rsidRPr="0013396E">
        <w:rPr>
          <w:lang w:val="pt-BR"/>
        </w:rPr>
        <w:t>Where:</w:t>
      </w:r>
    </w:p>
    <w:p w14:paraId="614E4EF6" w14:textId="77777777" w:rsidR="00C236A2" w:rsidRPr="0013396E" w:rsidRDefault="00C236A2" w:rsidP="00C236A2">
      <w:pPr>
        <w:tabs>
          <w:tab w:val="left" w:pos="2340"/>
          <w:tab w:val="left" w:pos="2880"/>
        </w:tabs>
        <w:spacing w:after="240"/>
        <w:ind w:left="987" w:hanging="269"/>
        <w:rPr>
          <w:bCs/>
          <w:lang w:val="pt-BR"/>
        </w:rPr>
      </w:pPr>
      <w:r w:rsidRPr="0013396E">
        <w:rPr>
          <w:bCs/>
          <w:lang w:val="pt-BR"/>
        </w:rPr>
        <w:lastRenderedPageBreak/>
        <w:t>If any EBP &gt; 0 then:</w:t>
      </w:r>
    </w:p>
    <w:p w14:paraId="1438226A" w14:textId="77777777" w:rsidR="00C236A2" w:rsidRPr="0013396E" w:rsidRDefault="00C236A2" w:rsidP="00C236A2">
      <w:pPr>
        <w:tabs>
          <w:tab w:val="left" w:pos="2340"/>
          <w:tab w:val="left" w:pos="2880"/>
        </w:tabs>
        <w:spacing w:after="240"/>
        <w:ind w:left="987" w:hanging="269"/>
        <w:rPr>
          <w:bCs/>
          <w:lang w:val="pt-BR"/>
        </w:rPr>
      </w:pPr>
      <w:r w:rsidRPr="0013396E">
        <w:rPr>
          <w:bCs/>
          <w:lang w:val="pt-BR"/>
        </w:rPr>
        <w:t xml:space="preserve">EMREPRGEN </w:t>
      </w:r>
      <w:r w:rsidRPr="0013396E">
        <w:rPr>
          <w:bCs/>
          <w:i/>
          <w:vertAlign w:val="subscript"/>
          <w:lang w:val="pt-BR"/>
        </w:rPr>
        <w:t>q, r, p</w:t>
      </w:r>
      <w:r w:rsidRPr="0013396E">
        <w:rPr>
          <w:bCs/>
          <w:lang w:val="pt-BR"/>
        </w:rPr>
        <w:tab/>
      </w:r>
      <w:r w:rsidRPr="0013396E">
        <w:rPr>
          <w:bCs/>
          <w:lang w:val="pt-BR"/>
        </w:rPr>
        <w:tab/>
        <w:t>=</w:t>
      </w:r>
      <w:r w:rsidRPr="0013396E">
        <w:rPr>
          <w:bCs/>
          <w:lang w:val="pt-BR"/>
        </w:rPr>
        <w:tab/>
        <w:t xml:space="preserve">Max (0, EBPWAPRGEN </w:t>
      </w:r>
      <w:r w:rsidRPr="0013396E">
        <w:rPr>
          <w:bCs/>
          <w:i/>
          <w:vertAlign w:val="subscript"/>
          <w:lang w:val="pt-BR"/>
        </w:rPr>
        <w:t>q, r, p</w:t>
      </w:r>
      <w:r w:rsidRPr="0013396E">
        <w:rPr>
          <w:bCs/>
          <w:lang w:val="pt-BR"/>
        </w:rPr>
        <w:t xml:space="preserve"> – RTSPP </w:t>
      </w:r>
      <w:r w:rsidRPr="0013396E">
        <w:rPr>
          <w:bCs/>
          <w:i/>
          <w:vertAlign w:val="subscript"/>
          <w:lang w:val="pt-BR"/>
        </w:rPr>
        <w:t>p</w:t>
      </w:r>
      <w:r w:rsidRPr="0013396E">
        <w:rPr>
          <w:bCs/>
          <w:lang w:val="pt-BR"/>
        </w:rPr>
        <w:t>)</w:t>
      </w:r>
    </w:p>
    <w:p w14:paraId="488CF754" w14:textId="77777777" w:rsidR="00C236A2" w:rsidRPr="0013396E" w:rsidRDefault="00C236A2" w:rsidP="00C236A2">
      <w:pPr>
        <w:tabs>
          <w:tab w:val="left" w:pos="2340"/>
          <w:tab w:val="left" w:pos="2880"/>
        </w:tabs>
        <w:spacing w:after="240"/>
        <w:ind w:left="987" w:hanging="269"/>
        <w:rPr>
          <w:bCs/>
          <w:lang w:val="pt-BR"/>
        </w:rPr>
      </w:pPr>
      <w:r w:rsidRPr="0013396E">
        <w:rPr>
          <w:bCs/>
          <w:lang w:val="pt-BR"/>
        </w:rPr>
        <w:t xml:space="preserve">EBPWAPRGEN </w:t>
      </w:r>
      <w:r w:rsidRPr="0013396E">
        <w:rPr>
          <w:bCs/>
          <w:i/>
          <w:vertAlign w:val="subscript"/>
          <w:lang w:val="pt-BR"/>
        </w:rPr>
        <w:t>q, r, p</w:t>
      </w:r>
      <w:r w:rsidRPr="0013396E">
        <w:rPr>
          <w:bCs/>
          <w:lang w:val="pt-BR"/>
        </w:rPr>
        <w:tab/>
        <w:t>=</w:t>
      </w:r>
      <w:r w:rsidRPr="0013396E">
        <w:rPr>
          <w:bCs/>
          <w:lang w:val="pt-BR"/>
        </w:rPr>
        <w:tab/>
      </w:r>
      <w:r w:rsidRPr="0013396E">
        <w:rPr>
          <w:bCs/>
          <w:position w:val="-22"/>
        </w:rPr>
        <w:object w:dxaOrig="225" w:dyaOrig="450" w14:anchorId="7BFE4615">
          <v:shape id="_x0000_i1198" type="#_x0000_t75" style="width:12pt;height:24pt" o:ole="">
            <v:imagedata r:id="rId253" o:title=""/>
          </v:shape>
          <o:OLEObject Type="Embed" ProgID="Equation.3" ShapeID="_x0000_i1198" DrawAspect="Content" ObjectID="_1836311476" r:id="rId254"/>
        </w:object>
      </w:r>
      <w:r w:rsidRPr="0013396E">
        <w:rPr>
          <w:bCs/>
          <w:lang w:val="pt-BR"/>
        </w:rPr>
        <w:t xml:space="preserve">(EBPPR </w:t>
      </w:r>
      <w:r w:rsidRPr="0013396E">
        <w:rPr>
          <w:bCs/>
          <w:i/>
          <w:vertAlign w:val="subscript"/>
          <w:lang w:val="pt-BR"/>
        </w:rPr>
        <w:t>q, r, p, y</w:t>
      </w:r>
      <w:r w:rsidRPr="0013396E">
        <w:rPr>
          <w:bCs/>
          <w:lang w:val="pt-BR"/>
        </w:rPr>
        <w:t xml:space="preserve"> * Max (0.001, EBP </w:t>
      </w:r>
      <w:r w:rsidRPr="0013396E">
        <w:rPr>
          <w:bCs/>
          <w:i/>
          <w:vertAlign w:val="subscript"/>
          <w:lang w:val="pt-BR"/>
        </w:rPr>
        <w:t>q, r, p, y</w:t>
      </w:r>
      <w:r w:rsidRPr="0013396E">
        <w:rPr>
          <w:bCs/>
          <w:lang w:val="pt-BR"/>
        </w:rPr>
        <w:t xml:space="preserve">) * TLMP </w:t>
      </w:r>
      <w:r w:rsidRPr="0013396E">
        <w:rPr>
          <w:bCs/>
          <w:i/>
          <w:vertAlign w:val="subscript"/>
          <w:lang w:val="pt-BR"/>
        </w:rPr>
        <w:t>y</w:t>
      </w:r>
      <w:r w:rsidRPr="0013396E">
        <w:rPr>
          <w:bCs/>
          <w:lang w:val="pt-BR"/>
        </w:rPr>
        <w:t xml:space="preserve">) </w:t>
      </w:r>
      <w:r w:rsidRPr="0013396E">
        <w:rPr>
          <w:b/>
          <w:bCs/>
          <w:sz w:val="32"/>
          <w:szCs w:val="32"/>
          <w:lang w:val="pt-BR"/>
        </w:rPr>
        <w:t>/</w:t>
      </w:r>
    </w:p>
    <w:p w14:paraId="62F91B8B" w14:textId="77777777" w:rsidR="00C236A2" w:rsidRPr="0013396E" w:rsidRDefault="00C236A2" w:rsidP="00C236A2">
      <w:pPr>
        <w:tabs>
          <w:tab w:val="left" w:pos="2340"/>
          <w:tab w:val="left" w:pos="2880"/>
        </w:tabs>
        <w:spacing w:after="240"/>
        <w:ind w:left="987" w:hanging="269"/>
        <w:rPr>
          <w:bCs/>
          <w:lang w:val="es-MX"/>
        </w:rPr>
      </w:pPr>
      <w:r w:rsidRPr="0013396E">
        <w:rPr>
          <w:bCs/>
          <w:lang w:val="pt-BR"/>
        </w:rPr>
        <w:tab/>
      </w:r>
      <w:r w:rsidRPr="0013396E">
        <w:rPr>
          <w:bCs/>
          <w:lang w:val="pt-BR"/>
        </w:rPr>
        <w:tab/>
      </w:r>
      <w:r w:rsidRPr="0013396E">
        <w:rPr>
          <w:bCs/>
          <w:lang w:val="pt-BR"/>
        </w:rPr>
        <w:tab/>
      </w:r>
      <w:r w:rsidRPr="0013396E">
        <w:rPr>
          <w:bCs/>
          <w:position w:val="-22"/>
        </w:rPr>
        <w:object w:dxaOrig="225" w:dyaOrig="450" w14:anchorId="64D3861E">
          <v:shape id="_x0000_i1199" type="#_x0000_t75" style="width:12pt;height:24pt" o:ole="">
            <v:imagedata r:id="rId255" o:title=""/>
          </v:shape>
          <o:OLEObject Type="Embed" ProgID="Equation.3" ShapeID="_x0000_i1199" DrawAspect="Content" ObjectID="_1836311477" r:id="rId256"/>
        </w:object>
      </w:r>
      <w:r w:rsidRPr="0013396E">
        <w:rPr>
          <w:bCs/>
          <w:lang w:val="es-MX"/>
        </w:rPr>
        <w:t xml:space="preserve">(Max (0.001, EBP </w:t>
      </w:r>
      <w:r w:rsidRPr="0013396E">
        <w:rPr>
          <w:bCs/>
          <w:i/>
          <w:vertAlign w:val="subscript"/>
          <w:lang w:val="es-MX"/>
        </w:rPr>
        <w:t>q, r, p, y</w:t>
      </w:r>
      <w:r w:rsidRPr="0013396E">
        <w:rPr>
          <w:bCs/>
          <w:lang w:val="pt-BR"/>
        </w:rPr>
        <w:t>)</w:t>
      </w:r>
      <w:r w:rsidRPr="0013396E">
        <w:rPr>
          <w:bCs/>
          <w:i/>
          <w:vertAlign w:val="subscript"/>
          <w:lang w:val="es-MX"/>
        </w:rPr>
        <w:t xml:space="preserve"> </w:t>
      </w:r>
      <w:r w:rsidRPr="0013396E">
        <w:rPr>
          <w:bCs/>
          <w:lang w:val="es-MX"/>
        </w:rPr>
        <w:t>* TLMP</w:t>
      </w:r>
      <w:r w:rsidRPr="0013396E">
        <w:rPr>
          <w:bCs/>
          <w:i/>
          <w:vertAlign w:val="subscript"/>
          <w:lang w:val="es-MX"/>
        </w:rPr>
        <w:t xml:space="preserve"> y</w:t>
      </w:r>
      <w:r w:rsidRPr="0013396E">
        <w:rPr>
          <w:bCs/>
          <w:lang w:val="es-MX"/>
        </w:rPr>
        <w:t>)</w:t>
      </w:r>
    </w:p>
    <w:p w14:paraId="09A28F06" w14:textId="77777777" w:rsidR="00C236A2" w:rsidRPr="0013396E" w:rsidRDefault="00C236A2" w:rsidP="00C236A2">
      <w:pPr>
        <w:tabs>
          <w:tab w:val="left" w:pos="2340"/>
          <w:tab w:val="left" w:pos="2880"/>
        </w:tabs>
        <w:spacing w:after="240"/>
        <w:ind w:left="987" w:hanging="269"/>
        <w:rPr>
          <w:bCs/>
          <w:lang w:val="es-MX"/>
        </w:rPr>
      </w:pPr>
      <w:r w:rsidRPr="0013396E">
        <w:rPr>
          <w:bCs/>
          <w:lang w:val="pt-BR"/>
        </w:rPr>
        <w:t>EMREGEN</w:t>
      </w:r>
      <w:r w:rsidRPr="0013396E">
        <w:rPr>
          <w:bCs/>
          <w:lang w:val="es-MX"/>
        </w:rPr>
        <w:t xml:space="preserve"> </w:t>
      </w:r>
      <w:r w:rsidRPr="0013396E">
        <w:rPr>
          <w:bCs/>
          <w:i/>
          <w:vertAlign w:val="subscript"/>
          <w:lang w:val="es-MX"/>
        </w:rPr>
        <w:t>q, r, p</w:t>
      </w:r>
      <w:r w:rsidRPr="0013396E">
        <w:rPr>
          <w:bCs/>
          <w:lang w:val="es-MX"/>
        </w:rPr>
        <w:tab/>
        <w:t>=</w:t>
      </w:r>
      <w:r w:rsidRPr="0013396E">
        <w:rPr>
          <w:bCs/>
          <w:lang w:val="es-MX"/>
        </w:rPr>
        <w:tab/>
        <w:t>Max (0, Min (</w:t>
      </w:r>
      <w:r w:rsidRPr="0013396E">
        <w:rPr>
          <w:bCs/>
          <w:lang w:val="pt-BR"/>
        </w:rPr>
        <w:t>AEBPGEN</w:t>
      </w:r>
      <w:r w:rsidRPr="0013396E">
        <w:rPr>
          <w:bCs/>
          <w:vertAlign w:val="subscript"/>
          <w:lang w:val="pt-BR"/>
        </w:rPr>
        <w:t xml:space="preserve"> </w:t>
      </w:r>
      <w:r w:rsidRPr="0013396E">
        <w:rPr>
          <w:bCs/>
          <w:i/>
          <w:vertAlign w:val="subscript"/>
          <w:lang w:val="pt-BR"/>
        </w:rPr>
        <w:t>q, r, p</w:t>
      </w:r>
      <w:r w:rsidRPr="0013396E">
        <w:rPr>
          <w:bCs/>
          <w:lang w:val="pt-BR"/>
        </w:rPr>
        <w:t>,</w:t>
      </w:r>
      <w:r w:rsidRPr="0013396E">
        <w:rPr>
          <w:bCs/>
          <w:lang w:val="es-MX"/>
        </w:rPr>
        <w:t xml:space="preserve"> RTMG </w:t>
      </w:r>
      <w:r w:rsidRPr="0013396E">
        <w:rPr>
          <w:bCs/>
          <w:i/>
          <w:vertAlign w:val="subscript"/>
          <w:lang w:val="es-MX"/>
        </w:rPr>
        <w:t>q, r, p</w:t>
      </w:r>
      <w:r w:rsidRPr="0013396E">
        <w:rPr>
          <w:bCs/>
          <w:lang w:val="es-MX"/>
        </w:rPr>
        <w:t xml:space="preserve">) – ¼ * Max (0, BP </w:t>
      </w:r>
      <w:r w:rsidRPr="0013396E">
        <w:rPr>
          <w:bCs/>
          <w:i/>
          <w:vertAlign w:val="subscript"/>
          <w:lang w:val="es-MX"/>
        </w:rPr>
        <w:t>q, r, p</w:t>
      </w:r>
      <w:r w:rsidRPr="0013396E">
        <w:rPr>
          <w:bCs/>
          <w:lang w:val="es-MX"/>
        </w:rPr>
        <w:t>))</w:t>
      </w:r>
    </w:p>
    <w:p w14:paraId="3C557F65" w14:textId="77777777" w:rsidR="00C236A2" w:rsidRPr="0013396E" w:rsidRDefault="00C236A2" w:rsidP="00C236A2">
      <w:pPr>
        <w:tabs>
          <w:tab w:val="left" w:pos="2340"/>
          <w:tab w:val="left" w:pos="2880"/>
        </w:tabs>
        <w:spacing w:after="240"/>
        <w:ind w:left="987" w:hanging="269"/>
        <w:rPr>
          <w:bCs/>
          <w:lang w:val="pt-BR"/>
        </w:rPr>
      </w:pPr>
      <w:r w:rsidRPr="0013396E">
        <w:rPr>
          <w:bCs/>
          <w:lang w:val="pt-BR"/>
        </w:rPr>
        <w:t>AEBPGEN</w:t>
      </w:r>
      <w:r w:rsidRPr="0013396E">
        <w:rPr>
          <w:bCs/>
          <w:vertAlign w:val="subscript"/>
          <w:lang w:val="pt-BR"/>
        </w:rPr>
        <w:t xml:space="preserve"> </w:t>
      </w:r>
      <w:r w:rsidRPr="0013396E">
        <w:rPr>
          <w:bCs/>
          <w:i/>
          <w:vertAlign w:val="subscript"/>
          <w:lang w:val="pt-BR"/>
        </w:rPr>
        <w:t>q, r, p</w:t>
      </w:r>
      <w:r w:rsidRPr="0013396E">
        <w:rPr>
          <w:bCs/>
          <w:lang w:val="pt-BR"/>
        </w:rPr>
        <w:tab/>
      </w:r>
      <w:r w:rsidRPr="0013396E">
        <w:rPr>
          <w:bCs/>
          <w:lang w:val="pt-BR"/>
        </w:rPr>
        <w:tab/>
        <w:t>=</w:t>
      </w:r>
      <w:r w:rsidRPr="0013396E">
        <w:rPr>
          <w:bCs/>
          <w:lang w:val="pt-BR"/>
        </w:rPr>
        <w:tab/>
      </w:r>
      <w:r w:rsidRPr="0013396E">
        <w:rPr>
          <w:bCs/>
          <w:position w:val="-22"/>
        </w:rPr>
        <w:object w:dxaOrig="225" w:dyaOrig="450" w14:anchorId="21CD1BB8">
          <v:shape id="_x0000_i1200" type="#_x0000_t75" style="width:12pt;height:24pt" o:ole="">
            <v:imagedata r:id="rId255" o:title=""/>
          </v:shape>
          <o:OLEObject Type="Embed" ProgID="Equation.3" ShapeID="_x0000_i1200" DrawAspect="Content" ObjectID="_1836311478" r:id="rId257"/>
        </w:object>
      </w:r>
      <w:r w:rsidRPr="0013396E">
        <w:rPr>
          <w:bCs/>
          <w:lang w:val="pt-BR"/>
        </w:rPr>
        <w:t xml:space="preserve"> (Max (0, EBP </w:t>
      </w:r>
      <w:r w:rsidRPr="0013396E">
        <w:rPr>
          <w:bCs/>
          <w:i/>
          <w:vertAlign w:val="subscript"/>
          <w:lang w:val="pt-BR"/>
        </w:rPr>
        <w:t>q, r, p, y</w:t>
      </w:r>
      <w:r w:rsidRPr="0013396E">
        <w:rPr>
          <w:bCs/>
          <w:lang w:val="pt-BR"/>
        </w:rPr>
        <w:t xml:space="preserve">) * TLMP </w:t>
      </w:r>
      <w:r w:rsidRPr="0013396E">
        <w:rPr>
          <w:bCs/>
          <w:i/>
          <w:vertAlign w:val="subscript"/>
          <w:lang w:val="pt-BR"/>
        </w:rPr>
        <w:t>y</w:t>
      </w:r>
      <w:r w:rsidRPr="0013396E">
        <w:rPr>
          <w:bCs/>
          <w:lang w:val="pt-BR"/>
        </w:rPr>
        <w:t xml:space="preserve"> / 3600)</w:t>
      </w:r>
    </w:p>
    <w:p w14:paraId="37051198" w14:textId="77777777" w:rsidR="00C236A2" w:rsidRPr="0013396E" w:rsidRDefault="00C236A2" w:rsidP="00C236A2">
      <w:pPr>
        <w:tabs>
          <w:tab w:val="left" w:pos="2340"/>
          <w:tab w:val="left" w:pos="2880"/>
        </w:tabs>
        <w:spacing w:after="240"/>
        <w:ind w:left="720"/>
        <w:rPr>
          <w:bCs/>
          <w:lang w:val="pt-BR"/>
        </w:rPr>
      </w:pPr>
      <w:r w:rsidRPr="0013396E">
        <w:rPr>
          <w:bCs/>
          <w:lang w:val="pt-BR"/>
        </w:rPr>
        <w:t>If any EBP &lt; 0 then:</w:t>
      </w:r>
    </w:p>
    <w:p w14:paraId="5880CE22" w14:textId="77777777" w:rsidR="00C236A2" w:rsidRPr="0013396E" w:rsidRDefault="00C236A2" w:rsidP="00C236A2">
      <w:pPr>
        <w:tabs>
          <w:tab w:val="left" w:pos="2340"/>
          <w:tab w:val="left" w:pos="2880"/>
        </w:tabs>
        <w:spacing w:after="240"/>
        <w:ind w:left="720"/>
        <w:rPr>
          <w:bCs/>
          <w:lang w:val="pt-BR"/>
        </w:rPr>
      </w:pPr>
      <w:r w:rsidRPr="0013396E">
        <w:rPr>
          <w:bCs/>
          <w:lang w:val="pt-BR"/>
        </w:rPr>
        <w:t xml:space="preserve">EMREPRLOAD </w:t>
      </w:r>
      <w:r w:rsidRPr="0013396E">
        <w:rPr>
          <w:bCs/>
          <w:i/>
          <w:vertAlign w:val="subscript"/>
          <w:lang w:val="pt-BR"/>
        </w:rPr>
        <w:t>q, r, p</w:t>
      </w:r>
      <w:r w:rsidRPr="0013396E">
        <w:rPr>
          <w:bCs/>
          <w:lang w:val="pt-BR"/>
        </w:rPr>
        <w:tab/>
      </w:r>
      <w:r w:rsidRPr="0013396E">
        <w:rPr>
          <w:bCs/>
          <w:lang w:val="pt-BR"/>
        </w:rPr>
        <w:tab/>
        <w:t>=</w:t>
      </w:r>
      <w:r w:rsidRPr="0013396E">
        <w:rPr>
          <w:bCs/>
          <w:lang w:val="pt-BR"/>
        </w:rPr>
        <w:tab/>
        <w:t>Max (0, RTSPP</w:t>
      </w:r>
      <w:r w:rsidRPr="0013396E">
        <w:rPr>
          <w:bCs/>
          <w:i/>
          <w:vertAlign w:val="subscript"/>
          <w:lang w:val="pt-BR"/>
        </w:rPr>
        <w:t xml:space="preserve"> p</w:t>
      </w:r>
      <w:r w:rsidRPr="0013396E">
        <w:rPr>
          <w:bCs/>
          <w:lang w:val="pt-BR"/>
        </w:rPr>
        <w:t xml:space="preserve"> – EBPWAPRLOAD </w:t>
      </w:r>
      <w:r w:rsidRPr="0013396E">
        <w:rPr>
          <w:bCs/>
          <w:i/>
          <w:vertAlign w:val="subscript"/>
          <w:lang w:val="pt-BR"/>
        </w:rPr>
        <w:t>q, r, p</w:t>
      </w:r>
      <w:r w:rsidRPr="0013396E">
        <w:rPr>
          <w:bCs/>
          <w:lang w:val="pt-BR"/>
        </w:rPr>
        <w:t>)</w:t>
      </w:r>
    </w:p>
    <w:p w14:paraId="6070C6FD" w14:textId="77777777" w:rsidR="00C236A2" w:rsidRPr="0013396E" w:rsidRDefault="00C236A2" w:rsidP="00C236A2">
      <w:pPr>
        <w:tabs>
          <w:tab w:val="left" w:pos="2340"/>
          <w:tab w:val="left" w:pos="2880"/>
        </w:tabs>
        <w:spacing w:after="240"/>
        <w:ind w:left="720"/>
        <w:rPr>
          <w:b/>
          <w:bCs/>
          <w:sz w:val="32"/>
          <w:szCs w:val="32"/>
          <w:lang w:val="pt-BR"/>
        </w:rPr>
      </w:pPr>
      <w:r w:rsidRPr="0013396E">
        <w:rPr>
          <w:bCs/>
          <w:lang w:val="pt-BR"/>
        </w:rPr>
        <w:t xml:space="preserve">EBPWAPRLOAD </w:t>
      </w:r>
      <w:r w:rsidRPr="0013396E">
        <w:rPr>
          <w:bCs/>
          <w:i/>
          <w:vertAlign w:val="subscript"/>
          <w:lang w:val="pt-BR"/>
        </w:rPr>
        <w:t>q, r, p</w:t>
      </w:r>
      <w:r w:rsidRPr="0013396E">
        <w:rPr>
          <w:bCs/>
          <w:lang w:val="pt-BR"/>
        </w:rPr>
        <w:tab/>
        <w:t>=</w:t>
      </w:r>
      <w:r w:rsidRPr="0013396E">
        <w:rPr>
          <w:bCs/>
          <w:lang w:val="pt-BR"/>
        </w:rPr>
        <w:tab/>
      </w:r>
      <w:r w:rsidRPr="0013396E">
        <w:rPr>
          <w:bCs/>
          <w:position w:val="-22"/>
        </w:rPr>
        <w:object w:dxaOrig="225" w:dyaOrig="450" w14:anchorId="54AD2E1F">
          <v:shape id="_x0000_i1201" type="#_x0000_t75" style="width:12pt;height:24pt" o:ole="">
            <v:imagedata r:id="rId253" o:title=""/>
          </v:shape>
          <o:OLEObject Type="Embed" ProgID="Equation.3" ShapeID="_x0000_i1201" DrawAspect="Content" ObjectID="_1836311479" r:id="rId258"/>
        </w:object>
      </w:r>
      <w:r w:rsidRPr="0013396E">
        <w:rPr>
          <w:bCs/>
          <w:lang w:val="pt-BR"/>
        </w:rPr>
        <w:t xml:space="preserve">(EBPPR </w:t>
      </w:r>
      <w:r w:rsidRPr="0013396E">
        <w:rPr>
          <w:bCs/>
          <w:i/>
          <w:vertAlign w:val="subscript"/>
          <w:lang w:val="pt-BR"/>
        </w:rPr>
        <w:t>q, r, p, y</w:t>
      </w:r>
      <w:r w:rsidRPr="0013396E">
        <w:rPr>
          <w:bCs/>
          <w:lang w:val="pt-BR"/>
        </w:rPr>
        <w:t xml:space="preserve"> * Min (-0.001, EBP </w:t>
      </w:r>
      <w:r w:rsidRPr="0013396E">
        <w:rPr>
          <w:bCs/>
          <w:i/>
          <w:vertAlign w:val="subscript"/>
          <w:lang w:val="pt-BR"/>
        </w:rPr>
        <w:t>q, r, p, y</w:t>
      </w:r>
      <w:r w:rsidRPr="0013396E">
        <w:rPr>
          <w:bCs/>
          <w:lang w:val="pt-BR"/>
        </w:rPr>
        <w:t xml:space="preserve">) * TLMP </w:t>
      </w:r>
      <w:r w:rsidRPr="0013396E">
        <w:rPr>
          <w:bCs/>
          <w:i/>
          <w:vertAlign w:val="subscript"/>
          <w:lang w:val="pt-BR"/>
        </w:rPr>
        <w:t>y</w:t>
      </w:r>
      <w:r w:rsidRPr="0013396E">
        <w:rPr>
          <w:bCs/>
          <w:lang w:val="pt-BR"/>
        </w:rPr>
        <w:t xml:space="preserve">) </w:t>
      </w:r>
      <w:r w:rsidRPr="0013396E">
        <w:rPr>
          <w:b/>
          <w:bCs/>
          <w:sz w:val="32"/>
          <w:szCs w:val="32"/>
          <w:lang w:val="pt-BR"/>
        </w:rPr>
        <w:t>/</w:t>
      </w:r>
    </w:p>
    <w:p w14:paraId="618ED38A" w14:textId="77777777" w:rsidR="00C236A2" w:rsidRPr="0013396E" w:rsidRDefault="00C236A2" w:rsidP="00C236A2">
      <w:pPr>
        <w:tabs>
          <w:tab w:val="left" w:pos="2340"/>
          <w:tab w:val="left" w:pos="2880"/>
        </w:tabs>
        <w:spacing w:after="240"/>
        <w:ind w:left="720"/>
        <w:rPr>
          <w:bCs/>
          <w:lang w:val="es-MX"/>
        </w:rPr>
      </w:pPr>
      <w:r w:rsidRPr="0013396E">
        <w:rPr>
          <w:bCs/>
          <w:lang w:val="pt-BR"/>
        </w:rPr>
        <w:tab/>
      </w:r>
      <w:r w:rsidRPr="0013396E">
        <w:rPr>
          <w:bCs/>
          <w:lang w:val="pt-BR"/>
        </w:rPr>
        <w:tab/>
      </w:r>
      <w:r w:rsidRPr="0013396E">
        <w:rPr>
          <w:bCs/>
          <w:lang w:val="pt-BR"/>
        </w:rPr>
        <w:tab/>
      </w:r>
      <w:r w:rsidRPr="0013396E">
        <w:rPr>
          <w:bCs/>
          <w:lang w:val="pt-BR"/>
        </w:rPr>
        <w:tab/>
      </w:r>
      <w:r w:rsidRPr="0013396E">
        <w:rPr>
          <w:bCs/>
          <w:position w:val="-22"/>
        </w:rPr>
        <w:object w:dxaOrig="225" w:dyaOrig="450" w14:anchorId="12CF31A8">
          <v:shape id="_x0000_i1202" type="#_x0000_t75" style="width:12pt;height:24pt" o:ole="">
            <v:imagedata r:id="rId255" o:title=""/>
          </v:shape>
          <o:OLEObject Type="Embed" ProgID="Equation.3" ShapeID="_x0000_i1202" DrawAspect="Content" ObjectID="_1836311480" r:id="rId259"/>
        </w:object>
      </w:r>
      <w:r w:rsidRPr="0013396E">
        <w:rPr>
          <w:bCs/>
          <w:lang w:val="es-MX"/>
        </w:rPr>
        <w:t>(</w:t>
      </w:r>
      <w:r w:rsidRPr="0013396E">
        <w:rPr>
          <w:bCs/>
          <w:lang w:val="pt-BR"/>
        </w:rPr>
        <w:t xml:space="preserve">Min (-0.001, </w:t>
      </w:r>
      <w:r w:rsidRPr="0013396E">
        <w:rPr>
          <w:bCs/>
          <w:lang w:val="es-MX"/>
        </w:rPr>
        <w:t xml:space="preserve">EBP </w:t>
      </w:r>
      <w:r w:rsidRPr="0013396E">
        <w:rPr>
          <w:bCs/>
          <w:i/>
          <w:vertAlign w:val="subscript"/>
          <w:lang w:val="es-MX"/>
        </w:rPr>
        <w:t>q, r, p, y</w:t>
      </w:r>
      <w:r w:rsidRPr="0013396E">
        <w:rPr>
          <w:bCs/>
          <w:lang w:val="es-MX"/>
        </w:rPr>
        <w:t>)</w:t>
      </w:r>
      <w:r w:rsidRPr="0013396E">
        <w:rPr>
          <w:bCs/>
          <w:i/>
          <w:vertAlign w:val="subscript"/>
          <w:lang w:val="es-MX"/>
        </w:rPr>
        <w:t xml:space="preserve"> </w:t>
      </w:r>
      <w:r w:rsidRPr="0013396E">
        <w:rPr>
          <w:bCs/>
          <w:lang w:val="es-MX"/>
        </w:rPr>
        <w:t>* TLMP</w:t>
      </w:r>
      <w:r w:rsidRPr="0013396E">
        <w:rPr>
          <w:bCs/>
          <w:i/>
          <w:vertAlign w:val="subscript"/>
          <w:lang w:val="es-MX"/>
        </w:rPr>
        <w:t xml:space="preserve"> y</w:t>
      </w:r>
      <w:r w:rsidRPr="0013396E">
        <w:rPr>
          <w:bCs/>
          <w:lang w:val="es-MX"/>
        </w:rPr>
        <w:t>)</w:t>
      </w:r>
    </w:p>
    <w:p w14:paraId="3F564A19" w14:textId="77777777" w:rsidR="00C236A2" w:rsidRPr="0013396E" w:rsidRDefault="00C236A2" w:rsidP="00C236A2">
      <w:pPr>
        <w:tabs>
          <w:tab w:val="left" w:pos="2340"/>
          <w:tab w:val="left" w:pos="2880"/>
        </w:tabs>
        <w:spacing w:after="240"/>
        <w:ind w:left="720"/>
        <w:rPr>
          <w:bCs/>
          <w:lang w:val="es-MX"/>
        </w:rPr>
      </w:pPr>
      <w:r w:rsidRPr="0013396E">
        <w:rPr>
          <w:bCs/>
          <w:lang w:val="pt-BR"/>
        </w:rPr>
        <w:t>EMRELOAD</w:t>
      </w:r>
      <w:r w:rsidRPr="0013396E">
        <w:rPr>
          <w:bCs/>
          <w:lang w:val="es-MX"/>
        </w:rPr>
        <w:t xml:space="preserve"> </w:t>
      </w:r>
      <w:r w:rsidRPr="0013396E">
        <w:rPr>
          <w:bCs/>
          <w:i/>
          <w:vertAlign w:val="subscript"/>
          <w:lang w:val="es-MX"/>
        </w:rPr>
        <w:t>q, r, p</w:t>
      </w:r>
      <w:r w:rsidRPr="0013396E">
        <w:rPr>
          <w:bCs/>
          <w:lang w:val="es-MX"/>
        </w:rPr>
        <w:tab/>
        <w:t>=      Min (0, Max (</w:t>
      </w:r>
      <w:r w:rsidRPr="0013396E">
        <w:rPr>
          <w:bCs/>
          <w:lang w:val="pt-BR"/>
        </w:rPr>
        <w:t>AEBPLOAD</w:t>
      </w:r>
      <w:r w:rsidRPr="0013396E">
        <w:rPr>
          <w:bCs/>
          <w:vertAlign w:val="subscript"/>
          <w:lang w:val="pt-BR"/>
        </w:rPr>
        <w:t xml:space="preserve"> </w:t>
      </w:r>
      <w:r w:rsidRPr="0013396E">
        <w:rPr>
          <w:bCs/>
          <w:i/>
          <w:vertAlign w:val="subscript"/>
          <w:lang w:val="pt-BR"/>
        </w:rPr>
        <w:t>q, r, p</w:t>
      </w:r>
      <w:r w:rsidRPr="0013396E">
        <w:rPr>
          <w:bCs/>
          <w:lang w:val="pt-BR"/>
        </w:rPr>
        <w:t>,</w:t>
      </w:r>
      <w:r w:rsidRPr="0013396E">
        <w:rPr>
          <w:bCs/>
          <w:lang w:val="es-MX"/>
        </w:rPr>
        <w:t xml:space="preserve"> RTCL </w:t>
      </w:r>
      <w:r w:rsidRPr="0013396E">
        <w:rPr>
          <w:bCs/>
          <w:i/>
          <w:vertAlign w:val="subscript"/>
          <w:lang w:val="es-MX"/>
        </w:rPr>
        <w:t>q, r, p</w:t>
      </w:r>
      <w:r w:rsidRPr="0013396E">
        <w:rPr>
          <w:bCs/>
          <w:lang w:val="es-MX"/>
        </w:rPr>
        <w:t xml:space="preserve">) – ¼ * Min (0, BP </w:t>
      </w:r>
      <w:r w:rsidRPr="0013396E">
        <w:rPr>
          <w:bCs/>
          <w:i/>
          <w:vertAlign w:val="subscript"/>
          <w:lang w:val="es-MX"/>
        </w:rPr>
        <w:t>q, r, p</w:t>
      </w:r>
      <w:r w:rsidRPr="0013396E">
        <w:rPr>
          <w:bCs/>
          <w:lang w:val="es-MX"/>
        </w:rPr>
        <w:t>))</w:t>
      </w:r>
    </w:p>
    <w:p w14:paraId="6C65694F" w14:textId="77777777" w:rsidR="00C236A2" w:rsidRPr="0013396E" w:rsidRDefault="00C236A2" w:rsidP="00C236A2">
      <w:pPr>
        <w:tabs>
          <w:tab w:val="left" w:pos="2340"/>
          <w:tab w:val="left" w:pos="2880"/>
        </w:tabs>
        <w:spacing w:after="240"/>
        <w:ind w:left="720"/>
        <w:rPr>
          <w:bCs/>
          <w:lang w:val="pt-BR"/>
        </w:rPr>
      </w:pPr>
      <w:r w:rsidRPr="0013396E">
        <w:rPr>
          <w:bCs/>
          <w:lang w:val="pt-BR"/>
        </w:rPr>
        <w:t>AEBPLOAD</w:t>
      </w:r>
      <w:r w:rsidRPr="0013396E">
        <w:rPr>
          <w:bCs/>
          <w:i/>
          <w:vertAlign w:val="subscript"/>
          <w:lang w:val="pt-BR"/>
        </w:rPr>
        <w:t xml:space="preserve"> q, r, p</w:t>
      </w:r>
      <w:r w:rsidRPr="0013396E">
        <w:rPr>
          <w:bCs/>
          <w:lang w:val="pt-BR"/>
        </w:rPr>
        <w:tab/>
        <w:t>=</w:t>
      </w:r>
      <w:r w:rsidRPr="0013396E">
        <w:rPr>
          <w:bCs/>
          <w:lang w:val="pt-BR"/>
        </w:rPr>
        <w:tab/>
      </w:r>
      <w:r w:rsidRPr="0013396E">
        <w:rPr>
          <w:bCs/>
          <w:position w:val="-22"/>
        </w:rPr>
        <w:object w:dxaOrig="225" w:dyaOrig="450" w14:anchorId="31B0BE11">
          <v:shape id="_x0000_i1203" type="#_x0000_t75" style="width:12pt;height:24pt" o:ole="">
            <v:imagedata r:id="rId255" o:title=""/>
          </v:shape>
          <o:OLEObject Type="Embed" ProgID="Equation.3" ShapeID="_x0000_i1203" DrawAspect="Content" ObjectID="_1836311481" r:id="rId260"/>
        </w:object>
      </w:r>
      <w:r w:rsidRPr="0013396E">
        <w:rPr>
          <w:bCs/>
          <w:lang w:val="pt-BR"/>
        </w:rPr>
        <w:t xml:space="preserve"> (Min (0, EBP </w:t>
      </w:r>
      <w:r w:rsidRPr="0013396E">
        <w:rPr>
          <w:bCs/>
          <w:i/>
          <w:vertAlign w:val="subscript"/>
          <w:lang w:val="pt-BR"/>
        </w:rPr>
        <w:t>q, r, p, y</w:t>
      </w:r>
      <w:r w:rsidRPr="0013396E">
        <w:rPr>
          <w:bCs/>
          <w:lang w:val="pt-BR"/>
        </w:rPr>
        <w:t>) * TLMP</w:t>
      </w:r>
      <w:r w:rsidRPr="0013396E">
        <w:rPr>
          <w:bCs/>
          <w:i/>
          <w:vertAlign w:val="subscript"/>
          <w:lang w:val="pt-BR"/>
        </w:rPr>
        <w:t>y</w:t>
      </w:r>
      <w:r w:rsidRPr="0013396E">
        <w:rPr>
          <w:bCs/>
          <w:lang w:val="pt-BR"/>
        </w:rPr>
        <w:t xml:space="preserve"> / 3600)</w:t>
      </w:r>
    </w:p>
    <w:p w14:paraId="0985FFCD" w14:textId="77777777" w:rsidR="00C236A2" w:rsidRPr="0013396E" w:rsidRDefault="00C236A2" w:rsidP="00C236A2">
      <w:r w:rsidRPr="0013396E">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7"/>
        <w:gridCol w:w="899"/>
        <w:gridCol w:w="6704"/>
      </w:tblGrid>
      <w:tr w:rsidR="00C236A2" w:rsidRPr="0013396E" w14:paraId="436EB66B" w14:textId="77777777" w:rsidTr="0099759E">
        <w:trPr>
          <w:cantSplit/>
          <w:tblHeader/>
        </w:trPr>
        <w:tc>
          <w:tcPr>
            <w:tcW w:w="934" w:type="pct"/>
          </w:tcPr>
          <w:p w14:paraId="74B317F0" w14:textId="77777777" w:rsidR="00C236A2" w:rsidRPr="0013396E" w:rsidRDefault="00C236A2" w:rsidP="0099759E">
            <w:pPr>
              <w:spacing w:after="240"/>
              <w:rPr>
                <w:b/>
                <w:iCs/>
                <w:sz w:val="20"/>
              </w:rPr>
            </w:pPr>
            <w:r w:rsidRPr="0013396E">
              <w:rPr>
                <w:b/>
                <w:iCs/>
                <w:sz w:val="20"/>
              </w:rPr>
              <w:t>Variable</w:t>
            </w:r>
          </w:p>
        </w:tc>
        <w:tc>
          <w:tcPr>
            <w:tcW w:w="481" w:type="pct"/>
          </w:tcPr>
          <w:p w14:paraId="15AA426F" w14:textId="77777777" w:rsidR="00C236A2" w:rsidRPr="0013396E" w:rsidRDefault="00C236A2" w:rsidP="0099759E">
            <w:pPr>
              <w:spacing w:after="240"/>
              <w:rPr>
                <w:b/>
                <w:iCs/>
                <w:sz w:val="20"/>
              </w:rPr>
            </w:pPr>
            <w:r w:rsidRPr="0013396E">
              <w:rPr>
                <w:b/>
                <w:iCs/>
                <w:sz w:val="20"/>
              </w:rPr>
              <w:t>Unit</w:t>
            </w:r>
          </w:p>
        </w:tc>
        <w:tc>
          <w:tcPr>
            <w:tcW w:w="3585" w:type="pct"/>
          </w:tcPr>
          <w:p w14:paraId="3FC353B2" w14:textId="77777777" w:rsidR="00C236A2" w:rsidRPr="0013396E" w:rsidRDefault="00C236A2" w:rsidP="0099759E">
            <w:pPr>
              <w:spacing w:after="240"/>
              <w:rPr>
                <w:b/>
                <w:iCs/>
                <w:sz w:val="20"/>
              </w:rPr>
            </w:pPr>
            <w:r w:rsidRPr="0013396E">
              <w:rPr>
                <w:b/>
                <w:iCs/>
                <w:sz w:val="20"/>
              </w:rPr>
              <w:t>Definition</w:t>
            </w:r>
          </w:p>
        </w:tc>
      </w:tr>
      <w:tr w:rsidR="00C236A2" w:rsidRPr="0013396E" w14:paraId="52E2F8ED" w14:textId="77777777" w:rsidTr="0099759E">
        <w:trPr>
          <w:cantSplit/>
        </w:trPr>
        <w:tc>
          <w:tcPr>
            <w:tcW w:w="934" w:type="pct"/>
          </w:tcPr>
          <w:p w14:paraId="09591026" w14:textId="77777777" w:rsidR="00C236A2" w:rsidRPr="0013396E" w:rsidRDefault="00C236A2" w:rsidP="0099759E">
            <w:pPr>
              <w:spacing w:after="60"/>
              <w:rPr>
                <w:iCs/>
                <w:sz w:val="20"/>
              </w:rPr>
            </w:pPr>
            <w:r w:rsidRPr="0013396E">
              <w:rPr>
                <w:iCs/>
                <w:sz w:val="20"/>
              </w:rPr>
              <w:t xml:space="preserve">EMREAMT </w:t>
            </w:r>
            <w:r w:rsidRPr="0013396E">
              <w:rPr>
                <w:i/>
                <w:iCs/>
                <w:sz w:val="20"/>
                <w:vertAlign w:val="subscript"/>
              </w:rPr>
              <w:t>q, r, p</w:t>
            </w:r>
          </w:p>
        </w:tc>
        <w:tc>
          <w:tcPr>
            <w:tcW w:w="481" w:type="pct"/>
          </w:tcPr>
          <w:p w14:paraId="38CD3D26" w14:textId="77777777" w:rsidR="00C236A2" w:rsidRPr="0013396E" w:rsidRDefault="00C236A2" w:rsidP="0099759E">
            <w:pPr>
              <w:spacing w:after="60"/>
              <w:rPr>
                <w:iCs/>
                <w:sz w:val="20"/>
              </w:rPr>
            </w:pPr>
            <w:r w:rsidRPr="0013396E">
              <w:rPr>
                <w:iCs/>
                <w:sz w:val="20"/>
              </w:rPr>
              <w:t>$</w:t>
            </w:r>
          </w:p>
        </w:tc>
        <w:tc>
          <w:tcPr>
            <w:tcW w:w="3585" w:type="pct"/>
          </w:tcPr>
          <w:p w14:paraId="34AFAF40" w14:textId="77777777" w:rsidR="00C236A2" w:rsidRPr="0013396E" w:rsidRDefault="00C236A2" w:rsidP="0099759E">
            <w:pPr>
              <w:spacing w:after="60"/>
              <w:rPr>
                <w:iCs/>
                <w:sz w:val="20"/>
              </w:rPr>
            </w:pPr>
            <w:r w:rsidRPr="0013396E">
              <w:rPr>
                <w:i/>
                <w:iCs/>
                <w:sz w:val="20"/>
              </w:rPr>
              <w:t>Emergency Energy Amount per QSE per Settlement Point per Resource</w:t>
            </w:r>
            <w:r w:rsidRPr="0013396E">
              <w:rPr>
                <w:iCs/>
                <w:sz w:val="20"/>
              </w:rPr>
              <w:t xml:space="preserve">—The payment to QSE </w:t>
            </w:r>
            <w:r w:rsidRPr="0013396E">
              <w:rPr>
                <w:i/>
                <w:iCs/>
                <w:sz w:val="20"/>
              </w:rPr>
              <w:t>q</w:t>
            </w:r>
            <w:r w:rsidRPr="0013396E">
              <w:rPr>
                <w:iCs/>
                <w:sz w:val="20"/>
              </w:rPr>
              <w:t xml:space="preserve"> as additional compensation for the additional energy or Ancillary Services produced or consumed by Resource </w:t>
            </w:r>
            <w:r w:rsidRPr="0013396E">
              <w:rPr>
                <w:i/>
                <w:iCs/>
                <w:sz w:val="20"/>
              </w:rPr>
              <w:t>r</w:t>
            </w:r>
            <w:r w:rsidRPr="0013396E">
              <w:rPr>
                <w:iCs/>
                <w:sz w:val="20"/>
              </w:rPr>
              <w:t xml:space="preserve"> at Resource Node </w:t>
            </w:r>
            <w:r w:rsidRPr="0013396E">
              <w:rPr>
                <w:i/>
                <w:iCs/>
                <w:sz w:val="20"/>
              </w:rPr>
              <w:t>p</w:t>
            </w:r>
            <w:r w:rsidRPr="0013396E">
              <w:rPr>
                <w:iCs/>
                <w:sz w:val="20"/>
              </w:rPr>
              <w:t xml:space="preserve"> in Real-Time during the Emergency Condition or Watch, for the 15-minute Settlement Interval.  Where for a Combined Cycle Train, the Resource </w:t>
            </w:r>
            <w:r w:rsidRPr="0013396E">
              <w:rPr>
                <w:i/>
                <w:iCs/>
                <w:sz w:val="20"/>
              </w:rPr>
              <w:t xml:space="preserve">r </w:t>
            </w:r>
            <w:r w:rsidRPr="0013396E">
              <w:rPr>
                <w:iCs/>
                <w:sz w:val="20"/>
              </w:rPr>
              <w:t>is the Combined Cycle Train.</w:t>
            </w:r>
          </w:p>
        </w:tc>
      </w:tr>
      <w:tr w:rsidR="00C236A2" w:rsidRPr="0013396E" w14:paraId="7D128C7E" w14:textId="77777777" w:rsidTr="0099759E">
        <w:trPr>
          <w:cantSplit/>
        </w:trPr>
        <w:tc>
          <w:tcPr>
            <w:tcW w:w="934" w:type="pct"/>
          </w:tcPr>
          <w:p w14:paraId="68746B4B" w14:textId="77777777" w:rsidR="00C236A2" w:rsidRPr="0013396E" w:rsidRDefault="00C236A2" w:rsidP="0099759E">
            <w:pPr>
              <w:spacing w:after="60"/>
              <w:rPr>
                <w:iCs/>
                <w:sz w:val="20"/>
              </w:rPr>
            </w:pPr>
            <w:r w:rsidRPr="0013396E">
              <w:rPr>
                <w:iCs/>
                <w:sz w:val="20"/>
              </w:rPr>
              <w:t xml:space="preserve">EMREPRGEN </w:t>
            </w:r>
            <w:r w:rsidRPr="0013396E">
              <w:rPr>
                <w:i/>
                <w:iCs/>
                <w:sz w:val="20"/>
                <w:vertAlign w:val="subscript"/>
              </w:rPr>
              <w:t>q, r, p</w:t>
            </w:r>
          </w:p>
        </w:tc>
        <w:tc>
          <w:tcPr>
            <w:tcW w:w="481" w:type="pct"/>
          </w:tcPr>
          <w:p w14:paraId="55451C39" w14:textId="77777777" w:rsidR="00C236A2" w:rsidRPr="0013396E" w:rsidRDefault="00C236A2" w:rsidP="0099759E">
            <w:pPr>
              <w:spacing w:after="60"/>
              <w:rPr>
                <w:iCs/>
                <w:sz w:val="20"/>
              </w:rPr>
            </w:pPr>
            <w:r w:rsidRPr="0013396E">
              <w:rPr>
                <w:iCs/>
                <w:sz w:val="20"/>
              </w:rPr>
              <w:t>$/MWh</w:t>
            </w:r>
          </w:p>
        </w:tc>
        <w:tc>
          <w:tcPr>
            <w:tcW w:w="3585" w:type="pct"/>
          </w:tcPr>
          <w:p w14:paraId="575899D6" w14:textId="77777777" w:rsidR="00C236A2" w:rsidRPr="0013396E" w:rsidRDefault="00C236A2" w:rsidP="0099759E">
            <w:pPr>
              <w:spacing w:after="60"/>
              <w:rPr>
                <w:i/>
                <w:iCs/>
                <w:sz w:val="20"/>
              </w:rPr>
            </w:pPr>
            <w:r w:rsidRPr="0013396E">
              <w:rPr>
                <w:i/>
                <w:iCs/>
                <w:sz w:val="20"/>
              </w:rPr>
              <w:t>Emergency Energy Price for Generation per QSE per Settlement Point per Resource</w:t>
            </w:r>
            <w:r w:rsidRPr="0013396E">
              <w:rPr>
                <w:iCs/>
                <w:sz w:val="20"/>
              </w:rPr>
              <w:t xml:space="preserve">—The compensation rate for the generation produced by Resource </w:t>
            </w:r>
            <w:r w:rsidRPr="0013396E">
              <w:rPr>
                <w:i/>
                <w:iCs/>
                <w:sz w:val="20"/>
              </w:rPr>
              <w:t>r</w:t>
            </w:r>
            <w:r w:rsidRPr="0013396E">
              <w:rPr>
                <w:iCs/>
                <w:sz w:val="20"/>
              </w:rPr>
              <w:t xml:space="preserve"> at Resource Node </w:t>
            </w:r>
            <w:r w:rsidRPr="0013396E">
              <w:rPr>
                <w:i/>
                <w:iCs/>
                <w:sz w:val="20"/>
              </w:rPr>
              <w:t>p</w:t>
            </w:r>
            <w:r w:rsidRPr="0013396E">
              <w:rPr>
                <w:iCs/>
                <w:sz w:val="20"/>
              </w:rPr>
              <w:t xml:space="preserve"> represented by QSE </w:t>
            </w:r>
            <w:r w:rsidRPr="0013396E">
              <w:rPr>
                <w:i/>
                <w:iCs/>
                <w:sz w:val="20"/>
              </w:rPr>
              <w:t>q</w:t>
            </w:r>
            <w:r w:rsidRPr="0013396E">
              <w:rPr>
                <w:iCs/>
                <w:sz w:val="20"/>
              </w:rPr>
              <w:t xml:space="preserve"> in Real-Time during the Emergency Condition or Watch, for the 15-minute Settlement Interval.  Where for a Combined Cycle Train, the Resource </w:t>
            </w:r>
            <w:r w:rsidRPr="0013396E">
              <w:rPr>
                <w:i/>
                <w:iCs/>
                <w:sz w:val="20"/>
              </w:rPr>
              <w:t xml:space="preserve">r </w:t>
            </w:r>
            <w:r w:rsidRPr="0013396E">
              <w:rPr>
                <w:iCs/>
                <w:sz w:val="20"/>
              </w:rPr>
              <w:t>is the Combined Cycle Train.</w:t>
            </w:r>
          </w:p>
        </w:tc>
      </w:tr>
      <w:tr w:rsidR="00C236A2" w:rsidRPr="0013396E" w14:paraId="0F7768E8" w14:textId="77777777" w:rsidTr="0099759E">
        <w:trPr>
          <w:cantSplit/>
        </w:trPr>
        <w:tc>
          <w:tcPr>
            <w:tcW w:w="934" w:type="pct"/>
          </w:tcPr>
          <w:p w14:paraId="4BA4B13D" w14:textId="77777777" w:rsidR="00C236A2" w:rsidRPr="0013396E" w:rsidRDefault="00C236A2" w:rsidP="0099759E">
            <w:pPr>
              <w:spacing w:after="60"/>
              <w:rPr>
                <w:iCs/>
                <w:sz w:val="20"/>
              </w:rPr>
            </w:pPr>
            <w:r w:rsidRPr="0013396E">
              <w:rPr>
                <w:iCs/>
                <w:sz w:val="20"/>
              </w:rPr>
              <w:t xml:space="preserve">EMREPRLOAD </w:t>
            </w:r>
            <w:r w:rsidRPr="0013396E">
              <w:rPr>
                <w:i/>
                <w:iCs/>
                <w:sz w:val="20"/>
                <w:vertAlign w:val="subscript"/>
              </w:rPr>
              <w:t>q, r, p</w:t>
            </w:r>
          </w:p>
        </w:tc>
        <w:tc>
          <w:tcPr>
            <w:tcW w:w="481" w:type="pct"/>
          </w:tcPr>
          <w:p w14:paraId="0830478E" w14:textId="77777777" w:rsidR="00C236A2" w:rsidRPr="0013396E" w:rsidRDefault="00C236A2" w:rsidP="0099759E">
            <w:pPr>
              <w:spacing w:after="60"/>
              <w:rPr>
                <w:iCs/>
                <w:sz w:val="20"/>
              </w:rPr>
            </w:pPr>
            <w:r w:rsidRPr="0013396E">
              <w:rPr>
                <w:iCs/>
                <w:sz w:val="20"/>
              </w:rPr>
              <w:t>$/MWh</w:t>
            </w:r>
          </w:p>
        </w:tc>
        <w:tc>
          <w:tcPr>
            <w:tcW w:w="3585" w:type="pct"/>
          </w:tcPr>
          <w:p w14:paraId="3F35D69F" w14:textId="77777777" w:rsidR="00C236A2" w:rsidRPr="0013396E" w:rsidRDefault="00C236A2" w:rsidP="0099759E">
            <w:pPr>
              <w:spacing w:after="60"/>
              <w:rPr>
                <w:iCs/>
                <w:sz w:val="20"/>
              </w:rPr>
            </w:pPr>
            <w:r w:rsidRPr="0013396E">
              <w:rPr>
                <w:i/>
                <w:iCs/>
                <w:sz w:val="20"/>
              </w:rPr>
              <w:t>Emergency Energy Price for Charging Load per QSE per Settlement Point per Resource</w:t>
            </w:r>
            <w:r w:rsidRPr="0013396E">
              <w:rPr>
                <w:iCs/>
                <w:sz w:val="20"/>
              </w:rPr>
              <w:t xml:space="preserve">—The compensation rate for the charging load for Resource </w:t>
            </w:r>
            <w:r w:rsidRPr="0013396E">
              <w:rPr>
                <w:i/>
                <w:iCs/>
                <w:sz w:val="20"/>
              </w:rPr>
              <w:t>r</w:t>
            </w:r>
            <w:r w:rsidRPr="0013396E">
              <w:rPr>
                <w:iCs/>
                <w:sz w:val="20"/>
              </w:rPr>
              <w:t xml:space="preserve"> at Resource Node </w:t>
            </w:r>
            <w:r w:rsidRPr="0013396E">
              <w:rPr>
                <w:i/>
                <w:iCs/>
                <w:sz w:val="20"/>
              </w:rPr>
              <w:t>p</w:t>
            </w:r>
            <w:r w:rsidRPr="0013396E">
              <w:rPr>
                <w:iCs/>
                <w:sz w:val="20"/>
              </w:rPr>
              <w:t xml:space="preserve"> represented by QSE </w:t>
            </w:r>
            <w:r w:rsidRPr="0013396E">
              <w:rPr>
                <w:i/>
                <w:iCs/>
                <w:sz w:val="20"/>
              </w:rPr>
              <w:t>q</w:t>
            </w:r>
            <w:r w:rsidRPr="0013396E">
              <w:rPr>
                <w:iCs/>
                <w:sz w:val="20"/>
              </w:rPr>
              <w:t xml:space="preserve"> in Real-Time during the Emergency Condition or Watch, for the 15-minute Settlement Interval.</w:t>
            </w:r>
          </w:p>
        </w:tc>
      </w:tr>
      <w:tr w:rsidR="00C236A2" w:rsidRPr="0013396E" w14:paraId="0EC2B417" w14:textId="77777777" w:rsidTr="0099759E">
        <w:trPr>
          <w:cantSplit/>
        </w:trPr>
        <w:tc>
          <w:tcPr>
            <w:tcW w:w="934" w:type="pct"/>
          </w:tcPr>
          <w:p w14:paraId="73004945" w14:textId="77777777" w:rsidR="00C236A2" w:rsidRPr="0013396E" w:rsidRDefault="00C236A2" w:rsidP="0099759E">
            <w:pPr>
              <w:spacing w:after="60"/>
              <w:rPr>
                <w:iCs/>
                <w:sz w:val="20"/>
              </w:rPr>
            </w:pPr>
            <w:r w:rsidRPr="0013396E">
              <w:rPr>
                <w:iCs/>
                <w:sz w:val="20"/>
              </w:rPr>
              <w:lastRenderedPageBreak/>
              <w:t xml:space="preserve">EMREGEN </w:t>
            </w:r>
            <w:r w:rsidRPr="0013396E">
              <w:rPr>
                <w:i/>
                <w:iCs/>
                <w:sz w:val="20"/>
                <w:vertAlign w:val="subscript"/>
              </w:rPr>
              <w:t>q, r, p</w:t>
            </w:r>
          </w:p>
        </w:tc>
        <w:tc>
          <w:tcPr>
            <w:tcW w:w="481" w:type="pct"/>
          </w:tcPr>
          <w:p w14:paraId="6D07D6B9" w14:textId="77777777" w:rsidR="00C236A2" w:rsidRPr="0013396E" w:rsidRDefault="00C236A2" w:rsidP="0099759E">
            <w:pPr>
              <w:spacing w:after="60"/>
              <w:rPr>
                <w:iCs/>
                <w:sz w:val="20"/>
              </w:rPr>
            </w:pPr>
            <w:r w:rsidRPr="0013396E">
              <w:rPr>
                <w:iCs/>
                <w:sz w:val="20"/>
              </w:rPr>
              <w:t>MWh</w:t>
            </w:r>
          </w:p>
        </w:tc>
        <w:tc>
          <w:tcPr>
            <w:tcW w:w="3585" w:type="pct"/>
          </w:tcPr>
          <w:p w14:paraId="60C55E62" w14:textId="77777777" w:rsidR="00C236A2" w:rsidRPr="0013396E" w:rsidRDefault="00C236A2" w:rsidP="0099759E">
            <w:pPr>
              <w:spacing w:after="60"/>
              <w:rPr>
                <w:i/>
                <w:iCs/>
                <w:sz w:val="20"/>
              </w:rPr>
            </w:pPr>
            <w:r w:rsidRPr="0013396E">
              <w:rPr>
                <w:i/>
                <w:iCs/>
                <w:sz w:val="20"/>
              </w:rPr>
              <w:t>Emergency Energy for Generation per QSE per Settlement Point per Resource</w:t>
            </w:r>
            <w:r w:rsidRPr="0013396E">
              <w:rPr>
                <w:iCs/>
                <w:sz w:val="20"/>
              </w:rPr>
              <w:t xml:space="preserve">—The generation produced by Resource </w:t>
            </w:r>
            <w:r w:rsidRPr="0013396E">
              <w:rPr>
                <w:i/>
                <w:iCs/>
                <w:sz w:val="20"/>
              </w:rPr>
              <w:t>r</w:t>
            </w:r>
            <w:r w:rsidRPr="0013396E">
              <w:rPr>
                <w:iCs/>
                <w:sz w:val="20"/>
              </w:rPr>
              <w:t xml:space="preserve"> at Resource Node </w:t>
            </w:r>
            <w:r w:rsidRPr="0013396E">
              <w:rPr>
                <w:i/>
                <w:iCs/>
                <w:sz w:val="20"/>
              </w:rPr>
              <w:t>p</w:t>
            </w:r>
            <w:r w:rsidRPr="0013396E">
              <w:rPr>
                <w:iCs/>
                <w:sz w:val="20"/>
              </w:rPr>
              <w:t xml:space="preserve"> represented by QSE </w:t>
            </w:r>
            <w:r w:rsidRPr="0013396E">
              <w:rPr>
                <w:i/>
                <w:iCs/>
                <w:sz w:val="20"/>
              </w:rPr>
              <w:t>q</w:t>
            </w:r>
            <w:r w:rsidRPr="0013396E">
              <w:rPr>
                <w:iCs/>
                <w:sz w:val="20"/>
              </w:rPr>
              <w:t xml:space="preserve"> in Real-Time during the Emergency Condition or Watch, for the 15-minute Settlement Interval.  Where for a Combined Cycle Train, the Resource </w:t>
            </w:r>
            <w:r w:rsidRPr="0013396E">
              <w:rPr>
                <w:i/>
                <w:iCs/>
                <w:sz w:val="20"/>
              </w:rPr>
              <w:t xml:space="preserve">r </w:t>
            </w:r>
            <w:r w:rsidRPr="0013396E">
              <w:rPr>
                <w:iCs/>
                <w:sz w:val="20"/>
              </w:rPr>
              <w:t>is the Combined Cycle Train.</w:t>
            </w:r>
          </w:p>
        </w:tc>
      </w:tr>
      <w:tr w:rsidR="00C236A2" w:rsidRPr="0013396E" w14:paraId="5B7029FA" w14:textId="77777777" w:rsidTr="0099759E">
        <w:trPr>
          <w:cantSplit/>
        </w:trPr>
        <w:tc>
          <w:tcPr>
            <w:tcW w:w="934" w:type="pct"/>
          </w:tcPr>
          <w:p w14:paraId="5E838BB4" w14:textId="77777777" w:rsidR="00C236A2" w:rsidRPr="0013396E" w:rsidRDefault="00C236A2" w:rsidP="0099759E">
            <w:pPr>
              <w:spacing w:after="60"/>
              <w:rPr>
                <w:iCs/>
                <w:sz w:val="20"/>
              </w:rPr>
            </w:pPr>
            <w:r w:rsidRPr="0013396E">
              <w:rPr>
                <w:iCs/>
                <w:sz w:val="20"/>
              </w:rPr>
              <w:t xml:space="preserve">EMRELOAD </w:t>
            </w:r>
            <w:r w:rsidRPr="0013396E">
              <w:rPr>
                <w:i/>
                <w:iCs/>
                <w:sz w:val="20"/>
                <w:vertAlign w:val="subscript"/>
              </w:rPr>
              <w:t>q, r, p</w:t>
            </w:r>
          </w:p>
        </w:tc>
        <w:tc>
          <w:tcPr>
            <w:tcW w:w="481" w:type="pct"/>
          </w:tcPr>
          <w:p w14:paraId="77935ED1" w14:textId="77777777" w:rsidR="00C236A2" w:rsidRPr="0013396E" w:rsidRDefault="00C236A2" w:rsidP="0099759E">
            <w:pPr>
              <w:spacing w:after="60"/>
              <w:rPr>
                <w:iCs/>
                <w:sz w:val="20"/>
              </w:rPr>
            </w:pPr>
            <w:r w:rsidRPr="0013396E">
              <w:rPr>
                <w:iCs/>
                <w:sz w:val="20"/>
              </w:rPr>
              <w:t>MWh</w:t>
            </w:r>
          </w:p>
        </w:tc>
        <w:tc>
          <w:tcPr>
            <w:tcW w:w="3585" w:type="pct"/>
          </w:tcPr>
          <w:p w14:paraId="6BA95D60" w14:textId="77777777" w:rsidR="00C236A2" w:rsidRPr="0013396E" w:rsidRDefault="00C236A2" w:rsidP="0099759E">
            <w:pPr>
              <w:spacing w:after="60"/>
              <w:rPr>
                <w:i/>
                <w:iCs/>
                <w:sz w:val="20"/>
              </w:rPr>
            </w:pPr>
            <w:r w:rsidRPr="0013396E">
              <w:rPr>
                <w:i/>
                <w:iCs/>
                <w:sz w:val="20"/>
              </w:rPr>
              <w:t>Emergency Energy for Charging Load per QSE per Settlement Point per Resource</w:t>
            </w:r>
            <w:r w:rsidRPr="0013396E">
              <w:rPr>
                <w:iCs/>
                <w:sz w:val="20"/>
              </w:rPr>
              <w:t xml:space="preserve">—The charging load for Resource </w:t>
            </w:r>
            <w:r w:rsidRPr="0013396E">
              <w:rPr>
                <w:i/>
                <w:iCs/>
                <w:sz w:val="20"/>
              </w:rPr>
              <w:t>r</w:t>
            </w:r>
            <w:r w:rsidRPr="0013396E">
              <w:rPr>
                <w:iCs/>
                <w:sz w:val="20"/>
              </w:rPr>
              <w:t xml:space="preserve"> at Resource Node </w:t>
            </w:r>
            <w:r w:rsidRPr="0013396E">
              <w:rPr>
                <w:i/>
                <w:iCs/>
                <w:sz w:val="20"/>
              </w:rPr>
              <w:t>p</w:t>
            </w:r>
            <w:r w:rsidRPr="0013396E">
              <w:rPr>
                <w:iCs/>
                <w:sz w:val="20"/>
              </w:rPr>
              <w:t xml:space="preserve"> represented by QSE </w:t>
            </w:r>
            <w:r w:rsidRPr="0013396E">
              <w:rPr>
                <w:i/>
                <w:iCs/>
                <w:sz w:val="20"/>
              </w:rPr>
              <w:t>q</w:t>
            </w:r>
            <w:r w:rsidRPr="0013396E">
              <w:rPr>
                <w:iCs/>
                <w:sz w:val="20"/>
              </w:rPr>
              <w:t xml:space="preserve"> in Real-Time during the Emergency Condition or Watch, for the 15-minute Settlement Interval.</w:t>
            </w:r>
          </w:p>
        </w:tc>
      </w:tr>
      <w:tr w:rsidR="00C236A2" w:rsidRPr="0013396E" w14:paraId="1EDED8A4" w14:textId="77777777" w:rsidTr="0099759E">
        <w:trPr>
          <w:cantSplit/>
        </w:trPr>
        <w:tc>
          <w:tcPr>
            <w:tcW w:w="934" w:type="pct"/>
          </w:tcPr>
          <w:p w14:paraId="790750A1" w14:textId="77777777" w:rsidR="00C236A2" w:rsidRPr="0013396E" w:rsidRDefault="00C236A2" w:rsidP="0099759E">
            <w:pPr>
              <w:spacing w:after="60"/>
              <w:rPr>
                <w:iCs/>
                <w:sz w:val="20"/>
              </w:rPr>
            </w:pPr>
            <w:r w:rsidRPr="0013396E">
              <w:rPr>
                <w:iCs/>
                <w:sz w:val="20"/>
              </w:rPr>
              <w:t xml:space="preserve">EBPWAPRGEN </w:t>
            </w:r>
            <w:r w:rsidRPr="0013396E">
              <w:rPr>
                <w:i/>
                <w:iCs/>
                <w:sz w:val="20"/>
                <w:vertAlign w:val="subscript"/>
              </w:rPr>
              <w:t>q, r, p</w:t>
            </w:r>
          </w:p>
        </w:tc>
        <w:tc>
          <w:tcPr>
            <w:tcW w:w="481" w:type="pct"/>
          </w:tcPr>
          <w:p w14:paraId="28AD3783" w14:textId="77777777" w:rsidR="00C236A2" w:rsidRPr="0013396E" w:rsidRDefault="00C236A2" w:rsidP="0099759E">
            <w:pPr>
              <w:spacing w:after="60"/>
              <w:rPr>
                <w:iCs/>
                <w:sz w:val="20"/>
              </w:rPr>
            </w:pPr>
            <w:r w:rsidRPr="0013396E">
              <w:rPr>
                <w:iCs/>
                <w:sz w:val="20"/>
              </w:rPr>
              <w:t>$/MWh</w:t>
            </w:r>
          </w:p>
        </w:tc>
        <w:tc>
          <w:tcPr>
            <w:tcW w:w="3585" w:type="pct"/>
          </w:tcPr>
          <w:p w14:paraId="18375C5B" w14:textId="77777777" w:rsidR="00C236A2" w:rsidRPr="0013396E" w:rsidRDefault="00C236A2" w:rsidP="0099759E">
            <w:pPr>
              <w:spacing w:after="60"/>
              <w:rPr>
                <w:i/>
                <w:iCs/>
                <w:sz w:val="20"/>
              </w:rPr>
            </w:pPr>
            <w:r w:rsidRPr="0013396E">
              <w:rPr>
                <w:i/>
                <w:iCs/>
                <w:sz w:val="20"/>
              </w:rPr>
              <w:t>Emergency Base Point Weighted Average Price for Generation per QSE per Settlement Point per Resource</w:t>
            </w:r>
            <w:r w:rsidRPr="0013396E">
              <w:rPr>
                <w:iCs/>
                <w:sz w:val="20"/>
              </w:rPr>
              <w:t xml:space="preserve">—The weighted average of the Emergency Base Point Prices corresponding with the positive Emergency Base Points, for Resource </w:t>
            </w:r>
            <w:r w:rsidRPr="0013396E">
              <w:rPr>
                <w:i/>
                <w:iCs/>
                <w:sz w:val="20"/>
              </w:rPr>
              <w:t>r</w:t>
            </w:r>
            <w:r w:rsidRPr="0013396E">
              <w:rPr>
                <w:iCs/>
                <w:sz w:val="20"/>
              </w:rPr>
              <w:t xml:space="preserve"> at Resource Node </w:t>
            </w:r>
            <w:r w:rsidRPr="0013396E">
              <w:rPr>
                <w:i/>
                <w:iCs/>
                <w:sz w:val="20"/>
              </w:rPr>
              <w:t>p</w:t>
            </w:r>
            <w:r w:rsidRPr="0013396E">
              <w:rPr>
                <w:iCs/>
                <w:sz w:val="20"/>
              </w:rPr>
              <w:t xml:space="preserve"> represented by QSE </w:t>
            </w:r>
            <w:r w:rsidRPr="0013396E">
              <w:rPr>
                <w:i/>
                <w:iCs/>
                <w:sz w:val="20"/>
              </w:rPr>
              <w:t>q</w:t>
            </w:r>
            <w:r w:rsidRPr="0013396E">
              <w:rPr>
                <w:iCs/>
                <w:sz w:val="20"/>
              </w:rPr>
              <w:t xml:space="preserve">, for the 15-minute Settlement Interval.  Where for a Combined Cycle Train, the Resource </w:t>
            </w:r>
            <w:r w:rsidRPr="0013396E">
              <w:rPr>
                <w:i/>
                <w:iCs/>
                <w:sz w:val="20"/>
              </w:rPr>
              <w:t xml:space="preserve">r </w:t>
            </w:r>
            <w:r w:rsidRPr="0013396E">
              <w:rPr>
                <w:iCs/>
                <w:sz w:val="20"/>
              </w:rPr>
              <w:t>is the Combined Cycle Train.</w:t>
            </w:r>
          </w:p>
        </w:tc>
      </w:tr>
      <w:tr w:rsidR="00C236A2" w:rsidRPr="0013396E" w14:paraId="056E6D7A" w14:textId="77777777" w:rsidTr="0099759E">
        <w:trPr>
          <w:cantSplit/>
        </w:trPr>
        <w:tc>
          <w:tcPr>
            <w:tcW w:w="934" w:type="pct"/>
          </w:tcPr>
          <w:p w14:paraId="6629CD4A" w14:textId="77777777" w:rsidR="00C236A2" w:rsidRPr="0013396E" w:rsidRDefault="00C236A2" w:rsidP="0099759E">
            <w:pPr>
              <w:spacing w:after="60"/>
              <w:rPr>
                <w:iCs/>
                <w:sz w:val="20"/>
              </w:rPr>
            </w:pPr>
            <w:r w:rsidRPr="0013396E">
              <w:rPr>
                <w:iCs/>
                <w:sz w:val="20"/>
              </w:rPr>
              <w:t xml:space="preserve">EBPWAPRLOAD </w:t>
            </w:r>
            <w:r w:rsidRPr="0013396E">
              <w:rPr>
                <w:i/>
                <w:iCs/>
                <w:sz w:val="20"/>
                <w:vertAlign w:val="subscript"/>
              </w:rPr>
              <w:t>q, r, p</w:t>
            </w:r>
          </w:p>
        </w:tc>
        <w:tc>
          <w:tcPr>
            <w:tcW w:w="481" w:type="pct"/>
          </w:tcPr>
          <w:p w14:paraId="6CB5752F" w14:textId="77777777" w:rsidR="00C236A2" w:rsidRPr="0013396E" w:rsidRDefault="00C236A2" w:rsidP="0099759E">
            <w:pPr>
              <w:spacing w:after="60"/>
              <w:rPr>
                <w:iCs/>
                <w:sz w:val="20"/>
              </w:rPr>
            </w:pPr>
            <w:r w:rsidRPr="0013396E">
              <w:rPr>
                <w:iCs/>
                <w:sz w:val="20"/>
              </w:rPr>
              <w:t>$/MWh</w:t>
            </w:r>
          </w:p>
        </w:tc>
        <w:tc>
          <w:tcPr>
            <w:tcW w:w="3585" w:type="pct"/>
          </w:tcPr>
          <w:p w14:paraId="085D7C19" w14:textId="77777777" w:rsidR="00C236A2" w:rsidRPr="0013396E" w:rsidRDefault="00C236A2" w:rsidP="0099759E">
            <w:pPr>
              <w:spacing w:after="60"/>
              <w:rPr>
                <w:i/>
                <w:iCs/>
                <w:sz w:val="20"/>
              </w:rPr>
            </w:pPr>
            <w:r w:rsidRPr="0013396E">
              <w:rPr>
                <w:i/>
                <w:iCs/>
                <w:sz w:val="20"/>
              </w:rPr>
              <w:t>Emergency Base Point Weighted Average Price for Charging Load per QSE per Settlement Point per Resource</w:t>
            </w:r>
            <w:r w:rsidRPr="0013396E">
              <w:rPr>
                <w:iCs/>
                <w:sz w:val="20"/>
              </w:rPr>
              <w:t xml:space="preserve">—The weighted average of the Emergency Base Point Prices corresponding with the negative Emergency Base Points, for Resource </w:t>
            </w:r>
            <w:r w:rsidRPr="0013396E">
              <w:rPr>
                <w:i/>
                <w:iCs/>
                <w:sz w:val="20"/>
              </w:rPr>
              <w:t>r</w:t>
            </w:r>
            <w:r w:rsidRPr="0013396E">
              <w:rPr>
                <w:iCs/>
                <w:sz w:val="20"/>
              </w:rPr>
              <w:t xml:space="preserve"> at Resource Node </w:t>
            </w:r>
            <w:r w:rsidRPr="0013396E">
              <w:rPr>
                <w:i/>
                <w:iCs/>
                <w:sz w:val="20"/>
              </w:rPr>
              <w:t>p</w:t>
            </w:r>
            <w:r w:rsidRPr="0013396E">
              <w:rPr>
                <w:iCs/>
                <w:sz w:val="20"/>
              </w:rPr>
              <w:t xml:space="preserve"> represented by QSE </w:t>
            </w:r>
            <w:r w:rsidRPr="0013396E">
              <w:rPr>
                <w:i/>
                <w:iCs/>
                <w:sz w:val="20"/>
              </w:rPr>
              <w:t>q</w:t>
            </w:r>
            <w:r w:rsidRPr="0013396E">
              <w:rPr>
                <w:iCs/>
                <w:sz w:val="20"/>
              </w:rPr>
              <w:t>, for the 15-minute Settlement Interval.</w:t>
            </w:r>
          </w:p>
        </w:tc>
      </w:tr>
      <w:tr w:rsidR="00C236A2" w:rsidRPr="0013396E" w14:paraId="1E983A30" w14:textId="77777777" w:rsidTr="0099759E">
        <w:trPr>
          <w:cantSplit/>
        </w:trPr>
        <w:tc>
          <w:tcPr>
            <w:tcW w:w="934" w:type="pct"/>
          </w:tcPr>
          <w:p w14:paraId="786AA31B" w14:textId="77777777" w:rsidR="00C236A2" w:rsidRPr="0013396E" w:rsidRDefault="00C236A2" w:rsidP="0099759E">
            <w:pPr>
              <w:spacing w:after="60"/>
              <w:rPr>
                <w:iCs/>
                <w:sz w:val="20"/>
              </w:rPr>
            </w:pPr>
            <w:r w:rsidRPr="0013396E">
              <w:rPr>
                <w:iCs/>
                <w:sz w:val="20"/>
              </w:rPr>
              <w:t xml:space="preserve">BP </w:t>
            </w:r>
            <w:r w:rsidRPr="0013396E">
              <w:rPr>
                <w:i/>
                <w:iCs/>
                <w:sz w:val="20"/>
                <w:vertAlign w:val="subscript"/>
              </w:rPr>
              <w:t>q, r, p</w:t>
            </w:r>
          </w:p>
        </w:tc>
        <w:tc>
          <w:tcPr>
            <w:tcW w:w="481" w:type="pct"/>
          </w:tcPr>
          <w:p w14:paraId="2E002F15" w14:textId="77777777" w:rsidR="00C236A2" w:rsidRPr="0013396E" w:rsidRDefault="00C236A2" w:rsidP="0099759E">
            <w:pPr>
              <w:spacing w:after="60"/>
              <w:rPr>
                <w:iCs/>
                <w:sz w:val="20"/>
              </w:rPr>
            </w:pPr>
            <w:r w:rsidRPr="0013396E">
              <w:rPr>
                <w:iCs/>
                <w:sz w:val="20"/>
              </w:rPr>
              <w:t>MW</w:t>
            </w:r>
          </w:p>
        </w:tc>
        <w:tc>
          <w:tcPr>
            <w:tcW w:w="3585" w:type="pct"/>
          </w:tcPr>
          <w:p w14:paraId="581AFE3C" w14:textId="77777777" w:rsidR="00C236A2" w:rsidRPr="0013396E" w:rsidRDefault="00C236A2" w:rsidP="0099759E">
            <w:pPr>
              <w:spacing w:after="60"/>
              <w:rPr>
                <w:iCs/>
                <w:sz w:val="20"/>
              </w:rPr>
            </w:pPr>
            <w:r w:rsidRPr="0013396E">
              <w:rPr>
                <w:i/>
                <w:iCs/>
                <w:sz w:val="20"/>
              </w:rPr>
              <w:t>Base Point per QSE per Settlement Point per Resource</w:t>
            </w:r>
            <w:r w:rsidRPr="0013396E">
              <w:rPr>
                <w:iCs/>
                <w:sz w:val="20"/>
              </w:rPr>
              <w:t xml:space="preserve">—The Base Point of Resource </w:t>
            </w:r>
            <w:r w:rsidRPr="0013396E">
              <w:rPr>
                <w:i/>
                <w:iCs/>
                <w:sz w:val="20"/>
              </w:rPr>
              <w:t>r</w:t>
            </w:r>
            <w:r w:rsidRPr="0013396E">
              <w:rPr>
                <w:iCs/>
                <w:sz w:val="20"/>
              </w:rPr>
              <w:t xml:space="preserve"> at Resource Node </w:t>
            </w:r>
            <w:r w:rsidRPr="0013396E">
              <w:rPr>
                <w:i/>
                <w:iCs/>
                <w:sz w:val="20"/>
              </w:rPr>
              <w:t>p</w:t>
            </w:r>
            <w:r w:rsidRPr="0013396E">
              <w:rPr>
                <w:iCs/>
                <w:sz w:val="20"/>
              </w:rPr>
              <w:t xml:space="preserve"> represented by QSE </w:t>
            </w:r>
            <w:r w:rsidRPr="0013396E">
              <w:rPr>
                <w:i/>
                <w:iCs/>
                <w:sz w:val="20"/>
              </w:rPr>
              <w:t>q</w:t>
            </w:r>
            <w:r w:rsidRPr="0013396E">
              <w:rPr>
                <w:iCs/>
                <w:sz w:val="20"/>
              </w:rPr>
              <w:t xml:space="preserve"> from the SCED prior to the Emergency Condition or Watch.  For a Combined Cycle Train, the Resource </w:t>
            </w:r>
            <w:r w:rsidRPr="0013396E">
              <w:rPr>
                <w:i/>
                <w:iCs/>
                <w:sz w:val="20"/>
              </w:rPr>
              <w:t>r</w:t>
            </w:r>
            <w:r w:rsidRPr="0013396E">
              <w:rPr>
                <w:iCs/>
                <w:sz w:val="20"/>
              </w:rPr>
              <w:t xml:space="preserve"> must be one of the registered Combined Cycle Generation Resources within the Combined Cycle Train.</w:t>
            </w:r>
          </w:p>
        </w:tc>
      </w:tr>
      <w:tr w:rsidR="00C236A2" w:rsidRPr="0013396E" w14:paraId="79B19D5B" w14:textId="77777777" w:rsidTr="0099759E">
        <w:trPr>
          <w:cantSplit/>
        </w:trPr>
        <w:tc>
          <w:tcPr>
            <w:tcW w:w="934" w:type="pct"/>
            <w:tcBorders>
              <w:top w:val="single" w:sz="4" w:space="0" w:color="auto"/>
              <w:left w:val="single" w:sz="4" w:space="0" w:color="auto"/>
              <w:bottom w:val="single" w:sz="4" w:space="0" w:color="auto"/>
              <w:right w:val="single" w:sz="4" w:space="0" w:color="auto"/>
            </w:tcBorders>
          </w:tcPr>
          <w:p w14:paraId="50FCF69D" w14:textId="77777777" w:rsidR="00C236A2" w:rsidRPr="0013396E" w:rsidRDefault="00C236A2" w:rsidP="0099759E">
            <w:pPr>
              <w:spacing w:after="60"/>
              <w:rPr>
                <w:iCs/>
                <w:sz w:val="20"/>
              </w:rPr>
            </w:pPr>
            <w:r w:rsidRPr="0013396E">
              <w:rPr>
                <w:iCs/>
                <w:sz w:val="20"/>
              </w:rPr>
              <w:t>AEBPGEN</w:t>
            </w:r>
            <w:r w:rsidRPr="0013396E">
              <w:rPr>
                <w:iCs/>
                <w:sz w:val="20"/>
                <w:vertAlign w:val="subscript"/>
              </w:rPr>
              <w:t xml:space="preserve"> </w:t>
            </w:r>
            <w:r w:rsidRPr="0013396E">
              <w:rPr>
                <w:i/>
                <w:iCs/>
                <w:sz w:val="20"/>
                <w:vertAlign w:val="subscript"/>
              </w:rPr>
              <w:t>q, r, p</w:t>
            </w:r>
          </w:p>
        </w:tc>
        <w:tc>
          <w:tcPr>
            <w:tcW w:w="481" w:type="pct"/>
            <w:tcBorders>
              <w:top w:val="single" w:sz="4" w:space="0" w:color="auto"/>
              <w:left w:val="single" w:sz="4" w:space="0" w:color="auto"/>
              <w:bottom w:val="single" w:sz="4" w:space="0" w:color="auto"/>
              <w:right w:val="single" w:sz="4" w:space="0" w:color="auto"/>
            </w:tcBorders>
          </w:tcPr>
          <w:p w14:paraId="138DC133" w14:textId="77777777" w:rsidR="00C236A2" w:rsidRPr="0013396E" w:rsidRDefault="00C236A2" w:rsidP="0099759E">
            <w:pPr>
              <w:spacing w:after="60"/>
              <w:rPr>
                <w:iCs/>
                <w:sz w:val="20"/>
              </w:rPr>
            </w:pPr>
            <w:r w:rsidRPr="0013396E">
              <w:rPr>
                <w:iCs/>
                <w:sz w:val="20"/>
              </w:rPr>
              <w:t>MWh</w:t>
            </w:r>
          </w:p>
        </w:tc>
        <w:tc>
          <w:tcPr>
            <w:tcW w:w="3585" w:type="pct"/>
            <w:tcBorders>
              <w:top w:val="single" w:sz="4" w:space="0" w:color="auto"/>
              <w:left w:val="single" w:sz="4" w:space="0" w:color="auto"/>
              <w:bottom w:val="single" w:sz="4" w:space="0" w:color="auto"/>
              <w:right w:val="single" w:sz="4" w:space="0" w:color="auto"/>
            </w:tcBorders>
          </w:tcPr>
          <w:p w14:paraId="4039850A" w14:textId="77777777" w:rsidR="00C236A2" w:rsidRPr="0013396E" w:rsidRDefault="00C236A2" w:rsidP="0099759E">
            <w:pPr>
              <w:spacing w:after="60"/>
              <w:rPr>
                <w:i/>
                <w:iCs/>
                <w:sz w:val="20"/>
              </w:rPr>
            </w:pPr>
            <w:r w:rsidRPr="0013396E">
              <w:rPr>
                <w:i/>
                <w:iCs/>
                <w:sz w:val="20"/>
              </w:rPr>
              <w:t>Aggregated Emergency Base Point for Generation</w:t>
            </w:r>
            <w:r w:rsidRPr="0013396E">
              <w:rPr>
                <w:iCs/>
                <w:sz w:val="20"/>
              </w:rPr>
              <w:t xml:space="preserve">—The aggregation of the positive Emergency Base Points for the Resource </w:t>
            </w:r>
            <w:r w:rsidRPr="0013396E">
              <w:rPr>
                <w:i/>
                <w:iCs/>
                <w:sz w:val="20"/>
              </w:rPr>
              <w:t>r</w:t>
            </w:r>
            <w:r w:rsidRPr="0013396E">
              <w:rPr>
                <w:iCs/>
                <w:sz w:val="20"/>
              </w:rPr>
              <w:t xml:space="preserve"> represented by QSE </w:t>
            </w:r>
            <w:r w:rsidRPr="0013396E">
              <w:rPr>
                <w:i/>
                <w:iCs/>
                <w:sz w:val="20"/>
              </w:rPr>
              <w:t>q</w:t>
            </w:r>
            <w:r w:rsidRPr="0013396E">
              <w:rPr>
                <w:iCs/>
                <w:sz w:val="20"/>
              </w:rPr>
              <w:t>, for the 15-minute Settlement Interval.  Where for a Combined Cycle Train, AEBP is calculated for the Combined Cycle Train considering all emergency Dispatch Instructions to any Combined Cycle Generation Resources within the Combined Cycle Train.</w:t>
            </w:r>
          </w:p>
        </w:tc>
      </w:tr>
      <w:tr w:rsidR="00C236A2" w:rsidRPr="0013396E" w14:paraId="3FEA5ACD" w14:textId="77777777" w:rsidTr="0099759E">
        <w:trPr>
          <w:cantSplit/>
        </w:trPr>
        <w:tc>
          <w:tcPr>
            <w:tcW w:w="934" w:type="pct"/>
            <w:tcBorders>
              <w:top w:val="single" w:sz="4" w:space="0" w:color="auto"/>
              <w:left w:val="single" w:sz="4" w:space="0" w:color="auto"/>
              <w:bottom w:val="single" w:sz="4" w:space="0" w:color="auto"/>
              <w:right w:val="single" w:sz="4" w:space="0" w:color="auto"/>
            </w:tcBorders>
          </w:tcPr>
          <w:p w14:paraId="2DEEAC43" w14:textId="77777777" w:rsidR="00C236A2" w:rsidRPr="0013396E" w:rsidRDefault="00C236A2" w:rsidP="0099759E">
            <w:pPr>
              <w:spacing w:after="60"/>
              <w:rPr>
                <w:iCs/>
                <w:sz w:val="20"/>
              </w:rPr>
            </w:pPr>
            <w:r w:rsidRPr="0013396E">
              <w:rPr>
                <w:iCs/>
                <w:sz w:val="20"/>
              </w:rPr>
              <w:t>AEBPLOAD</w:t>
            </w:r>
            <w:r w:rsidRPr="0013396E">
              <w:rPr>
                <w:iCs/>
                <w:sz w:val="20"/>
                <w:vertAlign w:val="subscript"/>
              </w:rPr>
              <w:t xml:space="preserve"> </w:t>
            </w:r>
            <w:r w:rsidRPr="0013396E">
              <w:rPr>
                <w:i/>
                <w:iCs/>
                <w:sz w:val="20"/>
                <w:vertAlign w:val="subscript"/>
              </w:rPr>
              <w:t>q, r, p</w:t>
            </w:r>
          </w:p>
        </w:tc>
        <w:tc>
          <w:tcPr>
            <w:tcW w:w="481" w:type="pct"/>
            <w:tcBorders>
              <w:top w:val="single" w:sz="4" w:space="0" w:color="auto"/>
              <w:left w:val="single" w:sz="4" w:space="0" w:color="auto"/>
              <w:bottom w:val="single" w:sz="4" w:space="0" w:color="auto"/>
              <w:right w:val="single" w:sz="4" w:space="0" w:color="auto"/>
            </w:tcBorders>
          </w:tcPr>
          <w:p w14:paraId="38535816" w14:textId="77777777" w:rsidR="00C236A2" w:rsidRPr="0013396E" w:rsidRDefault="00C236A2" w:rsidP="0099759E">
            <w:pPr>
              <w:spacing w:after="60"/>
              <w:rPr>
                <w:iCs/>
                <w:sz w:val="20"/>
              </w:rPr>
            </w:pPr>
            <w:r w:rsidRPr="0013396E">
              <w:rPr>
                <w:iCs/>
                <w:sz w:val="20"/>
              </w:rPr>
              <w:t>MWh</w:t>
            </w:r>
          </w:p>
        </w:tc>
        <w:tc>
          <w:tcPr>
            <w:tcW w:w="3585" w:type="pct"/>
            <w:tcBorders>
              <w:top w:val="single" w:sz="4" w:space="0" w:color="auto"/>
              <w:left w:val="single" w:sz="4" w:space="0" w:color="auto"/>
              <w:bottom w:val="single" w:sz="4" w:space="0" w:color="auto"/>
              <w:right w:val="single" w:sz="4" w:space="0" w:color="auto"/>
            </w:tcBorders>
          </w:tcPr>
          <w:p w14:paraId="70672459" w14:textId="77777777" w:rsidR="00C236A2" w:rsidRPr="0013396E" w:rsidRDefault="00C236A2" w:rsidP="0099759E">
            <w:pPr>
              <w:spacing w:after="60"/>
              <w:rPr>
                <w:i/>
                <w:iCs/>
                <w:sz w:val="20"/>
              </w:rPr>
            </w:pPr>
            <w:r w:rsidRPr="0013396E">
              <w:rPr>
                <w:i/>
                <w:iCs/>
                <w:sz w:val="20"/>
              </w:rPr>
              <w:t>Aggregated Emergency Base Point for Charging Load</w:t>
            </w:r>
            <w:r w:rsidRPr="0013396E">
              <w:rPr>
                <w:iCs/>
                <w:sz w:val="20"/>
              </w:rPr>
              <w:t xml:space="preserve">—The aggregation of the negative Emergency Base Points for the Resource </w:t>
            </w:r>
            <w:r w:rsidRPr="0013396E">
              <w:rPr>
                <w:i/>
                <w:iCs/>
                <w:sz w:val="20"/>
              </w:rPr>
              <w:t xml:space="preserve">r </w:t>
            </w:r>
            <w:r w:rsidRPr="0013396E">
              <w:rPr>
                <w:iCs/>
                <w:sz w:val="20"/>
              </w:rPr>
              <w:t xml:space="preserve">represented by QSE </w:t>
            </w:r>
            <w:r w:rsidRPr="0013396E">
              <w:rPr>
                <w:i/>
                <w:iCs/>
                <w:sz w:val="20"/>
              </w:rPr>
              <w:t>q</w:t>
            </w:r>
            <w:r w:rsidRPr="0013396E">
              <w:rPr>
                <w:iCs/>
                <w:sz w:val="20"/>
              </w:rPr>
              <w:t xml:space="preserve">, for the 15-minute Settlement Interval.  </w:t>
            </w:r>
          </w:p>
        </w:tc>
      </w:tr>
      <w:tr w:rsidR="00C236A2" w:rsidRPr="0013396E" w14:paraId="208E0C43" w14:textId="77777777" w:rsidTr="0099759E">
        <w:trPr>
          <w:cantSplit/>
        </w:trPr>
        <w:tc>
          <w:tcPr>
            <w:tcW w:w="934" w:type="pct"/>
          </w:tcPr>
          <w:p w14:paraId="1CAA36AD" w14:textId="77777777" w:rsidR="00C236A2" w:rsidRPr="0013396E" w:rsidRDefault="00C236A2" w:rsidP="0099759E">
            <w:pPr>
              <w:spacing w:after="60"/>
              <w:rPr>
                <w:iCs/>
                <w:sz w:val="20"/>
              </w:rPr>
            </w:pPr>
            <w:r w:rsidRPr="0013396E">
              <w:rPr>
                <w:iCs/>
                <w:sz w:val="20"/>
              </w:rPr>
              <w:t xml:space="preserve">EBP </w:t>
            </w:r>
            <w:r w:rsidRPr="0013396E">
              <w:rPr>
                <w:i/>
                <w:iCs/>
                <w:sz w:val="20"/>
                <w:vertAlign w:val="subscript"/>
              </w:rPr>
              <w:t>q, r, p, y</w:t>
            </w:r>
          </w:p>
        </w:tc>
        <w:tc>
          <w:tcPr>
            <w:tcW w:w="481" w:type="pct"/>
          </w:tcPr>
          <w:p w14:paraId="49005A45" w14:textId="77777777" w:rsidR="00C236A2" w:rsidRPr="0013396E" w:rsidRDefault="00C236A2" w:rsidP="0099759E">
            <w:pPr>
              <w:spacing w:after="60"/>
              <w:rPr>
                <w:iCs/>
                <w:sz w:val="20"/>
              </w:rPr>
            </w:pPr>
            <w:r w:rsidRPr="0013396E">
              <w:rPr>
                <w:iCs/>
                <w:sz w:val="20"/>
              </w:rPr>
              <w:t>MW</w:t>
            </w:r>
          </w:p>
        </w:tc>
        <w:tc>
          <w:tcPr>
            <w:tcW w:w="3585" w:type="pct"/>
          </w:tcPr>
          <w:p w14:paraId="2D93F796" w14:textId="77777777" w:rsidR="00C236A2" w:rsidRPr="0013396E" w:rsidRDefault="00C236A2" w:rsidP="0099759E">
            <w:pPr>
              <w:spacing w:after="60"/>
              <w:rPr>
                <w:iCs/>
                <w:sz w:val="20"/>
              </w:rPr>
            </w:pPr>
            <w:r w:rsidRPr="0013396E">
              <w:rPr>
                <w:i/>
                <w:iCs/>
                <w:sz w:val="20"/>
              </w:rPr>
              <w:t>Emergency Base Point per QSE per Settlement Point per Resource by interval</w:t>
            </w:r>
            <w:r w:rsidRPr="0013396E">
              <w:rPr>
                <w:iCs/>
                <w:sz w:val="20"/>
              </w:rPr>
              <w:t xml:space="preserve">—The Emergency Base Point of Resource </w:t>
            </w:r>
            <w:r w:rsidRPr="0013396E">
              <w:rPr>
                <w:i/>
                <w:iCs/>
                <w:sz w:val="20"/>
              </w:rPr>
              <w:t>r</w:t>
            </w:r>
            <w:r w:rsidRPr="0013396E">
              <w:rPr>
                <w:iCs/>
                <w:sz w:val="20"/>
              </w:rPr>
              <w:t xml:space="preserve"> at Resource Node </w:t>
            </w:r>
            <w:r w:rsidRPr="0013396E">
              <w:rPr>
                <w:i/>
                <w:iCs/>
                <w:sz w:val="20"/>
              </w:rPr>
              <w:t>p</w:t>
            </w:r>
            <w:r w:rsidRPr="0013396E">
              <w:rPr>
                <w:iCs/>
                <w:sz w:val="20"/>
              </w:rPr>
              <w:t xml:space="preserve"> represented by QSE </w:t>
            </w:r>
            <w:r w:rsidRPr="0013396E">
              <w:rPr>
                <w:i/>
                <w:iCs/>
                <w:sz w:val="20"/>
              </w:rPr>
              <w:t>q</w:t>
            </w:r>
            <w:r w:rsidRPr="0013396E">
              <w:rPr>
                <w:iCs/>
                <w:sz w:val="20"/>
              </w:rPr>
              <w:t xml:space="preserve"> for the Emergency Base Point interval or SCED interval</w:t>
            </w:r>
            <w:r w:rsidRPr="0013396E">
              <w:rPr>
                <w:i/>
                <w:iCs/>
                <w:sz w:val="20"/>
              </w:rPr>
              <w:t xml:space="preserve"> y</w:t>
            </w:r>
            <w:r w:rsidRPr="0013396E">
              <w:rPr>
                <w:iCs/>
                <w:sz w:val="20"/>
              </w:rPr>
              <w:t xml:space="preserve">.  If a Base Point instead of an Emergency Base Point is effective during the interval </w:t>
            </w:r>
            <w:r w:rsidRPr="0013396E">
              <w:rPr>
                <w:i/>
                <w:iCs/>
                <w:sz w:val="20"/>
              </w:rPr>
              <w:t>y</w:t>
            </w:r>
            <w:r w:rsidRPr="0013396E">
              <w:rPr>
                <w:iCs/>
                <w:sz w:val="20"/>
              </w:rPr>
              <w:t xml:space="preserve">, its value equals the Base Point.  Where for a Combined Cycle Train, the Resource </w:t>
            </w:r>
            <w:r w:rsidRPr="0013396E">
              <w:rPr>
                <w:i/>
                <w:iCs/>
                <w:sz w:val="20"/>
              </w:rPr>
              <w:t xml:space="preserve">r </w:t>
            </w:r>
            <w:r w:rsidRPr="0013396E">
              <w:rPr>
                <w:iCs/>
                <w:sz w:val="20"/>
              </w:rPr>
              <w:t>is a Combined Cycle Generation Resource within the Combined Cycle Train.</w:t>
            </w:r>
          </w:p>
        </w:tc>
      </w:tr>
      <w:tr w:rsidR="00C236A2" w:rsidRPr="0013396E" w14:paraId="59D787F6" w14:textId="77777777" w:rsidTr="0099759E">
        <w:trPr>
          <w:cantSplit/>
        </w:trPr>
        <w:tc>
          <w:tcPr>
            <w:tcW w:w="934" w:type="pct"/>
          </w:tcPr>
          <w:p w14:paraId="047926DB" w14:textId="77777777" w:rsidR="00C236A2" w:rsidRPr="0013396E" w:rsidRDefault="00C236A2" w:rsidP="0099759E">
            <w:pPr>
              <w:spacing w:after="60"/>
              <w:rPr>
                <w:iCs/>
                <w:sz w:val="20"/>
              </w:rPr>
            </w:pPr>
            <w:r w:rsidRPr="0013396E">
              <w:rPr>
                <w:iCs/>
                <w:sz w:val="20"/>
              </w:rPr>
              <w:t xml:space="preserve">EBPPR </w:t>
            </w:r>
            <w:r w:rsidRPr="0013396E">
              <w:rPr>
                <w:i/>
                <w:iCs/>
                <w:sz w:val="20"/>
                <w:vertAlign w:val="subscript"/>
              </w:rPr>
              <w:t>q, r, p, y</w:t>
            </w:r>
          </w:p>
        </w:tc>
        <w:tc>
          <w:tcPr>
            <w:tcW w:w="481" w:type="pct"/>
          </w:tcPr>
          <w:p w14:paraId="36D46219" w14:textId="77777777" w:rsidR="00C236A2" w:rsidRPr="0013396E" w:rsidRDefault="00C236A2" w:rsidP="0099759E">
            <w:pPr>
              <w:spacing w:after="60"/>
              <w:rPr>
                <w:iCs/>
                <w:sz w:val="20"/>
              </w:rPr>
            </w:pPr>
            <w:r w:rsidRPr="0013396E">
              <w:rPr>
                <w:iCs/>
                <w:sz w:val="20"/>
              </w:rPr>
              <w:t>$/MWh</w:t>
            </w:r>
          </w:p>
        </w:tc>
        <w:tc>
          <w:tcPr>
            <w:tcW w:w="3585" w:type="pct"/>
          </w:tcPr>
          <w:p w14:paraId="0CC417F3" w14:textId="77777777" w:rsidR="00C236A2" w:rsidRPr="0013396E" w:rsidRDefault="00C236A2" w:rsidP="0099759E">
            <w:pPr>
              <w:spacing w:after="60"/>
              <w:rPr>
                <w:iCs/>
                <w:sz w:val="20"/>
              </w:rPr>
            </w:pPr>
            <w:r w:rsidRPr="0013396E">
              <w:rPr>
                <w:i/>
                <w:iCs/>
                <w:sz w:val="20"/>
              </w:rPr>
              <w:t>Emergency Base Point Price per QSE per Settlement Point per Resource by interval</w:t>
            </w:r>
            <w:r w:rsidRPr="0013396E">
              <w:rPr>
                <w:iCs/>
                <w:sz w:val="20"/>
              </w:rPr>
              <w:t xml:space="preserve">—The price on the Energy Offer Curve or Energy Bid/Offer Curve corresponding to the Emergency Base Point for Resource </w:t>
            </w:r>
            <w:r w:rsidRPr="0013396E">
              <w:rPr>
                <w:i/>
                <w:iCs/>
                <w:sz w:val="20"/>
              </w:rPr>
              <w:t>r</w:t>
            </w:r>
            <w:r w:rsidRPr="0013396E">
              <w:rPr>
                <w:iCs/>
                <w:sz w:val="20"/>
              </w:rPr>
              <w:t xml:space="preserve"> at Resource Node </w:t>
            </w:r>
            <w:r w:rsidRPr="0013396E">
              <w:rPr>
                <w:i/>
                <w:iCs/>
                <w:sz w:val="20"/>
              </w:rPr>
              <w:t>p</w:t>
            </w:r>
            <w:r w:rsidRPr="0013396E">
              <w:rPr>
                <w:iCs/>
                <w:sz w:val="20"/>
              </w:rPr>
              <w:t xml:space="preserve"> represented by QSE </w:t>
            </w:r>
            <w:r w:rsidRPr="0013396E">
              <w:rPr>
                <w:i/>
                <w:iCs/>
                <w:sz w:val="20"/>
              </w:rPr>
              <w:t>q</w:t>
            </w:r>
            <w:r w:rsidRPr="0013396E">
              <w:rPr>
                <w:iCs/>
                <w:sz w:val="20"/>
              </w:rPr>
              <w:t xml:space="preserve"> for the Emergency Base Point interval or SCED interval </w:t>
            </w:r>
            <w:r w:rsidRPr="0013396E">
              <w:rPr>
                <w:i/>
                <w:iCs/>
                <w:sz w:val="20"/>
              </w:rPr>
              <w:t>y</w:t>
            </w:r>
            <w:r w:rsidRPr="0013396E">
              <w:rPr>
                <w:iCs/>
                <w:sz w:val="20"/>
              </w:rPr>
              <w:t>.  The Energy Offer Curve shall be capped by the MOC pursuant to Section 4.4.9.4.1, Mitigated Offer Cap</w:t>
            </w:r>
            <w:r w:rsidRPr="0013396E">
              <w:rPr>
                <w:rFonts w:asciiTheme="minorHAnsi" w:eastAsiaTheme="minorHAnsi" w:hAnsiTheme="minorHAnsi" w:cstheme="minorBidi"/>
                <w:sz w:val="22"/>
                <w:szCs w:val="22"/>
              </w:rPr>
              <w:t xml:space="preserve"> </w:t>
            </w:r>
            <w:r w:rsidRPr="0013396E">
              <w:rPr>
                <w:iCs/>
                <w:sz w:val="20"/>
              </w:rPr>
              <w:t xml:space="preserve">and the Energy Bid/Offer Curve shall be capped by the maximum RTSPP at the Settlement Point for the Operating Day, per paragraph (12) of Section 6.6.9.  Where for a Combined Cycle Train, the Resource </w:t>
            </w:r>
            <w:r w:rsidRPr="0013396E">
              <w:rPr>
                <w:i/>
                <w:iCs/>
                <w:sz w:val="20"/>
              </w:rPr>
              <w:t xml:space="preserve">r </w:t>
            </w:r>
            <w:r w:rsidRPr="0013396E">
              <w:rPr>
                <w:iCs/>
                <w:sz w:val="20"/>
              </w:rPr>
              <w:t>is a Combined Cycle Generation Resource within the Combined Cycle Train.</w:t>
            </w:r>
          </w:p>
        </w:tc>
      </w:tr>
      <w:tr w:rsidR="00C236A2" w:rsidRPr="0013396E" w14:paraId="7CFE532B" w14:textId="77777777" w:rsidTr="0099759E">
        <w:trPr>
          <w:cantSplit/>
        </w:trPr>
        <w:tc>
          <w:tcPr>
            <w:tcW w:w="934" w:type="pct"/>
          </w:tcPr>
          <w:p w14:paraId="3C87DB88" w14:textId="77777777" w:rsidR="00C236A2" w:rsidRPr="0013396E" w:rsidRDefault="00C236A2" w:rsidP="0099759E">
            <w:pPr>
              <w:spacing w:after="60"/>
              <w:rPr>
                <w:iCs/>
                <w:sz w:val="20"/>
              </w:rPr>
            </w:pPr>
            <w:r w:rsidRPr="0013396E">
              <w:rPr>
                <w:iCs/>
                <w:sz w:val="20"/>
              </w:rPr>
              <w:lastRenderedPageBreak/>
              <w:t>RTSPP</w:t>
            </w:r>
            <w:r w:rsidRPr="0013396E">
              <w:rPr>
                <w:i/>
                <w:iCs/>
                <w:sz w:val="20"/>
              </w:rPr>
              <w:t xml:space="preserve"> </w:t>
            </w:r>
            <w:r w:rsidRPr="0013396E">
              <w:rPr>
                <w:i/>
                <w:iCs/>
                <w:sz w:val="20"/>
                <w:vertAlign w:val="subscript"/>
              </w:rPr>
              <w:t>p</w:t>
            </w:r>
          </w:p>
        </w:tc>
        <w:tc>
          <w:tcPr>
            <w:tcW w:w="481" w:type="pct"/>
          </w:tcPr>
          <w:p w14:paraId="42FDD137" w14:textId="77777777" w:rsidR="00C236A2" w:rsidRPr="0013396E" w:rsidRDefault="00C236A2" w:rsidP="0099759E">
            <w:pPr>
              <w:spacing w:after="60"/>
              <w:rPr>
                <w:iCs/>
                <w:sz w:val="20"/>
              </w:rPr>
            </w:pPr>
            <w:r w:rsidRPr="0013396E">
              <w:rPr>
                <w:iCs/>
                <w:sz w:val="20"/>
              </w:rPr>
              <w:t>$/MWh</w:t>
            </w:r>
          </w:p>
        </w:tc>
        <w:tc>
          <w:tcPr>
            <w:tcW w:w="3585" w:type="pct"/>
          </w:tcPr>
          <w:p w14:paraId="1E4FF889" w14:textId="77777777" w:rsidR="00C236A2" w:rsidRPr="0013396E" w:rsidRDefault="00C236A2" w:rsidP="0099759E">
            <w:pPr>
              <w:spacing w:after="60"/>
              <w:rPr>
                <w:iCs/>
                <w:sz w:val="20"/>
              </w:rPr>
            </w:pPr>
            <w:r w:rsidRPr="0013396E">
              <w:rPr>
                <w:i/>
                <w:iCs/>
                <w:sz w:val="20"/>
              </w:rPr>
              <w:t>Real-Time Settlement Point Price per Settlement Point</w:t>
            </w:r>
            <w:r w:rsidRPr="0013396E">
              <w:rPr>
                <w:iCs/>
                <w:sz w:val="20"/>
              </w:rPr>
              <w:t xml:space="preserve">—The Real-Time Settlement Point Price at Settlement Point </w:t>
            </w:r>
            <w:r w:rsidRPr="0013396E">
              <w:rPr>
                <w:i/>
                <w:iCs/>
                <w:sz w:val="20"/>
              </w:rPr>
              <w:t>p</w:t>
            </w:r>
            <w:r w:rsidRPr="0013396E">
              <w:rPr>
                <w:iCs/>
                <w:sz w:val="20"/>
              </w:rPr>
              <w:t>, for the 15-minute Settlement Interval.</w:t>
            </w:r>
          </w:p>
        </w:tc>
      </w:tr>
      <w:tr w:rsidR="00C236A2" w:rsidRPr="0013396E" w14:paraId="567A30A7" w14:textId="77777777" w:rsidTr="0099759E">
        <w:trPr>
          <w:cantSplit/>
        </w:trPr>
        <w:tc>
          <w:tcPr>
            <w:tcW w:w="934" w:type="pct"/>
          </w:tcPr>
          <w:p w14:paraId="43C989B0" w14:textId="77777777" w:rsidR="00C236A2" w:rsidRPr="0013396E" w:rsidRDefault="00C236A2" w:rsidP="0099759E">
            <w:pPr>
              <w:spacing w:after="60"/>
              <w:rPr>
                <w:iCs/>
                <w:sz w:val="20"/>
              </w:rPr>
            </w:pPr>
            <w:r w:rsidRPr="0013396E">
              <w:rPr>
                <w:iCs/>
                <w:sz w:val="20"/>
              </w:rPr>
              <w:t xml:space="preserve">RTMG </w:t>
            </w:r>
            <w:r w:rsidRPr="0013396E">
              <w:rPr>
                <w:i/>
                <w:iCs/>
                <w:sz w:val="20"/>
                <w:vertAlign w:val="subscript"/>
              </w:rPr>
              <w:t>q, r, p</w:t>
            </w:r>
          </w:p>
        </w:tc>
        <w:tc>
          <w:tcPr>
            <w:tcW w:w="481" w:type="pct"/>
          </w:tcPr>
          <w:p w14:paraId="25B40286" w14:textId="77777777" w:rsidR="00C236A2" w:rsidRPr="0013396E" w:rsidRDefault="00C236A2" w:rsidP="0099759E">
            <w:pPr>
              <w:spacing w:after="60"/>
              <w:rPr>
                <w:iCs/>
                <w:sz w:val="20"/>
              </w:rPr>
            </w:pPr>
            <w:r w:rsidRPr="0013396E">
              <w:rPr>
                <w:iCs/>
                <w:sz w:val="20"/>
              </w:rPr>
              <w:t>MWh</w:t>
            </w:r>
          </w:p>
        </w:tc>
        <w:tc>
          <w:tcPr>
            <w:tcW w:w="3585" w:type="pct"/>
          </w:tcPr>
          <w:p w14:paraId="05D1A381" w14:textId="77777777" w:rsidR="00C236A2" w:rsidRPr="0013396E" w:rsidRDefault="00C236A2" w:rsidP="0099759E">
            <w:pPr>
              <w:spacing w:after="60"/>
              <w:rPr>
                <w:iCs/>
                <w:sz w:val="20"/>
              </w:rPr>
            </w:pPr>
            <w:r w:rsidRPr="0013396E">
              <w:rPr>
                <w:i/>
                <w:iCs/>
                <w:sz w:val="20"/>
              </w:rPr>
              <w:t>Real-Time Metered Generation per QSE per Settlement Point per Resource</w:t>
            </w:r>
            <w:r w:rsidRPr="0013396E">
              <w:rPr>
                <w:iCs/>
                <w:sz w:val="20"/>
              </w:rPr>
              <w:t xml:space="preserve">—The metered generation of Resource </w:t>
            </w:r>
            <w:r w:rsidRPr="0013396E">
              <w:rPr>
                <w:i/>
                <w:iCs/>
                <w:sz w:val="20"/>
              </w:rPr>
              <w:t>r</w:t>
            </w:r>
            <w:r w:rsidRPr="0013396E">
              <w:rPr>
                <w:iCs/>
                <w:sz w:val="20"/>
              </w:rPr>
              <w:t xml:space="preserve"> at Resource Node </w:t>
            </w:r>
            <w:r w:rsidRPr="0013396E">
              <w:rPr>
                <w:i/>
                <w:iCs/>
                <w:sz w:val="20"/>
              </w:rPr>
              <w:t>p</w:t>
            </w:r>
            <w:r w:rsidRPr="0013396E">
              <w:rPr>
                <w:iCs/>
                <w:sz w:val="20"/>
              </w:rPr>
              <w:t xml:space="preserve"> represented by QSE </w:t>
            </w:r>
            <w:r w:rsidRPr="0013396E">
              <w:rPr>
                <w:i/>
                <w:iCs/>
                <w:sz w:val="20"/>
              </w:rPr>
              <w:t>q</w:t>
            </w:r>
            <w:r w:rsidRPr="0013396E">
              <w:rPr>
                <w:iCs/>
                <w:sz w:val="20"/>
              </w:rPr>
              <w:t xml:space="preserve"> in Real-Time for the 15-minute Settlement Interval.  Where for a Combined Cycle Train, the Resource </w:t>
            </w:r>
            <w:r w:rsidRPr="0013396E">
              <w:rPr>
                <w:i/>
                <w:iCs/>
                <w:sz w:val="20"/>
              </w:rPr>
              <w:t xml:space="preserve">r </w:t>
            </w:r>
            <w:r w:rsidRPr="0013396E">
              <w:rPr>
                <w:iCs/>
                <w:sz w:val="20"/>
              </w:rPr>
              <w:t>is the Combined Cycle Train.</w:t>
            </w:r>
          </w:p>
        </w:tc>
      </w:tr>
      <w:tr w:rsidR="00C236A2" w:rsidRPr="0013396E" w14:paraId="14D92168" w14:textId="77777777" w:rsidTr="0099759E">
        <w:trPr>
          <w:cantSplit/>
        </w:trPr>
        <w:tc>
          <w:tcPr>
            <w:tcW w:w="934" w:type="pct"/>
          </w:tcPr>
          <w:p w14:paraId="28A957A0" w14:textId="77777777" w:rsidR="00C236A2" w:rsidRPr="0013396E" w:rsidRDefault="00C236A2" w:rsidP="0099759E">
            <w:pPr>
              <w:spacing w:after="60"/>
              <w:rPr>
                <w:iCs/>
                <w:sz w:val="20"/>
              </w:rPr>
            </w:pPr>
            <w:r w:rsidRPr="0013396E">
              <w:rPr>
                <w:iCs/>
                <w:sz w:val="20"/>
              </w:rPr>
              <w:t xml:space="preserve">RTCL </w:t>
            </w:r>
            <w:r w:rsidRPr="0013396E">
              <w:rPr>
                <w:i/>
                <w:iCs/>
                <w:sz w:val="20"/>
                <w:vertAlign w:val="subscript"/>
              </w:rPr>
              <w:t>q, r, p</w:t>
            </w:r>
          </w:p>
        </w:tc>
        <w:tc>
          <w:tcPr>
            <w:tcW w:w="481" w:type="pct"/>
          </w:tcPr>
          <w:p w14:paraId="0393709E" w14:textId="77777777" w:rsidR="00C236A2" w:rsidRPr="0013396E" w:rsidRDefault="00C236A2" w:rsidP="0099759E">
            <w:pPr>
              <w:spacing w:after="60"/>
              <w:rPr>
                <w:iCs/>
                <w:sz w:val="20"/>
              </w:rPr>
            </w:pPr>
            <w:r w:rsidRPr="0013396E">
              <w:rPr>
                <w:iCs/>
                <w:sz w:val="20"/>
              </w:rPr>
              <w:t>MWh</w:t>
            </w:r>
          </w:p>
        </w:tc>
        <w:tc>
          <w:tcPr>
            <w:tcW w:w="3585" w:type="pct"/>
          </w:tcPr>
          <w:p w14:paraId="4A54088F" w14:textId="77777777" w:rsidR="00C236A2" w:rsidRPr="0013396E" w:rsidRDefault="00C236A2" w:rsidP="0099759E">
            <w:pPr>
              <w:spacing w:after="60"/>
              <w:rPr>
                <w:i/>
                <w:iCs/>
                <w:sz w:val="20"/>
              </w:rPr>
            </w:pPr>
            <w:r w:rsidRPr="0013396E">
              <w:rPr>
                <w:i/>
                <w:iCs/>
                <w:sz w:val="20"/>
              </w:rPr>
              <w:t>Real-Time Charging Load per QSE per Resource per Settlement Point</w:t>
            </w:r>
            <w:r w:rsidRPr="0013396E">
              <w:rPr>
                <w:iCs/>
                <w:sz w:val="20"/>
              </w:rPr>
              <w:t xml:space="preserve">—The charging load for Resource </w:t>
            </w:r>
            <w:r w:rsidRPr="0013396E">
              <w:rPr>
                <w:i/>
                <w:iCs/>
                <w:sz w:val="20"/>
              </w:rPr>
              <w:t xml:space="preserve">r </w:t>
            </w:r>
            <w:r w:rsidRPr="0013396E">
              <w:rPr>
                <w:iCs/>
                <w:sz w:val="20"/>
              </w:rPr>
              <w:t>at Resource Node</w:t>
            </w:r>
            <w:r w:rsidRPr="0013396E">
              <w:rPr>
                <w:i/>
                <w:iCs/>
                <w:sz w:val="20"/>
              </w:rPr>
              <w:t xml:space="preserve"> p </w:t>
            </w:r>
            <w:r w:rsidRPr="0013396E">
              <w:rPr>
                <w:iCs/>
                <w:sz w:val="20"/>
              </w:rPr>
              <w:t xml:space="preserve">represented by the QSE </w:t>
            </w:r>
            <w:r w:rsidRPr="0013396E">
              <w:rPr>
                <w:i/>
                <w:iCs/>
                <w:sz w:val="20"/>
              </w:rPr>
              <w:t xml:space="preserve">q, </w:t>
            </w:r>
            <w:r w:rsidRPr="0013396E">
              <w:rPr>
                <w:iCs/>
                <w:sz w:val="20"/>
              </w:rPr>
              <w:t>represented as a negative value,</w:t>
            </w:r>
            <w:r w:rsidRPr="0013396E">
              <w:rPr>
                <w:i/>
                <w:iCs/>
                <w:sz w:val="20"/>
              </w:rPr>
              <w:t xml:space="preserve"> </w:t>
            </w:r>
            <w:r w:rsidRPr="0013396E">
              <w:rPr>
                <w:iCs/>
                <w:sz w:val="20"/>
              </w:rPr>
              <w:t xml:space="preserve">for the 15-minute Settlement Interval. </w:t>
            </w:r>
          </w:p>
        </w:tc>
      </w:tr>
      <w:tr w:rsidR="00C236A2" w:rsidRPr="0013396E" w14:paraId="5D7D11C3" w14:textId="77777777" w:rsidTr="0099759E">
        <w:trPr>
          <w:cantSplit/>
        </w:trPr>
        <w:tc>
          <w:tcPr>
            <w:tcW w:w="934" w:type="pct"/>
            <w:tcBorders>
              <w:top w:val="single" w:sz="4" w:space="0" w:color="auto"/>
              <w:left w:val="single" w:sz="4" w:space="0" w:color="auto"/>
              <w:bottom w:val="single" w:sz="4" w:space="0" w:color="auto"/>
              <w:right w:val="single" w:sz="4" w:space="0" w:color="auto"/>
            </w:tcBorders>
          </w:tcPr>
          <w:p w14:paraId="68E342E2" w14:textId="77777777" w:rsidR="00C236A2" w:rsidRPr="0013396E" w:rsidRDefault="00C236A2" w:rsidP="0099759E">
            <w:pPr>
              <w:spacing w:after="60"/>
              <w:rPr>
                <w:iCs/>
                <w:sz w:val="20"/>
              </w:rPr>
            </w:pPr>
            <w:r w:rsidRPr="0013396E">
              <w:rPr>
                <w:iCs/>
                <w:sz w:val="20"/>
              </w:rPr>
              <w:t xml:space="preserve">TLMP </w:t>
            </w:r>
            <w:r w:rsidRPr="0013396E">
              <w:rPr>
                <w:i/>
                <w:iCs/>
                <w:sz w:val="20"/>
                <w:vertAlign w:val="subscript"/>
              </w:rPr>
              <w:t>y</w:t>
            </w:r>
          </w:p>
        </w:tc>
        <w:tc>
          <w:tcPr>
            <w:tcW w:w="481" w:type="pct"/>
            <w:tcBorders>
              <w:top w:val="single" w:sz="4" w:space="0" w:color="auto"/>
              <w:left w:val="single" w:sz="4" w:space="0" w:color="auto"/>
              <w:bottom w:val="single" w:sz="4" w:space="0" w:color="auto"/>
              <w:right w:val="single" w:sz="4" w:space="0" w:color="auto"/>
            </w:tcBorders>
          </w:tcPr>
          <w:p w14:paraId="7189C977" w14:textId="77777777" w:rsidR="00C236A2" w:rsidRPr="0013396E" w:rsidRDefault="00C236A2" w:rsidP="0099759E">
            <w:pPr>
              <w:spacing w:after="60"/>
              <w:rPr>
                <w:iCs/>
                <w:sz w:val="20"/>
              </w:rPr>
            </w:pPr>
            <w:r w:rsidRPr="0013396E">
              <w:rPr>
                <w:iCs/>
                <w:sz w:val="20"/>
              </w:rPr>
              <w:t>second</w:t>
            </w:r>
          </w:p>
        </w:tc>
        <w:tc>
          <w:tcPr>
            <w:tcW w:w="3585" w:type="pct"/>
            <w:tcBorders>
              <w:top w:val="single" w:sz="4" w:space="0" w:color="auto"/>
              <w:left w:val="single" w:sz="4" w:space="0" w:color="auto"/>
              <w:bottom w:val="single" w:sz="4" w:space="0" w:color="auto"/>
              <w:right w:val="single" w:sz="4" w:space="0" w:color="auto"/>
            </w:tcBorders>
          </w:tcPr>
          <w:p w14:paraId="4E02D39D" w14:textId="77777777" w:rsidR="00C236A2" w:rsidRPr="0013396E" w:rsidRDefault="00C236A2" w:rsidP="0099759E">
            <w:pPr>
              <w:spacing w:after="60"/>
              <w:rPr>
                <w:iCs/>
                <w:sz w:val="20"/>
              </w:rPr>
            </w:pPr>
            <w:r w:rsidRPr="0013396E">
              <w:rPr>
                <w:i/>
                <w:sz w:val="20"/>
              </w:rPr>
              <w:t>Duration of Emergency Base Point interval or SCED interval per interval</w:t>
            </w:r>
            <w:r w:rsidRPr="0013396E">
              <w:rPr>
                <w:iCs/>
                <w:sz w:val="20"/>
              </w:rPr>
              <w:t xml:space="preserve">—The duration of the portion of the Emergency Base Point interval or SCED interval </w:t>
            </w:r>
            <w:r w:rsidRPr="0013396E">
              <w:rPr>
                <w:i/>
                <w:iCs/>
                <w:sz w:val="20"/>
              </w:rPr>
              <w:t>y</w:t>
            </w:r>
            <w:r w:rsidRPr="0013396E">
              <w:rPr>
                <w:iCs/>
                <w:sz w:val="20"/>
              </w:rPr>
              <w:t xml:space="preserve"> </w:t>
            </w:r>
            <w:r w:rsidRPr="0013396E">
              <w:rPr>
                <w:sz w:val="20"/>
              </w:rPr>
              <w:t>within the 15-minute Settlement Interval</w:t>
            </w:r>
            <w:r w:rsidRPr="0013396E">
              <w:rPr>
                <w:iCs/>
                <w:sz w:val="20"/>
              </w:rPr>
              <w:t>.</w:t>
            </w:r>
          </w:p>
        </w:tc>
      </w:tr>
      <w:tr w:rsidR="00C236A2" w:rsidRPr="0013396E" w14:paraId="1881E948" w14:textId="77777777" w:rsidTr="0099759E">
        <w:trPr>
          <w:cantSplit/>
        </w:trPr>
        <w:tc>
          <w:tcPr>
            <w:tcW w:w="934" w:type="pct"/>
            <w:tcBorders>
              <w:top w:val="single" w:sz="4" w:space="0" w:color="auto"/>
              <w:left w:val="single" w:sz="4" w:space="0" w:color="auto"/>
              <w:bottom w:val="single" w:sz="4" w:space="0" w:color="auto"/>
              <w:right w:val="single" w:sz="4" w:space="0" w:color="auto"/>
            </w:tcBorders>
          </w:tcPr>
          <w:p w14:paraId="221F5CFA" w14:textId="77777777" w:rsidR="00C236A2" w:rsidRPr="0013396E" w:rsidRDefault="00C236A2" w:rsidP="0099759E">
            <w:pPr>
              <w:spacing w:after="60"/>
              <w:rPr>
                <w:i/>
                <w:iCs/>
                <w:sz w:val="20"/>
              </w:rPr>
            </w:pPr>
            <w:r w:rsidRPr="0013396E">
              <w:rPr>
                <w:i/>
                <w:iCs/>
                <w:sz w:val="20"/>
              </w:rPr>
              <w:t>q</w:t>
            </w:r>
          </w:p>
        </w:tc>
        <w:tc>
          <w:tcPr>
            <w:tcW w:w="481" w:type="pct"/>
            <w:tcBorders>
              <w:top w:val="single" w:sz="4" w:space="0" w:color="auto"/>
              <w:left w:val="single" w:sz="4" w:space="0" w:color="auto"/>
              <w:bottom w:val="single" w:sz="4" w:space="0" w:color="auto"/>
              <w:right w:val="single" w:sz="4" w:space="0" w:color="auto"/>
            </w:tcBorders>
          </w:tcPr>
          <w:p w14:paraId="283EB551" w14:textId="77777777" w:rsidR="00C236A2" w:rsidRPr="0013396E" w:rsidRDefault="00C236A2" w:rsidP="0099759E">
            <w:pPr>
              <w:spacing w:after="60"/>
              <w:rPr>
                <w:iCs/>
                <w:sz w:val="20"/>
              </w:rPr>
            </w:pPr>
            <w:r w:rsidRPr="0013396E">
              <w:rPr>
                <w:iCs/>
                <w:sz w:val="20"/>
              </w:rPr>
              <w:t>none</w:t>
            </w:r>
          </w:p>
        </w:tc>
        <w:tc>
          <w:tcPr>
            <w:tcW w:w="3585" w:type="pct"/>
            <w:tcBorders>
              <w:top w:val="single" w:sz="4" w:space="0" w:color="auto"/>
              <w:left w:val="single" w:sz="4" w:space="0" w:color="auto"/>
              <w:bottom w:val="single" w:sz="4" w:space="0" w:color="auto"/>
              <w:right w:val="single" w:sz="4" w:space="0" w:color="auto"/>
            </w:tcBorders>
          </w:tcPr>
          <w:p w14:paraId="08BEBDBE" w14:textId="77777777" w:rsidR="00C236A2" w:rsidRPr="0013396E" w:rsidRDefault="00C236A2" w:rsidP="0099759E">
            <w:pPr>
              <w:spacing w:after="60"/>
              <w:rPr>
                <w:iCs/>
                <w:sz w:val="20"/>
              </w:rPr>
            </w:pPr>
            <w:r w:rsidRPr="0013396E">
              <w:rPr>
                <w:iCs/>
                <w:sz w:val="20"/>
              </w:rPr>
              <w:t>A QSE.</w:t>
            </w:r>
          </w:p>
        </w:tc>
      </w:tr>
      <w:tr w:rsidR="00C236A2" w:rsidRPr="0013396E" w14:paraId="2518359D" w14:textId="77777777" w:rsidTr="0099759E">
        <w:trPr>
          <w:cantSplit/>
        </w:trPr>
        <w:tc>
          <w:tcPr>
            <w:tcW w:w="934" w:type="pct"/>
            <w:tcBorders>
              <w:top w:val="single" w:sz="4" w:space="0" w:color="auto"/>
              <w:left w:val="single" w:sz="4" w:space="0" w:color="auto"/>
              <w:bottom w:val="single" w:sz="4" w:space="0" w:color="auto"/>
              <w:right w:val="single" w:sz="4" w:space="0" w:color="auto"/>
            </w:tcBorders>
          </w:tcPr>
          <w:p w14:paraId="4ADF3F08" w14:textId="77777777" w:rsidR="00C236A2" w:rsidRPr="0013396E" w:rsidRDefault="00C236A2" w:rsidP="0099759E">
            <w:pPr>
              <w:spacing w:after="60"/>
              <w:rPr>
                <w:i/>
                <w:iCs/>
                <w:sz w:val="20"/>
              </w:rPr>
            </w:pPr>
            <w:r w:rsidRPr="0013396E">
              <w:rPr>
                <w:i/>
                <w:iCs/>
                <w:sz w:val="20"/>
              </w:rPr>
              <w:t>p</w:t>
            </w:r>
          </w:p>
        </w:tc>
        <w:tc>
          <w:tcPr>
            <w:tcW w:w="481" w:type="pct"/>
            <w:tcBorders>
              <w:top w:val="single" w:sz="4" w:space="0" w:color="auto"/>
              <w:left w:val="single" w:sz="4" w:space="0" w:color="auto"/>
              <w:bottom w:val="single" w:sz="4" w:space="0" w:color="auto"/>
              <w:right w:val="single" w:sz="4" w:space="0" w:color="auto"/>
            </w:tcBorders>
          </w:tcPr>
          <w:p w14:paraId="7181E182" w14:textId="77777777" w:rsidR="00C236A2" w:rsidRPr="0013396E" w:rsidRDefault="00C236A2" w:rsidP="0099759E">
            <w:pPr>
              <w:spacing w:after="60"/>
              <w:rPr>
                <w:iCs/>
                <w:sz w:val="20"/>
              </w:rPr>
            </w:pPr>
            <w:r w:rsidRPr="0013396E">
              <w:rPr>
                <w:iCs/>
                <w:sz w:val="20"/>
              </w:rPr>
              <w:t>none</w:t>
            </w:r>
          </w:p>
        </w:tc>
        <w:tc>
          <w:tcPr>
            <w:tcW w:w="3585" w:type="pct"/>
            <w:tcBorders>
              <w:top w:val="single" w:sz="4" w:space="0" w:color="auto"/>
              <w:left w:val="single" w:sz="4" w:space="0" w:color="auto"/>
              <w:bottom w:val="single" w:sz="4" w:space="0" w:color="auto"/>
              <w:right w:val="single" w:sz="4" w:space="0" w:color="auto"/>
            </w:tcBorders>
          </w:tcPr>
          <w:p w14:paraId="1EB51CA2" w14:textId="77777777" w:rsidR="00C236A2" w:rsidRPr="0013396E" w:rsidRDefault="00C236A2" w:rsidP="0099759E">
            <w:pPr>
              <w:spacing w:after="60"/>
              <w:rPr>
                <w:iCs/>
                <w:sz w:val="20"/>
              </w:rPr>
            </w:pPr>
            <w:r w:rsidRPr="0013396E">
              <w:rPr>
                <w:iCs/>
                <w:sz w:val="20"/>
              </w:rPr>
              <w:t>A Resource Node Settlement Point.</w:t>
            </w:r>
          </w:p>
        </w:tc>
      </w:tr>
      <w:tr w:rsidR="00C236A2" w:rsidRPr="0013396E" w14:paraId="3D23048D" w14:textId="77777777" w:rsidTr="0099759E">
        <w:trPr>
          <w:cantSplit/>
        </w:trPr>
        <w:tc>
          <w:tcPr>
            <w:tcW w:w="934" w:type="pct"/>
            <w:tcBorders>
              <w:top w:val="single" w:sz="4" w:space="0" w:color="auto"/>
              <w:left w:val="single" w:sz="4" w:space="0" w:color="auto"/>
              <w:bottom w:val="single" w:sz="4" w:space="0" w:color="auto"/>
              <w:right w:val="single" w:sz="4" w:space="0" w:color="auto"/>
            </w:tcBorders>
          </w:tcPr>
          <w:p w14:paraId="2CCD9BCE" w14:textId="77777777" w:rsidR="00C236A2" w:rsidRPr="0013396E" w:rsidRDefault="00C236A2" w:rsidP="0099759E">
            <w:pPr>
              <w:spacing w:after="60"/>
              <w:rPr>
                <w:i/>
                <w:iCs/>
                <w:sz w:val="20"/>
              </w:rPr>
            </w:pPr>
            <w:r w:rsidRPr="0013396E">
              <w:rPr>
                <w:i/>
                <w:iCs/>
                <w:sz w:val="20"/>
              </w:rPr>
              <w:t>r</w:t>
            </w:r>
          </w:p>
        </w:tc>
        <w:tc>
          <w:tcPr>
            <w:tcW w:w="481" w:type="pct"/>
            <w:tcBorders>
              <w:top w:val="single" w:sz="4" w:space="0" w:color="auto"/>
              <w:left w:val="single" w:sz="4" w:space="0" w:color="auto"/>
              <w:bottom w:val="single" w:sz="4" w:space="0" w:color="auto"/>
              <w:right w:val="single" w:sz="4" w:space="0" w:color="auto"/>
            </w:tcBorders>
          </w:tcPr>
          <w:p w14:paraId="66DF0A85" w14:textId="77777777" w:rsidR="00C236A2" w:rsidRPr="0013396E" w:rsidRDefault="00C236A2" w:rsidP="0099759E">
            <w:pPr>
              <w:spacing w:after="60"/>
              <w:rPr>
                <w:iCs/>
                <w:sz w:val="20"/>
              </w:rPr>
            </w:pPr>
            <w:r w:rsidRPr="0013396E">
              <w:rPr>
                <w:iCs/>
                <w:sz w:val="20"/>
              </w:rPr>
              <w:t>none</w:t>
            </w:r>
          </w:p>
        </w:tc>
        <w:tc>
          <w:tcPr>
            <w:tcW w:w="3585" w:type="pct"/>
            <w:tcBorders>
              <w:top w:val="single" w:sz="4" w:space="0" w:color="auto"/>
              <w:left w:val="single" w:sz="4" w:space="0" w:color="auto"/>
              <w:bottom w:val="single" w:sz="4" w:space="0" w:color="auto"/>
              <w:right w:val="single" w:sz="4" w:space="0" w:color="auto"/>
            </w:tcBorders>
          </w:tcPr>
          <w:p w14:paraId="15A3849C" w14:textId="77777777" w:rsidR="00C236A2" w:rsidRPr="0013396E" w:rsidRDefault="00C236A2" w:rsidP="0099759E">
            <w:pPr>
              <w:spacing w:after="60"/>
              <w:rPr>
                <w:iCs/>
                <w:sz w:val="20"/>
              </w:rPr>
            </w:pPr>
            <w:r w:rsidRPr="0013396E">
              <w:rPr>
                <w:iCs/>
                <w:sz w:val="20"/>
              </w:rPr>
              <w:t>A Generation Resource or ESR.</w:t>
            </w:r>
          </w:p>
        </w:tc>
      </w:tr>
      <w:tr w:rsidR="00C236A2" w:rsidRPr="0013396E" w14:paraId="0BCCDE03" w14:textId="77777777" w:rsidTr="0099759E">
        <w:trPr>
          <w:cantSplit/>
        </w:trPr>
        <w:tc>
          <w:tcPr>
            <w:tcW w:w="934" w:type="pct"/>
            <w:tcBorders>
              <w:top w:val="single" w:sz="4" w:space="0" w:color="auto"/>
              <w:left w:val="single" w:sz="4" w:space="0" w:color="auto"/>
              <w:bottom w:val="single" w:sz="4" w:space="0" w:color="auto"/>
              <w:right w:val="single" w:sz="4" w:space="0" w:color="auto"/>
            </w:tcBorders>
          </w:tcPr>
          <w:p w14:paraId="037271B0" w14:textId="77777777" w:rsidR="00C236A2" w:rsidRPr="0013396E" w:rsidRDefault="00C236A2" w:rsidP="0099759E">
            <w:pPr>
              <w:spacing w:after="60"/>
              <w:rPr>
                <w:i/>
                <w:iCs/>
                <w:sz w:val="20"/>
              </w:rPr>
            </w:pPr>
            <w:r w:rsidRPr="0013396E">
              <w:rPr>
                <w:i/>
                <w:iCs/>
                <w:sz w:val="20"/>
              </w:rPr>
              <w:t>y</w:t>
            </w:r>
          </w:p>
        </w:tc>
        <w:tc>
          <w:tcPr>
            <w:tcW w:w="481" w:type="pct"/>
            <w:tcBorders>
              <w:top w:val="single" w:sz="4" w:space="0" w:color="auto"/>
              <w:left w:val="single" w:sz="4" w:space="0" w:color="auto"/>
              <w:bottom w:val="single" w:sz="4" w:space="0" w:color="auto"/>
              <w:right w:val="single" w:sz="4" w:space="0" w:color="auto"/>
            </w:tcBorders>
          </w:tcPr>
          <w:p w14:paraId="588025F5" w14:textId="77777777" w:rsidR="00C236A2" w:rsidRPr="0013396E" w:rsidRDefault="00C236A2" w:rsidP="0099759E">
            <w:pPr>
              <w:spacing w:after="60"/>
              <w:rPr>
                <w:iCs/>
                <w:sz w:val="20"/>
              </w:rPr>
            </w:pPr>
            <w:r w:rsidRPr="0013396E">
              <w:rPr>
                <w:iCs/>
                <w:sz w:val="20"/>
              </w:rPr>
              <w:t>none</w:t>
            </w:r>
          </w:p>
        </w:tc>
        <w:tc>
          <w:tcPr>
            <w:tcW w:w="3585" w:type="pct"/>
            <w:tcBorders>
              <w:top w:val="single" w:sz="4" w:space="0" w:color="auto"/>
              <w:left w:val="single" w:sz="4" w:space="0" w:color="auto"/>
              <w:bottom w:val="single" w:sz="4" w:space="0" w:color="auto"/>
              <w:right w:val="single" w:sz="4" w:space="0" w:color="auto"/>
            </w:tcBorders>
          </w:tcPr>
          <w:p w14:paraId="473D0A9C" w14:textId="77777777" w:rsidR="00C236A2" w:rsidRPr="0013396E" w:rsidRDefault="00C236A2" w:rsidP="0099759E">
            <w:pPr>
              <w:spacing w:after="60"/>
              <w:rPr>
                <w:iCs/>
                <w:sz w:val="20"/>
              </w:rPr>
            </w:pPr>
            <w:r w:rsidRPr="0013396E">
              <w:rPr>
                <w:iCs/>
                <w:sz w:val="20"/>
              </w:rPr>
              <w:t>An Emergency Base Point interval or SCED interval that overlaps the 15-minute Settlement Interval.</w:t>
            </w:r>
          </w:p>
        </w:tc>
      </w:tr>
      <w:tr w:rsidR="00C236A2" w:rsidRPr="0013396E" w14:paraId="4DBDDE07" w14:textId="77777777" w:rsidTr="0099759E">
        <w:trPr>
          <w:cantSplit/>
        </w:trPr>
        <w:tc>
          <w:tcPr>
            <w:tcW w:w="934" w:type="pct"/>
            <w:tcBorders>
              <w:top w:val="single" w:sz="4" w:space="0" w:color="auto"/>
              <w:left w:val="single" w:sz="4" w:space="0" w:color="auto"/>
              <w:bottom w:val="single" w:sz="4" w:space="0" w:color="auto"/>
              <w:right w:val="single" w:sz="4" w:space="0" w:color="auto"/>
            </w:tcBorders>
          </w:tcPr>
          <w:p w14:paraId="4D6DDCAD" w14:textId="77777777" w:rsidR="00C236A2" w:rsidRPr="0013396E" w:rsidRDefault="00C236A2" w:rsidP="0099759E">
            <w:pPr>
              <w:spacing w:after="60"/>
              <w:rPr>
                <w:iCs/>
                <w:sz w:val="20"/>
              </w:rPr>
            </w:pPr>
            <w:r w:rsidRPr="0013396E">
              <w:rPr>
                <w:iCs/>
                <w:sz w:val="20"/>
              </w:rPr>
              <w:t>3600</w:t>
            </w:r>
          </w:p>
        </w:tc>
        <w:tc>
          <w:tcPr>
            <w:tcW w:w="481" w:type="pct"/>
            <w:tcBorders>
              <w:top w:val="single" w:sz="4" w:space="0" w:color="auto"/>
              <w:left w:val="single" w:sz="4" w:space="0" w:color="auto"/>
              <w:bottom w:val="single" w:sz="4" w:space="0" w:color="auto"/>
              <w:right w:val="single" w:sz="4" w:space="0" w:color="auto"/>
            </w:tcBorders>
          </w:tcPr>
          <w:p w14:paraId="0AB7AC8C" w14:textId="77777777" w:rsidR="00C236A2" w:rsidRPr="0013396E" w:rsidRDefault="00C236A2" w:rsidP="0099759E">
            <w:pPr>
              <w:spacing w:after="60"/>
              <w:rPr>
                <w:iCs/>
                <w:sz w:val="20"/>
              </w:rPr>
            </w:pPr>
            <w:r w:rsidRPr="0013396E">
              <w:rPr>
                <w:iCs/>
                <w:sz w:val="20"/>
              </w:rPr>
              <w:t>none</w:t>
            </w:r>
          </w:p>
        </w:tc>
        <w:tc>
          <w:tcPr>
            <w:tcW w:w="3585" w:type="pct"/>
            <w:tcBorders>
              <w:top w:val="single" w:sz="4" w:space="0" w:color="auto"/>
              <w:left w:val="single" w:sz="4" w:space="0" w:color="auto"/>
              <w:bottom w:val="single" w:sz="4" w:space="0" w:color="auto"/>
              <w:right w:val="single" w:sz="4" w:space="0" w:color="auto"/>
            </w:tcBorders>
          </w:tcPr>
          <w:p w14:paraId="43632637" w14:textId="77777777" w:rsidR="00C236A2" w:rsidRPr="0013396E" w:rsidRDefault="00C236A2" w:rsidP="0099759E">
            <w:pPr>
              <w:spacing w:after="60"/>
              <w:rPr>
                <w:iCs/>
                <w:sz w:val="20"/>
              </w:rPr>
            </w:pPr>
            <w:r w:rsidRPr="0013396E">
              <w:rPr>
                <w:iCs/>
                <w:sz w:val="20"/>
              </w:rPr>
              <w:t>The number of seconds in one hour.</w:t>
            </w:r>
          </w:p>
        </w:tc>
      </w:tr>
    </w:tbl>
    <w:p w14:paraId="07FB886A" w14:textId="77777777" w:rsidR="00C236A2" w:rsidRPr="0013396E" w:rsidRDefault="00C236A2" w:rsidP="00C236A2">
      <w:pPr>
        <w:spacing w:before="240" w:after="240"/>
        <w:ind w:left="720" w:hanging="720"/>
        <w:rPr>
          <w:iCs/>
        </w:rPr>
      </w:pPr>
      <w:r w:rsidRPr="0013396E">
        <w:rPr>
          <w:iCs/>
        </w:rPr>
        <w:t>(2)</w:t>
      </w:r>
      <w:r w:rsidRPr="0013396E">
        <w:rPr>
          <w:iCs/>
        </w:rPr>
        <w:tab/>
        <w:t>ERCOT shall pay the QSE additional compensation for the Resource at its Resource Node Settlement Point during the Settlement Intervals that qualify for emergency Settlement as described in Section 6.6.9, Emergency Operations Settlement.  The payment for a given 15-minute Settlement Interval is calculated as follows:</w:t>
      </w:r>
    </w:p>
    <w:p w14:paraId="57AD0420" w14:textId="77777777" w:rsidR="00C236A2" w:rsidRPr="0013396E" w:rsidRDefault="00C236A2" w:rsidP="00C236A2">
      <w:pPr>
        <w:tabs>
          <w:tab w:val="left" w:pos="2880"/>
        </w:tabs>
        <w:spacing w:after="240"/>
        <w:ind w:left="720"/>
        <w:rPr>
          <w:b/>
        </w:rPr>
      </w:pPr>
      <w:r w:rsidRPr="0013396E">
        <w:rPr>
          <w:b/>
          <w:lang w:val="pt-BR"/>
        </w:rPr>
        <w:t xml:space="preserve">EMREAMT </w:t>
      </w:r>
      <w:r w:rsidRPr="0013396E">
        <w:rPr>
          <w:b/>
          <w:bCs/>
          <w:i/>
          <w:iCs/>
          <w:sz w:val="16"/>
          <w:szCs w:val="16"/>
        </w:rPr>
        <w:t xml:space="preserve">q, r, p </w:t>
      </w:r>
      <w:r w:rsidRPr="0013396E">
        <w:rPr>
          <w:b/>
          <w:bCs/>
          <w:i/>
          <w:iCs/>
          <w:sz w:val="16"/>
          <w:szCs w:val="16"/>
        </w:rPr>
        <w:tab/>
      </w:r>
      <w:r w:rsidRPr="0013396E">
        <w:rPr>
          <w:b/>
        </w:rPr>
        <w:t xml:space="preserve"> = </w:t>
      </w:r>
      <w:r w:rsidRPr="0013396E">
        <w:rPr>
          <w:b/>
        </w:rPr>
        <w:tab/>
        <w:t xml:space="preserve">Min (0, </w:t>
      </w:r>
      <w:r w:rsidRPr="0013396E">
        <w:rPr>
          <w:b/>
          <w:lang w:val="pt-BR"/>
        </w:rPr>
        <w:t xml:space="preserve">RTENET </w:t>
      </w:r>
      <w:r w:rsidRPr="0013396E">
        <w:rPr>
          <w:b/>
          <w:i/>
          <w:vertAlign w:val="subscript"/>
          <w:lang w:val="pt-BR"/>
        </w:rPr>
        <w:t>q, r, p</w:t>
      </w:r>
      <w:r w:rsidRPr="0013396E">
        <w:rPr>
          <w:b/>
        </w:rPr>
        <w:t xml:space="preserve"> + RTASNET </w:t>
      </w:r>
      <w:r w:rsidRPr="0013396E">
        <w:rPr>
          <w:b/>
          <w:bCs/>
          <w:i/>
          <w:iCs/>
          <w:sz w:val="16"/>
          <w:szCs w:val="16"/>
        </w:rPr>
        <w:t>q, r</w:t>
      </w:r>
      <w:r w:rsidRPr="0013396E">
        <w:rPr>
          <w:b/>
        </w:rPr>
        <w:t>)</w:t>
      </w:r>
    </w:p>
    <w:p w14:paraId="2384339E" w14:textId="77777777" w:rsidR="00C236A2" w:rsidRPr="0013396E" w:rsidRDefault="00C236A2" w:rsidP="00C236A2">
      <w:pPr>
        <w:spacing w:after="240"/>
        <w:ind w:left="1440" w:hanging="720"/>
      </w:pPr>
      <w:r w:rsidRPr="0013396E">
        <w:t>(a)</w:t>
      </w:r>
      <w:r w:rsidRPr="0013396E">
        <w:tab/>
        <w:t>Where the Real-Time Energy Net Revenue is calculated as follows:</w:t>
      </w:r>
    </w:p>
    <w:p w14:paraId="21BCEEC5" w14:textId="77777777" w:rsidR="00C236A2" w:rsidRPr="0013396E" w:rsidRDefault="00C236A2" w:rsidP="00C236A2">
      <w:pPr>
        <w:spacing w:after="240"/>
        <w:ind w:left="2340" w:hanging="1620"/>
        <w:rPr>
          <w:i/>
          <w:vertAlign w:val="subscript"/>
          <w:lang w:val="pt-BR"/>
        </w:rPr>
      </w:pPr>
      <w:r w:rsidRPr="0013396E">
        <w:rPr>
          <w:lang w:val="pt-BR"/>
        </w:rPr>
        <w:t xml:space="preserve">RTENET </w:t>
      </w:r>
      <w:r w:rsidRPr="0013396E">
        <w:rPr>
          <w:bCs/>
          <w:i/>
          <w:iCs/>
          <w:sz w:val="16"/>
          <w:szCs w:val="16"/>
          <w:lang w:val="pt-BR"/>
        </w:rPr>
        <w:t>q, r, p</w:t>
      </w:r>
      <w:r w:rsidRPr="0013396E">
        <w:rPr>
          <w:bCs/>
          <w:i/>
          <w:iCs/>
          <w:sz w:val="16"/>
          <w:szCs w:val="16"/>
          <w:lang w:val="pt-BR"/>
        </w:rPr>
        <w:tab/>
      </w:r>
      <w:r w:rsidRPr="0013396E">
        <w:rPr>
          <w:bCs/>
          <w:i/>
          <w:iCs/>
          <w:sz w:val="16"/>
          <w:szCs w:val="16"/>
          <w:lang w:val="pt-BR"/>
        </w:rPr>
        <w:tab/>
      </w:r>
      <w:r w:rsidRPr="0013396E">
        <w:rPr>
          <w:lang w:val="pt-BR"/>
        </w:rPr>
        <w:t xml:space="preserve">= </w:t>
      </w:r>
      <w:r w:rsidRPr="0013396E">
        <w:rPr>
          <w:lang w:val="pt-BR"/>
        </w:rPr>
        <w:tab/>
        <w:t>RTEREV</w:t>
      </w:r>
      <w:r w:rsidRPr="0013396E">
        <w:rPr>
          <w:i/>
          <w:vertAlign w:val="subscript"/>
          <w:lang w:val="pt-BR"/>
        </w:rPr>
        <w:t xml:space="preserve">q, r, p </w:t>
      </w:r>
      <w:r w:rsidRPr="0013396E">
        <w:rPr>
          <w:lang w:val="pt-BR"/>
        </w:rPr>
        <w:t>- RTEREVT</w:t>
      </w:r>
      <w:r w:rsidRPr="0013396E">
        <w:rPr>
          <w:i/>
          <w:vertAlign w:val="subscript"/>
          <w:lang w:val="pt-BR"/>
        </w:rPr>
        <w:t xml:space="preserve">q, r, p </w:t>
      </w:r>
    </w:p>
    <w:p w14:paraId="6820C226" w14:textId="77777777" w:rsidR="00C236A2" w:rsidRPr="0013396E" w:rsidRDefault="00C236A2" w:rsidP="00C236A2">
      <w:pPr>
        <w:spacing w:after="240"/>
        <w:ind w:left="2340" w:hanging="1620"/>
        <w:rPr>
          <w:i/>
          <w:vertAlign w:val="subscript"/>
          <w:lang w:val="pt-BR"/>
        </w:rPr>
      </w:pPr>
      <w:r w:rsidRPr="0013396E">
        <w:rPr>
          <w:lang w:val="pt-BR"/>
        </w:rPr>
        <w:t>Where:</w:t>
      </w:r>
    </w:p>
    <w:p w14:paraId="4BC509B0" w14:textId="77777777" w:rsidR="00C236A2" w:rsidRPr="0013396E" w:rsidRDefault="00C236A2" w:rsidP="00C236A2">
      <w:pPr>
        <w:tabs>
          <w:tab w:val="left" w:pos="2340"/>
          <w:tab w:val="left" w:pos="2880"/>
        </w:tabs>
        <w:spacing w:after="240"/>
        <w:ind w:left="987" w:hanging="269"/>
        <w:rPr>
          <w:bCs/>
          <w:lang w:val="pt-BR"/>
        </w:rPr>
      </w:pPr>
      <w:r w:rsidRPr="0013396E">
        <w:rPr>
          <w:bCs/>
          <w:lang w:val="pt-BR"/>
        </w:rPr>
        <w:t>RTEREV</w:t>
      </w:r>
      <w:r w:rsidRPr="0013396E">
        <w:rPr>
          <w:bCs/>
          <w:i/>
          <w:vertAlign w:val="subscript"/>
          <w:lang w:val="pt-BR"/>
        </w:rPr>
        <w:t>q, r, p</w:t>
      </w:r>
      <w:r w:rsidRPr="0013396E">
        <w:rPr>
          <w:bCs/>
          <w:lang w:val="pt-BR"/>
        </w:rPr>
        <w:tab/>
      </w:r>
      <w:r w:rsidRPr="0013396E">
        <w:rPr>
          <w:bCs/>
          <w:lang w:val="pt-BR"/>
        </w:rPr>
        <w:tab/>
        <w:t>=</w:t>
      </w:r>
      <w:r w:rsidRPr="0013396E">
        <w:rPr>
          <w:bCs/>
          <w:lang w:val="pt-BR"/>
        </w:rPr>
        <w:tab/>
        <w:t xml:space="preserve">RTSPP </w:t>
      </w:r>
      <w:r w:rsidRPr="0013396E">
        <w:rPr>
          <w:bCs/>
          <w:i/>
          <w:vertAlign w:val="subscript"/>
          <w:lang w:val="pt-BR"/>
        </w:rPr>
        <w:t>p</w:t>
      </w:r>
      <w:r w:rsidRPr="0013396E">
        <w:rPr>
          <w:bCs/>
          <w:lang w:val="pt-BR"/>
        </w:rPr>
        <w:t xml:space="preserve"> * (EMREGEN </w:t>
      </w:r>
      <w:r w:rsidRPr="0013396E">
        <w:rPr>
          <w:bCs/>
          <w:i/>
          <w:vertAlign w:val="subscript"/>
          <w:lang w:val="pt-BR"/>
        </w:rPr>
        <w:t xml:space="preserve">q, r, p </w:t>
      </w:r>
      <w:r w:rsidRPr="0013396E">
        <w:rPr>
          <w:rFonts w:eastAsiaTheme="minorHAnsi"/>
          <w:lang w:val="pt-BR"/>
        </w:rPr>
        <w:t xml:space="preserve">+ EMRELOAD </w:t>
      </w:r>
      <w:r w:rsidRPr="0013396E">
        <w:rPr>
          <w:rFonts w:eastAsiaTheme="minorHAnsi"/>
          <w:i/>
          <w:vertAlign w:val="subscript"/>
          <w:lang w:val="pt-BR"/>
        </w:rPr>
        <w:t>q, r, p</w:t>
      </w:r>
      <w:r w:rsidRPr="0013396E">
        <w:rPr>
          <w:rFonts w:eastAsiaTheme="minorHAnsi"/>
          <w:lang w:val="pt-BR"/>
        </w:rPr>
        <w:t>)</w:t>
      </w:r>
    </w:p>
    <w:p w14:paraId="611195A1" w14:textId="77777777" w:rsidR="00C236A2" w:rsidRPr="0013396E" w:rsidRDefault="00C236A2" w:rsidP="00C236A2">
      <w:pPr>
        <w:tabs>
          <w:tab w:val="left" w:pos="2340"/>
          <w:tab w:val="left" w:pos="2880"/>
        </w:tabs>
        <w:spacing w:after="240"/>
        <w:ind w:left="987" w:hanging="269"/>
        <w:rPr>
          <w:rFonts w:eastAsiaTheme="minorHAnsi"/>
          <w:lang w:val="pt-BR"/>
        </w:rPr>
      </w:pPr>
      <w:r w:rsidRPr="0013396E">
        <w:rPr>
          <w:bCs/>
          <w:lang w:val="pt-BR"/>
        </w:rPr>
        <w:t>RTEREVT</w:t>
      </w:r>
      <w:r w:rsidRPr="0013396E">
        <w:rPr>
          <w:bCs/>
          <w:i/>
          <w:vertAlign w:val="subscript"/>
          <w:lang w:val="pt-BR"/>
        </w:rPr>
        <w:t>q, r, p</w:t>
      </w:r>
      <w:r w:rsidRPr="0013396E">
        <w:rPr>
          <w:bCs/>
          <w:lang w:val="pt-BR"/>
        </w:rPr>
        <w:tab/>
      </w:r>
      <w:r w:rsidRPr="0013396E">
        <w:rPr>
          <w:bCs/>
          <w:lang w:val="pt-BR"/>
        </w:rPr>
        <w:tab/>
        <w:t>=</w:t>
      </w:r>
      <w:r w:rsidRPr="0013396E">
        <w:rPr>
          <w:bCs/>
          <w:lang w:val="pt-BR"/>
        </w:rPr>
        <w:tab/>
        <w:t xml:space="preserve">EBPWAPRGEN </w:t>
      </w:r>
      <w:r w:rsidRPr="0013396E">
        <w:rPr>
          <w:bCs/>
          <w:i/>
          <w:vertAlign w:val="subscript"/>
          <w:lang w:val="pt-BR"/>
        </w:rPr>
        <w:t>q, r, p</w:t>
      </w:r>
      <w:r w:rsidRPr="0013396E">
        <w:rPr>
          <w:bCs/>
          <w:lang w:val="pt-BR"/>
        </w:rPr>
        <w:t xml:space="preserve"> * EMREGEN </w:t>
      </w:r>
      <w:r w:rsidRPr="0013396E">
        <w:rPr>
          <w:bCs/>
          <w:i/>
          <w:vertAlign w:val="subscript"/>
          <w:lang w:val="pt-BR"/>
        </w:rPr>
        <w:t>q, r, p</w:t>
      </w:r>
      <w:r w:rsidRPr="0013396E">
        <w:rPr>
          <w:rFonts w:eastAsiaTheme="minorHAnsi"/>
          <w:lang w:val="pt-BR"/>
        </w:rPr>
        <w:t xml:space="preserve"> + </w:t>
      </w:r>
    </w:p>
    <w:p w14:paraId="7AA62284" w14:textId="77777777" w:rsidR="00C236A2" w:rsidRPr="0013396E" w:rsidRDefault="00C236A2" w:rsidP="00C236A2">
      <w:pPr>
        <w:tabs>
          <w:tab w:val="left" w:pos="2340"/>
          <w:tab w:val="left" w:pos="2880"/>
        </w:tabs>
        <w:spacing w:after="240"/>
        <w:ind w:left="987" w:hanging="269"/>
        <w:rPr>
          <w:bCs/>
          <w:lang w:val="pt-BR"/>
        </w:rPr>
      </w:pPr>
      <w:r w:rsidRPr="0013396E">
        <w:rPr>
          <w:bCs/>
          <w:lang w:val="pt-BR"/>
        </w:rPr>
        <w:tab/>
      </w:r>
      <w:r w:rsidRPr="0013396E">
        <w:rPr>
          <w:bCs/>
          <w:lang w:val="pt-BR"/>
        </w:rPr>
        <w:tab/>
      </w:r>
      <w:r w:rsidRPr="0013396E">
        <w:rPr>
          <w:bCs/>
          <w:lang w:val="pt-BR"/>
        </w:rPr>
        <w:tab/>
      </w:r>
      <w:r w:rsidRPr="0013396E">
        <w:rPr>
          <w:bCs/>
          <w:lang w:val="pt-BR"/>
        </w:rPr>
        <w:tab/>
      </w:r>
      <w:r w:rsidRPr="0013396E">
        <w:rPr>
          <w:rFonts w:eastAsiaTheme="minorHAnsi"/>
          <w:lang w:val="pt-BR"/>
        </w:rPr>
        <w:t xml:space="preserve">EBPWAPRLOAD </w:t>
      </w:r>
      <w:r w:rsidRPr="0013396E">
        <w:rPr>
          <w:rFonts w:eastAsiaTheme="minorHAnsi"/>
          <w:i/>
          <w:vertAlign w:val="subscript"/>
          <w:lang w:val="pt-BR"/>
        </w:rPr>
        <w:t>q, r, p</w:t>
      </w:r>
      <w:r w:rsidRPr="0013396E">
        <w:rPr>
          <w:rFonts w:eastAsiaTheme="minorHAnsi"/>
          <w:lang w:val="pt-BR"/>
        </w:rPr>
        <w:t xml:space="preserve"> * EMRELOAD </w:t>
      </w:r>
      <w:r w:rsidRPr="0013396E">
        <w:rPr>
          <w:rFonts w:eastAsiaTheme="minorHAnsi"/>
          <w:i/>
          <w:vertAlign w:val="subscript"/>
          <w:lang w:val="pt-BR"/>
        </w:rPr>
        <w:t>q, r, p</w:t>
      </w:r>
      <w:r w:rsidRPr="0013396E">
        <w:rPr>
          <w:rFonts w:asciiTheme="minorHAnsi" w:eastAsiaTheme="minorHAnsi" w:hAnsiTheme="minorHAnsi" w:cstheme="minorBidi"/>
          <w:i/>
          <w:sz w:val="22"/>
          <w:szCs w:val="22"/>
          <w:vertAlign w:val="subscript"/>
          <w:lang w:val="pt-BR"/>
        </w:rPr>
        <w:t xml:space="preserve">  </w:t>
      </w:r>
    </w:p>
    <w:p w14:paraId="52872AC5" w14:textId="77777777" w:rsidR="00C236A2" w:rsidRPr="0013396E" w:rsidRDefault="00C236A2" w:rsidP="00C236A2">
      <w:pPr>
        <w:tabs>
          <w:tab w:val="left" w:pos="2340"/>
          <w:tab w:val="left" w:pos="2880"/>
        </w:tabs>
        <w:spacing w:after="240"/>
        <w:ind w:left="987" w:hanging="269"/>
        <w:rPr>
          <w:bCs/>
          <w:lang w:val="pt-BR"/>
        </w:rPr>
      </w:pPr>
      <w:r w:rsidRPr="0013396E">
        <w:rPr>
          <w:bCs/>
          <w:lang w:val="pt-BR"/>
        </w:rPr>
        <w:t>If any EBP &gt; 0 then:</w:t>
      </w:r>
    </w:p>
    <w:p w14:paraId="2680BB7B" w14:textId="77777777" w:rsidR="00C236A2" w:rsidRPr="0013396E" w:rsidRDefault="00C236A2" w:rsidP="00C236A2">
      <w:pPr>
        <w:tabs>
          <w:tab w:val="left" w:pos="2340"/>
          <w:tab w:val="left" w:pos="2880"/>
        </w:tabs>
        <w:spacing w:after="240"/>
        <w:ind w:left="987" w:hanging="269"/>
        <w:rPr>
          <w:bCs/>
          <w:lang w:val="pt-BR"/>
        </w:rPr>
      </w:pPr>
      <w:r w:rsidRPr="0013396E">
        <w:rPr>
          <w:bCs/>
          <w:lang w:val="pt-BR"/>
        </w:rPr>
        <w:t xml:space="preserve">EBPWAPRGEN </w:t>
      </w:r>
      <w:r w:rsidRPr="0013396E">
        <w:rPr>
          <w:bCs/>
          <w:i/>
          <w:vertAlign w:val="subscript"/>
          <w:lang w:val="pt-BR"/>
        </w:rPr>
        <w:t>q, r, p</w:t>
      </w:r>
      <w:r w:rsidRPr="0013396E">
        <w:rPr>
          <w:bCs/>
          <w:lang w:val="pt-BR"/>
        </w:rPr>
        <w:tab/>
      </w:r>
      <w:r w:rsidRPr="0013396E">
        <w:rPr>
          <w:bCs/>
          <w:lang w:val="pt-BR"/>
        </w:rPr>
        <w:tab/>
        <w:t xml:space="preserve">=  </w:t>
      </w:r>
      <w:r w:rsidRPr="0013396E">
        <w:rPr>
          <w:bCs/>
          <w:lang w:val="pt-BR"/>
        </w:rPr>
        <w:tab/>
      </w:r>
      <w:r w:rsidRPr="0013396E">
        <w:rPr>
          <w:bCs/>
          <w:position w:val="-22"/>
        </w:rPr>
        <w:object w:dxaOrig="225" w:dyaOrig="450" w14:anchorId="64786951">
          <v:shape id="_x0000_i1204" type="#_x0000_t75" style="width:12pt;height:24pt" o:ole="">
            <v:imagedata r:id="rId253" o:title=""/>
          </v:shape>
          <o:OLEObject Type="Embed" ProgID="Equation.3" ShapeID="_x0000_i1204" DrawAspect="Content" ObjectID="_1836311482" r:id="rId261"/>
        </w:object>
      </w:r>
      <w:r w:rsidRPr="0013396E">
        <w:rPr>
          <w:bCs/>
          <w:lang w:val="pt-BR"/>
        </w:rPr>
        <w:t xml:space="preserve">(EBPPR </w:t>
      </w:r>
      <w:r w:rsidRPr="0013396E">
        <w:rPr>
          <w:bCs/>
          <w:i/>
          <w:vertAlign w:val="subscript"/>
          <w:lang w:val="pt-BR"/>
        </w:rPr>
        <w:t>q, r, p, y</w:t>
      </w:r>
      <w:r w:rsidRPr="0013396E">
        <w:rPr>
          <w:bCs/>
          <w:lang w:val="pt-BR"/>
        </w:rPr>
        <w:t xml:space="preserve"> * Max (0.001, EBP </w:t>
      </w:r>
      <w:r w:rsidRPr="0013396E">
        <w:rPr>
          <w:bCs/>
          <w:i/>
          <w:vertAlign w:val="subscript"/>
          <w:lang w:val="pt-BR"/>
        </w:rPr>
        <w:t>q, r, p, y</w:t>
      </w:r>
      <w:r w:rsidRPr="0013396E">
        <w:rPr>
          <w:bCs/>
          <w:lang w:val="es-MX"/>
        </w:rPr>
        <w:t xml:space="preserve">) </w:t>
      </w:r>
      <w:r w:rsidRPr="0013396E">
        <w:rPr>
          <w:bCs/>
          <w:lang w:val="pt-BR"/>
        </w:rPr>
        <w:t xml:space="preserve">* TLMP </w:t>
      </w:r>
      <w:r w:rsidRPr="0013396E">
        <w:rPr>
          <w:bCs/>
          <w:i/>
          <w:vertAlign w:val="subscript"/>
          <w:lang w:val="pt-BR"/>
        </w:rPr>
        <w:t>y</w:t>
      </w:r>
      <w:r w:rsidRPr="0013396E">
        <w:rPr>
          <w:bCs/>
          <w:lang w:val="pt-BR"/>
        </w:rPr>
        <w:t xml:space="preserve">) </w:t>
      </w:r>
      <w:r w:rsidRPr="0013396E">
        <w:rPr>
          <w:b/>
          <w:bCs/>
          <w:sz w:val="32"/>
          <w:szCs w:val="32"/>
          <w:lang w:val="pt-BR"/>
        </w:rPr>
        <w:t>/</w:t>
      </w:r>
    </w:p>
    <w:p w14:paraId="33A53773" w14:textId="77777777" w:rsidR="00C236A2" w:rsidRPr="0013396E" w:rsidRDefault="00C236A2" w:rsidP="00C236A2">
      <w:pPr>
        <w:tabs>
          <w:tab w:val="left" w:pos="2340"/>
          <w:tab w:val="left" w:pos="2880"/>
        </w:tabs>
        <w:spacing w:after="240"/>
        <w:ind w:left="987" w:hanging="269"/>
        <w:rPr>
          <w:bCs/>
          <w:lang w:val="es-MX"/>
        </w:rPr>
      </w:pPr>
      <w:r w:rsidRPr="0013396E">
        <w:rPr>
          <w:bCs/>
        </w:rPr>
        <w:tab/>
      </w:r>
      <w:r w:rsidRPr="0013396E">
        <w:rPr>
          <w:bCs/>
        </w:rPr>
        <w:tab/>
      </w:r>
      <w:r w:rsidRPr="0013396E">
        <w:rPr>
          <w:bCs/>
        </w:rPr>
        <w:tab/>
      </w:r>
      <w:r w:rsidRPr="0013396E">
        <w:rPr>
          <w:bCs/>
        </w:rPr>
        <w:tab/>
      </w:r>
      <w:r w:rsidRPr="0013396E">
        <w:rPr>
          <w:bCs/>
          <w:position w:val="-22"/>
        </w:rPr>
        <w:object w:dxaOrig="225" w:dyaOrig="450" w14:anchorId="7A6D2BC7">
          <v:shape id="_x0000_i1205" type="#_x0000_t75" style="width:12pt;height:24pt" o:ole="">
            <v:imagedata r:id="rId255" o:title=""/>
          </v:shape>
          <o:OLEObject Type="Embed" ProgID="Equation.3" ShapeID="_x0000_i1205" DrawAspect="Content" ObjectID="_1836311483" r:id="rId262"/>
        </w:object>
      </w:r>
      <w:r w:rsidRPr="0013396E">
        <w:rPr>
          <w:bCs/>
          <w:lang w:val="es-MX"/>
        </w:rPr>
        <w:t>(</w:t>
      </w:r>
      <w:r w:rsidRPr="0013396E">
        <w:rPr>
          <w:bCs/>
          <w:lang w:val="pt-BR"/>
        </w:rPr>
        <w:t xml:space="preserve">Max (0.001, </w:t>
      </w:r>
      <w:r w:rsidRPr="0013396E">
        <w:rPr>
          <w:bCs/>
          <w:lang w:val="es-MX"/>
        </w:rPr>
        <w:t xml:space="preserve">EBP </w:t>
      </w:r>
      <w:r w:rsidRPr="0013396E">
        <w:rPr>
          <w:bCs/>
          <w:i/>
          <w:vertAlign w:val="subscript"/>
          <w:lang w:val="es-MX"/>
        </w:rPr>
        <w:t>q, r, p, y</w:t>
      </w:r>
      <w:r w:rsidRPr="0013396E">
        <w:rPr>
          <w:bCs/>
          <w:lang w:val="es-MX"/>
        </w:rPr>
        <w:t>)</w:t>
      </w:r>
      <w:r w:rsidRPr="0013396E">
        <w:rPr>
          <w:bCs/>
          <w:i/>
          <w:vertAlign w:val="subscript"/>
          <w:lang w:val="es-MX"/>
        </w:rPr>
        <w:t xml:space="preserve"> </w:t>
      </w:r>
      <w:r w:rsidRPr="0013396E">
        <w:rPr>
          <w:bCs/>
          <w:lang w:val="es-MX"/>
        </w:rPr>
        <w:t>* TLMP</w:t>
      </w:r>
      <w:r w:rsidRPr="0013396E">
        <w:rPr>
          <w:bCs/>
          <w:i/>
          <w:vertAlign w:val="subscript"/>
          <w:lang w:val="es-MX"/>
        </w:rPr>
        <w:t xml:space="preserve"> y</w:t>
      </w:r>
      <w:r w:rsidRPr="0013396E">
        <w:rPr>
          <w:bCs/>
          <w:lang w:val="es-MX"/>
        </w:rPr>
        <w:t>)</w:t>
      </w:r>
    </w:p>
    <w:p w14:paraId="644D017B" w14:textId="77777777" w:rsidR="00C236A2" w:rsidRPr="0013396E" w:rsidRDefault="00C236A2" w:rsidP="00C236A2">
      <w:pPr>
        <w:tabs>
          <w:tab w:val="left" w:pos="2340"/>
          <w:tab w:val="left" w:pos="2880"/>
        </w:tabs>
        <w:spacing w:after="240"/>
        <w:ind w:left="987" w:hanging="269"/>
        <w:rPr>
          <w:bCs/>
          <w:lang w:val="es-MX"/>
        </w:rPr>
      </w:pPr>
      <w:r w:rsidRPr="0013396E">
        <w:rPr>
          <w:bCs/>
          <w:lang w:val="pt-BR"/>
        </w:rPr>
        <w:lastRenderedPageBreak/>
        <w:t>EMREGEN</w:t>
      </w:r>
      <w:r w:rsidRPr="0013396E">
        <w:rPr>
          <w:bCs/>
          <w:lang w:val="es-MX"/>
        </w:rPr>
        <w:t xml:space="preserve"> </w:t>
      </w:r>
      <w:r w:rsidRPr="0013396E">
        <w:rPr>
          <w:bCs/>
          <w:i/>
          <w:vertAlign w:val="subscript"/>
          <w:lang w:val="es-MX"/>
        </w:rPr>
        <w:t>q, r, p</w:t>
      </w:r>
      <w:r w:rsidRPr="0013396E">
        <w:rPr>
          <w:bCs/>
          <w:lang w:val="es-MX"/>
        </w:rPr>
        <w:tab/>
      </w:r>
      <w:r w:rsidRPr="0013396E">
        <w:rPr>
          <w:bCs/>
          <w:lang w:val="es-MX"/>
        </w:rPr>
        <w:tab/>
        <w:t xml:space="preserve">=  </w:t>
      </w:r>
      <w:r w:rsidRPr="0013396E">
        <w:rPr>
          <w:bCs/>
          <w:lang w:val="es-MX"/>
        </w:rPr>
        <w:tab/>
        <w:t>Max (0, Min (</w:t>
      </w:r>
      <w:r w:rsidRPr="0013396E">
        <w:rPr>
          <w:bCs/>
          <w:lang w:val="pt-BR"/>
        </w:rPr>
        <w:t>AEBPGEN</w:t>
      </w:r>
      <w:r w:rsidRPr="0013396E">
        <w:rPr>
          <w:bCs/>
          <w:vertAlign w:val="subscript"/>
          <w:lang w:val="pt-BR"/>
        </w:rPr>
        <w:t xml:space="preserve"> </w:t>
      </w:r>
      <w:r w:rsidRPr="0013396E">
        <w:rPr>
          <w:bCs/>
          <w:i/>
          <w:vertAlign w:val="subscript"/>
          <w:lang w:val="pt-BR"/>
        </w:rPr>
        <w:t>q, r, p</w:t>
      </w:r>
      <w:r w:rsidRPr="0013396E">
        <w:rPr>
          <w:bCs/>
          <w:lang w:val="pt-BR"/>
        </w:rPr>
        <w:t>,</w:t>
      </w:r>
      <w:r w:rsidRPr="0013396E">
        <w:rPr>
          <w:bCs/>
          <w:lang w:val="es-MX"/>
        </w:rPr>
        <w:t xml:space="preserve"> RTMG </w:t>
      </w:r>
      <w:r w:rsidRPr="0013396E">
        <w:rPr>
          <w:bCs/>
          <w:i/>
          <w:vertAlign w:val="subscript"/>
          <w:lang w:val="es-MX"/>
        </w:rPr>
        <w:t>q, r, p</w:t>
      </w:r>
      <w:r w:rsidRPr="0013396E">
        <w:rPr>
          <w:bCs/>
          <w:lang w:val="es-MX"/>
        </w:rPr>
        <w:t>))</w:t>
      </w:r>
    </w:p>
    <w:p w14:paraId="793EA931" w14:textId="77777777" w:rsidR="00C236A2" w:rsidRPr="0013396E" w:rsidRDefault="00C236A2" w:rsidP="00C236A2">
      <w:pPr>
        <w:tabs>
          <w:tab w:val="left" w:pos="2340"/>
          <w:tab w:val="left" w:pos="2880"/>
        </w:tabs>
        <w:spacing w:after="240"/>
        <w:ind w:left="987" w:hanging="269"/>
        <w:rPr>
          <w:bCs/>
          <w:lang w:val="pt-BR"/>
        </w:rPr>
      </w:pPr>
      <w:r w:rsidRPr="0013396E">
        <w:rPr>
          <w:bCs/>
          <w:lang w:val="pt-BR"/>
        </w:rPr>
        <w:t>AEBPGEN</w:t>
      </w:r>
      <w:r w:rsidRPr="0013396E">
        <w:rPr>
          <w:bCs/>
          <w:vertAlign w:val="subscript"/>
          <w:lang w:val="pt-BR"/>
        </w:rPr>
        <w:t xml:space="preserve"> </w:t>
      </w:r>
      <w:r w:rsidRPr="0013396E">
        <w:rPr>
          <w:bCs/>
          <w:i/>
          <w:vertAlign w:val="subscript"/>
          <w:lang w:val="pt-BR"/>
        </w:rPr>
        <w:t>q, r, p</w:t>
      </w:r>
      <w:r w:rsidRPr="0013396E">
        <w:rPr>
          <w:bCs/>
          <w:lang w:val="pt-BR"/>
        </w:rPr>
        <w:tab/>
      </w:r>
      <w:r w:rsidRPr="0013396E">
        <w:rPr>
          <w:bCs/>
          <w:lang w:val="pt-BR"/>
        </w:rPr>
        <w:tab/>
        <w:t xml:space="preserve">= </w:t>
      </w:r>
      <w:r w:rsidRPr="0013396E">
        <w:rPr>
          <w:bCs/>
          <w:lang w:val="pt-BR"/>
        </w:rPr>
        <w:tab/>
        <w:t xml:space="preserve"> </w:t>
      </w:r>
      <w:r w:rsidRPr="0013396E">
        <w:rPr>
          <w:bCs/>
          <w:position w:val="-22"/>
        </w:rPr>
        <w:object w:dxaOrig="225" w:dyaOrig="450" w14:anchorId="49356BF3">
          <v:shape id="_x0000_i1206" type="#_x0000_t75" style="width:12pt;height:24pt" o:ole="">
            <v:imagedata r:id="rId255" o:title=""/>
          </v:shape>
          <o:OLEObject Type="Embed" ProgID="Equation.3" ShapeID="_x0000_i1206" DrawAspect="Content" ObjectID="_1836311484" r:id="rId263"/>
        </w:object>
      </w:r>
      <w:r w:rsidRPr="0013396E">
        <w:rPr>
          <w:bCs/>
          <w:lang w:val="pt-BR"/>
        </w:rPr>
        <w:t xml:space="preserve"> (Max (0, EBP </w:t>
      </w:r>
      <w:r w:rsidRPr="0013396E">
        <w:rPr>
          <w:bCs/>
          <w:i/>
          <w:vertAlign w:val="subscript"/>
          <w:lang w:val="pt-BR"/>
        </w:rPr>
        <w:t>q, r, p, y</w:t>
      </w:r>
      <w:r w:rsidRPr="0013396E">
        <w:rPr>
          <w:bCs/>
          <w:lang w:val="pt-BR"/>
        </w:rPr>
        <w:t>) * TLMP</w:t>
      </w:r>
      <w:r w:rsidRPr="0013396E">
        <w:rPr>
          <w:bCs/>
          <w:i/>
          <w:vertAlign w:val="subscript"/>
          <w:lang w:val="pt-BR"/>
        </w:rPr>
        <w:t>y</w:t>
      </w:r>
      <w:r w:rsidRPr="0013396E">
        <w:rPr>
          <w:bCs/>
          <w:lang w:val="pt-BR"/>
        </w:rPr>
        <w:t xml:space="preserve"> / 3600)</w:t>
      </w:r>
    </w:p>
    <w:p w14:paraId="73EDB103" w14:textId="77777777" w:rsidR="00C236A2" w:rsidRPr="0013396E" w:rsidRDefault="00C236A2" w:rsidP="00C236A2">
      <w:pPr>
        <w:tabs>
          <w:tab w:val="left" w:pos="2340"/>
          <w:tab w:val="left" w:pos="2880"/>
        </w:tabs>
        <w:spacing w:after="240"/>
        <w:ind w:left="987" w:hanging="269"/>
        <w:rPr>
          <w:bCs/>
          <w:lang w:val="pt-BR"/>
        </w:rPr>
      </w:pPr>
      <w:r w:rsidRPr="0013396E">
        <w:rPr>
          <w:bCs/>
          <w:lang w:val="pt-BR"/>
        </w:rPr>
        <w:t>If any EBP &lt; 0 then:</w:t>
      </w:r>
    </w:p>
    <w:p w14:paraId="00ACB5CE" w14:textId="77777777" w:rsidR="00C236A2" w:rsidRPr="0013396E" w:rsidRDefault="00C236A2" w:rsidP="00C236A2">
      <w:pPr>
        <w:tabs>
          <w:tab w:val="left" w:pos="2340"/>
          <w:tab w:val="left" w:pos="2880"/>
        </w:tabs>
        <w:spacing w:after="240"/>
        <w:ind w:left="987" w:hanging="269"/>
        <w:rPr>
          <w:b/>
          <w:bCs/>
          <w:sz w:val="32"/>
          <w:szCs w:val="32"/>
          <w:lang w:val="pt-BR"/>
        </w:rPr>
      </w:pPr>
      <w:r w:rsidRPr="0013396E">
        <w:rPr>
          <w:bCs/>
          <w:lang w:val="pt-BR"/>
        </w:rPr>
        <w:t xml:space="preserve">EBPWAPRLOAD </w:t>
      </w:r>
      <w:r w:rsidRPr="0013396E">
        <w:rPr>
          <w:bCs/>
          <w:i/>
          <w:vertAlign w:val="subscript"/>
          <w:lang w:val="pt-BR"/>
        </w:rPr>
        <w:t>q, r, p</w:t>
      </w:r>
      <w:r w:rsidRPr="0013396E">
        <w:rPr>
          <w:bCs/>
          <w:lang w:val="pt-BR"/>
        </w:rPr>
        <w:tab/>
        <w:t>=</w:t>
      </w:r>
      <w:r w:rsidRPr="0013396E">
        <w:rPr>
          <w:bCs/>
          <w:lang w:val="pt-BR"/>
        </w:rPr>
        <w:tab/>
      </w:r>
      <w:r w:rsidRPr="0013396E">
        <w:rPr>
          <w:bCs/>
          <w:position w:val="-22"/>
        </w:rPr>
        <w:object w:dxaOrig="225" w:dyaOrig="450" w14:anchorId="217B3075">
          <v:shape id="_x0000_i1207" type="#_x0000_t75" style="width:12pt;height:24pt" o:ole="">
            <v:imagedata r:id="rId253" o:title=""/>
          </v:shape>
          <o:OLEObject Type="Embed" ProgID="Equation.3" ShapeID="_x0000_i1207" DrawAspect="Content" ObjectID="_1836311485" r:id="rId264"/>
        </w:object>
      </w:r>
      <w:r w:rsidRPr="0013396E">
        <w:rPr>
          <w:bCs/>
          <w:lang w:val="pt-BR"/>
        </w:rPr>
        <w:t xml:space="preserve">(EBPPR </w:t>
      </w:r>
      <w:r w:rsidRPr="0013396E">
        <w:rPr>
          <w:bCs/>
          <w:i/>
          <w:vertAlign w:val="subscript"/>
          <w:lang w:val="pt-BR"/>
        </w:rPr>
        <w:t>q, r, p, y</w:t>
      </w:r>
      <w:r w:rsidRPr="0013396E">
        <w:rPr>
          <w:bCs/>
          <w:lang w:val="pt-BR"/>
        </w:rPr>
        <w:t xml:space="preserve"> * Min (-0.001, EBP </w:t>
      </w:r>
      <w:r w:rsidRPr="0013396E">
        <w:rPr>
          <w:bCs/>
          <w:i/>
          <w:vertAlign w:val="subscript"/>
          <w:lang w:val="pt-BR"/>
        </w:rPr>
        <w:t>q, r, p, y</w:t>
      </w:r>
      <w:r w:rsidRPr="0013396E">
        <w:rPr>
          <w:bCs/>
          <w:lang w:val="pt-BR"/>
        </w:rPr>
        <w:t xml:space="preserve">) * TLMP </w:t>
      </w:r>
      <w:r w:rsidRPr="0013396E">
        <w:rPr>
          <w:bCs/>
          <w:i/>
          <w:vertAlign w:val="subscript"/>
          <w:lang w:val="pt-BR"/>
        </w:rPr>
        <w:t>y</w:t>
      </w:r>
      <w:r w:rsidRPr="0013396E">
        <w:rPr>
          <w:bCs/>
          <w:lang w:val="pt-BR"/>
        </w:rPr>
        <w:t xml:space="preserve">) </w:t>
      </w:r>
      <w:r w:rsidRPr="0013396E">
        <w:rPr>
          <w:b/>
          <w:bCs/>
          <w:sz w:val="32"/>
          <w:szCs w:val="32"/>
          <w:lang w:val="pt-BR"/>
        </w:rPr>
        <w:t>/</w:t>
      </w:r>
    </w:p>
    <w:p w14:paraId="7CC76118" w14:textId="77777777" w:rsidR="00C236A2" w:rsidRPr="0013396E" w:rsidRDefault="00C236A2" w:rsidP="00C236A2">
      <w:pPr>
        <w:tabs>
          <w:tab w:val="left" w:pos="2340"/>
          <w:tab w:val="left" w:pos="2880"/>
        </w:tabs>
        <w:spacing w:after="240"/>
        <w:ind w:left="987" w:hanging="269"/>
        <w:rPr>
          <w:bCs/>
          <w:lang w:val="es-MX"/>
        </w:rPr>
      </w:pPr>
      <w:r w:rsidRPr="0013396E">
        <w:rPr>
          <w:bCs/>
          <w:lang w:val="pt-BR"/>
        </w:rPr>
        <w:tab/>
      </w:r>
      <w:r w:rsidRPr="0013396E">
        <w:rPr>
          <w:bCs/>
          <w:lang w:val="pt-BR"/>
        </w:rPr>
        <w:tab/>
      </w:r>
      <w:r w:rsidRPr="0013396E">
        <w:rPr>
          <w:bCs/>
          <w:lang w:val="pt-BR"/>
        </w:rPr>
        <w:tab/>
      </w:r>
      <w:r w:rsidRPr="0013396E">
        <w:rPr>
          <w:bCs/>
          <w:lang w:val="pt-BR"/>
        </w:rPr>
        <w:tab/>
      </w:r>
      <w:r w:rsidRPr="0013396E">
        <w:rPr>
          <w:bCs/>
          <w:lang w:val="pt-BR"/>
        </w:rPr>
        <w:tab/>
      </w:r>
      <w:r w:rsidRPr="0013396E">
        <w:rPr>
          <w:bCs/>
          <w:position w:val="-22"/>
        </w:rPr>
        <w:object w:dxaOrig="225" w:dyaOrig="450" w14:anchorId="0DFEB08E">
          <v:shape id="_x0000_i1208" type="#_x0000_t75" style="width:12pt;height:24pt" o:ole="">
            <v:imagedata r:id="rId255" o:title=""/>
          </v:shape>
          <o:OLEObject Type="Embed" ProgID="Equation.3" ShapeID="_x0000_i1208" DrawAspect="Content" ObjectID="_1836311486" r:id="rId265"/>
        </w:object>
      </w:r>
      <w:r w:rsidRPr="0013396E">
        <w:rPr>
          <w:bCs/>
          <w:lang w:val="es-MX"/>
        </w:rPr>
        <w:t>(</w:t>
      </w:r>
      <w:r w:rsidRPr="0013396E">
        <w:rPr>
          <w:bCs/>
          <w:lang w:val="pt-BR"/>
        </w:rPr>
        <w:t xml:space="preserve">Min (-0.001, </w:t>
      </w:r>
      <w:r w:rsidRPr="0013396E">
        <w:rPr>
          <w:bCs/>
          <w:lang w:val="es-MX"/>
        </w:rPr>
        <w:t xml:space="preserve">EBP </w:t>
      </w:r>
      <w:r w:rsidRPr="0013396E">
        <w:rPr>
          <w:bCs/>
          <w:i/>
          <w:vertAlign w:val="subscript"/>
          <w:lang w:val="es-MX"/>
        </w:rPr>
        <w:t>q, r, p, y</w:t>
      </w:r>
      <w:r w:rsidRPr="0013396E">
        <w:rPr>
          <w:bCs/>
          <w:lang w:val="es-MX"/>
        </w:rPr>
        <w:t>)</w:t>
      </w:r>
      <w:r w:rsidRPr="0013396E">
        <w:rPr>
          <w:bCs/>
          <w:i/>
          <w:vertAlign w:val="subscript"/>
          <w:lang w:val="es-MX"/>
        </w:rPr>
        <w:t xml:space="preserve"> </w:t>
      </w:r>
      <w:r w:rsidRPr="0013396E">
        <w:rPr>
          <w:bCs/>
          <w:lang w:val="es-MX"/>
        </w:rPr>
        <w:t>* TLMP</w:t>
      </w:r>
      <w:r w:rsidRPr="0013396E">
        <w:rPr>
          <w:bCs/>
          <w:i/>
          <w:vertAlign w:val="subscript"/>
          <w:lang w:val="es-MX"/>
        </w:rPr>
        <w:t xml:space="preserve"> y</w:t>
      </w:r>
      <w:r w:rsidRPr="0013396E">
        <w:rPr>
          <w:bCs/>
          <w:lang w:val="es-MX"/>
        </w:rPr>
        <w:t>)</w:t>
      </w:r>
    </w:p>
    <w:p w14:paraId="07E4DDF1" w14:textId="77777777" w:rsidR="00C236A2" w:rsidRPr="0013396E" w:rsidRDefault="00C236A2" w:rsidP="00C236A2">
      <w:pPr>
        <w:tabs>
          <w:tab w:val="left" w:pos="2340"/>
          <w:tab w:val="left" w:pos="2880"/>
        </w:tabs>
        <w:spacing w:after="240"/>
        <w:ind w:left="987" w:hanging="269"/>
        <w:rPr>
          <w:bCs/>
          <w:lang w:val="es-MX"/>
        </w:rPr>
      </w:pPr>
      <w:r w:rsidRPr="0013396E">
        <w:rPr>
          <w:bCs/>
          <w:lang w:val="pt-BR"/>
        </w:rPr>
        <w:t>EMRELOAD</w:t>
      </w:r>
      <w:r w:rsidRPr="0013396E">
        <w:rPr>
          <w:bCs/>
          <w:lang w:val="es-MX"/>
        </w:rPr>
        <w:t xml:space="preserve"> </w:t>
      </w:r>
      <w:r w:rsidRPr="0013396E">
        <w:rPr>
          <w:bCs/>
          <w:i/>
          <w:vertAlign w:val="subscript"/>
          <w:lang w:val="es-MX"/>
        </w:rPr>
        <w:t>q, r, p</w:t>
      </w:r>
      <w:r w:rsidRPr="0013396E">
        <w:rPr>
          <w:bCs/>
          <w:lang w:val="es-MX"/>
        </w:rPr>
        <w:tab/>
        <w:t>=</w:t>
      </w:r>
      <w:r w:rsidRPr="0013396E">
        <w:rPr>
          <w:bCs/>
          <w:lang w:val="es-MX"/>
        </w:rPr>
        <w:tab/>
        <w:t>Min (0, Max (</w:t>
      </w:r>
      <w:r w:rsidRPr="0013396E">
        <w:rPr>
          <w:bCs/>
          <w:lang w:val="pt-BR"/>
        </w:rPr>
        <w:t>AEBPLOAD</w:t>
      </w:r>
      <w:r w:rsidRPr="0013396E">
        <w:rPr>
          <w:bCs/>
          <w:vertAlign w:val="subscript"/>
          <w:lang w:val="pt-BR"/>
        </w:rPr>
        <w:t xml:space="preserve"> </w:t>
      </w:r>
      <w:r w:rsidRPr="0013396E">
        <w:rPr>
          <w:bCs/>
          <w:i/>
          <w:vertAlign w:val="subscript"/>
          <w:lang w:val="pt-BR"/>
        </w:rPr>
        <w:t>q, r, p</w:t>
      </w:r>
      <w:r w:rsidRPr="0013396E">
        <w:rPr>
          <w:bCs/>
          <w:lang w:val="pt-BR"/>
        </w:rPr>
        <w:t>,</w:t>
      </w:r>
      <w:r w:rsidRPr="0013396E">
        <w:rPr>
          <w:bCs/>
          <w:lang w:val="es-MX"/>
        </w:rPr>
        <w:t xml:space="preserve"> RTCL </w:t>
      </w:r>
      <w:r w:rsidRPr="0013396E">
        <w:rPr>
          <w:bCs/>
          <w:i/>
          <w:vertAlign w:val="subscript"/>
          <w:lang w:val="es-MX"/>
        </w:rPr>
        <w:t>q, r, p</w:t>
      </w:r>
      <w:r w:rsidRPr="0013396E">
        <w:rPr>
          <w:bCs/>
          <w:lang w:val="es-MX"/>
        </w:rPr>
        <w:t>))</w:t>
      </w:r>
    </w:p>
    <w:p w14:paraId="72232E1B" w14:textId="77777777" w:rsidR="00C236A2" w:rsidRPr="0013396E" w:rsidRDefault="00C236A2" w:rsidP="00C236A2">
      <w:pPr>
        <w:tabs>
          <w:tab w:val="left" w:pos="2340"/>
          <w:tab w:val="left" w:pos="2880"/>
        </w:tabs>
        <w:spacing w:after="240"/>
        <w:ind w:left="987" w:hanging="269"/>
        <w:rPr>
          <w:bCs/>
          <w:lang w:val="pt-BR"/>
        </w:rPr>
      </w:pPr>
      <w:r w:rsidRPr="0013396E">
        <w:rPr>
          <w:bCs/>
          <w:lang w:val="pt-BR"/>
        </w:rPr>
        <w:t>AEBPLOAD</w:t>
      </w:r>
      <w:r w:rsidRPr="0013396E">
        <w:rPr>
          <w:bCs/>
          <w:i/>
          <w:vertAlign w:val="subscript"/>
          <w:lang w:val="pt-BR"/>
        </w:rPr>
        <w:t xml:space="preserve"> q, r, p</w:t>
      </w:r>
      <w:r w:rsidRPr="0013396E">
        <w:rPr>
          <w:bCs/>
          <w:lang w:val="pt-BR"/>
        </w:rPr>
        <w:tab/>
        <w:t>=</w:t>
      </w:r>
      <w:r w:rsidRPr="0013396E">
        <w:rPr>
          <w:bCs/>
          <w:lang w:val="pt-BR"/>
        </w:rPr>
        <w:tab/>
      </w:r>
      <w:r w:rsidRPr="0013396E">
        <w:rPr>
          <w:bCs/>
          <w:position w:val="-22"/>
        </w:rPr>
        <w:object w:dxaOrig="225" w:dyaOrig="450" w14:anchorId="7EC7E5F7">
          <v:shape id="_x0000_i1209" type="#_x0000_t75" style="width:12pt;height:24pt" o:ole="">
            <v:imagedata r:id="rId255" o:title=""/>
          </v:shape>
          <o:OLEObject Type="Embed" ProgID="Equation.3" ShapeID="_x0000_i1209" DrawAspect="Content" ObjectID="_1836311487" r:id="rId266"/>
        </w:object>
      </w:r>
      <w:r w:rsidRPr="0013396E">
        <w:rPr>
          <w:bCs/>
          <w:lang w:val="pt-BR"/>
        </w:rPr>
        <w:t xml:space="preserve"> (Min (0, EBP </w:t>
      </w:r>
      <w:r w:rsidRPr="0013396E">
        <w:rPr>
          <w:bCs/>
          <w:i/>
          <w:vertAlign w:val="subscript"/>
          <w:lang w:val="pt-BR"/>
        </w:rPr>
        <w:t>q, r, p, y</w:t>
      </w:r>
      <w:r w:rsidRPr="0013396E">
        <w:rPr>
          <w:bCs/>
          <w:lang w:val="pt-BR"/>
        </w:rPr>
        <w:t>) * TLMP</w:t>
      </w:r>
      <w:r w:rsidRPr="0013396E">
        <w:rPr>
          <w:bCs/>
          <w:i/>
          <w:vertAlign w:val="subscript"/>
          <w:lang w:val="pt-BR"/>
        </w:rPr>
        <w:t>y</w:t>
      </w:r>
      <w:r w:rsidRPr="0013396E">
        <w:rPr>
          <w:bCs/>
          <w:lang w:val="pt-BR"/>
        </w:rPr>
        <w:t xml:space="preserve"> / 3600)</w:t>
      </w:r>
    </w:p>
    <w:p w14:paraId="4AACAD8E" w14:textId="77777777" w:rsidR="00C236A2" w:rsidRPr="0013396E" w:rsidRDefault="00C236A2" w:rsidP="00C236A2">
      <w:pPr>
        <w:spacing w:after="240"/>
        <w:ind w:left="1440" w:hanging="720"/>
        <w:rPr>
          <w:lang w:val="pt-BR"/>
        </w:rPr>
      </w:pPr>
      <w:r w:rsidRPr="0013396E">
        <w:rPr>
          <w:lang w:val="pt-BR"/>
        </w:rPr>
        <w:t>(b)</w:t>
      </w:r>
      <w:r w:rsidRPr="0013396E">
        <w:rPr>
          <w:lang w:val="pt-BR"/>
        </w:rPr>
        <w:tab/>
        <w:t>Where the Real-Time Ancillary Services Net Revenue is calculated as follows:</w:t>
      </w:r>
    </w:p>
    <w:p w14:paraId="5D8B0237" w14:textId="77777777" w:rsidR="00C236A2" w:rsidRPr="0013396E" w:rsidRDefault="00C236A2" w:rsidP="00C236A2">
      <w:pPr>
        <w:tabs>
          <w:tab w:val="left" w:pos="2790"/>
        </w:tabs>
        <w:spacing w:after="240"/>
        <w:ind w:left="3600" w:hanging="2880"/>
        <w:rPr>
          <w:lang w:val="pt-BR"/>
        </w:rPr>
      </w:pPr>
      <w:r w:rsidRPr="0013396E">
        <w:rPr>
          <w:lang w:val="pt-BR"/>
        </w:rPr>
        <w:t>RTASNET</w:t>
      </w:r>
      <w:r w:rsidRPr="0013396E">
        <w:rPr>
          <w:b/>
          <w:bCs/>
          <w:i/>
          <w:iCs/>
          <w:sz w:val="16"/>
          <w:szCs w:val="16"/>
          <w:lang w:val="pt-BR"/>
        </w:rPr>
        <w:t xml:space="preserve"> </w:t>
      </w:r>
      <w:r w:rsidRPr="0013396E">
        <w:rPr>
          <w:bCs/>
          <w:i/>
          <w:iCs/>
          <w:sz w:val="16"/>
          <w:szCs w:val="16"/>
          <w:lang w:val="pt-BR"/>
        </w:rPr>
        <w:t xml:space="preserve">q, r </w:t>
      </w:r>
      <w:r w:rsidRPr="0013396E">
        <w:rPr>
          <w:bCs/>
          <w:i/>
          <w:iCs/>
          <w:sz w:val="16"/>
          <w:szCs w:val="16"/>
          <w:lang w:val="pt-BR"/>
        </w:rPr>
        <w:tab/>
        <w:t xml:space="preserve">  </w:t>
      </w:r>
      <w:r w:rsidRPr="0013396E">
        <w:rPr>
          <w:bCs/>
          <w:iCs/>
          <w:sz w:val="20"/>
          <w:szCs w:val="16"/>
          <w:lang w:val="pt-BR"/>
        </w:rPr>
        <w:t xml:space="preserve">=  </w:t>
      </w:r>
      <w:r w:rsidRPr="0013396E">
        <w:rPr>
          <w:bCs/>
          <w:iCs/>
          <w:sz w:val="20"/>
          <w:szCs w:val="16"/>
          <w:lang w:val="pt-BR"/>
        </w:rPr>
        <w:tab/>
      </w:r>
      <w:r w:rsidRPr="0013396E">
        <w:rPr>
          <w:bCs/>
          <w:iCs/>
          <w:lang w:val="pt-BR"/>
        </w:rPr>
        <w:t xml:space="preserve">RTRUNET </w:t>
      </w:r>
      <w:r w:rsidRPr="0013396E">
        <w:rPr>
          <w:bCs/>
          <w:i/>
          <w:iCs/>
          <w:vertAlign w:val="subscript"/>
          <w:lang w:val="pt-BR"/>
        </w:rPr>
        <w:t>q, r</w:t>
      </w:r>
      <w:r w:rsidRPr="0013396E">
        <w:rPr>
          <w:bCs/>
          <w:iCs/>
          <w:vertAlign w:val="subscript"/>
          <w:lang w:val="pt-BR"/>
        </w:rPr>
        <w:t xml:space="preserve"> </w:t>
      </w:r>
      <w:r w:rsidRPr="0013396E">
        <w:rPr>
          <w:bCs/>
          <w:iCs/>
          <w:lang w:val="pt-BR"/>
        </w:rPr>
        <w:t xml:space="preserve">+ RTRDNET </w:t>
      </w:r>
      <w:r w:rsidRPr="0013396E">
        <w:rPr>
          <w:bCs/>
          <w:i/>
          <w:iCs/>
          <w:vertAlign w:val="subscript"/>
          <w:lang w:val="pt-BR"/>
        </w:rPr>
        <w:t xml:space="preserve">q, r </w:t>
      </w:r>
      <w:r w:rsidRPr="0013396E">
        <w:rPr>
          <w:bCs/>
          <w:iCs/>
          <w:lang w:val="pt-BR"/>
        </w:rPr>
        <w:t xml:space="preserve">+ RTNSNET </w:t>
      </w:r>
      <w:r w:rsidRPr="0013396E">
        <w:rPr>
          <w:bCs/>
          <w:i/>
          <w:iCs/>
          <w:vertAlign w:val="subscript"/>
          <w:lang w:val="pt-BR"/>
        </w:rPr>
        <w:t>q, r</w:t>
      </w:r>
      <w:r w:rsidRPr="0013396E">
        <w:rPr>
          <w:bCs/>
          <w:iCs/>
          <w:lang w:val="pt-BR"/>
        </w:rPr>
        <w:t xml:space="preserve"> + RTRRNET </w:t>
      </w:r>
      <w:r w:rsidRPr="0013396E">
        <w:rPr>
          <w:bCs/>
          <w:i/>
          <w:iCs/>
          <w:vertAlign w:val="subscript"/>
          <w:lang w:val="pt-BR"/>
        </w:rPr>
        <w:t>q, r</w:t>
      </w:r>
      <w:r w:rsidRPr="0013396E">
        <w:rPr>
          <w:bCs/>
          <w:iCs/>
          <w:lang w:val="pt-BR"/>
        </w:rPr>
        <w:t xml:space="preserve"> + RTECRNET </w:t>
      </w:r>
      <w:r w:rsidRPr="0013396E">
        <w:rPr>
          <w:bCs/>
          <w:i/>
          <w:iCs/>
          <w:vertAlign w:val="subscript"/>
          <w:lang w:val="pt-BR"/>
        </w:rPr>
        <w:t>q, r</w:t>
      </w:r>
    </w:p>
    <w:p w14:paraId="38E0EBD2" w14:textId="77777777" w:rsidR="00C236A2" w:rsidRPr="0013396E" w:rsidRDefault="00C236A2" w:rsidP="00C236A2">
      <w:pPr>
        <w:tabs>
          <w:tab w:val="left" w:pos="2340"/>
          <w:tab w:val="left" w:pos="2880"/>
        </w:tabs>
        <w:spacing w:after="240"/>
        <w:ind w:left="987" w:hanging="269"/>
        <w:rPr>
          <w:bCs/>
        </w:rPr>
      </w:pPr>
      <w:r w:rsidRPr="0013396E">
        <w:rPr>
          <w:bCs/>
        </w:rPr>
        <w:t>Where for Reg-Up:</w:t>
      </w:r>
    </w:p>
    <w:p w14:paraId="27C3AA16" w14:textId="77777777" w:rsidR="00C236A2" w:rsidRPr="0013396E" w:rsidRDefault="00C236A2" w:rsidP="00C236A2">
      <w:pPr>
        <w:tabs>
          <w:tab w:val="left" w:pos="2340"/>
          <w:tab w:val="left" w:pos="2880"/>
        </w:tabs>
        <w:spacing w:after="240"/>
        <w:ind w:left="987" w:hanging="269"/>
        <w:rPr>
          <w:bCs/>
          <w:i/>
          <w:vertAlign w:val="subscript"/>
        </w:rPr>
      </w:pPr>
      <w:r w:rsidRPr="0013396E">
        <w:rPr>
          <w:bCs/>
        </w:rPr>
        <w:t xml:space="preserve">RTRUNET </w:t>
      </w:r>
      <w:r w:rsidRPr="0013396E">
        <w:rPr>
          <w:bCs/>
          <w:i/>
          <w:iCs/>
          <w:sz w:val="16"/>
          <w:szCs w:val="16"/>
        </w:rPr>
        <w:t xml:space="preserve">q, r </w:t>
      </w:r>
      <w:r w:rsidRPr="0013396E">
        <w:rPr>
          <w:bCs/>
        </w:rPr>
        <w:t xml:space="preserve"> </w:t>
      </w:r>
      <w:r w:rsidRPr="0013396E">
        <w:rPr>
          <w:bCs/>
        </w:rPr>
        <w:tab/>
      </w:r>
      <w:r w:rsidRPr="0013396E">
        <w:rPr>
          <w:bCs/>
        </w:rPr>
        <w:tab/>
        <w:t xml:space="preserve">= </w:t>
      </w:r>
      <w:r w:rsidRPr="0013396E">
        <w:rPr>
          <w:bCs/>
        </w:rPr>
        <w:tab/>
      </w:r>
      <w:r w:rsidRPr="0013396E">
        <w:rPr>
          <w:bCs/>
          <w:lang w:val="pt-BR"/>
        </w:rPr>
        <w:t xml:space="preserve">RTRUREV </w:t>
      </w:r>
      <w:r w:rsidRPr="0013396E">
        <w:rPr>
          <w:bCs/>
          <w:i/>
          <w:vertAlign w:val="subscript"/>
          <w:lang w:val="pt-BR"/>
        </w:rPr>
        <w:t xml:space="preserve">q, r </w:t>
      </w:r>
      <w:r w:rsidRPr="0013396E">
        <w:rPr>
          <w:bCs/>
        </w:rPr>
        <w:t>- (</w:t>
      </w:r>
      <w:r w:rsidRPr="0013396E">
        <w:rPr>
          <w:bCs/>
          <w:lang w:val="es-MX"/>
        </w:rPr>
        <w:t>¼</w:t>
      </w:r>
      <w:r w:rsidRPr="0013396E">
        <w:rPr>
          <w:bCs/>
        </w:rPr>
        <w:t xml:space="preserve">) * RTRUREVT </w:t>
      </w:r>
      <w:r w:rsidRPr="0013396E">
        <w:rPr>
          <w:bCs/>
          <w:i/>
          <w:iCs/>
          <w:sz w:val="16"/>
          <w:szCs w:val="16"/>
        </w:rPr>
        <w:t>q, r, p</w:t>
      </w:r>
      <w:r w:rsidRPr="0013396E">
        <w:rPr>
          <w:bCs/>
          <w:i/>
          <w:vertAlign w:val="subscript"/>
        </w:rPr>
        <w:t xml:space="preserve"> </w:t>
      </w:r>
    </w:p>
    <w:p w14:paraId="1860DCD2" w14:textId="77777777" w:rsidR="00C236A2" w:rsidRPr="0013396E" w:rsidRDefault="00C236A2" w:rsidP="00C236A2">
      <w:pPr>
        <w:tabs>
          <w:tab w:val="left" w:pos="2340"/>
          <w:tab w:val="left" w:pos="2880"/>
        </w:tabs>
        <w:spacing w:after="240"/>
        <w:ind w:left="987" w:hanging="269"/>
        <w:rPr>
          <w:bCs/>
          <w:lang w:val="pt-BR"/>
        </w:rPr>
      </w:pPr>
      <w:r w:rsidRPr="0013396E">
        <w:rPr>
          <w:bCs/>
          <w:lang w:val="pt-BR"/>
        </w:rPr>
        <w:t>RTRUREVT</w:t>
      </w:r>
      <w:r w:rsidRPr="0013396E">
        <w:rPr>
          <w:bCs/>
          <w:i/>
          <w:vertAlign w:val="subscript"/>
          <w:lang w:val="pt-BR"/>
        </w:rPr>
        <w:t>q, r, p</w:t>
      </w:r>
      <w:r w:rsidRPr="0013396E">
        <w:rPr>
          <w:bCs/>
          <w:lang w:val="pt-BR"/>
        </w:rPr>
        <w:tab/>
        <w:t>=</w:t>
      </w:r>
      <w:r w:rsidRPr="0013396E">
        <w:rPr>
          <w:bCs/>
          <w:lang w:val="pt-BR"/>
        </w:rPr>
        <w:tab/>
        <w:t xml:space="preserve">RTRUWAPR </w:t>
      </w:r>
      <w:r w:rsidRPr="0013396E">
        <w:rPr>
          <w:bCs/>
          <w:i/>
          <w:vertAlign w:val="subscript"/>
          <w:lang w:val="pt-BR"/>
        </w:rPr>
        <w:t>q, r, p</w:t>
      </w:r>
      <w:r w:rsidRPr="0013396E">
        <w:rPr>
          <w:bCs/>
          <w:lang w:val="pt-BR"/>
        </w:rPr>
        <w:t xml:space="preserve"> * RTRUAWD </w:t>
      </w:r>
      <w:r w:rsidRPr="0013396E">
        <w:rPr>
          <w:bCs/>
          <w:i/>
          <w:vertAlign w:val="subscript"/>
          <w:lang w:val="pt-BR"/>
        </w:rPr>
        <w:t>q, r</w:t>
      </w:r>
    </w:p>
    <w:p w14:paraId="57041B10" w14:textId="77777777" w:rsidR="00C236A2" w:rsidRPr="0013396E" w:rsidRDefault="00C236A2" w:rsidP="00C236A2">
      <w:pPr>
        <w:tabs>
          <w:tab w:val="left" w:pos="2340"/>
          <w:tab w:val="left" w:pos="2880"/>
        </w:tabs>
        <w:spacing w:after="240"/>
        <w:ind w:left="987" w:hanging="269"/>
        <w:rPr>
          <w:bCs/>
          <w:lang w:val="pt-BR"/>
        </w:rPr>
      </w:pPr>
      <w:r w:rsidRPr="0013396E">
        <w:rPr>
          <w:bCs/>
          <w:lang w:val="pt-BR"/>
        </w:rPr>
        <w:t xml:space="preserve">RTRUWAPR </w:t>
      </w:r>
      <w:r w:rsidRPr="0013396E">
        <w:rPr>
          <w:bCs/>
          <w:i/>
          <w:vertAlign w:val="subscript"/>
          <w:lang w:val="pt-BR"/>
        </w:rPr>
        <w:t>q, r, p</w:t>
      </w:r>
      <w:r w:rsidRPr="0013396E">
        <w:rPr>
          <w:bCs/>
          <w:lang w:val="pt-BR"/>
        </w:rPr>
        <w:tab/>
        <w:t xml:space="preserve">= </w:t>
      </w:r>
      <w:r w:rsidRPr="0013396E">
        <w:rPr>
          <w:bCs/>
          <w:lang w:val="pt-BR"/>
        </w:rPr>
        <w:tab/>
        <w:t xml:space="preserve"> </w:t>
      </w:r>
      <w:r w:rsidRPr="0013396E">
        <w:rPr>
          <w:bCs/>
          <w:position w:val="-22"/>
        </w:rPr>
        <w:object w:dxaOrig="225" w:dyaOrig="450" w14:anchorId="55CE1F47">
          <v:shape id="_x0000_i1210" type="#_x0000_t75" style="width:12pt;height:24pt" o:ole="">
            <v:imagedata r:id="rId253" o:title=""/>
          </v:shape>
          <o:OLEObject Type="Embed" ProgID="Equation.3" ShapeID="_x0000_i1210" DrawAspect="Content" ObjectID="_1836311488" r:id="rId267"/>
        </w:object>
      </w:r>
      <w:r w:rsidRPr="0013396E">
        <w:rPr>
          <w:bCs/>
          <w:lang w:val="pt-BR"/>
        </w:rPr>
        <w:t xml:space="preserve">(RTRUOPR </w:t>
      </w:r>
      <w:r w:rsidRPr="0013396E">
        <w:rPr>
          <w:bCs/>
          <w:i/>
          <w:vertAlign w:val="subscript"/>
          <w:lang w:val="pt-BR"/>
        </w:rPr>
        <w:t>q, r, y</w:t>
      </w:r>
      <w:r w:rsidRPr="0013396E">
        <w:rPr>
          <w:bCs/>
          <w:lang w:val="pt-BR"/>
        </w:rPr>
        <w:t xml:space="preserve"> * Max (0.001, RTRUAWDS </w:t>
      </w:r>
      <w:r w:rsidRPr="0013396E">
        <w:rPr>
          <w:bCs/>
          <w:i/>
          <w:vertAlign w:val="subscript"/>
          <w:lang w:val="pt-BR"/>
        </w:rPr>
        <w:t>q, r, y</w:t>
      </w:r>
      <w:r w:rsidRPr="0013396E">
        <w:rPr>
          <w:bCs/>
          <w:lang w:val="es-MX"/>
        </w:rPr>
        <w:t>)</w:t>
      </w:r>
      <w:r w:rsidRPr="0013396E">
        <w:rPr>
          <w:bCs/>
          <w:lang w:val="pt-BR"/>
        </w:rPr>
        <w:t xml:space="preserve"> * TLMP </w:t>
      </w:r>
      <w:r w:rsidRPr="0013396E">
        <w:rPr>
          <w:bCs/>
          <w:i/>
          <w:vertAlign w:val="subscript"/>
          <w:lang w:val="pt-BR"/>
        </w:rPr>
        <w:t>y</w:t>
      </w:r>
      <w:r w:rsidRPr="0013396E">
        <w:rPr>
          <w:bCs/>
          <w:lang w:val="pt-BR"/>
        </w:rPr>
        <w:t xml:space="preserve">) </w:t>
      </w:r>
      <w:r w:rsidRPr="0013396E">
        <w:rPr>
          <w:b/>
          <w:bCs/>
          <w:sz w:val="32"/>
          <w:szCs w:val="32"/>
          <w:lang w:val="pt-BR"/>
        </w:rPr>
        <w:t>/</w:t>
      </w:r>
    </w:p>
    <w:p w14:paraId="538F062F" w14:textId="77777777" w:rsidR="00C236A2" w:rsidRPr="0013396E" w:rsidRDefault="00C236A2" w:rsidP="00C236A2">
      <w:pPr>
        <w:tabs>
          <w:tab w:val="left" w:pos="2340"/>
          <w:tab w:val="left" w:pos="2880"/>
        </w:tabs>
        <w:spacing w:after="240"/>
        <w:ind w:left="987" w:hanging="269"/>
        <w:rPr>
          <w:bCs/>
          <w:lang w:val="es-MX"/>
        </w:rPr>
      </w:pPr>
      <w:r w:rsidRPr="0013396E">
        <w:rPr>
          <w:bCs/>
        </w:rPr>
        <w:tab/>
      </w:r>
      <w:r w:rsidRPr="0013396E">
        <w:rPr>
          <w:bCs/>
        </w:rPr>
        <w:tab/>
      </w:r>
      <w:r w:rsidRPr="0013396E">
        <w:rPr>
          <w:bCs/>
        </w:rPr>
        <w:tab/>
      </w:r>
      <w:r w:rsidRPr="0013396E">
        <w:rPr>
          <w:bCs/>
          <w:position w:val="-22"/>
        </w:rPr>
        <w:object w:dxaOrig="225" w:dyaOrig="450" w14:anchorId="5F92CC05">
          <v:shape id="_x0000_i1211" type="#_x0000_t75" style="width:12pt;height:24pt" o:ole="">
            <v:imagedata r:id="rId255" o:title=""/>
          </v:shape>
          <o:OLEObject Type="Embed" ProgID="Equation.3" ShapeID="_x0000_i1211" DrawAspect="Content" ObjectID="_1836311489" r:id="rId268"/>
        </w:object>
      </w:r>
      <w:r w:rsidRPr="0013396E">
        <w:rPr>
          <w:bCs/>
          <w:lang w:val="es-MX"/>
        </w:rPr>
        <w:t>(</w:t>
      </w:r>
      <w:r w:rsidRPr="0013396E">
        <w:rPr>
          <w:bCs/>
          <w:lang w:val="pt-BR"/>
        </w:rPr>
        <w:t xml:space="preserve">Max (0.001, </w:t>
      </w:r>
      <w:r w:rsidRPr="0013396E">
        <w:rPr>
          <w:bCs/>
          <w:lang w:val="es-MX"/>
        </w:rPr>
        <w:t xml:space="preserve">RTRUAWDS </w:t>
      </w:r>
      <w:r w:rsidRPr="0013396E">
        <w:rPr>
          <w:bCs/>
          <w:i/>
          <w:vertAlign w:val="subscript"/>
          <w:lang w:val="es-MX"/>
        </w:rPr>
        <w:t>q, r, y</w:t>
      </w:r>
      <w:r w:rsidRPr="0013396E">
        <w:rPr>
          <w:bCs/>
          <w:lang w:val="es-MX"/>
        </w:rPr>
        <w:t>)</w:t>
      </w:r>
      <w:r w:rsidRPr="0013396E">
        <w:rPr>
          <w:bCs/>
          <w:i/>
          <w:vertAlign w:val="subscript"/>
          <w:lang w:val="es-MX"/>
        </w:rPr>
        <w:t xml:space="preserve"> </w:t>
      </w:r>
      <w:r w:rsidRPr="0013396E">
        <w:rPr>
          <w:bCs/>
          <w:lang w:val="es-MX"/>
        </w:rPr>
        <w:t>* TLMP</w:t>
      </w:r>
      <w:r w:rsidRPr="0013396E">
        <w:rPr>
          <w:bCs/>
          <w:i/>
          <w:vertAlign w:val="subscript"/>
          <w:lang w:val="es-MX"/>
        </w:rPr>
        <w:t xml:space="preserve"> y</w:t>
      </w:r>
      <w:r w:rsidRPr="0013396E">
        <w:rPr>
          <w:bCs/>
          <w:lang w:val="es-MX"/>
        </w:rPr>
        <w:t>)</w:t>
      </w:r>
    </w:p>
    <w:p w14:paraId="30ED1CF4" w14:textId="77777777" w:rsidR="00C236A2" w:rsidRPr="0013396E" w:rsidRDefault="00C236A2" w:rsidP="00C236A2">
      <w:pPr>
        <w:tabs>
          <w:tab w:val="left" w:pos="2340"/>
          <w:tab w:val="left" w:pos="2880"/>
        </w:tabs>
        <w:spacing w:after="240"/>
        <w:ind w:left="987" w:hanging="269"/>
        <w:rPr>
          <w:bCs/>
        </w:rPr>
      </w:pPr>
      <w:r w:rsidRPr="0013396E">
        <w:rPr>
          <w:bCs/>
        </w:rPr>
        <w:t>Where for Reg-Down:</w:t>
      </w:r>
    </w:p>
    <w:p w14:paraId="137C9B5A" w14:textId="77777777" w:rsidR="00C236A2" w:rsidRPr="0013396E" w:rsidRDefault="00C236A2" w:rsidP="00C236A2">
      <w:pPr>
        <w:spacing w:after="240"/>
        <w:ind w:left="2340" w:hanging="1620"/>
        <w:rPr>
          <w:i/>
          <w:vertAlign w:val="subscript"/>
          <w:lang w:val="pt-BR"/>
        </w:rPr>
      </w:pPr>
      <w:r w:rsidRPr="0013396E">
        <w:rPr>
          <w:lang w:val="pt-BR"/>
        </w:rPr>
        <w:t xml:space="preserve">RTRDNET </w:t>
      </w:r>
      <w:r w:rsidRPr="0013396E">
        <w:rPr>
          <w:bCs/>
          <w:i/>
          <w:iCs/>
          <w:sz w:val="16"/>
          <w:szCs w:val="16"/>
          <w:lang w:val="pt-BR"/>
        </w:rPr>
        <w:t>q, r</w:t>
      </w:r>
      <w:r w:rsidRPr="0013396E">
        <w:rPr>
          <w:bCs/>
          <w:i/>
          <w:iCs/>
          <w:sz w:val="16"/>
          <w:szCs w:val="16"/>
          <w:lang w:val="pt-BR"/>
        </w:rPr>
        <w:tab/>
      </w:r>
      <w:r w:rsidRPr="0013396E">
        <w:rPr>
          <w:bCs/>
          <w:i/>
          <w:iCs/>
          <w:sz w:val="16"/>
          <w:szCs w:val="16"/>
          <w:lang w:val="pt-BR"/>
        </w:rPr>
        <w:tab/>
      </w:r>
      <w:r w:rsidRPr="0013396E">
        <w:rPr>
          <w:lang w:val="pt-BR"/>
        </w:rPr>
        <w:t xml:space="preserve">= </w:t>
      </w:r>
      <w:r w:rsidRPr="0013396E">
        <w:rPr>
          <w:lang w:val="pt-BR"/>
        </w:rPr>
        <w:tab/>
      </w:r>
      <w:r w:rsidRPr="0013396E">
        <w:rPr>
          <w:iCs/>
          <w:lang w:val="pt-BR"/>
        </w:rPr>
        <w:t xml:space="preserve">RTRDREV </w:t>
      </w:r>
      <w:r w:rsidRPr="0013396E">
        <w:rPr>
          <w:i/>
          <w:vertAlign w:val="subscript"/>
          <w:lang w:val="pt-BR"/>
        </w:rPr>
        <w:t xml:space="preserve">q, r </w:t>
      </w:r>
      <w:r w:rsidRPr="0013396E">
        <w:rPr>
          <w:lang w:val="pt-BR"/>
        </w:rPr>
        <w:t>- (</w:t>
      </w:r>
      <w:r w:rsidRPr="0013396E">
        <w:rPr>
          <w:lang w:val="es-MX"/>
        </w:rPr>
        <w:t>¼</w:t>
      </w:r>
      <w:r w:rsidRPr="0013396E">
        <w:rPr>
          <w:lang w:val="pt-BR"/>
        </w:rPr>
        <w:t xml:space="preserve">) * RTRDREVT </w:t>
      </w:r>
      <w:r w:rsidRPr="0013396E">
        <w:rPr>
          <w:bCs/>
          <w:i/>
          <w:iCs/>
          <w:sz w:val="16"/>
          <w:szCs w:val="16"/>
          <w:lang w:val="pt-BR"/>
        </w:rPr>
        <w:t>q, r, p</w:t>
      </w:r>
    </w:p>
    <w:p w14:paraId="2E6095F3" w14:textId="77777777" w:rsidR="00C236A2" w:rsidRPr="0013396E" w:rsidRDefault="00C236A2" w:rsidP="00C236A2">
      <w:pPr>
        <w:tabs>
          <w:tab w:val="left" w:pos="2340"/>
          <w:tab w:val="left" w:pos="2880"/>
        </w:tabs>
        <w:spacing w:after="240"/>
        <w:ind w:left="987" w:hanging="269"/>
        <w:rPr>
          <w:bCs/>
          <w:lang w:val="pt-BR"/>
        </w:rPr>
      </w:pPr>
      <w:r w:rsidRPr="0013396E">
        <w:rPr>
          <w:bCs/>
          <w:lang w:val="pt-BR"/>
        </w:rPr>
        <w:t>RTRDREVT</w:t>
      </w:r>
      <w:r w:rsidRPr="0013396E">
        <w:rPr>
          <w:bCs/>
          <w:i/>
          <w:vertAlign w:val="subscript"/>
          <w:lang w:val="pt-BR"/>
        </w:rPr>
        <w:t>q, r, p</w:t>
      </w:r>
      <w:r w:rsidRPr="0013396E">
        <w:rPr>
          <w:bCs/>
          <w:lang w:val="pt-BR"/>
        </w:rPr>
        <w:tab/>
        <w:t>=</w:t>
      </w:r>
      <w:r w:rsidRPr="0013396E">
        <w:rPr>
          <w:bCs/>
          <w:lang w:val="pt-BR"/>
        </w:rPr>
        <w:tab/>
        <w:t xml:space="preserve">RTRDWAPR </w:t>
      </w:r>
      <w:r w:rsidRPr="0013396E">
        <w:rPr>
          <w:bCs/>
          <w:i/>
          <w:vertAlign w:val="subscript"/>
          <w:lang w:val="pt-BR"/>
        </w:rPr>
        <w:t>q, r, p</w:t>
      </w:r>
      <w:r w:rsidRPr="0013396E">
        <w:rPr>
          <w:bCs/>
          <w:lang w:val="pt-BR"/>
        </w:rPr>
        <w:t xml:space="preserve"> * RTRDAWD </w:t>
      </w:r>
      <w:r w:rsidRPr="0013396E">
        <w:rPr>
          <w:bCs/>
          <w:i/>
          <w:vertAlign w:val="subscript"/>
          <w:lang w:val="pt-BR"/>
        </w:rPr>
        <w:t>q, r</w:t>
      </w:r>
    </w:p>
    <w:p w14:paraId="4A656557" w14:textId="77777777" w:rsidR="00C236A2" w:rsidRPr="0013396E" w:rsidRDefault="00C236A2" w:rsidP="00C236A2">
      <w:pPr>
        <w:tabs>
          <w:tab w:val="left" w:pos="2340"/>
          <w:tab w:val="left" w:pos="2880"/>
        </w:tabs>
        <w:spacing w:after="240"/>
        <w:ind w:left="987" w:hanging="269"/>
        <w:rPr>
          <w:bCs/>
          <w:lang w:val="pt-BR"/>
        </w:rPr>
      </w:pPr>
      <w:r w:rsidRPr="0013396E">
        <w:rPr>
          <w:bCs/>
          <w:lang w:val="pt-BR"/>
        </w:rPr>
        <w:t xml:space="preserve">RTRDWAPR </w:t>
      </w:r>
      <w:r w:rsidRPr="0013396E">
        <w:rPr>
          <w:bCs/>
          <w:i/>
          <w:vertAlign w:val="subscript"/>
          <w:lang w:val="pt-BR"/>
        </w:rPr>
        <w:t>q, r, p</w:t>
      </w:r>
      <w:r w:rsidRPr="0013396E">
        <w:rPr>
          <w:bCs/>
          <w:lang w:val="pt-BR"/>
        </w:rPr>
        <w:tab/>
        <w:t xml:space="preserve">=  </w:t>
      </w:r>
      <w:r w:rsidRPr="0013396E">
        <w:rPr>
          <w:bCs/>
          <w:lang w:val="pt-BR"/>
        </w:rPr>
        <w:tab/>
      </w:r>
      <w:r w:rsidRPr="0013396E">
        <w:rPr>
          <w:bCs/>
          <w:position w:val="-22"/>
        </w:rPr>
        <w:object w:dxaOrig="225" w:dyaOrig="450" w14:anchorId="1DA9C4DE">
          <v:shape id="_x0000_i1212" type="#_x0000_t75" style="width:12pt;height:24pt" o:ole="">
            <v:imagedata r:id="rId253" o:title=""/>
          </v:shape>
          <o:OLEObject Type="Embed" ProgID="Equation.3" ShapeID="_x0000_i1212" DrawAspect="Content" ObjectID="_1836311490" r:id="rId269"/>
        </w:object>
      </w:r>
      <w:r w:rsidRPr="0013396E">
        <w:rPr>
          <w:bCs/>
          <w:lang w:val="pt-BR"/>
        </w:rPr>
        <w:t xml:space="preserve">(RTRDOPR </w:t>
      </w:r>
      <w:r w:rsidRPr="0013396E">
        <w:rPr>
          <w:bCs/>
          <w:i/>
          <w:vertAlign w:val="subscript"/>
          <w:lang w:val="pt-BR"/>
        </w:rPr>
        <w:t>q, r, y</w:t>
      </w:r>
      <w:r w:rsidRPr="0013396E">
        <w:rPr>
          <w:bCs/>
          <w:lang w:val="pt-BR"/>
        </w:rPr>
        <w:t xml:space="preserve"> * Max (0.001, RTRDAWDS </w:t>
      </w:r>
      <w:r w:rsidRPr="0013396E">
        <w:rPr>
          <w:bCs/>
          <w:i/>
          <w:vertAlign w:val="subscript"/>
          <w:lang w:val="pt-BR"/>
        </w:rPr>
        <w:t>q, r, y</w:t>
      </w:r>
      <w:r w:rsidRPr="0013396E">
        <w:rPr>
          <w:bCs/>
          <w:lang w:val="es-MX"/>
        </w:rPr>
        <w:t xml:space="preserve">) </w:t>
      </w:r>
      <w:r w:rsidRPr="0013396E">
        <w:rPr>
          <w:bCs/>
          <w:lang w:val="pt-BR"/>
        </w:rPr>
        <w:t xml:space="preserve">* TLMP </w:t>
      </w:r>
      <w:r w:rsidRPr="0013396E">
        <w:rPr>
          <w:bCs/>
          <w:i/>
          <w:vertAlign w:val="subscript"/>
          <w:lang w:val="pt-BR"/>
        </w:rPr>
        <w:t>y</w:t>
      </w:r>
      <w:r w:rsidRPr="0013396E">
        <w:rPr>
          <w:bCs/>
          <w:lang w:val="pt-BR"/>
        </w:rPr>
        <w:t xml:space="preserve">) </w:t>
      </w:r>
      <w:r w:rsidRPr="0013396E">
        <w:rPr>
          <w:b/>
          <w:bCs/>
          <w:sz w:val="32"/>
          <w:szCs w:val="32"/>
          <w:lang w:val="pt-BR"/>
        </w:rPr>
        <w:t>/</w:t>
      </w:r>
    </w:p>
    <w:p w14:paraId="2EEDA12F" w14:textId="77777777" w:rsidR="00C236A2" w:rsidRPr="0013396E" w:rsidRDefault="00C236A2" w:rsidP="00C236A2">
      <w:pPr>
        <w:tabs>
          <w:tab w:val="left" w:pos="2340"/>
          <w:tab w:val="left" w:pos="2880"/>
        </w:tabs>
        <w:spacing w:after="240"/>
        <w:ind w:left="987" w:hanging="269"/>
        <w:rPr>
          <w:bCs/>
          <w:lang w:val="es-MX"/>
        </w:rPr>
      </w:pPr>
      <w:r w:rsidRPr="0013396E">
        <w:rPr>
          <w:bCs/>
        </w:rPr>
        <w:tab/>
      </w:r>
      <w:r w:rsidRPr="0013396E">
        <w:rPr>
          <w:bCs/>
        </w:rPr>
        <w:tab/>
      </w:r>
      <w:r w:rsidRPr="0013396E">
        <w:rPr>
          <w:bCs/>
        </w:rPr>
        <w:tab/>
      </w:r>
      <w:r w:rsidRPr="0013396E">
        <w:rPr>
          <w:bCs/>
          <w:position w:val="-22"/>
        </w:rPr>
        <w:object w:dxaOrig="225" w:dyaOrig="450" w14:anchorId="14F24574">
          <v:shape id="_x0000_i1213" type="#_x0000_t75" style="width:12pt;height:24pt" o:ole="">
            <v:imagedata r:id="rId255" o:title=""/>
          </v:shape>
          <o:OLEObject Type="Embed" ProgID="Equation.3" ShapeID="_x0000_i1213" DrawAspect="Content" ObjectID="_1836311491" r:id="rId270"/>
        </w:object>
      </w:r>
      <w:r w:rsidRPr="0013396E">
        <w:rPr>
          <w:bCs/>
          <w:lang w:val="es-MX"/>
        </w:rPr>
        <w:t>(</w:t>
      </w:r>
      <w:r w:rsidRPr="0013396E">
        <w:rPr>
          <w:bCs/>
          <w:lang w:val="pt-BR"/>
        </w:rPr>
        <w:t xml:space="preserve">Max (0.001, </w:t>
      </w:r>
      <w:r w:rsidRPr="0013396E">
        <w:rPr>
          <w:bCs/>
          <w:lang w:val="es-MX"/>
        </w:rPr>
        <w:t xml:space="preserve">RTRDAWDS </w:t>
      </w:r>
      <w:r w:rsidRPr="0013396E">
        <w:rPr>
          <w:bCs/>
          <w:i/>
          <w:vertAlign w:val="subscript"/>
          <w:lang w:val="es-MX"/>
        </w:rPr>
        <w:t>q, r, y</w:t>
      </w:r>
      <w:r w:rsidRPr="0013396E">
        <w:rPr>
          <w:bCs/>
          <w:lang w:val="es-MX"/>
        </w:rPr>
        <w:t>)</w:t>
      </w:r>
      <w:r w:rsidRPr="0013396E">
        <w:rPr>
          <w:bCs/>
          <w:i/>
          <w:vertAlign w:val="subscript"/>
          <w:lang w:val="es-MX"/>
        </w:rPr>
        <w:t xml:space="preserve"> </w:t>
      </w:r>
      <w:r w:rsidRPr="0013396E">
        <w:rPr>
          <w:bCs/>
          <w:lang w:val="es-MX"/>
        </w:rPr>
        <w:t>* TLMP</w:t>
      </w:r>
      <w:r w:rsidRPr="0013396E">
        <w:rPr>
          <w:bCs/>
          <w:i/>
          <w:vertAlign w:val="subscript"/>
          <w:lang w:val="es-MX"/>
        </w:rPr>
        <w:t xml:space="preserve"> y</w:t>
      </w:r>
      <w:r w:rsidRPr="0013396E">
        <w:rPr>
          <w:bCs/>
          <w:lang w:val="es-MX"/>
        </w:rPr>
        <w:t>)</w:t>
      </w:r>
    </w:p>
    <w:p w14:paraId="6D4D5519" w14:textId="77777777" w:rsidR="00C236A2" w:rsidRPr="0013396E" w:rsidRDefault="00C236A2" w:rsidP="00C236A2">
      <w:pPr>
        <w:tabs>
          <w:tab w:val="left" w:pos="2340"/>
          <w:tab w:val="left" w:pos="2880"/>
        </w:tabs>
        <w:spacing w:after="240"/>
        <w:ind w:left="987" w:hanging="269"/>
        <w:rPr>
          <w:bCs/>
        </w:rPr>
      </w:pPr>
      <w:r w:rsidRPr="0013396E">
        <w:rPr>
          <w:bCs/>
        </w:rPr>
        <w:lastRenderedPageBreak/>
        <w:t>Where for RRS:</w:t>
      </w:r>
    </w:p>
    <w:p w14:paraId="4AC695CB" w14:textId="77777777" w:rsidR="00C236A2" w:rsidRPr="0013396E" w:rsidRDefault="00C236A2" w:rsidP="00C236A2">
      <w:pPr>
        <w:spacing w:after="240"/>
        <w:ind w:left="2340" w:hanging="1620"/>
        <w:rPr>
          <w:bCs/>
          <w:i/>
          <w:iCs/>
          <w:sz w:val="16"/>
          <w:szCs w:val="16"/>
          <w:lang w:val="pt-BR"/>
        </w:rPr>
      </w:pPr>
      <w:r w:rsidRPr="0013396E">
        <w:rPr>
          <w:lang w:val="pt-BR"/>
        </w:rPr>
        <w:t xml:space="preserve">RTRRNET </w:t>
      </w:r>
      <w:r w:rsidRPr="0013396E">
        <w:rPr>
          <w:bCs/>
          <w:i/>
          <w:iCs/>
          <w:sz w:val="16"/>
          <w:szCs w:val="16"/>
          <w:lang w:val="pt-BR"/>
        </w:rPr>
        <w:t xml:space="preserve">q, r </w:t>
      </w:r>
      <w:r w:rsidRPr="0013396E">
        <w:rPr>
          <w:lang w:val="pt-BR"/>
        </w:rPr>
        <w:t xml:space="preserve"> </w:t>
      </w:r>
      <w:r w:rsidRPr="0013396E">
        <w:rPr>
          <w:lang w:val="pt-BR"/>
        </w:rPr>
        <w:tab/>
      </w:r>
      <w:r w:rsidRPr="0013396E">
        <w:rPr>
          <w:lang w:val="pt-BR"/>
        </w:rPr>
        <w:tab/>
        <w:t xml:space="preserve">= </w:t>
      </w:r>
      <w:r w:rsidRPr="0013396E">
        <w:rPr>
          <w:lang w:val="pt-BR"/>
        </w:rPr>
        <w:tab/>
      </w:r>
      <w:r w:rsidRPr="0013396E">
        <w:rPr>
          <w:iCs/>
          <w:lang w:val="pt-BR"/>
        </w:rPr>
        <w:t xml:space="preserve">RTRRREV </w:t>
      </w:r>
      <w:r w:rsidRPr="0013396E">
        <w:rPr>
          <w:i/>
          <w:vertAlign w:val="subscript"/>
          <w:lang w:val="pt-BR"/>
        </w:rPr>
        <w:t xml:space="preserve">q, r </w:t>
      </w:r>
      <w:r w:rsidRPr="0013396E">
        <w:rPr>
          <w:lang w:val="pt-BR"/>
        </w:rPr>
        <w:t>- (</w:t>
      </w:r>
      <w:r w:rsidRPr="0013396E">
        <w:rPr>
          <w:lang w:val="es-MX"/>
        </w:rPr>
        <w:t>¼</w:t>
      </w:r>
      <w:r w:rsidRPr="0013396E">
        <w:rPr>
          <w:lang w:val="pt-BR"/>
        </w:rPr>
        <w:t xml:space="preserve">) * RTRRREVT </w:t>
      </w:r>
      <w:r w:rsidRPr="0013396E">
        <w:rPr>
          <w:bCs/>
          <w:i/>
          <w:iCs/>
          <w:sz w:val="16"/>
          <w:szCs w:val="16"/>
          <w:lang w:val="pt-BR"/>
        </w:rPr>
        <w:t>q, r, p</w:t>
      </w:r>
    </w:p>
    <w:p w14:paraId="3F6D745F" w14:textId="77777777" w:rsidR="00C236A2" w:rsidRPr="0013396E" w:rsidRDefault="00C236A2" w:rsidP="00C236A2">
      <w:pPr>
        <w:tabs>
          <w:tab w:val="left" w:pos="2340"/>
          <w:tab w:val="left" w:pos="2880"/>
        </w:tabs>
        <w:spacing w:after="240"/>
        <w:ind w:left="987" w:hanging="269"/>
        <w:rPr>
          <w:bCs/>
          <w:lang w:val="pt-BR"/>
        </w:rPr>
      </w:pPr>
      <w:r w:rsidRPr="0013396E">
        <w:rPr>
          <w:bCs/>
          <w:lang w:val="pt-BR"/>
        </w:rPr>
        <w:t>RTRRREVT</w:t>
      </w:r>
      <w:r w:rsidRPr="0013396E">
        <w:rPr>
          <w:bCs/>
          <w:i/>
          <w:vertAlign w:val="subscript"/>
          <w:lang w:val="pt-BR"/>
        </w:rPr>
        <w:t>q, r, p</w:t>
      </w:r>
      <w:r w:rsidRPr="0013396E">
        <w:rPr>
          <w:bCs/>
          <w:lang w:val="pt-BR"/>
        </w:rPr>
        <w:tab/>
        <w:t>=</w:t>
      </w:r>
      <w:r w:rsidRPr="0013396E">
        <w:rPr>
          <w:bCs/>
          <w:lang w:val="pt-BR"/>
        </w:rPr>
        <w:tab/>
        <w:t xml:space="preserve">RTRRWAPR </w:t>
      </w:r>
      <w:r w:rsidRPr="0013396E">
        <w:rPr>
          <w:bCs/>
          <w:i/>
          <w:vertAlign w:val="subscript"/>
          <w:lang w:val="pt-BR"/>
        </w:rPr>
        <w:t>q, r, p</w:t>
      </w:r>
      <w:r w:rsidRPr="0013396E">
        <w:rPr>
          <w:bCs/>
          <w:lang w:val="pt-BR"/>
        </w:rPr>
        <w:t xml:space="preserve"> * RTRRAWD </w:t>
      </w:r>
      <w:r w:rsidRPr="0013396E">
        <w:rPr>
          <w:bCs/>
          <w:i/>
          <w:vertAlign w:val="subscript"/>
          <w:lang w:val="pt-BR"/>
        </w:rPr>
        <w:t>q, r</w:t>
      </w:r>
    </w:p>
    <w:p w14:paraId="6516425E" w14:textId="77777777" w:rsidR="00C236A2" w:rsidRPr="0013396E" w:rsidRDefault="00C236A2" w:rsidP="00C236A2">
      <w:pPr>
        <w:tabs>
          <w:tab w:val="left" w:pos="2340"/>
          <w:tab w:val="left" w:pos="2880"/>
        </w:tabs>
        <w:spacing w:after="240"/>
        <w:ind w:left="987" w:hanging="269"/>
        <w:rPr>
          <w:bCs/>
          <w:lang w:val="es-MX"/>
        </w:rPr>
      </w:pPr>
      <w:r w:rsidRPr="0013396E">
        <w:rPr>
          <w:bCs/>
          <w:lang w:val="pt-BR"/>
        </w:rPr>
        <w:t xml:space="preserve">RTRRWAPR </w:t>
      </w:r>
      <w:r w:rsidRPr="0013396E">
        <w:rPr>
          <w:bCs/>
          <w:i/>
          <w:vertAlign w:val="subscript"/>
          <w:lang w:val="pt-BR"/>
        </w:rPr>
        <w:t>q, r, p</w:t>
      </w:r>
      <w:r w:rsidRPr="0013396E">
        <w:rPr>
          <w:bCs/>
          <w:lang w:val="pt-BR"/>
        </w:rPr>
        <w:tab/>
        <w:t>=</w:t>
      </w:r>
      <w:r w:rsidRPr="0013396E">
        <w:rPr>
          <w:bCs/>
          <w:lang w:val="pt-BR"/>
        </w:rPr>
        <w:tab/>
      </w:r>
      <w:r w:rsidRPr="0013396E">
        <w:rPr>
          <w:bCs/>
          <w:position w:val="-22"/>
        </w:rPr>
        <w:object w:dxaOrig="225" w:dyaOrig="450" w14:anchorId="2D5F2D96">
          <v:shape id="_x0000_i1214" type="#_x0000_t75" style="width:12pt;height:24pt" o:ole="">
            <v:imagedata r:id="rId253" o:title=""/>
          </v:shape>
          <o:OLEObject Type="Embed" ProgID="Equation.3" ShapeID="_x0000_i1214" DrawAspect="Content" ObjectID="_1836311492" r:id="rId271"/>
        </w:object>
      </w:r>
      <w:r w:rsidRPr="0013396E">
        <w:rPr>
          <w:bCs/>
          <w:lang w:val="pt-BR"/>
        </w:rPr>
        <w:t xml:space="preserve">(RTRROPR </w:t>
      </w:r>
      <w:r w:rsidRPr="0013396E">
        <w:rPr>
          <w:bCs/>
          <w:i/>
          <w:vertAlign w:val="subscript"/>
          <w:lang w:val="pt-BR"/>
        </w:rPr>
        <w:t>q, r, y</w:t>
      </w:r>
      <w:r w:rsidRPr="0013396E">
        <w:rPr>
          <w:bCs/>
          <w:lang w:val="pt-BR"/>
        </w:rPr>
        <w:t xml:space="preserve"> * Max (0.001, RTRRAWDS </w:t>
      </w:r>
      <w:r w:rsidRPr="0013396E">
        <w:rPr>
          <w:bCs/>
          <w:i/>
          <w:vertAlign w:val="subscript"/>
          <w:lang w:val="pt-BR"/>
        </w:rPr>
        <w:t>q, r, y</w:t>
      </w:r>
      <w:r w:rsidRPr="0013396E">
        <w:rPr>
          <w:bCs/>
          <w:lang w:val="es-MX"/>
        </w:rPr>
        <w:t xml:space="preserve">) </w:t>
      </w:r>
      <w:r w:rsidRPr="0013396E">
        <w:rPr>
          <w:bCs/>
          <w:lang w:val="pt-BR"/>
        </w:rPr>
        <w:t xml:space="preserve">* TLMP </w:t>
      </w:r>
      <w:r w:rsidRPr="0013396E">
        <w:rPr>
          <w:bCs/>
          <w:i/>
          <w:vertAlign w:val="subscript"/>
          <w:lang w:val="pt-BR"/>
        </w:rPr>
        <w:t>y</w:t>
      </w:r>
      <w:r w:rsidRPr="0013396E">
        <w:rPr>
          <w:bCs/>
          <w:lang w:val="pt-BR"/>
        </w:rPr>
        <w:t xml:space="preserve">) </w:t>
      </w:r>
      <w:r w:rsidRPr="0013396E">
        <w:rPr>
          <w:b/>
          <w:bCs/>
          <w:sz w:val="32"/>
          <w:szCs w:val="32"/>
          <w:lang w:val="pt-BR"/>
        </w:rPr>
        <w:t xml:space="preserve">/ </w:t>
      </w:r>
      <w:r w:rsidRPr="0013396E">
        <w:rPr>
          <w:bCs/>
          <w:position w:val="-22"/>
        </w:rPr>
        <w:object w:dxaOrig="225" w:dyaOrig="450" w14:anchorId="3764A10B">
          <v:shape id="_x0000_i1215" type="#_x0000_t75" style="width:12pt;height:24pt" o:ole="">
            <v:imagedata r:id="rId255" o:title=""/>
          </v:shape>
          <o:OLEObject Type="Embed" ProgID="Equation.3" ShapeID="_x0000_i1215" DrawAspect="Content" ObjectID="_1836311493" r:id="rId272"/>
        </w:object>
      </w:r>
      <w:r w:rsidRPr="0013396E">
        <w:rPr>
          <w:bCs/>
          <w:lang w:val="es-MX"/>
        </w:rPr>
        <w:t>(</w:t>
      </w:r>
      <w:r w:rsidRPr="0013396E">
        <w:rPr>
          <w:bCs/>
          <w:lang w:val="pt-BR"/>
        </w:rPr>
        <w:t xml:space="preserve">Max (0.001, </w:t>
      </w:r>
      <w:r w:rsidRPr="0013396E">
        <w:rPr>
          <w:bCs/>
          <w:lang w:val="es-MX"/>
        </w:rPr>
        <w:t xml:space="preserve">RTRRAWDS </w:t>
      </w:r>
      <w:r w:rsidRPr="0013396E">
        <w:rPr>
          <w:bCs/>
          <w:i/>
          <w:vertAlign w:val="subscript"/>
          <w:lang w:val="es-MX"/>
        </w:rPr>
        <w:t>q, r, y</w:t>
      </w:r>
      <w:r w:rsidRPr="0013396E">
        <w:rPr>
          <w:bCs/>
          <w:lang w:val="es-MX"/>
        </w:rPr>
        <w:t>)</w:t>
      </w:r>
      <w:r w:rsidRPr="0013396E">
        <w:rPr>
          <w:bCs/>
          <w:i/>
          <w:vertAlign w:val="subscript"/>
          <w:lang w:val="es-MX"/>
        </w:rPr>
        <w:t xml:space="preserve"> </w:t>
      </w:r>
      <w:r w:rsidRPr="0013396E">
        <w:rPr>
          <w:bCs/>
          <w:lang w:val="es-MX"/>
        </w:rPr>
        <w:t>* TLMP</w:t>
      </w:r>
      <w:r w:rsidRPr="0013396E">
        <w:rPr>
          <w:bCs/>
          <w:i/>
          <w:vertAlign w:val="subscript"/>
          <w:lang w:val="es-MX"/>
        </w:rPr>
        <w:t xml:space="preserve"> y</w:t>
      </w:r>
      <w:r w:rsidRPr="0013396E">
        <w:rPr>
          <w:bCs/>
          <w:lang w:val="es-MX"/>
        </w:rPr>
        <w:t>)</w:t>
      </w:r>
    </w:p>
    <w:p w14:paraId="21FCF288" w14:textId="77777777" w:rsidR="00C236A2" w:rsidRPr="0013396E" w:rsidRDefault="00C236A2" w:rsidP="00C236A2">
      <w:pPr>
        <w:tabs>
          <w:tab w:val="left" w:pos="2340"/>
          <w:tab w:val="left" w:pos="2880"/>
        </w:tabs>
        <w:spacing w:after="240"/>
        <w:ind w:left="987" w:hanging="269"/>
        <w:rPr>
          <w:bCs/>
        </w:rPr>
      </w:pPr>
      <w:r w:rsidRPr="0013396E">
        <w:rPr>
          <w:bCs/>
        </w:rPr>
        <w:t>Where for Non-Spin:</w:t>
      </w:r>
    </w:p>
    <w:p w14:paraId="7FF111D6" w14:textId="77777777" w:rsidR="00C236A2" w:rsidRPr="0013396E" w:rsidRDefault="00C236A2" w:rsidP="00C236A2">
      <w:pPr>
        <w:spacing w:after="240"/>
        <w:ind w:left="2340" w:hanging="1620"/>
        <w:rPr>
          <w:bCs/>
          <w:i/>
          <w:iCs/>
          <w:sz w:val="16"/>
          <w:szCs w:val="16"/>
          <w:lang w:val="pt-BR"/>
        </w:rPr>
      </w:pPr>
      <w:r w:rsidRPr="0013396E">
        <w:rPr>
          <w:lang w:val="pt-BR"/>
        </w:rPr>
        <w:t xml:space="preserve">RTNSNET </w:t>
      </w:r>
      <w:r w:rsidRPr="0013396E">
        <w:rPr>
          <w:bCs/>
          <w:i/>
          <w:iCs/>
          <w:sz w:val="16"/>
          <w:szCs w:val="16"/>
          <w:lang w:val="pt-BR"/>
        </w:rPr>
        <w:t xml:space="preserve">q, r </w:t>
      </w:r>
      <w:r w:rsidRPr="0013396E">
        <w:rPr>
          <w:lang w:val="pt-BR"/>
        </w:rPr>
        <w:t xml:space="preserve"> </w:t>
      </w:r>
      <w:r w:rsidRPr="0013396E">
        <w:rPr>
          <w:lang w:val="pt-BR"/>
        </w:rPr>
        <w:tab/>
      </w:r>
      <w:r w:rsidRPr="0013396E">
        <w:rPr>
          <w:lang w:val="pt-BR"/>
        </w:rPr>
        <w:tab/>
        <w:t xml:space="preserve">= </w:t>
      </w:r>
      <w:r w:rsidRPr="0013396E">
        <w:rPr>
          <w:lang w:val="pt-BR"/>
        </w:rPr>
        <w:tab/>
      </w:r>
      <w:r w:rsidRPr="0013396E">
        <w:rPr>
          <w:iCs/>
          <w:lang w:val="pt-BR"/>
        </w:rPr>
        <w:t xml:space="preserve">RTNSREV </w:t>
      </w:r>
      <w:r w:rsidRPr="0013396E">
        <w:rPr>
          <w:i/>
          <w:vertAlign w:val="subscript"/>
          <w:lang w:val="pt-BR"/>
        </w:rPr>
        <w:t xml:space="preserve">q, r </w:t>
      </w:r>
      <w:r w:rsidRPr="0013396E">
        <w:rPr>
          <w:lang w:val="pt-BR"/>
        </w:rPr>
        <w:t>- (</w:t>
      </w:r>
      <w:r w:rsidRPr="0013396E">
        <w:rPr>
          <w:lang w:val="es-MX"/>
        </w:rPr>
        <w:t>¼</w:t>
      </w:r>
      <w:r w:rsidRPr="0013396E">
        <w:rPr>
          <w:lang w:val="pt-BR"/>
        </w:rPr>
        <w:t xml:space="preserve">) * RTNSREVT </w:t>
      </w:r>
      <w:r w:rsidRPr="0013396E">
        <w:rPr>
          <w:bCs/>
          <w:i/>
          <w:iCs/>
          <w:sz w:val="16"/>
          <w:szCs w:val="16"/>
          <w:lang w:val="pt-BR"/>
        </w:rPr>
        <w:t>q, r, p</w:t>
      </w:r>
    </w:p>
    <w:p w14:paraId="5E46350D" w14:textId="77777777" w:rsidR="00C236A2" w:rsidRPr="0013396E" w:rsidRDefault="00C236A2" w:rsidP="00C236A2">
      <w:pPr>
        <w:tabs>
          <w:tab w:val="left" w:pos="2340"/>
          <w:tab w:val="left" w:pos="2880"/>
        </w:tabs>
        <w:spacing w:after="240"/>
        <w:ind w:left="987" w:hanging="269"/>
        <w:rPr>
          <w:bCs/>
          <w:lang w:val="pt-BR"/>
        </w:rPr>
      </w:pPr>
      <w:r w:rsidRPr="0013396E">
        <w:rPr>
          <w:bCs/>
          <w:lang w:val="pt-BR"/>
        </w:rPr>
        <w:t>RTNSREVT</w:t>
      </w:r>
      <w:r w:rsidRPr="0013396E">
        <w:rPr>
          <w:bCs/>
          <w:i/>
          <w:vertAlign w:val="subscript"/>
          <w:lang w:val="pt-BR"/>
        </w:rPr>
        <w:t>q, r, p</w:t>
      </w:r>
      <w:r w:rsidRPr="0013396E">
        <w:rPr>
          <w:bCs/>
          <w:lang w:val="pt-BR"/>
        </w:rPr>
        <w:tab/>
        <w:t>=</w:t>
      </w:r>
      <w:r w:rsidRPr="0013396E">
        <w:rPr>
          <w:bCs/>
          <w:lang w:val="pt-BR"/>
        </w:rPr>
        <w:tab/>
        <w:t xml:space="preserve">RTNSWAPR </w:t>
      </w:r>
      <w:r w:rsidRPr="0013396E">
        <w:rPr>
          <w:bCs/>
          <w:i/>
          <w:vertAlign w:val="subscript"/>
          <w:lang w:val="pt-BR"/>
        </w:rPr>
        <w:t>q, r, p</w:t>
      </w:r>
      <w:r w:rsidRPr="0013396E">
        <w:rPr>
          <w:bCs/>
          <w:lang w:val="pt-BR"/>
        </w:rPr>
        <w:t xml:space="preserve"> * RTNSAWD </w:t>
      </w:r>
      <w:r w:rsidRPr="0013396E">
        <w:rPr>
          <w:bCs/>
          <w:i/>
          <w:vertAlign w:val="subscript"/>
          <w:lang w:val="pt-BR"/>
        </w:rPr>
        <w:t>q, r</w:t>
      </w:r>
    </w:p>
    <w:p w14:paraId="466E2CBB" w14:textId="77777777" w:rsidR="00C236A2" w:rsidRPr="0013396E" w:rsidRDefault="00C236A2" w:rsidP="00C236A2">
      <w:pPr>
        <w:tabs>
          <w:tab w:val="left" w:pos="2340"/>
          <w:tab w:val="left" w:pos="2880"/>
        </w:tabs>
        <w:spacing w:after="240"/>
        <w:ind w:left="987" w:hanging="269"/>
        <w:rPr>
          <w:bCs/>
          <w:lang w:val="es-MX"/>
        </w:rPr>
      </w:pPr>
      <w:r w:rsidRPr="0013396E">
        <w:rPr>
          <w:bCs/>
          <w:lang w:val="pt-BR"/>
        </w:rPr>
        <w:t xml:space="preserve">RTNSWAPR </w:t>
      </w:r>
      <w:r w:rsidRPr="0013396E">
        <w:rPr>
          <w:bCs/>
          <w:i/>
          <w:vertAlign w:val="subscript"/>
          <w:lang w:val="pt-BR"/>
        </w:rPr>
        <w:t>q, r, p</w:t>
      </w:r>
      <w:r w:rsidRPr="0013396E">
        <w:rPr>
          <w:bCs/>
          <w:lang w:val="pt-BR"/>
        </w:rPr>
        <w:tab/>
        <w:t xml:space="preserve">=  </w:t>
      </w:r>
      <w:r w:rsidRPr="0013396E">
        <w:rPr>
          <w:bCs/>
          <w:lang w:val="pt-BR"/>
        </w:rPr>
        <w:tab/>
      </w:r>
      <w:r w:rsidRPr="0013396E">
        <w:rPr>
          <w:bCs/>
          <w:position w:val="-22"/>
        </w:rPr>
        <w:object w:dxaOrig="225" w:dyaOrig="450" w14:anchorId="2A82FCC3">
          <v:shape id="_x0000_i1216" type="#_x0000_t75" style="width:12pt;height:24pt" o:ole="">
            <v:imagedata r:id="rId253" o:title=""/>
          </v:shape>
          <o:OLEObject Type="Embed" ProgID="Equation.3" ShapeID="_x0000_i1216" DrawAspect="Content" ObjectID="_1836311494" r:id="rId273"/>
        </w:object>
      </w:r>
      <w:r w:rsidRPr="0013396E">
        <w:rPr>
          <w:bCs/>
          <w:lang w:val="pt-BR"/>
        </w:rPr>
        <w:t xml:space="preserve">(RTNSOPR </w:t>
      </w:r>
      <w:r w:rsidRPr="0013396E">
        <w:rPr>
          <w:bCs/>
          <w:i/>
          <w:vertAlign w:val="subscript"/>
          <w:lang w:val="pt-BR"/>
        </w:rPr>
        <w:t>q, r, y</w:t>
      </w:r>
      <w:r w:rsidRPr="0013396E">
        <w:rPr>
          <w:bCs/>
          <w:lang w:val="pt-BR"/>
        </w:rPr>
        <w:t xml:space="preserve"> * Max (0.001, RTNSAWDS </w:t>
      </w:r>
      <w:r w:rsidRPr="0013396E">
        <w:rPr>
          <w:bCs/>
          <w:i/>
          <w:vertAlign w:val="subscript"/>
          <w:lang w:val="pt-BR"/>
        </w:rPr>
        <w:t>q, r, y</w:t>
      </w:r>
      <w:r w:rsidRPr="0013396E">
        <w:rPr>
          <w:bCs/>
          <w:lang w:val="es-MX"/>
        </w:rPr>
        <w:t xml:space="preserve">) </w:t>
      </w:r>
      <w:r w:rsidRPr="0013396E">
        <w:rPr>
          <w:bCs/>
          <w:lang w:val="pt-BR"/>
        </w:rPr>
        <w:t xml:space="preserve">* TLMP </w:t>
      </w:r>
      <w:r w:rsidRPr="0013396E">
        <w:rPr>
          <w:bCs/>
          <w:i/>
          <w:vertAlign w:val="subscript"/>
          <w:lang w:val="pt-BR"/>
        </w:rPr>
        <w:t>y</w:t>
      </w:r>
      <w:r w:rsidRPr="0013396E">
        <w:rPr>
          <w:bCs/>
          <w:lang w:val="pt-BR"/>
        </w:rPr>
        <w:t xml:space="preserve">) </w:t>
      </w:r>
      <w:r w:rsidRPr="0013396E">
        <w:rPr>
          <w:b/>
          <w:bCs/>
          <w:sz w:val="32"/>
          <w:szCs w:val="32"/>
          <w:lang w:val="pt-BR"/>
        </w:rPr>
        <w:t>/</w:t>
      </w:r>
      <w:r w:rsidRPr="0013396E">
        <w:rPr>
          <w:bCs/>
          <w:position w:val="-22"/>
        </w:rPr>
        <w:object w:dxaOrig="225" w:dyaOrig="450" w14:anchorId="7E278F8A">
          <v:shape id="_x0000_i1217" type="#_x0000_t75" style="width:12pt;height:24pt" o:ole="">
            <v:imagedata r:id="rId255" o:title=""/>
          </v:shape>
          <o:OLEObject Type="Embed" ProgID="Equation.3" ShapeID="_x0000_i1217" DrawAspect="Content" ObjectID="_1836311495" r:id="rId274"/>
        </w:object>
      </w:r>
      <w:r w:rsidRPr="0013396E">
        <w:rPr>
          <w:bCs/>
          <w:lang w:val="es-MX"/>
        </w:rPr>
        <w:t>(</w:t>
      </w:r>
      <w:r w:rsidRPr="0013396E">
        <w:rPr>
          <w:bCs/>
          <w:lang w:val="pt-BR"/>
        </w:rPr>
        <w:t xml:space="preserve">Max (0.001, </w:t>
      </w:r>
      <w:r w:rsidRPr="0013396E">
        <w:rPr>
          <w:bCs/>
          <w:lang w:val="es-MX"/>
        </w:rPr>
        <w:t xml:space="preserve">RTNSAWDS </w:t>
      </w:r>
      <w:r w:rsidRPr="0013396E">
        <w:rPr>
          <w:bCs/>
          <w:i/>
          <w:vertAlign w:val="subscript"/>
          <w:lang w:val="es-MX"/>
        </w:rPr>
        <w:t>q, r, y</w:t>
      </w:r>
      <w:r w:rsidRPr="0013396E">
        <w:rPr>
          <w:bCs/>
          <w:lang w:val="es-MX"/>
        </w:rPr>
        <w:t>)</w:t>
      </w:r>
      <w:r w:rsidRPr="0013396E">
        <w:rPr>
          <w:bCs/>
          <w:i/>
          <w:vertAlign w:val="subscript"/>
          <w:lang w:val="es-MX"/>
        </w:rPr>
        <w:t xml:space="preserve"> </w:t>
      </w:r>
      <w:r w:rsidRPr="0013396E">
        <w:rPr>
          <w:bCs/>
          <w:lang w:val="es-MX"/>
        </w:rPr>
        <w:t>* TLMP</w:t>
      </w:r>
      <w:r w:rsidRPr="0013396E">
        <w:rPr>
          <w:bCs/>
          <w:i/>
          <w:vertAlign w:val="subscript"/>
          <w:lang w:val="es-MX"/>
        </w:rPr>
        <w:t xml:space="preserve"> y</w:t>
      </w:r>
      <w:r w:rsidRPr="0013396E">
        <w:rPr>
          <w:bCs/>
          <w:lang w:val="es-MX"/>
        </w:rPr>
        <w:t>)</w:t>
      </w:r>
    </w:p>
    <w:p w14:paraId="0BB6E930" w14:textId="77777777" w:rsidR="00C236A2" w:rsidRPr="0013396E" w:rsidRDefault="00C236A2" w:rsidP="00C236A2">
      <w:pPr>
        <w:tabs>
          <w:tab w:val="left" w:pos="2340"/>
          <w:tab w:val="left" w:pos="2880"/>
        </w:tabs>
        <w:spacing w:after="240"/>
        <w:ind w:left="987" w:hanging="269"/>
        <w:rPr>
          <w:bCs/>
        </w:rPr>
      </w:pPr>
      <w:r w:rsidRPr="0013396E">
        <w:rPr>
          <w:bCs/>
        </w:rPr>
        <w:t>Where for ERCOT Contingency Reserve (ECRS):</w:t>
      </w:r>
    </w:p>
    <w:p w14:paraId="031C9575" w14:textId="77777777" w:rsidR="00C236A2" w:rsidRPr="0013396E" w:rsidRDefault="00C236A2" w:rsidP="00C236A2">
      <w:pPr>
        <w:spacing w:after="240"/>
        <w:ind w:left="2340" w:hanging="1620"/>
        <w:rPr>
          <w:bCs/>
          <w:i/>
          <w:iCs/>
          <w:sz w:val="16"/>
          <w:szCs w:val="16"/>
          <w:lang w:val="pt-BR"/>
        </w:rPr>
      </w:pPr>
      <w:r w:rsidRPr="0013396E">
        <w:rPr>
          <w:lang w:val="pt-BR"/>
        </w:rPr>
        <w:t xml:space="preserve">RTECRNET </w:t>
      </w:r>
      <w:r w:rsidRPr="0013396E">
        <w:rPr>
          <w:bCs/>
          <w:i/>
          <w:iCs/>
          <w:sz w:val="16"/>
          <w:szCs w:val="16"/>
          <w:lang w:val="pt-BR"/>
        </w:rPr>
        <w:t xml:space="preserve">q, r </w:t>
      </w:r>
      <w:r w:rsidRPr="0013396E">
        <w:rPr>
          <w:lang w:val="pt-BR"/>
        </w:rPr>
        <w:t xml:space="preserve"> </w:t>
      </w:r>
      <w:r w:rsidRPr="0013396E">
        <w:rPr>
          <w:lang w:val="pt-BR"/>
        </w:rPr>
        <w:tab/>
        <w:t xml:space="preserve">= </w:t>
      </w:r>
      <w:r w:rsidRPr="0013396E">
        <w:rPr>
          <w:lang w:val="pt-BR"/>
        </w:rPr>
        <w:tab/>
      </w:r>
      <w:r w:rsidRPr="0013396E">
        <w:rPr>
          <w:iCs/>
          <w:lang w:val="pt-BR"/>
        </w:rPr>
        <w:t xml:space="preserve">RTECRREV </w:t>
      </w:r>
      <w:r w:rsidRPr="0013396E">
        <w:rPr>
          <w:i/>
          <w:vertAlign w:val="subscript"/>
          <w:lang w:val="pt-BR"/>
        </w:rPr>
        <w:t xml:space="preserve">q, r </w:t>
      </w:r>
      <w:r w:rsidRPr="0013396E">
        <w:rPr>
          <w:lang w:val="pt-BR"/>
        </w:rPr>
        <w:t>- (</w:t>
      </w:r>
      <w:r w:rsidRPr="0013396E">
        <w:rPr>
          <w:lang w:val="es-MX"/>
        </w:rPr>
        <w:t>¼</w:t>
      </w:r>
      <w:r w:rsidRPr="0013396E">
        <w:rPr>
          <w:lang w:val="pt-BR"/>
        </w:rPr>
        <w:t xml:space="preserve">) * RTECRREVT </w:t>
      </w:r>
      <w:r w:rsidRPr="0013396E">
        <w:rPr>
          <w:bCs/>
          <w:i/>
          <w:iCs/>
          <w:sz w:val="16"/>
          <w:szCs w:val="16"/>
          <w:lang w:val="pt-BR"/>
        </w:rPr>
        <w:t>q, r, p</w:t>
      </w:r>
    </w:p>
    <w:p w14:paraId="7A9E53C3" w14:textId="77777777" w:rsidR="00C236A2" w:rsidRPr="0013396E" w:rsidRDefault="00C236A2" w:rsidP="00C236A2">
      <w:pPr>
        <w:tabs>
          <w:tab w:val="left" w:pos="2340"/>
          <w:tab w:val="left" w:pos="2880"/>
        </w:tabs>
        <w:spacing w:after="240"/>
        <w:ind w:left="987" w:hanging="269"/>
        <w:rPr>
          <w:bCs/>
          <w:lang w:val="pt-BR"/>
        </w:rPr>
      </w:pPr>
      <w:r w:rsidRPr="0013396E">
        <w:rPr>
          <w:bCs/>
          <w:lang w:val="pt-BR"/>
        </w:rPr>
        <w:t>RTECRREVT</w:t>
      </w:r>
      <w:r w:rsidRPr="0013396E">
        <w:rPr>
          <w:bCs/>
          <w:i/>
          <w:vertAlign w:val="subscript"/>
          <w:lang w:val="pt-BR"/>
        </w:rPr>
        <w:t>q, r, p</w:t>
      </w:r>
      <w:r w:rsidRPr="0013396E">
        <w:rPr>
          <w:bCs/>
          <w:lang w:val="pt-BR"/>
        </w:rPr>
        <w:tab/>
        <w:t>=</w:t>
      </w:r>
      <w:r w:rsidRPr="0013396E">
        <w:rPr>
          <w:bCs/>
          <w:lang w:val="pt-BR"/>
        </w:rPr>
        <w:tab/>
        <w:t xml:space="preserve">RTECRWAPR </w:t>
      </w:r>
      <w:r w:rsidRPr="0013396E">
        <w:rPr>
          <w:bCs/>
          <w:i/>
          <w:vertAlign w:val="subscript"/>
          <w:lang w:val="pt-BR"/>
        </w:rPr>
        <w:t>q, r, p</w:t>
      </w:r>
      <w:r w:rsidRPr="0013396E">
        <w:rPr>
          <w:bCs/>
          <w:lang w:val="pt-BR"/>
        </w:rPr>
        <w:t xml:space="preserve"> * RTECRAWD </w:t>
      </w:r>
      <w:r w:rsidRPr="0013396E">
        <w:rPr>
          <w:bCs/>
          <w:i/>
          <w:vertAlign w:val="subscript"/>
          <w:lang w:val="pt-BR"/>
        </w:rPr>
        <w:t>q, r</w:t>
      </w:r>
    </w:p>
    <w:p w14:paraId="27004AC4" w14:textId="77777777" w:rsidR="00C236A2" w:rsidRPr="0013396E" w:rsidRDefault="00C236A2" w:rsidP="00C236A2">
      <w:pPr>
        <w:tabs>
          <w:tab w:val="left" w:pos="2340"/>
          <w:tab w:val="left" w:pos="2880"/>
        </w:tabs>
        <w:spacing w:after="240"/>
        <w:ind w:left="987" w:hanging="269"/>
        <w:rPr>
          <w:bCs/>
          <w:lang w:val="es-MX"/>
        </w:rPr>
      </w:pPr>
      <w:r w:rsidRPr="0013396E">
        <w:rPr>
          <w:bCs/>
          <w:lang w:val="pt-BR"/>
        </w:rPr>
        <w:t xml:space="preserve">RTECRWAPR </w:t>
      </w:r>
      <w:r w:rsidRPr="0013396E">
        <w:rPr>
          <w:bCs/>
          <w:i/>
          <w:vertAlign w:val="subscript"/>
          <w:lang w:val="pt-BR"/>
        </w:rPr>
        <w:t>q, r, p</w:t>
      </w:r>
      <w:r w:rsidRPr="0013396E">
        <w:rPr>
          <w:bCs/>
          <w:lang w:val="pt-BR"/>
        </w:rPr>
        <w:tab/>
        <w:t xml:space="preserve">=  </w:t>
      </w:r>
      <w:r w:rsidRPr="0013396E">
        <w:rPr>
          <w:bCs/>
          <w:lang w:val="pt-BR"/>
        </w:rPr>
        <w:tab/>
      </w:r>
      <w:r w:rsidRPr="0013396E">
        <w:rPr>
          <w:bCs/>
          <w:position w:val="-22"/>
        </w:rPr>
        <w:object w:dxaOrig="225" w:dyaOrig="450" w14:anchorId="4EBAA502">
          <v:shape id="_x0000_i1218" type="#_x0000_t75" style="width:12pt;height:24pt" o:ole="">
            <v:imagedata r:id="rId253" o:title=""/>
          </v:shape>
          <o:OLEObject Type="Embed" ProgID="Equation.3" ShapeID="_x0000_i1218" DrawAspect="Content" ObjectID="_1836311496" r:id="rId275"/>
        </w:object>
      </w:r>
      <w:r w:rsidRPr="0013396E">
        <w:rPr>
          <w:bCs/>
          <w:lang w:val="pt-BR"/>
        </w:rPr>
        <w:t xml:space="preserve">(RTECROPR </w:t>
      </w:r>
      <w:r w:rsidRPr="0013396E">
        <w:rPr>
          <w:bCs/>
          <w:i/>
          <w:vertAlign w:val="subscript"/>
          <w:lang w:val="pt-BR"/>
        </w:rPr>
        <w:t>q, r, y</w:t>
      </w:r>
      <w:r w:rsidRPr="0013396E">
        <w:rPr>
          <w:bCs/>
          <w:lang w:val="pt-BR"/>
        </w:rPr>
        <w:t xml:space="preserve"> * Max (0.001, RTECRAWDS </w:t>
      </w:r>
      <w:r w:rsidRPr="0013396E">
        <w:rPr>
          <w:bCs/>
          <w:i/>
          <w:vertAlign w:val="subscript"/>
          <w:lang w:val="pt-BR"/>
        </w:rPr>
        <w:t>q, r, y</w:t>
      </w:r>
      <w:r w:rsidRPr="0013396E">
        <w:rPr>
          <w:bCs/>
          <w:lang w:val="es-MX"/>
        </w:rPr>
        <w:t>)</w:t>
      </w:r>
      <w:r w:rsidRPr="0013396E">
        <w:rPr>
          <w:bCs/>
          <w:lang w:val="pt-BR"/>
        </w:rPr>
        <w:t xml:space="preserve"> * TLMP </w:t>
      </w:r>
      <w:r w:rsidRPr="0013396E">
        <w:rPr>
          <w:bCs/>
          <w:i/>
          <w:vertAlign w:val="subscript"/>
          <w:lang w:val="pt-BR"/>
        </w:rPr>
        <w:t>y</w:t>
      </w:r>
      <w:r w:rsidRPr="0013396E">
        <w:rPr>
          <w:bCs/>
          <w:lang w:val="pt-BR"/>
        </w:rPr>
        <w:t xml:space="preserve">) </w:t>
      </w:r>
      <w:r w:rsidRPr="0013396E">
        <w:rPr>
          <w:b/>
          <w:bCs/>
          <w:sz w:val="32"/>
          <w:szCs w:val="32"/>
          <w:lang w:val="pt-BR"/>
        </w:rPr>
        <w:t>/</w:t>
      </w:r>
      <w:r w:rsidRPr="0013396E">
        <w:rPr>
          <w:bCs/>
        </w:rPr>
        <w:tab/>
      </w:r>
      <w:r w:rsidRPr="0013396E">
        <w:rPr>
          <w:bCs/>
          <w:position w:val="-22"/>
        </w:rPr>
        <w:object w:dxaOrig="225" w:dyaOrig="450" w14:anchorId="69590B93">
          <v:shape id="_x0000_i1219" type="#_x0000_t75" style="width:12pt;height:24pt" o:ole="">
            <v:imagedata r:id="rId255" o:title=""/>
          </v:shape>
          <o:OLEObject Type="Embed" ProgID="Equation.3" ShapeID="_x0000_i1219" DrawAspect="Content" ObjectID="_1836311497" r:id="rId276"/>
        </w:object>
      </w:r>
      <w:r w:rsidRPr="0013396E">
        <w:rPr>
          <w:bCs/>
          <w:lang w:val="es-MX"/>
        </w:rPr>
        <w:t>(</w:t>
      </w:r>
      <w:r w:rsidRPr="0013396E">
        <w:rPr>
          <w:bCs/>
          <w:lang w:val="pt-BR"/>
        </w:rPr>
        <w:t xml:space="preserve">Max (0.001, </w:t>
      </w:r>
      <w:r w:rsidRPr="0013396E">
        <w:rPr>
          <w:bCs/>
          <w:lang w:val="es-MX"/>
        </w:rPr>
        <w:t xml:space="preserve">RTECRAWDS </w:t>
      </w:r>
      <w:r w:rsidRPr="0013396E">
        <w:rPr>
          <w:bCs/>
          <w:i/>
          <w:vertAlign w:val="subscript"/>
          <w:lang w:val="es-MX"/>
        </w:rPr>
        <w:t>q, r, y</w:t>
      </w:r>
      <w:r w:rsidRPr="0013396E">
        <w:rPr>
          <w:bCs/>
          <w:lang w:val="es-MX"/>
        </w:rPr>
        <w:t>)</w:t>
      </w:r>
      <w:r w:rsidRPr="0013396E">
        <w:rPr>
          <w:bCs/>
          <w:i/>
          <w:vertAlign w:val="subscript"/>
          <w:lang w:val="es-MX"/>
        </w:rPr>
        <w:t xml:space="preserve"> </w:t>
      </w:r>
      <w:r w:rsidRPr="0013396E">
        <w:rPr>
          <w:bCs/>
          <w:lang w:val="es-MX"/>
        </w:rPr>
        <w:t>* TLMP</w:t>
      </w:r>
      <w:r w:rsidRPr="0013396E">
        <w:rPr>
          <w:bCs/>
          <w:i/>
          <w:vertAlign w:val="subscript"/>
          <w:lang w:val="es-MX"/>
        </w:rPr>
        <w:t xml:space="preserve"> y</w:t>
      </w:r>
      <w:r w:rsidRPr="0013396E">
        <w:rPr>
          <w:bCs/>
          <w:lang w:val="es-MX"/>
        </w:rPr>
        <w:t>)</w:t>
      </w:r>
    </w:p>
    <w:p w14:paraId="51411366" w14:textId="77777777" w:rsidR="00C236A2" w:rsidRPr="0013396E" w:rsidRDefault="00C236A2" w:rsidP="00C236A2">
      <w:r w:rsidRPr="0013396E">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7"/>
        <w:gridCol w:w="899"/>
        <w:gridCol w:w="6704"/>
      </w:tblGrid>
      <w:tr w:rsidR="00C236A2" w:rsidRPr="0013396E" w14:paraId="7327000A" w14:textId="77777777" w:rsidTr="0099759E">
        <w:trPr>
          <w:cantSplit/>
          <w:tblHeader/>
        </w:trPr>
        <w:tc>
          <w:tcPr>
            <w:tcW w:w="934" w:type="pct"/>
          </w:tcPr>
          <w:p w14:paraId="489213DC" w14:textId="77777777" w:rsidR="00C236A2" w:rsidRPr="0013396E" w:rsidRDefault="00C236A2" w:rsidP="0099759E">
            <w:pPr>
              <w:spacing w:after="240"/>
              <w:rPr>
                <w:b/>
                <w:iCs/>
                <w:sz w:val="20"/>
              </w:rPr>
            </w:pPr>
            <w:r w:rsidRPr="0013396E">
              <w:rPr>
                <w:b/>
                <w:iCs/>
                <w:sz w:val="20"/>
              </w:rPr>
              <w:t>Variable</w:t>
            </w:r>
          </w:p>
        </w:tc>
        <w:tc>
          <w:tcPr>
            <w:tcW w:w="481" w:type="pct"/>
          </w:tcPr>
          <w:p w14:paraId="2710B6AA" w14:textId="77777777" w:rsidR="00C236A2" w:rsidRPr="0013396E" w:rsidRDefault="00C236A2" w:rsidP="0099759E">
            <w:pPr>
              <w:spacing w:after="240"/>
              <w:rPr>
                <w:b/>
                <w:iCs/>
                <w:sz w:val="20"/>
              </w:rPr>
            </w:pPr>
            <w:r w:rsidRPr="0013396E">
              <w:rPr>
                <w:b/>
                <w:iCs/>
                <w:sz w:val="20"/>
              </w:rPr>
              <w:t>Unit</w:t>
            </w:r>
          </w:p>
        </w:tc>
        <w:tc>
          <w:tcPr>
            <w:tcW w:w="3585" w:type="pct"/>
          </w:tcPr>
          <w:p w14:paraId="473C6622" w14:textId="77777777" w:rsidR="00C236A2" w:rsidRPr="0013396E" w:rsidRDefault="00C236A2" w:rsidP="0099759E">
            <w:pPr>
              <w:spacing w:after="240"/>
              <w:rPr>
                <w:b/>
                <w:iCs/>
                <w:sz w:val="20"/>
              </w:rPr>
            </w:pPr>
            <w:r w:rsidRPr="0013396E">
              <w:rPr>
                <w:b/>
                <w:iCs/>
                <w:sz w:val="20"/>
              </w:rPr>
              <w:t>Definition</w:t>
            </w:r>
          </w:p>
        </w:tc>
      </w:tr>
      <w:tr w:rsidR="00C236A2" w:rsidRPr="0013396E" w14:paraId="7D9D7EF6" w14:textId="77777777" w:rsidTr="0099759E">
        <w:trPr>
          <w:cantSplit/>
        </w:trPr>
        <w:tc>
          <w:tcPr>
            <w:tcW w:w="934" w:type="pct"/>
          </w:tcPr>
          <w:p w14:paraId="3A3969BB" w14:textId="77777777" w:rsidR="00C236A2" w:rsidRPr="0013396E" w:rsidRDefault="00C236A2" w:rsidP="0099759E">
            <w:pPr>
              <w:spacing w:after="60"/>
              <w:rPr>
                <w:iCs/>
                <w:sz w:val="20"/>
              </w:rPr>
            </w:pPr>
            <w:r w:rsidRPr="0013396E">
              <w:rPr>
                <w:iCs/>
                <w:sz w:val="20"/>
              </w:rPr>
              <w:t xml:space="preserve">EMREAMT </w:t>
            </w:r>
            <w:r w:rsidRPr="0013396E">
              <w:rPr>
                <w:i/>
                <w:iCs/>
                <w:sz w:val="20"/>
                <w:vertAlign w:val="subscript"/>
              </w:rPr>
              <w:t>q, r, p</w:t>
            </w:r>
          </w:p>
        </w:tc>
        <w:tc>
          <w:tcPr>
            <w:tcW w:w="481" w:type="pct"/>
          </w:tcPr>
          <w:p w14:paraId="479A0C91" w14:textId="77777777" w:rsidR="00C236A2" w:rsidRPr="0013396E" w:rsidRDefault="00C236A2" w:rsidP="0099759E">
            <w:pPr>
              <w:spacing w:after="60"/>
              <w:rPr>
                <w:iCs/>
                <w:sz w:val="20"/>
              </w:rPr>
            </w:pPr>
            <w:r w:rsidRPr="0013396E">
              <w:rPr>
                <w:iCs/>
                <w:sz w:val="20"/>
              </w:rPr>
              <w:t>$</w:t>
            </w:r>
          </w:p>
        </w:tc>
        <w:tc>
          <w:tcPr>
            <w:tcW w:w="3585" w:type="pct"/>
          </w:tcPr>
          <w:p w14:paraId="7BE0E426" w14:textId="77777777" w:rsidR="00C236A2" w:rsidRPr="0013396E" w:rsidRDefault="00C236A2" w:rsidP="0099759E">
            <w:pPr>
              <w:spacing w:after="60"/>
              <w:rPr>
                <w:iCs/>
                <w:sz w:val="20"/>
              </w:rPr>
            </w:pPr>
            <w:r w:rsidRPr="0013396E">
              <w:rPr>
                <w:i/>
                <w:iCs/>
                <w:sz w:val="20"/>
              </w:rPr>
              <w:t>Emergency Energy Amount per QSE per Settlement Point per Resource</w:t>
            </w:r>
            <w:r w:rsidRPr="0013396E">
              <w:rPr>
                <w:iCs/>
                <w:sz w:val="20"/>
              </w:rPr>
              <w:t xml:space="preserve">—The payment to QSE </w:t>
            </w:r>
            <w:r w:rsidRPr="0013396E">
              <w:rPr>
                <w:i/>
                <w:iCs/>
                <w:sz w:val="20"/>
              </w:rPr>
              <w:t>q</w:t>
            </w:r>
            <w:r w:rsidRPr="0013396E">
              <w:rPr>
                <w:iCs/>
                <w:sz w:val="20"/>
              </w:rPr>
              <w:t xml:space="preserve"> as additional compensation for the additional energy or Ancillary Services produced or consumed by Resource </w:t>
            </w:r>
            <w:r w:rsidRPr="0013396E">
              <w:rPr>
                <w:i/>
                <w:iCs/>
                <w:sz w:val="20"/>
              </w:rPr>
              <w:t>r</w:t>
            </w:r>
            <w:r w:rsidRPr="0013396E">
              <w:rPr>
                <w:iCs/>
                <w:sz w:val="20"/>
              </w:rPr>
              <w:t xml:space="preserve"> at Resource Node </w:t>
            </w:r>
            <w:r w:rsidRPr="0013396E">
              <w:rPr>
                <w:i/>
                <w:iCs/>
                <w:sz w:val="20"/>
              </w:rPr>
              <w:t>p</w:t>
            </w:r>
            <w:r w:rsidRPr="0013396E">
              <w:rPr>
                <w:iCs/>
                <w:sz w:val="20"/>
              </w:rPr>
              <w:t xml:space="preserve"> in Real-Time during the Emergency Condition or Watch, for the 15-minute Settlement Interval.  Where for a Combined Cycle Train, the Resource </w:t>
            </w:r>
            <w:r w:rsidRPr="0013396E">
              <w:rPr>
                <w:i/>
                <w:iCs/>
                <w:sz w:val="20"/>
              </w:rPr>
              <w:t xml:space="preserve">r </w:t>
            </w:r>
            <w:r w:rsidRPr="0013396E">
              <w:rPr>
                <w:iCs/>
                <w:sz w:val="20"/>
              </w:rPr>
              <w:t>is the Combined Cycle Train.</w:t>
            </w:r>
          </w:p>
        </w:tc>
      </w:tr>
      <w:tr w:rsidR="00C236A2" w:rsidRPr="0013396E" w14:paraId="029D29BE" w14:textId="77777777" w:rsidTr="0099759E">
        <w:trPr>
          <w:cantSplit/>
        </w:trPr>
        <w:tc>
          <w:tcPr>
            <w:tcW w:w="934" w:type="pct"/>
          </w:tcPr>
          <w:p w14:paraId="1E1C98A2" w14:textId="77777777" w:rsidR="00C236A2" w:rsidRPr="0013396E" w:rsidRDefault="00C236A2" w:rsidP="0099759E">
            <w:pPr>
              <w:spacing w:after="60"/>
              <w:rPr>
                <w:iCs/>
                <w:sz w:val="20"/>
              </w:rPr>
            </w:pPr>
            <w:r w:rsidRPr="0013396E">
              <w:rPr>
                <w:iCs/>
                <w:sz w:val="20"/>
                <w:lang w:val="pt-BR"/>
              </w:rPr>
              <w:t xml:space="preserve">RTENET </w:t>
            </w:r>
            <w:r w:rsidRPr="0013396E">
              <w:rPr>
                <w:i/>
                <w:iCs/>
                <w:sz w:val="20"/>
                <w:vertAlign w:val="subscript"/>
                <w:lang w:val="pt-BR"/>
              </w:rPr>
              <w:t>q, r, p</w:t>
            </w:r>
          </w:p>
        </w:tc>
        <w:tc>
          <w:tcPr>
            <w:tcW w:w="481" w:type="pct"/>
          </w:tcPr>
          <w:p w14:paraId="4A183CAB" w14:textId="77777777" w:rsidR="00C236A2" w:rsidRPr="0013396E" w:rsidRDefault="00C236A2" w:rsidP="0099759E">
            <w:pPr>
              <w:spacing w:after="60"/>
              <w:rPr>
                <w:iCs/>
                <w:sz w:val="20"/>
              </w:rPr>
            </w:pPr>
            <w:r w:rsidRPr="0013396E">
              <w:rPr>
                <w:iCs/>
                <w:sz w:val="20"/>
              </w:rPr>
              <w:t>$</w:t>
            </w:r>
          </w:p>
        </w:tc>
        <w:tc>
          <w:tcPr>
            <w:tcW w:w="3585" w:type="pct"/>
          </w:tcPr>
          <w:p w14:paraId="1EDC4058" w14:textId="77777777" w:rsidR="00C236A2" w:rsidRPr="0013396E" w:rsidRDefault="00C236A2" w:rsidP="0099759E">
            <w:pPr>
              <w:spacing w:after="60"/>
              <w:rPr>
                <w:iCs/>
                <w:sz w:val="20"/>
              </w:rPr>
            </w:pPr>
            <w:r w:rsidRPr="0013396E">
              <w:rPr>
                <w:i/>
                <w:iCs/>
                <w:sz w:val="20"/>
              </w:rPr>
              <w:t>Real-Time Energy Net Revenue</w:t>
            </w:r>
            <w:r w:rsidRPr="0013396E">
              <w:rPr>
                <w:iCs/>
                <w:sz w:val="20"/>
              </w:rPr>
              <w:t xml:space="preserve">—The net difference between the Real-Time Energy Revenue and the Real-Time Energy Revenue Target for QSE </w:t>
            </w:r>
            <w:r w:rsidRPr="0013396E">
              <w:rPr>
                <w:i/>
                <w:iCs/>
                <w:sz w:val="20"/>
              </w:rPr>
              <w:t xml:space="preserve">q </w:t>
            </w:r>
            <w:r w:rsidRPr="0013396E">
              <w:rPr>
                <w:iCs/>
                <w:sz w:val="20"/>
              </w:rPr>
              <w:t xml:space="preserve">for Resource </w:t>
            </w:r>
            <w:r w:rsidRPr="0013396E">
              <w:rPr>
                <w:i/>
                <w:iCs/>
                <w:sz w:val="20"/>
              </w:rPr>
              <w:t xml:space="preserve">r </w:t>
            </w:r>
            <w:r w:rsidRPr="0013396E">
              <w:rPr>
                <w:iCs/>
                <w:sz w:val="20"/>
              </w:rPr>
              <w:t xml:space="preserve">at Resource node </w:t>
            </w:r>
            <w:r w:rsidRPr="0013396E">
              <w:rPr>
                <w:i/>
                <w:iCs/>
                <w:sz w:val="20"/>
              </w:rPr>
              <w:t xml:space="preserve">p </w:t>
            </w:r>
            <w:r w:rsidRPr="0013396E">
              <w:rPr>
                <w:iCs/>
                <w:sz w:val="20"/>
              </w:rPr>
              <w:t xml:space="preserve">for the 15-minute Settlement Interval.  Where for a Combined Cycle Train, the Resource </w:t>
            </w:r>
            <w:r w:rsidRPr="0013396E">
              <w:rPr>
                <w:i/>
                <w:iCs/>
                <w:sz w:val="20"/>
              </w:rPr>
              <w:t xml:space="preserve">r </w:t>
            </w:r>
            <w:r w:rsidRPr="0013396E">
              <w:rPr>
                <w:iCs/>
                <w:sz w:val="20"/>
              </w:rPr>
              <w:t>is the Combined Cycle Train.</w:t>
            </w:r>
          </w:p>
        </w:tc>
      </w:tr>
      <w:tr w:rsidR="00C236A2" w:rsidRPr="0013396E" w14:paraId="035A4011" w14:textId="77777777" w:rsidTr="0099759E">
        <w:trPr>
          <w:cantSplit/>
        </w:trPr>
        <w:tc>
          <w:tcPr>
            <w:tcW w:w="934" w:type="pct"/>
          </w:tcPr>
          <w:p w14:paraId="62571339" w14:textId="77777777" w:rsidR="00C236A2" w:rsidRPr="0013396E" w:rsidRDefault="00C236A2" w:rsidP="0099759E">
            <w:pPr>
              <w:spacing w:after="60"/>
              <w:rPr>
                <w:iCs/>
                <w:sz w:val="20"/>
                <w:lang w:val="pt-BR"/>
              </w:rPr>
            </w:pPr>
            <w:r w:rsidRPr="0013396E">
              <w:rPr>
                <w:iCs/>
                <w:sz w:val="20"/>
              </w:rPr>
              <w:t xml:space="preserve">RTASNET </w:t>
            </w:r>
            <w:r w:rsidRPr="0013396E">
              <w:rPr>
                <w:bCs/>
                <w:i/>
                <w:sz w:val="20"/>
                <w:vertAlign w:val="subscript"/>
              </w:rPr>
              <w:t>q, r</w:t>
            </w:r>
          </w:p>
        </w:tc>
        <w:tc>
          <w:tcPr>
            <w:tcW w:w="481" w:type="pct"/>
          </w:tcPr>
          <w:p w14:paraId="41894A33" w14:textId="77777777" w:rsidR="00C236A2" w:rsidRPr="0013396E" w:rsidRDefault="00C236A2" w:rsidP="0099759E">
            <w:pPr>
              <w:spacing w:after="60"/>
              <w:rPr>
                <w:iCs/>
                <w:sz w:val="20"/>
              </w:rPr>
            </w:pPr>
            <w:r w:rsidRPr="0013396E">
              <w:rPr>
                <w:iCs/>
                <w:sz w:val="20"/>
              </w:rPr>
              <w:t>$</w:t>
            </w:r>
          </w:p>
        </w:tc>
        <w:tc>
          <w:tcPr>
            <w:tcW w:w="3585" w:type="pct"/>
          </w:tcPr>
          <w:p w14:paraId="4AF064DD" w14:textId="77777777" w:rsidR="00C236A2" w:rsidRPr="0013396E" w:rsidRDefault="00C236A2" w:rsidP="0099759E">
            <w:pPr>
              <w:spacing w:after="60"/>
              <w:rPr>
                <w:i/>
                <w:iCs/>
                <w:sz w:val="20"/>
              </w:rPr>
            </w:pPr>
            <w:r w:rsidRPr="0013396E">
              <w:rPr>
                <w:i/>
                <w:iCs/>
                <w:sz w:val="20"/>
              </w:rPr>
              <w:t>Real-Time Ancillary Service Net Revenue</w:t>
            </w:r>
            <w:r w:rsidRPr="0013396E">
              <w:rPr>
                <w:iCs/>
                <w:sz w:val="20"/>
              </w:rPr>
              <w:t xml:space="preserve">—The sum of the Ancillary Service net revenues for QSE </w:t>
            </w:r>
            <w:r w:rsidRPr="0013396E">
              <w:rPr>
                <w:i/>
                <w:iCs/>
                <w:sz w:val="20"/>
              </w:rPr>
              <w:t xml:space="preserve">q </w:t>
            </w:r>
            <w:r w:rsidRPr="0013396E">
              <w:rPr>
                <w:iCs/>
                <w:sz w:val="20"/>
              </w:rPr>
              <w:t xml:space="preserve">for Resource </w:t>
            </w:r>
            <w:r w:rsidRPr="0013396E">
              <w:rPr>
                <w:i/>
                <w:iCs/>
                <w:sz w:val="20"/>
              </w:rPr>
              <w:t xml:space="preserve">r </w:t>
            </w:r>
            <w:r w:rsidRPr="0013396E">
              <w:rPr>
                <w:iCs/>
                <w:sz w:val="20"/>
              </w:rPr>
              <w:t xml:space="preserve">for the 15-minute Settlement Interval.  Where for a Combined Cycle Train, the Resource </w:t>
            </w:r>
            <w:r w:rsidRPr="0013396E">
              <w:rPr>
                <w:i/>
                <w:iCs/>
                <w:sz w:val="20"/>
              </w:rPr>
              <w:t xml:space="preserve">r </w:t>
            </w:r>
            <w:r w:rsidRPr="0013396E">
              <w:rPr>
                <w:iCs/>
                <w:sz w:val="20"/>
              </w:rPr>
              <w:t>is the Combined Cycle Train.</w:t>
            </w:r>
          </w:p>
        </w:tc>
      </w:tr>
      <w:tr w:rsidR="00C236A2" w:rsidRPr="0013396E" w14:paraId="1A85E26B" w14:textId="77777777" w:rsidTr="0099759E">
        <w:trPr>
          <w:cantSplit/>
        </w:trPr>
        <w:tc>
          <w:tcPr>
            <w:tcW w:w="934" w:type="pct"/>
          </w:tcPr>
          <w:p w14:paraId="38586E1E" w14:textId="77777777" w:rsidR="00C236A2" w:rsidRPr="0013396E" w:rsidRDefault="00C236A2" w:rsidP="0099759E">
            <w:pPr>
              <w:spacing w:after="60"/>
              <w:rPr>
                <w:bCs/>
                <w:sz w:val="20"/>
              </w:rPr>
            </w:pPr>
            <w:r w:rsidRPr="0013396E">
              <w:rPr>
                <w:iCs/>
                <w:sz w:val="20"/>
              </w:rPr>
              <w:lastRenderedPageBreak/>
              <w:t xml:space="preserve">RTEREV </w:t>
            </w:r>
            <w:r w:rsidRPr="0013396E">
              <w:rPr>
                <w:i/>
                <w:iCs/>
                <w:sz w:val="20"/>
                <w:vertAlign w:val="subscript"/>
              </w:rPr>
              <w:t>q, r, p</w:t>
            </w:r>
          </w:p>
        </w:tc>
        <w:tc>
          <w:tcPr>
            <w:tcW w:w="481" w:type="pct"/>
          </w:tcPr>
          <w:p w14:paraId="3385599A" w14:textId="77777777" w:rsidR="00C236A2" w:rsidRPr="0013396E" w:rsidRDefault="00C236A2" w:rsidP="0099759E">
            <w:pPr>
              <w:spacing w:after="60"/>
              <w:rPr>
                <w:iCs/>
                <w:sz w:val="20"/>
              </w:rPr>
            </w:pPr>
            <w:r w:rsidRPr="0013396E">
              <w:rPr>
                <w:iCs/>
                <w:sz w:val="20"/>
              </w:rPr>
              <w:t>$</w:t>
            </w:r>
          </w:p>
        </w:tc>
        <w:tc>
          <w:tcPr>
            <w:tcW w:w="3585" w:type="pct"/>
          </w:tcPr>
          <w:p w14:paraId="1DCB4795" w14:textId="77777777" w:rsidR="00C236A2" w:rsidRPr="0013396E" w:rsidRDefault="00C236A2" w:rsidP="0099759E">
            <w:pPr>
              <w:spacing w:after="60"/>
              <w:rPr>
                <w:i/>
                <w:iCs/>
                <w:sz w:val="20"/>
              </w:rPr>
            </w:pPr>
            <w:r w:rsidRPr="0013396E">
              <w:rPr>
                <w:i/>
                <w:iCs/>
                <w:sz w:val="20"/>
              </w:rPr>
              <w:t>Real-Time Energy Revenue</w:t>
            </w:r>
            <w:r w:rsidRPr="0013396E">
              <w:rPr>
                <w:iCs/>
                <w:sz w:val="20"/>
              </w:rPr>
              <w:t xml:space="preserve">—The calculated Real-Time energy revenue at the RTSPP for QSE </w:t>
            </w:r>
            <w:r w:rsidRPr="0013396E">
              <w:rPr>
                <w:i/>
                <w:iCs/>
                <w:sz w:val="20"/>
              </w:rPr>
              <w:t xml:space="preserve">q </w:t>
            </w:r>
            <w:r w:rsidRPr="0013396E">
              <w:rPr>
                <w:iCs/>
                <w:sz w:val="20"/>
              </w:rPr>
              <w:t>calculated for</w:t>
            </w:r>
            <w:r w:rsidRPr="0013396E">
              <w:rPr>
                <w:i/>
                <w:iCs/>
                <w:sz w:val="20"/>
              </w:rPr>
              <w:t xml:space="preserve"> </w:t>
            </w:r>
            <w:r w:rsidRPr="0013396E">
              <w:rPr>
                <w:iCs/>
                <w:sz w:val="20"/>
              </w:rPr>
              <w:t xml:space="preserve">Resource </w:t>
            </w:r>
            <w:r w:rsidRPr="0013396E">
              <w:rPr>
                <w:i/>
                <w:iCs/>
                <w:sz w:val="20"/>
              </w:rPr>
              <w:t>r</w:t>
            </w:r>
            <w:r w:rsidRPr="0013396E">
              <w:rPr>
                <w:iCs/>
                <w:sz w:val="20"/>
              </w:rPr>
              <w:t xml:space="preserve"> at Resource node </w:t>
            </w:r>
            <w:r w:rsidRPr="0013396E">
              <w:rPr>
                <w:i/>
                <w:iCs/>
                <w:sz w:val="20"/>
              </w:rPr>
              <w:t xml:space="preserve">p </w:t>
            </w:r>
            <w:r w:rsidRPr="0013396E">
              <w:rPr>
                <w:iCs/>
                <w:sz w:val="20"/>
              </w:rPr>
              <w:t xml:space="preserve">for the 15-minute Settlement Interval.  Where for a Combined Cycle Train, the Resource </w:t>
            </w:r>
            <w:r w:rsidRPr="0013396E">
              <w:rPr>
                <w:i/>
                <w:iCs/>
                <w:sz w:val="20"/>
              </w:rPr>
              <w:t>r</w:t>
            </w:r>
            <w:r w:rsidRPr="0013396E">
              <w:rPr>
                <w:iCs/>
                <w:sz w:val="20"/>
              </w:rPr>
              <w:t xml:space="preserve"> is the Combined Cycle Train.</w:t>
            </w:r>
          </w:p>
        </w:tc>
      </w:tr>
      <w:tr w:rsidR="00C236A2" w:rsidRPr="0013396E" w14:paraId="3EC31F1A" w14:textId="77777777" w:rsidTr="0099759E">
        <w:trPr>
          <w:cantSplit/>
        </w:trPr>
        <w:tc>
          <w:tcPr>
            <w:tcW w:w="934" w:type="pct"/>
          </w:tcPr>
          <w:p w14:paraId="1D4BDAB2" w14:textId="77777777" w:rsidR="00C236A2" w:rsidRPr="0013396E" w:rsidRDefault="00C236A2" w:rsidP="0099759E">
            <w:pPr>
              <w:spacing w:after="60"/>
              <w:rPr>
                <w:iCs/>
                <w:sz w:val="20"/>
              </w:rPr>
            </w:pPr>
            <w:r w:rsidRPr="0013396E">
              <w:rPr>
                <w:iCs/>
                <w:sz w:val="20"/>
              </w:rPr>
              <w:t xml:space="preserve">EMREGEN </w:t>
            </w:r>
            <w:r w:rsidRPr="0013396E">
              <w:rPr>
                <w:i/>
                <w:iCs/>
                <w:sz w:val="20"/>
                <w:vertAlign w:val="subscript"/>
              </w:rPr>
              <w:t>q, r, p</w:t>
            </w:r>
          </w:p>
        </w:tc>
        <w:tc>
          <w:tcPr>
            <w:tcW w:w="481" w:type="pct"/>
          </w:tcPr>
          <w:p w14:paraId="02119E82" w14:textId="77777777" w:rsidR="00C236A2" w:rsidRPr="0013396E" w:rsidRDefault="00C236A2" w:rsidP="0099759E">
            <w:pPr>
              <w:spacing w:after="60"/>
              <w:rPr>
                <w:iCs/>
                <w:sz w:val="20"/>
              </w:rPr>
            </w:pPr>
            <w:r w:rsidRPr="0013396E">
              <w:rPr>
                <w:iCs/>
                <w:sz w:val="20"/>
              </w:rPr>
              <w:t>MWh</w:t>
            </w:r>
          </w:p>
        </w:tc>
        <w:tc>
          <w:tcPr>
            <w:tcW w:w="3585" w:type="pct"/>
          </w:tcPr>
          <w:p w14:paraId="78FA8B68" w14:textId="77777777" w:rsidR="00C236A2" w:rsidRPr="0013396E" w:rsidRDefault="00C236A2" w:rsidP="0099759E">
            <w:pPr>
              <w:spacing w:after="60"/>
              <w:rPr>
                <w:i/>
                <w:iCs/>
                <w:sz w:val="20"/>
              </w:rPr>
            </w:pPr>
            <w:r w:rsidRPr="0013396E">
              <w:rPr>
                <w:i/>
                <w:iCs/>
                <w:sz w:val="20"/>
              </w:rPr>
              <w:t>Emergency Energy for Generation per QSE per Settlement Point per Resource</w:t>
            </w:r>
            <w:r w:rsidRPr="0013396E">
              <w:rPr>
                <w:iCs/>
                <w:sz w:val="20"/>
              </w:rPr>
              <w:t xml:space="preserve">—The generation produced by Resource </w:t>
            </w:r>
            <w:r w:rsidRPr="0013396E">
              <w:rPr>
                <w:i/>
                <w:iCs/>
                <w:sz w:val="20"/>
              </w:rPr>
              <w:t>r</w:t>
            </w:r>
            <w:r w:rsidRPr="0013396E">
              <w:rPr>
                <w:iCs/>
                <w:sz w:val="20"/>
              </w:rPr>
              <w:t xml:space="preserve"> at Resource Node </w:t>
            </w:r>
            <w:r w:rsidRPr="0013396E">
              <w:rPr>
                <w:i/>
                <w:iCs/>
                <w:sz w:val="20"/>
              </w:rPr>
              <w:t>p</w:t>
            </w:r>
            <w:r w:rsidRPr="0013396E">
              <w:rPr>
                <w:iCs/>
                <w:sz w:val="20"/>
              </w:rPr>
              <w:t xml:space="preserve"> represented by QSE </w:t>
            </w:r>
            <w:r w:rsidRPr="0013396E">
              <w:rPr>
                <w:i/>
                <w:iCs/>
                <w:sz w:val="20"/>
              </w:rPr>
              <w:t>q</w:t>
            </w:r>
            <w:r w:rsidRPr="0013396E">
              <w:rPr>
                <w:iCs/>
                <w:sz w:val="20"/>
              </w:rPr>
              <w:t xml:space="preserve"> in Real-Time during the Emergency Condition or Watch, for the 15-minute Settlement Interval.  Where for a Combined Cycle Train, the Resource </w:t>
            </w:r>
            <w:r w:rsidRPr="0013396E">
              <w:rPr>
                <w:i/>
                <w:iCs/>
                <w:sz w:val="20"/>
              </w:rPr>
              <w:t xml:space="preserve">r </w:t>
            </w:r>
            <w:r w:rsidRPr="0013396E">
              <w:rPr>
                <w:iCs/>
                <w:sz w:val="20"/>
              </w:rPr>
              <w:t>is the Combined Cycle Train.</w:t>
            </w:r>
          </w:p>
        </w:tc>
      </w:tr>
      <w:tr w:rsidR="00C236A2" w:rsidRPr="0013396E" w14:paraId="0F2BE5B4" w14:textId="77777777" w:rsidTr="0099759E">
        <w:trPr>
          <w:cantSplit/>
        </w:trPr>
        <w:tc>
          <w:tcPr>
            <w:tcW w:w="934" w:type="pct"/>
          </w:tcPr>
          <w:p w14:paraId="5E8CFED6" w14:textId="77777777" w:rsidR="00C236A2" w:rsidRPr="0013396E" w:rsidRDefault="00C236A2" w:rsidP="0099759E">
            <w:pPr>
              <w:spacing w:after="60"/>
              <w:rPr>
                <w:iCs/>
                <w:sz w:val="20"/>
              </w:rPr>
            </w:pPr>
            <w:r w:rsidRPr="0013396E">
              <w:rPr>
                <w:iCs/>
                <w:sz w:val="20"/>
              </w:rPr>
              <w:t xml:space="preserve">EMRELOAD </w:t>
            </w:r>
            <w:r w:rsidRPr="0013396E">
              <w:rPr>
                <w:i/>
                <w:iCs/>
                <w:sz w:val="20"/>
                <w:vertAlign w:val="subscript"/>
              </w:rPr>
              <w:t>q, r, p</w:t>
            </w:r>
          </w:p>
        </w:tc>
        <w:tc>
          <w:tcPr>
            <w:tcW w:w="481" w:type="pct"/>
          </w:tcPr>
          <w:p w14:paraId="62194223" w14:textId="77777777" w:rsidR="00C236A2" w:rsidRPr="0013396E" w:rsidRDefault="00C236A2" w:rsidP="0099759E">
            <w:pPr>
              <w:spacing w:after="60"/>
              <w:rPr>
                <w:iCs/>
                <w:sz w:val="20"/>
              </w:rPr>
            </w:pPr>
            <w:r w:rsidRPr="0013396E">
              <w:rPr>
                <w:iCs/>
                <w:sz w:val="20"/>
              </w:rPr>
              <w:t>MWh</w:t>
            </w:r>
          </w:p>
        </w:tc>
        <w:tc>
          <w:tcPr>
            <w:tcW w:w="3585" w:type="pct"/>
          </w:tcPr>
          <w:p w14:paraId="7E0B3637" w14:textId="77777777" w:rsidR="00C236A2" w:rsidRPr="0013396E" w:rsidRDefault="00C236A2" w:rsidP="0099759E">
            <w:pPr>
              <w:spacing w:after="60"/>
              <w:rPr>
                <w:i/>
                <w:iCs/>
                <w:sz w:val="20"/>
              </w:rPr>
            </w:pPr>
            <w:r w:rsidRPr="0013396E">
              <w:rPr>
                <w:i/>
                <w:iCs/>
                <w:sz w:val="20"/>
              </w:rPr>
              <w:t>Emergency Energy for Charging Load per QSE per Settlement Point per Resource</w:t>
            </w:r>
            <w:r w:rsidRPr="0013396E">
              <w:rPr>
                <w:iCs/>
                <w:sz w:val="20"/>
              </w:rPr>
              <w:t xml:space="preserve">—The charging load for Resource </w:t>
            </w:r>
            <w:r w:rsidRPr="0013396E">
              <w:rPr>
                <w:i/>
                <w:iCs/>
                <w:sz w:val="20"/>
              </w:rPr>
              <w:t>r</w:t>
            </w:r>
            <w:r w:rsidRPr="0013396E">
              <w:rPr>
                <w:iCs/>
                <w:sz w:val="20"/>
              </w:rPr>
              <w:t xml:space="preserve"> at Resource Node </w:t>
            </w:r>
            <w:r w:rsidRPr="0013396E">
              <w:rPr>
                <w:i/>
                <w:iCs/>
                <w:sz w:val="20"/>
              </w:rPr>
              <w:t>p</w:t>
            </w:r>
            <w:r w:rsidRPr="0013396E">
              <w:rPr>
                <w:iCs/>
                <w:sz w:val="20"/>
              </w:rPr>
              <w:t xml:space="preserve"> represented by QSE </w:t>
            </w:r>
            <w:r w:rsidRPr="0013396E">
              <w:rPr>
                <w:i/>
                <w:iCs/>
                <w:sz w:val="20"/>
              </w:rPr>
              <w:t>q</w:t>
            </w:r>
            <w:r w:rsidRPr="0013396E">
              <w:rPr>
                <w:iCs/>
                <w:sz w:val="20"/>
              </w:rPr>
              <w:t xml:space="preserve"> in Real-Time during the Emergency Condition or Watch, for the 15-minute Settlement Interval.</w:t>
            </w:r>
          </w:p>
        </w:tc>
      </w:tr>
      <w:tr w:rsidR="00C236A2" w:rsidRPr="0013396E" w14:paraId="7E7D7255" w14:textId="77777777" w:rsidTr="0099759E">
        <w:trPr>
          <w:cantSplit/>
        </w:trPr>
        <w:tc>
          <w:tcPr>
            <w:tcW w:w="934" w:type="pct"/>
          </w:tcPr>
          <w:p w14:paraId="2217D879" w14:textId="77777777" w:rsidR="00C236A2" w:rsidRPr="0013396E" w:rsidRDefault="00C236A2" w:rsidP="0099759E">
            <w:pPr>
              <w:spacing w:after="60"/>
              <w:rPr>
                <w:bCs/>
                <w:sz w:val="20"/>
              </w:rPr>
            </w:pPr>
            <w:r w:rsidRPr="0013396E">
              <w:rPr>
                <w:iCs/>
                <w:sz w:val="20"/>
              </w:rPr>
              <w:t xml:space="preserve">RTEREVT </w:t>
            </w:r>
            <w:r w:rsidRPr="0013396E">
              <w:rPr>
                <w:bCs/>
                <w:i/>
                <w:sz w:val="20"/>
                <w:szCs w:val="16"/>
                <w:vertAlign w:val="subscript"/>
              </w:rPr>
              <w:t>q, r, p</w:t>
            </w:r>
          </w:p>
        </w:tc>
        <w:tc>
          <w:tcPr>
            <w:tcW w:w="481" w:type="pct"/>
          </w:tcPr>
          <w:p w14:paraId="07D868A3" w14:textId="77777777" w:rsidR="00C236A2" w:rsidRPr="0013396E" w:rsidRDefault="00C236A2" w:rsidP="0099759E">
            <w:pPr>
              <w:spacing w:after="60"/>
              <w:rPr>
                <w:iCs/>
                <w:sz w:val="20"/>
              </w:rPr>
            </w:pPr>
            <w:r w:rsidRPr="0013396E">
              <w:rPr>
                <w:iCs/>
                <w:sz w:val="20"/>
              </w:rPr>
              <w:t>$</w:t>
            </w:r>
          </w:p>
        </w:tc>
        <w:tc>
          <w:tcPr>
            <w:tcW w:w="3585" w:type="pct"/>
          </w:tcPr>
          <w:p w14:paraId="1432DE0E" w14:textId="77777777" w:rsidR="00C236A2" w:rsidRPr="0013396E" w:rsidRDefault="00C236A2" w:rsidP="0099759E">
            <w:pPr>
              <w:spacing w:after="60"/>
              <w:rPr>
                <w:iCs/>
                <w:sz w:val="20"/>
              </w:rPr>
            </w:pPr>
            <w:r w:rsidRPr="0013396E">
              <w:rPr>
                <w:i/>
                <w:iCs/>
                <w:sz w:val="20"/>
              </w:rPr>
              <w:t>Real-Time Energy Revenue Target</w:t>
            </w:r>
            <w:r w:rsidRPr="0013396E">
              <w:rPr>
                <w:iCs/>
                <w:sz w:val="20"/>
              </w:rPr>
              <w:t xml:space="preserve">—The energy revenue target at the EBPWAPRGEN and EBPWAPRLOAD of the Resource </w:t>
            </w:r>
            <w:r w:rsidRPr="0013396E">
              <w:rPr>
                <w:i/>
                <w:iCs/>
                <w:sz w:val="20"/>
              </w:rPr>
              <w:t xml:space="preserve">r </w:t>
            </w:r>
            <w:r w:rsidRPr="0013396E">
              <w:rPr>
                <w:iCs/>
                <w:sz w:val="20"/>
              </w:rPr>
              <w:t xml:space="preserve">represented by QSE </w:t>
            </w:r>
            <w:r w:rsidRPr="0013396E">
              <w:rPr>
                <w:i/>
                <w:iCs/>
                <w:sz w:val="20"/>
              </w:rPr>
              <w:t>q</w:t>
            </w:r>
            <w:r w:rsidRPr="0013396E">
              <w:rPr>
                <w:iCs/>
                <w:sz w:val="20"/>
              </w:rPr>
              <w:t xml:space="preserve">, for the 15-minute Settlement Interval.  Where for a Combined Cycle Train, the Resource </w:t>
            </w:r>
            <w:r w:rsidRPr="0013396E">
              <w:rPr>
                <w:i/>
                <w:iCs/>
                <w:sz w:val="20"/>
              </w:rPr>
              <w:t>r</w:t>
            </w:r>
            <w:r w:rsidRPr="0013396E">
              <w:rPr>
                <w:iCs/>
                <w:sz w:val="20"/>
              </w:rPr>
              <w:t xml:space="preserve"> is the Combined Cycle Train.</w:t>
            </w:r>
          </w:p>
        </w:tc>
      </w:tr>
      <w:tr w:rsidR="00C236A2" w:rsidRPr="0013396E" w14:paraId="523AAA0B" w14:textId="77777777" w:rsidTr="0099759E">
        <w:trPr>
          <w:cantSplit/>
        </w:trPr>
        <w:tc>
          <w:tcPr>
            <w:tcW w:w="934" w:type="pct"/>
          </w:tcPr>
          <w:p w14:paraId="2D983060" w14:textId="77777777" w:rsidR="00C236A2" w:rsidRPr="0013396E" w:rsidRDefault="00C236A2" w:rsidP="0099759E">
            <w:pPr>
              <w:spacing w:after="60"/>
              <w:rPr>
                <w:iCs/>
                <w:sz w:val="20"/>
              </w:rPr>
            </w:pPr>
            <w:r w:rsidRPr="0013396E">
              <w:rPr>
                <w:iCs/>
                <w:sz w:val="20"/>
              </w:rPr>
              <w:t xml:space="preserve">EBPWAPRGEN </w:t>
            </w:r>
            <w:r w:rsidRPr="0013396E">
              <w:rPr>
                <w:i/>
                <w:iCs/>
                <w:sz w:val="20"/>
                <w:vertAlign w:val="subscript"/>
              </w:rPr>
              <w:t>q, r, p</w:t>
            </w:r>
          </w:p>
        </w:tc>
        <w:tc>
          <w:tcPr>
            <w:tcW w:w="481" w:type="pct"/>
          </w:tcPr>
          <w:p w14:paraId="42849257" w14:textId="77777777" w:rsidR="00C236A2" w:rsidRPr="0013396E" w:rsidRDefault="00C236A2" w:rsidP="0099759E">
            <w:pPr>
              <w:spacing w:after="60"/>
              <w:rPr>
                <w:iCs/>
                <w:sz w:val="20"/>
              </w:rPr>
            </w:pPr>
            <w:r w:rsidRPr="0013396E">
              <w:rPr>
                <w:iCs/>
                <w:sz w:val="20"/>
              </w:rPr>
              <w:t>$/MWh</w:t>
            </w:r>
          </w:p>
        </w:tc>
        <w:tc>
          <w:tcPr>
            <w:tcW w:w="3585" w:type="pct"/>
          </w:tcPr>
          <w:p w14:paraId="72EEE7AC" w14:textId="77777777" w:rsidR="00C236A2" w:rsidRPr="0013396E" w:rsidRDefault="00C236A2" w:rsidP="0099759E">
            <w:pPr>
              <w:spacing w:after="60"/>
              <w:rPr>
                <w:i/>
                <w:iCs/>
                <w:sz w:val="20"/>
              </w:rPr>
            </w:pPr>
            <w:r w:rsidRPr="0013396E">
              <w:rPr>
                <w:i/>
                <w:iCs/>
                <w:sz w:val="20"/>
              </w:rPr>
              <w:t>Emergency Base Point Weighted Average Price for Generation per QSE per Settlement Point per Resource</w:t>
            </w:r>
            <w:r w:rsidRPr="0013396E">
              <w:rPr>
                <w:iCs/>
                <w:sz w:val="20"/>
              </w:rPr>
              <w:t xml:space="preserve">—The weighted average of the Emergency Base Point Prices corresponding with the positive Emergency Base Points for Resource </w:t>
            </w:r>
            <w:r w:rsidRPr="0013396E">
              <w:rPr>
                <w:i/>
                <w:iCs/>
                <w:sz w:val="20"/>
              </w:rPr>
              <w:t>r</w:t>
            </w:r>
            <w:r w:rsidRPr="0013396E">
              <w:rPr>
                <w:iCs/>
                <w:sz w:val="20"/>
              </w:rPr>
              <w:t xml:space="preserve"> at Resource Node </w:t>
            </w:r>
            <w:r w:rsidRPr="0013396E">
              <w:rPr>
                <w:i/>
                <w:iCs/>
                <w:sz w:val="20"/>
              </w:rPr>
              <w:t>p</w:t>
            </w:r>
            <w:r w:rsidRPr="0013396E">
              <w:rPr>
                <w:iCs/>
                <w:sz w:val="20"/>
              </w:rPr>
              <w:t xml:space="preserve"> represented by QSE </w:t>
            </w:r>
            <w:r w:rsidRPr="0013396E">
              <w:rPr>
                <w:i/>
                <w:iCs/>
                <w:sz w:val="20"/>
              </w:rPr>
              <w:t>q</w:t>
            </w:r>
            <w:r w:rsidRPr="0013396E">
              <w:rPr>
                <w:iCs/>
                <w:sz w:val="20"/>
              </w:rPr>
              <w:t xml:space="preserve">, for the 15-minute Settlement Interval.  Where for a Combined Cycle Train, the Resource </w:t>
            </w:r>
            <w:r w:rsidRPr="0013396E">
              <w:rPr>
                <w:i/>
                <w:iCs/>
                <w:sz w:val="20"/>
              </w:rPr>
              <w:t xml:space="preserve">r </w:t>
            </w:r>
            <w:r w:rsidRPr="0013396E">
              <w:rPr>
                <w:iCs/>
                <w:sz w:val="20"/>
              </w:rPr>
              <w:t>is the Combined Cycle Train.</w:t>
            </w:r>
          </w:p>
        </w:tc>
      </w:tr>
      <w:tr w:rsidR="00C236A2" w:rsidRPr="0013396E" w14:paraId="4CF3AFF3" w14:textId="77777777" w:rsidTr="0099759E">
        <w:trPr>
          <w:cantSplit/>
        </w:trPr>
        <w:tc>
          <w:tcPr>
            <w:tcW w:w="934" w:type="pct"/>
          </w:tcPr>
          <w:p w14:paraId="2F9A4BE0" w14:textId="77777777" w:rsidR="00C236A2" w:rsidRPr="0013396E" w:rsidRDefault="00C236A2" w:rsidP="0099759E">
            <w:pPr>
              <w:spacing w:after="60"/>
              <w:rPr>
                <w:iCs/>
                <w:sz w:val="20"/>
              </w:rPr>
            </w:pPr>
            <w:r w:rsidRPr="0013396E">
              <w:rPr>
                <w:iCs/>
                <w:sz w:val="20"/>
              </w:rPr>
              <w:t xml:space="preserve">EBPWAPRLOAD </w:t>
            </w:r>
            <w:r w:rsidRPr="0013396E">
              <w:rPr>
                <w:i/>
                <w:iCs/>
                <w:sz w:val="20"/>
                <w:vertAlign w:val="subscript"/>
              </w:rPr>
              <w:t>q, r, p</w:t>
            </w:r>
          </w:p>
        </w:tc>
        <w:tc>
          <w:tcPr>
            <w:tcW w:w="481" w:type="pct"/>
          </w:tcPr>
          <w:p w14:paraId="4D5DAF15" w14:textId="77777777" w:rsidR="00C236A2" w:rsidRPr="0013396E" w:rsidRDefault="00C236A2" w:rsidP="0099759E">
            <w:pPr>
              <w:spacing w:after="60"/>
              <w:rPr>
                <w:iCs/>
                <w:sz w:val="20"/>
              </w:rPr>
            </w:pPr>
            <w:r w:rsidRPr="0013396E">
              <w:rPr>
                <w:iCs/>
                <w:sz w:val="20"/>
              </w:rPr>
              <w:t>$/MWh</w:t>
            </w:r>
          </w:p>
        </w:tc>
        <w:tc>
          <w:tcPr>
            <w:tcW w:w="3585" w:type="pct"/>
          </w:tcPr>
          <w:p w14:paraId="1E12A940" w14:textId="77777777" w:rsidR="00C236A2" w:rsidRPr="0013396E" w:rsidRDefault="00C236A2" w:rsidP="0099759E">
            <w:pPr>
              <w:spacing w:after="60"/>
              <w:rPr>
                <w:i/>
                <w:iCs/>
                <w:sz w:val="20"/>
              </w:rPr>
            </w:pPr>
            <w:r w:rsidRPr="0013396E">
              <w:rPr>
                <w:i/>
                <w:iCs/>
                <w:sz w:val="20"/>
              </w:rPr>
              <w:t>Emergency Base Point Weighted Average Price for Charging Load per QSE per Settlement Point per Resource</w:t>
            </w:r>
            <w:r w:rsidRPr="0013396E">
              <w:rPr>
                <w:iCs/>
                <w:sz w:val="20"/>
              </w:rPr>
              <w:t xml:space="preserve">—The weighted average of the Emergency Base Point Prices corresponding with the negative Emergency Base Points, for Resource </w:t>
            </w:r>
            <w:r w:rsidRPr="0013396E">
              <w:rPr>
                <w:i/>
                <w:iCs/>
                <w:sz w:val="20"/>
              </w:rPr>
              <w:t>r</w:t>
            </w:r>
            <w:r w:rsidRPr="0013396E">
              <w:rPr>
                <w:iCs/>
                <w:sz w:val="20"/>
              </w:rPr>
              <w:t xml:space="preserve"> at Resource Node </w:t>
            </w:r>
            <w:r w:rsidRPr="0013396E">
              <w:rPr>
                <w:i/>
                <w:iCs/>
                <w:sz w:val="20"/>
              </w:rPr>
              <w:t>p</w:t>
            </w:r>
            <w:r w:rsidRPr="0013396E">
              <w:rPr>
                <w:iCs/>
                <w:sz w:val="20"/>
              </w:rPr>
              <w:t xml:space="preserve"> represented by QSE </w:t>
            </w:r>
            <w:r w:rsidRPr="0013396E">
              <w:rPr>
                <w:i/>
                <w:iCs/>
                <w:sz w:val="20"/>
              </w:rPr>
              <w:t>q</w:t>
            </w:r>
            <w:r w:rsidRPr="0013396E">
              <w:rPr>
                <w:iCs/>
                <w:sz w:val="20"/>
              </w:rPr>
              <w:t>, for the 15-minute Settlement Interval.</w:t>
            </w:r>
          </w:p>
        </w:tc>
      </w:tr>
      <w:tr w:rsidR="00C236A2" w:rsidRPr="0013396E" w14:paraId="571D21A8" w14:textId="77777777" w:rsidTr="0099759E">
        <w:trPr>
          <w:cantSplit/>
        </w:trPr>
        <w:tc>
          <w:tcPr>
            <w:tcW w:w="934" w:type="pct"/>
            <w:tcBorders>
              <w:top w:val="single" w:sz="4" w:space="0" w:color="auto"/>
              <w:left w:val="single" w:sz="4" w:space="0" w:color="auto"/>
              <w:bottom w:val="single" w:sz="4" w:space="0" w:color="auto"/>
              <w:right w:val="single" w:sz="4" w:space="0" w:color="auto"/>
            </w:tcBorders>
          </w:tcPr>
          <w:p w14:paraId="3BB1E3DB" w14:textId="77777777" w:rsidR="00C236A2" w:rsidRPr="0013396E" w:rsidRDefault="00C236A2" w:rsidP="0099759E">
            <w:pPr>
              <w:spacing w:after="60"/>
              <w:rPr>
                <w:iCs/>
                <w:sz w:val="20"/>
              </w:rPr>
            </w:pPr>
            <w:r w:rsidRPr="0013396E">
              <w:rPr>
                <w:iCs/>
                <w:sz w:val="20"/>
              </w:rPr>
              <w:t>AEBPGEN</w:t>
            </w:r>
            <w:r w:rsidRPr="0013396E">
              <w:rPr>
                <w:iCs/>
                <w:sz w:val="20"/>
                <w:vertAlign w:val="subscript"/>
              </w:rPr>
              <w:t xml:space="preserve"> </w:t>
            </w:r>
            <w:r w:rsidRPr="0013396E">
              <w:rPr>
                <w:i/>
                <w:iCs/>
                <w:sz w:val="20"/>
                <w:vertAlign w:val="subscript"/>
              </w:rPr>
              <w:t>q, r, p</w:t>
            </w:r>
          </w:p>
        </w:tc>
        <w:tc>
          <w:tcPr>
            <w:tcW w:w="481" w:type="pct"/>
            <w:tcBorders>
              <w:top w:val="single" w:sz="4" w:space="0" w:color="auto"/>
              <w:left w:val="single" w:sz="4" w:space="0" w:color="auto"/>
              <w:bottom w:val="single" w:sz="4" w:space="0" w:color="auto"/>
              <w:right w:val="single" w:sz="4" w:space="0" w:color="auto"/>
            </w:tcBorders>
          </w:tcPr>
          <w:p w14:paraId="327F1596" w14:textId="77777777" w:rsidR="00C236A2" w:rsidRPr="0013396E" w:rsidRDefault="00C236A2" w:rsidP="0099759E">
            <w:pPr>
              <w:spacing w:after="60"/>
              <w:rPr>
                <w:iCs/>
                <w:sz w:val="20"/>
              </w:rPr>
            </w:pPr>
            <w:r w:rsidRPr="0013396E">
              <w:rPr>
                <w:iCs/>
                <w:sz w:val="20"/>
              </w:rPr>
              <w:t>MWh</w:t>
            </w:r>
          </w:p>
        </w:tc>
        <w:tc>
          <w:tcPr>
            <w:tcW w:w="3585" w:type="pct"/>
            <w:tcBorders>
              <w:top w:val="single" w:sz="4" w:space="0" w:color="auto"/>
              <w:left w:val="single" w:sz="4" w:space="0" w:color="auto"/>
              <w:bottom w:val="single" w:sz="4" w:space="0" w:color="auto"/>
              <w:right w:val="single" w:sz="4" w:space="0" w:color="auto"/>
            </w:tcBorders>
          </w:tcPr>
          <w:p w14:paraId="506BEAD7" w14:textId="77777777" w:rsidR="00C236A2" w:rsidRPr="0013396E" w:rsidRDefault="00C236A2" w:rsidP="0099759E">
            <w:pPr>
              <w:spacing w:after="60"/>
              <w:rPr>
                <w:i/>
                <w:iCs/>
                <w:sz w:val="20"/>
              </w:rPr>
            </w:pPr>
            <w:r w:rsidRPr="0013396E">
              <w:rPr>
                <w:i/>
                <w:iCs/>
                <w:sz w:val="20"/>
              </w:rPr>
              <w:t>Aggregated Emergency Base Point for Generation</w:t>
            </w:r>
            <w:r w:rsidRPr="0013396E">
              <w:rPr>
                <w:iCs/>
                <w:sz w:val="20"/>
              </w:rPr>
              <w:t xml:space="preserve">—The aggregation of the positive Emergency Base Points for the Resource </w:t>
            </w:r>
            <w:r w:rsidRPr="0013396E">
              <w:rPr>
                <w:i/>
                <w:iCs/>
                <w:sz w:val="20"/>
              </w:rPr>
              <w:t>r</w:t>
            </w:r>
            <w:r w:rsidRPr="0013396E">
              <w:rPr>
                <w:iCs/>
                <w:sz w:val="20"/>
              </w:rPr>
              <w:t xml:space="preserve"> represented by QSE </w:t>
            </w:r>
            <w:r w:rsidRPr="0013396E">
              <w:rPr>
                <w:i/>
                <w:iCs/>
                <w:sz w:val="20"/>
              </w:rPr>
              <w:t>q</w:t>
            </w:r>
            <w:r w:rsidRPr="0013396E">
              <w:rPr>
                <w:iCs/>
                <w:sz w:val="20"/>
              </w:rPr>
              <w:t>, for the 15-minute Settlement Interval.  Where for a Combined Cycle Train, AEBP is calculated for the Combined Cycle Train considering all emergency Dispatch Instructions to any Combined Cycle Generation Resources within the Combined Cycle Train.</w:t>
            </w:r>
          </w:p>
        </w:tc>
      </w:tr>
      <w:tr w:rsidR="00C236A2" w:rsidRPr="0013396E" w14:paraId="5651E9CB" w14:textId="77777777" w:rsidTr="0099759E">
        <w:trPr>
          <w:cantSplit/>
        </w:trPr>
        <w:tc>
          <w:tcPr>
            <w:tcW w:w="934" w:type="pct"/>
            <w:tcBorders>
              <w:top w:val="single" w:sz="4" w:space="0" w:color="auto"/>
              <w:left w:val="single" w:sz="4" w:space="0" w:color="auto"/>
              <w:bottom w:val="single" w:sz="4" w:space="0" w:color="auto"/>
              <w:right w:val="single" w:sz="4" w:space="0" w:color="auto"/>
            </w:tcBorders>
          </w:tcPr>
          <w:p w14:paraId="13A104EC" w14:textId="77777777" w:rsidR="00C236A2" w:rsidRPr="0013396E" w:rsidRDefault="00C236A2" w:rsidP="0099759E">
            <w:pPr>
              <w:spacing w:after="60"/>
              <w:rPr>
                <w:iCs/>
                <w:sz w:val="20"/>
              </w:rPr>
            </w:pPr>
            <w:r w:rsidRPr="0013396E">
              <w:rPr>
                <w:iCs/>
                <w:sz w:val="20"/>
              </w:rPr>
              <w:t>AEBPLOAD</w:t>
            </w:r>
            <w:r w:rsidRPr="0013396E">
              <w:rPr>
                <w:iCs/>
                <w:sz w:val="20"/>
                <w:vertAlign w:val="subscript"/>
              </w:rPr>
              <w:t xml:space="preserve"> </w:t>
            </w:r>
            <w:r w:rsidRPr="0013396E">
              <w:rPr>
                <w:i/>
                <w:iCs/>
                <w:sz w:val="20"/>
                <w:vertAlign w:val="subscript"/>
              </w:rPr>
              <w:t>q, r, p</w:t>
            </w:r>
          </w:p>
        </w:tc>
        <w:tc>
          <w:tcPr>
            <w:tcW w:w="481" w:type="pct"/>
            <w:tcBorders>
              <w:top w:val="single" w:sz="4" w:space="0" w:color="auto"/>
              <w:left w:val="single" w:sz="4" w:space="0" w:color="auto"/>
              <w:bottom w:val="single" w:sz="4" w:space="0" w:color="auto"/>
              <w:right w:val="single" w:sz="4" w:space="0" w:color="auto"/>
            </w:tcBorders>
          </w:tcPr>
          <w:p w14:paraId="234691E0" w14:textId="77777777" w:rsidR="00C236A2" w:rsidRPr="0013396E" w:rsidRDefault="00C236A2" w:rsidP="0099759E">
            <w:pPr>
              <w:spacing w:after="60"/>
              <w:rPr>
                <w:iCs/>
                <w:sz w:val="20"/>
              </w:rPr>
            </w:pPr>
            <w:r w:rsidRPr="0013396E">
              <w:rPr>
                <w:iCs/>
                <w:sz w:val="20"/>
              </w:rPr>
              <w:t>MWh</w:t>
            </w:r>
          </w:p>
        </w:tc>
        <w:tc>
          <w:tcPr>
            <w:tcW w:w="3585" w:type="pct"/>
            <w:tcBorders>
              <w:top w:val="single" w:sz="4" w:space="0" w:color="auto"/>
              <w:left w:val="single" w:sz="4" w:space="0" w:color="auto"/>
              <w:bottom w:val="single" w:sz="4" w:space="0" w:color="auto"/>
              <w:right w:val="single" w:sz="4" w:space="0" w:color="auto"/>
            </w:tcBorders>
          </w:tcPr>
          <w:p w14:paraId="6557046E" w14:textId="77777777" w:rsidR="00C236A2" w:rsidRPr="0013396E" w:rsidRDefault="00C236A2" w:rsidP="0099759E">
            <w:pPr>
              <w:spacing w:after="60"/>
              <w:rPr>
                <w:i/>
                <w:iCs/>
                <w:sz w:val="20"/>
              </w:rPr>
            </w:pPr>
            <w:r w:rsidRPr="0013396E">
              <w:rPr>
                <w:i/>
                <w:iCs/>
                <w:sz w:val="20"/>
              </w:rPr>
              <w:t>Aggregated Emergency Base Point for Charging Load</w:t>
            </w:r>
            <w:r w:rsidRPr="0013396E">
              <w:rPr>
                <w:iCs/>
                <w:sz w:val="20"/>
              </w:rPr>
              <w:t xml:space="preserve">—The aggregation of the negative Emergency Base Points for the Resource </w:t>
            </w:r>
            <w:r w:rsidRPr="0013396E">
              <w:rPr>
                <w:i/>
                <w:iCs/>
                <w:sz w:val="20"/>
              </w:rPr>
              <w:t xml:space="preserve">r </w:t>
            </w:r>
            <w:r w:rsidRPr="0013396E">
              <w:rPr>
                <w:iCs/>
                <w:sz w:val="20"/>
              </w:rPr>
              <w:t xml:space="preserve">represented by QSE </w:t>
            </w:r>
            <w:r w:rsidRPr="0013396E">
              <w:rPr>
                <w:i/>
                <w:iCs/>
                <w:sz w:val="20"/>
              </w:rPr>
              <w:t>q</w:t>
            </w:r>
            <w:r w:rsidRPr="0013396E">
              <w:rPr>
                <w:iCs/>
                <w:sz w:val="20"/>
              </w:rPr>
              <w:t xml:space="preserve">, for the 15-minute Settlement Interval.  </w:t>
            </w:r>
          </w:p>
        </w:tc>
      </w:tr>
      <w:tr w:rsidR="00C236A2" w:rsidRPr="0013396E" w14:paraId="67B2C4B2" w14:textId="77777777" w:rsidTr="0099759E">
        <w:trPr>
          <w:cantSplit/>
        </w:trPr>
        <w:tc>
          <w:tcPr>
            <w:tcW w:w="934" w:type="pct"/>
          </w:tcPr>
          <w:p w14:paraId="1F82F7ED" w14:textId="77777777" w:rsidR="00C236A2" w:rsidRPr="0013396E" w:rsidRDefault="00C236A2" w:rsidP="0099759E">
            <w:pPr>
              <w:spacing w:after="60"/>
              <w:rPr>
                <w:iCs/>
                <w:sz w:val="20"/>
              </w:rPr>
            </w:pPr>
            <w:r w:rsidRPr="0013396E">
              <w:rPr>
                <w:iCs/>
                <w:sz w:val="20"/>
              </w:rPr>
              <w:t xml:space="preserve">EBP </w:t>
            </w:r>
            <w:r w:rsidRPr="0013396E">
              <w:rPr>
                <w:i/>
                <w:iCs/>
                <w:sz w:val="20"/>
                <w:vertAlign w:val="subscript"/>
              </w:rPr>
              <w:t>q, r, p, y</w:t>
            </w:r>
          </w:p>
        </w:tc>
        <w:tc>
          <w:tcPr>
            <w:tcW w:w="481" w:type="pct"/>
          </w:tcPr>
          <w:p w14:paraId="7E6DF724" w14:textId="77777777" w:rsidR="00C236A2" w:rsidRPr="0013396E" w:rsidRDefault="00C236A2" w:rsidP="0099759E">
            <w:pPr>
              <w:spacing w:after="60"/>
              <w:rPr>
                <w:iCs/>
                <w:sz w:val="20"/>
              </w:rPr>
            </w:pPr>
            <w:r w:rsidRPr="0013396E">
              <w:rPr>
                <w:iCs/>
                <w:sz w:val="20"/>
              </w:rPr>
              <w:t>MW</w:t>
            </w:r>
          </w:p>
        </w:tc>
        <w:tc>
          <w:tcPr>
            <w:tcW w:w="3585" w:type="pct"/>
          </w:tcPr>
          <w:p w14:paraId="5BAF1B2F" w14:textId="77777777" w:rsidR="00C236A2" w:rsidRPr="0013396E" w:rsidRDefault="00C236A2" w:rsidP="0099759E">
            <w:pPr>
              <w:spacing w:after="60"/>
              <w:rPr>
                <w:iCs/>
                <w:sz w:val="20"/>
              </w:rPr>
            </w:pPr>
            <w:r w:rsidRPr="0013396E">
              <w:rPr>
                <w:i/>
                <w:iCs/>
                <w:sz w:val="20"/>
              </w:rPr>
              <w:t>Emergency Base Point per QSE per Settlement Point per Resource by interval</w:t>
            </w:r>
            <w:r w:rsidRPr="0013396E">
              <w:rPr>
                <w:iCs/>
                <w:sz w:val="20"/>
              </w:rPr>
              <w:t xml:space="preserve">—The Emergency Base Point of Resource </w:t>
            </w:r>
            <w:r w:rsidRPr="0013396E">
              <w:rPr>
                <w:i/>
                <w:iCs/>
                <w:sz w:val="20"/>
              </w:rPr>
              <w:t>r</w:t>
            </w:r>
            <w:r w:rsidRPr="0013396E">
              <w:rPr>
                <w:iCs/>
                <w:sz w:val="20"/>
              </w:rPr>
              <w:t xml:space="preserve"> at Resource Node </w:t>
            </w:r>
            <w:r w:rsidRPr="0013396E">
              <w:rPr>
                <w:i/>
                <w:iCs/>
                <w:sz w:val="20"/>
              </w:rPr>
              <w:t>p</w:t>
            </w:r>
            <w:r w:rsidRPr="0013396E">
              <w:rPr>
                <w:iCs/>
                <w:sz w:val="20"/>
              </w:rPr>
              <w:t xml:space="preserve"> represented by QSE </w:t>
            </w:r>
            <w:r w:rsidRPr="0013396E">
              <w:rPr>
                <w:i/>
                <w:iCs/>
                <w:sz w:val="20"/>
              </w:rPr>
              <w:t>q</w:t>
            </w:r>
            <w:r w:rsidRPr="0013396E">
              <w:rPr>
                <w:iCs/>
                <w:sz w:val="20"/>
              </w:rPr>
              <w:t xml:space="preserve"> for the Emergency Base Point interval or SCED interval</w:t>
            </w:r>
            <w:r w:rsidRPr="0013396E">
              <w:rPr>
                <w:i/>
                <w:iCs/>
                <w:sz w:val="20"/>
              </w:rPr>
              <w:t xml:space="preserve"> y</w:t>
            </w:r>
            <w:r w:rsidRPr="0013396E">
              <w:rPr>
                <w:iCs/>
                <w:sz w:val="20"/>
              </w:rPr>
              <w:t xml:space="preserve">.  If a Base Point instead of an Emergency Base Point is effective during the interval </w:t>
            </w:r>
            <w:r w:rsidRPr="0013396E">
              <w:rPr>
                <w:i/>
                <w:iCs/>
                <w:sz w:val="20"/>
              </w:rPr>
              <w:t>y</w:t>
            </w:r>
            <w:r w:rsidRPr="0013396E">
              <w:rPr>
                <w:iCs/>
                <w:sz w:val="20"/>
              </w:rPr>
              <w:t xml:space="preserve">, its value equals the Base Point.  Where for a Combined Cycle Train, the Resource </w:t>
            </w:r>
            <w:r w:rsidRPr="0013396E">
              <w:rPr>
                <w:i/>
                <w:iCs/>
                <w:sz w:val="20"/>
              </w:rPr>
              <w:t xml:space="preserve">r </w:t>
            </w:r>
            <w:r w:rsidRPr="0013396E">
              <w:rPr>
                <w:iCs/>
                <w:sz w:val="20"/>
              </w:rPr>
              <w:t>is a Combined Cycle Generation Resource within the Combined Cycle Train.</w:t>
            </w:r>
          </w:p>
        </w:tc>
      </w:tr>
      <w:tr w:rsidR="00C236A2" w:rsidRPr="0013396E" w14:paraId="5E98C964" w14:textId="77777777" w:rsidTr="0099759E">
        <w:trPr>
          <w:cantSplit/>
        </w:trPr>
        <w:tc>
          <w:tcPr>
            <w:tcW w:w="934" w:type="pct"/>
          </w:tcPr>
          <w:p w14:paraId="5030CCB6" w14:textId="77777777" w:rsidR="00C236A2" w:rsidRPr="0013396E" w:rsidRDefault="00C236A2" w:rsidP="0099759E">
            <w:pPr>
              <w:spacing w:after="60"/>
              <w:rPr>
                <w:iCs/>
                <w:sz w:val="20"/>
              </w:rPr>
            </w:pPr>
            <w:r w:rsidRPr="0013396E">
              <w:rPr>
                <w:iCs/>
                <w:sz w:val="20"/>
              </w:rPr>
              <w:lastRenderedPageBreak/>
              <w:t xml:space="preserve">EBPPR </w:t>
            </w:r>
            <w:r w:rsidRPr="0013396E">
              <w:rPr>
                <w:i/>
                <w:iCs/>
                <w:sz w:val="20"/>
                <w:vertAlign w:val="subscript"/>
              </w:rPr>
              <w:t>q, r, p, y</w:t>
            </w:r>
          </w:p>
        </w:tc>
        <w:tc>
          <w:tcPr>
            <w:tcW w:w="481" w:type="pct"/>
          </w:tcPr>
          <w:p w14:paraId="7B2A391B" w14:textId="77777777" w:rsidR="00C236A2" w:rsidRPr="0013396E" w:rsidRDefault="00C236A2" w:rsidP="0099759E">
            <w:pPr>
              <w:spacing w:after="60"/>
              <w:rPr>
                <w:iCs/>
                <w:sz w:val="20"/>
              </w:rPr>
            </w:pPr>
            <w:r w:rsidRPr="0013396E">
              <w:rPr>
                <w:iCs/>
                <w:sz w:val="20"/>
              </w:rPr>
              <w:t>$/MWh</w:t>
            </w:r>
          </w:p>
        </w:tc>
        <w:tc>
          <w:tcPr>
            <w:tcW w:w="3585" w:type="pct"/>
          </w:tcPr>
          <w:p w14:paraId="1DDDBC98" w14:textId="77777777" w:rsidR="00C236A2" w:rsidRPr="0013396E" w:rsidRDefault="00C236A2" w:rsidP="0099759E">
            <w:pPr>
              <w:spacing w:after="60"/>
              <w:rPr>
                <w:iCs/>
                <w:sz w:val="20"/>
              </w:rPr>
            </w:pPr>
            <w:r w:rsidRPr="0013396E">
              <w:rPr>
                <w:i/>
                <w:iCs/>
                <w:sz w:val="20"/>
              </w:rPr>
              <w:t>Emergency Base Point Price per QSE per Settlement Point per Resource by interval</w:t>
            </w:r>
            <w:r w:rsidRPr="0013396E">
              <w:rPr>
                <w:iCs/>
                <w:sz w:val="20"/>
              </w:rPr>
              <w:t>—The price on the Energy Offer Curve</w:t>
            </w:r>
            <w:r w:rsidRPr="0013396E">
              <w:rPr>
                <w:rFonts w:asciiTheme="minorHAnsi" w:eastAsiaTheme="minorHAnsi" w:hAnsiTheme="minorHAnsi" w:cstheme="minorBidi"/>
                <w:sz w:val="22"/>
                <w:szCs w:val="22"/>
              </w:rPr>
              <w:t xml:space="preserve"> </w:t>
            </w:r>
            <w:r w:rsidRPr="0013396E">
              <w:rPr>
                <w:iCs/>
                <w:sz w:val="20"/>
              </w:rPr>
              <w:t>or Energy Bid/Offer Curve corresponding to the Emergency Base Point</w:t>
            </w:r>
            <w:r w:rsidRPr="0013396E">
              <w:rPr>
                <w:rFonts w:asciiTheme="minorHAnsi" w:eastAsiaTheme="minorHAnsi" w:hAnsiTheme="minorHAnsi" w:cstheme="minorBidi"/>
                <w:sz w:val="22"/>
                <w:szCs w:val="22"/>
              </w:rPr>
              <w:t xml:space="preserve"> </w:t>
            </w:r>
            <w:r w:rsidRPr="0013396E">
              <w:rPr>
                <w:iCs/>
                <w:sz w:val="20"/>
              </w:rPr>
              <w:t xml:space="preserve">for Resource </w:t>
            </w:r>
            <w:r w:rsidRPr="0013396E">
              <w:rPr>
                <w:i/>
                <w:iCs/>
                <w:sz w:val="20"/>
              </w:rPr>
              <w:t>r</w:t>
            </w:r>
            <w:r w:rsidRPr="0013396E">
              <w:rPr>
                <w:iCs/>
                <w:sz w:val="20"/>
              </w:rPr>
              <w:t xml:space="preserve"> at Resource Node </w:t>
            </w:r>
            <w:r w:rsidRPr="0013396E">
              <w:rPr>
                <w:i/>
                <w:iCs/>
                <w:sz w:val="20"/>
              </w:rPr>
              <w:t>p</w:t>
            </w:r>
            <w:r w:rsidRPr="0013396E">
              <w:rPr>
                <w:iCs/>
                <w:sz w:val="20"/>
              </w:rPr>
              <w:t xml:space="preserve"> represented by QSE </w:t>
            </w:r>
            <w:r w:rsidRPr="0013396E">
              <w:rPr>
                <w:i/>
                <w:iCs/>
                <w:sz w:val="20"/>
              </w:rPr>
              <w:t>q</w:t>
            </w:r>
            <w:r w:rsidRPr="0013396E">
              <w:rPr>
                <w:iCs/>
                <w:sz w:val="20"/>
              </w:rPr>
              <w:t xml:space="preserve"> for the Emergency Base Point interval or SCED interval </w:t>
            </w:r>
            <w:r w:rsidRPr="0013396E">
              <w:rPr>
                <w:i/>
                <w:iCs/>
                <w:sz w:val="20"/>
              </w:rPr>
              <w:t>y</w:t>
            </w:r>
            <w:r w:rsidRPr="0013396E">
              <w:rPr>
                <w:iCs/>
                <w:sz w:val="20"/>
              </w:rPr>
              <w:t xml:space="preserve">.  The Energy Offer Curve shall be capped by the MOC pursuant to Section 4.4.9.4.1, Mitigated Offer Cap, and the Energy Bid/Offer Curve shall be capped by the maximum RTSPP at the Settlement Point for the Operating Day, per paragraph (12) of Section 6.6.9.  Where for a Combined Cycle Train, the Resource </w:t>
            </w:r>
            <w:r w:rsidRPr="0013396E">
              <w:rPr>
                <w:i/>
                <w:iCs/>
                <w:sz w:val="20"/>
              </w:rPr>
              <w:t xml:space="preserve">r </w:t>
            </w:r>
            <w:r w:rsidRPr="0013396E">
              <w:rPr>
                <w:iCs/>
                <w:sz w:val="20"/>
              </w:rPr>
              <w:t>is a Combined Cycle Generation Resource within the Combined Cycle Train.</w:t>
            </w:r>
          </w:p>
        </w:tc>
      </w:tr>
      <w:tr w:rsidR="00C236A2" w:rsidRPr="0013396E" w14:paraId="20DE6D4E" w14:textId="77777777" w:rsidTr="0099759E">
        <w:trPr>
          <w:cantSplit/>
        </w:trPr>
        <w:tc>
          <w:tcPr>
            <w:tcW w:w="934" w:type="pct"/>
          </w:tcPr>
          <w:p w14:paraId="2672E7AF" w14:textId="77777777" w:rsidR="00C236A2" w:rsidRPr="0013396E" w:rsidRDefault="00C236A2" w:rsidP="0099759E">
            <w:pPr>
              <w:spacing w:after="60"/>
              <w:rPr>
                <w:iCs/>
                <w:sz w:val="20"/>
              </w:rPr>
            </w:pPr>
            <w:r w:rsidRPr="0013396E">
              <w:rPr>
                <w:iCs/>
                <w:sz w:val="20"/>
              </w:rPr>
              <w:t>RTSPP</w:t>
            </w:r>
            <w:r w:rsidRPr="0013396E">
              <w:rPr>
                <w:i/>
                <w:iCs/>
                <w:sz w:val="20"/>
              </w:rPr>
              <w:t xml:space="preserve"> </w:t>
            </w:r>
            <w:r w:rsidRPr="0013396E">
              <w:rPr>
                <w:i/>
                <w:iCs/>
                <w:sz w:val="20"/>
                <w:vertAlign w:val="subscript"/>
              </w:rPr>
              <w:t>p</w:t>
            </w:r>
          </w:p>
        </w:tc>
        <w:tc>
          <w:tcPr>
            <w:tcW w:w="481" w:type="pct"/>
          </w:tcPr>
          <w:p w14:paraId="212EDCB3" w14:textId="77777777" w:rsidR="00C236A2" w:rsidRPr="0013396E" w:rsidRDefault="00C236A2" w:rsidP="0099759E">
            <w:pPr>
              <w:spacing w:after="60"/>
              <w:rPr>
                <w:iCs/>
                <w:sz w:val="20"/>
              </w:rPr>
            </w:pPr>
            <w:r w:rsidRPr="0013396E">
              <w:rPr>
                <w:iCs/>
                <w:sz w:val="20"/>
              </w:rPr>
              <w:t>$/MWh</w:t>
            </w:r>
          </w:p>
        </w:tc>
        <w:tc>
          <w:tcPr>
            <w:tcW w:w="3585" w:type="pct"/>
          </w:tcPr>
          <w:p w14:paraId="1DD57461" w14:textId="77777777" w:rsidR="00C236A2" w:rsidRPr="0013396E" w:rsidRDefault="00C236A2" w:rsidP="0099759E">
            <w:pPr>
              <w:spacing w:after="60"/>
              <w:rPr>
                <w:iCs/>
                <w:sz w:val="20"/>
              </w:rPr>
            </w:pPr>
            <w:r w:rsidRPr="0013396E">
              <w:rPr>
                <w:i/>
                <w:iCs/>
                <w:sz w:val="20"/>
              </w:rPr>
              <w:t>Real-Time Settlement Point Price per Settlement Point</w:t>
            </w:r>
            <w:r w:rsidRPr="0013396E">
              <w:rPr>
                <w:iCs/>
                <w:sz w:val="20"/>
              </w:rPr>
              <w:t xml:space="preserve">—The Real-Time Settlement Point Price at Settlement Point </w:t>
            </w:r>
            <w:r w:rsidRPr="0013396E">
              <w:rPr>
                <w:i/>
                <w:iCs/>
                <w:sz w:val="20"/>
              </w:rPr>
              <w:t>p</w:t>
            </w:r>
            <w:r w:rsidRPr="0013396E">
              <w:rPr>
                <w:iCs/>
                <w:sz w:val="20"/>
              </w:rPr>
              <w:t>, for the 15-minute Settlement Interval.</w:t>
            </w:r>
          </w:p>
        </w:tc>
      </w:tr>
      <w:tr w:rsidR="00C236A2" w:rsidRPr="0013396E" w14:paraId="62B83B17" w14:textId="77777777" w:rsidTr="0099759E">
        <w:trPr>
          <w:cantSplit/>
        </w:trPr>
        <w:tc>
          <w:tcPr>
            <w:tcW w:w="934" w:type="pct"/>
          </w:tcPr>
          <w:p w14:paraId="1014086E" w14:textId="77777777" w:rsidR="00C236A2" w:rsidRPr="0013396E" w:rsidRDefault="00C236A2" w:rsidP="0099759E">
            <w:pPr>
              <w:spacing w:after="60"/>
              <w:rPr>
                <w:iCs/>
                <w:sz w:val="20"/>
              </w:rPr>
            </w:pPr>
            <w:r w:rsidRPr="0013396E">
              <w:rPr>
                <w:iCs/>
                <w:sz w:val="20"/>
              </w:rPr>
              <w:t xml:space="preserve">RTMG </w:t>
            </w:r>
            <w:r w:rsidRPr="0013396E">
              <w:rPr>
                <w:i/>
                <w:iCs/>
                <w:sz w:val="20"/>
                <w:vertAlign w:val="subscript"/>
              </w:rPr>
              <w:t>q, r, p</w:t>
            </w:r>
          </w:p>
        </w:tc>
        <w:tc>
          <w:tcPr>
            <w:tcW w:w="481" w:type="pct"/>
          </w:tcPr>
          <w:p w14:paraId="6B941530" w14:textId="77777777" w:rsidR="00C236A2" w:rsidRPr="0013396E" w:rsidRDefault="00C236A2" w:rsidP="0099759E">
            <w:pPr>
              <w:spacing w:after="60"/>
              <w:rPr>
                <w:iCs/>
                <w:sz w:val="20"/>
              </w:rPr>
            </w:pPr>
            <w:r w:rsidRPr="0013396E">
              <w:rPr>
                <w:iCs/>
                <w:sz w:val="20"/>
              </w:rPr>
              <w:t>MWh</w:t>
            </w:r>
          </w:p>
        </w:tc>
        <w:tc>
          <w:tcPr>
            <w:tcW w:w="3585" w:type="pct"/>
          </w:tcPr>
          <w:p w14:paraId="2AFDB93E" w14:textId="77777777" w:rsidR="00C236A2" w:rsidRPr="0013396E" w:rsidRDefault="00C236A2" w:rsidP="0099759E">
            <w:pPr>
              <w:spacing w:after="60"/>
              <w:rPr>
                <w:iCs/>
                <w:sz w:val="20"/>
              </w:rPr>
            </w:pPr>
            <w:r w:rsidRPr="0013396E">
              <w:rPr>
                <w:i/>
                <w:iCs/>
                <w:sz w:val="20"/>
              </w:rPr>
              <w:t>Real-Time Metered Generation per QSE per Settlement Point per Resource</w:t>
            </w:r>
            <w:r w:rsidRPr="0013396E">
              <w:rPr>
                <w:iCs/>
                <w:sz w:val="20"/>
              </w:rPr>
              <w:t xml:space="preserve">—The metered generation of Resource </w:t>
            </w:r>
            <w:r w:rsidRPr="0013396E">
              <w:rPr>
                <w:i/>
                <w:iCs/>
                <w:sz w:val="20"/>
              </w:rPr>
              <w:t>r</w:t>
            </w:r>
            <w:r w:rsidRPr="0013396E">
              <w:rPr>
                <w:iCs/>
                <w:sz w:val="20"/>
              </w:rPr>
              <w:t xml:space="preserve"> at Resource Node </w:t>
            </w:r>
            <w:r w:rsidRPr="0013396E">
              <w:rPr>
                <w:i/>
                <w:iCs/>
                <w:sz w:val="20"/>
              </w:rPr>
              <w:t>p</w:t>
            </w:r>
            <w:r w:rsidRPr="0013396E">
              <w:rPr>
                <w:iCs/>
                <w:sz w:val="20"/>
              </w:rPr>
              <w:t xml:space="preserve"> represented by QSE </w:t>
            </w:r>
            <w:r w:rsidRPr="0013396E">
              <w:rPr>
                <w:i/>
                <w:iCs/>
                <w:sz w:val="20"/>
              </w:rPr>
              <w:t>q</w:t>
            </w:r>
            <w:r w:rsidRPr="0013396E">
              <w:rPr>
                <w:iCs/>
                <w:sz w:val="20"/>
              </w:rPr>
              <w:t xml:space="preserve"> in Real-Time for the 15-minute Settlement Interval.  Where for a Combined Cycle Train, the Resource </w:t>
            </w:r>
            <w:r w:rsidRPr="0013396E">
              <w:rPr>
                <w:i/>
                <w:iCs/>
                <w:sz w:val="20"/>
              </w:rPr>
              <w:t xml:space="preserve">r </w:t>
            </w:r>
            <w:r w:rsidRPr="0013396E">
              <w:rPr>
                <w:iCs/>
                <w:sz w:val="20"/>
              </w:rPr>
              <w:t>is the Combined Cycle Train.</w:t>
            </w:r>
          </w:p>
        </w:tc>
      </w:tr>
      <w:tr w:rsidR="00C236A2" w:rsidRPr="0013396E" w14:paraId="0115CD8E" w14:textId="77777777" w:rsidTr="0099759E">
        <w:trPr>
          <w:cantSplit/>
        </w:trPr>
        <w:tc>
          <w:tcPr>
            <w:tcW w:w="934" w:type="pct"/>
          </w:tcPr>
          <w:p w14:paraId="50BFCAB4" w14:textId="77777777" w:rsidR="00C236A2" w:rsidRPr="0013396E" w:rsidRDefault="00C236A2" w:rsidP="0099759E">
            <w:pPr>
              <w:spacing w:after="60"/>
              <w:rPr>
                <w:iCs/>
                <w:sz w:val="20"/>
              </w:rPr>
            </w:pPr>
            <w:r w:rsidRPr="0013396E">
              <w:rPr>
                <w:iCs/>
                <w:sz w:val="20"/>
              </w:rPr>
              <w:t xml:space="preserve">RTCL </w:t>
            </w:r>
            <w:r w:rsidRPr="0013396E">
              <w:rPr>
                <w:i/>
                <w:iCs/>
                <w:sz w:val="20"/>
                <w:vertAlign w:val="subscript"/>
              </w:rPr>
              <w:t>q, r, p</w:t>
            </w:r>
          </w:p>
        </w:tc>
        <w:tc>
          <w:tcPr>
            <w:tcW w:w="481" w:type="pct"/>
          </w:tcPr>
          <w:p w14:paraId="68D04410" w14:textId="77777777" w:rsidR="00C236A2" w:rsidRPr="0013396E" w:rsidRDefault="00C236A2" w:rsidP="0099759E">
            <w:pPr>
              <w:spacing w:after="60"/>
              <w:rPr>
                <w:iCs/>
                <w:sz w:val="20"/>
              </w:rPr>
            </w:pPr>
            <w:r w:rsidRPr="0013396E">
              <w:rPr>
                <w:iCs/>
                <w:sz w:val="20"/>
              </w:rPr>
              <w:t>MWh</w:t>
            </w:r>
          </w:p>
        </w:tc>
        <w:tc>
          <w:tcPr>
            <w:tcW w:w="3585" w:type="pct"/>
          </w:tcPr>
          <w:p w14:paraId="18D01080" w14:textId="77777777" w:rsidR="00C236A2" w:rsidRPr="0013396E" w:rsidRDefault="00C236A2" w:rsidP="0099759E">
            <w:pPr>
              <w:spacing w:after="60"/>
              <w:rPr>
                <w:i/>
                <w:iCs/>
                <w:sz w:val="20"/>
              </w:rPr>
            </w:pPr>
            <w:r w:rsidRPr="0013396E">
              <w:rPr>
                <w:i/>
                <w:iCs/>
                <w:sz w:val="20"/>
              </w:rPr>
              <w:t>Real-Time Charging Load per QSE per Resource per Settlement Point</w:t>
            </w:r>
            <w:r w:rsidRPr="0013396E">
              <w:rPr>
                <w:iCs/>
                <w:sz w:val="20"/>
              </w:rPr>
              <w:t xml:space="preserve">—The charging load for Resource </w:t>
            </w:r>
            <w:r w:rsidRPr="0013396E">
              <w:rPr>
                <w:i/>
                <w:iCs/>
                <w:sz w:val="20"/>
              </w:rPr>
              <w:t xml:space="preserve">r </w:t>
            </w:r>
            <w:r w:rsidRPr="0013396E">
              <w:rPr>
                <w:iCs/>
                <w:sz w:val="20"/>
              </w:rPr>
              <w:t xml:space="preserve">at Resource Node </w:t>
            </w:r>
            <w:r w:rsidRPr="0013396E">
              <w:rPr>
                <w:i/>
                <w:iCs/>
                <w:sz w:val="20"/>
              </w:rPr>
              <w:t xml:space="preserve">p </w:t>
            </w:r>
            <w:r w:rsidRPr="0013396E">
              <w:rPr>
                <w:iCs/>
                <w:sz w:val="20"/>
              </w:rPr>
              <w:t xml:space="preserve">represented by the QSE </w:t>
            </w:r>
            <w:r w:rsidRPr="0013396E">
              <w:rPr>
                <w:i/>
                <w:iCs/>
                <w:sz w:val="20"/>
              </w:rPr>
              <w:t xml:space="preserve">q, </w:t>
            </w:r>
            <w:r w:rsidRPr="0013396E">
              <w:rPr>
                <w:iCs/>
                <w:sz w:val="20"/>
              </w:rPr>
              <w:t>represented as a negative value,</w:t>
            </w:r>
            <w:r w:rsidRPr="0013396E">
              <w:rPr>
                <w:i/>
                <w:iCs/>
                <w:sz w:val="20"/>
              </w:rPr>
              <w:t xml:space="preserve"> </w:t>
            </w:r>
            <w:r w:rsidRPr="0013396E">
              <w:rPr>
                <w:iCs/>
                <w:sz w:val="20"/>
              </w:rPr>
              <w:t xml:space="preserve">for the 15-minute Settlement Interval. </w:t>
            </w:r>
          </w:p>
        </w:tc>
      </w:tr>
      <w:tr w:rsidR="00C236A2" w:rsidRPr="0013396E" w14:paraId="72D395CD" w14:textId="77777777" w:rsidTr="0099759E">
        <w:trPr>
          <w:cantSplit/>
        </w:trPr>
        <w:tc>
          <w:tcPr>
            <w:tcW w:w="934" w:type="pct"/>
          </w:tcPr>
          <w:p w14:paraId="3C7B65E7" w14:textId="77777777" w:rsidR="00C236A2" w:rsidRPr="0013396E" w:rsidRDefault="00C236A2" w:rsidP="0099759E">
            <w:pPr>
              <w:spacing w:after="60"/>
              <w:rPr>
                <w:iCs/>
                <w:sz w:val="20"/>
              </w:rPr>
            </w:pPr>
            <w:r w:rsidRPr="0013396E">
              <w:rPr>
                <w:bCs/>
                <w:sz w:val="20"/>
              </w:rPr>
              <w:t>RTRUNET</w:t>
            </w:r>
            <w:r w:rsidRPr="0013396E">
              <w:rPr>
                <w:bCs/>
                <w:iCs/>
              </w:rPr>
              <w:t xml:space="preserve"> </w:t>
            </w:r>
            <w:r w:rsidRPr="0013396E">
              <w:rPr>
                <w:bCs/>
                <w:i/>
                <w:iCs/>
                <w:vertAlign w:val="subscript"/>
              </w:rPr>
              <w:t>q, r</w:t>
            </w:r>
          </w:p>
        </w:tc>
        <w:tc>
          <w:tcPr>
            <w:tcW w:w="481" w:type="pct"/>
          </w:tcPr>
          <w:p w14:paraId="650113ED" w14:textId="77777777" w:rsidR="00C236A2" w:rsidRPr="0013396E" w:rsidRDefault="00C236A2" w:rsidP="0099759E">
            <w:pPr>
              <w:spacing w:after="60"/>
              <w:rPr>
                <w:iCs/>
                <w:sz w:val="20"/>
              </w:rPr>
            </w:pPr>
            <w:r w:rsidRPr="0013396E">
              <w:rPr>
                <w:iCs/>
                <w:sz w:val="20"/>
              </w:rPr>
              <w:t>$</w:t>
            </w:r>
          </w:p>
        </w:tc>
        <w:tc>
          <w:tcPr>
            <w:tcW w:w="3585" w:type="pct"/>
          </w:tcPr>
          <w:p w14:paraId="75665B90" w14:textId="77777777" w:rsidR="00C236A2" w:rsidRPr="0013396E" w:rsidRDefault="00C236A2" w:rsidP="0099759E">
            <w:pPr>
              <w:spacing w:after="60"/>
              <w:rPr>
                <w:iCs/>
                <w:sz w:val="20"/>
              </w:rPr>
            </w:pPr>
            <w:r w:rsidRPr="0013396E">
              <w:rPr>
                <w:i/>
                <w:iCs/>
                <w:sz w:val="20"/>
              </w:rPr>
              <w:t>Real-Time Reg-Up Net Revenue</w:t>
            </w:r>
            <w:r w:rsidRPr="0013396E">
              <w:rPr>
                <w:iCs/>
                <w:sz w:val="20"/>
              </w:rPr>
              <w:t xml:space="preserve">—The difference between the Real-Time Reg-Up Revenue and the Real-Time Reg-Up Revenue Target for QSE </w:t>
            </w:r>
            <w:r w:rsidRPr="0013396E">
              <w:rPr>
                <w:i/>
                <w:iCs/>
                <w:sz w:val="20"/>
              </w:rPr>
              <w:t>q</w:t>
            </w:r>
            <w:r w:rsidRPr="0013396E">
              <w:rPr>
                <w:iCs/>
                <w:sz w:val="20"/>
              </w:rPr>
              <w:t xml:space="preserve"> for Resource </w:t>
            </w:r>
            <w:r w:rsidRPr="0013396E">
              <w:rPr>
                <w:i/>
                <w:iCs/>
                <w:sz w:val="20"/>
              </w:rPr>
              <w:t xml:space="preserve">r </w:t>
            </w:r>
            <w:r w:rsidRPr="0013396E">
              <w:rPr>
                <w:iCs/>
                <w:sz w:val="20"/>
              </w:rPr>
              <w:t xml:space="preserve">for the 15-minute Settlement Interval.  Where for a Combined Cycle Train, the Resource </w:t>
            </w:r>
            <w:r w:rsidRPr="0013396E">
              <w:rPr>
                <w:i/>
                <w:iCs/>
                <w:sz w:val="20"/>
              </w:rPr>
              <w:t xml:space="preserve">r </w:t>
            </w:r>
            <w:r w:rsidRPr="0013396E">
              <w:rPr>
                <w:iCs/>
                <w:sz w:val="20"/>
              </w:rPr>
              <w:t>is the Combined Cycle Train.</w:t>
            </w:r>
          </w:p>
        </w:tc>
      </w:tr>
      <w:tr w:rsidR="00C236A2" w:rsidRPr="0013396E" w14:paraId="49B35EFA" w14:textId="77777777" w:rsidTr="0099759E">
        <w:trPr>
          <w:cantSplit/>
        </w:trPr>
        <w:tc>
          <w:tcPr>
            <w:tcW w:w="934" w:type="pct"/>
          </w:tcPr>
          <w:p w14:paraId="3A26C84B" w14:textId="77777777" w:rsidR="00C236A2" w:rsidRPr="0013396E" w:rsidRDefault="00C236A2" w:rsidP="0099759E">
            <w:pPr>
              <w:spacing w:after="60"/>
              <w:rPr>
                <w:iCs/>
                <w:sz w:val="20"/>
              </w:rPr>
            </w:pPr>
            <w:r w:rsidRPr="0013396E">
              <w:rPr>
                <w:bCs/>
                <w:sz w:val="20"/>
              </w:rPr>
              <w:t>RTRDNET</w:t>
            </w:r>
            <w:r w:rsidRPr="0013396E">
              <w:rPr>
                <w:bCs/>
                <w:iCs/>
              </w:rPr>
              <w:t xml:space="preserve"> </w:t>
            </w:r>
            <w:r w:rsidRPr="0013396E">
              <w:rPr>
                <w:bCs/>
                <w:i/>
                <w:iCs/>
                <w:vertAlign w:val="subscript"/>
              </w:rPr>
              <w:t>q, r</w:t>
            </w:r>
          </w:p>
        </w:tc>
        <w:tc>
          <w:tcPr>
            <w:tcW w:w="481" w:type="pct"/>
          </w:tcPr>
          <w:p w14:paraId="7CDEB198" w14:textId="77777777" w:rsidR="00C236A2" w:rsidRPr="0013396E" w:rsidRDefault="00C236A2" w:rsidP="0099759E">
            <w:pPr>
              <w:spacing w:after="60"/>
              <w:rPr>
                <w:iCs/>
                <w:sz w:val="20"/>
              </w:rPr>
            </w:pPr>
            <w:r w:rsidRPr="0013396E">
              <w:rPr>
                <w:iCs/>
                <w:sz w:val="20"/>
              </w:rPr>
              <w:t>$</w:t>
            </w:r>
          </w:p>
        </w:tc>
        <w:tc>
          <w:tcPr>
            <w:tcW w:w="3585" w:type="pct"/>
          </w:tcPr>
          <w:p w14:paraId="065017F2" w14:textId="77777777" w:rsidR="00C236A2" w:rsidRPr="0013396E" w:rsidRDefault="00C236A2" w:rsidP="0099759E">
            <w:pPr>
              <w:spacing w:after="60"/>
              <w:rPr>
                <w:i/>
                <w:iCs/>
                <w:sz w:val="20"/>
              </w:rPr>
            </w:pPr>
            <w:r w:rsidRPr="0013396E">
              <w:rPr>
                <w:i/>
                <w:iCs/>
                <w:sz w:val="20"/>
              </w:rPr>
              <w:t>Real-Time Reg-Down Net Revenue</w:t>
            </w:r>
            <w:r w:rsidRPr="0013396E">
              <w:rPr>
                <w:iCs/>
                <w:sz w:val="20"/>
              </w:rPr>
              <w:t xml:space="preserve">—The difference between calculated revenue for the Real-Time Reg-Down Revenue and the Real-Time Reg-Down Revenue Target for QSE </w:t>
            </w:r>
            <w:r w:rsidRPr="0013396E">
              <w:rPr>
                <w:i/>
                <w:iCs/>
                <w:sz w:val="20"/>
              </w:rPr>
              <w:t>q</w:t>
            </w:r>
            <w:r w:rsidRPr="0013396E">
              <w:rPr>
                <w:iCs/>
                <w:sz w:val="20"/>
              </w:rPr>
              <w:t xml:space="preserve"> for Resource </w:t>
            </w:r>
            <w:r w:rsidRPr="0013396E">
              <w:rPr>
                <w:i/>
                <w:iCs/>
                <w:sz w:val="20"/>
              </w:rPr>
              <w:t xml:space="preserve">r </w:t>
            </w:r>
            <w:r w:rsidRPr="0013396E">
              <w:rPr>
                <w:iCs/>
                <w:sz w:val="20"/>
              </w:rPr>
              <w:t xml:space="preserve">for the 15-minute Settlement Interval.  Where for a Combined Cycle Train, the Resource </w:t>
            </w:r>
            <w:r w:rsidRPr="0013396E">
              <w:rPr>
                <w:i/>
                <w:iCs/>
                <w:sz w:val="20"/>
              </w:rPr>
              <w:t xml:space="preserve">r </w:t>
            </w:r>
            <w:r w:rsidRPr="0013396E">
              <w:rPr>
                <w:iCs/>
                <w:sz w:val="20"/>
              </w:rPr>
              <w:t>is the Combined Cycle Train.</w:t>
            </w:r>
          </w:p>
        </w:tc>
      </w:tr>
      <w:tr w:rsidR="00C236A2" w:rsidRPr="0013396E" w14:paraId="29EE2FCC" w14:textId="77777777" w:rsidTr="0099759E">
        <w:trPr>
          <w:cantSplit/>
        </w:trPr>
        <w:tc>
          <w:tcPr>
            <w:tcW w:w="934" w:type="pct"/>
          </w:tcPr>
          <w:p w14:paraId="014F8247" w14:textId="77777777" w:rsidR="00C236A2" w:rsidRPr="0013396E" w:rsidRDefault="00C236A2" w:rsidP="0099759E">
            <w:pPr>
              <w:spacing w:after="60"/>
              <w:rPr>
                <w:bCs/>
                <w:sz w:val="20"/>
              </w:rPr>
            </w:pPr>
            <w:r w:rsidRPr="0013396E">
              <w:rPr>
                <w:bCs/>
                <w:sz w:val="20"/>
              </w:rPr>
              <w:t>RTRRNET</w:t>
            </w:r>
            <w:r w:rsidRPr="0013396E">
              <w:rPr>
                <w:bCs/>
                <w:iCs/>
              </w:rPr>
              <w:t xml:space="preserve"> </w:t>
            </w:r>
            <w:r w:rsidRPr="0013396E">
              <w:rPr>
                <w:bCs/>
                <w:i/>
                <w:iCs/>
                <w:vertAlign w:val="subscript"/>
              </w:rPr>
              <w:t>q, r</w:t>
            </w:r>
          </w:p>
        </w:tc>
        <w:tc>
          <w:tcPr>
            <w:tcW w:w="481" w:type="pct"/>
          </w:tcPr>
          <w:p w14:paraId="62458F05" w14:textId="77777777" w:rsidR="00C236A2" w:rsidRPr="0013396E" w:rsidRDefault="00C236A2" w:rsidP="0099759E">
            <w:pPr>
              <w:spacing w:after="60"/>
              <w:rPr>
                <w:iCs/>
                <w:sz w:val="20"/>
              </w:rPr>
            </w:pPr>
            <w:r w:rsidRPr="0013396E">
              <w:rPr>
                <w:iCs/>
                <w:sz w:val="20"/>
              </w:rPr>
              <w:t>$</w:t>
            </w:r>
          </w:p>
        </w:tc>
        <w:tc>
          <w:tcPr>
            <w:tcW w:w="3585" w:type="pct"/>
          </w:tcPr>
          <w:p w14:paraId="218C999F" w14:textId="77777777" w:rsidR="00C236A2" w:rsidRPr="0013396E" w:rsidRDefault="00C236A2" w:rsidP="0099759E">
            <w:pPr>
              <w:spacing w:after="60"/>
              <w:rPr>
                <w:i/>
                <w:iCs/>
                <w:sz w:val="20"/>
              </w:rPr>
            </w:pPr>
            <w:r w:rsidRPr="0013396E">
              <w:rPr>
                <w:i/>
                <w:iCs/>
                <w:sz w:val="20"/>
              </w:rPr>
              <w:t>Real-Time Responsive Reserve Net Revenue</w:t>
            </w:r>
            <w:r w:rsidRPr="0013396E">
              <w:rPr>
                <w:iCs/>
                <w:sz w:val="20"/>
              </w:rPr>
              <w:t xml:space="preserve">—The difference between Real-Time RRS Revenue and the Real-Time RRS Revenue Target for QSE </w:t>
            </w:r>
            <w:r w:rsidRPr="0013396E">
              <w:rPr>
                <w:i/>
                <w:iCs/>
                <w:sz w:val="20"/>
              </w:rPr>
              <w:t>q</w:t>
            </w:r>
            <w:r w:rsidRPr="0013396E">
              <w:rPr>
                <w:iCs/>
                <w:sz w:val="20"/>
              </w:rPr>
              <w:t xml:space="preserve"> for Resource </w:t>
            </w:r>
            <w:r w:rsidRPr="0013396E">
              <w:rPr>
                <w:i/>
                <w:iCs/>
                <w:sz w:val="20"/>
              </w:rPr>
              <w:t xml:space="preserve">r </w:t>
            </w:r>
            <w:r w:rsidRPr="0013396E">
              <w:rPr>
                <w:iCs/>
                <w:sz w:val="20"/>
              </w:rPr>
              <w:t xml:space="preserve">for the 15-minute Settlement Interval.  Where for a Combined Cycle Train, the Resource </w:t>
            </w:r>
            <w:r w:rsidRPr="0013396E">
              <w:rPr>
                <w:i/>
                <w:iCs/>
                <w:sz w:val="20"/>
              </w:rPr>
              <w:t xml:space="preserve">r </w:t>
            </w:r>
            <w:r w:rsidRPr="0013396E">
              <w:rPr>
                <w:iCs/>
                <w:sz w:val="20"/>
              </w:rPr>
              <w:t>is the Combined Cycle Train.</w:t>
            </w:r>
          </w:p>
        </w:tc>
      </w:tr>
      <w:tr w:rsidR="00C236A2" w:rsidRPr="0013396E" w14:paraId="49317ACE" w14:textId="77777777" w:rsidTr="0099759E">
        <w:trPr>
          <w:cantSplit/>
        </w:trPr>
        <w:tc>
          <w:tcPr>
            <w:tcW w:w="934" w:type="pct"/>
          </w:tcPr>
          <w:p w14:paraId="31AC6014" w14:textId="77777777" w:rsidR="00C236A2" w:rsidRPr="0013396E" w:rsidRDefault="00C236A2" w:rsidP="0099759E">
            <w:pPr>
              <w:spacing w:after="60"/>
              <w:rPr>
                <w:bCs/>
                <w:sz w:val="20"/>
              </w:rPr>
            </w:pPr>
            <w:r w:rsidRPr="0013396E">
              <w:rPr>
                <w:bCs/>
                <w:sz w:val="20"/>
              </w:rPr>
              <w:t>RTNSNET</w:t>
            </w:r>
            <w:r w:rsidRPr="0013396E">
              <w:rPr>
                <w:bCs/>
                <w:iCs/>
              </w:rPr>
              <w:t xml:space="preserve"> </w:t>
            </w:r>
            <w:r w:rsidRPr="0013396E">
              <w:rPr>
                <w:bCs/>
                <w:i/>
                <w:iCs/>
                <w:vertAlign w:val="subscript"/>
              </w:rPr>
              <w:t>q, r</w:t>
            </w:r>
          </w:p>
        </w:tc>
        <w:tc>
          <w:tcPr>
            <w:tcW w:w="481" w:type="pct"/>
          </w:tcPr>
          <w:p w14:paraId="3CEEB73B" w14:textId="77777777" w:rsidR="00C236A2" w:rsidRPr="0013396E" w:rsidRDefault="00C236A2" w:rsidP="0099759E">
            <w:pPr>
              <w:spacing w:after="60"/>
              <w:rPr>
                <w:iCs/>
                <w:sz w:val="20"/>
              </w:rPr>
            </w:pPr>
            <w:r w:rsidRPr="0013396E">
              <w:rPr>
                <w:iCs/>
                <w:sz w:val="20"/>
              </w:rPr>
              <w:t>$</w:t>
            </w:r>
          </w:p>
        </w:tc>
        <w:tc>
          <w:tcPr>
            <w:tcW w:w="3585" w:type="pct"/>
          </w:tcPr>
          <w:p w14:paraId="2CF835B7" w14:textId="77777777" w:rsidR="00C236A2" w:rsidRPr="0013396E" w:rsidRDefault="00C236A2" w:rsidP="0099759E">
            <w:pPr>
              <w:spacing w:after="60"/>
              <w:rPr>
                <w:i/>
                <w:iCs/>
                <w:sz w:val="20"/>
              </w:rPr>
            </w:pPr>
            <w:r w:rsidRPr="0013396E">
              <w:rPr>
                <w:i/>
                <w:iCs/>
                <w:sz w:val="20"/>
              </w:rPr>
              <w:t>Real-Time Non-Spin Net Revenue</w:t>
            </w:r>
            <w:r w:rsidRPr="0013396E">
              <w:rPr>
                <w:iCs/>
                <w:sz w:val="20"/>
              </w:rPr>
              <w:t xml:space="preserve">—The difference between Real-Time Non-Spin Revenue and the Real-Time Non-Spin Revenue Target for Resource </w:t>
            </w:r>
            <w:r w:rsidRPr="0013396E">
              <w:rPr>
                <w:i/>
                <w:iCs/>
                <w:sz w:val="20"/>
              </w:rPr>
              <w:t xml:space="preserve">r </w:t>
            </w:r>
            <w:r w:rsidRPr="0013396E">
              <w:rPr>
                <w:iCs/>
                <w:sz w:val="20"/>
              </w:rPr>
              <w:t xml:space="preserve">for the 15-minute Settlement Interval.  Where for a Combined Cycle Train, the Resource </w:t>
            </w:r>
            <w:r w:rsidRPr="0013396E">
              <w:rPr>
                <w:i/>
                <w:iCs/>
                <w:sz w:val="20"/>
              </w:rPr>
              <w:t xml:space="preserve">r </w:t>
            </w:r>
            <w:r w:rsidRPr="0013396E">
              <w:rPr>
                <w:iCs/>
                <w:sz w:val="20"/>
              </w:rPr>
              <w:t>is the Combined Cycle Train.</w:t>
            </w:r>
          </w:p>
        </w:tc>
      </w:tr>
      <w:tr w:rsidR="00C236A2" w:rsidRPr="0013396E" w14:paraId="3F894819" w14:textId="77777777" w:rsidTr="0099759E">
        <w:trPr>
          <w:cantSplit/>
        </w:trPr>
        <w:tc>
          <w:tcPr>
            <w:tcW w:w="934" w:type="pct"/>
          </w:tcPr>
          <w:p w14:paraId="0A411C10" w14:textId="77777777" w:rsidR="00C236A2" w:rsidRPr="0013396E" w:rsidRDefault="00C236A2" w:rsidP="0099759E">
            <w:pPr>
              <w:spacing w:after="60"/>
              <w:rPr>
                <w:bCs/>
                <w:sz w:val="20"/>
              </w:rPr>
            </w:pPr>
            <w:r w:rsidRPr="0013396E">
              <w:rPr>
                <w:bCs/>
                <w:sz w:val="20"/>
              </w:rPr>
              <w:t>RTECRNET</w:t>
            </w:r>
            <w:r w:rsidRPr="0013396E">
              <w:rPr>
                <w:bCs/>
                <w:iCs/>
              </w:rPr>
              <w:t xml:space="preserve"> </w:t>
            </w:r>
            <w:r w:rsidRPr="0013396E">
              <w:rPr>
                <w:bCs/>
                <w:i/>
                <w:iCs/>
                <w:vertAlign w:val="subscript"/>
              </w:rPr>
              <w:t>q, r</w:t>
            </w:r>
          </w:p>
        </w:tc>
        <w:tc>
          <w:tcPr>
            <w:tcW w:w="481" w:type="pct"/>
          </w:tcPr>
          <w:p w14:paraId="7EDE4283" w14:textId="77777777" w:rsidR="00C236A2" w:rsidRPr="0013396E" w:rsidRDefault="00C236A2" w:rsidP="0099759E">
            <w:pPr>
              <w:spacing w:after="60"/>
              <w:rPr>
                <w:iCs/>
                <w:sz w:val="20"/>
              </w:rPr>
            </w:pPr>
            <w:r w:rsidRPr="0013396E">
              <w:rPr>
                <w:iCs/>
                <w:sz w:val="20"/>
              </w:rPr>
              <w:t>$</w:t>
            </w:r>
          </w:p>
        </w:tc>
        <w:tc>
          <w:tcPr>
            <w:tcW w:w="3585" w:type="pct"/>
          </w:tcPr>
          <w:p w14:paraId="2FAA9E57" w14:textId="77777777" w:rsidR="00C236A2" w:rsidRPr="0013396E" w:rsidRDefault="00C236A2" w:rsidP="0099759E">
            <w:pPr>
              <w:spacing w:after="60"/>
              <w:rPr>
                <w:i/>
                <w:iCs/>
                <w:sz w:val="20"/>
              </w:rPr>
            </w:pPr>
            <w:r w:rsidRPr="0013396E">
              <w:rPr>
                <w:i/>
                <w:iCs/>
                <w:sz w:val="20"/>
              </w:rPr>
              <w:t>Real-Time ERCOT Contingency Reserve Service Net Revenue</w:t>
            </w:r>
            <w:r w:rsidRPr="0013396E">
              <w:rPr>
                <w:iCs/>
                <w:sz w:val="20"/>
              </w:rPr>
              <w:t xml:space="preserve">—The difference between Real-Time ECRS Revenue and the Real-Time ECRS Revenue Target for Resource </w:t>
            </w:r>
            <w:r w:rsidRPr="0013396E">
              <w:rPr>
                <w:i/>
                <w:iCs/>
                <w:sz w:val="20"/>
              </w:rPr>
              <w:t xml:space="preserve">r </w:t>
            </w:r>
            <w:r w:rsidRPr="0013396E">
              <w:rPr>
                <w:iCs/>
                <w:sz w:val="20"/>
              </w:rPr>
              <w:t xml:space="preserve">for the 15-minute Settlement Interval.  Where for a Combined Cycle Train, the Resource </w:t>
            </w:r>
            <w:r w:rsidRPr="0013396E">
              <w:rPr>
                <w:i/>
                <w:iCs/>
                <w:sz w:val="20"/>
              </w:rPr>
              <w:t xml:space="preserve">r </w:t>
            </w:r>
            <w:r w:rsidRPr="0013396E">
              <w:rPr>
                <w:iCs/>
                <w:sz w:val="20"/>
              </w:rPr>
              <w:t>is the Combined Cycle Train.</w:t>
            </w:r>
          </w:p>
        </w:tc>
      </w:tr>
      <w:tr w:rsidR="00C236A2" w:rsidRPr="0013396E" w14:paraId="5BE6FE20" w14:textId="77777777" w:rsidTr="0099759E">
        <w:trPr>
          <w:cantSplit/>
        </w:trPr>
        <w:tc>
          <w:tcPr>
            <w:tcW w:w="934" w:type="pct"/>
          </w:tcPr>
          <w:p w14:paraId="109FAE6B" w14:textId="77777777" w:rsidR="00C236A2" w:rsidRPr="0013396E" w:rsidRDefault="00C236A2" w:rsidP="0099759E">
            <w:pPr>
              <w:spacing w:after="60"/>
              <w:rPr>
                <w:bCs/>
                <w:sz w:val="20"/>
              </w:rPr>
            </w:pPr>
            <w:r w:rsidRPr="0013396E">
              <w:rPr>
                <w:iCs/>
                <w:sz w:val="20"/>
              </w:rPr>
              <w:t xml:space="preserve">RTRUREV </w:t>
            </w:r>
            <w:r w:rsidRPr="0013396E">
              <w:rPr>
                <w:i/>
                <w:iCs/>
                <w:sz w:val="20"/>
                <w:vertAlign w:val="subscript"/>
              </w:rPr>
              <w:t>q, r</w:t>
            </w:r>
          </w:p>
        </w:tc>
        <w:tc>
          <w:tcPr>
            <w:tcW w:w="481" w:type="pct"/>
          </w:tcPr>
          <w:p w14:paraId="58F2EF59" w14:textId="77777777" w:rsidR="00C236A2" w:rsidRPr="0013396E" w:rsidRDefault="00C236A2" w:rsidP="0099759E">
            <w:pPr>
              <w:spacing w:after="60"/>
              <w:rPr>
                <w:iCs/>
                <w:sz w:val="20"/>
              </w:rPr>
            </w:pPr>
            <w:r w:rsidRPr="0013396E">
              <w:rPr>
                <w:iCs/>
                <w:sz w:val="20"/>
              </w:rPr>
              <w:t>$</w:t>
            </w:r>
          </w:p>
        </w:tc>
        <w:tc>
          <w:tcPr>
            <w:tcW w:w="3585" w:type="pct"/>
          </w:tcPr>
          <w:p w14:paraId="7AD5172C" w14:textId="77777777" w:rsidR="00C236A2" w:rsidRPr="0013396E" w:rsidRDefault="00C236A2" w:rsidP="0099759E">
            <w:pPr>
              <w:spacing w:after="60"/>
              <w:rPr>
                <w:i/>
                <w:iCs/>
                <w:sz w:val="20"/>
              </w:rPr>
            </w:pPr>
            <w:r w:rsidRPr="0013396E">
              <w:rPr>
                <w:i/>
                <w:iCs/>
                <w:sz w:val="20"/>
              </w:rPr>
              <w:t>Real-Time Reg-Up Revenue</w:t>
            </w:r>
            <w:r w:rsidRPr="0013396E">
              <w:rPr>
                <w:iCs/>
                <w:sz w:val="20"/>
              </w:rPr>
              <w:t xml:space="preserve">—The calculated Real-Time Reg-Up revenue for QSE </w:t>
            </w:r>
            <w:r w:rsidRPr="0013396E">
              <w:rPr>
                <w:i/>
                <w:iCs/>
                <w:sz w:val="20"/>
              </w:rPr>
              <w:t xml:space="preserve">q </w:t>
            </w:r>
            <w:r w:rsidRPr="0013396E">
              <w:rPr>
                <w:iCs/>
                <w:sz w:val="20"/>
              </w:rPr>
              <w:t>calculated for</w:t>
            </w:r>
            <w:r w:rsidRPr="0013396E">
              <w:rPr>
                <w:i/>
                <w:iCs/>
                <w:sz w:val="20"/>
              </w:rPr>
              <w:t xml:space="preserve"> </w:t>
            </w:r>
            <w:r w:rsidRPr="0013396E">
              <w:rPr>
                <w:iCs/>
                <w:sz w:val="20"/>
              </w:rPr>
              <w:t xml:space="preserve">Resource </w:t>
            </w:r>
            <w:r w:rsidRPr="0013396E">
              <w:rPr>
                <w:i/>
                <w:iCs/>
                <w:sz w:val="20"/>
              </w:rPr>
              <w:t xml:space="preserve">r </w:t>
            </w:r>
            <w:r w:rsidRPr="0013396E">
              <w:rPr>
                <w:iCs/>
                <w:sz w:val="20"/>
              </w:rPr>
              <w:t xml:space="preserve">for the 15-minute Settlement Interval.  Where for a Combined Cycle Train, the Resource </w:t>
            </w:r>
            <w:r w:rsidRPr="0013396E">
              <w:rPr>
                <w:i/>
                <w:iCs/>
                <w:sz w:val="20"/>
              </w:rPr>
              <w:t>r</w:t>
            </w:r>
            <w:r w:rsidRPr="0013396E">
              <w:rPr>
                <w:iCs/>
                <w:sz w:val="20"/>
              </w:rPr>
              <w:t xml:space="preserve"> is the Combined Cycle Train.</w:t>
            </w:r>
          </w:p>
        </w:tc>
      </w:tr>
      <w:tr w:rsidR="00C236A2" w:rsidRPr="0013396E" w14:paraId="5CC04CF6" w14:textId="77777777" w:rsidTr="0099759E">
        <w:trPr>
          <w:cantSplit/>
        </w:trPr>
        <w:tc>
          <w:tcPr>
            <w:tcW w:w="934" w:type="pct"/>
          </w:tcPr>
          <w:p w14:paraId="47AFF74D" w14:textId="77777777" w:rsidR="00C236A2" w:rsidRPr="0013396E" w:rsidRDefault="00C236A2" w:rsidP="0099759E">
            <w:pPr>
              <w:spacing w:after="60"/>
              <w:rPr>
                <w:bCs/>
                <w:sz w:val="20"/>
              </w:rPr>
            </w:pPr>
            <w:r w:rsidRPr="0013396E">
              <w:rPr>
                <w:iCs/>
                <w:sz w:val="20"/>
              </w:rPr>
              <w:t xml:space="preserve">RTRDREV </w:t>
            </w:r>
            <w:r w:rsidRPr="0013396E">
              <w:rPr>
                <w:i/>
                <w:iCs/>
                <w:sz w:val="20"/>
                <w:vertAlign w:val="subscript"/>
              </w:rPr>
              <w:t>q, r</w:t>
            </w:r>
          </w:p>
        </w:tc>
        <w:tc>
          <w:tcPr>
            <w:tcW w:w="481" w:type="pct"/>
          </w:tcPr>
          <w:p w14:paraId="44AF3178" w14:textId="77777777" w:rsidR="00C236A2" w:rsidRPr="0013396E" w:rsidRDefault="00C236A2" w:rsidP="0099759E">
            <w:pPr>
              <w:spacing w:after="60"/>
              <w:rPr>
                <w:iCs/>
                <w:sz w:val="20"/>
              </w:rPr>
            </w:pPr>
            <w:r w:rsidRPr="0013396E">
              <w:rPr>
                <w:iCs/>
                <w:sz w:val="20"/>
              </w:rPr>
              <w:t>$</w:t>
            </w:r>
          </w:p>
        </w:tc>
        <w:tc>
          <w:tcPr>
            <w:tcW w:w="3585" w:type="pct"/>
          </w:tcPr>
          <w:p w14:paraId="1009A309" w14:textId="77777777" w:rsidR="00C236A2" w:rsidRPr="0013396E" w:rsidRDefault="00C236A2" w:rsidP="0099759E">
            <w:pPr>
              <w:spacing w:after="60"/>
              <w:rPr>
                <w:i/>
                <w:iCs/>
                <w:sz w:val="20"/>
              </w:rPr>
            </w:pPr>
            <w:r w:rsidRPr="0013396E">
              <w:rPr>
                <w:i/>
                <w:iCs/>
                <w:sz w:val="20"/>
              </w:rPr>
              <w:t>Real-Time Reg-Down Revenue</w:t>
            </w:r>
            <w:r w:rsidRPr="0013396E">
              <w:rPr>
                <w:iCs/>
                <w:sz w:val="20"/>
              </w:rPr>
              <w:t xml:space="preserve">—The calculated Real-Time Reg-Down revenue for QSE </w:t>
            </w:r>
            <w:r w:rsidRPr="0013396E">
              <w:rPr>
                <w:i/>
                <w:iCs/>
                <w:sz w:val="20"/>
              </w:rPr>
              <w:t xml:space="preserve">q </w:t>
            </w:r>
            <w:r w:rsidRPr="0013396E">
              <w:rPr>
                <w:iCs/>
                <w:sz w:val="20"/>
              </w:rPr>
              <w:t>calculated for</w:t>
            </w:r>
            <w:r w:rsidRPr="0013396E">
              <w:rPr>
                <w:i/>
                <w:iCs/>
                <w:sz w:val="20"/>
              </w:rPr>
              <w:t xml:space="preserve"> </w:t>
            </w:r>
            <w:r w:rsidRPr="0013396E">
              <w:rPr>
                <w:iCs/>
                <w:sz w:val="20"/>
              </w:rPr>
              <w:t xml:space="preserve">Resource </w:t>
            </w:r>
            <w:r w:rsidRPr="0013396E">
              <w:rPr>
                <w:i/>
                <w:iCs/>
                <w:sz w:val="20"/>
              </w:rPr>
              <w:t xml:space="preserve">r </w:t>
            </w:r>
            <w:r w:rsidRPr="0013396E">
              <w:rPr>
                <w:iCs/>
                <w:sz w:val="20"/>
              </w:rPr>
              <w:t xml:space="preserve">for the 15-minute Settlement interval.  Where for a Combined Cycle Train, the Resource </w:t>
            </w:r>
            <w:r w:rsidRPr="0013396E">
              <w:rPr>
                <w:i/>
                <w:iCs/>
                <w:sz w:val="20"/>
              </w:rPr>
              <w:t>r</w:t>
            </w:r>
            <w:r w:rsidRPr="0013396E">
              <w:rPr>
                <w:iCs/>
                <w:sz w:val="20"/>
              </w:rPr>
              <w:t xml:space="preserve"> is the Combined Cycle Train.</w:t>
            </w:r>
          </w:p>
        </w:tc>
      </w:tr>
      <w:tr w:rsidR="00C236A2" w:rsidRPr="0013396E" w14:paraId="2334F105" w14:textId="77777777" w:rsidTr="0099759E">
        <w:trPr>
          <w:cantSplit/>
        </w:trPr>
        <w:tc>
          <w:tcPr>
            <w:tcW w:w="934" w:type="pct"/>
          </w:tcPr>
          <w:p w14:paraId="58555826" w14:textId="77777777" w:rsidR="00C236A2" w:rsidRPr="0013396E" w:rsidRDefault="00C236A2" w:rsidP="0099759E">
            <w:pPr>
              <w:spacing w:after="60"/>
              <w:rPr>
                <w:bCs/>
                <w:sz w:val="20"/>
              </w:rPr>
            </w:pPr>
            <w:r w:rsidRPr="0013396E">
              <w:rPr>
                <w:iCs/>
                <w:sz w:val="20"/>
              </w:rPr>
              <w:lastRenderedPageBreak/>
              <w:t xml:space="preserve">RTRRREV </w:t>
            </w:r>
            <w:r w:rsidRPr="0013396E">
              <w:rPr>
                <w:i/>
                <w:iCs/>
                <w:sz w:val="20"/>
                <w:vertAlign w:val="subscript"/>
              </w:rPr>
              <w:t>q, r</w:t>
            </w:r>
          </w:p>
        </w:tc>
        <w:tc>
          <w:tcPr>
            <w:tcW w:w="481" w:type="pct"/>
          </w:tcPr>
          <w:p w14:paraId="5D23A164" w14:textId="77777777" w:rsidR="00C236A2" w:rsidRPr="0013396E" w:rsidRDefault="00C236A2" w:rsidP="0099759E">
            <w:pPr>
              <w:spacing w:after="60"/>
              <w:rPr>
                <w:iCs/>
                <w:sz w:val="20"/>
              </w:rPr>
            </w:pPr>
            <w:r w:rsidRPr="0013396E">
              <w:rPr>
                <w:iCs/>
                <w:sz w:val="20"/>
              </w:rPr>
              <w:t>$</w:t>
            </w:r>
          </w:p>
        </w:tc>
        <w:tc>
          <w:tcPr>
            <w:tcW w:w="3585" w:type="pct"/>
          </w:tcPr>
          <w:p w14:paraId="3AF34F46" w14:textId="77777777" w:rsidR="00C236A2" w:rsidRPr="0013396E" w:rsidRDefault="00C236A2" w:rsidP="0099759E">
            <w:pPr>
              <w:spacing w:after="60"/>
              <w:rPr>
                <w:i/>
                <w:iCs/>
                <w:sz w:val="20"/>
              </w:rPr>
            </w:pPr>
            <w:r w:rsidRPr="0013396E">
              <w:rPr>
                <w:i/>
                <w:iCs/>
                <w:sz w:val="20"/>
              </w:rPr>
              <w:t>Real-Time Responsive Reserve Revenue</w:t>
            </w:r>
            <w:r w:rsidRPr="0013396E">
              <w:rPr>
                <w:iCs/>
                <w:sz w:val="20"/>
              </w:rPr>
              <w:t xml:space="preserve">—The calculated Real-Time RRS revenue for QSE </w:t>
            </w:r>
            <w:r w:rsidRPr="0013396E">
              <w:rPr>
                <w:i/>
                <w:iCs/>
                <w:sz w:val="20"/>
              </w:rPr>
              <w:t xml:space="preserve">q </w:t>
            </w:r>
            <w:r w:rsidRPr="0013396E">
              <w:rPr>
                <w:iCs/>
                <w:sz w:val="20"/>
              </w:rPr>
              <w:t>calculated for</w:t>
            </w:r>
            <w:r w:rsidRPr="0013396E">
              <w:rPr>
                <w:i/>
                <w:iCs/>
                <w:sz w:val="20"/>
              </w:rPr>
              <w:t xml:space="preserve"> </w:t>
            </w:r>
            <w:r w:rsidRPr="0013396E">
              <w:rPr>
                <w:iCs/>
                <w:sz w:val="20"/>
              </w:rPr>
              <w:t xml:space="preserve">Resource </w:t>
            </w:r>
            <w:r w:rsidRPr="0013396E">
              <w:rPr>
                <w:i/>
                <w:iCs/>
                <w:sz w:val="20"/>
              </w:rPr>
              <w:t xml:space="preserve">r </w:t>
            </w:r>
            <w:r w:rsidRPr="0013396E">
              <w:rPr>
                <w:iCs/>
                <w:sz w:val="20"/>
              </w:rPr>
              <w:t xml:space="preserve">for the 15-minute Settlement interval.  Where for a Combined Cycle Train, the Resource </w:t>
            </w:r>
            <w:r w:rsidRPr="0013396E">
              <w:rPr>
                <w:i/>
                <w:iCs/>
                <w:sz w:val="20"/>
              </w:rPr>
              <w:t>r</w:t>
            </w:r>
            <w:r w:rsidRPr="0013396E">
              <w:rPr>
                <w:iCs/>
                <w:sz w:val="20"/>
              </w:rPr>
              <w:t xml:space="preserve"> is the Combined Cycle Train.</w:t>
            </w:r>
          </w:p>
        </w:tc>
      </w:tr>
      <w:tr w:rsidR="00C236A2" w:rsidRPr="0013396E" w14:paraId="5F27F0C0" w14:textId="77777777" w:rsidTr="0099759E">
        <w:trPr>
          <w:cantSplit/>
        </w:trPr>
        <w:tc>
          <w:tcPr>
            <w:tcW w:w="934" w:type="pct"/>
          </w:tcPr>
          <w:p w14:paraId="410F1652" w14:textId="77777777" w:rsidR="00C236A2" w:rsidRPr="0013396E" w:rsidRDefault="00C236A2" w:rsidP="0099759E">
            <w:pPr>
              <w:spacing w:after="60"/>
              <w:rPr>
                <w:bCs/>
                <w:sz w:val="20"/>
              </w:rPr>
            </w:pPr>
            <w:r w:rsidRPr="0013396E">
              <w:rPr>
                <w:iCs/>
                <w:sz w:val="20"/>
              </w:rPr>
              <w:t xml:space="preserve">RTNSREV </w:t>
            </w:r>
            <w:r w:rsidRPr="0013396E">
              <w:rPr>
                <w:i/>
                <w:iCs/>
                <w:sz w:val="20"/>
                <w:vertAlign w:val="subscript"/>
              </w:rPr>
              <w:t>q, r</w:t>
            </w:r>
          </w:p>
        </w:tc>
        <w:tc>
          <w:tcPr>
            <w:tcW w:w="481" w:type="pct"/>
          </w:tcPr>
          <w:p w14:paraId="7AD828E5" w14:textId="77777777" w:rsidR="00C236A2" w:rsidRPr="0013396E" w:rsidRDefault="00C236A2" w:rsidP="0099759E">
            <w:pPr>
              <w:spacing w:after="60"/>
              <w:rPr>
                <w:iCs/>
                <w:sz w:val="20"/>
              </w:rPr>
            </w:pPr>
            <w:r w:rsidRPr="0013396E">
              <w:rPr>
                <w:iCs/>
                <w:sz w:val="20"/>
              </w:rPr>
              <w:t>$</w:t>
            </w:r>
          </w:p>
        </w:tc>
        <w:tc>
          <w:tcPr>
            <w:tcW w:w="3585" w:type="pct"/>
          </w:tcPr>
          <w:p w14:paraId="51A5C29D" w14:textId="77777777" w:rsidR="00C236A2" w:rsidRPr="0013396E" w:rsidRDefault="00C236A2" w:rsidP="0099759E">
            <w:pPr>
              <w:spacing w:after="60"/>
              <w:rPr>
                <w:i/>
                <w:iCs/>
                <w:sz w:val="20"/>
              </w:rPr>
            </w:pPr>
            <w:r w:rsidRPr="0013396E">
              <w:rPr>
                <w:i/>
                <w:iCs/>
                <w:sz w:val="20"/>
              </w:rPr>
              <w:t>Real-Time Non-Spin Revenue</w:t>
            </w:r>
            <w:r w:rsidRPr="0013396E">
              <w:rPr>
                <w:iCs/>
                <w:sz w:val="20"/>
              </w:rPr>
              <w:t xml:space="preserve">—The calculated Real-Time Non-Spin revenue for QSE </w:t>
            </w:r>
            <w:r w:rsidRPr="0013396E">
              <w:rPr>
                <w:i/>
                <w:iCs/>
                <w:sz w:val="20"/>
              </w:rPr>
              <w:t xml:space="preserve">q </w:t>
            </w:r>
            <w:r w:rsidRPr="0013396E">
              <w:rPr>
                <w:iCs/>
                <w:sz w:val="20"/>
              </w:rPr>
              <w:t>calculated for</w:t>
            </w:r>
            <w:r w:rsidRPr="0013396E">
              <w:rPr>
                <w:i/>
                <w:iCs/>
                <w:sz w:val="20"/>
              </w:rPr>
              <w:t xml:space="preserve"> </w:t>
            </w:r>
            <w:r w:rsidRPr="0013396E">
              <w:rPr>
                <w:iCs/>
                <w:sz w:val="20"/>
              </w:rPr>
              <w:t xml:space="preserve">Resource </w:t>
            </w:r>
            <w:r w:rsidRPr="0013396E">
              <w:rPr>
                <w:i/>
                <w:iCs/>
                <w:sz w:val="20"/>
              </w:rPr>
              <w:t xml:space="preserve">r </w:t>
            </w:r>
            <w:r w:rsidRPr="0013396E">
              <w:rPr>
                <w:iCs/>
                <w:sz w:val="20"/>
              </w:rPr>
              <w:t xml:space="preserve">for the 15-minute Settlement interval.  Where for a Combined Cycle Train, the Resource </w:t>
            </w:r>
            <w:r w:rsidRPr="0013396E">
              <w:rPr>
                <w:i/>
                <w:iCs/>
                <w:sz w:val="20"/>
              </w:rPr>
              <w:t>r</w:t>
            </w:r>
            <w:r w:rsidRPr="0013396E">
              <w:rPr>
                <w:iCs/>
                <w:sz w:val="20"/>
              </w:rPr>
              <w:t xml:space="preserve"> is the Combined Cycle Train.</w:t>
            </w:r>
          </w:p>
        </w:tc>
      </w:tr>
      <w:tr w:rsidR="00C236A2" w:rsidRPr="0013396E" w14:paraId="3463C752" w14:textId="77777777" w:rsidTr="0099759E">
        <w:trPr>
          <w:cantSplit/>
        </w:trPr>
        <w:tc>
          <w:tcPr>
            <w:tcW w:w="934" w:type="pct"/>
          </w:tcPr>
          <w:p w14:paraId="1A4BEF49" w14:textId="77777777" w:rsidR="00C236A2" w:rsidRPr="0013396E" w:rsidRDefault="00C236A2" w:rsidP="0099759E">
            <w:pPr>
              <w:spacing w:after="60"/>
              <w:rPr>
                <w:bCs/>
                <w:sz w:val="20"/>
              </w:rPr>
            </w:pPr>
            <w:r w:rsidRPr="0013396E">
              <w:rPr>
                <w:iCs/>
                <w:sz w:val="20"/>
              </w:rPr>
              <w:t xml:space="preserve">RTECRREV </w:t>
            </w:r>
            <w:r w:rsidRPr="0013396E">
              <w:rPr>
                <w:i/>
                <w:iCs/>
                <w:sz w:val="20"/>
                <w:vertAlign w:val="subscript"/>
              </w:rPr>
              <w:t>q, r</w:t>
            </w:r>
          </w:p>
        </w:tc>
        <w:tc>
          <w:tcPr>
            <w:tcW w:w="481" w:type="pct"/>
          </w:tcPr>
          <w:p w14:paraId="6E278ED2" w14:textId="77777777" w:rsidR="00C236A2" w:rsidRPr="0013396E" w:rsidRDefault="00C236A2" w:rsidP="0099759E">
            <w:pPr>
              <w:spacing w:after="60"/>
              <w:rPr>
                <w:iCs/>
                <w:sz w:val="20"/>
              </w:rPr>
            </w:pPr>
            <w:r w:rsidRPr="0013396E">
              <w:rPr>
                <w:iCs/>
                <w:sz w:val="20"/>
              </w:rPr>
              <w:t>$</w:t>
            </w:r>
          </w:p>
        </w:tc>
        <w:tc>
          <w:tcPr>
            <w:tcW w:w="3585" w:type="pct"/>
          </w:tcPr>
          <w:p w14:paraId="7E9EFD2E" w14:textId="77777777" w:rsidR="00C236A2" w:rsidRPr="0013396E" w:rsidRDefault="00C236A2" w:rsidP="0099759E">
            <w:pPr>
              <w:spacing w:after="60"/>
              <w:rPr>
                <w:i/>
                <w:iCs/>
                <w:sz w:val="20"/>
              </w:rPr>
            </w:pPr>
            <w:r w:rsidRPr="0013396E">
              <w:rPr>
                <w:i/>
                <w:iCs/>
                <w:sz w:val="20"/>
              </w:rPr>
              <w:t>Real-Time ERCOT Contingency Reserve Service Revenue</w:t>
            </w:r>
            <w:r w:rsidRPr="0013396E">
              <w:rPr>
                <w:iCs/>
                <w:sz w:val="20"/>
              </w:rPr>
              <w:t xml:space="preserve">—The calculated Real-Time ECRS revenue for QSE </w:t>
            </w:r>
            <w:r w:rsidRPr="0013396E">
              <w:rPr>
                <w:i/>
                <w:iCs/>
                <w:sz w:val="20"/>
              </w:rPr>
              <w:t xml:space="preserve">q </w:t>
            </w:r>
            <w:r w:rsidRPr="0013396E">
              <w:rPr>
                <w:iCs/>
                <w:sz w:val="20"/>
              </w:rPr>
              <w:t>calculated for</w:t>
            </w:r>
            <w:r w:rsidRPr="0013396E">
              <w:rPr>
                <w:i/>
                <w:iCs/>
                <w:sz w:val="20"/>
              </w:rPr>
              <w:t xml:space="preserve"> </w:t>
            </w:r>
            <w:r w:rsidRPr="0013396E">
              <w:rPr>
                <w:iCs/>
                <w:sz w:val="20"/>
              </w:rPr>
              <w:t xml:space="preserve">Resource </w:t>
            </w:r>
            <w:r w:rsidRPr="0013396E">
              <w:rPr>
                <w:i/>
                <w:iCs/>
                <w:sz w:val="20"/>
              </w:rPr>
              <w:t xml:space="preserve">r </w:t>
            </w:r>
            <w:r w:rsidRPr="0013396E">
              <w:rPr>
                <w:iCs/>
                <w:sz w:val="20"/>
              </w:rPr>
              <w:t xml:space="preserve">for the 15-minute Settlement interval.  Where for a Combined Cycle Train, the Resource </w:t>
            </w:r>
            <w:r w:rsidRPr="0013396E">
              <w:rPr>
                <w:i/>
                <w:iCs/>
                <w:sz w:val="20"/>
              </w:rPr>
              <w:t>r</w:t>
            </w:r>
            <w:r w:rsidRPr="0013396E">
              <w:rPr>
                <w:iCs/>
                <w:sz w:val="20"/>
              </w:rPr>
              <w:t xml:space="preserve"> is the Combined Cycle Train.</w:t>
            </w:r>
          </w:p>
        </w:tc>
      </w:tr>
      <w:tr w:rsidR="00C236A2" w:rsidRPr="0013396E" w14:paraId="6BF09848" w14:textId="77777777" w:rsidTr="0099759E">
        <w:trPr>
          <w:cantSplit/>
        </w:trPr>
        <w:tc>
          <w:tcPr>
            <w:tcW w:w="934" w:type="pct"/>
          </w:tcPr>
          <w:p w14:paraId="72E26722" w14:textId="77777777" w:rsidR="00C236A2" w:rsidRPr="0013396E" w:rsidRDefault="00C236A2" w:rsidP="0099759E">
            <w:pPr>
              <w:spacing w:after="60"/>
              <w:rPr>
                <w:bCs/>
                <w:sz w:val="20"/>
              </w:rPr>
            </w:pPr>
            <w:r w:rsidRPr="0013396E">
              <w:rPr>
                <w:iCs/>
                <w:sz w:val="20"/>
              </w:rPr>
              <w:t xml:space="preserve">RTRUREVT </w:t>
            </w:r>
            <w:r w:rsidRPr="0013396E">
              <w:rPr>
                <w:bCs/>
                <w:i/>
                <w:sz w:val="20"/>
                <w:szCs w:val="16"/>
                <w:vertAlign w:val="subscript"/>
              </w:rPr>
              <w:t>q, r, p</w:t>
            </w:r>
          </w:p>
        </w:tc>
        <w:tc>
          <w:tcPr>
            <w:tcW w:w="481" w:type="pct"/>
          </w:tcPr>
          <w:p w14:paraId="729B7517" w14:textId="77777777" w:rsidR="00C236A2" w:rsidRPr="0013396E" w:rsidRDefault="00C236A2" w:rsidP="0099759E">
            <w:pPr>
              <w:spacing w:after="60"/>
              <w:rPr>
                <w:iCs/>
                <w:sz w:val="20"/>
              </w:rPr>
            </w:pPr>
            <w:r w:rsidRPr="0013396E">
              <w:rPr>
                <w:iCs/>
                <w:sz w:val="20"/>
              </w:rPr>
              <w:t>$</w:t>
            </w:r>
          </w:p>
        </w:tc>
        <w:tc>
          <w:tcPr>
            <w:tcW w:w="3585" w:type="pct"/>
          </w:tcPr>
          <w:p w14:paraId="50E7E95E" w14:textId="77777777" w:rsidR="00C236A2" w:rsidRPr="0013396E" w:rsidRDefault="00C236A2" w:rsidP="0099759E">
            <w:pPr>
              <w:spacing w:after="60"/>
              <w:rPr>
                <w:iCs/>
                <w:sz w:val="20"/>
              </w:rPr>
            </w:pPr>
            <w:r w:rsidRPr="0013396E">
              <w:rPr>
                <w:i/>
                <w:iCs/>
                <w:sz w:val="20"/>
              </w:rPr>
              <w:t>Real-Time Reg-Up Revenue Target</w:t>
            </w:r>
            <w:r w:rsidRPr="0013396E">
              <w:rPr>
                <w:iCs/>
                <w:sz w:val="20"/>
              </w:rPr>
              <w:t xml:space="preserve">—The revenue target of the Reg-Up award to Resource </w:t>
            </w:r>
            <w:r w:rsidRPr="0013396E">
              <w:rPr>
                <w:i/>
                <w:iCs/>
                <w:sz w:val="20"/>
              </w:rPr>
              <w:t xml:space="preserve">r </w:t>
            </w:r>
            <w:r w:rsidRPr="0013396E">
              <w:rPr>
                <w:iCs/>
                <w:sz w:val="20"/>
              </w:rPr>
              <w:t xml:space="preserve">at Resource Node </w:t>
            </w:r>
            <w:r w:rsidRPr="0013396E">
              <w:rPr>
                <w:i/>
                <w:iCs/>
                <w:sz w:val="20"/>
              </w:rPr>
              <w:t xml:space="preserve">p </w:t>
            </w:r>
            <w:r w:rsidRPr="0013396E">
              <w:rPr>
                <w:iCs/>
                <w:sz w:val="20"/>
              </w:rPr>
              <w:t xml:space="preserve">represented by QSE </w:t>
            </w:r>
            <w:r w:rsidRPr="0013396E">
              <w:rPr>
                <w:i/>
                <w:iCs/>
                <w:sz w:val="20"/>
              </w:rPr>
              <w:t>q</w:t>
            </w:r>
            <w:r w:rsidRPr="0013396E">
              <w:rPr>
                <w:iCs/>
                <w:sz w:val="20"/>
              </w:rPr>
              <w:t xml:space="preserve"> based on the Ancillary Service Offer for the 15-minute Settlement Interval.  Where for a Combined Cycle Train, the Resource </w:t>
            </w:r>
            <w:r w:rsidRPr="0013396E">
              <w:rPr>
                <w:i/>
                <w:iCs/>
                <w:sz w:val="20"/>
              </w:rPr>
              <w:t>r</w:t>
            </w:r>
            <w:r w:rsidRPr="0013396E">
              <w:rPr>
                <w:iCs/>
                <w:sz w:val="20"/>
              </w:rPr>
              <w:t xml:space="preserve"> is the Combined Cycle Train.</w:t>
            </w:r>
          </w:p>
        </w:tc>
      </w:tr>
      <w:tr w:rsidR="00C236A2" w:rsidRPr="0013396E" w14:paraId="62019444" w14:textId="77777777" w:rsidTr="0099759E">
        <w:trPr>
          <w:cantSplit/>
        </w:trPr>
        <w:tc>
          <w:tcPr>
            <w:tcW w:w="934" w:type="pct"/>
          </w:tcPr>
          <w:p w14:paraId="080EF9E5" w14:textId="77777777" w:rsidR="00C236A2" w:rsidRPr="0013396E" w:rsidRDefault="00C236A2" w:rsidP="0099759E">
            <w:pPr>
              <w:spacing w:after="60"/>
              <w:rPr>
                <w:bCs/>
                <w:sz w:val="20"/>
              </w:rPr>
            </w:pPr>
            <w:r w:rsidRPr="0013396E">
              <w:rPr>
                <w:iCs/>
                <w:sz w:val="20"/>
              </w:rPr>
              <w:t xml:space="preserve">RTRDREVT </w:t>
            </w:r>
            <w:r w:rsidRPr="0013396E">
              <w:rPr>
                <w:bCs/>
                <w:i/>
                <w:sz w:val="20"/>
                <w:szCs w:val="16"/>
                <w:vertAlign w:val="subscript"/>
              </w:rPr>
              <w:t>q, r, p</w:t>
            </w:r>
          </w:p>
        </w:tc>
        <w:tc>
          <w:tcPr>
            <w:tcW w:w="481" w:type="pct"/>
          </w:tcPr>
          <w:p w14:paraId="419583DC" w14:textId="77777777" w:rsidR="00C236A2" w:rsidRPr="0013396E" w:rsidRDefault="00C236A2" w:rsidP="0099759E">
            <w:pPr>
              <w:spacing w:after="60"/>
              <w:rPr>
                <w:iCs/>
                <w:sz w:val="20"/>
              </w:rPr>
            </w:pPr>
            <w:r w:rsidRPr="0013396E">
              <w:rPr>
                <w:iCs/>
                <w:sz w:val="20"/>
              </w:rPr>
              <w:t>$</w:t>
            </w:r>
          </w:p>
        </w:tc>
        <w:tc>
          <w:tcPr>
            <w:tcW w:w="3585" w:type="pct"/>
          </w:tcPr>
          <w:p w14:paraId="1FF05535" w14:textId="77777777" w:rsidR="00C236A2" w:rsidRPr="0013396E" w:rsidRDefault="00C236A2" w:rsidP="0099759E">
            <w:pPr>
              <w:spacing w:after="60"/>
              <w:rPr>
                <w:i/>
                <w:iCs/>
                <w:sz w:val="20"/>
              </w:rPr>
            </w:pPr>
            <w:r w:rsidRPr="0013396E">
              <w:rPr>
                <w:i/>
                <w:iCs/>
                <w:sz w:val="20"/>
              </w:rPr>
              <w:t>Real-Time Reg-Down Revenue Target</w:t>
            </w:r>
            <w:r w:rsidRPr="0013396E">
              <w:rPr>
                <w:iCs/>
                <w:sz w:val="20"/>
              </w:rPr>
              <w:t xml:space="preserve">—The revenue target of the Reg-Down award to Resource </w:t>
            </w:r>
            <w:r w:rsidRPr="0013396E">
              <w:rPr>
                <w:i/>
                <w:iCs/>
                <w:sz w:val="20"/>
              </w:rPr>
              <w:t>r</w:t>
            </w:r>
            <w:r w:rsidRPr="0013396E">
              <w:rPr>
                <w:iCs/>
                <w:sz w:val="20"/>
              </w:rPr>
              <w:t xml:space="preserve"> at Resource Node </w:t>
            </w:r>
            <w:r w:rsidRPr="0013396E">
              <w:rPr>
                <w:i/>
                <w:iCs/>
                <w:sz w:val="20"/>
              </w:rPr>
              <w:t xml:space="preserve">p </w:t>
            </w:r>
            <w:r w:rsidRPr="0013396E">
              <w:rPr>
                <w:iCs/>
                <w:sz w:val="20"/>
              </w:rPr>
              <w:t xml:space="preserve">represented by QSE </w:t>
            </w:r>
            <w:r w:rsidRPr="0013396E">
              <w:rPr>
                <w:i/>
                <w:iCs/>
                <w:sz w:val="20"/>
              </w:rPr>
              <w:t>q</w:t>
            </w:r>
            <w:r w:rsidRPr="0013396E">
              <w:rPr>
                <w:iCs/>
                <w:sz w:val="20"/>
              </w:rPr>
              <w:t xml:space="preserve"> based on the Ancillary Service Offer for the 15-minute Settlement Interval.  Where for a Combined Cycle Train, the Resource </w:t>
            </w:r>
            <w:r w:rsidRPr="0013396E">
              <w:rPr>
                <w:i/>
                <w:iCs/>
                <w:sz w:val="20"/>
              </w:rPr>
              <w:t>r</w:t>
            </w:r>
            <w:r w:rsidRPr="0013396E">
              <w:rPr>
                <w:iCs/>
                <w:sz w:val="20"/>
              </w:rPr>
              <w:t xml:space="preserve"> is the Combined Cycle Train.</w:t>
            </w:r>
          </w:p>
        </w:tc>
      </w:tr>
      <w:tr w:rsidR="00C236A2" w:rsidRPr="0013396E" w14:paraId="6326CED2" w14:textId="77777777" w:rsidTr="0099759E">
        <w:trPr>
          <w:cantSplit/>
        </w:trPr>
        <w:tc>
          <w:tcPr>
            <w:tcW w:w="934" w:type="pct"/>
          </w:tcPr>
          <w:p w14:paraId="71A1CF83" w14:textId="77777777" w:rsidR="00C236A2" w:rsidRPr="0013396E" w:rsidRDefault="00C236A2" w:rsidP="0099759E">
            <w:pPr>
              <w:spacing w:after="60"/>
              <w:rPr>
                <w:bCs/>
                <w:sz w:val="20"/>
              </w:rPr>
            </w:pPr>
            <w:r w:rsidRPr="0013396E">
              <w:rPr>
                <w:iCs/>
                <w:sz w:val="20"/>
              </w:rPr>
              <w:t xml:space="preserve">RTRRREVT </w:t>
            </w:r>
            <w:r w:rsidRPr="0013396E">
              <w:rPr>
                <w:bCs/>
                <w:i/>
                <w:sz w:val="20"/>
                <w:szCs w:val="16"/>
                <w:vertAlign w:val="subscript"/>
              </w:rPr>
              <w:t>q, r, p</w:t>
            </w:r>
          </w:p>
        </w:tc>
        <w:tc>
          <w:tcPr>
            <w:tcW w:w="481" w:type="pct"/>
          </w:tcPr>
          <w:p w14:paraId="67A2DA7C" w14:textId="77777777" w:rsidR="00C236A2" w:rsidRPr="0013396E" w:rsidRDefault="00C236A2" w:rsidP="0099759E">
            <w:pPr>
              <w:spacing w:after="60"/>
              <w:rPr>
                <w:iCs/>
                <w:sz w:val="20"/>
              </w:rPr>
            </w:pPr>
            <w:r w:rsidRPr="0013396E">
              <w:rPr>
                <w:iCs/>
                <w:sz w:val="20"/>
              </w:rPr>
              <w:t>$</w:t>
            </w:r>
          </w:p>
        </w:tc>
        <w:tc>
          <w:tcPr>
            <w:tcW w:w="3585" w:type="pct"/>
          </w:tcPr>
          <w:p w14:paraId="6DA4B7A9" w14:textId="77777777" w:rsidR="00C236A2" w:rsidRPr="0013396E" w:rsidRDefault="00C236A2" w:rsidP="0099759E">
            <w:pPr>
              <w:spacing w:after="60"/>
              <w:rPr>
                <w:i/>
                <w:iCs/>
                <w:sz w:val="20"/>
              </w:rPr>
            </w:pPr>
            <w:r w:rsidRPr="0013396E">
              <w:rPr>
                <w:i/>
                <w:iCs/>
                <w:sz w:val="20"/>
              </w:rPr>
              <w:t>Real-Time Responsive Reserve Revenue Target</w:t>
            </w:r>
            <w:r w:rsidRPr="0013396E">
              <w:rPr>
                <w:iCs/>
                <w:sz w:val="20"/>
              </w:rPr>
              <w:t xml:space="preserve">—The revenue target of the RRS award to Resource </w:t>
            </w:r>
            <w:r w:rsidRPr="0013396E">
              <w:rPr>
                <w:i/>
                <w:iCs/>
                <w:sz w:val="20"/>
              </w:rPr>
              <w:t>r</w:t>
            </w:r>
            <w:r w:rsidRPr="0013396E">
              <w:rPr>
                <w:iCs/>
                <w:sz w:val="20"/>
              </w:rPr>
              <w:t xml:space="preserve"> at Resource Node </w:t>
            </w:r>
            <w:r w:rsidRPr="0013396E">
              <w:rPr>
                <w:i/>
                <w:iCs/>
                <w:sz w:val="20"/>
              </w:rPr>
              <w:t xml:space="preserve">p </w:t>
            </w:r>
            <w:r w:rsidRPr="0013396E">
              <w:rPr>
                <w:iCs/>
                <w:sz w:val="20"/>
              </w:rPr>
              <w:t xml:space="preserve">represented by QSE </w:t>
            </w:r>
            <w:r w:rsidRPr="0013396E">
              <w:rPr>
                <w:i/>
                <w:iCs/>
                <w:sz w:val="20"/>
              </w:rPr>
              <w:t>q</w:t>
            </w:r>
            <w:r w:rsidRPr="0013396E">
              <w:rPr>
                <w:iCs/>
                <w:sz w:val="20"/>
              </w:rPr>
              <w:t xml:space="preserve"> based on the Ancillary Service Offer for the 15-minute Settlement Interval.  Where for a Combined Cycle Train, the Resource </w:t>
            </w:r>
            <w:r w:rsidRPr="0013396E">
              <w:rPr>
                <w:i/>
                <w:iCs/>
                <w:sz w:val="20"/>
              </w:rPr>
              <w:t>r</w:t>
            </w:r>
            <w:r w:rsidRPr="0013396E">
              <w:rPr>
                <w:iCs/>
                <w:sz w:val="20"/>
              </w:rPr>
              <w:t xml:space="preserve"> is the Combined Cycle Train.</w:t>
            </w:r>
          </w:p>
        </w:tc>
      </w:tr>
      <w:tr w:rsidR="00C236A2" w:rsidRPr="0013396E" w14:paraId="423DAF1F" w14:textId="77777777" w:rsidTr="0099759E">
        <w:trPr>
          <w:cantSplit/>
        </w:trPr>
        <w:tc>
          <w:tcPr>
            <w:tcW w:w="934" w:type="pct"/>
          </w:tcPr>
          <w:p w14:paraId="62D93504" w14:textId="77777777" w:rsidR="00C236A2" w:rsidRPr="0013396E" w:rsidRDefault="00C236A2" w:rsidP="0099759E">
            <w:pPr>
              <w:spacing w:after="60"/>
              <w:rPr>
                <w:iCs/>
                <w:sz w:val="20"/>
              </w:rPr>
            </w:pPr>
            <w:r w:rsidRPr="0013396E">
              <w:rPr>
                <w:iCs/>
                <w:sz w:val="20"/>
              </w:rPr>
              <w:t xml:space="preserve">RTNSREVT </w:t>
            </w:r>
            <w:r w:rsidRPr="0013396E">
              <w:rPr>
                <w:bCs/>
                <w:i/>
                <w:sz w:val="20"/>
                <w:szCs w:val="16"/>
                <w:vertAlign w:val="subscript"/>
              </w:rPr>
              <w:t>q, r, p</w:t>
            </w:r>
          </w:p>
        </w:tc>
        <w:tc>
          <w:tcPr>
            <w:tcW w:w="481" w:type="pct"/>
          </w:tcPr>
          <w:p w14:paraId="41D3B56B" w14:textId="77777777" w:rsidR="00C236A2" w:rsidRPr="0013396E" w:rsidRDefault="00C236A2" w:rsidP="0099759E">
            <w:pPr>
              <w:spacing w:after="60"/>
              <w:rPr>
                <w:iCs/>
                <w:sz w:val="20"/>
              </w:rPr>
            </w:pPr>
            <w:r w:rsidRPr="0013396E">
              <w:rPr>
                <w:iCs/>
                <w:sz w:val="20"/>
              </w:rPr>
              <w:t>$</w:t>
            </w:r>
          </w:p>
        </w:tc>
        <w:tc>
          <w:tcPr>
            <w:tcW w:w="3585" w:type="pct"/>
          </w:tcPr>
          <w:p w14:paraId="71E390FA" w14:textId="77777777" w:rsidR="00C236A2" w:rsidRPr="0013396E" w:rsidRDefault="00C236A2" w:rsidP="0099759E">
            <w:pPr>
              <w:spacing w:after="60"/>
              <w:rPr>
                <w:i/>
                <w:iCs/>
                <w:sz w:val="20"/>
              </w:rPr>
            </w:pPr>
            <w:r w:rsidRPr="0013396E">
              <w:rPr>
                <w:i/>
                <w:iCs/>
                <w:sz w:val="20"/>
              </w:rPr>
              <w:t>Real-Time Non-Spin Revenue Target</w:t>
            </w:r>
            <w:r w:rsidRPr="0013396E">
              <w:rPr>
                <w:iCs/>
                <w:sz w:val="20"/>
              </w:rPr>
              <w:t xml:space="preserve">—The revenue target of the Non-Spin award to Resource </w:t>
            </w:r>
            <w:r w:rsidRPr="0013396E">
              <w:rPr>
                <w:i/>
                <w:iCs/>
                <w:sz w:val="20"/>
              </w:rPr>
              <w:t>r</w:t>
            </w:r>
            <w:r w:rsidRPr="0013396E">
              <w:rPr>
                <w:iCs/>
                <w:sz w:val="20"/>
              </w:rPr>
              <w:t xml:space="preserve"> at Resource Node </w:t>
            </w:r>
            <w:r w:rsidRPr="0013396E">
              <w:rPr>
                <w:i/>
                <w:iCs/>
                <w:sz w:val="20"/>
              </w:rPr>
              <w:t xml:space="preserve">p </w:t>
            </w:r>
            <w:r w:rsidRPr="0013396E">
              <w:rPr>
                <w:iCs/>
                <w:sz w:val="20"/>
              </w:rPr>
              <w:t xml:space="preserve">represented by QSE </w:t>
            </w:r>
            <w:r w:rsidRPr="0013396E">
              <w:rPr>
                <w:i/>
                <w:iCs/>
                <w:sz w:val="20"/>
              </w:rPr>
              <w:t>q</w:t>
            </w:r>
            <w:r w:rsidRPr="0013396E">
              <w:rPr>
                <w:iCs/>
                <w:sz w:val="20"/>
              </w:rPr>
              <w:t xml:space="preserve"> based on the Ancillary Service Offer for the 15-minute Settlement Interval.  Where for a Combined Cycle Train, the Resource </w:t>
            </w:r>
            <w:r w:rsidRPr="0013396E">
              <w:rPr>
                <w:i/>
                <w:iCs/>
                <w:sz w:val="20"/>
              </w:rPr>
              <w:t>r</w:t>
            </w:r>
            <w:r w:rsidRPr="0013396E">
              <w:rPr>
                <w:iCs/>
                <w:sz w:val="20"/>
              </w:rPr>
              <w:t xml:space="preserve"> is the Combined Cycle Train.</w:t>
            </w:r>
          </w:p>
        </w:tc>
      </w:tr>
      <w:tr w:rsidR="00C236A2" w:rsidRPr="0013396E" w14:paraId="412AD5E3" w14:textId="77777777" w:rsidTr="0099759E">
        <w:trPr>
          <w:cantSplit/>
        </w:trPr>
        <w:tc>
          <w:tcPr>
            <w:tcW w:w="934" w:type="pct"/>
          </w:tcPr>
          <w:p w14:paraId="53740C1B" w14:textId="77777777" w:rsidR="00C236A2" w:rsidRPr="0013396E" w:rsidRDefault="00C236A2" w:rsidP="0099759E">
            <w:pPr>
              <w:spacing w:after="60"/>
              <w:rPr>
                <w:iCs/>
                <w:sz w:val="20"/>
              </w:rPr>
            </w:pPr>
            <w:r w:rsidRPr="0013396E">
              <w:rPr>
                <w:iCs/>
                <w:sz w:val="20"/>
              </w:rPr>
              <w:t xml:space="preserve">RTECRREVT </w:t>
            </w:r>
            <w:r w:rsidRPr="0013396E">
              <w:rPr>
                <w:bCs/>
                <w:i/>
                <w:sz w:val="20"/>
                <w:szCs w:val="16"/>
                <w:vertAlign w:val="subscript"/>
              </w:rPr>
              <w:t>q, r, p</w:t>
            </w:r>
          </w:p>
        </w:tc>
        <w:tc>
          <w:tcPr>
            <w:tcW w:w="481" w:type="pct"/>
          </w:tcPr>
          <w:p w14:paraId="26014B77" w14:textId="77777777" w:rsidR="00C236A2" w:rsidRPr="0013396E" w:rsidRDefault="00C236A2" w:rsidP="0099759E">
            <w:pPr>
              <w:spacing w:after="60"/>
              <w:rPr>
                <w:iCs/>
                <w:sz w:val="20"/>
              </w:rPr>
            </w:pPr>
            <w:r w:rsidRPr="0013396E">
              <w:rPr>
                <w:iCs/>
                <w:sz w:val="20"/>
              </w:rPr>
              <w:t>$</w:t>
            </w:r>
          </w:p>
        </w:tc>
        <w:tc>
          <w:tcPr>
            <w:tcW w:w="3585" w:type="pct"/>
          </w:tcPr>
          <w:p w14:paraId="1AB8DE0A" w14:textId="77777777" w:rsidR="00C236A2" w:rsidRPr="0013396E" w:rsidRDefault="00C236A2" w:rsidP="0099759E">
            <w:pPr>
              <w:spacing w:after="60"/>
              <w:rPr>
                <w:i/>
                <w:iCs/>
                <w:sz w:val="20"/>
              </w:rPr>
            </w:pPr>
            <w:r w:rsidRPr="0013396E">
              <w:rPr>
                <w:i/>
                <w:iCs/>
                <w:sz w:val="20"/>
              </w:rPr>
              <w:t>Real-Time ERCOT Contingency Reserve Service Revenue Target</w:t>
            </w:r>
            <w:r w:rsidRPr="0013396E">
              <w:rPr>
                <w:iCs/>
                <w:sz w:val="20"/>
              </w:rPr>
              <w:t xml:space="preserve">—The revenue target of the ECRS award to Resource </w:t>
            </w:r>
            <w:r w:rsidRPr="0013396E">
              <w:rPr>
                <w:i/>
                <w:iCs/>
                <w:sz w:val="20"/>
              </w:rPr>
              <w:t>r</w:t>
            </w:r>
            <w:r w:rsidRPr="0013396E">
              <w:rPr>
                <w:iCs/>
                <w:sz w:val="20"/>
              </w:rPr>
              <w:t xml:space="preserve"> at Resource Node </w:t>
            </w:r>
            <w:r w:rsidRPr="0013396E">
              <w:rPr>
                <w:i/>
                <w:iCs/>
                <w:sz w:val="20"/>
              </w:rPr>
              <w:t xml:space="preserve">p </w:t>
            </w:r>
            <w:r w:rsidRPr="0013396E">
              <w:rPr>
                <w:iCs/>
                <w:sz w:val="20"/>
              </w:rPr>
              <w:t xml:space="preserve">represented by QSE </w:t>
            </w:r>
            <w:r w:rsidRPr="0013396E">
              <w:rPr>
                <w:i/>
                <w:iCs/>
                <w:sz w:val="20"/>
              </w:rPr>
              <w:t>q</w:t>
            </w:r>
            <w:r w:rsidRPr="0013396E">
              <w:rPr>
                <w:iCs/>
                <w:sz w:val="20"/>
              </w:rPr>
              <w:t xml:space="preserve"> based on the Ancillary Service Offer for the 15-minute Settlement Interval.  Where for a Combined Cycle Train, the Resource </w:t>
            </w:r>
            <w:r w:rsidRPr="0013396E">
              <w:rPr>
                <w:i/>
                <w:iCs/>
                <w:sz w:val="20"/>
              </w:rPr>
              <w:t>r</w:t>
            </w:r>
            <w:r w:rsidRPr="0013396E">
              <w:rPr>
                <w:iCs/>
                <w:sz w:val="20"/>
              </w:rPr>
              <w:t xml:space="preserve"> is the Combined Cycle Train.</w:t>
            </w:r>
          </w:p>
        </w:tc>
      </w:tr>
      <w:tr w:rsidR="00C236A2" w:rsidRPr="0013396E" w14:paraId="4625A5B1" w14:textId="77777777" w:rsidTr="0099759E">
        <w:trPr>
          <w:cantSplit/>
        </w:trPr>
        <w:tc>
          <w:tcPr>
            <w:tcW w:w="934" w:type="pct"/>
          </w:tcPr>
          <w:p w14:paraId="235C3E68" w14:textId="77777777" w:rsidR="00C236A2" w:rsidRPr="0013396E" w:rsidRDefault="00C236A2" w:rsidP="0099759E">
            <w:pPr>
              <w:spacing w:after="60"/>
              <w:rPr>
                <w:iCs/>
                <w:sz w:val="20"/>
              </w:rPr>
            </w:pPr>
            <w:r w:rsidRPr="0013396E">
              <w:rPr>
                <w:iCs/>
                <w:sz w:val="20"/>
                <w:lang w:val="pt-BR"/>
              </w:rPr>
              <w:t xml:space="preserve">RTRUWAPR </w:t>
            </w:r>
            <w:r w:rsidRPr="0013396E">
              <w:rPr>
                <w:i/>
                <w:iCs/>
                <w:sz w:val="20"/>
                <w:vertAlign w:val="subscript"/>
                <w:lang w:val="pt-BR"/>
              </w:rPr>
              <w:t>q, r, p</w:t>
            </w:r>
          </w:p>
        </w:tc>
        <w:tc>
          <w:tcPr>
            <w:tcW w:w="481" w:type="pct"/>
          </w:tcPr>
          <w:p w14:paraId="24D2E690" w14:textId="77777777" w:rsidR="00C236A2" w:rsidRPr="0013396E" w:rsidRDefault="00C236A2" w:rsidP="0099759E">
            <w:pPr>
              <w:spacing w:after="60"/>
              <w:rPr>
                <w:iCs/>
                <w:sz w:val="20"/>
              </w:rPr>
            </w:pPr>
            <w:r w:rsidRPr="0013396E">
              <w:rPr>
                <w:iCs/>
                <w:sz w:val="20"/>
              </w:rPr>
              <w:t>$/MW</w:t>
            </w:r>
          </w:p>
        </w:tc>
        <w:tc>
          <w:tcPr>
            <w:tcW w:w="3585" w:type="pct"/>
          </w:tcPr>
          <w:p w14:paraId="49E3E06E" w14:textId="77777777" w:rsidR="00C236A2" w:rsidRPr="0013396E" w:rsidRDefault="00C236A2" w:rsidP="0099759E">
            <w:pPr>
              <w:spacing w:after="60"/>
              <w:rPr>
                <w:iCs/>
                <w:sz w:val="20"/>
              </w:rPr>
            </w:pPr>
            <w:r w:rsidRPr="0013396E">
              <w:rPr>
                <w:i/>
                <w:iCs/>
                <w:sz w:val="20"/>
              </w:rPr>
              <w:t>Real-Time Reg-Up Weighted-Average Price</w:t>
            </w:r>
            <w:r w:rsidRPr="0013396E">
              <w:rPr>
                <w:iCs/>
                <w:sz w:val="20"/>
              </w:rPr>
              <w:t xml:space="preserve">—The weighted average of the Ancillary Service Offer prices corresponding with the Reg-Up awards from the Ancillary Service Offer for Resource </w:t>
            </w:r>
            <w:r w:rsidRPr="0013396E">
              <w:rPr>
                <w:i/>
                <w:iCs/>
                <w:sz w:val="20"/>
              </w:rPr>
              <w:t>r</w:t>
            </w:r>
            <w:r w:rsidRPr="0013396E">
              <w:rPr>
                <w:iCs/>
                <w:sz w:val="20"/>
              </w:rPr>
              <w:t xml:space="preserve"> at Resource Node </w:t>
            </w:r>
            <w:r w:rsidRPr="0013396E">
              <w:rPr>
                <w:i/>
                <w:iCs/>
                <w:sz w:val="20"/>
              </w:rPr>
              <w:t>p</w:t>
            </w:r>
            <w:r w:rsidRPr="0013396E">
              <w:rPr>
                <w:iCs/>
                <w:sz w:val="20"/>
              </w:rPr>
              <w:t xml:space="preserve"> represented by QSE </w:t>
            </w:r>
            <w:r w:rsidRPr="0013396E">
              <w:rPr>
                <w:i/>
                <w:iCs/>
                <w:sz w:val="20"/>
              </w:rPr>
              <w:t>q</w:t>
            </w:r>
            <w:r w:rsidRPr="0013396E">
              <w:rPr>
                <w:iCs/>
                <w:sz w:val="20"/>
              </w:rPr>
              <w:t xml:space="preserve">, for the 15-minute Settlement Interval.  Where for a Combined Cycle Train, the Resource </w:t>
            </w:r>
            <w:r w:rsidRPr="0013396E">
              <w:rPr>
                <w:i/>
                <w:iCs/>
                <w:sz w:val="20"/>
              </w:rPr>
              <w:t xml:space="preserve">r </w:t>
            </w:r>
            <w:r w:rsidRPr="0013396E">
              <w:rPr>
                <w:iCs/>
                <w:sz w:val="20"/>
              </w:rPr>
              <w:t>is the Combined Cycle Train.</w:t>
            </w:r>
          </w:p>
        </w:tc>
      </w:tr>
      <w:tr w:rsidR="00C236A2" w:rsidRPr="0013396E" w14:paraId="584E55BA" w14:textId="77777777" w:rsidTr="0099759E">
        <w:trPr>
          <w:cantSplit/>
        </w:trPr>
        <w:tc>
          <w:tcPr>
            <w:tcW w:w="934" w:type="pct"/>
          </w:tcPr>
          <w:p w14:paraId="2D5246F3" w14:textId="77777777" w:rsidR="00C236A2" w:rsidRPr="0013396E" w:rsidRDefault="00C236A2" w:rsidP="0099759E">
            <w:pPr>
              <w:spacing w:after="60"/>
              <w:rPr>
                <w:iCs/>
                <w:sz w:val="20"/>
              </w:rPr>
            </w:pPr>
            <w:r w:rsidRPr="0013396E">
              <w:rPr>
                <w:iCs/>
                <w:sz w:val="20"/>
                <w:lang w:val="pt-BR"/>
              </w:rPr>
              <w:t xml:space="preserve">RTRDWAPR </w:t>
            </w:r>
            <w:r w:rsidRPr="0013396E">
              <w:rPr>
                <w:i/>
                <w:iCs/>
                <w:sz w:val="20"/>
                <w:vertAlign w:val="subscript"/>
                <w:lang w:val="pt-BR"/>
              </w:rPr>
              <w:t>q, r, p</w:t>
            </w:r>
          </w:p>
        </w:tc>
        <w:tc>
          <w:tcPr>
            <w:tcW w:w="481" w:type="pct"/>
          </w:tcPr>
          <w:p w14:paraId="4878B557" w14:textId="77777777" w:rsidR="00C236A2" w:rsidRPr="0013396E" w:rsidRDefault="00C236A2" w:rsidP="0099759E">
            <w:pPr>
              <w:spacing w:after="60"/>
              <w:rPr>
                <w:iCs/>
                <w:sz w:val="20"/>
              </w:rPr>
            </w:pPr>
            <w:r w:rsidRPr="0013396E">
              <w:rPr>
                <w:iCs/>
                <w:sz w:val="20"/>
              </w:rPr>
              <w:t>$/MW</w:t>
            </w:r>
          </w:p>
        </w:tc>
        <w:tc>
          <w:tcPr>
            <w:tcW w:w="3585" w:type="pct"/>
          </w:tcPr>
          <w:p w14:paraId="59D19502" w14:textId="77777777" w:rsidR="00C236A2" w:rsidRPr="0013396E" w:rsidRDefault="00C236A2" w:rsidP="0099759E">
            <w:pPr>
              <w:spacing w:after="60"/>
              <w:rPr>
                <w:i/>
                <w:iCs/>
                <w:sz w:val="20"/>
              </w:rPr>
            </w:pPr>
            <w:r w:rsidRPr="0013396E">
              <w:rPr>
                <w:i/>
                <w:iCs/>
                <w:sz w:val="20"/>
              </w:rPr>
              <w:t>Real-Time Reg-Down Weighted-Average Price</w:t>
            </w:r>
            <w:r w:rsidRPr="0013396E">
              <w:rPr>
                <w:iCs/>
                <w:sz w:val="20"/>
              </w:rPr>
              <w:t xml:space="preserve">—The weighted average of the Ancillary Service Offer prices corresponding with the Reg-Down awards from the Ancillary Service Offer for Resource </w:t>
            </w:r>
            <w:r w:rsidRPr="0013396E">
              <w:rPr>
                <w:i/>
                <w:iCs/>
                <w:sz w:val="20"/>
              </w:rPr>
              <w:t>r</w:t>
            </w:r>
            <w:r w:rsidRPr="0013396E">
              <w:rPr>
                <w:iCs/>
                <w:sz w:val="20"/>
              </w:rPr>
              <w:t xml:space="preserve"> at Resource Node </w:t>
            </w:r>
            <w:r w:rsidRPr="0013396E">
              <w:rPr>
                <w:i/>
                <w:iCs/>
                <w:sz w:val="20"/>
              </w:rPr>
              <w:t>p</w:t>
            </w:r>
            <w:r w:rsidRPr="0013396E">
              <w:rPr>
                <w:iCs/>
                <w:sz w:val="20"/>
              </w:rPr>
              <w:t xml:space="preserve"> represented by QSE </w:t>
            </w:r>
            <w:r w:rsidRPr="0013396E">
              <w:rPr>
                <w:i/>
                <w:iCs/>
                <w:sz w:val="20"/>
              </w:rPr>
              <w:t>q</w:t>
            </w:r>
            <w:r w:rsidRPr="0013396E">
              <w:rPr>
                <w:iCs/>
                <w:sz w:val="20"/>
              </w:rPr>
              <w:t xml:space="preserve">, for the 15-minute Settlement Interval.  Where for a Combined Cycle Train, the Resource </w:t>
            </w:r>
            <w:r w:rsidRPr="0013396E">
              <w:rPr>
                <w:i/>
                <w:iCs/>
                <w:sz w:val="20"/>
              </w:rPr>
              <w:t xml:space="preserve">r </w:t>
            </w:r>
            <w:r w:rsidRPr="0013396E">
              <w:rPr>
                <w:iCs/>
                <w:sz w:val="20"/>
              </w:rPr>
              <w:t>is the Combined Cycle Train.</w:t>
            </w:r>
          </w:p>
        </w:tc>
      </w:tr>
      <w:tr w:rsidR="00C236A2" w:rsidRPr="0013396E" w14:paraId="6E6713D0" w14:textId="77777777" w:rsidTr="0099759E">
        <w:trPr>
          <w:cantSplit/>
        </w:trPr>
        <w:tc>
          <w:tcPr>
            <w:tcW w:w="934" w:type="pct"/>
          </w:tcPr>
          <w:p w14:paraId="503B9EE8" w14:textId="77777777" w:rsidR="00C236A2" w:rsidRPr="0013396E" w:rsidRDefault="00C236A2" w:rsidP="0099759E">
            <w:pPr>
              <w:spacing w:after="60"/>
              <w:rPr>
                <w:iCs/>
                <w:sz w:val="20"/>
              </w:rPr>
            </w:pPr>
            <w:r w:rsidRPr="0013396E">
              <w:rPr>
                <w:iCs/>
                <w:sz w:val="20"/>
                <w:lang w:val="pt-BR"/>
              </w:rPr>
              <w:t xml:space="preserve">RTRRWAPR </w:t>
            </w:r>
            <w:r w:rsidRPr="0013396E">
              <w:rPr>
                <w:i/>
                <w:iCs/>
                <w:sz w:val="20"/>
                <w:vertAlign w:val="subscript"/>
                <w:lang w:val="pt-BR"/>
              </w:rPr>
              <w:t>q, r, p</w:t>
            </w:r>
          </w:p>
        </w:tc>
        <w:tc>
          <w:tcPr>
            <w:tcW w:w="481" w:type="pct"/>
          </w:tcPr>
          <w:p w14:paraId="1A4BF80F" w14:textId="77777777" w:rsidR="00C236A2" w:rsidRPr="0013396E" w:rsidRDefault="00C236A2" w:rsidP="0099759E">
            <w:pPr>
              <w:spacing w:after="60"/>
              <w:rPr>
                <w:iCs/>
                <w:sz w:val="20"/>
              </w:rPr>
            </w:pPr>
            <w:r w:rsidRPr="0013396E">
              <w:rPr>
                <w:iCs/>
                <w:sz w:val="20"/>
              </w:rPr>
              <w:t>$/MW</w:t>
            </w:r>
          </w:p>
        </w:tc>
        <w:tc>
          <w:tcPr>
            <w:tcW w:w="3585" w:type="pct"/>
          </w:tcPr>
          <w:p w14:paraId="6F781FC1" w14:textId="77777777" w:rsidR="00C236A2" w:rsidRPr="0013396E" w:rsidRDefault="00C236A2" w:rsidP="0099759E">
            <w:pPr>
              <w:spacing w:after="60"/>
              <w:rPr>
                <w:i/>
                <w:iCs/>
                <w:sz w:val="20"/>
              </w:rPr>
            </w:pPr>
            <w:r w:rsidRPr="0013396E">
              <w:rPr>
                <w:i/>
                <w:iCs/>
                <w:sz w:val="20"/>
              </w:rPr>
              <w:t>Real-Time Responsive Reserve Weighted-Average Price</w:t>
            </w:r>
            <w:r w:rsidRPr="0013396E">
              <w:rPr>
                <w:iCs/>
                <w:sz w:val="20"/>
              </w:rPr>
              <w:t xml:space="preserve">—The weighted average of the Ancillary Service Offer prices corresponding with the RRS awards from the Ancillary Service Offer for Resource </w:t>
            </w:r>
            <w:r w:rsidRPr="0013396E">
              <w:rPr>
                <w:i/>
                <w:iCs/>
                <w:sz w:val="20"/>
              </w:rPr>
              <w:t>r</w:t>
            </w:r>
            <w:r w:rsidRPr="0013396E">
              <w:rPr>
                <w:iCs/>
                <w:sz w:val="20"/>
              </w:rPr>
              <w:t xml:space="preserve"> at Resource Node </w:t>
            </w:r>
            <w:r w:rsidRPr="0013396E">
              <w:rPr>
                <w:i/>
                <w:iCs/>
                <w:sz w:val="20"/>
              </w:rPr>
              <w:t>p</w:t>
            </w:r>
            <w:r w:rsidRPr="0013396E">
              <w:rPr>
                <w:iCs/>
                <w:sz w:val="20"/>
              </w:rPr>
              <w:t xml:space="preserve"> represented by QSE </w:t>
            </w:r>
            <w:r w:rsidRPr="0013396E">
              <w:rPr>
                <w:i/>
                <w:iCs/>
                <w:sz w:val="20"/>
              </w:rPr>
              <w:t>q</w:t>
            </w:r>
            <w:r w:rsidRPr="0013396E">
              <w:rPr>
                <w:iCs/>
                <w:sz w:val="20"/>
              </w:rPr>
              <w:t xml:space="preserve">, for the 15-minute Settlement Interval.  Where for a Combined Cycle Train, the Resource </w:t>
            </w:r>
            <w:r w:rsidRPr="0013396E">
              <w:rPr>
                <w:i/>
                <w:iCs/>
                <w:sz w:val="20"/>
              </w:rPr>
              <w:t xml:space="preserve">r </w:t>
            </w:r>
            <w:r w:rsidRPr="0013396E">
              <w:rPr>
                <w:iCs/>
                <w:sz w:val="20"/>
              </w:rPr>
              <w:t>is the Combined Cycle Train.</w:t>
            </w:r>
          </w:p>
        </w:tc>
      </w:tr>
      <w:tr w:rsidR="00C236A2" w:rsidRPr="0013396E" w14:paraId="5EED3072" w14:textId="77777777" w:rsidTr="0099759E">
        <w:trPr>
          <w:cantSplit/>
        </w:trPr>
        <w:tc>
          <w:tcPr>
            <w:tcW w:w="934" w:type="pct"/>
          </w:tcPr>
          <w:p w14:paraId="03701790" w14:textId="77777777" w:rsidR="00C236A2" w:rsidRPr="0013396E" w:rsidRDefault="00C236A2" w:rsidP="0099759E">
            <w:pPr>
              <w:spacing w:after="60"/>
              <w:rPr>
                <w:iCs/>
                <w:sz w:val="20"/>
              </w:rPr>
            </w:pPr>
            <w:r w:rsidRPr="0013396E">
              <w:rPr>
                <w:iCs/>
                <w:sz w:val="20"/>
                <w:lang w:val="pt-BR"/>
              </w:rPr>
              <w:lastRenderedPageBreak/>
              <w:t xml:space="preserve">RTNSWAPR </w:t>
            </w:r>
            <w:r w:rsidRPr="0013396E">
              <w:rPr>
                <w:i/>
                <w:iCs/>
                <w:sz w:val="20"/>
                <w:vertAlign w:val="subscript"/>
                <w:lang w:val="pt-BR"/>
              </w:rPr>
              <w:t>q, r, p</w:t>
            </w:r>
          </w:p>
        </w:tc>
        <w:tc>
          <w:tcPr>
            <w:tcW w:w="481" w:type="pct"/>
          </w:tcPr>
          <w:p w14:paraId="7E44B2AB" w14:textId="77777777" w:rsidR="00C236A2" w:rsidRPr="0013396E" w:rsidRDefault="00C236A2" w:rsidP="0099759E">
            <w:pPr>
              <w:spacing w:after="60"/>
              <w:rPr>
                <w:iCs/>
                <w:sz w:val="20"/>
              </w:rPr>
            </w:pPr>
            <w:r w:rsidRPr="0013396E">
              <w:rPr>
                <w:iCs/>
                <w:sz w:val="20"/>
              </w:rPr>
              <w:t>$/MW</w:t>
            </w:r>
          </w:p>
        </w:tc>
        <w:tc>
          <w:tcPr>
            <w:tcW w:w="3585" w:type="pct"/>
          </w:tcPr>
          <w:p w14:paraId="2C8755A4" w14:textId="77777777" w:rsidR="00C236A2" w:rsidRPr="0013396E" w:rsidRDefault="00C236A2" w:rsidP="0099759E">
            <w:pPr>
              <w:spacing w:after="60"/>
              <w:rPr>
                <w:i/>
                <w:iCs/>
                <w:sz w:val="20"/>
              </w:rPr>
            </w:pPr>
            <w:r w:rsidRPr="0013396E">
              <w:rPr>
                <w:i/>
                <w:iCs/>
                <w:sz w:val="20"/>
              </w:rPr>
              <w:t>Real-Time Non-Spin Weighted-Average Price</w:t>
            </w:r>
            <w:r w:rsidRPr="0013396E">
              <w:rPr>
                <w:iCs/>
                <w:sz w:val="20"/>
              </w:rPr>
              <w:t xml:space="preserve">—The weighted average of the Ancillary Service Offer prices corresponding with the Non-Spin awards from the Ancillary Service Offer for Resource </w:t>
            </w:r>
            <w:r w:rsidRPr="0013396E">
              <w:rPr>
                <w:i/>
                <w:iCs/>
                <w:sz w:val="20"/>
              </w:rPr>
              <w:t>r</w:t>
            </w:r>
            <w:r w:rsidRPr="0013396E">
              <w:rPr>
                <w:iCs/>
                <w:sz w:val="20"/>
              </w:rPr>
              <w:t xml:space="preserve"> at Resource Node </w:t>
            </w:r>
            <w:r w:rsidRPr="0013396E">
              <w:rPr>
                <w:i/>
                <w:iCs/>
                <w:sz w:val="20"/>
              </w:rPr>
              <w:t>p</w:t>
            </w:r>
            <w:r w:rsidRPr="0013396E">
              <w:rPr>
                <w:iCs/>
                <w:sz w:val="20"/>
              </w:rPr>
              <w:t xml:space="preserve"> represented by QSE </w:t>
            </w:r>
            <w:r w:rsidRPr="0013396E">
              <w:rPr>
                <w:i/>
                <w:iCs/>
                <w:sz w:val="20"/>
              </w:rPr>
              <w:t>q</w:t>
            </w:r>
            <w:r w:rsidRPr="0013396E">
              <w:rPr>
                <w:iCs/>
                <w:sz w:val="20"/>
              </w:rPr>
              <w:t xml:space="preserve">, for the 15-minute Settlement Interval.  Where for a Combined Cycle Train, the Resource </w:t>
            </w:r>
            <w:r w:rsidRPr="0013396E">
              <w:rPr>
                <w:i/>
                <w:iCs/>
                <w:sz w:val="20"/>
              </w:rPr>
              <w:t xml:space="preserve">r </w:t>
            </w:r>
            <w:r w:rsidRPr="0013396E">
              <w:rPr>
                <w:iCs/>
                <w:sz w:val="20"/>
              </w:rPr>
              <w:t>is the Combined Cycle Train.</w:t>
            </w:r>
          </w:p>
        </w:tc>
      </w:tr>
      <w:tr w:rsidR="00C236A2" w:rsidRPr="0013396E" w14:paraId="4A2DDD74" w14:textId="77777777" w:rsidTr="0099759E">
        <w:trPr>
          <w:cantSplit/>
        </w:trPr>
        <w:tc>
          <w:tcPr>
            <w:tcW w:w="934" w:type="pct"/>
          </w:tcPr>
          <w:p w14:paraId="4C686446" w14:textId="77777777" w:rsidR="00C236A2" w:rsidRPr="0013396E" w:rsidRDefault="00C236A2" w:rsidP="0099759E">
            <w:pPr>
              <w:spacing w:after="60"/>
              <w:rPr>
                <w:iCs/>
                <w:sz w:val="20"/>
                <w:lang w:val="pt-BR"/>
              </w:rPr>
            </w:pPr>
            <w:r w:rsidRPr="0013396E">
              <w:rPr>
                <w:iCs/>
                <w:sz w:val="20"/>
                <w:lang w:val="pt-BR"/>
              </w:rPr>
              <w:t xml:space="preserve">RTECRWAPR </w:t>
            </w:r>
            <w:r w:rsidRPr="0013396E">
              <w:rPr>
                <w:i/>
                <w:iCs/>
                <w:sz w:val="20"/>
                <w:vertAlign w:val="subscript"/>
                <w:lang w:val="pt-BR"/>
              </w:rPr>
              <w:t>q, r, p</w:t>
            </w:r>
          </w:p>
        </w:tc>
        <w:tc>
          <w:tcPr>
            <w:tcW w:w="481" w:type="pct"/>
          </w:tcPr>
          <w:p w14:paraId="5BDBA99E" w14:textId="77777777" w:rsidR="00C236A2" w:rsidRPr="0013396E" w:rsidRDefault="00C236A2" w:rsidP="0099759E">
            <w:pPr>
              <w:spacing w:after="60"/>
              <w:rPr>
                <w:iCs/>
                <w:sz w:val="20"/>
              </w:rPr>
            </w:pPr>
            <w:r w:rsidRPr="0013396E">
              <w:rPr>
                <w:iCs/>
                <w:sz w:val="20"/>
              </w:rPr>
              <w:t>$/MW</w:t>
            </w:r>
          </w:p>
        </w:tc>
        <w:tc>
          <w:tcPr>
            <w:tcW w:w="3585" w:type="pct"/>
          </w:tcPr>
          <w:p w14:paraId="15070A96" w14:textId="77777777" w:rsidR="00C236A2" w:rsidRPr="0013396E" w:rsidRDefault="00C236A2" w:rsidP="0099759E">
            <w:pPr>
              <w:spacing w:after="60"/>
              <w:rPr>
                <w:i/>
                <w:iCs/>
                <w:sz w:val="20"/>
              </w:rPr>
            </w:pPr>
            <w:r w:rsidRPr="0013396E">
              <w:rPr>
                <w:i/>
                <w:iCs/>
                <w:sz w:val="20"/>
              </w:rPr>
              <w:t>Real-Time ERCOT Contingency Reserve Service Weighted-Average Price</w:t>
            </w:r>
            <w:r w:rsidRPr="0013396E">
              <w:rPr>
                <w:iCs/>
                <w:sz w:val="20"/>
              </w:rPr>
              <w:t xml:space="preserve">—The weighted average of the Ancillary Service Offer prices corresponding with the ECRS awards from the Ancillary Service Offer for Resource </w:t>
            </w:r>
            <w:r w:rsidRPr="0013396E">
              <w:rPr>
                <w:i/>
                <w:iCs/>
                <w:sz w:val="20"/>
              </w:rPr>
              <w:t>r</w:t>
            </w:r>
            <w:r w:rsidRPr="0013396E">
              <w:rPr>
                <w:iCs/>
                <w:sz w:val="20"/>
              </w:rPr>
              <w:t xml:space="preserve"> at Resource Node </w:t>
            </w:r>
            <w:r w:rsidRPr="0013396E">
              <w:rPr>
                <w:i/>
                <w:iCs/>
                <w:sz w:val="20"/>
              </w:rPr>
              <w:t>p</w:t>
            </w:r>
            <w:r w:rsidRPr="0013396E">
              <w:rPr>
                <w:iCs/>
                <w:sz w:val="20"/>
              </w:rPr>
              <w:t xml:space="preserve"> represented by QSE </w:t>
            </w:r>
            <w:r w:rsidRPr="0013396E">
              <w:rPr>
                <w:i/>
                <w:iCs/>
                <w:sz w:val="20"/>
              </w:rPr>
              <w:t>q</w:t>
            </w:r>
            <w:r w:rsidRPr="0013396E">
              <w:rPr>
                <w:iCs/>
                <w:sz w:val="20"/>
              </w:rPr>
              <w:t xml:space="preserve">, for the 15-minute Settlement Interval.  Where for a Combined Cycle Train, the Resource </w:t>
            </w:r>
            <w:r w:rsidRPr="0013396E">
              <w:rPr>
                <w:i/>
                <w:iCs/>
                <w:sz w:val="20"/>
              </w:rPr>
              <w:t xml:space="preserve">r </w:t>
            </w:r>
            <w:r w:rsidRPr="0013396E">
              <w:rPr>
                <w:iCs/>
                <w:sz w:val="20"/>
              </w:rPr>
              <w:t>is the Combined Cycle Train.</w:t>
            </w:r>
          </w:p>
        </w:tc>
      </w:tr>
      <w:tr w:rsidR="00C236A2" w:rsidRPr="0013396E" w14:paraId="027F4E97" w14:textId="77777777" w:rsidTr="0099759E">
        <w:trPr>
          <w:cantSplit/>
        </w:trPr>
        <w:tc>
          <w:tcPr>
            <w:tcW w:w="934" w:type="pct"/>
          </w:tcPr>
          <w:p w14:paraId="5C95977C" w14:textId="77777777" w:rsidR="00C236A2" w:rsidRPr="0013396E" w:rsidRDefault="00C236A2" w:rsidP="0099759E">
            <w:pPr>
              <w:spacing w:after="60"/>
              <w:rPr>
                <w:iCs/>
                <w:sz w:val="20"/>
                <w:lang w:val="pt-BR"/>
              </w:rPr>
            </w:pPr>
            <w:r w:rsidRPr="0013396E">
              <w:rPr>
                <w:iCs/>
                <w:sz w:val="20"/>
              </w:rPr>
              <w:t>RTRUAWD</w:t>
            </w:r>
            <w:r w:rsidRPr="0013396E">
              <w:rPr>
                <w:i/>
                <w:iCs/>
                <w:sz w:val="20"/>
                <w:vertAlign w:val="subscript"/>
              </w:rPr>
              <w:t xml:space="preserve"> q, r</w:t>
            </w:r>
          </w:p>
        </w:tc>
        <w:tc>
          <w:tcPr>
            <w:tcW w:w="481" w:type="pct"/>
          </w:tcPr>
          <w:p w14:paraId="71E162E9" w14:textId="77777777" w:rsidR="00C236A2" w:rsidRPr="0013396E" w:rsidRDefault="00C236A2" w:rsidP="0099759E">
            <w:pPr>
              <w:spacing w:after="60"/>
              <w:rPr>
                <w:iCs/>
                <w:sz w:val="20"/>
              </w:rPr>
            </w:pPr>
            <w:r w:rsidRPr="0013396E">
              <w:rPr>
                <w:iCs/>
                <w:sz w:val="20"/>
              </w:rPr>
              <w:t>MW</w:t>
            </w:r>
          </w:p>
        </w:tc>
        <w:tc>
          <w:tcPr>
            <w:tcW w:w="3585" w:type="pct"/>
          </w:tcPr>
          <w:p w14:paraId="6E9C6FF0" w14:textId="77777777" w:rsidR="00C236A2" w:rsidRPr="0013396E" w:rsidRDefault="00C236A2" w:rsidP="0099759E">
            <w:pPr>
              <w:spacing w:after="60"/>
              <w:rPr>
                <w:i/>
                <w:iCs/>
                <w:sz w:val="20"/>
              </w:rPr>
            </w:pPr>
            <w:r w:rsidRPr="0013396E">
              <w:rPr>
                <w:i/>
                <w:iCs/>
                <w:sz w:val="20"/>
              </w:rPr>
              <w:t>Real-Time Reg-Up Award per Resource per QSE</w:t>
            </w:r>
            <w:r w:rsidRPr="0013396E">
              <w:rPr>
                <w:iCs/>
                <w:sz w:val="20"/>
              </w:rPr>
              <w:t xml:space="preserve">—The Reg-Up amount awarded to QSE </w:t>
            </w:r>
            <w:r w:rsidRPr="0013396E">
              <w:rPr>
                <w:i/>
                <w:iCs/>
                <w:sz w:val="20"/>
              </w:rPr>
              <w:t>q</w:t>
            </w:r>
            <w:r w:rsidRPr="0013396E">
              <w:rPr>
                <w:iCs/>
                <w:sz w:val="20"/>
              </w:rPr>
              <w:t xml:space="preserve"> for Resource </w:t>
            </w:r>
            <w:r w:rsidRPr="0013396E">
              <w:rPr>
                <w:i/>
                <w:iCs/>
                <w:sz w:val="20"/>
              </w:rPr>
              <w:t>r</w:t>
            </w:r>
            <w:r w:rsidRPr="0013396E">
              <w:rPr>
                <w:iCs/>
                <w:sz w:val="20"/>
              </w:rPr>
              <w:t xml:space="preserve"> in Real-Time </w:t>
            </w:r>
            <w:r w:rsidRPr="0013396E">
              <w:rPr>
                <w:iCs/>
                <w:sz w:val="20"/>
                <w:szCs w:val="18"/>
              </w:rPr>
              <w:t xml:space="preserve">for </w:t>
            </w:r>
            <w:r w:rsidRPr="0013396E">
              <w:rPr>
                <w:iCs/>
                <w:sz w:val="20"/>
              </w:rPr>
              <w:t xml:space="preserve">the 15-minute Settlement Interval.  Where for a Combined Cycle Train, the Resource </w:t>
            </w:r>
            <w:r w:rsidRPr="0013396E">
              <w:rPr>
                <w:i/>
                <w:iCs/>
                <w:sz w:val="20"/>
              </w:rPr>
              <w:t xml:space="preserve">r </w:t>
            </w:r>
            <w:r w:rsidRPr="0013396E">
              <w:rPr>
                <w:iCs/>
                <w:sz w:val="20"/>
              </w:rPr>
              <w:t>is the Combined Cycle Train.</w:t>
            </w:r>
          </w:p>
        </w:tc>
      </w:tr>
      <w:tr w:rsidR="00C236A2" w:rsidRPr="0013396E" w14:paraId="399C2B81" w14:textId="77777777" w:rsidTr="0099759E">
        <w:trPr>
          <w:cantSplit/>
        </w:trPr>
        <w:tc>
          <w:tcPr>
            <w:tcW w:w="934" w:type="pct"/>
          </w:tcPr>
          <w:p w14:paraId="68F6A8D5" w14:textId="77777777" w:rsidR="00C236A2" w:rsidRPr="0013396E" w:rsidRDefault="00C236A2" w:rsidP="0099759E">
            <w:pPr>
              <w:spacing w:after="60"/>
              <w:rPr>
                <w:iCs/>
                <w:sz w:val="20"/>
                <w:lang w:val="pt-BR"/>
              </w:rPr>
            </w:pPr>
            <w:r w:rsidRPr="0013396E">
              <w:rPr>
                <w:iCs/>
                <w:sz w:val="20"/>
              </w:rPr>
              <w:t>RTRDAWD</w:t>
            </w:r>
            <w:r w:rsidRPr="0013396E">
              <w:rPr>
                <w:i/>
                <w:iCs/>
                <w:sz w:val="20"/>
                <w:vertAlign w:val="subscript"/>
              </w:rPr>
              <w:t xml:space="preserve"> q, r</w:t>
            </w:r>
          </w:p>
        </w:tc>
        <w:tc>
          <w:tcPr>
            <w:tcW w:w="481" w:type="pct"/>
          </w:tcPr>
          <w:p w14:paraId="59B7D323" w14:textId="77777777" w:rsidR="00C236A2" w:rsidRPr="0013396E" w:rsidRDefault="00C236A2" w:rsidP="0099759E">
            <w:pPr>
              <w:spacing w:after="60"/>
              <w:rPr>
                <w:iCs/>
                <w:sz w:val="20"/>
              </w:rPr>
            </w:pPr>
            <w:r w:rsidRPr="0013396E">
              <w:rPr>
                <w:iCs/>
                <w:sz w:val="20"/>
              </w:rPr>
              <w:t>MW</w:t>
            </w:r>
          </w:p>
        </w:tc>
        <w:tc>
          <w:tcPr>
            <w:tcW w:w="3585" w:type="pct"/>
          </w:tcPr>
          <w:p w14:paraId="7C2BDBCC" w14:textId="77777777" w:rsidR="00C236A2" w:rsidRPr="0013396E" w:rsidRDefault="00C236A2" w:rsidP="0099759E">
            <w:pPr>
              <w:spacing w:after="60"/>
              <w:rPr>
                <w:i/>
                <w:iCs/>
                <w:sz w:val="20"/>
              </w:rPr>
            </w:pPr>
            <w:r w:rsidRPr="0013396E">
              <w:rPr>
                <w:i/>
                <w:iCs/>
                <w:sz w:val="20"/>
              </w:rPr>
              <w:t>Real-Time Reg-Down Award per Resource per QSE</w:t>
            </w:r>
            <w:r w:rsidRPr="0013396E">
              <w:rPr>
                <w:iCs/>
                <w:sz w:val="20"/>
              </w:rPr>
              <w:t xml:space="preserve">—The Reg-Down amount awarded to QSE </w:t>
            </w:r>
            <w:r w:rsidRPr="0013396E">
              <w:rPr>
                <w:i/>
                <w:iCs/>
                <w:sz w:val="20"/>
              </w:rPr>
              <w:t>q</w:t>
            </w:r>
            <w:r w:rsidRPr="0013396E">
              <w:rPr>
                <w:iCs/>
                <w:sz w:val="20"/>
              </w:rPr>
              <w:t xml:space="preserve"> for Resource </w:t>
            </w:r>
            <w:r w:rsidRPr="0013396E">
              <w:rPr>
                <w:i/>
                <w:iCs/>
                <w:sz w:val="20"/>
              </w:rPr>
              <w:t>r</w:t>
            </w:r>
            <w:r w:rsidRPr="0013396E">
              <w:rPr>
                <w:iCs/>
                <w:sz w:val="20"/>
              </w:rPr>
              <w:t xml:space="preserve"> in Real-Time </w:t>
            </w:r>
            <w:r w:rsidRPr="0013396E">
              <w:rPr>
                <w:iCs/>
                <w:sz w:val="20"/>
                <w:szCs w:val="18"/>
              </w:rPr>
              <w:t xml:space="preserve">for </w:t>
            </w:r>
            <w:r w:rsidRPr="0013396E">
              <w:rPr>
                <w:iCs/>
                <w:sz w:val="20"/>
              </w:rPr>
              <w:t xml:space="preserve">the 15-minute Settlement Interval.  Where for a Combined Cycle Train, the Resource </w:t>
            </w:r>
            <w:r w:rsidRPr="0013396E">
              <w:rPr>
                <w:i/>
                <w:iCs/>
                <w:sz w:val="20"/>
              </w:rPr>
              <w:t xml:space="preserve">r </w:t>
            </w:r>
            <w:r w:rsidRPr="0013396E">
              <w:rPr>
                <w:iCs/>
                <w:sz w:val="20"/>
              </w:rPr>
              <w:t>is the Combined Cycle Train.</w:t>
            </w:r>
          </w:p>
        </w:tc>
      </w:tr>
      <w:tr w:rsidR="00C236A2" w:rsidRPr="0013396E" w14:paraId="54F16B65" w14:textId="77777777" w:rsidTr="0099759E">
        <w:trPr>
          <w:cantSplit/>
        </w:trPr>
        <w:tc>
          <w:tcPr>
            <w:tcW w:w="934" w:type="pct"/>
          </w:tcPr>
          <w:p w14:paraId="373DBA39" w14:textId="77777777" w:rsidR="00C236A2" w:rsidRPr="0013396E" w:rsidRDefault="00C236A2" w:rsidP="0099759E">
            <w:pPr>
              <w:spacing w:after="60"/>
              <w:rPr>
                <w:iCs/>
                <w:sz w:val="20"/>
                <w:lang w:val="pt-BR"/>
              </w:rPr>
            </w:pPr>
            <w:r w:rsidRPr="0013396E">
              <w:rPr>
                <w:iCs/>
                <w:sz w:val="20"/>
              </w:rPr>
              <w:t>RTRRAWD</w:t>
            </w:r>
            <w:r w:rsidRPr="0013396E">
              <w:rPr>
                <w:i/>
                <w:iCs/>
                <w:sz w:val="20"/>
                <w:vertAlign w:val="subscript"/>
              </w:rPr>
              <w:t xml:space="preserve"> q, r</w:t>
            </w:r>
          </w:p>
        </w:tc>
        <w:tc>
          <w:tcPr>
            <w:tcW w:w="481" w:type="pct"/>
          </w:tcPr>
          <w:p w14:paraId="561DE5B0" w14:textId="77777777" w:rsidR="00C236A2" w:rsidRPr="0013396E" w:rsidRDefault="00C236A2" w:rsidP="0099759E">
            <w:pPr>
              <w:spacing w:after="60"/>
              <w:rPr>
                <w:iCs/>
                <w:sz w:val="20"/>
              </w:rPr>
            </w:pPr>
            <w:r w:rsidRPr="0013396E">
              <w:rPr>
                <w:iCs/>
                <w:sz w:val="20"/>
              </w:rPr>
              <w:t>MW</w:t>
            </w:r>
          </w:p>
        </w:tc>
        <w:tc>
          <w:tcPr>
            <w:tcW w:w="3585" w:type="pct"/>
          </w:tcPr>
          <w:p w14:paraId="540167A1" w14:textId="77777777" w:rsidR="00C236A2" w:rsidRPr="0013396E" w:rsidRDefault="00C236A2" w:rsidP="0099759E">
            <w:pPr>
              <w:spacing w:after="60"/>
              <w:rPr>
                <w:i/>
                <w:iCs/>
                <w:sz w:val="20"/>
              </w:rPr>
            </w:pPr>
            <w:r w:rsidRPr="0013396E">
              <w:rPr>
                <w:i/>
                <w:iCs/>
                <w:sz w:val="20"/>
              </w:rPr>
              <w:t>Real-Time Responsive Reserve Award per Resource per QSE</w:t>
            </w:r>
            <w:r w:rsidRPr="0013396E">
              <w:rPr>
                <w:iCs/>
                <w:sz w:val="20"/>
              </w:rPr>
              <w:t xml:space="preserve">—The RRS amount awarded to QSE </w:t>
            </w:r>
            <w:r w:rsidRPr="0013396E">
              <w:rPr>
                <w:i/>
                <w:iCs/>
                <w:sz w:val="20"/>
              </w:rPr>
              <w:t>q</w:t>
            </w:r>
            <w:r w:rsidRPr="0013396E">
              <w:rPr>
                <w:iCs/>
                <w:sz w:val="20"/>
              </w:rPr>
              <w:t xml:space="preserve"> for Resource </w:t>
            </w:r>
            <w:r w:rsidRPr="0013396E">
              <w:rPr>
                <w:i/>
                <w:iCs/>
                <w:sz w:val="20"/>
              </w:rPr>
              <w:t>r</w:t>
            </w:r>
            <w:r w:rsidRPr="0013396E">
              <w:rPr>
                <w:iCs/>
                <w:sz w:val="20"/>
              </w:rPr>
              <w:t xml:space="preserve"> in Real-Time </w:t>
            </w:r>
            <w:r w:rsidRPr="0013396E">
              <w:rPr>
                <w:iCs/>
                <w:sz w:val="20"/>
                <w:szCs w:val="18"/>
              </w:rPr>
              <w:t xml:space="preserve">for </w:t>
            </w:r>
            <w:r w:rsidRPr="0013396E">
              <w:rPr>
                <w:iCs/>
                <w:sz w:val="20"/>
              </w:rPr>
              <w:t xml:space="preserve">the 15-minute Settlement Interval.  Where for a Combined Cycle Train, the Resource </w:t>
            </w:r>
            <w:r w:rsidRPr="0013396E">
              <w:rPr>
                <w:i/>
                <w:iCs/>
                <w:sz w:val="20"/>
              </w:rPr>
              <w:t xml:space="preserve">r </w:t>
            </w:r>
            <w:r w:rsidRPr="0013396E">
              <w:rPr>
                <w:iCs/>
                <w:sz w:val="20"/>
              </w:rPr>
              <w:t>is the Combined Cycle Train.</w:t>
            </w:r>
          </w:p>
        </w:tc>
      </w:tr>
      <w:tr w:rsidR="00C236A2" w:rsidRPr="0013396E" w14:paraId="6690F92A" w14:textId="77777777" w:rsidTr="0099759E">
        <w:trPr>
          <w:cantSplit/>
        </w:trPr>
        <w:tc>
          <w:tcPr>
            <w:tcW w:w="934" w:type="pct"/>
          </w:tcPr>
          <w:p w14:paraId="4CB1EEB6" w14:textId="77777777" w:rsidR="00C236A2" w:rsidRPr="0013396E" w:rsidRDefault="00C236A2" w:rsidP="0099759E">
            <w:pPr>
              <w:spacing w:after="60"/>
              <w:rPr>
                <w:iCs/>
                <w:sz w:val="20"/>
                <w:lang w:val="pt-BR"/>
              </w:rPr>
            </w:pPr>
            <w:r w:rsidRPr="0013396E">
              <w:rPr>
                <w:iCs/>
                <w:sz w:val="20"/>
              </w:rPr>
              <w:t>RTNSAWD</w:t>
            </w:r>
            <w:r w:rsidRPr="0013396E">
              <w:rPr>
                <w:i/>
                <w:iCs/>
                <w:sz w:val="20"/>
                <w:vertAlign w:val="subscript"/>
              </w:rPr>
              <w:t xml:space="preserve"> q, r</w:t>
            </w:r>
          </w:p>
        </w:tc>
        <w:tc>
          <w:tcPr>
            <w:tcW w:w="481" w:type="pct"/>
          </w:tcPr>
          <w:p w14:paraId="611FA0F8" w14:textId="77777777" w:rsidR="00C236A2" w:rsidRPr="0013396E" w:rsidRDefault="00C236A2" w:rsidP="0099759E">
            <w:pPr>
              <w:spacing w:after="60"/>
              <w:rPr>
                <w:iCs/>
                <w:sz w:val="20"/>
              </w:rPr>
            </w:pPr>
            <w:r w:rsidRPr="0013396E">
              <w:rPr>
                <w:iCs/>
                <w:sz w:val="20"/>
              </w:rPr>
              <w:t>MW</w:t>
            </w:r>
          </w:p>
        </w:tc>
        <w:tc>
          <w:tcPr>
            <w:tcW w:w="3585" w:type="pct"/>
          </w:tcPr>
          <w:p w14:paraId="156F36AB" w14:textId="77777777" w:rsidR="00C236A2" w:rsidRPr="0013396E" w:rsidRDefault="00C236A2" w:rsidP="0099759E">
            <w:pPr>
              <w:spacing w:after="60"/>
              <w:rPr>
                <w:i/>
                <w:iCs/>
                <w:sz w:val="20"/>
              </w:rPr>
            </w:pPr>
            <w:r w:rsidRPr="0013396E">
              <w:rPr>
                <w:i/>
                <w:iCs/>
                <w:sz w:val="20"/>
              </w:rPr>
              <w:t>Real-Time Non-Spin Award per Resource per QSE</w:t>
            </w:r>
            <w:r w:rsidRPr="0013396E">
              <w:rPr>
                <w:iCs/>
                <w:sz w:val="20"/>
              </w:rPr>
              <w:t xml:space="preserve">—The Non-Spin amount awarded to QSE </w:t>
            </w:r>
            <w:r w:rsidRPr="0013396E">
              <w:rPr>
                <w:i/>
                <w:iCs/>
                <w:sz w:val="20"/>
              </w:rPr>
              <w:t>q</w:t>
            </w:r>
            <w:r w:rsidRPr="0013396E">
              <w:rPr>
                <w:iCs/>
                <w:sz w:val="20"/>
              </w:rPr>
              <w:t xml:space="preserve"> for Resource </w:t>
            </w:r>
            <w:r w:rsidRPr="0013396E">
              <w:rPr>
                <w:i/>
                <w:iCs/>
                <w:sz w:val="20"/>
              </w:rPr>
              <w:t>r</w:t>
            </w:r>
            <w:r w:rsidRPr="0013396E">
              <w:rPr>
                <w:iCs/>
                <w:sz w:val="20"/>
              </w:rPr>
              <w:t xml:space="preserve"> in Real-Time </w:t>
            </w:r>
            <w:r w:rsidRPr="0013396E">
              <w:rPr>
                <w:iCs/>
                <w:sz w:val="20"/>
                <w:szCs w:val="18"/>
              </w:rPr>
              <w:t xml:space="preserve">for </w:t>
            </w:r>
            <w:r w:rsidRPr="0013396E">
              <w:rPr>
                <w:iCs/>
                <w:sz w:val="20"/>
              </w:rPr>
              <w:t xml:space="preserve">the 15-minute Settlement Interval.  Where for a Combined Cycle Train, the Resource </w:t>
            </w:r>
            <w:r w:rsidRPr="0013396E">
              <w:rPr>
                <w:i/>
                <w:iCs/>
                <w:sz w:val="20"/>
              </w:rPr>
              <w:t xml:space="preserve">r </w:t>
            </w:r>
            <w:r w:rsidRPr="0013396E">
              <w:rPr>
                <w:iCs/>
                <w:sz w:val="20"/>
              </w:rPr>
              <w:t>is the Combined Cycle Train.</w:t>
            </w:r>
          </w:p>
        </w:tc>
      </w:tr>
      <w:tr w:rsidR="00C236A2" w:rsidRPr="0013396E" w14:paraId="22F313E1" w14:textId="77777777" w:rsidTr="0099759E">
        <w:trPr>
          <w:cantSplit/>
        </w:trPr>
        <w:tc>
          <w:tcPr>
            <w:tcW w:w="934" w:type="pct"/>
          </w:tcPr>
          <w:p w14:paraId="62B39F31" w14:textId="77777777" w:rsidR="00C236A2" w:rsidRPr="0013396E" w:rsidRDefault="00C236A2" w:rsidP="0099759E">
            <w:pPr>
              <w:spacing w:after="60"/>
              <w:rPr>
                <w:iCs/>
                <w:sz w:val="20"/>
                <w:lang w:val="pt-BR"/>
              </w:rPr>
            </w:pPr>
            <w:r w:rsidRPr="0013396E">
              <w:rPr>
                <w:iCs/>
                <w:sz w:val="20"/>
              </w:rPr>
              <w:t>RTECRAWD</w:t>
            </w:r>
            <w:r w:rsidRPr="0013396E">
              <w:rPr>
                <w:i/>
                <w:iCs/>
                <w:sz w:val="20"/>
                <w:vertAlign w:val="subscript"/>
              </w:rPr>
              <w:t xml:space="preserve"> q, r</w:t>
            </w:r>
          </w:p>
        </w:tc>
        <w:tc>
          <w:tcPr>
            <w:tcW w:w="481" w:type="pct"/>
          </w:tcPr>
          <w:p w14:paraId="1FEEF9F6" w14:textId="77777777" w:rsidR="00C236A2" w:rsidRPr="0013396E" w:rsidRDefault="00C236A2" w:rsidP="0099759E">
            <w:pPr>
              <w:spacing w:after="60"/>
              <w:rPr>
                <w:iCs/>
                <w:sz w:val="20"/>
              </w:rPr>
            </w:pPr>
            <w:r w:rsidRPr="0013396E">
              <w:rPr>
                <w:iCs/>
                <w:sz w:val="20"/>
              </w:rPr>
              <w:t>MW</w:t>
            </w:r>
          </w:p>
        </w:tc>
        <w:tc>
          <w:tcPr>
            <w:tcW w:w="3585" w:type="pct"/>
          </w:tcPr>
          <w:p w14:paraId="2DF82012" w14:textId="77777777" w:rsidR="00C236A2" w:rsidRPr="0013396E" w:rsidRDefault="00C236A2" w:rsidP="0099759E">
            <w:pPr>
              <w:spacing w:after="60"/>
              <w:rPr>
                <w:i/>
                <w:iCs/>
                <w:sz w:val="20"/>
              </w:rPr>
            </w:pPr>
            <w:r w:rsidRPr="0013396E">
              <w:rPr>
                <w:i/>
                <w:iCs/>
                <w:sz w:val="20"/>
              </w:rPr>
              <w:t>Real-Time ERCOT Contingency Reserve Service Award per Resource per QSE</w:t>
            </w:r>
            <w:r w:rsidRPr="0013396E">
              <w:rPr>
                <w:iCs/>
                <w:sz w:val="20"/>
              </w:rPr>
              <w:t xml:space="preserve">—The ECRS amount awarded to QSE </w:t>
            </w:r>
            <w:r w:rsidRPr="0013396E">
              <w:rPr>
                <w:i/>
                <w:iCs/>
                <w:sz w:val="20"/>
              </w:rPr>
              <w:t>q</w:t>
            </w:r>
            <w:r w:rsidRPr="0013396E">
              <w:rPr>
                <w:iCs/>
                <w:sz w:val="20"/>
              </w:rPr>
              <w:t xml:space="preserve"> for Resource </w:t>
            </w:r>
            <w:r w:rsidRPr="0013396E">
              <w:rPr>
                <w:i/>
                <w:iCs/>
                <w:sz w:val="20"/>
              </w:rPr>
              <w:t>r</w:t>
            </w:r>
            <w:r w:rsidRPr="0013396E">
              <w:rPr>
                <w:iCs/>
                <w:sz w:val="20"/>
              </w:rPr>
              <w:t xml:space="preserve"> in Real-Time </w:t>
            </w:r>
            <w:r w:rsidRPr="0013396E">
              <w:rPr>
                <w:iCs/>
                <w:sz w:val="20"/>
                <w:szCs w:val="18"/>
              </w:rPr>
              <w:t xml:space="preserve">for </w:t>
            </w:r>
            <w:r w:rsidRPr="0013396E">
              <w:rPr>
                <w:iCs/>
                <w:sz w:val="20"/>
              </w:rPr>
              <w:t xml:space="preserve">the 15-minute Settlement Interval.  Where for a Combined Cycle Train, the Resource </w:t>
            </w:r>
            <w:r w:rsidRPr="0013396E">
              <w:rPr>
                <w:i/>
                <w:iCs/>
                <w:sz w:val="20"/>
              </w:rPr>
              <w:t xml:space="preserve">r </w:t>
            </w:r>
            <w:r w:rsidRPr="0013396E">
              <w:rPr>
                <w:iCs/>
                <w:sz w:val="20"/>
              </w:rPr>
              <w:t>is the Combined Cycle Train.</w:t>
            </w:r>
          </w:p>
        </w:tc>
      </w:tr>
      <w:tr w:rsidR="00C236A2" w:rsidRPr="0013396E" w14:paraId="5CE3774D" w14:textId="77777777" w:rsidTr="0099759E">
        <w:trPr>
          <w:cantSplit/>
        </w:trPr>
        <w:tc>
          <w:tcPr>
            <w:tcW w:w="934" w:type="pct"/>
          </w:tcPr>
          <w:p w14:paraId="624E6133" w14:textId="77777777" w:rsidR="00C236A2" w:rsidRPr="0013396E" w:rsidRDefault="00C236A2" w:rsidP="0099759E">
            <w:pPr>
              <w:spacing w:after="60"/>
              <w:rPr>
                <w:iCs/>
                <w:sz w:val="20"/>
              </w:rPr>
            </w:pPr>
            <w:r w:rsidRPr="0013396E">
              <w:rPr>
                <w:iCs/>
                <w:sz w:val="20"/>
                <w:lang w:val="pt-BR"/>
              </w:rPr>
              <w:t xml:space="preserve">RTRUOPR </w:t>
            </w:r>
            <w:r w:rsidRPr="0013396E">
              <w:rPr>
                <w:i/>
                <w:iCs/>
                <w:sz w:val="20"/>
                <w:vertAlign w:val="subscript"/>
                <w:lang w:val="pt-BR"/>
              </w:rPr>
              <w:t>q, r, y</w:t>
            </w:r>
          </w:p>
        </w:tc>
        <w:tc>
          <w:tcPr>
            <w:tcW w:w="481" w:type="pct"/>
          </w:tcPr>
          <w:p w14:paraId="73F3BFC9" w14:textId="77777777" w:rsidR="00C236A2" w:rsidRPr="0013396E" w:rsidRDefault="00C236A2" w:rsidP="0099759E">
            <w:pPr>
              <w:spacing w:after="60"/>
              <w:rPr>
                <w:iCs/>
                <w:sz w:val="20"/>
              </w:rPr>
            </w:pPr>
            <w:r w:rsidRPr="0013396E">
              <w:rPr>
                <w:iCs/>
                <w:sz w:val="20"/>
              </w:rPr>
              <w:t>$/MW</w:t>
            </w:r>
          </w:p>
        </w:tc>
        <w:tc>
          <w:tcPr>
            <w:tcW w:w="3585" w:type="pct"/>
          </w:tcPr>
          <w:p w14:paraId="69116F30" w14:textId="77777777" w:rsidR="00C236A2" w:rsidRPr="0013396E" w:rsidRDefault="00C236A2" w:rsidP="0099759E">
            <w:pPr>
              <w:spacing w:after="60"/>
              <w:rPr>
                <w:iCs/>
                <w:sz w:val="20"/>
              </w:rPr>
            </w:pPr>
            <w:r w:rsidRPr="0013396E">
              <w:rPr>
                <w:i/>
                <w:iCs/>
                <w:sz w:val="20"/>
              </w:rPr>
              <w:t>Real-Time Reg-Up Offer Price</w:t>
            </w:r>
            <w:r w:rsidRPr="0013396E">
              <w:rPr>
                <w:iCs/>
                <w:sz w:val="20"/>
              </w:rPr>
              <w:t xml:space="preserve">—The price from the submitted Ancillary Service Offer at the Reg-Up award of Resource </w:t>
            </w:r>
            <w:r w:rsidRPr="0013396E">
              <w:rPr>
                <w:i/>
                <w:iCs/>
                <w:sz w:val="20"/>
              </w:rPr>
              <w:t>r</w:t>
            </w:r>
            <w:r w:rsidRPr="0013396E">
              <w:rPr>
                <w:iCs/>
                <w:sz w:val="20"/>
              </w:rPr>
              <w:t xml:space="preserve"> represented by QSE </w:t>
            </w:r>
            <w:r w:rsidRPr="0013396E">
              <w:rPr>
                <w:i/>
                <w:iCs/>
                <w:sz w:val="20"/>
              </w:rPr>
              <w:t>q</w:t>
            </w:r>
            <w:r w:rsidRPr="0013396E">
              <w:rPr>
                <w:iCs/>
                <w:sz w:val="20"/>
              </w:rPr>
              <w:t xml:space="preserve"> for the SCED interval</w:t>
            </w:r>
            <w:r w:rsidRPr="0013396E">
              <w:rPr>
                <w:i/>
                <w:iCs/>
                <w:sz w:val="20"/>
              </w:rPr>
              <w:t xml:space="preserve"> y</w:t>
            </w:r>
            <w:r w:rsidRPr="0013396E">
              <w:rPr>
                <w:iCs/>
                <w:sz w:val="20"/>
              </w:rPr>
              <w:t xml:space="preserve">.  Where for a Combined Cycle Train, the Resource </w:t>
            </w:r>
            <w:r w:rsidRPr="0013396E">
              <w:rPr>
                <w:i/>
                <w:iCs/>
                <w:sz w:val="20"/>
              </w:rPr>
              <w:t xml:space="preserve">r </w:t>
            </w:r>
            <w:r w:rsidRPr="0013396E">
              <w:rPr>
                <w:iCs/>
                <w:sz w:val="20"/>
              </w:rPr>
              <w:t>is a Combined Cycle Generation Resource within the Combined Cycle Train.</w:t>
            </w:r>
          </w:p>
        </w:tc>
      </w:tr>
      <w:tr w:rsidR="00C236A2" w:rsidRPr="0013396E" w14:paraId="2B1BD4E9" w14:textId="77777777" w:rsidTr="0099759E">
        <w:trPr>
          <w:cantSplit/>
        </w:trPr>
        <w:tc>
          <w:tcPr>
            <w:tcW w:w="934" w:type="pct"/>
          </w:tcPr>
          <w:p w14:paraId="1D64B046" w14:textId="77777777" w:rsidR="00C236A2" w:rsidRPr="0013396E" w:rsidRDefault="00C236A2" w:rsidP="0099759E">
            <w:pPr>
              <w:spacing w:after="60"/>
              <w:rPr>
                <w:iCs/>
                <w:sz w:val="20"/>
              </w:rPr>
            </w:pPr>
            <w:r w:rsidRPr="0013396E">
              <w:rPr>
                <w:iCs/>
                <w:sz w:val="20"/>
                <w:lang w:val="pt-BR"/>
              </w:rPr>
              <w:t xml:space="preserve">RTRDOPR </w:t>
            </w:r>
            <w:r w:rsidRPr="0013396E">
              <w:rPr>
                <w:i/>
                <w:iCs/>
                <w:sz w:val="20"/>
                <w:vertAlign w:val="subscript"/>
                <w:lang w:val="pt-BR"/>
              </w:rPr>
              <w:t>q, r, y</w:t>
            </w:r>
          </w:p>
        </w:tc>
        <w:tc>
          <w:tcPr>
            <w:tcW w:w="481" w:type="pct"/>
          </w:tcPr>
          <w:p w14:paraId="3ACB251A" w14:textId="77777777" w:rsidR="00C236A2" w:rsidRPr="0013396E" w:rsidRDefault="00C236A2" w:rsidP="0099759E">
            <w:pPr>
              <w:spacing w:after="60"/>
              <w:rPr>
                <w:iCs/>
                <w:sz w:val="20"/>
              </w:rPr>
            </w:pPr>
            <w:r w:rsidRPr="0013396E">
              <w:rPr>
                <w:iCs/>
                <w:sz w:val="20"/>
              </w:rPr>
              <w:t>$/MW</w:t>
            </w:r>
          </w:p>
        </w:tc>
        <w:tc>
          <w:tcPr>
            <w:tcW w:w="3585" w:type="pct"/>
          </w:tcPr>
          <w:p w14:paraId="1E5B2EB7" w14:textId="77777777" w:rsidR="00C236A2" w:rsidRPr="0013396E" w:rsidRDefault="00C236A2" w:rsidP="0099759E">
            <w:pPr>
              <w:spacing w:after="60"/>
              <w:rPr>
                <w:i/>
                <w:iCs/>
                <w:sz w:val="20"/>
              </w:rPr>
            </w:pPr>
            <w:r w:rsidRPr="0013396E">
              <w:rPr>
                <w:i/>
                <w:iCs/>
                <w:sz w:val="20"/>
              </w:rPr>
              <w:t>Real-Time Reg-Down Offer Price</w:t>
            </w:r>
            <w:r w:rsidRPr="0013396E">
              <w:rPr>
                <w:iCs/>
                <w:sz w:val="20"/>
              </w:rPr>
              <w:t xml:space="preserve">—The price from the submitted Ancillary Service Offer at the Reg-Down award of Resource </w:t>
            </w:r>
            <w:r w:rsidRPr="0013396E">
              <w:rPr>
                <w:i/>
                <w:iCs/>
                <w:sz w:val="20"/>
              </w:rPr>
              <w:t>r</w:t>
            </w:r>
            <w:r w:rsidRPr="0013396E">
              <w:rPr>
                <w:iCs/>
                <w:sz w:val="20"/>
              </w:rPr>
              <w:t xml:space="preserve"> represented by QSE </w:t>
            </w:r>
            <w:r w:rsidRPr="0013396E">
              <w:rPr>
                <w:i/>
                <w:iCs/>
                <w:sz w:val="20"/>
              </w:rPr>
              <w:t>q</w:t>
            </w:r>
            <w:r w:rsidRPr="0013396E">
              <w:rPr>
                <w:iCs/>
                <w:sz w:val="20"/>
              </w:rPr>
              <w:t xml:space="preserve"> for the SCED interval</w:t>
            </w:r>
            <w:r w:rsidRPr="0013396E">
              <w:rPr>
                <w:i/>
                <w:iCs/>
                <w:sz w:val="20"/>
              </w:rPr>
              <w:t xml:space="preserve"> y</w:t>
            </w:r>
            <w:r w:rsidRPr="0013396E">
              <w:rPr>
                <w:iCs/>
                <w:sz w:val="20"/>
              </w:rPr>
              <w:t xml:space="preserve">.  Where for a Combined Cycle Train, the Resource </w:t>
            </w:r>
            <w:r w:rsidRPr="0013396E">
              <w:rPr>
                <w:i/>
                <w:iCs/>
                <w:sz w:val="20"/>
              </w:rPr>
              <w:t xml:space="preserve">r </w:t>
            </w:r>
            <w:r w:rsidRPr="0013396E">
              <w:rPr>
                <w:iCs/>
                <w:sz w:val="20"/>
              </w:rPr>
              <w:t>is a Combined Cycle Generation Resource within the Combined Cycle Train.</w:t>
            </w:r>
          </w:p>
        </w:tc>
      </w:tr>
      <w:tr w:rsidR="00C236A2" w:rsidRPr="0013396E" w14:paraId="5977C78D" w14:textId="77777777" w:rsidTr="0099759E">
        <w:trPr>
          <w:cantSplit/>
        </w:trPr>
        <w:tc>
          <w:tcPr>
            <w:tcW w:w="934" w:type="pct"/>
          </w:tcPr>
          <w:p w14:paraId="65C3AB7C" w14:textId="77777777" w:rsidR="00C236A2" w:rsidRPr="0013396E" w:rsidRDefault="00C236A2" w:rsidP="0099759E">
            <w:pPr>
              <w:spacing w:after="60"/>
              <w:rPr>
                <w:iCs/>
                <w:sz w:val="20"/>
              </w:rPr>
            </w:pPr>
            <w:r w:rsidRPr="0013396E">
              <w:rPr>
                <w:iCs/>
                <w:sz w:val="20"/>
                <w:lang w:val="pt-BR"/>
              </w:rPr>
              <w:t xml:space="preserve">RTRROPR </w:t>
            </w:r>
            <w:r w:rsidRPr="0013396E">
              <w:rPr>
                <w:i/>
                <w:iCs/>
                <w:sz w:val="20"/>
                <w:vertAlign w:val="subscript"/>
                <w:lang w:val="pt-BR"/>
              </w:rPr>
              <w:t>q, r, y</w:t>
            </w:r>
          </w:p>
        </w:tc>
        <w:tc>
          <w:tcPr>
            <w:tcW w:w="481" w:type="pct"/>
          </w:tcPr>
          <w:p w14:paraId="1E96A0C5" w14:textId="77777777" w:rsidR="00C236A2" w:rsidRPr="0013396E" w:rsidRDefault="00C236A2" w:rsidP="0099759E">
            <w:pPr>
              <w:spacing w:after="60"/>
              <w:rPr>
                <w:iCs/>
                <w:sz w:val="20"/>
              </w:rPr>
            </w:pPr>
            <w:r w:rsidRPr="0013396E">
              <w:rPr>
                <w:iCs/>
                <w:sz w:val="20"/>
              </w:rPr>
              <w:t>$/MW</w:t>
            </w:r>
          </w:p>
        </w:tc>
        <w:tc>
          <w:tcPr>
            <w:tcW w:w="3585" w:type="pct"/>
          </w:tcPr>
          <w:p w14:paraId="13A26E8D" w14:textId="77777777" w:rsidR="00C236A2" w:rsidRPr="0013396E" w:rsidRDefault="00C236A2" w:rsidP="0099759E">
            <w:pPr>
              <w:spacing w:after="60"/>
              <w:rPr>
                <w:i/>
                <w:iCs/>
                <w:sz w:val="20"/>
              </w:rPr>
            </w:pPr>
            <w:r w:rsidRPr="0013396E">
              <w:rPr>
                <w:i/>
                <w:iCs/>
                <w:sz w:val="20"/>
              </w:rPr>
              <w:t>Real-Time Responsive Reserve Offer Price</w:t>
            </w:r>
            <w:r w:rsidRPr="0013396E">
              <w:rPr>
                <w:iCs/>
                <w:sz w:val="20"/>
              </w:rPr>
              <w:t xml:space="preserve">—The price from the submitted Ancillary Service Offer at the RRS award of Resource </w:t>
            </w:r>
            <w:r w:rsidRPr="0013396E">
              <w:rPr>
                <w:i/>
                <w:iCs/>
                <w:sz w:val="20"/>
              </w:rPr>
              <w:t>r</w:t>
            </w:r>
            <w:r w:rsidRPr="0013396E">
              <w:rPr>
                <w:iCs/>
                <w:sz w:val="20"/>
              </w:rPr>
              <w:t xml:space="preserve"> represented by QSE </w:t>
            </w:r>
            <w:r w:rsidRPr="0013396E">
              <w:rPr>
                <w:i/>
                <w:iCs/>
                <w:sz w:val="20"/>
              </w:rPr>
              <w:t>q</w:t>
            </w:r>
            <w:r w:rsidRPr="0013396E">
              <w:rPr>
                <w:iCs/>
                <w:sz w:val="20"/>
              </w:rPr>
              <w:t xml:space="preserve"> for the SCED interval</w:t>
            </w:r>
            <w:r w:rsidRPr="0013396E">
              <w:rPr>
                <w:i/>
                <w:iCs/>
                <w:sz w:val="20"/>
              </w:rPr>
              <w:t xml:space="preserve"> y</w:t>
            </w:r>
            <w:r w:rsidRPr="0013396E">
              <w:rPr>
                <w:iCs/>
                <w:sz w:val="20"/>
              </w:rPr>
              <w:t xml:space="preserve">.  Where for a Combined Cycle Train, the Resource </w:t>
            </w:r>
            <w:r w:rsidRPr="0013396E">
              <w:rPr>
                <w:i/>
                <w:iCs/>
                <w:sz w:val="20"/>
              </w:rPr>
              <w:t xml:space="preserve">r </w:t>
            </w:r>
            <w:r w:rsidRPr="0013396E">
              <w:rPr>
                <w:iCs/>
                <w:sz w:val="20"/>
              </w:rPr>
              <w:t>is a Combined Cycle Generation Resource within the Combined Cycle Train.</w:t>
            </w:r>
          </w:p>
        </w:tc>
      </w:tr>
      <w:tr w:rsidR="00C236A2" w:rsidRPr="0013396E" w14:paraId="3F2B7A56" w14:textId="77777777" w:rsidTr="0099759E">
        <w:trPr>
          <w:cantSplit/>
        </w:trPr>
        <w:tc>
          <w:tcPr>
            <w:tcW w:w="934" w:type="pct"/>
          </w:tcPr>
          <w:p w14:paraId="632F4C21" w14:textId="77777777" w:rsidR="00C236A2" w:rsidRPr="0013396E" w:rsidRDefault="00C236A2" w:rsidP="0099759E">
            <w:pPr>
              <w:spacing w:after="60"/>
              <w:rPr>
                <w:iCs/>
                <w:sz w:val="20"/>
              </w:rPr>
            </w:pPr>
            <w:r w:rsidRPr="0013396E">
              <w:rPr>
                <w:iCs/>
                <w:sz w:val="20"/>
                <w:lang w:val="pt-BR"/>
              </w:rPr>
              <w:t xml:space="preserve">RTNSOPR </w:t>
            </w:r>
            <w:r w:rsidRPr="0013396E">
              <w:rPr>
                <w:i/>
                <w:iCs/>
                <w:sz w:val="20"/>
                <w:vertAlign w:val="subscript"/>
                <w:lang w:val="pt-BR"/>
              </w:rPr>
              <w:t>q, r, y</w:t>
            </w:r>
          </w:p>
        </w:tc>
        <w:tc>
          <w:tcPr>
            <w:tcW w:w="481" w:type="pct"/>
          </w:tcPr>
          <w:p w14:paraId="28887B03" w14:textId="77777777" w:rsidR="00C236A2" w:rsidRPr="0013396E" w:rsidRDefault="00C236A2" w:rsidP="0099759E">
            <w:pPr>
              <w:spacing w:after="60"/>
              <w:rPr>
                <w:iCs/>
                <w:sz w:val="20"/>
              </w:rPr>
            </w:pPr>
            <w:r w:rsidRPr="0013396E">
              <w:rPr>
                <w:iCs/>
                <w:sz w:val="20"/>
              </w:rPr>
              <w:t>$/MW</w:t>
            </w:r>
          </w:p>
        </w:tc>
        <w:tc>
          <w:tcPr>
            <w:tcW w:w="3585" w:type="pct"/>
          </w:tcPr>
          <w:p w14:paraId="16E3E095" w14:textId="77777777" w:rsidR="00C236A2" w:rsidRPr="0013396E" w:rsidRDefault="00C236A2" w:rsidP="0099759E">
            <w:pPr>
              <w:spacing w:after="60"/>
              <w:rPr>
                <w:i/>
                <w:iCs/>
                <w:sz w:val="20"/>
              </w:rPr>
            </w:pPr>
            <w:r w:rsidRPr="0013396E">
              <w:rPr>
                <w:i/>
                <w:iCs/>
                <w:sz w:val="20"/>
              </w:rPr>
              <w:t>Real-Time Non-Spin Offer Price</w:t>
            </w:r>
            <w:r w:rsidRPr="0013396E">
              <w:rPr>
                <w:iCs/>
                <w:sz w:val="20"/>
              </w:rPr>
              <w:t xml:space="preserve">—The price from the submitted Ancillary Service Offer at the Non-Spin award of Resource </w:t>
            </w:r>
            <w:r w:rsidRPr="0013396E">
              <w:rPr>
                <w:i/>
                <w:iCs/>
                <w:sz w:val="20"/>
              </w:rPr>
              <w:t>r</w:t>
            </w:r>
            <w:r w:rsidRPr="0013396E">
              <w:rPr>
                <w:iCs/>
                <w:sz w:val="20"/>
              </w:rPr>
              <w:t xml:space="preserve"> represented by QSE </w:t>
            </w:r>
            <w:r w:rsidRPr="0013396E">
              <w:rPr>
                <w:i/>
                <w:iCs/>
                <w:sz w:val="20"/>
              </w:rPr>
              <w:t>q</w:t>
            </w:r>
            <w:r w:rsidRPr="0013396E">
              <w:rPr>
                <w:iCs/>
                <w:sz w:val="20"/>
              </w:rPr>
              <w:t xml:space="preserve"> for the SCED interval</w:t>
            </w:r>
            <w:r w:rsidRPr="0013396E">
              <w:rPr>
                <w:i/>
                <w:iCs/>
                <w:sz w:val="20"/>
              </w:rPr>
              <w:t xml:space="preserve"> y</w:t>
            </w:r>
            <w:r w:rsidRPr="0013396E">
              <w:rPr>
                <w:iCs/>
                <w:sz w:val="20"/>
              </w:rPr>
              <w:t xml:space="preserve">.  Where for a Combined Cycle Train, the Resource </w:t>
            </w:r>
            <w:r w:rsidRPr="0013396E">
              <w:rPr>
                <w:i/>
                <w:iCs/>
                <w:sz w:val="20"/>
              </w:rPr>
              <w:t xml:space="preserve">r </w:t>
            </w:r>
            <w:r w:rsidRPr="0013396E">
              <w:rPr>
                <w:iCs/>
                <w:sz w:val="20"/>
              </w:rPr>
              <w:t>is a Combined Cycle Generation Resource within the Combined Cycle Train.</w:t>
            </w:r>
          </w:p>
        </w:tc>
      </w:tr>
      <w:tr w:rsidR="00C236A2" w:rsidRPr="0013396E" w14:paraId="6B65AA91" w14:textId="77777777" w:rsidTr="0099759E">
        <w:trPr>
          <w:cantSplit/>
        </w:trPr>
        <w:tc>
          <w:tcPr>
            <w:tcW w:w="934" w:type="pct"/>
          </w:tcPr>
          <w:p w14:paraId="020116A7" w14:textId="77777777" w:rsidR="00C236A2" w:rsidRPr="0013396E" w:rsidRDefault="00C236A2" w:rsidP="0099759E">
            <w:pPr>
              <w:spacing w:after="60"/>
              <w:rPr>
                <w:iCs/>
                <w:sz w:val="20"/>
              </w:rPr>
            </w:pPr>
            <w:r w:rsidRPr="0013396E">
              <w:rPr>
                <w:iCs/>
                <w:sz w:val="20"/>
                <w:lang w:val="pt-BR"/>
              </w:rPr>
              <w:lastRenderedPageBreak/>
              <w:t xml:space="preserve">RTECROPR </w:t>
            </w:r>
            <w:r w:rsidRPr="0013396E">
              <w:rPr>
                <w:i/>
                <w:iCs/>
                <w:sz w:val="20"/>
                <w:vertAlign w:val="subscript"/>
                <w:lang w:val="pt-BR"/>
              </w:rPr>
              <w:t>q, r, y</w:t>
            </w:r>
          </w:p>
        </w:tc>
        <w:tc>
          <w:tcPr>
            <w:tcW w:w="481" w:type="pct"/>
          </w:tcPr>
          <w:p w14:paraId="7ECEBD3C" w14:textId="77777777" w:rsidR="00C236A2" w:rsidRPr="0013396E" w:rsidRDefault="00C236A2" w:rsidP="0099759E">
            <w:pPr>
              <w:spacing w:after="60"/>
              <w:rPr>
                <w:iCs/>
                <w:sz w:val="20"/>
              </w:rPr>
            </w:pPr>
            <w:r w:rsidRPr="0013396E">
              <w:rPr>
                <w:iCs/>
                <w:sz w:val="20"/>
              </w:rPr>
              <w:t>$/MW</w:t>
            </w:r>
          </w:p>
        </w:tc>
        <w:tc>
          <w:tcPr>
            <w:tcW w:w="3585" w:type="pct"/>
          </w:tcPr>
          <w:p w14:paraId="5C3EAC52" w14:textId="77777777" w:rsidR="00C236A2" w:rsidRPr="0013396E" w:rsidRDefault="00C236A2" w:rsidP="0099759E">
            <w:pPr>
              <w:spacing w:after="60"/>
              <w:rPr>
                <w:i/>
                <w:iCs/>
                <w:sz w:val="20"/>
              </w:rPr>
            </w:pPr>
            <w:r w:rsidRPr="0013396E">
              <w:rPr>
                <w:i/>
                <w:iCs/>
                <w:sz w:val="20"/>
              </w:rPr>
              <w:t>Real-Time ERCOT Contingency Reserve Service Offer Price</w:t>
            </w:r>
            <w:r w:rsidRPr="0013396E">
              <w:rPr>
                <w:iCs/>
                <w:sz w:val="20"/>
              </w:rPr>
              <w:t xml:space="preserve">—The price from the submitted Ancillary Service Offer at the ECRS award of Resource </w:t>
            </w:r>
            <w:r w:rsidRPr="0013396E">
              <w:rPr>
                <w:i/>
                <w:iCs/>
                <w:sz w:val="20"/>
              </w:rPr>
              <w:t>r</w:t>
            </w:r>
            <w:r w:rsidRPr="0013396E">
              <w:rPr>
                <w:iCs/>
                <w:sz w:val="20"/>
              </w:rPr>
              <w:t xml:space="preserve"> represented by QSE </w:t>
            </w:r>
            <w:r w:rsidRPr="0013396E">
              <w:rPr>
                <w:i/>
                <w:iCs/>
                <w:sz w:val="20"/>
              </w:rPr>
              <w:t>q</w:t>
            </w:r>
            <w:r w:rsidRPr="0013396E">
              <w:rPr>
                <w:iCs/>
                <w:sz w:val="20"/>
              </w:rPr>
              <w:t xml:space="preserve"> for the SCED interval</w:t>
            </w:r>
            <w:r w:rsidRPr="0013396E">
              <w:rPr>
                <w:i/>
                <w:iCs/>
                <w:sz w:val="20"/>
              </w:rPr>
              <w:t xml:space="preserve"> y</w:t>
            </w:r>
            <w:r w:rsidRPr="0013396E">
              <w:rPr>
                <w:iCs/>
                <w:sz w:val="20"/>
              </w:rPr>
              <w:t xml:space="preserve">.  Where for a Combined Cycle Train, the Resource </w:t>
            </w:r>
            <w:r w:rsidRPr="0013396E">
              <w:rPr>
                <w:i/>
                <w:iCs/>
                <w:sz w:val="20"/>
              </w:rPr>
              <w:t xml:space="preserve">r </w:t>
            </w:r>
            <w:r w:rsidRPr="0013396E">
              <w:rPr>
                <w:iCs/>
                <w:sz w:val="20"/>
              </w:rPr>
              <w:t>is a Combined Cycle Generation Resource within the Combined Cycle Train.</w:t>
            </w:r>
          </w:p>
        </w:tc>
      </w:tr>
      <w:tr w:rsidR="00C236A2" w:rsidRPr="0013396E" w14:paraId="55E03C03" w14:textId="77777777" w:rsidTr="0099759E">
        <w:trPr>
          <w:cantSplit/>
        </w:trPr>
        <w:tc>
          <w:tcPr>
            <w:tcW w:w="934" w:type="pct"/>
          </w:tcPr>
          <w:p w14:paraId="364D6248" w14:textId="77777777" w:rsidR="00C236A2" w:rsidRPr="0013396E" w:rsidRDefault="00C236A2" w:rsidP="0099759E">
            <w:pPr>
              <w:spacing w:after="60"/>
              <w:rPr>
                <w:iCs/>
                <w:sz w:val="20"/>
                <w:lang w:val="pt-BR"/>
              </w:rPr>
            </w:pPr>
            <w:r w:rsidRPr="0013396E">
              <w:rPr>
                <w:iCs/>
                <w:sz w:val="20"/>
              </w:rPr>
              <w:t xml:space="preserve">RTRUAWDS </w:t>
            </w:r>
            <w:r w:rsidRPr="0013396E">
              <w:rPr>
                <w:i/>
                <w:iCs/>
                <w:sz w:val="20"/>
                <w:vertAlign w:val="subscript"/>
              </w:rPr>
              <w:t>q, r, y</w:t>
            </w:r>
          </w:p>
        </w:tc>
        <w:tc>
          <w:tcPr>
            <w:tcW w:w="481" w:type="pct"/>
          </w:tcPr>
          <w:p w14:paraId="51C02352" w14:textId="77777777" w:rsidR="00C236A2" w:rsidRPr="0013396E" w:rsidRDefault="00C236A2" w:rsidP="0099759E">
            <w:pPr>
              <w:spacing w:after="60"/>
              <w:rPr>
                <w:iCs/>
                <w:sz w:val="20"/>
              </w:rPr>
            </w:pPr>
            <w:r w:rsidRPr="0013396E">
              <w:rPr>
                <w:iCs/>
                <w:sz w:val="20"/>
              </w:rPr>
              <w:t>MW</w:t>
            </w:r>
          </w:p>
        </w:tc>
        <w:tc>
          <w:tcPr>
            <w:tcW w:w="3585" w:type="pct"/>
          </w:tcPr>
          <w:p w14:paraId="5317DF59" w14:textId="77777777" w:rsidR="00C236A2" w:rsidRPr="0013396E" w:rsidRDefault="00C236A2" w:rsidP="0099759E">
            <w:pPr>
              <w:spacing w:after="60"/>
              <w:rPr>
                <w:i/>
                <w:iCs/>
                <w:sz w:val="20"/>
              </w:rPr>
            </w:pPr>
            <w:r w:rsidRPr="0013396E">
              <w:rPr>
                <w:i/>
                <w:iCs/>
                <w:sz w:val="20"/>
              </w:rPr>
              <w:t>Real-Time Reg-Up Award per Resource per QSE per SCED interval</w:t>
            </w:r>
            <w:r w:rsidRPr="0013396E">
              <w:rPr>
                <w:iCs/>
                <w:sz w:val="20"/>
              </w:rPr>
              <w:t xml:space="preserve">—The Reg-Up amount awarded to QSE </w:t>
            </w:r>
            <w:r w:rsidRPr="0013396E">
              <w:rPr>
                <w:i/>
                <w:iCs/>
                <w:sz w:val="20"/>
              </w:rPr>
              <w:t>q</w:t>
            </w:r>
            <w:r w:rsidRPr="0013396E">
              <w:rPr>
                <w:iCs/>
                <w:sz w:val="20"/>
              </w:rPr>
              <w:t xml:space="preserve"> for Resource </w:t>
            </w:r>
            <w:r w:rsidRPr="0013396E">
              <w:rPr>
                <w:i/>
                <w:iCs/>
                <w:sz w:val="20"/>
              </w:rPr>
              <w:t xml:space="preserve">r </w:t>
            </w:r>
            <w:r w:rsidRPr="0013396E">
              <w:rPr>
                <w:iCs/>
                <w:sz w:val="20"/>
              </w:rPr>
              <w:t>in Real-Time</w:t>
            </w:r>
            <w:r w:rsidRPr="0013396E">
              <w:rPr>
                <w:i/>
                <w:iCs/>
                <w:sz w:val="20"/>
              </w:rPr>
              <w:t xml:space="preserve"> </w:t>
            </w:r>
            <w:r w:rsidRPr="0013396E">
              <w:rPr>
                <w:iCs/>
                <w:sz w:val="20"/>
              </w:rPr>
              <w:t xml:space="preserve">for the SCED interval </w:t>
            </w:r>
            <w:r w:rsidRPr="0013396E">
              <w:rPr>
                <w:i/>
                <w:iCs/>
                <w:sz w:val="20"/>
              </w:rPr>
              <w:t xml:space="preserve">y.  </w:t>
            </w:r>
            <w:r w:rsidRPr="0013396E">
              <w:rPr>
                <w:iCs/>
                <w:sz w:val="20"/>
              </w:rPr>
              <w:t xml:space="preserve">Where for a Combined Cycle Train, the Resource </w:t>
            </w:r>
            <w:r w:rsidRPr="0013396E">
              <w:rPr>
                <w:i/>
                <w:iCs/>
                <w:sz w:val="20"/>
              </w:rPr>
              <w:t xml:space="preserve">r </w:t>
            </w:r>
            <w:r w:rsidRPr="0013396E">
              <w:rPr>
                <w:iCs/>
                <w:sz w:val="20"/>
              </w:rPr>
              <w:t>is a Combined Cycle Generation Resource within the Combined Cycle Train.</w:t>
            </w:r>
          </w:p>
        </w:tc>
      </w:tr>
      <w:tr w:rsidR="00C236A2" w:rsidRPr="0013396E" w14:paraId="1A980F2A" w14:textId="77777777" w:rsidTr="0099759E">
        <w:trPr>
          <w:cantSplit/>
        </w:trPr>
        <w:tc>
          <w:tcPr>
            <w:tcW w:w="934" w:type="pct"/>
          </w:tcPr>
          <w:p w14:paraId="166B2166" w14:textId="77777777" w:rsidR="00C236A2" w:rsidRPr="0013396E" w:rsidRDefault="00C236A2" w:rsidP="0099759E">
            <w:pPr>
              <w:spacing w:after="60"/>
              <w:rPr>
                <w:iCs/>
                <w:sz w:val="20"/>
              </w:rPr>
            </w:pPr>
            <w:r w:rsidRPr="0013396E">
              <w:rPr>
                <w:iCs/>
                <w:sz w:val="20"/>
              </w:rPr>
              <w:t xml:space="preserve">RTRDAWDS </w:t>
            </w:r>
            <w:r w:rsidRPr="0013396E">
              <w:rPr>
                <w:i/>
                <w:iCs/>
                <w:sz w:val="20"/>
                <w:vertAlign w:val="subscript"/>
              </w:rPr>
              <w:t>q, r, y</w:t>
            </w:r>
          </w:p>
        </w:tc>
        <w:tc>
          <w:tcPr>
            <w:tcW w:w="481" w:type="pct"/>
          </w:tcPr>
          <w:p w14:paraId="26ED0585" w14:textId="77777777" w:rsidR="00C236A2" w:rsidRPr="0013396E" w:rsidRDefault="00C236A2" w:rsidP="0099759E">
            <w:pPr>
              <w:spacing w:after="60"/>
              <w:rPr>
                <w:iCs/>
                <w:sz w:val="20"/>
              </w:rPr>
            </w:pPr>
            <w:r w:rsidRPr="0013396E">
              <w:rPr>
                <w:iCs/>
                <w:sz w:val="20"/>
              </w:rPr>
              <w:t>MW</w:t>
            </w:r>
          </w:p>
        </w:tc>
        <w:tc>
          <w:tcPr>
            <w:tcW w:w="3585" w:type="pct"/>
          </w:tcPr>
          <w:p w14:paraId="6DF99362" w14:textId="77777777" w:rsidR="00C236A2" w:rsidRPr="0013396E" w:rsidRDefault="00C236A2" w:rsidP="0099759E">
            <w:pPr>
              <w:spacing w:after="60"/>
              <w:rPr>
                <w:i/>
                <w:iCs/>
                <w:sz w:val="20"/>
              </w:rPr>
            </w:pPr>
            <w:r w:rsidRPr="0013396E">
              <w:rPr>
                <w:i/>
                <w:iCs/>
                <w:sz w:val="20"/>
              </w:rPr>
              <w:t>Real-Time Reg-Down Award per Resource per QSE per SCED interval</w:t>
            </w:r>
            <w:r w:rsidRPr="0013396E">
              <w:rPr>
                <w:iCs/>
                <w:sz w:val="20"/>
              </w:rPr>
              <w:t xml:space="preserve">—The Reg-Down amount awarded to QSE </w:t>
            </w:r>
            <w:r w:rsidRPr="0013396E">
              <w:rPr>
                <w:i/>
                <w:iCs/>
                <w:sz w:val="20"/>
              </w:rPr>
              <w:t>q</w:t>
            </w:r>
            <w:r w:rsidRPr="0013396E">
              <w:rPr>
                <w:iCs/>
                <w:sz w:val="20"/>
              </w:rPr>
              <w:t xml:space="preserve"> for Resource </w:t>
            </w:r>
            <w:r w:rsidRPr="0013396E">
              <w:rPr>
                <w:i/>
                <w:iCs/>
                <w:sz w:val="20"/>
              </w:rPr>
              <w:t xml:space="preserve">r </w:t>
            </w:r>
            <w:r w:rsidRPr="0013396E">
              <w:rPr>
                <w:iCs/>
                <w:sz w:val="20"/>
              </w:rPr>
              <w:t>in Real-Time</w:t>
            </w:r>
            <w:r w:rsidRPr="0013396E">
              <w:rPr>
                <w:i/>
                <w:iCs/>
                <w:sz w:val="20"/>
              </w:rPr>
              <w:t xml:space="preserve"> </w:t>
            </w:r>
            <w:r w:rsidRPr="0013396E">
              <w:rPr>
                <w:iCs/>
                <w:sz w:val="20"/>
              </w:rPr>
              <w:t xml:space="preserve">for the SCED interval </w:t>
            </w:r>
            <w:r w:rsidRPr="0013396E">
              <w:rPr>
                <w:i/>
                <w:iCs/>
                <w:sz w:val="20"/>
              </w:rPr>
              <w:t xml:space="preserve">y.  </w:t>
            </w:r>
            <w:r w:rsidRPr="0013396E">
              <w:rPr>
                <w:iCs/>
                <w:sz w:val="20"/>
              </w:rPr>
              <w:t xml:space="preserve">Where for a Combined Cycle Train, the Resource </w:t>
            </w:r>
            <w:r w:rsidRPr="0013396E">
              <w:rPr>
                <w:i/>
                <w:iCs/>
                <w:sz w:val="20"/>
              </w:rPr>
              <w:t xml:space="preserve">r </w:t>
            </w:r>
            <w:r w:rsidRPr="0013396E">
              <w:rPr>
                <w:iCs/>
                <w:sz w:val="20"/>
              </w:rPr>
              <w:t>is a Combined Cycle Generation Resource within the Combined Cycle Train.</w:t>
            </w:r>
          </w:p>
        </w:tc>
      </w:tr>
      <w:tr w:rsidR="00C236A2" w:rsidRPr="0013396E" w14:paraId="77A24F71" w14:textId="77777777" w:rsidTr="0099759E">
        <w:trPr>
          <w:cantSplit/>
        </w:trPr>
        <w:tc>
          <w:tcPr>
            <w:tcW w:w="934" w:type="pct"/>
          </w:tcPr>
          <w:p w14:paraId="568A7BC6" w14:textId="77777777" w:rsidR="00C236A2" w:rsidRPr="0013396E" w:rsidRDefault="00C236A2" w:rsidP="0099759E">
            <w:pPr>
              <w:spacing w:after="60"/>
              <w:rPr>
                <w:iCs/>
                <w:sz w:val="20"/>
              </w:rPr>
            </w:pPr>
            <w:r w:rsidRPr="0013396E">
              <w:rPr>
                <w:iCs/>
                <w:sz w:val="20"/>
              </w:rPr>
              <w:t xml:space="preserve">RTRRAWDS </w:t>
            </w:r>
            <w:r w:rsidRPr="0013396E">
              <w:rPr>
                <w:i/>
                <w:iCs/>
                <w:sz w:val="20"/>
                <w:vertAlign w:val="subscript"/>
              </w:rPr>
              <w:t>q, r, y</w:t>
            </w:r>
          </w:p>
        </w:tc>
        <w:tc>
          <w:tcPr>
            <w:tcW w:w="481" w:type="pct"/>
          </w:tcPr>
          <w:p w14:paraId="19BB39A4" w14:textId="77777777" w:rsidR="00C236A2" w:rsidRPr="0013396E" w:rsidRDefault="00C236A2" w:rsidP="0099759E">
            <w:pPr>
              <w:spacing w:after="60"/>
              <w:rPr>
                <w:iCs/>
                <w:sz w:val="20"/>
              </w:rPr>
            </w:pPr>
            <w:r w:rsidRPr="0013396E">
              <w:rPr>
                <w:iCs/>
                <w:sz w:val="20"/>
              </w:rPr>
              <w:t>MW</w:t>
            </w:r>
          </w:p>
        </w:tc>
        <w:tc>
          <w:tcPr>
            <w:tcW w:w="3585" w:type="pct"/>
          </w:tcPr>
          <w:p w14:paraId="3E9F12D5" w14:textId="77777777" w:rsidR="00C236A2" w:rsidRPr="0013396E" w:rsidRDefault="00C236A2" w:rsidP="0099759E">
            <w:pPr>
              <w:spacing w:after="60"/>
              <w:rPr>
                <w:i/>
                <w:iCs/>
                <w:sz w:val="20"/>
              </w:rPr>
            </w:pPr>
            <w:r w:rsidRPr="0013396E">
              <w:rPr>
                <w:i/>
                <w:iCs/>
                <w:sz w:val="20"/>
              </w:rPr>
              <w:t>Real-Time Responsive Reserve Award per Resource per QSE per SCED interval</w:t>
            </w:r>
            <w:r w:rsidRPr="0013396E">
              <w:rPr>
                <w:iCs/>
                <w:sz w:val="20"/>
              </w:rPr>
              <w:t xml:space="preserve">—The RRS amount awarded to QSE </w:t>
            </w:r>
            <w:r w:rsidRPr="0013396E">
              <w:rPr>
                <w:i/>
                <w:iCs/>
                <w:sz w:val="20"/>
              </w:rPr>
              <w:t>q</w:t>
            </w:r>
            <w:r w:rsidRPr="0013396E">
              <w:rPr>
                <w:iCs/>
                <w:sz w:val="20"/>
              </w:rPr>
              <w:t xml:space="preserve"> for Resource </w:t>
            </w:r>
            <w:r w:rsidRPr="0013396E">
              <w:rPr>
                <w:i/>
                <w:iCs/>
                <w:sz w:val="20"/>
              </w:rPr>
              <w:t xml:space="preserve">r </w:t>
            </w:r>
            <w:r w:rsidRPr="0013396E">
              <w:rPr>
                <w:iCs/>
                <w:sz w:val="20"/>
              </w:rPr>
              <w:t>in Real-Time</w:t>
            </w:r>
            <w:r w:rsidRPr="0013396E">
              <w:rPr>
                <w:i/>
                <w:iCs/>
                <w:sz w:val="20"/>
              </w:rPr>
              <w:t xml:space="preserve"> </w:t>
            </w:r>
            <w:r w:rsidRPr="0013396E">
              <w:rPr>
                <w:iCs/>
                <w:sz w:val="20"/>
              </w:rPr>
              <w:t xml:space="preserve">for the SCED interval </w:t>
            </w:r>
            <w:r w:rsidRPr="0013396E">
              <w:rPr>
                <w:i/>
                <w:iCs/>
                <w:sz w:val="20"/>
              </w:rPr>
              <w:t xml:space="preserve">y.  </w:t>
            </w:r>
            <w:r w:rsidRPr="0013396E">
              <w:rPr>
                <w:iCs/>
                <w:sz w:val="20"/>
              </w:rPr>
              <w:t xml:space="preserve">Where for a Combined Cycle Train, the Resource </w:t>
            </w:r>
            <w:r w:rsidRPr="0013396E">
              <w:rPr>
                <w:i/>
                <w:iCs/>
                <w:sz w:val="20"/>
              </w:rPr>
              <w:t xml:space="preserve">r </w:t>
            </w:r>
            <w:r w:rsidRPr="0013396E">
              <w:rPr>
                <w:iCs/>
                <w:sz w:val="20"/>
              </w:rPr>
              <w:t>is a Combined Cycle Generation Resource within the Combined Cycle Train.</w:t>
            </w:r>
          </w:p>
        </w:tc>
      </w:tr>
      <w:tr w:rsidR="00C236A2" w:rsidRPr="0013396E" w14:paraId="5EDF736A" w14:textId="77777777" w:rsidTr="0099759E">
        <w:trPr>
          <w:cantSplit/>
        </w:trPr>
        <w:tc>
          <w:tcPr>
            <w:tcW w:w="934" w:type="pct"/>
          </w:tcPr>
          <w:p w14:paraId="28CE88A1" w14:textId="77777777" w:rsidR="00C236A2" w:rsidRPr="0013396E" w:rsidRDefault="00C236A2" w:rsidP="0099759E">
            <w:pPr>
              <w:spacing w:after="60"/>
              <w:rPr>
                <w:iCs/>
                <w:sz w:val="20"/>
              </w:rPr>
            </w:pPr>
            <w:r w:rsidRPr="0013396E">
              <w:rPr>
                <w:iCs/>
                <w:sz w:val="20"/>
              </w:rPr>
              <w:t xml:space="preserve">RTNSAWDS </w:t>
            </w:r>
            <w:r w:rsidRPr="0013396E">
              <w:rPr>
                <w:i/>
                <w:iCs/>
                <w:sz w:val="20"/>
                <w:vertAlign w:val="subscript"/>
              </w:rPr>
              <w:t>q, r, y</w:t>
            </w:r>
          </w:p>
        </w:tc>
        <w:tc>
          <w:tcPr>
            <w:tcW w:w="481" w:type="pct"/>
          </w:tcPr>
          <w:p w14:paraId="165C5598" w14:textId="77777777" w:rsidR="00C236A2" w:rsidRPr="0013396E" w:rsidRDefault="00C236A2" w:rsidP="0099759E">
            <w:pPr>
              <w:spacing w:after="60"/>
              <w:rPr>
                <w:iCs/>
                <w:sz w:val="20"/>
              </w:rPr>
            </w:pPr>
            <w:r w:rsidRPr="0013396E">
              <w:rPr>
                <w:iCs/>
                <w:sz w:val="20"/>
              </w:rPr>
              <w:t>MW</w:t>
            </w:r>
          </w:p>
        </w:tc>
        <w:tc>
          <w:tcPr>
            <w:tcW w:w="3585" w:type="pct"/>
          </w:tcPr>
          <w:p w14:paraId="6F4C582C" w14:textId="77777777" w:rsidR="00C236A2" w:rsidRPr="0013396E" w:rsidRDefault="00C236A2" w:rsidP="0099759E">
            <w:pPr>
              <w:spacing w:after="60"/>
              <w:rPr>
                <w:i/>
                <w:iCs/>
                <w:sz w:val="20"/>
              </w:rPr>
            </w:pPr>
            <w:r w:rsidRPr="0013396E">
              <w:rPr>
                <w:i/>
                <w:iCs/>
                <w:sz w:val="20"/>
              </w:rPr>
              <w:t>Real-Time Non-Spin Award per Resource per QSE per SCED interval</w:t>
            </w:r>
            <w:r w:rsidRPr="0013396E">
              <w:rPr>
                <w:iCs/>
                <w:sz w:val="20"/>
              </w:rPr>
              <w:t xml:space="preserve">—The Non-Spin amount awarded to QSE </w:t>
            </w:r>
            <w:r w:rsidRPr="0013396E">
              <w:rPr>
                <w:i/>
                <w:iCs/>
                <w:sz w:val="20"/>
              </w:rPr>
              <w:t>q</w:t>
            </w:r>
            <w:r w:rsidRPr="0013396E">
              <w:rPr>
                <w:iCs/>
                <w:sz w:val="20"/>
              </w:rPr>
              <w:t xml:space="preserve"> for Resource </w:t>
            </w:r>
            <w:r w:rsidRPr="0013396E">
              <w:rPr>
                <w:i/>
                <w:iCs/>
                <w:sz w:val="20"/>
              </w:rPr>
              <w:t xml:space="preserve">r </w:t>
            </w:r>
            <w:r w:rsidRPr="0013396E">
              <w:rPr>
                <w:iCs/>
                <w:sz w:val="20"/>
              </w:rPr>
              <w:t>in Real-Time</w:t>
            </w:r>
            <w:r w:rsidRPr="0013396E">
              <w:rPr>
                <w:i/>
                <w:iCs/>
                <w:sz w:val="20"/>
              </w:rPr>
              <w:t xml:space="preserve"> </w:t>
            </w:r>
            <w:r w:rsidRPr="0013396E">
              <w:rPr>
                <w:iCs/>
                <w:sz w:val="20"/>
              </w:rPr>
              <w:t xml:space="preserve">for the SCED interval </w:t>
            </w:r>
            <w:r w:rsidRPr="0013396E">
              <w:rPr>
                <w:i/>
                <w:iCs/>
                <w:sz w:val="20"/>
              </w:rPr>
              <w:t xml:space="preserve">y.  </w:t>
            </w:r>
            <w:r w:rsidRPr="0013396E">
              <w:rPr>
                <w:iCs/>
                <w:sz w:val="20"/>
              </w:rPr>
              <w:t xml:space="preserve">Where for a Combined Cycle Train, the Resource </w:t>
            </w:r>
            <w:r w:rsidRPr="0013396E">
              <w:rPr>
                <w:i/>
                <w:iCs/>
                <w:sz w:val="20"/>
              </w:rPr>
              <w:t xml:space="preserve">r </w:t>
            </w:r>
            <w:r w:rsidRPr="0013396E">
              <w:rPr>
                <w:iCs/>
                <w:sz w:val="20"/>
              </w:rPr>
              <w:t>is a Combined Cycle Generation Resource within the Combined Cycle Train.</w:t>
            </w:r>
          </w:p>
        </w:tc>
      </w:tr>
      <w:tr w:rsidR="00C236A2" w:rsidRPr="0013396E" w14:paraId="37E59878" w14:textId="77777777" w:rsidTr="0099759E">
        <w:trPr>
          <w:cantSplit/>
        </w:trPr>
        <w:tc>
          <w:tcPr>
            <w:tcW w:w="934" w:type="pct"/>
          </w:tcPr>
          <w:p w14:paraId="3D5B84D9" w14:textId="77777777" w:rsidR="00C236A2" w:rsidRPr="0013396E" w:rsidRDefault="00C236A2" w:rsidP="0099759E">
            <w:pPr>
              <w:spacing w:after="60"/>
              <w:rPr>
                <w:iCs/>
                <w:sz w:val="20"/>
              </w:rPr>
            </w:pPr>
            <w:r w:rsidRPr="0013396E">
              <w:rPr>
                <w:iCs/>
                <w:sz w:val="20"/>
              </w:rPr>
              <w:t xml:space="preserve">RTECRAWDS </w:t>
            </w:r>
            <w:r w:rsidRPr="0013396E">
              <w:rPr>
                <w:i/>
                <w:iCs/>
                <w:sz w:val="20"/>
                <w:vertAlign w:val="subscript"/>
              </w:rPr>
              <w:t>q, r, y</w:t>
            </w:r>
          </w:p>
        </w:tc>
        <w:tc>
          <w:tcPr>
            <w:tcW w:w="481" w:type="pct"/>
          </w:tcPr>
          <w:p w14:paraId="7B043C6A" w14:textId="77777777" w:rsidR="00C236A2" w:rsidRPr="0013396E" w:rsidRDefault="00C236A2" w:rsidP="0099759E">
            <w:pPr>
              <w:spacing w:after="60"/>
              <w:rPr>
                <w:iCs/>
                <w:sz w:val="20"/>
              </w:rPr>
            </w:pPr>
            <w:r w:rsidRPr="0013396E">
              <w:rPr>
                <w:iCs/>
                <w:sz w:val="20"/>
              </w:rPr>
              <w:t>MW</w:t>
            </w:r>
          </w:p>
        </w:tc>
        <w:tc>
          <w:tcPr>
            <w:tcW w:w="3585" w:type="pct"/>
          </w:tcPr>
          <w:p w14:paraId="6C8EA890" w14:textId="77777777" w:rsidR="00C236A2" w:rsidRPr="0013396E" w:rsidRDefault="00C236A2" w:rsidP="0099759E">
            <w:pPr>
              <w:spacing w:after="60"/>
              <w:rPr>
                <w:i/>
                <w:iCs/>
                <w:sz w:val="20"/>
              </w:rPr>
            </w:pPr>
            <w:r w:rsidRPr="0013396E">
              <w:rPr>
                <w:i/>
                <w:iCs/>
                <w:sz w:val="20"/>
              </w:rPr>
              <w:t>Real-Time ERCOT Contingency Reserve Service Award per Resource per QSE per SCED interval</w:t>
            </w:r>
            <w:r w:rsidRPr="0013396E">
              <w:rPr>
                <w:iCs/>
                <w:sz w:val="20"/>
              </w:rPr>
              <w:t xml:space="preserve">—The ECRS amount awarded to QSE </w:t>
            </w:r>
            <w:r w:rsidRPr="0013396E">
              <w:rPr>
                <w:i/>
                <w:iCs/>
                <w:sz w:val="20"/>
              </w:rPr>
              <w:t>q</w:t>
            </w:r>
            <w:r w:rsidRPr="0013396E">
              <w:rPr>
                <w:iCs/>
                <w:sz w:val="20"/>
              </w:rPr>
              <w:t xml:space="preserve"> for Resource </w:t>
            </w:r>
            <w:r w:rsidRPr="0013396E">
              <w:rPr>
                <w:i/>
                <w:iCs/>
                <w:sz w:val="20"/>
              </w:rPr>
              <w:t xml:space="preserve">r </w:t>
            </w:r>
            <w:r w:rsidRPr="0013396E">
              <w:rPr>
                <w:iCs/>
                <w:sz w:val="20"/>
              </w:rPr>
              <w:t>in Real-Time</w:t>
            </w:r>
            <w:r w:rsidRPr="0013396E">
              <w:rPr>
                <w:i/>
                <w:iCs/>
                <w:sz w:val="20"/>
              </w:rPr>
              <w:t xml:space="preserve"> </w:t>
            </w:r>
            <w:r w:rsidRPr="0013396E">
              <w:rPr>
                <w:iCs/>
                <w:sz w:val="20"/>
              </w:rPr>
              <w:t xml:space="preserve">for the SCED interval </w:t>
            </w:r>
            <w:r w:rsidRPr="0013396E">
              <w:rPr>
                <w:i/>
                <w:iCs/>
                <w:sz w:val="20"/>
              </w:rPr>
              <w:t xml:space="preserve">y.  </w:t>
            </w:r>
            <w:r w:rsidRPr="0013396E">
              <w:rPr>
                <w:iCs/>
                <w:sz w:val="20"/>
              </w:rPr>
              <w:t xml:space="preserve">Where for a Combined Cycle Train, the Resource </w:t>
            </w:r>
            <w:r w:rsidRPr="0013396E">
              <w:rPr>
                <w:i/>
                <w:iCs/>
                <w:sz w:val="20"/>
              </w:rPr>
              <w:t xml:space="preserve">r </w:t>
            </w:r>
            <w:r w:rsidRPr="0013396E">
              <w:rPr>
                <w:iCs/>
                <w:sz w:val="20"/>
              </w:rPr>
              <w:t>is a Combined Cycle Generation Resource within the Combined Cycle Train.</w:t>
            </w:r>
          </w:p>
        </w:tc>
      </w:tr>
      <w:tr w:rsidR="00C236A2" w:rsidRPr="0013396E" w14:paraId="74A114BD" w14:textId="77777777" w:rsidTr="0099759E">
        <w:trPr>
          <w:cantSplit/>
        </w:trPr>
        <w:tc>
          <w:tcPr>
            <w:tcW w:w="934" w:type="pct"/>
            <w:tcBorders>
              <w:top w:val="single" w:sz="4" w:space="0" w:color="auto"/>
              <w:left w:val="single" w:sz="4" w:space="0" w:color="auto"/>
              <w:bottom w:val="single" w:sz="4" w:space="0" w:color="auto"/>
              <w:right w:val="single" w:sz="4" w:space="0" w:color="auto"/>
            </w:tcBorders>
          </w:tcPr>
          <w:p w14:paraId="7E170CAE" w14:textId="77777777" w:rsidR="00C236A2" w:rsidRPr="0013396E" w:rsidRDefault="00C236A2" w:rsidP="0099759E">
            <w:pPr>
              <w:spacing w:after="60"/>
              <w:rPr>
                <w:iCs/>
                <w:sz w:val="20"/>
              </w:rPr>
            </w:pPr>
            <w:r w:rsidRPr="0013396E">
              <w:rPr>
                <w:iCs/>
                <w:sz w:val="20"/>
              </w:rPr>
              <w:t xml:space="preserve">TLMP </w:t>
            </w:r>
            <w:r w:rsidRPr="0013396E">
              <w:rPr>
                <w:i/>
                <w:iCs/>
                <w:sz w:val="20"/>
                <w:vertAlign w:val="subscript"/>
              </w:rPr>
              <w:t>y</w:t>
            </w:r>
          </w:p>
        </w:tc>
        <w:tc>
          <w:tcPr>
            <w:tcW w:w="481" w:type="pct"/>
            <w:tcBorders>
              <w:top w:val="single" w:sz="4" w:space="0" w:color="auto"/>
              <w:left w:val="single" w:sz="4" w:space="0" w:color="auto"/>
              <w:bottom w:val="single" w:sz="4" w:space="0" w:color="auto"/>
              <w:right w:val="single" w:sz="4" w:space="0" w:color="auto"/>
            </w:tcBorders>
          </w:tcPr>
          <w:p w14:paraId="554E6E4A" w14:textId="77777777" w:rsidR="00C236A2" w:rsidRPr="0013396E" w:rsidRDefault="00C236A2" w:rsidP="0099759E">
            <w:pPr>
              <w:spacing w:after="60"/>
              <w:rPr>
                <w:iCs/>
                <w:sz w:val="20"/>
              </w:rPr>
            </w:pPr>
            <w:r w:rsidRPr="0013396E">
              <w:rPr>
                <w:iCs/>
                <w:sz w:val="20"/>
              </w:rPr>
              <w:t>second</w:t>
            </w:r>
          </w:p>
        </w:tc>
        <w:tc>
          <w:tcPr>
            <w:tcW w:w="3585" w:type="pct"/>
            <w:tcBorders>
              <w:top w:val="single" w:sz="4" w:space="0" w:color="auto"/>
              <w:left w:val="single" w:sz="4" w:space="0" w:color="auto"/>
              <w:bottom w:val="single" w:sz="4" w:space="0" w:color="auto"/>
              <w:right w:val="single" w:sz="4" w:space="0" w:color="auto"/>
            </w:tcBorders>
          </w:tcPr>
          <w:p w14:paraId="3CE9E91F" w14:textId="77777777" w:rsidR="00C236A2" w:rsidRPr="0013396E" w:rsidRDefault="00C236A2" w:rsidP="0099759E">
            <w:pPr>
              <w:spacing w:after="60"/>
              <w:rPr>
                <w:iCs/>
                <w:sz w:val="20"/>
              </w:rPr>
            </w:pPr>
            <w:r w:rsidRPr="0013396E">
              <w:rPr>
                <w:i/>
                <w:sz w:val="20"/>
              </w:rPr>
              <w:t>Duration of Emergency Base Point interval or SCED interval per interval</w:t>
            </w:r>
            <w:r w:rsidRPr="0013396E">
              <w:rPr>
                <w:iCs/>
                <w:sz w:val="20"/>
              </w:rPr>
              <w:t xml:space="preserve">—The duration of the portion of the Emergency Base Point interval or SCED interval </w:t>
            </w:r>
            <w:r w:rsidRPr="0013396E">
              <w:rPr>
                <w:i/>
                <w:iCs/>
                <w:sz w:val="20"/>
              </w:rPr>
              <w:t>y</w:t>
            </w:r>
            <w:r w:rsidRPr="0013396E">
              <w:rPr>
                <w:iCs/>
                <w:sz w:val="20"/>
              </w:rPr>
              <w:t xml:space="preserve"> </w:t>
            </w:r>
            <w:r w:rsidRPr="0013396E">
              <w:rPr>
                <w:sz w:val="20"/>
              </w:rPr>
              <w:t>within the 15-minute Settlement Interval</w:t>
            </w:r>
            <w:r w:rsidRPr="0013396E">
              <w:rPr>
                <w:iCs/>
                <w:sz w:val="20"/>
              </w:rPr>
              <w:t>.</w:t>
            </w:r>
          </w:p>
        </w:tc>
      </w:tr>
      <w:tr w:rsidR="00C236A2" w:rsidRPr="0013396E" w14:paraId="4D23312C" w14:textId="77777777" w:rsidTr="0099759E">
        <w:trPr>
          <w:cantSplit/>
        </w:trPr>
        <w:tc>
          <w:tcPr>
            <w:tcW w:w="934" w:type="pct"/>
            <w:tcBorders>
              <w:top w:val="single" w:sz="4" w:space="0" w:color="auto"/>
              <w:left w:val="single" w:sz="4" w:space="0" w:color="auto"/>
              <w:bottom w:val="single" w:sz="4" w:space="0" w:color="auto"/>
              <w:right w:val="single" w:sz="4" w:space="0" w:color="auto"/>
            </w:tcBorders>
          </w:tcPr>
          <w:p w14:paraId="62A585A1" w14:textId="77777777" w:rsidR="00C236A2" w:rsidRPr="0013396E" w:rsidRDefault="00C236A2" w:rsidP="0099759E">
            <w:pPr>
              <w:spacing w:after="60"/>
              <w:rPr>
                <w:i/>
                <w:iCs/>
                <w:sz w:val="20"/>
              </w:rPr>
            </w:pPr>
            <w:r w:rsidRPr="0013396E">
              <w:rPr>
                <w:i/>
                <w:iCs/>
                <w:sz w:val="20"/>
              </w:rPr>
              <w:t>q</w:t>
            </w:r>
          </w:p>
        </w:tc>
        <w:tc>
          <w:tcPr>
            <w:tcW w:w="481" w:type="pct"/>
            <w:tcBorders>
              <w:top w:val="single" w:sz="4" w:space="0" w:color="auto"/>
              <w:left w:val="single" w:sz="4" w:space="0" w:color="auto"/>
              <w:bottom w:val="single" w:sz="4" w:space="0" w:color="auto"/>
              <w:right w:val="single" w:sz="4" w:space="0" w:color="auto"/>
            </w:tcBorders>
          </w:tcPr>
          <w:p w14:paraId="03044BC8" w14:textId="77777777" w:rsidR="00C236A2" w:rsidRPr="0013396E" w:rsidRDefault="00C236A2" w:rsidP="0099759E">
            <w:pPr>
              <w:spacing w:after="60"/>
              <w:rPr>
                <w:iCs/>
                <w:sz w:val="20"/>
              </w:rPr>
            </w:pPr>
            <w:r w:rsidRPr="0013396E">
              <w:rPr>
                <w:iCs/>
                <w:sz w:val="20"/>
              </w:rPr>
              <w:t>none</w:t>
            </w:r>
          </w:p>
        </w:tc>
        <w:tc>
          <w:tcPr>
            <w:tcW w:w="3585" w:type="pct"/>
            <w:tcBorders>
              <w:top w:val="single" w:sz="4" w:space="0" w:color="auto"/>
              <w:left w:val="single" w:sz="4" w:space="0" w:color="auto"/>
              <w:bottom w:val="single" w:sz="4" w:space="0" w:color="auto"/>
              <w:right w:val="single" w:sz="4" w:space="0" w:color="auto"/>
            </w:tcBorders>
          </w:tcPr>
          <w:p w14:paraId="56DBE669" w14:textId="77777777" w:rsidR="00C236A2" w:rsidRPr="0013396E" w:rsidRDefault="00C236A2" w:rsidP="0099759E">
            <w:pPr>
              <w:spacing w:after="60"/>
              <w:rPr>
                <w:iCs/>
                <w:sz w:val="20"/>
              </w:rPr>
            </w:pPr>
            <w:r w:rsidRPr="0013396E">
              <w:rPr>
                <w:iCs/>
                <w:sz w:val="20"/>
              </w:rPr>
              <w:t>A QSE.</w:t>
            </w:r>
          </w:p>
        </w:tc>
      </w:tr>
      <w:tr w:rsidR="00C236A2" w:rsidRPr="0013396E" w14:paraId="5E1752B3" w14:textId="77777777" w:rsidTr="0099759E">
        <w:trPr>
          <w:cantSplit/>
        </w:trPr>
        <w:tc>
          <w:tcPr>
            <w:tcW w:w="934" w:type="pct"/>
            <w:tcBorders>
              <w:top w:val="single" w:sz="4" w:space="0" w:color="auto"/>
              <w:left w:val="single" w:sz="4" w:space="0" w:color="auto"/>
              <w:bottom w:val="single" w:sz="4" w:space="0" w:color="auto"/>
              <w:right w:val="single" w:sz="4" w:space="0" w:color="auto"/>
            </w:tcBorders>
          </w:tcPr>
          <w:p w14:paraId="5A224C76" w14:textId="77777777" w:rsidR="00C236A2" w:rsidRPr="0013396E" w:rsidRDefault="00C236A2" w:rsidP="0099759E">
            <w:pPr>
              <w:spacing w:after="60"/>
              <w:rPr>
                <w:i/>
                <w:iCs/>
                <w:sz w:val="20"/>
              </w:rPr>
            </w:pPr>
            <w:r w:rsidRPr="0013396E">
              <w:rPr>
                <w:i/>
                <w:iCs/>
                <w:sz w:val="20"/>
              </w:rPr>
              <w:t>p</w:t>
            </w:r>
          </w:p>
        </w:tc>
        <w:tc>
          <w:tcPr>
            <w:tcW w:w="481" w:type="pct"/>
            <w:tcBorders>
              <w:top w:val="single" w:sz="4" w:space="0" w:color="auto"/>
              <w:left w:val="single" w:sz="4" w:space="0" w:color="auto"/>
              <w:bottom w:val="single" w:sz="4" w:space="0" w:color="auto"/>
              <w:right w:val="single" w:sz="4" w:space="0" w:color="auto"/>
            </w:tcBorders>
          </w:tcPr>
          <w:p w14:paraId="70DC1EC9" w14:textId="77777777" w:rsidR="00C236A2" w:rsidRPr="0013396E" w:rsidRDefault="00C236A2" w:rsidP="0099759E">
            <w:pPr>
              <w:spacing w:after="60"/>
              <w:rPr>
                <w:iCs/>
                <w:sz w:val="20"/>
              </w:rPr>
            </w:pPr>
            <w:r w:rsidRPr="0013396E">
              <w:rPr>
                <w:iCs/>
                <w:sz w:val="20"/>
              </w:rPr>
              <w:t>none</w:t>
            </w:r>
          </w:p>
        </w:tc>
        <w:tc>
          <w:tcPr>
            <w:tcW w:w="3585" w:type="pct"/>
            <w:tcBorders>
              <w:top w:val="single" w:sz="4" w:space="0" w:color="auto"/>
              <w:left w:val="single" w:sz="4" w:space="0" w:color="auto"/>
              <w:bottom w:val="single" w:sz="4" w:space="0" w:color="auto"/>
              <w:right w:val="single" w:sz="4" w:space="0" w:color="auto"/>
            </w:tcBorders>
          </w:tcPr>
          <w:p w14:paraId="4795EFA4" w14:textId="77777777" w:rsidR="00C236A2" w:rsidRPr="0013396E" w:rsidRDefault="00C236A2" w:rsidP="0099759E">
            <w:pPr>
              <w:spacing w:after="60"/>
              <w:rPr>
                <w:iCs/>
                <w:sz w:val="20"/>
              </w:rPr>
            </w:pPr>
            <w:r w:rsidRPr="0013396E">
              <w:rPr>
                <w:iCs/>
                <w:sz w:val="20"/>
              </w:rPr>
              <w:t>A Resource Node Settlement Point.</w:t>
            </w:r>
          </w:p>
        </w:tc>
      </w:tr>
      <w:tr w:rsidR="00C236A2" w:rsidRPr="0013396E" w14:paraId="68683916" w14:textId="77777777" w:rsidTr="0099759E">
        <w:trPr>
          <w:cantSplit/>
        </w:trPr>
        <w:tc>
          <w:tcPr>
            <w:tcW w:w="934" w:type="pct"/>
            <w:tcBorders>
              <w:top w:val="single" w:sz="4" w:space="0" w:color="auto"/>
              <w:left w:val="single" w:sz="4" w:space="0" w:color="auto"/>
              <w:bottom w:val="single" w:sz="4" w:space="0" w:color="auto"/>
              <w:right w:val="single" w:sz="4" w:space="0" w:color="auto"/>
            </w:tcBorders>
          </w:tcPr>
          <w:p w14:paraId="3FCC7AFD" w14:textId="77777777" w:rsidR="00C236A2" w:rsidRPr="0013396E" w:rsidRDefault="00C236A2" w:rsidP="0099759E">
            <w:pPr>
              <w:spacing w:after="60"/>
              <w:rPr>
                <w:i/>
                <w:iCs/>
                <w:sz w:val="20"/>
              </w:rPr>
            </w:pPr>
            <w:r w:rsidRPr="0013396E">
              <w:rPr>
                <w:i/>
                <w:iCs/>
                <w:sz w:val="20"/>
              </w:rPr>
              <w:t>r</w:t>
            </w:r>
          </w:p>
        </w:tc>
        <w:tc>
          <w:tcPr>
            <w:tcW w:w="481" w:type="pct"/>
            <w:tcBorders>
              <w:top w:val="single" w:sz="4" w:space="0" w:color="auto"/>
              <w:left w:val="single" w:sz="4" w:space="0" w:color="auto"/>
              <w:bottom w:val="single" w:sz="4" w:space="0" w:color="auto"/>
              <w:right w:val="single" w:sz="4" w:space="0" w:color="auto"/>
            </w:tcBorders>
          </w:tcPr>
          <w:p w14:paraId="22970D36" w14:textId="77777777" w:rsidR="00C236A2" w:rsidRPr="0013396E" w:rsidRDefault="00C236A2" w:rsidP="0099759E">
            <w:pPr>
              <w:spacing w:after="60"/>
              <w:rPr>
                <w:iCs/>
                <w:sz w:val="20"/>
              </w:rPr>
            </w:pPr>
            <w:r w:rsidRPr="0013396E">
              <w:rPr>
                <w:iCs/>
                <w:sz w:val="20"/>
              </w:rPr>
              <w:t>none</w:t>
            </w:r>
          </w:p>
        </w:tc>
        <w:tc>
          <w:tcPr>
            <w:tcW w:w="3585" w:type="pct"/>
            <w:tcBorders>
              <w:top w:val="single" w:sz="4" w:space="0" w:color="auto"/>
              <w:left w:val="single" w:sz="4" w:space="0" w:color="auto"/>
              <w:bottom w:val="single" w:sz="4" w:space="0" w:color="auto"/>
              <w:right w:val="single" w:sz="4" w:space="0" w:color="auto"/>
            </w:tcBorders>
          </w:tcPr>
          <w:p w14:paraId="17E2872B" w14:textId="77777777" w:rsidR="00C236A2" w:rsidRPr="0013396E" w:rsidRDefault="00C236A2" w:rsidP="0099759E">
            <w:pPr>
              <w:spacing w:after="60"/>
              <w:rPr>
                <w:iCs/>
                <w:sz w:val="20"/>
              </w:rPr>
            </w:pPr>
            <w:r w:rsidRPr="0013396E">
              <w:rPr>
                <w:iCs/>
                <w:sz w:val="20"/>
              </w:rPr>
              <w:t>A Generation Resource or ESR.</w:t>
            </w:r>
          </w:p>
        </w:tc>
      </w:tr>
      <w:tr w:rsidR="00C236A2" w:rsidRPr="0013396E" w14:paraId="4BC2A1DA" w14:textId="77777777" w:rsidTr="0099759E">
        <w:trPr>
          <w:cantSplit/>
        </w:trPr>
        <w:tc>
          <w:tcPr>
            <w:tcW w:w="934" w:type="pct"/>
            <w:tcBorders>
              <w:top w:val="single" w:sz="4" w:space="0" w:color="auto"/>
              <w:left w:val="single" w:sz="4" w:space="0" w:color="auto"/>
              <w:bottom w:val="single" w:sz="4" w:space="0" w:color="auto"/>
              <w:right w:val="single" w:sz="4" w:space="0" w:color="auto"/>
            </w:tcBorders>
          </w:tcPr>
          <w:p w14:paraId="0162F13D" w14:textId="77777777" w:rsidR="00C236A2" w:rsidRPr="0013396E" w:rsidRDefault="00C236A2" w:rsidP="0099759E">
            <w:pPr>
              <w:spacing w:after="60"/>
              <w:rPr>
                <w:i/>
                <w:iCs/>
                <w:sz w:val="20"/>
              </w:rPr>
            </w:pPr>
            <w:r w:rsidRPr="0013396E">
              <w:rPr>
                <w:i/>
                <w:iCs/>
                <w:sz w:val="20"/>
              </w:rPr>
              <w:t>y</w:t>
            </w:r>
          </w:p>
        </w:tc>
        <w:tc>
          <w:tcPr>
            <w:tcW w:w="481" w:type="pct"/>
            <w:tcBorders>
              <w:top w:val="single" w:sz="4" w:space="0" w:color="auto"/>
              <w:left w:val="single" w:sz="4" w:space="0" w:color="auto"/>
              <w:bottom w:val="single" w:sz="4" w:space="0" w:color="auto"/>
              <w:right w:val="single" w:sz="4" w:space="0" w:color="auto"/>
            </w:tcBorders>
          </w:tcPr>
          <w:p w14:paraId="4BCD6862" w14:textId="77777777" w:rsidR="00C236A2" w:rsidRPr="0013396E" w:rsidRDefault="00C236A2" w:rsidP="0099759E">
            <w:pPr>
              <w:spacing w:after="60"/>
              <w:rPr>
                <w:iCs/>
                <w:sz w:val="20"/>
              </w:rPr>
            </w:pPr>
            <w:r w:rsidRPr="0013396E">
              <w:rPr>
                <w:iCs/>
                <w:sz w:val="20"/>
              </w:rPr>
              <w:t>none</w:t>
            </w:r>
          </w:p>
        </w:tc>
        <w:tc>
          <w:tcPr>
            <w:tcW w:w="3585" w:type="pct"/>
            <w:tcBorders>
              <w:top w:val="single" w:sz="4" w:space="0" w:color="auto"/>
              <w:left w:val="single" w:sz="4" w:space="0" w:color="auto"/>
              <w:bottom w:val="single" w:sz="4" w:space="0" w:color="auto"/>
              <w:right w:val="single" w:sz="4" w:space="0" w:color="auto"/>
            </w:tcBorders>
          </w:tcPr>
          <w:p w14:paraId="222A4C6C" w14:textId="77777777" w:rsidR="00C236A2" w:rsidRPr="0013396E" w:rsidRDefault="00C236A2" w:rsidP="0099759E">
            <w:pPr>
              <w:spacing w:after="60"/>
              <w:rPr>
                <w:iCs/>
                <w:sz w:val="20"/>
              </w:rPr>
            </w:pPr>
            <w:r w:rsidRPr="0013396E">
              <w:rPr>
                <w:iCs/>
                <w:sz w:val="20"/>
              </w:rPr>
              <w:t>An Emergency Base Point interval or SCED interval that overlaps the 15-minute Settlement Interval.</w:t>
            </w:r>
          </w:p>
        </w:tc>
      </w:tr>
      <w:tr w:rsidR="00C236A2" w:rsidRPr="0013396E" w14:paraId="21838B58" w14:textId="77777777" w:rsidTr="0099759E">
        <w:trPr>
          <w:cantSplit/>
        </w:trPr>
        <w:tc>
          <w:tcPr>
            <w:tcW w:w="934" w:type="pct"/>
            <w:tcBorders>
              <w:top w:val="single" w:sz="4" w:space="0" w:color="auto"/>
              <w:left w:val="single" w:sz="4" w:space="0" w:color="auto"/>
              <w:bottom w:val="single" w:sz="4" w:space="0" w:color="auto"/>
              <w:right w:val="single" w:sz="4" w:space="0" w:color="auto"/>
            </w:tcBorders>
          </w:tcPr>
          <w:p w14:paraId="04C80124" w14:textId="77777777" w:rsidR="00C236A2" w:rsidRPr="0013396E" w:rsidRDefault="00C236A2" w:rsidP="0099759E">
            <w:pPr>
              <w:spacing w:after="60"/>
              <w:rPr>
                <w:iCs/>
                <w:sz w:val="20"/>
              </w:rPr>
            </w:pPr>
            <w:r w:rsidRPr="0013396E">
              <w:rPr>
                <w:iCs/>
                <w:sz w:val="20"/>
              </w:rPr>
              <w:t>3600</w:t>
            </w:r>
          </w:p>
        </w:tc>
        <w:tc>
          <w:tcPr>
            <w:tcW w:w="481" w:type="pct"/>
            <w:tcBorders>
              <w:top w:val="single" w:sz="4" w:space="0" w:color="auto"/>
              <w:left w:val="single" w:sz="4" w:space="0" w:color="auto"/>
              <w:bottom w:val="single" w:sz="4" w:space="0" w:color="auto"/>
              <w:right w:val="single" w:sz="4" w:space="0" w:color="auto"/>
            </w:tcBorders>
          </w:tcPr>
          <w:p w14:paraId="07E0667F" w14:textId="77777777" w:rsidR="00C236A2" w:rsidRPr="0013396E" w:rsidRDefault="00C236A2" w:rsidP="0099759E">
            <w:pPr>
              <w:spacing w:after="60"/>
              <w:rPr>
                <w:iCs/>
                <w:sz w:val="20"/>
              </w:rPr>
            </w:pPr>
            <w:r w:rsidRPr="0013396E">
              <w:rPr>
                <w:iCs/>
                <w:sz w:val="20"/>
              </w:rPr>
              <w:t>none</w:t>
            </w:r>
          </w:p>
        </w:tc>
        <w:tc>
          <w:tcPr>
            <w:tcW w:w="3585" w:type="pct"/>
            <w:tcBorders>
              <w:top w:val="single" w:sz="4" w:space="0" w:color="auto"/>
              <w:left w:val="single" w:sz="4" w:space="0" w:color="auto"/>
              <w:bottom w:val="single" w:sz="4" w:space="0" w:color="auto"/>
              <w:right w:val="single" w:sz="4" w:space="0" w:color="auto"/>
            </w:tcBorders>
          </w:tcPr>
          <w:p w14:paraId="46C8D441" w14:textId="77777777" w:rsidR="00C236A2" w:rsidRPr="0013396E" w:rsidRDefault="00C236A2" w:rsidP="0099759E">
            <w:pPr>
              <w:spacing w:after="60"/>
              <w:rPr>
                <w:iCs/>
                <w:sz w:val="20"/>
              </w:rPr>
            </w:pPr>
            <w:r w:rsidRPr="0013396E">
              <w:rPr>
                <w:iCs/>
                <w:sz w:val="20"/>
              </w:rPr>
              <w:t>The number of seconds in one hour.</w:t>
            </w:r>
          </w:p>
        </w:tc>
      </w:tr>
    </w:tbl>
    <w:p w14:paraId="4E857E9E" w14:textId="77777777" w:rsidR="00C236A2" w:rsidRPr="0013396E" w:rsidRDefault="00C236A2" w:rsidP="00C236A2">
      <w:pPr>
        <w:spacing w:before="240" w:after="240"/>
        <w:ind w:left="720" w:hanging="720"/>
        <w:rPr>
          <w:iCs/>
        </w:rPr>
      </w:pPr>
      <w:r w:rsidRPr="0013396E">
        <w:rPr>
          <w:iCs/>
        </w:rPr>
        <w:t>(3)</w:t>
      </w:r>
      <w:r w:rsidRPr="0013396E">
        <w:rPr>
          <w:iCs/>
        </w:rPr>
        <w:tab/>
        <w:t>The extension of the Energy Offer Curve or Energy Bid/Offer Curve and Mitigated Offer Cap (MOC) is used to calculate the Emergency Base Point Price (EBPPR).  If the Emergency Base Point MW value is greater than the largest MW value on the Energy Offer Curve or Energy Bid/Offer Curve submitted by the QSE for the Resource, or the Resource’s MOC, then the Energy Offer Curve, Energy Bid/Offer Curve, or MOC is extended to the Emergency Base Point MW value with a $/MWh value that is equal to the highest $/MWh value on the applicable curve.  If the Emergency Base Point MW value is lower than the lowest MW value on the Energy Offer Curve or Energy Bid/Offer Curve submitted by the QSE for the Resource, or the Resource’s MOC, then the Energy Offer Curve, Energy Bid/Offer Curve or MOC is extended to the Emergency Base Point MW value with a $/MWh value that is equal to the lowest $/MWh value on the applicable curve.</w:t>
      </w:r>
    </w:p>
    <w:p w14:paraId="72575075" w14:textId="77777777" w:rsidR="00C236A2" w:rsidRPr="0013396E" w:rsidRDefault="00C236A2" w:rsidP="00C236A2">
      <w:pPr>
        <w:spacing w:after="240"/>
        <w:ind w:left="720" w:hanging="720"/>
        <w:rPr>
          <w:iCs/>
        </w:rPr>
      </w:pPr>
      <w:r w:rsidRPr="0013396E">
        <w:rPr>
          <w:iCs/>
        </w:rPr>
        <w:lastRenderedPageBreak/>
        <w:t xml:space="preserve">(4)       If the Real-Time Ancillary Service Award is greater than the total quantity from the Resource-Specific Ancillary Service Offer submitted by the QSE, then the Real-Time Ancillary Service Offer price for the Resource will be equal to the highest price from the submitted Resource-Specific Ancillary Service Offer for the Ancillary Service type. </w:t>
      </w:r>
    </w:p>
    <w:p w14:paraId="1AB68946" w14:textId="77777777" w:rsidR="00C236A2" w:rsidRPr="0013396E" w:rsidRDefault="00C236A2" w:rsidP="00C236A2">
      <w:pPr>
        <w:spacing w:after="240"/>
        <w:ind w:left="720" w:hanging="720"/>
        <w:rPr>
          <w:iCs/>
        </w:rPr>
      </w:pPr>
      <w:r w:rsidRPr="0013396E">
        <w:rPr>
          <w:iCs/>
        </w:rPr>
        <w:t>(5)</w:t>
      </w:r>
      <w:r w:rsidRPr="0013396E">
        <w:rPr>
          <w:iCs/>
        </w:rPr>
        <w:tab/>
        <w:t>The total additional compensation to each QSE for emergency Settlement of Resources for the 15-minute Settlement Interval is calculated as follows:</w:t>
      </w:r>
    </w:p>
    <w:p w14:paraId="67BD0424" w14:textId="77777777" w:rsidR="00C236A2" w:rsidRPr="0013396E" w:rsidRDefault="00C236A2" w:rsidP="00C236A2">
      <w:pPr>
        <w:tabs>
          <w:tab w:val="left" w:pos="2340"/>
          <w:tab w:val="left" w:pos="3420"/>
        </w:tabs>
        <w:spacing w:before="240" w:after="240"/>
        <w:ind w:left="3420" w:hanging="2700"/>
        <w:rPr>
          <w:b/>
          <w:bCs/>
        </w:rPr>
      </w:pPr>
      <w:r w:rsidRPr="0013396E">
        <w:rPr>
          <w:b/>
          <w:bCs/>
        </w:rPr>
        <w:t xml:space="preserve">EMREAMTQSETOT </w:t>
      </w:r>
      <w:r w:rsidRPr="0013396E">
        <w:rPr>
          <w:b/>
          <w:bCs/>
          <w:i/>
          <w:vertAlign w:val="subscript"/>
        </w:rPr>
        <w:t>q</w:t>
      </w:r>
      <w:r w:rsidRPr="0013396E">
        <w:rPr>
          <w:b/>
          <w:bCs/>
        </w:rPr>
        <w:tab/>
        <w:t>=</w:t>
      </w:r>
      <w:r w:rsidRPr="0013396E">
        <w:rPr>
          <w:b/>
          <w:bCs/>
        </w:rPr>
        <w:tab/>
      </w:r>
      <w:r w:rsidRPr="0013396E">
        <w:rPr>
          <w:b/>
          <w:bCs/>
          <w:position w:val="-18"/>
        </w:rPr>
        <w:object w:dxaOrig="225" w:dyaOrig="420" w14:anchorId="181DFC0B">
          <v:shape id="_x0000_i1220" type="#_x0000_t75" style="width:12pt;height:24pt" o:ole="">
            <v:imagedata r:id="rId199" o:title=""/>
          </v:shape>
          <o:OLEObject Type="Embed" ProgID="Equation.3" ShapeID="_x0000_i1220" DrawAspect="Content" ObjectID="_1836311498" r:id="rId277"/>
        </w:object>
      </w:r>
      <w:r w:rsidRPr="0013396E">
        <w:rPr>
          <w:b/>
          <w:bCs/>
          <w:position w:val="-22"/>
        </w:rPr>
        <w:object w:dxaOrig="225" w:dyaOrig="465" w14:anchorId="515AEC37">
          <v:shape id="_x0000_i1221" type="#_x0000_t75" style="width:12pt;height:24pt" o:ole="">
            <v:imagedata r:id="rId140" o:title=""/>
          </v:shape>
          <o:OLEObject Type="Embed" ProgID="Equation.3" ShapeID="_x0000_i1221" DrawAspect="Content" ObjectID="_1836311499" r:id="rId278"/>
        </w:object>
      </w:r>
      <w:r w:rsidRPr="0013396E">
        <w:rPr>
          <w:b/>
          <w:bCs/>
        </w:rPr>
        <w:t xml:space="preserve">EMREAMT </w:t>
      </w:r>
      <w:r w:rsidRPr="0013396E">
        <w:rPr>
          <w:b/>
          <w:bCs/>
          <w:i/>
          <w:vertAlign w:val="subscript"/>
        </w:rPr>
        <w:t>q, r, p</w:t>
      </w:r>
    </w:p>
    <w:p w14:paraId="5954BE61" w14:textId="77777777" w:rsidR="00C236A2" w:rsidRPr="0013396E" w:rsidRDefault="00C236A2" w:rsidP="00C236A2">
      <w:r w:rsidRPr="0013396E">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7"/>
        <w:gridCol w:w="847"/>
        <w:gridCol w:w="6186"/>
      </w:tblGrid>
      <w:tr w:rsidR="00C236A2" w:rsidRPr="0013396E" w14:paraId="7377A515" w14:textId="77777777" w:rsidTr="0099759E">
        <w:trPr>
          <w:cantSplit/>
          <w:tblHeader/>
        </w:trPr>
        <w:tc>
          <w:tcPr>
            <w:tcW w:w="1239" w:type="pct"/>
          </w:tcPr>
          <w:p w14:paraId="23187F42" w14:textId="77777777" w:rsidR="00C236A2" w:rsidRPr="0013396E" w:rsidRDefault="00C236A2" w:rsidP="0099759E">
            <w:pPr>
              <w:spacing w:after="240"/>
              <w:rPr>
                <w:b/>
                <w:iCs/>
                <w:sz w:val="20"/>
              </w:rPr>
            </w:pPr>
            <w:r w:rsidRPr="0013396E">
              <w:rPr>
                <w:b/>
                <w:iCs/>
                <w:sz w:val="20"/>
              </w:rPr>
              <w:t>Variable</w:t>
            </w:r>
          </w:p>
        </w:tc>
        <w:tc>
          <w:tcPr>
            <w:tcW w:w="453" w:type="pct"/>
          </w:tcPr>
          <w:p w14:paraId="7DD6CFA7" w14:textId="77777777" w:rsidR="00C236A2" w:rsidRPr="0013396E" w:rsidRDefault="00C236A2" w:rsidP="0099759E">
            <w:pPr>
              <w:spacing w:after="240"/>
              <w:rPr>
                <w:b/>
                <w:iCs/>
                <w:sz w:val="20"/>
              </w:rPr>
            </w:pPr>
            <w:r w:rsidRPr="0013396E">
              <w:rPr>
                <w:b/>
                <w:iCs/>
                <w:sz w:val="20"/>
              </w:rPr>
              <w:t>Unit</w:t>
            </w:r>
          </w:p>
        </w:tc>
        <w:tc>
          <w:tcPr>
            <w:tcW w:w="3308" w:type="pct"/>
          </w:tcPr>
          <w:p w14:paraId="34E94137" w14:textId="77777777" w:rsidR="00C236A2" w:rsidRPr="0013396E" w:rsidRDefault="00C236A2" w:rsidP="0099759E">
            <w:pPr>
              <w:spacing w:after="240"/>
              <w:rPr>
                <w:b/>
                <w:iCs/>
                <w:sz w:val="20"/>
              </w:rPr>
            </w:pPr>
            <w:r w:rsidRPr="0013396E">
              <w:rPr>
                <w:b/>
                <w:iCs/>
                <w:sz w:val="20"/>
              </w:rPr>
              <w:t>Definition</w:t>
            </w:r>
          </w:p>
        </w:tc>
      </w:tr>
      <w:tr w:rsidR="00C236A2" w:rsidRPr="0013396E" w14:paraId="521EC0CE" w14:textId="77777777" w:rsidTr="0099759E">
        <w:trPr>
          <w:cantSplit/>
        </w:trPr>
        <w:tc>
          <w:tcPr>
            <w:tcW w:w="1239" w:type="pct"/>
          </w:tcPr>
          <w:p w14:paraId="5005091E" w14:textId="77777777" w:rsidR="00C236A2" w:rsidRPr="0013396E" w:rsidRDefault="00C236A2" w:rsidP="0099759E">
            <w:pPr>
              <w:spacing w:after="60"/>
              <w:rPr>
                <w:iCs/>
                <w:sz w:val="20"/>
              </w:rPr>
            </w:pPr>
            <w:r w:rsidRPr="0013396E">
              <w:rPr>
                <w:iCs/>
                <w:sz w:val="20"/>
              </w:rPr>
              <w:t xml:space="preserve">EMREAMTQSETOT </w:t>
            </w:r>
            <w:r w:rsidRPr="0013396E">
              <w:rPr>
                <w:i/>
                <w:iCs/>
                <w:sz w:val="20"/>
                <w:vertAlign w:val="subscript"/>
              </w:rPr>
              <w:t>q</w:t>
            </w:r>
          </w:p>
        </w:tc>
        <w:tc>
          <w:tcPr>
            <w:tcW w:w="453" w:type="pct"/>
          </w:tcPr>
          <w:p w14:paraId="6C3BB2B7" w14:textId="77777777" w:rsidR="00C236A2" w:rsidRPr="0013396E" w:rsidRDefault="00C236A2" w:rsidP="0099759E">
            <w:pPr>
              <w:spacing w:after="60"/>
              <w:rPr>
                <w:iCs/>
                <w:sz w:val="20"/>
              </w:rPr>
            </w:pPr>
            <w:r w:rsidRPr="0013396E">
              <w:rPr>
                <w:iCs/>
                <w:sz w:val="20"/>
              </w:rPr>
              <w:t>$</w:t>
            </w:r>
          </w:p>
        </w:tc>
        <w:tc>
          <w:tcPr>
            <w:tcW w:w="3308" w:type="pct"/>
          </w:tcPr>
          <w:p w14:paraId="4944091F" w14:textId="77777777" w:rsidR="00C236A2" w:rsidRPr="0013396E" w:rsidRDefault="00C236A2" w:rsidP="0099759E">
            <w:pPr>
              <w:spacing w:after="60"/>
              <w:rPr>
                <w:iCs/>
                <w:sz w:val="20"/>
              </w:rPr>
            </w:pPr>
            <w:r w:rsidRPr="0013396E">
              <w:rPr>
                <w:i/>
                <w:iCs/>
                <w:sz w:val="20"/>
              </w:rPr>
              <w:t>Emergency Energy Amount QSE Total per QSE</w:t>
            </w:r>
            <w:r w:rsidRPr="0013396E">
              <w:rPr>
                <w:iCs/>
                <w:sz w:val="20"/>
              </w:rPr>
              <w:sym w:font="Symbol" w:char="F0BE"/>
            </w:r>
            <w:r w:rsidRPr="0013396E">
              <w:rPr>
                <w:iCs/>
                <w:sz w:val="20"/>
              </w:rPr>
              <w:t xml:space="preserve">The total of the payments to QSE </w:t>
            </w:r>
            <w:r w:rsidRPr="0013396E">
              <w:rPr>
                <w:i/>
                <w:iCs/>
                <w:sz w:val="20"/>
              </w:rPr>
              <w:t>q</w:t>
            </w:r>
            <w:r w:rsidRPr="0013396E">
              <w:rPr>
                <w:iCs/>
                <w:sz w:val="20"/>
              </w:rPr>
              <w:t xml:space="preserve"> as additional compensation for additional energy or Ancillary Services of the Resources represented by this QSE for the 15-minute Settlement Interval.</w:t>
            </w:r>
          </w:p>
        </w:tc>
      </w:tr>
      <w:tr w:rsidR="00C236A2" w:rsidRPr="0013396E" w14:paraId="68F3E527" w14:textId="77777777" w:rsidTr="0099759E">
        <w:trPr>
          <w:cantSplit/>
        </w:trPr>
        <w:tc>
          <w:tcPr>
            <w:tcW w:w="1239" w:type="pct"/>
          </w:tcPr>
          <w:p w14:paraId="00D770D0" w14:textId="77777777" w:rsidR="00C236A2" w:rsidRPr="0013396E" w:rsidRDefault="00C236A2" w:rsidP="0099759E">
            <w:pPr>
              <w:spacing w:after="60"/>
              <w:rPr>
                <w:iCs/>
                <w:sz w:val="20"/>
              </w:rPr>
            </w:pPr>
            <w:r w:rsidRPr="0013396E">
              <w:rPr>
                <w:iCs/>
                <w:sz w:val="20"/>
              </w:rPr>
              <w:t xml:space="preserve">EMREAMT </w:t>
            </w:r>
            <w:r w:rsidRPr="0013396E">
              <w:rPr>
                <w:i/>
                <w:iCs/>
                <w:sz w:val="20"/>
                <w:vertAlign w:val="subscript"/>
              </w:rPr>
              <w:t>q, r, p</w:t>
            </w:r>
          </w:p>
        </w:tc>
        <w:tc>
          <w:tcPr>
            <w:tcW w:w="453" w:type="pct"/>
          </w:tcPr>
          <w:p w14:paraId="640F8419" w14:textId="77777777" w:rsidR="00C236A2" w:rsidRPr="0013396E" w:rsidRDefault="00C236A2" w:rsidP="0099759E">
            <w:pPr>
              <w:spacing w:after="60"/>
              <w:rPr>
                <w:iCs/>
                <w:sz w:val="20"/>
              </w:rPr>
            </w:pPr>
            <w:r w:rsidRPr="0013396E">
              <w:rPr>
                <w:iCs/>
                <w:sz w:val="20"/>
              </w:rPr>
              <w:t>$</w:t>
            </w:r>
          </w:p>
        </w:tc>
        <w:tc>
          <w:tcPr>
            <w:tcW w:w="3308" w:type="pct"/>
          </w:tcPr>
          <w:p w14:paraId="424B9730" w14:textId="77777777" w:rsidR="00C236A2" w:rsidRPr="0013396E" w:rsidRDefault="00C236A2" w:rsidP="0099759E">
            <w:pPr>
              <w:spacing w:after="60"/>
              <w:rPr>
                <w:iCs/>
                <w:sz w:val="20"/>
              </w:rPr>
            </w:pPr>
            <w:r w:rsidRPr="0013396E">
              <w:rPr>
                <w:i/>
                <w:iCs/>
                <w:sz w:val="20"/>
              </w:rPr>
              <w:t>Emergency Energy Amount per QSE per Settlement Point per Resource</w:t>
            </w:r>
            <w:r w:rsidRPr="0013396E">
              <w:rPr>
                <w:iCs/>
                <w:sz w:val="20"/>
              </w:rPr>
              <w:t xml:space="preserve">—The payment to QSE </w:t>
            </w:r>
            <w:r w:rsidRPr="0013396E">
              <w:rPr>
                <w:i/>
                <w:iCs/>
                <w:sz w:val="20"/>
              </w:rPr>
              <w:t>q</w:t>
            </w:r>
            <w:r w:rsidRPr="0013396E">
              <w:rPr>
                <w:iCs/>
                <w:sz w:val="20"/>
              </w:rPr>
              <w:t xml:space="preserve"> as additional compensation for the additional energy or Ancillary Services produced or consumed by Resource </w:t>
            </w:r>
            <w:r w:rsidRPr="0013396E">
              <w:rPr>
                <w:i/>
                <w:iCs/>
                <w:sz w:val="20"/>
              </w:rPr>
              <w:t>r</w:t>
            </w:r>
            <w:r w:rsidRPr="0013396E">
              <w:rPr>
                <w:iCs/>
                <w:sz w:val="20"/>
              </w:rPr>
              <w:t xml:space="preserve"> at Resource Node </w:t>
            </w:r>
            <w:r w:rsidRPr="0013396E">
              <w:rPr>
                <w:i/>
                <w:iCs/>
                <w:sz w:val="20"/>
              </w:rPr>
              <w:t>p</w:t>
            </w:r>
            <w:r w:rsidRPr="0013396E">
              <w:rPr>
                <w:iCs/>
                <w:sz w:val="20"/>
              </w:rPr>
              <w:t xml:space="preserve"> in Real-Time during the Emergency Condition or Watch, for the 15-minute Settlement Interval.  Where for a Combined Cycle Train, the Resource </w:t>
            </w:r>
            <w:r w:rsidRPr="0013396E">
              <w:rPr>
                <w:i/>
                <w:iCs/>
                <w:sz w:val="20"/>
              </w:rPr>
              <w:t xml:space="preserve">r </w:t>
            </w:r>
            <w:r w:rsidRPr="0013396E">
              <w:rPr>
                <w:iCs/>
                <w:sz w:val="20"/>
              </w:rPr>
              <w:t>is the Combined Cycle Train.</w:t>
            </w:r>
          </w:p>
        </w:tc>
      </w:tr>
      <w:tr w:rsidR="00C236A2" w:rsidRPr="0013396E" w14:paraId="221300DF" w14:textId="77777777" w:rsidTr="0099759E">
        <w:trPr>
          <w:cantSplit/>
        </w:trPr>
        <w:tc>
          <w:tcPr>
            <w:tcW w:w="1239" w:type="pct"/>
            <w:tcBorders>
              <w:top w:val="single" w:sz="4" w:space="0" w:color="auto"/>
              <w:left w:val="single" w:sz="4" w:space="0" w:color="auto"/>
              <w:bottom w:val="single" w:sz="4" w:space="0" w:color="auto"/>
              <w:right w:val="single" w:sz="4" w:space="0" w:color="auto"/>
            </w:tcBorders>
          </w:tcPr>
          <w:p w14:paraId="6FAAE567" w14:textId="77777777" w:rsidR="00C236A2" w:rsidRPr="0013396E" w:rsidRDefault="00C236A2" w:rsidP="0099759E">
            <w:pPr>
              <w:spacing w:after="60"/>
              <w:rPr>
                <w:i/>
                <w:iCs/>
                <w:sz w:val="20"/>
              </w:rPr>
            </w:pPr>
            <w:r w:rsidRPr="0013396E">
              <w:rPr>
                <w:i/>
                <w:iCs/>
                <w:sz w:val="20"/>
              </w:rPr>
              <w:t>q</w:t>
            </w:r>
          </w:p>
        </w:tc>
        <w:tc>
          <w:tcPr>
            <w:tcW w:w="453" w:type="pct"/>
            <w:tcBorders>
              <w:top w:val="single" w:sz="4" w:space="0" w:color="auto"/>
              <w:left w:val="single" w:sz="4" w:space="0" w:color="auto"/>
              <w:bottom w:val="single" w:sz="4" w:space="0" w:color="auto"/>
              <w:right w:val="single" w:sz="4" w:space="0" w:color="auto"/>
            </w:tcBorders>
          </w:tcPr>
          <w:p w14:paraId="0A2F9143" w14:textId="77777777" w:rsidR="00C236A2" w:rsidRPr="0013396E" w:rsidRDefault="00C236A2" w:rsidP="0099759E">
            <w:pPr>
              <w:spacing w:after="60"/>
              <w:rPr>
                <w:iCs/>
                <w:sz w:val="20"/>
              </w:rPr>
            </w:pPr>
            <w:r w:rsidRPr="0013396E">
              <w:rPr>
                <w:iCs/>
                <w:sz w:val="20"/>
              </w:rPr>
              <w:t>none</w:t>
            </w:r>
          </w:p>
        </w:tc>
        <w:tc>
          <w:tcPr>
            <w:tcW w:w="3308" w:type="pct"/>
            <w:tcBorders>
              <w:top w:val="single" w:sz="4" w:space="0" w:color="auto"/>
              <w:left w:val="single" w:sz="4" w:space="0" w:color="auto"/>
              <w:bottom w:val="single" w:sz="4" w:space="0" w:color="auto"/>
              <w:right w:val="single" w:sz="4" w:space="0" w:color="auto"/>
            </w:tcBorders>
          </w:tcPr>
          <w:p w14:paraId="5DE48018" w14:textId="77777777" w:rsidR="00C236A2" w:rsidRPr="0013396E" w:rsidRDefault="00C236A2" w:rsidP="0099759E">
            <w:pPr>
              <w:spacing w:after="60"/>
              <w:rPr>
                <w:iCs/>
                <w:sz w:val="20"/>
              </w:rPr>
            </w:pPr>
            <w:r w:rsidRPr="0013396E">
              <w:rPr>
                <w:iCs/>
                <w:sz w:val="20"/>
              </w:rPr>
              <w:t>A QSE.</w:t>
            </w:r>
          </w:p>
        </w:tc>
      </w:tr>
      <w:tr w:rsidR="00C236A2" w:rsidRPr="0013396E" w14:paraId="04C48DED" w14:textId="77777777" w:rsidTr="0099759E">
        <w:trPr>
          <w:cantSplit/>
        </w:trPr>
        <w:tc>
          <w:tcPr>
            <w:tcW w:w="1239" w:type="pct"/>
            <w:tcBorders>
              <w:top w:val="single" w:sz="4" w:space="0" w:color="auto"/>
              <w:left w:val="single" w:sz="4" w:space="0" w:color="auto"/>
              <w:bottom w:val="single" w:sz="4" w:space="0" w:color="auto"/>
              <w:right w:val="single" w:sz="4" w:space="0" w:color="auto"/>
            </w:tcBorders>
          </w:tcPr>
          <w:p w14:paraId="4E1530EB" w14:textId="77777777" w:rsidR="00C236A2" w:rsidRPr="0013396E" w:rsidRDefault="00C236A2" w:rsidP="0099759E">
            <w:pPr>
              <w:spacing w:after="60"/>
              <w:rPr>
                <w:i/>
                <w:iCs/>
                <w:sz w:val="20"/>
              </w:rPr>
            </w:pPr>
            <w:r w:rsidRPr="0013396E">
              <w:rPr>
                <w:i/>
                <w:iCs/>
                <w:sz w:val="20"/>
              </w:rPr>
              <w:t>p</w:t>
            </w:r>
          </w:p>
        </w:tc>
        <w:tc>
          <w:tcPr>
            <w:tcW w:w="453" w:type="pct"/>
            <w:tcBorders>
              <w:top w:val="single" w:sz="4" w:space="0" w:color="auto"/>
              <w:left w:val="single" w:sz="4" w:space="0" w:color="auto"/>
              <w:bottom w:val="single" w:sz="4" w:space="0" w:color="auto"/>
              <w:right w:val="single" w:sz="4" w:space="0" w:color="auto"/>
            </w:tcBorders>
          </w:tcPr>
          <w:p w14:paraId="1E029345" w14:textId="77777777" w:rsidR="00C236A2" w:rsidRPr="0013396E" w:rsidRDefault="00C236A2" w:rsidP="0099759E">
            <w:pPr>
              <w:spacing w:after="60"/>
              <w:rPr>
                <w:iCs/>
                <w:sz w:val="20"/>
              </w:rPr>
            </w:pPr>
            <w:r w:rsidRPr="0013396E">
              <w:rPr>
                <w:iCs/>
                <w:sz w:val="20"/>
              </w:rPr>
              <w:t>none</w:t>
            </w:r>
          </w:p>
        </w:tc>
        <w:tc>
          <w:tcPr>
            <w:tcW w:w="3308" w:type="pct"/>
            <w:tcBorders>
              <w:top w:val="single" w:sz="4" w:space="0" w:color="auto"/>
              <w:left w:val="single" w:sz="4" w:space="0" w:color="auto"/>
              <w:bottom w:val="single" w:sz="4" w:space="0" w:color="auto"/>
              <w:right w:val="single" w:sz="4" w:space="0" w:color="auto"/>
            </w:tcBorders>
          </w:tcPr>
          <w:p w14:paraId="63D8871F" w14:textId="77777777" w:rsidR="00C236A2" w:rsidRPr="0013396E" w:rsidRDefault="00C236A2" w:rsidP="0099759E">
            <w:pPr>
              <w:spacing w:after="60"/>
              <w:rPr>
                <w:iCs/>
                <w:sz w:val="20"/>
              </w:rPr>
            </w:pPr>
            <w:r w:rsidRPr="0013396E">
              <w:rPr>
                <w:iCs/>
                <w:sz w:val="20"/>
              </w:rPr>
              <w:t>A Resource Node Settlement Point.</w:t>
            </w:r>
          </w:p>
        </w:tc>
      </w:tr>
      <w:tr w:rsidR="00C236A2" w:rsidRPr="0013396E" w14:paraId="2AA46BBF" w14:textId="77777777" w:rsidTr="0099759E">
        <w:trPr>
          <w:cantSplit/>
        </w:trPr>
        <w:tc>
          <w:tcPr>
            <w:tcW w:w="1239" w:type="pct"/>
            <w:tcBorders>
              <w:top w:val="single" w:sz="4" w:space="0" w:color="auto"/>
              <w:left w:val="single" w:sz="4" w:space="0" w:color="auto"/>
              <w:bottom w:val="single" w:sz="4" w:space="0" w:color="auto"/>
              <w:right w:val="single" w:sz="4" w:space="0" w:color="auto"/>
            </w:tcBorders>
          </w:tcPr>
          <w:p w14:paraId="03857287" w14:textId="77777777" w:rsidR="00C236A2" w:rsidRPr="0013396E" w:rsidRDefault="00C236A2" w:rsidP="0099759E">
            <w:pPr>
              <w:spacing w:after="60"/>
              <w:rPr>
                <w:i/>
                <w:iCs/>
                <w:sz w:val="20"/>
              </w:rPr>
            </w:pPr>
            <w:r w:rsidRPr="0013396E">
              <w:rPr>
                <w:i/>
                <w:iCs/>
                <w:sz w:val="20"/>
              </w:rPr>
              <w:t>r</w:t>
            </w:r>
          </w:p>
        </w:tc>
        <w:tc>
          <w:tcPr>
            <w:tcW w:w="453" w:type="pct"/>
            <w:tcBorders>
              <w:top w:val="single" w:sz="4" w:space="0" w:color="auto"/>
              <w:left w:val="single" w:sz="4" w:space="0" w:color="auto"/>
              <w:bottom w:val="single" w:sz="4" w:space="0" w:color="auto"/>
              <w:right w:val="single" w:sz="4" w:space="0" w:color="auto"/>
            </w:tcBorders>
          </w:tcPr>
          <w:p w14:paraId="318745B7" w14:textId="77777777" w:rsidR="00C236A2" w:rsidRPr="0013396E" w:rsidRDefault="00C236A2" w:rsidP="0099759E">
            <w:pPr>
              <w:spacing w:after="60"/>
              <w:rPr>
                <w:iCs/>
                <w:sz w:val="20"/>
              </w:rPr>
            </w:pPr>
            <w:r w:rsidRPr="0013396E">
              <w:rPr>
                <w:iCs/>
                <w:sz w:val="20"/>
              </w:rPr>
              <w:t>none</w:t>
            </w:r>
          </w:p>
        </w:tc>
        <w:tc>
          <w:tcPr>
            <w:tcW w:w="3308" w:type="pct"/>
            <w:tcBorders>
              <w:top w:val="single" w:sz="4" w:space="0" w:color="auto"/>
              <w:left w:val="single" w:sz="4" w:space="0" w:color="auto"/>
              <w:bottom w:val="single" w:sz="4" w:space="0" w:color="auto"/>
              <w:right w:val="single" w:sz="4" w:space="0" w:color="auto"/>
            </w:tcBorders>
          </w:tcPr>
          <w:p w14:paraId="2D8A3873" w14:textId="77777777" w:rsidR="00C236A2" w:rsidRPr="0013396E" w:rsidRDefault="00C236A2" w:rsidP="0099759E">
            <w:pPr>
              <w:spacing w:after="60"/>
              <w:rPr>
                <w:iCs/>
                <w:sz w:val="20"/>
              </w:rPr>
            </w:pPr>
            <w:r w:rsidRPr="0013396E">
              <w:rPr>
                <w:iCs/>
                <w:sz w:val="20"/>
              </w:rPr>
              <w:t>A Generation Resource or ESR.</w:t>
            </w:r>
          </w:p>
        </w:tc>
      </w:tr>
    </w:tbl>
    <w:p w14:paraId="6D2932EA" w14:textId="77777777" w:rsidR="001F04FD" w:rsidRPr="0013396E" w:rsidRDefault="001F04FD" w:rsidP="001F04FD">
      <w:bookmarkStart w:id="2120" w:name="_Toc109009420"/>
      <w:bookmarkStart w:id="2121" w:name="_Toc87951816"/>
    </w:p>
    <w:p w14:paraId="055512FC" w14:textId="77777777" w:rsidR="00C236A2" w:rsidRPr="0013396E" w:rsidRDefault="00C236A2" w:rsidP="00C236A2">
      <w:pPr>
        <w:keepNext/>
        <w:widowControl w:val="0"/>
        <w:tabs>
          <w:tab w:val="left" w:pos="1260"/>
        </w:tabs>
        <w:spacing w:before="240" w:after="240"/>
        <w:ind w:left="1260" w:hanging="1260"/>
        <w:outlineLvl w:val="3"/>
        <w:rPr>
          <w:b/>
          <w:bCs/>
          <w:snapToGrid w:val="0"/>
        </w:rPr>
      </w:pPr>
      <w:bookmarkStart w:id="2122" w:name="_Toc214879014"/>
      <w:bookmarkStart w:id="2123" w:name="_Toc397505040"/>
      <w:bookmarkStart w:id="2124" w:name="_Toc402357172"/>
      <w:bookmarkStart w:id="2125" w:name="_Toc422486552"/>
      <w:bookmarkStart w:id="2126" w:name="_Toc433093405"/>
      <w:bookmarkStart w:id="2127" w:name="_Toc433093563"/>
      <w:bookmarkStart w:id="2128" w:name="_Toc440874793"/>
      <w:bookmarkStart w:id="2129" w:name="_Toc448142350"/>
      <w:bookmarkStart w:id="2130" w:name="_Toc448142507"/>
      <w:bookmarkStart w:id="2131" w:name="_Toc458770348"/>
      <w:bookmarkStart w:id="2132" w:name="_Toc459294316"/>
      <w:bookmarkStart w:id="2133" w:name="_Toc463262810"/>
      <w:bookmarkStart w:id="2134" w:name="_Toc468286883"/>
      <w:bookmarkStart w:id="2135" w:name="_Toc481502923"/>
      <w:bookmarkStart w:id="2136" w:name="_Toc496080091"/>
      <w:r w:rsidRPr="0013396E">
        <w:rPr>
          <w:b/>
          <w:bCs/>
          <w:snapToGrid w:val="0"/>
        </w:rPr>
        <w:t>6.6.9.2</w:t>
      </w:r>
      <w:r w:rsidRPr="0013396E">
        <w:rPr>
          <w:b/>
          <w:bCs/>
          <w:snapToGrid w:val="0"/>
        </w:rPr>
        <w:tab/>
        <w:t>Charge for Emergency Operations Settlement</w:t>
      </w:r>
      <w:bookmarkEnd w:id="2122"/>
      <w:r w:rsidRPr="0013396E">
        <w:rPr>
          <w:b/>
          <w:bCs/>
          <w:snapToGrid w:val="0"/>
        </w:rPr>
        <w:t xml:space="preserve"> </w:t>
      </w:r>
    </w:p>
    <w:p w14:paraId="2BC5F988" w14:textId="77777777" w:rsidR="00C236A2" w:rsidRPr="0013396E" w:rsidRDefault="00C236A2" w:rsidP="00C236A2">
      <w:pPr>
        <w:spacing w:after="240"/>
        <w:ind w:left="720" w:hanging="720"/>
        <w:rPr>
          <w:iCs/>
        </w:rPr>
      </w:pPr>
      <w:r w:rsidRPr="0013396E">
        <w:rPr>
          <w:iCs/>
        </w:rPr>
        <w:t>(1)</w:t>
      </w:r>
      <w:r w:rsidRPr="0013396E">
        <w:rPr>
          <w:iCs/>
        </w:rPr>
        <w:tab/>
        <w:t>The total cost for additional compensation for emergency Settlement as calculated in Section 6.6.9.1, Payment for Emergency Operations Settlement, is allocated to the QSEs representing Loads based on LRS.  The charge to each QSE for a given 15-minute Settlement Interval is calculated as follows:</w:t>
      </w:r>
    </w:p>
    <w:p w14:paraId="6502A1C8" w14:textId="77777777" w:rsidR="00C236A2" w:rsidRPr="0013396E" w:rsidRDefault="00C236A2" w:rsidP="00C236A2">
      <w:pPr>
        <w:tabs>
          <w:tab w:val="left" w:pos="2340"/>
          <w:tab w:val="left" w:pos="3420"/>
        </w:tabs>
        <w:spacing w:before="240" w:after="240"/>
        <w:ind w:left="3420" w:hanging="2700"/>
        <w:rPr>
          <w:b/>
          <w:bCs/>
        </w:rPr>
      </w:pPr>
      <w:r w:rsidRPr="0013396E">
        <w:rPr>
          <w:b/>
          <w:bCs/>
        </w:rPr>
        <w:t xml:space="preserve">LAEMREAMT </w:t>
      </w:r>
      <w:r w:rsidRPr="0013396E">
        <w:rPr>
          <w:b/>
          <w:bCs/>
          <w:i/>
          <w:vertAlign w:val="subscript"/>
        </w:rPr>
        <w:t>q</w:t>
      </w:r>
      <w:r w:rsidRPr="0013396E">
        <w:rPr>
          <w:b/>
          <w:bCs/>
        </w:rPr>
        <w:tab/>
        <w:t>=</w:t>
      </w:r>
      <w:r w:rsidRPr="0013396E">
        <w:rPr>
          <w:b/>
          <w:bCs/>
        </w:rPr>
        <w:tab/>
        <w:t xml:space="preserve">(-1) * EMREAMTTOT * LRS </w:t>
      </w:r>
      <w:r w:rsidRPr="0013396E">
        <w:rPr>
          <w:b/>
          <w:bCs/>
          <w:i/>
          <w:vertAlign w:val="subscript"/>
        </w:rPr>
        <w:t>q</w:t>
      </w:r>
    </w:p>
    <w:p w14:paraId="31056B85" w14:textId="77777777" w:rsidR="00C236A2" w:rsidRPr="0013396E" w:rsidRDefault="00C236A2" w:rsidP="00C236A2">
      <w:pPr>
        <w:spacing w:after="240"/>
      </w:pPr>
      <w:r w:rsidRPr="0013396E">
        <w:t>Where:</w:t>
      </w:r>
    </w:p>
    <w:p w14:paraId="37FA9C71" w14:textId="77777777" w:rsidR="00C236A2" w:rsidRPr="0013396E" w:rsidRDefault="00C236A2" w:rsidP="00C236A2">
      <w:pPr>
        <w:tabs>
          <w:tab w:val="left" w:pos="2340"/>
          <w:tab w:val="left" w:pos="2880"/>
        </w:tabs>
        <w:spacing w:after="240"/>
        <w:ind w:left="987" w:hanging="269"/>
        <w:rPr>
          <w:bCs/>
        </w:rPr>
      </w:pPr>
      <w:r w:rsidRPr="0013396E">
        <w:rPr>
          <w:bCs/>
        </w:rPr>
        <w:t>EMREAMTTOT</w:t>
      </w:r>
      <w:r w:rsidRPr="0013396E">
        <w:rPr>
          <w:bCs/>
        </w:rPr>
        <w:tab/>
        <w:t>=</w:t>
      </w:r>
      <w:r w:rsidRPr="0013396E">
        <w:rPr>
          <w:bCs/>
        </w:rPr>
        <w:tab/>
      </w:r>
      <w:r w:rsidRPr="0013396E">
        <w:rPr>
          <w:bCs/>
          <w:position w:val="-22"/>
        </w:rPr>
        <w:object w:dxaOrig="210" w:dyaOrig="465" w14:anchorId="6B3C59FC">
          <v:shape id="_x0000_i1222" type="#_x0000_t75" style="width:6pt;height:24pt" o:ole="">
            <v:imagedata r:id="rId279" o:title=""/>
          </v:shape>
          <o:OLEObject Type="Embed" ProgID="Equation.3" ShapeID="_x0000_i1222" DrawAspect="Content" ObjectID="_1836311500" r:id="rId280"/>
        </w:object>
      </w:r>
      <w:r w:rsidRPr="0013396E">
        <w:rPr>
          <w:bCs/>
        </w:rPr>
        <w:t xml:space="preserve">EMREAMTQSETOT </w:t>
      </w:r>
      <w:r w:rsidRPr="0013396E">
        <w:rPr>
          <w:bCs/>
          <w:i/>
          <w:vertAlign w:val="subscript"/>
        </w:rPr>
        <w:t>q</w:t>
      </w:r>
    </w:p>
    <w:p w14:paraId="24506DB3" w14:textId="77777777" w:rsidR="00C236A2" w:rsidRPr="0013396E" w:rsidRDefault="00C236A2" w:rsidP="00C236A2">
      <w:r w:rsidRPr="0013396E">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7"/>
        <w:gridCol w:w="605"/>
        <w:gridCol w:w="6508"/>
      </w:tblGrid>
      <w:tr w:rsidR="00C236A2" w:rsidRPr="0013396E" w14:paraId="173AB56B" w14:textId="77777777" w:rsidTr="0099759E">
        <w:trPr>
          <w:tblHeader/>
        </w:trPr>
        <w:tc>
          <w:tcPr>
            <w:tcW w:w="1203" w:type="pct"/>
          </w:tcPr>
          <w:p w14:paraId="3C8D2CEA" w14:textId="77777777" w:rsidR="00C236A2" w:rsidRPr="0013396E" w:rsidRDefault="00C236A2" w:rsidP="0099759E">
            <w:pPr>
              <w:spacing w:after="240"/>
              <w:rPr>
                <w:b/>
                <w:iCs/>
                <w:sz w:val="20"/>
              </w:rPr>
            </w:pPr>
            <w:r w:rsidRPr="0013396E">
              <w:rPr>
                <w:b/>
                <w:iCs/>
                <w:sz w:val="20"/>
              </w:rPr>
              <w:t>Variable</w:t>
            </w:r>
          </w:p>
        </w:tc>
        <w:tc>
          <w:tcPr>
            <w:tcW w:w="310" w:type="pct"/>
          </w:tcPr>
          <w:p w14:paraId="0F00F264" w14:textId="77777777" w:rsidR="00C236A2" w:rsidRPr="0013396E" w:rsidRDefault="00C236A2" w:rsidP="0099759E">
            <w:pPr>
              <w:spacing w:after="240"/>
              <w:rPr>
                <w:b/>
                <w:iCs/>
                <w:sz w:val="20"/>
              </w:rPr>
            </w:pPr>
            <w:r w:rsidRPr="0013396E">
              <w:rPr>
                <w:b/>
                <w:iCs/>
                <w:sz w:val="20"/>
              </w:rPr>
              <w:t>Unit</w:t>
            </w:r>
          </w:p>
        </w:tc>
        <w:tc>
          <w:tcPr>
            <w:tcW w:w="3487" w:type="pct"/>
          </w:tcPr>
          <w:p w14:paraId="325F9097" w14:textId="77777777" w:rsidR="00C236A2" w:rsidRPr="0013396E" w:rsidRDefault="00C236A2" w:rsidP="0099759E">
            <w:pPr>
              <w:spacing w:after="240"/>
              <w:rPr>
                <w:b/>
                <w:iCs/>
                <w:sz w:val="20"/>
              </w:rPr>
            </w:pPr>
            <w:r w:rsidRPr="0013396E">
              <w:rPr>
                <w:b/>
                <w:iCs/>
                <w:sz w:val="20"/>
              </w:rPr>
              <w:t>Definition</w:t>
            </w:r>
          </w:p>
        </w:tc>
      </w:tr>
      <w:tr w:rsidR="00C236A2" w:rsidRPr="0013396E" w14:paraId="43B27B39" w14:textId="77777777" w:rsidTr="0099759E">
        <w:tc>
          <w:tcPr>
            <w:tcW w:w="1203" w:type="pct"/>
          </w:tcPr>
          <w:p w14:paraId="424E8511" w14:textId="77777777" w:rsidR="00C236A2" w:rsidRPr="0013396E" w:rsidRDefault="00C236A2" w:rsidP="0099759E">
            <w:pPr>
              <w:spacing w:after="60"/>
              <w:rPr>
                <w:iCs/>
                <w:sz w:val="20"/>
              </w:rPr>
            </w:pPr>
            <w:r w:rsidRPr="0013396E">
              <w:rPr>
                <w:iCs/>
                <w:sz w:val="20"/>
              </w:rPr>
              <w:t xml:space="preserve">LAEMREAMT </w:t>
            </w:r>
            <w:r w:rsidRPr="0013396E">
              <w:rPr>
                <w:i/>
                <w:iCs/>
                <w:sz w:val="20"/>
                <w:vertAlign w:val="subscript"/>
              </w:rPr>
              <w:t>q</w:t>
            </w:r>
          </w:p>
        </w:tc>
        <w:tc>
          <w:tcPr>
            <w:tcW w:w="310" w:type="pct"/>
          </w:tcPr>
          <w:p w14:paraId="5953A3AF" w14:textId="77777777" w:rsidR="00C236A2" w:rsidRPr="0013396E" w:rsidRDefault="00C236A2" w:rsidP="0099759E">
            <w:pPr>
              <w:spacing w:after="60"/>
              <w:rPr>
                <w:iCs/>
                <w:sz w:val="20"/>
              </w:rPr>
            </w:pPr>
            <w:r w:rsidRPr="0013396E">
              <w:rPr>
                <w:iCs/>
                <w:sz w:val="20"/>
              </w:rPr>
              <w:t>$</w:t>
            </w:r>
          </w:p>
        </w:tc>
        <w:tc>
          <w:tcPr>
            <w:tcW w:w="3487" w:type="pct"/>
          </w:tcPr>
          <w:p w14:paraId="78BB477D" w14:textId="77777777" w:rsidR="00C236A2" w:rsidRPr="0013396E" w:rsidRDefault="00C236A2" w:rsidP="0099759E">
            <w:pPr>
              <w:spacing w:after="60"/>
              <w:rPr>
                <w:iCs/>
                <w:sz w:val="20"/>
              </w:rPr>
            </w:pPr>
            <w:r w:rsidRPr="0013396E">
              <w:rPr>
                <w:i/>
                <w:iCs/>
                <w:sz w:val="20"/>
              </w:rPr>
              <w:t>Load-Allocated Emergency Energy Amount per QSE</w:t>
            </w:r>
            <w:r w:rsidRPr="0013396E">
              <w:rPr>
                <w:iCs/>
                <w:sz w:val="20"/>
              </w:rPr>
              <w:t xml:space="preserve">—The QSE </w:t>
            </w:r>
            <w:r w:rsidRPr="0013396E">
              <w:rPr>
                <w:i/>
                <w:iCs/>
                <w:sz w:val="20"/>
              </w:rPr>
              <w:t>q</w:t>
            </w:r>
            <w:r w:rsidRPr="0013396E">
              <w:rPr>
                <w:iCs/>
                <w:sz w:val="20"/>
              </w:rPr>
              <w:t>’s Load-allocated amount of the total payments for all the Resources with Real-Time Emergency Base Points, for the 15-minute Settlement Interval.</w:t>
            </w:r>
          </w:p>
        </w:tc>
      </w:tr>
      <w:tr w:rsidR="00C236A2" w:rsidRPr="0013396E" w14:paraId="2729CFFE" w14:textId="77777777" w:rsidTr="0099759E">
        <w:tc>
          <w:tcPr>
            <w:tcW w:w="1203" w:type="pct"/>
          </w:tcPr>
          <w:p w14:paraId="312E1A71" w14:textId="77777777" w:rsidR="00C236A2" w:rsidRPr="0013396E" w:rsidRDefault="00C236A2" w:rsidP="0099759E">
            <w:pPr>
              <w:spacing w:after="60"/>
              <w:rPr>
                <w:iCs/>
                <w:sz w:val="20"/>
              </w:rPr>
            </w:pPr>
            <w:r w:rsidRPr="0013396E">
              <w:rPr>
                <w:iCs/>
                <w:sz w:val="20"/>
              </w:rPr>
              <w:lastRenderedPageBreak/>
              <w:t>EMREAMTTOT</w:t>
            </w:r>
          </w:p>
        </w:tc>
        <w:tc>
          <w:tcPr>
            <w:tcW w:w="310" w:type="pct"/>
          </w:tcPr>
          <w:p w14:paraId="50B927A2" w14:textId="77777777" w:rsidR="00C236A2" w:rsidRPr="0013396E" w:rsidRDefault="00C236A2" w:rsidP="0099759E">
            <w:pPr>
              <w:spacing w:after="60"/>
              <w:rPr>
                <w:iCs/>
                <w:sz w:val="20"/>
              </w:rPr>
            </w:pPr>
            <w:r w:rsidRPr="0013396E">
              <w:rPr>
                <w:iCs/>
                <w:sz w:val="20"/>
              </w:rPr>
              <w:t>$</w:t>
            </w:r>
          </w:p>
        </w:tc>
        <w:tc>
          <w:tcPr>
            <w:tcW w:w="3487" w:type="pct"/>
          </w:tcPr>
          <w:p w14:paraId="6A324FBC" w14:textId="77777777" w:rsidR="00C236A2" w:rsidRPr="0013396E" w:rsidRDefault="00C236A2" w:rsidP="0099759E">
            <w:pPr>
              <w:spacing w:after="60"/>
              <w:rPr>
                <w:iCs/>
                <w:sz w:val="20"/>
              </w:rPr>
            </w:pPr>
            <w:r w:rsidRPr="0013396E">
              <w:rPr>
                <w:i/>
                <w:iCs/>
                <w:sz w:val="20"/>
              </w:rPr>
              <w:t>Emergency Energy Amount Total</w:t>
            </w:r>
            <w:r w:rsidRPr="0013396E">
              <w:rPr>
                <w:iCs/>
                <w:sz w:val="20"/>
              </w:rPr>
              <w:sym w:font="Symbol" w:char="F0BE"/>
            </w:r>
            <w:r w:rsidRPr="0013396E">
              <w:rPr>
                <w:iCs/>
                <w:sz w:val="20"/>
              </w:rPr>
              <w:t>The total of the payments to all QSEs as additional compensation for additional energy or Ancillary Services of the Resources for the 15-minute Settlement Interval.</w:t>
            </w:r>
          </w:p>
        </w:tc>
      </w:tr>
      <w:tr w:rsidR="00C236A2" w:rsidRPr="0013396E" w14:paraId="466220D1" w14:textId="77777777" w:rsidTr="0099759E">
        <w:tc>
          <w:tcPr>
            <w:tcW w:w="1203" w:type="pct"/>
          </w:tcPr>
          <w:p w14:paraId="0A1CFDF2" w14:textId="77777777" w:rsidR="00C236A2" w:rsidRPr="0013396E" w:rsidRDefault="00C236A2" w:rsidP="0099759E">
            <w:pPr>
              <w:spacing w:after="60"/>
              <w:rPr>
                <w:iCs/>
                <w:sz w:val="20"/>
              </w:rPr>
            </w:pPr>
            <w:r w:rsidRPr="0013396E">
              <w:rPr>
                <w:iCs/>
                <w:sz w:val="20"/>
              </w:rPr>
              <w:t xml:space="preserve">EMREAMTQSETOT </w:t>
            </w:r>
            <w:r w:rsidRPr="0013396E">
              <w:rPr>
                <w:i/>
                <w:iCs/>
                <w:sz w:val="20"/>
                <w:vertAlign w:val="subscript"/>
              </w:rPr>
              <w:t>q</w:t>
            </w:r>
          </w:p>
        </w:tc>
        <w:tc>
          <w:tcPr>
            <w:tcW w:w="310" w:type="pct"/>
          </w:tcPr>
          <w:p w14:paraId="1546E902" w14:textId="77777777" w:rsidR="00C236A2" w:rsidRPr="0013396E" w:rsidRDefault="00C236A2" w:rsidP="0099759E">
            <w:pPr>
              <w:spacing w:after="60"/>
              <w:rPr>
                <w:iCs/>
                <w:sz w:val="20"/>
              </w:rPr>
            </w:pPr>
            <w:r w:rsidRPr="0013396E">
              <w:rPr>
                <w:iCs/>
                <w:sz w:val="20"/>
              </w:rPr>
              <w:t>$</w:t>
            </w:r>
          </w:p>
        </w:tc>
        <w:tc>
          <w:tcPr>
            <w:tcW w:w="3487" w:type="pct"/>
          </w:tcPr>
          <w:p w14:paraId="5C65BF20" w14:textId="77777777" w:rsidR="00C236A2" w:rsidRPr="0013396E" w:rsidRDefault="00C236A2" w:rsidP="0099759E">
            <w:pPr>
              <w:spacing w:after="60"/>
              <w:rPr>
                <w:iCs/>
                <w:sz w:val="20"/>
              </w:rPr>
            </w:pPr>
            <w:r w:rsidRPr="0013396E">
              <w:rPr>
                <w:i/>
                <w:iCs/>
                <w:sz w:val="20"/>
              </w:rPr>
              <w:t>Emergency Energy Amount QSE Total per QSE</w:t>
            </w:r>
            <w:r w:rsidRPr="0013396E">
              <w:rPr>
                <w:iCs/>
                <w:sz w:val="20"/>
              </w:rPr>
              <w:sym w:font="Symbol" w:char="F0BE"/>
            </w:r>
            <w:r w:rsidRPr="0013396E">
              <w:rPr>
                <w:iCs/>
                <w:sz w:val="20"/>
              </w:rPr>
              <w:t xml:space="preserve">The total of the payments to QSE </w:t>
            </w:r>
            <w:r w:rsidRPr="0013396E">
              <w:rPr>
                <w:i/>
                <w:iCs/>
                <w:sz w:val="20"/>
              </w:rPr>
              <w:t>q</w:t>
            </w:r>
            <w:r w:rsidRPr="0013396E">
              <w:rPr>
                <w:iCs/>
                <w:sz w:val="20"/>
              </w:rPr>
              <w:t xml:space="preserve"> as additional compensation for additional energy or Ancillary Services of the Resources represented by this QSE for the 15-minute Settlement Interval.</w:t>
            </w:r>
          </w:p>
        </w:tc>
      </w:tr>
      <w:tr w:rsidR="00C236A2" w:rsidRPr="0013396E" w14:paraId="645683C6" w14:textId="77777777" w:rsidTr="0099759E">
        <w:tc>
          <w:tcPr>
            <w:tcW w:w="1203" w:type="pct"/>
          </w:tcPr>
          <w:p w14:paraId="3D91C4DF" w14:textId="77777777" w:rsidR="00C236A2" w:rsidRPr="0013396E" w:rsidRDefault="00C236A2" w:rsidP="0099759E">
            <w:pPr>
              <w:spacing w:after="60"/>
              <w:rPr>
                <w:iCs/>
                <w:sz w:val="20"/>
              </w:rPr>
            </w:pPr>
            <w:r w:rsidRPr="0013396E">
              <w:rPr>
                <w:iCs/>
                <w:sz w:val="20"/>
              </w:rPr>
              <w:t xml:space="preserve">LRS </w:t>
            </w:r>
            <w:r w:rsidRPr="0013396E">
              <w:rPr>
                <w:i/>
                <w:iCs/>
                <w:sz w:val="20"/>
                <w:vertAlign w:val="subscript"/>
              </w:rPr>
              <w:t>q</w:t>
            </w:r>
          </w:p>
        </w:tc>
        <w:tc>
          <w:tcPr>
            <w:tcW w:w="310" w:type="pct"/>
          </w:tcPr>
          <w:p w14:paraId="1C3A7BC7" w14:textId="77777777" w:rsidR="00C236A2" w:rsidRPr="0013396E" w:rsidRDefault="00C236A2" w:rsidP="0099759E">
            <w:pPr>
              <w:spacing w:after="60"/>
              <w:rPr>
                <w:iCs/>
                <w:sz w:val="20"/>
              </w:rPr>
            </w:pPr>
            <w:r w:rsidRPr="0013396E">
              <w:rPr>
                <w:iCs/>
                <w:sz w:val="20"/>
              </w:rPr>
              <w:t>none</w:t>
            </w:r>
          </w:p>
        </w:tc>
        <w:tc>
          <w:tcPr>
            <w:tcW w:w="3487" w:type="pct"/>
          </w:tcPr>
          <w:p w14:paraId="0AAB2FD4" w14:textId="77777777" w:rsidR="00C236A2" w:rsidRPr="0013396E" w:rsidRDefault="00C236A2" w:rsidP="0099759E">
            <w:pPr>
              <w:spacing w:after="60"/>
              <w:rPr>
                <w:iCs/>
                <w:sz w:val="20"/>
              </w:rPr>
            </w:pPr>
            <w:r w:rsidRPr="0013396E">
              <w:rPr>
                <w:iCs/>
                <w:sz w:val="20"/>
              </w:rPr>
              <w:t xml:space="preserve">The LRS calculated for QSE </w:t>
            </w:r>
            <w:r w:rsidRPr="0013396E">
              <w:rPr>
                <w:i/>
                <w:iCs/>
                <w:sz w:val="20"/>
              </w:rPr>
              <w:t>q</w:t>
            </w:r>
            <w:r w:rsidRPr="0013396E">
              <w:rPr>
                <w:iCs/>
                <w:sz w:val="20"/>
              </w:rPr>
              <w:t xml:space="preserve"> for the 15-minute Settlement Interval.  See Section 6.6.2.2, QSE Load Ratio Share for a 15-Minute Settlement Interval.</w:t>
            </w:r>
          </w:p>
        </w:tc>
      </w:tr>
      <w:tr w:rsidR="00C236A2" w:rsidRPr="0013396E" w14:paraId="31253B8F" w14:textId="77777777" w:rsidTr="0099759E">
        <w:tc>
          <w:tcPr>
            <w:tcW w:w="1203" w:type="pct"/>
          </w:tcPr>
          <w:p w14:paraId="660A1FC4" w14:textId="77777777" w:rsidR="00C236A2" w:rsidRPr="0013396E" w:rsidRDefault="00C236A2" w:rsidP="0099759E">
            <w:pPr>
              <w:spacing w:after="60"/>
              <w:rPr>
                <w:i/>
                <w:iCs/>
                <w:sz w:val="20"/>
              </w:rPr>
            </w:pPr>
            <w:r w:rsidRPr="0013396E">
              <w:rPr>
                <w:i/>
                <w:iCs/>
                <w:sz w:val="20"/>
              </w:rPr>
              <w:t>q</w:t>
            </w:r>
          </w:p>
        </w:tc>
        <w:tc>
          <w:tcPr>
            <w:tcW w:w="310" w:type="pct"/>
          </w:tcPr>
          <w:p w14:paraId="2D717E11" w14:textId="77777777" w:rsidR="00C236A2" w:rsidRPr="0013396E" w:rsidRDefault="00C236A2" w:rsidP="0099759E">
            <w:pPr>
              <w:spacing w:after="60"/>
              <w:rPr>
                <w:iCs/>
                <w:sz w:val="20"/>
              </w:rPr>
            </w:pPr>
            <w:r w:rsidRPr="0013396E">
              <w:rPr>
                <w:iCs/>
                <w:sz w:val="20"/>
              </w:rPr>
              <w:t>none</w:t>
            </w:r>
          </w:p>
        </w:tc>
        <w:tc>
          <w:tcPr>
            <w:tcW w:w="3487" w:type="pct"/>
          </w:tcPr>
          <w:p w14:paraId="75FE202C" w14:textId="77777777" w:rsidR="00C236A2" w:rsidRPr="0013396E" w:rsidRDefault="00C236A2" w:rsidP="0099759E">
            <w:pPr>
              <w:spacing w:after="60"/>
              <w:rPr>
                <w:i/>
                <w:iCs/>
                <w:sz w:val="20"/>
              </w:rPr>
            </w:pPr>
            <w:r w:rsidRPr="0013396E">
              <w:rPr>
                <w:iCs/>
                <w:sz w:val="20"/>
              </w:rPr>
              <w:t>A QSE.</w:t>
            </w:r>
          </w:p>
        </w:tc>
      </w:tr>
    </w:tbl>
    <w:p w14:paraId="4886BF7C" w14:textId="4FFE92F7" w:rsidR="001F04FD" w:rsidRPr="0013396E" w:rsidRDefault="001F04FD" w:rsidP="00FB599C">
      <w:pPr>
        <w:pStyle w:val="H3"/>
        <w:spacing w:before="600"/>
      </w:pPr>
      <w:bookmarkStart w:id="2137" w:name="_Toc397505041"/>
      <w:bookmarkStart w:id="2138" w:name="_Toc402357173"/>
      <w:bookmarkStart w:id="2139" w:name="_Toc422486553"/>
      <w:bookmarkStart w:id="2140" w:name="_Toc433093406"/>
      <w:bookmarkStart w:id="2141" w:name="_Toc433093564"/>
      <w:bookmarkStart w:id="2142" w:name="_Toc440874794"/>
      <w:bookmarkStart w:id="2143" w:name="_Toc448142351"/>
      <w:bookmarkStart w:id="2144" w:name="_Toc448142508"/>
      <w:bookmarkStart w:id="2145" w:name="_Toc458770349"/>
      <w:bookmarkStart w:id="2146" w:name="_Toc459294317"/>
      <w:bookmarkStart w:id="2147" w:name="_Toc463262811"/>
      <w:bookmarkStart w:id="2148" w:name="_Toc468286884"/>
      <w:bookmarkStart w:id="2149" w:name="_Toc481502924"/>
      <w:bookmarkStart w:id="2150" w:name="_Toc496080092"/>
      <w:bookmarkStart w:id="2151" w:name="_Toc214879015"/>
      <w:bookmarkStart w:id="2152" w:name="_Toc109009422"/>
      <w:bookmarkEnd w:id="2120"/>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21"/>
      <w:r w:rsidRPr="0013396E">
        <w:t>6.6.10</w:t>
      </w:r>
      <w:r w:rsidRPr="0013396E">
        <w:tab/>
        <w:t>Real-Time Revenue Neutrality Allocation</w:t>
      </w:r>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p>
    <w:p w14:paraId="746CC419" w14:textId="77777777" w:rsidR="001F04FD" w:rsidRPr="0013396E" w:rsidRDefault="001F04FD" w:rsidP="001F04FD">
      <w:pPr>
        <w:pStyle w:val="BodyTextNumbered"/>
      </w:pPr>
      <w:r w:rsidRPr="0013396E">
        <w:t>(1)</w:t>
      </w:r>
      <w:r w:rsidRPr="0013396E">
        <w:tab/>
        <w:t>ERCOT must be revenue-neutral in each Settlement Interval.  Each QSE receives an allocated share, on a LRS basis, of the net amount of:</w:t>
      </w:r>
    </w:p>
    <w:p w14:paraId="0BABDAF0" w14:textId="77777777" w:rsidR="001F04FD" w:rsidRPr="0013396E" w:rsidRDefault="001F04FD" w:rsidP="001F04FD">
      <w:pPr>
        <w:pStyle w:val="List"/>
      </w:pPr>
      <w:r w:rsidRPr="0013396E">
        <w:t>(a)</w:t>
      </w:r>
      <w:r w:rsidRPr="0013396E">
        <w:tab/>
        <w:t>Real-Time Energy Imbalance payments or charges under Section 6.6.3.1, Real-Time Energy Imbalance Payment or Charge at a Resource Node;</w:t>
      </w:r>
    </w:p>
    <w:p w14:paraId="5AFAD35F" w14:textId="77777777" w:rsidR="001F04FD" w:rsidRPr="0013396E" w:rsidRDefault="001F04FD" w:rsidP="00E228C6">
      <w:pPr>
        <w:spacing w:after="240"/>
        <w:ind w:left="1440" w:hanging="720"/>
      </w:pPr>
      <w:r w:rsidRPr="0013396E">
        <w:t>(b)</w:t>
      </w:r>
      <w:r w:rsidRPr="0013396E">
        <w:tab/>
        <w:t>Real-Time Energy Imbalance payments or charges under Section 6.6.3.2, Real-Time Energy Imbalance Payment or Charge at a Load Zone;</w:t>
      </w:r>
    </w:p>
    <w:p w14:paraId="638BC777" w14:textId="77777777" w:rsidR="001F04FD" w:rsidRPr="0013396E" w:rsidRDefault="001F04FD" w:rsidP="00E228C6">
      <w:pPr>
        <w:spacing w:after="240"/>
        <w:ind w:left="1440" w:hanging="720"/>
      </w:pPr>
      <w:r w:rsidRPr="0013396E">
        <w:t>(c)</w:t>
      </w:r>
      <w:r w:rsidRPr="0013396E">
        <w:tab/>
        <w:t>Real-Time Energy Imbalance payments or charges under Section 6.6.3.3, Real-Time Energy Imbalance Payment or Charge at a Hub;</w:t>
      </w:r>
    </w:p>
    <w:p w14:paraId="047005EA" w14:textId="77777777" w:rsidR="001F04FD" w:rsidRPr="0013396E" w:rsidRDefault="001F04FD" w:rsidP="00E228C6">
      <w:pPr>
        <w:spacing w:after="240"/>
        <w:ind w:left="1440" w:hanging="720"/>
      </w:pPr>
      <w:r w:rsidRPr="0013396E">
        <w:t>(d)</w:t>
      </w:r>
      <w:r w:rsidRPr="0013396E">
        <w:tab/>
        <w:t>Real-Time energy payments under Section 6.6.3.4, Real-Time Energy Payment for DC Tie Import;</w:t>
      </w:r>
    </w:p>
    <w:p w14:paraId="589F81C7" w14:textId="2EBFA04A" w:rsidR="001F04FD" w:rsidRPr="0013396E" w:rsidRDefault="001F04FD" w:rsidP="00E228C6">
      <w:pPr>
        <w:spacing w:after="240"/>
        <w:ind w:left="1440" w:hanging="720"/>
      </w:pPr>
      <w:r w:rsidRPr="0013396E">
        <w:t>(e)</w:t>
      </w:r>
      <w:r w:rsidRPr="0013396E">
        <w:tab/>
        <w:t>Real-Time energy payments under Section 6.6.3.5, Real-Time Payment for a Block Load Transfer Point;</w:t>
      </w:r>
    </w:p>
    <w:p w14:paraId="08751346" w14:textId="0D9907AC" w:rsidR="0024071F" w:rsidRPr="0013396E" w:rsidRDefault="0024071F" w:rsidP="00E228C6">
      <w:pPr>
        <w:spacing w:after="240"/>
        <w:ind w:left="1440" w:hanging="720"/>
      </w:pPr>
      <w:r w:rsidRPr="0013396E">
        <w:t>(f)</w:t>
      </w:r>
      <w:r w:rsidRPr="0013396E">
        <w:tab/>
        <w:t>Real-Time Energy payments or charges under Section 6.6.3.</w:t>
      </w:r>
      <w:r w:rsidR="00720B34" w:rsidRPr="0013396E">
        <w:t>8</w:t>
      </w:r>
      <w:r w:rsidRPr="0013396E">
        <w:t>, Real-Time Payment or Charge for Energy from a Settlement Only Distribution Generator (SODG) or a Settlement Only Transmission Generator (SOTG);</w:t>
      </w:r>
    </w:p>
    <w:tbl>
      <w:tblPr>
        <w:tblW w:w="957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76"/>
      </w:tblGrid>
      <w:tr w:rsidR="00E228C6" w:rsidRPr="0013396E" w14:paraId="6E0ABAA0" w14:textId="77777777" w:rsidTr="001335E7">
        <w:trPr>
          <w:trHeight w:val="206"/>
        </w:trPr>
        <w:tc>
          <w:tcPr>
            <w:tcW w:w="5000" w:type="pct"/>
            <w:shd w:val="pct12" w:color="auto" w:fill="auto"/>
          </w:tcPr>
          <w:p w14:paraId="65AAADFD" w14:textId="5690D89B" w:rsidR="00E228C6" w:rsidRPr="0013396E" w:rsidRDefault="00E228C6" w:rsidP="00E228C6">
            <w:pPr>
              <w:pStyle w:val="Instructions"/>
            </w:pPr>
            <w:r w:rsidRPr="0013396E">
              <w:t>[</w:t>
            </w:r>
            <w:r w:rsidR="00851766" w:rsidRPr="0013396E">
              <w:t>NPRR995</w:t>
            </w:r>
            <w:r w:rsidRPr="0013396E">
              <w:t xml:space="preserve">:  </w:t>
            </w:r>
            <w:r w:rsidR="0024071F" w:rsidRPr="0013396E">
              <w:t xml:space="preserve">Replace </w:t>
            </w:r>
            <w:r w:rsidRPr="0013396E">
              <w:t>item (</w:t>
            </w:r>
            <w:r w:rsidR="0024071F" w:rsidRPr="0013396E">
              <w:t>f</w:t>
            </w:r>
            <w:r w:rsidRPr="0013396E">
              <w:t xml:space="preserve">) </w:t>
            </w:r>
            <w:r w:rsidR="0024071F" w:rsidRPr="0013396E">
              <w:t>above with the following</w:t>
            </w:r>
            <w:r w:rsidRPr="0013396E">
              <w:t xml:space="preserve"> upon system implementation:]</w:t>
            </w:r>
          </w:p>
          <w:p w14:paraId="5FE1A1D8" w14:textId="42C810F3" w:rsidR="00E228C6" w:rsidRPr="0013396E" w:rsidRDefault="00E228C6" w:rsidP="00E228C6">
            <w:pPr>
              <w:spacing w:after="120"/>
              <w:ind w:left="1440" w:hanging="720"/>
            </w:pPr>
            <w:r w:rsidRPr="0013396E">
              <w:t>(</w:t>
            </w:r>
            <w:r w:rsidR="0024071F" w:rsidRPr="0013396E">
              <w:t>f</w:t>
            </w:r>
            <w:r w:rsidRPr="0013396E">
              <w:t>)</w:t>
            </w:r>
            <w:r w:rsidRPr="0013396E">
              <w:tab/>
              <w:t>Real-Time Energy payments or charges under Section 6.6.3.</w:t>
            </w:r>
            <w:r w:rsidR="00720B34" w:rsidRPr="0013396E">
              <w:t>8</w:t>
            </w:r>
            <w:r w:rsidRPr="0013396E">
              <w:t>, Real-Time Payment or Charge for Energy from a Settlement Only Distribution Generator (SODG)</w:t>
            </w:r>
            <w:r w:rsidR="00851766" w:rsidRPr="0013396E">
              <w:t>,</w:t>
            </w:r>
            <w:r w:rsidRPr="0013396E">
              <w:t xml:space="preserve"> Settlement Only Transmission Generator (SOTG)</w:t>
            </w:r>
            <w:r w:rsidR="00851766" w:rsidRPr="0013396E">
              <w:t>, Settlement Only Distribution Energy Storage System (SODESS), or Settlement Only Transmission Energy Storage System (SOTESS)</w:t>
            </w:r>
            <w:r w:rsidRPr="0013396E">
              <w:t>;</w:t>
            </w:r>
          </w:p>
        </w:tc>
      </w:tr>
    </w:tbl>
    <w:p w14:paraId="2CA68031" w14:textId="77777777" w:rsidR="001F04FD" w:rsidRPr="0013396E" w:rsidRDefault="001F04FD" w:rsidP="004A39F9">
      <w:pPr>
        <w:spacing w:before="240" w:after="240"/>
        <w:ind w:left="1440" w:hanging="720"/>
      </w:pPr>
      <w:r w:rsidRPr="0013396E">
        <w:lastRenderedPageBreak/>
        <w:t>(g)</w:t>
      </w:r>
      <w:r w:rsidRPr="0013396E">
        <w:tab/>
        <w:t>Real-Time congestion payments or charges under Section 6.6.4, Real-Time Congestion Payment or Charge for Self-Schedules; and</w:t>
      </w:r>
    </w:p>
    <w:p w14:paraId="0A909937" w14:textId="77777777" w:rsidR="001F04FD" w:rsidRPr="0013396E" w:rsidRDefault="001F04FD" w:rsidP="00E228C6">
      <w:pPr>
        <w:pStyle w:val="List"/>
      </w:pPr>
      <w:r w:rsidRPr="0013396E">
        <w:t>(h)</w:t>
      </w:r>
      <w:r w:rsidRPr="0013396E">
        <w:tab/>
        <w:t>Real-Time payments or charges to the Congestion Revenue Right (CRR) Owners under Section 7.9.2, Real-Time CRR Payments and Charges.</w:t>
      </w:r>
    </w:p>
    <w:p w14:paraId="68529C68" w14:textId="77777777" w:rsidR="001F04FD" w:rsidRPr="0013396E" w:rsidRDefault="001F04FD" w:rsidP="001F04FD">
      <w:pPr>
        <w:pStyle w:val="BodyTextNumbered"/>
        <w:rPr>
          <w:iCs/>
        </w:rPr>
      </w:pPr>
      <w:r w:rsidRPr="0013396E">
        <w:rPr>
          <w:iCs/>
        </w:rPr>
        <w:t>(2)</w:t>
      </w:r>
      <w:r w:rsidRPr="0013396E">
        <w:rPr>
          <w:iCs/>
        </w:rPr>
        <w:tab/>
        <w:t>The Real-Time Revenue Neutrality Allocation for each QSE for a given 15-minute Settlement Interval is calculated as follows:</w:t>
      </w:r>
    </w:p>
    <w:p w14:paraId="44474249" w14:textId="64A19995" w:rsidR="001F04FD" w:rsidRPr="0013396E" w:rsidRDefault="001F04FD" w:rsidP="001F04FD">
      <w:pPr>
        <w:pStyle w:val="FormulaBold"/>
        <w:tabs>
          <w:tab w:val="clear" w:pos="2250"/>
          <w:tab w:val="clear" w:pos="3960"/>
          <w:tab w:val="left" w:pos="2700"/>
        </w:tabs>
        <w:ind w:left="3150" w:hanging="2430"/>
        <w:rPr>
          <w:i/>
          <w:vertAlign w:val="subscript"/>
        </w:rPr>
      </w:pPr>
      <w:r w:rsidRPr="0013396E">
        <w:t xml:space="preserve">LARTRNAMT </w:t>
      </w:r>
      <w:r w:rsidRPr="0013396E">
        <w:rPr>
          <w:i/>
          <w:vertAlign w:val="subscript"/>
        </w:rPr>
        <w:t>q</w:t>
      </w:r>
      <w:r w:rsidRPr="0013396E">
        <w:tab/>
        <w:t>=</w:t>
      </w:r>
      <w:r w:rsidRPr="0013396E">
        <w:tab/>
        <w:t xml:space="preserve">(-1) * (RTEIAMTTOT + BLTRAMTTOT + RTDCIMPAMTTOT + </w:t>
      </w:r>
      <w:r w:rsidR="0024071F" w:rsidRPr="0013396E">
        <w:t xml:space="preserve">RTESOGAMTTOT + </w:t>
      </w:r>
      <w:r w:rsidRPr="0013396E">
        <w:t xml:space="preserve">RTCCAMTTOT + RTOBLAMTTOT / 4 + RTOBLLOAMTTOT / 4) * LRS </w:t>
      </w:r>
      <w:r w:rsidRPr="0013396E">
        <w:rPr>
          <w:i/>
          <w:vertAlign w:val="subscript"/>
        </w:rPr>
        <w:t>q</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0F620F" w:rsidRPr="0013396E" w14:paraId="1703A669" w14:textId="77777777" w:rsidTr="008B123E">
        <w:trPr>
          <w:trHeight w:val="206"/>
        </w:trPr>
        <w:tc>
          <w:tcPr>
            <w:tcW w:w="9576" w:type="dxa"/>
            <w:shd w:val="pct12" w:color="auto" w:fill="auto"/>
          </w:tcPr>
          <w:p w14:paraId="7CC6B1B3" w14:textId="0DBF8537" w:rsidR="000F620F" w:rsidRPr="0013396E" w:rsidRDefault="000F620F" w:rsidP="008B123E">
            <w:pPr>
              <w:pStyle w:val="Instructions"/>
              <w:spacing w:before="120"/>
            </w:pPr>
            <w:r w:rsidRPr="0013396E">
              <w:t>[</w:t>
            </w:r>
            <w:r w:rsidR="00851766" w:rsidRPr="0013396E">
              <w:t>NPRR995</w:t>
            </w:r>
            <w:r w:rsidRPr="0013396E">
              <w:t xml:space="preserve">:  Replace the formula “LARTRNAMT </w:t>
            </w:r>
            <w:r w:rsidRPr="0013396E">
              <w:rPr>
                <w:vertAlign w:val="subscript"/>
              </w:rPr>
              <w:t>q</w:t>
            </w:r>
            <w:r w:rsidRPr="0013396E">
              <w:t>” above with the following upon system implementation:]</w:t>
            </w:r>
          </w:p>
          <w:p w14:paraId="6D9C0F4B" w14:textId="4ECA584C" w:rsidR="000F620F" w:rsidRPr="0013396E" w:rsidRDefault="000F620F" w:rsidP="008B66B5">
            <w:pPr>
              <w:tabs>
                <w:tab w:val="left" w:pos="2700"/>
                <w:tab w:val="left" w:pos="3150"/>
              </w:tabs>
              <w:spacing w:after="240"/>
              <w:ind w:left="3150" w:hanging="2430"/>
              <w:rPr>
                <w:b/>
                <w:bCs/>
                <w:i/>
                <w:vertAlign w:val="subscript"/>
              </w:rPr>
            </w:pPr>
            <w:r w:rsidRPr="0013396E">
              <w:rPr>
                <w:b/>
                <w:bCs/>
              </w:rPr>
              <w:t xml:space="preserve">LARTRNAMT </w:t>
            </w:r>
            <w:r w:rsidRPr="0013396E">
              <w:rPr>
                <w:b/>
                <w:bCs/>
                <w:i/>
                <w:vertAlign w:val="subscript"/>
              </w:rPr>
              <w:t>q</w:t>
            </w:r>
            <w:r w:rsidRPr="0013396E">
              <w:rPr>
                <w:b/>
                <w:bCs/>
              </w:rPr>
              <w:tab/>
              <w:t>=</w:t>
            </w:r>
            <w:r w:rsidRPr="0013396E">
              <w:rPr>
                <w:b/>
                <w:bCs/>
              </w:rPr>
              <w:tab/>
              <w:t xml:space="preserve">(-1) * (RTEIAMTTOT + BLTRAMTTOT + RTDCIMPAMTTOT + RTESOAMTTOT + RTCCAMTTOT + RTOBLAMTTOT / 4 + RTOBLLOAMTTOT / 4) * LRS </w:t>
            </w:r>
            <w:r w:rsidRPr="0013396E">
              <w:rPr>
                <w:b/>
                <w:bCs/>
                <w:i/>
                <w:vertAlign w:val="subscript"/>
              </w:rPr>
              <w:t>q</w:t>
            </w:r>
          </w:p>
        </w:tc>
      </w:tr>
    </w:tbl>
    <w:p w14:paraId="0213CEDC" w14:textId="77777777" w:rsidR="001F04FD" w:rsidRPr="0013396E" w:rsidRDefault="001F04FD" w:rsidP="004A39F9">
      <w:pPr>
        <w:pStyle w:val="BodyText"/>
        <w:spacing w:before="240"/>
      </w:pPr>
      <w:r w:rsidRPr="0013396E">
        <w:t>Where:</w:t>
      </w:r>
    </w:p>
    <w:p w14:paraId="4CF370B0" w14:textId="77777777" w:rsidR="001F04FD" w:rsidRPr="0013396E" w:rsidRDefault="001F04FD" w:rsidP="001F04FD">
      <w:pPr>
        <w:ind w:firstLine="720"/>
      </w:pPr>
      <w:r w:rsidRPr="0013396E">
        <w:t xml:space="preserve">Total </w:t>
      </w:r>
      <w:r w:rsidRPr="0013396E">
        <w:rPr>
          <w:szCs w:val="24"/>
        </w:rPr>
        <w:t>Real</w:t>
      </w:r>
      <w:r w:rsidRPr="0013396E">
        <w:t>-Time Energy Imbalance Payment (or Charge) at Settlement Point (or Hub)</w:t>
      </w:r>
    </w:p>
    <w:p w14:paraId="3236F492" w14:textId="4F7E3CBF" w:rsidR="001F04FD" w:rsidRPr="0013396E" w:rsidRDefault="001F04FD" w:rsidP="001F04FD">
      <w:pPr>
        <w:pStyle w:val="Formula"/>
        <w:tabs>
          <w:tab w:val="clear" w:pos="2160"/>
          <w:tab w:val="clear" w:pos="2880"/>
          <w:tab w:val="left" w:pos="2340"/>
          <w:tab w:val="left" w:pos="3420"/>
        </w:tabs>
        <w:ind w:leftChars="600" w:left="3600" w:hanging="2160"/>
        <w:rPr>
          <w:i/>
          <w:vertAlign w:val="subscript"/>
        </w:rPr>
      </w:pPr>
      <w:r w:rsidRPr="0013396E">
        <w:t>RTEIAMTTOT</w:t>
      </w:r>
      <w:r w:rsidRPr="0013396E">
        <w:tab/>
      </w:r>
      <w:r w:rsidRPr="0013396E">
        <w:tab/>
        <w:t>=</w:t>
      </w:r>
      <w:r w:rsidRPr="0013396E">
        <w:tab/>
      </w:r>
      <w:r w:rsidRPr="0013396E">
        <w:rPr>
          <w:position w:val="-22"/>
        </w:rPr>
        <w:object w:dxaOrig="210" w:dyaOrig="465" w14:anchorId="0A9B124C">
          <v:shape id="_x0000_i1223" type="#_x0000_t75" style="width:6pt;height:24pt" o:ole="">
            <v:imagedata r:id="rId281" o:title=""/>
          </v:shape>
          <o:OLEObject Type="Embed" ProgID="Equation.3" ShapeID="_x0000_i1223" DrawAspect="Content" ObjectID="_1836311501" r:id="rId282"/>
        </w:object>
      </w:r>
      <w:r w:rsidR="006C375B" w:rsidRPr="0013396E">
        <w:t xml:space="preserve"> </w:t>
      </w:r>
      <w:r w:rsidRPr="0013396E">
        <w:t xml:space="preserve">RTEIAMTQSETOT </w:t>
      </w:r>
      <w:r w:rsidRPr="0013396E">
        <w:rPr>
          <w:i/>
          <w:vertAlign w:val="subscript"/>
        </w:rPr>
        <w:t>q</w:t>
      </w:r>
    </w:p>
    <w:p w14:paraId="01514D59" w14:textId="77777777" w:rsidR="001F04FD" w:rsidRPr="0013396E" w:rsidRDefault="001F04FD" w:rsidP="001F04FD">
      <w:pPr>
        <w:ind w:firstLine="720"/>
      </w:pPr>
      <w:r w:rsidRPr="0013396E">
        <w:t>Total Real-Time Payment for BLT Resources</w:t>
      </w:r>
    </w:p>
    <w:p w14:paraId="27110DAD" w14:textId="342147BF" w:rsidR="001F04FD" w:rsidRPr="0013396E" w:rsidRDefault="001F04FD" w:rsidP="001F04FD">
      <w:pPr>
        <w:pStyle w:val="Formula"/>
        <w:ind w:leftChars="600" w:left="3600" w:hanging="2160"/>
      </w:pPr>
      <w:r w:rsidRPr="0013396E">
        <w:t>BLTRAMTTOT</w:t>
      </w:r>
      <w:r w:rsidRPr="0013396E">
        <w:tab/>
        <w:t>=</w:t>
      </w:r>
      <w:r w:rsidRPr="0013396E">
        <w:tab/>
      </w:r>
      <w:r w:rsidRPr="0013396E">
        <w:rPr>
          <w:position w:val="-22"/>
        </w:rPr>
        <w:object w:dxaOrig="210" w:dyaOrig="465" w14:anchorId="7A199638">
          <v:shape id="_x0000_i1224" type="#_x0000_t75" style="width:6pt;height:24pt" o:ole="">
            <v:imagedata r:id="rId149" o:title=""/>
          </v:shape>
          <o:OLEObject Type="Embed" ProgID="Equation.3" ShapeID="_x0000_i1224" DrawAspect="Content" ObjectID="_1836311502" r:id="rId283"/>
        </w:object>
      </w:r>
      <w:r w:rsidR="006C375B" w:rsidRPr="0013396E">
        <w:t xml:space="preserve"> </w:t>
      </w:r>
      <w:r w:rsidRPr="0013396E">
        <w:t xml:space="preserve">BLTRAMTQSETOT </w:t>
      </w:r>
      <w:r w:rsidRPr="0013396E">
        <w:rPr>
          <w:i/>
          <w:vertAlign w:val="subscript"/>
        </w:rPr>
        <w:t>q</w:t>
      </w:r>
    </w:p>
    <w:p w14:paraId="54465E1E" w14:textId="77777777" w:rsidR="001F04FD" w:rsidRPr="0013396E" w:rsidRDefault="001F04FD" w:rsidP="001F04FD">
      <w:pPr>
        <w:ind w:firstLine="720"/>
      </w:pPr>
      <w:r w:rsidRPr="0013396E">
        <w:t>Total Real-Time Payment for DC Tie Imports</w:t>
      </w:r>
    </w:p>
    <w:p w14:paraId="2A959A0D" w14:textId="77777777" w:rsidR="001F04FD" w:rsidRPr="0013396E" w:rsidRDefault="001F04FD" w:rsidP="001F04FD">
      <w:pPr>
        <w:pStyle w:val="Formula"/>
        <w:ind w:leftChars="600" w:left="3600" w:hanging="2160"/>
      </w:pPr>
      <w:r w:rsidRPr="0013396E">
        <w:t>RTDCIMPAMTTOT</w:t>
      </w:r>
      <w:r w:rsidRPr="0013396E">
        <w:tab/>
      </w:r>
      <w:r w:rsidRPr="0013396E">
        <w:tab/>
        <w:t>=</w:t>
      </w:r>
      <w:r w:rsidRPr="0013396E">
        <w:tab/>
      </w:r>
      <w:r w:rsidRPr="0013396E">
        <w:rPr>
          <w:position w:val="-22"/>
        </w:rPr>
        <w:object w:dxaOrig="225" w:dyaOrig="465" w14:anchorId="42A4CD6B">
          <v:shape id="_x0000_i1225" type="#_x0000_t75" style="width:12pt;height:24pt" o:ole="">
            <v:imagedata r:id="rId284" o:title=""/>
          </v:shape>
          <o:OLEObject Type="Embed" ProgID="Equation.3" ShapeID="_x0000_i1225" DrawAspect="Content" ObjectID="_1836311503" r:id="rId285"/>
        </w:object>
      </w:r>
      <w:r w:rsidRPr="0013396E">
        <w:t xml:space="preserve">RTDCIMPAMTQSETOT </w:t>
      </w:r>
      <w:r w:rsidRPr="0013396E">
        <w:rPr>
          <w:i/>
          <w:vertAlign w:val="subscript"/>
        </w:rPr>
        <w:t>q</w:t>
      </w:r>
    </w:p>
    <w:p w14:paraId="02E85A42" w14:textId="721B6AEE" w:rsidR="001F04FD" w:rsidRPr="0013396E" w:rsidRDefault="001F04FD" w:rsidP="00776B44">
      <w:pPr>
        <w:ind w:firstLine="720"/>
      </w:pPr>
      <w:r w:rsidRPr="0013396E">
        <w:t>Total Real-Time Congestion Payment or Charge for Self-Schedules</w:t>
      </w:r>
    </w:p>
    <w:p w14:paraId="26DB4FE6" w14:textId="77777777" w:rsidR="001F04FD" w:rsidRPr="0013396E" w:rsidRDefault="001F04FD" w:rsidP="001F04FD">
      <w:pPr>
        <w:pStyle w:val="Formula"/>
        <w:ind w:leftChars="600" w:left="3600" w:hanging="2160"/>
      </w:pPr>
      <w:r w:rsidRPr="0013396E">
        <w:t>RTCCAMTTOT</w:t>
      </w:r>
      <w:r w:rsidRPr="0013396E">
        <w:tab/>
        <w:t>=</w:t>
      </w:r>
      <w:r w:rsidRPr="0013396E">
        <w:tab/>
      </w:r>
      <w:r w:rsidRPr="0013396E">
        <w:rPr>
          <w:position w:val="-22"/>
        </w:rPr>
        <w:object w:dxaOrig="225" w:dyaOrig="465" w14:anchorId="2D720380">
          <v:shape id="_x0000_i1226" type="#_x0000_t75" style="width:12pt;height:24pt" o:ole="">
            <v:imagedata r:id="rId284" o:title=""/>
          </v:shape>
          <o:OLEObject Type="Embed" ProgID="Equation.3" ShapeID="_x0000_i1226" DrawAspect="Content" ObjectID="_1836311504" r:id="rId286"/>
        </w:object>
      </w:r>
      <w:r w:rsidRPr="0013396E">
        <w:t xml:space="preserve">RTCCAMTQSETOT </w:t>
      </w:r>
      <w:r w:rsidRPr="0013396E">
        <w:rPr>
          <w:i/>
          <w:vertAlign w:val="subscript"/>
        </w:rPr>
        <w:t>q</w:t>
      </w:r>
    </w:p>
    <w:p w14:paraId="4694EDB1" w14:textId="77777777" w:rsidR="001F04FD" w:rsidRPr="0013396E" w:rsidRDefault="001F04FD" w:rsidP="001F04FD">
      <w:pPr>
        <w:ind w:firstLine="720"/>
      </w:pPr>
      <w:r w:rsidRPr="0013396E">
        <w:t>Total Real-Time Payment or Charge for Point-to-Point (PTP) Obligations</w:t>
      </w:r>
    </w:p>
    <w:p w14:paraId="5A6F868D" w14:textId="77777777" w:rsidR="001F04FD" w:rsidRPr="0013396E" w:rsidRDefault="001F04FD" w:rsidP="001F04FD">
      <w:pPr>
        <w:pStyle w:val="Formula"/>
        <w:ind w:leftChars="600" w:left="3600" w:hanging="2160"/>
      </w:pPr>
      <w:r w:rsidRPr="0013396E">
        <w:t>RTOBLAMTTOT</w:t>
      </w:r>
      <w:r w:rsidRPr="0013396E">
        <w:tab/>
        <w:t>=</w:t>
      </w:r>
      <w:r w:rsidRPr="0013396E">
        <w:tab/>
      </w:r>
      <w:r w:rsidRPr="0013396E">
        <w:rPr>
          <w:position w:val="-22"/>
        </w:rPr>
        <w:object w:dxaOrig="225" w:dyaOrig="465" w14:anchorId="09FD190C">
          <v:shape id="_x0000_i1227" type="#_x0000_t75" style="width:12pt;height:24pt" o:ole="">
            <v:imagedata r:id="rId284" o:title=""/>
          </v:shape>
          <o:OLEObject Type="Embed" ProgID="Equation.3" ShapeID="_x0000_i1227" DrawAspect="Content" ObjectID="_1836311505" r:id="rId287"/>
        </w:object>
      </w:r>
      <w:r w:rsidRPr="0013396E">
        <w:t xml:space="preserve">RTOBLAMTQSETOT </w:t>
      </w:r>
      <w:r w:rsidRPr="0013396E">
        <w:rPr>
          <w:i/>
          <w:vertAlign w:val="subscript"/>
        </w:rPr>
        <w:t>q</w:t>
      </w:r>
      <w:r w:rsidRPr="0013396E">
        <w:t xml:space="preserve"> </w:t>
      </w:r>
    </w:p>
    <w:p w14:paraId="0389B49B" w14:textId="77777777" w:rsidR="001F04FD" w:rsidRPr="0013396E" w:rsidRDefault="001F04FD" w:rsidP="001F04FD">
      <w:pPr>
        <w:ind w:firstLine="720"/>
      </w:pPr>
      <w:r w:rsidRPr="0013396E">
        <w:t>Total Real-Time Payment for PTP Obligations with Links to Options</w:t>
      </w:r>
    </w:p>
    <w:p w14:paraId="54E24891" w14:textId="7C20850F" w:rsidR="001F04FD" w:rsidRPr="0013396E" w:rsidRDefault="001F04FD" w:rsidP="001F04FD">
      <w:pPr>
        <w:pStyle w:val="Formula"/>
        <w:ind w:leftChars="600" w:left="3600" w:hanging="2160"/>
      </w:pPr>
      <w:r w:rsidRPr="0013396E">
        <w:t>RTOBLLOAMTTOT</w:t>
      </w:r>
      <w:r w:rsidRPr="0013396E">
        <w:tab/>
        <w:t>=</w:t>
      </w:r>
      <w:r w:rsidRPr="0013396E">
        <w:tab/>
      </w:r>
      <w:r w:rsidRPr="0013396E">
        <w:rPr>
          <w:position w:val="-22"/>
        </w:rPr>
        <w:object w:dxaOrig="225" w:dyaOrig="450" w14:anchorId="4DB6A924">
          <v:shape id="_x0000_i1228" type="#_x0000_t75" style="width:12pt;height:24pt" o:ole="">
            <v:imagedata r:id="rId284" o:title=""/>
          </v:shape>
          <o:OLEObject Type="Embed" ProgID="Equation.3" ShapeID="_x0000_i1228" DrawAspect="Content" ObjectID="_1836311506" r:id="rId288"/>
        </w:object>
      </w:r>
      <w:r w:rsidRPr="0013396E">
        <w:t xml:space="preserve">RTOBLLOAMTQSETOT </w:t>
      </w:r>
      <w:r w:rsidRPr="0013396E">
        <w:rPr>
          <w:i/>
          <w:vertAlign w:val="subscript"/>
        </w:rPr>
        <w:t>q</w:t>
      </w:r>
      <w:r w:rsidRPr="0013396E">
        <w:t xml:space="preserve"> </w:t>
      </w:r>
    </w:p>
    <w:p w14:paraId="54630664" w14:textId="77777777" w:rsidR="00DF0BE4" w:rsidRPr="0013396E" w:rsidRDefault="00DF0BE4" w:rsidP="00DF0BE4">
      <w:pPr>
        <w:spacing w:after="120"/>
        <w:ind w:left="720"/>
      </w:pPr>
      <w:r w:rsidRPr="0013396E">
        <w:lastRenderedPageBreak/>
        <w:t>Total Real-Time Payment or Charge for energy from SODGs and SOTGs</w:t>
      </w:r>
    </w:p>
    <w:p w14:paraId="6A2CD136" w14:textId="4418CE2A" w:rsidR="00DF0BE4" w:rsidRPr="0013396E" w:rsidRDefault="00DF0BE4" w:rsidP="00DF0BE4">
      <w:pPr>
        <w:pStyle w:val="Formula"/>
        <w:ind w:leftChars="600" w:left="3600" w:hanging="2160"/>
      </w:pPr>
      <w:r w:rsidRPr="0013396E">
        <w:rPr>
          <w:szCs w:val="20"/>
        </w:rPr>
        <w:t>RTESOGAMTTOT</w:t>
      </w:r>
      <w:r w:rsidRPr="0013396E">
        <w:rPr>
          <w:szCs w:val="20"/>
        </w:rPr>
        <w:tab/>
        <w:t>=</w:t>
      </w:r>
      <w:r w:rsidRPr="0013396E">
        <w:rPr>
          <w:szCs w:val="20"/>
        </w:rPr>
        <w:tab/>
      </w:r>
      <w:r w:rsidRPr="0013396E">
        <w:rPr>
          <w:noProof/>
          <w:position w:val="-22"/>
          <w:szCs w:val="20"/>
        </w:rPr>
        <w:drawing>
          <wp:inline distT="0" distB="0" distL="0" distR="0" wp14:anchorId="70970F75" wp14:editId="6E38F81B">
            <wp:extent cx="133350" cy="295275"/>
            <wp:effectExtent l="0" t="0" r="0" b="9525"/>
            <wp:docPr id="48"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89" cstate="print">
                      <a:extLst>
                        <a:ext uri="{28A0092B-C50C-407E-A947-70E740481C1C}">
                          <a14:useLocalDpi xmlns:a14="http://schemas.microsoft.com/office/drawing/2010/main" val="0"/>
                        </a:ext>
                      </a:extLst>
                    </a:blip>
                    <a:srcRect/>
                    <a:stretch>
                      <a:fillRect/>
                    </a:stretch>
                  </pic:blipFill>
                  <pic:spPr bwMode="auto">
                    <a:xfrm>
                      <a:off x="0" y="0"/>
                      <a:ext cx="133350" cy="295275"/>
                    </a:xfrm>
                    <a:prstGeom prst="rect">
                      <a:avLst/>
                    </a:prstGeom>
                    <a:noFill/>
                    <a:ln>
                      <a:noFill/>
                    </a:ln>
                  </pic:spPr>
                </pic:pic>
              </a:graphicData>
            </a:graphic>
          </wp:inline>
        </w:drawing>
      </w:r>
      <w:r w:rsidRPr="0013396E">
        <w:rPr>
          <w:szCs w:val="20"/>
        </w:rPr>
        <w:t xml:space="preserve">RTESOGAMTQSETOT </w:t>
      </w:r>
      <w:r w:rsidRPr="0013396E">
        <w:rPr>
          <w:i/>
          <w:szCs w:val="20"/>
          <w:vertAlign w:val="subscript"/>
        </w:rPr>
        <w:t>q</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0F620F" w:rsidRPr="0013396E" w14:paraId="42597869" w14:textId="77777777" w:rsidTr="008B123E">
        <w:trPr>
          <w:trHeight w:val="206"/>
        </w:trPr>
        <w:tc>
          <w:tcPr>
            <w:tcW w:w="9576" w:type="dxa"/>
            <w:shd w:val="pct12" w:color="auto" w:fill="auto"/>
          </w:tcPr>
          <w:p w14:paraId="0806CD9A" w14:textId="46312606" w:rsidR="000F620F" w:rsidRPr="0013396E" w:rsidRDefault="000F620F" w:rsidP="008B123E">
            <w:pPr>
              <w:pStyle w:val="Instructions"/>
              <w:spacing w:before="120"/>
            </w:pPr>
            <w:r w:rsidRPr="0013396E">
              <w:t>[</w:t>
            </w:r>
            <w:r w:rsidR="00C04382" w:rsidRPr="0013396E">
              <w:t>NPRR995</w:t>
            </w:r>
            <w:r w:rsidRPr="0013396E">
              <w:t xml:space="preserve">:  </w:t>
            </w:r>
            <w:r w:rsidR="00DF0BE4" w:rsidRPr="0013396E">
              <w:t xml:space="preserve">Replace </w:t>
            </w:r>
            <w:r w:rsidRPr="0013396E">
              <w:t xml:space="preserve">the language </w:t>
            </w:r>
            <w:r w:rsidR="00DF0BE4" w:rsidRPr="0013396E">
              <w:t>above with the following</w:t>
            </w:r>
            <w:r w:rsidRPr="0013396E">
              <w:t xml:space="preserve"> upon system implementation:]</w:t>
            </w:r>
          </w:p>
          <w:p w14:paraId="080A4824" w14:textId="43AA43C3" w:rsidR="002F5823" w:rsidRPr="0013396E" w:rsidRDefault="002F5823" w:rsidP="002F5823">
            <w:pPr>
              <w:ind w:left="720"/>
            </w:pPr>
            <w:r w:rsidRPr="0013396E">
              <w:t>Total Real-Time Payment or Charge for energy from SODGs</w:t>
            </w:r>
            <w:r w:rsidR="00C04382" w:rsidRPr="0013396E">
              <w:t>,</w:t>
            </w:r>
            <w:r w:rsidRPr="0013396E">
              <w:t xml:space="preserve"> SOTGs</w:t>
            </w:r>
            <w:r w:rsidR="00C04382" w:rsidRPr="0013396E">
              <w:t>, SODESSs, or SOTESSs</w:t>
            </w:r>
            <w:r w:rsidRPr="0013396E">
              <w:t xml:space="preserve"> </w:t>
            </w:r>
          </w:p>
          <w:p w14:paraId="0D7E5397" w14:textId="06446C4A" w:rsidR="000F620F" w:rsidRPr="0013396E" w:rsidRDefault="002F5823" w:rsidP="002F5823">
            <w:pPr>
              <w:pStyle w:val="Formula"/>
              <w:ind w:leftChars="600" w:left="3600" w:hanging="2160"/>
            </w:pPr>
            <w:r w:rsidRPr="0013396E">
              <w:t>RTESOAMTTOT</w:t>
            </w:r>
            <w:r w:rsidRPr="0013396E">
              <w:tab/>
              <w:t>=</w:t>
            </w:r>
            <w:r w:rsidRPr="0013396E">
              <w:tab/>
            </w:r>
            <w:r w:rsidRPr="0013396E">
              <w:rPr>
                <w:position w:val="-22"/>
              </w:rPr>
              <w:object w:dxaOrig="210" w:dyaOrig="465" w14:anchorId="7383A45D">
                <v:shape id="_x0000_i1229" type="#_x0000_t75" style="width:12pt;height:29.4pt" o:ole="">
                  <v:imagedata r:id="rId290" o:title=""/>
                </v:shape>
                <o:OLEObject Type="Embed" ProgID="Equation.3" ShapeID="_x0000_i1229" DrawAspect="Content" ObjectID="_1836311507" r:id="rId291"/>
              </w:object>
            </w:r>
            <w:r w:rsidRPr="0013396E">
              <w:t xml:space="preserve"> RTESOAMTQSETOT </w:t>
            </w:r>
            <w:r w:rsidRPr="0013396E">
              <w:rPr>
                <w:i/>
                <w:vertAlign w:val="subscript"/>
              </w:rPr>
              <w:t>q</w:t>
            </w:r>
          </w:p>
        </w:tc>
      </w:tr>
    </w:tbl>
    <w:p w14:paraId="7D6D2297" w14:textId="77777777" w:rsidR="001F04FD" w:rsidRPr="0013396E" w:rsidRDefault="001F04FD" w:rsidP="004A39F9">
      <w:pPr>
        <w:spacing w:before="240"/>
      </w:pPr>
      <w:r w:rsidRPr="0013396E">
        <w:t xml:space="preserve">The above </w:t>
      </w:r>
      <w:r w:rsidRPr="0013396E">
        <w:rPr>
          <w:szCs w:val="24"/>
        </w:rPr>
        <w:t>variables</w:t>
      </w:r>
      <w:r w:rsidRPr="0013396E">
        <w:t xml:space="preserve">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2"/>
        <w:gridCol w:w="634"/>
        <w:gridCol w:w="6324"/>
      </w:tblGrid>
      <w:tr w:rsidR="001F04FD" w:rsidRPr="0013396E" w14:paraId="3E843120" w14:textId="77777777" w:rsidTr="00AC4DEE">
        <w:trPr>
          <w:cantSplit/>
          <w:tblHeader/>
        </w:trPr>
        <w:tc>
          <w:tcPr>
            <w:tcW w:w="1279" w:type="pct"/>
          </w:tcPr>
          <w:p w14:paraId="5ED501E0" w14:textId="77777777" w:rsidR="001F04FD" w:rsidRPr="0013396E" w:rsidRDefault="001F04FD" w:rsidP="00AC4DEE">
            <w:pPr>
              <w:pStyle w:val="TableHead"/>
            </w:pPr>
            <w:r w:rsidRPr="0013396E">
              <w:t>Variable</w:t>
            </w:r>
          </w:p>
        </w:tc>
        <w:tc>
          <w:tcPr>
            <w:tcW w:w="339" w:type="pct"/>
          </w:tcPr>
          <w:p w14:paraId="2CB5D481" w14:textId="77777777" w:rsidR="001F04FD" w:rsidRPr="0013396E" w:rsidRDefault="001F04FD" w:rsidP="00AC4DEE">
            <w:pPr>
              <w:pStyle w:val="TableHead"/>
            </w:pPr>
            <w:r w:rsidRPr="0013396E">
              <w:t>Unit</w:t>
            </w:r>
          </w:p>
        </w:tc>
        <w:tc>
          <w:tcPr>
            <w:tcW w:w="3382" w:type="pct"/>
          </w:tcPr>
          <w:p w14:paraId="56A62271" w14:textId="77777777" w:rsidR="001F04FD" w:rsidRPr="0013396E" w:rsidRDefault="001F04FD" w:rsidP="00AC4DEE">
            <w:pPr>
              <w:pStyle w:val="TableHead"/>
            </w:pPr>
            <w:r w:rsidRPr="0013396E">
              <w:t>Description</w:t>
            </w:r>
          </w:p>
        </w:tc>
      </w:tr>
      <w:tr w:rsidR="001F04FD" w:rsidRPr="0013396E" w14:paraId="6E213ED1" w14:textId="77777777" w:rsidTr="00AC4DEE">
        <w:trPr>
          <w:cantSplit/>
        </w:trPr>
        <w:tc>
          <w:tcPr>
            <w:tcW w:w="1279" w:type="pct"/>
          </w:tcPr>
          <w:p w14:paraId="705D7DED" w14:textId="77777777" w:rsidR="001F04FD" w:rsidRPr="0013396E" w:rsidRDefault="001F04FD" w:rsidP="00AC4DEE">
            <w:pPr>
              <w:pStyle w:val="TableBody"/>
            </w:pPr>
            <w:r w:rsidRPr="0013396E">
              <w:t xml:space="preserve">LARTRNAMT </w:t>
            </w:r>
            <w:r w:rsidRPr="0013396E">
              <w:rPr>
                <w:i/>
                <w:vertAlign w:val="subscript"/>
              </w:rPr>
              <w:t>q</w:t>
            </w:r>
          </w:p>
        </w:tc>
        <w:tc>
          <w:tcPr>
            <w:tcW w:w="339" w:type="pct"/>
          </w:tcPr>
          <w:p w14:paraId="4DB4DD1D" w14:textId="77777777" w:rsidR="001F04FD" w:rsidRPr="0013396E" w:rsidRDefault="001F04FD" w:rsidP="00AC4DEE">
            <w:pPr>
              <w:pStyle w:val="TableBody"/>
            </w:pPr>
            <w:r w:rsidRPr="0013396E">
              <w:t>$</w:t>
            </w:r>
          </w:p>
        </w:tc>
        <w:tc>
          <w:tcPr>
            <w:tcW w:w="3382" w:type="pct"/>
          </w:tcPr>
          <w:p w14:paraId="2E9390A8" w14:textId="77777777" w:rsidR="001F04FD" w:rsidRPr="0013396E" w:rsidRDefault="001F04FD" w:rsidP="00AC4DEE">
            <w:pPr>
              <w:pStyle w:val="TableBody"/>
            </w:pPr>
            <w:r w:rsidRPr="0013396E">
              <w:rPr>
                <w:i/>
              </w:rPr>
              <w:t>Load-Allocated Real-Time Revenue Neutrality Amount per QSE</w:t>
            </w:r>
            <w:r w:rsidRPr="0013396E">
              <w:t xml:space="preserve">—The QSE </w:t>
            </w:r>
            <w:r w:rsidRPr="0013396E">
              <w:rPr>
                <w:i/>
              </w:rPr>
              <w:t>q</w:t>
            </w:r>
            <w:r w:rsidRPr="0013396E">
              <w:t>’s share of the total Real-Time revenue neutrality amount, for the 15-minute Settlement Interval.</w:t>
            </w:r>
          </w:p>
        </w:tc>
      </w:tr>
      <w:tr w:rsidR="001F04FD" w:rsidRPr="0013396E" w14:paraId="45785033" w14:textId="77777777" w:rsidTr="00AC4DEE">
        <w:trPr>
          <w:cantSplit/>
        </w:trPr>
        <w:tc>
          <w:tcPr>
            <w:tcW w:w="1279" w:type="pct"/>
          </w:tcPr>
          <w:p w14:paraId="0C73C433" w14:textId="77777777" w:rsidR="001F04FD" w:rsidRPr="0013396E" w:rsidRDefault="001F04FD" w:rsidP="00AC4DEE">
            <w:pPr>
              <w:pStyle w:val="TableBody"/>
            </w:pPr>
            <w:r w:rsidRPr="0013396E">
              <w:t xml:space="preserve">RTEIAMTTOT </w:t>
            </w:r>
            <w:r w:rsidRPr="0013396E">
              <w:rPr>
                <w:i/>
                <w:vertAlign w:val="subscript"/>
              </w:rPr>
              <w:t xml:space="preserve">q </w:t>
            </w:r>
          </w:p>
        </w:tc>
        <w:tc>
          <w:tcPr>
            <w:tcW w:w="339" w:type="pct"/>
          </w:tcPr>
          <w:p w14:paraId="503A9E23" w14:textId="77777777" w:rsidR="001F04FD" w:rsidRPr="0013396E" w:rsidRDefault="001F04FD" w:rsidP="00AC4DEE">
            <w:pPr>
              <w:pStyle w:val="TableBody"/>
            </w:pPr>
            <w:r w:rsidRPr="0013396E">
              <w:t>$</w:t>
            </w:r>
          </w:p>
        </w:tc>
        <w:tc>
          <w:tcPr>
            <w:tcW w:w="3382" w:type="pct"/>
          </w:tcPr>
          <w:p w14:paraId="73D174BC" w14:textId="77777777" w:rsidR="001F04FD" w:rsidRPr="0013396E" w:rsidRDefault="001F04FD" w:rsidP="00AC4DEE">
            <w:pPr>
              <w:pStyle w:val="TableBody"/>
            </w:pPr>
            <w:r w:rsidRPr="0013396E">
              <w:rPr>
                <w:i/>
              </w:rPr>
              <w:t>Real-Time Energy Imbalance Amount Total</w:t>
            </w:r>
            <w:r w:rsidRPr="0013396E">
              <w:t>—The total net payments and charges for Real-Time Energy Imbalance Service at all Settlement Points (Resource, Load Zone or Hub) for the 15-minute Interval.</w:t>
            </w:r>
          </w:p>
        </w:tc>
      </w:tr>
      <w:tr w:rsidR="001F04FD" w:rsidRPr="0013396E" w14:paraId="78BA79EC" w14:textId="77777777" w:rsidTr="00AC4DEE">
        <w:trPr>
          <w:cantSplit/>
        </w:trPr>
        <w:tc>
          <w:tcPr>
            <w:tcW w:w="1279" w:type="pct"/>
          </w:tcPr>
          <w:p w14:paraId="33A990C4" w14:textId="77777777" w:rsidR="001F04FD" w:rsidRPr="0013396E" w:rsidRDefault="001F04FD" w:rsidP="00AC4DEE">
            <w:pPr>
              <w:pStyle w:val="TableBody"/>
            </w:pPr>
            <w:r w:rsidRPr="0013396E">
              <w:t>BLTRAMTTOT</w:t>
            </w:r>
          </w:p>
        </w:tc>
        <w:tc>
          <w:tcPr>
            <w:tcW w:w="339" w:type="pct"/>
          </w:tcPr>
          <w:p w14:paraId="0B2379AF" w14:textId="77777777" w:rsidR="001F04FD" w:rsidRPr="0013396E" w:rsidRDefault="001F04FD" w:rsidP="00AC4DEE">
            <w:pPr>
              <w:pStyle w:val="TableBody"/>
            </w:pPr>
            <w:r w:rsidRPr="0013396E">
              <w:t>$</w:t>
            </w:r>
          </w:p>
        </w:tc>
        <w:tc>
          <w:tcPr>
            <w:tcW w:w="3382" w:type="pct"/>
          </w:tcPr>
          <w:p w14:paraId="6AFFF72D" w14:textId="77777777" w:rsidR="001F04FD" w:rsidRPr="0013396E" w:rsidRDefault="001F04FD" w:rsidP="00AC4DEE">
            <w:pPr>
              <w:pStyle w:val="TableBody"/>
            </w:pPr>
            <w:r w:rsidRPr="0013396E">
              <w:rPr>
                <w:i/>
              </w:rPr>
              <w:t>Block Load Transfer Resource Amount Total</w:t>
            </w:r>
            <w:r w:rsidRPr="0013396E">
              <w:sym w:font="Symbol" w:char="F0BE"/>
            </w:r>
            <w:r w:rsidRPr="0013396E">
              <w:t>The total of payments for energy delivered into the ERCOT Region through BLT points for the 15-minute Settlement Interval.</w:t>
            </w:r>
          </w:p>
        </w:tc>
      </w:tr>
      <w:tr w:rsidR="001F04FD" w:rsidRPr="0013396E" w14:paraId="7703E48B" w14:textId="77777777" w:rsidTr="00AC4DEE">
        <w:trPr>
          <w:cantSplit/>
        </w:trPr>
        <w:tc>
          <w:tcPr>
            <w:tcW w:w="1279" w:type="pct"/>
          </w:tcPr>
          <w:p w14:paraId="24E44740" w14:textId="77777777" w:rsidR="001F04FD" w:rsidRPr="0013396E" w:rsidRDefault="001F04FD" w:rsidP="00AC4DEE">
            <w:pPr>
              <w:pStyle w:val="TableBody"/>
            </w:pPr>
            <w:r w:rsidRPr="0013396E">
              <w:t>RTDCIMPAMTTOT</w:t>
            </w:r>
          </w:p>
        </w:tc>
        <w:tc>
          <w:tcPr>
            <w:tcW w:w="339" w:type="pct"/>
          </w:tcPr>
          <w:p w14:paraId="648E271B" w14:textId="77777777" w:rsidR="001F04FD" w:rsidRPr="0013396E" w:rsidRDefault="001F04FD" w:rsidP="00AC4DEE">
            <w:pPr>
              <w:pStyle w:val="TableBody"/>
            </w:pPr>
            <w:r w:rsidRPr="0013396E">
              <w:t>$</w:t>
            </w:r>
          </w:p>
        </w:tc>
        <w:tc>
          <w:tcPr>
            <w:tcW w:w="3382" w:type="pct"/>
            <w:vAlign w:val="center"/>
          </w:tcPr>
          <w:p w14:paraId="3C7F343D" w14:textId="77777777" w:rsidR="001F04FD" w:rsidRPr="0013396E" w:rsidRDefault="001F04FD" w:rsidP="00AC4DEE">
            <w:pPr>
              <w:pStyle w:val="TableBody"/>
              <w:spacing w:after="0"/>
            </w:pPr>
            <w:r w:rsidRPr="0013396E">
              <w:rPr>
                <w:i/>
              </w:rPr>
              <w:t>Real-Time DC Import Amount Total</w:t>
            </w:r>
            <w:r w:rsidRPr="0013396E">
              <w:t>—The summation of payments for DC Tie imports for the 15-minute Settlement Interval.</w:t>
            </w:r>
          </w:p>
        </w:tc>
      </w:tr>
      <w:tr w:rsidR="001F04FD" w:rsidRPr="0013396E" w14:paraId="132F185A" w14:textId="77777777" w:rsidTr="00AC4DEE">
        <w:trPr>
          <w:cantSplit/>
        </w:trPr>
        <w:tc>
          <w:tcPr>
            <w:tcW w:w="1279" w:type="pct"/>
          </w:tcPr>
          <w:p w14:paraId="0DC77BB8" w14:textId="77777777" w:rsidR="001F04FD" w:rsidRPr="0013396E" w:rsidRDefault="001F04FD" w:rsidP="00AC4DEE">
            <w:pPr>
              <w:pStyle w:val="TableBody"/>
            </w:pPr>
            <w:r w:rsidRPr="0013396E">
              <w:t xml:space="preserve">RTCCAMTTOT </w:t>
            </w:r>
          </w:p>
        </w:tc>
        <w:tc>
          <w:tcPr>
            <w:tcW w:w="339" w:type="pct"/>
          </w:tcPr>
          <w:p w14:paraId="38E1EFC7" w14:textId="77777777" w:rsidR="001F04FD" w:rsidRPr="0013396E" w:rsidRDefault="001F04FD" w:rsidP="00AC4DEE">
            <w:pPr>
              <w:pStyle w:val="TableBody"/>
            </w:pPr>
            <w:r w:rsidRPr="0013396E">
              <w:t>$</w:t>
            </w:r>
          </w:p>
        </w:tc>
        <w:tc>
          <w:tcPr>
            <w:tcW w:w="3382" w:type="pct"/>
          </w:tcPr>
          <w:p w14:paraId="4EB86608" w14:textId="77777777" w:rsidR="001F04FD" w:rsidRPr="0013396E" w:rsidRDefault="001F04FD" w:rsidP="00AC4DEE">
            <w:pPr>
              <w:pStyle w:val="TableBody"/>
            </w:pPr>
            <w:r w:rsidRPr="0013396E">
              <w:rPr>
                <w:i/>
              </w:rPr>
              <w:t>Real-Time Energy Congestion Cost Amount Total</w:t>
            </w:r>
            <w:r w:rsidRPr="0013396E">
              <w:t>—The total net congestion payments and charges for all Self-Schedules for the 15-minute Settlement Interval.</w:t>
            </w:r>
          </w:p>
        </w:tc>
      </w:tr>
      <w:tr w:rsidR="001F04FD" w:rsidRPr="0013396E" w14:paraId="08D111D4" w14:textId="77777777" w:rsidTr="00AC4DEE">
        <w:trPr>
          <w:cantSplit/>
        </w:trPr>
        <w:tc>
          <w:tcPr>
            <w:tcW w:w="1279" w:type="pct"/>
          </w:tcPr>
          <w:p w14:paraId="10C5E733" w14:textId="77777777" w:rsidR="001F04FD" w:rsidRPr="0013396E" w:rsidRDefault="001F04FD" w:rsidP="00AC4DEE">
            <w:pPr>
              <w:pStyle w:val="TableBody"/>
            </w:pPr>
            <w:r w:rsidRPr="0013396E">
              <w:t>RTOBLAMTTOT</w:t>
            </w:r>
          </w:p>
        </w:tc>
        <w:tc>
          <w:tcPr>
            <w:tcW w:w="339" w:type="pct"/>
          </w:tcPr>
          <w:p w14:paraId="13435357" w14:textId="77777777" w:rsidR="001F04FD" w:rsidRPr="0013396E" w:rsidRDefault="001F04FD" w:rsidP="00AC4DEE">
            <w:pPr>
              <w:pStyle w:val="TableBody"/>
            </w:pPr>
            <w:r w:rsidRPr="0013396E">
              <w:t>$</w:t>
            </w:r>
          </w:p>
        </w:tc>
        <w:tc>
          <w:tcPr>
            <w:tcW w:w="3382" w:type="pct"/>
          </w:tcPr>
          <w:p w14:paraId="18E0F2D8" w14:textId="77777777" w:rsidR="001F04FD" w:rsidRPr="0013396E" w:rsidRDefault="001F04FD" w:rsidP="00AC4DEE">
            <w:pPr>
              <w:pStyle w:val="TableBody"/>
              <w:rPr>
                <w:i/>
              </w:rPr>
            </w:pPr>
            <w:r w:rsidRPr="0013396E">
              <w:rPr>
                <w:i/>
              </w:rPr>
              <w:t>Real-Time Obligation Amount Total</w:t>
            </w:r>
            <w:r w:rsidRPr="0013396E">
              <w:t>—The sum of all payments and charges for PTP Obligations settled in Real-Time for the hour that includes the 15-minute Settlement Interval.</w:t>
            </w:r>
          </w:p>
        </w:tc>
      </w:tr>
      <w:tr w:rsidR="001F04FD" w:rsidRPr="0013396E" w14:paraId="1F060504" w14:textId="77777777" w:rsidTr="00AC4DEE">
        <w:trPr>
          <w:cantSplit/>
        </w:trPr>
        <w:tc>
          <w:tcPr>
            <w:tcW w:w="1279" w:type="pct"/>
          </w:tcPr>
          <w:p w14:paraId="57A59ED2" w14:textId="77777777" w:rsidR="001F04FD" w:rsidRPr="0013396E" w:rsidRDefault="001F04FD" w:rsidP="00AC4DEE">
            <w:pPr>
              <w:pStyle w:val="TableBody"/>
            </w:pPr>
            <w:r w:rsidRPr="0013396E">
              <w:t>RTOBLLOAMTTOT</w:t>
            </w:r>
          </w:p>
        </w:tc>
        <w:tc>
          <w:tcPr>
            <w:tcW w:w="339" w:type="pct"/>
          </w:tcPr>
          <w:p w14:paraId="07CACFF6" w14:textId="77777777" w:rsidR="001F04FD" w:rsidRPr="0013396E" w:rsidRDefault="001F04FD" w:rsidP="00AC4DEE">
            <w:pPr>
              <w:pStyle w:val="TableBody"/>
            </w:pPr>
            <w:r w:rsidRPr="0013396E">
              <w:t>$</w:t>
            </w:r>
          </w:p>
        </w:tc>
        <w:tc>
          <w:tcPr>
            <w:tcW w:w="3382" w:type="pct"/>
          </w:tcPr>
          <w:p w14:paraId="0A98B28A" w14:textId="77777777" w:rsidR="001F04FD" w:rsidRPr="0013396E" w:rsidRDefault="001F04FD" w:rsidP="00AC4DEE">
            <w:pPr>
              <w:pStyle w:val="TableBody"/>
              <w:rPr>
                <w:i/>
              </w:rPr>
            </w:pPr>
            <w:r w:rsidRPr="0013396E">
              <w:rPr>
                <w:i/>
              </w:rPr>
              <w:t>Real-Time Obligation with Links to an Option Amount Total</w:t>
            </w:r>
            <w:r w:rsidRPr="0013396E">
              <w:t>—The sum of all payments for PTP Obligations with Links to an Option settled in Real-Time for the hour that includes the 15-minute Settlement Interval.</w:t>
            </w:r>
          </w:p>
        </w:tc>
      </w:tr>
      <w:tr w:rsidR="001F04FD" w:rsidRPr="0013396E" w14:paraId="7D258495" w14:textId="77777777" w:rsidTr="00AC4DEE">
        <w:trPr>
          <w:cantSplit/>
        </w:trPr>
        <w:tc>
          <w:tcPr>
            <w:tcW w:w="1279" w:type="pct"/>
            <w:tcBorders>
              <w:top w:val="single" w:sz="4" w:space="0" w:color="auto"/>
              <w:left w:val="single" w:sz="4" w:space="0" w:color="auto"/>
              <w:bottom w:val="single" w:sz="4" w:space="0" w:color="auto"/>
              <w:right w:val="single" w:sz="4" w:space="0" w:color="auto"/>
            </w:tcBorders>
          </w:tcPr>
          <w:p w14:paraId="44FB3CB9" w14:textId="77777777" w:rsidR="001F04FD" w:rsidRPr="0013396E" w:rsidRDefault="001F04FD" w:rsidP="00AC4DEE">
            <w:pPr>
              <w:pStyle w:val="TableBody"/>
            </w:pPr>
            <w:r w:rsidRPr="0013396E">
              <w:t xml:space="preserve">RTEIAMTQSETOT </w:t>
            </w:r>
            <w:r w:rsidRPr="0013396E">
              <w:rPr>
                <w:i/>
                <w:vertAlign w:val="subscript"/>
              </w:rPr>
              <w:t>q</w:t>
            </w:r>
          </w:p>
        </w:tc>
        <w:tc>
          <w:tcPr>
            <w:tcW w:w="339" w:type="pct"/>
            <w:tcBorders>
              <w:top w:val="single" w:sz="4" w:space="0" w:color="auto"/>
              <w:left w:val="single" w:sz="4" w:space="0" w:color="auto"/>
              <w:bottom w:val="single" w:sz="4" w:space="0" w:color="auto"/>
              <w:right w:val="single" w:sz="4" w:space="0" w:color="auto"/>
            </w:tcBorders>
          </w:tcPr>
          <w:p w14:paraId="75556FFA" w14:textId="77777777" w:rsidR="001F04FD" w:rsidRPr="0013396E" w:rsidRDefault="001F04FD" w:rsidP="00AC4DEE">
            <w:pPr>
              <w:pStyle w:val="TableBody"/>
              <w:rPr>
                <w:bCs/>
              </w:rPr>
            </w:pPr>
            <w:r w:rsidRPr="0013396E">
              <w:rPr>
                <w:bCs/>
              </w:rPr>
              <w:t>$</w:t>
            </w:r>
          </w:p>
        </w:tc>
        <w:tc>
          <w:tcPr>
            <w:tcW w:w="3382" w:type="pct"/>
            <w:tcBorders>
              <w:top w:val="single" w:sz="4" w:space="0" w:color="auto"/>
              <w:left w:val="single" w:sz="4" w:space="0" w:color="auto"/>
              <w:bottom w:val="single" w:sz="4" w:space="0" w:color="auto"/>
              <w:right w:val="single" w:sz="4" w:space="0" w:color="auto"/>
            </w:tcBorders>
          </w:tcPr>
          <w:p w14:paraId="69B5C3CD" w14:textId="77777777" w:rsidR="001F04FD" w:rsidRPr="0013396E" w:rsidRDefault="001F04FD" w:rsidP="00AC4DEE">
            <w:pPr>
              <w:pStyle w:val="TableBody"/>
              <w:rPr>
                <w:bCs/>
              </w:rPr>
            </w:pPr>
            <w:r w:rsidRPr="0013396E">
              <w:rPr>
                <w:bCs/>
                <w:i/>
              </w:rPr>
              <w:t>Real-Time Energy Imbalance Amount QSE Total per QSE</w:t>
            </w:r>
            <w:r w:rsidRPr="0013396E">
              <w:rPr>
                <w:bCs/>
              </w:rPr>
              <w:sym w:font="Symbol" w:char="F0BE"/>
            </w:r>
            <w:r w:rsidRPr="0013396E">
              <w:rPr>
                <w:bCs/>
              </w:rPr>
              <w:t xml:space="preserve">The total net payments and charges to QSE </w:t>
            </w:r>
            <w:r w:rsidRPr="0013396E">
              <w:rPr>
                <w:bCs/>
                <w:i/>
              </w:rPr>
              <w:t>q</w:t>
            </w:r>
            <w:r w:rsidRPr="0013396E">
              <w:rPr>
                <w:bCs/>
              </w:rPr>
              <w:t xml:space="preserve"> for Real-Time Energy Imbalance at all Resource Node Settlement Points for the 15-minute Settlement Interval.</w:t>
            </w:r>
          </w:p>
        </w:tc>
      </w:tr>
      <w:tr w:rsidR="001F04FD" w:rsidRPr="0013396E" w14:paraId="747D871A" w14:textId="77777777" w:rsidTr="00AC4DEE">
        <w:trPr>
          <w:cantSplit/>
        </w:trPr>
        <w:tc>
          <w:tcPr>
            <w:tcW w:w="1279" w:type="pct"/>
            <w:tcBorders>
              <w:top w:val="single" w:sz="4" w:space="0" w:color="auto"/>
              <w:left w:val="single" w:sz="4" w:space="0" w:color="auto"/>
              <w:bottom w:val="single" w:sz="4" w:space="0" w:color="auto"/>
              <w:right w:val="single" w:sz="4" w:space="0" w:color="auto"/>
            </w:tcBorders>
          </w:tcPr>
          <w:p w14:paraId="235C44A9" w14:textId="77777777" w:rsidR="001F04FD" w:rsidRPr="0013396E" w:rsidRDefault="001F04FD" w:rsidP="00AC4DEE">
            <w:pPr>
              <w:pStyle w:val="TableBody"/>
            </w:pPr>
            <w:r w:rsidRPr="0013396E">
              <w:t xml:space="preserve">RTCCAMTQSETOT </w:t>
            </w:r>
            <w:r w:rsidRPr="0013396E">
              <w:rPr>
                <w:i/>
                <w:vertAlign w:val="subscript"/>
              </w:rPr>
              <w:t>q</w:t>
            </w:r>
          </w:p>
        </w:tc>
        <w:tc>
          <w:tcPr>
            <w:tcW w:w="339" w:type="pct"/>
            <w:tcBorders>
              <w:top w:val="single" w:sz="4" w:space="0" w:color="auto"/>
              <w:left w:val="single" w:sz="4" w:space="0" w:color="auto"/>
              <w:bottom w:val="single" w:sz="4" w:space="0" w:color="auto"/>
              <w:right w:val="single" w:sz="4" w:space="0" w:color="auto"/>
            </w:tcBorders>
          </w:tcPr>
          <w:p w14:paraId="25C2DD0A" w14:textId="77777777" w:rsidR="001F04FD" w:rsidRPr="0013396E" w:rsidRDefault="001F04FD" w:rsidP="00AC4DEE">
            <w:pPr>
              <w:pStyle w:val="TableBody"/>
              <w:rPr>
                <w:bCs/>
              </w:rPr>
            </w:pPr>
            <w:r w:rsidRPr="0013396E">
              <w:rPr>
                <w:bCs/>
              </w:rPr>
              <w:t>$</w:t>
            </w:r>
          </w:p>
        </w:tc>
        <w:tc>
          <w:tcPr>
            <w:tcW w:w="3382" w:type="pct"/>
            <w:tcBorders>
              <w:top w:val="single" w:sz="4" w:space="0" w:color="auto"/>
              <w:left w:val="single" w:sz="4" w:space="0" w:color="auto"/>
              <w:bottom w:val="single" w:sz="4" w:space="0" w:color="auto"/>
              <w:right w:val="single" w:sz="4" w:space="0" w:color="auto"/>
            </w:tcBorders>
          </w:tcPr>
          <w:p w14:paraId="3FA693B6" w14:textId="77777777" w:rsidR="001F04FD" w:rsidRPr="0013396E" w:rsidRDefault="001F04FD" w:rsidP="00AC4DEE">
            <w:pPr>
              <w:pStyle w:val="TableBody"/>
              <w:rPr>
                <w:bCs/>
              </w:rPr>
            </w:pPr>
            <w:r w:rsidRPr="0013396E">
              <w:rPr>
                <w:bCs/>
                <w:i/>
              </w:rPr>
              <w:t>Real-Time Congestion Cost Amount QSE Total per QSE</w:t>
            </w:r>
            <w:r w:rsidRPr="0013396E">
              <w:rPr>
                <w:bCs/>
              </w:rPr>
              <w:sym w:font="Symbol" w:char="F0BE"/>
            </w:r>
            <w:r w:rsidRPr="0013396E">
              <w:rPr>
                <w:bCs/>
              </w:rPr>
              <w:t xml:space="preserve">The total net congestion payments and charges to QSE </w:t>
            </w:r>
            <w:r w:rsidRPr="0013396E">
              <w:rPr>
                <w:bCs/>
                <w:i/>
              </w:rPr>
              <w:t>q</w:t>
            </w:r>
            <w:r w:rsidRPr="0013396E">
              <w:rPr>
                <w:bCs/>
              </w:rPr>
              <w:t xml:space="preserve"> for its Self-Schedules for the 15-minute Settlement Interval.</w:t>
            </w:r>
          </w:p>
        </w:tc>
      </w:tr>
      <w:tr w:rsidR="001F04FD" w:rsidRPr="0013396E" w14:paraId="1A7DBE75" w14:textId="77777777" w:rsidTr="00AC4DEE">
        <w:trPr>
          <w:cantSplit/>
        </w:trPr>
        <w:tc>
          <w:tcPr>
            <w:tcW w:w="1279" w:type="pct"/>
            <w:tcBorders>
              <w:top w:val="single" w:sz="4" w:space="0" w:color="auto"/>
              <w:left w:val="single" w:sz="4" w:space="0" w:color="auto"/>
              <w:bottom w:val="single" w:sz="4" w:space="0" w:color="auto"/>
              <w:right w:val="single" w:sz="4" w:space="0" w:color="auto"/>
            </w:tcBorders>
          </w:tcPr>
          <w:p w14:paraId="0EB4F66C" w14:textId="77777777" w:rsidR="001F04FD" w:rsidRPr="0013396E" w:rsidRDefault="001F04FD" w:rsidP="00AC4DEE">
            <w:pPr>
              <w:pStyle w:val="TableBody"/>
            </w:pPr>
            <w:r w:rsidRPr="0013396E">
              <w:t xml:space="preserve">BLTRAMTQSETOT </w:t>
            </w:r>
            <w:r w:rsidRPr="0013396E">
              <w:rPr>
                <w:i/>
                <w:vertAlign w:val="subscript"/>
              </w:rPr>
              <w:t>q</w:t>
            </w:r>
          </w:p>
        </w:tc>
        <w:tc>
          <w:tcPr>
            <w:tcW w:w="339" w:type="pct"/>
            <w:tcBorders>
              <w:top w:val="single" w:sz="4" w:space="0" w:color="auto"/>
              <w:left w:val="single" w:sz="4" w:space="0" w:color="auto"/>
              <w:bottom w:val="single" w:sz="4" w:space="0" w:color="auto"/>
              <w:right w:val="single" w:sz="4" w:space="0" w:color="auto"/>
            </w:tcBorders>
          </w:tcPr>
          <w:p w14:paraId="4F5E3805" w14:textId="77777777" w:rsidR="001F04FD" w:rsidRPr="0013396E" w:rsidRDefault="001F04FD" w:rsidP="00AC4DEE">
            <w:pPr>
              <w:pStyle w:val="TableBody"/>
              <w:rPr>
                <w:bCs/>
              </w:rPr>
            </w:pPr>
            <w:r w:rsidRPr="0013396E">
              <w:rPr>
                <w:bCs/>
              </w:rPr>
              <w:t>$</w:t>
            </w:r>
          </w:p>
        </w:tc>
        <w:tc>
          <w:tcPr>
            <w:tcW w:w="3382" w:type="pct"/>
            <w:tcBorders>
              <w:top w:val="single" w:sz="4" w:space="0" w:color="auto"/>
              <w:left w:val="single" w:sz="4" w:space="0" w:color="auto"/>
              <w:bottom w:val="single" w:sz="4" w:space="0" w:color="auto"/>
              <w:right w:val="single" w:sz="4" w:space="0" w:color="auto"/>
            </w:tcBorders>
          </w:tcPr>
          <w:p w14:paraId="6C97E6CA" w14:textId="77777777" w:rsidR="001F04FD" w:rsidRPr="0013396E" w:rsidRDefault="001F04FD" w:rsidP="00AC4DEE">
            <w:pPr>
              <w:pStyle w:val="TableBody"/>
              <w:rPr>
                <w:bCs/>
              </w:rPr>
            </w:pPr>
            <w:r w:rsidRPr="0013396E">
              <w:rPr>
                <w:bCs/>
                <w:i/>
              </w:rPr>
              <w:t>Block Load Transfer Resource Amount QSE Total per QSE</w:t>
            </w:r>
            <w:r w:rsidRPr="0013396E">
              <w:rPr>
                <w:bCs/>
              </w:rPr>
              <w:sym w:font="Symbol" w:char="F0BE"/>
            </w:r>
            <w:r w:rsidRPr="0013396E">
              <w:rPr>
                <w:bCs/>
              </w:rPr>
              <w:t xml:space="preserve">The total of the payments to QSE </w:t>
            </w:r>
            <w:r w:rsidRPr="0013396E">
              <w:rPr>
                <w:bCs/>
                <w:i/>
              </w:rPr>
              <w:t>q</w:t>
            </w:r>
            <w:r w:rsidRPr="0013396E">
              <w:rPr>
                <w:bCs/>
              </w:rPr>
              <w:t xml:space="preserve"> for energy delivered into the ERCOT Region through BLT points for the 15-minute Settlement Interval.</w:t>
            </w:r>
          </w:p>
        </w:tc>
      </w:tr>
      <w:tr w:rsidR="001F04FD" w:rsidRPr="0013396E" w14:paraId="650E784E" w14:textId="77777777" w:rsidTr="00AC4DEE">
        <w:trPr>
          <w:cantSplit/>
        </w:trPr>
        <w:tc>
          <w:tcPr>
            <w:tcW w:w="1279" w:type="pct"/>
            <w:tcBorders>
              <w:top w:val="single" w:sz="4" w:space="0" w:color="auto"/>
              <w:left w:val="single" w:sz="4" w:space="0" w:color="auto"/>
              <w:bottom w:val="single" w:sz="4" w:space="0" w:color="auto"/>
              <w:right w:val="single" w:sz="4" w:space="0" w:color="auto"/>
            </w:tcBorders>
          </w:tcPr>
          <w:p w14:paraId="650057B5" w14:textId="77777777" w:rsidR="001F04FD" w:rsidRPr="0013396E" w:rsidRDefault="001F04FD" w:rsidP="00AC4DEE">
            <w:pPr>
              <w:pStyle w:val="TableBody"/>
            </w:pPr>
            <w:r w:rsidRPr="0013396E">
              <w:t xml:space="preserve">RTDCIMPAMTQSETOT </w:t>
            </w:r>
            <w:r w:rsidRPr="0013396E">
              <w:rPr>
                <w:i/>
                <w:vertAlign w:val="subscript"/>
              </w:rPr>
              <w:t>q</w:t>
            </w:r>
          </w:p>
        </w:tc>
        <w:tc>
          <w:tcPr>
            <w:tcW w:w="339" w:type="pct"/>
            <w:tcBorders>
              <w:top w:val="single" w:sz="4" w:space="0" w:color="auto"/>
              <w:left w:val="single" w:sz="4" w:space="0" w:color="auto"/>
              <w:bottom w:val="single" w:sz="4" w:space="0" w:color="auto"/>
              <w:right w:val="single" w:sz="4" w:space="0" w:color="auto"/>
            </w:tcBorders>
          </w:tcPr>
          <w:p w14:paraId="5931A65A" w14:textId="77777777" w:rsidR="001F04FD" w:rsidRPr="0013396E" w:rsidRDefault="001F04FD" w:rsidP="00AC4DEE">
            <w:pPr>
              <w:pStyle w:val="TableBody"/>
              <w:rPr>
                <w:bCs/>
              </w:rPr>
            </w:pPr>
            <w:r w:rsidRPr="0013396E">
              <w:rPr>
                <w:bCs/>
              </w:rPr>
              <w:t>$</w:t>
            </w:r>
          </w:p>
        </w:tc>
        <w:tc>
          <w:tcPr>
            <w:tcW w:w="3382" w:type="pct"/>
            <w:tcBorders>
              <w:top w:val="single" w:sz="4" w:space="0" w:color="auto"/>
              <w:left w:val="single" w:sz="4" w:space="0" w:color="auto"/>
              <w:bottom w:val="single" w:sz="4" w:space="0" w:color="auto"/>
              <w:right w:val="single" w:sz="4" w:space="0" w:color="auto"/>
            </w:tcBorders>
          </w:tcPr>
          <w:p w14:paraId="60C79E3D" w14:textId="77777777" w:rsidR="001F04FD" w:rsidRPr="0013396E" w:rsidRDefault="001F04FD" w:rsidP="00AC4DEE">
            <w:pPr>
              <w:pStyle w:val="TableBody"/>
              <w:rPr>
                <w:bCs/>
              </w:rPr>
            </w:pPr>
            <w:r w:rsidRPr="0013396E">
              <w:rPr>
                <w:bCs/>
                <w:i/>
              </w:rPr>
              <w:t>Real-Time DC Import Amount QSE Total per QSE</w:t>
            </w:r>
            <w:r w:rsidRPr="0013396E">
              <w:rPr>
                <w:bCs/>
              </w:rPr>
              <w:sym w:font="Symbol" w:char="F0BE"/>
            </w:r>
            <w:r w:rsidRPr="0013396E">
              <w:rPr>
                <w:bCs/>
              </w:rPr>
              <w:t xml:space="preserve">The total of the payments to QSE </w:t>
            </w:r>
            <w:r w:rsidRPr="0013396E">
              <w:rPr>
                <w:bCs/>
                <w:i/>
              </w:rPr>
              <w:t>q</w:t>
            </w:r>
            <w:r w:rsidRPr="0013396E">
              <w:rPr>
                <w:bCs/>
              </w:rPr>
              <w:t xml:space="preserve"> for energy imported into the ERCOT Region through DC Ties for the 15-minute Settlement Interval.</w:t>
            </w:r>
          </w:p>
        </w:tc>
      </w:tr>
      <w:tr w:rsidR="001F04FD" w:rsidRPr="0013396E" w14:paraId="23ADF615" w14:textId="77777777" w:rsidTr="00AC4DEE">
        <w:trPr>
          <w:cantSplit/>
        </w:trPr>
        <w:tc>
          <w:tcPr>
            <w:tcW w:w="1279" w:type="pct"/>
            <w:tcBorders>
              <w:top w:val="single" w:sz="4" w:space="0" w:color="auto"/>
              <w:left w:val="single" w:sz="4" w:space="0" w:color="auto"/>
              <w:bottom w:val="single" w:sz="4" w:space="0" w:color="auto"/>
              <w:right w:val="single" w:sz="4" w:space="0" w:color="auto"/>
            </w:tcBorders>
          </w:tcPr>
          <w:p w14:paraId="195F5CCD" w14:textId="77777777" w:rsidR="001F04FD" w:rsidRPr="0013396E" w:rsidRDefault="001F04FD" w:rsidP="00AC4DEE">
            <w:pPr>
              <w:pStyle w:val="TableBody"/>
            </w:pPr>
            <w:r w:rsidRPr="0013396E">
              <w:lastRenderedPageBreak/>
              <w:t xml:space="preserve">RTOBLAMTQSETOT </w:t>
            </w:r>
            <w:r w:rsidRPr="0013396E">
              <w:rPr>
                <w:vertAlign w:val="subscript"/>
              </w:rPr>
              <w:t>q</w:t>
            </w:r>
          </w:p>
        </w:tc>
        <w:tc>
          <w:tcPr>
            <w:tcW w:w="339" w:type="pct"/>
            <w:tcBorders>
              <w:top w:val="single" w:sz="4" w:space="0" w:color="auto"/>
              <w:left w:val="single" w:sz="4" w:space="0" w:color="auto"/>
              <w:bottom w:val="single" w:sz="4" w:space="0" w:color="auto"/>
              <w:right w:val="single" w:sz="4" w:space="0" w:color="auto"/>
            </w:tcBorders>
          </w:tcPr>
          <w:p w14:paraId="7A77F5EB" w14:textId="77777777" w:rsidR="001F04FD" w:rsidRPr="0013396E" w:rsidRDefault="001F04FD" w:rsidP="00AC4DEE">
            <w:pPr>
              <w:pStyle w:val="TableBody"/>
              <w:rPr>
                <w:bCs/>
              </w:rPr>
            </w:pPr>
            <w:r w:rsidRPr="0013396E">
              <w:rPr>
                <w:bCs/>
              </w:rPr>
              <w:t>$</w:t>
            </w:r>
          </w:p>
        </w:tc>
        <w:tc>
          <w:tcPr>
            <w:tcW w:w="3382" w:type="pct"/>
            <w:tcBorders>
              <w:top w:val="single" w:sz="4" w:space="0" w:color="auto"/>
              <w:left w:val="single" w:sz="4" w:space="0" w:color="auto"/>
              <w:bottom w:val="single" w:sz="4" w:space="0" w:color="auto"/>
              <w:right w:val="single" w:sz="4" w:space="0" w:color="auto"/>
            </w:tcBorders>
          </w:tcPr>
          <w:p w14:paraId="67222337" w14:textId="77777777" w:rsidR="001F04FD" w:rsidRPr="0013396E" w:rsidRDefault="001F04FD" w:rsidP="00AC4DEE">
            <w:pPr>
              <w:pStyle w:val="TableBody"/>
              <w:rPr>
                <w:bCs/>
              </w:rPr>
            </w:pPr>
            <w:r w:rsidRPr="0013396E">
              <w:rPr>
                <w:bCs/>
                <w:i/>
              </w:rPr>
              <w:t>Real-Time Obligation Amount QSE Total per QSE</w:t>
            </w:r>
            <w:r w:rsidRPr="0013396E">
              <w:rPr>
                <w:bCs/>
              </w:rPr>
              <w:t xml:space="preserve">—The net total payment or charge to QSE </w:t>
            </w:r>
            <w:r w:rsidRPr="0013396E">
              <w:rPr>
                <w:bCs/>
                <w:i/>
              </w:rPr>
              <w:t>q</w:t>
            </w:r>
            <w:r w:rsidRPr="0013396E">
              <w:rPr>
                <w:bCs/>
              </w:rPr>
              <w:t xml:space="preserve"> of all its PTP Obligations settled in Real-Time for the hour that includes the 15-minute Settlement Interval.  See paragraph (2) of Section 7.9.2.1, Payments and Charges for PTP Obligations Settled in Real-Time.</w:t>
            </w:r>
          </w:p>
        </w:tc>
      </w:tr>
      <w:tr w:rsidR="001F04FD" w:rsidRPr="0013396E" w14:paraId="33E97B7F" w14:textId="77777777" w:rsidTr="00AC4DEE">
        <w:trPr>
          <w:cantSplit/>
        </w:trPr>
        <w:tc>
          <w:tcPr>
            <w:tcW w:w="1279" w:type="pct"/>
            <w:tcBorders>
              <w:top w:val="single" w:sz="4" w:space="0" w:color="auto"/>
              <w:left w:val="single" w:sz="4" w:space="0" w:color="auto"/>
              <w:bottom w:val="single" w:sz="4" w:space="0" w:color="auto"/>
              <w:right w:val="single" w:sz="4" w:space="0" w:color="auto"/>
            </w:tcBorders>
          </w:tcPr>
          <w:p w14:paraId="63C65C31" w14:textId="77777777" w:rsidR="001F04FD" w:rsidRPr="0013396E" w:rsidRDefault="001F04FD" w:rsidP="00AC4DEE">
            <w:pPr>
              <w:pStyle w:val="TableBody"/>
            </w:pPr>
            <w:r w:rsidRPr="0013396E">
              <w:t xml:space="preserve">RTOBLLOAMTQSETOT </w:t>
            </w:r>
            <w:r w:rsidRPr="0013396E">
              <w:rPr>
                <w:i/>
                <w:vertAlign w:val="subscript"/>
              </w:rPr>
              <w:t>q</w:t>
            </w:r>
          </w:p>
        </w:tc>
        <w:tc>
          <w:tcPr>
            <w:tcW w:w="339" w:type="pct"/>
            <w:tcBorders>
              <w:top w:val="single" w:sz="4" w:space="0" w:color="auto"/>
              <w:left w:val="single" w:sz="4" w:space="0" w:color="auto"/>
              <w:bottom w:val="single" w:sz="4" w:space="0" w:color="auto"/>
              <w:right w:val="single" w:sz="4" w:space="0" w:color="auto"/>
            </w:tcBorders>
          </w:tcPr>
          <w:p w14:paraId="4BCBB877" w14:textId="77777777" w:rsidR="001F04FD" w:rsidRPr="0013396E" w:rsidRDefault="001F04FD" w:rsidP="00AC4DEE">
            <w:pPr>
              <w:pStyle w:val="TableBody"/>
              <w:rPr>
                <w:bCs/>
              </w:rPr>
            </w:pPr>
            <w:r w:rsidRPr="0013396E">
              <w:rPr>
                <w:bCs/>
              </w:rPr>
              <w:t>$</w:t>
            </w:r>
          </w:p>
        </w:tc>
        <w:tc>
          <w:tcPr>
            <w:tcW w:w="3382" w:type="pct"/>
            <w:tcBorders>
              <w:top w:val="single" w:sz="4" w:space="0" w:color="auto"/>
              <w:left w:val="single" w:sz="4" w:space="0" w:color="auto"/>
              <w:bottom w:val="single" w:sz="4" w:space="0" w:color="auto"/>
              <w:right w:val="single" w:sz="4" w:space="0" w:color="auto"/>
            </w:tcBorders>
          </w:tcPr>
          <w:p w14:paraId="61707FF3" w14:textId="77777777" w:rsidR="001F04FD" w:rsidRPr="0013396E" w:rsidRDefault="001F04FD" w:rsidP="00AC4DEE">
            <w:pPr>
              <w:pStyle w:val="TableBody"/>
              <w:rPr>
                <w:bCs/>
                <w:i/>
              </w:rPr>
            </w:pPr>
            <w:r w:rsidRPr="0013396E">
              <w:rPr>
                <w:bCs/>
                <w:i/>
              </w:rPr>
              <w:t>Real-Time Obligation with Links to an Option Amount QSE Total per QSE</w:t>
            </w:r>
            <w:r w:rsidRPr="0013396E">
              <w:rPr>
                <w:bCs/>
              </w:rPr>
              <w:t xml:space="preserve">—The total payment to QSE </w:t>
            </w:r>
            <w:r w:rsidRPr="0013396E">
              <w:rPr>
                <w:bCs/>
                <w:i/>
              </w:rPr>
              <w:t>q</w:t>
            </w:r>
            <w:r w:rsidRPr="0013396E">
              <w:rPr>
                <w:bCs/>
              </w:rPr>
              <w:t xml:space="preserve"> for all of its PTP Obligations with Links to an Option settled in Real-Time for the hour that includes the 15-minute Settlement Interval.  See paragraph (2) of Section 7.9.2.1.</w:t>
            </w:r>
          </w:p>
        </w:tc>
      </w:tr>
      <w:tr w:rsidR="00DF0BE4" w:rsidRPr="0013396E" w14:paraId="72B579A2" w14:textId="77777777" w:rsidTr="00AC4DEE">
        <w:trPr>
          <w:cantSplit/>
        </w:trPr>
        <w:tc>
          <w:tcPr>
            <w:tcW w:w="1279" w:type="pct"/>
            <w:tcBorders>
              <w:top w:val="single" w:sz="4" w:space="0" w:color="auto"/>
              <w:left w:val="single" w:sz="4" w:space="0" w:color="auto"/>
              <w:bottom w:val="single" w:sz="4" w:space="0" w:color="auto"/>
              <w:right w:val="single" w:sz="4" w:space="0" w:color="auto"/>
            </w:tcBorders>
          </w:tcPr>
          <w:p w14:paraId="76B05252" w14:textId="55455ED9" w:rsidR="00DF0BE4" w:rsidRPr="0013396E" w:rsidRDefault="00DF0BE4" w:rsidP="00DF0BE4">
            <w:pPr>
              <w:pStyle w:val="TableBody"/>
            </w:pPr>
            <w:r w:rsidRPr="0013396E">
              <w:t xml:space="preserve">RTESOGAMTQSETOT </w:t>
            </w:r>
            <w:r w:rsidRPr="0013396E">
              <w:rPr>
                <w:i/>
                <w:vertAlign w:val="subscript"/>
              </w:rPr>
              <w:t>q</w:t>
            </w:r>
          </w:p>
        </w:tc>
        <w:tc>
          <w:tcPr>
            <w:tcW w:w="339" w:type="pct"/>
            <w:tcBorders>
              <w:top w:val="single" w:sz="4" w:space="0" w:color="auto"/>
              <w:left w:val="single" w:sz="4" w:space="0" w:color="auto"/>
              <w:bottom w:val="single" w:sz="4" w:space="0" w:color="auto"/>
              <w:right w:val="single" w:sz="4" w:space="0" w:color="auto"/>
            </w:tcBorders>
          </w:tcPr>
          <w:p w14:paraId="65531D5B" w14:textId="61549DC5" w:rsidR="00DF0BE4" w:rsidRPr="0013396E" w:rsidRDefault="00DF0BE4" w:rsidP="00DF0BE4">
            <w:pPr>
              <w:pStyle w:val="TableBody"/>
              <w:rPr>
                <w:bCs/>
              </w:rPr>
            </w:pPr>
            <w:r w:rsidRPr="0013396E">
              <w:rPr>
                <w:bCs/>
              </w:rPr>
              <w:t>$</w:t>
            </w:r>
          </w:p>
        </w:tc>
        <w:tc>
          <w:tcPr>
            <w:tcW w:w="3382" w:type="pct"/>
            <w:tcBorders>
              <w:top w:val="single" w:sz="4" w:space="0" w:color="auto"/>
              <w:left w:val="single" w:sz="4" w:space="0" w:color="auto"/>
              <w:bottom w:val="single" w:sz="4" w:space="0" w:color="auto"/>
              <w:right w:val="single" w:sz="4" w:space="0" w:color="auto"/>
            </w:tcBorders>
          </w:tcPr>
          <w:p w14:paraId="409A18C8" w14:textId="063580D6" w:rsidR="00DF0BE4" w:rsidRPr="0013396E" w:rsidRDefault="00DF0BE4" w:rsidP="00DF0BE4">
            <w:pPr>
              <w:pStyle w:val="TableBody"/>
              <w:rPr>
                <w:bCs/>
                <w:i/>
              </w:rPr>
            </w:pPr>
            <w:r w:rsidRPr="0013396E">
              <w:rPr>
                <w:i/>
              </w:rPr>
              <w:t xml:space="preserve">Real-Time Energy Payment or Charge per QSE for Energy from SODGs and SOTGs </w:t>
            </w:r>
            <w:r w:rsidRPr="0013396E">
              <w:t xml:space="preserve">—The payment or charge to QSE </w:t>
            </w:r>
            <w:r w:rsidRPr="0013396E">
              <w:rPr>
                <w:i/>
              </w:rPr>
              <w:t>q</w:t>
            </w:r>
            <w:r w:rsidRPr="0013396E">
              <w:t xml:space="preserve"> for Real-Time energy from SODGs and SOTGs, for the 15-minute Settlement Interval.</w:t>
            </w:r>
          </w:p>
        </w:tc>
      </w:tr>
      <w:tr w:rsidR="00DF0BE4" w:rsidRPr="0013396E" w14:paraId="6CEB71EA" w14:textId="77777777" w:rsidTr="00AC4DEE">
        <w:trPr>
          <w:cantSplit/>
        </w:trPr>
        <w:tc>
          <w:tcPr>
            <w:tcW w:w="1279" w:type="pct"/>
            <w:tcBorders>
              <w:top w:val="single" w:sz="4" w:space="0" w:color="auto"/>
              <w:left w:val="single" w:sz="4" w:space="0" w:color="auto"/>
              <w:bottom w:val="single" w:sz="4" w:space="0" w:color="auto"/>
              <w:right w:val="single" w:sz="4" w:space="0" w:color="auto"/>
            </w:tcBorders>
          </w:tcPr>
          <w:p w14:paraId="4D49A5D7" w14:textId="4D9C454B" w:rsidR="00DF0BE4" w:rsidRPr="0013396E" w:rsidRDefault="00DF0BE4" w:rsidP="00DF0BE4">
            <w:pPr>
              <w:pStyle w:val="TableBody"/>
            </w:pPr>
            <w:r w:rsidRPr="0013396E">
              <w:t>RTESOGAMTTOT</w:t>
            </w:r>
          </w:p>
        </w:tc>
        <w:tc>
          <w:tcPr>
            <w:tcW w:w="339" w:type="pct"/>
            <w:tcBorders>
              <w:top w:val="single" w:sz="4" w:space="0" w:color="auto"/>
              <w:left w:val="single" w:sz="4" w:space="0" w:color="auto"/>
              <w:bottom w:val="single" w:sz="4" w:space="0" w:color="auto"/>
              <w:right w:val="single" w:sz="4" w:space="0" w:color="auto"/>
            </w:tcBorders>
          </w:tcPr>
          <w:p w14:paraId="1D6C0917" w14:textId="7F1B26E2" w:rsidR="00DF0BE4" w:rsidRPr="0013396E" w:rsidRDefault="00DF0BE4" w:rsidP="00DF0BE4">
            <w:pPr>
              <w:pStyle w:val="TableBody"/>
              <w:rPr>
                <w:bCs/>
              </w:rPr>
            </w:pPr>
            <w:r w:rsidRPr="0013396E">
              <w:rPr>
                <w:bCs/>
              </w:rPr>
              <w:t>$</w:t>
            </w:r>
          </w:p>
        </w:tc>
        <w:tc>
          <w:tcPr>
            <w:tcW w:w="3382" w:type="pct"/>
            <w:tcBorders>
              <w:top w:val="single" w:sz="4" w:space="0" w:color="auto"/>
              <w:left w:val="single" w:sz="4" w:space="0" w:color="auto"/>
              <w:bottom w:val="single" w:sz="4" w:space="0" w:color="auto"/>
              <w:right w:val="single" w:sz="4" w:space="0" w:color="auto"/>
            </w:tcBorders>
          </w:tcPr>
          <w:p w14:paraId="54A584FB" w14:textId="4FAFA7BC" w:rsidR="00DF0BE4" w:rsidRPr="0013396E" w:rsidRDefault="00DF0BE4" w:rsidP="00DF0BE4">
            <w:pPr>
              <w:pStyle w:val="TableBody"/>
              <w:rPr>
                <w:bCs/>
                <w:i/>
              </w:rPr>
            </w:pPr>
            <w:r w:rsidRPr="0013396E">
              <w:rPr>
                <w:i/>
              </w:rPr>
              <w:t xml:space="preserve">Real-Time Energy Amount Total for Energy from all SODGs and SOTGs </w:t>
            </w:r>
            <w:r w:rsidRPr="0013396E">
              <w:t>—The total net payments and charges to all QSEs for Real-Time energy from SODGs and SOTGs, for the 15-minute Settlement Interval.</w:t>
            </w:r>
          </w:p>
        </w:tc>
      </w:tr>
      <w:tr w:rsidR="002F5823" w:rsidRPr="0013396E" w14:paraId="4DF5C7B9" w14:textId="77777777" w:rsidTr="002F5823">
        <w:trPr>
          <w:cantSplit/>
        </w:trPr>
        <w:tc>
          <w:tcPr>
            <w:tcW w:w="5000" w:type="pct"/>
            <w:gridSpan w:val="3"/>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124"/>
            </w:tblGrid>
            <w:tr w:rsidR="002F5823" w:rsidRPr="0013396E" w14:paraId="1553525B" w14:textId="77777777" w:rsidTr="008B123E">
              <w:trPr>
                <w:trHeight w:val="206"/>
              </w:trPr>
              <w:tc>
                <w:tcPr>
                  <w:tcW w:w="9576" w:type="dxa"/>
                  <w:shd w:val="pct12" w:color="auto" w:fill="auto"/>
                </w:tcPr>
                <w:p w14:paraId="1F339865" w14:textId="5E9F0EB0" w:rsidR="002F5823" w:rsidRPr="0013396E" w:rsidRDefault="002F5823" w:rsidP="002F5823">
                  <w:pPr>
                    <w:pStyle w:val="Instructions"/>
                    <w:spacing w:before="120"/>
                  </w:pPr>
                  <w:r w:rsidRPr="0013396E">
                    <w:t>[</w:t>
                  </w:r>
                  <w:r w:rsidR="00C04382" w:rsidRPr="0013396E">
                    <w:t>NPRR995</w:t>
                  </w:r>
                  <w:r w:rsidRPr="0013396E">
                    <w:t xml:space="preserve">:  </w:t>
                  </w:r>
                  <w:r w:rsidR="00DF0BE4" w:rsidRPr="0013396E">
                    <w:t>Replace</w:t>
                  </w:r>
                  <w:r w:rsidRPr="0013396E">
                    <w:t xml:space="preserve"> the variables “RTESO</w:t>
                  </w:r>
                  <w:r w:rsidR="00F26601" w:rsidRPr="0013396E">
                    <w:t>G</w:t>
                  </w:r>
                  <w:r w:rsidRPr="0013396E">
                    <w:t xml:space="preserve">AMTQSETOT </w:t>
                  </w:r>
                  <w:r w:rsidRPr="0013396E">
                    <w:rPr>
                      <w:vertAlign w:val="subscript"/>
                    </w:rPr>
                    <w:t>q</w:t>
                  </w:r>
                  <w:r w:rsidRPr="0013396E">
                    <w:t>” and “RTESO</w:t>
                  </w:r>
                  <w:r w:rsidR="00F26601" w:rsidRPr="0013396E">
                    <w:t>G</w:t>
                  </w:r>
                  <w:r w:rsidRPr="0013396E">
                    <w:t xml:space="preserve">AMTTOT” </w:t>
                  </w:r>
                  <w:r w:rsidR="00DF0BE4" w:rsidRPr="0013396E">
                    <w:t>above with the following</w:t>
                  </w:r>
                  <w:r w:rsidRPr="0013396E">
                    <w:t xml:space="preserve"> upon system implementation:]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334"/>
                    <w:gridCol w:w="704"/>
                    <w:gridCol w:w="5846"/>
                  </w:tblGrid>
                  <w:tr w:rsidR="002F5823" w:rsidRPr="0013396E" w14:paraId="75358A54" w14:textId="77777777" w:rsidTr="002F5823">
                    <w:trPr>
                      <w:cantSplit/>
                    </w:trPr>
                    <w:tc>
                      <w:tcPr>
                        <w:tcW w:w="1314" w:type="pct"/>
                        <w:tcBorders>
                          <w:bottom w:val="single" w:sz="4" w:space="0" w:color="auto"/>
                        </w:tcBorders>
                      </w:tcPr>
                      <w:p w14:paraId="196A2BB1" w14:textId="0CA5CF9A" w:rsidR="002F5823" w:rsidRPr="0013396E" w:rsidRDefault="002F5823" w:rsidP="002F5823">
                        <w:pPr>
                          <w:pStyle w:val="tablebody0"/>
                        </w:pPr>
                        <w:r w:rsidRPr="0013396E">
                          <w:t xml:space="preserve">RTESOAMTQSETOT </w:t>
                        </w:r>
                        <w:r w:rsidRPr="0013396E">
                          <w:rPr>
                            <w:i/>
                            <w:vertAlign w:val="subscript"/>
                          </w:rPr>
                          <w:t>q</w:t>
                        </w:r>
                      </w:p>
                    </w:tc>
                    <w:tc>
                      <w:tcPr>
                        <w:tcW w:w="396" w:type="pct"/>
                        <w:tcBorders>
                          <w:bottom w:val="single" w:sz="4" w:space="0" w:color="auto"/>
                        </w:tcBorders>
                      </w:tcPr>
                      <w:p w14:paraId="191AE657" w14:textId="77777777" w:rsidR="002F5823" w:rsidRPr="0013396E" w:rsidRDefault="002F5823" w:rsidP="002F5823">
                        <w:pPr>
                          <w:pStyle w:val="tablebody0"/>
                        </w:pPr>
                        <w:r w:rsidRPr="0013396E">
                          <w:rPr>
                            <w:bCs/>
                          </w:rPr>
                          <w:t>$</w:t>
                        </w:r>
                      </w:p>
                    </w:tc>
                    <w:tc>
                      <w:tcPr>
                        <w:tcW w:w="3290" w:type="pct"/>
                        <w:tcBorders>
                          <w:bottom w:val="single" w:sz="4" w:space="0" w:color="auto"/>
                        </w:tcBorders>
                      </w:tcPr>
                      <w:p w14:paraId="3803648F" w14:textId="36C04706" w:rsidR="002F5823" w:rsidRPr="0013396E" w:rsidRDefault="002F5823" w:rsidP="002F5823">
                        <w:pPr>
                          <w:pStyle w:val="tablebody0"/>
                          <w:rPr>
                            <w:i/>
                          </w:rPr>
                        </w:pPr>
                        <w:r w:rsidRPr="0013396E">
                          <w:rPr>
                            <w:i/>
                          </w:rPr>
                          <w:t>Real-Time Energy Payment or Charge per QSE for SODGs</w:t>
                        </w:r>
                        <w:r w:rsidR="00C04382" w:rsidRPr="0013396E">
                          <w:rPr>
                            <w:i/>
                          </w:rPr>
                          <w:t>,</w:t>
                        </w:r>
                        <w:r w:rsidRPr="0013396E">
                          <w:rPr>
                            <w:i/>
                          </w:rPr>
                          <w:t xml:space="preserve"> SOTGs</w:t>
                        </w:r>
                        <w:r w:rsidR="00C04382" w:rsidRPr="0013396E">
                          <w:rPr>
                            <w:i/>
                          </w:rPr>
                          <w:t>, SODESSs, or SOTESSs</w:t>
                        </w:r>
                        <w:r w:rsidR="00E87687" w:rsidRPr="0013396E">
                          <w:rPr>
                            <w:i/>
                          </w:rPr>
                          <w:t xml:space="preserve"> </w:t>
                        </w:r>
                        <w:r w:rsidRPr="0013396E">
                          <w:t xml:space="preserve">—The payment or charge to QSE </w:t>
                        </w:r>
                        <w:r w:rsidRPr="0013396E">
                          <w:rPr>
                            <w:i/>
                          </w:rPr>
                          <w:t>q</w:t>
                        </w:r>
                        <w:r w:rsidRPr="0013396E">
                          <w:t xml:space="preserve"> for Real-Time energy from SODGs</w:t>
                        </w:r>
                        <w:r w:rsidR="00C04382" w:rsidRPr="0013396E">
                          <w:t>,</w:t>
                        </w:r>
                        <w:r w:rsidRPr="0013396E">
                          <w:t xml:space="preserve"> SOTGs</w:t>
                        </w:r>
                        <w:r w:rsidR="00C04382" w:rsidRPr="0013396E">
                          <w:t>, SODESSs, or SOTESSs</w:t>
                        </w:r>
                        <w:r w:rsidRPr="0013396E">
                          <w:t>, for the 15-minute Settlement Interval.</w:t>
                        </w:r>
                      </w:p>
                    </w:tc>
                  </w:tr>
                  <w:tr w:rsidR="002F5823" w:rsidRPr="0013396E" w14:paraId="16E92988" w14:textId="77777777" w:rsidTr="002F5823">
                    <w:trPr>
                      <w:cantSplit/>
                    </w:trPr>
                    <w:tc>
                      <w:tcPr>
                        <w:tcW w:w="1314" w:type="pct"/>
                        <w:tcBorders>
                          <w:bottom w:val="single" w:sz="4" w:space="0" w:color="auto"/>
                        </w:tcBorders>
                      </w:tcPr>
                      <w:p w14:paraId="2208A431" w14:textId="097194D7" w:rsidR="002F5823" w:rsidRPr="0013396E" w:rsidRDefault="002F5823" w:rsidP="002F5823">
                        <w:pPr>
                          <w:pStyle w:val="tablebody0"/>
                        </w:pPr>
                        <w:r w:rsidRPr="0013396E">
                          <w:t>RTESOAMTTOT</w:t>
                        </w:r>
                      </w:p>
                    </w:tc>
                    <w:tc>
                      <w:tcPr>
                        <w:tcW w:w="396" w:type="pct"/>
                        <w:tcBorders>
                          <w:bottom w:val="single" w:sz="4" w:space="0" w:color="auto"/>
                        </w:tcBorders>
                      </w:tcPr>
                      <w:p w14:paraId="408FA007" w14:textId="77777777" w:rsidR="002F5823" w:rsidRPr="0013396E" w:rsidRDefault="002F5823" w:rsidP="002F5823">
                        <w:pPr>
                          <w:pStyle w:val="tablebody0"/>
                        </w:pPr>
                        <w:r w:rsidRPr="0013396E">
                          <w:rPr>
                            <w:bCs/>
                          </w:rPr>
                          <w:t>$</w:t>
                        </w:r>
                      </w:p>
                    </w:tc>
                    <w:tc>
                      <w:tcPr>
                        <w:tcW w:w="3290" w:type="pct"/>
                        <w:tcBorders>
                          <w:bottom w:val="single" w:sz="4" w:space="0" w:color="auto"/>
                        </w:tcBorders>
                      </w:tcPr>
                      <w:p w14:paraId="60FAF72B" w14:textId="3B2CE543" w:rsidR="002F5823" w:rsidRPr="0013396E" w:rsidRDefault="002F5823" w:rsidP="002F5823">
                        <w:pPr>
                          <w:pStyle w:val="tablebody0"/>
                          <w:rPr>
                            <w:i/>
                          </w:rPr>
                        </w:pPr>
                        <w:r w:rsidRPr="0013396E">
                          <w:rPr>
                            <w:i/>
                          </w:rPr>
                          <w:t>Real-Time Energy Amount Total from all SODGs</w:t>
                        </w:r>
                        <w:r w:rsidR="00C04382" w:rsidRPr="0013396E">
                          <w:rPr>
                            <w:i/>
                          </w:rPr>
                          <w:t>,</w:t>
                        </w:r>
                        <w:r w:rsidRPr="0013396E">
                          <w:rPr>
                            <w:i/>
                          </w:rPr>
                          <w:t xml:space="preserve"> SOTGs</w:t>
                        </w:r>
                        <w:r w:rsidR="00C04382" w:rsidRPr="0013396E">
                          <w:rPr>
                            <w:i/>
                          </w:rPr>
                          <w:t>, SODESSs, or SOTESSs</w:t>
                        </w:r>
                        <w:r w:rsidR="00E87687" w:rsidRPr="0013396E">
                          <w:rPr>
                            <w:i/>
                          </w:rPr>
                          <w:t xml:space="preserve"> </w:t>
                        </w:r>
                        <w:r w:rsidRPr="0013396E">
                          <w:t>—The total net payments and charges to all QSEs for Real-Time energy from SODGs</w:t>
                        </w:r>
                        <w:r w:rsidR="00C04382" w:rsidRPr="0013396E">
                          <w:t>,</w:t>
                        </w:r>
                        <w:r w:rsidRPr="0013396E">
                          <w:t xml:space="preserve"> SOTGs</w:t>
                        </w:r>
                        <w:r w:rsidR="00C04382" w:rsidRPr="0013396E">
                          <w:t>, SODESSs, or SOTESSs</w:t>
                        </w:r>
                        <w:r w:rsidRPr="0013396E">
                          <w:t>, for the 15-minute Settlement Interval.</w:t>
                        </w:r>
                      </w:p>
                    </w:tc>
                  </w:tr>
                </w:tbl>
                <w:p w14:paraId="09EAF205" w14:textId="77777777" w:rsidR="002F5823" w:rsidRPr="0013396E" w:rsidRDefault="002F5823" w:rsidP="002F5823">
                  <w:pPr>
                    <w:pStyle w:val="tablebody0"/>
                    <w:rPr>
                      <w:i/>
                    </w:rPr>
                  </w:pPr>
                </w:p>
              </w:tc>
            </w:tr>
          </w:tbl>
          <w:p w14:paraId="388B2ACD" w14:textId="77777777" w:rsidR="002F5823" w:rsidRPr="0013396E" w:rsidRDefault="002F5823" w:rsidP="00AC4DEE">
            <w:pPr>
              <w:pStyle w:val="TableBody"/>
            </w:pPr>
          </w:p>
        </w:tc>
      </w:tr>
      <w:tr w:rsidR="001F04FD" w:rsidRPr="0013396E" w14:paraId="06E57E06" w14:textId="77777777" w:rsidTr="00AC4DEE">
        <w:trPr>
          <w:cantSplit/>
        </w:trPr>
        <w:tc>
          <w:tcPr>
            <w:tcW w:w="1279" w:type="pct"/>
          </w:tcPr>
          <w:p w14:paraId="68FBE875" w14:textId="77777777" w:rsidR="001F04FD" w:rsidRPr="0013396E" w:rsidRDefault="001F04FD" w:rsidP="00AC4DEE">
            <w:pPr>
              <w:pStyle w:val="TableBody"/>
            </w:pPr>
            <w:r w:rsidRPr="0013396E">
              <w:t xml:space="preserve">LRS </w:t>
            </w:r>
            <w:r w:rsidRPr="0013396E">
              <w:rPr>
                <w:i/>
                <w:vertAlign w:val="subscript"/>
              </w:rPr>
              <w:t>q</w:t>
            </w:r>
          </w:p>
        </w:tc>
        <w:tc>
          <w:tcPr>
            <w:tcW w:w="339" w:type="pct"/>
          </w:tcPr>
          <w:p w14:paraId="2311D20F" w14:textId="77777777" w:rsidR="001F04FD" w:rsidRPr="0013396E" w:rsidRDefault="001F04FD" w:rsidP="00AC4DEE">
            <w:pPr>
              <w:pStyle w:val="TableBody"/>
            </w:pPr>
            <w:r w:rsidRPr="0013396E">
              <w:t>none</w:t>
            </w:r>
          </w:p>
        </w:tc>
        <w:tc>
          <w:tcPr>
            <w:tcW w:w="3382" w:type="pct"/>
          </w:tcPr>
          <w:p w14:paraId="7DB43F18" w14:textId="77777777" w:rsidR="001F04FD" w:rsidRPr="0013396E" w:rsidRDefault="001F04FD" w:rsidP="00AC4DEE">
            <w:pPr>
              <w:pStyle w:val="TableBody"/>
            </w:pPr>
            <w:r w:rsidRPr="0013396E">
              <w:t xml:space="preserve">The LRS calculated for QSE </w:t>
            </w:r>
            <w:r w:rsidRPr="0013396E">
              <w:rPr>
                <w:i/>
              </w:rPr>
              <w:t>q</w:t>
            </w:r>
            <w:r w:rsidRPr="0013396E">
              <w:t xml:space="preserve"> for the 15-minute Settlement Interval.  See Section 6.6.2.2, QSE Load Ratio Share for a 15-Minute Settlement Interval.</w:t>
            </w:r>
          </w:p>
        </w:tc>
      </w:tr>
      <w:tr w:rsidR="001F04FD" w:rsidRPr="0013396E" w14:paraId="66EE4CE7" w14:textId="77777777" w:rsidTr="00AC4DEE">
        <w:trPr>
          <w:cantSplit/>
        </w:trPr>
        <w:tc>
          <w:tcPr>
            <w:tcW w:w="1279" w:type="pct"/>
          </w:tcPr>
          <w:p w14:paraId="2D205ADD" w14:textId="77777777" w:rsidR="001F04FD" w:rsidRPr="0013396E" w:rsidRDefault="001F04FD" w:rsidP="00AC4DEE">
            <w:pPr>
              <w:pStyle w:val="TableBody"/>
              <w:rPr>
                <w:i/>
              </w:rPr>
            </w:pPr>
            <w:r w:rsidRPr="0013396E">
              <w:rPr>
                <w:i/>
              </w:rPr>
              <w:t>q</w:t>
            </w:r>
          </w:p>
        </w:tc>
        <w:tc>
          <w:tcPr>
            <w:tcW w:w="339" w:type="pct"/>
          </w:tcPr>
          <w:p w14:paraId="4D4A89FB" w14:textId="77777777" w:rsidR="001F04FD" w:rsidRPr="0013396E" w:rsidRDefault="001F04FD" w:rsidP="00AC4DEE">
            <w:pPr>
              <w:pStyle w:val="TableBody"/>
              <w:rPr>
                <w:bCs/>
              </w:rPr>
            </w:pPr>
            <w:r w:rsidRPr="0013396E">
              <w:rPr>
                <w:bCs/>
              </w:rPr>
              <w:t>none</w:t>
            </w:r>
          </w:p>
        </w:tc>
        <w:tc>
          <w:tcPr>
            <w:tcW w:w="3382" w:type="pct"/>
          </w:tcPr>
          <w:p w14:paraId="3F9C36C7" w14:textId="77777777" w:rsidR="001F04FD" w:rsidRPr="0013396E" w:rsidRDefault="001F04FD" w:rsidP="00AC4DEE">
            <w:pPr>
              <w:pStyle w:val="TableBody"/>
              <w:rPr>
                <w:bCs/>
              </w:rPr>
            </w:pPr>
            <w:r w:rsidRPr="0013396E">
              <w:rPr>
                <w:bCs/>
              </w:rPr>
              <w:t>A QSE.</w:t>
            </w:r>
          </w:p>
        </w:tc>
      </w:tr>
      <w:tr w:rsidR="001F04FD" w:rsidRPr="0013396E" w14:paraId="0331A330" w14:textId="77777777" w:rsidTr="00AC4DEE">
        <w:trPr>
          <w:cantSplit/>
        </w:trPr>
        <w:tc>
          <w:tcPr>
            <w:tcW w:w="1279" w:type="pct"/>
          </w:tcPr>
          <w:p w14:paraId="5F09273D" w14:textId="77777777" w:rsidR="001F04FD" w:rsidRPr="0013396E" w:rsidRDefault="001F04FD" w:rsidP="00AC4DEE">
            <w:pPr>
              <w:pStyle w:val="TableBody"/>
              <w:rPr>
                <w:i/>
              </w:rPr>
            </w:pPr>
            <w:r w:rsidRPr="0013396E">
              <w:rPr>
                <w:i/>
              </w:rPr>
              <w:t>o</w:t>
            </w:r>
          </w:p>
        </w:tc>
        <w:tc>
          <w:tcPr>
            <w:tcW w:w="339" w:type="pct"/>
          </w:tcPr>
          <w:p w14:paraId="7D332985" w14:textId="77777777" w:rsidR="001F04FD" w:rsidRPr="0013396E" w:rsidRDefault="001F04FD" w:rsidP="00AC4DEE">
            <w:pPr>
              <w:pStyle w:val="TableBody"/>
              <w:rPr>
                <w:bCs/>
              </w:rPr>
            </w:pPr>
            <w:r w:rsidRPr="0013396E">
              <w:rPr>
                <w:bCs/>
              </w:rPr>
              <w:t>none</w:t>
            </w:r>
          </w:p>
        </w:tc>
        <w:tc>
          <w:tcPr>
            <w:tcW w:w="3382" w:type="pct"/>
          </w:tcPr>
          <w:p w14:paraId="2ECCD5C5" w14:textId="77777777" w:rsidR="001F04FD" w:rsidRPr="0013396E" w:rsidRDefault="001F04FD" w:rsidP="00AC4DEE">
            <w:pPr>
              <w:pStyle w:val="TableBody"/>
              <w:rPr>
                <w:bCs/>
              </w:rPr>
            </w:pPr>
            <w:r w:rsidRPr="0013396E">
              <w:rPr>
                <w:bCs/>
              </w:rPr>
              <w:t>A CRR owner.</w:t>
            </w:r>
          </w:p>
        </w:tc>
      </w:tr>
    </w:tbl>
    <w:p w14:paraId="224E19E4" w14:textId="77777777" w:rsidR="001F04FD" w:rsidRPr="0013396E" w:rsidRDefault="001F04FD" w:rsidP="001F04FD">
      <w:pPr>
        <w:pStyle w:val="BodyTextNumbered"/>
        <w:spacing w:before="240"/>
      </w:pPr>
      <w:r w:rsidRPr="0013396E">
        <w:t>(3)</w:t>
      </w:r>
      <w:r w:rsidRPr="0013396E">
        <w:tab/>
        <w:t>In the event that ERCOT is unable to execute the DAM, the Real-Time Revenue Neutrality Allocation for each QSE for a given 15-minute Settlement Interval is calculated as follows:</w:t>
      </w:r>
    </w:p>
    <w:p w14:paraId="2944152D" w14:textId="17035600" w:rsidR="001F04FD" w:rsidRPr="0013396E" w:rsidRDefault="001F04FD" w:rsidP="001F04FD">
      <w:pPr>
        <w:pStyle w:val="BodyText"/>
        <w:tabs>
          <w:tab w:val="left" w:pos="2880"/>
        </w:tabs>
        <w:ind w:left="3240" w:hanging="2520"/>
        <w:rPr>
          <w:b/>
        </w:rPr>
      </w:pPr>
      <w:r w:rsidRPr="0013396E">
        <w:rPr>
          <w:b/>
        </w:rPr>
        <w:t xml:space="preserve">LARTRNAMT </w:t>
      </w:r>
      <w:r w:rsidRPr="0013396E">
        <w:rPr>
          <w:b/>
          <w:i/>
          <w:vertAlign w:val="subscript"/>
        </w:rPr>
        <w:t>q</w:t>
      </w:r>
      <w:r w:rsidRPr="0013396E">
        <w:rPr>
          <w:b/>
        </w:rPr>
        <w:tab/>
        <w:t>=</w:t>
      </w:r>
      <w:r w:rsidRPr="0013396E">
        <w:rPr>
          <w:b/>
        </w:rPr>
        <w:tab/>
        <w:t xml:space="preserve">(-1) * (RTEIAMTTOT + BLTRAMTTOT + RTDCIMPAMTTOT + </w:t>
      </w:r>
      <w:r w:rsidR="00F26601" w:rsidRPr="0013396E">
        <w:rPr>
          <w:b/>
        </w:rPr>
        <w:t xml:space="preserve">RTESOGAMTTOT + </w:t>
      </w:r>
      <w:r w:rsidRPr="0013396E">
        <w:rPr>
          <w:b/>
        </w:rPr>
        <w:t xml:space="preserve">RTCCAMTTOT + NDRTOBLAMTTOT / 4 + NDRTOPTAMTTOT / 4 + NDRTOPTRAMTTOT / 4 + NDRTOBLRAMTTOT / 4) * LRS </w:t>
      </w:r>
      <w:r w:rsidRPr="0013396E">
        <w:rPr>
          <w:b/>
          <w:i/>
          <w:vertAlign w:val="subscript"/>
        </w:rPr>
        <w:t>q</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C54508" w:rsidRPr="0013396E" w14:paraId="7D0E8434" w14:textId="77777777" w:rsidTr="008B123E">
        <w:trPr>
          <w:trHeight w:val="206"/>
        </w:trPr>
        <w:tc>
          <w:tcPr>
            <w:tcW w:w="9576" w:type="dxa"/>
            <w:shd w:val="pct12" w:color="auto" w:fill="auto"/>
          </w:tcPr>
          <w:p w14:paraId="33ED258E" w14:textId="536CBC76" w:rsidR="00C54508" w:rsidRPr="0013396E" w:rsidRDefault="00C54508" w:rsidP="008B123E">
            <w:pPr>
              <w:pStyle w:val="Instructions"/>
              <w:spacing w:before="120"/>
            </w:pPr>
            <w:r w:rsidRPr="0013396E">
              <w:t>[</w:t>
            </w:r>
            <w:r w:rsidR="00C04382" w:rsidRPr="0013396E">
              <w:t>NPRR995</w:t>
            </w:r>
            <w:r w:rsidRPr="0013396E">
              <w:t xml:space="preserve">:  Replace the formula “LARTRNAMT </w:t>
            </w:r>
            <w:r w:rsidRPr="0013396E">
              <w:rPr>
                <w:vertAlign w:val="subscript"/>
              </w:rPr>
              <w:t>q</w:t>
            </w:r>
            <w:r w:rsidRPr="0013396E">
              <w:t>” above with the following upon system implementation:]</w:t>
            </w:r>
          </w:p>
          <w:p w14:paraId="2BC699FF" w14:textId="4464061E" w:rsidR="00C54508" w:rsidRPr="0013396E" w:rsidRDefault="00C54508" w:rsidP="008B66B5">
            <w:pPr>
              <w:tabs>
                <w:tab w:val="left" w:pos="2880"/>
              </w:tabs>
              <w:spacing w:after="240"/>
              <w:ind w:left="3240" w:hanging="2520"/>
              <w:rPr>
                <w:b/>
                <w:iCs/>
              </w:rPr>
            </w:pPr>
            <w:r w:rsidRPr="0013396E">
              <w:rPr>
                <w:b/>
                <w:iCs/>
              </w:rPr>
              <w:t xml:space="preserve">LARTRNAMT </w:t>
            </w:r>
            <w:r w:rsidRPr="0013396E">
              <w:rPr>
                <w:b/>
                <w:i/>
                <w:iCs/>
                <w:vertAlign w:val="subscript"/>
              </w:rPr>
              <w:t>q</w:t>
            </w:r>
            <w:r w:rsidRPr="0013396E">
              <w:rPr>
                <w:b/>
                <w:iCs/>
              </w:rPr>
              <w:tab/>
              <w:t>=</w:t>
            </w:r>
            <w:r w:rsidRPr="0013396E">
              <w:rPr>
                <w:b/>
                <w:iCs/>
              </w:rPr>
              <w:tab/>
              <w:t xml:space="preserve">(-1) * (RTEIAMTTOT + BLTRAMTTOT + RTDCIMPAMTTOT + </w:t>
            </w:r>
            <w:r w:rsidRPr="0013396E">
              <w:rPr>
                <w:b/>
              </w:rPr>
              <w:t xml:space="preserve">RTESOAMTTOT + </w:t>
            </w:r>
            <w:r w:rsidRPr="0013396E">
              <w:rPr>
                <w:b/>
                <w:iCs/>
              </w:rPr>
              <w:lastRenderedPageBreak/>
              <w:t xml:space="preserve">RTCCAMTTOT + NDRTOBLAMTTOT / 4 + NDRTOPTAMTTOT / 4 + NDRTOPTRAMTTOT / 4 + NDRTOBLRAMTTOT / 4) * LRS </w:t>
            </w:r>
            <w:r w:rsidRPr="0013396E">
              <w:rPr>
                <w:b/>
                <w:i/>
                <w:iCs/>
                <w:vertAlign w:val="subscript"/>
              </w:rPr>
              <w:t>q</w:t>
            </w:r>
          </w:p>
        </w:tc>
      </w:tr>
    </w:tbl>
    <w:p w14:paraId="30F2C46A" w14:textId="77777777" w:rsidR="001F04FD" w:rsidRPr="0013396E" w:rsidRDefault="001F04FD" w:rsidP="00C54508">
      <w:pPr>
        <w:pStyle w:val="BodyText"/>
        <w:spacing w:before="240"/>
      </w:pPr>
      <w:r w:rsidRPr="0013396E">
        <w:lastRenderedPageBreak/>
        <w:t xml:space="preserve">Where: </w:t>
      </w:r>
    </w:p>
    <w:p w14:paraId="6C65E45B" w14:textId="77777777" w:rsidR="001F04FD" w:rsidRPr="0013396E" w:rsidRDefault="001F04FD" w:rsidP="001F04FD">
      <w:pPr>
        <w:ind w:firstLine="720"/>
      </w:pPr>
      <w:r w:rsidRPr="0013396E">
        <w:t>Total Real-Time Energy Imbalance Payment (or Charge) at Settlement Point (or Hub)</w:t>
      </w:r>
    </w:p>
    <w:p w14:paraId="1BF66CB3" w14:textId="35568B25" w:rsidR="001F04FD" w:rsidRPr="0013396E" w:rsidRDefault="001F04FD" w:rsidP="001F04FD">
      <w:pPr>
        <w:pStyle w:val="Formula"/>
        <w:ind w:leftChars="600" w:left="3600" w:hanging="2160"/>
      </w:pPr>
      <w:r w:rsidRPr="0013396E">
        <w:t>RTEIAMTTOT</w:t>
      </w:r>
      <w:r w:rsidRPr="0013396E">
        <w:tab/>
        <w:t>=</w:t>
      </w:r>
      <w:r w:rsidRPr="0013396E">
        <w:tab/>
      </w:r>
      <w:r w:rsidRPr="0013396E">
        <w:rPr>
          <w:position w:val="-22"/>
        </w:rPr>
        <w:object w:dxaOrig="210" w:dyaOrig="465" w14:anchorId="1C457F45">
          <v:shape id="_x0000_i1230" type="#_x0000_t75" style="width:6pt;height:18.6pt" o:ole="">
            <v:imagedata r:id="rId281" o:title=""/>
          </v:shape>
          <o:OLEObject Type="Embed" ProgID="Equation.3" ShapeID="_x0000_i1230" DrawAspect="Content" ObjectID="_1836311508" r:id="rId292"/>
        </w:object>
      </w:r>
      <w:r w:rsidR="00130DBD" w:rsidRPr="0013396E">
        <w:t xml:space="preserve"> </w:t>
      </w:r>
      <w:r w:rsidRPr="0013396E">
        <w:t xml:space="preserve">RTEIAMTQSETOT </w:t>
      </w:r>
      <w:r w:rsidRPr="0013396E">
        <w:rPr>
          <w:i/>
          <w:vertAlign w:val="subscript"/>
        </w:rPr>
        <w:t>q</w:t>
      </w:r>
    </w:p>
    <w:p w14:paraId="57B4C965" w14:textId="77777777" w:rsidR="001F04FD" w:rsidRPr="0013396E" w:rsidRDefault="001F04FD" w:rsidP="001F04FD">
      <w:pPr>
        <w:ind w:firstLine="720"/>
      </w:pPr>
      <w:r w:rsidRPr="0013396E">
        <w:t>Total Real-Time Payment for BLT Resources</w:t>
      </w:r>
    </w:p>
    <w:p w14:paraId="4D9F14A3" w14:textId="387E0053" w:rsidR="001F04FD" w:rsidRPr="0013396E" w:rsidRDefault="001F04FD" w:rsidP="001F04FD">
      <w:pPr>
        <w:pStyle w:val="Formula"/>
        <w:ind w:leftChars="600" w:left="3600" w:hanging="2160"/>
      </w:pPr>
      <w:r w:rsidRPr="0013396E">
        <w:t>BLTRAMTTOT</w:t>
      </w:r>
      <w:r w:rsidRPr="0013396E">
        <w:tab/>
        <w:t>=</w:t>
      </w:r>
      <w:r w:rsidRPr="0013396E">
        <w:tab/>
      </w:r>
      <w:r w:rsidRPr="0013396E">
        <w:rPr>
          <w:position w:val="-22"/>
        </w:rPr>
        <w:object w:dxaOrig="210" w:dyaOrig="465" w14:anchorId="31303ABB">
          <v:shape id="_x0000_i1231" type="#_x0000_t75" style="width:6pt;height:18.6pt" o:ole="">
            <v:imagedata r:id="rId149" o:title=""/>
          </v:shape>
          <o:OLEObject Type="Embed" ProgID="Equation.3" ShapeID="_x0000_i1231" DrawAspect="Content" ObjectID="_1836311509" r:id="rId293"/>
        </w:object>
      </w:r>
      <w:r w:rsidR="00130DBD" w:rsidRPr="0013396E">
        <w:t xml:space="preserve"> </w:t>
      </w:r>
      <w:r w:rsidRPr="0013396E">
        <w:t xml:space="preserve">BLTRAMTQSETOT </w:t>
      </w:r>
      <w:r w:rsidRPr="0013396E">
        <w:rPr>
          <w:i/>
          <w:vertAlign w:val="subscript"/>
        </w:rPr>
        <w:t>q</w:t>
      </w:r>
    </w:p>
    <w:p w14:paraId="6AE78F19" w14:textId="77777777" w:rsidR="001F04FD" w:rsidRPr="0013396E" w:rsidRDefault="001F04FD" w:rsidP="001F04FD">
      <w:pPr>
        <w:ind w:firstLine="720"/>
      </w:pPr>
      <w:r w:rsidRPr="0013396E">
        <w:t>Total Real-Time Payment for DC Tie Imports</w:t>
      </w:r>
    </w:p>
    <w:p w14:paraId="5069A2C6" w14:textId="77777777" w:rsidR="001F04FD" w:rsidRPr="0013396E" w:rsidRDefault="001F04FD" w:rsidP="001F04FD">
      <w:pPr>
        <w:pStyle w:val="Formula"/>
        <w:ind w:leftChars="600" w:left="3600" w:hanging="2160"/>
      </w:pPr>
      <w:r w:rsidRPr="0013396E">
        <w:t>RTDCIMPAMTTOT</w:t>
      </w:r>
      <w:r w:rsidRPr="0013396E">
        <w:tab/>
      </w:r>
      <w:r w:rsidRPr="0013396E">
        <w:tab/>
        <w:t>=</w:t>
      </w:r>
      <w:r w:rsidRPr="0013396E">
        <w:tab/>
      </w:r>
      <w:r w:rsidRPr="0013396E">
        <w:rPr>
          <w:position w:val="-22"/>
        </w:rPr>
        <w:object w:dxaOrig="225" w:dyaOrig="465" w14:anchorId="2249E869">
          <v:shape id="_x0000_i1232" type="#_x0000_t75" style="width:12pt;height:18.6pt" o:ole="">
            <v:imagedata r:id="rId284" o:title=""/>
          </v:shape>
          <o:OLEObject Type="Embed" ProgID="Equation.3" ShapeID="_x0000_i1232" DrawAspect="Content" ObjectID="_1836311510" r:id="rId294"/>
        </w:object>
      </w:r>
      <w:r w:rsidRPr="0013396E">
        <w:t xml:space="preserve">RTDCIMPAMTQSETOT </w:t>
      </w:r>
      <w:r w:rsidRPr="0013396E">
        <w:rPr>
          <w:i/>
          <w:vertAlign w:val="subscript"/>
        </w:rPr>
        <w:t>q</w:t>
      </w:r>
    </w:p>
    <w:p w14:paraId="2EFCE534" w14:textId="77777777" w:rsidR="001F04FD" w:rsidRPr="0013396E" w:rsidRDefault="001F04FD" w:rsidP="001F04FD">
      <w:pPr>
        <w:ind w:firstLine="720"/>
      </w:pPr>
      <w:r w:rsidRPr="0013396E">
        <w:t>Total Real-Time Congestion Payment or Charge for Self Schedules</w:t>
      </w:r>
    </w:p>
    <w:p w14:paraId="36F1D5A8" w14:textId="77777777" w:rsidR="001F04FD" w:rsidRPr="0013396E" w:rsidRDefault="001F04FD" w:rsidP="001F04FD">
      <w:pPr>
        <w:pStyle w:val="Formula"/>
        <w:ind w:leftChars="600" w:left="3600" w:hanging="2160"/>
      </w:pPr>
      <w:r w:rsidRPr="0013396E">
        <w:t>RTCCAMTTOT</w:t>
      </w:r>
      <w:r w:rsidRPr="0013396E">
        <w:tab/>
        <w:t>=</w:t>
      </w:r>
      <w:r w:rsidRPr="0013396E">
        <w:tab/>
      </w:r>
      <w:r w:rsidRPr="0013396E">
        <w:rPr>
          <w:position w:val="-22"/>
        </w:rPr>
        <w:object w:dxaOrig="225" w:dyaOrig="465" w14:anchorId="41BADB01">
          <v:shape id="_x0000_i1233" type="#_x0000_t75" style="width:12pt;height:18.6pt" o:ole="">
            <v:imagedata r:id="rId284" o:title=""/>
          </v:shape>
          <o:OLEObject Type="Embed" ProgID="Equation.3" ShapeID="_x0000_i1233" DrawAspect="Content" ObjectID="_1836311511" r:id="rId295"/>
        </w:object>
      </w:r>
      <w:r w:rsidRPr="0013396E">
        <w:t xml:space="preserve">RTCCAMTQSETOT </w:t>
      </w:r>
      <w:r w:rsidRPr="0013396E">
        <w:rPr>
          <w:i/>
          <w:vertAlign w:val="subscript"/>
        </w:rPr>
        <w:t>q</w:t>
      </w:r>
    </w:p>
    <w:p w14:paraId="769E58BB" w14:textId="77777777" w:rsidR="001F04FD" w:rsidRPr="0013396E" w:rsidRDefault="001F04FD" w:rsidP="001F04FD">
      <w:pPr>
        <w:ind w:left="720"/>
      </w:pPr>
      <w:r w:rsidRPr="0013396E">
        <w:t>Total Real-Time Payment or Charge for PTP Obligations when ERCOT is unable to execute the DAM</w:t>
      </w:r>
    </w:p>
    <w:p w14:paraId="33BF01CF" w14:textId="77777777" w:rsidR="001F04FD" w:rsidRPr="0013396E" w:rsidRDefault="001F04FD" w:rsidP="001F04FD">
      <w:pPr>
        <w:pStyle w:val="Formula"/>
        <w:ind w:leftChars="600" w:left="3600" w:hanging="2160"/>
      </w:pPr>
      <w:r w:rsidRPr="0013396E">
        <w:t>NDRTOBLAMTTOT</w:t>
      </w:r>
      <w:r w:rsidRPr="0013396E">
        <w:tab/>
      </w:r>
      <w:r w:rsidRPr="0013396E">
        <w:tab/>
        <w:t>=</w:t>
      </w:r>
      <w:r w:rsidRPr="0013396E">
        <w:tab/>
      </w:r>
      <w:r w:rsidRPr="0013396E">
        <w:rPr>
          <w:position w:val="-20"/>
        </w:rPr>
        <w:object w:dxaOrig="225" w:dyaOrig="465" w14:anchorId="38707B1F">
          <v:shape id="_x0000_i1234" type="#_x0000_t75" style="width:12pt;height:18.6pt" o:ole="">
            <v:imagedata r:id="rId296" o:title=""/>
          </v:shape>
          <o:OLEObject Type="Embed" ProgID="Equation.3" ShapeID="_x0000_i1234" DrawAspect="Content" ObjectID="_1836311512" r:id="rId297"/>
        </w:object>
      </w:r>
      <w:r w:rsidRPr="0013396E">
        <w:t xml:space="preserve"> NDRTOBLAMTOTOT </w:t>
      </w:r>
      <w:r w:rsidRPr="0013396E">
        <w:rPr>
          <w:i/>
          <w:vertAlign w:val="subscript"/>
        </w:rPr>
        <w:t>o</w:t>
      </w:r>
      <w:r w:rsidRPr="0013396E">
        <w:t xml:space="preserve"> </w:t>
      </w:r>
    </w:p>
    <w:p w14:paraId="41B5300D" w14:textId="77777777" w:rsidR="001F04FD" w:rsidRPr="0013396E" w:rsidRDefault="001F04FD" w:rsidP="001F04FD">
      <w:pPr>
        <w:spacing w:before="120" w:after="120"/>
        <w:ind w:firstLine="720"/>
      </w:pPr>
      <w:r w:rsidRPr="0013396E">
        <w:t>Total Real-Time Payment for PTP Options when ERCOT is unable to execute the DAM</w:t>
      </w:r>
    </w:p>
    <w:p w14:paraId="5F0131FF" w14:textId="77777777" w:rsidR="001F04FD" w:rsidRPr="0013396E" w:rsidRDefault="001F04FD" w:rsidP="001F04FD">
      <w:pPr>
        <w:pStyle w:val="Formula"/>
        <w:spacing w:before="120" w:after="120"/>
        <w:ind w:leftChars="600" w:left="3600" w:hanging="2160"/>
      </w:pPr>
      <w:r w:rsidRPr="0013396E">
        <w:t>NDRTOPTAMTTOT</w:t>
      </w:r>
      <w:r w:rsidRPr="0013396E">
        <w:tab/>
      </w:r>
      <w:r w:rsidRPr="0013396E">
        <w:tab/>
        <w:t>=</w:t>
      </w:r>
      <w:r w:rsidRPr="0013396E">
        <w:tab/>
      </w:r>
      <w:r w:rsidRPr="0013396E">
        <w:rPr>
          <w:position w:val="-20"/>
        </w:rPr>
        <w:object w:dxaOrig="210" w:dyaOrig="465" w14:anchorId="4E303239">
          <v:shape id="_x0000_i1235" type="#_x0000_t75" style="width:6pt;height:18.6pt" o:ole="">
            <v:imagedata r:id="rId298" o:title=""/>
          </v:shape>
          <o:OLEObject Type="Embed" ProgID="Equation.3" ShapeID="_x0000_i1235" DrawAspect="Content" ObjectID="_1836311513" r:id="rId299"/>
        </w:object>
      </w:r>
      <w:r w:rsidRPr="0013396E">
        <w:rPr>
          <w:position w:val="-20"/>
        </w:rPr>
        <w:t xml:space="preserve"> </w:t>
      </w:r>
      <w:r w:rsidRPr="0013396E">
        <w:t xml:space="preserve">NDRTOPTAMTOTOT </w:t>
      </w:r>
      <w:r w:rsidRPr="0013396E">
        <w:rPr>
          <w:i/>
          <w:vertAlign w:val="subscript"/>
        </w:rPr>
        <w:t>o</w:t>
      </w:r>
    </w:p>
    <w:p w14:paraId="4BE7E438" w14:textId="77777777" w:rsidR="001F04FD" w:rsidRPr="0013396E" w:rsidRDefault="001F04FD" w:rsidP="001F04FD">
      <w:pPr>
        <w:spacing w:before="120" w:after="120"/>
        <w:ind w:left="720"/>
      </w:pPr>
      <w:r w:rsidRPr="0013396E">
        <w:t>Total Real-Time Payment for PTP Options with Refund when ERCOT is unable to execute the DAM</w:t>
      </w:r>
    </w:p>
    <w:p w14:paraId="1A2B175B" w14:textId="77777777" w:rsidR="001F04FD" w:rsidRPr="0013396E" w:rsidRDefault="001F04FD" w:rsidP="001F04FD">
      <w:pPr>
        <w:pStyle w:val="Formula"/>
        <w:spacing w:before="120" w:after="120"/>
        <w:ind w:leftChars="600" w:left="3600" w:hanging="2160"/>
        <w:rPr>
          <w:i/>
          <w:vertAlign w:val="subscript"/>
        </w:rPr>
      </w:pPr>
      <w:r w:rsidRPr="0013396E">
        <w:t>NDRTOPTRAMTTOT</w:t>
      </w:r>
      <w:r w:rsidRPr="0013396E">
        <w:tab/>
        <w:t>=</w:t>
      </w:r>
      <w:r w:rsidRPr="0013396E">
        <w:tab/>
      </w:r>
      <w:r w:rsidRPr="0013396E">
        <w:rPr>
          <w:position w:val="-20"/>
        </w:rPr>
        <w:object w:dxaOrig="240" w:dyaOrig="465" w14:anchorId="2A038602">
          <v:shape id="_x0000_i1236" type="#_x0000_t75" style="width:12pt;height:18.6pt" o:ole="">
            <v:imagedata r:id="rId300" o:title=""/>
          </v:shape>
          <o:OLEObject Type="Embed" ProgID="Equation.3" ShapeID="_x0000_i1236" DrawAspect="Content" ObjectID="_1836311514" r:id="rId301"/>
        </w:object>
      </w:r>
      <w:r w:rsidRPr="0013396E">
        <w:t xml:space="preserve">NDRTOPTRAMTOTOT </w:t>
      </w:r>
      <w:r w:rsidRPr="0013396E">
        <w:rPr>
          <w:i/>
          <w:vertAlign w:val="subscript"/>
        </w:rPr>
        <w:t>o</w:t>
      </w:r>
    </w:p>
    <w:p w14:paraId="022BBDD4" w14:textId="77777777" w:rsidR="001F04FD" w:rsidRPr="0013396E" w:rsidRDefault="001F04FD" w:rsidP="001F04FD">
      <w:pPr>
        <w:spacing w:before="120" w:after="120"/>
        <w:ind w:left="720"/>
      </w:pPr>
      <w:r w:rsidRPr="0013396E">
        <w:t>Total Real-Time Payment or Charge for PTP Obligations with Refund when ERCOT is unable to execute the DAM</w:t>
      </w:r>
    </w:p>
    <w:p w14:paraId="631E113B" w14:textId="592E1A0C" w:rsidR="001F04FD" w:rsidRPr="0013396E" w:rsidRDefault="001F04FD" w:rsidP="001F04FD">
      <w:pPr>
        <w:pStyle w:val="Formula"/>
        <w:spacing w:before="120" w:after="120"/>
        <w:ind w:leftChars="600" w:left="3600" w:hanging="2160"/>
        <w:rPr>
          <w:i/>
          <w:vertAlign w:val="subscript"/>
        </w:rPr>
      </w:pPr>
      <w:r w:rsidRPr="0013396E">
        <w:t>NDRTOBLRAMTTOT</w:t>
      </w:r>
      <w:r w:rsidRPr="0013396E">
        <w:tab/>
        <w:t>=</w:t>
      </w:r>
      <w:r w:rsidRPr="0013396E">
        <w:tab/>
      </w:r>
      <w:r w:rsidRPr="0013396E">
        <w:rPr>
          <w:position w:val="-20"/>
        </w:rPr>
        <w:object w:dxaOrig="240" w:dyaOrig="465" w14:anchorId="6438B146">
          <v:shape id="_x0000_i1237" type="#_x0000_t75" style="width:12pt;height:18.6pt" o:ole="">
            <v:imagedata r:id="rId300" o:title=""/>
          </v:shape>
          <o:OLEObject Type="Embed" ProgID="Equation.3" ShapeID="_x0000_i1237" DrawAspect="Content" ObjectID="_1836311515" r:id="rId302"/>
        </w:object>
      </w:r>
      <w:r w:rsidRPr="0013396E">
        <w:t xml:space="preserve"> NDRTOBLRAMTOTOT </w:t>
      </w:r>
      <w:r w:rsidRPr="0013396E">
        <w:rPr>
          <w:i/>
          <w:vertAlign w:val="subscript"/>
        </w:rPr>
        <w:t>o</w:t>
      </w:r>
    </w:p>
    <w:p w14:paraId="493ABC08" w14:textId="77777777" w:rsidR="00657819" w:rsidRPr="0013396E" w:rsidRDefault="00657819" w:rsidP="00657819">
      <w:pPr>
        <w:spacing w:after="120"/>
        <w:ind w:left="720"/>
      </w:pPr>
      <w:r w:rsidRPr="0013396E">
        <w:t>Total Real-Time Payment or Charge for energy from SODGs and SOTGs</w:t>
      </w:r>
    </w:p>
    <w:p w14:paraId="58AA21B7" w14:textId="7BE38352" w:rsidR="00657819" w:rsidRPr="0013396E" w:rsidRDefault="00657819" w:rsidP="00657819">
      <w:pPr>
        <w:spacing w:before="120" w:after="120"/>
        <w:ind w:left="720" w:firstLine="720"/>
      </w:pPr>
      <w:r w:rsidRPr="0013396E">
        <w:t>RTESOGAMTTOT</w:t>
      </w:r>
      <w:r w:rsidRPr="0013396E">
        <w:tab/>
      </w:r>
      <w:r w:rsidRPr="0013396E">
        <w:tab/>
        <w:t>=</w:t>
      </w:r>
      <w:r w:rsidRPr="0013396E">
        <w:tab/>
      </w:r>
      <w:r w:rsidRPr="0013396E">
        <w:rPr>
          <w:noProof/>
          <w:position w:val="-22"/>
        </w:rPr>
        <w:drawing>
          <wp:inline distT="0" distB="0" distL="0" distR="0" wp14:anchorId="11DC3DC7" wp14:editId="5A478CB1">
            <wp:extent cx="133350" cy="295275"/>
            <wp:effectExtent l="0" t="0" r="0" b="952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89" cstate="print">
                      <a:extLst>
                        <a:ext uri="{28A0092B-C50C-407E-A947-70E740481C1C}">
                          <a14:useLocalDpi xmlns:a14="http://schemas.microsoft.com/office/drawing/2010/main" val="0"/>
                        </a:ext>
                      </a:extLst>
                    </a:blip>
                    <a:srcRect/>
                    <a:stretch>
                      <a:fillRect/>
                    </a:stretch>
                  </pic:blipFill>
                  <pic:spPr bwMode="auto">
                    <a:xfrm>
                      <a:off x="0" y="0"/>
                      <a:ext cx="133350" cy="295275"/>
                    </a:xfrm>
                    <a:prstGeom prst="rect">
                      <a:avLst/>
                    </a:prstGeom>
                    <a:noFill/>
                    <a:ln>
                      <a:noFill/>
                    </a:ln>
                  </pic:spPr>
                </pic:pic>
              </a:graphicData>
            </a:graphic>
          </wp:inline>
        </w:drawing>
      </w:r>
      <w:r w:rsidRPr="0013396E">
        <w:t xml:space="preserve">RTESOGAMTQSETOT </w:t>
      </w:r>
      <w:r w:rsidRPr="0013396E">
        <w:rPr>
          <w:i/>
          <w:vertAlign w:val="subscript"/>
        </w:rPr>
        <w:t>q</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C54508" w:rsidRPr="0013396E" w14:paraId="0A41C5EE" w14:textId="77777777" w:rsidTr="008B123E">
        <w:trPr>
          <w:trHeight w:val="206"/>
        </w:trPr>
        <w:tc>
          <w:tcPr>
            <w:tcW w:w="9576" w:type="dxa"/>
            <w:shd w:val="pct12" w:color="auto" w:fill="auto"/>
          </w:tcPr>
          <w:p w14:paraId="1387EC84" w14:textId="75DE4C8B" w:rsidR="00C54508" w:rsidRPr="0013396E" w:rsidRDefault="00C54508" w:rsidP="008B123E">
            <w:pPr>
              <w:pStyle w:val="Instructions"/>
              <w:spacing w:before="120"/>
            </w:pPr>
            <w:r w:rsidRPr="0013396E">
              <w:t>[</w:t>
            </w:r>
            <w:r w:rsidR="00C04382" w:rsidRPr="0013396E">
              <w:t>NPRR995</w:t>
            </w:r>
            <w:r w:rsidRPr="0013396E">
              <w:t xml:space="preserve">:  </w:t>
            </w:r>
            <w:r w:rsidR="00657819" w:rsidRPr="0013396E">
              <w:t>Replace</w:t>
            </w:r>
            <w:r w:rsidR="00E87687" w:rsidRPr="0013396E">
              <w:t xml:space="preserve"> </w:t>
            </w:r>
            <w:r w:rsidRPr="0013396E">
              <w:t xml:space="preserve">the language </w:t>
            </w:r>
            <w:r w:rsidR="00657819" w:rsidRPr="0013396E">
              <w:t>above with the following</w:t>
            </w:r>
            <w:r w:rsidRPr="0013396E">
              <w:t xml:space="preserve"> upon system implementation:]</w:t>
            </w:r>
          </w:p>
          <w:p w14:paraId="60893388" w14:textId="4C4B9160" w:rsidR="00C54508" w:rsidRPr="0013396E" w:rsidRDefault="00C54508" w:rsidP="00C54508">
            <w:pPr>
              <w:spacing w:after="120"/>
              <w:ind w:left="720"/>
            </w:pPr>
            <w:r w:rsidRPr="0013396E">
              <w:t>Total Real-Time Payment or Charge for energy from SODGs</w:t>
            </w:r>
            <w:r w:rsidR="00C04382" w:rsidRPr="0013396E">
              <w:t>,</w:t>
            </w:r>
            <w:r w:rsidRPr="0013396E">
              <w:t xml:space="preserve"> SOTGs</w:t>
            </w:r>
            <w:r w:rsidR="00C04382" w:rsidRPr="0013396E">
              <w:t>, SODESSs, or SOTESSs</w:t>
            </w:r>
          </w:p>
          <w:p w14:paraId="0A8ACF5C" w14:textId="62AC9CBE" w:rsidR="00C54508" w:rsidRPr="0013396E" w:rsidRDefault="00C54508" w:rsidP="00C54508">
            <w:pPr>
              <w:spacing w:before="120" w:after="120"/>
              <w:ind w:left="720" w:firstLine="720"/>
              <w:rPr>
                <w:bCs/>
              </w:rPr>
            </w:pPr>
            <w:r w:rsidRPr="0013396E">
              <w:lastRenderedPageBreak/>
              <w:t>RTESOAMTTOT</w:t>
            </w:r>
            <w:r w:rsidRPr="0013396E">
              <w:tab/>
            </w:r>
            <w:r w:rsidRPr="0013396E">
              <w:tab/>
              <w:t>=</w:t>
            </w:r>
            <w:r w:rsidRPr="0013396E">
              <w:tab/>
            </w:r>
            <w:r w:rsidR="00A94020" w:rsidRPr="0013396E">
              <w:rPr>
                <w:noProof/>
                <w:position w:val="-22"/>
              </w:rPr>
              <w:drawing>
                <wp:inline distT="0" distB="0" distL="0" distR="0" wp14:anchorId="6DF5AD42" wp14:editId="00466AC6">
                  <wp:extent cx="133350" cy="295275"/>
                  <wp:effectExtent l="0" t="0" r="0" b="9525"/>
                  <wp:docPr id="174"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89" cstate="print">
                            <a:extLst>
                              <a:ext uri="{28A0092B-C50C-407E-A947-70E740481C1C}">
                                <a14:useLocalDpi xmlns:a14="http://schemas.microsoft.com/office/drawing/2010/main" val="0"/>
                              </a:ext>
                            </a:extLst>
                          </a:blip>
                          <a:srcRect/>
                          <a:stretch>
                            <a:fillRect/>
                          </a:stretch>
                        </pic:blipFill>
                        <pic:spPr bwMode="auto">
                          <a:xfrm>
                            <a:off x="0" y="0"/>
                            <a:ext cx="133350" cy="295275"/>
                          </a:xfrm>
                          <a:prstGeom prst="rect">
                            <a:avLst/>
                          </a:prstGeom>
                          <a:noFill/>
                          <a:ln>
                            <a:noFill/>
                          </a:ln>
                        </pic:spPr>
                      </pic:pic>
                    </a:graphicData>
                  </a:graphic>
                </wp:inline>
              </w:drawing>
            </w:r>
            <w:r w:rsidR="006C6A47" w:rsidRPr="0013396E">
              <w:t xml:space="preserve"> </w:t>
            </w:r>
            <w:r w:rsidRPr="0013396E">
              <w:t xml:space="preserve">RTESOAMTQSETOT </w:t>
            </w:r>
            <w:r w:rsidRPr="0013396E">
              <w:rPr>
                <w:i/>
                <w:vertAlign w:val="subscript"/>
              </w:rPr>
              <w:t>q</w:t>
            </w:r>
          </w:p>
        </w:tc>
      </w:tr>
    </w:tbl>
    <w:p w14:paraId="1852F635" w14:textId="77777777" w:rsidR="001F04FD" w:rsidRPr="0013396E" w:rsidRDefault="001F04FD" w:rsidP="004A39F9">
      <w:pPr>
        <w:spacing w:before="240"/>
      </w:pPr>
      <w:r w:rsidRPr="0013396E">
        <w:lastRenderedPageBreak/>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78"/>
        <w:gridCol w:w="615"/>
        <w:gridCol w:w="6257"/>
      </w:tblGrid>
      <w:tr w:rsidR="001F04FD" w:rsidRPr="0013396E" w14:paraId="331D8B6E" w14:textId="77777777" w:rsidTr="008B66B5">
        <w:trPr>
          <w:cantSplit/>
          <w:tblHeader/>
        </w:trPr>
        <w:tc>
          <w:tcPr>
            <w:tcW w:w="1325" w:type="pct"/>
          </w:tcPr>
          <w:p w14:paraId="41BC1251" w14:textId="77777777" w:rsidR="001F04FD" w:rsidRPr="0013396E" w:rsidRDefault="001F04FD" w:rsidP="00AC4DEE">
            <w:pPr>
              <w:pStyle w:val="TableHead"/>
            </w:pPr>
            <w:r w:rsidRPr="0013396E">
              <w:t>Variable</w:t>
            </w:r>
          </w:p>
        </w:tc>
        <w:tc>
          <w:tcPr>
            <w:tcW w:w="329" w:type="pct"/>
          </w:tcPr>
          <w:p w14:paraId="671776B4" w14:textId="77777777" w:rsidR="001F04FD" w:rsidRPr="0013396E" w:rsidRDefault="001F04FD" w:rsidP="00AC4DEE">
            <w:pPr>
              <w:pStyle w:val="TableHead"/>
            </w:pPr>
            <w:r w:rsidRPr="0013396E">
              <w:t>Unit</w:t>
            </w:r>
          </w:p>
        </w:tc>
        <w:tc>
          <w:tcPr>
            <w:tcW w:w="3346" w:type="pct"/>
          </w:tcPr>
          <w:p w14:paraId="0A31C9F6" w14:textId="77777777" w:rsidR="001F04FD" w:rsidRPr="0013396E" w:rsidRDefault="001F04FD" w:rsidP="00AC4DEE">
            <w:pPr>
              <w:pStyle w:val="TableHead"/>
            </w:pPr>
            <w:r w:rsidRPr="0013396E">
              <w:t>Description</w:t>
            </w:r>
          </w:p>
        </w:tc>
      </w:tr>
      <w:tr w:rsidR="001F04FD" w:rsidRPr="0013396E" w14:paraId="10709BD4" w14:textId="77777777" w:rsidTr="008B66B5">
        <w:trPr>
          <w:cantSplit/>
        </w:trPr>
        <w:tc>
          <w:tcPr>
            <w:tcW w:w="1325" w:type="pct"/>
          </w:tcPr>
          <w:p w14:paraId="0F7AC31F" w14:textId="77777777" w:rsidR="001F04FD" w:rsidRPr="0013396E" w:rsidRDefault="001F04FD" w:rsidP="00AC4DEE">
            <w:pPr>
              <w:pStyle w:val="TableBody"/>
            </w:pPr>
            <w:r w:rsidRPr="0013396E">
              <w:t xml:space="preserve">LARTRNAMT </w:t>
            </w:r>
            <w:r w:rsidRPr="0013396E">
              <w:rPr>
                <w:i/>
                <w:vertAlign w:val="subscript"/>
              </w:rPr>
              <w:t>q</w:t>
            </w:r>
          </w:p>
        </w:tc>
        <w:tc>
          <w:tcPr>
            <w:tcW w:w="329" w:type="pct"/>
          </w:tcPr>
          <w:p w14:paraId="739C2CAA" w14:textId="77777777" w:rsidR="001F04FD" w:rsidRPr="0013396E" w:rsidRDefault="001F04FD" w:rsidP="00AC4DEE">
            <w:pPr>
              <w:pStyle w:val="TableBody"/>
            </w:pPr>
            <w:r w:rsidRPr="0013396E">
              <w:t>$</w:t>
            </w:r>
          </w:p>
        </w:tc>
        <w:tc>
          <w:tcPr>
            <w:tcW w:w="3346" w:type="pct"/>
          </w:tcPr>
          <w:p w14:paraId="496A5CA2" w14:textId="77777777" w:rsidR="001F04FD" w:rsidRPr="0013396E" w:rsidRDefault="001F04FD" w:rsidP="00AC4DEE">
            <w:pPr>
              <w:pStyle w:val="TableBody"/>
            </w:pPr>
            <w:r w:rsidRPr="0013396E">
              <w:rPr>
                <w:i/>
              </w:rPr>
              <w:t>Load-Allocated Real-Time Revenue Neutrality Amount per QSE</w:t>
            </w:r>
            <w:r w:rsidRPr="0013396E">
              <w:t xml:space="preserve">—The QSE </w:t>
            </w:r>
            <w:r w:rsidRPr="0013396E">
              <w:rPr>
                <w:i/>
              </w:rPr>
              <w:t>q</w:t>
            </w:r>
            <w:r w:rsidRPr="0013396E">
              <w:t>’s share of the total Real-Time revenue neutrality amount for the 15-minute Settlement Interval.</w:t>
            </w:r>
          </w:p>
        </w:tc>
      </w:tr>
      <w:tr w:rsidR="001F04FD" w:rsidRPr="0013396E" w14:paraId="165C52BE" w14:textId="77777777" w:rsidTr="008B66B5">
        <w:trPr>
          <w:cantSplit/>
        </w:trPr>
        <w:tc>
          <w:tcPr>
            <w:tcW w:w="1325" w:type="pct"/>
          </w:tcPr>
          <w:p w14:paraId="4B16D9D9" w14:textId="77777777" w:rsidR="001F04FD" w:rsidRPr="0013396E" w:rsidRDefault="001F04FD" w:rsidP="00AC4DEE">
            <w:pPr>
              <w:pStyle w:val="TableBody"/>
            </w:pPr>
            <w:r w:rsidRPr="0013396E">
              <w:t>RTEIAMTTOT</w:t>
            </w:r>
          </w:p>
        </w:tc>
        <w:tc>
          <w:tcPr>
            <w:tcW w:w="329" w:type="pct"/>
          </w:tcPr>
          <w:p w14:paraId="46B03EC3" w14:textId="77777777" w:rsidR="001F04FD" w:rsidRPr="0013396E" w:rsidRDefault="001F04FD" w:rsidP="00AC4DEE">
            <w:pPr>
              <w:pStyle w:val="TableBody"/>
            </w:pPr>
            <w:r w:rsidRPr="0013396E">
              <w:t>$</w:t>
            </w:r>
          </w:p>
        </w:tc>
        <w:tc>
          <w:tcPr>
            <w:tcW w:w="3346" w:type="pct"/>
          </w:tcPr>
          <w:p w14:paraId="72648C03" w14:textId="77777777" w:rsidR="001F04FD" w:rsidRPr="0013396E" w:rsidRDefault="001F04FD" w:rsidP="00AC4DEE">
            <w:pPr>
              <w:pStyle w:val="TableBody"/>
            </w:pPr>
            <w:r w:rsidRPr="0013396E">
              <w:rPr>
                <w:i/>
              </w:rPr>
              <w:t>Real-Time Energy Imbalance Amount Total</w:t>
            </w:r>
            <w:r w:rsidRPr="0013396E">
              <w:t>—The total net payments and charges for Real-Time Energy Imbalance at all Settlement Points (Resource, Load Zone, or Hub) for the 15-minute Interval.</w:t>
            </w:r>
          </w:p>
        </w:tc>
      </w:tr>
      <w:tr w:rsidR="001F04FD" w:rsidRPr="0013396E" w14:paraId="50AB3B2E" w14:textId="77777777" w:rsidTr="008B66B5">
        <w:trPr>
          <w:cantSplit/>
        </w:trPr>
        <w:tc>
          <w:tcPr>
            <w:tcW w:w="1325" w:type="pct"/>
          </w:tcPr>
          <w:p w14:paraId="6EDEFC0B" w14:textId="77777777" w:rsidR="001F04FD" w:rsidRPr="0013396E" w:rsidRDefault="001F04FD" w:rsidP="00AC4DEE">
            <w:pPr>
              <w:pStyle w:val="TableBody"/>
            </w:pPr>
            <w:r w:rsidRPr="0013396E">
              <w:t>BLTRAMTTOT</w:t>
            </w:r>
          </w:p>
        </w:tc>
        <w:tc>
          <w:tcPr>
            <w:tcW w:w="329" w:type="pct"/>
          </w:tcPr>
          <w:p w14:paraId="7B781499" w14:textId="77777777" w:rsidR="001F04FD" w:rsidRPr="0013396E" w:rsidRDefault="001F04FD" w:rsidP="00AC4DEE">
            <w:pPr>
              <w:pStyle w:val="TableBody"/>
            </w:pPr>
            <w:r w:rsidRPr="0013396E">
              <w:t>$</w:t>
            </w:r>
          </w:p>
        </w:tc>
        <w:tc>
          <w:tcPr>
            <w:tcW w:w="3346" w:type="pct"/>
          </w:tcPr>
          <w:p w14:paraId="48BB3348" w14:textId="77777777" w:rsidR="001F04FD" w:rsidRPr="0013396E" w:rsidRDefault="001F04FD" w:rsidP="00AC4DEE">
            <w:pPr>
              <w:pStyle w:val="TableBody"/>
            </w:pPr>
            <w:r w:rsidRPr="0013396E">
              <w:rPr>
                <w:i/>
              </w:rPr>
              <w:t>Block Load Transfer Resource Amount Total</w:t>
            </w:r>
            <w:r w:rsidRPr="0013396E">
              <w:sym w:font="Symbol" w:char="F0BE"/>
            </w:r>
            <w:r w:rsidRPr="0013396E">
              <w:t>The total of the payments for energy delivered into the ERCOT Region through BLT points for the 15-minute Settlement Interval.</w:t>
            </w:r>
          </w:p>
        </w:tc>
      </w:tr>
      <w:tr w:rsidR="001F04FD" w:rsidRPr="0013396E" w14:paraId="3974B996" w14:textId="77777777" w:rsidTr="008B66B5">
        <w:trPr>
          <w:cantSplit/>
        </w:trPr>
        <w:tc>
          <w:tcPr>
            <w:tcW w:w="1325" w:type="pct"/>
          </w:tcPr>
          <w:p w14:paraId="540A2E60" w14:textId="77777777" w:rsidR="001F04FD" w:rsidRPr="0013396E" w:rsidRDefault="001F04FD" w:rsidP="00AC4DEE">
            <w:pPr>
              <w:pStyle w:val="TableBody"/>
            </w:pPr>
            <w:r w:rsidRPr="0013396E">
              <w:t>RTDCIMPAMTTOT</w:t>
            </w:r>
          </w:p>
        </w:tc>
        <w:tc>
          <w:tcPr>
            <w:tcW w:w="329" w:type="pct"/>
          </w:tcPr>
          <w:p w14:paraId="25A1EA79" w14:textId="77777777" w:rsidR="001F04FD" w:rsidRPr="0013396E" w:rsidRDefault="001F04FD" w:rsidP="00AC4DEE">
            <w:pPr>
              <w:pStyle w:val="TableBody"/>
            </w:pPr>
            <w:r w:rsidRPr="0013396E">
              <w:t>$</w:t>
            </w:r>
          </w:p>
        </w:tc>
        <w:tc>
          <w:tcPr>
            <w:tcW w:w="3346" w:type="pct"/>
            <w:vAlign w:val="center"/>
          </w:tcPr>
          <w:p w14:paraId="4FACF661" w14:textId="77777777" w:rsidR="001F04FD" w:rsidRPr="0013396E" w:rsidRDefault="001F04FD" w:rsidP="00AC4DEE">
            <w:pPr>
              <w:pStyle w:val="TableBody"/>
              <w:spacing w:after="0"/>
            </w:pPr>
            <w:r w:rsidRPr="0013396E">
              <w:rPr>
                <w:i/>
              </w:rPr>
              <w:t>Real-Time DC Import Amount Total</w:t>
            </w:r>
            <w:r w:rsidRPr="0013396E">
              <w:t>—The summation of payments for DC Tie imports for the 15-minute Settlement Interval.</w:t>
            </w:r>
          </w:p>
        </w:tc>
      </w:tr>
      <w:tr w:rsidR="001F04FD" w:rsidRPr="0013396E" w14:paraId="0C9E0851" w14:textId="77777777" w:rsidTr="008B66B5">
        <w:trPr>
          <w:cantSplit/>
        </w:trPr>
        <w:tc>
          <w:tcPr>
            <w:tcW w:w="1325" w:type="pct"/>
          </w:tcPr>
          <w:p w14:paraId="53E341F3" w14:textId="77777777" w:rsidR="001F04FD" w:rsidRPr="0013396E" w:rsidRDefault="001F04FD" w:rsidP="00AC4DEE">
            <w:pPr>
              <w:pStyle w:val="TableBody"/>
            </w:pPr>
            <w:r w:rsidRPr="0013396E">
              <w:t xml:space="preserve">RTCCAMTTOT </w:t>
            </w:r>
          </w:p>
        </w:tc>
        <w:tc>
          <w:tcPr>
            <w:tcW w:w="329" w:type="pct"/>
          </w:tcPr>
          <w:p w14:paraId="5065F3B3" w14:textId="77777777" w:rsidR="001F04FD" w:rsidRPr="0013396E" w:rsidRDefault="001F04FD" w:rsidP="00AC4DEE">
            <w:pPr>
              <w:pStyle w:val="TableBody"/>
            </w:pPr>
            <w:r w:rsidRPr="0013396E">
              <w:t>$</w:t>
            </w:r>
          </w:p>
        </w:tc>
        <w:tc>
          <w:tcPr>
            <w:tcW w:w="3346" w:type="pct"/>
          </w:tcPr>
          <w:p w14:paraId="7242ED7F" w14:textId="77777777" w:rsidR="001F04FD" w:rsidRPr="0013396E" w:rsidRDefault="001F04FD" w:rsidP="00AC4DEE">
            <w:pPr>
              <w:pStyle w:val="TableBody"/>
            </w:pPr>
            <w:r w:rsidRPr="0013396E">
              <w:rPr>
                <w:i/>
              </w:rPr>
              <w:t>Real-Time Energy Congestion Cost Amount Total</w:t>
            </w:r>
            <w:r w:rsidRPr="0013396E">
              <w:t>—The total net congestion payments and charges for all Self-Schedules for the 15-minute Settlement Interval.</w:t>
            </w:r>
          </w:p>
        </w:tc>
      </w:tr>
      <w:tr w:rsidR="001F04FD" w:rsidRPr="0013396E" w14:paraId="68AADAAE" w14:textId="77777777" w:rsidTr="008B66B5">
        <w:trPr>
          <w:cantSplit/>
        </w:trPr>
        <w:tc>
          <w:tcPr>
            <w:tcW w:w="1325" w:type="pct"/>
          </w:tcPr>
          <w:p w14:paraId="25B1C38D" w14:textId="77777777" w:rsidR="001F04FD" w:rsidRPr="0013396E" w:rsidRDefault="001F04FD" w:rsidP="00AC4DEE">
            <w:pPr>
              <w:pStyle w:val="TableBody"/>
            </w:pPr>
            <w:r w:rsidRPr="0013396E">
              <w:t>NDRTOBLAMTTOT</w:t>
            </w:r>
          </w:p>
        </w:tc>
        <w:tc>
          <w:tcPr>
            <w:tcW w:w="329" w:type="pct"/>
          </w:tcPr>
          <w:p w14:paraId="2FA7AD93" w14:textId="77777777" w:rsidR="001F04FD" w:rsidRPr="0013396E" w:rsidRDefault="001F04FD" w:rsidP="00AC4DEE">
            <w:pPr>
              <w:pStyle w:val="TableBody"/>
            </w:pPr>
            <w:r w:rsidRPr="0013396E">
              <w:t>$</w:t>
            </w:r>
          </w:p>
        </w:tc>
        <w:tc>
          <w:tcPr>
            <w:tcW w:w="3346" w:type="pct"/>
          </w:tcPr>
          <w:p w14:paraId="4EBAA077" w14:textId="77777777" w:rsidR="001F04FD" w:rsidRPr="0013396E" w:rsidRDefault="001F04FD" w:rsidP="00AC4DEE">
            <w:pPr>
              <w:pStyle w:val="TableBody"/>
              <w:rPr>
                <w:i/>
              </w:rPr>
            </w:pPr>
            <w:r w:rsidRPr="0013396E">
              <w:rPr>
                <w:i/>
              </w:rPr>
              <w:t>No DAM Real-Time Obligation Amount Total</w:t>
            </w:r>
            <w:r w:rsidRPr="0013396E">
              <w:t>—The sum of all payments and charges for PTP Obligations settled in Real-Time, when ERCOT is unable to execute the DAM, for the hour that includes the 15-minute Settlement Interval.</w:t>
            </w:r>
          </w:p>
        </w:tc>
      </w:tr>
      <w:tr w:rsidR="001F04FD" w:rsidRPr="0013396E" w14:paraId="6BBA0096" w14:textId="77777777" w:rsidTr="008B66B5">
        <w:trPr>
          <w:cantSplit/>
        </w:trPr>
        <w:tc>
          <w:tcPr>
            <w:tcW w:w="1325" w:type="pct"/>
          </w:tcPr>
          <w:p w14:paraId="7D944329" w14:textId="77777777" w:rsidR="001F04FD" w:rsidRPr="0013396E" w:rsidRDefault="001F04FD" w:rsidP="00AC4DEE">
            <w:pPr>
              <w:pStyle w:val="TableBody"/>
            </w:pPr>
            <w:r w:rsidRPr="0013396E">
              <w:t>NDRTOPTAMTTOT</w:t>
            </w:r>
          </w:p>
        </w:tc>
        <w:tc>
          <w:tcPr>
            <w:tcW w:w="329" w:type="pct"/>
          </w:tcPr>
          <w:p w14:paraId="3BE1890F" w14:textId="77777777" w:rsidR="001F04FD" w:rsidRPr="0013396E" w:rsidRDefault="001F04FD" w:rsidP="00AC4DEE">
            <w:pPr>
              <w:pStyle w:val="TableBody"/>
            </w:pPr>
            <w:r w:rsidRPr="0013396E">
              <w:t>$</w:t>
            </w:r>
          </w:p>
        </w:tc>
        <w:tc>
          <w:tcPr>
            <w:tcW w:w="3346" w:type="pct"/>
          </w:tcPr>
          <w:p w14:paraId="5653E661" w14:textId="77777777" w:rsidR="001F04FD" w:rsidRPr="0013396E" w:rsidRDefault="001F04FD" w:rsidP="00AC4DEE">
            <w:pPr>
              <w:pStyle w:val="TableBody"/>
              <w:rPr>
                <w:i/>
              </w:rPr>
            </w:pPr>
            <w:r w:rsidRPr="0013396E">
              <w:rPr>
                <w:i/>
              </w:rPr>
              <w:t>No DAM Real-Time Option Amount Total</w:t>
            </w:r>
            <w:r w:rsidRPr="0013396E">
              <w:t>—The sum of all payments for PTP Options settled in Real-Time, when ERCOT is unable to execute the DAM, for the hour that includes the 15-minute Settlement Interval.</w:t>
            </w:r>
          </w:p>
        </w:tc>
      </w:tr>
      <w:tr w:rsidR="001F04FD" w:rsidRPr="0013396E" w14:paraId="39F5BB4D" w14:textId="77777777" w:rsidTr="008B66B5">
        <w:trPr>
          <w:cantSplit/>
        </w:trPr>
        <w:tc>
          <w:tcPr>
            <w:tcW w:w="1325" w:type="pct"/>
          </w:tcPr>
          <w:p w14:paraId="59B5632A" w14:textId="77777777" w:rsidR="001F04FD" w:rsidRPr="0013396E" w:rsidRDefault="001F04FD" w:rsidP="00AC4DEE">
            <w:pPr>
              <w:pStyle w:val="TableBody"/>
            </w:pPr>
            <w:r w:rsidRPr="0013396E">
              <w:t>NDRTOPTRAMTTOT</w:t>
            </w:r>
          </w:p>
        </w:tc>
        <w:tc>
          <w:tcPr>
            <w:tcW w:w="329" w:type="pct"/>
          </w:tcPr>
          <w:p w14:paraId="1EAA3906" w14:textId="77777777" w:rsidR="001F04FD" w:rsidRPr="0013396E" w:rsidRDefault="001F04FD" w:rsidP="00AC4DEE">
            <w:pPr>
              <w:pStyle w:val="TableBody"/>
            </w:pPr>
            <w:r w:rsidRPr="0013396E">
              <w:t>$</w:t>
            </w:r>
          </w:p>
        </w:tc>
        <w:tc>
          <w:tcPr>
            <w:tcW w:w="3346" w:type="pct"/>
          </w:tcPr>
          <w:p w14:paraId="035A4AD7" w14:textId="77777777" w:rsidR="001F04FD" w:rsidRPr="0013396E" w:rsidRDefault="001F04FD" w:rsidP="00AC4DEE">
            <w:pPr>
              <w:pStyle w:val="TableBody"/>
              <w:rPr>
                <w:i/>
              </w:rPr>
            </w:pPr>
            <w:r w:rsidRPr="0013396E">
              <w:rPr>
                <w:i/>
              </w:rPr>
              <w:t>No DAM Real-Time Option with Refund Amount Total</w:t>
            </w:r>
            <w:r w:rsidRPr="0013396E">
              <w:t>—The sum of all payments for PTP Options with Refund settled in Real-Time, when ERCOT is unable to execute the DAM, for the hour that includes the 15-minute Settlement Interval.</w:t>
            </w:r>
          </w:p>
        </w:tc>
      </w:tr>
      <w:tr w:rsidR="001F04FD" w:rsidRPr="0013396E" w14:paraId="7B8AD24E" w14:textId="77777777" w:rsidTr="008B66B5">
        <w:trPr>
          <w:cantSplit/>
        </w:trPr>
        <w:tc>
          <w:tcPr>
            <w:tcW w:w="1325" w:type="pct"/>
          </w:tcPr>
          <w:p w14:paraId="231F3E5C" w14:textId="77777777" w:rsidR="001F04FD" w:rsidRPr="0013396E" w:rsidRDefault="001F04FD" w:rsidP="00AC4DEE">
            <w:pPr>
              <w:pStyle w:val="TableBody"/>
            </w:pPr>
            <w:r w:rsidRPr="0013396E">
              <w:t>NDRTOBLRAMTTOT</w:t>
            </w:r>
          </w:p>
        </w:tc>
        <w:tc>
          <w:tcPr>
            <w:tcW w:w="329" w:type="pct"/>
          </w:tcPr>
          <w:p w14:paraId="00A80A8B" w14:textId="77777777" w:rsidR="001F04FD" w:rsidRPr="0013396E" w:rsidRDefault="001F04FD" w:rsidP="00AC4DEE">
            <w:pPr>
              <w:pStyle w:val="TableBody"/>
            </w:pPr>
            <w:r w:rsidRPr="0013396E">
              <w:t>$</w:t>
            </w:r>
          </w:p>
        </w:tc>
        <w:tc>
          <w:tcPr>
            <w:tcW w:w="3346" w:type="pct"/>
          </w:tcPr>
          <w:p w14:paraId="49A93609" w14:textId="7D37CA8A" w:rsidR="001F04FD" w:rsidRPr="0013396E" w:rsidRDefault="001F04FD" w:rsidP="003810AB">
            <w:pPr>
              <w:pStyle w:val="TableBody"/>
              <w:rPr>
                <w:i/>
              </w:rPr>
            </w:pPr>
            <w:r w:rsidRPr="0013396E">
              <w:rPr>
                <w:i/>
              </w:rPr>
              <w:t>No DAM Real-Time Obligation with Refund Amount Total</w:t>
            </w:r>
            <w:r w:rsidRPr="0013396E">
              <w:t>—The sum of all payments for PTP Obligations with Refund settled in Real-Time, when ERCOT is unable to execute the DAM, for the hour that includes the 15-minute Settlement Interval.</w:t>
            </w:r>
          </w:p>
        </w:tc>
      </w:tr>
      <w:tr w:rsidR="001F04FD" w:rsidRPr="0013396E" w14:paraId="793B195F" w14:textId="77777777" w:rsidTr="008B66B5">
        <w:trPr>
          <w:cantSplit/>
        </w:trPr>
        <w:tc>
          <w:tcPr>
            <w:tcW w:w="1325" w:type="pct"/>
            <w:tcBorders>
              <w:top w:val="single" w:sz="4" w:space="0" w:color="auto"/>
              <w:left w:val="single" w:sz="4" w:space="0" w:color="auto"/>
              <w:bottom w:val="single" w:sz="4" w:space="0" w:color="auto"/>
              <w:right w:val="single" w:sz="4" w:space="0" w:color="auto"/>
            </w:tcBorders>
          </w:tcPr>
          <w:p w14:paraId="17B2FA3E" w14:textId="77777777" w:rsidR="001F04FD" w:rsidRPr="0013396E" w:rsidRDefault="001F04FD" w:rsidP="00AC4DEE">
            <w:pPr>
              <w:pStyle w:val="TableBody"/>
            </w:pPr>
            <w:r w:rsidRPr="0013396E">
              <w:t>RTEIAMTQSETOT</w:t>
            </w:r>
            <w:r w:rsidRPr="0013396E">
              <w:rPr>
                <w:i/>
                <w:vertAlign w:val="subscript"/>
              </w:rPr>
              <w:t xml:space="preserve"> q</w:t>
            </w:r>
          </w:p>
        </w:tc>
        <w:tc>
          <w:tcPr>
            <w:tcW w:w="329" w:type="pct"/>
            <w:tcBorders>
              <w:top w:val="single" w:sz="4" w:space="0" w:color="auto"/>
              <w:left w:val="single" w:sz="4" w:space="0" w:color="auto"/>
              <w:bottom w:val="single" w:sz="4" w:space="0" w:color="auto"/>
              <w:right w:val="single" w:sz="4" w:space="0" w:color="auto"/>
            </w:tcBorders>
          </w:tcPr>
          <w:p w14:paraId="4836D266" w14:textId="77777777" w:rsidR="001F04FD" w:rsidRPr="0013396E" w:rsidRDefault="001F04FD" w:rsidP="00AC4DEE">
            <w:pPr>
              <w:pStyle w:val="TableBody"/>
            </w:pPr>
            <w:r w:rsidRPr="0013396E">
              <w:t>$</w:t>
            </w:r>
          </w:p>
        </w:tc>
        <w:tc>
          <w:tcPr>
            <w:tcW w:w="3346" w:type="pct"/>
            <w:tcBorders>
              <w:top w:val="single" w:sz="4" w:space="0" w:color="auto"/>
              <w:left w:val="single" w:sz="4" w:space="0" w:color="auto"/>
              <w:bottom w:val="single" w:sz="4" w:space="0" w:color="auto"/>
              <w:right w:val="single" w:sz="4" w:space="0" w:color="auto"/>
            </w:tcBorders>
          </w:tcPr>
          <w:p w14:paraId="7A325D88" w14:textId="77777777" w:rsidR="001F04FD" w:rsidRPr="0013396E" w:rsidRDefault="001F04FD" w:rsidP="00AC4DEE">
            <w:pPr>
              <w:pStyle w:val="TableBody"/>
            </w:pPr>
            <w:r w:rsidRPr="0013396E">
              <w:rPr>
                <w:i/>
              </w:rPr>
              <w:t>Real-Time Energy Imbalance Amount QSE Total per QSE</w:t>
            </w:r>
            <w:r w:rsidRPr="0013396E">
              <w:sym w:font="Symbol" w:char="F0BE"/>
            </w:r>
            <w:r w:rsidRPr="0013396E">
              <w:t xml:space="preserve">The total net payments and charges to QSE </w:t>
            </w:r>
            <w:r w:rsidRPr="0013396E">
              <w:rPr>
                <w:i/>
              </w:rPr>
              <w:t>q</w:t>
            </w:r>
            <w:r w:rsidRPr="0013396E">
              <w:t xml:space="preserve"> for Real-Time Energy Imbalance Service at all Resource Node Settlement Points for the 15-minute Settlement Interval.</w:t>
            </w:r>
          </w:p>
        </w:tc>
      </w:tr>
      <w:tr w:rsidR="001F04FD" w:rsidRPr="0013396E" w14:paraId="265AF73B" w14:textId="77777777" w:rsidTr="008B66B5">
        <w:trPr>
          <w:cantSplit/>
        </w:trPr>
        <w:tc>
          <w:tcPr>
            <w:tcW w:w="1325" w:type="pct"/>
            <w:tcBorders>
              <w:top w:val="single" w:sz="4" w:space="0" w:color="auto"/>
              <w:left w:val="single" w:sz="4" w:space="0" w:color="auto"/>
              <w:bottom w:val="single" w:sz="4" w:space="0" w:color="auto"/>
              <w:right w:val="single" w:sz="4" w:space="0" w:color="auto"/>
            </w:tcBorders>
          </w:tcPr>
          <w:p w14:paraId="6B495229" w14:textId="77777777" w:rsidR="001F04FD" w:rsidRPr="0013396E" w:rsidRDefault="001F04FD" w:rsidP="00AC4DEE">
            <w:pPr>
              <w:pStyle w:val="TableBody"/>
            </w:pPr>
            <w:r w:rsidRPr="0013396E">
              <w:t xml:space="preserve">RTCCAMTQSETOT </w:t>
            </w:r>
            <w:r w:rsidRPr="0013396E">
              <w:rPr>
                <w:i/>
                <w:vertAlign w:val="subscript"/>
              </w:rPr>
              <w:t>q</w:t>
            </w:r>
          </w:p>
        </w:tc>
        <w:tc>
          <w:tcPr>
            <w:tcW w:w="329" w:type="pct"/>
            <w:tcBorders>
              <w:top w:val="single" w:sz="4" w:space="0" w:color="auto"/>
              <w:left w:val="single" w:sz="4" w:space="0" w:color="auto"/>
              <w:bottom w:val="single" w:sz="4" w:space="0" w:color="auto"/>
              <w:right w:val="single" w:sz="4" w:space="0" w:color="auto"/>
            </w:tcBorders>
          </w:tcPr>
          <w:p w14:paraId="76E1EA73" w14:textId="77777777" w:rsidR="001F04FD" w:rsidRPr="0013396E" w:rsidRDefault="001F04FD" w:rsidP="00AC4DEE">
            <w:pPr>
              <w:pStyle w:val="TableBody"/>
            </w:pPr>
            <w:r w:rsidRPr="0013396E">
              <w:t>$</w:t>
            </w:r>
          </w:p>
        </w:tc>
        <w:tc>
          <w:tcPr>
            <w:tcW w:w="3346" w:type="pct"/>
            <w:tcBorders>
              <w:top w:val="single" w:sz="4" w:space="0" w:color="auto"/>
              <w:left w:val="single" w:sz="4" w:space="0" w:color="auto"/>
              <w:bottom w:val="single" w:sz="4" w:space="0" w:color="auto"/>
              <w:right w:val="single" w:sz="4" w:space="0" w:color="auto"/>
            </w:tcBorders>
          </w:tcPr>
          <w:p w14:paraId="53EC2BD9" w14:textId="77777777" w:rsidR="001F04FD" w:rsidRPr="0013396E" w:rsidRDefault="001F04FD" w:rsidP="00AC4DEE">
            <w:pPr>
              <w:pStyle w:val="TableBody"/>
            </w:pPr>
            <w:r w:rsidRPr="0013396E">
              <w:rPr>
                <w:i/>
              </w:rPr>
              <w:t>Real-Time Congestion Cost Amount QSE Total per QSE</w:t>
            </w:r>
            <w:r w:rsidRPr="0013396E">
              <w:sym w:font="Symbol" w:char="F0BE"/>
            </w:r>
            <w:r w:rsidRPr="0013396E">
              <w:t xml:space="preserve">The total net congestion payments and charges to QSE </w:t>
            </w:r>
            <w:r w:rsidRPr="0013396E">
              <w:rPr>
                <w:i/>
              </w:rPr>
              <w:t>q</w:t>
            </w:r>
            <w:r w:rsidRPr="0013396E">
              <w:t xml:space="preserve"> for its Self-Schedules for the 15-minute Settlement Interval.</w:t>
            </w:r>
          </w:p>
        </w:tc>
      </w:tr>
      <w:tr w:rsidR="001F04FD" w:rsidRPr="0013396E" w14:paraId="7E254262" w14:textId="77777777" w:rsidTr="008B66B5">
        <w:trPr>
          <w:cantSplit/>
        </w:trPr>
        <w:tc>
          <w:tcPr>
            <w:tcW w:w="1325" w:type="pct"/>
          </w:tcPr>
          <w:p w14:paraId="0ACB4C48" w14:textId="77777777" w:rsidR="001F04FD" w:rsidRPr="0013396E" w:rsidRDefault="001F04FD" w:rsidP="00AC4DEE">
            <w:pPr>
              <w:pStyle w:val="TableBody"/>
            </w:pPr>
            <w:r w:rsidRPr="0013396E">
              <w:t xml:space="preserve">BLTRAMTQSETOT </w:t>
            </w:r>
            <w:r w:rsidRPr="0013396E">
              <w:rPr>
                <w:i/>
                <w:vertAlign w:val="subscript"/>
              </w:rPr>
              <w:t>q</w:t>
            </w:r>
          </w:p>
        </w:tc>
        <w:tc>
          <w:tcPr>
            <w:tcW w:w="329" w:type="pct"/>
          </w:tcPr>
          <w:p w14:paraId="343A2253" w14:textId="77777777" w:rsidR="001F04FD" w:rsidRPr="0013396E" w:rsidRDefault="001F04FD" w:rsidP="00AC4DEE">
            <w:pPr>
              <w:pStyle w:val="TableBody"/>
            </w:pPr>
            <w:r w:rsidRPr="0013396E">
              <w:t>$</w:t>
            </w:r>
          </w:p>
        </w:tc>
        <w:tc>
          <w:tcPr>
            <w:tcW w:w="3346" w:type="pct"/>
          </w:tcPr>
          <w:p w14:paraId="35439E86" w14:textId="77777777" w:rsidR="001F04FD" w:rsidRPr="0013396E" w:rsidRDefault="001F04FD" w:rsidP="00AC4DEE">
            <w:pPr>
              <w:pStyle w:val="TableBody"/>
              <w:rPr>
                <w:bCs/>
              </w:rPr>
            </w:pPr>
            <w:r w:rsidRPr="0013396E">
              <w:rPr>
                <w:i/>
              </w:rPr>
              <w:t>Block Load Transfer Resource Amount QSE Total per QSE</w:t>
            </w:r>
            <w:r w:rsidRPr="0013396E">
              <w:sym w:font="Symbol" w:char="F0BE"/>
            </w:r>
            <w:r w:rsidRPr="0013396E">
              <w:t xml:space="preserve">The total of the payments to QSE </w:t>
            </w:r>
            <w:r w:rsidRPr="0013396E">
              <w:rPr>
                <w:i/>
              </w:rPr>
              <w:t>q</w:t>
            </w:r>
            <w:r w:rsidRPr="0013396E">
              <w:t xml:space="preserve"> for energy delivered into the ERCOT Region through BLT points for the 15-minute Settlement Interval.</w:t>
            </w:r>
          </w:p>
        </w:tc>
      </w:tr>
      <w:tr w:rsidR="001F04FD" w:rsidRPr="0013396E" w14:paraId="28E71ADB" w14:textId="77777777" w:rsidTr="008B66B5">
        <w:trPr>
          <w:cantSplit/>
        </w:trPr>
        <w:tc>
          <w:tcPr>
            <w:tcW w:w="1325" w:type="pct"/>
          </w:tcPr>
          <w:p w14:paraId="7670A348" w14:textId="77777777" w:rsidR="001F04FD" w:rsidRPr="0013396E" w:rsidRDefault="001F04FD" w:rsidP="00AC4DEE">
            <w:pPr>
              <w:pStyle w:val="TableBody"/>
            </w:pPr>
            <w:r w:rsidRPr="0013396E">
              <w:t xml:space="preserve">RTDCIMPAMTQSETOT </w:t>
            </w:r>
            <w:r w:rsidRPr="0013396E">
              <w:rPr>
                <w:i/>
                <w:vertAlign w:val="subscript"/>
              </w:rPr>
              <w:t>q</w:t>
            </w:r>
          </w:p>
        </w:tc>
        <w:tc>
          <w:tcPr>
            <w:tcW w:w="329" w:type="pct"/>
          </w:tcPr>
          <w:p w14:paraId="5A3500C2" w14:textId="77777777" w:rsidR="001F04FD" w:rsidRPr="0013396E" w:rsidRDefault="001F04FD" w:rsidP="00AC4DEE">
            <w:pPr>
              <w:pStyle w:val="TableBody"/>
            </w:pPr>
            <w:r w:rsidRPr="0013396E">
              <w:t>$</w:t>
            </w:r>
          </w:p>
        </w:tc>
        <w:tc>
          <w:tcPr>
            <w:tcW w:w="3346" w:type="pct"/>
          </w:tcPr>
          <w:p w14:paraId="3E6AF934" w14:textId="77777777" w:rsidR="001F04FD" w:rsidRPr="0013396E" w:rsidRDefault="001F04FD" w:rsidP="00AC4DEE">
            <w:pPr>
              <w:pStyle w:val="TableBody"/>
            </w:pPr>
            <w:r w:rsidRPr="0013396E">
              <w:rPr>
                <w:i/>
              </w:rPr>
              <w:t>Real-Time DC Import Amount QSE Total per QSE</w:t>
            </w:r>
            <w:r w:rsidRPr="0013396E">
              <w:sym w:font="Symbol" w:char="F0BE"/>
            </w:r>
            <w:r w:rsidRPr="0013396E">
              <w:t xml:space="preserve">The total of the payments to QSE </w:t>
            </w:r>
            <w:r w:rsidRPr="0013396E">
              <w:rPr>
                <w:i/>
              </w:rPr>
              <w:t>q</w:t>
            </w:r>
            <w:r w:rsidRPr="0013396E">
              <w:t xml:space="preserve"> for energy imported into the ERCOT Region through DC Ties for the 15-minute Settlement Interval.</w:t>
            </w:r>
          </w:p>
        </w:tc>
      </w:tr>
      <w:tr w:rsidR="001F04FD" w:rsidRPr="0013396E" w14:paraId="2B456E26" w14:textId="77777777" w:rsidTr="008B66B5">
        <w:trPr>
          <w:cantSplit/>
        </w:trPr>
        <w:tc>
          <w:tcPr>
            <w:tcW w:w="1325" w:type="pct"/>
          </w:tcPr>
          <w:p w14:paraId="284C06B9" w14:textId="77777777" w:rsidR="001F04FD" w:rsidRPr="0013396E" w:rsidRDefault="001F04FD" w:rsidP="00AC4DEE">
            <w:pPr>
              <w:pStyle w:val="TableBody"/>
            </w:pPr>
            <w:r w:rsidRPr="0013396E">
              <w:lastRenderedPageBreak/>
              <w:t xml:space="preserve">NDRTOBLAMTOTOT </w:t>
            </w:r>
            <w:r w:rsidRPr="0013396E">
              <w:rPr>
                <w:i/>
                <w:vertAlign w:val="subscript"/>
              </w:rPr>
              <w:t>o</w:t>
            </w:r>
          </w:p>
        </w:tc>
        <w:tc>
          <w:tcPr>
            <w:tcW w:w="329" w:type="pct"/>
          </w:tcPr>
          <w:p w14:paraId="07AABDD4" w14:textId="77777777" w:rsidR="001F04FD" w:rsidRPr="0013396E" w:rsidRDefault="001F04FD" w:rsidP="00AC4DEE">
            <w:pPr>
              <w:pStyle w:val="TableBody"/>
            </w:pPr>
            <w:r w:rsidRPr="0013396E">
              <w:t>$</w:t>
            </w:r>
          </w:p>
        </w:tc>
        <w:tc>
          <w:tcPr>
            <w:tcW w:w="3346" w:type="pct"/>
          </w:tcPr>
          <w:p w14:paraId="3C412C18" w14:textId="77777777" w:rsidR="001F04FD" w:rsidRPr="0013396E" w:rsidRDefault="001F04FD" w:rsidP="00AC4DEE">
            <w:pPr>
              <w:pStyle w:val="TableBody"/>
            </w:pPr>
            <w:r w:rsidRPr="0013396E">
              <w:rPr>
                <w:i/>
              </w:rPr>
              <w:t>No DAM Real-Time Obligation Amount Owner Total per CRR Owner</w:t>
            </w:r>
            <w:r w:rsidRPr="0013396E">
              <w:t xml:space="preserve">—The net total payment or charge to CRR owner </w:t>
            </w:r>
            <w:r w:rsidRPr="0013396E">
              <w:rPr>
                <w:i/>
              </w:rPr>
              <w:t>o</w:t>
            </w:r>
            <w:r w:rsidRPr="0013396E">
              <w:t xml:space="preserve"> of all its PTP Obligations settled in Real-Time when ERCOT is unable to execute the DAM, for the hour.</w:t>
            </w:r>
          </w:p>
        </w:tc>
      </w:tr>
      <w:tr w:rsidR="001F04FD" w:rsidRPr="0013396E" w14:paraId="7EC451CF" w14:textId="77777777" w:rsidTr="008B66B5">
        <w:trPr>
          <w:cantSplit/>
        </w:trPr>
        <w:tc>
          <w:tcPr>
            <w:tcW w:w="1325" w:type="pct"/>
          </w:tcPr>
          <w:p w14:paraId="219F664C" w14:textId="77777777" w:rsidR="001F04FD" w:rsidRPr="0013396E" w:rsidRDefault="001F04FD" w:rsidP="00AC4DEE">
            <w:pPr>
              <w:pStyle w:val="TableBody"/>
            </w:pPr>
            <w:r w:rsidRPr="0013396E">
              <w:t xml:space="preserve">NDRTOPTAMTOTOT </w:t>
            </w:r>
            <w:r w:rsidRPr="0013396E">
              <w:rPr>
                <w:i/>
                <w:vertAlign w:val="subscript"/>
              </w:rPr>
              <w:t>o</w:t>
            </w:r>
          </w:p>
        </w:tc>
        <w:tc>
          <w:tcPr>
            <w:tcW w:w="329" w:type="pct"/>
          </w:tcPr>
          <w:p w14:paraId="7B2437D0" w14:textId="77777777" w:rsidR="001F04FD" w:rsidRPr="0013396E" w:rsidRDefault="001F04FD" w:rsidP="00AC4DEE">
            <w:pPr>
              <w:pStyle w:val="TableBody"/>
            </w:pPr>
            <w:r w:rsidRPr="0013396E">
              <w:t>$</w:t>
            </w:r>
          </w:p>
        </w:tc>
        <w:tc>
          <w:tcPr>
            <w:tcW w:w="3346" w:type="pct"/>
          </w:tcPr>
          <w:p w14:paraId="377E2E55" w14:textId="77777777" w:rsidR="001F04FD" w:rsidRPr="0013396E" w:rsidRDefault="001F04FD" w:rsidP="00AC4DEE">
            <w:pPr>
              <w:pStyle w:val="TableBody"/>
            </w:pPr>
            <w:r w:rsidRPr="0013396E">
              <w:rPr>
                <w:i/>
              </w:rPr>
              <w:t>No DAM Real-Time Option Amount Owner Total per CRR Owner</w:t>
            </w:r>
            <w:r w:rsidRPr="0013396E">
              <w:t xml:space="preserve">—The total payment to CRR owner </w:t>
            </w:r>
            <w:r w:rsidRPr="0013396E">
              <w:rPr>
                <w:i/>
              </w:rPr>
              <w:t>o</w:t>
            </w:r>
            <w:r w:rsidRPr="0013396E">
              <w:t xml:space="preserve"> for all its PTP Options settled in Real-Time when ERCOT is unable to execute the DAM, for the hour.</w:t>
            </w:r>
          </w:p>
        </w:tc>
      </w:tr>
      <w:tr w:rsidR="001F04FD" w:rsidRPr="0013396E" w14:paraId="6BBB01CA" w14:textId="77777777" w:rsidTr="008B66B5">
        <w:trPr>
          <w:cantSplit/>
        </w:trPr>
        <w:tc>
          <w:tcPr>
            <w:tcW w:w="1325" w:type="pct"/>
          </w:tcPr>
          <w:p w14:paraId="4C8377B9" w14:textId="77777777" w:rsidR="001F04FD" w:rsidRPr="0013396E" w:rsidRDefault="001F04FD" w:rsidP="00AC4DEE">
            <w:pPr>
              <w:pStyle w:val="TableBody"/>
            </w:pPr>
            <w:r w:rsidRPr="0013396E">
              <w:t xml:space="preserve">NDRTOPTRAMTOTOT </w:t>
            </w:r>
            <w:r w:rsidRPr="0013396E">
              <w:rPr>
                <w:i/>
                <w:vertAlign w:val="subscript"/>
              </w:rPr>
              <w:t>o</w:t>
            </w:r>
          </w:p>
        </w:tc>
        <w:tc>
          <w:tcPr>
            <w:tcW w:w="329" w:type="pct"/>
          </w:tcPr>
          <w:p w14:paraId="6A94C20E" w14:textId="77777777" w:rsidR="001F04FD" w:rsidRPr="0013396E" w:rsidRDefault="001F04FD" w:rsidP="00AC4DEE">
            <w:pPr>
              <w:pStyle w:val="TableBody"/>
            </w:pPr>
            <w:r w:rsidRPr="0013396E">
              <w:t>$</w:t>
            </w:r>
          </w:p>
        </w:tc>
        <w:tc>
          <w:tcPr>
            <w:tcW w:w="3346" w:type="pct"/>
          </w:tcPr>
          <w:p w14:paraId="67E588B9" w14:textId="2E04DEC3" w:rsidR="001F04FD" w:rsidRPr="0013396E" w:rsidRDefault="001F04FD" w:rsidP="00F12B75">
            <w:pPr>
              <w:pStyle w:val="TableBody"/>
            </w:pPr>
            <w:r w:rsidRPr="0013396E">
              <w:rPr>
                <w:i/>
              </w:rPr>
              <w:t>No DAM Real-Time Option with Refund Amount Owner Total per CRR Owner</w:t>
            </w:r>
            <w:r w:rsidRPr="0013396E">
              <w:t xml:space="preserve">—The total payment to </w:t>
            </w:r>
            <w:r w:rsidR="00F12B75" w:rsidRPr="0013396E">
              <w:t>Non-Opt-In Entity (</w:t>
            </w:r>
            <w:r w:rsidRPr="0013396E">
              <w:t>NOIE</w:t>
            </w:r>
            <w:r w:rsidR="00F12B75" w:rsidRPr="0013396E">
              <w:t>)</w:t>
            </w:r>
            <w:r w:rsidRPr="0013396E">
              <w:t xml:space="preserve"> CRR owner </w:t>
            </w:r>
            <w:r w:rsidRPr="0013396E">
              <w:rPr>
                <w:i/>
              </w:rPr>
              <w:t>o</w:t>
            </w:r>
            <w:r w:rsidRPr="0013396E">
              <w:t xml:space="preserve"> for all its PTP Options with Refund settled in Real-Time when ERCOT is unable to execute the DAM, for the hour.</w:t>
            </w:r>
          </w:p>
        </w:tc>
      </w:tr>
      <w:tr w:rsidR="001F04FD" w:rsidRPr="0013396E" w14:paraId="2B08DD18" w14:textId="77777777" w:rsidTr="008B66B5">
        <w:trPr>
          <w:cantSplit/>
        </w:trPr>
        <w:tc>
          <w:tcPr>
            <w:tcW w:w="1325" w:type="pct"/>
          </w:tcPr>
          <w:p w14:paraId="00408165" w14:textId="77777777" w:rsidR="001F04FD" w:rsidRPr="0013396E" w:rsidRDefault="001F04FD" w:rsidP="00AC4DEE">
            <w:pPr>
              <w:pStyle w:val="TableBody"/>
            </w:pPr>
            <w:r w:rsidRPr="0013396E">
              <w:t xml:space="preserve">NDRTOBLRAMTOTOT </w:t>
            </w:r>
            <w:r w:rsidRPr="0013396E">
              <w:rPr>
                <w:i/>
                <w:vertAlign w:val="subscript"/>
              </w:rPr>
              <w:t>o</w:t>
            </w:r>
          </w:p>
        </w:tc>
        <w:tc>
          <w:tcPr>
            <w:tcW w:w="329" w:type="pct"/>
          </w:tcPr>
          <w:p w14:paraId="45B0BF75" w14:textId="77777777" w:rsidR="001F04FD" w:rsidRPr="0013396E" w:rsidRDefault="001F04FD" w:rsidP="00AC4DEE">
            <w:pPr>
              <w:pStyle w:val="TableBody"/>
            </w:pPr>
            <w:r w:rsidRPr="0013396E">
              <w:t>$</w:t>
            </w:r>
          </w:p>
        </w:tc>
        <w:tc>
          <w:tcPr>
            <w:tcW w:w="3346" w:type="pct"/>
          </w:tcPr>
          <w:p w14:paraId="28ADB516" w14:textId="77777777" w:rsidR="001F04FD" w:rsidRPr="0013396E" w:rsidRDefault="001F04FD" w:rsidP="00AC4DEE">
            <w:pPr>
              <w:pStyle w:val="TableBody"/>
            </w:pPr>
            <w:r w:rsidRPr="0013396E">
              <w:rPr>
                <w:i/>
              </w:rPr>
              <w:t>No DAM Real-Time Obligation with Refund Amount Owner Total per CRR Owner</w:t>
            </w:r>
            <w:r w:rsidRPr="0013396E">
              <w:t xml:space="preserve">—The net total payment or charge to CRR owner </w:t>
            </w:r>
            <w:r w:rsidRPr="0013396E">
              <w:rPr>
                <w:i/>
              </w:rPr>
              <w:t>o</w:t>
            </w:r>
            <w:r w:rsidRPr="0013396E">
              <w:t xml:space="preserve"> for all its PTP Obligations with Refund settled in Real-Time, when ERCOT is unable to execute the DAM, for the hour.</w:t>
            </w:r>
          </w:p>
        </w:tc>
      </w:tr>
      <w:tr w:rsidR="00657819" w:rsidRPr="0013396E" w14:paraId="767346B2" w14:textId="77777777" w:rsidTr="008B66B5">
        <w:trPr>
          <w:cantSplit/>
        </w:trPr>
        <w:tc>
          <w:tcPr>
            <w:tcW w:w="1325" w:type="pct"/>
          </w:tcPr>
          <w:p w14:paraId="20295A03" w14:textId="156B0B9E" w:rsidR="00657819" w:rsidRPr="0013396E" w:rsidRDefault="00657819" w:rsidP="00657819">
            <w:pPr>
              <w:pStyle w:val="TableBody"/>
            </w:pPr>
            <w:r w:rsidRPr="0013396E">
              <w:t xml:space="preserve">RTESOGAMTQSETOT </w:t>
            </w:r>
            <w:r w:rsidRPr="0013396E">
              <w:rPr>
                <w:i/>
                <w:vertAlign w:val="subscript"/>
              </w:rPr>
              <w:t>q</w:t>
            </w:r>
          </w:p>
        </w:tc>
        <w:tc>
          <w:tcPr>
            <w:tcW w:w="329" w:type="pct"/>
          </w:tcPr>
          <w:p w14:paraId="6D6EF20A" w14:textId="46A979A6" w:rsidR="00657819" w:rsidRPr="0013396E" w:rsidRDefault="00657819" w:rsidP="00657819">
            <w:pPr>
              <w:pStyle w:val="TableBody"/>
            </w:pPr>
            <w:r w:rsidRPr="0013396E">
              <w:rPr>
                <w:bCs/>
              </w:rPr>
              <w:t>$</w:t>
            </w:r>
          </w:p>
        </w:tc>
        <w:tc>
          <w:tcPr>
            <w:tcW w:w="3346" w:type="pct"/>
          </w:tcPr>
          <w:p w14:paraId="54485860" w14:textId="6EACB98E" w:rsidR="00657819" w:rsidRPr="0013396E" w:rsidRDefault="00657819" w:rsidP="00657819">
            <w:pPr>
              <w:pStyle w:val="TableBody"/>
              <w:rPr>
                <w:i/>
              </w:rPr>
            </w:pPr>
            <w:r w:rsidRPr="0013396E">
              <w:rPr>
                <w:i/>
              </w:rPr>
              <w:t xml:space="preserve">Real-Time Energy Payment or Charge per QSE for Energy from SODGs and SOTGs </w:t>
            </w:r>
            <w:r w:rsidRPr="0013396E">
              <w:t xml:space="preserve">—The payment or charge to QSE </w:t>
            </w:r>
            <w:r w:rsidRPr="0013396E">
              <w:rPr>
                <w:i/>
              </w:rPr>
              <w:t>q</w:t>
            </w:r>
            <w:r w:rsidRPr="0013396E">
              <w:t xml:space="preserve"> for Real-Time energy from SODGs and SOTGs, for the 15-minute Settlement Interval.</w:t>
            </w:r>
          </w:p>
        </w:tc>
      </w:tr>
      <w:tr w:rsidR="00657819" w:rsidRPr="0013396E" w14:paraId="38A69CC7" w14:textId="77777777" w:rsidTr="008B66B5">
        <w:trPr>
          <w:cantSplit/>
        </w:trPr>
        <w:tc>
          <w:tcPr>
            <w:tcW w:w="1325" w:type="pct"/>
          </w:tcPr>
          <w:p w14:paraId="5C4EB570" w14:textId="73577E22" w:rsidR="00657819" w:rsidRPr="0013396E" w:rsidRDefault="00657819" w:rsidP="00657819">
            <w:pPr>
              <w:pStyle w:val="TableBody"/>
            </w:pPr>
            <w:r w:rsidRPr="0013396E">
              <w:t>RTESOGAMTTOT</w:t>
            </w:r>
          </w:p>
        </w:tc>
        <w:tc>
          <w:tcPr>
            <w:tcW w:w="329" w:type="pct"/>
          </w:tcPr>
          <w:p w14:paraId="52938060" w14:textId="7E8EE0CC" w:rsidR="00657819" w:rsidRPr="0013396E" w:rsidRDefault="00657819" w:rsidP="00657819">
            <w:pPr>
              <w:pStyle w:val="TableBody"/>
            </w:pPr>
            <w:r w:rsidRPr="0013396E">
              <w:rPr>
                <w:bCs/>
              </w:rPr>
              <w:t>$</w:t>
            </w:r>
          </w:p>
        </w:tc>
        <w:tc>
          <w:tcPr>
            <w:tcW w:w="3346" w:type="pct"/>
          </w:tcPr>
          <w:p w14:paraId="7FB0B1EC" w14:textId="4A52FB74" w:rsidR="00657819" w:rsidRPr="0013396E" w:rsidRDefault="00657819" w:rsidP="00657819">
            <w:pPr>
              <w:pStyle w:val="TableBody"/>
              <w:rPr>
                <w:i/>
              </w:rPr>
            </w:pPr>
            <w:r w:rsidRPr="0013396E">
              <w:rPr>
                <w:i/>
              </w:rPr>
              <w:t xml:space="preserve">Real-Time Energy Amount Total for Energy from all SODGs and SOTGs </w:t>
            </w:r>
            <w:r w:rsidRPr="0013396E">
              <w:t>—The total net payments and charges to all QSEs for Real-Time energy from SODGs and SOTGs, for the 15-minute Settlement Interval.</w:t>
            </w:r>
          </w:p>
        </w:tc>
      </w:tr>
      <w:tr w:rsidR="00C54508" w:rsidRPr="0013396E" w14:paraId="1FA79B85" w14:textId="77777777" w:rsidTr="008B66B5">
        <w:trPr>
          <w:cantSplit/>
        </w:trPr>
        <w:tc>
          <w:tcPr>
            <w:tcW w:w="5000" w:type="pct"/>
            <w:gridSpan w:val="3"/>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ayout w:type="fixed"/>
              <w:tblCellMar>
                <w:top w:w="144" w:type="dxa"/>
                <w:left w:w="115" w:type="dxa"/>
                <w:right w:w="115" w:type="dxa"/>
              </w:tblCellMar>
              <w:tblLook w:val="01E0" w:firstRow="1" w:lastRow="1" w:firstColumn="1" w:lastColumn="1" w:noHBand="0" w:noVBand="0"/>
            </w:tblPr>
            <w:tblGrid>
              <w:gridCol w:w="9124"/>
            </w:tblGrid>
            <w:tr w:rsidR="00C54508" w:rsidRPr="0013396E" w14:paraId="0EAFBB43" w14:textId="77777777" w:rsidTr="00F12B75">
              <w:trPr>
                <w:trHeight w:val="206"/>
              </w:trPr>
              <w:tc>
                <w:tcPr>
                  <w:tcW w:w="5000" w:type="pct"/>
                  <w:shd w:val="pct12" w:color="auto" w:fill="auto"/>
                </w:tcPr>
                <w:p w14:paraId="0E169BDE" w14:textId="432A60B2" w:rsidR="00C54508" w:rsidRPr="0013396E" w:rsidRDefault="00C54508" w:rsidP="00C54508">
                  <w:pPr>
                    <w:pStyle w:val="Instructions"/>
                    <w:spacing w:before="120"/>
                  </w:pPr>
                  <w:r w:rsidRPr="0013396E">
                    <w:t>[</w:t>
                  </w:r>
                  <w:r w:rsidR="00C04382" w:rsidRPr="0013396E">
                    <w:t>NPRR995</w:t>
                  </w:r>
                  <w:r w:rsidRPr="0013396E">
                    <w:t xml:space="preserve">:  </w:t>
                  </w:r>
                  <w:r w:rsidR="00657819" w:rsidRPr="0013396E">
                    <w:t>Replace</w:t>
                  </w:r>
                  <w:r w:rsidRPr="0013396E">
                    <w:t xml:space="preserve"> the variables “RTESO</w:t>
                  </w:r>
                  <w:r w:rsidR="00657819" w:rsidRPr="0013396E">
                    <w:t>G</w:t>
                  </w:r>
                  <w:r w:rsidRPr="0013396E">
                    <w:t xml:space="preserve">AMTQSETOT </w:t>
                  </w:r>
                  <w:r w:rsidRPr="0013396E">
                    <w:rPr>
                      <w:vertAlign w:val="subscript"/>
                    </w:rPr>
                    <w:t>q</w:t>
                  </w:r>
                  <w:r w:rsidRPr="0013396E">
                    <w:t>” and “RTESO</w:t>
                  </w:r>
                  <w:r w:rsidR="00657819" w:rsidRPr="0013396E">
                    <w:t>G</w:t>
                  </w:r>
                  <w:r w:rsidRPr="0013396E">
                    <w:t xml:space="preserve">AMTTOT” </w:t>
                  </w:r>
                  <w:r w:rsidR="00657819" w:rsidRPr="0013396E">
                    <w:t>above with the following</w:t>
                  </w:r>
                  <w:r w:rsidRPr="0013396E">
                    <w:t xml:space="preserve"> upon system implementation:]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334"/>
                    <w:gridCol w:w="704"/>
                    <w:gridCol w:w="5846"/>
                  </w:tblGrid>
                  <w:tr w:rsidR="00C54508" w:rsidRPr="0013396E" w14:paraId="73F61A5B" w14:textId="77777777" w:rsidTr="00F12B75">
                    <w:trPr>
                      <w:cantSplit/>
                    </w:trPr>
                    <w:tc>
                      <w:tcPr>
                        <w:tcW w:w="1314" w:type="pct"/>
                        <w:tcBorders>
                          <w:bottom w:val="single" w:sz="4" w:space="0" w:color="auto"/>
                        </w:tcBorders>
                      </w:tcPr>
                      <w:p w14:paraId="14664554" w14:textId="30699AB1" w:rsidR="00C54508" w:rsidRPr="0013396E" w:rsidRDefault="00C54508" w:rsidP="00C54508">
                        <w:pPr>
                          <w:pStyle w:val="tablebody0"/>
                        </w:pPr>
                        <w:r w:rsidRPr="0013396E">
                          <w:t xml:space="preserve">RTESOAMTQSETOT </w:t>
                        </w:r>
                        <w:r w:rsidRPr="0013396E">
                          <w:rPr>
                            <w:i/>
                            <w:vertAlign w:val="subscript"/>
                          </w:rPr>
                          <w:t>q</w:t>
                        </w:r>
                      </w:p>
                    </w:tc>
                    <w:tc>
                      <w:tcPr>
                        <w:tcW w:w="396" w:type="pct"/>
                        <w:tcBorders>
                          <w:bottom w:val="single" w:sz="4" w:space="0" w:color="auto"/>
                        </w:tcBorders>
                      </w:tcPr>
                      <w:p w14:paraId="327E6B67" w14:textId="77777777" w:rsidR="00C54508" w:rsidRPr="0013396E" w:rsidRDefault="00C54508" w:rsidP="00C54508">
                        <w:pPr>
                          <w:pStyle w:val="tablebody0"/>
                        </w:pPr>
                        <w:r w:rsidRPr="0013396E">
                          <w:rPr>
                            <w:bCs/>
                          </w:rPr>
                          <w:t>$</w:t>
                        </w:r>
                      </w:p>
                    </w:tc>
                    <w:tc>
                      <w:tcPr>
                        <w:tcW w:w="3290" w:type="pct"/>
                        <w:tcBorders>
                          <w:bottom w:val="single" w:sz="4" w:space="0" w:color="auto"/>
                        </w:tcBorders>
                      </w:tcPr>
                      <w:p w14:paraId="36EB17A0" w14:textId="61767094" w:rsidR="00C54508" w:rsidRPr="0013396E" w:rsidRDefault="00C54508" w:rsidP="00C54508">
                        <w:pPr>
                          <w:pStyle w:val="tablebody0"/>
                          <w:rPr>
                            <w:i/>
                          </w:rPr>
                        </w:pPr>
                        <w:r w:rsidRPr="0013396E">
                          <w:rPr>
                            <w:i/>
                          </w:rPr>
                          <w:t>Real-Time Energy Payment or Charge per QSE for SODGs</w:t>
                        </w:r>
                        <w:r w:rsidR="00C04382" w:rsidRPr="0013396E">
                          <w:rPr>
                            <w:i/>
                          </w:rPr>
                          <w:t>,</w:t>
                        </w:r>
                        <w:r w:rsidRPr="0013396E">
                          <w:rPr>
                            <w:i/>
                          </w:rPr>
                          <w:t xml:space="preserve"> SOTGs</w:t>
                        </w:r>
                        <w:r w:rsidR="00C04382" w:rsidRPr="0013396E">
                          <w:rPr>
                            <w:i/>
                          </w:rPr>
                          <w:t>, SODESSs, or SOTESSs</w:t>
                        </w:r>
                        <w:r w:rsidR="00E87687" w:rsidRPr="0013396E">
                          <w:rPr>
                            <w:i/>
                          </w:rPr>
                          <w:t xml:space="preserve"> </w:t>
                        </w:r>
                        <w:r w:rsidRPr="0013396E">
                          <w:t xml:space="preserve">—The payment or charge to QSE </w:t>
                        </w:r>
                        <w:r w:rsidRPr="0013396E">
                          <w:rPr>
                            <w:i/>
                          </w:rPr>
                          <w:t>q</w:t>
                        </w:r>
                        <w:r w:rsidRPr="0013396E">
                          <w:t xml:space="preserve"> for Real-Time energy from SODGs</w:t>
                        </w:r>
                        <w:r w:rsidR="00C04382" w:rsidRPr="0013396E">
                          <w:t>,</w:t>
                        </w:r>
                        <w:r w:rsidRPr="0013396E">
                          <w:t xml:space="preserve"> SOTGs</w:t>
                        </w:r>
                        <w:r w:rsidR="00C04382" w:rsidRPr="0013396E">
                          <w:t>, SODESSs, or SOTESSs</w:t>
                        </w:r>
                        <w:r w:rsidRPr="0013396E">
                          <w:t>, for the 15-minute Settlement Interval.</w:t>
                        </w:r>
                      </w:p>
                    </w:tc>
                  </w:tr>
                  <w:tr w:rsidR="00C54508" w:rsidRPr="0013396E" w14:paraId="2B1516C5" w14:textId="77777777" w:rsidTr="00F12B75">
                    <w:trPr>
                      <w:cantSplit/>
                    </w:trPr>
                    <w:tc>
                      <w:tcPr>
                        <w:tcW w:w="1314" w:type="pct"/>
                        <w:tcBorders>
                          <w:bottom w:val="single" w:sz="4" w:space="0" w:color="auto"/>
                        </w:tcBorders>
                      </w:tcPr>
                      <w:p w14:paraId="435E0EF8" w14:textId="17C9C279" w:rsidR="00C54508" w:rsidRPr="0013396E" w:rsidRDefault="00C54508" w:rsidP="00C54508">
                        <w:pPr>
                          <w:pStyle w:val="tablebody0"/>
                        </w:pPr>
                        <w:r w:rsidRPr="0013396E">
                          <w:t>RTESOAMTTOT</w:t>
                        </w:r>
                      </w:p>
                    </w:tc>
                    <w:tc>
                      <w:tcPr>
                        <w:tcW w:w="396" w:type="pct"/>
                        <w:tcBorders>
                          <w:bottom w:val="single" w:sz="4" w:space="0" w:color="auto"/>
                        </w:tcBorders>
                      </w:tcPr>
                      <w:p w14:paraId="0A7107F4" w14:textId="77777777" w:rsidR="00C54508" w:rsidRPr="0013396E" w:rsidRDefault="00C54508" w:rsidP="00C54508">
                        <w:pPr>
                          <w:pStyle w:val="tablebody0"/>
                        </w:pPr>
                        <w:r w:rsidRPr="0013396E">
                          <w:rPr>
                            <w:bCs/>
                          </w:rPr>
                          <w:t>$</w:t>
                        </w:r>
                      </w:p>
                    </w:tc>
                    <w:tc>
                      <w:tcPr>
                        <w:tcW w:w="3290" w:type="pct"/>
                        <w:tcBorders>
                          <w:bottom w:val="single" w:sz="4" w:space="0" w:color="auto"/>
                        </w:tcBorders>
                      </w:tcPr>
                      <w:p w14:paraId="2D4AD689" w14:textId="5B895707" w:rsidR="00C54508" w:rsidRPr="0013396E" w:rsidRDefault="00C54508" w:rsidP="00C54508">
                        <w:pPr>
                          <w:pStyle w:val="tablebody0"/>
                          <w:rPr>
                            <w:i/>
                          </w:rPr>
                        </w:pPr>
                        <w:r w:rsidRPr="0013396E">
                          <w:rPr>
                            <w:i/>
                          </w:rPr>
                          <w:t>Real-Time Energy Amount Total from all SODGs</w:t>
                        </w:r>
                        <w:r w:rsidR="00C04382" w:rsidRPr="0013396E">
                          <w:rPr>
                            <w:i/>
                          </w:rPr>
                          <w:t>,</w:t>
                        </w:r>
                        <w:r w:rsidRPr="0013396E">
                          <w:rPr>
                            <w:i/>
                          </w:rPr>
                          <w:t xml:space="preserve"> SOTGs</w:t>
                        </w:r>
                        <w:r w:rsidR="00C04382" w:rsidRPr="0013396E">
                          <w:rPr>
                            <w:i/>
                          </w:rPr>
                          <w:t>, SODESSs, or SOTESSs</w:t>
                        </w:r>
                        <w:r w:rsidR="00E87687" w:rsidRPr="0013396E">
                          <w:rPr>
                            <w:i/>
                          </w:rPr>
                          <w:t xml:space="preserve"> </w:t>
                        </w:r>
                        <w:r w:rsidRPr="0013396E">
                          <w:t>—The total net payments and charges to all QSEs for Real-Time energy from SODGs</w:t>
                        </w:r>
                        <w:r w:rsidR="00C04382" w:rsidRPr="0013396E">
                          <w:t>,</w:t>
                        </w:r>
                        <w:r w:rsidRPr="0013396E">
                          <w:t xml:space="preserve"> SOTGs</w:t>
                        </w:r>
                        <w:r w:rsidR="00C04382" w:rsidRPr="0013396E">
                          <w:t>, SODESSs, or SOTESSs</w:t>
                        </w:r>
                        <w:r w:rsidRPr="0013396E">
                          <w:t>, for the 15-minute Settlement Interval.</w:t>
                        </w:r>
                      </w:p>
                    </w:tc>
                  </w:tr>
                </w:tbl>
                <w:p w14:paraId="6317449A" w14:textId="77777777" w:rsidR="00C54508" w:rsidRPr="0013396E" w:rsidRDefault="00C54508" w:rsidP="00C54508">
                  <w:pPr>
                    <w:pStyle w:val="tablebody0"/>
                    <w:rPr>
                      <w:i/>
                    </w:rPr>
                  </w:pPr>
                </w:p>
              </w:tc>
            </w:tr>
          </w:tbl>
          <w:p w14:paraId="06AFC1B9" w14:textId="77777777" w:rsidR="00C54508" w:rsidRPr="0013396E" w:rsidRDefault="00C54508" w:rsidP="00AC4DEE">
            <w:pPr>
              <w:pStyle w:val="TableBody"/>
            </w:pPr>
          </w:p>
        </w:tc>
      </w:tr>
      <w:tr w:rsidR="001F04FD" w:rsidRPr="0013396E" w14:paraId="7F6C3942" w14:textId="77777777" w:rsidTr="008B66B5">
        <w:trPr>
          <w:cantSplit/>
        </w:trPr>
        <w:tc>
          <w:tcPr>
            <w:tcW w:w="1325" w:type="pct"/>
          </w:tcPr>
          <w:p w14:paraId="7C05F177" w14:textId="77777777" w:rsidR="001F04FD" w:rsidRPr="0013396E" w:rsidRDefault="001F04FD" w:rsidP="00AC4DEE">
            <w:pPr>
              <w:pStyle w:val="TableBody"/>
            </w:pPr>
            <w:r w:rsidRPr="0013396E">
              <w:t xml:space="preserve">LRS </w:t>
            </w:r>
            <w:r w:rsidRPr="0013396E">
              <w:rPr>
                <w:i/>
                <w:vertAlign w:val="subscript"/>
              </w:rPr>
              <w:t>q</w:t>
            </w:r>
          </w:p>
        </w:tc>
        <w:tc>
          <w:tcPr>
            <w:tcW w:w="329" w:type="pct"/>
          </w:tcPr>
          <w:p w14:paraId="0B0D4C42" w14:textId="77777777" w:rsidR="001F04FD" w:rsidRPr="0013396E" w:rsidRDefault="001F04FD" w:rsidP="00AC4DEE">
            <w:pPr>
              <w:pStyle w:val="TableBody"/>
            </w:pPr>
            <w:r w:rsidRPr="0013396E">
              <w:t>none</w:t>
            </w:r>
          </w:p>
        </w:tc>
        <w:tc>
          <w:tcPr>
            <w:tcW w:w="3346" w:type="pct"/>
          </w:tcPr>
          <w:p w14:paraId="1833345B" w14:textId="7D47CCEC" w:rsidR="001F04FD" w:rsidRPr="0013396E" w:rsidRDefault="001F04FD" w:rsidP="00F12B75">
            <w:pPr>
              <w:pStyle w:val="TableBody"/>
            </w:pPr>
            <w:r w:rsidRPr="0013396E">
              <w:t xml:space="preserve">The LRS calculated for QSE </w:t>
            </w:r>
            <w:r w:rsidRPr="0013396E">
              <w:rPr>
                <w:i/>
              </w:rPr>
              <w:t>q</w:t>
            </w:r>
            <w:r w:rsidRPr="0013396E">
              <w:t xml:space="preserve"> for the 15-minute Settlement Interval.  See Section 6.6.2.2.</w:t>
            </w:r>
          </w:p>
        </w:tc>
      </w:tr>
      <w:tr w:rsidR="001F04FD" w:rsidRPr="0013396E" w14:paraId="1E783409" w14:textId="77777777" w:rsidTr="008B66B5">
        <w:trPr>
          <w:cantSplit/>
        </w:trPr>
        <w:tc>
          <w:tcPr>
            <w:tcW w:w="1325" w:type="pct"/>
          </w:tcPr>
          <w:p w14:paraId="75DD8DA3" w14:textId="77777777" w:rsidR="001F04FD" w:rsidRPr="0013396E" w:rsidRDefault="001F04FD" w:rsidP="00AC4DEE">
            <w:pPr>
              <w:pStyle w:val="TableBody"/>
              <w:rPr>
                <w:i/>
              </w:rPr>
            </w:pPr>
            <w:r w:rsidRPr="0013396E">
              <w:rPr>
                <w:i/>
              </w:rPr>
              <w:t>q</w:t>
            </w:r>
          </w:p>
        </w:tc>
        <w:tc>
          <w:tcPr>
            <w:tcW w:w="329" w:type="pct"/>
          </w:tcPr>
          <w:p w14:paraId="4F8F9F60" w14:textId="77777777" w:rsidR="001F04FD" w:rsidRPr="0013396E" w:rsidRDefault="001F04FD" w:rsidP="00AC4DEE">
            <w:pPr>
              <w:pStyle w:val="TableBody"/>
              <w:rPr>
                <w:bCs/>
              </w:rPr>
            </w:pPr>
            <w:r w:rsidRPr="0013396E">
              <w:rPr>
                <w:bCs/>
              </w:rPr>
              <w:t>none</w:t>
            </w:r>
          </w:p>
        </w:tc>
        <w:tc>
          <w:tcPr>
            <w:tcW w:w="3346" w:type="pct"/>
          </w:tcPr>
          <w:p w14:paraId="53E1F4C6" w14:textId="77777777" w:rsidR="001F04FD" w:rsidRPr="0013396E" w:rsidRDefault="001F04FD" w:rsidP="00AC4DEE">
            <w:pPr>
              <w:pStyle w:val="TableBody"/>
              <w:rPr>
                <w:bCs/>
              </w:rPr>
            </w:pPr>
            <w:r w:rsidRPr="0013396E">
              <w:rPr>
                <w:bCs/>
              </w:rPr>
              <w:t>A QSE.</w:t>
            </w:r>
          </w:p>
        </w:tc>
      </w:tr>
      <w:tr w:rsidR="001F04FD" w:rsidRPr="0013396E" w14:paraId="786FED27" w14:textId="77777777" w:rsidTr="008B66B5">
        <w:trPr>
          <w:cantSplit/>
        </w:trPr>
        <w:tc>
          <w:tcPr>
            <w:tcW w:w="1325" w:type="pct"/>
            <w:tcBorders>
              <w:top w:val="single" w:sz="4" w:space="0" w:color="auto"/>
              <w:left w:val="single" w:sz="4" w:space="0" w:color="auto"/>
              <w:bottom w:val="single" w:sz="4" w:space="0" w:color="auto"/>
              <w:right w:val="single" w:sz="4" w:space="0" w:color="auto"/>
            </w:tcBorders>
          </w:tcPr>
          <w:p w14:paraId="04710A86" w14:textId="77777777" w:rsidR="001F04FD" w:rsidRPr="0013396E" w:rsidRDefault="001F04FD" w:rsidP="00AC4DEE">
            <w:pPr>
              <w:pStyle w:val="TableBody"/>
              <w:rPr>
                <w:i/>
              </w:rPr>
            </w:pPr>
            <w:r w:rsidRPr="0013396E">
              <w:rPr>
                <w:i/>
              </w:rPr>
              <w:t>o</w:t>
            </w:r>
          </w:p>
        </w:tc>
        <w:tc>
          <w:tcPr>
            <w:tcW w:w="329" w:type="pct"/>
            <w:tcBorders>
              <w:top w:val="single" w:sz="4" w:space="0" w:color="auto"/>
              <w:left w:val="single" w:sz="4" w:space="0" w:color="auto"/>
              <w:bottom w:val="single" w:sz="4" w:space="0" w:color="auto"/>
              <w:right w:val="single" w:sz="4" w:space="0" w:color="auto"/>
            </w:tcBorders>
          </w:tcPr>
          <w:p w14:paraId="7FAD7491" w14:textId="77777777" w:rsidR="001F04FD" w:rsidRPr="0013396E" w:rsidRDefault="001F04FD" w:rsidP="00AC4DEE">
            <w:pPr>
              <w:pStyle w:val="TableBody"/>
              <w:rPr>
                <w:bCs/>
              </w:rPr>
            </w:pPr>
            <w:r w:rsidRPr="0013396E">
              <w:rPr>
                <w:bCs/>
              </w:rPr>
              <w:t>none</w:t>
            </w:r>
          </w:p>
        </w:tc>
        <w:tc>
          <w:tcPr>
            <w:tcW w:w="3346" w:type="pct"/>
            <w:tcBorders>
              <w:top w:val="single" w:sz="4" w:space="0" w:color="auto"/>
              <w:left w:val="single" w:sz="4" w:space="0" w:color="auto"/>
              <w:bottom w:val="single" w:sz="4" w:space="0" w:color="auto"/>
              <w:right w:val="single" w:sz="4" w:space="0" w:color="auto"/>
            </w:tcBorders>
          </w:tcPr>
          <w:p w14:paraId="3C5DE03A" w14:textId="77777777" w:rsidR="001F04FD" w:rsidRPr="0013396E" w:rsidRDefault="001F04FD" w:rsidP="00AC4DEE">
            <w:pPr>
              <w:pStyle w:val="TableBody"/>
              <w:rPr>
                <w:bCs/>
              </w:rPr>
            </w:pPr>
            <w:r w:rsidRPr="0013396E">
              <w:rPr>
                <w:bCs/>
              </w:rPr>
              <w:t>A CRR Owner.</w:t>
            </w:r>
          </w:p>
        </w:tc>
      </w:tr>
    </w:tbl>
    <w:p w14:paraId="78E9FA6F" w14:textId="77777777" w:rsidR="001F04FD" w:rsidRPr="0013396E" w:rsidRDefault="001F04FD" w:rsidP="001F04FD">
      <w:pPr>
        <w:pStyle w:val="H3"/>
        <w:spacing w:before="480"/>
      </w:pPr>
      <w:bookmarkStart w:id="2153" w:name="_Toc164659241"/>
      <w:bookmarkStart w:id="2154" w:name="_Toc397505042"/>
      <w:bookmarkStart w:id="2155" w:name="_Toc402357174"/>
      <w:bookmarkStart w:id="2156" w:name="_Toc422486554"/>
      <w:bookmarkStart w:id="2157" w:name="_Toc433093407"/>
      <w:bookmarkStart w:id="2158" w:name="_Toc433093565"/>
      <w:bookmarkStart w:id="2159" w:name="_Toc440874795"/>
      <w:bookmarkStart w:id="2160" w:name="_Toc448142352"/>
      <w:bookmarkStart w:id="2161" w:name="_Toc448142509"/>
      <w:bookmarkStart w:id="2162" w:name="_Toc458770350"/>
      <w:bookmarkStart w:id="2163" w:name="_Toc459294318"/>
      <w:bookmarkStart w:id="2164" w:name="_Toc463262812"/>
      <w:bookmarkStart w:id="2165" w:name="_Toc468286885"/>
      <w:bookmarkStart w:id="2166" w:name="_Toc481502925"/>
      <w:bookmarkStart w:id="2167" w:name="_Toc496080093"/>
      <w:bookmarkStart w:id="2168" w:name="_Toc214879016"/>
      <w:r w:rsidRPr="0013396E">
        <w:t>6.6.11</w:t>
      </w:r>
      <w:r w:rsidRPr="0013396E">
        <w:tab/>
        <w:t>Emergency Response Service Capacity</w:t>
      </w:r>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p>
    <w:p w14:paraId="43396B89" w14:textId="77777777" w:rsidR="001F04FD" w:rsidRPr="0013396E" w:rsidRDefault="001F04FD" w:rsidP="001F04FD">
      <w:pPr>
        <w:pStyle w:val="H4"/>
        <w:ind w:left="1267" w:hanging="1267"/>
      </w:pPr>
      <w:bookmarkStart w:id="2169" w:name="_Toc397505043"/>
      <w:bookmarkStart w:id="2170" w:name="_Toc402357175"/>
      <w:bookmarkStart w:id="2171" w:name="_Toc422486555"/>
      <w:bookmarkStart w:id="2172" w:name="_Toc433093408"/>
      <w:bookmarkStart w:id="2173" w:name="_Toc433093566"/>
      <w:bookmarkStart w:id="2174" w:name="_Toc440874796"/>
      <w:bookmarkStart w:id="2175" w:name="_Toc448142353"/>
      <w:bookmarkStart w:id="2176" w:name="_Toc448142510"/>
      <w:bookmarkStart w:id="2177" w:name="_Toc458770351"/>
      <w:bookmarkStart w:id="2178" w:name="_Toc459294319"/>
      <w:bookmarkStart w:id="2179" w:name="_Toc463262813"/>
      <w:bookmarkStart w:id="2180" w:name="_Toc468286886"/>
      <w:bookmarkStart w:id="2181" w:name="_Toc481502926"/>
      <w:bookmarkStart w:id="2182" w:name="_Toc496080094"/>
      <w:bookmarkStart w:id="2183" w:name="_Toc214879017"/>
      <w:r w:rsidRPr="0013396E">
        <w:t>6.6.11.1</w:t>
      </w:r>
      <w:r w:rsidRPr="0013396E">
        <w:tab/>
        <w:t>Emergency Response Service Capacity Payments</w:t>
      </w:r>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p>
    <w:p w14:paraId="0CDF4050" w14:textId="77777777" w:rsidR="001F04FD" w:rsidRPr="0013396E" w:rsidRDefault="001F04FD" w:rsidP="001F04FD">
      <w:pPr>
        <w:pStyle w:val="BodyText"/>
        <w:ind w:left="720" w:hanging="720"/>
      </w:pPr>
      <w:r w:rsidRPr="0013396E">
        <w:t>(1)</w:t>
      </w:r>
      <w:r w:rsidRPr="0013396E">
        <w:tab/>
        <w:t>ERCOT shall pay, for each Emergency Response Service (ERS) Contract Period, the QSEs representing ERS Resources as follows:</w:t>
      </w:r>
    </w:p>
    <w:p w14:paraId="6BB2F2DC" w14:textId="77777777" w:rsidR="001F04FD" w:rsidRPr="0013396E" w:rsidRDefault="001F04FD" w:rsidP="001F04FD">
      <w:pPr>
        <w:pStyle w:val="FormulaBold"/>
        <w:rPr>
          <w:i/>
          <w:vertAlign w:val="subscript"/>
        </w:rPr>
      </w:pPr>
      <w:r w:rsidRPr="0013396E">
        <w:t>ERSPAMT </w:t>
      </w:r>
      <w:r w:rsidRPr="0013396E">
        <w:rPr>
          <w:i/>
          <w:vertAlign w:val="subscript"/>
        </w:rPr>
        <w:t>qc(tp)d</w:t>
      </w:r>
      <w:r w:rsidRPr="0013396E">
        <w:rPr>
          <w:rFonts w:ascii="Times New Roman Bold" w:hAnsi="Times New Roman Bold"/>
        </w:rPr>
        <w:t xml:space="preserve"> = COMPAMT</w:t>
      </w:r>
      <w:r w:rsidRPr="0013396E">
        <w:t> </w:t>
      </w:r>
      <w:r w:rsidRPr="0013396E">
        <w:rPr>
          <w:i/>
          <w:vertAlign w:val="subscript"/>
        </w:rPr>
        <w:t xml:space="preserve">qc(tp)d </w:t>
      </w:r>
      <w:r w:rsidRPr="0013396E">
        <w:rPr>
          <w:i/>
        </w:rPr>
        <w:t>+</w:t>
      </w:r>
      <w:r w:rsidRPr="0013396E">
        <w:rPr>
          <w:lang w:val="pt-BR"/>
        </w:rPr>
        <w:t xml:space="preserve"> SPAMT </w:t>
      </w:r>
      <w:r w:rsidRPr="0013396E">
        <w:rPr>
          <w:i/>
          <w:vertAlign w:val="subscript"/>
        </w:rPr>
        <w:t>qc(tp)d</w:t>
      </w:r>
    </w:p>
    <w:p w14:paraId="4B1BCBCC" w14:textId="77777777" w:rsidR="001F04FD" w:rsidRPr="0013396E" w:rsidRDefault="001F04FD" w:rsidP="001F04FD">
      <w:pPr>
        <w:pStyle w:val="FormulaBold"/>
        <w:rPr>
          <w:i/>
          <w:vertAlign w:val="subscript"/>
        </w:rPr>
      </w:pPr>
      <w:r w:rsidRPr="0013396E">
        <w:lastRenderedPageBreak/>
        <w:t>ERSPAMTQSETOT </w:t>
      </w:r>
      <w:r w:rsidRPr="0013396E">
        <w:rPr>
          <w:i/>
          <w:vertAlign w:val="subscript"/>
        </w:rPr>
        <w:t>qcd</w:t>
      </w:r>
      <w:r w:rsidRPr="0013396E">
        <w:rPr>
          <w:rFonts w:ascii="Times New Roman Bold" w:hAnsi="Times New Roman Bold"/>
        </w:rPr>
        <w:t xml:space="preserve"> = </w:t>
      </w:r>
      <w:r w:rsidRPr="0013396E">
        <w:rPr>
          <w:position w:val="-30"/>
        </w:rPr>
        <w:object w:dxaOrig="465" w:dyaOrig="720" w14:anchorId="0504AD39">
          <v:shape id="_x0000_i1238" type="#_x0000_t75" style="width:18.6pt;height:36pt" o:ole="">
            <v:imagedata r:id="rId303" o:title=""/>
          </v:shape>
          <o:OLEObject Type="Embed" ProgID="Equation.3" ShapeID="_x0000_i1238" DrawAspect="Content" ObjectID="_1836311516" r:id="rId304"/>
        </w:object>
      </w:r>
      <w:r w:rsidRPr="0013396E">
        <w:t>ERSPAMT </w:t>
      </w:r>
      <w:r w:rsidRPr="0013396E">
        <w:rPr>
          <w:i/>
          <w:vertAlign w:val="subscript"/>
        </w:rPr>
        <w:t>qc(tp)d</w:t>
      </w:r>
    </w:p>
    <w:p w14:paraId="04661DEA" w14:textId="77777777" w:rsidR="001F04FD" w:rsidRPr="0013396E" w:rsidRDefault="001F04FD" w:rsidP="001F04FD">
      <w:pPr>
        <w:pStyle w:val="FormulaBold"/>
        <w:rPr>
          <w:i/>
          <w:vertAlign w:val="subscript"/>
        </w:rPr>
      </w:pPr>
      <w:r w:rsidRPr="0013396E">
        <w:t>ERSPAMTTOT </w:t>
      </w:r>
      <w:r w:rsidRPr="0013396E">
        <w:rPr>
          <w:i/>
          <w:vertAlign w:val="subscript"/>
        </w:rPr>
        <w:t>c(tp)d</w:t>
      </w:r>
      <w:r w:rsidRPr="0013396E">
        <w:rPr>
          <w:rFonts w:ascii="Times New Roman Bold" w:hAnsi="Times New Roman Bold"/>
        </w:rPr>
        <w:t xml:space="preserve"> = </w:t>
      </w:r>
      <w:r w:rsidRPr="0013396E">
        <w:rPr>
          <w:position w:val="-30"/>
        </w:rPr>
        <w:object w:dxaOrig="465" w:dyaOrig="720" w14:anchorId="1F761B15">
          <v:shape id="_x0000_i1239" type="#_x0000_t75" style="width:18.6pt;height:36pt" o:ole="">
            <v:imagedata r:id="rId305" o:title=""/>
          </v:shape>
          <o:OLEObject Type="Embed" ProgID="Equation.3" ShapeID="_x0000_i1239" DrawAspect="Content" ObjectID="_1836311517" r:id="rId306"/>
        </w:object>
      </w:r>
      <w:r w:rsidRPr="0013396E">
        <w:t>ERSPAMT </w:t>
      </w:r>
      <w:r w:rsidRPr="0013396E">
        <w:rPr>
          <w:i/>
          <w:vertAlign w:val="subscript"/>
        </w:rPr>
        <w:t>qc(tp)d</w:t>
      </w:r>
    </w:p>
    <w:p w14:paraId="5C965473" w14:textId="77777777" w:rsidR="001F04FD" w:rsidRPr="0013396E" w:rsidRDefault="001F04FD" w:rsidP="001F04FD">
      <w:pPr>
        <w:pStyle w:val="BodyText"/>
      </w:pPr>
      <w:r w:rsidRPr="0013396E">
        <w:t>Where:</w:t>
      </w:r>
    </w:p>
    <w:p w14:paraId="0E32B3B2" w14:textId="77777777" w:rsidR="001F04FD" w:rsidRPr="0013396E" w:rsidRDefault="001F04FD" w:rsidP="001F04FD">
      <w:pPr>
        <w:pStyle w:val="FormulaBold"/>
        <w:rPr>
          <w:b w:val="0"/>
        </w:rPr>
      </w:pPr>
      <w:r w:rsidRPr="0013396E">
        <w:rPr>
          <w:b w:val="0"/>
        </w:rPr>
        <w:t xml:space="preserve">COMPAMT </w:t>
      </w:r>
      <w:r w:rsidRPr="0013396E">
        <w:rPr>
          <w:b w:val="0"/>
          <w:i/>
          <w:vertAlign w:val="subscript"/>
        </w:rPr>
        <w:t>qc(tp)d</w:t>
      </w:r>
      <w:r w:rsidRPr="0013396E">
        <w:rPr>
          <w:b w:val="0"/>
        </w:rPr>
        <w:t xml:space="preserve"> = -1 * ERSPRICE </w:t>
      </w:r>
      <w:r w:rsidRPr="0013396E">
        <w:rPr>
          <w:b w:val="0"/>
          <w:i/>
          <w:vertAlign w:val="subscript"/>
        </w:rPr>
        <w:t>qc(tp)d</w:t>
      </w:r>
      <w:r w:rsidRPr="0013396E">
        <w:rPr>
          <w:b w:val="0"/>
        </w:rPr>
        <w:t xml:space="preserve"> * COMPDELQSEMW </w:t>
      </w:r>
      <w:r w:rsidRPr="0013396E">
        <w:rPr>
          <w:b w:val="0"/>
          <w:i/>
          <w:vertAlign w:val="subscript"/>
        </w:rPr>
        <w:t>qcd(tp)d</w:t>
      </w:r>
      <w:r w:rsidRPr="0013396E">
        <w:rPr>
          <w:b w:val="0"/>
        </w:rPr>
        <w:t>* TPH </w:t>
      </w:r>
      <w:r w:rsidRPr="0013396E">
        <w:rPr>
          <w:b w:val="0"/>
          <w:i/>
          <w:vertAlign w:val="subscript"/>
        </w:rPr>
        <w:t>c(tp)d</w:t>
      </w:r>
    </w:p>
    <w:p w14:paraId="4A246711" w14:textId="77777777" w:rsidR="001F04FD" w:rsidRPr="0013396E" w:rsidRDefault="001F04FD" w:rsidP="001F04FD">
      <w:pPr>
        <w:pStyle w:val="FormulaBold"/>
        <w:rPr>
          <w:b w:val="0"/>
        </w:rPr>
      </w:pPr>
      <w:r w:rsidRPr="0013396E">
        <w:rPr>
          <w:b w:val="0"/>
          <w:bCs w:val="0"/>
          <w:lang w:val="pt-BR"/>
        </w:rPr>
        <w:t xml:space="preserve">SPAMT </w:t>
      </w:r>
      <w:r w:rsidRPr="0013396E">
        <w:rPr>
          <w:b w:val="0"/>
          <w:bCs w:val="0"/>
          <w:i/>
          <w:vertAlign w:val="subscript"/>
        </w:rPr>
        <w:t>qc(tp)d</w:t>
      </w:r>
      <w:r w:rsidRPr="0013396E">
        <w:rPr>
          <w:b w:val="0"/>
          <w:bCs w:val="0"/>
        </w:rPr>
        <w:t xml:space="preserve"> = -1 * (</w:t>
      </w:r>
      <w:r w:rsidRPr="0013396E">
        <w:rPr>
          <w:b w:val="0"/>
        </w:rPr>
        <w:t>ERSPRICE </w:t>
      </w:r>
      <w:r w:rsidRPr="0013396E">
        <w:rPr>
          <w:b w:val="0"/>
          <w:i/>
          <w:vertAlign w:val="subscript"/>
        </w:rPr>
        <w:t xml:space="preserve"> qc(tp)d </w:t>
      </w:r>
      <w:r w:rsidRPr="0013396E">
        <w:rPr>
          <w:b w:val="0"/>
          <w:i/>
        </w:rPr>
        <w:t xml:space="preserve">* </w:t>
      </w:r>
      <w:r w:rsidRPr="0013396E">
        <w:rPr>
          <w:b w:val="0"/>
          <w:i/>
          <w:vertAlign w:val="subscript"/>
        </w:rPr>
        <w:t xml:space="preserve"> </w:t>
      </w:r>
      <w:r w:rsidRPr="0013396E">
        <w:rPr>
          <w:b w:val="0"/>
          <w:bCs w:val="0"/>
        </w:rPr>
        <w:t xml:space="preserve">(Min(SPCUL </w:t>
      </w:r>
      <w:r w:rsidRPr="0013396E">
        <w:rPr>
          <w:b w:val="0"/>
          <w:bCs w:val="0"/>
          <w:i/>
          <w:vertAlign w:val="subscript"/>
        </w:rPr>
        <w:t>qc(tp)d,</w:t>
      </w:r>
      <w:r w:rsidRPr="0013396E">
        <w:rPr>
          <w:b w:val="0"/>
          <w:bCs w:val="0"/>
        </w:rPr>
        <w:t xml:space="preserve"> SPDELQSEMW </w:t>
      </w:r>
      <w:r w:rsidRPr="0013396E">
        <w:rPr>
          <w:b w:val="0"/>
          <w:bCs w:val="0"/>
          <w:i/>
          <w:vertAlign w:val="subscript"/>
        </w:rPr>
        <w:t>qc(tp)d</w:t>
      </w:r>
      <w:r w:rsidRPr="0013396E">
        <w:rPr>
          <w:b w:val="0"/>
          <w:bCs w:val="0"/>
        </w:rPr>
        <w:t>)</w:t>
      </w:r>
      <w:r w:rsidRPr="0013396E">
        <w:rPr>
          <w:b w:val="0"/>
          <w:bCs w:val="0"/>
          <w:i/>
        </w:rPr>
        <w:t xml:space="preserve">* </w:t>
      </w:r>
      <w:r w:rsidRPr="0013396E">
        <w:rPr>
          <w:b w:val="0"/>
          <w:bCs w:val="0"/>
        </w:rPr>
        <w:t>TPH </w:t>
      </w:r>
      <w:r w:rsidRPr="0013396E">
        <w:rPr>
          <w:b w:val="0"/>
          <w:bCs w:val="0"/>
          <w:i/>
          <w:vertAlign w:val="subscript"/>
        </w:rPr>
        <w:t>c(tp)d</w:t>
      </w:r>
      <w:r w:rsidRPr="0013396E">
        <w:rPr>
          <w:b w:val="0"/>
          <w:bCs w:val="0"/>
        </w:rPr>
        <w:t>)</w:t>
      </w:r>
    </w:p>
    <w:p w14:paraId="7192C1E0" w14:textId="68BCED3E" w:rsidR="001F04FD" w:rsidRPr="0013396E" w:rsidRDefault="001F04FD" w:rsidP="001F04FD">
      <w:pPr>
        <w:pStyle w:val="FormulaBold"/>
        <w:rPr>
          <w:b w:val="0"/>
        </w:rPr>
      </w:pPr>
      <w:r w:rsidRPr="0013396E">
        <w:rPr>
          <w:b w:val="0"/>
          <w:bCs w:val="0"/>
        </w:rPr>
        <w:t>COMPDELQSEMW </w:t>
      </w:r>
      <w:r w:rsidRPr="0013396E">
        <w:rPr>
          <w:b w:val="0"/>
          <w:bCs w:val="0"/>
          <w:i/>
          <w:vertAlign w:val="subscript"/>
        </w:rPr>
        <w:t xml:space="preserve">qc(tp)d </w:t>
      </w:r>
      <w:r w:rsidRPr="0013396E">
        <w:rPr>
          <w:b w:val="0"/>
          <w:bCs w:val="0"/>
        </w:rPr>
        <w:t xml:space="preserve"> = </w:t>
      </w:r>
      <w:r w:rsidR="00A94020" w:rsidRPr="0013396E">
        <w:rPr>
          <w:b w:val="0"/>
          <w:noProof/>
          <w:position w:val="-28"/>
        </w:rPr>
        <w:drawing>
          <wp:inline distT="0" distB="0" distL="0" distR="0" wp14:anchorId="10F9B106" wp14:editId="69CC96AA">
            <wp:extent cx="295275" cy="428625"/>
            <wp:effectExtent l="0" t="0" r="0" b="9525"/>
            <wp:docPr id="17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7" cstate="print">
                      <a:extLst>
                        <a:ext uri="{28A0092B-C50C-407E-A947-70E740481C1C}">
                          <a14:useLocalDpi xmlns:a14="http://schemas.microsoft.com/office/drawing/2010/main" val="0"/>
                        </a:ext>
                      </a:extLst>
                    </a:blip>
                    <a:srcRect/>
                    <a:stretch>
                      <a:fillRect/>
                    </a:stretch>
                  </pic:blipFill>
                  <pic:spPr bwMode="auto">
                    <a:xfrm>
                      <a:off x="0" y="0"/>
                      <a:ext cx="295275" cy="428625"/>
                    </a:xfrm>
                    <a:prstGeom prst="rect">
                      <a:avLst/>
                    </a:prstGeom>
                    <a:noFill/>
                    <a:ln>
                      <a:noFill/>
                    </a:ln>
                  </pic:spPr>
                </pic:pic>
              </a:graphicData>
            </a:graphic>
          </wp:inline>
        </w:drawing>
      </w:r>
      <w:r w:rsidRPr="0013396E">
        <w:rPr>
          <w:b w:val="0"/>
          <w:bCs w:val="0"/>
        </w:rPr>
        <w:t>COMPDELMW </w:t>
      </w:r>
      <w:r w:rsidRPr="0013396E">
        <w:rPr>
          <w:b w:val="0"/>
          <w:bCs w:val="0"/>
          <w:i/>
          <w:vertAlign w:val="subscript"/>
        </w:rPr>
        <w:t>qce(tp)d</w:t>
      </w:r>
    </w:p>
    <w:p w14:paraId="2624B240" w14:textId="77777777" w:rsidR="001F04FD" w:rsidRPr="0013396E" w:rsidRDefault="001F04FD" w:rsidP="001F04FD">
      <w:pPr>
        <w:pStyle w:val="FormulaBold"/>
        <w:rPr>
          <w:b w:val="0"/>
          <w:i/>
          <w:vertAlign w:val="subscript"/>
        </w:rPr>
      </w:pPr>
      <w:r w:rsidRPr="0013396E">
        <w:rPr>
          <w:b w:val="0"/>
        </w:rPr>
        <w:t>COMPDELMWTOT </w:t>
      </w:r>
      <w:r w:rsidRPr="0013396E">
        <w:rPr>
          <w:b w:val="0"/>
          <w:i/>
          <w:vertAlign w:val="subscript"/>
        </w:rPr>
        <w:t>c(tp)d</w:t>
      </w:r>
      <w:r w:rsidRPr="0013396E">
        <w:rPr>
          <w:b w:val="0"/>
        </w:rPr>
        <w:t xml:space="preserve"> = </w:t>
      </w:r>
      <w:r w:rsidRPr="0013396E">
        <w:rPr>
          <w:b w:val="0"/>
          <w:position w:val="-30"/>
        </w:rPr>
        <w:object w:dxaOrig="465" w:dyaOrig="705" w14:anchorId="5608F617">
          <v:shape id="_x0000_i1240" type="#_x0000_t75" style="width:18.6pt;height:36pt" o:ole="">
            <v:imagedata r:id="rId308" o:title=""/>
          </v:shape>
          <o:OLEObject Type="Embed" ProgID="Equation.3" ShapeID="_x0000_i1240" DrawAspect="Content" ObjectID="_1836311518" r:id="rId309"/>
        </w:object>
      </w:r>
      <w:r w:rsidRPr="0013396E">
        <w:rPr>
          <w:b w:val="0"/>
        </w:rPr>
        <w:t>COMPDELQSEMW </w:t>
      </w:r>
      <w:r w:rsidRPr="0013396E">
        <w:rPr>
          <w:b w:val="0"/>
          <w:i/>
          <w:vertAlign w:val="subscript"/>
        </w:rPr>
        <w:t>qc(tp)d</w:t>
      </w:r>
    </w:p>
    <w:p w14:paraId="68D70F19" w14:textId="3BC88421" w:rsidR="001F04FD" w:rsidRPr="0013396E" w:rsidRDefault="001F04FD" w:rsidP="001F04FD">
      <w:pPr>
        <w:tabs>
          <w:tab w:val="left" w:pos="2340"/>
          <w:tab w:val="left" w:pos="3420"/>
        </w:tabs>
        <w:spacing w:after="240"/>
        <w:ind w:left="3420" w:hanging="2700"/>
        <w:rPr>
          <w:bCs/>
          <w:i/>
          <w:vertAlign w:val="subscript"/>
        </w:rPr>
      </w:pPr>
      <w:r w:rsidRPr="0013396E">
        <w:rPr>
          <w:bCs/>
        </w:rPr>
        <w:t>SPDELQSEMW </w:t>
      </w:r>
      <w:r w:rsidRPr="0013396E">
        <w:rPr>
          <w:bCs/>
          <w:i/>
          <w:vertAlign w:val="subscript"/>
        </w:rPr>
        <w:t xml:space="preserve">qc(tp)d </w:t>
      </w:r>
      <w:r w:rsidRPr="0013396E">
        <w:rPr>
          <w:bCs/>
        </w:rPr>
        <w:t xml:space="preserve"> = </w:t>
      </w:r>
      <w:r w:rsidR="00A94020" w:rsidRPr="0013396E">
        <w:rPr>
          <w:noProof/>
          <w:position w:val="-28"/>
        </w:rPr>
        <w:drawing>
          <wp:inline distT="0" distB="0" distL="0" distR="0" wp14:anchorId="30D5B210" wp14:editId="5E494427">
            <wp:extent cx="295275" cy="428625"/>
            <wp:effectExtent l="0" t="0" r="0" b="9525"/>
            <wp:docPr id="17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10" cstate="print">
                      <a:extLst>
                        <a:ext uri="{28A0092B-C50C-407E-A947-70E740481C1C}">
                          <a14:useLocalDpi xmlns:a14="http://schemas.microsoft.com/office/drawing/2010/main" val="0"/>
                        </a:ext>
                      </a:extLst>
                    </a:blip>
                    <a:srcRect/>
                    <a:stretch>
                      <a:fillRect/>
                    </a:stretch>
                  </pic:blipFill>
                  <pic:spPr bwMode="auto">
                    <a:xfrm>
                      <a:off x="0" y="0"/>
                      <a:ext cx="295275" cy="428625"/>
                    </a:xfrm>
                    <a:prstGeom prst="rect">
                      <a:avLst/>
                    </a:prstGeom>
                    <a:noFill/>
                    <a:ln>
                      <a:noFill/>
                    </a:ln>
                  </pic:spPr>
                </pic:pic>
              </a:graphicData>
            </a:graphic>
          </wp:inline>
        </w:drawing>
      </w:r>
      <w:r w:rsidRPr="0013396E">
        <w:rPr>
          <w:bCs/>
        </w:rPr>
        <w:t>SPDELMW </w:t>
      </w:r>
      <w:r w:rsidRPr="0013396E">
        <w:rPr>
          <w:bCs/>
          <w:i/>
          <w:vertAlign w:val="subscript"/>
        </w:rPr>
        <w:t>qce(tp)d</w:t>
      </w:r>
    </w:p>
    <w:p w14:paraId="1D6B27B9" w14:textId="6CE78A31" w:rsidR="001F04FD" w:rsidRPr="0013396E" w:rsidRDefault="001F04FD" w:rsidP="001F04FD">
      <w:pPr>
        <w:pStyle w:val="FormulaBold"/>
        <w:rPr>
          <w:b w:val="0"/>
        </w:rPr>
      </w:pPr>
      <w:r w:rsidRPr="0013396E">
        <w:rPr>
          <w:b w:val="0"/>
          <w:bCs w:val="0"/>
        </w:rPr>
        <w:t>SPDELMWTOT </w:t>
      </w:r>
      <w:r w:rsidRPr="0013396E">
        <w:rPr>
          <w:b w:val="0"/>
          <w:bCs w:val="0"/>
          <w:i/>
          <w:vertAlign w:val="subscript"/>
        </w:rPr>
        <w:t>c(tp)d</w:t>
      </w:r>
      <w:r w:rsidRPr="0013396E">
        <w:rPr>
          <w:b w:val="0"/>
          <w:bCs w:val="0"/>
        </w:rPr>
        <w:t xml:space="preserve"> = </w:t>
      </w:r>
      <w:r w:rsidR="00A94020" w:rsidRPr="0013396E">
        <w:rPr>
          <w:b w:val="0"/>
          <w:noProof/>
          <w:position w:val="-30"/>
        </w:rPr>
        <w:drawing>
          <wp:inline distT="0" distB="0" distL="0" distR="0" wp14:anchorId="111CE443" wp14:editId="69333790">
            <wp:extent cx="295275" cy="457200"/>
            <wp:effectExtent l="0" t="0" r="0" b="0"/>
            <wp:docPr id="18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1" cstate="print">
                      <a:extLst>
                        <a:ext uri="{28A0092B-C50C-407E-A947-70E740481C1C}">
                          <a14:useLocalDpi xmlns:a14="http://schemas.microsoft.com/office/drawing/2010/main" val="0"/>
                        </a:ext>
                      </a:extLst>
                    </a:blip>
                    <a:srcRect/>
                    <a:stretch>
                      <a:fillRect/>
                    </a:stretch>
                  </pic:blipFill>
                  <pic:spPr bwMode="auto">
                    <a:xfrm>
                      <a:off x="0" y="0"/>
                      <a:ext cx="295275" cy="457200"/>
                    </a:xfrm>
                    <a:prstGeom prst="rect">
                      <a:avLst/>
                    </a:prstGeom>
                    <a:noFill/>
                    <a:ln>
                      <a:noFill/>
                    </a:ln>
                  </pic:spPr>
                </pic:pic>
              </a:graphicData>
            </a:graphic>
          </wp:inline>
        </w:drawing>
      </w:r>
      <w:r w:rsidRPr="0013396E">
        <w:rPr>
          <w:b w:val="0"/>
          <w:bCs w:val="0"/>
        </w:rPr>
        <w:t xml:space="preserve"> SPDELQSEMW </w:t>
      </w:r>
      <w:r w:rsidRPr="0013396E">
        <w:rPr>
          <w:b w:val="0"/>
          <w:bCs w:val="0"/>
          <w:i/>
          <w:vertAlign w:val="subscript"/>
        </w:rPr>
        <w:t>qc(tp)d</w:t>
      </w:r>
    </w:p>
    <w:p w14:paraId="32DF9E6D" w14:textId="77777777" w:rsidR="001F04FD" w:rsidRPr="0013396E" w:rsidRDefault="001F04FD" w:rsidP="001F04FD">
      <w:pPr>
        <w:tabs>
          <w:tab w:val="left" w:pos="2250"/>
          <w:tab w:val="left" w:pos="3150"/>
          <w:tab w:val="left" w:pos="3960"/>
        </w:tabs>
        <w:spacing w:after="240"/>
        <w:ind w:left="3960" w:hanging="3240"/>
        <w:rPr>
          <w:rFonts w:ascii="Times New Roman Bold" w:hAnsi="Times New Roman Bold"/>
          <w:bCs/>
        </w:rPr>
      </w:pPr>
      <w:r w:rsidRPr="0013396E">
        <w:rPr>
          <w:bCs/>
        </w:rPr>
        <w:t>COMPDELMW </w:t>
      </w:r>
      <w:r w:rsidRPr="0013396E">
        <w:rPr>
          <w:bCs/>
          <w:i/>
          <w:vertAlign w:val="subscript"/>
        </w:rPr>
        <w:t>qce(tp)d</w:t>
      </w:r>
      <w:r w:rsidRPr="0013396E">
        <w:rPr>
          <w:bCs/>
        </w:rPr>
        <w:t xml:space="preserve"> = ERSTESTPF </w:t>
      </w:r>
      <w:r w:rsidRPr="0013396E">
        <w:rPr>
          <w:bCs/>
          <w:i/>
          <w:vertAlign w:val="subscript"/>
        </w:rPr>
        <w:t>qred</w:t>
      </w:r>
      <w:r w:rsidRPr="0013396E">
        <w:rPr>
          <w:bCs/>
        </w:rPr>
        <w:t xml:space="preserve"> * COMPOFFERMW </w:t>
      </w:r>
      <w:r w:rsidRPr="0013396E">
        <w:rPr>
          <w:bCs/>
          <w:i/>
          <w:vertAlign w:val="subscript"/>
        </w:rPr>
        <w:t>qce(tp)d</w:t>
      </w:r>
      <w:r w:rsidRPr="0013396E">
        <w:rPr>
          <w:bCs/>
        </w:rPr>
        <w:t xml:space="preserve"> * </w:t>
      </w:r>
      <w:r w:rsidRPr="0013396E">
        <w:t xml:space="preserve">(ERSAFWT </w:t>
      </w:r>
      <w:r w:rsidRPr="0013396E">
        <w:rPr>
          <w:bCs/>
          <w:i/>
          <w:vertAlign w:val="subscript"/>
        </w:rPr>
        <w:t>qc</w:t>
      </w:r>
      <w:r w:rsidRPr="0013396E">
        <w:rPr>
          <w:i/>
          <w:vertAlign w:val="subscript"/>
        </w:rPr>
        <w:t xml:space="preserve">d </w:t>
      </w:r>
      <w:r w:rsidRPr="0013396E">
        <w:t xml:space="preserve">* Min (ERSAFCOMB </w:t>
      </w:r>
      <w:r w:rsidRPr="0013396E">
        <w:rPr>
          <w:bCs/>
          <w:i/>
          <w:vertAlign w:val="subscript"/>
        </w:rPr>
        <w:t>qrd</w:t>
      </w:r>
      <w:r w:rsidRPr="0013396E">
        <w:rPr>
          <w:bCs/>
        </w:rPr>
        <w:t>,1) + (</w:t>
      </w:r>
      <w:r w:rsidRPr="0013396E">
        <w:t>1</w:t>
      </w:r>
      <w:r w:rsidRPr="0013396E">
        <w:rPr>
          <w:bCs/>
        </w:rPr>
        <w:t xml:space="preserve"> - </w:t>
      </w:r>
      <w:r w:rsidRPr="0013396E">
        <w:t xml:space="preserve">ERSAFWT </w:t>
      </w:r>
      <w:r w:rsidRPr="0013396E">
        <w:rPr>
          <w:bCs/>
          <w:i/>
          <w:vertAlign w:val="subscript"/>
        </w:rPr>
        <w:t>qcd</w:t>
      </w:r>
      <w:r w:rsidRPr="0013396E">
        <w:rPr>
          <w:bCs/>
        </w:rPr>
        <w:t xml:space="preserve">) * Min (ERSEPF </w:t>
      </w:r>
      <w:r w:rsidRPr="0013396E">
        <w:rPr>
          <w:bCs/>
          <w:i/>
          <w:vertAlign w:val="subscript"/>
        </w:rPr>
        <w:t>qrd</w:t>
      </w:r>
      <w:r w:rsidRPr="0013396E">
        <w:rPr>
          <w:bCs/>
        </w:rPr>
        <w:t>,1))</w:t>
      </w:r>
    </w:p>
    <w:p w14:paraId="47CD9A9B" w14:textId="77777777" w:rsidR="001F04FD" w:rsidRPr="0013396E" w:rsidRDefault="001F04FD" w:rsidP="001F04FD">
      <w:pPr>
        <w:pStyle w:val="FormulaBold"/>
        <w:rPr>
          <w:b w:val="0"/>
        </w:rPr>
      </w:pPr>
      <w:r w:rsidRPr="0013396E">
        <w:rPr>
          <w:b w:val="0"/>
          <w:bCs w:val="0"/>
        </w:rPr>
        <w:t>SPDELMW </w:t>
      </w:r>
      <w:r w:rsidRPr="0013396E">
        <w:rPr>
          <w:b w:val="0"/>
          <w:bCs w:val="0"/>
          <w:i/>
          <w:vertAlign w:val="subscript"/>
        </w:rPr>
        <w:t xml:space="preserve">qc(tp)d </w:t>
      </w:r>
      <w:r w:rsidRPr="0013396E">
        <w:rPr>
          <w:b w:val="0"/>
          <w:bCs w:val="0"/>
        </w:rPr>
        <w:t xml:space="preserve">= ERSTESTPF </w:t>
      </w:r>
      <w:r w:rsidRPr="0013396E">
        <w:rPr>
          <w:b w:val="0"/>
          <w:bCs w:val="0"/>
          <w:i/>
          <w:vertAlign w:val="subscript"/>
        </w:rPr>
        <w:t>qre</w:t>
      </w:r>
      <w:r w:rsidRPr="0013396E">
        <w:rPr>
          <w:b w:val="0"/>
          <w:i/>
          <w:vertAlign w:val="subscript"/>
        </w:rPr>
        <w:t>d</w:t>
      </w:r>
      <w:r w:rsidRPr="0013396E">
        <w:rPr>
          <w:b w:val="0"/>
          <w:bCs w:val="0"/>
        </w:rPr>
        <w:t xml:space="preserve"> * SPOFFERMW </w:t>
      </w:r>
      <w:r w:rsidRPr="0013396E">
        <w:rPr>
          <w:b w:val="0"/>
          <w:bCs w:val="0"/>
          <w:i/>
          <w:vertAlign w:val="subscript"/>
        </w:rPr>
        <w:t>qce(tp)d</w:t>
      </w:r>
      <w:r w:rsidRPr="0013396E">
        <w:rPr>
          <w:b w:val="0"/>
          <w:bCs w:val="0"/>
        </w:rPr>
        <w:t xml:space="preserve"> * </w:t>
      </w:r>
      <w:r w:rsidRPr="0013396E">
        <w:rPr>
          <w:b w:val="0"/>
        </w:rPr>
        <w:t xml:space="preserve">(ERSAFWT </w:t>
      </w:r>
      <w:r w:rsidRPr="0013396E">
        <w:rPr>
          <w:b w:val="0"/>
          <w:bCs w:val="0"/>
          <w:i/>
          <w:vertAlign w:val="subscript"/>
        </w:rPr>
        <w:t>qcd</w:t>
      </w:r>
      <w:r w:rsidRPr="0013396E">
        <w:rPr>
          <w:b w:val="0"/>
          <w:bCs w:val="0"/>
        </w:rPr>
        <w:t xml:space="preserve"> </w:t>
      </w:r>
      <w:r w:rsidRPr="0013396E">
        <w:rPr>
          <w:b w:val="0"/>
        </w:rPr>
        <w:t xml:space="preserve">* Min(ERSAFCOMB </w:t>
      </w:r>
      <w:r w:rsidRPr="0013396E">
        <w:rPr>
          <w:b w:val="0"/>
          <w:bCs w:val="0"/>
          <w:i/>
          <w:vertAlign w:val="subscript"/>
        </w:rPr>
        <w:t>qrd</w:t>
      </w:r>
      <w:r w:rsidRPr="0013396E">
        <w:rPr>
          <w:b w:val="0"/>
          <w:bCs w:val="0"/>
        </w:rPr>
        <w:t>,1) +</w:t>
      </w:r>
      <w:r w:rsidRPr="0013396E">
        <w:rPr>
          <w:b w:val="0"/>
        </w:rPr>
        <w:t xml:space="preserve"> (1 – ERSAFWT </w:t>
      </w:r>
      <w:r w:rsidRPr="0013396E">
        <w:rPr>
          <w:b w:val="0"/>
          <w:bCs w:val="0"/>
          <w:i/>
          <w:vertAlign w:val="subscript"/>
        </w:rPr>
        <w:t>qcd</w:t>
      </w:r>
      <w:r w:rsidRPr="0013396E">
        <w:rPr>
          <w:b w:val="0"/>
          <w:bCs w:val="0"/>
        </w:rPr>
        <w:t>) * Min(</w:t>
      </w:r>
      <w:r w:rsidRPr="0013396E">
        <w:rPr>
          <w:b w:val="0"/>
        </w:rPr>
        <w:t xml:space="preserve">ERSEPF </w:t>
      </w:r>
      <w:r w:rsidRPr="0013396E">
        <w:rPr>
          <w:b w:val="0"/>
          <w:bCs w:val="0"/>
          <w:i/>
          <w:vertAlign w:val="subscript"/>
        </w:rPr>
        <w:t>qrd</w:t>
      </w:r>
      <w:r w:rsidRPr="0013396E">
        <w:rPr>
          <w:b w:val="0"/>
          <w:bCs w:val="0"/>
        </w:rPr>
        <w:t>,1))</w:t>
      </w:r>
      <w:r w:rsidRPr="0013396E">
        <w:rPr>
          <w:b w:val="0"/>
        </w:rPr>
        <w:t xml:space="preserve"> </w:t>
      </w:r>
    </w:p>
    <w:p w14:paraId="35B11270" w14:textId="77777777" w:rsidR="001F04FD" w:rsidRPr="0013396E" w:rsidRDefault="001F04FD" w:rsidP="001F04FD">
      <w:pPr>
        <w:pStyle w:val="List"/>
        <w:ind w:left="720" w:firstLine="0"/>
      </w:pPr>
      <w:r w:rsidRPr="0013396E">
        <w:t>The ERS Self-Provision Capacity Upper Limit</w:t>
      </w:r>
      <w:r w:rsidRPr="0013396E" w:rsidDel="009C4A0B">
        <w:t xml:space="preserve"> </w:t>
      </w:r>
      <w:r w:rsidRPr="0013396E">
        <w:t>for each self-providing QSE shall be calculated by ERCOT using a two-pass process for each of the four ERS service types.  The first pass will consist of simultaneously solving for all QSEs’ ERS Self-Provision Capacity Upper Limits with the constraint that each QSE’s ERS Self-Provision Capacity Upper Limit</w:t>
      </w:r>
      <w:r w:rsidRPr="0013396E" w:rsidDel="009C4A0B">
        <w:t xml:space="preserve"> </w:t>
      </w:r>
      <w:r w:rsidRPr="0013396E">
        <w:t>will equal its LRS multiplied by the total capacity awarded for competitive offers, plus the sum of all QSEs’ ERS Self-Provision Capacity Upper Limits.  The second pass will repeat the solution of the equations with a QSE’s delivered self-provided MW capacity (adjusted for availability and/or event performance) substituted for the ERS Self-Provision Capacity Upper Limit if the delivered MW capacity is less than the first pass calculation of the ERS Self-Provision Capacity Upper Limit.</w:t>
      </w:r>
    </w:p>
    <w:p w14:paraId="651D1C44" w14:textId="77777777" w:rsidR="001F04FD" w:rsidRPr="0013396E" w:rsidRDefault="001F04FD" w:rsidP="001F04FD">
      <w:pPr>
        <w:pStyle w:val="List"/>
        <w:ind w:left="2880" w:hanging="2160"/>
      </w:pPr>
      <w:r w:rsidRPr="0013396E">
        <w:t>Pass 1:</w:t>
      </w:r>
    </w:p>
    <w:p w14:paraId="28D244C8" w14:textId="77777777" w:rsidR="001F04FD" w:rsidRPr="0013396E" w:rsidRDefault="001F04FD" w:rsidP="001F04FD">
      <w:pPr>
        <w:pStyle w:val="List"/>
        <w:ind w:left="2880" w:hanging="1440"/>
      </w:pPr>
      <w:r w:rsidRPr="0013396E">
        <w:lastRenderedPageBreak/>
        <w:t>For QSE 1:</w:t>
      </w:r>
    </w:p>
    <w:p w14:paraId="25A56B99" w14:textId="77777777" w:rsidR="001F04FD" w:rsidRPr="0013396E" w:rsidRDefault="001F04FD" w:rsidP="001F04FD">
      <w:pPr>
        <w:pStyle w:val="FormulaBold"/>
      </w:pPr>
      <w:r w:rsidRPr="0013396E">
        <w:t>SPCUL</w:t>
      </w:r>
      <w:r w:rsidRPr="0013396E">
        <w:rPr>
          <w:vertAlign w:val="subscript"/>
        </w:rPr>
        <w:t xml:space="preserve"> </w:t>
      </w:r>
      <w:r w:rsidRPr="0013396E">
        <w:rPr>
          <w:i/>
          <w:vertAlign w:val="subscript"/>
        </w:rPr>
        <w:t>1c(tp)d</w:t>
      </w:r>
      <w:r w:rsidRPr="0013396E">
        <w:rPr>
          <w:vertAlign w:val="subscript"/>
        </w:rPr>
        <w:t xml:space="preserve"> </w:t>
      </w:r>
      <w:r w:rsidRPr="0013396E">
        <w:t>= ERSLRS </w:t>
      </w:r>
      <w:r w:rsidRPr="0013396E">
        <w:rPr>
          <w:i/>
          <w:vertAlign w:val="subscript"/>
        </w:rPr>
        <w:t>1c(tp)d</w:t>
      </w:r>
      <w:r w:rsidRPr="0013396E">
        <w:t xml:space="preserve"> * (COMPDELMWTOT </w:t>
      </w:r>
      <w:r w:rsidRPr="0013396E">
        <w:rPr>
          <w:i/>
          <w:vertAlign w:val="subscript"/>
        </w:rPr>
        <w:t>c(tp)d</w:t>
      </w:r>
      <w:r w:rsidRPr="0013396E">
        <w:t xml:space="preserve"> + SPCUL </w:t>
      </w:r>
      <w:r w:rsidRPr="0013396E">
        <w:rPr>
          <w:i/>
          <w:vertAlign w:val="subscript"/>
        </w:rPr>
        <w:t>1c(tp)d</w:t>
      </w:r>
      <w:r w:rsidRPr="0013396E">
        <w:t xml:space="preserve"> + SPCUL </w:t>
      </w:r>
      <w:r w:rsidRPr="0013396E">
        <w:rPr>
          <w:i/>
          <w:vertAlign w:val="subscript"/>
        </w:rPr>
        <w:t>2c(tp)d</w:t>
      </w:r>
      <w:r w:rsidRPr="0013396E">
        <w:rPr>
          <w:vertAlign w:val="subscript"/>
        </w:rPr>
        <w:t xml:space="preserve"> </w:t>
      </w:r>
      <w:r w:rsidRPr="0013396E">
        <w:t>+ … + SPCUL</w:t>
      </w:r>
      <w:r w:rsidRPr="0013396E">
        <w:rPr>
          <w:vertAlign w:val="subscript"/>
        </w:rPr>
        <w:t xml:space="preserve"> </w:t>
      </w:r>
      <w:r w:rsidRPr="0013396E">
        <w:rPr>
          <w:i/>
          <w:vertAlign w:val="subscript"/>
        </w:rPr>
        <w:t>nc(tp)d</w:t>
      </w:r>
      <w:r w:rsidRPr="0013396E">
        <w:t>)</w:t>
      </w:r>
    </w:p>
    <w:p w14:paraId="561D963C" w14:textId="77777777" w:rsidR="001F04FD" w:rsidRPr="0013396E" w:rsidRDefault="001F04FD" w:rsidP="001F04FD">
      <w:pPr>
        <w:pStyle w:val="BodyText"/>
        <w:ind w:left="720" w:firstLine="720"/>
      </w:pPr>
      <w:r w:rsidRPr="0013396E">
        <w:t>For QSE 2:</w:t>
      </w:r>
    </w:p>
    <w:p w14:paraId="48196AD7" w14:textId="77777777" w:rsidR="001F04FD" w:rsidRPr="0013396E" w:rsidRDefault="001F04FD" w:rsidP="001F04FD">
      <w:pPr>
        <w:pStyle w:val="FormulaBold"/>
      </w:pPr>
      <w:r w:rsidRPr="0013396E">
        <w:t>SPCUL</w:t>
      </w:r>
      <w:r w:rsidRPr="0013396E">
        <w:rPr>
          <w:vertAlign w:val="subscript"/>
        </w:rPr>
        <w:t xml:space="preserve"> </w:t>
      </w:r>
      <w:r w:rsidRPr="0013396E">
        <w:rPr>
          <w:i/>
          <w:vertAlign w:val="subscript"/>
        </w:rPr>
        <w:t>2c(tp)d</w:t>
      </w:r>
      <w:r w:rsidRPr="0013396E">
        <w:rPr>
          <w:vertAlign w:val="subscript"/>
        </w:rPr>
        <w:t xml:space="preserve"> </w:t>
      </w:r>
      <w:r w:rsidRPr="0013396E">
        <w:t>= ERSLRS </w:t>
      </w:r>
      <w:r w:rsidRPr="0013396E">
        <w:rPr>
          <w:i/>
          <w:vertAlign w:val="subscript"/>
        </w:rPr>
        <w:t>2c(tp)d</w:t>
      </w:r>
      <w:r w:rsidRPr="0013396E">
        <w:t xml:space="preserve"> * (COMPDELMWTOT </w:t>
      </w:r>
      <w:r w:rsidRPr="0013396E">
        <w:rPr>
          <w:i/>
          <w:vertAlign w:val="subscript"/>
        </w:rPr>
        <w:t>c(tp)d</w:t>
      </w:r>
      <w:r w:rsidRPr="0013396E">
        <w:t xml:space="preserve"> + SPCUL </w:t>
      </w:r>
      <w:r w:rsidRPr="0013396E">
        <w:rPr>
          <w:i/>
          <w:vertAlign w:val="subscript"/>
        </w:rPr>
        <w:t>1c(tp)d</w:t>
      </w:r>
      <w:r w:rsidRPr="0013396E">
        <w:t xml:space="preserve"> + SPCUL </w:t>
      </w:r>
      <w:r w:rsidRPr="0013396E">
        <w:rPr>
          <w:i/>
          <w:vertAlign w:val="subscript"/>
        </w:rPr>
        <w:t>2c(tp)d</w:t>
      </w:r>
      <w:r w:rsidRPr="0013396E">
        <w:rPr>
          <w:vertAlign w:val="subscript"/>
        </w:rPr>
        <w:t xml:space="preserve"> </w:t>
      </w:r>
      <w:r w:rsidRPr="0013396E">
        <w:t>+ … + SPCUL</w:t>
      </w:r>
      <w:r w:rsidRPr="0013396E">
        <w:rPr>
          <w:vertAlign w:val="subscript"/>
        </w:rPr>
        <w:t xml:space="preserve"> </w:t>
      </w:r>
      <w:r w:rsidRPr="0013396E">
        <w:rPr>
          <w:i/>
          <w:vertAlign w:val="subscript"/>
        </w:rPr>
        <w:t>nc(tp)d</w:t>
      </w:r>
      <w:r w:rsidRPr="0013396E">
        <w:t>)</w:t>
      </w:r>
    </w:p>
    <w:p w14:paraId="12249B4A" w14:textId="77777777" w:rsidR="001F04FD" w:rsidRPr="0013396E" w:rsidRDefault="001F04FD" w:rsidP="001F04FD">
      <w:pPr>
        <w:pStyle w:val="FormulaBold"/>
      </w:pPr>
      <w:r w:rsidRPr="0013396E">
        <w:t>…</w:t>
      </w:r>
    </w:p>
    <w:p w14:paraId="21662FEA" w14:textId="77777777" w:rsidR="001F04FD" w:rsidRPr="0013396E" w:rsidRDefault="001F04FD" w:rsidP="001F04FD">
      <w:pPr>
        <w:pStyle w:val="BodyText"/>
        <w:ind w:left="720" w:firstLine="720"/>
      </w:pPr>
      <w:r w:rsidRPr="0013396E">
        <w:t>For QSE n:</w:t>
      </w:r>
    </w:p>
    <w:p w14:paraId="6848E92A" w14:textId="77777777" w:rsidR="001F04FD" w:rsidRPr="0013396E" w:rsidRDefault="001F04FD" w:rsidP="001F04FD">
      <w:pPr>
        <w:pStyle w:val="FormulaBold"/>
      </w:pPr>
      <w:r w:rsidRPr="0013396E">
        <w:t>SPCUL</w:t>
      </w:r>
      <w:r w:rsidRPr="0013396E">
        <w:rPr>
          <w:vertAlign w:val="subscript"/>
        </w:rPr>
        <w:t xml:space="preserve"> </w:t>
      </w:r>
      <w:r w:rsidRPr="0013396E">
        <w:rPr>
          <w:i/>
          <w:vertAlign w:val="subscript"/>
        </w:rPr>
        <w:t>nc(tp)d</w:t>
      </w:r>
      <w:r w:rsidRPr="0013396E">
        <w:rPr>
          <w:vertAlign w:val="subscript"/>
        </w:rPr>
        <w:t xml:space="preserve"> </w:t>
      </w:r>
      <w:r w:rsidRPr="0013396E">
        <w:t>= ERSLRS </w:t>
      </w:r>
      <w:r w:rsidRPr="0013396E">
        <w:rPr>
          <w:i/>
          <w:vertAlign w:val="subscript"/>
        </w:rPr>
        <w:t>nc(tp)d</w:t>
      </w:r>
      <w:r w:rsidRPr="0013396E">
        <w:t xml:space="preserve"> * (COMPDELMWTOT </w:t>
      </w:r>
      <w:r w:rsidRPr="0013396E">
        <w:rPr>
          <w:i/>
          <w:vertAlign w:val="subscript"/>
        </w:rPr>
        <w:t>c(tp)d</w:t>
      </w:r>
      <w:r w:rsidRPr="0013396E">
        <w:t xml:space="preserve"> + SPCUL </w:t>
      </w:r>
      <w:r w:rsidRPr="0013396E">
        <w:rPr>
          <w:i/>
          <w:vertAlign w:val="subscript"/>
        </w:rPr>
        <w:t>1c(tp)d</w:t>
      </w:r>
      <w:r w:rsidRPr="0013396E">
        <w:t xml:space="preserve"> + SPCUL </w:t>
      </w:r>
      <w:r w:rsidRPr="0013396E">
        <w:rPr>
          <w:i/>
          <w:vertAlign w:val="subscript"/>
        </w:rPr>
        <w:t>2c(tp)d</w:t>
      </w:r>
      <w:r w:rsidRPr="0013396E">
        <w:rPr>
          <w:vertAlign w:val="subscript"/>
        </w:rPr>
        <w:t xml:space="preserve"> </w:t>
      </w:r>
      <w:r w:rsidRPr="0013396E">
        <w:t>+ … + SPCUL</w:t>
      </w:r>
      <w:r w:rsidRPr="0013396E">
        <w:rPr>
          <w:vertAlign w:val="subscript"/>
        </w:rPr>
        <w:t xml:space="preserve"> </w:t>
      </w:r>
      <w:r w:rsidRPr="0013396E">
        <w:rPr>
          <w:i/>
          <w:vertAlign w:val="subscript"/>
        </w:rPr>
        <w:t>nc(tp)d</w:t>
      </w:r>
      <w:r w:rsidRPr="0013396E">
        <w:t>)</w:t>
      </w:r>
    </w:p>
    <w:p w14:paraId="5025E332" w14:textId="77777777" w:rsidR="001F04FD" w:rsidRPr="0013396E" w:rsidRDefault="001F04FD" w:rsidP="001F04FD">
      <w:pPr>
        <w:pStyle w:val="List"/>
        <w:ind w:left="2880" w:hanging="2160"/>
      </w:pPr>
      <w:r w:rsidRPr="0013396E">
        <w:t>Pass 2:</w:t>
      </w:r>
    </w:p>
    <w:p w14:paraId="5889E76E" w14:textId="77777777" w:rsidR="001F04FD" w:rsidRPr="0013396E" w:rsidRDefault="001F04FD" w:rsidP="001F04FD">
      <w:pPr>
        <w:pStyle w:val="BodyText"/>
        <w:ind w:left="720" w:firstLine="720"/>
      </w:pPr>
      <w:r w:rsidRPr="0013396E">
        <w:t>For QSE 1:</w:t>
      </w:r>
    </w:p>
    <w:p w14:paraId="3D8040E0" w14:textId="77777777" w:rsidR="001F04FD" w:rsidRPr="0013396E" w:rsidRDefault="001F04FD" w:rsidP="001F04FD">
      <w:pPr>
        <w:pStyle w:val="FormulaBold"/>
      </w:pPr>
      <w:r w:rsidRPr="0013396E">
        <w:t>SPCUL</w:t>
      </w:r>
      <w:r w:rsidRPr="0013396E">
        <w:rPr>
          <w:vertAlign w:val="subscript"/>
        </w:rPr>
        <w:t xml:space="preserve"> </w:t>
      </w:r>
      <w:r w:rsidRPr="0013396E">
        <w:rPr>
          <w:i/>
          <w:vertAlign w:val="subscript"/>
        </w:rPr>
        <w:t>1c(tp)d</w:t>
      </w:r>
      <w:r w:rsidRPr="0013396E">
        <w:rPr>
          <w:vertAlign w:val="subscript"/>
        </w:rPr>
        <w:t xml:space="preserve"> </w:t>
      </w:r>
      <w:r w:rsidRPr="0013396E">
        <w:t>= ERSLRS </w:t>
      </w:r>
      <w:r w:rsidRPr="0013396E">
        <w:rPr>
          <w:i/>
          <w:vertAlign w:val="subscript"/>
        </w:rPr>
        <w:t>1c(tp)d</w:t>
      </w:r>
      <w:r w:rsidRPr="0013396E">
        <w:t xml:space="preserve"> * (COMPDELMWTOT </w:t>
      </w:r>
      <w:r w:rsidRPr="0013396E">
        <w:rPr>
          <w:i/>
          <w:vertAlign w:val="subscript"/>
        </w:rPr>
        <w:t>c(tp)d</w:t>
      </w:r>
      <w:r w:rsidRPr="0013396E">
        <w:t xml:space="preserve"> +</w:t>
      </w:r>
    </w:p>
    <w:p w14:paraId="7C45AA03" w14:textId="77777777" w:rsidR="001F04FD" w:rsidRPr="0013396E" w:rsidRDefault="001F04FD" w:rsidP="001F04FD">
      <w:pPr>
        <w:pStyle w:val="FormulaBold"/>
      </w:pPr>
      <w:r w:rsidRPr="0013396E">
        <w:t>Min(SPDELMW</w:t>
      </w:r>
      <w:r w:rsidRPr="0013396E">
        <w:rPr>
          <w:i/>
          <w:vertAlign w:val="subscript"/>
        </w:rPr>
        <w:t xml:space="preserve"> 1c(tp</w:t>
      </w:r>
      <w:r w:rsidRPr="0013396E">
        <w:rPr>
          <w:rFonts w:ascii="Times New Roman Bold" w:hAnsi="Times New Roman Bold"/>
          <w:i/>
          <w:vertAlign w:val="subscript"/>
        </w:rPr>
        <w:t>)d</w:t>
      </w:r>
      <w:r w:rsidRPr="0013396E">
        <w:rPr>
          <w:rFonts w:ascii="Times New Roman Bold" w:hAnsi="Times New Roman Bold"/>
          <w:i/>
        </w:rPr>
        <w:t>,</w:t>
      </w:r>
      <w:r w:rsidRPr="0013396E">
        <w:t>SPCUL </w:t>
      </w:r>
      <w:r w:rsidRPr="0013396E">
        <w:rPr>
          <w:i/>
          <w:vertAlign w:val="subscript"/>
        </w:rPr>
        <w:t>1c(tp)d</w:t>
      </w:r>
      <w:r w:rsidRPr="0013396E">
        <w:t>) +</w:t>
      </w:r>
    </w:p>
    <w:p w14:paraId="179830B9" w14:textId="77777777" w:rsidR="001F04FD" w:rsidRPr="0013396E" w:rsidRDefault="001F04FD" w:rsidP="001F04FD">
      <w:pPr>
        <w:pStyle w:val="FormulaBold"/>
        <w:rPr>
          <w:vertAlign w:val="subscript"/>
        </w:rPr>
      </w:pPr>
      <w:r w:rsidRPr="0013396E">
        <w:t>Min(SPDELMW</w:t>
      </w:r>
      <w:r w:rsidRPr="0013396E">
        <w:rPr>
          <w:i/>
          <w:vertAlign w:val="subscript"/>
        </w:rPr>
        <w:t xml:space="preserve"> 2c(tp</w:t>
      </w:r>
      <w:r w:rsidRPr="0013396E">
        <w:rPr>
          <w:rFonts w:ascii="Times New Roman Bold" w:hAnsi="Times New Roman Bold"/>
          <w:i/>
          <w:vertAlign w:val="subscript"/>
        </w:rPr>
        <w:t>)</w:t>
      </w:r>
      <w:r w:rsidRPr="0013396E">
        <w:rPr>
          <w:i/>
          <w:vertAlign w:val="subscript"/>
        </w:rPr>
        <w:t>d</w:t>
      </w:r>
      <w:r w:rsidRPr="0013396E">
        <w:rPr>
          <w:rFonts w:ascii="Times New Roman Bold" w:hAnsi="Times New Roman Bold"/>
          <w:i/>
        </w:rPr>
        <w:t>,</w:t>
      </w:r>
      <w:r w:rsidRPr="0013396E">
        <w:t>SPCUL </w:t>
      </w:r>
      <w:r w:rsidRPr="0013396E">
        <w:rPr>
          <w:i/>
          <w:vertAlign w:val="subscript"/>
        </w:rPr>
        <w:t>2c(tp)d</w:t>
      </w:r>
      <w:r w:rsidRPr="0013396E">
        <w:t>)</w:t>
      </w:r>
    </w:p>
    <w:p w14:paraId="4491F7F5" w14:textId="77777777" w:rsidR="001F04FD" w:rsidRPr="0013396E" w:rsidRDefault="001F04FD" w:rsidP="001F04FD">
      <w:pPr>
        <w:pStyle w:val="FormulaBold"/>
        <w:rPr>
          <w:lang w:val="fr-FR"/>
        </w:rPr>
      </w:pPr>
      <w:r w:rsidRPr="0013396E">
        <w:rPr>
          <w:lang w:val="fr-FR"/>
        </w:rPr>
        <w:t>+ … + Min(SPDELMW</w:t>
      </w:r>
      <w:r w:rsidRPr="0013396E">
        <w:rPr>
          <w:i/>
          <w:vertAlign w:val="subscript"/>
          <w:lang w:val="fr-FR"/>
        </w:rPr>
        <w:t xml:space="preserve"> nc(tp</w:t>
      </w:r>
      <w:r w:rsidRPr="0013396E">
        <w:rPr>
          <w:rFonts w:ascii="Times New Roman Bold" w:hAnsi="Times New Roman Bold"/>
          <w:i/>
          <w:vertAlign w:val="subscript"/>
          <w:lang w:val="fr-FR"/>
        </w:rPr>
        <w:t>)</w:t>
      </w:r>
      <w:r w:rsidRPr="0013396E">
        <w:rPr>
          <w:i/>
          <w:vertAlign w:val="subscript"/>
        </w:rPr>
        <w:t>d</w:t>
      </w:r>
      <w:r w:rsidRPr="0013396E">
        <w:rPr>
          <w:rFonts w:ascii="Times New Roman Bold" w:hAnsi="Times New Roman Bold"/>
          <w:i/>
          <w:lang w:val="fr-FR"/>
        </w:rPr>
        <w:t>,</w:t>
      </w:r>
      <w:r w:rsidRPr="0013396E">
        <w:rPr>
          <w:lang w:val="fr-FR"/>
        </w:rPr>
        <w:t>SPCUL </w:t>
      </w:r>
      <w:r w:rsidRPr="0013396E">
        <w:rPr>
          <w:i/>
          <w:vertAlign w:val="subscript"/>
          <w:lang w:val="fr-FR"/>
        </w:rPr>
        <w:t>nc(tp)d</w:t>
      </w:r>
      <w:r w:rsidRPr="0013396E">
        <w:rPr>
          <w:lang w:val="fr-FR"/>
        </w:rPr>
        <w:t>))</w:t>
      </w:r>
    </w:p>
    <w:p w14:paraId="2EE2482C" w14:textId="77777777" w:rsidR="001F04FD" w:rsidRPr="0013396E" w:rsidRDefault="001F04FD" w:rsidP="001F04FD">
      <w:pPr>
        <w:pStyle w:val="BodyText"/>
        <w:ind w:left="720" w:firstLine="720"/>
      </w:pPr>
      <w:r w:rsidRPr="0013396E">
        <w:t>For QSE 2:</w:t>
      </w:r>
    </w:p>
    <w:p w14:paraId="39F7957A" w14:textId="77777777" w:rsidR="001F04FD" w:rsidRPr="0013396E" w:rsidRDefault="001F04FD" w:rsidP="001F04FD">
      <w:pPr>
        <w:pStyle w:val="FormulaBold"/>
      </w:pPr>
      <w:r w:rsidRPr="0013396E">
        <w:t>SPCUL</w:t>
      </w:r>
      <w:r w:rsidRPr="0013396E">
        <w:rPr>
          <w:vertAlign w:val="subscript"/>
        </w:rPr>
        <w:t xml:space="preserve"> </w:t>
      </w:r>
      <w:r w:rsidRPr="0013396E">
        <w:rPr>
          <w:i/>
          <w:vertAlign w:val="subscript"/>
        </w:rPr>
        <w:t>2c(tp)d</w:t>
      </w:r>
      <w:r w:rsidRPr="0013396E">
        <w:rPr>
          <w:vertAlign w:val="subscript"/>
        </w:rPr>
        <w:t xml:space="preserve"> </w:t>
      </w:r>
      <w:r w:rsidRPr="0013396E">
        <w:t>= ERSLRS </w:t>
      </w:r>
      <w:r w:rsidRPr="0013396E">
        <w:rPr>
          <w:i/>
          <w:vertAlign w:val="subscript"/>
        </w:rPr>
        <w:t>2c(tp)d</w:t>
      </w:r>
      <w:r w:rsidRPr="0013396E">
        <w:t xml:space="preserve"> * (COMPDELMWTOT </w:t>
      </w:r>
      <w:r w:rsidRPr="0013396E">
        <w:rPr>
          <w:i/>
          <w:vertAlign w:val="subscript"/>
        </w:rPr>
        <w:t>c(tp)d</w:t>
      </w:r>
      <w:r w:rsidRPr="0013396E">
        <w:t xml:space="preserve"> +</w:t>
      </w:r>
    </w:p>
    <w:p w14:paraId="6A2E4CD3" w14:textId="77777777" w:rsidR="001F04FD" w:rsidRPr="0013396E" w:rsidRDefault="001F04FD" w:rsidP="001F04FD">
      <w:pPr>
        <w:pStyle w:val="FormulaBold"/>
      </w:pPr>
      <w:r w:rsidRPr="0013396E">
        <w:t>Min(SPDELMW</w:t>
      </w:r>
      <w:r w:rsidRPr="0013396E">
        <w:rPr>
          <w:i/>
          <w:vertAlign w:val="subscript"/>
        </w:rPr>
        <w:t xml:space="preserve"> 1c(tp</w:t>
      </w:r>
      <w:r w:rsidRPr="0013396E">
        <w:rPr>
          <w:rFonts w:ascii="Times New Roman Bold" w:hAnsi="Times New Roman Bold"/>
          <w:i/>
          <w:vertAlign w:val="subscript"/>
        </w:rPr>
        <w:t>)</w:t>
      </w:r>
      <w:r w:rsidRPr="0013396E">
        <w:rPr>
          <w:i/>
          <w:vertAlign w:val="subscript"/>
        </w:rPr>
        <w:t>d</w:t>
      </w:r>
      <w:r w:rsidRPr="0013396E">
        <w:rPr>
          <w:rFonts w:ascii="Times New Roman Bold" w:hAnsi="Times New Roman Bold"/>
          <w:i/>
        </w:rPr>
        <w:t>,</w:t>
      </w:r>
      <w:r w:rsidRPr="0013396E">
        <w:t>SPCUL </w:t>
      </w:r>
      <w:r w:rsidRPr="0013396E">
        <w:rPr>
          <w:i/>
          <w:vertAlign w:val="subscript"/>
        </w:rPr>
        <w:t>1c(tp)d</w:t>
      </w:r>
      <w:r w:rsidRPr="0013396E">
        <w:t>) +</w:t>
      </w:r>
    </w:p>
    <w:p w14:paraId="0D461CE3" w14:textId="77777777" w:rsidR="001F04FD" w:rsidRPr="0013396E" w:rsidRDefault="001F04FD" w:rsidP="001F04FD">
      <w:pPr>
        <w:pStyle w:val="FormulaBold"/>
        <w:rPr>
          <w:vertAlign w:val="subscript"/>
        </w:rPr>
      </w:pPr>
      <w:r w:rsidRPr="0013396E">
        <w:t>Min(SPDELMW</w:t>
      </w:r>
      <w:r w:rsidRPr="0013396E">
        <w:rPr>
          <w:i/>
          <w:vertAlign w:val="subscript"/>
        </w:rPr>
        <w:t xml:space="preserve"> 2c(tp</w:t>
      </w:r>
      <w:r w:rsidRPr="0013396E">
        <w:rPr>
          <w:rFonts w:ascii="Times New Roman Bold" w:hAnsi="Times New Roman Bold"/>
          <w:i/>
          <w:vertAlign w:val="subscript"/>
        </w:rPr>
        <w:t>)</w:t>
      </w:r>
      <w:r w:rsidRPr="0013396E">
        <w:rPr>
          <w:i/>
          <w:vertAlign w:val="subscript"/>
        </w:rPr>
        <w:t>d</w:t>
      </w:r>
      <w:r w:rsidRPr="0013396E">
        <w:rPr>
          <w:rFonts w:ascii="Times New Roman Bold" w:hAnsi="Times New Roman Bold"/>
          <w:i/>
        </w:rPr>
        <w:t>,</w:t>
      </w:r>
      <w:r w:rsidRPr="0013396E">
        <w:t>SPCUL </w:t>
      </w:r>
      <w:r w:rsidRPr="0013396E">
        <w:rPr>
          <w:i/>
          <w:vertAlign w:val="subscript"/>
        </w:rPr>
        <w:t>2c(tp)d</w:t>
      </w:r>
      <w:r w:rsidRPr="0013396E">
        <w:t>)</w:t>
      </w:r>
    </w:p>
    <w:p w14:paraId="55CEE8F6" w14:textId="77777777" w:rsidR="001F04FD" w:rsidRPr="0013396E" w:rsidRDefault="001F04FD" w:rsidP="001F04FD">
      <w:pPr>
        <w:pStyle w:val="FormulaBold"/>
        <w:rPr>
          <w:lang w:val="fr-FR"/>
        </w:rPr>
      </w:pPr>
      <w:r w:rsidRPr="0013396E">
        <w:rPr>
          <w:lang w:val="fr-FR"/>
        </w:rPr>
        <w:t>+ … + Min(SPDELMW</w:t>
      </w:r>
      <w:r w:rsidRPr="0013396E">
        <w:rPr>
          <w:i/>
          <w:vertAlign w:val="subscript"/>
          <w:lang w:val="fr-FR"/>
        </w:rPr>
        <w:t xml:space="preserve"> nc(tp</w:t>
      </w:r>
      <w:r w:rsidRPr="0013396E">
        <w:rPr>
          <w:rFonts w:ascii="Times New Roman Bold" w:hAnsi="Times New Roman Bold"/>
          <w:i/>
          <w:vertAlign w:val="subscript"/>
          <w:lang w:val="fr-FR"/>
        </w:rPr>
        <w:t>)</w:t>
      </w:r>
      <w:r w:rsidRPr="0013396E">
        <w:rPr>
          <w:i/>
          <w:vertAlign w:val="subscript"/>
        </w:rPr>
        <w:t>d</w:t>
      </w:r>
      <w:r w:rsidRPr="0013396E">
        <w:rPr>
          <w:rFonts w:ascii="Times New Roman Bold" w:hAnsi="Times New Roman Bold"/>
          <w:i/>
          <w:lang w:val="fr-FR"/>
        </w:rPr>
        <w:t>,</w:t>
      </w:r>
      <w:r w:rsidRPr="0013396E">
        <w:rPr>
          <w:lang w:val="fr-FR"/>
        </w:rPr>
        <w:t>SPCUL </w:t>
      </w:r>
      <w:r w:rsidRPr="0013396E">
        <w:rPr>
          <w:i/>
          <w:vertAlign w:val="subscript"/>
          <w:lang w:val="fr-FR"/>
        </w:rPr>
        <w:t>nc(tp)d</w:t>
      </w:r>
      <w:r w:rsidRPr="0013396E">
        <w:rPr>
          <w:lang w:val="fr-FR"/>
        </w:rPr>
        <w:t>))</w:t>
      </w:r>
    </w:p>
    <w:p w14:paraId="7DCBFD8E" w14:textId="77777777" w:rsidR="001F04FD" w:rsidRPr="0013396E" w:rsidRDefault="001F04FD" w:rsidP="001F04FD">
      <w:pPr>
        <w:pStyle w:val="FormulaBold"/>
      </w:pPr>
      <w:r w:rsidRPr="0013396E">
        <w:t>…</w:t>
      </w:r>
    </w:p>
    <w:p w14:paraId="15CB28C6" w14:textId="77777777" w:rsidR="001F04FD" w:rsidRPr="0013396E" w:rsidRDefault="001F04FD" w:rsidP="001F04FD">
      <w:pPr>
        <w:pStyle w:val="BodyText"/>
        <w:ind w:left="720" w:firstLine="720"/>
      </w:pPr>
      <w:r w:rsidRPr="0013396E">
        <w:t>For QSE n:</w:t>
      </w:r>
    </w:p>
    <w:p w14:paraId="2DE7F4E5" w14:textId="77777777" w:rsidR="001F04FD" w:rsidRPr="0013396E" w:rsidRDefault="001F04FD" w:rsidP="001F04FD">
      <w:pPr>
        <w:pStyle w:val="FormulaBold"/>
      </w:pPr>
      <w:r w:rsidRPr="0013396E">
        <w:t>SPCUL</w:t>
      </w:r>
      <w:r w:rsidRPr="0013396E">
        <w:rPr>
          <w:vertAlign w:val="subscript"/>
        </w:rPr>
        <w:t xml:space="preserve"> </w:t>
      </w:r>
      <w:r w:rsidRPr="0013396E">
        <w:rPr>
          <w:i/>
          <w:vertAlign w:val="subscript"/>
        </w:rPr>
        <w:t>nc(tp)d</w:t>
      </w:r>
      <w:r w:rsidRPr="0013396E">
        <w:rPr>
          <w:vertAlign w:val="subscript"/>
        </w:rPr>
        <w:t xml:space="preserve"> </w:t>
      </w:r>
      <w:r w:rsidRPr="0013396E">
        <w:t>= ERSLRS </w:t>
      </w:r>
      <w:r w:rsidRPr="0013396E">
        <w:rPr>
          <w:i/>
          <w:vertAlign w:val="subscript"/>
        </w:rPr>
        <w:t>nc(tp)d</w:t>
      </w:r>
      <w:r w:rsidRPr="0013396E">
        <w:t xml:space="preserve"> * (COMPDELMWTOT </w:t>
      </w:r>
      <w:r w:rsidRPr="0013396E">
        <w:rPr>
          <w:i/>
          <w:vertAlign w:val="subscript"/>
        </w:rPr>
        <w:t>c(tp)d</w:t>
      </w:r>
      <w:r w:rsidRPr="0013396E">
        <w:t xml:space="preserve"> +</w:t>
      </w:r>
    </w:p>
    <w:p w14:paraId="36AABB2D" w14:textId="77777777" w:rsidR="001F04FD" w:rsidRPr="0013396E" w:rsidRDefault="001F04FD" w:rsidP="001F04FD">
      <w:pPr>
        <w:pStyle w:val="FormulaBold"/>
      </w:pPr>
      <w:r w:rsidRPr="0013396E">
        <w:t>Min(SPDELMW</w:t>
      </w:r>
      <w:r w:rsidRPr="0013396E">
        <w:rPr>
          <w:i/>
          <w:vertAlign w:val="subscript"/>
        </w:rPr>
        <w:t xml:space="preserve"> 1c(tp</w:t>
      </w:r>
      <w:r w:rsidRPr="0013396E">
        <w:rPr>
          <w:rFonts w:ascii="Times New Roman Bold" w:hAnsi="Times New Roman Bold"/>
          <w:i/>
          <w:vertAlign w:val="subscript"/>
        </w:rPr>
        <w:t>)</w:t>
      </w:r>
      <w:r w:rsidRPr="0013396E">
        <w:rPr>
          <w:i/>
          <w:vertAlign w:val="subscript"/>
        </w:rPr>
        <w:t>d</w:t>
      </w:r>
      <w:r w:rsidRPr="0013396E">
        <w:rPr>
          <w:rFonts w:ascii="Times New Roman Bold" w:hAnsi="Times New Roman Bold"/>
          <w:i/>
        </w:rPr>
        <w:t>,</w:t>
      </w:r>
      <w:r w:rsidRPr="0013396E">
        <w:t>SPCUL </w:t>
      </w:r>
      <w:r w:rsidRPr="0013396E">
        <w:rPr>
          <w:i/>
          <w:vertAlign w:val="subscript"/>
        </w:rPr>
        <w:t>1c(tp)d</w:t>
      </w:r>
      <w:r w:rsidRPr="0013396E">
        <w:t>) +</w:t>
      </w:r>
    </w:p>
    <w:p w14:paraId="4EDB79D9" w14:textId="77777777" w:rsidR="001F04FD" w:rsidRPr="0013396E" w:rsidRDefault="001F04FD" w:rsidP="001F04FD">
      <w:pPr>
        <w:pStyle w:val="FormulaBold"/>
        <w:rPr>
          <w:vertAlign w:val="subscript"/>
        </w:rPr>
      </w:pPr>
      <w:r w:rsidRPr="0013396E">
        <w:t>Min(SPDELMW</w:t>
      </w:r>
      <w:r w:rsidRPr="0013396E">
        <w:rPr>
          <w:i/>
          <w:vertAlign w:val="subscript"/>
        </w:rPr>
        <w:t xml:space="preserve"> 2c(tp</w:t>
      </w:r>
      <w:r w:rsidRPr="0013396E">
        <w:rPr>
          <w:rFonts w:ascii="Times New Roman Bold" w:hAnsi="Times New Roman Bold"/>
          <w:i/>
          <w:vertAlign w:val="subscript"/>
        </w:rPr>
        <w:t>)</w:t>
      </w:r>
      <w:r w:rsidRPr="0013396E">
        <w:rPr>
          <w:i/>
          <w:vertAlign w:val="subscript"/>
        </w:rPr>
        <w:t>d</w:t>
      </w:r>
      <w:r w:rsidRPr="0013396E">
        <w:rPr>
          <w:rFonts w:ascii="Times New Roman Bold" w:hAnsi="Times New Roman Bold"/>
          <w:i/>
        </w:rPr>
        <w:t>,</w:t>
      </w:r>
      <w:r w:rsidRPr="0013396E">
        <w:t>SPCUL </w:t>
      </w:r>
      <w:r w:rsidRPr="0013396E">
        <w:rPr>
          <w:i/>
          <w:vertAlign w:val="subscript"/>
        </w:rPr>
        <w:t>2c(tp)d</w:t>
      </w:r>
      <w:r w:rsidRPr="0013396E">
        <w:t>)</w:t>
      </w:r>
    </w:p>
    <w:p w14:paraId="54DE6521" w14:textId="77777777" w:rsidR="001F04FD" w:rsidRPr="0013396E" w:rsidRDefault="001F04FD" w:rsidP="001F04FD">
      <w:pPr>
        <w:pStyle w:val="FormulaBold"/>
        <w:rPr>
          <w:lang w:val="fr-FR"/>
        </w:rPr>
      </w:pPr>
      <w:r w:rsidRPr="0013396E">
        <w:rPr>
          <w:lang w:val="fr-FR"/>
        </w:rPr>
        <w:lastRenderedPageBreak/>
        <w:t>+ … + Min(SPDELMW</w:t>
      </w:r>
      <w:r w:rsidRPr="0013396E">
        <w:rPr>
          <w:i/>
          <w:vertAlign w:val="subscript"/>
          <w:lang w:val="fr-FR"/>
        </w:rPr>
        <w:t xml:space="preserve"> nc(tp</w:t>
      </w:r>
      <w:r w:rsidRPr="0013396E">
        <w:rPr>
          <w:rFonts w:ascii="Times New Roman Bold" w:hAnsi="Times New Roman Bold"/>
          <w:i/>
          <w:vertAlign w:val="subscript"/>
          <w:lang w:val="fr-FR"/>
        </w:rPr>
        <w:t>)</w:t>
      </w:r>
      <w:r w:rsidRPr="0013396E">
        <w:rPr>
          <w:i/>
          <w:vertAlign w:val="subscript"/>
        </w:rPr>
        <w:t>d</w:t>
      </w:r>
      <w:r w:rsidRPr="0013396E">
        <w:rPr>
          <w:rFonts w:ascii="Times New Roman Bold" w:hAnsi="Times New Roman Bold"/>
          <w:i/>
          <w:lang w:val="fr-FR"/>
        </w:rPr>
        <w:t>,</w:t>
      </w:r>
      <w:r w:rsidRPr="0013396E">
        <w:rPr>
          <w:lang w:val="fr-FR"/>
        </w:rPr>
        <w:t>SPCUL </w:t>
      </w:r>
      <w:r w:rsidRPr="0013396E">
        <w:rPr>
          <w:i/>
          <w:vertAlign w:val="subscript"/>
          <w:lang w:val="fr-FR"/>
        </w:rPr>
        <w:t>nc(tp)d</w:t>
      </w:r>
      <w:r w:rsidRPr="0013396E">
        <w:rPr>
          <w:lang w:val="fr-FR"/>
        </w:rPr>
        <w:t>))</w:t>
      </w:r>
    </w:p>
    <w:p w14:paraId="72DA8105" w14:textId="77777777" w:rsidR="001F04FD" w:rsidRPr="0013396E" w:rsidRDefault="001F04FD" w:rsidP="001F04FD">
      <w:pPr>
        <w:rPr>
          <w:vertAlign w:val="subscript"/>
        </w:rPr>
      </w:pPr>
      <w:r w:rsidRPr="0013396E">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28"/>
        <w:gridCol w:w="1058"/>
        <w:gridCol w:w="5864"/>
      </w:tblGrid>
      <w:tr w:rsidR="001F04FD" w:rsidRPr="0013396E" w14:paraId="0129743A" w14:textId="77777777" w:rsidTr="00AC4DEE">
        <w:tc>
          <w:tcPr>
            <w:tcW w:w="1298" w:type="pct"/>
          </w:tcPr>
          <w:p w14:paraId="43949B72" w14:textId="77777777" w:rsidR="001F04FD" w:rsidRPr="0013396E" w:rsidRDefault="001F04FD" w:rsidP="00AC4DEE">
            <w:pPr>
              <w:pStyle w:val="TableHead"/>
            </w:pPr>
            <w:r w:rsidRPr="0013396E">
              <w:t>Variable</w:t>
            </w:r>
          </w:p>
        </w:tc>
        <w:tc>
          <w:tcPr>
            <w:tcW w:w="566" w:type="pct"/>
          </w:tcPr>
          <w:p w14:paraId="371C3D5B" w14:textId="77777777" w:rsidR="001F04FD" w:rsidRPr="0013396E" w:rsidRDefault="001F04FD" w:rsidP="00AC4DEE">
            <w:pPr>
              <w:pStyle w:val="TableHead"/>
            </w:pPr>
            <w:r w:rsidRPr="0013396E">
              <w:t>Unit</w:t>
            </w:r>
          </w:p>
        </w:tc>
        <w:tc>
          <w:tcPr>
            <w:tcW w:w="3136" w:type="pct"/>
          </w:tcPr>
          <w:p w14:paraId="516A96D6" w14:textId="77777777" w:rsidR="001F04FD" w:rsidRPr="0013396E" w:rsidRDefault="001F04FD" w:rsidP="00AC4DEE">
            <w:pPr>
              <w:pStyle w:val="TableHead"/>
            </w:pPr>
            <w:r w:rsidRPr="0013396E">
              <w:t>Description</w:t>
            </w:r>
          </w:p>
        </w:tc>
      </w:tr>
      <w:tr w:rsidR="001F04FD" w:rsidRPr="0013396E" w14:paraId="60AF26E3" w14:textId="77777777" w:rsidTr="00AC4DEE">
        <w:trPr>
          <w:cantSplit/>
        </w:trPr>
        <w:tc>
          <w:tcPr>
            <w:tcW w:w="1298" w:type="pct"/>
          </w:tcPr>
          <w:p w14:paraId="2E5C7870" w14:textId="77777777" w:rsidR="001F04FD" w:rsidRPr="0013396E" w:rsidRDefault="001F04FD" w:rsidP="00AC4DEE">
            <w:pPr>
              <w:pStyle w:val="TableBody"/>
            </w:pPr>
            <w:r w:rsidRPr="0013396E">
              <w:t xml:space="preserve">ERSPAMT </w:t>
            </w:r>
            <w:r w:rsidRPr="0013396E">
              <w:rPr>
                <w:i/>
                <w:vertAlign w:val="subscript"/>
              </w:rPr>
              <w:t>qc(tp)d</w:t>
            </w:r>
          </w:p>
        </w:tc>
        <w:tc>
          <w:tcPr>
            <w:tcW w:w="566" w:type="pct"/>
          </w:tcPr>
          <w:p w14:paraId="2C853057" w14:textId="77777777" w:rsidR="001F04FD" w:rsidRPr="0013396E" w:rsidRDefault="001F04FD" w:rsidP="00AC4DEE">
            <w:pPr>
              <w:pStyle w:val="TableBody"/>
            </w:pPr>
            <w:r w:rsidRPr="0013396E">
              <w:t>$</w:t>
            </w:r>
          </w:p>
        </w:tc>
        <w:tc>
          <w:tcPr>
            <w:tcW w:w="3136" w:type="pct"/>
          </w:tcPr>
          <w:p w14:paraId="0C9C3BCF" w14:textId="77777777" w:rsidR="001F04FD" w:rsidRPr="0013396E" w:rsidRDefault="001F04FD" w:rsidP="00AC4DEE">
            <w:pPr>
              <w:pStyle w:val="TableBody"/>
            </w:pPr>
            <w:r w:rsidRPr="0013396E">
              <w:rPr>
                <w:i/>
              </w:rPr>
              <w:t>ERS Payment Amount per QSE per ERS Contract Period per ERS Time Period per ERS Service Type</w:t>
            </w:r>
            <w:r w:rsidRPr="0013396E">
              <w:t xml:space="preserve">—ERS total payment to QSE </w:t>
            </w:r>
            <w:r w:rsidRPr="0013396E">
              <w:rPr>
                <w:i/>
              </w:rPr>
              <w:t xml:space="preserve">q </w:t>
            </w:r>
            <w:r w:rsidRPr="0013396E">
              <w:t xml:space="preserve">for ERS Contract Period </w:t>
            </w:r>
            <w:r w:rsidRPr="0013396E">
              <w:rPr>
                <w:i/>
              </w:rPr>
              <w:t>c,</w:t>
            </w:r>
            <w:r w:rsidRPr="0013396E">
              <w:t xml:space="preserve"> and ERS Time Period </w:t>
            </w:r>
            <w:r w:rsidRPr="0013396E">
              <w:rPr>
                <w:i/>
              </w:rPr>
              <w:t xml:space="preserve">tp </w:t>
            </w:r>
            <w:r w:rsidRPr="0013396E">
              <w:t xml:space="preserve">and ERS service type </w:t>
            </w:r>
            <w:r w:rsidRPr="0013396E">
              <w:rPr>
                <w:i/>
              </w:rPr>
              <w:t>d</w:t>
            </w:r>
            <w:r w:rsidRPr="0013396E">
              <w:t>.</w:t>
            </w:r>
          </w:p>
        </w:tc>
      </w:tr>
      <w:tr w:rsidR="001F04FD" w:rsidRPr="0013396E" w14:paraId="0FAE439F" w14:textId="77777777" w:rsidTr="00AC4DEE">
        <w:trPr>
          <w:cantSplit/>
          <w:trHeight w:val="70"/>
        </w:trPr>
        <w:tc>
          <w:tcPr>
            <w:tcW w:w="1298" w:type="pct"/>
          </w:tcPr>
          <w:p w14:paraId="3A73BAE1" w14:textId="77777777" w:rsidR="001F04FD" w:rsidRPr="0013396E" w:rsidRDefault="001F04FD" w:rsidP="00AC4DEE">
            <w:pPr>
              <w:pStyle w:val="TableBody"/>
            </w:pPr>
            <w:r w:rsidRPr="0013396E">
              <w:t xml:space="preserve">COMPAMT </w:t>
            </w:r>
            <w:r w:rsidRPr="0013396E">
              <w:rPr>
                <w:i/>
                <w:vertAlign w:val="subscript"/>
              </w:rPr>
              <w:t>qc(tp)d</w:t>
            </w:r>
          </w:p>
        </w:tc>
        <w:tc>
          <w:tcPr>
            <w:tcW w:w="566" w:type="pct"/>
          </w:tcPr>
          <w:p w14:paraId="04D514D2" w14:textId="77777777" w:rsidR="001F04FD" w:rsidRPr="0013396E" w:rsidRDefault="001F04FD" w:rsidP="00AC4DEE">
            <w:pPr>
              <w:pStyle w:val="TableBody"/>
            </w:pPr>
            <w:r w:rsidRPr="0013396E">
              <w:t>$</w:t>
            </w:r>
          </w:p>
        </w:tc>
        <w:tc>
          <w:tcPr>
            <w:tcW w:w="3136" w:type="pct"/>
          </w:tcPr>
          <w:p w14:paraId="7D8C6FE9" w14:textId="77777777" w:rsidR="001F04FD" w:rsidRPr="0013396E" w:rsidRDefault="001F04FD" w:rsidP="00AC4DEE">
            <w:pPr>
              <w:pStyle w:val="TableBody"/>
            </w:pPr>
            <w:r w:rsidRPr="0013396E">
              <w:rPr>
                <w:i/>
              </w:rPr>
              <w:t>Competitive Amount per QSE per ERS Contract Period per ERS Time Period per ERS Service Type</w:t>
            </w:r>
            <w:r w:rsidRPr="0013396E">
              <w:t xml:space="preserve">—ERS total payment to QSE </w:t>
            </w:r>
            <w:r w:rsidRPr="0013396E">
              <w:rPr>
                <w:i/>
              </w:rPr>
              <w:t xml:space="preserve">q </w:t>
            </w:r>
            <w:r w:rsidRPr="0013396E">
              <w:t xml:space="preserve">for all competitively procured ERS Resources delivered for ERS Contract Period </w:t>
            </w:r>
            <w:r w:rsidRPr="0013396E">
              <w:rPr>
                <w:i/>
              </w:rPr>
              <w:t>c</w:t>
            </w:r>
            <w:r w:rsidRPr="0013396E">
              <w:t xml:space="preserve">, and ERS Time Period </w:t>
            </w:r>
            <w:r w:rsidRPr="0013396E">
              <w:rPr>
                <w:i/>
              </w:rPr>
              <w:t>tp</w:t>
            </w:r>
            <w:r w:rsidRPr="0013396E">
              <w:t xml:space="preserve"> and ERS service type </w:t>
            </w:r>
            <w:r w:rsidRPr="0013396E">
              <w:rPr>
                <w:i/>
              </w:rPr>
              <w:t>d</w:t>
            </w:r>
            <w:r w:rsidRPr="0013396E">
              <w:t>.</w:t>
            </w:r>
          </w:p>
        </w:tc>
      </w:tr>
      <w:tr w:rsidR="001F04FD" w:rsidRPr="0013396E" w14:paraId="0677E346" w14:textId="77777777" w:rsidTr="00AC4DEE">
        <w:trPr>
          <w:cantSplit/>
        </w:trPr>
        <w:tc>
          <w:tcPr>
            <w:tcW w:w="1298" w:type="pct"/>
          </w:tcPr>
          <w:p w14:paraId="2B64D58C" w14:textId="77777777" w:rsidR="001F04FD" w:rsidRPr="0013396E" w:rsidRDefault="001F04FD" w:rsidP="00AC4DEE">
            <w:pPr>
              <w:pStyle w:val="TableBody"/>
            </w:pPr>
            <w:r w:rsidRPr="0013396E">
              <w:rPr>
                <w:lang w:val="pt-BR"/>
              </w:rPr>
              <w:t xml:space="preserve">SPAMT </w:t>
            </w:r>
            <w:r w:rsidRPr="0013396E">
              <w:rPr>
                <w:i/>
                <w:vertAlign w:val="subscript"/>
              </w:rPr>
              <w:t>qc(tp)d</w:t>
            </w:r>
          </w:p>
        </w:tc>
        <w:tc>
          <w:tcPr>
            <w:tcW w:w="566" w:type="pct"/>
          </w:tcPr>
          <w:p w14:paraId="56612AD5" w14:textId="77777777" w:rsidR="001F04FD" w:rsidRPr="0013396E" w:rsidRDefault="001F04FD" w:rsidP="00AC4DEE">
            <w:pPr>
              <w:pStyle w:val="VariableDefinition"/>
              <w:tabs>
                <w:tab w:val="clear" w:pos="2160"/>
              </w:tabs>
              <w:spacing w:after="60"/>
              <w:ind w:left="0" w:firstLine="0"/>
              <w:rPr>
                <w:sz w:val="20"/>
              </w:rPr>
            </w:pPr>
            <w:r w:rsidRPr="0013396E">
              <w:rPr>
                <w:sz w:val="20"/>
              </w:rPr>
              <w:t>$</w:t>
            </w:r>
          </w:p>
        </w:tc>
        <w:tc>
          <w:tcPr>
            <w:tcW w:w="3136" w:type="pct"/>
          </w:tcPr>
          <w:p w14:paraId="68B51873" w14:textId="77777777" w:rsidR="001F04FD" w:rsidRPr="0013396E" w:rsidRDefault="001F04FD" w:rsidP="00AC4DEE">
            <w:pPr>
              <w:pStyle w:val="VariableDefinition"/>
              <w:tabs>
                <w:tab w:val="clear" w:pos="2160"/>
              </w:tabs>
              <w:spacing w:after="60"/>
              <w:ind w:left="0" w:firstLine="0"/>
              <w:rPr>
                <w:sz w:val="20"/>
              </w:rPr>
            </w:pPr>
            <w:r w:rsidRPr="0013396E">
              <w:rPr>
                <w:i/>
                <w:sz w:val="20"/>
              </w:rPr>
              <w:t>Self-Procured Amount</w:t>
            </w:r>
            <w:r w:rsidRPr="0013396E">
              <w:rPr>
                <w:sz w:val="20"/>
              </w:rPr>
              <w:t xml:space="preserve"> </w:t>
            </w:r>
            <w:r w:rsidRPr="0013396E">
              <w:rPr>
                <w:i/>
                <w:sz w:val="20"/>
              </w:rPr>
              <w:t>per QSE per ERS Contract Period per ERS Time Period per ERS Service Type</w:t>
            </w:r>
            <w:r w:rsidRPr="0013396E">
              <w:t>—</w:t>
            </w:r>
            <w:r w:rsidRPr="0013396E">
              <w:rPr>
                <w:sz w:val="20"/>
              </w:rPr>
              <w:t xml:space="preserve">ERS total payment to QSE </w:t>
            </w:r>
            <w:r w:rsidRPr="0013396E">
              <w:rPr>
                <w:i/>
                <w:sz w:val="20"/>
              </w:rPr>
              <w:t xml:space="preserve">q </w:t>
            </w:r>
            <w:r w:rsidRPr="0013396E">
              <w:rPr>
                <w:sz w:val="20"/>
              </w:rPr>
              <w:t xml:space="preserve">for its self-provided ERS Resources for ERS Contract Period </w:t>
            </w:r>
            <w:r w:rsidRPr="0013396E">
              <w:rPr>
                <w:i/>
                <w:sz w:val="20"/>
              </w:rPr>
              <w:t>c</w:t>
            </w:r>
            <w:r w:rsidRPr="0013396E">
              <w:rPr>
                <w:sz w:val="20"/>
              </w:rPr>
              <w:t xml:space="preserve">, ERS Time Period </w:t>
            </w:r>
            <w:r w:rsidRPr="0013396E">
              <w:rPr>
                <w:i/>
                <w:sz w:val="20"/>
              </w:rPr>
              <w:t>tp</w:t>
            </w:r>
            <w:r w:rsidRPr="0013396E">
              <w:rPr>
                <w:sz w:val="20"/>
              </w:rPr>
              <w:t xml:space="preserve"> and ERS service type </w:t>
            </w:r>
            <w:r w:rsidRPr="0013396E">
              <w:rPr>
                <w:i/>
                <w:sz w:val="20"/>
              </w:rPr>
              <w:t>d</w:t>
            </w:r>
            <w:r w:rsidRPr="0013396E">
              <w:rPr>
                <w:sz w:val="20"/>
              </w:rPr>
              <w:t>.</w:t>
            </w:r>
          </w:p>
        </w:tc>
      </w:tr>
      <w:tr w:rsidR="001F04FD" w:rsidRPr="0013396E" w14:paraId="6A30E054" w14:textId="77777777" w:rsidTr="00AC4DEE">
        <w:trPr>
          <w:cantSplit/>
        </w:trPr>
        <w:tc>
          <w:tcPr>
            <w:tcW w:w="1298" w:type="pct"/>
          </w:tcPr>
          <w:p w14:paraId="4056B2B2" w14:textId="77777777" w:rsidR="001F04FD" w:rsidRPr="0013396E" w:rsidRDefault="001F04FD" w:rsidP="00AC4DEE">
            <w:pPr>
              <w:pStyle w:val="TableBody"/>
            </w:pPr>
            <w:r w:rsidRPr="0013396E">
              <w:t xml:space="preserve">ERSPAMTQSETOT </w:t>
            </w:r>
            <w:r w:rsidRPr="0013396E">
              <w:rPr>
                <w:i/>
                <w:vertAlign w:val="subscript"/>
              </w:rPr>
              <w:t>q</w:t>
            </w:r>
          </w:p>
        </w:tc>
        <w:tc>
          <w:tcPr>
            <w:tcW w:w="566" w:type="pct"/>
          </w:tcPr>
          <w:p w14:paraId="59122E54" w14:textId="77777777" w:rsidR="001F04FD" w:rsidRPr="0013396E" w:rsidRDefault="001F04FD" w:rsidP="00AC4DEE">
            <w:pPr>
              <w:pStyle w:val="VariableDefinition"/>
              <w:tabs>
                <w:tab w:val="clear" w:pos="2160"/>
              </w:tabs>
              <w:spacing w:after="60"/>
              <w:ind w:left="0" w:firstLine="0"/>
              <w:rPr>
                <w:sz w:val="20"/>
              </w:rPr>
            </w:pPr>
            <w:r w:rsidRPr="0013396E">
              <w:rPr>
                <w:sz w:val="20"/>
              </w:rPr>
              <w:t>$</w:t>
            </w:r>
          </w:p>
        </w:tc>
        <w:tc>
          <w:tcPr>
            <w:tcW w:w="3136" w:type="pct"/>
          </w:tcPr>
          <w:p w14:paraId="29883A4A" w14:textId="77777777" w:rsidR="001F04FD" w:rsidRPr="0013396E" w:rsidRDefault="001F04FD" w:rsidP="00AC4DEE">
            <w:pPr>
              <w:pStyle w:val="VariableDefinition"/>
              <w:tabs>
                <w:tab w:val="clear" w:pos="2160"/>
              </w:tabs>
              <w:spacing w:after="60"/>
              <w:ind w:left="0" w:firstLine="0"/>
              <w:rPr>
                <w:sz w:val="20"/>
              </w:rPr>
            </w:pPr>
            <w:r w:rsidRPr="0013396E">
              <w:rPr>
                <w:i/>
                <w:sz w:val="20"/>
              </w:rPr>
              <w:t>ERS Payment QSE Total per QSE</w:t>
            </w:r>
            <w:r w:rsidRPr="0013396E">
              <w:t>—</w:t>
            </w:r>
            <w:r w:rsidRPr="0013396E">
              <w:rPr>
                <w:sz w:val="20"/>
              </w:rPr>
              <w:t xml:space="preserve">The total ERS total payments to QSE </w:t>
            </w:r>
            <w:r w:rsidRPr="0013396E">
              <w:rPr>
                <w:i/>
                <w:sz w:val="20"/>
              </w:rPr>
              <w:t>q</w:t>
            </w:r>
            <w:r w:rsidRPr="0013396E">
              <w:rPr>
                <w:sz w:val="20"/>
              </w:rPr>
              <w:t>.</w:t>
            </w:r>
          </w:p>
        </w:tc>
      </w:tr>
      <w:tr w:rsidR="001F04FD" w:rsidRPr="0013396E" w14:paraId="33B3901B" w14:textId="77777777" w:rsidTr="00AC4DEE">
        <w:trPr>
          <w:cantSplit/>
        </w:trPr>
        <w:tc>
          <w:tcPr>
            <w:tcW w:w="1298" w:type="pct"/>
          </w:tcPr>
          <w:p w14:paraId="701AE03D" w14:textId="77777777" w:rsidR="001F04FD" w:rsidRPr="0013396E" w:rsidRDefault="001F04FD" w:rsidP="00AC4DEE">
            <w:pPr>
              <w:pStyle w:val="TableBody"/>
            </w:pPr>
            <w:r w:rsidRPr="0013396E">
              <w:t>ERSPAMTTOT</w:t>
            </w:r>
            <w:r w:rsidRPr="0013396E">
              <w:rPr>
                <w:i/>
                <w:vertAlign w:val="subscript"/>
              </w:rPr>
              <w:t xml:space="preserve"> c(tp)d</w:t>
            </w:r>
          </w:p>
        </w:tc>
        <w:tc>
          <w:tcPr>
            <w:tcW w:w="566" w:type="pct"/>
          </w:tcPr>
          <w:p w14:paraId="52196950" w14:textId="77777777" w:rsidR="001F04FD" w:rsidRPr="0013396E" w:rsidRDefault="001F04FD" w:rsidP="00AC4DEE">
            <w:pPr>
              <w:pStyle w:val="VariableDefinition"/>
              <w:tabs>
                <w:tab w:val="clear" w:pos="2160"/>
              </w:tabs>
              <w:spacing w:after="60"/>
              <w:ind w:left="0" w:firstLine="0"/>
              <w:rPr>
                <w:sz w:val="20"/>
              </w:rPr>
            </w:pPr>
            <w:r w:rsidRPr="0013396E">
              <w:rPr>
                <w:sz w:val="20"/>
              </w:rPr>
              <w:t>$</w:t>
            </w:r>
          </w:p>
        </w:tc>
        <w:tc>
          <w:tcPr>
            <w:tcW w:w="3136" w:type="pct"/>
          </w:tcPr>
          <w:p w14:paraId="33EA044B" w14:textId="77777777" w:rsidR="001F04FD" w:rsidRPr="0013396E" w:rsidRDefault="001F04FD" w:rsidP="00AC4DEE">
            <w:pPr>
              <w:pStyle w:val="VariableDefinition"/>
              <w:tabs>
                <w:tab w:val="clear" w:pos="2160"/>
              </w:tabs>
              <w:spacing w:after="60"/>
              <w:ind w:left="0" w:firstLine="0"/>
              <w:rPr>
                <w:sz w:val="20"/>
              </w:rPr>
            </w:pPr>
            <w:r w:rsidRPr="0013396E">
              <w:rPr>
                <w:i/>
                <w:sz w:val="20"/>
              </w:rPr>
              <w:t>ERS Payment Amount Total per ERS Contract Period per ERS Time Period per ERS Service Type</w:t>
            </w:r>
            <w:r w:rsidRPr="0013396E">
              <w:t>—</w:t>
            </w:r>
            <w:r w:rsidRPr="0013396E">
              <w:rPr>
                <w:sz w:val="20"/>
              </w:rPr>
              <w:t xml:space="preserve">Total of all ERS payments for ERS Contract Period </w:t>
            </w:r>
            <w:r w:rsidRPr="0013396E">
              <w:rPr>
                <w:i/>
                <w:sz w:val="20"/>
              </w:rPr>
              <w:t>c</w:t>
            </w:r>
            <w:r w:rsidRPr="0013396E">
              <w:rPr>
                <w:sz w:val="20"/>
              </w:rPr>
              <w:t xml:space="preserve">, ERS Time Period </w:t>
            </w:r>
            <w:r w:rsidRPr="0013396E">
              <w:rPr>
                <w:i/>
                <w:sz w:val="20"/>
              </w:rPr>
              <w:t>tp</w:t>
            </w:r>
            <w:r w:rsidRPr="0013396E">
              <w:rPr>
                <w:sz w:val="20"/>
              </w:rPr>
              <w:t xml:space="preserve"> and ERS service type </w:t>
            </w:r>
            <w:r w:rsidRPr="0013396E">
              <w:rPr>
                <w:i/>
                <w:sz w:val="20"/>
              </w:rPr>
              <w:t>d</w:t>
            </w:r>
            <w:r w:rsidRPr="0013396E">
              <w:rPr>
                <w:sz w:val="20"/>
              </w:rPr>
              <w:t>.</w:t>
            </w:r>
          </w:p>
        </w:tc>
      </w:tr>
      <w:tr w:rsidR="001F04FD" w:rsidRPr="0013396E" w14:paraId="4CB71362" w14:textId="77777777" w:rsidTr="00AC4DEE">
        <w:trPr>
          <w:cantSplit/>
        </w:trPr>
        <w:tc>
          <w:tcPr>
            <w:tcW w:w="1298" w:type="pct"/>
          </w:tcPr>
          <w:p w14:paraId="0AAC3401" w14:textId="77777777" w:rsidR="001F04FD" w:rsidRPr="0013396E" w:rsidRDefault="001F04FD" w:rsidP="00AC4DEE">
            <w:pPr>
              <w:pStyle w:val="TableBody"/>
            </w:pPr>
            <w:r w:rsidRPr="0013396E">
              <w:t xml:space="preserve">ERSPRICE </w:t>
            </w:r>
            <w:r w:rsidRPr="0013396E">
              <w:rPr>
                <w:i/>
                <w:vertAlign w:val="subscript"/>
              </w:rPr>
              <w:t>qc(tp)d</w:t>
            </w:r>
          </w:p>
        </w:tc>
        <w:tc>
          <w:tcPr>
            <w:tcW w:w="566" w:type="pct"/>
          </w:tcPr>
          <w:p w14:paraId="0B53B5D3" w14:textId="77777777" w:rsidR="001F04FD" w:rsidRPr="0013396E" w:rsidRDefault="001F04FD" w:rsidP="00AC4DEE">
            <w:pPr>
              <w:pStyle w:val="VariableDefinition"/>
              <w:tabs>
                <w:tab w:val="clear" w:pos="2160"/>
              </w:tabs>
              <w:spacing w:after="60"/>
              <w:ind w:left="0" w:firstLine="0"/>
              <w:rPr>
                <w:sz w:val="20"/>
              </w:rPr>
            </w:pPr>
            <w:r w:rsidRPr="0013396E">
              <w:rPr>
                <w:sz w:val="20"/>
              </w:rPr>
              <w:t>$/MW per hour</w:t>
            </w:r>
          </w:p>
        </w:tc>
        <w:tc>
          <w:tcPr>
            <w:tcW w:w="3136" w:type="pct"/>
          </w:tcPr>
          <w:p w14:paraId="2573209E" w14:textId="77777777" w:rsidR="001F04FD" w:rsidRPr="0013396E" w:rsidRDefault="001F04FD" w:rsidP="00AC4DEE">
            <w:pPr>
              <w:pStyle w:val="VariableDefinition"/>
              <w:tabs>
                <w:tab w:val="clear" w:pos="2160"/>
              </w:tabs>
              <w:spacing w:after="60"/>
              <w:ind w:left="0" w:firstLine="0"/>
              <w:rPr>
                <w:i/>
                <w:sz w:val="20"/>
              </w:rPr>
            </w:pPr>
            <w:r w:rsidRPr="0013396E">
              <w:rPr>
                <w:i/>
                <w:sz w:val="20"/>
              </w:rPr>
              <w:t>Price of the Highest Offer Cleared per QSE per ERS Contract Period per ERS Time Period per ERS Service Type</w:t>
            </w:r>
            <w:r w:rsidRPr="0013396E">
              <w:t>—</w:t>
            </w:r>
            <w:r w:rsidRPr="0013396E">
              <w:rPr>
                <w:sz w:val="20"/>
              </w:rPr>
              <w:t xml:space="preserve">Contracted clearing price for QSE </w:t>
            </w:r>
            <w:r w:rsidRPr="0013396E">
              <w:rPr>
                <w:i/>
                <w:sz w:val="20"/>
              </w:rPr>
              <w:t>q</w:t>
            </w:r>
            <w:r w:rsidRPr="0013396E">
              <w:rPr>
                <w:sz w:val="20"/>
              </w:rPr>
              <w:t xml:space="preserve"> for ERS Contract Period </w:t>
            </w:r>
            <w:r w:rsidRPr="0013396E">
              <w:rPr>
                <w:i/>
                <w:sz w:val="20"/>
              </w:rPr>
              <w:t>c</w:t>
            </w:r>
            <w:r w:rsidRPr="0013396E">
              <w:rPr>
                <w:sz w:val="20"/>
              </w:rPr>
              <w:t xml:space="preserve">, ERS Time Period </w:t>
            </w:r>
            <w:r w:rsidRPr="0013396E">
              <w:rPr>
                <w:i/>
                <w:sz w:val="20"/>
              </w:rPr>
              <w:t xml:space="preserve">tp </w:t>
            </w:r>
            <w:r w:rsidRPr="0013396E">
              <w:rPr>
                <w:sz w:val="20"/>
              </w:rPr>
              <w:t xml:space="preserve">and ERS service type </w:t>
            </w:r>
            <w:r w:rsidRPr="0013396E">
              <w:rPr>
                <w:i/>
                <w:sz w:val="20"/>
              </w:rPr>
              <w:t>d</w:t>
            </w:r>
            <w:r w:rsidRPr="0013396E">
              <w:rPr>
                <w:sz w:val="20"/>
              </w:rPr>
              <w:t>.</w:t>
            </w:r>
          </w:p>
        </w:tc>
      </w:tr>
      <w:tr w:rsidR="001F04FD" w:rsidRPr="0013396E" w14:paraId="5445F1B7" w14:textId="77777777" w:rsidTr="00AC4DEE">
        <w:trPr>
          <w:cantSplit/>
        </w:trPr>
        <w:tc>
          <w:tcPr>
            <w:tcW w:w="1298" w:type="pct"/>
          </w:tcPr>
          <w:p w14:paraId="266F631B" w14:textId="77777777" w:rsidR="001F04FD" w:rsidRPr="0013396E" w:rsidRDefault="001F04FD" w:rsidP="00AC4DEE">
            <w:pPr>
              <w:pStyle w:val="TableBody"/>
            </w:pPr>
            <w:r w:rsidRPr="0013396E">
              <w:t xml:space="preserve">COMPDELMW </w:t>
            </w:r>
            <w:r w:rsidRPr="0013396E">
              <w:rPr>
                <w:i/>
                <w:vertAlign w:val="subscript"/>
              </w:rPr>
              <w:t>qce(tp)d</w:t>
            </w:r>
          </w:p>
        </w:tc>
        <w:tc>
          <w:tcPr>
            <w:tcW w:w="566" w:type="pct"/>
          </w:tcPr>
          <w:p w14:paraId="1A39C7BF" w14:textId="77777777" w:rsidR="001F04FD" w:rsidRPr="0013396E" w:rsidRDefault="001F04FD" w:rsidP="00AC4DEE">
            <w:pPr>
              <w:pStyle w:val="VariableDefinition"/>
              <w:tabs>
                <w:tab w:val="clear" w:pos="2160"/>
              </w:tabs>
              <w:spacing w:after="60"/>
              <w:ind w:left="0" w:firstLine="0"/>
              <w:rPr>
                <w:sz w:val="20"/>
              </w:rPr>
            </w:pPr>
            <w:r w:rsidRPr="0013396E">
              <w:rPr>
                <w:sz w:val="20"/>
              </w:rPr>
              <w:t>MW</w:t>
            </w:r>
          </w:p>
        </w:tc>
        <w:tc>
          <w:tcPr>
            <w:tcW w:w="3136" w:type="pct"/>
          </w:tcPr>
          <w:p w14:paraId="35B0A20F" w14:textId="77777777" w:rsidR="001F04FD" w:rsidRPr="0013396E" w:rsidRDefault="001F04FD" w:rsidP="00AC4DEE">
            <w:pPr>
              <w:pStyle w:val="VariableDefinition"/>
              <w:tabs>
                <w:tab w:val="clear" w:pos="2160"/>
              </w:tabs>
              <w:spacing w:after="60"/>
              <w:ind w:left="0" w:firstLine="0"/>
              <w:rPr>
                <w:i/>
                <w:sz w:val="20"/>
              </w:rPr>
            </w:pPr>
            <w:r w:rsidRPr="0013396E">
              <w:rPr>
                <w:i/>
                <w:sz w:val="20"/>
              </w:rPr>
              <w:t>Competitive Delivered MW per QSE per ERS Contract Period per ERS Resource per ERS Time Period per ERS Service Type</w:t>
            </w:r>
            <w:r w:rsidRPr="0013396E">
              <w:t>—</w:t>
            </w:r>
            <w:r w:rsidRPr="0013396E">
              <w:rPr>
                <w:sz w:val="20"/>
              </w:rPr>
              <w:t xml:space="preserve">ERS capacity </w:t>
            </w:r>
            <w:r w:rsidRPr="0013396E">
              <w:rPr>
                <w:bCs/>
                <w:sz w:val="20"/>
              </w:rPr>
              <w:t xml:space="preserve">delivered </w:t>
            </w:r>
            <w:r w:rsidRPr="0013396E">
              <w:rPr>
                <w:sz w:val="20"/>
              </w:rPr>
              <w:t xml:space="preserve">by the QSE </w:t>
            </w:r>
            <w:r w:rsidRPr="0013396E">
              <w:rPr>
                <w:i/>
                <w:sz w:val="20"/>
              </w:rPr>
              <w:t>q</w:t>
            </w:r>
            <w:r w:rsidRPr="0013396E">
              <w:rPr>
                <w:sz w:val="20"/>
              </w:rPr>
              <w:t xml:space="preserve"> </w:t>
            </w:r>
            <w:r w:rsidRPr="0013396E">
              <w:rPr>
                <w:bCs/>
                <w:sz w:val="20"/>
              </w:rPr>
              <w:t xml:space="preserve">for ERS Contract Period </w:t>
            </w:r>
            <w:r w:rsidRPr="0013396E">
              <w:rPr>
                <w:bCs/>
                <w:i/>
                <w:sz w:val="20"/>
              </w:rPr>
              <w:t>c,</w:t>
            </w:r>
            <w:r w:rsidRPr="0013396E">
              <w:rPr>
                <w:sz w:val="20"/>
              </w:rPr>
              <w:t xml:space="preserve"> </w:t>
            </w:r>
            <w:r w:rsidRPr="0013396E">
              <w:rPr>
                <w:bCs/>
                <w:sz w:val="20"/>
              </w:rPr>
              <w:t xml:space="preserve">competitive ERS Resource </w:t>
            </w:r>
            <w:r w:rsidRPr="0013396E">
              <w:rPr>
                <w:bCs/>
                <w:i/>
                <w:sz w:val="20"/>
              </w:rPr>
              <w:t>e</w:t>
            </w:r>
            <w:r w:rsidRPr="0013396E">
              <w:rPr>
                <w:bCs/>
                <w:sz w:val="20"/>
              </w:rPr>
              <w:t>,</w:t>
            </w:r>
            <w:r w:rsidRPr="0013396E">
              <w:rPr>
                <w:sz w:val="20"/>
              </w:rPr>
              <w:t xml:space="preserve"> ERS Time Period </w:t>
            </w:r>
            <w:r w:rsidRPr="0013396E">
              <w:rPr>
                <w:i/>
                <w:sz w:val="20"/>
              </w:rPr>
              <w:t>tp</w:t>
            </w:r>
            <w:r w:rsidRPr="0013396E">
              <w:rPr>
                <w:sz w:val="20"/>
              </w:rPr>
              <w:t xml:space="preserve"> and ERS service type </w:t>
            </w:r>
            <w:r w:rsidRPr="0013396E">
              <w:rPr>
                <w:i/>
                <w:sz w:val="20"/>
              </w:rPr>
              <w:t>d</w:t>
            </w:r>
            <w:r w:rsidRPr="0013396E">
              <w:rPr>
                <w:sz w:val="20"/>
              </w:rPr>
              <w:t>.</w:t>
            </w:r>
          </w:p>
        </w:tc>
      </w:tr>
      <w:tr w:rsidR="001F04FD" w:rsidRPr="0013396E" w14:paraId="0112273C" w14:textId="77777777" w:rsidTr="00AC4DEE">
        <w:trPr>
          <w:cantSplit/>
        </w:trPr>
        <w:tc>
          <w:tcPr>
            <w:tcW w:w="1298" w:type="pct"/>
          </w:tcPr>
          <w:p w14:paraId="1A56D246" w14:textId="77777777" w:rsidR="001F04FD" w:rsidRPr="0013396E" w:rsidRDefault="001F04FD" w:rsidP="00AC4DEE">
            <w:pPr>
              <w:pStyle w:val="TableBody"/>
            </w:pPr>
            <w:r w:rsidRPr="0013396E">
              <w:t xml:space="preserve">TPH </w:t>
            </w:r>
            <w:r w:rsidRPr="0013396E">
              <w:rPr>
                <w:i/>
                <w:vertAlign w:val="subscript"/>
              </w:rPr>
              <w:t>c(tp)d</w:t>
            </w:r>
          </w:p>
        </w:tc>
        <w:tc>
          <w:tcPr>
            <w:tcW w:w="566" w:type="pct"/>
          </w:tcPr>
          <w:p w14:paraId="0FCD8446" w14:textId="77777777" w:rsidR="001F04FD" w:rsidRPr="0013396E" w:rsidRDefault="001F04FD" w:rsidP="00AC4DEE">
            <w:pPr>
              <w:pStyle w:val="VariableDefinition"/>
              <w:tabs>
                <w:tab w:val="clear" w:pos="2160"/>
              </w:tabs>
              <w:spacing w:after="60"/>
              <w:ind w:left="0" w:firstLine="0"/>
              <w:rPr>
                <w:sz w:val="20"/>
              </w:rPr>
            </w:pPr>
            <w:r w:rsidRPr="0013396E">
              <w:rPr>
                <w:sz w:val="20"/>
              </w:rPr>
              <w:t>Hours</w:t>
            </w:r>
          </w:p>
        </w:tc>
        <w:tc>
          <w:tcPr>
            <w:tcW w:w="3136" w:type="pct"/>
          </w:tcPr>
          <w:p w14:paraId="5A5837C9" w14:textId="77777777" w:rsidR="001F04FD" w:rsidRPr="0013396E" w:rsidRDefault="001F04FD" w:rsidP="00AC4DEE">
            <w:pPr>
              <w:pStyle w:val="VariableDefinition"/>
              <w:tabs>
                <w:tab w:val="clear" w:pos="2160"/>
              </w:tabs>
              <w:spacing w:after="60"/>
              <w:ind w:left="0" w:firstLine="0"/>
              <w:rPr>
                <w:sz w:val="20"/>
              </w:rPr>
            </w:pPr>
            <w:r w:rsidRPr="0013396E">
              <w:rPr>
                <w:sz w:val="20"/>
              </w:rPr>
              <w:t xml:space="preserve">Hours in ERS Time Period </w:t>
            </w:r>
            <w:r w:rsidRPr="0013396E">
              <w:rPr>
                <w:i/>
                <w:sz w:val="20"/>
              </w:rPr>
              <w:t xml:space="preserve">tp </w:t>
            </w:r>
            <w:r w:rsidRPr="0013396E">
              <w:rPr>
                <w:sz w:val="20"/>
              </w:rPr>
              <w:t xml:space="preserve">for ERS Contract Period </w:t>
            </w:r>
            <w:r w:rsidRPr="0013396E">
              <w:rPr>
                <w:i/>
                <w:sz w:val="20"/>
              </w:rPr>
              <w:t>c</w:t>
            </w:r>
            <w:r w:rsidRPr="0013396E">
              <w:rPr>
                <w:sz w:val="20"/>
              </w:rPr>
              <w:t xml:space="preserve">, and ERS service type </w:t>
            </w:r>
            <w:r w:rsidRPr="0013396E">
              <w:rPr>
                <w:i/>
                <w:sz w:val="20"/>
              </w:rPr>
              <w:t>d</w:t>
            </w:r>
            <w:r w:rsidRPr="0013396E">
              <w:rPr>
                <w:sz w:val="20"/>
              </w:rPr>
              <w:t>.</w:t>
            </w:r>
          </w:p>
          <w:p w14:paraId="0561095E" w14:textId="77777777" w:rsidR="001F04FD" w:rsidRPr="0013396E" w:rsidRDefault="001F04FD" w:rsidP="00AC4DEE">
            <w:pPr>
              <w:pStyle w:val="VariableDefinition"/>
              <w:tabs>
                <w:tab w:val="clear" w:pos="2160"/>
              </w:tabs>
              <w:spacing w:after="60"/>
              <w:ind w:left="0" w:firstLine="0"/>
              <w:rPr>
                <w:sz w:val="20"/>
              </w:rPr>
            </w:pPr>
            <w:r w:rsidRPr="0013396E">
              <w:rPr>
                <w:sz w:val="20"/>
              </w:rPr>
              <w:t>For ERS Resources</w:t>
            </w:r>
            <w:r w:rsidRPr="0013396E">
              <w:rPr>
                <w:bCs/>
                <w:sz w:val="20"/>
              </w:rPr>
              <w:t xml:space="preserve"> </w:t>
            </w:r>
            <w:r w:rsidRPr="0013396E">
              <w:rPr>
                <w:bCs/>
                <w:i/>
                <w:sz w:val="20"/>
              </w:rPr>
              <w:t>e</w:t>
            </w:r>
            <w:r w:rsidRPr="0013396E">
              <w:rPr>
                <w:sz w:val="20"/>
              </w:rPr>
              <w:t xml:space="preserve"> whose obligation is not exhausted in an ERS Contract Period</w:t>
            </w:r>
            <w:r w:rsidRPr="0013396E">
              <w:rPr>
                <w:bCs/>
                <w:sz w:val="20"/>
              </w:rPr>
              <w:t xml:space="preserve"> </w:t>
            </w:r>
            <w:r w:rsidRPr="0013396E">
              <w:rPr>
                <w:bCs/>
                <w:i/>
                <w:sz w:val="20"/>
              </w:rPr>
              <w:t xml:space="preserve">c, </w:t>
            </w:r>
            <w:r w:rsidRPr="0013396E">
              <w:rPr>
                <w:sz w:val="20"/>
              </w:rPr>
              <w:t xml:space="preserve">the number of hours in that ERS Time Period </w:t>
            </w:r>
            <w:r w:rsidRPr="0013396E">
              <w:rPr>
                <w:i/>
                <w:sz w:val="20"/>
              </w:rPr>
              <w:t>tp</w:t>
            </w:r>
            <w:r w:rsidRPr="0013396E">
              <w:rPr>
                <w:sz w:val="20"/>
              </w:rPr>
              <w:t xml:space="preserve"> in that ERS Contract Period</w:t>
            </w:r>
            <w:r w:rsidRPr="0013396E">
              <w:rPr>
                <w:bCs/>
                <w:sz w:val="20"/>
              </w:rPr>
              <w:t xml:space="preserve"> </w:t>
            </w:r>
            <w:r w:rsidRPr="0013396E">
              <w:rPr>
                <w:bCs/>
                <w:i/>
                <w:sz w:val="20"/>
              </w:rPr>
              <w:t>c</w:t>
            </w:r>
            <w:r w:rsidRPr="0013396E">
              <w:rPr>
                <w:sz w:val="20"/>
              </w:rPr>
              <w:t>.</w:t>
            </w:r>
          </w:p>
          <w:p w14:paraId="76B10B79" w14:textId="77777777" w:rsidR="001F04FD" w:rsidRPr="0013396E" w:rsidRDefault="001F04FD" w:rsidP="00AC4DEE">
            <w:pPr>
              <w:pStyle w:val="VariableDefinition"/>
              <w:tabs>
                <w:tab w:val="clear" w:pos="2160"/>
              </w:tabs>
              <w:spacing w:after="60"/>
              <w:ind w:left="0" w:firstLine="0"/>
              <w:rPr>
                <w:i/>
                <w:sz w:val="20"/>
              </w:rPr>
            </w:pPr>
            <w:r w:rsidRPr="0013396E">
              <w:rPr>
                <w:sz w:val="20"/>
              </w:rPr>
              <w:t>For ERS Resources</w:t>
            </w:r>
            <w:r w:rsidRPr="0013396E">
              <w:rPr>
                <w:bCs/>
                <w:sz w:val="20"/>
              </w:rPr>
              <w:t xml:space="preserve"> </w:t>
            </w:r>
            <w:r w:rsidRPr="0013396E">
              <w:rPr>
                <w:bCs/>
                <w:i/>
                <w:sz w:val="20"/>
              </w:rPr>
              <w:t>e</w:t>
            </w:r>
            <w:r w:rsidRPr="0013396E">
              <w:rPr>
                <w:sz w:val="20"/>
              </w:rPr>
              <w:t xml:space="preserve"> whose obligation is exhausted in an ERS Contract Period</w:t>
            </w:r>
            <w:r w:rsidRPr="0013396E">
              <w:rPr>
                <w:bCs/>
                <w:sz w:val="20"/>
              </w:rPr>
              <w:t xml:space="preserve"> </w:t>
            </w:r>
            <w:r w:rsidRPr="0013396E">
              <w:rPr>
                <w:bCs/>
                <w:i/>
                <w:sz w:val="20"/>
              </w:rPr>
              <w:t>c</w:t>
            </w:r>
            <w:r w:rsidRPr="0013396E">
              <w:rPr>
                <w:sz w:val="20"/>
              </w:rPr>
              <w:t>, the number of hours in that ERS Time Period</w:t>
            </w:r>
            <w:r w:rsidRPr="0013396E">
              <w:rPr>
                <w:i/>
                <w:sz w:val="20"/>
              </w:rPr>
              <w:t xml:space="preserve"> tp</w:t>
            </w:r>
            <w:r w:rsidRPr="0013396E">
              <w:rPr>
                <w:sz w:val="20"/>
              </w:rPr>
              <w:t xml:space="preserve"> from the beginning of the ERS Contract Period</w:t>
            </w:r>
            <w:r w:rsidRPr="0013396E">
              <w:rPr>
                <w:bCs/>
                <w:sz w:val="20"/>
              </w:rPr>
              <w:t xml:space="preserve"> </w:t>
            </w:r>
            <w:r w:rsidRPr="0013396E">
              <w:rPr>
                <w:bCs/>
                <w:i/>
                <w:sz w:val="20"/>
              </w:rPr>
              <w:t>c</w:t>
            </w:r>
            <w:r w:rsidRPr="0013396E">
              <w:rPr>
                <w:sz w:val="20"/>
              </w:rPr>
              <w:t xml:space="preserve"> to the end of the ERS Standard Contract Term.</w:t>
            </w:r>
          </w:p>
        </w:tc>
      </w:tr>
      <w:tr w:rsidR="001F04FD" w:rsidRPr="0013396E" w14:paraId="77B64151" w14:textId="77777777" w:rsidTr="00AC4DEE">
        <w:trPr>
          <w:cantSplit/>
        </w:trPr>
        <w:tc>
          <w:tcPr>
            <w:tcW w:w="1298" w:type="pct"/>
          </w:tcPr>
          <w:p w14:paraId="3077C918" w14:textId="77777777" w:rsidR="001F04FD" w:rsidRPr="0013396E" w:rsidRDefault="001F04FD" w:rsidP="00AC4DEE">
            <w:pPr>
              <w:pStyle w:val="TableBody"/>
            </w:pPr>
            <w:r w:rsidRPr="0013396E">
              <w:rPr>
                <w:bCs/>
              </w:rPr>
              <w:t xml:space="preserve">ERSTESTPF </w:t>
            </w:r>
            <w:r w:rsidRPr="0013396E">
              <w:rPr>
                <w:bCs/>
                <w:i/>
                <w:vertAlign w:val="subscript"/>
              </w:rPr>
              <w:t>qre</w:t>
            </w:r>
            <w:r w:rsidRPr="0013396E">
              <w:rPr>
                <w:i/>
                <w:iCs w:val="0"/>
                <w:vertAlign w:val="subscript"/>
              </w:rPr>
              <w:t>d</w:t>
            </w:r>
          </w:p>
        </w:tc>
        <w:tc>
          <w:tcPr>
            <w:tcW w:w="566" w:type="pct"/>
          </w:tcPr>
          <w:p w14:paraId="7E6A5C35" w14:textId="77777777" w:rsidR="001F04FD" w:rsidRPr="0013396E" w:rsidRDefault="001F04FD" w:rsidP="00AC4DEE">
            <w:pPr>
              <w:pStyle w:val="VariableDefinition"/>
              <w:tabs>
                <w:tab w:val="clear" w:pos="2160"/>
              </w:tabs>
              <w:spacing w:after="60"/>
              <w:ind w:left="0" w:firstLine="0"/>
              <w:rPr>
                <w:sz w:val="20"/>
              </w:rPr>
            </w:pPr>
            <w:r w:rsidRPr="0013396E">
              <w:rPr>
                <w:iCs w:val="0"/>
                <w:sz w:val="20"/>
              </w:rPr>
              <w:t>None</w:t>
            </w:r>
          </w:p>
        </w:tc>
        <w:tc>
          <w:tcPr>
            <w:tcW w:w="3136" w:type="pct"/>
          </w:tcPr>
          <w:p w14:paraId="51605553" w14:textId="77777777" w:rsidR="001F04FD" w:rsidRPr="0013396E" w:rsidRDefault="001F04FD" w:rsidP="00AC4DEE">
            <w:pPr>
              <w:pStyle w:val="VariableDefinition"/>
              <w:tabs>
                <w:tab w:val="clear" w:pos="2160"/>
              </w:tabs>
              <w:spacing w:after="60"/>
              <w:ind w:left="0" w:firstLine="0"/>
              <w:rPr>
                <w:sz w:val="20"/>
              </w:rPr>
            </w:pPr>
            <w:r w:rsidRPr="0013396E">
              <w:rPr>
                <w:i/>
                <w:iCs w:val="0"/>
                <w:sz w:val="20"/>
              </w:rPr>
              <w:t>ERS Test Performance Factor per QSE per ERS Standard Contract Term per ERS Resource per ERS Service Type</w:t>
            </w:r>
            <w:r w:rsidRPr="0013396E">
              <w:rPr>
                <w:iCs w:val="0"/>
                <w:sz w:val="20"/>
              </w:rPr>
              <w:t xml:space="preserve">—Test performance factor for QSE </w:t>
            </w:r>
            <w:r w:rsidRPr="0013396E">
              <w:rPr>
                <w:i/>
                <w:iCs w:val="0"/>
                <w:sz w:val="20"/>
              </w:rPr>
              <w:t xml:space="preserve">q </w:t>
            </w:r>
            <w:r w:rsidRPr="0013396E">
              <w:rPr>
                <w:iCs w:val="0"/>
                <w:sz w:val="20"/>
              </w:rPr>
              <w:t xml:space="preserve">in ERS Standard Contract Term </w:t>
            </w:r>
            <w:r w:rsidRPr="0013396E">
              <w:rPr>
                <w:i/>
                <w:iCs w:val="0"/>
                <w:sz w:val="20"/>
              </w:rPr>
              <w:t>r</w:t>
            </w:r>
            <w:r w:rsidRPr="0013396E">
              <w:rPr>
                <w:iCs w:val="0"/>
                <w:sz w:val="20"/>
              </w:rPr>
              <w:t xml:space="preserve"> for ERS Resource </w:t>
            </w:r>
            <w:r w:rsidRPr="0013396E">
              <w:rPr>
                <w:i/>
                <w:iCs w:val="0"/>
                <w:sz w:val="20"/>
              </w:rPr>
              <w:t>e</w:t>
            </w:r>
            <w:r w:rsidRPr="0013396E">
              <w:rPr>
                <w:iCs w:val="0"/>
                <w:sz w:val="20"/>
              </w:rPr>
              <w:t xml:space="preserve"> and ERS service type</w:t>
            </w:r>
            <w:r w:rsidRPr="0013396E">
              <w:rPr>
                <w:i/>
                <w:iCs w:val="0"/>
                <w:sz w:val="20"/>
              </w:rPr>
              <w:t xml:space="preserve"> d</w:t>
            </w:r>
            <w:r w:rsidRPr="0013396E">
              <w:rPr>
                <w:iCs w:val="0"/>
                <w:sz w:val="20"/>
              </w:rPr>
              <w:t xml:space="preserve"> as calculated pursuant to Section 8.1.3.3.1, Suspension of Qualification of Non-Weather-Sensitive Emergency Response Service Resources and/or their Qualified Scheduling Entities.</w:t>
            </w:r>
          </w:p>
        </w:tc>
      </w:tr>
      <w:tr w:rsidR="001F04FD" w:rsidRPr="0013396E" w14:paraId="0D544E07" w14:textId="77777777" w:rsidTr="00AC4DEE">
        <w:trPr>
          <w:cantSplit/>
        </w:trPr>
        <w:tc>
          <w:tcPr>
            <w:tcW w:w="1298" w:type="pct"/>
          </w:tcPr>
          <w:p w14:paraId="25F4BD68" w14:textId="77777777" w:rsidR="001F04FD" w:rsidRPr="0013396E" w:rsidRDefault="001F04FD" w:rsidP="00AC4DEE">
            <w:pPr>
              <w:pStyle w:val="TableBody"/>
            </w:pPr>
            <w:r w:rsidRPr="0013396E">
              <w:t xml:space="preserve">SPDELMW </w:t>
            </w:r>
            <w:r w:rsidRPr="0013396E">
              <w:rPr>
                <w:i/>
                <w:vertAlign w:val="subscript"/>
              </w:rPr>
              <w:t>qc(tp)d</w:t>
            </w:r>
          </w:p>
        </w:tc>
        <w:tc>
          <w:tcPr>
            <w:tcW w:w="566" w:type="pct"/>
          </w:tcPr>
          <w:p w14:paraId="391317B9" w14:textId="77777777" w:rsidR="001F04FD" w:rsidRPr="0013396E" w:rsidRDefault="001F04FD" w:rsidP="00AC4DEE">
            <w:pPr>
              <w:pStyle w:val="VariableDefinition"/>
              <w:tabs>
                <w:tab w:val="clear" w:pos="2160"/>
              </w:tabs>
              <w:spacing w:after="60"/>
              <w:ind w:left="0" w:firstLine="0"/>
              <w:rPr>
                <w:sz w:val="20"/>
              </w:rPr>
            </w:pPr>
            <w:r w:rsidRPr="0013396E">
              <w:rPr>
                <w:sz w:val="20"/>
              </w:rPr>
              <w:t>MW</w:t>
            </w:r>
          </w:p>
        </w:tc>
        <w:tc>
          <w:tcPr>
            <w:tcW w:w="3136" w:type="pct"/>
          </w:tcPr>
          <w:p w14:paraId="2C81DEFD" w14:textId="77777777" w:rsidR="001F04FD" w:rsidRPr="0013396E" w:rsidRDefault="001F04FD" w:rsidP="00AC4DEE">
            <w:pPr>
              <w:pStyle w:val="VariableDefinition"/>
              <w:tabs>
                <w:tab w:val="clear" w:pos="2160"/>
              </w:tabs>
              <w:spacing w:after="60"/>
              <w:ind w:left="0" w:firstLine="0"/>
              <w:rPr>
                <w:i/>
                <w:sz w:val="20"/>
              </w:rPr>
            </w:pPr>
            <w:r w:rsidRPr="0013396E">
              <w:rPr>
                <w:i/>
                <w:sz w:val="20"/>
              </w:rPr>
              <w:t>Self-Provided Delivered MW</w:t>
            </w:r>
            <w:r w:rsidRPr="0013396E">
              <w:rPr>
                <w:sz w:val="20"/>
              </w:rPr>
              <w:t xml:space="preserve"> </w:t>
            </w:r>
            <w:r w:rsidRPr="0013396E">
              <w:rPr>
                <w:i/>
                <w:sz w:val="20"/>
              </w:rPr>
              <w:t>per QSE per ERS Contract Period per ERS Resource per ERS Time Period per ERS Service Type</w:t>
            </w:r>
            <w:r w:rsidRPr="0013396E">
              <w:t>—</w:t>
            </w:r>
            <w:r w:rsidRPr="0013396E">
              <w:rPr>
                <w:sz w:val="20"/>
              </w:rPr>
              <w:t xml:space="preserve">Total ERS capacity self-provided and delivered by QSE </w:t>
            </w:r>
            <w:r w:rsidRPr="0013396E">
              <w:rPr>
                <w:i/>
                <w:sz w:val="20"/>
              </w:rPr>
              <w:t xml:space="preserve">q </w:t>
            </w:r>
            <w:r w:rsidRPr="0013396E">
              <w:rPr>
                <w:bCs/>
                <w:sz w:val="20"/>
              </w:rPr>
              <w:t xml:space="preserve">for </w:t>
            </w:r>
            <w:r w:rsidRPr="0013396E">
              <w:rPr>
                <w:sz w:val="20"/>
              </w:rPr>
              <w:t xml:space="preserve">ERS Contract Period </w:t>
            </w:r>
            <w:r w:rsidRPr="0013396E">
              <w:rPr>
                <w:i/>
                <w:sz w:val="20"/>
              </w:rPr>
              <w:t xml:space="preserve">c, </w:t>
            </w:r>
            <w:r w:rsidRPr="0013396E">
              <w:rPr>
                <w:sz w:val="20"/>
              </w:rPr>
              <w:t xml:space="preserve">ERS Resource </w:t>
            </w:r>
            <w:r w:rsidRPr="0013396E">
              <w:rPr>
                <w:i/>
                <w:sz w:val="20"/>
              </w:rPr>
              <w:t>e</w:t>
            </w:r>
            <w:r w:rsidRPr="0013396E">
              <w:rPr>
                <w:sz w:val="20"/>
              </w:rPr>
              <w:t xml:space="preserve">, ERS Time Period </w:t>
            </w:r>
            <w:r w:rsidRPr="0013396E">
              <w:rPr>
                <w:i/>
                <w:sz w:val="20"/>
              </w:rPr>
              <w:t xml:space="preserve">tp </w:t>
            </w:r>
            <w:r w:rsidRPr="0013396E">
              <w:rPr>
                <w:sz w:val="20"/>
              </w:rPr>
              <w:t xml:space="preserve">and ERS service type </w:t>
            </w:r>
            <w:r w:rsidRPr="0013396E">
              <w:rPr>
                <w:i/>
                <w:sz w:val="20"/>
              </w:rPr>
              <w:t>d</w:t>
            </w:r>
            <w:r w:rsidRPr="0013396E">
              <w:rPr>
                <w:sz w:val="20"/>
              </w:rPr>
              <w:t>.</w:t>
            </w:r>
          </w:p>
        </w:tc>
      </w:tr>
      <w:tr w:rsidR="001F04FD" w:rsidRPr="0013396E" w14:paraId="7C567DC9" w14:textId="77777777" w:rsidTr="00AC4DEE">
        <w:trPr>
          <w:cantSplit/>
        </w:trPr>
        <w:tc>
          <w:tcPr>
            <w:tcW w:w="1298" w:type="pct"/>
          </w:tcPr>
          <w:p w14:paraId="76422C45" w14:textId="77777777" w:rsidR="001F04FD" w:rsidRPr="0013396E" w:rsidRDefault="001F04FD" w:rsidP="00AC4DEE">
            <w:pPr>
              <w:pStyle w:val="TableBody"/>
            </w:pPr>
            <w:r w:rsidRPr="0013396E">
              <w:lastRenderedPageBreak/>
              <w:t xml:space="preserve">COMPDELQSEMW </w:t>
            </w:r>
            <w:r w:rsidRPr="0013396E">
              <w:rPr>
                <w:i/>
                <w:vertAlign w:val="subscript"/>
              </w:rPr>
              <w:t>qc(tp)d</w:t>
            </w:r>
          </w:p>
        </w:tc>
        <w:tc>
          <w:tcPr>
            <w:tcW w:w="566" w:type="pct"/>
          </w:tcPr>
          <w:p w14:paraId="63A94914" w14:textId="77777777" w:rsidR="001F04FD" w:rsidRPr="0013396E" w:rsidRDefault="001F04FD" w:rsidP="00AC4DEE">
            <w:pPr>
              <w:pStyle w:val="VariableDefinition"/>
              <w:tabs>
                <w:tab w:val="clear" w:pos="2160"/>
              </w:tabs>
              <w:spacing w:after="60"/>
              <w:ind w:left="0" w:firstLine="0"/>
              <w:rPr>
                <w:sz w:val="20"/>
              </w:rPr>
            </w:pPr>
            <w:r w:rsidRPr="0013396E">
              <w:rPr>
                <w:sz w:val="20"/>
              </w:rPr>
              <w:t>MW</w:t>
            </w:r>
          </w:p>
        </w:tc>
        <w:tc>
          <w:tcPr>
            <w:tcW w:w="3136" w:type="pct"/>
          </w:tcPr>
          <w:p w14:paraId="70656166" w14:textId="77777777" w:rsidR="001F04FD" w:rsidRPr="0013396E" w:rsidRDefault="001F04FD" w:rsidP="00AC4DEE">
            <w:pPr>
              <w:pStyle w:val="VariableDefinition"/>
              <w:tabs>
                <w:tab w:val="clear" w:pos="2160"/>
              </w:tabs>
              <w:spacing w:after="60"/>
              <w:ind w:left="0" w:firstLine="0"/>
              <w:rPr>
                <w:i/>
                <w:sz w:val="20"/>
              </w:rPr>
            </w:pPr>
            <w:r w:rsidRPr="0013396E">
              <w:rPr>
                <w:i/>
                <w:sz w:val="20"/>
              </w:rPr>
              <w:t>Competitive Delivered MW Total per QSE per ERS Contract Period per ERS Time Period per ERS service type</w:t>
            </w:r>
            <w:r w:rsidRPr="0013396E">
              <w:rPr>
                <w:sz w:val="20"/>
              </w:rPr>
              <w:t xml:space="preserve">—Total ERS competitive capacity delivered by QSE </w:t>
            </w:r>
            <w:r w:rsidRPr="0013396E">
              <w:rPr>
                <w:i/>
                <w:sz w:val="20"/>
              </w:rPr>
              <w:t xml:space="preserve">q </w:t>
            </w:r>
            <w:r w:rsidRPr="0013396E">
              <w:rPr>
                <w:bCs/>
                <w:sz w:val="20"/>
              </w:rPr>
              <w:t xml:space="preserve">for ERS Contract Period </w:t>
            </w:r>
            <w:r w:rsidRPr="0013396E">
              <w:rPr>
                <w:bCs/>
                <w:i/>
                <w:sz w:val="20"/>
              </w:rPr>
              <w:t xml:space="preserve">c </w:t>
            </w:r>
            <w:r w:rsidRPr="0013396E">
              <w:rPr>
                <w:bCs/>
                <w:sz w:val="20"/>
              </w:rPr>
              <w:t xml:space="preserve">and </w:t>
            </w:r>
            <w:r w:rsidRPr="0013396E">
              <w:rPr>
                <w:sz w:val="20"/>
              </w:rPr>
              <w:t>ERS Time Period</w:t>
            </w:r>
            <w:r w:rsidRPr="0013396E">
              <w:rPr>
                <w:i/>
                <w:sz w:val="20"/>
              </w:rPr>
              <w:t xml:space="preserve"> tp</w:t>
            </w:r>
            <w:r w:rsidRPr="0013396E">
              <w:rPr>
                <w:sz w:val="20"/>
              </w:rPr>
              <w:t xml:space="preserve"> and ERS service type</w:t>
            </w:r>
            <w:r w:rsidRPr="0013396E">
              <w:rPr>
                <w:i/>
                <w:sz w:val="20"/>
              </w:rPr>
              <w:t xml:space="preserve"> d</w:t>
            </w:r>
            <w:r w:rsidRPr="0013396E">
              <w:rPr>
                <w:sz w:val="20"/>
              </w:rPr>
              <w:t>.</w:t>
            </w:r>
          </w:p>
        </w:tc>
      </w:tr>
      <w:tr w:rsidR="001F04FD" w:rsidRPr="0013396E" w14:paraId="141C722F" w14:textId="77777777" w:rsidTr="00AC4DEE">
        <w:trPr>
          <w:cantSplit/>
        </w:trPr>
        <w:tc>
          <w:tcPr>
            <w:tcW w:w="1298" w:type="pct"/>
          </w:tcPr>
          <w:p w14:paraId="1D24926A" w14:textId="77777777" w:rsidR="001F04FD" w:rsidRPr="0013396E" w:rsidRDefault="001F04FD" w:rsidP="00AC4DEE">
            <w:pPr>
              <w:pStyle w:val="TableBody"/>
            </w:pPr>
            <w:r w:rsidRPr="0013396E">
              <w:t xml:space="preserve">COMPDELMWTOT </w:t>
            </w:r>
            <w:r w:rsidRPr="0013396E">
              <w:rPr>
                <w:i/>
                <w:vertAlign w:val="subscript"/>
              </w:rPr>
              <w:t>c(tp)d</w:t>
            </w:r>
          </w:p>
        </w:tc>
        <w:tc>
          <w:tcPr>
            <w:tcW w:w="566" w:type="pct"/>
          </w:tcPr>
          <w:p w14:paraId="1F11B2DE" w14:textId="77777777" w:rsidR="001F04FD" w:rsidRPr="0013396E" w:rsidRDefault="001F04FD" w:rsidP="00AC4DEE">
            <w:pPr>
              <w:pStyle w:val="VariableDefinition"/>
              <w:tabs>
                <w:tab w:val="clear" w:pos="2160"/>
              </w:tabs>
              <w:spacing w:after="60"/>
              <w:ind w:left="0" w:firstLine="0"/>
              <w:rPr>
                <w:sz w:val="20"/>
              </w:rPr>
            </w:pPr>
            <w:r w:rsidRPr="0013396E">
              <w:rPr>
                <w:sz w:val="20"/>
              </w:rPr>
              <w:t>MW</w:t>
            </w:r>
          </w:p>
        </w:tc>
        <w:tc>
          <w:tcPr>
            <w:tcW w:w="3136" w:type="pct"/>
          </w:tcPr>
          <w:p w14:paraId="0507B7A2" w14:textId="77777777" w:rsidR="001F04FD" w:rsidRPr="0013396E" w:rsidRDefault="001F04FD" w:rsidP="00AC4DEE">
            <w:pPr>
              <w:pStyle w:val="VariableDefinition"/>
              <w:tabs>
                <w:tab w:val="clear" w:pos="2160"/>
              </w:tabs>
              <w:spacing w:after="60"/>
              <w:ind w:left="0" w:firstLine="0"/>
              <w:rPr>
                <w:sz w:val="20"/>
              </w:rPr>
            </w:pPr>
            <w:r w:rsidRPr="0013396E">
              <w:rPr>
                <w:i/>
                <w:sz w:val="20"/>
              </w:rPr>
              <w:t>Competitive Delivered MW Total per ERS Contract Period per ERS Time Period per ERS Service Type</w:t>
            </w:r>
            <w:r w:rsidRPr="0013396E">
              <w:t>—</w:t>
            </w:r>
            <w:r w:rsidRPr="0013396E">
              <w:rPr>
                <w:sz w:val="20"/>
              </w:rPr>
              <w:t xml:space="preserve">Total ERS competitive capacity delivered by all QSEs </w:t>
            </w:r>
            <w:r w:rsidRPr="0013396E">
              <w:rPr>
                <w:bCs/>
                <w:sz w:val="20"/>
              </w:rPr>
              <w:t xml:space="preserve">for ERS Contract Period </w:t>
            </w:r>
            <w:r w:rsidRPr="0013396E">
              <w:rPr>
                <w:bCs/>
                <w:i/>
                <w:sz w:val="20"/>
              </w:rPr>
              <w:t>c</w:t>
            </w:r>
            <w:r w:rsidRPr="0013396E">
              <w:rPr>
                <w:bCs/>
                <w:sz w:val="20"/>
              </w:rPr>
              <w:t xml:space="preserve">, </w:t>
            </w:r>
            <w:r w:rsidRPr="0013396E">
              <w:rPr>
                <w:sz w:val="20"/>
              </w:rPr>
              <w:t>ERS Time Period</w:t>
            </w:r>
            <w:r w:rsidRPr="0013396E">
              <w:rPr>
                <w:i/>
                <w:sz w:val="20"/>
              </w:rPr>
              <w:t xml:space="preserve"> tp </w:t>
            </w:r>
            <w:r w:rsidRPr="0013396E">
              <w:rPr>
                <w:sz w:val="20"/>
              </w:rPr>
              <w:t xml:space="preserve">and ERS service type </w:t>
            </w:r>
            <w:r w:rsidRPr="0013396E">
              <w:rPr>
                <w:i/>
                <w:sz w:val="20"/>
              </w:rPr>
              <w:t>d</w:t>
            </w:r>
            <w:r w:rsidRPr="0013396E">
              <w:rPr>
                <w:sz w:val="20"/>
              </w:rPr>
              <w:t>.</w:t>
            </w:r>
          </w:p>
        </w:tc>
      </w:tr>
      <w:tr w:rsidR="001F04FD" w:rsidRPr="0013396E" w14:paraId="1CE18EC8" w14:textId="77777777" w:rsidTr="00AC4DEE">
        <w:trPr>
          <w:cantSplit/>
        </w:trPr>
        <w:tc>
          <w:tcPr>
            <w:tcW w:w="1298" w:type="pct"/>
          </w:tcPr>
          <w:p w14:paraId="22552E9F" w14:textId="77777777" w:rsidR="001F04FD" w:rsidRPr="0013396E" w:rsidRDefault="001F04FD" w:rsidP="00AC4DEE">
            <w:pPr>
              <w:pStyle w:val="TableBody"/>
            </w:pPr>
            <w:r w:rsidRPr="0013396E">
              <w:t xml:space="preserve">SPDELQSEMW </w:t>
            </w:r>
            <w:r w:rsidRPr="0013396E">
              <w:rPr>
                <w:i/>
                <w:vertAlign w:val="subscript"/>
              </w:rPr>
              <w:t>qc(tp)d</w:t>
            </w:r>
          </w:p>
        </w:tc>
        <w:tc>
          <w:tcPr>
            <w:tcW w:w="566" w:type="pct"/>
          </w:tcPr>
          <w:p w14:paraId="38EA506B" w14:textId="77777777" w:rsidR="001F04FD" w:rsidRPr="0013396E" w:rsidRDefault="001F04FD" w:rsidP="00AC4DEE">
            <w:pPr>
              <w:pStyle w:val="VariableDefinition"/>
              <w:tabs>
                <w:tab w:val="clear" w:pos="2160"/>
              </w:tabs>
              <w:spacing w:after="60"/>
              <w:ind w:left="0" w:firstLine="0"/>
              <w:rPr>
                <w:sz w:val="20"/>
              </w:rPr>
            </w:pPr>
            <w:r w:rsidRPr="0013396E">
              <w:rPr>
                <w:sz w:val="20"/>
              </w:rPr>
              <w:t>MW</w:t>
            </w:r>
          </w:p>
        </w:tc>
        <w:tc>
          <w:tcPr>
            <w:tcW w:w="3136" w:type="pct"/>
          </w:tcPr>
          <w:p w14:paraId="101BFDBA" w14:textId="77777777" w:rsidR="001F04FD" w:rsidRPr="0013396E" w:rsidRDefault="001F04FD" w:rsidP="00E91BBF">
            <w:pPr>
              <w:pStyle w:val="VariableDefinition"/>
              <w:tabs>
                <w:tab w:val="clear" w:pos="2160"/>
              </w:tabs>
              <w:spacing w:after="60"/>
              <w:ind w:left="0" w:firstLine="0"/>
              <w:rPr>
                <w:i/>
                <w:sz w:val="20"/>
              </w:rPr>
            </w:pPr>
            <w:r w:rsidRPr="0013396E">
              <w:rPr>
                <w:i/>
                <w:sz w:val="20"/>
              </w:rPr>
              <w:t xml:space="preserve">Self-Provision Delivered Total MW per QSE per ERS Contract Period per ERS Time Period per ERS </w:t>
            </w:r>
            <w:r w:rsidR="00E91BBF" w:rsidRPr="0013396E">
              <w:rPr>
                <w:i/>
                <w:sz w:val="20"/>
              </w:rPr>
              <w:t>S</w:t>
            </w:r>
            <w:r w:rsidRPr="0013396E">
              <w:rPr>
                <w:i/>
                <w:sz w:val="20"/>
              </w:rPr>
              <w:t xml:space="preserve">ervice </w:t>
            </w:r>
            <w:r w:rsidR="00E91BBF" w:rsidRPr="0013396E">
              <w:rPr>
                <w:i/>
                <w:sz w:val="20"/>
              </w:rPr>
              <w:t>T</w:t>
            </w:r>
            <w:r w:rsidRPr="0013396E">
              <w:rPr>
                <w:i/>
                <w:sz w:val="20"/>
              </w:rPr>
              <w:t>ype</w:t>
            </w:r>
            <w:r w:rsidRPr="0013396E">
              <w:rPr>
                <w:sz w:val="20"/>
              </w:rPr>
              <w:t xml:space="preserve">—Total ERS self-provision capacity delivered by QSE </w:t>
            </w:r>
            <w:r w:rsidRPr="0013396E">
              <w:rPr>
                <w:i/>
                <w:sz w:val="20"/>
              </w:rPr>
              <w:t>q</w:t>
            </w:r>
            <w:r w:rsidRPr="0013396E">
              <w:rPr>
                <w:sz w:val="20"/>
              </w:rPr>
              <w:t xml:space="preserve"> </w:t>
            </w:r>
            <w:r w:rsidRPr="0013396E">
              <w:rPr>
                <w:bCs/>
                <w:sz w:val="20"/>
              </w:rPr>
              <w:t xml:space="preserve">for ERS Contract Period </w:t>
            </w:r>
            <w:r w:rsidRPr="0013396E">
              <w:rPr>
                <w:bCs/>
                <w:i/>
                <w:sz w:val="20"/>
              </w:rPr>
              <w:t xml:space="preserve">c </w:t>
            </w:r>
            <w:r w:rsidRPr="0013396E">
              <w:rPr>
                <w:bCs/>
                <w:sz w:val="20"/>
              </w:rPr>
              <w:t xml:space="preserve">and </w:t>
            </w:r>
            <w:r w:rsidRPr="0013396E">
              <w:rPr>
                <w:sz w:val="20"/>
              </w:rPr>
              <w:t>ERS Time Period</w:t>
            </w:r>
            <w:r w:rsidRPr="0013396E">
              <w:rPr>
                <w:i/>
                <w:sz w:val="20"/>
              </w:rPr>
              <w:t xml:space="preserve"> tp</w:t>
            </w:r>
            <w:r w:rsidRPr="0013396E">
              <w:rPr>
                <w:sz w:val="20"/>
              </w:rPr>
              <w:t xml:space="preserve"> and ERS service type</w:t>
            </w:r>
            <w:r w:rsidRPr="0013396E">
              <w:rPr>
                <w:i/>
                <w:sz w:val="20"/>
              </w:rPr>
              <w:t xml:space="preserve"> d</w:t>
            </w:r>
            <w:r w:rsidRPr="0013396E">
              <w:rPr>
                <w:sz w:val="20"/>
              </w:rPr>
              <w:t>.</w:t>
            </w:r>
          </w:p>
        </w:tc>
      </w:tr>
      <w:tr w:rsidR="001F04FD" w:rsidRPr="0013396E" w14:paraId="0DE5BAE6" w14:textId="77777777" w:rsidTr="00AC4DEE">
        <w:trPr>
          <w:cantSplit/>
        </w:trPr>
        <w:tc>
          <w:tcPr>
            <w:tcW w:w="1298" w:type="pct"/>
          </w:tcPr>
          <w:p w14:paraId="142F49B4" w14:textId="77777777" w:rsidR="001F04FD" w:rsidRPr="0013396E" w:rsidRDefault="001F04FD" w:rsidP="00AC4DEE">
            <w:pPr>
              <w:pStyle w:val="TableBody"/>
            </w:pPr>
            <w:r w:rsidRPr="0013396E">
              <w:t xml:space="preserve">SPDELMWTOT </w:t>
            </w:r>
            <w:r w:rsidRPr="0013396E">
              <w:rPr>
                <w:i/>
                <w:vertAlign w:val="subscript"/>
              </w:rPr>
              <w:t>c(tp)d</w:t>
            </w:r>
          </w:p>
        </w:tc>
        <w:tc>
          <w:tcPr>
            <w:tcW w:w="566" w:type="pct"/>
          </w:tcPr>
          <w:p w14:paraId="752B36F5" w14:textId="77777777" w:rsidR="001F04FD" w:rsidRPr="0013396E" w:rsidRDefault="001F04FD" w:rsidP="00AC4DEE">
            <w:pPr>
              <w:pStyle w:val="VariableDefinition"/>
              <w:tabs>
                <w:tab w:val="clear" w:pos="2160"/>
              </w:tabs>
              <w:spacing w:after="60"/>
              <w:ind w:left="0" w:firstLine="0"/>
              <w:rPr>
                <w:sz w:val="20"/>
              </w:rPr>
            </w:pPr>
            <w:r w:rsidRPr="0013396E">
              <w:rPr>
                <w:sz w:val="20"/>
              </w:rPr>
              <w:t>MW</w:t>
            </w:r>
          </w:p>
        </w:tc>
        <w:tc>
          <w:tcPr>
            <w:tcW w:w="3136" w:type="pct"/>
          </w:tcPr>
          <w:p w14:paraId="15E85A87" w14:textId="77777777" w:rsidR="001F04FD" w:rsidRPr="0013396E" w:rsidRDefault="001F04FD" w:rsidP="00E91BBF">
            <w:pPr>
              <w:pStyle w:val="VariableDefinition"/>
              <w:tabs>
                <w:tab w:val="clear" w:pos="2160"/>
              </w:tabs>
              <w:spacing w:after="60"/>
              <w:ind w:left="0" w:firstLine="0"/>
              <w:rPr>
                <w:i/>
                <w:sz w:val="20"/>
              </w:rPr>
            </w:pPr>
            <w:r w:rsidRPr="0013396E">
              <w:rPr>
                <w:i/>
                <w:sz w:val="20"/>
              </w:rPr>
              <w:t xml:space="preserve">Self-Provision Delivered Total MW per ERS Contract Period per ERS Time Period per ERS </w:t>
            </w:r>
            <w:r w:rsidR="00E91BBF" w:rsidRPr="0013396E">
              <w:rPr>
                <w:i/>
                <w:sz w:val="20"/>
              </w:rPr>
              <w:t>S</w:t>
            </w:r>
            <w:r w:rsidRPr="0013396E">
              <w:rPr>
                <w:i/>
                <w:sz w:val="20"/>
              </w:rPr>
              <w:t xml:space="preserve">ervice </w:t>
            </w:r>
            <w:r w:rsidR="00E91BBF" w:rsidRPr="0013396E">
              <w:rPr>
                <w:i/>
                <w:sz w:val="20"/>
              </w:rPr>
              <w:t>T</w:t>
            </w:r>
            <w:r w:rsidRPr="0013396E">
              <w:rPr>
                <w:i/>
                <w:sz w:val="20"/>
              </w:rPr>
              <w:t>ype</w:t>
            </w:r>
            <w:r w:rsidRPr="0013396E">
              <w:rPr>
                <w:sz w:val="20"/>
              </w:rPr>
              <w:t xml:space="preserve">—Total ERS self-provision capacity delivered by all QSE </w:t>
            </w:r>
            <w:r w:rsidRPr="0013396E">
              <w:rPr>
                <w:i/>
                <w:sz w:val="20"/>
              </w:rPr>
              <w:t xml:space="preserve">q </w:t>
            </w:r>
            <w:r w:rsidRPr="0013396E">
              <w:rPr>
                <w:bCs/>
                <w:sz w:val="20"/>
              </w:rPr>
              <w:t xml:space="preserve">for ERS Contract Period </w:t>
            </w:r>
            <w:r w:rsidRPr="0013396E">
              <w:rPr>
                <w:bCs/>
                <w:i/>
                <w:sz w:val="20"/>
              </w:rPr>
              <w:t xml:space="preserve">c </w:t>
            </w:r>
            <w:r w:rsidRPr="0013396E">
              <w:rPr>
                <w:bCs/>
                <w:sz w:val="20"/>
              </w:rPr>
              <w:t xml:space="preserve">and </w:t>
            </w:r>
            <w:r w:rsidRPr="0013396E">
              <w:rPr>
                <w:sz w:val="20"/>
              </w:rPr>
              <w:t>ERS Time Period</w:t>
            </w:r>
            <w:r w:rsidRPr="0013396E">
              <w:rPr>
                <w:i/>
                <w:sz w:val="20"/>
              </w:rPr>
              <w:t xml:space="preserve"> tp</w:t>
            </w:r>
            <w:r w:rsidRPr="0013396E">
              <w:rPr>
                <w:sz w:val="20"/>
              </w:rPr>
              <w:t xml:space="preserve"> and ERS service type</w:t>
            </w:r>
            <w:r w:rsidRPr="0013396E">
              <w:rPr>
                <w:i/>
                <w:sz w:val="20"/>
              </w:rPr>
              <w:t xml:space="preserve"> d</w:t>
            </w:r>
            <w:r w:rsidRPr="0013396E">
              <w:rPr>
                <w:sz w:val="20"/>
              </w:rPr>
              <w:t>.</w:t>
            </w:r>
          </w:p>
        </w:tc>
      </w:tr>
      <w:tr w:rsidR="001F04FD" w:rsidRPr="0013396E" w14:paraId="44AA002B" w14:textId="77777777" w:rsidTr="00AC4DEE">
        <w:trPr>
          <w:cantSplit/>
        </w:trPr>
        <w:tc>
          <w:tcPr>
            <w:tcW w:w="1298" w:type="pct"/>
          </w:tcPr>
          <w:p w14:paraId="413FB277" w14:textId="77777777" w:rsidR="001F04FD" w:rsidRPr="0013396E" w:rsidRDefault="001F04FD" w:rsidP="00AC4DEE">
            <w:pPr>
              <w:pStyle w:val="TableBody"/>
            </w:pPr>
            <w:r w:rsidRPr="0013396E">
              <w:t xml:space="preserve">COMPOFFERMW </w:t>
            </w:r>
            <w:r w:rsidRPr="0013396E">
              <w:rPr>
                <w:i/>
                <w:vertAlign w:val="subscript"/>
              </w:rPr>
              <w:t>qce(tp)d</w:t>
            </w:r>
          </w:p>
        </w:tc>
        <w:tc>
          <w:tcPr>
            <w:tcW w:w="566" w:type="pct"/>
          </w:tcPr>
          <w:p w14:paraId="43AE5FD0" w14:textId="77777777" w:rsidR="001F04FD" w:rsidRPr="0013396E" w:rsidRDefault="001F04FD" w:rsidP="00AC4DEE">
            <w:pPr>
              <w:pStyle w:val="VariableDefinition"/>
              <w:tabs>
                <w:tab w:val="clear" w:pos="2160"/>
              </w:tabs>
              <w:spacing w:after="60"/>
              <w:ind w:left="0" w:firstLine="0"/>
              <w:rPr>
                <w:sz w:val="20"/>
              </w:rPr>
            </w:pPr>
            <w:r w:rsidRPr="0013396E">
              <w:rPr>
                <w:sz w:val="20"/>
              </w:rPr>
              <w:t>MW</w:t>
            </w:r>
          </w:p>
        </w:tc>
        <w:tc>
          <w:tcPr>
            <w:tcW w:w="3136" w:type="pct"/>
          </w:tcPr>
          <w:p w14:paraId="139E8D93" w14:textId="77777777" w:rsidR="001F04FD" w:rsidRPr="0013396E" w:rsidRDefault="001F04FD" w:rsidP="00AC4DEE">
            <w:pPr>
              <w:pStyle w:val="VariableDefinition"/>
              <w:tabs>
                <w:tab w:val="clear" w:pos="2160"/>
              </w:tabs>
              <w:spacing w:after="60"/>
              <w:ind w:left="0" w:firstLine="0"/>
              <w:rPr>
                <w:sz w:val="20"/>
              </w:rPr>
            </w:pPr>
            <w:r w:rsidRPr="0013396E">
              <w:rPr>
                <w:i/>
                <w:sz w:val="20"/>
              </w:rPr>
              <w:t>Competitive Offered MW Total per QSE per ERS Contract Period per ERS Resource per ERS Time Period per ERS Service Type</w:t>
            </w:r>
            <w:r w:rsidRPr="0013396E">
              <w:t>—</w:t>
            </w:r>
            <w:r w:rsidRPr="0013396E">
              <w:rPr>
                <w:sz w:val="20"/>
              </w:rPr>
              <w:t xml:space="preserve">ERS capacity </w:t>
            </w:r>
            <w:r w:rsidRPr="0013396E">
              <w:rPr>
                <w:bCs/>
                <w:sz w:val="20"/>
              </w:rPr>
              <w:t xml:space="preserve">offered </w:t>
            </w:r>
            <w:r w:rsidRPr="0013396E">
              <w:rPr>
                <w:sz w:val="20"/>
              </w:rPr>
              <w:t xml:space="preserve">by QSE </w:t>
            </w:r>
            <w:r w:rsidRPr="0013396E">
              <w:rPr>
                <w:i/>
                <w:sz w:val="20"/>
              </w:rPr>
              <w:t xml:space="preserve">q </w:t>
            </w:r>
            <w:r w:rsidRPr="0013396E">
              <w:rPr>
                <w:bCs/>
                <w:sz w:val="20"/>
              </w:rPr>
              <w:t xml:space="preserve">for ERS Contract Period </w:t>
            </w:r>
            <w:r w:rsidRPr="0013396E">
              <w:rPr>
                <w:bCs/>
                <w:i/>
                <w:sz w:val="20"/>
              </w:rPr>
              <w:t>c</w:t>
            </w:r>
            <w:r w:rsidRPr="0013396E">
              <w:rPr>
                <w:bCs/>
                <w:sz w:val="20"/>
              </w:rPr>
              <w:t xml:space="preserve">, competitive ERS Resource </w:t>
            </w:r>
            <w:r w:rsidRPr="0013396E">
              <w:rPr>
                <w:bCs/>
                <w:i/>
                <w:sz w:val="20"/>
              </w:rPr>
              <w:t>e</w:t>
            </w:r>
            <w:r w:rsidRPr="0013396E">
              <w:rPr>
                <w:bCs/>
                <w:sz w:val="20"/>
              </w:rPr>
              <w:t xml:space="preserve"> </w:t>
            </w:r>
            <w:r w:rsidRPr="0013396E">
              <w:rPr>
                <w:sz w:val="20"/>
              </w:rPr>
              <w:t xml:space="preserve">and ERS Time Period </w:t>
            </w:r>
            <w:r w:rsidRPr="0013396E">
              <w:rPr>
                <w:i/>
                <w:sz w:val="20"/>
              </w:rPr>
              <w:t>tp</w:t>
            </w:r>
            <w:r w:rsidRPr="0013396E">
              <w:rPr>
                <w:sz w:val="20"/>
              </w:rPr>
              <w:t xml:space="preserve"> and ERS service type </w:t>
            </w:r>
            <w:r w:rsidRPr="0013396E">
              <w:rPr>
                <w:i/>
                <w:sz w:val="20"/>
              </w:rPr>
              <w:t>d</w:t>
            </w:r>
            <w:r w:rsidRPr="0013396E">
              <w:rPr>
                <w:sz w:val="20"/>
              </w:rPr>
              <w:t>.</w:t>
            </w:r>
          </w:p>
        </w:tc>
      </w:tr>
      <w:tr w:rsidR="001F04FD" w:rsidRPr="0013396E" w14:paraId="53DDE8E7" w14:textId="77777777" w:rsidTr="00AC4DEE">
        <w:trPr>
          <w:cantSplit/>
        </w:trPr>
        <w:tc>
          <w:tcPr>
            <w:tcW w:w="1298" w:type="pct"/>
          </w:tcPr>
          <w:p w14:paraId="48D53B33" w14:textId="77777777" w:rsidR="001F04FD" w:rsidRPr="0013396E" w:rsidRDefault="001F04FD" w:rsidP="00AC4DEE">
            <w:pPr>
              <w:pStyle w:val="TableBody"/>
            </w:pPr>
            <w:r w:rsidRPr="0013396E">
              <w:t>ERSAFWT</w:t>
            </w:r>
            <w:r w:rsidRPr="0013396E">
              <w:rPr>
                <w:vertAlign w:val="subscript"/>
              </w:rPr>
              <w:t xml:space="preserve"> </w:t>
            </w:r>
            <w:r w:rsidRPr="0013396E">
              <w:rPr>
                <w:i/>
                <w:vertAlign w:val="subscript"/>
              </w:rPr>
              <w:t>qcd</w:t>
            </w:r>
          </w:p>
        </w:tc>
        <w:tc>
          <w:tcPr>
            <w:tcW w:w="566" w:type="pct"/>
          </w:tcPr>
          <w:p w14:paraId="374CFB9B" w14:textId="77777777" w:rsidR="001F04FD" w:rsidRPr="0013396E" w:rsidRDefault="001F04FD" w:rsidP="00AC4DEE">
            <w:pPr>
              <w:pStyle w:val="VariableDefinition"/>
              <w:tabs>
                <w:tab w:val="clear" w:pos="2160"/>
              </w:tabs>
              <w:spacing w:after="60"/>
              <w:ind w:left="0" w:firstLine="0"/>
              <w:rPr>
                <w:sz w:val="20"/>
              </w:rPr>
            </w:pPr>
            <w:r w:rsidRPr="0013396E">
              <w:rPr>
                <w:sz w:val="20"/>
              </w:rPr>
              <w:t>None</w:t>
            </w:r>
          </w:p>
        </w:tc>
        <w:tc>
          <w:tcPr>
            <w:tcW w:w="3136" w:type="pct"/>
          </w:tcPr>
          <w:p w14:paraId="1F5D2840" w14:textId="77777777" w:rsidR="001F04FD" w:rsidRPr="0013396E" w:rsidRDefault="001F04FD" w:rsidP="00AC4DEE">
            <w:pPr>
              <w:pStyle w:val="VariableDefinition"/>
              <w:tabs>
                <w:tab w:val="clear" w:pos="2160"/>
              </w:tabs>
              <w:spacing w:after="60"/>
              <w:ind w:left="0" w:firstLine="0"/>
              <w:rPr>
                <w:i/>
                <w:sz w:val="20"/>
              </w:rPr>
            </w:pPr>
            <w:r w:rsidRPr="0013396E">
              <w:rPr>
                <w:i/>
                <w:sz w:val="20"/>
              </w:rPr>
              <w:t>Availability Settlement weighting factor per QSE per ERS Contract Period per ERS Service Type</w:t>
            </w:r>
            <w:r w:rsidRPr="0013396E">
              <w:t>—</w:t>
            </w:r>
            <w:r w:rsidRPr="0013396E">
              <w:rPr>
                <w:sz w:val="20"/>
              </w:rPr>
              <w:t xml:space="preserve">The weighting factor for QSE </w:t>
            </w:r>
            <w:r w:rsidRPr="0013396E">
              <w:rPr>
                <w:i/>
                <w:sz w:val="20"/>
              </w:rPr>
              <w:t xml:space="preserve">q </w:t>
            </w:r>
            <w:r w:rsidRPr="0013396E">
              <w:rPr>
                <w:sz w:val="20"/>
              </w:rPr>
              <w:t>for ERS Contract Period</w:t>
            </w:r>
            <w:r w:rsidRPr="0013396E">
              <w:rPr>
                <w:i/>
                <w:sz w:val="20"/>
              </w:rPr>
              <w:t xml:space="preserve"> c</w:t>
            </w:r>
            <w:r w:rsidRPr="0013396E">
              <w:rPr>
                <w:sz w:val="20"/>
              </w:rPr>
              <w:t xml:space="preserve">, and ERS service type </w:t>
            </w:r>
            <w:r w:rsidRPr="0013396E">
              <w:rPr>
                <w:i/>
                <w:sz w:val="20"/>
              </w:rPr>
              <w:t xml:space="preserve">d </w:t>
            </w:r>
            <w:r w:rsidRPr="0013396E">
              <w:rPr>
                <w:sz w:val="20"/>
              </w:rPr>
              <w:t>to apply for Settlement as calculated pursuant to Section 8.1.3.1.3.3, Contract Period Availability Calculations for Emergency Response Service Resources.</w:t>
            </w:r>
          </w:p>
        </w:tc>
      </w:tr>
      <w:tr w:rsidR="001F04FD" w:rsidRPr="0013396E" w14:paraId="266F4AC7" w14:textId="77777777" w:rsidTr="00AC4DEE">
        <w:trPr>
          <w:cantSplit/>
        </w:trPr>
        <w:tc>
          <w:tcPr>
            <w:tcW w:w="1298" w:type="pct"/>
          </w:tcPr>
          <w:p w14:paraId="033CD4F7" w14:textId="77777777" w:rsidR="001F04FD" w:rsidRPr="0013396E" w:rsidRDefault="001F04FD" w:rsidP="00AC4DEE">
            <w:pPr>
              <w:pStyle w:val="TableBody"/>
            </w:pPr>
            <w:r w:rsidRPr="0013396E">
              <w:t xml:space="preserve">ERSAFCOMB </w:t>
            </w:r>
            <w:r w:rsidRPr="0013396E">
              <w:rPr>
                <w:i/>
                <w:vertAlign w:val="subscript"/>
              </w:rPr>
              <w:t>qrd</w:t>
            </w:r>
          </w:p>
        </w:tc>
        <w:tc>
          <w:tcPr>
            <w:tcW w:w="566" w:type="pct"/>
          </w:tcPr>
          <w:p w14:paraId="4FC2C28C" w14:textId="77777777" w:rsidR="001F04FD" w:rsidRPr="0013396E" w:rsidRDefault="001F04FD" w:rsidP="00AC4DEE">
            <w:pPr>
              <w:pStyle w:val="VariableDefinition"/>
              <w:tabs>
                <w:tab w:val="clear" w:pos="2160"/>
              </w:tabs>
              <w:spacing w:after="60"/>
              <w:ind w:left="0" w:firstLine="0"/>
              <w:rPr>
                <w:sz w:val="20"/>
              </w:rPr>
            </w:pPr>
            <w:r w:rsidRPr="0013396E">
              <w:rPr>
                <w:sz w:val="20"/>
              </w:rPr>
              <w:t>None</w:t>
            </w:r>
          </w:p>
        </w:tc>
        <w:tc>
          <w:tcPr>
            <w:tcW w:w="3136" w:type="pct"/>
          </w:tcPr>
          <w:p w14:paraId="7DAE6540" w14:textId="77777777" w:rsidR="001F04FD" w:rsidRPr="0013396E" w:rsidRDefault="001F04FD" w:rsidP="00AC4DEE">
            <w:pPr>
              <w:pStyle w:val="VariableDefinition"/>
              <w:tabs>
                <w:tab w:val="clear" w:pos="2160"/>
              </w:tabs>
              <w:spacing w:after="60"/>
              <w:ind w:left="0" w:firstLine="0"/>
              <w:rPr>
                <w:sz w:val="20"/>
              </w:rPr>
            </w:pPr>
            <w:r w:rsidRPr="0013396E">
              <w:rPr>
                <w:i/>
                <w:sz w:val="20"/>
              </w:rPr>
              <w:t>Time- and Capacity-Weighted ERS Availability Factor per QSE per ERS Standard Contract Term per ERS Service Type</w:t>
            </w:r>
            <w:r w:rsidRPr="0013396E">
              <w:t>—</w:t>
            </w:r>
            <w:r w:rsidRPr="0013396E">
              <w:rPr>
                <w:sz w:val="20"/>
              </w:rPr>
              <w:t xml:space="preserve">The availability factor for QSE </w:t>
            </w:r>
            <w:r w:rsidRPr="0013396E">
              <w:rPr>
                <w:i/>
                <w:sz w:val="20"/>
              </w:rPr>
              <w:t>q</w:t>
            </w:r>
            <w:r w:rsidRPr="0013396E">
              <w:rPr>
                <w:sz w:val="20"/>
              </w:rPr>
              <w:t xml:space="preserve"> for ERS Standard Contract Term </w:t>
            </w:r>
            <w:r w:rsidRPr="0013396E">
              <w:rPr>
                <w:i/>
                <w:sz w:val="20"/>
              </w:rPr>
              <w:t>r</w:t>
            </w:r>
            <w:r w:rsidRPr="0013396E">
              <w:rPr>
                <w:sz w:val="20"/>
              </w:rPr>
              <w:t xml:space="preserve"> and ERS service type </w:t>
            </w:r>
            <w:r w:rsidRPr="0013396E">
              <w:rPr>
                <w:i/>
                <w:sz w:val="20"/>
              </w:rPr>
              <w:t xml:space="preserve">d, </w:t>
            </w:r>
            <w:r w:rsidRPr="0013396E">
              <w:rPr>
                <w:sz w:val="20"/>
              </w:rPr>
              <w:t>as calculated pursuant to Section 8.1.3.3, Payment Reductions and Suspension of Qualification of Emergency Response Service Resources and/or their Qualified Scheduling Entities.</w:t>
            </w:r>
          </w:p>
        </w:tc>
      </w:tr>
      <w:tr w:rsidR="001F04FD" w:rsidRPr="0013396E" w14:paraId="43E7D63F" w14:textId="77777777" w:rsidTr="00AC4DEE">
        <w:trPr>
          <w:cantSplit/>
        </w:trPr>
        <w:tc>
          <w:tcPr>
            <w:tcW w:w="1298" w:type="pct"/>
          </w:tcPr>
          <w:p w14:paraId="169477F5" w14:textId="77777777" w:rsidR="001F04FD" w:rsidRPr="0013396E" w:rsidRDefault="001F04FD" w:rsidP="00AC4DEE">
            <w:pPr>
              <w:pStyle w:val="TableBody"/>
            </w:pPr>
            <w:r w:rsidRPr="0013396E">
              <w:t xml:space="preserve">ERSEPF </w:t>
            </w:r>
            <w:r w:rsidRPr="0013396E">
              <w:rPr>
                <w:i/>
                <w:vertAlign w:val="subscript"/>
              </w:rPr>
              <w:t>qrd</w:t>
            </w:r>
          </w:p>
        </w:tc>
        <w:tc>
          <w:tcPr>
            <w:tcW w:w="566" w:type="pct"/>
          </w:tcPr>
          <w:p w14:paraId="58CAA64D" w14:textId="77777777" w:rsidR="001F04FD" w:rsidRPr="0013396E" w:rsidRDefault="001F04FD" w:rsidP="00AC4DEE">
            <w:pPr>
              <w:pStyle w:val="VariableDefinition"/>
              <w:tabs>
                <w:tab w:val="clear" w:pos="2160"/>
              </w:tabs>
              <w:spacing w:after="60"/>
              <w:ind w:left="0" w:firstLine="0"/>
              <w:rPr>
                <w:sz w:val="20"/>
              </w:rPr>
            </w:pPr>
            <w:r w:rsidRPr="0013396E">
              <w:rPr>
                <w:sz w:val="20"/>
              </w:rPr>
              <w:t>None</w:t>
            </w:r>
          </w:p>
        </w:tc>
        <w:tc>
          <w:tcPr>
            <w:tcW w:w="3136" w:type="pct"/>
          </w:tcPr>
          <w:p w14:paraId="715ACFEE" w14:textId="77777777" w:rsidR="001F04FD" w:rsidRPr="0013396E" w:rsidRDefault="001F04FD" w:rsidP="00AC4DEE">
            <w:pPr>
              <w:pStyle w:val="VariableDefinition"/>
              <w:tabs>
                <w:tab w:val="clear" w:pos="2160"/>
              </w:tabs>
              <w:spacing w:after="60"/>
              <w:ind w:left="0" w:firstLine="0"/>
              <w:rPr>
                <w:i/>
                <w:sz w:val="20"/>
              </w:rPr>
            </w:pPr>
            <w:r w:rsidRPr="0013396E">
              <w:rPr>
                <w:i/>
                <w:sz w:val="20"/>
              </w:rPr>
              <w:t>ERS Event Performance Factor per QSE per ERS Standard Contract Term per ERS Service Type</w:t>
            </w:r>
            <w:r w:rsidRPr="0013396E">
              <w:t>—</w:t>
            </w:r>
            <w:r w:rsidRPr="0013396E">
              <w:rPr>
                <w:sz w:val="20"/>
              </w:rPr>
              <w:t xml:space="preserve">Event performance factor for QSE </w:t>
            </w:r>
            <w:r w:rsidRPr="0013396E">
              <w:rPr>
                <w:i/>
                <w:sz w:val="20"/>
              </w:rPr>
              <w:t xml:space="preserve">q </w:t>
            </w:r>
            <w:r w:rsidRPr="0013396E">
              <w:rPr>
                <w:sz w:val="20"/>
              </w:rPr>
              <w:t xml:space="preserve">in ERS Standard Contract Term </w:t>
            </w:r>
            <w:r w:rsidRPr="0013396E">
              <w:rPr>
                <w:i/>
                <w:sz w:val="20"/>
              </w:rPr>
              <w:t>r</w:t>
            </w:r>
            <w:r w:rsidRPr="0013396E">
              <w:rPr>
                <w:sz w:val="20"/>
              </w:rPr>
              <w:t xml:space="preserve"> and ERS service type </w:t>
            </w:r>
            <w:r w:rsidRPr="0013396E">
              <w:rPr>
                <w:i/>
                <w:sz w:val="20"/>
              </w:rPr>
              <w:t xml:space="preserve">d </w:t>
            </w:r>
            <w:r w:rsidRPr="0013396E">
              <w:rPr>
                <w:sz w:val="20"/>
              </w:rPr>
              <w:t>as calculated pursuant to Section 8.1.3.3.1.</w:t>
            </w:r>
          </w:p>
        </w:tc>
      </w:tr>
      <w:tr w:rsidR="001F04FD" w:rsidRPr="0013396E" w14:paraId="44DC62F5" w14:textId="77777777" w:rsidTr="00AC4DEE">
        <w:trPr>
          <w:cantSplit/>
        </w:trPr>
        <w:tc>
          <w:tcPr>
            <w:tcW w:w="1298" w:type="pct"/>
          </w:tcPr>
          <w:p w14:paraId="3013013C" w14:textId="77777777" w:rsidR="001F04FD" w:rsidRPr="0013396E" w:rsidRDefault="001F04FD" w:rsidP="00AC4DEE">
            <w:pPr>
              <w:pStyle w:val="TableBody"/>
            </w:pPr>
            <w:r w:rsidRPr="0013396E">
              <w:t xml:space="preserve">SPCUL </w:t>
            </w:r>
            <w:r w:rsidRPr="0013396E">
              <w:rPr>
                <w:i/>
                <w:vertAlign w:val="subscript"/>
              </w:rPr>
              <w:t>qc(tp)d</w:t>
            </w:r>
          </w:p>
        </w:tc>
        <w:tc>
          <w:tcPr>
            <w:tcW w:w="566" w:type="pct"/>
          </w:tcPr>
          <w:p w14:paraId="6423262C" w14:textId="77777777" w:rsidR="001F04FD" w:rsidRPr="0013396E" w:rsidRDefault="001F04FD" w:rsidP="00AC4DEE">
            <w:pPr>
              <w:pStyle w:val="VariableDefinition"/>
              <w:tabs>
                <w:tab w:val="clear" w:pos="2160"/>
              </w:tabs>
              <w:spacing w:after="60"/>
              <w:ind w:left="0" w:firstLine="0"/>
            </w:pPr>
            <w:r w:rsidRPr="0013396E">
              <w:rPr>
                <w:bCs/>
                <w:sz w:val="20"/>
              </w:rPr>
              <w:t>MW</w:t>
            </w:r>
          </w:p>
        </w:tc>
        <w:tc>
          <w:tcPr>
            <w:tcW w:w="3136" w:type="pct"/>
          </w:tcPr>
          <w:p w14:paraId="337C5BD9" w14:textId="77777777" w:rsidR="001F04FD" w:rsidRPr="0013396E" w:rsidRDefault="001F04FD" w:rsidP="00AC4DEE">
            <w:pPr>
              <w:pStyle w:val="VariableDefinition"/>
              <w:tabs>
                <w:tab w:val="clear" w:pos="2160"/>
              </w:tabs>
              <w:spacing w:after="60"/>
              <w:ind w:left="0" w:firstLine="0"/>
              <w:rPr>
                <w:i/>
                <w:sz w:val="20"/>
              </w:rPr>
            </w:pPr>
            <w:r w:rsidRPr="0013396E">
              <w:rPr>
                <w:i/>
                <w:sz w:val="20"/>
              </w:rPr>
              <w:t>Self-Provision Capacity Upper Limit per QSE per ERS Contract Period per ERS Time Period per ERS Service Type</w:t>
            </w:r>
            <w:r w:rsidRPr="0013396E">
              <w:t>—</w:t>
            </w:r>
            <w:r w:rsidRPr="0013396E">
              <w:rPr>
                <w:sz w:val="20"/>
              </w:rPr>
              <w:t>The ERS Self-Provision Capacity Upper Limit</w:t>
            </w:r>
            <w:r w:rsidRPr="0013396E" w:rsidDel="009C4A0B">
              <w:rPr>
                <w:sz w:val="20"/>
              </w:rPr>
              <w:t xml:space="preserve"> </w:t>
            </w:r>
            <w:r w:rsidRPr="0013396E">
              <w:rPr>
                <w:sz w:val="20"/>
              </w:rPr>
              <w:t xml:space="preserve">calculated by ERCOT for a self-providing QSE for ERS Contract Period </w:t>
            </w:r>
            <w:r w:rsidRPr="0013396E">
              <w:rPr>
                <w:i/>
                <w:sz w:val="20"/>
              </w:rPr>
              <w:t>c</w:t>
            </w:r>
            <w:r w:rsidRPr="0013396E">
              <w:rPr>
                <w:sz w:val="20"/>
              </w:rPr>
              <w:t xml:space="preserve"> and ERS Time Period </w:t>
            </w:r>
            <w:r w:rsidRPr="0013396E">
              <w:rPr>
                <w:i/>
                <w:sz w:val="20"/>
              </w:rPr>
              <w:t>tp</w:t>
            </w:r>
            <w:r w:rsidRPr="0013396E">
              <w:rPr>
                <w:sz w:val="20"/>
              </w:rPr>
              <w:t xml:space="preserve"> by simultaneously solving for all QSEs’ obligations with the constraint that each QSE’s ERS Self-Provision Capacity Upper Limit</w:t>
            </w:r>
            <w:r w:rsidRPr="0013396E" w:rsidDel="009C4A0B">
              <w:rPr>
                <w:sz w:val="20"/>
              </w:rPr>
              <w:t xml:space="preserve"> </w:t>
            </w:r>
            <w:r w:rsidRPr="0013396E">
              <w:rPr>
                <w:sz w:val="20"/>
              </w:rPr>
              <w:t>does not exceed its obligation.</w:t>
            </w:r>
          </w:p>
        </w:tc>
      </w:tr>
      <w:tr w:rsidR="001F04FD" w:rsidRPr="0013396E" w14:paraId="0011BE5C" w14:textId="77777777" w:rsidTr="00AC4DEE">
        <w:trPr>
          <w:cantSplit/>
        </w:trPr>
        <w:tc>
          <w:tcPr>
            <w:tcW w:w="1298" w:type="pct"/>
          </w:tcPr>
          <w:p w14:paraId="55CD23A6" w14:textId="77777777" w:rsidR="001F04FD" w:rsidRPr="0013396E" w:rsidRDefault="001F04FD" w:rsidP="00AC4DEE">
            <w:pPr>
              <w:pStyle w:val="TableBody"/>
            </w:pPr>
            <w:r w:rsidRPr="0013396E">
              <w:t xml:space="preserve">SPOFFERMW </w:t>
            </w:r>
            <w:r w:rsidRPr="0013396E">
              <w:rPr>
                <w:i/>
                <w:vertAlign w:val="subscript"/>
              </w:rPr>
              <w:t>qce(tp)d</w:t>
            </w:r>
          </w:p>
        </w:tc>
        <w:tc>
          <w:tcPr>
            <w:tcW w:w="566" w:type="pct"/>
          </w:tcPr>
          <w:p w14:paraId="39DD7E8E" w14:textId="77777777" w:rsidR="001F04FD" w:rsidRPr="0013396E" w:rsidRDefault="001F04FD" w:rsidP="00AC4DEE">
            <w:pPr>
              <w:pStyle w:val="VariableDefinition"/>
              <w:tabs>
                <w:tab w:val="clear" w:pos="2160"/>
              </w:tabs>
              <w:spacing w:after="60"/>
              <w:ind w:left="0" w:firstLine="0"/>
            </w:pPr>
            <w:r w:rsidRPr="0013396E">
              <w:rPr>
                <w:sz w:val="20"/>
              </w:rPr>
              <w:t>MW</w:t>
            </w:r>
          </w:p>
        </w:tc>
        <w:tc>
          <w:tcPr>
            <w:tcW w:w="3136" w:type="pct"/>
          </w:tcPr>
          <w:p w14:paraId="014CF2F8" w14:textId="77777777" w:rsidR="001F04FD" w:rsidRPr="0013396E" w:rsidRDefault="001F04FD" w:rsidP="00AC4DEE">
            <w:pPr>
              <w:pStyle w:val="VariableDefinition"/>
              <w:tabs>
                <w:tab w:val="clear" w:pos="2160"/>
              </w:tabs>
              <w:spacing w:after="60"/>
              <w:ind w:left="0" w:firstLine="0"/>
              <w:rPr>
                <w:i/>
                <w:sz w:val="20"/>
              </w:rPr>
            </w:pPr>
            <w:r w:rsidRPr="0013396E">
              <w:rPr>
                <w:i/>
                <w:sz w:val="20"/>
              </w:rPr>
              <w:t>Self-Provision Offer MW per QSE per ERS Contract Period per ERS Resource per ERS Time Period per ERS Service Type</w:t>
            </w:r>
            <w:r w:rsidRPr="0013396E">
              <w:t>—</w:t>
            </w:r>
            <w:r w:rsidRPr="0013396E">
              <w:rPr>
                <w:sz w:val="20"/>
              </w:rPr>
              <w:t xml:space="preserve">ERS capacity offered as self-provision by QSE </w:t>
            </w:r>
            <w:r w:rsidRPr="0013396E">
              <w:rPr>
                <w:i/>
                <w:sz w:val="20"/>
              </w:rPr>
              <w:t xml:space="preserve">q </w:t>
            </w:r>
            <w:r w:rsidRPr="0013396E">
              <w:rPr>
                <w:sz w:val="20"/>
              </w:rPr>
              <w:t xml:space="preserve">for ERS Contract Period </w:t>
            </w:r>
            <w:r w:rsidRPr="0013396E">
              <w:rPr>
                <w:i/>
                <w:sz w:val="20"/>
              </w:rPr>
              <w:t>c</w:t>
            </w:r>
            <w:r w:rsidRPr="0013396E">
              <w:rPr>
                <w:sz w:val="20"/>
              </w:rPr>
              <w:t xml:space="preserve">, ERS Resource </w:t>
            </w:r>
            <w:r w:rsidRPr="0013396E">
              <w:rPr>
                <w:i/>
                <w:sz w:val="20"/>
              </w:rPr>
              <w:t>e</w:t>
            </w:r>
            <w:r w:rsidRPr="0013396E">
              <w:rPr>
                <w:sz w:val="20"/>
              </w:rPr>
              <w:t>, ERS Time Period</w:t>
            </w:r>
            <w:r w:rsidRPr="0013396E">
              <w:rPr>
                <w:i/>
                <w:sz w:val="20"/>
              </w:rPr>
              <w:t xml:space="preserve"> tp</w:t>
            </w:r>
            <w:r w:rsidRPr="0013396E">
              <w:rPr>
                <w:sz w:val="20"/>
              </w:rPr>
              <w:t xml:space="preserve"> and ERS service type </w:t>
            </w:r>
            <w:r w:rsidRPr="0013396E">
              <w:rPr>
                <w:i/>
                <w:sz w:val="20"/>
              </w:rPr>
              <w:t>d</w:t>
            </w:r>
            <w:r w:rsidRPr="0013396E">
              <w:rPr>
                <w:sz w:val="20"/>
              </w:rPr>
              <w:t>.</w:t>
            </w:r>
          </w:p>
        </w:tc>
      </w:tr>
      <w:tr w:rsidR="001F04FD" w:rsidRPr="0013396E" w14:paraId="2E3472BE" w14:textId="77777777" w:rsidTr="00AC4DEE">
        <w:trPr>
          <w:cantSplit/>
        </w:trPr>
        <w:tc>
          <w:tcPr>
            <w:tcW w:w="1298" w:type="pct"/>
          </w:tcPr>
          <w:p w14:paraId="43C06D9F" w14:textId="77777777" w:rsidR="001F04FD" w:rsidRPr="0013396E" w:rsidRDefault="001F04FD" w:rsidP="00AC4DEE">
            <w:pPr>
              <w:pStyle w:val="TableBody"/>
            </w:pPr>
            <w:r w:rsidRPr="0013396E">
              <w:lastRenderedPageBreak/>
              <w:t xml:space="preserve">ERSLRS </w:t>
            </w:r>
            <w:r w:rsidRPr="0013396E">
              <w:rPr>
                <w:i/>
                <w:vertAlign w:val="subscript"/>
              </w:rPr>
              <w:t>qc(tp)</w:t>
            </w:r>
          </w:p>
        </w:tc>
        <w:tc>
          <w:tcPr>
            <w:tcW w:w="566" w:type="pct"/>
          </w:tcPr>
          <w:p w14:paraId="483A3374" w14:textId="77777777" w:rsidR="001F04FD" w:rsidRPr="0013396E" w:rsidRDefault="001F04FD" w:rsidP="00AC4DEE">
            <w:pPr>
              <w:pStyle w:val="VariableDefinition"/>
              <w:tabs>
                <w:tab w:val="clear" w:pos="2160"/>
              </w:tabs>
              <w:spacing w:after="60"/>
              <w:ind w:left="0" w:firstLine="0"/>
            </w:pPr>
            <w:r w:rsidRPr="0013396E">
              <w:rPr>
                <w:sz w:val="20"/>
              </w:rPr>
              <w:t>None</w:t>
            </w:r>
          </w:p>
        </w:tc>
        <w:tc>
          <w:tcPr>
            <w:tcW w:w="3136" w:type="pct"/>
          </w:tcPr>
          <w:p w14:paraId="7BD4CFCA" w14:textId="77777777" w:rsidR="001F04FD" w:rsidRPr="0013396E" w:rsidRDefault="001F04FD" w:rsidP="00AC4DEE">
            <w:pPr>
              <w:pStyle w:val="VariableDefinition"/>
              <w:tabs>
                <w:tab w:val="clear" w:pos="2160"/>
              </w:tabs>
              <w:spacing w:after="60"/>
              <w:ind w:left="0" w:firstLine="0"/>
              <w:rPr>
                <w:i/>
                <w:sz w:val="20"/>
              </w:rPr>
            </w:pPr>
            <w:r w:rsidRPr="0013396E">
              <w:rPr>
                <w:i/>
                <w:sz w:val="20"/>
              </w:rPr>
              <w:t>ERS Load Ratio Share per QSE per ERS Contract Period per ERS Time Period per ERS Service Type</w:t>
            </w:r>
            <w:r w:rsidRPr="0013396E">
              <w:t>—</w:t>
            </w:r>
            <w:r w:rsidRPr="0013396E">
              <w:rPr>
                <w:sz w:val="20"/>
              </w:rPr>
              <w:t xml:space="preserve">ERS LRS for QSE </w:t>
            </w:r>
            <w:r w:rsidRPr="0013396E">
              <w:rPr>
                <w:i/>
                <w:sz w:val="20"/>
              </w:rPr>
              <w:t xml:space="preserve">q </w:t>
            </w:r>
            <w:r w:rsidRPr="0013396E">
              <w:rPr>
                <w:bCs/>
                <w:sz w:val="20"/>
              </w:rPr>
              <w:t xml:space="preserve">for </w:t>
            </w:r>
            <w:r w:rsidRPr="0013396E">
              <w:rPr>
                <w:sz w:val="20"/>
              </w:rPr>
              <w:t xml:space="preserve">ERS Contract Period </w:t>
            </w:r>
            <w:r w:rsidRPr="0013396E">
              <w:rPr>
                <w:i/>
                <w:sz w:val="20"/>
              </w:rPr>
              <w:t>c</w:t>
            </w:r>
            <w:r w:rsidRPr="0013396E">
              <w:rPr>
                <w:sz w:val="20"/>
              </w:rPr>
              <w:t>, ERS Time Period</w:t>
            </w:r>
            <w:r w:rsidRPr="0013396E">
              <w:rPr>
                <w:i/>
                <w:sz w:val="20"/>
              </w:rPr>
              <w:t xml:space="preserve"> tp </w:t>
            </w:r>
            <w:r w:rsidRPr="0013396E">
              <w:rPr>
                <w:sz w:val="20"/>
              </w:rPr>
              <w:t xml:space="preserve">and ERS service type </w:t>
            </w:r>
            <w:r w:rsidRPr="0013396E">
              <w:rPr>
                <w:i/>
                <w:sz w:val="20"/>
              </w:rPr>
              <w:t xml:space="preserve">d, </w:t>
            </w:r>
            <w:r w:rsidRPr="0013396E">
              <w:rPr>
                <w:sz w:val="20"/>
              </w:rPr>
              <w:t>calculated starting with the first hour of the ERS Contract Period and ending with the earlier of the last hour of the ERS Contract Period or the hour containing the recall instruction in an ERS deployment event that results in the exhaustion of a QSE portfolio’s ERS obligation.</w:t>
            </w:r>
            <w:r w:rsidR="00BD4C7C" w:rsidRPr="0013396E">
              <w:rPr>
                <w:sz w:val="20"/>
              </w:rPr>
              <w:t xml:space="preserve">  </w:t>
            </w:r>
            <w:r w:rsidR="00BD4C7C" w:rsidRPr="0013396E">
              <w:rPr>
                <w:iCs w:val="0"/>
                <w:sz w:val="20"/>
              </w:rPr>
              <w:t>If the resultant QSE-level share is negative, the QSE’s share will be set to zero and all other QSE shares will be adjusted on a pro rata basis such that the sum of all shares is equal to one.</w:t>
            </w:r>
          </w:p>
        </w:tc>
      </w:tr>
      <w:tr w:rsidR="001F04FD" w:rsidRPr="0013396E" w14:paraId="61B9CC94" w14:textId="77777777" w:rsidTr="00AC4DEE">
        <w:trPr>
          <w:cantSplit/>
        </w:trPr>
        <w:tc>
          <w:tcPr>
            <w:tcW w:w="1298" w:type="pct"/>
          </w:tcPr>
          <w:p w14:paraId="2D22AE54" w14:textId="77777777" w:rsidR="001F04FD" w:rsidRPr="0013396E" w:rsidRDefault="001F04FD" w:rsidP="00AC4DEE">
            <w:pPr>
              <w:pStyle w:val="TableBody"/>
              <w:rPr>
                <w:i/>
              </w:rPr>
            </w:pPr>
            <w:r w:rsidRPr="0013396E">
              <w:rPr>
                <w:i/>
              </w:rPr>
              <w:t>q</w:t>
            </w:r>
          </w:p>
        </w:tc>
        <w:tc>
          <w:tcPr>
            <w:tcW w:w="566" w:type="pct"/>
          </w:tcPr>
          <w:p w14:paraId="2686950C" w14:textId="77777777" w:rsidR="001F04FD" w:rsidRPr="0013396E" w:rsidRDefault="001F04FD" w:rsidP="00AC4DEE">
            <w:pPr>
              <w:pStyle w:val="TableBody"/>
            </w:pPr>
            <w:r w:rsidRPr="0013396E">
              <w:t>None</w:t>
            </w:r>
          </w:p>
        </w:tc>
        <w:tc>
          <w:tcPr>
            <w:tcW w:w="3136" w:type="pct"/>
          </w:tcPr>
          <w:p w14:paraId="1410C09C" w14:textId="77777777" w:rsidR="001F04FD" w:rsidRPr="0013396E" w:rsidRDefault="001F04FD" w:rsidP="00AC4DEE">
            <w:pPr>
              <w:pStyle w:val="TableBody"/>
            </w:pPr>
            <w:r w:rsidRPr="0013396E">
              <w:t>A QSE.</w:t>
            </w:r>
          </w:p>
        </w:tc>
      </w:tr>
      <w:tr w:rsidR="001F04FD" w:rsidRPr="0013396E" w14:paraId="37B0D374" w14:textId="77777777" w:rsidTr="00AC4DEE">
        <w:trPr>
          <w:cantSplit/>
        </w:trPr>
        <w:tc>
          <w:tcPr>
            <w:tcW w:w="1298" w:type="pct"/>
          </w:tcPr>
          <w:p w14:paraId="2FEA348A" w14:textId="77777777" w:rsidR="001F04FD" w:rsidRPr="0013396E" w:rsidRDefault="001F04FD" w:rsidP="00AC4DEE">
            <w:pPr>
              <w:pStyle w:val="TableBody"/>
              <w:rPr>
                <w:i/>
              </w:rPr>
            </w:pPr>
            <w:r w:rsidRPr="0013396E">
              <w:rPr>
                <w:i/>
              </w:rPr>
              <w:t>c</w:t>
            </w:r>
          </w:p>
        </w:tc>
        <w:tc>
          <w:tcPr>
            <w:tcW w:w="566" w:type="pct"/>
          </w:tcPr>
          <w:p w14:paraId="46EE65C1" w14:textId="77777777" w:rsidR="001F04FD" w:rsidRPr="0013396E" w:rsidRDefault="001F04FD" w:rsidP="00AC4DEE">
            <w:pPr>
              <w:pStyle w:val="TableBody"/>
            </w:pPr>
            <w:r w:rsidRPr="0013396E">
              <w:t>None</w:t>
            </w:r>
          </w:p>
        </w:tc>
        <w:tc>
          <w:tcPr>
            <w:tcW w:w="3136" w:type="pct"/>
          </w:tcPr>
          <w:p w14:paraId="42C26BDD" w14:textId="77777777" w:rsidR="001F04FD" w:rsidRPr="0013396E" w:rsidRDefault="001F04FD" w:rsidP="00AC4DEE">
            <w:pPr>
              <w:pStyle w:val="TableBody"/>
            </w:pPr>
            <w:r w:rsidRPr="0013396E">
              <w:t>ERS Contract Period.</w:t>
            </w:r>
          </w:p>
        </w:tc>
      </w:tr>
      <w:tr w:rsidR="001F04FD" w:rsidRPr="0013396E" w14:paraId="6D7896BD" w14:textId="77777777" w:rsidTr="00AC4DEE">
        <w:trPr>
          <w:cantSplit/>
        </w:trPr>
        <w:tc>
          <w:tcPr>
            <w:tcW w:w="1298" w:type="pct"/>
          </w:tcPr>
          <w:p w14:paraId="15ACDEA3" w14:textId="77777777" w:rsidR="001F04FD" w:rsidRPr="0013396E" w:rsidRDefault="001F04FD" w:rsidP="00AC4DEE">
            <w:pPr>
              <w:pStyle w:val="TableBody"/>
              <w:rPr>
                <w:i/>
              </w:rPr>
            </w:pPr>
            <w:r w:rsidRPr="0013396E">
              <w:rPr>
                <w:i/>
              </w:rPr>
              <w:t>r</w:t>
            </w:r>
          </w:p>
        </w:tc>
        <w:tc>
          <w:tcPr>
            <w:tcW w:w="566" w:type="pct"/>
          </w:tcPr>
          <w:p w14:paraId="23E5D05C" w14:textId="77777777" w:rsidR="001F04FD" w:rsidRPr="0013396E" w:rsidRDefault="001F04FD" w:rsidP="00AC4DEE">
            <w:pPr>
              <w:pStyle w:val="TableBody"/>
            </w:pPr>
            <w:r w:rsidRPr="0013396E">
              <w:t>None</w:t>
            </w:r>
          </w:p>
        </w:tc>
        <w:tc>
          <w:tcPr>
            <w:tcW w:w="3136" w:type="pct"/>
          </w:tcPr>
          <w:p w14:paraId="4277154A" w14:textId="77777777" w:rsidR="001F04FD" w:rsidRPr="0013396E" w:rsidRDefault="001F04FD" w:rsidP="00AC4DEE">
            <w:pPr>
              <w:pStyle w:val="TableBody"/>
            </w:pPr>
            <w:r w:rsidRPr="0013396E">
              <w:t>ERS Standard Contract Term.</w:t>
            </w:r>
          </w:p>
        </w:tc>
      </w:tr>
      <w:tr w:rsidR="001F04FD" w:rsidRPr="0013396E" w14:paraId="18637D59" w14:textId="77777777" w:rsidTr="00AC4DEE">
        <w:trPr>
          <w:cantSplit/>
        </w:trPr>
        <w:tc>
          <w:tcPr>
            <w:tcW w:w="1298" w:type="pct"/>
          </w:tcPr>
          <w:p w14:paraId="463BCF37" w14:textId="77777777" w:rsidR="001F04FD" w:rsidRPr="0013396E" w:rsidRDefault="001F04FD" w:rsidP="00AC4DEE">
            <w:pPr>
              <w:pStyle w:val="TableBody"/>
              <w:rPr>
                <w:i/>
              </w:rPr>
            </w:pPr>
            <w:r w:rsidRPr="0013396E">
              <w:rPr>
                <w:i/>
              </w:rPr>
              <w:t>tp</w:t>
            </w:r>
          </w:p>
        </w:tc>
        <w:tc>
          <w:tcPr>
            <w:tcW w:w="566" w:type="pct"/>
          </w:tcPr>
          <w:p w14:paraId="7F8942E0" w14:textId="77777777" w:rsidR="001F04FD" w:rsidRPr="0013396E" w:rsidRDefault="001F04FD" w:rsidP="00AC4DEE">
            <w:pPr>
              <w:pStyle w:val="TableBody"/>
            </w:pPr>
            <w:r w:rsidRPr="0013396E">
              <w:t>None</w:t>
            </w:r>
          </w:p>
        </w:tc>
        <w:tc>
          <w:tcPr>
            <w:tcW w:w="3136" w:type="pct"/>
          </w:tcPr>
          <w:p w14:paraId="4FD779AB" w14:textId="77777777" w:rsidR="001F04FD" w:rsidRPr="0013396E" w:rsidRDefault="001F04FD" w:rsidP="00AC4DEE">
            <w:pPr>
              <w:pStyle w:val="TableBody"/>
            </w:pPr>
            <w:r w:rsidRPr="0013396E">
              <w:t>Hours in an ERS Time Period.</w:t>
            </w:r>
          </w:p>
        </w:tc>
      </w:tr>
      <w:tr w:rsidR="001F04FD" w:rsidRPr="0013396E" w14:paraId="6D886661" w14:textId="77777777" w:rsidTr="00AC4DEE">
        <w:trPr>
          <w:cantSplit/>
        </w:trPr>
        <w:tc>
          <w:tcPr>
            <w:tcW w:w="1298" w:type="pct"/>
          </w:tcPr>
          <w:p w14:paraId="3BCC8C36" w14:textId="77777777" w:rsidR="001F04FD" w:rsidRPr="0013396E" w:rsidRDefault="001F04FD" w:rsidP="00AC4DEE">
            <w:pPr>
              <w:pStyle w:val="TableBody"/>
              <w:rPr>
                <w:i/>
              </w:rPr>
            </w:pPr>
            <w:r w:rsidRPr="0013396E">
              <w:rPr>
                <w:i/>
              </w:rPr>
              <w:t>e</w:t>
            </w:r>
          </w:p>
        </w:tc>
        <w:tc>
          <w:tcPr>
            <w:tcW w:w="566" w:type="pct"/>
          </w:tcPr>
          <w:p w14:paraId="312BB508" w14:textId="77777777" w:rsidR="001F04FD" w:rsidRPr="0013396E" w:rsidRDefault="001F04FD" w:rsidP="00AC4DEE">
            <w:pPr>
              <w:pStyle w:val="TableBody"/>
              <w:rPr>
                <w:noProof/>
              </w:rPr>
            </w:pPr>
            <w:r w:rsidRPr="0013396E">
              <w:t>None</w:t>
            </w:r>
          </w:p>
        </w:tc>
        <w:tc>
          <w:tcPr>
            <w:tcW w:w="3136" w:type="pct"/>
          </w:tcPr>
          <w:p w14:paraId="74CCBD55" w14:textId="77777777" w:rsidR="001F04FD" w:rsidRPr="0013396E" w:rsidRDefault="001F04FD" w:rsidP="00AC4DEE">
            <w:pPr>
              <w:pStyle w:val="TableBody"/>
            </w:pPr>
            <w:r w:rsidRPr="0013396E">
              <w:rPr>
                <w:bCs/>
              </w:rPr>
              <w:t>An ERS Resource</w:t>
            </w:r>
            <w:r w:rsidRPr="0013396E">
              <w:t xml:space="preserve"> procured from a QSE for an ERS Contract Period.</w:t>
            </w:r>
          </w:p>
        </w:tc>
      </w:tr>
      <w:tr w:rsidR="001F04FD" w:rsidRPr="0013396E" w14:paraId="3EF8306A" w14:textId="77777777" w:rsidTr="00AC4DEE">
        <w:trPr>
          <w:cantSplit/>
        </w:trPr>
        <w:tc>
          <w:tcPr>
            <w:tcW w:w="1298" w:type="pct"/>
          </w:tcPr>
          <w:p w14:paraId="24CC84DC" w14:textId="77777777" w:rsidR="001F04FD" w:rsidRPr="0013396E" w:rsidRDefault="001F04FD" w:rsidP="00AC4DEE">
            <w:pPr>
              <w:pStyle w:val="TableBody"/>
              <w:rPr>
                <w:i/>
              </w:rPr>
            </w:pPr>
            <w:r w:rsidRPr="0013396E">
              <w:rPr>
                <w:i/>
              </w:rPr>
              <w:t>co</w:t>
            </w:r>
          </w:p>
        </w:tc>
        <w:tc>
          <w:tcPr>
            <w:tcW w:w="566" w:type="pct"/>
          </w:tcPr>
          <w:p w14:paraId="5511BBDF" w14:textId="77777777" w:rsidR="001F04FD" w:rsidRPr="0013396E" w:rsidRDefault="001F04FD" w:rsidP="00AC4DEE">
            <w:pPr>
              <w:pStyle w:val="TableBody"/>
            </w:pPr>
            <w:r w:rsidRPr="0013396E">
              <w:t>None</w:t>
            </w:r>
          </w:p>
        </w:tc>
        <w:tc>
          <w:tcPr>
            <w:tcW w:w="3136" w:type="pct"/>
          </w:tcPr>
          <w:p w14:paraId="24612C96" w14:textId="77777777" w:rsidR="001F04FD" w:rsidRPr="0013396E" w:rsidRDefault="001F04FD" w:rsidP="00AC4DEE">
            <w:pPr>
              <w:pStyle w:val="TableBody"/>
            </w:pPr>
            <w:r w:rsidRPr="0013396E">
              <w:t>The number of competitive ERS Resources procured from a QSE for an ERS Contract Period.</w:t>
            </w:r>
          </w:p>
        </w:tc>
      </w:tr>
      <w:tr w:rsidR="001F04FD" w:rsidRPr="0013396E" w14:paraId="16D9B3E7" w14:textId="77777777" w:rsidTr="00AC4DEE">
        <w:trPr>
          <w:cantSplit/>
        </w:trPr>
        <w:tc>
          <w:tcPr>
            <w:tcW w:w="1298" w:type="pct"/>
          </w:tcPr>
          <w:p w14:paraId="526615A5" w14:textId="77777777" w:rsidR="001F04FD" w:rsidRPr="0013396E" w:rsidRDefault="001F04FD" w:rsidP="00AC4DEE">
            <w:pPr>
              <w:pStyle w:val="TableBody"/>
              <w:rPr>
                <w:i/>
              </w:rPr>
            </w:pPr>
            <w:r w:rsidRPr="0013396E">
              <w:rPr>
                <w:i/>
              </w:rPr>
              <w:t>s</w:t>
            </w:r>
          </w:p>
        </w:tc>
        <w:tc>
          <w:tcPr>
            <w:tcW w:w="566" w:type="pct"/>
          </w:tcPr>
          <w:p w14:paraId="31592B31" w14:textId="77777777" w:rsidR="001F04FD" w:rsidRPr="0013396E" w:rsidRDefault="001F04FD" w:rsidP="00AC4DEE">
            <w:pPr>
              <w:pStyle w:val="TableBody"/>
            </w:pPr>
            <w:r w:rsidRPr="0013396E">
              <w:t>None</w:t>
            </w:r>
          </w:p>
        </w:tc>
        <w:tc>
          <w:tcPr>
            <w:tcW w:w="3136" w:type="pct"/>
          </w:tcPr>
          <w:p w14:paraId="44DABEE2" w14:textId="77777777" w:rsidR="001F04FD" w:rsidRPr="0013396E" w:rsidRDefault="001F04FD" w:rsidP="00AC4DEE">
            <w:pPr>
              <w:pStyle w:val="TableBody"/>
              <w:rPr>
                <w:bCs/>
              </w:rPr>
            </w:pPr>
            <w:r w:rsidRPr="0013396E">
              <w:t>The number of self-provided ERS Resources procured from a QSE for an ERS Contract Period.</w:t>
            </w:r>
          </w:p>
        </w:tc>
      </w:tr>
      <w:tr w:rsidR="001F04FD" w:rsidRPr="0013396E" w14:paraId="39F39C02" w14:textId="77777777" w:rsidTr="00AC4DEE">
        <w:trPr>
          <w:cantSplit/>
        </w:trPr>
        <w:tc>
          <w:tcPr>
            <w:tcW w:w="1298" w:type="pct"/>
          </w:tcPr>
          <w:p w14:paraId="38D7698E" w14:textId="77777777" w:rsidR="001F04FD" w:rsidRPr="0013396E" w:rsidRDefault="001F04FD" w:rsidP="00AC4DEE">
            <w:pPr>
              <w:pStyle w:val="TableBody"/>
              <w:rPr>
                <w:i/>
              </w:rPr>
            </w:pPr>
            <w:r w:rsidRPr="0013396E">
              <w:rPr>
                <w:i/>
              </w:rPr>
              <w:t>n</w:t>
            </w:r>
          </w:p>
        </w:tc>
        <w:tc>
          <w:tcPr>
            <w:tcW w:w="566" w:type="pct"/>
          </w:tcPr>
          <w:p w14:paraId="3AF92EC0" w14:textId="77777777" w:rsidR="001F04FD" w:rsidRPr="0013396E" w:rsidRDefault="001F04FD" w:rsidP="00AC4DEE">
            <w:pPr>
              <w:pStyle w:val="TableBody"/>
            </w:pPr>
            <w:r w:rsidRPr="0013396E">
              <w:t>None</w:t>
            </w:r>
          </w:p>
        </w:tc>
        <w:tc>
          <w:tcPr>
            <w:tcW w:w="3136" w:type="pct"/>
          </w:tcPr>
          <w:p w14:paraId="04833E24" w14:textId="77777777" w:rsidR="001F04FD" w:rsidRPr="0013396E" w:rsidRDefault="001F04FD" w:rsidP="00AC4DEE">
            <w:pPr>
              <w:pStyle w:val="TableBody"/>
            </w:pPr>
            <w:r w:rsidRPr="0013396E">
              <w:t>The number of QSEs for an ERS Contract Period.</w:t>
            </w:r>
            <w:r w:rsidRPr="0013396E" w:rsidDel="00BC1513">
              <w:t xml:space="preserve"> </w:t>
            </w:r>
          </w:p>
        </w:tc>
      </w:tr>
      <w:tr w:rsidR="001F04FD" w:rsidRPr="0013396E" w14:paraId="7C674814" w14:textId="77777777" w:rsidTr="00AC4DEE">
        <w:trPr>
          <w:cantSplit/>
        </w:trPr>
        <w:tc>
          <w:tcPr>
            <w:tcW w:w="1298" w:type="pct"/>
          </w:tcPr>
          <w:p w14:paraId="51B4C3A7" w14:textId="77777777" w:rsidR="001F04FD" w:rsidRPr="0013396E" w:rsidRDefault="001F04FD" w:rsidP="00AC4DEE">
            <w:pPr>
              <w:pStyle w:val="TableBody"/>
              <w:rPr>
                <w:i/>
              </w:rPr>
            </w:pPr>
            <w:r w:rsidRPr="0013396E">
              <w:rPr>
                <w:i/>
              </w:rPr>
              <w:t>d</w:t>
            </w:r>
          </w:p>
        </w:tc>
        <w:tc>
          <w:tcPr>
            <w:tcW w:w="566" w:type="pct"/>
          </w:tcPr>
          <w:p w14:paraId="1EC2D016" w14:textId="77777777" w:rsidR="001F04FD" w:rsidRPr="0013396E" w:rsidRDefault="001F04FD" w:rsidP="00AC4DEE">
            <w:pPr>
              <w:pStyle w:val="TableBody"/>
            </w:pPr>
            <w:r w:rsidRPr="0013396E">
              <w:t>None</w:t>
            </w:r>
          </w:p>
        </w:tc>
        <w:tc>
          <w:tcPr>
            <w:tcW w:w="3136" w:type="pct"/>
          </w:tcPr>
          <w:p w14:paraId="32B59D7B" w14:textId="77777777" w:rsidR="001F04FD" w:rsidRPr="0013396E" w:rsidRDefault="001F04FD" w:rsidP="00AC4DEE">
            <w:pPr>
              <w:pStyle w:val="TableBody"/>
            </w:pPr>
            <w:r w:rsidRPr="0013396E">
              <w:t>ERS service type (</w:t>
            </w:r>
            <w:r w:rsidRPr="0013396E">
              <w:rPr>
                <w:iCs w:val="0"/>
              </w:rPr>
              <w:t>Weather-Sensitive ERS-10, Non-Weather-Sensitive ERS-10, Weather-Sensitive ERS-30, or Non-Weather-Sensitive ERS-30</w:t>
            </w:r>
            <w:r w:rsidRPr="0013396E">
              <w:t>).</w:t>
            </w:r>
          </w:p>
        </w:tc>
      </w:tr>
    </w:tbl>
    <w:p w14:paraId="214523A6" w14:textId="77777777" w:rsidR="001F04FD" w:rsidRPr="0013396E" w:rsidRDefault="001F04FD" w:rsidP="001F04FD">
      <w:pPr>
        <w:pStyle w:val="H4"/>
        <w:spacing w:before="480"/>
        <w:ind w:left="1267" w:hanging="1267"/>
      </w:pPr>
      <w:bookmarkStart w:id="2184" w:name="_Toc397505044"/>
      <w:bookmarkStart w:id="2185" w:name="_Toc402357176"/>
      <w:bookmarkStart w:id="2186" w:name="_Toc422486556"/>
      <w:bookmarkStart w:id="2187" w:name="_Toc433093409"/>
      <w:bookmarkStart w:id="2188" w:name="_Toc433093567"/>
      <w:bookmarkStart w:id="2189" w:name="_Toc440874797"/>
      <w:bookmarkStart w:id="2190" w:name="_Toc448142354"/>
      <w:bookmarkStart w:id="2191" w:name="_Toc448142511"/>
      <w:bookmarkStart w:id="2192" w:name="_Toc458770352"/>
      <w:bookmarkStart w:id="2193" w:name="_Toc459294320"/>
      <w:bookmarkStart w:id="2194" w:name="_Toc463262814"/>
      <w:bookmarkStart w:id="2195" w:name="_Toc468286887"/>
      <w:bookmarkStart w:id="2196" w:name="_Toc481502927"/>
      <w:bookmarkStart w:id="2197" w:name="_Toc496080095"/>
      <w:bookmarkStart w:id="2198" w:name="_Toc214879018"/>
      <w:r w:rsidRPr="0013396E">
        <w:t>6.6.11.2</w:t>
      </w:r>
      <w:r w:rsidRPr="0013396E">
        <w:tab/>
        <w:t>Emergency Response Service Capacity Charge</w:t>
      </w:r>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p>
    <w:p w14:paraId="74755EDC" w14:textId="77777777" w:rsidR="001F04FD" w:rsidRPr="0013396E" w:rsidRDefault="001F04FD" w:rsidP="001F04FD">
      <w:pPr>
        <w:pStyle w:val="BodyTextNumbered"/>
      </w:pPr>
      <w:r w:rsidRPr="0013396E">
        <w:t>(1)</w:t>
      </w:r>
      <w:r w:rsidRPr="0013396E">
        <w:tab/>
        <w:t xml:space="preserve">ERCOT shall allocate costs for an ERS service type and ERS Contract Period based on the LRS of each QSE during each ERS Time Period in an ERS Contract Period.  A QSE’s LRS for an ERS Time Period shall be the QSE’s total Load for the ERS Time Period divided by the total ERCOT Load in the ERS Time Period.  For the first Settlement of the ERS Contract Period as described in paragraph (1) of Section 9.14.5, Settlement of Emergency Response Service, LRS will be calculated using the latest Settlement Load for each Operating Day in the ERS Contract Period.  For the resettlement of the ERS Contract Period as described in paragraph (2) of Section 9.14.5, the LRS will be calculated using the true-up Load for each Operating Day in the ERS Contract Period.  </w:t>
      </w:r>
    </w:p>
    <w:p w14:paraId="55C509AB" w14:textId="77777777" w:rsidR="001F04FD" w:rsidRPr="0013396E" w:rsidRDefault="001F04FD" w:rsidP="001F04FD">
      <w:pPr>
        <w:pStyle w:val="BodyTextNumbered"/>
        <w:ind w:left="0" w:firstLine="0"/>
      </w:pPr>
      <w:r w:rsidRPr="0013396E">
        <w:t>(2)</w:t>
      </w:r>
      <w:r w:rsidRPr="0013396E">
        <w:tab/>
        <w:t>ERCOT shall calculate each QSE’s ERS capacity charge as follows:</w:t>
      </w:r>
    </w:p>
    <w:p w14:paraId="0310C6C2" w14:textId="77777777" w:rsidR="001F04FD" w:rsidRPr="0013396E" w:rsidRDefault="001F04FD" w:rsidP="001F04FD">
      <w:pPr>
        <w:pStyle w:val="FormulaBold"/>
        <w:ind w:left="720" w:firstLine="0"/>
        <w:rPr>
          <w:i/>
          <w:vertAlign w:val="subscript"/>
        </w:rPr>
      </w:pPr>
      <w:r w:rsidRPr="0013396E">
        <w:rPr>
          <w:lang w:val="pt-BR"/>
        </w:rPr>
        <w:t>LAERSAMT  </w:t>
      </w:r>
      <w:r w:rsidRPr="0013396E">
        <w:rPr>
          <w:i/>
          <w:vertAlign w:val="subscript"/>
          <w:lang w:val="pt-BR"/>
        </w:rPr>
        <w:t>qc</w:t>
      </w:r>
      <w:r w:rsidRPr="0013396E">
        <w:rPr>
          <w:i/>
          <w:vertAlign w:val="subscript"/>
        </w:rPr>
        <w:t>(tp)d</w:t>
      </w:r>
      <w:r w:rsidRPr="0013396E">
        <w:t xml:space="preserve"> = ERSLRS </w:t>
      </w:r>
      <w:r w:rsidRPr="0013396E">
        <w:rPr>
          <w:i/>
          <w:vertAlign w:val="subscript"/>
        </w:rPr>
        <w:t>qc(tp)d</w:t>
      </w:r>
      <w:r w:rsidRPr="0013396E">
        <w:rPr>
          <w:vertAlign w:val="subscript"/>
        </w:rPr>
        <w:t xml:space="preserve"> </w:t>
      </w:r>
      <w:r w:rsidRPr="0013396E">
        <w:t>* ERSPAMTTOT </w:t>
      </w:r>
      <w:r w:rsidRPr="0013396E">
        <w:rPr>
          <w:i/>
          <w:vertAlign w:val="subscript"/>
        </w:rPr>
        <w:t>c(tp)d</w:t>
      </w:r>
      <w:r w:rsidRPr="0013396E" w:rsidDel="00665566">
        <w:rPr>
          <w:position w:val="-30"/>
        </w:rPr>
        <w:t xml:space="preserve"> </w:t>
      </w:r>
    </w:p>
    <w:p w14:paraId="35A5A797" w14:textId="77777777" w:rsidR="001F04FD" w:rsidRPr="0013396E" w:rsidRDefault="001F04FD" w:rsidP="001F04FD">
      <w:pPr>
        <w:pStyle w:val="FormulaBold"/>
        <w:rPr>
          <w:i/>
          <w:vertAlign w:val="subscript"/>
        </w:rPr>
      </w:pPr>
      <w:r w:rsidRPr="0013396E">
        <w:t>LAERSAMTQSETOT</w:t>
      </w:r>
      <w:r w:rsidRPr="0013396E">
        <w:rPr>
          <w:i/>
          <w:vertAlign w:val="subscript"/>
        </w:rPr>
        <w:t>q</w:t>
      </w:r>
      <w:r w:rsidRPr="0013396E">
        <w:rPr>
          <w:rFonts w:ascii="Times New Roman Bold" w:hAnsi="Times New Roman Bold"/>
        </w:rPr>
        <w:t xml:space="preserve"> = </w:t>
      </w:r>
      <w:r w:rsidRPr="0013396E">
        <w:rPr>
          <w:position w:val="-30"/>
        </w:rPr>
        <w:object w:dxaOrig="465" w:dyaOrig="720" w14:anchorId="1C6D86A7">
          <v:shape id="_x0000_i1241" type="#_x0000_t75" style="width:18.6pt;height:36pt" o:ole="">
            <v:imagedata r:id="rId303" o:title=""/>
          </v:shape>
          <o:OLEObject Type="Embed" ProgID="Equation.3" ShapeID="_x0000_i1241" DrawAspect="Content" ObjectID="_1836311519" r:id="rId312"/>
        </w:object>
      </w:r>
      <w:r w:rsidRPr="0013396E">
        <w:t>LAERSAMT </w:t>
      </w:r>
      <w:r w:rsidRPr="0013396E">
        <w:rPr>
          <w:i/>
          <w:vertAlign w:val="subscript"/>
        </w:rPr>
        <w:t>q(tp)d</w:t>
      </w:r>
    </w:p>
    <w:p w14:paraId="2F1B1EA8" w14:textId="77777777" w:rsidR="001F04FD" w:rsidRPr="0013396E" w:rsidRDefault="001F04FD" w:rsidP="001F04FD">
      <w:pPr>
        <w:rPr>
          <w:rFonts w:ascii="Times New Roman Bold" w:hAnsi="Times New Roman Bold"/>
          <w:b/>
        </w:rPr>
      </w:pPr>
      <w:r w:rsidRPr="0013396E">
        <w:t>The above variables are defined as follows:</w:t>
      </w:r>
    </w:p>
    <w:tbl>
      <w:tblPr>
        <w:tblW w:w="94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24"/>
        <w:gridCol w:w="928"/>
        <w:gridCol w:w="6122"/>
      </w:tblGrid>
      <w:tr w:rsidR="001F04FD" w:rsidRPr="0013396E" w14:paraId="465DCCA8" w14:textId="77777777" w:rsidTr="00236104">
        <w:tc>
          <w:tcPr>
            <w:tcW w:w="1279" w:type="pct"/>
          </w:tcPr>
          <w:p w14:paraId="3E73D27F" w14:textId="77777777" w:rsidR="001F04FD" w:rsidRPr="0013396E" w:rsidRDefault="001F04FD" w:rsidP="00AC4DEE">
            <w:pPr>
              <w:pStyle w:val="TableHead"/>
            </w:pPr>
            <w:r w:rsidRPr="0013396E">
              <w:t>Variable</w:t>
            </w:r>
          </w:p>
        </w:tc>
        <w:tc>
          <w:tcPr>
            <w:tcW w:w="490" w:type="pct"/>
          </w:tcPr>
          <w:p w14:paraId="7C5F2634" w14:textId="77777777" w:rsidR="001F04FD" w:rsidRPr="0013396E" w:rsidRDefault="001F04FD" w:rsidP="00AC4DEE">
            <w:pPr>
              <w:pStyle w:val="TableHead"/>
            </w:pPr>
            <w:r w:rsidRPr="0013396E">
              <w:t>Unit</w:t>
            </w:r>
          </w:p>
        </w:tc>
        <w:tc>
          <w:tcPr>
            <w:tcW w:w="3231" w:type="pct"/>
          </w:tcPr>
          <w:p w14:paraId="69499173" w14:textId="77777777" w:rsidR="001F04FD" w:rsidRPr="0013396E" w:rsidRDefault="001F04FD" w:rsidP="00AC4DEE">
            <w:pPr>
              <w:pStyle w:val="TableHead"/>
            </w:pPr>
            <w:r w:rsidRPr="0013396E">
              <w:t>Description</w:t>
            </w:r>
          </w:p>
        </w:tc>
      </w:tr>
      <w:tr w:rsidR="001F04FD" w:rsidRPr="0013396E" w:rsidDel="00F954FC" w14:paraId="371E7F23" w14:textId="77777777" w:rsidTr="00236104">
        <w:trPr>
          <w:cantSplit/>
        </w:trPr>
        <w:tc>
          <w:tcPr>
            <w:tcW w:w="1279" w:type="pct"/>
          </w:tcPr>
          <w:p w14:paraId="178127BE" w14:textId="77777777" w:rsidR="001F04FD" w:rsidRPr="0013396E" w:rsidDel="00F954FC" w:rsidRDefault="001F04FD" w:rsidP="00AC4DEE">
            <w:pPr>
              <w:pStyle w:val="TableBody"/>
            </w:pPr>
            <w:r w:rsidRPr="0013396E">
              <w:lastRenderedPageBreak/>
              <w:t>ERSPAMTTOT</w:t>
            </w:r>
            <w:r w:rsidRPr="0013396E">
              <w:rPr>
                <w:i/>
                <w:vertAlign w:val="subscript"/>
              </w:rPr>
              <w:t xml:space="preserve"> c(tp)d</w:t>
            </w:r>
          </w:p>
        </w:tc>
        <w:tc>
          <w:tcPr>
            <w:tcW w:w="490" w:type="pct"/>
          </w:tcPr>
          <w:p w14:paraId="50DE6E47" w14:textId="77777777" w:rsidR="001F04FD" w:rsidRPr="0013396E" w:rsidRDefault="001F04FD" w:rsidP="00AC4DEE">
            <w:pPr>
              <w:pStyle w:val="VariableDefinition"/>
              <w:spacing w:after="60"/>
              <w:ind w:left="0" w:firstLine="0"/>
              <w:rPr>
                <w:sz w:val="20"/>
              </w:rPr>
            </w:pPr>
            <w:r w:rsidRPr="0013396E">
              <w:rPr>
                <w:sz w:val="20"/>
              </w:rPr>
              <w:t>$</w:t>
            </w:r>
          </w:p>
        </w:tc>
        <w:tc>
          <w:tcPr>
            <w:tcW w:w="3231" w:type="pct"/>
          </w:tcPr>
          <w:p w14:paraId="003973DC" w14:textId="77777777" w:rsidR="001F04FD" w:rsidRPr="0013396E" w:rsidDel="00F954FC" w:rsidRDefault="001F04FD" w:rsidP="00AC4DEE">
            <w:pPr>
              <w:pStyle w:val="VariableDefinition"/>
              <w:spacing w:after="60"/>
              <w:ind w:left="0" w:firstLine="0"/>
              <w:rPr>
                <w:sz w:val="20"/>
              </w:rPr>
            </w:pPr>
            <w:r w:rsidRPr="0013396E">
              <w:rPr>
                <w:i/>
                <w:sz w:val="20"/>
              </w:rPr>
              <w:t>ERS Payment Amount Total per ERS Contract Period per ERS Time Period per ERS Service Type</w:t>
            </w:r>
            <w:r w:rsidRPr="0013396E">
              <w:t>—</w:t>
            </w:r>
            <w:r w:rsidRPr="0013396E">
              <w:rPr>
                <w:sz w:val="20"/>
              </w:rPr>
              <w:t xml:space="preserve">Total of all ERS payments for ERS Contract Period </w:t>
            </w:r>
            <w:r w:rsidRPr="0013396E">
              <w:rPr>
                <w:i/>
                <w:sz w:val="20"/>
              </w:rPr>
              <w:t xml:space="preserve">c, </w:t>
            </w:r>
            <w:r w:rsidRPr="0013396E">
              <w:rPr>
                <w:sz w:val="20"/>
              </w:rPr>
              <w:t>ERS Time Period</w:t>
            </w:r>
            <w:r w:rsidRPr="0013396E">
              <w:rPr>
                <w:i/>
                <w:sz w:val="20"/>
              </w:rPr>
              <w:t xml:space="preserve"> tp </w:t>
            </w:r>
            <w:r w:rsidRPr="0013396E">
              <w:rPr>
                <w:sz w:val="20"/>
              </w:rPr>
              <w:t xml:space="preserve">and ERS service type </w:t>
            </w:r>
            <w:r w:rsidRPr="0013396E">
              <w:rPr>
                <w:i/>
                <w:sz w:val="20"/>
              </w:rPr>
              <w:t>d</w:t>
            </w:r>
            <w:r w:rsidRPr="0013396E">
              <w:rPr>
                <w:sz w:val="20"/>
              </w:rPr>
              <w:t>.</w:t>
            </w:r>
          </w:p>
        </w:tc>
      </w:tr>
      <w:tr w:rsidR="001F04FD" w:rsidRPr="0013396E" w14:paraId="0B952DB6" w14:textId="77777777" w:rsidTr="00236104">
        <w:trPr>
          <w:cantSplit/>
        </w:trPr>
        <w:tc>
          <w:tcPr>
            <w:tcW w:w="1279" w:type="pct"/>
          </w:tcPr>
          <w:p w14:paraId="28002EBF" w14:textId="77777777" w:rsidR="001F04FD" w:rsidRPr="0013396E" w:rsidRDefault="001F04FD" w:rsidP="00AC4DEE">
            <w:pPr>
              <w:pStyle w:val="TableBody"/>
            </w:pPr>
            <w:r w:rsidRPr="0013396E">
              <w:t xml:space="preserve">ERSLRS </w:t>
            </w:r>
            <w:r w:rsidRPr="0013396E">
              <w:rPr>
                <w:i/>
                <w:vertAlign w:val="subscript"/>
              </w:rPr>
              <w:t>qc(tp)d</w:t>
            </w:r>
          </w:p>
        </w:tc>
        <w:tc>
          <w:tcPr>
            <w:tcW w:w="490" w:type="pct"/>
          </w:tcPr>
          <w:p w14:paraId="2A0E0CC3" w14:textId="77777777" w:rsidR="001F04FD" w:rsidRPr="0013396E" w:rsidRDefault="001F04FD" w:rsidP="00AC4DEE">
            <w:pPr>
              <w:pStyle w:val="VariableDefinition"/>
              <w:tabs>
                <w:tab w:val="clear" w:pos="2160"/>
              </w:tabs>
              <w:spacing w:after="60"/>
              <w:ind w:left="0" w:firstLine="0"/>
              <w:rPr>
                <w:sz w:val="20"/>
              </w:rPr>
            </w:pPr>
            <w:r w:rsidRPr="0013396E">
              <w:rPr>
                <w:sz w:val="20"/>
              </w:rPr>
              <w:t>None</w:t>
            </w:r>
          </w:p>
        </w:tc>
        <w:tc>
          <w:tcPr>
            <w:tcW w:w="3231" w:type="pct"/>
          </w:tcPr>
          <w:p w14:paraId="780C513B" w14:textId="77777777" w:rsidR="001F04FD" w:rsidRPr="0013396E" w:rsidRDefault="001F04FD" w:rsidP="00AC4DEE">
            <w:pPr>
              <w:pStyle w:val="VariableDefinition"/>
              <w:tabs>
                <w:tab w:val="clear" w:pos="2160"/>
              </w:tabs>
              <w:spacing w:after="60"/>
              <w:ind w:left="0" w:firstLine="0"/>
              <w:rPr>
                <w:sz w:val="20"/>
              </w:rPr>
            </w:pPr>
            <w:r w:rsidRPr="0013396E">
              <w:rPr>
                <w:i/>
                <w:sz w:val="20"/>
              </w:rPr>
              <w:t>ERS Load Ratio Share per QSE per ERS Contract Period per ERS Time Period per ERS Service Type</w:t>
            </w:r>
            <w:r w:rsidRPr="0013396E">
              <w:t>—</w:t>
            </w:r>
            <w:r w:rsidRPr="0013396E">
              <w:rPr>
                <w:sz w:val="20"/>
              </w:rPr>
              <w:t xml:space="preserve">ERS LRS for QSE </w:t>
            </w:r>
            <w:r w:rsidRPr="0013396E">
              <w:rPr>
                <w:i/>
                <w:sz w:val="20"/>
              </w:rPr>
              <w:t>q</w:t>
            </w:r>
            <w:r w:rsidRPr="0013396E">
              <w:rPr>
                <w:sz w:val="20"/>
              </w:rPr>
              <w:t xml:space="preserve"> </w:t>
            </w:r>
            <w:r w:rsidRPr="0013396E">
              <w:rPr>
                <w:bCs/>
                <w:sz w:val="20"/>
              </w:rPr>
              <w:t xml:space="preserve">for </w:t>
            </w:r>
            <w:r w:rsidRPr="0013396E">
              <w:rPr>
                <w:sz w:val="20"/>
              </w:rPr>
              <w:t xml:space="preserve">ERS Contract Period </w:t>
            </w:r>
            <w:r w:rsidRPr="0013396E">
              <w:rPr>
                <w:i/>
                <w:sz w:val="20"/>
              </w:rPr>
              <w:t>c,</w:t>
            </w:r>
            <w:r w:rsidRPr="0013396E">
              <w:rPr>
                <w:sz w:val="20"/>
              </w:rPr>
              <w:t xml:space="preserve"> ERS Time Period </w:t>
            </w:r>
            <w:r w:rsidRPr="0013396E">
              <w:rPr>
                <w:i/>
                <w:sz w:val="20"/>
              </w:rPr>
              <w:t xml:space="preserve">tp </w:t>
            </w:r>
            <w:r w:rsidRPr="0013396E">
              <w:rPr>
                <w:sz w:val="20"/>
              </w:rPr>
              <w:t xml:space="preserve">and ERS service type </w:t>
            </w:r>
            <w:r w:rsidRPr="0013396E">
              <w:rPr>
                <w:i/>
                <w:sz w:val="20"/>
              </w:rPr>
              <w:t xml:space="preserve">d, </w:t>
            </w:r>
            <w:r w:rsidRPr="0013396E">
              <w:rPr>
                <w:sz w:val="20"/>
              </w:rPr>
              <w:t>calculated starting with the first hour of the ERS Contract Period and ending with the earlier of the last hour of the ERS Contract Period or the hour containing the recall instruction in an ERS deployment event that results in the exhaustion of a QSE portfolio’s ERS obligation.</w:t>
            </w:r>
            <w:r w:rsidR="00BD4C7C" w:rsidRPr="0013396E">
              <w:rPr>
                <w:sz w:val="20"/>
              </w:rPr>
              <w:t xml:space="preserve">  </w:t>
            </w:r>
            <w:r w:rsidR="00BD4C7C" w:rsidRPr="0013396E">
              <w:rPr>
                <w:iCs w:val="0"/>
                <w:sz w:val="20"/>
              </w:rPr>
              <w:t>If the resultant QSE-level share is negative, the QSE’s share will be set to zero and all other QSE shares will be adjusted on a pro rata basis such that the sum of all shares is equal to one.</w:t>
            </w:r>
          </w:p>
        </w:tc>
      </w:tr>
      <w:tr w:rsidR="001F04FD" w:rsidRPr="0013396E" w14:paraId="68B9CE0F" w14:textId="77777777" w:rsidTr="00236104">
        <w:trPr>
          <w:cantSplit/>
        </w:trPr>
        <w:tc>
          <w:tcPr>
            <w:tcW w:w="1279" w:type="pct"/>
          </w:tcPr>
          <w:p w14:paraId="75075A88" w14:textId="77777777" w:rsidR="001F04FD" w:rsidRPr="0013396E" w:rsidRDefault="001F04FD" w:rsidP="00AC4DEE">
            <w:pPr>
              <w:pStyle w:val="TableBody"/>
            </w:pPr>
            <w:r w:rsidRPr="0013396E">
              <w:t xml:space="preserve">LAERSAMT </w:t>
            </w:r>
            <w:r w:rsidRPr="0013396E">
              <w:rPr>
                <w:i/>
                <w:vertAlign w:val="subscript"/>
              </w:rPr>
              <w:t>qc(tp)d</w:t>
            </w:r>
          </w:p>
        </w:tc>
        <w:tc>
          <w:tcPr>
            <w:tcW w:w="490" w:type="pct"/>
          </w:tcPr>
          <w:p w14:paraId="3629152F" w14:textId="77777777" w:rsidR="001F04FD" w:rsidRPr="0013396E" w:rsidRDefault="001F04FD" w:rsidP="00AC4DEE">
            <w:pPr>
              <w:pStyle w:val="VariableDefinition"/>
              <w:tabs>
                <w:tab w:val="clear" w:pos="2160"/>
                <w:tab w:val="left" w:pos="2880"/>
              </w:tabs>
              <w:spacing w:after="60"/>
              <w:ind w:left="0" w:firstLine="0"/>
              <w:rPr>
                <w:sz w:val="20"/>
              </w:rPr>
            </w:pPr>
            <w:r w:rsidRPr="0013396E">
              <w:rPr>
                <w:sz w:val="20"/>
              </w:rPr>
              <w:t>$</w:t>
            </w:r>
          </w:p>
        </w:tc>
        <w:tc>
          <w:tcPr>
            <w:tcW w:w="3231" w:type="pct"/>
          </w:tcPr>
          <w:p w14:paraId="611E76A0" w14:textId="77777777" w:rsidR="001F04FD" w:rsidRPr="0013396E" w:rsidRDefault="001F04FD" w:rsidP="00AC4DEE">
            <w:pPr>
              <w:pStyle w:val="VariableDefinition"/>
              <w:tabs>
                <w:tab w:val="clear" w:pos="2160"/>
                <w:tab w:val="left" w:pos="2880"/>
              </w:tabs>
              <w:spacing w:after="60"/>
              <w:ind w:left="0" w:firstLine="0"/>
              <w:rPr>
                <w:sz w:val="20"/>
              </w:rPr>
            </w:pPr>
            <w:r w:rsidRPr="0013396E">
              <w:rPr>
                <w:i/>
                <w:sz w:val="20"/>
              </w:rPr>
              <w:t>Load-Allocated ERS Amount</w:t>
            </w:r>
            <w:r w:rsidRPr="0013396E">
              <w:rPr>
                <w:sz w:val="20"/>
              </w:rPr>
              <w:t xml:space="preserve"> </w:t>
            </w:r>
            <w:r w:rsidRPr="0013396E">
              <w:rPr>
                <w:i/>
                <w:sz w:val="20"/>
              </w:rPr>
              <w:t>per QSE per ERS Contract Period per ERS Time Period per ERS Service Type</w:t>
            </w:r>
            <w:r w:rsidRPr="0013396E">
              <w:t>—</w:t>
            </w:r>
            <w:r w:rsidRPr="0013396E">
              <w:rPr>
                <w:sz w:val="20"/>
              </w:rPr>
              <w:t>ERS charge for QSE</w:t>
            </w:r>
            <w:r w:rsidRPr="0013396E">
              <w:rPr>
                <w:bCs/>
                <w:sz w:val="20"/>
              </w:rPr>
              <w:t xml:space="preserve"> </w:t>
            </w:r>
            <w:r w:rsidRPr="0013396E">
              <w:rPr>
                <w:bCs/>
                <w:i/>
                <w:sz w:val="20"/>
              </w:rPr>
              <w:t>q</w:t>
            </w:r>
            <w:r w:rsidRPr="0013396E">
              <w:rPr>
                <w:bCs/>
                <w:sz w:val="20"/>
              </w:rPr>
              <w:t xml:space="preserve"> for </w:t>
            </w:r>
            <w:r w:rsidRPr="0013396E">
              <w:rPr>
                <w:sz w:val="20"/>
              </w:rPr>
              <w:t xml:space="preserve">ERS Contract Period </w:t>
            </w:r>
            <w:r w:rsidRPr="0013396E">
              <w:rPr>
                <w:i/>
                <w:sz w:val="20"/>
              </w:rPr>
              <w:t>c,</w:t>
            </w:r>
            <w:r w:rsidRPr="0013396E">
              <w:rPr>
                <w:sz w:val="20"/>
              </w:rPr>
              <w:t xml:space="preserve"> ERS Time Period</w:t>
            </w:r>
            <w:r w:rsidRPr="0013396E">
              <w:rPr>
                <w:i/>
                <w:sz w:val="20"/>
              </w:rPr>
              <w:t xml:space="preserve"> tp</w:t>
            </w:r>
            <w:r w:rsidRPr="0013396E">
              <w:rPr>
                <w:sz w:val="20"/>
              </w:rPr>
              <w:t xml:space="preserve"> and ERS service type </w:t>
            </w:r>
            <w:r w:rsidRPr="0013396E">
              <w:rPr>
                <w:i/>
                <w:sz w:val="20"/>
              </w:rPr>
              <w:t>d</w:t>
            </w:r>
            <w:r w:rsidRPr="0013396E">
              <w:rPr>
                <w:sz w:val="20"/>
              </w:rPr>
              <w:t>.</w:t>
            </w:r>
          </w:p>
        </w:tc>
      </w:tr>
      <w:tr w:rsidR="001F04FD" w:rsidRPr="0013396E" w14:paraId="6E8475B9" w14:textId="77777777" w:rsidTr="00236104">
        <w:trPr>
          <w:cantSplit/>
        </w:trPr>
        <w:tc>
          <w:tcPr>
            <w:tcW w:w="1279" w:type="pct"/>
          </w:tcPr>
          <w:p w14:paraId="3B2311E8" w14:textId="77777777" w:rsidR="001F04FD" w:rsidRPr="0013396E" w:rsidRDefault="001F04FD" w:rsidP="00AC4DEE">
            <w:pPr>
              <w:pStyle w:val="TableBody"/>
            </w:pPr>
            <w:r w:rsidRPr="0013396E">
              <w:t xml:space="preserve">LAERSAMTQSETOT </w:t>
            </w:r>
            <w:r w:rsidRPr="0013396E">
              <w:rPr>
                <w:i/>
                <w:vertAlign w:val="subscript"/>
              </w:rPr>
              <w:t>q</w:t>
            </w:r>
          </w:p>
        </w:tc>
        <w:tc>
          <w:tcPr>
            <w:tcW w:w="490" w:type="pct"/>
          </w:tcPr>
          <w:p w14:paraId="4B72BFCE" w14:textId="77777777" w:rsidR="001F04FD" w:rsidRPr="0013396E" w:rsidRDefault="001F04FD" w:rsidP="00AC4DEE">
            <w:pPr>
              <w:pStyle w:val="VariableDefinition"/>
              <w:tabs>
                <w:tab w:val="clear" w:pos="2160"/>
                <w:tab w:val="left" w:pos="2880"/>
              </w:tabs>
              <w:spacing w:after="60"/>
              <w:ind w:left="0" w:firstLine="0"/>
              <w:rPr>
                <w:sz w:val="20"/>
              </w:rPr>
            </w:pPr>
            <w:r w:rsidRPr="0013396E">
              <w:rPr>
                <w:sz w:val="20"/>
              </w:rPr>
              <w:t>$</w:t>
            </w:r>
          </w:p>
        </w:tc>
        <w:tc>
          <w:tcPr>
            <w:tcW w:w="3231" w:type="pct"/>
          </w:tcPr>
          <w:p w14:paraId="0C352977" w14:textId="77777777" w:rsidR="001F04FD" w:rsidRPr="0013396E" w:rsidRDefault="001F04FD" w:rsidP="00AC4DEE">
            <w:pPr>
              <w:pStyle w:val="VariableDefinition"/>
              <w:tabs>
                <w:tab w:val="clear" w:pos="2160"/>
                <w:tab w:val="left" w:pos="2880"/>
              </w:tabs>
              <w:spacing w:after="60"/>
              <w:ind w:left="0" w:firstLine="0"/>
              <w:rPr>
                <w:sz w:val="20"/>
              </w:rPr>
            </w:pPr>
            <w:r w:rsidRPr="0013396E">
              <w:rPr>
                <w:i/>
                <w:sz w:val="20"/>
              </w:rPr>
              <w:t>Load-Allocated ERS Amount QSE Total per QSE</w:t>
            </w:r>
            <w:r w:rsidRPr="0013396E">
              <w:t>—</w:t>
            </w:r>
            <w:r w:rsidRPr="0013396E">
              <w:rPr>
                <w:sz w:val="20"/>
              </w:rPr>
              <w:t>The total ERS charge for QSE</w:t>
            </w:r>
            <w:r w:rsidRPr="0013396E">
              <w:rPr>
                <w:bCs/>
                <w:sz w:val="20"/>
              </w:rPr>
              <w:t xml:space="preserve"> </w:t>
            </w:r>
            <w:r w:rsidRPr="0013396E">
              <w:rPr>
                <w:bCs/>
                <w:i/>
                <w:sz w:val="20"/>
              </w:rPr>
              <w:t>q</w:t>
            </w:r>
            <w:r w:rsidRPr="0013396E">
              <w:rPr>
                <w:sz w:val="20"/>
              </w:rPr>
              <w:t>.</w:t>
            </w:r>
          </w:p>
        </w:tc>
      </w:tr>
      <w:tr w:rsidR="001F04FD" w:rsidRPr="0013396E" w14:paraId="5F3620D7" w14:textId="77777777" w:rsidTr="00236104">
        <w:trPr>
          <w:cantSplit/>
        </w:trPr>
        <w:tc>
          <w:tcPr>
            <w:tcW w:w="1279" w:type="pct"/>
          </w:tcPr>
          <w:p w14:paraId="6AA51C96" w14:textId="77777777" w:rsidR="001F04FD" w:rsidRPr="0013396E" w:rsidRDefault="001F04FD" w:rsidP="00AC4DEE">
            <w:pPr>
              <w:pStyle w:val="TableBody"/>
              <w:rPr>
                <w:i/>
              </w:rPr>
            </w:pPr>
            <w:r w:rsidRPr="0013396E">
              <w:rPr>
                <w:i/>
              </w:rPr>
              <w:t>q</w:t>
            </w:r>
          </w:p>
        </w:tc>
        <w:tc>
          <w:tcPr>
            <w:tcW w:w="490" w:type="pct"/>
          </w:tcPr>
          <w:p w14:paraId="5B46935D" w14:textId="77777777" w:rsidR="001F04FD" w:rsidRPr="0013396E" w:rsidRDefault="001F04FD" w:rsidP="00AC4DEE">
            <w:pPr>
              <w:pStyle w:val="TableBody"/>
              <w:rPr>
                <w:noProof/>
              </w:rPr>
            </w:pPr>
            <w:r w:rsidRPr="0013396E">
              <w:t>None</w:t>
            </w:r>
          </w:p>
        </w:tc>
        <w:tc>
          <w:tcPr>
            <w:tcW w:w="3231" w:type="pct"/>
          </w:tcPr>
          <w:p w14:paraId="3D902DB4" w14:textId="77777777" w:rsidR="001F04FD" w:rsidRPr="0013396E" w:rsidRDefault="001F04FD" w:rsidP="00AC4DEE">
            <w:pPr>
              <w:pStyle w:val="TableBody"/>
            </w:pPr>
            <w:r w:rsidRPr="0013396E">
              <w:t>A QSE.</w:t>
            </w:r>
          </w:p>
        </w:tc>
      </w:tr>
      <w:tr w:rsidR="001F04FD" w:rsidRPr="0013396E" w14:paraId="64BA47C7" w14:textId="77777777" w:rsidTr="00236104">
        <w:trPr>
          <w:cantSplit/>
        </w:trPr>
        <w:tc>
          <w:tcPr>
            <w:tcW w:w="1279" w:type="pct"/>
          </w:tcPr>
          <w:p w14:paraId="3A96B8C3" w14:textId="77777777" w:rsidR="001F04FD" w:rsidRPr="0013396E" w:rsidRDefault="001F04FD" w:rsidP="00AC4DEE">
            <w:pPr>
              <w:pStyle w:val="TableBody"/>
              <w:rPr>
                <w:i/>
              </w:rPr>
            </w:pPr>
            <w:r w:rsidRPr="0013396E">
              <w:rPr>
                <w:i/>
              </w:rPr>
              <w:t>c</w:t>
            </w:r>
          </w:p>
        </w:tc>
        <w:tc>
          <w:tcPr>
            <w:tcW w:w="490" w:type="pct"/>
          </w:tcPr>
          <w:p w14:paraId="433AF6D1" w14:textId="77777777" w:rsidR="001F04FD" w:rsidRPr="0013396E" w:rsidRDefault="001F04FD" w:rsidP="00AC4DEE">
            <w:pPr>
              <w:pStyle w:val="TableBody"/>
            </w:pPr>
            <w:r w:rsidRPr="0013396E">
              <w:t>None</w:t>
            </w:r>
          </w:p>
        </w:tc>
        <w:tc>
          <w:tcPr>
            <w:tcW w:w="3231" w:type="pct"/>
          </w:tcPr>
          <w:p w14:paraId="481B91EF" w14:textId="77777777" w:rsidR="001F04FD" w:rsidRPr="0013396E" w:rsidRDefault="001F04FD" w:rsidP="00AC4DEE">
            <w:pPr>
              <w:pStyle w:val="TableBody"/>
            </w:pPr>
            <w:r w:rsidRPr="0013396E">
              <w:t>ERS Contract Period.</w:t>
            </w:r>
          </w:p>
        </w:tc>
      </w:tr>
      <w:tr w:rsidR="001F04FD" w:rsidRPr="0013396E" w14:paraId="12C8EC43" w14:textId="77777777" w:rsidTr="00236104">
        <w:trPr>
          <w:cantSplit/>
        </w:trPr>
        <w:tc>
          <w:tcPr>
            <w:tcW w:w="1279" w:type="pct"/>
          </w:tcPr>
          <w:p w14:paraId="596081D8" w14:textId="77777777" w:rsidR="001F04FD" w:rsidRPr="0013396E" w:rsidRDefault="001F04FD" w:rsidP="00AC4DEE">
            <w:pPr>
              <w:pStyle w:val="TableBody"/>
              <w:rPr>
                <w:i/>
              </w:rPr>
            </w:pPr>
            <w:r w:rsidRPr="0013396E">
              <w:rPr>
                <w:i/>
              </w:rPr>
              <w:t>tp</w:t>
            </w:r>
          </w:p>
        </w:tc>
        <w:tc>
          <w:tcPr>
            <w:tcW w:w="490" w:type="pct"/>
          </w:tcPr>
          <w:p w14:paraId="66623287" w14:textId="77777777" w:rsidR="001F04FD" w:rsidRPr="0013396E" w:rsidRDefault="001F04FD" w:rsidP="00AC4DEE">
            <w:pPr>
              <w:pStyle w:val="TableBody"/>
            </w:pPr>
            <w:r w:rsidRPr="0013396E">
              <w:t>None</w:t>
            </w:r>
          </w:p>
        </w:tc>
        <w:tc>
          <w:tcPr>
            <w:tcW w:w="3231" w:type="pct"/>
          </w:tcPr>
          <w:p w14:paraId="603956EF" w14:textId="77777777" w:rsidR="001F04FD" w:rsidRPr="0013396E" w:rsidRDefault="001F04FD" w:rsidP="00AC4DEE">
            <w:pPr>
              <w:pStyle w:val="TableBody"/>
            </w:pPr>
            <w:r w:rsidRPr="0013396E">
              <w:t>An ERS Time Period.</w:t>
            </w:r>
          </w:p>
        </w:tc>
      </w:tr>
      <w:tr w:rsidR="001F04FD" w:rsidRPr="0013396E" w:rsidDel="00F954FC" w14:paraId="645F0932" w14:textId="77777777" w:rsidTr="00236104">
        <w:trPr>
          <w:cantSplit/>
        </w:trPr>
        <w:tc>
          <w:tcPr>
            <w:tcW w:w="1279" w:type="pct"/>
          </w:tcPr>
          <w:p w14:paraId="411C8D39" w14:textId="77777777" w:rsidR="001F04FD" w:rsidRPr="0013396E" w:rsidRDefault="001F04FD" w:rsidP="00AC4DEE">
            <w:pPr>
              <w:pStyle w:val="TableBody"/>
              <w:rPr>
                <w:i/>
              </w:rPr>
            </w:pPr>
            <w:r w:rsidRPr="0013396E">
              <w:rPr>
                <w:i/>
              </w:rPr>
              <w:t>d</w:t>
            </w:r>
          </w:p>
        </w:tc>
        <w:tc>
          <w:tcPr>
            <w:tcW w:w="490" w:type="pct"/>
          </w:tcPr>
          <w:p w14:paraId="7F629719" w14:textId="77777777" w:rsidR="001F04FD" w:rsidRPr="0013396E" w:rsidRDefault="001F04FD" w:rsidP="00AC4DEE">
            <w:pPr>
              <w:pStyle w:val="VariableDefinition"/>
              <w:spacing w:after="60"/>
              <w:ind w:left="0" w:firstLine="0"/>
              <w:rPr>
                <w:sz w:val="20"/>
              </w:rPr>
            </w:pPr>
            <w:r w:rsidRPr="0013396E">
              <w:rPr>
                <w:sz w:val="20"/>
              </w:rPr>
              <w:t>None</w:t>
            </w:r>
          </w:p>
        </w:tc>
        <w:tc>
          <w:tcPr>
            <w:tcW w:w="3231" w:type="pct"/>
          </w:tcPr>
          <w:p w14:paraId="044BA0A8" w14:textId="77777777" w:rsidR="001F04FD" w:rsidRPr="0013396E" w:rsidRDefault="001F04FD" w:rsidP="00AC4DEE">
            <w:pPr>
              <w:pStyle w:val="VariableDefinition"/>
              <w:spacing w:after="60"/>
              <w:ind w:left="0" w:firstLine="0"/>
              <w:rPr>
                <w:sz w:val="20"/>
              </w:rPr>
            </w:pPr>
            <w:r w:rsidRPr="0013396E">
              <w:rPr>
                <w:sz w:val="20"/>
              </w:rPr>
              <w:t>ERS service type (</w:t>
            </w:r>
            <w:r w:rsidRPr="0013396E">
              <w:rPr>
                <w:iCs w:val="0"/>
                <w:sz w:val="20"/>
              </w:rPr>
              <w:t>Weather-Sensitive ERS-10, Non-Weather-Sensitive ERS-10, Weather-Sensitive ERS-30, or Non-Weather-Sensitive ERS-30</w:t>
            </w:r>
            <w:r w:rsidRPr="0013396E">
              <w:rPr>
                <w:sz w:val="20"/>
              </w:rPr>
              <w:t>).</w:t>
            </w:r>
          </w:p>
        </w:tc>
      </w:tr>
    </w:tbl>
    <w:p w14:paraId="2CF0BDE6" w14:textId="77777777" w:rsidR="00236104" w:rsidRPr="0013396E" w:rsidRDefault="00236104" w:rsidP="00236104">
      <w:pPr>
        <w:pStyle w:val="H3"/>
        <w:spacing w:before="480"/>
      </w:pPr>
      <w:bookmarkStart w:id="2199" w:name="_Toc214879019"/>
      <w:r w:rsidRPr="0013396E">
        <w:t>6.6.12</w:t>
      </w:r>
      <w:r w:rsidRPr="0013396E">
        <w:tab/>
        <w:t>Make-Whole Payment for Switchable Generation Resources Committed for Energy Emergency Alert (EEA)</w:t>
      </w:r>
      <w:bookmarkEnd w:id="2199"/>
    </w:p>
    <w:p w14:paraId="2AB1E843" w14:textId="77777777" w:rsidR="00236104" w:rsidRPr="0013396E" w:rsidRDefault="00236104" w:rsidP="00236104">
      <w:pPr>
        <w:pStyle w:val="BodyTextNumbered"/>
      </w:pPr>
      <w:r w:rsidRPr="0013396E">
        <w:t>(1)</w:t>
      </w:r>
      <w:r w:rsidRPr="0013396E">
        <w:tab/>
        <w:t xml:space="preserve">If ERCOT directs a Switchable Generation Resource (SWGR) to switch to the ERCOT Control Area for an actual or anticipated Energy Emergency Alert (EEA) condition, ERCOT shall pay the QSE representing the SWGR a Switchable Generation Make-Whole </w:t>
      </w:r>
      <w:r w:rsidR="00C0502C" w:rsidRPr="0013396E">
        <w:t xml:space="preserve">Payment (SWMWAMT) as </w:t>
      </w:r>
      <w:r w:rsidRPr="0013396E">
        <w:t>calculated in Section 6.6.12.1, Switchable Generation Make-Whole Payment, if the QSE has:</w:t>
      </w:r>
    </w:p>
    <w:p w14:paraId="062825AA" w14:textId="419E3E62" w:rsidR="00236104" w:rsidRPr="0013396E" w:rsidRDefault="00236104" w:rsidP="00236104">
      <w:pPr>
        <w:spacing w:after="240"/>
        <w:ind w:left="1440" w:hanging="720"/>
      </w:pPr>
      <w:r w:rsidRPr="0013396E">
        <w:t>(a)</w:t>
      </w:r>
      <w:r w:rsidRPr="0013396E">
        <w:tab/>
        <w:t>Not opted out of the RUC instruction</w:t>
      </w:r>
      <w:r w:rsidR="00FC5B77" w:rsidRPr="0013396E">
        <w:t>, which may be a verbal RUC,</w:t>
      </w:r>
      <w:r w:rsidRPr="0013396E">
        <w:t xml:space="preserve"> per the process described in paragraph (1</w:t>
      </w:r>
      <w:r w:rsidR="00910305" w:rsidRPr="0013396E">
        <w:t>4</w:t>
      </w:r>
      <w:r w:rsidRPr="0013396E">
        <w:t>) of Section 5.5.2, Reliability Unit Commitment (RUC) Process;</w:t>
      </w:r>
    </w:p>
    <w:p w14:paraId="4D399DA2" w14:textId="41A11D31" w:rsidR="00236104" w:rsidRPr="0013396E" w:rsidRDefault="00236104" w:rsidP="00E330FE">
      <w:pPr>
        <w:spacing w:after="240"/>
        <w:ind w:left="1440" w:hanging="720"/>
      </w:pPr>
      <w:r w:rsidRPr="0013396E">
        <w:t>(b)</w:t>
      </w:r>
      <w:r w:rsidRPr="0013396E">
        <w:tab/>
        <w:t>Complied with the RUC instruction</w:t>
      </w:r>
      <w:r w:rsidR="00FC5B77" w:rsidRPr="0013396E">
        <w:t>, which may be a verbal RUC,</w:t>
      </w:r>
      <w:r w:rsidRPr="0013396E">
        <w:t xml:space="preserve"> to switch to the ERCOT Control Area and start the Resource;</w:t>
      </w:r>
    </w:p>
    <w:p w14:paraId="36613681" w14:textId="77777777" w:rsidR="00236104" w:rsidRPr="0013396E" w:rsidRDefault="00236104" w:rsidP="00236104">
      <w:pPr>
        <w:spacing w:after="240"/>
        <w:ind w:left="1440" w:hanging="720"/>
      </w:pPr>
      <w:r w:rsidRPr="0013396E">
        <w:t>(c)</w:t>
      </w:r>
      <w:r w:rsidRPr="0013396E">
        <w:tab/>
        <w:t xml:space="preserve">Submitted a timely Settlement and billing dispute, including the following items: </w:t>
      </w:r>
    </w:p>
    <w:p w14:paraId="4A74C6DC" w14:textId="77777777" w:rsidR="00236104" w:rsidRPr="0013396E" w:rsidRDefault="00236104" w:rsidP="00236104">
      <w:pPr>
        <w:spacing w:after="240"/>
        <w:ind w:left="2160" w:hanging="720"/>
      </w:pPr>
      <w:r w:rsidRPr="0013396E">
        <w:t>(i)</w:t>
      </w:r>
      <w:r w:rsidRPr="0013396E">
        <w:tab/>
        <w:t>An attestation signed by an officer or executive with authority to bind the QSE stating that the information contained in the submission is accurate;</w:t>
      </w:r>
    </w:p>
    <w:p w14:paraId="7CFDB126" w14:textId="77777777" w:rsidR="00236104" w:rsidRPr="0013396E" w:rsidRDefault="00236104" w:rsidP="00236104">
      <w:pPr>
        <w:spacing w:after="240"/>
        <w:ind w:left="2160" w:hanging="720"/>
      </w:pPr>
      <w:r w:rsidRPr="0013396E">
        <w:t>(ii)</w:t>
      </w:r>
      <w:r w:rsidRPr="0013396E">
        <w:tab/>
        <w:t>The dollar amount and calculation of the financial loss, if applicable, by Settlement Interval for:</w:t>
      </w:r>
    </w:p>
    <w:p w14:paraId="2B81E6BB" w14:textId="7DEC3803" w:rsidR="00236104" w:rsidRPr="0013396E" w:rsidRDefault="00236104" w:rsidP="00236104">
      <w:pPr>
        <w:spacing w:after="240"/>
        <w:ind w:left="2880" w:hanging="720"/>
      </w:pPr>
      <w:r w:rsidRPr="0013396E">
        <w:lastRenderedPageBreak/>
        <w:t>(A)</w:t>
      </w:r>
      <w:r w:rsidRPr="0013396E">
        <w:tab/>
      </w:r>
      <w:r w:rsidR="00FC5B77" w:rsidRPr="0013396E">
        <w:t>E</w:t>
      </w:r>
      <w:r w:rsidRPr="0013396E">
        <w:t xml:space="preserve">nergy and ancillary service imbalance costs assessed under the non-ERCOT Control Area </w:t>
      </w:r>
      <w:r w:rsidR="00C0502C" w:rsidRPr="0013396E">
        <w:t xml:space="preserve">Operator’s (CAO’s) </w:t>
      </w:r>
      <w:r w:rsidRPr="0013396E">
        <w:t xml:space="preserve">settlement process arising from </w:t>
      </w:r>
      <w:r w:rsidR="00FC5B77" w:rsidRPr="0013396E">
        <w:t xml:space="preserve">DAM </w:t>
      </w:r>
      <w:r w:rsidRPr="0013396E">
        <w:t>energy and ancillary service obligations of the SWGR in the non-ERCOT Control Area for the time period starting at the initiation of the ramp-down in the non-ERCOT Control Area to two hours following the time ERCOT released the SWGR;</w:t>
      </w:r>
    </w:p>
    <w:p w14:paraId="317D6B60" w14:textId="77777777" w:rsidR="00236104" w:rsidRPr="0013396E" w:rsidRDefault="00236104" w:rsidP="00236104">
      <w:pPr>
        <w:pStyle w:val="List3"/>
      </w:pPr>
      <w:r w:rsidRPr="0013396E">
        <w:t>(B)</w:t>
      </w:r>
      <w:r w:rsidRPr="0013396E">
        <w:tab/>
        <w:t>Incremental fuel costs incurred to comply with the instruction.  Incremental fuel costs may include only those fuel costs described in Section 9.14.9, Incremental Fuel Costs for Switchable Generation Make-Whole Payment Disputes;</w:t>
      </w:r>
    </w:p>
    <w:p w14:paraId="338D1ABE" w14:textId="77777777" w:rsidR="00236104" w:rsidRPr="0013396E" w:rsidRDefault="00236104" w:rsidP="00236104">
      <w:pPr>
        <w:pStyle w:val="List3"/>
      </w:pPr>
      <w:r w:rsidRPr="0013396E">
        <w:t>(C)</w:t>
      </w:r>
      <w:r w:rsidRPr="0013396E">
        <w:tab/>
        <w:t xml:space="preserve">Make-Whole Payment distribution costs for the commitment of generation resources in the non-ERCOT Control Area arising from the need to replace the energy and ancillary service obligations of the generation instructed via a RUC instruction to switch into the ERCOT Control Area; </w:t>
      </w:r>
    </w:p>
    <w:p w14:paraId="4747AED5" w14:textId="77777777" w:rsidR="00236104" w:rsidRPr="0013396E" w:rsidRDefault="00236104" w:rsidP="00236104">
      <w:pPr>
        <w:pStyle w:val="List3"/>
      </w:pPr>
      <w:r w:rsidRPr="0013396E">
        <w:t>(D)</w:t>
      </w:r>
      <w:r w:rsidRPr="0013396E">
        <w:tab/>
        <w:t>Pipeline imbalance penalty costs arising from the SWGR not consuming or consuming over its contracted fuel quantities as a result of a switch from a non-ERCOT Control Area as requested by ERCOT.  Fuel imbalance penalty costs are limited to those costs assessed for the period starting at the initiation of the ramp-down in the non-ERCOT Control Area to two hours following the time ERCOT released the SWGR;</w:t>
      </w:r>
    </w:p>
    <w:p w14:paraId="240B09FB" w14:textId="77777777" w:rsidR="00236104" w:rsidRPr="0013396E" w:rsidRDefault="00236104" w:rsidP="00236104">
      <w:pPr>
        <w:spacing w:after="240"/>
        <w:ind w:left="2160" w:hanging="720"/>
      </w:pPr>
      <w:r w:rsidRPr="0013396E">
        <w:t>(iii)</w:t>
      </w:r>
      <w:r w:rsidRPr="0013396E">
        <w:tab/>
        <w:t xml:space="preserve">Sufficient documentation to support the QSE’s calculation of the amount of the financial loss and all submitted costs. </w:t>
      </w:r>
    </w:p>
    <w:p w14:paraId="568AAB8A" w14:textId="77777777" w:rsidR="00236104" w:rsidRPr="0013396E" w:rsidRDefault="00236104" w:rsidP="00236104">
      <w:pPr>
        <w:spacing w:after="240"/>
        <w:ind w:left="720" w:hanging="720"/>
      </w:pPr>
      <w:r w:rsidRPr="0013396E">
        <w:t>(2)</w:t>
      </w:r>
      <w:r w:rsidRPr="0013396E">
        <w:tab/>
        <w:t>For a SWGR without approved verifiable costs, the startup and minimum-energy costs will be determined based on generic costs as described in Section 4.4.9.2.3, Startup Offer and Minimum-Energy Offer Generic Caps.  If generic costs are insufficient to cover startup and minimum-energy costs of the SWGR, the QSE may provide documentation and request that generic costs be replaced by proxy costs, if available, as determined by ERCOT.</w:t>
      </w:r>
    </w:p>
    <w:p w14:paraId="20E3A04E" w14:textId="77777777" w:rsidR="00236104" w:rsidRPr="0013396E" w:rsidRDefault="00236104" w:rsidP="00236104">
      <w:pPr>
        <w:spacing w:after="240"/>
        <w:ind w:left="720" w:hanging="720"/>
      </w:pPr>
      <w:r w:rsidRPr="0013396E">
        <w:t>(3)</w:t>
      </w:r>
      <w:r w:rsidRPr="0013396E">
        <w:tab/>
        <w:t>For a SWGR that is a Combined Cycle Generation Resource, all operating costs are those costs for the Combined Cycle Generation Resource within the Combined Cycle Train that is instructed for the hour.  If the QSE representing a Combined Cycle Generation Resource complies with a RUC instruction by ERCOT to transition from one Combined Cycle Generation Resource to a different Combined Cycle Generation Resource within the Combined Cycle Train, the incremental cost to transition shall be included in the Switchable Generation Start-Up Cost (SWSUC), as calculated in Section 6.6.12.1, for the Combined Cycle Resource.</w:t>
      </w:r>
    </w:p>
    <w:p w14:paraId="370D2EE5" w14:textId="77777777" w:rsidR="00FC5B77" w:rsidRPr="0013396E" w:rsidRDefault="00FC5B77" w:rsidP="00FC5B77">
      <w:pPr>
        <w:spacing w:after="240"/>
        <w:ind w:left="720" w:hanging="720"/>
      </w:pPr>
      <w:r w:rsidRPr="0013396E">
        <w:lastRenderedPageBreak/>
        <w:t>(4)</w:t>
      </w:r>
      <w:r w:rsidRPr="0013396E">
        <w:tab/>
        <w:t xml:space="preserve">A QSE representing a SWGR that is committed through an ERCOT instruction to switch to the ERCOT Control Area may recover lost revenue, net of saved fuel costs, attributable to a reduction in the output of other ERCOT-connected generators that are part of a Combined Cycle Train that includes the RUC-committed SWGR if the following conditions have been met:  </w:t>
      </w:r>
    </w:p>
    <w:p w14:paraId="0FCCEB39" w14:textId="77777777" w:rsidR="00FC5B77" w:rsidRPr="0013396E" w:rsidRDefault="00FC5B77" w:rsidP="00FC5B77">
      <w:pPr>
        <w:spacing w:after="240"/>
        <w:ind w:left="1440" w:hanging="720"/>
      </w:pPr>
      <w:r w:rsidRPr="0013396E">
        <w:t xml:space="preserve">(a) </w:t>
      </w:r>
      <w:r w:rsidRPr="0013396E">
        <w:tab/>
        <w:t xml:space="preserve">The QSE had to turn off one or more generators that were physically connected to the non-ERCOT Control Area in order to achieve the instructed switch, or had to turn off one or more generators that were physically connected to the ERCOT System in order to switch back to the non-ERCOT Control Area, in which case it must have completed the shutdown sequence within 60 minutes of the end of the RUC instruction; and </w:t>
      </w:r>
    </w:p>
    <w:p w14:paraId="4368AFFD" w14:textId="77777777" w:rsidR="00FC5B77" w:rsidRPr="0013396E" w:rsidRDefault="00FC5B77" w:rsidP="00FC5B77">
      <w:pPr>
        <w:spacing w:after="240"/>
        <w:ind w:left="1440" w:hanging="720"/>
      </w:pPr>
      <w:r w:rsidRPr="0013396E">
        <w:t xml:space="preserve">(b) </w:t>
      </w:r>
      <w:r w:rsidRPr="0013396E">
        <w:tab/>
        <w:t>As a consequence of turning off one or more generators to facilitate a switch described in paragraph (a) above, the output of one or more generators in the configuration operating in ERCOT at the time of the instruction had to be reduced.</w:t>
      </w:r>
    </w:p>
    <w:p w14:paraId="2234654A" w14:textId="77777777" w:rsidR="00FC5B77" w:rsidRPr="0013396E" w:rsidRDefault="00FC5B77" w:rsidP="00FC5B77">
      <w:pPr>
        <w:spacing w:after="240"/>
        <w:ind w:left="720" w:hanging="720"/>
      </w:pPr>
      <w:r w:rsidRPr="0013396E">
        <w:t xml:space="preserve">(5) </w:t>
      </w:r>
      <w:r w:rsidRPr="0013396E">
        <w:tab/>
        <w:t xml:space="preserve">The lost revenue, net of saved fuel costs, described in paragraph (4) above shall be included in the Switchable Generation Cost Guarantee (SWCG), as calculated in Section 6.6.12.1, for the Combined Cycle Generation Resource.  </w:t>
      </w:r>
    </w:p>
    <w:p w14:paraId="4F1E7C55" w14:textId="2B0B6BF4" w:rsidR="00FC5B77" w:rsidRPr="0013396E" w:rsidRDefault="00FC5B77" w:rsidP="00FC5B77">
      <w:pPr>
        <w:spacing w:after="240"/>
        <w:ind w:left="720" w:hanging="720"/>
      </w:pPr>
      <w:r w:rsidRPr="0013396E">
        <w:t>(6)</w:t>
      </w:r>
      <w:r w:rsidRPr="0013396E">
        <w:tab/>
        <w:t xml:space="preserve">For a SWGR switching from a non-ERCOT Control Area, the compensation described in paragraph (4) above shall be determined for the period from the commencement of the shutdown sequence of the switched unit in the non-ERCOT Control Area until breaker close in the ERCOT Control Area.  For a SWGR switching to a non-ERCOT Control Area within 60 minutes of the end of the RUC </w:t>
      </w:r>
      <w:r w:rsidR="00CC0885" w:rsidRPr="0013396E">
        <w:t>i</w:t>
      </w:r>
      <w:r w:rsidRPr="0013396E">
        <w:t xml:space="preserve">nstruction, the compensation described in paragraph (4) above shall be determined for the period from the commencement of the shutdown sequence of the unit in the ERCOT System until breaker close in the non-ERCOT Control Area, with a maximum duration equal to the duration of the switch from the non-ERCOT Control Area to ERCOT pursuant to the RUC instruction.   </w:t>
      </w:r>
    </w:p>
    <w:p w14:paraId="5F94A869" w14:textId="095C92C8" w:rsidR="00FC5B77" w:rsidRPr="0013396E" w:rsidRDefault="00FC5B77" w:rsidP="00FC5B77">
      <w:pPr>
        <w:spacing w:after="240"/>
        <w:ind w:left="720" w:hanging="720"/>
      </w:pPr>
      <w:r w:rsidRPr="0013396E">
        <w:t xml:space="preserve">(7) </w:t>
      </w:r>
      <w:r w:rsidRPr="0013396E">
        <w:tab/>
        <w:t xml:space="preserve">A QSE that is entitled to compensation under paragraph (4) above, or the Resource Entity for the affected SWGR, must provide the following documentation for the Combined Cycle Train to verify the lost revenue: </w:t>
      </w:r>
    </w:p>
    <w:p w14:paraId="650DB4AF" w14:textId="77777777" w:rsidR="00FC5B77" w:rsidRPr="0013396E" w:rsidRDefault="00FC5B77" w:rsidP="00FC5B77">
      <w:pPr>
        <w:spacing w:after="240"/>
        <w:ind w:left="1440" w:hanging="720"/>
      </w:pPr>
      <w:r w:rsidRPr="0013396E">
        <w:t xml:space="preserve">(a) </w:t>
      </w:r>
      <w:r w:rsidRPr="0013396E">
        <w:tab/>
        <w:t>Documentation of the Real-Time output of each unit in the Combined Cycle Train, whether operating in ERCOT or in the non-ERCOT Control Area;</w:t>
      </w:r>
    </w:p>
    <w:p w14:paraId="59D99708" w14:textId="77777777" w:rsidR="00FC5B77" w:rsidRPr="0013396E" w:rsidRDefault="00FC5B77" w:rsidP="00FC5B77">
      <w:pPr>
        <w:spacing w:after="240"/>
        <w:ind w:left="1440" w:hanging="720"/>
      </w:pPr>
      <w:r w:rsidRPr="0013396E">
        <w:t xml:space="preserve">(b) </w:t>
      </w:r>
      <w:r w:rsidRPr="0013396E">
        <w:tab/>
        <w:t>For thermal units, the Input-Output Equation or other documentation that allows for calculating the reduction in fuel consumption if the unit had to reduce generation;</w:t>
      </w:r>
    </w:p>
    <w:p w14:paraId="0B83F89C" w14:textId="77777777" w:rsidR="00FC5B77" w:rsidRPr="0013396E" w:rsidRDefault="00FC5B77" w:rsidP="00FC5B77">
      <w:pPr>
        <w:spacing w:after="240"/>
        <w:ind w:left="1440" w:hanging="720"/>
      </w:pPr>
      <w:r w:rsidRPr="0013396E">
        <w:t xml:space="preserve">(c) </w:t>
      </w:r>
      <w:r w:rsidRPr="0013396E">
        <w:tab/>
        <w:t>Documentation of the time the shutdown sequence started while switching to ERCOT, and if the QSE seeks recovery of lost revenues for a switch to the non-ERCOT Control Area, documentation of the time the breaker closed in the non-ERCOT Control Area, which is subject to verification with the non-ERCOT Control Area operator;</w:t>
      </w:r>
    </w:p>
    <w:p w14:paraId="60E51EF5" w14:textId="77777777" w:rsidR="00FC5B77" w:rsidRPr="0013396E" w:rsidRDefault="00FC5B77" w:rsidP="00FC5B77">
      <w:pPr>
        <w:spacing w:after="240"/>
        <w:ind w:left="1440" w:hanging="720"/>
      </w:pPr>
      <w:r w:rsidRPr="0013396E">
        <w:lastRenderedPageBreak/>
        <w:t xml:space="preserve">(d) </w:t>
      </w:r>
      <w:r w:rsidRPr="0013396E">
        <w:tab/>
        <w:t>Documentation showing which combustion turbine of the Combined Cycle Generation Resource is providing the auxiliary service; and</w:t>
      </w:r>
    </w:p>
    <w:p w14:paraId="50E1963D" w14:textId="77777777" w:rsidR="00FC5B77" w:rsidRPr="0013396E" w:rsidRDefault="00FC5B77" w:rsidP="00FC5B77">
      <w:pPr>
        <w:spacing w:after="240"/>
        <w:ind w:left="1440" w:hanging="720"/>
      </w:pPr>
      <w:r w:rsidRPr="0013396E">
        <w:t xml:space="preserve">(e) </w:t>
      </w:r>
      <w:r w:rsidRPr="0013396E">
        <w:tab/>
        <w:t>Any other technical documentation ERCOT finds necessary to verify the performance and physical characteristics of the Combined Cycle Train or any component thereof, such as thermal balance diagrams.</w:t>
      </w:r>
    </w:p>
    <w:p w14:paraId="57899BA3" w14:textId="6A2DC8BE" w:rsidR="00236104" w:rsidRPr="0013396E" w:rsidRDefault="00236104" w:rsidP="00FC5B77">
      <w:pPr>
        <w:spacing w:after="240"/>
        <w:ind w:left="720" w:hanging="720"/>
      </w:pPr>
      <w:r w:rsidRPr="0013396E">
        <w:t>(</w:t>
      </w:r>
      <w:r w:rsidR="00FC5B77" w:rsidRPr="0013396E">
        <w:t>8</w:t>
      </w:r>
      <w:r w:rsidRPr="0013396E">
        <w:t>)</w:t>
      </w:r>
      <w:r w:rsidRPr="0013396E">
        <w:tab/>
        <w:t>The Startup Cost for the SWGR shall include the cost for starting in the ERCOT Control Area and, if the SWGR starts up in the non-ERCOT Control Area within 24 hours of being released from ERCOT, the cost of starting in the non-ERCOT Control Area, which will be based on the same warmth state.</w:t>
      </w:r>
    </w:p>
    <w:p w14:paraId="5524AB1C" w14:textId="797B1263" w:rsidR="00236104" w:rsidRPr="0013396E" w:rsidRDefault="00236104" w:rsidP="00236104">
      <w:pPr>
        <w:spacing w:after="240"/>
        <w:ind w:left="720" w:hanging="720"/>
      </w:pPr>
      <w:r w:rsidRPr="0013396E">
        <w:t>(</w:t>
      </w:r>
      <w:r w:rsidR="00FC5B77" w:rsidRPr="0013396E">
        <w:t>9</w:t>
      </w:r>
      <w:r w:rsidRPr="0013396E">
        <w:t xml:space="preserve">) </w:t>
      </w:r>
      <w:r w:rsidRPr="0013396E">
        <w:tab/>
        <w:t>ERCOT may request additional supporting documentation or explanation with respect to the submitted materials within 15 Business Days of receipt.  Additional information requested by ERCOT must be provided by the QSE within 15 Business Days of ERCOT’s request.  ERCOT will provide Notice of its acceptance or rejection of the claim for the</w:t>
      </w:r>
      <w:r w:rsidR="00C0502C" w:rsidRPr="0013396E">
        <w:t xml:space="preserve"> SWMWAMT</w:t>
      </w:r>
      <w:r w:rsidRPr="0013396E">
        <w:t xml:space="preserve"> within 15 Business Days of the updated submission.</w:t>
      </w:r>
    </w:p>
    <w:p w14:paraId="7AC5246A" w14:textId="784C370E" w:rsidR="0006334F" w:rsidRPr="0013396E" w:rsidRDefault="00236104" w:rsidP="00CC0885">
      <w:pPr>
        <w:spacing w:after="240"/>
        <w:ind w:left="720" w:hanging="720"/>
      </w:pPr>
      <w:r w:rsidRPr="0013396E">
        <w:t>(</w:t>
      </w:r>
      <w:r w:rsidR="00FC5B77" w:rsidRPr="0013396E">
        <w:t>10</w:t>
      </w:r>
      <w:r w:rsidRPr="0013396E">
        <w:t xml:space="preserve">) </w:t>
      </w:r>
      <w:r w:rsidRPr="0013396E">
        <w:tab/>
        <w:t>If ERCOT denies all or a portion of a QSE’s non-ERCOT Control Area costs, pursuant to paragraph (1)(c)(ii) above, the QSE may submit a request for ADR as described in Section 20, Alternative Dispute Resolution Procedure</w:t>
      </w:r>
      <w:r w:rsidR="00992E7F" w:rsidRPr="0013396E">
        <w:t xml:space="preserve"> and Procedure for Return of Settlement Funds</w:t>
      </w:r>
      <w:r w:rsidRPr="0013396E">
        <w:t>.</w:t>
      </w:r>
    </w:p>
    <w:p w14:paraId="7812EF24" w14:textId="77777777" w:rsidR="00236104" w:rsidRPr="0013396E" w:rsidRDefault="00236104" w:rsidP="00043D95">
      <w:pPr>
        <w:pStyle w:val="H4"/>
        <w:spacing w:before="480"/>
        <w:ind w:left="1267" w:hanging="1267"/>
      </w:pPr>
      <w:bookmarkStart w:id="2200" w:name="_Toc214879020"/>
      <w:bookmarkStart w:id="2201" w:name="_Toc397505045"/>
      <w:bookmarkStart w:id="2202" w:name="_Toc402357177"/>
      <w:bookmarkStart w:id="2203" w:name="_Toc422486557"/>
      <w:bookmarkStart w:id="2204" w:name="_Toc433093410"/>
      <w:bookmarkStart w:id="2205" w:name="_Toc433093568"/>
      <w:bookmarkStart w:id="2206" w:name="_Toc440874798"/>
      <w:bookmarkStart w:id="2207" w:name="_Toc448142355"/>
      <w:bookmarkStart w:id="2208" w:name="_Toc448142512"/>
      <w:bookmarkStart w:id="2209" w:name="_Toc458770353"/>
      <w:bookmarkStart w:id="2210" w:name="_Toc459294321"/>
      <w:bookmarkStart w:id="2211" w:name="_Toc463262815"/>
      <w:bookmarkStart w:id="2212" w:name="_Toc468286888"/>
      <w:bookmarkStart w:id="2213" w:name="_Toc481502928"/>
      <w:bookmarkStart w:id="2214" w:name="_Toc496080096"/>
      <w:r w:rsidRPr="0013396E">
        <w:t>6.6.12.1</w:t>
      </w:r>
      <w:r w:rsidRPr="0013396E">
        <w:tab/>
        <w:t>Switchable Generation Make-Whole Payment</w:t>
      </w:r>
      <w:bookmarkEnd w:id="2200"/>
    </w:p>
    <w:p w14:paraId="4DA171CC" w14:textId="77777777" w:rsidR="00C236A2" w:rsidRPr="0013396E" w:rsidRDefault="00C236A2" w:rsidP="00C236A2">
      <w:pPr>
        <w:ind w:left="720" w:hanging="720"/>
      </w:pPr>
      <w:r w:rsidRPr="0013396E">
        <w:t>(1)</w:t>
      </w:r>
      <w:r w:rsidRPr="0013396E">
        <w:tab/>
        <w:t>To compensate QSEs representing SWGRs that switch to the ERCOT Control Area from a non-ERCOT Control Area pursuant to an ERCOT RUC instruction for an actual or anticipated EEA condition, ERCOT shall calculate a Switchable Generation Make-Whole Payment (SWMWAMT) for an Operating Day, allocated to each instructed Operating Hour as follows:</w:t>
      </w:r>
    </w:p>
    <w:p w14:paraId="45978AEE" w14:textId="77777777" w:rsidR="00C236A2" w:rsidRPr="0013396E" w:rsidRDefault="00C236A2" w:rsidP="00C236A2"/>
    <w:p w14:paraId="61B9B4E9" w14:textId="77777777" w:rsidR="00C236A2" w:rsidRPr="0013396E" w:rsidRDefault="00C236A2" w:rsidP="00C236A2">
      <w:pPr>
        <w:tabs>
          <w:tab w:val="left" w:pos="2250"/>
          <w:tab w:val="left" w:pos="3150"/>
          <w:tab w:val="left" w:pos="3960"/>
        </w:tabs>
        <w:spacing w:after="240"/>
        <w:ind w:left="3960" w:hanging="3240"/>
        <w:rPr>
          <w:b/>
          <w:bCs/>
          <w:i/>
          <w:vertAlign w:val="subscript"/>
        </w:rPr>
      </w:pPr>
      <w:r w:rsidRPr="0013396E">
        <w:rPr>
          <w:b/>
          <w:bCs/>
        </w:rPr>
        <w:t xml:space="preserve">SWMWAMT </w:t>
      </w:r>
      <w:r w:rsidRPr="0013396E">
        <w:rPr>
          <w:b/>
          <w:bCs/>
          <w:i/>
          <w:vertAlign w:val="subscript"/>
        </w:rPr>
        <w:t>q, r</w:t>
      </w:r>
      <w:r w:rsidRPr="0013396E">
        <w:rPr>
          <w:b/>
          <w:bCs/>
        </w:rPr>
        <w:t xml:space="preserve">  =  (-1) * Max (0, (SWCG </w:t>
      </w:r>
      <w:r w:rsidRPr="0013396E">
        <w:rPr>
          <w:b/>
          <w:bCs/>
          <w:i/>
          <w:vertAlign w:val="subscript"/>
        </w:rPr>
        <w:t>q, r, d</w:t>
      </w:r>
      <w:r w:rsidRPr="0013396E">
        <w:rPr>
          <w:b/>
          <w:bCs/>
        </w:rPr>
        <w:t xml:space="preserve"> – </w:t>
      </w:r>
      <w:r w:rsidRPr="0013396E">
        <w:rPr>
          <w:b/>
          <w:bCs/>
          <w:lang w:val="pt-BR"/>
        </w:rPr>
        <w:t>SWRTREV</w:t>
      </w:r>
      <w:r w:rsidRPr="0013396E">
        <w:rPr>
          <w:b/>
          <w:bCs/>
          <w:i/>
          <w:vertAlign w:val="subscript"/>
          <w:lang w:val="pt-BR"/>
        </w:rPr>
        <w:t xml:space="preserve"> q, r, d</w:t>
      </w:r>
      <w:r w:rsidRPr="0013396E">
        <w:rPr>
          <w:b/>
          <w:bCs/>
        </w:rPr>
        <w:t xml:space="preserve">)) / SWIHR </w:t>
      </w:r>
      <w:r w:rsidRPr="0013396E">
        <w:rPr>
          <w:b/>
          <w:bCs/>
          <w:i/>
          <w:vertAlign w:val="subscript"/>
        </w:rPr>
        <w:t>q, r, d</w:t>
      </w:r>
    </w:p>
    <w:p w14:paraId="2C5E306D" w14:textId="77777777" w:rsidR="00C236A2" w:rsidRPr="0013396E" w:rsidRDefault="00C236A2" w:rsidP="00C236A2">
      <w:pPr>
        <w:spacing w:after="240"/>
        <w:ind w:left="720"/>
      </w:pPr>
      <w:r w:rsidRPr="0013396E">
        <w:t>Where:</w:t>
      </w:r>
    </w:p>
    <w:p w14:paraId="3474A103" w14:textId="77777777" w:rsidR="00C236A2" w:rsidRPr="0013396E" w:rsidRDefault="00C236A2" w:rsidP="00C236A2">
      <w:pPr>
        <w:spacing w:after="240"/>
        <w:ind w:left="2250" w:hanging="1530"/>
      </w:pPr>
      <w:r w:rsidRPr="0013396E">
        <w:t xml:space="preserve">SWCG </w:t>
      </w:r>
      <w:r w:rsidRPr="0013396E">
        <w:rPr>
          <w:i/>
          <w:vertAlign w:val="subscript"/>
        </w:rPr>
        <w:t>q, r, d</w:t>
      </w:r>
      <w:r w:rsidRPr="0013396E">
        <w:t xml:space="preserve">  =  SWSUC </w:t>
      </w:r>
      <w:r w:rsidRPr="0013396E">
        <w:rPr>
          <w:i/>
          <w:vertAlign w:val="subscript"/>
        </w:rPr>
        <w:t>q, r, d</w:t>
      </w:r>
      <w:r w:rsidRPr="0013396E">
        <w:t xml:space="preserve"> + SWMEC </w:t>
      </w:r>
      <w:r w:rsidRPr="0013396E">
        <w:rPr>
          <w:i/>
          <w:vertAlign w:val="subscript"/>
        </w:rPr>
        <w:t>q, r, d</w:t>
      </w:r>
      <w:r w:rsidRPr="0013396E">
        <w:t xml:space="preserve"> + SWOC </w:t>
      </w:r>
      <w:r w:rsidRPr="0013396E">
        <w:rPr>
          <w:i/>
          <w:vertAlign w:val="subscript"/>
        </w:rPr>
        <w:t>q, r, d</w:t>
      </w:r>
      <w:r w:rsidRPr="0013396E">
        <w:t xml:space="preserve"> + SWAC</w:t>
      </w:r>
      <w:r w:rsidRPr="0013396E">
        <w:rPr>
          <w:i/>
          <w:vertAlign w:val="subscript"/>
        </w:rPr>
        <w:t xml:space="preserve"> q, r, d</w:t>
      </w:r>
      <w:r w:rsidRPr="0013396E">
        <w:t xml:space="preserve">  + </w:t>
      </w:r>
    </w:p>
    <w:p w14:paraId="7951BAA4" w14:textId="77777777" w:rsidR="00C236A2" w:rsidRPr="0013396E" w:rsidRDefault="00C236A2" w:rsidP="00C236A2">
      <w:pPr>
        <w:spacing w:after="240"/>
        <w:ind w:left="2250" w:hanging="90"/>
      </w:pPr>
      <w:r w:rsidRPr="0013396E">
        <w:t>SWPSLR</w:t>
      </w:r>
      <w:r w:rsidRPr="0013396E">
        <w:rPr>
          <w:i/>
          <w:vertAlign w:val="subscript"/>
        </w:rPr>
        <w:t xml:space="preserve"> q, r, d</w:t>
      </w:r>
    </w:p>
    <w:p w14:paraId="4F721B84" w14:textId="77B1008C" w:rsidR="00C236A2" w:rsidRPr="0013396E" w:rsidRDefault="00C236A2" w:rsidP="00C236A2">
      <w:pPr>
        <w:spacing w:after="240"/>
        <w:ind w:left="2250" w:hanging="1530"/>
        <w:rPr>
          <w:lang w:val="pt-BR"/>
        </w:rPr>
      </w:pPr>
      <w:r w:rsidRPr="0013396E">
        <w:rPr>
          <w:lang w:val="pt-BR"/>
        </w:rPr>
        <w:t>SW</w:t>
      </w:r>
      <w:r w:rsidRPr="0013396E">
        <w:rPr>
          <w:bCs/>
          <w:lang w:val="pt-BR"/>
        </w:rPr>
        <w:t xml:space="preserve">RTREV </w:t>
      </w:r>
      <w:r w:rsidRPr="0013396E">
        <w:rPr>
          <w:i/>
          <w:vertAlign w:val="subscript"/>
          <w:lang w:val="pt-BR"/>
        </w:rPr>
        <w:t>q</w:t>
      </w:r>
      <w:r w:rsidRPr="0013396E">
        <w:rPr>
          <w:i/>
          <w:vertAlign w:val="subscript"/>
          <w:lang w:val="it-IT"/>
        </w:rPr>
        <w:t>, r, d</w:t>
      </w:r>
      <w:r w:rsidRPr="0013396E">
        <w:rPr>
          <w:lang w:val="it-IT"/>
        </w:rPr>
        <w:t xml:space="preserve">   </w:t>
      </w:r>
      <w:r w:rsidRPr="0013396E">
        <w:t xml:space="preserve">=  </w:t>
      </w:r>
      <w:r w:rsidRPr="0013396E">
        <w:rPr>
          <w:bCs/>
          <w:lang w:val="pt-BR"/>
        </w:rPr>
        <w:t xml:space="preserve">Max [0, </w:t>
      </w:r>
      <w:r w:rsidR="000B7133" w:rsidRPr="0013396E">
        <w:rPr>
          <w:position w:val="-20"/>
        </w:rPr>
        <w:object w:dxaOrig="220" w:dyaOrig="440" w14:anchorId="7E031067">
          <v:shape id="_x0000_i1242" type="#_x0000_t75" style="width:12pt;height:24pt" o:ole="">
            <v:imagedata r:id="rId91" o:title=""/>
          </v:shape>
          <o:OLEObject Type="Embed" ProgID="Equation.3" ShapeID="_x0000_i1242" DrawAspect="Content" ObjectID="_1836311520" r:id="rId313"/>
        </w:object>
      </w:r>
      <w:r w:rsidRPr="0013396E">
        <w:t>(</w:t>
      </w:r>
      <w:r w:rsidRPr="0013396E">
        <w:rPr>
          <w:bCs/>
          <w:lang w:val="pt-BR"/>
        </w:rPr>
        <w:t>RTSP</w:t>
      </w:r>
      <w:r w:rsidRPr="0013396E">
        <w:rPr>
          <w:lang w:val="pt-BR"/>
        </w:rPr>
        <w:t>P</w:t>
      </w:r>
      <w:r w:rsidRPr="0013396E">
        <w:rPr>
          <w:b/>
          <w:i/>
          <w:vertAlign w:val="subscript"/>
        </w:rPr>
        <w:t xml:space="preserve"> </w:t>
      </w:r>
      <w:r w:rsidRPr="0013396E">
        <w:rPr>
          <w:i/>
          <w:vertAlign w:val="subscript"/>
        </w:rPr>
        <w:t>p, i</w:t>
      </w:r>
      <w:r w:rsidRPr="0013396E">
        <w:rPr>
          <w:lang w:val="pt-BR"/>
        </w:rPr>
        <w:t xml:space="preserve"> * </w:t>
      </w:r>
      <w:r w:rsidRPr="0013396E">
        <w:t>RTMG</w:t>
      </w:r>
      <w:r w:rsidRPr="0013396E">
        <w:rPr>
          <w:b/>
          <w:i/>
          <w:vertAlign w:val="subscript"/>
        </w:rPr>
        <w:t xml:space="preserve"> </w:t>
      </w:r>
      <w:r w:rsidRPr="0013396E">
        <w:rPr>
          <w:i/>
          <w:vertAlign w:val="subscript"/>
        </w:rPr>
        <w:t>q, r, i</w:t>
      </w:r>
      <w:r w:rsidRPr="0013396E">
        <w:rPr>
          <w:iCs/>
        </w:rPr>
        <w:t xml:space="preserve"> </w:t>
      </w:r>
      <w:r w:rsidRPr="0013396E">
        <w:rPr>
          <w:bCs/>
          <w:lang w:val="pt-BR"/>
        </w:rPr>
        <w:t>+ (-1) * (</w:t>
      </w:r>
      <w:r w:rsidRPr="0013396E">
        <w:rPr>
          <w:lang w:val="pt-BR"/>
        </w:rPr>
        <w:t xml:space="preserve">EMREAMT </w:t>
      </w:r>
      <w:r w:rsidRPr="0013396E">
        <w:rPr>
          <w:i/>
          <w:vertAlign w:val="subscript"/>
          <w:lang w:val="pt-BR"/>
        </w:rPr>
        <w:t xml:space="preserve">q, r, p, i </w:t>
      </w:r>
      <w:r w:rsidRPr="0013396E">
        <w:rPr>
          <w:lang w:val="pt-BR"/>
        </w:rPr>
        <w:t xml:space="preserve"> +  VSSVARAMT</w:t>
      </w:r>
      <w:r w:rsidRPr="0013396E">
        <w:t xml:space="preserve"> </w:t>
      </w:r>
      <w:r w:rsidRPr="0013396E">
        <w:rPr>
          <w:i/>
          <w:vertAlign w:val="subscript"/>
        </w:rPr>
        <w:t>q, r, i</w:t>
      </w:r>
      <w:r w:rsidRPr="0013396E">
        <w:rPr>
          <w:iCs/>
          <w:vertAlign w:val="subscript"/>
        </w:rPr>
        <w:t xml:space="preserve"> </w:t>
      </w:r>
      <w:r w:rsidRPr="0013396E">
        <w:rPr>
          <w:bCs/>
          <w:lang w:val="pt-BR"/>
        </w:rPr>
        <w:t xml:space="preserve">+ </w:t>
      </w:r>
      <w:r w:rsidRPr="0013396E">
        <w:rPr>
          <w:lang w:val="pt-BR"/>
        </w:rPr>
        <w:t xml:space="preserve">VSSEAMT </w:t>
      </w:r>
      <w:r w:rsidRPr="0013396E">
        <w:rPr>
          <w:i/>
          <w:vertAlign w:val="subscript"/>
          <w:lang w:val="pt-BR"/>
        </w:rPr>
        <w:t>q, r, i</w:t>
      </w:r>
      <w:r w:rsidRPr="0013396E">
        <w:rPr>
          <w:lang w:val="pt-BR"/>
        </w:rPr>
        <w:t>) + RTRUREV</w:t>
      </w:r>
      <w:r w:rsidRPr="0013396E">
        <w:t xml:space="preserve"> </w:t>
      </w:r>
      <w:r w:rsidRPr="0013396E">
        <w:rPr>
          <w:i/>
          <w:vertAlign w:val="subscript"/>
        </w:rPr>
        <w:t>q, r, i</w:t>
      </w:r>
      <w:r w:rsidRPr="0013396E" w:rsidDel="00D93367">
        <w:rPr>
          <w:lang w:val="pt-BR"/>
        </w:rPr>
        <w:t xml:space="preserve"> </w:t>
      </w:r>
      <w:r w:rsidRPr="0013396E">
        <w:rPr>
          <w:lang w:val="pt-BR"/>
        </w:rPr>
        <w:t xml:space="preserve"> + </w:t>
      </w:r>
      <w:r w:rsidRPr="0013396E">
        <w:rPr>
          <w:iCs/>
        </w:rPr>
        <w:t xml:space="preserve">RTRDREV </w:t>
      </w:r>
      <w:r w:rsidRPr="0013396E">
        <w:rPr>
          <w:i/>
          <w:vertAlign w:val="subscript"/>
          <w:lang w:val="it-IT"/>
        </w:rPr>
        <w:t>q, r</w:t>
      </w:r>
      <w:r w:rsidRPr="0013396E">
        <w:rPr>
          <w:i/>
          <w:vertAlign w:val="subscript"/>
        </w:rPr>
        <w:t>, i</w:t>
      </w:r>
      <w:r w:rsidRPr="0013396E">
        <w:rPr>
          <w:i/>
          <w:vertAlign w:val="subscript"/>
          <w:lang w:val="it-IT"/>
        </w:rPr>
        <w:t xml:space="preserve"> </w:t>
      </w:r>
      <w:r w:rsidRPr="0013396E">
        <w:rPr>
          <w:i/>
        </w:rPr>
        <w:t xml:space="preserve"> + </w:t>
      </w:r>
      <w:r w:rsidRPr="0013396E">
        <w:rPr>
          <w:iCs/>
        </w:rPr>
        <w:t xml:space="preserve">RTRRREV </w:t>
      </w:r>
      <w:r w:rsidRPr="0013396E">
        <w:rPr>
          <w:i/>
          <w:vertAlign w:val="subscript"/>
          <w:lang w:val="it-IT"/>
        </w:rPr>
        <w:t>q, r</w:t>
      </w:r>
      <w:r w:rsidRPr="0013396E">
        <w:rPr>
          <w:i/>
          <w:vertAlign w:val="subscript"/>
        </w:rPr>
        <w:t>, i</w:t>
      </w:r>
      <w:r w:rsidRPr="0013396E">
        <w:rPr>
          <w:i/>
          <w:vertAlign w:val="subscript"/>
          <w:lang w:val="it-IT"/>
        </w:rPr>
        <w:t xml:space="preserve"> </w:t>
      </w:r>
      <w:r w:rsidRPr="0013396E">
        <w:rPr>
          <w:i/>
        </w:rPr>
        <w:t xml:space="preserve"> +</w:t>
      </w:r>
      <w:r w:rsidRPr="0013396E">
        <w:rPr>
          <w:iCs/>
        </w:rPr>
        <w:t xml:space="preserve"> RTNSREV </w:t>
      </w:r>
      <w:r w:rsidRPr="0013396E">
        <w:rPr>
          <w:i/>
          <w:vertAlign w:val="subscript"/>
          <w:lang w:val="it-IT"/>
        </w:rPr>
        <w:t>q, r</w:t>
      </w:r>
      <w:r w:rsidRPr="0013396E">
        <w:rPr>
          <w:i/>
          <w:vertAlign w:val="subscript"/>
        </w:rPr>
        <w:t>, i</w:t>
      </w:r>
      <w:r w:rsidRPr="0013396E">
        <w:rPr>
          <w:i/>
          <w:vertAlign w:val="subscript"/>
          <w:lang w:val="it-IT"/>
        </w:rPr>
        <w:t xml:space="preserve"> </w:t>
      </w:r>
      <w:r w:rsidRPr="0013396E">
        <w:rPr>
          <w:i/>
        </w:rPr>
        <w:t xml:space="preserve"> + </w:t>
      </w:r>
      <w:r w:rsidRPr="0013396E">
        <w:rPr>
          <w:iCs/>
        </w:rPr>
        <w:t xml:space="preserve">RTECRREV </w:t>
      </w:r>
      <w:r w:rsidRPr="0013396E">
        <w:rPr>
          <w:i/>
          <w:vertAlign w:val="subscript"/>
          <w:lang w:val="it-IT"/>
        </w:rPr>
        <w:t>q, r</w:t>
      </w:r>
      <w:r w:rsidRPr="0013396E">
        <w:rPr>
          <w:i/>
          <w:vertAlign w:val="subscript"/>
        </w:rPr>
        <w:t>, i</w:t>
      </w:r>
      <w:r w:rsidRPr="0013396E">
        <w:rPr>
          <w:i/>
          <w:vertAlign w:val="subscript"/>
          <w:lang w:val="it-IT"/>
        </w:rPr>
        <w:t xml:space="preserve"> </w:t>
      </w:r>
      <w:r w:rsidRPr="0013396E">
        <w:rPr>
          <w:lang w:val="pt-BR"/>
        </w:rPr>
        <w:t>)]</w:t>
      </w:r>
    </w:p>
    <w:p w14:paraId="67966D32" w14:textId="77777777" w:rsidR="00C236A2" w:rsidRPr="0013396E" w:rsidRDefault="00C236A2" w:rsidP="00C236A2">
      <w:pPr>
        <w:spacing w:after="240"/>
        <w:ind w:left="2250" w:hanging="1530"/>
        <w:rPr>
          <w:lang w:val="it-IT"/>
        </w:rPr>
      </w:pPr>
      <w:r w:rsidRPr="0013396E">
        <w:t>SWAC</w:t>
      </w:r>
      <w:r w:rsidRPr="0013396E">
        <w:rPr>
          <w:i/>
          <w:vertAlign w:val="subscript"/>
        </w:rPr>
        <w:t xml:space="preserve"> q, r, d</w:t>
      </w:r>
      <w:r w:rsidRPr="0013396E">
        <w:t xml:space="preserve">  =  SWFC</w:t>
      </w:r>
      <w:r w:rsidRPr="0013396E">
        <w:rPr>
          <w:i/>
          <w:vertAlign w:val="subscript"/>
        </w:rPr>
        <w:t xml:space="preserve"> q, r, d</w:t>
      </w:r>
      <w:r w:rsidRPr="0013396E">
        <w:rPr>
          <w:lang w:val="it-IT"/>
        </w:rPr>
        <w:t xml:space="preserve"> </w:t>
      </w:r>
      <w:r w:rsidRPr="0013396E">
        <w:t>+ SWEIC</w:t>
      </w:r>
      <w:r w:rsidRPr="0013396E">
        <w:rPr>
          <w:i/>
          <w:vertAlign w:val="subscript"/>
        </w:rPr>
        <w:t xml:space="preserve"> q, r, d</w:t>
      </w:r>
      <w:r w:rsidRPr="0013396E">
        <w:rPr>
          <w:lang w:val="it-IT"/>
        </w:rPr>
        <w:t xml:space="preserve"> </w:t>
      </w:r>
      <w:r w:rsidRPr="0013396E">
        <w:t>+ SWASIC</w:t>
      </w:r>
      <w:r w:rsidRPr="0013396E">
        <w:rPr>
          <w:i/>
          <w:vertAlign w:val="subscript"/>
        </w:rPr>
        <w:t xml:space="preserve"> q, r, d</w:t>
      </w:r>
      <w:r w:rsidRPr="0013396E">
        <w:rPr>
          <w:lang w:val="it-IT"/>
        </w:rPr>
        <w:t xml:space="preserve"> + </w:t>
      </w:r>
      <w:r w:rsidRPr="0013396E">
        <w:rPr>
          <w:lang w:val="pt-BR"/>
        </w:rPr>
        <w:t>SWMWDC</w:t>
      </w:r>
      <w:r w:rsidRPr="0013396E">
        <w:rPr>
          <w:i/>
          <w:vertAlign w:val="subscript"/>
        </w:rPr>
        <w:t xml:space="preserve"> q, r, d </w:t>
      </w:r>
      <w:r w:rsidRPr="0013396E">
        <w:rPr>
          <w:lang w:val="it-IT"/>
        </w:rPr>
        <w:t xml:space="preserve">+ </w:t>
      </w:r>
      <w:r w:rsidRPr="0013396E">
        <w:rPr>
          <w:lang w:val="pt-BR"/>
        </w:rPr>
        <w:t>SWFIPC</w:t>
      </w:r>
      <w:r w:rsidRPr="0013396E">
        <w:rPr>
          <w:i/>
          <w:vertAlign w:val="subscript"/>
        </w:rPr>
        <w:t xml:space="preserve"> q, r, d</w:t>
      </w:r>
    </w:p>
    <w:p w14:paraId="10E7F3A1" w14:textId="77777777" w:rsidR="00C236A2" w:rsidRPr="0013396E" w:rsidRDefault="00C236A2" w:rsidP="00C236A2">
      <w:pPr>
        <w:spacing w:after="240"/>
        <w:ind w:left="2250" w:hanging="1530"/>
        <w:rPr>
          <w:iCs/>
          <w:lang w:val="it-IT"/>
        </w:rPr>
      </w:pPr>
      <w:r w:rsidRPr="0013396E">
        <w:lastRenderedPageBreak/>
        <w:t>SWPSLR</w:t>
      </w:r>
      <w:r w:rsidRPr="0013396E">
        <w:rPr>
          <w:i/>
          <w:vertAlign w:val="subscript"/>
        </w:rPr>
        <w:t xml:space="preserve"> q, r, d</w:t>
      </w:r>
      <w:r w:rsidRPr="0013396E">
        <w:t xml:space="preserve">  =  </w:t>
      </w:r>
      <w:r w:rsidRPr="0013396E">
        <w:rPr>
          <w:position w:val="-20"/>
        </w:rPr>
        <w:object w:dxaOrig="220" w:dyaOrig="440" w14:anchorId="56992B3D">
          <v:shape id="_x0000_i1243" type="#_x0000_t75" style="width:12pt;height:24pt" o:ole="">
            <v:imagedata r:id="rId91" o:title=""/>
          </v:shape>
          <o:OLEObject Type="Embed" ProgID="Equation.3" ShapeID="_x0000_i1243" DrawAspect="Content" ObjectID="_1836311521" r:id="rId314"/>
        </w:object>
      </w:r>
      <w:r w:rsidRPr="0013396E">
        <w:t>(</w:t>
      </w:r>
      <w:r w:rsidRPr="0013396E">
        <w:rPr>
          <w:bCs/>
          <w:lang w:val="pt-BR"/>
        </w:rPr>
        <w:t>RTSP</w:t>
      </w:r>
      <w:r w:rsidRPr="0013396E">
        <w:rPr>
          <w:lang w:val="pt-BR"/>
        </w:rPr>
        <w:t>P</w:t>
      </w:r>
      <w:r w:rsidRPr="0013396E">
        <w:rPr>
          <w:b/>
          <w:i/>
          <w:vertAlign w:val="subscript"/>
        </w:rPr>
        <w:t xml:space="preserve"> </w:t>
      </w:r>
      <w:r w:rsidRPr="0013396E">
        <w:rPr>
          <w:i/>
          <w:vertAlign w:val="subscript"/>
        </w:rPr>
        <w:t>p, i</w:t>
      </w:r>
      <w:r w:rsidRPr="0013396E">
        <w:rPr>
          <w:lang w:val="pt-BR"/>
        </w:rPr>
        <w:t xml:space="preserve"> * </w:t>
      </w:r>
      <w:r w:rsidRPr="0013396E">
        <w:t xml:space="preserve">RTLPX </w:t>
      </w:r>
      <w:r w:rsidRPr="0013396E">
        <w:rPr>
          <w:i/>
          <w:vertAlign w:val="subscript"/>
        </w:rPr>
        <w:t xml:space="preserve">q, r, i </w:t>
      </w:r>
      <w:r w:rsidRPr="0013396E">
        <w:t xml:space="preserve">) – (FIP+FA) * SFC </w:t>
      </w:r>
      <w:r w:rsidRPr="0013396E">
        <w:rPr>
          <w:i/>
          <w:vertAlign w:val="subscript"/>
        </w:rPr>
        <w:t>d</w:t>
      </w:r>
    </w:p>
    <w:p w14:paraId="2D7A2083" w14:textId="77777777" w:rsidR="00C236A2" w:rsidRPr="0013396E" w:rsidRDefault="00C236A2" w:rsidP="00C236A2">
      <w:pPr>
        <w:spacing w:after="240"/>
        <w:ind w:left="1440" w:hanging="720"/>
      </w:pPr>
      <w:r w:rsidRPr="0013396E">
        <w:t>If ERCOT has approved verifiable costs for the SWGR:</w:t>
      </w:r>
    </w:p>
    <w:p w14:paraId="413DFDD5" w14:textId="20512AA5" w:rsidR="00C236A2" w:rsidRPr="0013396E" w:rsidRDefault="00C236A2" w:rsidP="00C236A2">
      <w:pPr>
        <w:tabs>
          <w:tab w:val="left" w:pos="1800"/>
        </w:tabs>
        <w:spacing w:after="240"/>
        <w:ind w:left="2160" w:hanging="1440"/>
        <w:rPr>
          <w:i/>
          <w:vertAlign w:val="subscript"/>
        </w:rPr>
      </w:pPr>
      <w:r w:rsidRPr="0013396E">
        <w:t xml:space="preserve">     SWSUC </w:t>
      </w:r>
      <w:r w:rsidRPr="0013396E">
        <w:rPr>
          <w:i/>
          <w:vertAlign w:val="subscript"/>
        </w:rPr>
        <w:t>q, r, d</w:t>
      </w:r>
      <w:r w:rsidRPr="0013396E">
        <w:t xml:space="preserve"> = </w:t>
      </w:r>
      <w:r w:rsidR="000B7133" w:rsidRPr="0013396E">
        <w:rPr>
          <w:position w:val="-20"/>
          <w:lang w:val="pt-BR"/>
        </w:rPr>
        <w:object w:dxaOrig="210" w:dyaOrig="450" w14:anchorId="4D1CABAF">
          <v:shape id="_x0000_i1244" type="#_x0000_t75" style="width:10.8pt;height:24pt" o:ole="">
            <v:imagedata r:id="rId315" o:title=""/>
          </v:shape>
          <o:OLEObject Type="Embed" ProgID="Equation.3" ShapeID="_x0000_i1244" DrawAspect="Content" ObjectID="_1836311522" r:id="rId316"/>
        </w:object>
      </w:r>
      <w:r w:rsidRPr="0013396E">
        <w:t xml:space="preserve"> [SWSF * </w:t>
      </w:r>
      <w:r w:rsidRPr="0013396E">
        <w:rPr>
          <w:lang w:val="pt-BR"/>
        </w:rPr>
        <w:t>(</w:t>
      </w:r>
      <w:r w:rsidRPr="0013396E">
        <w:rPr>
          <w:bCs/>
        </w:rPr>
        <w:t>DAFCRS</w:t>
      </w:r>
      <w:r w:rsidRPr="0013396E">
        <w:rPr>
          <w:bCs/>
          <w:i/>
          <w:vertAlign w:val="subscript"/>
        </w:rPr>
        <w:t xml:space="preserve"> r, s</w:t>
      </w:r>
      <w:r w:rsidRPr="0013396E">
        <w:rPr>
          <w:bCs/>
        </w:rPr>
        <w:t xml:space="preserve"> * </w:t>
      </w:r>
      <w:r w:rsidRPr="0013396E">
        <w:t xml:space="preserve">(GASPERSU </w:t>
      </w:r>
      <w:r w:rsidRPr="0013396E">
        <w:rPr>
          <w:bCs/>
          <w:i/>
          <w:vertAlign w:val="subscript"/>
        </w:rPr>
        <w:t>r, s</w:t>
      </w:r>
      <w:r w:rsidRPr="0013396E">
        <w:t xml:space="preserve"> * FIP + OILPERSU</w:t>
      </w:r>
      <w:r w:rsidRPr="0013396E">
        <w:rPr>
          <w:bCs/>
          <w:i/>
          <w:vertAlign w:val="subscript"/>
        </w:rPr>
        <w:t xml:space="preserve"> r, s</w:t>
      </w:r>
      <w:r w:rsidRPr="0013396E">
        <w:t xml:space="preserve"> * FOP + SFPERSU</w:t>
      </w:r>
      <w:r w:rsidRPr="0013396E">
        <w:rPr>
          <w:bCs/>
          <w:i/>
          <w:vertAlign w:val="subscript"/>
        </w:rPr>
        <w:t xml:space="preserve"> r, s</w:t>
      </w:r>
      <w:r w:rsidRPr="0013396E">
        <w:t xml:space="preserve"> * SFP) + VOMS</w:t>
      </w:r>
      <w:r w:rsidRPr="0013396E">
        <w:rPr>
          <w:i/>
          <w:vertAlign w:val="subscript"/>
        </w:rPr>
        <w:t xml:space="preserve"> </w:t>
      </w:r>
      <w:r w:rsidRPr="0013396E">
        <w:rPr>
          <w:bCs/>
          <w:i/>
          <w:vertAlign w:val="subscript"/>
        </w:rPr>
        <w:t>r, s</w:t>
      </w:r>
      <w:r w:rsidRPr="0013396E">
        <w:t xml:space="preserve">)] + ADJSWSUC </w:t>
      </w:r>
      <w:r w:rsidRPr="0013396E">
        <w:rPr>
          <w:i/>
          <w:vertAlign w:val="subscript"/>
        </w:rPr>
        <w:t>q, r, d</w:t>
      </w:r>
    </w:p>
    <w:p w14:paraId="023FAFB8" w14:textId="77777777" w:rsidR="00C236A2" w:rsidRPr="0013396E" w:rsidRDefault="00C236A2" w:rsidP="00C236A2">
      <w:pPr>
        <w:tabs>
          <w:tab w:val="left" w:pos="1800"/>
        </w:tabs>
        <w:spacing w:after="240"/>
        <w:ind w:left="2160" w:hanging="1440"/>
        <w:rPr>
          <w:i/>
          <w:vertAlign w:val="subscript"/>
        </w:rPr>
      </w:pPr>
      <w:r w:rsidRPr="0013396E">
        <w:t xml:space="preserve">     SWMEC </w:t>
      </w:r>
      <w:r w:rsidRPr="0013396E">
        <w:rPr>
          <w:i/>
          <w:vertAlign w:val="subscript"/>
        </w:rPr>
        <w:t>q, r, d</w:t>
      </w:r>
      <w:r w:rsidRPr="0013396E">
        <w:t xml:space="preserve"> = </w:t>
      </w:r>
      <w:r w:rsidRPr="0013396E">
        <w:rPr>
          <w:position w:val="-20"/>
          <w:lang w:val="pt-BR"/>
        </w:rPr>
        <w:object w:dxaOrig="220" w:dyaOrig="440" w14:anchorId="5FF34153">
          <v:shape id="_x0000_i1245" type="#_x0000_t75" style="width:12pt;height:24pt" o:ole="">
            <v:imagedata r:id="rId317" o:title=""/>
          </v:shape>
          <o:OLEObject Type="Embed" ProgID="Equation.3" ShapeID="_x0000_i1245" DrawAspect="Content" ObjectID="_1836311523" r:id="rId318"/>
        </w:object>
      </w:r>
      <w:r w:rsidRPr="0013396E">
        <w:rPr>
          <w:lang w:val="pt-BR"/>
        </w:rPr>
        <w:t>(</w:t>
      </w:r>
      <w:r w:rsidRPr="0013396E">
        <w:t>(</w:t>
      </w:r>
      <w:r w:rsidRPr="0013396E">
        <w:rPr>
          <w:lang w:val="pt-BR"/>
        </w:rPr>
        <w:t>AHR</w:t>
      </w:r>
      <w:r w:rsidRPr="0013396E">
        <w:rPr>
          <w:i/>
          <w:vertAlign w:val="subscript"/>
          <w:lang w:val="es-ES"/>
        </w:rPr>
        <w:t xml:space="preserve"> r, i</w:t>
      </w:r>
      <w:r w:rsidRPr="0013396E">
        <w:rPr>
          <w:lang w:val="pt-BR"/>
        </w:rPr>
        <w:t xml:space="preserve"> </w:t>
      </w:r>
      <w:r w:rsidRPr="0013396E">
        <w:t xml:space="preserve">* (GASPERME </w:t>
      </w:r>
      <w:r w:rsidRPr="0013396E">
        <w:rPr>
          <w:bCs/>
          <w:i/>
          <w:vertAlign w:val="subscript"/>
        </w:rPr>
        <w:t>r</w:t>
      </w:r>
      <w:r w:rsidRPr="0013396E">
        <w:t xml:space="preserve"> * FIP + OILPERME </w:t>
      </w:r>
      <w:r w:rsidRPr="0013396E">
        <w:rPr>
          <w:bCs/>
          <w:i/>
          <w:vertAlign w:val="subscript"/>
        </w:rPr>
        <w:t>r</w:t>
      </w:r>
      <w:r w:rsidRPr="0013396E">
        <w:t xml:space="preserve"> * FOP + SFPERME</w:t>
      </w:r>
      <w:r w:rsidRPr="0013396E">
        <w:rPr>
          <w:bCs/>
          <w:i/>
          <w:vertAlign w:val="subscript"/>
        </w:rPr>
        <w:t xml:space="preserve"> r</w:t>
      </w:r>
      <w:r w:rsidRPr="0013396E">
        <w:t xml:space="preserve">* SFP + FA </w:t>
      </w:r>
      <w:r w:rsidRPr="0013396E">
        <w:rPr>
          <w:i/>
          <w:vertAlign w:val="subscript"/>
        </w:rPr>
        <w:t>r</w:t>
      </w:r>
      <w:r w:rsidRPr="0013396E">
        <w:t>) + VOMLSL</w:t>
      </w:r>
      <w:r w:rsidRPr="0013396E">
        <w:rPr>
          <w:i/>
          <w:vertAlign w:val="subscript"/>
        </w:rPr>
        <w:t xml:space="preserve"> </w:t>
      </w:r>
      <w:r w:rsidRPr="0013396E">
        <w:rPr>
          <w:bCs/>
          <w:i/>
          <w:vertAlign w:val="subscript"/>
        </w:rPr>
        <w:t>r</w:t>
      </w:r>
      <w:r w:rsidRPr="0013396E">
        <w:t xml:space="preserve">) * Min (LSL </w:t>
      </w:r>
      <w:r w:rsidRPr="0013396E">
        <w:rPr>
          <w:i/>
          <w:vertAlign w:val="subscript"/>
        </w:rPr>
        <w:t>q, r, i</w:t>
      </w:r>
      <w:r w:rsidRPr="0013396E">
        <w:t xml:space="preserve"> * (¼), RTMG </w:t>
      </w:r>
      <w:r w:rsidRPr="0013396E">
        <w:rPr>
          <w:i/>
          <w:vertAlign w:val="subscript"/>
        </w:rPr>
        <w:t>q, r, i</w:t>
      </w:r>
      <w:r w:rsidRPr="0013396E">
        <w:t xml:space="preserve">)) </w:t>
      </w:r>
      <w:r w:rsidRPr="0013396E">
        <w:rPr>
          <w:i/>
          <w:vertAlign w:val="subscript"/>
        </w:rPr>
        <w:t xml:space="preserve">  </w:t>
      </w:r>
    </w:p>
    <w:p w14:paraId="6044E96D" w14:textId="77777777" w:rsidR="00C236A2" w:rsidRPr="0013396E" w:rsidRDefault="00C236A2" w:rsidP="00C236A2">
      <w:pPr>
        <w:pStyle w:val="BodyTextNumbered"/>
        <w:tabs>
          <w:tab w:val="left" w:pos="1800"/>
        </w:tabs>
        <w:ind w:left="2160" w:hanging="1440"/>
        <w:rPr>
          <w:i/>
          <w:vertAlign w:val="subscript"/>
        </w:rPr>
      </w:pPr>
      <w:r w:rsidRPr="0013396E">
        <w:t xml:space="preserve">     SWOC </w:t>
      </w:r>
      <w:r w:rsidRPr="0013396E">
        <w:rPr>
          <w:i/>
          <w:vertAlign w:val="subscript"/>
        </w:rPr>
        <w:t>q, r, d</w:t>
      </w:r>
      <w:r w:rsidRPr="0013396E">
        <w:t xml:space="preserve"> = </w:t>
      </w:r>
      <w:r w:rsidRPr="0013396E">
        <w:rPr>
          <w:position w:val="-20"/>
          <w:lang w:val="pt-BR"/>
        </w:rPr>
        <w:object w:dxaOrig="220" w:dyaOrig="440" w14:anchorId="121DE472">
          <v:shape id="_x0000_i1246" type="#_x0000_t75" style="width:12pt;height:24pt" o:ole="">
            <v:imagedata r:id="rId317" o:title=""/>
          </v:shape>
          <o:OLEObject Type="Embed" ProgID="Equation.3" ShapeID="_x0000_i1246" DrawAspect="Content" ObjectID="_1836311524" r:id="rId319"/>
        </w:object>
      </w:r>
      <w:r w:rsidRPr="0013396E">
        <w:rPr>
          <w:lang w:val="pt-BR"/>
        </w:rPr>
        <w:t>[</w:t>
      </w:r>
      <w:r w:rsidRPr="0013396E">
        <w:t>(</w:t>
      </w:r>
      <w:r w:rsidRPr="0013396E">
        <w:rPr>
          <w:lang w:val="pt-BR"/>
        </w:rPr>
        <w:t>AHR</w:t>
      </w:r>
      <w:r w:rsidRPr="0013396E">
        <w:rPr>
          <w:i/>
          <w:vertAlign w:val="subscript"/>
          <w:lang w:val="es-ES"/>
        </w:rPr>
        <w:t xml:space="preserve"> r, i</w:t>
      </w:r>
      <w:r w:rsidRPr="0013396E">
        <w:t xml:space="preserve"> * ((GASPEROL </w:t>
      </w:r>
      <w:r w:rsidRPr="0013396E">
        <w:rPr>
          <w:i/>
          <w:vertAlign w:val="subscript"/>
        </w:rPr>
        <w:t>r</w:t>
      </w:r>
      <w:r w:rsidRPr="0013396E">
        <w:t xml:space="preserve"> * FIP + OILPEROL</w:t>
      </w:r>
      <w:r w:rsidRPr="0013396E">
        <w:rPr>
          <w:i/>
          <w:vertAlign w:val="subscript"/>
        </w:rPr>
        <w:t xml:space="preserve"> r </w:t>
      </w:r>
      <w:r w:rsidRPr="0013396E">
        <w:t>* FOP + SFPEROL</w:t>
      </w:r>
      <w:r w:rsidRPr="0013396E">
        <w:rPr>
          <w:i/>
          <w:vertAlign w:val="subscript"/>
        </w:rPr>
        <w:t xml:space="preserve"> r</w:t>
      </w:r>
      <w:r w:rsidRPr="0013396E">
        <w:t xml:space="preserve"> * SFP) + FA</w:t>
      </w:r>
      <w:r w:rsidRPr="0013396E">
        <w:rPr>
          <w:i/>
          <w:vertAlign w:val="subscript"/>
        </w:rPr>
        <w:t xml:space="preserve"> r</w:t>
      </w:r>
      <w:r w:rsidRPr="0013396E">
        <w:t>) + OM</w:t>
      </w:r>
      <w:r w:rsidRPr="0013396E">
        <w:rPr>
          <w:i/>
          <w:vertAlign w:val="subscript"/>
        </w:rPr>
        <w:t xml:space="preserve"> r</w:t>
      </w:r>
      <w:r w:rsidRPr="0013396E">
        <w:t xml:space="preserve">) * Max(0, (RTMG </w:t>
      </w:r>
      <w:r w:rsidRPr="0013396E">
        <w:rPr>
          <w:i/>
          <w:vertAlign w:val="subscript"/>
        </w:rPr>
        <w:t>q, r, i</w:t>
      </w:r>
      <w:r w:rsidRPr="0013396E">
        <w:t xml:space="preserve"> – LSL </w:t>
      </w:r>
      <w:r w:rsidRPr="0013396E">
        <w:rPr>
          <w:i/>
          <w:vertAlign w:val="subscript"/>
        </w:rPr>
        <w:t>q, r, i</w:t>
      </w:r>
      <w:r w:rsidRPr="0013396E">
        <w:t xml:space="preserve"> * (¼)))] </w:t>
      </w:r>
      <w:r w:rsidRPr="0013396E">
        <w:rPr>
          <w:i/>
        </w:rPr>
        <w:t xml:space="preserve">- </w:t>
      </w:r>
      <w:r w:rsidRPr="0013396E">
        <w:rPr>
          <w:lang w:val="pt-BR"/>
        </w:rPr>
        <w:t>OPC</w:t>
      </w:r>
      <w:r w:rsidRPr="0013396E">
        <w:rPr>
          <w:i/>
          <w:vertAlign w:val="subscript"/>
          <w:lang w:val="es-ES"/>
        </w:rPr>
        <w:t xml:space="preserve"> r, d</w:t>
      </w:r>
      <w:r w:rsidRPr="0013396E">
        <w:t xml:space="preserve"> </w:t>
      </w:r>
      <w:r w:rsidRPr="0013396E">
        <w:rPr>
          <w:i/>
          <w:vertAlign w:val="subscript"/>
        </w:rPr>
        <w:t xml:space="preserve">  </w:t>
      </w:r>
    </w:p>
    <w:p w14:paraId="4EBBF4A8" w14:textId="77777777" w:rsidR="00C236A2" w:rsidRPr="0013396E" w:rsidRDefault="00C236A2" w:rsidP="00C236A2">
      <w:pPr>
        <w:pStyle w:val="BodyTextNumbered"/>
        <w:tabs>
          <w:tab w:val="left" w:pos="1800"/>
        </w:tabs>
        <w:ind w:left="2160" w:hanging="1440"/>
        <w:rPr>
          <w:lang w:val="pt-BR"/>
        </w:rPr>
      </w:pPr>
      <w:r w:rsidRPr="0013396E">
        <w:rPr>
          <w:lang w:val="pt-BR"/>
        </w:rPr>
        <w:t>Where,</w:t>
      </w:r>
    </w:p>
    <w:p w14:paraId="1BA5BDC1" w14:textId="77777777" w:rsidR="00C236A2" w:rsidRPr="0013396E" w:rsidRDefault="00C236A2" w:rsidP="00C236A2">
      <w:pPr>
        <w:pStyle w:val="Formula"/>
        <w:ind w:left="2880" w:hanging="2160"/>
        <w:rPr>
          <w:i/>
          <w:vertAlign w:val="subscript"/>
        </w:rPr>
      </w:pPr>
      <w:r w:rsidRPr="0013396E">
        <w:rPr>
          <w:lang w:val="pt-BR"/>
        </w:rPr>
        <w:t>OPC</w:t>
      </w:r>
      <w:r w:rsidRPr="0013396E">
        <w:rPr>
          <w:i/>
          <w:vertAlign w:val="subscript"/>
          <w:lang w:val="es-ES"/>
        </w:rPr>
        <w:t xml:space="preserve"> r, d</w:t>
      </w:r>
      <w:r w:rsidRPr="0013396E">
        <w:rPr>
          <w:lang w:val="pt-BR"/>
        </w:rPr>
        <w:t xml:space="preserve"> = </w:t>
      </w:r>
      <w:r w:rsidRPr="0013396E">
        <w:rPr>
          <w:position w:val="-20"/>
          <w:lang w:val="pt-BR"/>
        </w:rPr>
        <w:object w:dxaOrig="220" w:dyaOrig="440" w14:anchorId="1FD1B458">
          <v:shape id="_x0000_i1247" type="#_x0000_t75" style="width:12pt;height:24pt" o:ole="">
            <v:imagedata r:id="rId317" o:title=""/>
          </v:shape>
          <o:OLEObject Type="Embed" ProgID="Equation.3" ShapeID="_x0000_i1247" DrawAspect="Content" ObjectID="_1836311525" r:id="rId320"/>
        </w:object>
      </w:r>
      <w:r w:rsidRPr="0013396E">
        <w:rPr>
          <w:lang w:val="pt-BR"/>
        </w:rPr>
        <w:t>(</w:t>
      </w:r>
      <w:r w:rsidRPr="0013396E">
        <w:t>(P</w:t>
      </w:r>
      <w:r w:rsidRPr="0013396E">
        <w:rPr>
          <w:lang w:val="pt-BR"/>
        </w:rPr>
        <w:t>AHR</w:t>
      </w:r>
      <w:r w:rsidRPr="0013396E">
        <w:rPr>
          <w:i/>
          <w:vertAlign w:val="subscript"/>
          <w:lang w:val="es-ES"/>
        </w:rPr>
        <w:t xml:space="preserve"> r, i</w:t>
      </w:r>
      <w:r w:rsidRPr="0013396E">
        <w:t xml:space="preserve"> * (FIP + FA</w:t>
      </w:r>
      <w:r w:rsidRPr="0013396E">
        <w:rPr>
          <w:i/>
          <w:vertAlign w:val="subscript"/>
        </w:rPr>
        <w:t xml:space="preserve"> r</w:t>
      </w:r>
      <w:r w:rsidRPr="0013396E">
        <w:t xml:space="preserve">) + OM </w:t>
      </w:r>
      <w:r w:rsidRPr="0013396E">
        <w:rPr>
          <w:i/>
          <w:vertAlign w:val="subscript"/>
        </w:rPr>
        <w:t>r</w:t>
      </w:r>
      <w:r w:rsidRPr="0013396E">
        <w:t>) * AENG</w:t>
      </w:r>
      <w:r w:rsidRPr="0013396E">
        <w:rPr>
          <w:i/>
          <w:vertAlign w:val="subscript"/>
          <w:lang w:val="es-ES"/>
        </w:rPr>
        <w:t xml:space="preserve"> r, i</w:t>
      </w:r>
      <w:r w:rsidRPr="0013396E">
        <w:t xml:space="preserve">) </w:t>
      </w:r>
      <w:r w:rsidRPr="0013396E">
        <w:rPr>
          <w:i/>
          <w:vertAlign w:val="subscript"/>
        </w:rPr>
        <w:t xml:space="preserve">  </w:t>
      </w:r>
    </w:p>
    <w:p w14:paraId="406D5E18" w14:textId="77777777" w:rsidR="00C236A2" w:rsidRPr="0013396E" w:rsidRDefault="00C236A2" w:rsidP="00C236A2">
      <w:pPr>
        <w:spacing w:after="240"/>
        <w:ind w:left="1440" w:hanging="720"/>
      </w:pPr>
      <w:r w:rsidRPr="0013396E">
        <w:t>If ERCOT has not approved verifiable costs for the SWGR:</w:t>
      </w:r>
    </w:p>
    <w:p w14:paraId="3EBF9569" w14:textId="7C128554" w:rsidR="00C236A2" w:rsidRPr="0013396E" w:rsidRDefault="00C236A2" w:rsidP="00C236A2">
      <w:pPr>
        <w:tabs>
          <w:tab w:val="left" w:pos="2160"/>
          <w:tab w:val="left" w:pos="2880"/>
        </w:tabs>
        <w:spacing w:after="240"/>
        <w:ind w:leftChars="300" w:left="2880" w:hangingChars="900" w:hanging="2160"/>
        <w:rPr>
          <w:bCs/>
          <w:i/>
          <w:vertAlign w:val="subscript"/>
        </w:rPr>
      </w:pPr>
      <w:r w:rsidRPr="0013396E">
        <w:rPr>
          <w:bCs/>
        </w:rPr>
        <w:t xml:space="preserve">     SWSUC </w:t>
      </w:r>
      <w:r w:rsidRPr="0013396E">
        <w:rPr>
          <w:bCs/>
          <w:i/>
          <w:vertAlign w:val="subscript"/>
        </w:rPr>
        <w:t>q, r, d</w:t>
      </w:r>
      <w:r w:rsidRPr="0013396E">
        <w:rPr>
          <w:bCs/>
        </w:rPr>
        <w:t xml:space="preserve"> = </w:t>
      </w:r>
      <w:r w:rsidR="000B7133" w:rsidRPr="0013396E">
        <w:rPr>
          <w:bCs/>
          <w:position w:val="-20"/>
          <w:lang w:val="pt-BR"/>
        </w:rPr>
        <w:object w:dxaOrig="210" w:dyaOrig="450" w14:anchorId="4B006005">
          <v:shape id="_x0000_i1248" type="#_x0000_t75" style="width:11.4pt;height:24pt" o:ole="">
            <v:imagedata r:id="rId315" o:title=""/>
          </v:shape>
          <o:OLEObject Type="Embed" ProgID="Equation.3" ShapeID="_x0000_i1248" DrawAspect="Content" ObjectID="_1836311526" r:id="rId321"/>
        </w:object>
      </w:r>
      <w:r w:rsidRPr="0013396E">
        <w:rPr>
          <w:bCs/>
        </w:rPr>
        <w:t xml:space="preserve"> (SWSF * RCGSC </w:t>
      </w:r>
      <w:r w:rsidRPr="0013396E">
        <w:rPr>
          <w:bCs/>
          <w:i/>
          <w:vertAlign w:val="subscript"/>
        </w:rPr>
        <w:t>s, rc</w:t>
      </w:r>
      <w:r w:rsidRPr="0013396E">
        <w:rPr>
          <w:bCs/>
        </w:rPr>
        <w:t xml:space="preserve">) + ADJSWSUC </w:t>
      </w:r>
      <w:r w:rsidRPr="0013396E">
        <w:rPr>
          <w:bCs/>
          <w:i/>
          <w:vertAlign w:val="subscript"/>
        </w:rPr>
        <w:t>q, r, d</w:t>
      </w:r>
    </w:p>
    <w:p w14:paraId="56D3BD0D" w14:textId="77777777" w:rsidR="00C236A2" w:rsidRPr="0013396E" w:rsidRDefault="00C236A2" w:rsidP="00C236A2">
      <w:pPr>
        <w:tabs>
          <w:tab w:val="left" w:pos="1800"/>
        </w:tabs>
        <w:spacing w:after="240"/>
        <w:ind w:left="2160" w:hanging="1440"/>
        <w:rPr>
          <w:i/>
          <w:vertAlign w:val="subscript"/>
        </w:rPr>
      </w:pPr>
      <w:r w:rsidRPr="0013396E">
        <w:t xml:space="preserve">     SWMEC </w:t>
      </w:r>
      <w:r w:rsidRPr="0013396E">
        <w:rPr>
          <w:i/>
          <w:vertAlign w:val="subscript"/>
        </w:rPr>
        <w:t>q, r, d</w:t>
      </w:r>
      <w:r w:rsidRPr="0013396E">
        <w:t xml:space="preserve"> = </w:t>
      </w:r>
      <w:r w:rsidRPr="0013396E">
        <w:rPr>
          <w:position w:val="-20"/>
          <w:lang w:val="pt-BR"/>
        </w:rPr>
        <w:object w:dxaOrig="220" w:dyaOrig="440" w14:anchorId="687087AA">
          <v:shape id="_x0000_i1249" type="#_x0000_t75" style="width:12pt;height:24pt" o:ole="">
            <v:imagedata r:id="rId317" o:title=""/>
          </v:shape>
          <o:OLEObject Type="Embed" ProgID="Equation.3" ShapeID="_x0000_i1249" DrawAspect="Content" ObjectID="_1836311527" r:id="rId322"/>
        </w:object>
      </w:r>
      <w:r w:rsidRPr="0013396E">
        <w:t xml:space="preserve">(RCGMEC </w:t>
      </w:r>
      <w:r w:rsidRPr="0013396E">
        <w:rPr>
          <w:i/>
          <w:vertAlign w:val="subscript"/>
        </w:rPr>
        <w:t>i, rc</w:t>
      </w:r>
      <w:r w:rsidRPr="0013396E">
        <w:t xml:space="preserve"> * Min (LSL </w:t>
      </w:r>
      <w:r w:rsidRPr="0013396E">
        <w:rPr>
          <w:i/>
          <w:vertAlign w:val="subscript"/>
        </w:rPr>
        <w:t>q, r, i</w:t>
      </w:r>
      <w:r w:rsidRPr="0013396E">
        <w:t xml:space="preserve"> * (¼), RTMG </w:t>
      </w:r>
      <w:r w:rsidRPr="0013396E">
        <w:rPr>
          <w:i/>
          <w:vertAlign w:val="subscript"/>
        </w:rPr>
        <w:t>q, r, i</w:t>
      </w:r>
      <w:r w:rsidRPr="0013396E">
        <w:t xml:space="preserve">)) </w:t>
      </w:r>
      <w:r w:rsidRPr="0013396E">
        <w:rPr>
          <w:i/>
          <w:vertAlign w:val="subscript"/>
        </w:rPr>
        <w:t xml:space="preserve">  </w:t>
      </w:r>
    </w:p>
    <w:p w14:paraId="140888BF" w14:textId="77777777" w:rsidR="00C236A2" w:rsidRPr="0013396E" w:rsidRDefault="00C236A2" w:rsidP="00C236A2">
      <w:pPr>
        <w:tabs>
          <w:tab w:val="left" w:pos="2160"/>
          <w:tab w:val="left" w:pos="2880"/>
        </w:tabs>
        <w:spacing w:after="240"/>
        <w:ind w:leftChars="300" w:left="2880" w:hangingChars="900" w:hanging="2160"/>
        <w:rPr>
          <w:bCs/>
          <w:i/>
          <w:vertAlign w:val="subscript"/>
        </w:rPr>
      </w:pPr>
      <w:r w:rsidRPr="0013396E">
        <w:rPr>
          <w:bCs/>
        </w:rPr>
        <w:t xml:space="preserve">     SWOC </w:t>
      </w:r>
      <w:r w:rsidRPr="0013396E">
        <w:rPr>
          <w:bCs/>
          <w:i/>
          <w:vertAlign w:val="subscript"/>
        </w:rPr>
        <w:t>q, r, d</w:t>
      </w:r>
      <w:r w:rsidRPr="0013396E">
        <w:rPr>
          <w:bCs/>
        </w:rPr>
        <w:t xml:space="preserve"> = </w:t>
      </w:r>
      <w:r w:rsidRPr="0013396E">
        <w:rPr>
          <w:bCs/>
          <w:position w:val="-20"/>
          <w:lang w:val="pt-BR"/>
        </w:rPr>
        <w:object w:dxaOrig="220" w:dyaOrig="440" w14:anchorId="40117B85">
          <v:shape id="_x0000_i1250" type="#_x0000_t75" style="width:12pt;height:24pt" o:ole="">
            <v:imagedata r:id="rId317" o:title=""/>
          </v:shape>
          <o:OLEObject Type="Embed" ProgID="Equation.3" ShapeID="_x0000_i1250" DrawAspect="Content" ObjectID="_1836311528" r:id="rId323"/>
        </w:object>
      </w:r>
      <w:r w:rsidRPr="0013396E">
        <w:rPr>
          <w:bCs/>
        </w:rPr>
        <w:t>((PA</w:t>
      </w:r>
      <w:r w:rsidRPr="0013396E">
        <w:rPr>
          <w:bCs/>
          <w:lang w:val="pt-BR"/>
        </w:rPr>
        <w:t xml:space="preserve">HR </w:t>
      </w:r>
      <w:r w:rsidRPr="0013396E">
        <w:rPr>
          <w:bCs/>
          <w:i/>
          <w:vertAlign w:val="subscript"/>
        </w:rPr>
        <w:t xml:space="preserve">r, </w:t>
      </w:r>
      <w:r w:rsidRPr="0013396E">
        <w:rPr>
          <w:bCs/>
          <w:i/>
          <w:vertAlign w:val="subscript"/>
          <w:lang w:val="es-ES"/>
        </w:rPr>
        <w:t xml:space="preserve">i </w:t>
      </w:r>
      <w:r w:rsidRPr="0013396E">
        <w:rPr>
          <w:bCs/>
        </w:rPr>
        <w:t xml:space="preserve">* FIP + STOM </w:t>
      </w:r>
      <w:r w:rsidRPr="0013396E">
        <w:rPr>
          <w:bCs/>
          <w:i/>
          <w:vertAlign w:val="subscript"/>
        </w:rPr>
        <w:t>rc</w:t>
      </w:r>
      <w:r w:rsidRPr="0013396E">
        <w:rPr>
          <w:bCs/>
        </w:rPr>
        <w:t xml:space="preserve">) * Max(0, (RTMG </w:t>
      </w:r>
      <w:r w:rsidRPr="0013396E">
        <w:rPr>
          <w:bCs/>
          <w:i/>
          <w:vertAlign w:val="subscript"/>
        </w:rPr>
        <w:t>q, r, i</w:t>
      </w:r>
      <w:r w:rsidRPr="0013396E">
        <w:rPr>
          <w:bCs/>
        </w:rPr>
        <w:t xml:space="preserve"> – LSL </w:t>
      </w:r>
      <w:r w:rsidRPr="0013396E">
        <w:rPr>
          <w:bCs/>
          <w:i/>
          <w:vertAlign w:val="subscript"/>
        </w:rPr>
        <w:t>q, r, i</w:t>
      </w:r>
      <w:r w:rsidRPr="0013396E">
        <w:rPr>
          <w:bCs/>
        </w:rPr>
        <w:t xml:space="preserve"> * (¼)))) </w:t>
      </w:r>
      <w:r w:rsidRPr="0013396E">
        <w:rPr>
          <w:i/>
        </w:rPr>
        <w:t xml:space="preserve">- </w:t>
      </w:r>
      <w:r w:rsidRPr="0013396E">
        <w:rPr>
          <w:lang w:val="pt-BR"/>
        </w:rPr>
        <w:t>OPC</w:t>
      </w:r>
      <w:r w:rsidRPr="0013396E">
        <w:rPr>
          <w:i/>
          <w:vertAlign w:val="subscript"/>
          <w:lang w:val="es-ES"/>
        </w:rPr>
        <w:t xml:space="preserve"> r, d</w:t>
      </w:r>
      <w:r w:rsidRPr="0013396E">
        <w:rPr>
          <w:bCs/>
        </w:rPr>
        <w:t xml:space="preserve"> </w:t>
      </w:r>
      <w:r w:rsidRPr="0013396E">
        <w:rPr>
          <w:bCs/>
          <w:i/>
          <w:vertAlign w:val="subscript"/>
        </w:rPr>
        <w:t xml:space="preserve">  </w:t>
      </w:r>
    </w:p>
    <w:p w14:paraId="2672C5E1" w14:textId="77777777" w:rsidR="00C236A2" w:rsidRPr="0013396E" w:rsidRDefault="00C236A2" w:rsidP="00C236A2">
      <w:pPr>
        <w:tabs>
          <w:tab w:val="left" w:pos="1800"/>
        </w:tabs>
        <w:spacing w:after="240"/>
        <w:ind w:left="2160" w:hanging="1440"/>
        <w:rPr>
          <w:iCs/>
          <w:lang w:val="pt-BR"/>
        </w:rPr>
      </w:pPr>
      <w:r w:rsidRPr="0013396E">
        <w:rPr>
          <w:iCs/>
          <w:lang w:val="pt-BR"/>
        </w:rPr>
        <w:t>Where,</w:t>
      </w:r>
    </w:p>
    <w:p w14:paraId="1C1E0EF3" w14:textId="77777777" w:rsidR="00C236A2" w:rsidRPr="0013396E" w:rsidRDefault="00C236A2" w:rsidP="00C236A2">
      <w:pPr>
        <w:tabs>
          <w:tab w:val="left" w:pos="2340"/>
          <w:tab w:val="left" w:pos="2880"/>
        </w:tabs>
        <w:spacing w:after="240"/>
        <w:ind w:left="987" w:hanging="269"/>
        <w:rPr>
          <w:bCs/>
          <w:i/>
          <w:vertAlign w:val="subscript"/>
        </w:rPr>
      </w:pPr>
      <w:r w:rsidRPr="0013396E">
        <w:rPr>
          <w:bCs/>
          <w:lang w:val="pt-BR"/>
        </w:rPr>
        <w:t>OPC</w:t>
      </w:r>
      <w:r w:rsidRPr="0013396E">
        <w:rPr>
          <w:bCs/>
          <w:i/>
          <w:vertAlign w:val="subscript"/>
          <w:lang w:val="es-ES"/>
        </w:rPr>
        <w:t xml:space="preserve"> r, d</w:t>
      </w:r>
      <w:r w:rsidRPr="0013396E">
        <w:rPr>
          <w:bCs/>
          <w:lang w:val="pt-BR"/>
        </w:rPr>
        <w:t xml:space="preserve"> = </w:t>
      </w:r>
      <w:r w:rsidRPr="0013396E">
        <w:rPr>
          <w:bCs/>
          <w:position w:val="-20"/>
          <w:lang w:val="pt-BR"/>
        </w:rPr>
        <w:object w:dxaOrig="220" w:dyaOrig="440" w14:anchorId="79BC7355">
          <v:shape id="_x0000_i1251" type="#_x0000_t75" style="width:12pt;height:24pt" o:ole="">
            <v:imagedata r:id="rId317" o:title=""/>
          </v:shape>
          <o:OLEObject Type="Embed" ProgID="Equation.3" ShapeID="_x0000_i1251" DrawAspect="Content" ObjectID="_1836311529" r:id="rId324"/>
        </w:object>
      </w:r>
      <w:r w:rsidRPr="0013396E">
        <w:rPr>
          <w:bCs/>
          <w:lang w:val="pt-BR"/>
        </w:rPr>
        <w:t>(</w:t>
      </w:r>
      <w:r w:rsidRPr="0013396E">
        <w:rPr>
          <w:bCs/>
        </w:rPr>
        <w:t>(P</w:t>
      </w:r>
      <w:r w:rsidRPr="0013396E">
        <w:rPr>
          <w:bCs/>
          <w:lang w:val="pt-BR"/>
        </w:rPr>
        <w:t>AHR</w:t>
      </w:r>
      <w:r w:rsidRPr="0013396E">
        <w:rPr>
          <w:bCs/>
          <w:i/>
          <w:vertAlign w:val="subscript"/>
          <w:lang w:val="es-ES"/>
        </w:rPr>
        <w:t xml:space="preserve"> r, i</w:t>
      </w:r>
      <w:r w:rsidRPr="0013396E">
        <w:rPr>
          <w:bCs/>
        </w:rPr>
        <w:t xml:space="preserve"> * FIP + STOM </w:t>
      </w:r>
      <w:r w:rsidRPr="0013396E">
        <w:rPr>
          <w:bCs/>
          <w:i/>
          <w:vertAlign w:val="subscript"/>
        </w:rPr>
        <w:t>rc</w:t>
      </w:r>
      <w:r w:rsidRPr="0013396E">
        <w:rPr>
          <w:bCs/>
        </w:rPr>
        <w:t>) * AENG</w:t>
      </w:r>
      <w:r w:rsidRPr="0013396E">
        <w:rPr>
          <w:bCs/>
          <w:i/>
          <w:vertAlign w:val="subscript"/>
          <w:lang w:val="es-ES"/>
        </w:rPr>
        <w:t xml:space="preserve"> r, i</w:t>
      </w:r>
      <w:r w:rsidRPr="0013396E">
        <w:rPr>
          <w:bCs/>
        </w:rPr>
        <w:t xml:space="preserve">) </w:t>
      </w:r>
      <w:r w:rsidRPr="0013396E">
        <w:rPr>
          <w:bCs/>
          <w:i/>
          <w:vertAlign w:val="subscript"/>
        </w:rPr>
        <w:t xml:space="preserve">  </w:t>
      </w:r>
    </w:p>
    <w:p w14:paraId="48303B52" w14:textId="77777777" w:rsidR="00C236A2" w:rsidRPr="0013396E" w:rsidRDefault="00C236A2" w:rsidP="00C236A2">
      <w:r w:rsidRPr="0013396E">
        <w:t>The above variables are defined as follows:</w:t>
      </w:r>
    </w:p>
    <w:tbl>
      <w:tblPr>
        <w:tblW w:w="5001"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807"/>
        <w:gridCol w:w="1294"/>
        <w:gridCol w:w="6251"/>
      </w:tblGrid>
      <w:tr w:rsidR="00C236A2" w:rsidRPr="0013396E" w14:paraId="029BEE5A" w14:textId="77777777" w:rsidTr="0099759E">
        <w:trPr>
          <w:cantSplit/>
          <w:trHeight w:val="359"/>
          <w:tblHeader/>
        </w:trPr>
        <w:tc>
          <w:tcPr>
            <w:tcW w:w="966" w:type="pct"/>
            <w:tcBorders>
              <w:top w:val="single" w:sz="4" w:space="0" w:color="auto"/>
              <w:left w:val="single" w:sz="4" w:space="0" w:color="auto"/>
              <w:bottom w:val="single" w:sz="6" w:space="0" w:color="auto"/>
              <w:right w:val="single" w:sz="6" w:space="0" w:color="auto"/>
            </w:tcBorders>
            <w:hideMark/>
          </w:tcPr>
          <w:p w14:paraId="7D6097B8" w14:textId="77777777" w:rsidR="00C236A2" w:rsidRPr="0013396E" w:rsidRDefault="00C236A2" w:rsidP="0099759E">
            <w:pPr>
              <w:spacing w:after="120"/>
              <w:rPr>
                <w:b/>
                <w:iCs/>
                <w:sz w:val="20"/>
              </w:rPr>
            </w:pPr>
            <w:r w:rsidRPr="0013396E">
              <w:rPr>
                <w:b/>
                <w:iCs/>
                <w:sz w:val="20"/>
              </w:rPr>
              <w:t>Variable</w:t>
            </w:r>
          </w:p>
        </w:tc>
        <w:tc>
          <w:tcPr>
            <w:tcW w:w="692" w:type="pct"/>
            <w:tcBorders>
              <w:top w:val="single" w:sz="4" w:space="0" w:color="auto"/>
              <w:left w:val="single" w:sz="6" w:space="0" w:color="auto"/>
              <w:bottom w:val="single" w:sz="6" w:space="0" w:color="auto"/>
              <w:right w:val="single" w:sz="6" w:space="0" w:color="auto"/>
            </w:tcBorders>
            <w:hideMark/>
          </w:tcPr>
          <w:p w14:paraId="7DA9735D" w14:textId="77777777" w:rsidR="00C236A2" w:rsidRPr="0013396E" w:rsidRDefault="00C236A2" w:rsidP="0099759E">
            <w:pPr>
              <w:spacing w:after="120"/>
              <w:jc w:val="center"/>
              <w:rPr>
                <w:b/>
                <w:iCs/>
                <w:sz w:val="20"/>
              </w:rPr>
            </w:pPr>
            <w:r w:rsidRPr="0013396E">
              <w:rPr>
                <w:b/>
                <w:iCs/>
                <w:sz w:val="20"/>
              </w:rPr>
              <w:t>Unit</w:t>
            </w:r>
          </w:p>
        </w:tc>
        <w:tc>
          <w:tcPr>
            <w:tcW w:w="3342" w:type="pct"/>
            <w:tcBorders>
              <w:top w:val="single" w:sz="4" w:space="0" w:color="auto"/>
              <w:left w:val="single" w:sz="6" w:space="0" w:color="auto"/>
              <w:bottom w:val="single" w:sz="6" w:space="0" w:color="auto"/>
              <w:right w:val="single" w:sz="4" w:space="0" w:color="auto"/>
            </w:tcBorders>
            <w:hideMark/>
          </w:tcPr>
          <w:p w14:paraId="68BBAAFF" w14:textId="77777777" w:rsidR="00C236A2" w:rsidRPr="0013396E" w:rsidRDefault="00C236A2" w:rsidP="0099759E">
            <w:pPr>
              <w:spacing w:after="120"/>
              <w:rPr>
                <w:b/>
                <w:iCs/>
                <w:sz w:val="20"/>
              </w:rPr>
            </w:pPr>
            <w:r w:rsidRPr="0013396E">
              <w:rPr>
                <w:b/>
                <w:iCs/>
                <w:sz w:val="20"/>
              </w:rPr>
              <w:t>Definition</w:t>
            </w:r>
          </w:p>
        </w:tc>
      </w:tr>
      <w:tr w:rsidR="00C236A2" w:rsidRPr="0013396E" w14:paraId="14A5A7DE" w14:textId="77777777" w:rsidTr="0099759E">
        <w:trPr>
          <w:cantSplit/>
        </w:trPr>
        <w:tc>
          <w:tcPr>
            <w:tcW w:w="966" w:type="pct"/>
            <w:tcBorders>
              <w:top w:val="single" w:sz="6" w:space="0" w:color="auto"/>
              <w:left w:val="single" w:sz="4" w:space="0" w:color="auto"/>
              <w:bottom w:val="single" w:sz="6" w:space="0" w:color="auto"/>
              <w:right w:val="single" w:sz="6" w:space="0" w:color="auto"/>
            </w:tcBorders>
            <w:hideMark/>
          </w:tcPr>
          <w:p w14:paraId="3313B3E2" w14:textId="77777777" w:rsidR="00C236A2" w:rsidRPr="0013396E" w:rsidRDefault="00C236A2" w:rsidP="0099759E">
            <w:pPr>
              <w:spacing w:after="60"/>
              <w:rPr>
                <w:iCs/>
                <w:sz w:val="20"/>
              </w:rPr>
            </w:pPr>
            <w:r w:rsidRPr="0013396E">
              <w:rPr>
                <w:iCs/>
                <w:sz w:val="20"/>
              </w:rPr>
              <w:t xml:space="preserve">SWMWAMT </w:t>
            </w:r>
            <w:r w:rsidRPr="0013396E">
              <w:rPr>
                <w:i/>
                <w:iCs/>
                <w:sz w:val="20"/>
                <w:vertAlign w:val="subscript"/>
              </w:rPr>
              <w:t>q, r</w:t>
            </w:r>
            <w:r w:rsidRPr="0013396E">
              <w:rPr>
                <w:b/>
                <w:iCs/>
                <w:sz w:val="20"/>
              </w:rPr>
              <w:t xml:space="preserve">  </w:t>
            </w:r>
          </w:p>
        </w:tc>
        <w:tc>
          <w:tcPr>
            <w:tcW w:w="692" w:type="pct"/>
            <w:tcBorders>
              <w:top w:val="single" w:sz="6" w:space="0" w:color="auto"/>
              <w:left w:val="single" w:sz="6" w:space="0" w:color="auto"/>
              <w:bottom w:val="single" w:sz="6" w:space="0" w:color="auto"/>
              <w:right w:val="single" w:sz="6" w:space="0" w:color="auto"/>
            </w:tcBorders>
            <w:hideMark/>
          </w:tcPr>
          <w:p w14:paraId="15E8BFFF" w14:textId="77777777" w:rsidR="00C236A2" w:rsidRPr="0013396E" w:rsidRDefault="00C236A2" w:rsidP="0099759E">
            <w:pPr>
              <w:spacing w:after="60"/>
              <w:rPr>
                <w:iCs/>
                <w:sz w:val="20"/>
              </w:rPr>
            </w:pPr>
            <w:r w:rsidRPr="0013396E">
              <w:rPr>
                <w:iCs/>
                <w:sz w:val="20"/>
              </w:rPr>
              <w:t>$</w:t>
            </w:r>
          </w:p>
        </w:tc>
        <w:tc>
          <w:tcPr>
            <w:tcW w:w="3342" w:type="pct"/>
            <w:tcBorders>
              <w:top w:val="single" w:sz="6" w:space="0" w:color="auto"/>
              <w:left w:val="single" w:sz="6" w:space="0" w:color="auto"/>
              <w:bottom w:val="single" w:sz="6" w:space="0" w:color="auto"/>
              <w:right w:val="single" w:sz="4" w:space="0" w:color="auto"/>
            </w:tcBorders>
            <w:hideMark/>
          </w:tcPr>
          <w:p w14:paraId="1D1A4A6B" w14:textId="77777777" w:rsidR="00C236A2" w:rsidRPr="0013396E" w:rsidRDefault="00C236A2" w:rsidP="0099759E">
            <w:pPr>
              <w:spacing w:after="60"/>
              <w:rPr>
                <w:iCs/>
                <w:sz w:val="20"/>
              </w:rPr>
            </w:pPr>
            <w:r w:rsidRPr="0013396E">
              <w:rPr>
                <w:i/>
                <w:iCs/>
                <w:sz w:val="20"/>
              </w:rPr>
              <w:t>Switchable Generation Make-Whole Payment</w:t>
            </w:r>
            <w:r w:rsidRPr="0013396E">
              <w:rPr>
                <w:iCs/>
                <w:sz w:val="20"/>
              </w:rPr>
              <w:t xml:space="preserve">—The Switchable Generation Make-Whole Payment to the QSE </w:t>
            </w:r>
            <w:r w:rsidRPr="0013396E">
              <w:rPr>
                <w:i/>
                <w:iCs/>
                <w:sz w:val="20"/>
              </w:rPr>
              <w:t>q,</w:t>
            </w:r>
            <w:r w:rsidRPr="0013396E">
              <w:rPr>
                <w:iCs/>
                <w:sz w:val="20"/>
              </w:rPr>
              <w:t xml:space="preserve"> for Resource </w:t>
            </w:r>
            <w:r w:rsidRPr="0013396E">
              <w:rPr>
                <w:i/>
                <w:iCs/>
                <w:sz w:val="20"/>
              </w:rPr>
              <w:t>r</w:t>
            </w:r>
            <w:r w:rsidRPr="0013396E">
              <w:rPr>
                <w:iCs/>
                <w:sz w:val="20"/>
              </w:rPr>
              <w:t xml:space="preserve">, for the hour.  Where for a Combined Cycle Train, the Resource </w:t>
            </w:r>
            <w:r w:rsidRPr="0013396E">
              <w:rPr>
                <w:i/>
                <w:iCs/>
                <w:sz w:val="20"/>
              </w:rPr>
              <w:t xml:space="preserve">r </w:t>
            </w:r>
            <w:r w:rsidRPr="0013396E">
              <w:rPr>
                <w:iCs/>
                <w:sz w:val="20"/>
              </w:rPr>
              <w:t>is the Combined Cycle Train.</w:t>
            </w:r>
          </w:p>
        </w:tc>
      </w:tr>
      <w:tr w:rsidR="00C236A2" w:rsidRPr="0013396E" w14:paraId="37AB3C39" w14:textId="77777777" w:rsidTr="0099759E">
        <w:trPr>
          <w:cantSplit/>
        </w:trPr>
        <w:tc>
          <w:tcPr>
            <w:tcW w:w="966" w:type="pct"/>
            <w:tcBorders>
              <w:top w:val="single" w:sz="6" w:space="0" w:color="auto"/>
              <w:left w:val="single" w:sz="4" w:space="0" w:color="auto"/>
              <w:bottom w:val="single" w:sz="6" w:space="0" w:color="auto"/>
              <w:right w:val="single" w:sz="6" w:space="0" w:color="auto"/>
            </w:tcBorders>
          </w:tcPr>
          <w:p w14:paraId="32259D95" w14:textId="77777777" w:rsidR="00C236A2" w:rsidRPr="0013396E" w:rsidRDefault="00C236A2" w:rsidP="0099759E">
            <w:pPr>
              <w:spacing w:after="60"/>
              <w:rPr>
                <w:iCs/>
                <w:sz w:val="20"/>
              </w:rPr>
            </w:pPr>
            <w:r w:rsidRPr="0013396E">
              <w:rPr>
                <w:iCs/>
                <w:sz w:val="20"/>
              </w:rPr>
              <w:lastRenderedPageBreak/>
              <w:t xml:space="preserve">SWCG </w:t>
            </w:r>
            <w:r w:rsidRPr="0013396E">
              <w:rPr>
                <w:i/>
                <w:iCs/>
                <w:sz w:val="20"/>
                <w:vertAlign w:val="subscript"/>
              </w:rPr>
              <w:t>q, r, d</w:t>
            </w:r>
          </w:p>
        </w:tc>
        <w:tc>
          <w:tcPr>
            <w:tcW w:w="692" w:type="pct"/>
            <w:tcBorders>
              <w:top w:val="single" w:sz="6" w:space="0" w:color="auto"/>
              <w:left w:val="single" w:sz="6" w:space="0" w:color="auto"/>
              <w:bottom w:val="single" w:sz="6" w:space="0" w:color="auto"/>
              <w:right w:val="single" w:sz="6" w:space="0" w:color="auto"/>
            </w:tcBorders>
          </w:tcPr>
          <w:p w14:paraId="681B1DDD" w14:textId="77777777" w:rsidR="00C236A2" w:rsidRPr="0013396E" w:rsidRDefault="00C236A2" w:rsidP="0099759E">
            <w:pPr>
              <w:spacing w:after="60"/>
              <w:rPr>
                <w:iCs/>
                <w:sz w:val="20"/>
              </w:rPr>
            </w:pPr>
            <w:r w:rsidRPr="0013396E">
              <w:rPr>
                <w:iCs/>
                <w:sz w:val="20"/>
              </w:rPr>
              <w:t>$</w:t>
            </w:r>
          </w:p>
        </w:tc>
        <w:tc>
          <w:tcPr>
            <w:tcW w:w="3342" w:type="pct"/>
            <w:tcBorders>
              <w:top w:val="single" w:sz="6" w:space="0" w:color="auto"/>
              <w:left w:val="single" w:sz="6" w:space="0" w:color="auto"/>
              <w:bottom w:val="single" w:sz="6" w:space="0" w:color="auto"/>
              <w:right w:val="single" w:sz="4" w:space="0" w:color="auto"/>
            </w:tcBorders>
          </w:tcPr>
          <w:p w14:paraId="7355A516" w14:textId="77777777" w:rsidR="00C236A2" w:rsidRPr="0013396E" w:rsidRDefault="00C236A2" w:rsidP="0099759E">
            <w:pPr>
              <w:spacing w:after="60"/>
              <w:rPr>
                <w:i/>
                <w:iCs/>
                <w:sz w:val="20"/>
              </w:rPr>
            </w:pPr>
            <w:r w:rsidRPr="0013396E">
              <w:rPr>
                <w:i/>
                <w:iCs/>
                <w:sz w:val="20"/>
              </w:rPr>
              <w:t>Switchable Generation Cost Guarantee</w:t>
            </w:r>
            <w:r w:rsidRPr="0013396E">
              <w:rPr>
                <w:iCs/>
                <w:sz w:val="20"/>
              </w:rPr>
              <w:t xml:space="preserve">—The sum of eligible Startup Costs, minimum-energy costs, operating costs, and other Switchable Generation approved costs for Resource </w:t>
            </w:r>
            <w:r w:rsidRPr="0013396E">
              <w:rPr>
                <w:i/>
                <w:iCs/>
                <w:sz w:val="20"/>
              </w:rPr>
              <w:t xml:space="preserve">r </w:t>
            </w:r>
            <w:r w:rsidRPr="0013396E">
              <w:rPr>
                <w:iCs/>
                <w:sz w:val="20"/>
              </w:rPr>
              <w:t xml:space="preserve">represented by QSE </w:t>
            </w:r>
            <w:r w:rsidRPr="0013396E">
              <w:rPr>
                <w:i/>
                <w:iCs/>
                <w:sz w:val="20"/>
              </w:rPr>
              <w:t>q</w:t>
            </w:r>
            <w:r w:rsidRPr="0013396E">
              <w:rPr>
                <w:iCs/>
                <w:sz w:val="20"/>
              </w:rPr>
              <w:t xml:space="preserve"> for all instructed hours, for the Operating Day </w:t>
            </w:r>
            <w:r w:rsidRPr="0013396E">
              <w:rPr>
                <w:i/>
                <w:iCs/>
                <w:sz w:val="20"/>
              </w:rPr>
              <w:t>d</w:t>
            </w:r>
            <w:r w:rsidRPr="0013396E">
              <w:rPr>
                <w:iCs/>
                <w:sz w:val="20"/>
              </w:rPr>
              <w:t xml:space="preserve">.  Where for a Combined Cycle Train, the Resource </w:t>
            </w:r>
            <w:r w:rsidRPr="0013396E">
              <w:rPr>
                <w:i/>
                <w:iCs/>
                <w:sz w:val="20"/>
              </w:rPr>
              <w:t xml:space="preserve">r </w:t>
            </w:r>
            <w:r w:rsidRPr="0013396E">
              <w:rPr>
                <w:iCs/>
                <w:sz w:val="20"/>
              </w:rPr>
              <w:t>is the Combined Cycle Train.</w:t>
            </w:r>
          </w:p>
        </w:tc>
      </w:tr>
      <w:tr w:rsidR="00C236A2" w:rsidRPr="0013396E" w14:paraId="186E1322" w14:textId="77777777" w:rsidTr="0099759E">
        <w:trPr>
          <w:cantSplit/>
        </w:trPr>
        <w:tc>
          <w:tcPr>
            <w:tcW w:w="966" w:type="pct"/>
            <w:tcBorders>
              <w:top w:val="single" w:sz="6" w:space="0" w:color="auto"/>
              <w:left w:val="single" w:sz="4" w:space="0" w:color="auto"/>
              <w:bottom w:val="single" w:sz="6" w:space="0" w:color="auto"/>
              <w:right w:val="single" w:sz="6" w:space="0" w:color="auto"/>
            </w:tcBorders>
          </w:tcPr>
          <w:p w14:paraId="3F321AAB" w14:textId="77777777" w:rsidR="00C236A2" w:rsidRPr="0013396E" w:rsidRDefault="00C236A2" w:rsidP="0099759E">
            <w:pPr>
              <w:spacing w:after="60"/>
              <w:rPr>
                <w:iCs/>
                <w:sz w:val="20"/>
              </w:rPr>
            </w:pPr>
            <w:r w:rsidRPr="0013396E">
              <w:rPr>
                <w:sz w:val="20"/>
                <w:lang w:val="pt-BR"/>
              </w:rPr>
              <w:t>OPC</w:t>
            </w:r>
            <w:r w:rsidRPr="0013396E">
              <w:rPr>
                <w:i/>
                <w:sz w:val="20"/>
                <w:vertAlign w:val="subscript"/>
                <w:lang w:val="es-ES"/>
              </w:rPr>
              <w:t xml:space="preserve"> r, d</w:t>
            </w:r>
          </w:p>
        </w:tc>
        <w:tc>
          <w:tcPr>
            <w:tcW w:w="692" w:type="pct"/>
            <w:tcBorders>
              <w:top w:val="single" w:sz="6" w:space="0" w:color="auto"/>
              <w:left w:val="single" w:sz="6" w:space="0" w:color="auto"/>
              <w:bottom w:val="single" w:sz="6" w:space="0" w:color="auto"/>
              <w:right w:val="single" w:sz="6" w:space="0" w:color="auto"/>
            </w:tcBorders>
          </w:tcPr>
          <w:p w14:paraId="0035E24C" w14:textId="77777777" w:rsidR="00C236A2" w:rsidRPr="0013396E" w:rsidRDefault="00C236A2" w:rsidP="0099759E">
            <w:pPr>
              <w:spacing w:after="60"/>
              <w:rPr>
                <w:iCs/>
                <w:sz w:val="20"/>
              </w:rPr>
            </w:pPr>
            <w:r w:rsidRPr="0013396E">
              <w:rPr>
                <w:sz w:val="20"/>
              </w:rPr>
              <w:t>$</w:t>
            </w:r>
          </w:p>
        </w:tc>
        <w:tc>
          <w:tcPr>
            <w:tcW w:w="3342" w:type="pct"/>
            <w:tcBorders>
              <w:top w:val="single" w:sz="6" w:space="0" w:color="auto"/>
              <w:left w:val="single" w:sz="6" w:space="0" w:color="auto"/>
              <w:bottom w:val="single" w:sz="6" w:space="0" w:color="auto"/>
              <w:right w:val="single" w:sz="4" w:space="0" w:color="auto"/>
            </w:tcBorders>
          </w:tcPr>
          <w:p w14:paraId="2E373EB9" w14:textId="77777777" w:rsidR="00C236A2" w:rsidRPr="0013396E" w:rsidRDefault="00C236A2" w:rsidP="0099759E">
            <w:pPr>
              <w:spacing w:after="60"/>
              <w:rPr>
                <w:i/>
                <w:iCs/>
                <w:sz w:val="20"/>
              </w:rPr>
            </w:pPr>
            <w:r w:rsidRPr="0013396E">
              <w:rPr>
                <w:i/>
                <w:sz w:val="20"/>
              </w:rPr>
              <w:t xml:space="preserve">Operational Cost </w:t>
            </w:r>
            <w:r w:rsidRPr="0013396E">
              <w:rPr>
                <w:sz w:val="20"/>
              </w:rPr>
              <w:t xml:space="preserve">– The operational cost for the Resource </w:t>
            </w:r>
            <w:r w:rsidRPr="0013396E">
              <w:rPr>
                <w:i/>
                <w:sz w:val="20"/>
              </w:rPr>
              <w:t xml:space="preserve">r </w:t>
            </w:r>
            <w:r w:rsidRPr="0013396E">
              <w:rPr>
                <w:sz w:val="20"/>
              </w:rPr>
              <w:t xml:space="preserve">for the Operating Day </w:t>
            </w:r>
            <w:r w:rsidRPr="0013396E">
              <w:rPr>
                <w:i/>
                <w:sz w:val="20"/>
              </w:rPr>
              <w:t>d</w:t>
            </w:r>
            <w:r w:rsidRPr="0013396E">
              <w:rPr>
                <w:sz w:val="20"/>
              </w:rPr>
              <w:t xml:space="preserve"> in the non-ERCOT Control Area.  The operating costs represent the costs the Resource would have incurred to generate the awarded energy in the non-ERCOT Control Area Day-Ahead market absent a request to switch to ERCOT.  Where for a Combined Cycle Train, the Resource </w:t>
            </w:r>
            <w:r w:rsidRPr="0013396E">
              <w:rPr>
                <w:i/>
                <w:sz w:val="20"/>
              </w:rPr>
              <w:t xml:space="preserve">r </w:t>
            </w:r>
            <w:r w:rsidRPr="0013396E">
              <w:rPr>
                <w:sz w:val="20"/>
              </w:rPr>
              <w:t>is the Combined Cycle Train.</w:t>
            </w:r>
          </w:p>
        </w:tc>
      </w:tr>
      <w:tr w:rsidR="00C236A2" w:rsidRPr="0013396E" w14:paraId="13644647" w14:textId="77777777" w:rsidTr="0099759E">
        <w:trPr>
          <w:cantSplit/>
        </w:trPr>
        <w:tc>
          <w:tcPr>
            <w:tcW w:w="966" w:type="pct"/>
            <w:tcBorders>
              <w:top w:val="single" w:sz="6" w:space="0" w:color="auto"/>
              <w:left w:val="single" w:sz="4" w:space="0" w:color="auto"/>
              <w:bottom w:val="single" w:sz="6" w:space="0" w:color="auto"/>
              <w:right w:val="single" w:sz="6" w:space="0" w:color="auto"/>
            </w:tcBorders>
          </w:tcPr>
          <w:p w14:paraId="51E0ABA2" w14:textId="77777777" w:rsidR="00C236A2" w:rsidRPr="0013396E" w:rsidRDefault="00C236A2" w:rsidP="0099759E">
            <w:pPr>
              <w:spacing w:after="60"/>
              <w:rPr>
                <w:iCs/>
                <w:sz w:val="20"/>
              </w:rPr>
            </w:pPr>
            <w:r w:rsidRPr="0013396E">
              <w:rPr>
                <w:sz w:val="20"/>
              </w:rPr>
              <w:t>AENG</w:t>
            </w:r>
            <w:r w:rsidRPr="0013396E">
              <w:rPr>
                <w:i/>
                <w:sz w:val="20"/>
                <w:vertAlign w:val="subscript"/>
                <w:lang w:val="es-ES"/>
              </w:rPr>
              <w:t xml:space="preserve"> r, i</w:t>
            </w:r>
          </w:p>
        </w:tc>
        <w:tc>
          <w:tcPr>
            <w:tcW w:w="692" w:type="pct"/>
            <w:tcBorders>
              <w:top w:val="single" w:sz="6" w:space="0" w:color="auto"/>
              <w:left w:val="single" w:sz="6" w:space="0" w:color="auto"/>
              <w:bottom w:val="single" w:sz="6" w:space="0" w:color="auto"/>
              <w:right w:val="single" w:sz="6" w:space="0" w:color="auto"/>
            </w:tcBorders>
          </w:tcPr>
          <w:p w14:paraId="33254D1B" w14:textId="77777777" w:rsidR="00C236A2" w:rsidRPr="0013396E" w:rsidRDefault="00C236A2" w:rsidP="0099759E">
            <w:pPr>
              <w:spacing w:after="60"/>
              <w:rPr>
                <w:iCs/>
                <w:sz w:val="20"/>
              </w:rPr>
            </w:pPr>
            <w:r w:rsidRPr="0013396E">
              <w:rPr>
                <w:sz w:val="20"/>
              </w:rPr>
              <w:t>MWh</w:t>
            </w:r>
          </w:p>
        </w:tc>
        <w:tc>
          <w:tcPr>
            <w:tcW w:w="3342" w:type="pct"/>
            <w:tcBorders>
              <w:top w:val="single" w:sz="6" w:space="0" w:color="auto"/>
              <w:left w:val="single" w:sz="6" w:space="0" w:color="auto"/>
              <w:bottom w:val="single" w:sz="6" w:space="0" w:color="auto"/>
              <w:right w:val="single" w:sz="4" w:space="0" w:color="auto"/>
            </w:tcBorders>
          </w:tcPr>
          <w:p w14:paraId="390BC3D3" w14:textId="77777777" w:rsidR="00C236A2" w:rsidRPr="0013396E" w:rsidRDefault="00C236A2" w:rsidP="0099759E">
            <w:pPr>
              <w:spacing w:after="60"/>
              <w:rPr>
                <w:i/>
                <w:iCs/>
                <w:sz w:val="20"/>
              </w:rPr>
            </w:pPr>
            <w:r w:rsidRPr="0013396E">
              <w:rPr>
                <w:i/>
                <w:sz w:val="20"/>
              </w:rPr>
              <w:t xml:space="preserve">Awarded Energy Non-ERCOT Day-Ahead Market </w:t>
            </w:r>
            <w:r w:rsidRPr="0013396E">
              <w:rPr>
                <w:sz w:val="20"/>
              </w:rPr>
              <w:t xml:space="preserve">– The awarded energy in the non-ERCOT Day-Ahead Market for the Resource </w:t>
            </w:r>
            <w:r w:rsidRPr="0013396E">
              <w:rPr>
                <w:i/>
                <w:sz w:val="20"/>
              </w:rPr>
              <w:t>r</w:t>
            </w:r>
            <w:r w:rsidRPr="0013396E">
              <w:rPr>
                <w:sz w:val="20"/>
              </w:rPr>
              <w:t xml:space="preserve"> during the Interval </w:t>
            </w:r>
            <w:r w:rsidRPr="0013396E">
              <w:rPr>
                <w:i/>
                <w:sz w:val="20"/>
              </w:rPr>
              <w:t>i</w:t>
            </w:r>
            <w:r w:rsidRPr="0013396E">
              <w:rPr>
                <w:sz w:val="20"/>
              </w:rPr>
              <w:t xml:space="preserve">.  The awarded energy in the non-ERCOT Control Area Day-Ahead market represents the energy award for the interval that was not generated by the Resource due to the switch to ERCOT.  Where for a Combined Cycle Train, the Resource </w:t>
            </w:r>
            <w:r w:rsidRPr="0013396E">
              <w:rPr>
                <w:i/>
                <w:sz w:val="20"/>
              </w:rPr>
              <w:t xml:space="preserve">r </w:t>
            </w:r>
            <w:r w:rsidRPr="0013396E">
              <w:rPr>
                <w:sz w:val="20"/>
              </w:rPr>
              <w:t>is the Combined Cycle Train.</w:t>
            </w:r>
          </w:p>
        </w:tc>
      </w:tr>
      <w:tr w:rsidR="00C236A2" w:rsidRPr="0013396E" w14:paraId="20AD6C2E" w14:textId="77777777" w:rsidTr="0099759E">
        <w:trPr>
          <w:cantSplit/>
        </w:trPr>
        <w:tc>
          <w:tcPr>
            <w:tcW w:w="966" w:type="pct"/>
            <w:tcBorders>
              <w:top w:val="single" w:sz="6" w:space="0" w:color="auto"/>
              <w:left w:val="single" w:sz="4" w:space="0" w:color="auto"/>
              <w:bottom w:val="single" w:sz="6" w:space="0" w:color="auto"/>
              <w:right w:val="single" w:sz="6" w:space="0" w:color="auto"/>
            </w:tcBorders>
            <w:hideMark/>
          </w:tcPr>
          <w:p w14:paraId="08E8D65B" w14:textId="77777777" w:rsidR="00C236A2" w:rsidRPr="0013396E" w:rsidRDefault="00C236A2" w:rsidP="0099759E">
            <w:pPr>
              <w:spacing w:after="60"/>
              <w:rPr>
                <w:iCs/>
                <w:sz w:val="20"/>
              </w:rPr>
            </w:pPr>
            <w:r w:rsidRPr="0013396E">
              <w:rPr>
                <w:iCs/>
                <w:sz w:val="20"/>
              </w:rPr>
              <w:t xml:space="preserve">SWSUC </w:t>
            </w:r>
            <w:r w:rsidRPr="0013396E">
              <w:rPr>
                <w:i/>
                <w:iCs/>
                <w:sz w:val="20"/>
                <w:vertAlign w:val="subscript"/>
              </w:rPr>
              <w:t>q ,r, d</w:t>
            </w:r>
            <w:r w:rsidRPr="0013396E">
              <w:rPr>
                <w:iCs/>
                <w:sz w:val="20"/>
              </w:rPr>
              <w:t xml:space="preserve">    </w:t>
            </w:r>
          </w:p>
        </w:tc>
        <w:tc>
          <w:tcPr>
            <w:tcW w:w="692" w:type="pct"/>
            <w:tcBorders>
              <w:top w:val="single" w:sz="6" w:space="0" w:color="auto"/>
              <w:left w:val="single" w:sz="6" w:space="0" w:color="auto"/>
              <w:bottom w:val="single" w:sz="6" w:space="0" w:color="auto"/>
              <w:right w:val="single" w:sz="6" w:space="0" w:color="auto"/>
            </w:tcBorders>
            <w:hideMark/>
          </w:tcPr>
          <w:p w14:paraId="67741C40" w14:textId="77777777" w:rsidR="00C236A2" w:rsidRPr="0013396E" w:rsidRDefault="00C236A2" w:rsidP="0099759E">
            <w:pPr>
              <w:spacing w:after="60"/>
              <w:rPr>
                <w:iCs/>
                <w:sz w:val="20"/>
              </w:rPr>
            </w:pPr>
            <w:r w:rsidRPr="0013396E">
              <w:rPr>
                <w:iCs/>
                <w:sz w:val="20"/>
              </w:rPr>
              <w:t>$</w:t>
            </w:r>
          </w:p>
        </w:tc>
        <w:tc>
          <w:tcPr>
            <w:tcW w:w="3342" w:type="pct"/>
            <w:tcBorders>
              <w:top w:val="single" w:sz="6" w:space="0" w:color="auto"/>
              <w:left w:val="single" w:sz="6" w:space="0" w:color="auto"/>
              <w:bottom w:val="single" w:sz="6" w:space="0" w:color="auto"/>
              <w:right w:val="single" w:sz="4" w:space="0" w:color="auto"/>
            </w:tcBorders>
            <w:hideMark/>
          </w:tcPr>
          <w:p w14:paraId="6C6CB01E" w14:textId="77777777" w:rsidR="00C236A2" w:rsidRPr="0013396E" w:rsidRDefault="00C236A2" w:rsidP="0099759E">
            <w:pPr>
              <w:spacing w:after="60"/>
              <w:rPr>
                <w:iCs/>
                <w:sz w:val="20"/>
              </w:rPr>
            </w:pPr>
            <w:r w:rsidRPr="0013396E">
              <w:rPr>
                <w:i/>
                <w:iCs/>
                <w:sz w:val="20"/>
              </w:rPr>
              <w:t>Switchable Generation</w:t>
            </w:r>
            <w:r w:rsidRPr="0013396E">
              <w:rPr>
                <w:iCs/>
                <w:sz w:val="20"/>
              </w:rPr>
              <w:t xml:space="preserve"> </w:t>
            </w:r>
            <w:r w:rsidRPr="0013396E">
              <w:rPr>
                <w:i/>
                <w:iCs/>
                <w:sz w:val="20"/>
              </w:rPr>
              <w:t xml:space="preserve">Start-Up Cost </w:t>
            </w:r>
            <w:r w:rsidRPr="0013396E">
              <w:rPr>
                <w:iCs/>
                <w:sz w:val="20"/>
              </w:rPr>
              <w:t xml:space="preserve">—The Startup Costs for Resource </w:t>
            </w:r>
            <w:r w:rsidRPr="0013396E">
              <w:rPr>
                <w:i/>
                <w:iCs/>
                <w:sz w:val="20"/>
              </w:rPr>
              <w:t xml:space="preserve">r </w:t>
            </w:r>
            <w:r w:rsidRPr="0013396E">
              <w:rPr>
                <w:iCs/>
                <w:sz w:val="20"/>
              </w:rPr>
              <w:t>represented by QSE</w:t>
            </w:r>
            <w:r w:rsidRPr="0013396E">
              <w:rPr>
                <w:i/>
                <w:iCs/>
                <w:sz w:val="20"/>
              </w:rPr>
              <w:t xml:space="preserve"> q </w:t>
            </w:r>
            <w:r w:rsidRPr="0013396E">
              <w:rPr>
                <w:iCs/>
                <w:sz w:val="20"/>
              </w:rPr>
              <w:t xml:space="preserve">for startup hours, for the Operating Day </w:t>
            </w:r>
            <w:r w:rsidRPr="0013396E">
              <w:rPr>
                <w:i/>
                <w:iCs/>
                <w:sz w:val="20"/>
              </w:rPr>
              <w:t>d</w:t>
            </w:r>
            <w:r w:rsidRPr="0013396E">
              <w:rPr>
                <w:iCs/>
                <w:sz w:val="20"/>
              </w:rPr>
              <w:t xml:space="preserve">.  Where for a Combined Cycle Train, the Resource </w:t>
            </w:r>
            <w:r w:rsidRPr="0013396E">
              <w:rPr>
                <w:i/>
                <w:iCs/>
                <w:sz w:val="20"/>
              </w:rPr>
              <w:t xml:space="preserve">r </w:t>
            </w:r>
            <w:r w:rsidRPr="0013396E">
              <w:rPr>
                <w:iCs/>
                <w:sz w:val="20"/>
              </w:rPr>
              <w:t>is the Combined Cycle Train.</w:t>
            </w:r>
          </w:p>
        </w:tc>
      </w:tr>
      <w:tr w:rsidR="00C236A2" w:rsidRPr="0013396E" w14:paraId="735EA988" w14:textId="77777777" w:rsidTr="0099759E">
        <w:trPr>
          <w:cantSplit/>
        </w:trPr>
        <w:tc>
          <w:tcPr>
            <w:tcW w:w="966" w:type="pct"/>
            <w:tcBorders>
              <w:top w:val="single" w:sz="6" w:space="0" w:color="auto"/>
              <w:left w:val="single" w:sz="4" w:space="0" w:color="auto"/>
              <w:bottom w:val="single" w:sz="6" w:space="0" w:color="auto"/>
              <w:right w:val="single" w:sz="6" w:space="0" w:color="auto"/>
            </w:tcBorders>
          </w:tcPr>
          <w:p w14:paraId="381BEF29" w14:textId="77777777" w:rsidR="00C236A2" w:rsidRPr="0013396E" w:rsidRDefault="00C236A2" w:rsidP="0099759E">
            <w:pPr>
              <w:spacing w:after="60"/>
              <w:rPr>
                <w:iCs/>
                <w:sz w:val="20"/>
              </w:rPr>
            </w:pPr>
            <w:r w:rsidRPr="0013396E">
              <w:rPr>
                <w:sz w:val="20"/>
              </w:rPr>
              <w:t>SWPSLR</w:t>
            </w:r>
            <w:r w:rsidRPr="0013396E">
              <w:rPr>
                <w:i/>
                <w:sz w:val="20"/>
                <w:vertAlign w:val="subscript"/>
              </w:rPr>
              <w:t xml:space="preserve"> q ,r, d</w:t>
            </w:r>
            <w:r w:rsidRPr="0013396E">
              <w:rPr>
                <w:sz w:val="20"/>
              </w:rPr>
              <w:t xml:space="preserve">    </w:t>
            </w:r>
          </w:p>
        </w:tc>
        <w:tc>
          <w:tcPr>
            <w:tcW w:w="692" w:type="pct"/>
            <w:tcBorders>
              <w:top w:val="single" w:sz="6" w:space="0" w:color="auto"/>
              <w:left w:val="single" w:sz="6" w:space="0" w:color="auto"/>
              <w:bottom w:val="single" w:sz="6" w:space="0" w:color="auto"/>
              <w:right w:val="single" w:sz="6" w:space="0" w:color="auto"/>
            </w:tcBorders>
          </w:tcPr>
          <w:p w14:paraId="22B2D88E" w14:textId="77777777" w:rsidR="00C236A2" w:rsidRPr="0013396E" w:rsidRDefault="00C236A2" w:rsidP="0099759E">
            <w:pPr>
              <w:spacing w:after="60"/>
              <w:rPr>
                <w:iCs/>
                <w:sz w:val="20"/>
              </w:rPr>
            </w:pPr>
            <w:r w:rsidRPr="0013396E">
              <w:rPr>
                <w:sz w:val="20"/>
              </w:rPr>
              <w:t>$</w:t>
            </w:r>
          </w:p>
        </w:tc>
        <w:tc>
          <w:tcPr>
            <w:tcW w:w="3342" w:type="pct"/>
            <w:tcBorders>
              <w:top w:val="single" w:sz="6" w:space="0" w:color="auto"/>
              <w:left w:val="single" w:sz="6" w:space="0" w:color="auto"/>
              <w:bottom w:val="single" w:sz="6" w:space="0" w:color="auto"/>
              <w:right w:val="single" w:sz="4" w:space="0" w:color="auto"/>
            </w:tcBorders>
          </w:tcPr>
          <w:p w14:paraId="422A7F33" w14:textId="77777777" w:rsidR="00C236A2" w:rsidRPr="0013396E" w:rsidRDefault="00C236A2" w:rsidP="0099759E">
            <w:pPr>
              <w:spacing w:after="60"/>
              <w:rPr>
                <w:i/>
                <w:iCs/>
                <w:sz w:val="20"/>
              </w:rPr>
            </w:pPr>
            <w:r w:rsidRPr="0013396E">
              <w:rPr>
                <w:i/>
                <w:sz w:val="20"/>
              </w:rPr>
              <w:t xml:space="preserve">Switchable Generation Physical Switch Lost Revenue – </w:t>
            </w:r>
            <w:r w:rsidRPr="0013396E">
              <w:rPr>
                <w:sz w:val="20"/>
              </w:rPr>
              <w:t xml:space="preserve">The loss of revenue, net of any saved costs including avoided fuel consumption, experienced by the QSE when the Combined Cycle Generation Resource operating in ERCOT must reduce its output to accommodate a switch from a non-ERCOT Control Area of one or more turbines needed to achieve a Combined Cycle Generation Resource configuration instructed by ERCOT.  Where for a Combined Cycle Train, the Resource </w:t>
            </w:r>
            <w:r w:rsidRPr="0013396E">
              <w:rPr>
                <w:i/>
                <w:sz w:val="20"/>
              </w:rPr>
              <w:t xml:space="preserve">r </w:t>
            </w:r>
            <w:r w:rsidRPr="0013396E">
              <w:rPr>
                <w:sz w:val="20"/>
              </w:rPr>
              <w:t>is the Combined Cycle Train.</w:t>
            </w:r>
          </w:p>
        </w:tc>
      </w:tr>
      <w:tr w:rsidR="00C236A2" w:rsidRPr="0013396E" w14:paraId="5C06A669" w14:textId="77777777" w:rsidTr="000B7133">
        <w:tc>
          <w:tcPr>
            <w:tcW w:w="966" w:type="pct"/>
            <w:tcBorders>
              <w:top w:val="single" w:sz="6" w:space="0" w:color="auto"/>
              <w:left w:val="single" w:sz="4" w:space="0" w:color="auto"/>
              <w:bottom w:val="single" w:sz="6" w:space="0" w:color="auto"/>
              <w:right w:val="single" w:sz="6" w:space="0" w:color="auto"/>
            </w:tcBorders>
          </w:tcPr>
          <w:p w14:paraId="119AB6BA" w14:textId="77777777" w:rsidR="00C236A2" w:rsidRPr="0013396E" w:rsidRDefault="00C236A2" w:rsidP="0099759E">
            <w:pPr>
              <w:spacing w:after="60"/>
              <w:rPr>
                <w:iCs/>
                <w:sz w:val="20"/>
              </w:rPr>
            </w:pPr>
            <w:r w:rsidRPr="0013396E">
              <w:rPr>
                <w:sz w:val="20"/>
              </w:rPr>
              <w:t xml:space="preserve">RTLPX </w:t>
            </w:r>
            <w:r w:rsidRPr="0013396E">
              <w:rPr>
                <w:i/>
                <w:sz w:val="20"/>
                <w:vertAlign w:val="subscript"/>
              </w:rPr>
              <w:t>q, r, i</w:t>
            </w:r>
          </w:p>
        </w:tc>
        <w:tc>
          <w:tcPr>
            <w:tcW w:w="692" w:type="pct"/>
            <w:tcBorders>
              <w:top w:val="single" w:sz="6" w:space="0" w:color="auto"/>
              <w:left w:val="single" w:sz="6" w:space="0" w:color="auto"/>
              <w:bottom w:val="single" w:sz="6" w:space="0" w:color="auto"/>
              <w:right w:val="single" w:sz="6" w:space="0" w:color="auto"/>
            </w:tcBorders>
          </w:tcPr>
          <w:p w14:paraId="7760BBD5" w14:textId="77777777" w:rsidR="00C236A2" w:rsidRPr="0013396E" w:rsidRDefault="00C236A2" w:rsidP="0099759E">
            <w:pPr>
              <w:spacing w:after="60"/>
              <w:rPr>
                <w:iCs/>
                <w:sz w:val="20"/>
              </w:rPr>
            </w:pPr>
            <w:r w:rsidRPr="0013396E">
              <w:rPr>
                <w:sz w:val="20"/>
              </w:rPr>
              <w:t>MWh</w:t>
            </w:r>
          </w:p>
        </w:tc>
        <w:tc>
          <w:tcPr>
            <w:tcW w:w="3342" w:type="pct"/>
            <w:tcBorders>
              <w:top w:val="single" w:sz="6" w:space="0" w:color="auto"/>
              <w:left w:val="single" w:sz="6" w:space="0" w:color="auto"/>
              <w:bottom w:val="single" w:sz="6" w:space="0" w:color="auto"/>
              <w:right w:val="single" w:sz="4" w:space="0" w:color="auto"/>
            </w:tcBorders>
          </w:tcPr>
          <w:p w14:paraId="5512D868" w14:textId="77777777" w:rsidR="00C236A2" w:rsidRPr="0013396E" w:rsidRDefault="00C236A2" w:rsidP="0099759E">
            <w:pPr>
              <w:spacing w:after="60"/>
              <w:rPr>
                <w:iCs/>
                <w:sz w:val="20"/>
              </w:rPr>
            </w:pPr>
            <w:r w:rsidRPr="0013396E">
              <w:rPr>
                <w:i/>
                <w:iCs/>
                <w:sz w:val="20"/>
              </w:rPr>
              <w:t>Real-Time Proxy Generation per QSE per Resource by Settlement Interval</w:t>
            </w:r>
            <w:r w:rsidRPr="0013396E">
              <w:rPr>
                <w:iCs/>
                <w:sz w:val="20"/>
              </w:rPr>
              <w:t xml:space="preserve">—The Real-Time energy that was not generated in ERCOT by Combined Cycle Train, </w:t>
            </w:r>
            <w:r w:rsidRPr="0013396E">
              <w:rPr>
                <w:i/>
                <w:iCs/>
                <w:sz w:val="20"/>
              </w:rPr>
              <w:t>r</w:t>
            </w:r>
            <w:r w:rsidRPr="0013396E">
              <w:rPr>
                <w:iCs/>
                <w:sz w:val="20"/>
              </w:rPr>
              <w:t xml:space="preserve">, represented by QSE </w:t>
            </w:r>
            <w:r w:rsidRPr="0013396E">
              <w:rPr>
                <w:i/>
                <w:iCs/>
                <w:sz w:val="20"/>
              </w:rPr>
              <w:t>q</w:t>
            </w:r>
            <w:r w:rsidRPr="0013396E">
              <w:rPr>
                <w:iCs/>
                <w:sz w:val="20"/>
              </w:rPr>
              <w:t xml:space="preserve">, for the 15-minute Settlement Interval </w:t>
            </w:r>
            <w:r w:rsidRPr="0013396E">
              <w:rPr>
                <w:i/>
                <w:iCs/>
                <w:sz w:val="20"/>
              </w:rPr>
              <w:t>i</w:t>
            </w:r>
            <w:r w:rsidRPr="0013396E">
              <w:rPr>
                <w:iCs/>
                <w:sz w:val="20"/>
              </w:rPr>
              <w:t>, due to a reduction in output that was necessary to facilitate a switch of another unit in the same Combined Cycle Train to the ERCOT System from a non-ERCOT Control Area, or to a non-ERCOT Control Area from the ERCOT System, when the switch is instructed by ERCOT.</w:t>
            </w:r>
          </w:p>
          <w:p w14:paraId="4F04FBB3" w14:textId="77777777" w:rsidR="00C236A2" w:rsidRPr="0013396E" w:rsidRDefault="00C236A2" w:rsidP="0099759E">
            <w:pPr>
              <w:spacing w:after="60"/>
              <w:rPr>
                <w:iCs/>
                <w:sz w:val="20"/>
              </w:rPr>
            </w:pPr>
            <w:r w:rsidRPr="0013396E">
              <w:rPr>
                <w:iCs/>
                <w:sz w:val="20"/>
              </w:rPr>
              <w:t xml:space="preserve">During a shutdown to switch to ERCOT, the value of RTLPX will be determined based on the reduced generation, by interval, for the period starting from the commencement of the shutdown sequence in the non-ERCOT Control Area until breaker close in ERCOT.  The reduction in generation shall be determined based on the last metered output value for the Combined Cycle Generation Resource operating in ERCOT immediately prior to the commencement of the shutdown sequence in the non-ERCOT Control Area as compared with the actual metered output during the relevant period, but only to the extent ERCOT determines the reduction in output was necessary to facilitate the switch.  </w:t>
            </w:r>
          </w:p>
          <w:p w14:paraId="0D38EDC7" w14:textId="77777777" w:rsidR="00C236A2" w:rsidRPr="0013396E" w:rsidRDefault="00C236A2" w:rsidP="0099759E">
            <w:pPr>
              <w:spacing w:after="60"/>
              <w:rPr>
                <w:i/>
                <w:iCs/>
                <w:sz w:val="20"/>
              </w:rPr>
            </w:pPr>
            <w:r w:rsidRPr="0013396E">
              <w:rPr>
                <w:sz w:val="20"/>
              </w:rPr>
              <w:t>During a shutdown after an ERCOT release of the SWGR, the value of RTLPX will be determined based on the reduced generation, by interval, for the period starting from the commencement of the shutdown sequence in the ERCOT Control Area until breaker close in the non-ERCOT Control Area, with a maximum duration equal to the duration of the switch from the non-ERCOT Control Area to ERCOT</w:t>
            </w:r>
            <w:r w:rsidRPr="0013396E" w:rsidDel="00482822">
              <w:rPr>
                <w:sz w:val="20"/>
              </w:rPr>
              <w:t xml:space="preserve"> </w:t>
            </w:r>
            <w:r w:rsidRPr="0013396E">
              <w:rPr>
                <w:sz w:val="20"/>
              </w:rPr>
              <w:t xml:space="preserve">pursuant to the RUC instruction.  </w:t>
            </w:r>
            <w:r w:rsidRPr="0013396E">
              <w:rPr>
                <w:sz w:val="20"/>
              </w:rPr>
              <w:lastRenderedPageBreak/>
              <w:t xml:space="preserve">This proxy value will apply only if the QSE shuts down the unit within 60 minutes after the ERCOT release.  The reduction in generation shall be determined based on the last metered output value for the Combined Cycle Generation Resource operating in ERCOT immediately prior to the commencement of the shutdown sequence in ERCOT, as compared with the actual metered output during the relevant period, but only to the extent ERCOT determines the reduction in output was necessary to facilitate the switch.  </w:t>
            </w:r>
          </w:p>
        </w:tc>
      </w:tr>
      <w:tr w:rsidR="00C236A2" w:rsidRPr="0013396E" w14:paraId="42D3002B" w14:textId="77777777" w:rsidTr="0099759E">
        <w:trPr>
          <w:cantSplit/>
        </w:trPr>
        <w:tc>
          <w:tcPr>
            <w:tcW w:w="966" w:type="pct"/>
            <w:tcBorders>
              <w:top w:val="single" w:sz="6" w:space="0" w:color="auto"/>
              <w:left w:val="single" w:sz="4" w:space="0" w:color="auto"/>
              <w:bottom w:val="single" w:sz="6" w:space="0" w:color="auto"/>
              <w:right w:val="single" w:sz="6" w:space="0" w:color="auto"/>
            </w:tcBorders>
          </w:tcPr>
          <w:p w14:paraId="062AF00D" w14:textId="77777777" w:rsidR="00C236A2" w:rsidRPr="0013396E" w:rsidRDefault="00C236A2" w:rsidP="0099759E">
            <w:pPr>
              <w:spacing w:after="60"/>
              <w:rPr>
                <w:iCs/>
                <w:sz w:val="20"/>
              </w:rPr>
            </w:pPr>
            <w:r w:rsidRPr="0013396E">
              <w:rPr>
                <w:sz w:val="20"/>
              </w:rPr>
              <w:lastRenderedPageBreak/>
              <w:t xml:space="preserve">SFC </w:t>
            </w:r>
            <w:r w:rsidRPr="0013396E">
              <w:rPr>
                <w:i/>
                <w:sz w:val="20"/>
                <w:vertAlign w:val="subscript"/>
              </w:rPr>
              <w:t>d</w:t>
            </w:r>
          </w:p>
        </w:tc>
        <w:tc>
          <w:tcPr>
            <w:tcW w:w="692" w:type="pct"/>
            <w:tcBorders>
              <w:top w:val="single" w:sz="6" w:space="0" w:color="auto"/>
              <w:left w:val="single" w:sz="6" w:space="0" w:color="auto"/>
              <w:bottom w:val="single" w:sz="6" w:space="0" w:color="auto"/>
              <w:right w:val="single" w:sz="6" w:space="0" w:color="auto"/>
            </w:tcBorders>
          </w:tcPr>
          <w:p w14:paraId="3847D766" w14:textId="77777777" w:rsidR="00C236A2" w:rsidRPr="0013396E" w:rsidRDefault="00C236A2" w:rsidP="0099759E">
            <w:pPr>
              <w:spacing w:after="60"/>
              <w:rPr>
                <w:iCs/>
                <w:sz w:val="20"/>
              </w:rPr>
            </w:pPr>
            <w:r w:rsidRPr="0013396E">
              <w:rPr>
                <w:sz w:val="20"/>
              </w:rPr>
              <w:t>MMBtu</w:t>
            </w:r>
          </w:p>
        </w:tc>
        <w:tc>
          <w:tcPr>
            <w:tcW w:w="3342" w:type="pct"/>
            <w:tcBorders>
              <w:top w:val="single" w:sz="6" w:space="0" w:color="auto"/>
              <w:left w:val="single" w:sz="6" w:space="0" w:color="auto"/>
              <w:bottom w:val="single" w:sz="6" w:space="0" w:color="auto"/>
              <w:right w:val="single" w:sz="4" w:space="0" w:color="auto"/>
            </w:tcBorders>
          </w:tcPr>
          <w:p w14:paraId="371F3221" w14:textId="77777777" w:rsidR="00C236A2" w:rsidRPr="0013396E" w:rsidRDefault="00C236A2" w:rsidP="0099759E">
            <w:pPr>
              <w:spacing w:after="60"/>
              <w:rPr>
                <w:i/>
                <w:iCs/>
                <w:sz w:val="20"/>
              </w:rPr>
            </w:pPr>
            <w:r w:rsidRPr="0013396E">
              <w:rPr>
                <w:i/>
                <w:sz w:val="20"/>
              </w:rPr>
              <w:t xml:space="preserve">Saved Fuel Consumption </w:t>
            </w:r>
            <w:r w:rsidRPr="0013396E">
              <w:rPr>
                <w:sz w:val="20"/>
              </w:rPr>
              <w:t>— Fuel quantity saved due to an output reduction of the combustion turbine(s) operating in ERCOT during the relevant period if necessary to accommodate the switch to and from the ERCOT area.</w:t>
            </w:r>
          </w:p>
        </w:tc>
      </w:tr>
      <w:tr w:rsidR="00C236A2" w:rsidRPr="0013396E" w14:paraId="26AB65B3" w14:textId="77777777" w:rsidTr="0099759E">
        <w:trPr>
          <w:cantSplit/>
        </w:trPr>
        <w:tc>
          <w:tcPr>
            <w:tcW w:w="966" w:type="pct"/>
            <w:tcBorders>
              <w:top w:val="single" w:sz="6" w:space="0" w:color="auto"/>
              <w:left w:val="single" w:sz="4" w:space="0" w:color="auto"/>
              <w:bottom w:val="single" w:sz="6" w:space="0" w:color="auto"/>
              <w:right w:val="single" w:sz="6" w:space="0" w:color="auto"/>
            </w:tcBorders>
          </w:tcPr>
          <w:p w14:paraId="33BA45D7" w14:textId="77777777" w:rsidR="00C236A2" w:rsidRPr="0013396E" w:rsidRDefault="00C236A2" w:rsidP="0099759E">
            <w:pPr>
              <w:spacing w:after="60"/>
              <w:rPr>
                <w:iCs/>
                <w:sz w:val="20"/>
              </w:rPr>
            </w:pPr>
            <w:r w:rsidRPr="0013396E">
              <w:rPr>
                <w:sz w:val="20"/>
              </w:rPr>
              <w:t>SWSF</w:t>
            </w:r>
          </w:p>
        </w:tc>
        <w:tc>
          <w:tcPr>
            <w:tcW w:w="692" w:type="pct"/>
            <w:tcBorders>
              <w:top w:val="single" w:sz="6" w:space="0" w:color="auto"/>
              <w:left w:val="single" w:sz="6" w:space="0" w:color="auto"/>
              <w:bottom w:val="single" w:sz="6" w:space="0" w:color="auto"/>
              <w:right w:val="single" w:sz="6" w:space="0" w:color="auto"/>
            </w:tcBorders>
          </w:tcPr>
          <w:p w14:paraId="0C16293E" w14:textId="77777777" w:rsidR="00C236A2" w:rsidRPr="0013396E" w:rsidRDefault="00C236A2" w:rsidP="0099759E">
            <w:pPr>
              <w:spacing w:after="60"/>
              <w:rPr>
                <w:iCs/>
                <w:sz w:val="20"/>
              </w:rPr>
            </w:pPr>
            <w:r w:rsidRPr="0013396E">
              <w:rPr>
                <w:iCs/>
                <w:sz w:val="20"/>
              </w:rPr>
              <w:t>None</w:t>
            </w:r>
          </w:p>
        </w:tc>
        <w:tc>
          <w:tcPr>
            <w:tcW w:w="3342" w:type="pct"/>
            <w:tcBorders>
              <w:top w:val="single" w:sz="6" w:space="0" w:color="auto"/>
              <w:left w:val="single" w:sz="6" w:space="0" w:color="auto"/>
              <w:bottom w:val="single" w:sz="6" w:space="0" w:color="auto"/>
              <w:right w:val="single" w:sz="4" w:space="0" w:color="auto"/>
            </w:tcBorders>
          </w:tcPr>
          <w:p w14:paraId="4938E4B9" w14:textId="77777777" w:rsidR="00C236A2" w:rsidRPr="0013396E" w:rsidRDefault="00C236A2" w:rsidP="0099759E">
            <w:pPr>
              <w:spacing w:after="60"/>
              <w:rPr>
                <w:i/>
                <w:iCs/>
                <w:sz w:val="20"/>
              </w:rPr>
            </w:pPr>
            <w:r w:rsidRPr="0013396E">
              <w:rPr>
                <w:i/>
                <w:iCs/>
                <w:sz w:val="20"/>
              </w:rPr>
              <w:t>Switchable Generation</w:t>
            </w:r>
            <w:r w:rsidRPr="0013396E">
              <w:rPr>
                <w:iCs/>
                <w:sz w:val="20"/>
              </w:rPr>
              <w:t xml:space="preserve"> </w:t>
            </w:r>
            <w:r w:rsidRPr="0013396E">
              <w:rPr>
                <w:i/>
                <w:iCs/>
                <w:sz w:val="20"/>
              </w:rPr>
              <w:t xml:space="preserve">Startup Factor </w:t>
            </w:r>
            <w:r w:rsidRPr="0013396E">
              <w:rPr>
                <w:iCs/>
                <w:sz w:val="20"/>
              </w:rPr>
              <w:t>—The Switchable Generation Startup Factor for an SWGR.  The SWSF shall be set to a value of 2 if the SWGR has a COP Resource Status of EMRSWGR within 24 hours of being released by the ERCOT Operator.  Otherwise, the SWSF shall be set to a value of 1.</w:t>
            </w:r>
          </w:p>
        </w:tc>
      </w:tr>
      <w:tr w:rsidR="00C236A2" w:rsidRPr="0013396E" w14:paraId="38EA1EDB" w14:textId="77777777" w:rsidTr="0099759E">
        <w:trPr>
          <w:cantSplit/>
        </w:trPr>
        <w:tc>
          <w:tcPr>
            <w:tcW w:w="966" w:type="pct"/>
            <w:tcBorders>
              <w:top w:val="single" w:sz="6" w:space="0" w:color="auto"/>
              <w:left w:val="single" w:sz="4" w:space="0" w:color="auto"/>
              <w:bottom w:val="single" w:sz="6" w:space="0" w:color="auto"/>
              <w:right w:val="single" w:sz="6" w:space="0" w:color="auto"/>
            </w:tcBorders>
          </w:tcPr>
          <w:p w14:paraId="18694B5D" w14:textId="77777777" w:rsidR="00C236A2" w:rsidRPr="0013396E" w:rsidRDefault="00C236A2" w:rsidP="0099759E">
            <w:pPr>
              <w:spacing w:after="60"/>
              <w:rPr>
                <w:iCs/>
                <w:sz w:val="20"/>
              </w:rPr>
            </w:pPr>
            <w:r w:rsidRPr="0013396E">
              <w:rPr>
                <w:iCs/>
                <w:sz w:val="20"/>
              </w:rPr>
              <w:t xml:space="preserve">SWMEC </w:t>
            </w:r>
            <w:r w:rsidRPr="0013396E">
              <w:rPr>
                <w:i/>
                <w:iCs/>
                <w:sz w:val="20"/>
                <w:vertAlign w:val="subscript"/>
              </w:rPr>
              <w:t>q, r, d</w:t>
            </w:r>
          </w:p>
        </w:tc>
        <w:tc>
          <w:tcPr>
            <w:tcW w:w="692" w:type="pct"/>
            <w:tcBorders>
              <w:top w:val="single" w:sz="6" w:space="0" w:color="auto"/>
              <w:left w:val="single" w:sz="6" w:space="0" w:color="auto"/>
              <w:bottom w:val="single" w:sz="6" w:space="0" w:color="auto"/>
              <w:right w:val="single" w:sz="6" w:space="0" w:color="auto"/>
            </w:tcBorders>
          </w:tcPr>
          <w:p w14:paraId="1A7CDF44" w14:textId="77777777" w:rsidR="00C236A2" w:rsidRPr="0013396E" w:rsidRDefault="00C236A2" w:rsidP="0099759E">
            <w:pPr>
              <w:spacing w:after="60"/>
              <w:rPr>
                <w:iCs/>
                <w:sz w:val="20"/>
              </w:rPr>
            </w:pPr>
            <w:r w:rsidRPr="0013396E">
              <w:rPr>
                <w:iCs/>
                <w:sz w:val="20"/>
              </w:rPr>
              <w:t>$</w:t>
            </w:r>
          </w:p>
        </w:tc>
        <w:tc>
          <w:tcPr>
            <w:tcW w:w="3342" w:type="pct"/>
            <w:tcBorders>
              <w:top w:val="single" w:sz="6" w:space="0" w:color="auto"/>
              <w:left w:val="single" w:sz="6" w:space="0" w:color="auto"/>
              <w:bottom w:val="single" w:sz="6" w:space="0" w:color="auto"/>
              <w:right w:val="single" w:sz="4" w:space="0" w:color="auto"/>
            </w:tcBorders>
          </w:tcPr>
          <w:p w14:paraId="438DFB2F" w14:textId="77777777" w:rsidR="00C236A2" w:rsidRPr="0013396E" w:rsidRDefault="00C236A2" w:rsidP="0099759E">
            <w:pPr>
              <w:spacing w:after="60"/>
              <w:rPr>
                <w:i/>
                <w:iCs/>
                <w:sz w:val="20"/>
              </w:rPr>
            </w:pPr>
            <w:r w:rsidRPr="0013396E">
              <w:rPr>
                <w:i/>
                <w:iCs/>
                <w:sz w:val="20"/>
              </w:rPr>
              <w:t>Switchable Generation</w:t>
            </w:r>
            <w:r w:rsidRPr="0013396E">
              <w:rPr>
                <w:iCs/>
                <w:sz w:val="20"/>
              </w:rPr>
              <w:t xml:space="preserve"> </w:t>
            </w:r>
            <w:r w:rsidRPr="0013396E">
              <w:rPr>
                <w:i/>
                <w:iCs/>
                <w:sz w:val="20"/>
              </w:rPr>
              <w:t xml:space="preserve">Minimum Energy Cost </w:t>
            </w:r>
            <w:r w:rsidRPr="0013396E">
              <w:rPr>
                <w:iCs/>
                <w:sz w:val="20"/>
              </w:rPr>
              <w:t xml:space="preserve">—The minimum energy costs for Resource </w:t>
            </w:r>
            <w:r w:rsidRPr="0013396E">
              <w:rPr>
                <w:i/>
                <w:iCs/>
                <w:sz w:val="20"/>
              </w:rPr>
              <w:t xml:space="preserve">r </w:t>
            </w:r>
            <w:r w:rsidRPr="0013396E">
              <w:rPr>
                <w:iCs/>
                <w:sz w:val="20"/>
              </w:rPr>
              <w:t>represented by QSE</w:t>
            </w:r>
            <w:r w:rsidRPr="0013396E">
              <w:rPr>
                <w:i/>
                <w:iCs/>
                <w:sz w:val="20"/>
              </w:rPr>
              <w:t xml:space="preserve"> q </w:t>
            </w:r>
            <w:r w:rsidRPr="0013396E">
              <w:rPr>
                <w:iCs/>
                <w:sz w:val="20"/>
              </w:rPr>
              <w:t xml:space="preserve">during instructed hours, for the Operating Day </w:t>
            </w:r>
            <w:r w:rsidRPr="0013396E">
              <w:rPr>
                <w:i/>
                <w:iCs/>
                <w:sz w:val="20"/>
              </w:rPr>
              <w:t>d</w:t>
            </w:r>
            <w:r w:rsidRPr="0013396E">
              <w:rPr>
                <w:iCs/>
                <w:sz w:val="20"/>
              </w:rPr>
              <w:t xml:space="preserve">.  Where for a Combined Cycle Train, the Resource </w:t>
            </w:r>
            <w:r w:rsidRPr="0013396E">
              <w:rPr>
                <w:i/>
                <w:iCs/>
                <w:sz w:val="20"/>
              </w:rPr>
              <w:t xml:space="preserve">r </w:t>
            </w:r>
            <w:r w:rsidRPr="0013396E">
              <w:rPr>
                <w:iCs/>
                <w:sz w:val="20"/>
              </w:rPr>
              <w:t>is the Combined Cycle Train.</w:t>
            </w:r>
          </w:p>
        </w:tc>
      </w:tr>
      <w:tr w:rsidR="00C236A2" w:rsidRPr="0013396E" w14:paraId="6F6C8A9C" w14:textId="77777777" w:rsidTr="0099759E">
        <w:trPr>
          <w:cantSplit/>
        </w:trPr>
        <w:tc>
          <w:tcPr>
            <w:tcW w:w="966" w:type="pct"/>
            <w:tcBorders>
              <w:top w:val="single" w:sz="6" w:space="0" w:color="auto"/>
              <w:left w:val="single" w:sz="4" w:space="0" w:color="auto"/>
              <w:bottom w:val="single" w:sz="6" w:space="0" w:color="auto"/>
              <w:right w:val="single" w:sz="6" w:space="0" w:color="auto"/>
            </w:tcBorders>
          </w:tcPr>
          <w:p w14:paraId="08AE76CD" w14:textId="77777777" w:rsidR="00C236A2" w:rsidRPr="0013396E" w:rsidRDefault="00C236A2" w:rsidP="0099759E">
            <w:pPr>
              <w:spacing w:after="60"/>
              <w:rPr>
                <w:iCs/>
                <w:sz w:val="20"/>
              </w:rPr>
            </w:pPr>
            <w:r w:rsidRPr="0013396E">
              <w:rPr>
                <w:iCs/>
                <w:sz w:val="20"/>
              </w:rPr>
              <w:t xml:space="preserve">SWOC </w:t>
            </w:r>
            <w:r w:rsidRPr="0013396E">
              <w:rPr>
                <w:i/>
                <w:iCs/>
                <w:sz w:val="20"/>
                <w:vertAlign w:val="subscript"/>
              </w:rPr>
              <w:t>q, r, d</w:t>
            </w:r>
          </w:p>
        </w:tc>
        <w:tc>
          <w:tcPr>
            <w:tcW w:w="692" w:type="pct"/>
            <w:tcBorders>
              <w:top w:val="single" w:sz="6" w:space="0" w:color="auto"/>
              <w:left w:val="single" w:sz="6" w:space="0" w:color="auto"/>
              <w:bottom w:val="single" w:sz="6" w:space="0" w:color="auto"/>
              <w:right w:val="single" w:sz="6" w:space="0" w:color="auto"/>
            </w:tcBorders>
          </w:tcPr>
          <w:p w14:paraId="281055A4" w14:textId="77777777" w:rsidR="00C236A2" w:rsidRPr="0013396E" w:rsidRDefault="00C236A2" w:rsidP="0099759E">
            <w:pPr>
              <w:spacing w:after="60"/>
              <w:rPr>
                <w:iCs/>
                <w:sz w:val="20"/>
              </w:rPr>
            </w:pPr>
            <w:r w:rsidRPr="0013396E">
              <w:rPr>
                <w:iCs/>
                <w:sz w:val="20"/>
              </w:rPr>
              <w:t>$</w:t>
            </w:r>
          </w:p>
        </w:tc>
        <w:tc>
          <w:tcPr>
            <w:tcW w:w="3342" w:type="pct"/>
            <w:tcBorders>
              <w:top w:val="single" w:sz="6" w:space="0" w:color="auto"/>
              <w:left w:val="single" w:sz="6" w:space="0" w:color="auto"/>
              <w:bottom w:val="single" w:sz="6" w:space="0" w:color="auto"/>
              <w:right w:val="single" w:sz="4" w:space="0" w:color="auto"/>
            </w:tcBorders>
          </w:tcPr>
          <w:p w14:paraId="15B22CC7" w14:textId="77777777" w:rsidR="00C236A2" w:rsidRPr="0013396E" w:rsidRDefault="00C236A2" w:rsidP="0099759E">
            <w:pPr>
              <w:spacing w:after="60"/>
              <w:rPr>
                <w:i/>
                <w:iCs/>
                <w:sz w:val="20"/>
              </w:rPr>
            </w:pPr>
            <w:r w:rsidRPr="0013396E">
              <w:rPr>
                <w:i/>
                <w:sz w:val="20"/>
              </w:rPr>
              <w:t>Switchable Generation</w:t>
            </w:r>
            <w:r w:rsidRPr="0013396E">
              <w:rPr>
                <w:sz w:val="20"/>
              </w:rPr>
              <w:t xml:space="preserve"> </w:t>
            </w:r>
            <w:r w:rsidRPr="0013396E">
              <w:rPr>
                <w:i/>
                <w:sz w:val="20"/>
              </w:rPr>
              <w:t xml:space="preserve">Operating Cost </w:t>
            </w:r>
            <w:r w:rsidRPr="0013396E">
              <w:rPr>
                <w:sz w:val="20"/>
              </w:rPr>
              <w:t xml:space="preserve">—The operating costs for Resource </w:t>
            </w:r>
            <w:r w:rsidRPr="0013396E">
              <w:rPr>
                <w:i/>
                <w:sz w:val="20"/>
              </w:rPr>
              <w:t xml:space="preserve">r </w:t>
            </w:r>
            <w:r w:rsidRPr="0013396E">
              <w:rPr>
                <w:sz w:val="20"/>
              </w:rPr>
              <w:t>represented by QSE</w:t>
            </w:r>
            <w:r w:rsidRPr="0013396E">
              <w:rPr>
                <w:i/>
                <w:sz w:val="20"/>
              </w:rPr>
              <w:t xml:space="preserve"> q </w:t>
            </w:r>
            <w:r w:rsidRPr="0013396E">
              <w:rPr>
                <w:sz w:val="20"/>
              </w:rPr>
              <w:t xml:space="preserve">during instructed hours, for the Operating Day </w:t>
            </w:r>
            <w:r w:rsidRPr="0013396E">
              <w:rPr>
                <w:i/>
                <w:sz w:val="20"/>
              </w:rPr>
              <w:t>d</w:t>
            </w:r>
            <w:r w:rsidRPr="0013396E">
              <w:rPr>
                <w:sz w:val="20"/>
              </w:rPr>
              <w:t xml:space="preserve">.  Where for a Combined Cycle Train, the Resource </w:t>
            </w:r>
            <w:r w:rsidRPr="0013396E">
              <w:rPr>
                <w:i/>
                <w:sz w:val="20"/>
              </w:rPr>
              <w:t xml:space="preserve">r </w:t>
            </w:r>
            <w:r w:rsidRPr="0013396E">
              <w:rPr>
                <w:sz w:val="20"/>
              </w:rPr>
              <w:t>is the Combined Cycle Train.  Switchable generation operating cost represents the Real-Time operating costs in ERCOT reduced by the savings in operating costs not incurred due to the switch from the non-ERCOT Control Area.</w:t>
            </w:r>
          </w:p>
        </w:tc>
      </w:tr>
      <w:tr w:rsidR="00C236A2" w:rsidRPr="0013396E" w14:paraId="6163C938" w14:textId="77777777" w:rsidTr="0099759E">
        <w:trPr>
          <w:cantSplit/>
        </w:trPr>
        <w:tc>
          <w:tcPr>
            <w:tcW w:w="966" w:type="pct"/>
            <w:tcBorders>
              <w:top w:val="single" w:sz="6" w:space="0" w:color="auto"/>
              <w:left w:val="single" w:sz="4" w:space="0" w:color="auto"/>
              <w:bottom w:val="single" w:sz="6" w:space="0" w:color="auto"/>
              <w:right w:val="single" w:sz="6" w:space="0" w:color="auto"/>
            </w:tcBorders>
          </w:tcPr>
          <w:p w14:paraId="320E64FB" w14:textId="77777777" w:rsidR="00C236A2" w:rsidRPr="0013396E" w:rsidRDefault="00C236A2" w:rsidP="0099759E">
            <w:pPr>
              <w:spacing w:after="60"/>
              <w:rPr>
                <w:iCs/>
                <w:sz w:val="20"/>
              </w:rPr>
            </w:pPr>
            <w:r w:rsidRPr="0013396E">
              <w:rPr>
                <w:iCs/>
                <w:sz w:val="20"/>
              </w:rPr>
              <w:t>SWAC</w:t>
            </w:r>
            <w:r w:rsidRPr="0013396E">
              <w:rPr>
                <w:i/>
                <w:iCs/>
                <w:sz w:val="20"/>
                <w:vertAlign w:val="subscript"/>
              </w:rPr>
              <w:t xml:space="preserve"> q, r, d</w:t>
            </w:r>
          </w:p>
        </w:tc>
        <w:tc>
          <w:tcPr>
            <w:tcW w:w="692" w:type="pct"/>
            <w:tcBorders>
              <w:top w:val="single" w:sz="6" w:space="0" w:color="auto"/>
              <w:left w:val="single" w:sz="6" w:space="0" w:color="auto"/>
              <w:bottom w:val="single" w:sz="6" w:space="0" w:color="auto"/>
              <w:right w:val="single" w:sz="6" w:space="0" w:color="auto"/>
            </w:tcBorders>
          </w:tcPr>
          <w:p w14:paraId="6D44B0A5" w14:textId="77777777" w:rsidR="00C236A2" w:rsidRPr="0013396E" w:rsidRDefault="00C236A2" w:rsidP="0099759E">
            <w:pPr>
              <w:spacing w:after="60"/>
              <w:rPr>
                <w:iCs/>
                <w:sz w:val="20"/>
              </w:rPr>
            </w:pPr>
            <w:r w:rsidRPr="0013396E">
              <w:rPr>
                <w:iCs/>
                <w:sz w:val="20"/>
              </w:rPr>
              <w:t>$</w:t>
            </w:r>
          </w:p>
        </w:tc>
        <w:tc>
          <w:tcPr>
            <w:tcW w:w="3342" w:type="pct"/>
            <w:tcBorders>
              <w:top w:val="single" w:sz="6" w:space="0" w:color="auto"/>
              <w:left w:val="single" w:sz="6" w:space="0" w:color="auto"/>
              <w:bottom w:val="single" w:sz="6" w:space="0" w:color="auto"/>
              <w:right w:val="single" w:sz="4" w:space="0" w:color="auto"/>
            </w:tcBorders>
          </w:tcPr>
          <w:p w14:paraId="7F39A45F" w14:textId="77777777" w:rsidR="00C236A2" w:rsidRPr="0013396E" w:rsidRDefault="00C236A2" w:rsidP="0099759E">
            <w:pPr>
              <w:spacing w:after="60"/>
              <w:rPr>
                <w:iCs/>
                <w:sz w:val="20"/>
              </w:rPr>
            </w:pPr>
            <w:r w:rsidRPr="0013396E">
              <w:rPr>
                <w:i/>
                <w:iCs/>
                <w:sz w:val="20"/>
              </w:rPr>
              <w:t xml:space="preserve">Switchable Generation Approved Costs – </w:t>
            </w:r>
            <w:r w:rsidRPr="0013396E">
              <w:rPr>
                <w:iCs/>
                <w:sz w:val="20"/>
              </w:rPr>
              <w:t xml:space="preserve">The total amount of the calculation of financial loss, as submitted by the QSE </w:t>
            </w:r>
            <w:r w:rsidRPr="0013396E">
              <w:rPr>
                <w:i/>
                <w:iCs/>
                <w:sz w:val="20"/>
              </w:rPr>
              <w:t xml:space="preserve">q </w:t>
            </w:r>
            <w:r w:rsidRPr="0013396E">
              <w:rPr>
                <w:iCs/>
                <w:sz w:val="20"/>
              </w:rPr>
              <w:t>for the Resource</w:t>
            </w:r>
            <w:r w:rsidRPr="0013396E">
              <w:rPr>
                <w:i/>
                <w:iCs/>
                <w:sz w:val="20"/>
              </w:rPr>
              <w:t xml:space="preserve"> r, </w:t>
            </w:r>
            <w:r w:rsidRPr="0013396E">
              <w:rPr>
                <w:iCs/>
                <w:sz w:val="20"/>
              </w:rPr>
              <w:t xml:space="preserve">as approved by ERCOT for the Operating Day </w:t>
            </w:r>
            <w:r w:rsidRPr="0013396E">
              <w:rPr>
                <w:i/>
                <w:iCs/>
                <w:sz w:val="20"/>
              </w:rPr>
              <w:t>d</w:t>
            </w:r>
            <w:r w:rsidRPr="0013396E">
              <w:rPr>
                <w:iCs/>
                <w:sz w:val="20"/>
              </w:rPr>
              <w:t xml:space="preserve">.  Where for a Combined Cycle Train, the Resource </w:t>
            </w:r>
            <w:r w:rsidRPr="0013396E">
              <w:rPr>
                <w:i/>
                <w:iCs/>
                <w:sz w:val="20"/>
              </w:rPr>
              <w:t>r</w:t>
            </w:r>
            <w:r w:rsidRPr="0013396E">
              <w:rPr>
                <w:iCs/>
                <w:sz w:val="20"/>
              </w:rPr>
              <w:t xml:space="preserve"> is the Combined Cycle Train.</w:t>
            </w:r>
          </w:p>
        </w:tc>
      </w:tr>
      <w:tr w:rsidR="00C236A2" w:rsidRPr="0013396E" w14:paraId="52A38467" w14:textId="77777777" w:rsidTr="0099759E">
        <w:trPr>
          <w:cantSplit/>
        </w:trPr>
        <w:tc>
          <w:tcPr>
            <w:tcW w:w="966" w:type="pct"/>
            <w:tcBorders>
              <w:top w:val="single" w:sz="6" w:space="0" w:color="auto"/>
              <w:left w:val="single" w:sz="4" w:space="0" w:color="auto"/>
              <w:bottom w:val="single" w:sz="6" w:space="0" w:color="auto"/>
              <w:right w:val="single" w:sz="6" w:space="0" w:color="auto"/>
            </w:tcBorders>
          </w:tcPr>
          <w:p w14:paraId="4C2B5B29" w14:textId="77777777" w:rsidR="00C236A2" w:rsidRPr="0013396E" w:rsidRDefault="00C236A2" w:rsidP="0099759E">
            <w:pPr>
              <w:spacing w:after="60"/>
              <w:rPr>
                <w:iCs/>
                <w:sz w:val="20"/>
              </w:rPr>
            </w:pPr>
            <w:r w:rsidRPr="0013396E">
              <w:rPr>
                <w:iCs/>
                <w:sz w:val="20"/>
              </w:rPr>
              <w:t>SWFC</w:t>
            </w:r>
            <w:r w:rsidRPr="0013396E">
              <w:rPr>
                <w:i/>
                <w:iCs/>
                <w:sz w:val="20"/>
                <w:vertAlign w:val="subscript"/>
              </w:rPr>
              <w:t xml:space="preserve"> q, r, d</w:t>
            </w:r>
            <w:r w:rsidRPr="0013396E">
              <w:rPr>
                <w:i/>
                <w:iCs/>
                <w:sz w:val="20"/>
                <w:vertAlign w:val="subscript"/>
                <w:lang w:val="it-IT"/>
              </w:rPr>
              <w:t xml:space="preserve">  </w:t>
            </w:r>
          </w:p>
        </w:tc>
        <w:tc>
          <w:tcPr>
            <w:tcW w:w="692" w:type="pct"/>
            <w:tcBorders>
              <w:top w:val="single" w:sz="6" w:space="0" w:color="auto"/>
              <w:left w:val="single" w:sz="6" w:space="0" w:color="auto"/>
              <w:bottom w:val="single" w:sz="6" w:space="0" w:color="auto"/>
              <w:right w:val="single" w:sz="6" w:space="0" w:color="auto"/>
            </w:tcBorders>
          </w:tcPr>
          <w:p w14:paraId="36550A5D" w14:textId="77777777" w:rsidR="00C236A2" w:rsidRPr="0013396E" w:rsidRDefault="00C236A2" w:rsidP="0099759E">
            <w:pPr>
              <w:spacing w:after="60"/>
              <w:rPr>
                <w:iCs/>
                <w:sz w:val="20"/>
              </w:rPr>
            </w:pPr>
            <w:r w:rsidRPr="0013396E">
              <w:rPr>
                <w:iCs/>
                <w:sz w:val="20"/>
              </w:rPr>
              <w:t>$</w:t>
            </w:r>
          </w:p>
        </w:tc>
        <w:tc>
          <w:tcPr>
            <w:tcW w:w="3342" w:type="pct"/>
            <w:tcBorders>
              <w:top w:val="single" w:sz="6" w:space="0" w:color="auto"/>
              <w:left w:val="single" w:sz="6" w:space="0" w:color="auto"/>
              <w:bottom w:val="single" w:sz="6" w:space="0" w:color="auto"/>
              <w:right w:val="single" w:sz="4" w:space="0" w:color="auto"/>
            </w:tcBorders>
          </w:tcPr>
          <w:p w14:paraId="777B5CC9" w14:textId="77777777" w:rsidR="00C236A2" w:rsidRPr="0013396E" w:rsidRDefault="00C236A2" w:rsidP="0099759E">
            <w:pPr>
              <w:spacing w:after="60"/>
              <w:rPr>
                <w:i/>
                <w:iCs/>
                <w:sz w:val="20"/>
              </w:rPr>
            </w:pPr>
            <w:r w:rsidRPr="0013396E">
              <w:rPr>
                <w:i/>
                <w:iCs/>
                <w:sz w:val="20"/>
              </w:rPr>
              <w:t>Switchable Generator</w:t>
            </w:r>
            <w:r w:rsidRPr="0013396E">
              <w:rPr>
                <w:iCs/>
                <w:sz w:val="20"/>
              </w:rPr>
              <w:t xml:space="preserve"> </w:t>
            </w:r>
            <w:r w:rsidRPr="0013396E">
              <w:rPr>
                <w:i/>
                <w:iCs/>
                <w:sz w:val="20"/>
              </w:rPr>
              <w:t xml:space="preserve">Fuel Cost </w:t>
            </w:r>
            <w:r w:rsidRPr="0013396E">
              <w:rPr>
                <w:iCs/>
                <w:sz w:val="20"/>
              </w:rPr>
              <w:t xml:space="preserve">—The incremental fuel costs and fees for Resource </w:t>
            </w:r>
            <w:r w:rsidRPr="0013396E">
              <w:rPr>
                <w:i/>
                <w:iCs/>
                <w:sz w:val="20"/>
              </w:rPr>
              <w:t xml:space="preserve">r </w:t>
            </w:r>
            <w:r w:rsidRPr="0013396E">
              <w:rPr>
                <w:iCs/>
                <w:sz w:val="20"/>
              </w:rPr>
              <w:t>represented by QSE</w:t>
            </w:r>
            <w:r w:rsidRPr="0013396E">
              <w:rPr>
                <w:i/>
                <w:iCs/>
                <w:sz w:val="20"/>
              </w:rPr>
              <w:t xml:space="preserve"> q </w:t>
            </w:r>
            <w:r w:rsidRPr="0013396E">
              <w:rPr>
                <w:iCs/>
                <w:sz w:val="20"/>
              </w:rPr>
              <w:t xml:space="preserve">for all instructed hours, for the Operating Day </w:t>
            </w:r>
            <w:r w:rsidRPr="0013396E">
              <w:rPr>
                <w:i/>
                <w:iCs/>
                <w:sz w:val="20"/>
              </w:rPr>
              <w:t>d</w:t>
            </w:r>
            <w:r w:rsidRPr="0013396E">
              <w:rPr>
                <w:iCs/>
                <w:sz w:val="20"/>
              </w:rPr>
              <w:t xml:space="preserve">.  Where for a Combined Cycle Train, the Resource </w:t>
            </w:r>
            <w:r w:rsidRPr="0013396E">
              <w:rPr>
                <w:i/>
                <w:iCs/>
                <w:sz w:val="20"/>
              </w:rPr>
              <w:t xml:space="preserve">r </w:t>
            </w:r>
            <w:r w:rsidRPr="0013396E">
              <w:rPr>
                <w:iCs/>
                <w:sz w:val="20"/>
              </w:rPr>
              <w:t xml:space="preserve">is the Combined Cycle Train.  Incremental fuel costs must be based on those costs incurred as described in Section 9.14.9, Incremental Fuel Costs for Switchable Generation Make-Whole Payment. </w:t>
            </w:r>
          </w:p>
        </w:tc>
      </w:tr>
      <w:tr w:rsidR="00C236A2" w:rsidRPr="0013396E" w14:paraId="655058A7" w14:textId="77777777" w:rsidTr="000B7133">
        <w:tc>
          <w:tcPr>
            <w:tcW w:w="966" w:type="pct"/>
            <w:tcBorders>
              <w:top w:val="single" w:sz="6" w:space="0" w:color="auto"/>
              <w:left w:val="single" w:sz="4" w:space="0" w:color="auto"/>
              <w:bottom w:val="single" w:sz="6" w:space="0" w:color="auto"/>
              <w:right w:val="single" w:sz="6" w:space="0" w:color="auto"/>
            </w:tcBorders>
          </w:tcPr>
          <w:p w14:paraId="661B4725" w14:textId="77777777" w:rsidR="00C236A2" w:rsidRPr="0013396E" w:rsidRDefault="00C236A2" w:rsidP="0099759E">
            <w:pPr>
              <w:spacing w:after="60"/>
              <w:rPr>
                <w:iCs/>
                <w:sz w:val="20"/>
              </w:rPr>
            </w:pPr>
            <w:r w:rsidRPr="0013396E">
              <w:rPr>
                <w:iCs/>
                <w:sz w:val="20"/>
              </w:rPr>
              <w:t xml:space="preserve">SWFIPC </w:t>
            </w:r>
            <w:r w:rsidRPr="0013396E">
              <w:rPr>
                <w:i/>
                <w:iCs/>
                <w:sz w:val="20"/>
                <w:vertAlign w:val="subscript"/>
              </w:rPr>
              <w:t>q, r, d</w:t>
            </w:r>
            <w:r w:rsidRPr="0013396E">
              <w:rPr>
                <w:i/>
                <w:iCs/>
                <w:sz w:val="20"/>
              </w:rPr>
              <w:t xml:space="preserve">  </w:t>
            </w:r>
          </w:p>
        </w:tc>
        <w:tc>
          <w:tcPr>
            <w:tcW w:w="692" w:type="pct"/>
            <w:tcBorders>
              <w:top w:val="single" w:sz="6" w:space="0" w:color="auto"/>
              <w:left w:val="single" w:sz="6" w:space="0" w:color="auto"/>
              <w:bottom w:val="single" w:sz="6" w:space="0" w:color="auto"/>
              <w:right w:val="single" w:sz="6" w:space="0" w:color="auto"/>
            </w:tcBorders>
          </w:tcPr>
          <w:p w14:paraId="3F854D94" w14:textId="77777777" w:rsidR="00C236A2" w:rsidRPr="0013396E" w:rsidRDefault="00C236A2" w:rsidP="0099759E">
            <w:pPr>
              <w:spacing w:after="60"/>
              <w:rPr>
                <w:iCs/>
                <w:sz w:val="20"/>
              </w:rPr>
            </w:pPr>
            <w:r w:rsidRPr="0013396E">
              <w:rPr>
                <w:iCs/>
                <w:sz w:val="20"/>
              </w:rPr>
              <w:t>$</w:t>
            </w:r>
          </w:p>
        </w:tc>
        <w:tc>
          <w:tcPr>
            <w:tcW w:w="3342" w:type="pct"/>
            <w:tcBorders>
              <w:top w:val="single" w:sz="6" w:space="0" w:color="auto"/>
              <w:left w:val="single" w:sz="6" w:space="0" w:color="auto"/>
              <w:bottom w:val="single" w:sz="6" w:space="0" w:color="auto"/>
              <w:right w:val="single" w:sz="4" w:space="0" w:color="auto"/>
            </w:tcBorders>
          </w:tcPr>
          <w:p w14:paraId="77FDF942" w14:textId="77777777" w:rsidR="00C236A2" w:rsidRPr="0013396E" w:rsidRDefault="00C236A2" w:rsidP="0099759E">
            <w:pPr>
              <w:spacing w:after="60"/>
              <w:rPr>
                <w:i/>
                <w:iCs/>
                <w:sz w:val="20"/>
              </w:rPr>
            </w:pPr>
            <w:r w:rsidRPr="0013396E">
              <w:rPr>
                <w:i/>
                <w:iCs/>
                <w:sz w:val="20"/>
              </w:rPr>
              <w:t>Switchable Generator Fuel Imbalance Penalty Cost</w:t>
            </w:r>
            <w:r w:rsidRPr="0013396E">
              <w:rPr>
                <w:iCs/>
                <w:sz w:val="20"/>
              </w:rPr>
              <w:t xml:space="preserve"> —The fuel imbalance penalty cost for Resource </w:t>
            </w:r>
            <w:r w:rsidRPr="0013396E">
              <w:rPr>
                <w:i/>
                <w:iCs/>
                <w:sz w:val="20"/>
              </w:rPr>
              <w:t>r</w:t>
            </w:r>
            <w:r w:rsidRPr="0013396E">
              <w:rPr>
                <w:iCs/>
                <w:sz w:val="20"/>
              </w:rPr>
              <w:t xml:space="preserve"> represented by QSE </w:t>
            </w:r>
            <w:r w:rsidRPr="0013396E">
              <w:rPr>
                <w:i/>
                <w:iCs/>
                <w:sz w:val="20"/>
              </w:rPr>
              <w:t>q</w:t>
            </w:r>
            <w:r w:rsidRPr="0013396E">
              <w:rPr>
                <w:iCs/>
                <w:sz w:val="20"/>
              </w:rPr>
              <w:t xml:space="preserve">, for the Operating Day, arising from the SWGR not consuming its contracted fuel quantities as a result of a switch from a non-ERCOT Control Area as requested by ERCOT.  Fuel imbalance penalty costs are limited to those costs assessed for the period starting at the initiation of the ramp-down in the non-ERCOT Control Area to two hours following the time ERCOT released the SWGR. Where for a Combined Cycle Train, the Resource </w:t>
            </w:r>
            <w:r w:rsidRPr="0013396E">
              <w:rPr>
                <w:i/>
                <w:iCs/>
                <w:sz w:val="20"/>
              </w:rPr>
              <w:t>r</w:t>
            </w:r>
            <w:r w:rsidRPr="0013396E">
              <w:rPr>
                <w:iCs/>
                <w:sz w:val="20"/>
              </w:rPr>
              <w:t xml:space="preserve"> is the Combined Cycle Train.</w:t>
            </w:r>
          </w:p>
        </w:tc>
      </w:tr>
      <w:tr w:rsidR="00C236A2" w:rsidRPr="0013396E" w14:paraId="0928BBAC" w14:textId="77777777" w:rsidTr="000B7133">
        <w:tc>
          <w:tcPr>
            <w:tcW w:w="966" w:type="pct"/>
            <w:tcBorders>
              <w:top w:val="single" w:sz="6" w:space="0" w:color="auto"/>
              <w:left w:val="single" w:sz="4" w:space="0" w:color="auto"/>
              <w:bottom w:val="single" w:sz="6" w:space="0" w:color="auto"/>
              <w:right w:val="single" w:sz="6" w:space="0" w:color="auto"/>
            </w:tcBorders>
          </w:tcPr>
          <w:p w14:paraId="5665EC49" w14:textId="77777777" w:rsidR="00C236A2" w:rsidRPr="0013396E" w:rsidRDefault="00C236A2" w:rsidP="0099759E">
            <w:pPr>
              <w:spacing w:after="60"/>
              <w:rPr>
                <w:iCs/>
                <w:sz w:val="20"/>
              </w:rPr>
            </w:pPr>
            <w:r w:rsidRPr="0013396E">
              <w:rPr>
                <w:iCs/>
                <w:sz w:val="20"/>
              </w:rPr>
              <w:t>SWEIC</w:t>
            </w:r>
            <w:r w:rsidRPr="0013396E">
              <w:rPr>
                <w:i/>
                <w:sz w:val="20"/>
                <w:vertAlign w:val="subscript"/>
              </w:rPr>
              <w:t xml:space="preserve"> q, r, d</w:t>
            </w:r>
            <w:r w:rsidRPr="0013396E">
              <w:rPr>
                <w:i/>
                <w:sz w:val="20"/>
                <w:vertAlign w:val="subscript"/>
                <w:lang w:val="it-IT"/>
              </w:rPr>
              <w:t xml:space="preserve">   </w:t>
            </w:r>
          </w:p>
        </w:tc>
        <w:tc>
          <w:tcPr>
            <w:tcW w:w="692" w:type="pct"/>
            <w:tcBorders>
              <w:top w:val="single" w:sz="6" w:space="0" w:color="auto"/>
              <w:left w:val="single" w:sz="6" w:space="0" w:color="auto"/>
              <w:bottom w:val="single" w:sz="6" w:space="0" w:color="auto"/>
              <w:right w:val="single" w:sz="6" w:space="0" w:color="auto"/>
            </w:tcBorders>
          </w:tcPr>
          <w:p w14:paraId="1F26A2C2" w14:textId="77777777" w:rsidR="00C236A2" w:rsidRPr="0013396E" w:rsidRDefault="00C236A2" w:rsidP="0099759E">
            <w:pPr>
              <w:spacing w:after="60"/>
              <w:rPr>
                <w:iCs/>
                <w:sz w:val="20"/>
              </w:rPr>
            </w:pPr>
            <w:r w:rsidRPr="0013396E">
              <w:rPr>
                <w:sz w:val="20"/>
              </w:rPr>
              <w:t>$</w:t>
            </w:r>
          </w:p>
        </w:tc>
        <w:tc>
          <w:tcPr>
            <w:tcW w:w="3342" w:type="pct"/>
            <w:tcBorders>
              <w:top w:val="single" w:sz="6" w:space="0" w:color="auto"/>
              <w:left w:val="single" w:sz="6" w:space="0" w:color="auto"/>
              <w:bottom w:val="single" w:sz="6" w:space="0" w:color="auto"/>
              <w:right w:val="single" w:sz="4" w:space="0" w:color="auto"/>
            </w:tcBorders>
          </w:tcPr>
          <w:p w14:paraId="283EB815" w14:textId="77777777" w:rsidR="00C236A2" w:rsidRPr="0013396E" w:rsidRDefault="00C236A2" w:rsidP="0099759E">
            <w:pPr>
              <w:spacing w:after="60"/>
              <w:rPr>
                <w:iCs/>
                <w:sz w:val="20"/>
              </w:rPr>
            </w:pPr>
            <w:r w:rsidRPr="0013396E">
              <w:rPr>
                <w:i/>
                <w:sz w:val="20"/>
              </w:rPr>
              <w:t>Switchable Generator</w:t>
            </w:r>
            <w:r w:rsidRPr="0013396E">
              <w:rPr>
                <w:sz w:val="20"/>
              </w:rPr>
              <w:t xml:space="preserve"> </w:t>
            </w:r>
            <w:r w:rsidRPr="0013396E">
              <w:rPr>
                <w:i/>
                <w:sz w:val="20"/>
              </w:rPr>
              <w:t xml:space="preserve">Energy Imbalance Cost </w:t>
            </w:r>
            <w:r w:rsidRPr="0013396E">
              <w:rPr>
                <w:sz w:val="20"/>
              </w:rPr>
              <w:t xml:space="preserve">—The energy imbalance costs for Resource </w:t>
            </w:r>
            <w:r w:rsidRPr="0013396E">
              <w:rPr>
                <w:i/>
                <w:sz w:val="20"/>
              </w:rPr>
              <w:t xml:space="preserve">r </w:t>
            </w:r>
            <w:r w:rsidRPr="0013396E">
              <w:rPr>
                <w:sz w:val="20"/>
              </w:rPr>
              <w:t>represented by QSE</w:t>
            </w:r>
            <w:r w:rsidRPr="0013396E">
              <w:rPr>
                <w:i/>
                <w:sz w:val="20"/>
              </w:rPr>
              <w:t xml:space="preserve"> q </w:t>
            </w:r>
            <w:r w:rsidRPr="0013396E">
              <w:rPr>
                <w:sz w:val="20"/>
              </w:rPr>
              <w:t xml:space="preserve">for instructed hours, for the Operating Day </w:t>
            </w:r>
            <w:r w:rsidRPr="0013396E">
              <w:rPr>
                <w:i/>
                <w:sz w:val="20"/>
              </w:rPr>
              <w:t>d</w:t>
            </w:r>
            <w:r w:rsidRPr="0013396E">
              <w:rPr>
                <w:sz w:val="20"/>
              </w:rPr>
              <w:t xml:space="preserve">.  Where for a Combined Cycle Train, the Resource </w:t>
            </w:r>
            <w:r w:rsidRPr="0013396E">
              <w:rPr>
                <w:i/>
                <w:sz w:val="20"/>
              </w:rPr>
              <w:t xml:space="preserve">r </w:t>
            </w:r>
            <w:r w:rsidRPr="0013396E">
              <w:rPr>
                <w:sz w:val="20"/>
              </w:rPr>
              <w:t xml:space="preserve">is the Combined Cycle Train.  Energy imbalance costs represent Real-Time imbalance charges for the amount of energy the SWGR was not able to provide as required by its DAM commitment from the non-ERCOT </w:t>
            </w:r>
            <w:r w:rsidRPr="0013396E">
              <w:rPr>
                <w:sz w:val="20"/>
              </w:rPr>
              <w:lastRenderedPageBreak/>
              <w:t>Control Area, starting from the beginning of the ramp-down period in the other grid to two hours following the time ERCOT released the Resource.</w:t>
            </w:r>
          </w:p>
        </w:tc>
      </w:tr>
      <w:tr w:rsidR="00C236A2" w:rsidRPr="0013396E" w14:paraId="594B2196" w14:textId="77777777" w:rsidTr="000B7133">
        <w:tc>
          <w:tcPr>
            <w:tcW w:w="966" w:type="pct"/>
            <w:tcBorders>
              <w:top w:val="single" w:sz="6" w:space="0" w:color="auto"/>
              <w:left w:val="single" w:sz="4" w:space="0" w:color="auto"/>
              <w:bottom w:val="single" w:sz="6" w:space="0" w:color="auto"/>
              <w:right w:val="single" w:sz="6" w:space="0" w:color="auto"/>
            </w:tcBorders>
          </w:tcPr>
          <w:p w14:paraId="7AB4783E" w14:textId="77777777" w:rsidR="00C236A2" w:rsidRPr="0013396E" w:rsidRDefault="00C236A2" w:rsidP="0099759E">
            <w:pPr>
              <w:spacing w:after="60"/>
              <w:rPr>
                <w:iCs/>
                <w:sz w:val="20"/>
              </w:rPr>
            </w:pPr>
            <w:r w:rsidRPr="0013396E">
              <w:rPr>
                <w:iCs/>
                <w:sz w:val="20"/>
              </w:rPr>
              <w:lastRenderedPageBreak/>
              <w:t>SWASIC</w:t>
            </w:r>
            <w:r w:rsidRPr="0013396E">
              <w:rPr>
                <w:i/>
                <w:sz w:val="20"/>
                <w:vertAlign w:val="subscript"/>
              </w:rPr>
              <w:t xml:space="preserve"> q, r, d</w:t>
            </w:r>
          </w:p>
        </w:tc>
        <w:tc>
          <w:tcPr>
            <w:tcW w:w="692" w:type="pct"/>
            <w:tcBorders>
              <w:top w:val="single" w:sz="6" w:space="0" w:color="auto"/>
              <w:left w:val="single" w:sz="6" w:space="0" w:color="auto"/>
              <w:bottom w:val="single" w:sz="6" w:space="0" w:color="auto"/>
              <w:right w:val="single" w:sz="6" w:space="0" w:color="auto"/>
            </w:tcBorders>
          </w:tcPr>
          <w:p w14:paraId="7875DCA7" w14:textId="77777777" w:rsidR="00C236A2" w:rsidRPr="0013396E" w:rsidRDefault="00C236A2" w:rsidP="0099759E">
            <w:pPr>
              <w:spacing w:after="60"/>
              <w:rPr>
                <w:iCs/>
                <w:sz w:val="20"/>
              </w:rPr>
            </w:pPr>
            <w:r w:rsidRPr="0013396E">
              <w:rPr>
                <w:sz w:val="20"/>
              </w:rPr>
              <w:t>$</w:t>
            </w:r>
          </w:p>
        </w:tc>
        <w:tc>
          <w:tcPr>
            <w:tcW w:w="3342" w:type="pct"/>
            <w:tcBorders>
              <w:top w:val="single" w:sz="6" w:space="0" w:color="auto"/>
              <w:left w:val="single" w:sz="6" w:space="0" w:color="auto"/>
              <w:bottom w:val="single" w:sz="6" w:space="0" w:color="auto"/>
              <w:right w:val="single" w:sz="4" w:space="0" w:color="auto"/>
            </w:tcBorders>
          </w:tcPr>
          <w:p w14:paraId="5C9EF5DE" w14:textId="77777777" w:rsidR="00C236A2" w:rsidRPr="0013396E" w:rsidRDefault="00C236A2" w:rsidP="0099759E">
            <w:pPr>
              <w:spacing w:after="60"/>
              <w:rPr>
                <w:iCs/>
                <w:sz w:val="20"/>
              </w:rPr>
            </w:pPr>
            <w:r w:rsidRPr="0013396E">
              <w:rPr>
                <w:i/>
                <w:sz w:val="20"/>
              </w:rPr>
              <w:t>Switchable Generator</w:t>
            </w:r>
            <w:r w:rsidRPr="0013396E">
              <w:rPr>
                <w:sz w:val="20"/>
              </w:rPr>
              <w:t xml:space="preserve"> </w:t>
            </w:r>
            <w:r w:rsidRPr="0013396E">
              <w:rPr>
                <w:i/>
                <w:sz w:val="20"/>
              </w:rPr>
              <w:t xml:space="preserve">Ancillary Services Imbalance Cost </w:t>
            </w:r>
            <w:r w:rsidRPr="0013396E">
              <w:rPr>
                <w:sz w:val="20"/>
              </w:rPr>
              <w:t xml:space="preserve">—The Ancillary Service imbalance costs for Resource </w:t>
            </w:r>
            <w:r w:rsidRPr="0013396E">
              <w:rPr>
                <w:i/>
                <w:sz w:val="20"/>
              </w:rPr>
              <w:t xml:space="preserve">r </w:t>
            </w:r>
            <w:r w:rsidRPr="0013396E">
              <w:rPr>
                <w:sz w:val="20"/>
              </w:rPr>
              <w:t>represented by QSE</w:t>
            </w:r>
            <w:r w:rsidRPr="0013396E">
              <w:rPr>
                <w:i/>
                <w:sz w:val="20"/>
              </w:rPr>
              <w:t xml:space="preserve"> q </w:t>
            </w:r>
            <w:r w:rsidRPr="0013396E">
              <w:rPr>
                <w:sz w:val="20"/>
              </w:rPr>
              <w:t xml:space="preserve">for instructed hours, for the Operating Day </w:t>
            </w:r>
            <w:r w:rsidRPr="0013396E">
              <w:rPr>
                <w:i/>
                <w:sz w:val="20"/>
              </w:rPr>
              <w:t>d</w:t>
            </w:r>
            <w:r w:rsidRPr="0013396E">
              <w:rPr>
                <w:sz w:val="20"/>
              </w:rPr>
              <w:t xml:space="preserve">.  Where for a Combined Cycle Train, the Resource </w:t>
            </w:r>
            <w:r w:rsidRPr="0013396E">
              <w:rPr>
                <w:i/>
                <w:sz w:val="20"/>
              </w:rPr>
              <w:t xml:space="preserve">r </w:t>
            </w:r>
            <w:r w:rsidRPr="0013396E">
              <w:rPr>
                <w:sz w:val="20"/>
              </w:rPr>
              <w:t>is the Combined Cycle Train.  Ancillary Service imbalance costs represent Real-Time imbalance charges for the amount of Ancillary Services the SWGR was not able to provide as required by its Day-Ahead commitment from the non-ERCOT Control Area, starting from the time of shutdown in the other grid to two hours following the time ERCOT released the Resource.</w:t>
            </w:r>
          </w:p>
        </w:tc>
      </w:tr>
      <w:tr w:rsidR="00C236A2" w:rsidRPr="0013396E" w14:paraId="600BDD14" w14:textId="77777777" w:rsidTr="000B7133">
        <w:tc>
          <w:tcPr>
            <w:tcW w:w="966" w:type="pct"/>
            <w:tcBorders>
              <w:top w:val="single" w:sz="6" w:space="0" w:color="auto"/>
              <w:left w:val="single" w:sz="4" w:space="0" w:color="auto"/>
              <w:bottom w:val="single" w:sz="6" w:space="0" w:color="auto"/>
              <w:right w:val="single" w:sz="6" w:space="0" w:color="auto"/>
            </w:tcBorders>
          </w:tcPr>
          <w:p w14:paraId="32544C76" w14:textId="77777777" w:rsidR="00C236A2" w:rsidRPr="0013396E" w:rsidRDefault="00C236A2" w:rsidP="0099759E">
            <w:pPr>
              <w:spacing w:after="60"/>
              <w:rPr>
                <w:iCs/>
                <w:sz w:val="20"/>
                <w:lang w:val="pt-BR"/>
              </w:rPr>
            </w:pPr>
            <w:r w:rsidRPr="0013396E">
              <w:rPr>
                <w:iCs/>
                <w:sz w:val="20"/>
                <w:lang w:val="pt-BR"/>
              </w:rPr>
              <w:t>SWMWDC</w:t>
            </w:r>
            <w:r w:rsidRPr="0013396E">
              <w:rPr>
                <w:i/>
                <w:iCs/>
                <w:sz w:val="20"/>
                <w:vertAlign w:val="subscript"/>
              </w:rPr>
              <w:t xml:space="preserve"> q, r, d</w:t>
            </w:r>
          </w:p>
        </w:tc>
        <w:tc>
          <w:tcPr>
            <w:tcW w:w="692" w:type="pct"/>
            <w:tcBorders>
              <w:top w:val="single" w:sz="6" w:space="0" w:color="auto"/>
              <w:left w:val="single" w:sz="6" w:space="0" w:color="auto"/>
              <w:bottom w:val="single" w:sz="6" w:space="0" w:color="auto"/>
              <w:right w:val="single" w:sz="6" w:space="0" w:color="auto"/>
            </w:tcBorders>
          </w:tcPr>
          <w:p w14:paraId="670623F4" w14:textId="77777777" w:rsidR="00C236A2" w:rsidRPr="0013396E" w:rsidRDefault="00C236A2" w:rsidP="0099759E">
            <w:pPr>
              <w:spacing w:after="60"/>
              <w:rPr>
                <w:iCs/>
                <w:sz w:val="20"/>
              </w:rPr>
            </w:pPr>
            <w:r w:rsidRPr="0013396E">
              <w:rPr>
                <w:iCs/>
                <w:sz w:val="20"/>
              </w:rPr>
              <w:t>$</w:t>
            </w:r>
          </w:p>
        </w:tc>
        <w:tc>
          <w:tcPr>
            <w:tcW w:w="3342" w:type="pct"/>
            <w:tcBorders>
              <w:top w:val="single" w:sz="6" w:space="0" w:color="auto"/>
              <w:left w:val="single" w:sz="6" w:space="0" w:color="auto"/>
              <w:bottom w:val="single" w:sz="6" w:space="0" w:color="auto"/>
              <w:right w:val="single" w:sz="4" w:space="0" w:color="auto"/>
            </w:tcBorders>
          </w:tcPr>
          <w:p w14:paraId="719E46B7" w14:textId="77777777" w:rsidR="00C236A2" w:rsidRPr="0013396E" w:rsidRDefault="00C236A2" w:rsidP="0099759E">
            <w:pPr>
              <w:spacing w:after="60"/>
              <w:rPr>
                <w:i/>
                <w:iCs/>
                <w:sz w:val="20"/>
              </w:rPr>
            </w:pPr>
            <w:r w:rsidRPr="0013396E">
              <w:rPr>
                <w:i/>
                <w:iCs/>
                <w:sz w:val="20"/>
              </w:rPr>
              <w:t>Switchable Generator</w:t>
            </w:r>
            <w:r w:rsidRPr="0013396E">
              <w:rPr>
                <w:iCs/>
                <w:sz w:val="20"/>
              </w:rPr>
              <w:t xml:space="preserve"> </w:t>
            </w:r>
            <w:r w:rsidRPr="0013396E">
              <w:rPr>
                <w:i/>
                <w:iCs/>
                <w:sz w:val="20"/>
              </w:rPr>
              <w:t xml:space="preserve">Make-Whole Payment Distribution Cost </w:t>
            </w:r>
            <w:r w:rsidRPr="0013396E">
              <w:rPr>
                <w:iCs/>
                <w:sz w:val="20"/>
              </w:rPr>
              <w:t>—The</w:t>
            </w:r>
            <w:r w:rsidRPr="0013396E" w:rsidDel="00E21E0A">
              <w:rPr>
                <w:iCs/>
                <w:sz w:val="20"/>
              </w:rPr>
              <w:t xml:space="preserve"> </w:t>
            </w:r>
            <w:r w:rsidRPr="0013396E">
              <w:rPr>
                <w:iCs/>
                <w:sz w:val="20"/>
              </w:rPr>
              <w:t>Make-Whole Payment distribution costs</w:t>
            </w:r>
            <w:r w:rsidRPr="0013396E">
              <w:rPr>
                <w:i/>
                <w:iCs/>
                <w:sz w:val="20"/>
              </w:rPr>
              <w:t xml:space="preserve"> </w:t>
            </w:r>
            <w:r w:rsidRPr="0013396E">
              <w:rPr>
                <w:iCs/>
                <w:sz w:val="20"/>
              </w:rPr>
              <w:t xml:space="preserve">for Resource </w:t>
            </w:r>
            <w:r w:rsidRPr="0013396E">
              <w:rPr>
                <w:i/>
                <w:iCs/>
                <w:sz w:val="20"/>
              </w:rPr>
              <w:t xml:space="preserve">r </w:t>
            </w:r>
            <w:r w:rsidRPr="0013396E">
              <w:rPr>
                <w:iCs/>
                <w:sz w:val="20"/>
              </w:rPr>
              <w:t>represented by QSE</w:t>
            </w:r>
            <w:r w:rsidRPr="0013396E">
              <w:rPr>
                <w:i/>
                <w:iCs/>
                <w:sz w:val="20"/>
              </w:rPr>
              <w:t xml:space="preserve"> q </w:t>
            </w:r>
            <w:r w:rsidRPr="0013396E">
              <w:rPr>
                <w:iCs/>
                <w:sz w:val="20"/>
              </w:rPr>
              <w:t xml:space="preserve">for instructed hours, for the Operating Day </w:t>
            </w:r>
            <w:r w:rsidRPr="0013396E">
              <w:rPr>
                <w:i/>
                <w:iCs/>
                <w:sz w:val="20"/>
              </w:rPr>
              <w:t>d</w:t>
            </w:r>
            <w:r w:rsidRPr="0013396E">
              <w:rPr>
                <w:iCs/>
                <w:sz w:val="20"/>
              </w:rPr>
              <w:t xml:space="preserve">.  Where for a Combined Cycle Train, the Resource </w:t>
            </w:r>
            <w:r w:rsidRPr="0013396E">
              <w:rPr>
                <w:i/>
                <w:iCs/>
                <w:sz w:val="20"/>
              </w:rPr>
              <w:t xml:space="preserve">r </w:t>
            </w:r>
            <w:r w:rsidRPr="0013396E">
              <w:rPr>
                <w:iCs/>
                <w:sz w:val="20"/>
              </w:rPr>
              <w:t>is the Combined Cycle Train.  Make-Whole Payment distribution costs represent charges from non-ERCOT Control Area from the time of shutdown in the other grid to two hours following the time ERCOT released the Resource.</w:t>
            </w:r>
          </w:p>
        </w:tc>
      </w:tr>
      <w:tr w:rsidR="00C236A2" w:rsidRPr="0013396E" w14:paraId="3BC57C95" w14:textId="77777777" w:rsidTr="000B7133">
        <w:tc>
          <w:tcPr>
            <w:tcW w:w="966" w:type="pct"/>
            <w:tcBorders>
              <w:top w:val="single" w:sz="6" w:space="0" w:color="auto"/>
              <w:left w:val="single" w:sz="4" w:space="0" w:color="auto"/>
              <w:bottom w:val="single" w:sz="6" w:space="0" w:color="auto"/>
              <w:right w:val="single" w:sz="6" w:space="0" w:color="auto"/>
            </w:tcBorders>
          </w:tcPr>
          <w:p w14:paraId="422D392F" w14:textId="77777777" w:rsidR="00C236A2" w:rsidRPr="0013396E" w:rsidRDefault="00C236A2" w:rsidP="0099759E">
            <w:pPr>
              <w:spacing w:after="60"/>
              <w:rPr>
                <w:iCs/>
                <w:sz w:val="20"/>
              </w:rPr>
            </w:pPr>
            <w:r w:rsidRPr="0013396E">
              <w:rPr>
                <w:iCs/>
                <w:sz w:val="20"/>
                <w:lang w:val="pt-BR"/>
              </w:rPr>
              <w:t>SWRTREV</w:t>
            </w:r>
            <w:r w:rsidRPr="0013396E">
              <w:rPr>
                <w:i/>
                <w:iCs/>
                <w:sz w:val="20"/>
                <w:vertAlign w:val="subscript"/>
                <w:lang w:val="pt-BR"/>
              </w:rPr>
              <w:t xml:space="preserve"> q, r, d</w:t>
            </w:r>
          </w:p>
        </w:tc>
        <w:tc>
          <w:tcPr>
            <w:tcW w:w="692" w:type="pct"/>
            <w:tcBorders>
              <w:top w:val="single" w:sz="6" w:space="0" w:color="auto"/>
              <w:left w:val="single" w:sz="6" w:space="0" w:color="auto"/>
              <w:bottom w:val="single" w:sz="6" w:space="0" w:color="auto"/>
              <w:right w:val="single" w:sz="6" w:space="0" w:color="auto"/>
            </w:tcBorders>
          </w:tcPr>
          <w:p w14:paraId="5BF78FA6" w14:textId="77777777" w:rsidR="00C236A2" w:rsidRPr="0013396E" w:rsidRDefault="00C236A2" w:rsidP="0099759E">
            <w:pPr>
              <w:spacing w:after="60"/>
              <w:rPr>
                <w:iCs/>
                <w:sz w:val="20"/>
              </w:rPr>
            </w:pPr>
            <w:r w:rsidRPr="0013396E">
              <w:rPr>
                <w:iCs/>
                <w:sz w:val="20"/>
              </w:rPr>
              <w:t>$</w:t>
            </w:r>
          </w:p>
        </w:tc>
        <w:tc>
          <w:tcPr>
            <w:tcW w:w="3342" w:type="pct"/>
            <w:tcBorders>
              <w:top w:val="single" w:sz="6" w:space="0" w:color="auto"/>
              <w:left w:val="single" w:sz="6" w:space="0" w:color="auto"/>
              <w:bottom w:val="single" w:sz="6" w:space="0" w:color="auto"/>
              <w:right w:val="single" w:sz="4" w:space="0" w:color="auto"/>
            </w:tcBorders>
          </w:tcPr>
          <w:p w14:paraId="434EA966" w14:textId="77777777" w:rsidR="00C236A2" w:rsidRPr="0013396E" w:rsidRDefault="00C236A2" w:rsidP="0099759E">
            <w:pPr>
              <w:spacing w:after="60"/>
              <w:rPr>
                <w:iCs/>
                <w:sz w:val="20"/>
              </w:rPr>
            </w:pPr>
            <w:r w:rsidRPr="0013396E">
              <w:rPr>
                <w:i/>
                <w:iCs/>
                <w:sz w:val="20"/>
              </w:rPr>
              <w:t xml:space="preserve">Switchable Generation Real-Time Revenues – </w:t>
            </w:r>
            <w:r w:rsidRPr="0013396E">
              <w:rPr>
                <w:iCs/>
                <w:sz w:val="20"/>
              </w:rPr>
              <w:t xml:space="preserve">The sum of energy revenues for the Resource </w:t>
            </w:r>
            <w:r w:rsidRPr="0013396E">
              <w:rPr>
                <w:i/>
                <w:iCs/>
                <w:sz w:val="20"/>
              </w:rPr>
              <w:t xml:space="preserve">r, </w:t>
            </w:r>
            <w:r w:rsidRPr="0013396E">
              <w:rPr>
                <w:iCs/>
                <w:sz w:val="20"/>
              </w:rPr>
              <w:t xml:space="preserve">represented by QSE </w:t>
            </w:r>
            <w:r w:rsidRPr="0013396E">
              <w:rPr>
                <w:i/>
                <w:iCs/>
                <w:sz w:val="20"/>
              </w:rPr>
              <w:t xml:space="preserve">q, </w:t>
            </w:r>
            <w:r w:rsidRPr="0013396E">
              <w:rPr>
                <w:iCs/>
                <w:sz w:val="20"/>
              </w:rPr>
              <w:t xml:space="preserve">during all instructed hours for the Operating Day </w:t>
            </w:r>
            <w:r w:rsidRPr="0013396E">
              <w:rPr>
                <w:i/>
                <w:iCs/>
                <w:sz w:val="20"/>
              </w:rPr>
              <w:t xml:space="preserve">d. </w:t>
            </w:r>
            <w:r w:rsidRPr="0013396E">
              <w:rPr>
                <w:iCs/>
                <w:sz w:val="20"/>
              </w:rPr>
              <w:t xml:space="preserve"> Where for a Combined Cycle Train, Resource</w:t>
            </w:r>
            <w:r w:rsidRPr="0013396E">
              <w:rPr>
                <w:i/>
                <w:iCs/>
                <w:sz w:val="20"/>
              </w:rPr>
              <w:t xml:space="preserve"> r </w:t>
            </w:r>
            <w:r w:rsidRPr="0013396E">
              <w:rPr>
                <w:iCs/>
                <w:sz w:val="20"/>
              </w:rPr>
              <w:t>is the Combined Cycle Train.</w:t>
            </w:r>
          </w:p>
        </w:tc>
      </w:tr>
      <w:tr w:rsidR="00C236A2" w:rsidRPr="0013396E" w14:paraId="64865AEF" w14:textId="77777777" w:rsidTr="000B7133">
        <w:tc>
          <w:tcPr>
            <w:tcW w:w="966" w:type="pct"/>
            <w:tcBorders>
              <w:top w:val="single" w:sz="6" w:space="0" w:color="auto"/>
              <w:left w:val="single" w:sz="4" w:space="0" w:color="auto"/>
              <w:bottom w:val="single" w:sz="6" w:space="0" w:color="auto"/>
              <w:right w:val="single" w:sz="6" w:space="0" w:color="auto"/>
            </w:tcBorders>
          </w:tcPr>
          <w:p w14:paraId="22492165" w14:textId="77777777" w:rsidR="00C236A2" w:rsidRPr="0013396E" w:rsidRDefault="00C236A2" w:rsidP="0099759E">
            <w:pPr>
              <w:spacing w:after="60"/>
              <w:rPr>
                <w:iCs/>
                <w:sz w:val="20"/>
              </w:rPr>
            </w:pPr>
            <w:r w:rsidRPr="0013396E">
              <w:rPr>
                <w:iCs/>
                <w:sz w:val="20"/>
              </w:rPr>
              <w:t xml:space="preserve">GASPERSU </w:t>
            </w:r>
            <w:r w:rsidRPr="0013396E">
              <w:rPr>
                <w:i/>
                <w:iCs/>
                <w:sz w:val="20"/>
                <w:vertAlign w:val="subscript"/>
              </w:rPr>
              <w:t>r, s</w:t>
            </w:r>
          </w:p>
        </w:tc>
        <w:tc>
          <w:tcPr>
            <w:tcW w:w="692" w:type="pct"/>
            <w:tcBorders>
              <w:top w:val="single" w:sz="6" w:space="0" w:color="auto"/>
              <w:left w:val="single" w:sz="6" w:space="0" w:color="auto"/>
              <w:bottom w:val="single" w:sz="6" w:space="0" w:color="auto"/>
              <w:right w:val="single" w:sz="6" w:space="0" w:color="auto"/>
            </w:tcBorders>
          </w:tcPr>
          <w:p w14:paraId="6A92DB2F" w14:textId="77777777" w:rsidR="00C236A2" w:rsidRPr="0013396E" w:rsidRDefault="00C236A2" w:rsidP="0099759E">
            <w:pPr>
              <w:spacing w:after="60"/>
              <w:rPr>
                <w:iCs/>
                <w:sz w:val="20"/>
              </w:rPr>
            </w:pPr>
            <w:r w:rsidRPr="0013396E">
              <w:rPr>
                <w:iCs/>
                <w:sz w:val="20"/>
              </w:rPr>
              <w:t>none</w:t>
            </w:r>
          </w:p>
        </w:tc>
        <w:tc>
          <w:tcPr>
            <w:tcW w:w="3342" w:type="pct"/>
            <w:tcBorders>
              <w:top w:val="single" w:sz="6" w:space="0" w:color="auto"/>
              <w:left w:val="single" w:sz="6" w:space="0" w:color="auto"/>
              <w:bottom w:val="single" w:sz="6" w:space="0" w:color="auto"/>
              <w:right w:val="single" w:sz="4" w:space="0" w:color="auto"/>
            </w:tcBorders>
          </w:tcPr>
          <w:p w14:paraId="1EEF7C75" w14:textId="77777777" w:rsidR="00C236A2" w:rsidRPr="0013396E" w:rsidRDefault="00C236A2" w:rsidP="0099759E">
            <w:pPr>
              <w:spacing w:after="60"/>
              <w:rPr>
                <w:i/>
                <w:iCs/>
                <w:sz w:val="20"/>
              </w:rPr>
            </w:pPr>
            <w:r w:rsidRPr="0013396E">
              <w:rPr>
                <w:i/>
                <w:iCs/>
                <w:sz w:val="20"/>
              </w:rPr>
              <w:t>Percent of Natural Gas to Operate per Start</w:t>
            </w:r>
            <w:r w:rsidRPr="0013396E">
              <w:rPr>
                <w:iCs/>
                <w:sz w:val="20"/>
              </w:rPr>
              <w:t xml:space="preserve">—The percentage of natural gas used by Resource </w:t>
            </w:r>
            <w:r w:rsidRPr="0013396E">
              <w:rPr>
                <w:i/>
                <w:iCs/>
                <w:sz w:val="20"/>
              </w:rPr>
              <w:t>r</w:t>
            </w:r>
            <w:r w:rsidRPr="0013396E">
              <w:rPr>
                <w:iCs/>
                <w:sz w:val="20"/>
              </w:rPr>
              <w:t xml:space="preserve"> to operate per start </w:t>
            </w:r>
            <w:r w:rsidRPr="0013396E">
              <w:rPr>
                <w:i/>
                <w:iCs/>
                <w:sz w:val="20"/>
              </w:rPr>
              <w:t>s</w:t>
            </w:r>
            <w:r w:rsidRPr="0013396E">
              <w:rPr>
                <w:iCs/>
                <w:sz w:val="20"/>
              </w:rPr>
              <w:t xml:space="preserve">, as approved in the verifiable cost process.  Where for a Combined Cycle Train, the Resource </w:t>
            </w:r>
            <w:r w:rsidRPr="0013396E">
              <w:rPr>
                <w:i/>
                <w:iCs/>
                <w:sz w:val="20"/>
              </w:rPr>
              <w:t>r</w:t>
            </w:r>
            <w:r w:rsidRPr="0013396E">
              <w:rPr>
                <w:iCs/>
                <w:sz w:val="20"/>
              </w:rPr>
              <w:t xml:space="preserve"> is a Combined Cycle Generation Resource within the Combined Cycle Train.</w:t>
            </w:r>
          </w:p>
        </w:tc>
      </w:tr>
      <w:tr w:rsidR="00C236A2" w:rsidRPr="0013396E" w14:paraId="4ABFE80C" w14:textId="77777777" w:rsidTr="000B7133">
        <w:tc>
          <w:tcPr>
            <w:tcW w:w="966" w:type="pct"/>
            <w:tcBorders>
              <w:top w:val="single" w:sz="6" w:space="0" w:color="auto"/>
              <w:left w:val="single" w:sz="4" w:space="0" w:color="auto"/>
              <w:bottom w:val="single" w:sz="6" w:space="0" w:color="auto"/>
              <w:right w:val="single" w:sz="6" w:space="0" w:color="auto"/>
            </w:tcBorders>
          </w:tcPr>
          <w:p w14:paraId="115B7924" w14:textId="77777777" w:rsidR="00C236A2" w:rsidRPr="0013396E" w:rsidRDefault="00C236A2" w:rsidP="0099759E">
            <w:pPr>
              <w:spacing w:after="60"/>
              <w:rPr>
                <w:iCs/>
                <w:sz w:val="20"/>
              </w:rPr>
            </w:pPr>
            <w:r w:rsidRPr="0013396E">
              <w:rPr>
                <w:iCs/>
                <w:sz w:val="20"/>
              </w:rPr>
              <w:t xml:space="preserve">OILPERSU </w:t>
            </w:r>
            <w:r w:rsidRPr="0013396E">
              <w:rPr>
                <w:i/>
                <w:iCs/>
                <w:sz w:val="20"/>
                <w:vertAlign w:val="subscript"/>
              </w:rPr>
              <w:t>r, s</w:t>
            </w:r>
          </w:p>
        </w:tc>
        <w:tc>
          <w:tcPr>
            <w:tcW w:w="692" w:type="pct"/>
            <w:tcBorders>
              <w:top w:val="single" w:sz="6" w:space="0" w:color="auto"/>
              <w:left w:val="single" w:sz="6" w:space="0" w:color="auto"/>
              <w:bottom w:val="single" w:sz="6" w:space="0" w:color="auto"/>
              <w:right w:val="single" w:sz="6" w:space="0" w:color="auto"/>
            </w:tcBorders>
          </w:tcPr>
          <w:p w14:paraId="7D430648" w14:textId="77777777" w:rsidR="00C236A2" w:rsidRPr="0013396E" w:rsidRDefault="00C236A2" w:rsidP="0099759E">
            <w:pPr>
              <w:spacing w:after="60"/>
              <w:rPr>
                <w:iCs/>
                <w:sz w:val="20"/>
              </w:rPr>
            </w:pPr>
            <w:r w:rsidRPr="0013396E">
              <w:rPr>
                <w:iCs/>
                <w:sz w:val="20"/>
              </w:rPr>
              <w:t>none</w:t>
            </w:r>
          </w:p>
        </w:tc>
        <w:tc>
          <w:tcPr>
            <w:tcW w:w="3342" w:type="pct"/>
            <w:tcBorders>
              <w:top w:val="single" w:sz="6" w:space="0" w:color="auto"/>
              <w:left w:val="single" w:sz="6" w:space="0" w:color="auto"/>
              <w:bottom w:val="single" w:sz="6" w:space="0" w:color="auto"/>
              <w:right w:val="single" w:sz="4" w:space="0" w:color="auto"/>
            </w:tcBorders>
          </w:tcPr>
          <w:p w14:paraId="0F54FECE" w14:textId="77777777" w:rsidR="00C236A2" w:rsidRPr="0013396E" w:rsidRDefault="00C236A2" w:rsidP="0099759E">
            <w:pPr>
              <w:spacing w:after="60"/>
              <w:rPr>
                <w:i/>
                <w:iCs/>
                <w:sz w:val="20"/>
              </w:rPr>
            </w:pPr>
            <w:r w:rsidRPr="0013396E">
              <w:rPr>
                <w:i/>
                <w:iCs/>
                <w:sz w:val="20"/>
              </w:rPr>
              <w:t>Percent of Oil to Operate per Start</w:t>
            </w:r>
            <w:r w:rsidRPr="0013396E">
              <w:rPr>
                <w:iCs/>
                <w:sz w:val="20"/>
              </w:rPr>
              <w:t xml:space="preserve">—The percentage of fuel oil used by Resource </w:t>
            </w:r>
            <w:r w:rsidRPr="0013396E">
              <w:rPr>
                <w:i/>
                <w:iCs/>
                <w:sz w:val="20"/>
              </w:rPr>
              <w:t>r</w:t>
            </w:r>
            <w:r w:rsidRPr="0013396E">
              <w:rPr>
                <w:iCs/>
                <w:sz w:val="20"/>
              </w:rPr>
              <w:t xml:space="preserve"> to operate per start </w:t>
            </w:r>
            <w:r w:rsidRPr="0013396E">
              <w:rPr>
                <w:i/>
                <w:iCs/>
                <w:sz w:val="20"/>
              </w:rPr>
              <w:t>s</w:t>
            </w:r>
            <w:r w:rsidRPr="0013396E">
              <w:rPr>
                <w:iCs/>
                <w:sz w:val="20"/>
              </w:rPr>
              <w:t xml:space="preserve">, as approved in the verifiable cost process.  Where for a Combined Cycle Train, the Resource </w:t>
            </w:r>
            <w:r w:rsidRPr="0013396E">
              <w:rPr>
                <w:i/>
                <w:iCs/>
                <w:sz w:val="20"/>
              </w:rPr>
              <w:t>r</w:t>
            </w:r>
            <w:r w:rsidRPr="0013396E">
              <w:rPr>
                <w:iCs/>
                <w:sz w:val="20"/>
              </w:rPr>
              <w:t xml:space="preserve"> is a Combined Cycle Generation Resource within the Combined Cycle Train.</w:t>
            </w:r>
          </w:p>
        </w:tc>
      </w:tr>
      <w:tr w:rsidR="00C236A2" w:rsidRPr="0013396E" w14:paraId="78ECC37F" w14:textId="77777777" w:rsidTr="000B7133">
        <w:tc>
          <w:tcPr>
            <w:tcW w:w="966" w:type="pct"/>
            <w:tcBorders>
              <w:top w:val="single" w:sz="6" w:space="0" w:color="auto"/>
              <w:left w:val="single" w:sz="4" w:space="0" w:color="auto"/>
              <w:bottom w:val="single" w:sz="6" w:space="0" w:color="auto"/>
              <w:right w:val="single" w:sz="6" w:space="0" w:color="auto"/>
            </w:tcBorders>
          </w:tcPr>
          <w:p w14:paraId="3F35EB94" w14:textId="77777777" w:rsidR="00C236A2" w:rsidRPr="0013396E" w:rsidRDefault="00C236A2" w:rsidP="0099759E">
            <w:pPr>
              <w:spacing w:after="60"/>
              <w:rPr>
                <w:iCs/>
                <w:sz w:val="20"/>
              </w:rPr>
            </w:pPr>
            <w:r w:rsidRPr="0013396E">
              <w:rPr>
                <w:iCs/>
                <w:sz w:val="20"/>
              </w:rPr>
              <w:t xml:space="preserve">SFPERSU </w:t>
            </w:r>
            <w:r w:rsidRPr="0013396E">
              <w:rPr>
                <w:i/>
                <w:iCs/>
                <w:sz w:val="20"/>
                <w:vertAlign w:val="subscript"/>
              </w:rPr>
              <w:t>r, s</w:t>
            </w:r>
          </w:p>
        </w:tc>
        <w:tc>
          <w:tcPr>
            <w:tcW w:w="692" w:type="pct"/>
            <w:tcBorders>
              <w:top w:val="single" w:sz="6" w:space="0" w:color="auto"/>
              <w:left w:val="single" w:sz="6" w:space="0" w:color="auto"/>
              <w:bottom w:val="single" w:sz="6" w:space="0" w:color="auto"/>
              <w:right w:val="single" w:sz="6" w:space="0" w:color="auto"/>
            </w:tcBorders>
          </w:tcPr>
          <w:p w14:paraId="129B50BB" w14:textId="77777777" w:rsidR="00C236A2" w:rsidRPr="0013396E" w:rsidRDefault="00C236A2" w:rsidP="0099759E">
            <w:pPr>
              <w:spacing w:after="60"/>
              <w:rPr>
                <w:iCs/>
                <w:sz w:val="20"/>
              </w:rPr>
            </w:pPr>
            <w:r w:rsidRPr="0013396E">
              <w:rPr>
                <w:iCs/>
                <w:sz w:val="20"/>
              </w:rPr>
              <w:t>none</w:t>
            </w:r>
          </w:p>
        </w:tc>
        <w:tc>
          <w:tcPr>
            <w:tcW w:w="3342" w:type="pct"/>
            <w:tcBorders>
              <w:top w:val="single" w:sz="6" w:space="0" w:color="auto"/>
              <w:left w:val="single" w:sz="6" w:space="0" w:color="auto"/>
              <w:bottom w:val="single" w:sz="6" w:space="0" w:color="auto"/>
              <w:right w:val="single" w:sz="4" w:space="0" w:color="auto"/>
            </w:tcBorders>
          </w:tcPr>
          <w:p w14:paraId="6B74BFBE" w14:textId="77777777" w:rsidR="00C236A2" w:rsidRPr="0013396E" w:rsidRDefault="00C236A2" w:rsidP="0099759E">
            <w:pPr>
              <w:spacing w:after="60"/>
              <w:rPr>
                <w:i/>
                <w:iCs/>
                <w:sz w:val="20"/>
              </w:rPr>
            </w:pPr>
            <w:r w:rsidRPr="0013396E">
              <w:rPr>
                <w:i/>
                <w:iCs/>
                <w:sz w:val="20"/>
              </w:rPr>
              <w:t>Percent of Solid Fuel to Operate per Start</w:t>
            </w:r>
            <w:r w:rsidRPr="0013396E">
              <w:rPr>
                <w:iCs/>
                <w:sz w:val="20"/>
              </w:rPr>
              <w:t xml:space="preserve">—The percentage of solid fuel used by Resource </w:t>
            </w:r>
            <w:r w:rsidRPr="0013396E">
              <w:rPr>
                <w:i/>
                <w:iCs/>
                <w:sz w:val="20"/>
              </w:rPr>
              <w:t>r</w:t>
            </w:r>
            <w:r w:rsidRPr="0013396E">
              <w:rPr>
                <w:iCs/>
                <w:sz w:val="20"/>
              </w:rPr>
              <w:t xml:space="preserve"> to operate per start </w:t>
            </w:r>
            <w:r w:rsidRPr="0013396E">
              <w:rPr>
                <w:i/>
                <w:iCs/>
                <w:sz w:val="20"/>
              </w:rPr>
              <w:t>s</w:t>
            </w:r>
            <w:r w:rsidRPr="0013396E">
              <w:rPr>
                <w:iCs/>
                <w:sz w:val="20"/>
              </w:rPr>
              <w:t xml:space="preserve">, as approved in the verifiable cost process.  Where for a Combined Cycle Train, the Resource </w:t>
            </w:r>
            <w:r w:rsidRPr="0013396E">
              <w:rPr>
                <w:i/>
                <w:iCs/>
                <w:sz w:val="20"/>
              </w:rPr>
              <w:t>r</w:t>
            </w:r>
            <w:r w:rsidRPr="0013396E">
              <w:rPr>
                <w:iCs/>
                <w:sz w:val="20"/>
              </w:rPr>
              <w:t xml:space="preserve"> is a Combined Cycle Generation Resource within the Combined Cycle Train.</w:t>
            </w:r>
          </w:p>
        </w:tc>
      </w:tr>
      <w:tr w:rsidR="00C236A2" w:rsidRPr="0013396E" w14:paraId="20CC8A60" w14:textId="77777777" w:rsidTr="000B7133">
        <w:tc>
          <w:tcPr>
            <w:tcW w:w="966" w:type="pct"/>
            <w:tcBorders>
              <w:top w:val="single" w:sz="6" w:space="0" w:color="auto"/>
              <w:left w:val="single" w:sz="4" w:space="0" w:color="auto"/>
              <w:bottom w:val="single" w:sz="6" w:space="0" w:color="auto"/>
              <w:right w:val="single" w:sz="6" w:space="0" w:color="auto"/>
            </w:tcBorders>
          </w:tcPr>
          <w:p w14:paraId="2E14D97F" w14:textId="77777777" w:rsidR="00C236A2" w:rsidRPr="0013396E" w:rsidRDefault="00C236A2" w:rsidP="0099759E">
            <w:pPr>
              <w:spacing w:after="60"/>
              <w:rPr>
                <w:iCs/>
                <w:sz w:val="20"/>
              </w:rPr>
            </w:pPr>
            <w:r w:rsidRPr="0013396E">
              <w:rPr>
                <w:iCs/>
                <w:sz w:val="20"/>
              </w:rPr>
              <w:t xml:space="preserve">GASPERME </w:t>
            </w:r>
            <w:r w:rsidRPr="0013396E">
              <w:rPr>
                <w:i/>
                <w:iCs/>
                <w:sz w:val="20"/>
                <w:vertAlign w:val="subscript"/>
              </w:rPr>
              <w:t>r</w:t>
            </w:r>
          </w:p>
        </w:tc>
        <w:tc>
          <w:tcPr>
            <w:tcW w:w="692" w:type="pct"/>
            <w:tcBorders>
              <w:top w:val="single" w:sz="6" w:space="0" w:color="auto"/>
              <w:left w:val="single" w:sz="6" w:space="0" w:color="auto"/>
              <w:bottom w:val="single" w:sz="6" w:space="0" w:color="auto"/>
              <w:right w:val="single" w:sz="6" w:space="0" w:color="auto"/>
            </w:tcBorders>
          </w:tcPr>
          <w:p w14:paraId="70E8A870" w14:textId="77777777" w:rsidR="00C236A2" w:rsidRPr="0013396E" w:rsidRDefault="00C236A2" w:rsidP="0099759E">
            <w:pPr>
              <w:spacing w:after="60"/>
              <w:rPr>
                <w:iCs/>
                <w:sz w:val="20"/>
              </w:rPr>
            </w:pPr>
            <w:r w:rsidRPr="0013396E">
              <w:rPr>
                <w:iCs/>
                <w:sz w:val="20"/>
              </w:rPr>
              <w:t>None</w:t>
            </w:r>
          </w:p>
        </w:tc>
        <w:tc>
          <w:tcPr>
            <w:tcW w:w="3342" w:type="pct"/>
            <w:tcBorders>
              <w:top w:val="single" w:sz="6" w:space="0" w:color="auto"/>
              <w:left w:val="single" w:sz="6" w:space="0" w:color="auto"/>
              <w:bottom w:val="single" w:sz="6" w:space="0" w:color="auto"/>
              <w:right w:val="single" w:sz="4" w:space="0" w:color="auto"/>
            </w:tcBorders>
          </w:tcPr>
          <w:p w14:paraId="2892BF95" w14:textId="77777777" w:rsidR="00C236A2" w:rsidRPr="0013396E" w:rsidRDefault="00C236A2" w:rsidP="0099759E">
            <w:pPr>
              <w:spacing w:after="60"/>
              <w:rPr>
                <w:iCs/>
                <w:sz w:val="20"/>
              </w:rPr>
            </w:pPr>
            <w:r w:rsidRPr="0013396E">
              <w:rPr>
                <w:i/>
                <w:iCs/>
                <w:sz w:val="20"/>
              </w:rPr>
              <w:t>Percent of Natural Gas to Operate at LSL</w:t>
            </w:r>
            <w:r w:rsidRPr="0013396E">
              <w:rPr>
                <w:iCs/>
                <w:sz w:val="20"/>
              </w:rPr>
              <w:t xml:space="preserve">—The percentage of natural gas used by Resource </w:t>
            </w:r>
            <w:r w:rsidRPr="0013396E">
              <w:rPr>
                <w:i/>
                <w:iCs/>
                <w:sz w:val="20"/>
              </w:rPr>
              <w:t>r</w:t>
            </w:r>
            <w:r w:rsidRPr="0013396E">
              <w:rPr>
                <w:iCs/>
                <w:sz w:val="20"/>
              </w:rPr>
              <w:t xml:space="preserve"> to operate at LSL, as approved in the verifiable cost process.  Where for a Combined Cycle Train, the Resource </w:t>
            </w:r>
            <w:r w:rsidRPr="0013396E">
              <w:rPr>
                <w:i/>
                <w:iCs/>
                <w:sz w:val="20"/>
              </w:rPr>
              <w:t>r</w:t>
            </w:r>
            <w:r w:rsidRPr="0013396E">
              <w:rPr>
                <w:iCs/>
                <w:sz w:val="20"/>
              </w:rPr>
              <w:t xml:space="preserve"> is a Combined Cycle Generation Resource within the Combined Cycle Train.</w:t>
            </w:r>
          </w:p>
        </w:tc>
      </w:tr>
      <w:tr w:rsidR="00C236A2" w:rsidRPr="0013396E" w14:paraId="496068B2" w14:textId="77777777" w:rsidTr="000B7133">
        <w:tc>
          <w:tcPr>
            <w:tcW w:w="966" w:type="pct"/>
            <w:tcBorders>
              <w:top w:val="single" w:sz="6" w:space="0" w:color="auto"/>
              <w:left w:val="single" w:sz="4" w:space="0" w:color="auto"/>
              <w:bottom w:val="single" w:sz="6" w:space="0" w:color="auto"/>
              <w:right w:val="single" w:sz="6" w:space="0" w:color="auto"/>
            </w:tcBorders>
          </w:tcPr>
          <w:p w14:paraId="61E55725" w14:textId="77777777" w:rsidR="00C236A2" w:rsidRPr="0013396E" w:rsidRDefault="00C236A2" w:rsidP="0099759E">
            <w:pPr>
              <w:spacing w:after="60"/>
              <w:rPr>
                <w:iCs/>
                <w:sz w:val="20"/>
              </w:rPr>
            </w:pPr>
            <w:r w:rsidRPr="0013396E">
              <w:rPr>
                <w:iCs/>
                <w:sz w:val="20"/>
              </w:rPr>
              <w:t xml:space="preserve">OILPERME </w:t>
            </w:r>
            <w:r w:rsidRPr="0013396E">
              <w:rPr>
                <w:i/>
                <w:iCs/>
                <w:sz w:val="20"/>
                <w:vertAlign w:val="subscript"/>
              </w:rPr>
              <w:t>r</w:t>
            </w:r>
          </w:p>
        </w:tc>
        <w:tc>
          <w:tcPr>
            <w:tcW w:w="692" w:type="pct"/>
            <w:tcBorders>
              <w:top w:val="single" w:sz="6" w:space="0" w:color="auto"/>
              <w:left w:val="single" w:sz="6" w:space="0" w:color="auto"/>
              <w:bottom w:val="single" w:sz="6" w:space="0" w:color="auto"/>
              <w:right w:val="single" w:sz="6" w:space="0" w:color="auto"/>
            </w:tcBorders>
          </w:tcPr>
          <w:p w14:paraId="364D1137" w14:textId="77777777" w:rsidR="00C236A2" w:rsidRPr="0013396E" w:rsidRDefault="00C236A2" w:rsidP="0099759E">
            <w:pPr>
              <w:spacing w:after="60"/>
              <w:rPr>
                <w:iCs/>
                <w:sz w:val="20"/>
              </w:rPr>
            </w:pPr>
            <w:r w:rsidRPr="0013396E">
              <w:rPr>
                <w:iCs/>
                <w:sz w:val="20"/>
              </w:rPr>
              <w:t>None</w:t>
            </w:r>
          </w:p>
        </w:tc>
        <w:tc>
          <w:tcPr>
            <w:tcW w:w="3342" w:type="pct"/>
            <w:tcBorders>
              <w:top w:val="single" w:sz="6" w:space="0" w:color="auto"/>
              <w:left w:val="single" w:sz="6" w:space="0" w:color="auto"/>
              <w:bottom w:val="single" w:sz="6" w:space="0" w:color="auto"/>
              <w:right w:val="single" w:sz="4" w:space="0" w:color="auto"/>
            </w:tcBorders>
          </w:tcPr>
          <w:p w14:paraId="459A3E9A" w14:textId="77777777" w:rsidR="00C236A2" w:rsidRPr="0013396E" w:rsidRDefault="00C236A2" w:rsidP="0099759E">
            <w:pPr>
              <w:spacing w:after="60"/>
              <w:rPr>
                <w:iCs/>
                <w:sz w:val="20"/>
              </w:rPr>
            </w:pPr>
            <w:r w:rsidRPr="0013396E">
              <w:rPr>
                <w:i/>
                <w:iCs/>
                <w:sz w:val="20"/>
              </w:rPr>
              <w:t>Percent of Oil to Operate at LSL</w:t>
            </w:r>
            <w:r w:rsidRPr="0013396E">
              <w:rPr>
                <w:iCs/>
                <w:sz w:val="20"/>
              </w:rPr>
              <w:t xml:space="preserve">—The percentage of fuel oil used by Resource </w:t>
            </w:r>
            <w:r w:rsidRPr="0013396E">
              <w:rPr>
                <w:i/>
                <w:iCs/>
                <w:sz w:val="20"/>
              </w:rPr>
              <w:t>r</w:t>
            </w:r>
            <w:r w:rsidRPr="0013396E">
              <w:rPr>
                <w:iCs/>
                <w:sz w:val="20"/>
              </w:rPr>
              <w:t xml:space="preserve"> to operate at LSL, as approved in the verifiable cost process.  Where for a Combined Cycle Train, the Resource </w:t>
            </w:r>
            <w:r w:rsidRPr="0013396E">
              <w:rPr>
                <w:i/>
                <w:iCs/>
                <w:sz w:val="20"/>
              </w:rPr>
              <w:t>r</w:t>
            </w:r>
            <w:r w:rsidRPr="0013396E">
              <w:rPr>
                <w:iCs/>
                <w:sz w:val="20"/>
              </w:rPr>
              <w:t xml:space="preserve"> is a Combined Cycle Generation Resource within the Combined Cycle Train.</w:t>
            </w:r>
          </w:p>
        </w:tc>
      </w:tr>
      <w:tr w:rsidR="00C236A2" w:rsidRPr="0013396E" w14:paraId="374C322F" w14:textId="77777777" w:rsidTr="000B7133">
        <w:tc>
          <w:tcPr>
            <w:tcW w:w="966" w:type="pct"/>
            <w:tcBorders>
              <w:top w:val="single" w:sz="6" w:space="0" w:color="auto"/>
              <w:left w:val="single" w:sz="4" w:space="0" w:color="auto"/>
              <w:bottom w:val="single" w:sz="6" w:space="0" w:color="auto"/>
              <w:right w:val="single" w:sz="6" w:space="0" w:color="auto"/>
            </w:tcBorders>
          </w:tcPr>
          <w:p w14:paraId="129D4AD6" w14:textId="77777777" w:rsidR="00C236A2" w:rsidRPr="0013396E" w:rsidRDefault="00C236A2" w:rsidP="0099759E">
            <w:pPr>
              <w:spacing w:after="60"/>
              <w:rPr>
                <w:iCs/>
                <w:sz w:val="20"/>
              </w:rPr>
            </w:pPr>
            <w:r w:rsidRPr="0013396E">
              <w:rPr>
                <w:iCs/>
                <w:sz w:val="20"/>
              </w:rPr>
              <w:t xml:space="preserve">SFPERME </w:t>
            </w:r>
            <w:r w:rsidRPr="0013396E">
              <w:rPr>
                <w:i/>
                <w:iCs/>
                <w:sz w:val="20"/>
                <w:vertAlign w:val="subscript"/>
              </w:rPr>
              <w:t>r</w:t>
            </w:r>
          </w:p>
        </w:tc>
        <w:tc>
          <w:tcPr>
            <w:tcW w:w="692" w:type="pct"/>
            <w:tcBorders>
              <w:top w:val="single" w:sz="6" w:space="0" w:color="auto"/>
              <w:left w:val="single" w:sz="6" w:space="0" w:color="auto"/>
              <w:bottom w:val="single" w:sz="6" w:space="0" w:color="auto"/>
              <w:right w:val="single" w:sz="6" w:space="0" w:color="auto"/>
            </w:tcBorders>
          </w:tcPr>
          <w:p w14:paraId="374CA2DF" w14:textId="77777777" w:rsidR="00C236A2" w:rsidRPr="0013396E" w:rsidRDefault="00C236A2" w:rsidP="0099759E">
            <w:pPr>
              <w:spacing w:after="60"/>
              <w:rPr>
                <w:iCs/>
                <w:sz w:val="20"/>
              </w:rPr>
            </w:pPr>
            <w:r w:rsidRPr="0013396E">
              <w:rPr>
                <w:iCs/>
                <w:sz w:val="20"/>
              </w:rPr>
              <w:t xml:space="preserve">None </w:t>
            </w:r>
          </w:p>
        </w:tc>
        <w:tc>
          <w:tcPr>
            <w:tcW w:w="3342" w:type="pct"/>
            <w:tcBorders>
              <w:top w:val="single" w:sz="6" w:space="0" w:color="auto"/>
              <w:left w:val="single" w:sz="6" w:space="0" w:color="auto"/>
              <w:bottom w:val="single" w:sz="6" w:space="0" w:color="auto"/>
              <w:right w:val="single" w:sz="4" w:space="0" w:color="auto"/>
            </w:tcBorders>
          </w:tcPr>
          <w:p w14:paraId="12112885" w14:textId="77777777" w:rsidR="00C236A2" w:rsidRPr="0013396E" w:rsidRDefault="00C236A2" w:rsidP="0099759E">
            <w:pPr>
              <w:spacing w:after="60"/>
              <w:rPr>
                <w:iCs/>
                <w:sz w:val="20"/>
              </w:rPr>
            </w:pPr>
            <w:r w:rsidRPr="0013396E">
              <w:rPr>
                <w:i/>
                <w:iCs/>
                <w:sz w:val="20"/>
              </w:rPr>
              <w:t>Percent of Solid Fuel to Operate at LSL</w:t>
            </w:r>
            <w:r w:rsidRPr="0013396E">
              <w:rPr>
                <w:iCs/>
                <w:sz w:val="20"/>
              </w:rPr>
              <w:t xml:space="preserve">—The percentage of solid fuel used by Resource </w:t>
            </w:r>
            <w:r w:rsidRPr="0013396E">
              <w:rPr>
                <w:i/>
                <w:iCs/>
                <w:sz w:val="20"/>
              </w:rPr>
              <w:t>r</w:t>
            </w:r>
            <w:r w:rsidRPr="0013396E">
              <w:rPr>
                <w:iCs/>
                <w:sz w:val="20"/>
              </w:rPr>
              <w:t xml:space="preserve"> to operate at LSL, as approved in the verifiable cost process.  Where for a Combined Cycle Train, the Resource </w:t>
            </w:r>
            <w:r w:rsidRPr="0013396E">
              <w:rPr>
                <w:i/>
                <w:iCs/>
                <w:sz w:val="20"/>
              </w:rPr>
              <w:t>r</w:t>
            </w:r>
            <w:r w:rsidRPr="0013396E">
              <w:rPr>
                <w:iCs/>
                <w:sz w:val="20"/>
              </w:rPr>
              <w:t xml:space="preserve"> is a Combined Cycle Generation Resource within the Combined Cycle Train.</w:t>
            </w:r>
          </w:p>
        </w:tc>
      </w:tr>
      <w:tr w:rsidR="00C236A2" w:rsidRPr="0013396E" w14:paraId="77915F37" w14:textId="77777777" w:rsidTr="000B7133">
        <w:tc>
          <w:tcPr>
            <w:tcW w:w="966" w:type="pct"/>
            <w:tcBorders>
              <w:top w:val="single" w:sz="6" w:space="0" w:color="auto"/>
              <w:left w:val="single" w:sz="4" w:space="0" w:color="auto"/>
              <w:bottom w:val="single" w:sz="6" w:space="0" w:color="auto"/>
              <w:right w:val="single" w:sz="6" w:space="0" w:color="auto"/>
            </w:tcBorders>
          </w:tcPr>
          <w:p w14:paraId="012E13F0" w14:textId="77777777" w:rsidR="00C236A2" w:rsidRPr="0013396E" w:rsidRDefault="00C236A2" w:rsidP="0099759E">
            <w:pPr>
              <w:spacing w:after="60"/>
              <w:rPr>
                <w:iCs/>
                <w:sz w:val="20"/>
              </w:rPr>
            </w:pPr>
            <w:r w:rsidRPr="0013396E">
              <w:rPr>
                <w:iCs/>
                <w:sz w:val="20"/>
              </w:rPr>
              <w:t xml:space="preserve">DAFCRS </w:t>
            </w:r>
            <w:r w:rsidRPr="0013396E">
              <w:rPr>
                <w:i/>
                <w:iCs/>
                <w:sz w:val="20"/>
                <w:vertAlign w:val="subscript"/>
              </w:rPr>
              <w:t>r, s</w:t>
            </w:r>
          </w:p>
        </w:tc>
        <w:tc>
          <w:tcPr>
            <w:tcW w:w="692" w:type="pct"/>
            <w:tcBorders>
              <w:top w:val="single" w:sz="6" w:space="0" w:color="auto"/>
              <w:left w:val="single" w:sz="6" w:space="0" w:color="auto"/>
              <w:bottom w:val="single" w:sz="6" w:space="0" w:color="auto"/>
              <w:right w:val="single" w:sz="6" w:space="0" w:color="auto"/>
            </w:tcBorders>
          </w:tcPr>
          <w:p w14:paraId="5FBF9003" w14:textId="77777777" w:rsidR="00C236A2" w:rsidRPr="0013396E" w:rsidRDefault="00C236A2" w:rsidP="0099759E">
            <w:pPr>
              <w:spacing w:after="60"/>
              <w:rPr>
                <w:iCs/>
                <w:sz w:val="20"/>
              </w:rPr>
            </w:pPr>
            <w:r w:rsidRPr="0013396E">
              <w:rPr>
                <w:iCs/>
                <w:sz w:val="20"/>
              </w:rPr>
              <w:t>MMBtu/Start</w:t>
            </w:r>
          </w:p>
        </w:tc>
        <w:tc>
          <w:tcPr>
            <w:tcW w:w="3342" w:type="pct"/>
            <w:tcBorders>
              <w:top w:val="single" w:sz="6" w:space="0" w:color="auto"/>
              <w:left w:val="single" w:sz="6" w:space="0" w:color="auto"/>
              <w:bottom w:val="single" w:sz="6" w:space="0" w:color="auto"/>
              <w:right w:val="single" w:sz="4" w:space="0" w:color="auto"/>
            </w:tcBorders>
          </w:tcPr>
          <w:p w14:paraId="5304BB46" w14:textId="77777777" w:rsidR="00C236A2" w:rsidRPr="0013396E" w:rsidRDefault="00C236A2" w:rsidP="0099759E">
            <w:pPr>
              <w:spacing w:after="60"/>
              <w:rPr>
                <w:i/>
                <w:iCs/>
                <w:sz w:val="20"/>
              </w:rPr>
            </w:pPr>
            <w:r w:rsidRPr="0013396E">
              <w:rPr>
                <w:i/>
                <w:iCs/>
                <w:sz w:val="20"/>
              </w:rPr>
              <w:t>Day-Ahead Actual Fuel Consumption Rate per Start</w:t>
            </w:r>
            <w:r w:rsidRPr="0013396E">
              <w:rPr>
                <w:iCs/>
                <w:sz w:val="20"/>
              </w:rPr>
              <w:t xml:space="preserve">—The actual fuel consumption rate for Resource </w:t>
            </w:r>
            <w:r w:rsidRPr="0013396E">
              <w:rPr>
                <w:i/>
                <w:iCs/>
                <w:sz w:val="20"/>
              </w:rPr>
              <w:t>r</w:t>
            </w:r>
            <w:r w:rsidRPr="0013396E">
              <w:rPr>
                <w:iCs/>
                <w:sz w:val="20"/>
              </w:rPr>
              <w:t xml:space="preserve"> to startup per start type </w:t>
            </w:r>
            <w:r w:rsidRPr="0013396E">
              <w:rPr>
                <w:i/>
                <w:iCs/>
                <w:sz w:val="20"/>
              </w:rPr>
              <w:t>s</w:t>
            </w:r>
            <w:r w:rsidRPr="0013396E">
              <w:rPr>
                <w:iCs/>
                <w:sz w:val="20"/>
              </w:rPr>
              <w:t xml:space="preserve">, adjusted by VOXR as defined in the Verifiable Cost Manual.  Where for a Combined Cycle Train, the Resource </w:t>
            </w:r>
            <w:r w:rsidRPr="0013396E">
              <w:rPr>
                <w:i/>
                <w:iCs/>
                <w:sz w:val="20"/>
              </w:rPr>
              <w:t>r</w:t>
            </w:r>
            <w:r w:rsidRPr="0013396E">
              <w:rPr>
                <w:iCs/>
                <w:sz w:val="20"/>
              </w:rPr>
              <w:t xml:space="preserve"> is a Combined Cycle Generation Resource </w:t>
            </w:r>
            <w:r w:rsidRPr="0013396E">
              <w:rPr>
                <w:iCs/>
                <w:sz w:val="20"/>
              </w:rPr>
              <w:lastRenderedPageBreak/>
              <w:t>within the Combined Cycle Train.  For additional information, see Verifiable Cost Manual Section 3.3, Startup Fuel Consumption.</w:t>
            </w:r>
          </w:p>
        </w:tc>
      </w:tr>
      <w:tr w:rsidR="00C236A2" w:rsidRPr="0013396E" w14:paraId="21D2FFCC" w14:textId="77777777" w:rsidTr="000B7133">
        <w:tc>
          <w:tcPr>
            <w:tcW w:w="966" w:type="pct"/>
            <w:tcBorders>
              <w:top w:val="single" w:sz="6" w:space="0" w:color="auto"/>
              <w:left w:val="single" w:sz="4" w:space="0" w:color="auto"/>
              <w:bottom w:val="single" w:sz="6" w:space="0" w:color="auto"/>
              <w:right w:val="single" w:sz="6" w:space="0" w:color="auto"/>
            </w:tcBorders>
          </w:tcPr>
          <w:p w14:paraId="1EFECBAD" w14:textId="77777777" w:rsidR="00C236A2" w:rsidRPr="0013396E" w:rsidRDefault="00C236A2" w:rsidP="0099759E">
            <w:pPr>
              <w:spacing w:after="60"/>
              <w:rPr>
                <w:iCs/>
                <w:sz w:val="20"/>
              </w:rPr>
            </w:pPr>
            <w:r w:rsidRPr="0013396E">
              <w:rPr>
                <w:iCs/>
                <w:sz w:val="20"/>
              </w:rPr>
              <w:lastRenderedPageBreak/>
              <w:t xml:space="preserve">VOMS </w:t>
            </w:r>
            <w:r w:rsidRPr="0013396E">
              <w:rPr>
                <w:i/>
                <w:iCs/>
                <w:sz w:val="20"/>
                <w:vertAlign w:val="subscript"/>
              </w:rPr>
              <w:t>r, s</w:t>
            </w:r>
          </w:p>
        </w:tc>
        <w:tc>
          <w:tcPr>
            <w:tcW w:w="692" w:type="pct"/>
            <w:tcBorders>
              <w:top w:val="single" w:sz="6" w:space="0" w:color="auto"/>
              <w:left w:val="single" w:sz="6" w:space="0" w:color="auto"/>
              <w:bottom w:val="single" w:sz="6" w:space="0" w:color="auto"/>
              <w:right w:val="single" w:sz="6" w:space="0" w:color="auto"/>
            </w:tcBorders>
          </w:tcPr>
          <w:p w14:paraId="2FD867B7" w14:textId="77777777" w:rsidR="00C236A2" w:rsidRPr="0013396E" w:rsidRDefault="00C236A2" w:rsidP="0099759E">
            <w:pPr>
              <w:spacing w:after="60"/>
              <w:rPr>
                <w:iCs/>
                <w:sz w:val="20"/>
              </w:rPr>
            </w:pPr>
            <w:r w:rsidRPr="0013396E">
              <w:rPr>
                <w:sz w:val="20"/>
              </w:rPr>
              <w:t>$/Start</w:t>
            </w:r>
          </w:p>
        </w:tc>
        <w:tc>
          <w:tcPr>
            <w:tcW w:w="3342" w:type="pct"/>
            <w:tcBorders>
              <w:top w:val="single" w:sz="6" w:space="0" w:color="auto"/>
              <w:left w:val="single" w:sz="6" w:space="0" w:color="auto"/>
              <w:bottom w:val="single" w:sz="6" w:space="0" w:color="auto"/>
              <w:right w:val="single" w:sz="4" w:space="0" w:color="auto"/>
            </w:tcBorders>
          </w:tcPr>
          <w:p w14:paraId="1C0FB658" w14:textId="77777777" w:rsidR="00C236A2" w:rsidRPr="0013396E" w:rsidRDefault="00C236A2" w:rsidP="0099759E">
            <w:pPr>
              <w:spacing w:after="60"/>
              <w:rPr>
                <w:i/>
                <w:iCs/>
                <w:sz w:val="20"/>
              </w:rPr>
            </w:pPr>
            <w:r w:rsidRPr="0013396E">
              <w:rPr>
                <w:i/>
                <w:sz w:val="20"/>
              </w:rPr>
              <w:t>Variable Operations and Maintenance Cost per Start</w:t>
            </w:r>
            <w:r w:rsidRPr="0013396E">
              <w:rPr>
                <w:iCs/>
                <w:sz w:val="20"/>
              </w:rPr>
              <w:t>—</w:t>
            </w:r>
            <w:r w:rsidRPr="0013396E">
              <w:rPr>
                <w:sz w:val="20"/>
              </w:rPr>
              <w:t xml:space="preserve">The operations and maintenance cost for Resource </w:t>
            </w:r>
            <w:r w:rsidRPr="0013396E">
              <w:rPr>
                <w:i/>
                <w:sz w:val="20"/>
              </w:rPr>
              <w:t>r</w:t>
            </w:r>
            <w:r w:rsidRPr="0013396E">
              <w:rPr>
                <w:sz w:val="20"/>
              </w:rPr>
              <w:t xml:space="preserve"> to startup, per start </w:t>
            </w:r>
            <w:r w:rsidRPr="0013396E">
              <w:rPr>
                <w:i/>
                <w:sz w:val="20"/>
              </w:rPr>
              <w:t>s</w:t>
            </w:r>
            <w:r w:rsidRPr="0013396E">
              <w:rPr>
                <w:sz w:val="20"/>
              </w:rPr>
              <w:t xml:space="preserve">, including an adjustment for emissions costs.  Where for a Combined Cycle Train, the Resource </w:t>
            </w:r>
            <w:r w:rsidRPr="0013396E">
              <w:rPr>
                <w:i/>
                <w:sz w:val="20"/>
              </w:rPr>
              <w:t>r</w:t>
            </w:r>
            <w:r w:rsidRPr="0013396E">
              <w:rPr>
                <w:sz w:val="20"/>
              </w:rPr>
              <w:t xml:space="preserve"> is a Combined Cycle Generation Resource within the Combined Cycle Train.  For additional information, see Verifiable Cost Manual Section 3.2, Submitting Startup Costs.</w:t>
            </w:r>
          </w:p>
        </w:tc>
      </w:tr>
      <w:tr w:rsidR="00C236A2" w:rsidRPr="0013396E" w14:paraId="289AD8A7" w14:textId="77777777" w:rsidTr="000B7133">
        <w:tc>
          <w:tcPr>
            <w:tcW w:w="966" w:type="pct"/>
            <w:tcBorders>
              <w:top w:val="single" w:sz="6" w:space="0" w:color="auto"/>
              <w:left w:val="single" w:sz="4" w:space="0" w:color="auto"/>
              <w:bottom w:val="single" w:sz="6" w:space="0" w:color="auto"/>
              <w:right w:val="single" w:sz="6" w:space="0" w:color="auto"/>
            </w:tcBorders>
          </w:tcPr>
          <w:p w14:paraId="36AC06EF" w14:textId="77777777" w:rsidR="00C236A2" w:rsidRPr="0013396E" w:rsidRDefault="00C236A2" w:rsidP="0099759E">
            <w:pPr>
              <w:spacing w:after="60"/>
              <w:rPr>
                <w:iCs/>
                <w:sz w:val="20"/>
              </w:rPr>
            </w:pPr>
            <w:r w:rsidRPr="0013396E">
              <w:rPr>
                <w:iCs/>
                <w:sz w:val="20"/>
              </w:rPr>
              <w:t xml:space="preserve">VOMLSL </w:t>
            </w:r>
            <w:r w:rsidRPr="0013396E">
              <w:rPr>
                <w:i/>
                <w:iCs/>
                <w:sz w:val="20"/>
                <w:vertAlign w:val="subscript"/>
              </w:rPr>
              <w:t>r</w:t>
            </w:r>
          </w:p>
        </w:tc>
        <w:tc>
          <w:tcPr>
            <w:tcW w:w="692" w:type="pct"/>
            <w:tcBorders>
              <w:top w:val="single" w:sz="6" w:space="0" w:color="auto"/>
              <w:left w:val="single" w:sz="6" w:space="0" w:color="auto"/>
              <w:bottom w:val="single" w:sz="6" w:space="0" w:color="auto"/>
              <w:right w:val="single" w:sz="6" w:space="0" w:color="auto"/>
            </w:tcBorders>
          </w:tcPr>
          <w:p w14:paraId="0092BFCB" w14:textId="77777777" w:rsidR="00C236A2" w:rsidRPr="0013396E" w:rsidRDefault="00C236A2" w:rsidP="0099759E">
            <w:pPr>
              <w:spacing w:after="60"/>
              <w:rPr>
                <w:iCs/>
                <w:sz w:val="20"/>
              </w:rPr>
            </w:pPr>
            <w:r w:rsidRPr="0013396E">
              <w:rPr>
                <w:iCs/>
                <w:sz w:val="20"/>
              </w:rPr>
              <w:t>$/MWh</w:t>
            </w:r>
          </w:p>
        </w:tc>
        <w:tc>
          <w:tcPr>
            <w:tcW w:w="3342" w:type="pct"/>
            <w:tcBorders>
              <w:top w:val="single" w:sz="6" w:space="0" w:color="auto"/>
              <w:left w:val="single" w:sz="6" w:space="0" w:color="auto"/>
              <w:bottom w:val="single" w:sz="6" w:space="0" w:color="auto"/>
              <w:right w:val="single" w:sz="4" w:space="0" w:color="auto"/>
            </w:tcBorders>
          </w:tcPr>
          <w:p w14:paraId="18D46E5E" w14:textId="77777777" w:rsidR="00C236A2" w:rsidRPr="0013396E" w:rsidRDefault="00C236A2" w:rsidP="0099759E">
            <w:pPr>
              <w:spacing w:after="60"/>
              <w:rPr>
                <w:i/>
                <w:iCs/>
                <w:sz w:val="20"/>
              </w:rPr>
            </w:pPr>
            <w:r w:rsidRPr="0013396E">
              <w:rPr>
                <w:i/>
                <w:iCs/>
                <w:sz w:val="20"/>
              </w:rPr>
              <w:t>Variable Operations and Maintenance Cost at LSL</w:t>
            </w:r>
            <w:r w:rsidRPr="0013396E">
              <w:rPr>
                <w:iCs/>
                <w:sz w:val="20"/>
              </w:rPr>
              <w:t xml:space="preserve">—The operations and maintenance cost for Resource </w:t>
            </w:r>
            <w:r w:rsidRPr="0013396E">
              <w:rPr>
                <w:i/>
                <w:iCs/>
                <w:sz w:val="20"/>
              </w:rPr>
              <w:t>r</w:t>
            </w:r>
            <w:r w:rsidRPr="0013396E">
              <w:rPr>
                <w:iCs/>
                <w:sz w:val="20"/>
              </w:rPr>
              <w:t xml:space="preserve"> to operate at LSL, including an adjustment for emissions costs.  Where for a Combined Cycle Train, the Resource </w:t>
            </w:r>
            <w:r w:rsidRPr="0013396E">
              <w:rPr>
                <w:i/>
                <w:iCs/>
                <w:sz w:val="20"/>
              </w:rPr>
              <w:t>r</w:t>
            </w:r>
            <w:r w:rsidRPr="0013396E">
              <w:rPr>
                <w:iCs/>
                <w:sz w:val="20"/>
              </w:rPr>
              <w:t xml:space="preserve"> is a Combined Cycle Generation Resource within the Combined Cycle Train.  For additional information, see Verifiable Cost Manual Section 4.2, Submitting Minimum Energy Costs.</w:t>
            </w:r>
          </w:p>
        </w:tc>
      </w:tr>
      <w:tr w:rsidR="00C236A2" w:rsidRPr="0013396E" w14:paraId="2DE0A4A1" w14:textId="77777777" w:rsidTr="000B7133">
        <w:tc>
          <w:tcPr>
            <w:tcW w:w="966" w:type="pct"/>
            <w:tcBorders>
              <w:top w:val="single" w:sz="6" w:space="0" w:color="auto"/>
              <w:left w:val="single" w:sz="4" w:space="0" w:color="auto"/>
              <w:bottom w:val="single" w:sz="6" w:space="0" w:color="auto"/>
              <w:right w:val="single" w:sz="6" w:space="0" w:color="auto"/>
            </w:tcBorders>
          </w:tcPr>
          <w:p w14:paraId="57764F1A" w14:textId="77777777" w:rsidR="00C236A2" w:rsidRPr="0013396E" w:rsidRDefault="00C236A2" w:rsidP="0099759E">
            <w:pPr>
              <w:spacing w:after="60"/>
              <w:rPr>
                <w:iCs/>
                <w:sz w:val="20"/>
              </w:rPr>
            </w:pPr>
            <w:r w:rsidRPr="0013396E">
              <w:rPr>
                <w:iCs/>
                <w:sz w:val="20"/>
              </w:rPr>
              <w:t xml:space="preserve">LSL </w:t>
            </w:r>
            <w:r w:rsidRPr="0013396E">
              <w:rPr>
                <w:i/>
                <w:iCs/>
                <w:sz w:val="20"/>
                <w:vertAlign w:val="subscript"/>
              </w:rPr>
              <w:t>q, r, i</w:t>
            </w:r>
          </w:p>
        </w:tc>
        <w:tc>
          <w:tcPr>
            <w:tcW w:w="692" w:type="pct"/>
            <w:tcBorders>
              <w:top w:val="single" w:sz="6" w:space="0" w:color="auto"/>
              <w:left w:val="single" w:sz="6" w:space="0" w:color="auto"/>
              <w:bottom w:val="single" w:sz="6" w:space="0" w:color="auto"/>
              <w:right w:val="single" w:sz="6" w:space="0" w:color="auto"/>
            </w:tcBorders>
          </w:tcPr>
          <w:p w14:paraId="70C58520" w14:textId="77777777" w:rsidR="00C236A2" w:rsidRPr="0013396E" w:rsidRDefault="00C236A2" w:rsidP="0099759E">
            <w:pPr>
              <w:spacing w:after="60"/>
              <w:rPr>
                <w:iCs/>
                <w:sz w:val="20"/>
              </w:rPr>
            </w:pPr>
            <w:r w:rsidRPr="0013396E">
              <w:rPr>
                <w:iCs/>
                <w:sz w:val="20"/>
              </w:rPr>
              <w:t>MW</w:t>
            </w:r>
          </w:p>
        </w:tc>
        <w:tc>
          <w:tcPr>
            <w:tcW w:w="3342" w:type="pct"/>
            <w:tcBorders>
              <w:top w:val="single" w:sz="6" w:space="0" w:color="auto"/>
              <w:left w:val="single" w:sz="6" w:space="0" w:color="auto"/>
              <w:bottom w:val="single" w:sz="6" w:space="0" w:color="auto"/>
              <w:right w:val="single" w:sz="4" w:space="0" w:color="auto"/>
            </w:tcBorders>
          </w:tcPr>
          <w:p w14:paraId="64911BB4" w14:textId="77777777" w:rsidR="00C236A2" w:rsidRPr="0013396E" w:rsidRDefault="00C236A2" w:rsidP="0099759E">
            <w:pPr>
              <w:spacing w:after="60"/>
              <w:rPr>
                <w:i/>
                <w:iCs/>
                <w:sz w:val="20"/>
              </w:rPr>
            </w:pPr>
            <w:r w:rsidRPr="0013396E">
              <w:rPr>
                <w:i/>
                <w:iCs/>
                <w:sz w:val="20"/>
              </w:rPr>
              <w:t>Low Sustained Limit</w:t>
            </w:r>
            <w:r w:rsidRPr="0013396E">
              <w:rPr>
                <w:iCs/>
                <w:sz w:val="20"/>
              </w:rPr>
              <w:t xml:space="preserve">—The LSL of Generation Resource </w:t>
            </w:r>
            <w:r w:rsidRPr="0013396E">
              <w:rPr>
                <w:i/>
                <w:iCs/>
                <w:sz w:val="20"/>
              </w:rPr>
              <w:t>r</w:t>
            </w:r>
            <w:r w:rsidRPr="0013396E">
              <w:rPr>
                <w:iCs/>
                <w:sz w:val="20"/>
              </w:rPr>
              <w:t xml:space="preserve"> represented by QSE </w:t>
            </w:r>
            <w:r w:rsidRPr="0013396E">
              <w:rPr>
                <w:i/>
                <w:iCs/>
                <w:sz w:val="20"/>
              </w:rPr>
              <w:t>q</w:t>
            </w:r>
            <w:r w:rsidRPr="0013396E">
              <w:rPr>
                <w:iCs/>
                <w:sz w:val="20"/>
              </w:rPr>
              <w:t xml:space="preserve"> for the hour that includes the Settlement Interval </w:t>
            </w:r>
            <w:r w:rsidRPr="0013396E">
              <w:rPr>
                <w:i/>
                <w:iCs/>
                <w:sz w:val="20"/>
              </w:rPr>
              <w:t>i</w:t>
            </w:r>
            <w:r w:rsidRPr="0013396E">
              <w:rPr>
                <w:iCs/>
                <w:sz w:val="20"/>
              </w:rPr>
              <w:t xml:space="preserve">, as submitted in the COP.  Where for a Combined Cycle Train, the Resource </w:t>
            </w:r>
            <w:r w:rsidRPr="0013396E">
              <w:rPr>
                <w:i/>
                <w:iCs/>
                <w:sz w:val="20"/>
              </w:rPr>
              <w:t>r</w:t>
            </w:r>
            <w:r w:rsidRPr="0013396E">
              <w:rPr>
                <w:iCs/>
                <w:sz w:val="20"/>
              </w:rPr>
              <w:t xml:space="preserve"> is a Combined Cycle Generation Resource within the Combined Cycle Train.  </w:t>
            </w:r>
          </w:p>
        </w:tc>
      </w:tr>
      <w:tr w:rsidR="00C236A2" w:rsidRPr="0013396E" w14:paraId="36F969AD" w14:textId="77777777" w:rsidTr="000B7133">
        <w:tc>
          <w:tcPr>
            <w:tcW w:w="966" w:type="pct"/>
            <w:tcBorders>
              <w:top w:val="single" w:sz="6" w:space="0" w:color="auto"/>
              <w:left w:val="single" w:sz="4" w:space="0" w:color="auto"/>
              <w:bottom w:val="single" w:sz="6" w:space="0" w:color="auto"/>
              <w:right w:val="single" w:sz="6" w:space="0" w:color="auto"/>
            </w:tcBorders>
          </w:tcPr>
          <w:p w14:paraId="1E187EF8" w14:textId="77777777" w:rsidR="00C236A2" w:rsidRPr="0013396E" w:rsidRDefault="00C236A2" w:rsidP="0099759E">
            <w:pPr>
              <w:spacing w:after="60"/>
              <w:rPr>
                <w:iCs/>
                <w:sz w:val="20"/>
              </w:rPr>
            </w:pPr>
            <w:r w:rsidRPr="0013396E">
              <w:rPr>
                <w:iCs/>
                <w:sz w:val="20"/>
              </w:rPr>
              <w:t xml:space="preserve">RTMG </w:t>
            </w:r>
            <w:r w:rsidRPr="0013396E">
              <w:rPr>
                <w:i/>
                <w:iCs/>
                <w:sz w:val="20"/>
                <w:vertAlign w:val="subscript"/>
              </w:rPr>
              <w:t>q, r, i</w:t>
            </w:r>
          </w:p>
        </w:tc>
        <w:tc>
          <w:tcPr>
            <w:tcW w:w="692" w:type="pct"/>
            <w:tcBorders>
              <w:top w:val="single" w:sz="6" w:space="0" w:color="auto"/>
              <w:left w:val="single" w:sz="6" w:space="0" w:color="auto"/>
              <w:bottom w:val="single" w:sz="6" w:space="0" w:color="auto"/>
              <w:right w:val="single" w:sz="6" w:space="0" w:color="auto"/>
            </w:tcBorders>
          </w:tcPr>
          <w:p w14:paraId="2CCBB8B3" w14:textId="77777777" w:rsidR="00C236A2" w:rsidRPr="0013396E" w:rsidRDefault="00C236A2" w:rsidP="0099759E">
            <w:pPr>
              <w:spacing w:after="60"/>
              <w:rPr>
                <w:iCs/>
                <w:sz w:val="20"/>
              </w:rPr>
            </w:pPr>
            <w:r w:rsidRPr="0013396E">
              <w:rPr>
                <w:iCs/>
                <w:sz w:val="20"/>
              </w:rPr>
              <w:t>MWh</w:t>
            </w:r>
          </w:p>
        </w:tc>
        <w:tc>
          <w:tcPr>
            <w:tcW w:w="3342" w:type="pct"/>
            <w:tcBorders>
              <w:top w:val="single" w:sz="6" w:space="0" w:color="auto"/>
              <w:left w:val="single" w:sz="6" w:space="0" w:color="auto"/>
              <w:bottom w:val="single" w:sz="6" w:space="0" w:color="auto"/>
              <w:right w:val="single" w:sz="4" w:space="0" w:color="auto"/>
            </w:tcBorders>
          </w:tcPr>
          <w:p w14:paraId="1E79853E" w14:textId="77777777" w:rsidR="00C236A2" w:rsidRPr="0013396E" w:rsidRDefault="00C236A2" w:rsidP="0099759E">
            <w:pPr>
              <w:spacing w:after="60"/>
              <w:rPr>
                <w:i/>
                <w:iCs/>
                <w:sz w:val="20"/>
              </w:rPr>
            </w:pPr>
            <w:r w:rsidRPr="0013396E">
              <w:rPr>
                <w:i/>
                <w:iCs/>
                <w:sz w:val="20"/>
              </w:rPr>
              <w:t>Real-Time Metered Generation per QSE per Resource by Settlement Interval by hour</w:t>
            </w:r>
            <w:r w:rsidRPr="0013396E">
              <w:rPr>
                <w:iCs/>
                <w:sz w:val="20"/>
              </w:rPr>
              <w:t xml:space="preserve">—The Real-Time energy from Resource </w:t>
            </w:r>
            <w:r w:rsidRPr="0013396E">
              <w:rPr>
                <w:i/>
                <w:iCs/>
                <w:sz w:val="20"/>
              </w:rPr>
              <w:t>r</w:t>
            </w:r>
            <w:r w:rsidRPr="0013396E">
              <w:rPr>
                <w:iCs/>
                <w:sz w:val="20"/>
              </w:rPr>
              <w:t xml:space="preserve"> represented by QSE </w:t>
            </w:r>
            <w:r w:rsidRPr="0013396E">
              <w:rPr>
                <w:i/>
                <w:iCs/>
                <w:sz w:val="20"/>
              </w:rPr>
              <w:t>q</w:t>
            </w:r>
            <w:r w:rsidRPr="0013396E">
              <w:rPr>
                <w:iCs/>
                <w:sz w:val="20"/>
              </w:rPr>
              <w:t xml:space="preserve">, for the 15-minute Settlement Interval </w:t>
            </w:r>
            <w:r w:rsidRPr="0013396E">
              <w:rPr>
                <w:i/>
                <w:iCs/>
                <w:sz w:val="20"/>
              </w:rPr>
              <w:t>i</w:t>
            </w:r>
            <w:r w:rsidRPr="0013396E">
              <w:rPr>
                <w:iCs/>
                <w:sz w:val="20"/>
              </w:rPr>
              <w:t xml:space="preserve">.  Where for a Combined Cycle Train, the Resource </w:t>
            </w:r>
            <w:r w:rsidRPr="0013396E">
              <w:rPr>
                <w:i/>
                <w:iCs/>
                <w:sz w:val="20"/>
              </w:rPr>
              <w:t>r</w:t>
            </w:r>
            <w:r w:rsidRPr="0013396E">
              <w:rPr>
                <w:iCs/>
                <w:sz w:val="20"/>
              </w:rPr>
              <w:t xml:space="preserve"> is the Combined Cycle Train.</w:t>
            </w:r>
          </w:p>
        </w:tc>
      </w:tr>
      <w:tr w:rsidR="00C236A2" w:rsidRPr="0013396E" w14:paraId="68524D0F" w14:textId="77777777" w:rsidTr="000B7133">
        <w:tc>
          <w:tcPr>
            <w:tcW w:w="966" w:type="pct"/>
            <w:tcBorders>
              <w:top w:val="single" w:sz="6" w:space="0" w:color="auto"/>
              <w:left w:val="single" w:sz="4" w:space="0" w:color="auto"/>
              <w:bottom w:val="single" w:sz="6" w:space="0" w:color="auto"/>
              <w:right w:val="single" w:sz="6" w:space="0" w:color="auto"/>
            </w:tcBorders>
          </w:tcPr>
          <w:p w14:paraId="1957D6A2" w14:textId="77777777" w:rsidR="00C236A2" w:rsidRPr="0013396E" w:rsidRDefault="00C236A2" w:rsidP="0099759E">
            <w:pPr>
              <w:spacing w:after="60"/>
              <w:rPr>
                <w:iCs/>
                <w:sz w:val="20"/>
              </w:rPr>
            </w:pPr>
            <w:r w:rsidRPr="0013396E">
              <w:rPr>
                <w:iCs/>
                <w:sz w:val="20"/>
              </w:rPr>
              <w:t xml:space="preserve">AHR </w:t>
            </w:r>
            <w:r w:rsidRPr="0013396E">
              <w:rPr>
                <w:i/>
                <w:iCs/>
                <w:sz w:val="20"/>
                <w:vertAlign w:val="subscript"/>
              </w:rPr>
              <w:t>r, i</w:t>
            </w:r>
          </w:p>
        </w:tc>
        <w:tc>
          <w:tcPr>
            <w:tcW w:w="692" w:type="pct"/>
            <w:tcBorders>
              <w:top w:val="single" w:sz="6" w:space="0" w:color="auto"/>
              <w:left w:val="single" w:sz="6" w:space="0" w:color="auto"/>
              <w:bottom w:val="single" w:sz="6" w:space="0" w:color="auto"/>
              <w:right w:val="single" w:sz="6" w:space="0" w:color="auto"/>
            </w:tcBorders>
          </w:tcPr>
          <w:p w14:paraId="59D1D4F3" w14:textId="77777777" w:rsidR="00C236A2" w:rsidRPr="0013396E" w:rsidRDefault="00C236A2" w:rsidP="0099759E">
            <w:pPr>
              <w:spacing w:after="60"/>
              <w:rPr>
                <w:iCs/>
                <w:sz w:val="20"/>
              </w:rPr>
            </w:pPr>
            <w:r w:rsidRPr="0013396E">
              <w:rPr>
                <w:iCs/>
                <w:sz w:val="20"/>
              </w:rPr>
              <w:t>MMBtu / MWh</w:t>
            </w:r>
          </w:p>
        </w:tc>
        <w:tc>
          <w:tcPr>
            <w:tcW w:w="3342" w:type="pct"/>
            <w:tcBorders>
              <w:top w:val="single" w:sz="6" w:space="0" w:color="auto"/>
              <w:left w:val="single" w:sz="6" w:space="0" w:color="auto"/>
              <w:bottom w:val="single" w:sz="6" w:space="0" w:color="auto"/>
              <w:right w:val="single" w:sz="4" w:space="0" w:color="auto"/>
            </w:tcBorders>
          </w:tcPr>
          <w:p w14:paraId="61E34EC9" w14:textId="77777777" w:rsidR="00C236A2" w:rsidRPr="0013396E" w:rsidRDefault="00C236A2" w:rsidP="0099759E">
            <w:pPr>
              <w:spacing w:after="60"/>
              <w:rPr>
                <w:i/>
                <w:iCs/>
                <w:sz w:val="20"/>
              </w:rPr>
            </w:pPr>
            <w:r w:rsidRPr="0013396E">
              <w:rPr>
                <w:i/>
                <w:iCs/>
                <w:sz w:val="20"/>
              </w:rPr>
              <w:t>Average Heat Rate per Resource</w:t>
            </w:r>
            <w:r w:rsidRPr="0013396E">
              <w:rPr>
                <w:iCs/>
                <w:sz w:val="20"/>
              </w:rPr>
              <w:t xml:space="preserve">– The verifiable average heat rate for the Resource </w:t>
            </w:r>
            <w:r w:rsidRPr="0013396E">
              <w:rPr>
                <w:i/>
                <w:iCs/>
                <w:sz w:val="20"/>
              </w:rPr>
              <w:t>r</w:t>
            </w:r>
            <w:r w:rsidRPr="0013396E">
              <w:rPr>
                <w:iCs/>
                <w:sz w:val="20"/>
              </w:rPr>
              <w:t xml:space="preserve">, for the operating level, for the 15-minute Settlement Interval </w:t>
            </w:r>
            <w:r w:rsidRPr="0013396E">
              <w:rPr>
                <w:i/>
                <w:iCs/>
                <w:sz w:val="20"/>
              </w:rPr>
              <w:t>i</w:t>
            </w:r>
            <w:r w:rsidRPr="0013396E">
              <w:rPr>
                <w:iCs/>
                <w:sz w:val="20"/>
              </w:rPr>
              <w:t xml:space="preserve">.  Where for a Combined Cycle Train, the Resource </w:t>
            </w:r>
            <w:r w:rsidRPr="0013396E">
              <w:rPr>
                <w:i/>
                <w:iCs/>
                <w:sz w:val="20"/>
              </w:rPr>
              <w:t>r</w:t>
            </w:r>
            <w:r w:rsidRPr="0013396E">
              <w:rPr>
                <w:iCs/>
                <w:sz w:val="20"/>
              </w:rPr>
              <w:t xml:space="preserve"> is a Combined Cycle Generation Resource within the Combined Cycle Train.</w:t>
            </w:r>
          </w:p>
        </w:tc>
      </w:tr>
      <w:tr w:rsidR="00C236A2" w:rsidRPr="0013396E" w14:paraId="33AD0374" w14:textId="77777777" w:rsidTr="000B7133">
        <w:tc>
          <w:tcPr>
            <w:tcW w:w="966" w:type="pct"/>
            <w:tcBorders>
              <w:top w:val="single" w:sz="6" w:space="0" w:color="auto"/>
              <w:left w:val="single" w:sz="4" w:space="0" w:color="auto"/>
              <w:bottom w:val="single" w:sz="6" w:space="0" w:color="auto"/>
              <w:right w:val="single" w:sz="6" w:space="0" w:color="auto"/>
            </w:tcBorders>
          </w:tcPr>
          <w:p w14:paraId="386322B3" w14:textId="77777777" w:rsidR="00C236A2" w:rsidRPr="0013396E" w:rsidRDefault="00C236A2" w:rsidP="0099759E">
            <w:pPr>
              <w:spacing w:after="60"/>
              <w:rPr>
                <w:iCs/>
                <w:sz w:val="20"/>
              </w:rPr>
            </w:pPr>
            <w:r w:rsidRPr="0013396E">
              <w:rPr>
                <w:iCs/>
                <w:sz w:val="20"/>
              </w:rPr>
              <w:t xml:space="preserve">OM </w:t>
            </w:r>
            <w:r w:rsidRPr="0013396E">
              <w:rPr>
                <w:i/>
                <w:iCs/>
                <w:sz w:val="20"/>
                <w:vertAlign w:val="subscript"/>
              </w:rPr>
              <w:t>r</w:t>
            </w:r>
          </w:p>
        </w:tc>
        <w:tc>
          <w:tcPr>
            <w:tcW w:w="692" w:type="pct"/>
            <w:tcBorders>
              <w:top w:val="single" w:sz="6" w:space="0" w:color="auto"/>
              <w:left w:val="single" w:sz="6" w:space="0" w:color="auto"/>
              <w:bottom w:val="single" w:sz="6" w:space="0" w:color="auto"/>
              <w:right w:val="single" w:sz="6" w:space="0" w:color="auto"/>
            </w:tcBorders>
          </w:tcPr>
          <w:p w14:paraId="4E36F63B" w14:textId="77777777" w:rsidR="00C236A2" w:rsidRPr="0013396E" w:rsidRDefault="00C236A2" w:rsidP="0099759E">
            <w:pPr>
              <w:spacing w:after="60"/>
              <w:rPr>
                <w:iCs/>
                <w:sz w:val="20"/>
              </w:rPr>
            </w:pPr>
            <w:r w:rsidRPr="0013396E">
              <w:rPr>
                <w:iCs/>
                <w:sz w:val="20"/>
              </w:rPr>
              <w:t>$/MWh</w:t>
            </w:r>
          </w:p>
        </w:tc>
        <w:tc>
          <w:tcPr>
            <w:tcW w:w="3342" w:type="pct"/>
            <w:tcBorders>
              <w:top w:val="single" w:sz="6" w:space="0" w:color="auto"/>
              <w:left w:val="single" w:sz="6" w:space="0" w:color="auto"/>
              <w:bottom w:val="single" w:sz="6" w:space="0" w:color="auto"/>
              <w:right w:val="single" w:sz="4" w:space="0" w:color="auto"/>
            </w:tcBorders>
          </w:tcPr>
          <w:p w14:paraId="2D912108" w14:textId="77777777" w:rsidR="00C236A2" w:rsidRPr="0013396E" w:rsidRDefault="00C236A2" w:rsidP="0099759E">
            <w:pPr>
              <w:spacing w:after="60"/>
              <w:rPr>
                <w:i/>
                <w:iCs/>
                <w:sz w:val="20"/>
              </w:rPr>
            </w:pPr>
            <w:r w:rsidRPr="0013396E">
              <w:rPr>
                <w:i/>
                <w:iCs/>
                <w:sz w:val="20"/>
              </w:rPr>
              <w:t>Verifiable Operations and Maintenance Cost Above LSL</w:t>
            </w:r>
            <w:r w:rsidRPr="0013396E">
              <w:rPr>
                <w:iCs/>
                <w:sz w:val="20"/>
              </w:rPr>
              <w:t xml:space="preserve">– The O&amp;M cost for Resource </w:t>
            </w:r>
            <w:r w:rsidRPr="0013396E">
              <w:rPr>
                <w:i/>
                <w:iCs/>
                <w:sz w:val="20"/>
              </w:rPr>
              <w:t>r</w:t>
            </w:r>
            <w:r w:rsidRPr="0013396E">
              <w:rPr>
                <w:iCs/>
                <w:sz w:val="20"/>
              </w:rPr>
              <w:t xml:space="preserve"> to operate above LSL.  Where for a Combined Cycle Train, the Resource </w:t>
            </w:r>
            <w:r w:rsidRPr="0013396E">
              <w:rPr>
                <w:i/>
                <w:iCs/>
                <w:sz w:val="20"/>
              </w:rPr>
              <w:t>r</w:t>
            </w:r>
            <w:r w:rsidRPr="0013396E">
              <w:rPr>
                <w:iCs/>
                <w:sz w:val="20"/>
              </w:rPr>
              <w:t xml:space="preserve"> is a Combined Cycle Generation Resource within the Combined Cycle Train.  See the Verifiable Cost Manual for additional information. </w:t>
            </w:r>
          </w:p>
        </w:tc>
      </w:tr>
      <w:tr w:rsidR="00C236A2" w:rsidRPr="0013396E" w14:paraId="421E71A3" w14:textId="77777777" w:rsidTr="000B7133">
        <w:tc>
          <w:tcPr>
            <w:tcW w:w="966" w:type="pct"/>
            <w:tcBorders>
              <w:top w:val="single" w:sz="6" w:space="0" w:color="auto"/>
              <w:left w:val="single" w:sz="4" w:space="0" w:color="auto"/>
              <w:bottom w:val="single" w:sz="6" w:space="0" w:color="auto"/>
              <w:right w:val="single" w:sz="6" w:space="0" w:color="auto"/>
            </w:tcBorders>
          </w:tcPr>
          <w:p w14:paraId="0F6A40ED" w14:textId="77777777" w:rsidR="00C236A2" w:rsidRPr="0013396E" w:rsidRDefault="00C236A2" w:rsidP="0099759E">
            <w:pPr>
              <w:spacing w:after="60"/>
              <w:rPr>
                <w:iCs/>
                <w:sz w:val="20"/>
              </w:rPr>
            </w:pPr>
            <w:r w:rsidRPr="0013396E">
              <w:rPr>
                <w:iCs/>
                <w:sz w:val="20"/>
              </w:rPr>
              <w:t xml:space="preserve">SWIHR </w:t>
            </w:r>
            <w:r w:rsidRPr="0013396E">
              <w:rPr>
                <w:i/>
                <w:iCs/>
                <w:sz w:val="20"/>
                <w:vertAlign w:val="subscript"/>
              </w:rPr>
              <w:t>q, r, d</w:t>
            </w:r>
          </w:p>
        </w:tc>
        <w:tc>
          <w:tcPr>
            <w:tcW w:w="692" w:type="pct"/>
            <w:tcBorders>
              <w:top w:val="single" w:sz="6" w:space="0" w:color="auto"/>
              <w:left w:val="single" w:sz="6" w:space="0" w:color="auto"/>
              <w:bottom w:val="single" w:sz="6" w:space="0" w:color="auto"/>
              <w:right w:val="single" w:sz="6" w:space="0" w:color="auto"/>
            </w:tcBorders>
          </w:tcPr>
          <w:p w14:paraId="7A497805" w14:textId="77777777" w:rsidR="00C236A2" w:rsidRPr="0013396E" w:rsidRDefault="00C236A2" w:rsidP="0099759E">
            <w:pPr>
              <w:spacing w:after="60"/>
              <w:rPr>
                <w:iCs/>
                <w:sz w:val="20"/>
              </w:rPr>
            </w:pPr>
            <w:r w:rsidRPr="0013396E">
              <w:rPr>
                <w:iCs/>
                <w:sz w:val="20"/>
              </w:rPr>
              <w:t>none</w:t>
            </w:r>
          </w:p>
        </w:tc>
        <w:tc>
          <w:tcPr>
            <w:tcW w:w="3342" w:type="pct"/>
            <w:tcBorders>
              <w:top w:val="single" w:sz="6" w:space="0" w:color="auto"/>
              <w:left w:val="single" w:sz="6" w:space="0" w:color="auto"/>
              <w:bottom w:val="single" w:sz="6" w:space="0" w:color="auto"/>
              <w:right w:val="single" w:sz="4" w:space="0" w:color="auto"/>
            </w:tcBorders>
          </w:tcPr>
          <w:p w14:paraId="6F8E534C" w14:textId="77777777" w:rsidR="00C236A2" w:rsidRPr="0013396E" w:rsidRDefault="00C236A2" w:rsidP="0099759E">
            <w:pPr>
              <w:spacing w:after="60"/>
              <w:rPr>
                <w:iCs/>
                <w:sz w:val="20"/>
              </w:rPr>
            </w:pPr>
            <w:r w:rsidRPr="0013396E">
              <w:rPr>
                <w:i/>
                <w:iCs/>
                <w:sz w:val="20"/>
              </w:rPr>
              <w:t>Switchable Generation Instructed Hours</w:t>
            </w:r>
            <w:r w:rsidRPr="0013396E">
              <w:rPr>
                <w:iCs/>
                <w:sz w:val="20"/>
              </w:rPr>
              <w:t xml:space="preserve">—The total number of Switchable Generation instructed hours, for Resource </w:t>
            </w:r>
            <w:r w:rsidRPr="0013396E">
              <w:rPr>
                <w:i/>
                <w:iCs/>
                <w:sz w:val="20"/>
              </w:rPr>
              <w:t>r</w:t>
            </w:r>
            <w:r w:rsidRPr="0013396E">
              <w:rPr>
                <w:iCs/>
                <w:sz w:val="20"/>
              </w:rPr>
              <w:t xml:space="preserve"> represented by QSE </w:t>
            </w:r>
            <w:r w:rsidRPr="0013396E">
              <w:rPr>
                <w:i/>
                <w:iCs/>
                <w:sz w:val="20"/>
              </w:rPr>
              <w:t>q,</w:t>
            </w:r>
            <w:r w:rsidRPr="0013396E">
              <w:rPr>
                <w:iCs/>
                <w:sz w:val="20"/>
              </w:rPr>
              <w:t xml:space="preserve"> for the Operating Day </w:t>
            </w:r>
            <w:r w:rsidRPr="0013396E">
              <w:rPr>
                <w:i/>
                <w:iCs/>
                <w:sz w:val="20"/>
              </w:rPr>
              <w:t>d</w:t>
            </w:r>
            <w:r w:rsidRPr="0013396E">
              <w:rPr>
                <w:iCs/>
                <w:sz w:val="20"/>
              </w:rPr>
              <w:t>.  When one or more Combined Cycle Generation Resources are committed by ERCOT, the total number of instructed hours is calculated for the Combined Cycle Train for all switchable instructed Combined Cycle Generation Resources.</w:t>
            </w:r>
          </w:p>
        </w:tc>
      </w:tr>
      <w:tr w:rsidR="00C236A2" w:rsidRPr="0013396E" w14:paraId="774EF6BA" w14:textId="77777777" w:rsidTr="000B7133">
        <w:tc>
          <w:tcPr>
            <w:tcW w:w="966" w:type="pct"/>
            <w:tcBorders>
              <w:top w:val="single" w:sz="6" w:space="0" w:color="auto"/>
              <w:left w:val="single" w:sz="4" w:space="0" w:color="auto"/>
              <w:bottom w:val="single" w:sz="6" w:space="0" w:color="auto"/>
              <w:right w:val="single" w:sz="6" w:space="0" w:color="auto"/>
            </w:tcBorders>
          </w:tcPr>
          <w:p w14:paraId="24FA4AC4" w14:textId="77777777" w:rsidR="00C236A2" w:rsidRPr="0013396E" w:rsidRDefault="00C236A2" w:rsidP="0099759E">
            <w:pPr>
              <w:spacing w:after="60"/>
              <w:rPr>
                <w:iCs/>
                <w:sz w:val="20"/>
              </w:rPr>
            </w:pPr>
            <w:r w:rsidRPr="0013396E">
              <w:rPr>
                <w:iCs/>
                <w:sz w:val="20"/>
              </w:rPr>
              <w:t>SFP</w:t>
            </w:r>
          </w:p>
        </w:tc>
        <w:tc>
          <w:tcPr>
            <w:tcW w:w="692" w:type="pct"/>
            <w:tcBorders>
              <w:top w:val="single" w:sz="6" w:space="0" w:color="auto"/>
              <w:left w:val="single" w:sz="6" w:space="0" w:color="auto"/>
              <w:bottom w:val="single" w:sz="6" w:space="0" w:color="auto"/>
              <w:right w:val="single" w:sz="6" w:space="0" w:color="auto"/>
            </w:tcBorders>
          </w:tcPr>
          <w:p w14:paraId="3112FECC" w14:textId="77777777" w:rsidR="00C236A2" w:rsidRPr="0013396E" w:rsidRDefault="00C236A2" w:rsidP="0099759E">
            <w:pPr>
              <w:spacing w:after="60"/>
              <w:rPr>
                <w:iCs/>
                <w:sz w:val="20"/>
              </w:rPr>
            </w:pPr>
            <w:r w:rsidRPr="0013396E">
              <w:rPr>
                <w:iCs/>
                <w:sz w:val="20"/>
              </w:rPr>
              <w:t>$/MMBtu</w:t>
            </w:r>
          </w:p>
        </w:tc>
        <w:tc>
          <w:tcPr>
            <w:tcW w:w="3342" w:type="pct"/>
            <w:tcBorders>
              <w:top w:val="single" w:sz="6" w:space="0" w:color="auto"/>
              <w:left w:val="single" w:sz="6" w:space="0" w:color="auto"/>
              <w:bottom w:val="single" w:sz="6" w:space="0" w:color="auto"/>
              <w:right w:val="single" w:sz="4" w:space="0" w:color="auto"/>
            </w:tcBorders>
          </w:tcPr>
          <w:p w14:paraId="40C5976D" w14:textId="77777777" w:rsidR="00C236A2" w:rsidRPr="0013396E" w:rsidRDefault="00C236A2" w:rsidP="0099759E">
            <w:pPr>
              <w:spacing w:after="60"/>
              <w:rPr>
                <w:i/>
                <w:iCs/>
                <w:sz w:val="20"/>
              </w:rPr>
            </w:pPr>
            <w:r w:rsidRPr="0013396E">
              <w:rPr>
                <w:iCs/>
                <w:sz w:val="20"/>
              </w:rPr>
              <w:t xml:space="preserve">Solid Fuel Price—The solid fuel index price is $1.50.  </w:t>
            </w:r>
          </w:p>
        </w:tc>
      </w:tr>
      <w:tr w:rsidR="00C236A2" w:rsidRPr="0013396E" w14:paraId="7A180BFA" w14:textId="77777777" w:rsidTr="000B7133">
        <w:tc>
          <w:tcPr>
            <w:tcW w:w="966" w:type="pct"/>
            <w:tcBorders>
              <w:top w:val="single" w:sz="6" w:space="0" w:color="auto"/>
              <w:left w:val="single" w:sz="4" w:space="0" w:color="auto"/>
              <w:bottom w:val="single" w:sz="6" w:space="0" w:color="auto"/>
              <w:right w:val="single" w:sz="6" w:space="0" w:color="auto"/>
            </w:tcBorders>
          </w:tcPr>
          <w:p w14:paraId="2B5C3E60" w14:textId="77777777" w:rsidR="00C236A2" w:rsidRPr="0013396E" w:rsidRDefault="00C236A2" w:rsidP="0099759E">
            <w:pPr>
              <w:spacing w:after="60"/>
              <w:rPr>
                <w:iCs/>
                <w:sz w:val="20"/>
              </w:rPr>
            </w:pPr>
            <w:r w:rsidRPr="0013396E">
              <w:rPr>
                <w:iCs/>
                <w:sz w:val="20"/>
              </w:rPr>
              <w:t xml:space="preserve">GASPEROL </w:t>
            </w:r>
            <w:r w:rsidRPr="0013396E">
              <w:rPr>
                <w:i/>
                <w:iCs/>
                <w:sz w:val="20"/>
                <w:vertAlign w:val="subscript"/>
              </w:rPr>
              <w:t>r</w:t>
            </w:r>
          </w:p>
        </w:tc>
        <w:tc>
          <w:tcPr>
            <w:tcW w:w="692" w:type="pct"/>
            <w:tcBorders>
              <w:top w:val="single" w:sz="6" w:space="0" w:color="auto"/>
              <w:left w:val="single" w:sz="6" w:space="0" w:color="auto"/>
              <w:bottom w:val="single" w:sz="6" w:space="0" w:color="auto"/>
              <w:right w:val="single" w:sz="6" w:space="0" w:color="auto"/>
            </w:tcBorders>
          </w:tcPr>
          <w:p w14:paraId="0CD1A5A5" w14:textId="77777777" w:rsidR="00C236A2" w:rsidRPr="0013396E" w:rsidRDefault="00C236A2" w:rsidP="0099759E">
            <w:pPr>
              <w:spacing w:after="60"/>
              <w:rPr>
                <w:iCs/>
                <w:sz w:val="20"/>
              </w:rPr>
            </w:pPr>
            <w:r w:rsidRPr="0013396E">
              <w:rPr>
                <w:iCs/>
                <w:sz w:val="20"/>
              </w:rPr>
              <w:t>none</w:t>
            </w:r>
          </w:p>
        </w:tc>
        <w:tc>
          <w:tcPr>
            <w:tcW w:w="3342" w:type="pct"/>
            <w:tcBorders>
              <w:top w:val="single" w:sz="6" w:space="0" w:color="auto"/>
              <w:left w:val="single" w:sz="6" w:space="0" w:color="auto"/>
              <w:bottom w:val="single" w:sz="6" w:space="0" w:color="auto"/>
              <w:right w:val="single" w:sz="4" w:space="0" w:color="auto"/>
            </w:tcBorders>
          </w:tcPr>
          <w:p w14:paraId="61CC6A54" w14:textId="77777777" w:rsidR="00C236A2" w:rsidRPr="0013396E" w:rsidRDefault="00C236A2" w:rsidP="0099759E">
            <w:pPr>
              <w:spacing w:after="60"/>
              <w:rPr>
                <w:i/>
                <w:iCs/>
                <w:sz w:val="20"/>
              </w:rPr>
            </w:pPr>
            <w:r w:rsidRPr="0013396E">
              <w:rPr>
                <w:i/>
                <w:iCs/>
                <w:sz w:val="20"/>
              </w:rPr>
              <w:t>Percent of Natural Gas to Operate Above LSL</w:t>
            </w:r>
            <w:r w:rsidRPr="0013396E">
              <w:rPr>
                <w:iCs/>
                <w:sz w:val="20"/>
              </w:rPr>
              <w:t xml:space="preserve">—The percentage of natural gas used by Resource </w:t>
            </w:r>
            <w:r w:rsidRPr="0013396E">
              <w:rPr>
                <w:i/>
                <w:iCs/>
                <w:sz w:val="20"/>
              </w:rPr>
              <w:t xml:space="preserve">r </w:t>
            </w:r>
            <w:r w:rsidRPr="0013396E">
              <w:rPr>
                <w:iCs/>
                <w:sz w:val="20"/>
              </w:rPr>
              <w:t xml:space="preserve">to operate above LSL, as approved in the verifiable cost process.  Where for a Combined Cycle Train, the Resource </w:t>
            </w:r>
            <w:r w:rsidRPr="0013396E">
              <w:rPr>
                <w:i/>
                <w:iCs/>
                <w:sz w:val="20"/>
              </w:rPr>
              <w:t>r</w:t>
            </w:r>
            <w:r w:rsidRPr="0013396E">
              <w:rPr>
                <w:iCs/>
                <w:sz w:val="20"/>
              </w:rPr>
              <w:t xml:space="preserve"> is a Combined Cycle Generation Resource within the Combined Cycle Train.</w:t>
            </w:r>
          </w:p>
        </w:tc>
      </w:tr>
      <w:tr w:rsidR="00C236A2" w:rsidRPr="0013396E" w14:paraId="4C238030" w14:textId="77777777" w:rsidTr="000B7133">
        <w:tc>
          <w:tcPr>
            <w:tcW w:w="966" w:type="pct"/>
            <w:tcBorders>
              <w:top w:val="single" w:sz="6" w:space="0" w:color="auto"/>
              <w:left w:val="single" w:sz="4" w:space="0" w:color="auto"/>
              <w:bottom w:val="single" w:sz="6" w:space="0" w:color="auto"/>
              <w:right w:val="single" w:sz="6" w:space="0" w:color="auto"/>
            </w:tcBorders>
          </w:tcPr>
          <w:p w14:paraId="07907281" w14:textId="77777777" w:rsidR="00C236A2" w:rsidRPr="0013396E" w:rsidRDefault="00C236A2" w:rsidP="0099759E">
            <w:pPr>
              <w:spacing w:after="60"/>
              <w:rPr>
                <w:iCs/>
                <w:sz w:val="20"/>
              </w:rPr>
            </w:pPr>
            <w:r w:rsidRPr="0013396E">
              <w:rPr>
                <w:iCs/>
                <w:sz w:val="20"/>
              </w:rPr>
              <w:t xml:space="preserve">OILPEROL </w:t>
            </w:r>
            <w:r w:rsidRPr="0013396E">
              <w:rPr>
                <w:i/>
                <w:iCs/>
                <w:sz w:val="20"/>
                <w:vertAlign w:val="subscript"/>
              </w:rPr>
              <w:t>r</w:t>
            </w:r>
          </w:p>
        </w:tc>
        <w:tc>
          <w:tcPr>
            <w:tcW w:w="692" w:type="pct"/>
            <w:tcBorders>
              <w:top w:val="single" w:sz="6" w:space="0" w:color="auto"/>
              <w:left w:val="single" w:sz="6" w:space="0" w:color="auto"/>
              <w:bottom w:val="single" w:sz="6" w:space="0" w:color="auto"/>
              <w:right w:val="single" w:sz="6" w:space="0" w:color="auto"/>
            </w:tcBorders>
          </w:tcPr>
          <w:p w14:paraId="4B857BEE" w14:textId="77777777" w:rsidR="00C236A2" w:rsidRPr="0013396E" w:rsidRDefault="00C236A2" w:rsidP="0099759E">
            <w:pPr>
              <w:spacing w:after="60"/>
              <w:rPr>
                <w:iCs/>
                <w:sz w:val="20"/>
              </w:rPr>
            </w:pPr>
            <w:r w:rsidRPr="0013396E">
              <w:rPr>
                <w:iCs/>
                <w:sz w:val="20"/>
              </w:rPr>
              <w:t>none</w:t>
            </w:r>
          </w:p>
        </w:tc>
        <w:tc>
          <w:tcPr>
            <w:tcW w:w="3342" w:type="pct"/>
            <w:tcBorders>
              <w:top w:val="single" w:sz="6" w:space="0" w:color="auto"/>
              <w:left w:val="single" w:sz="6" w:space="0" w:color="auto"/>
              <w:bottom w:val="single" w:sz="6" w:space="0" w:color="auto"/>
              <w:right w:val="single" w:sz="4" w:space="0" w:color="auto"/>
            </w:tcBorders>
          </w:tcPr>
          <w:p w14:paraId="5AF034B9" w14:textId="77777777" w:rsidR="00C236A2" w:rsidRPr="0013396E" w:rsidRDefault="00C236A2" w:rsidP="0099759E">
            <w:pPr>
              <w:spacing w:after="60"/>
              <w:rPr>
                <w:iCs/>
                <w:sz w:val="20"/>
              </w:rPr>
            </w:pPr>
            <w:r w:rsidRPr="0013396E">
              <w:rPr>
                <w:i/>
                <w:iCs/>
                <w:sz w:val="20"/>
              </w:rPr>
              <w:t>Percent of Oil to Operate Above LSL</w:t>
            </w:r>
            <w:r w:rsidRPr="0013396E">
              <w:rPr>
                <w:iCs/>
                <w:sz w:val="20"/>
              </w:rPr>
              <w:t xml:space="preserve">—The percentage of fuel oil used by Resource </w:t>
            </w:r>
            <w:r w:rsidRPr="0013396E">
              <w:rPr>
                <w:i/>
                <w:iCs/>
                <w:sz w:val="20"/>
              </w:rPr>
              <w:t xml:space="preserve">r </w:t>
            </w:r>
            <w:r w:rsidRPr="0013396E">
              <w:rPr>
                <w:iCs/>
                <w:sz w:val="20"/>
              </w:rPr>
              <w:t xml:space="preserve">to operate above LSL, as approved in the verifiable cost process. Where for a Combined Cycle Train, the Resource </w:t>
            </w:r>
            <w:r w:rsidRPr="0013396E">
              <w:rPr>
                <w:i/>
                <w:iCs/>
                <w:sz w:val="20"/>
              </w:rPr>
              <w:t>r</w:t>
            </w:r>
            <w:r w:rsidRPr="0013396E">
              <w:rPr>
                <w:iCs/>
                <w:sz w:val="20"/>
              </w:rPr>
              <w:t xml:space="preserve"> is a Combined Cycle Generation Resource within the Combined Cycle Train.</w:t>
            </w:r>
          </w:p>
        </w:tc>
      </w:tr>
      <w:tr w:rsidR="00C236A2" w:rsidRPr="0013396E" w14:paraId="3E54F683" w14:textId="77777777" w:rsidTr="000B7133">
        <w:tc>
          <w:tcPr>
            <w:tcW w:w="966" w:type="pct"/>
            <w:tcBorders>
              <w:top w:val="single" w:sz="6" w:space="0" w:color="auto"/>
              <w:left w:val="single" w:sz="4" w:space="0" w:color="auto"/>
              <w:bottom w:val="single" w:sz="6" w:space="0" w:color="auto"/>
              <w:right w:val="single" w:sz="6" w:space="0" w:color="auto"/>
            </w:tcBorders>
          </w:tcPr>
          <w:p w14:paraId="08F98942" w14:textId="77777777" w:rsidR="00C236A2" w:rsidRPr="0013396E" w:rsidRDefault="00C236A2" w:rsidP="0099759E">
            <w:pPr>
              <w:spacing w:after="60"/>
              <w:rPr>
                <w:iCs/>
                <w:sz w:val="20"/>
              </w:rPr>
            </w:pPr>
            <w:r w:rsidRPr="0013396E">
              <w:rPr>
                <w:iCs/>
                <w:sz w:val="20"/>
              </w:rPr>
              <w:t xml:space="preserve">SFPEROL </w:t>
            </w:r>
            <w:r w:rsidRPr="0013396E">
              <w:rPr>
                <w:i/>
                <w:iCs/>
                <w:sz w:val="20"/>
                <w:vertAlign w:val="subscript"/>
              </w:rPr>
              <w:t>r</w:t>
            </w:r>
          </w:p>
        </w:tc>
        <w:tc>
          <w:tcPr>
            <w:tcW w:w="692" w:type="pct"/>
            <w:tcBorders>
              <w:top w:val="single" w:sz="6" w:space="0" w:color="auto"/>
              <w:left w:val="single" w:sz="6" w:space="0" w:color="auto"/>
              <w:bottom w:val="single" w:sz="6" w:space="0" w:color="auto"/>
              <w:right w:val="single" w:sz="6" w:space="0" w:color="auto"/>
            </w:tcBorders>
          </w:tcPr>
          <w:p w14:paraId="681357F4" w14:textId="77777777" w:rsidR="00C236A2" w:rsidRPr="0013396E" w:rsidRDefault="00C236A2" w:rsidP="0099759E">
            <w:pPr>
              <w:spacing w:after="60"/>
              <w:rPr>
                <w:iCs/>
                <w:sz w:val="20"/>
              </w:rPr>
            </w:pPr>
            <w:r w:rsidRPr="0013396E">
              <w:rPr>
                <w:iCs/>
                <w:sz w:val="20"/>
              </w:rPr>
              <w:t>none</w:t>
            </w:r>
          </w:p>
        </w:tc>
        <w:tc>
          <w:tcPr>
            <w:tcW w:w="3342" w:type="pct"/>
            <w:tcBorders>
              <w:top w:val="single" w:sz="6" w:space="0" w:color="auto"/>
              <w:left w:val="single" w:sz="6" w:space="0" w:color="auto"/>
              <w:bottom w:val="single" w:sz="6" w:space="0" w:color="auto"/>
              <w:right w:val="single" w:sz="4" w:space="0" w:color="auto"/>
            </w:tcBorders>
          </w:tcPr>
          <w:p w14:paraId="49222792" w14:textId="77777777" w:rsidR="00C236A2" w:rsidRPr="0013396E" w:rsidRDefault="00C236A2" w:rsidP="0099759E">
            <w:pPr>
              <w:spacing w:after="60"/>
              <w:rPr>
                <w:iCs/>
                <w:sz w:val="20"/>
              </w:rPr>
            </w:pPr>
            <w:r w:rsidRPr="0013396E">
              <w:rPr>
                <w:i/>
                <w:iCs/>
                <w:sz w:val="20"/>
              </w:rPr>
              <w:t>Percent of Solid Fuel to Operate Above LSL</w:t>
            </w:r>
            <w:r w:rsidRPr="0013396E">
              <w:rPr>
                <w:iCs/>
                <w:sz w:val="20"/>
              </w:rPr>
              <w:t xml:space="preserve">—The percentage of solid fuel used by Resource </w:t>
            </w:r>
            <w:r w:rsidRPr="0013396E">
              <w:rPr>
                <w:i/>
                <w:iCs/>
                <w:sz w:val="20"/>
              </w:rPr>
              <w:t>r</w:t>
            </w:r>
            <w:r w:rsidRPr="0013396E">
              <w:rPr>
                <w:iCs/>
                <w:sz w:val="20"/>
              </w:rPr>
              <w:t xml:space="preserve"> to operate above LSL, as approved in the verifiable cost process. Where for a Combined Cycle Train, the Resource </w:t>
            </w:r>
            <w:r w:rsidRPr="0013396E">
              <w:rPr>
                <w:i/>
                <w:iCs/>
                <w:sz w:val="20"/>
              </w:rPr>
              <w:t>r</w:t>
            </w:r>
            <w:r w:rsidRPr="0013396E">
              <w:rPr>
                <w:iCs/>
                <w:sz w:val="20"/>
              </w:rPr>
              <w:t xml:space="preserve"> is a Combined Cycle Generation Resource within the Combined Cycle Train.</w:t>
            </w:r>
          </w:p>
        </w:tc>
      </w:tr>
      <w:tr w:rsidR="00C236A2" w:rsidRPr="0013396E" w14:paraId="303C4675" w14:textId="77777777" w:rsidTr="000B7133">
        <w:tc>
          <w:tcPr>
            <w:tcW w:w="966" w:type="pct"/>
            <w:tcBorders>
              <w:top w:val="single" w:sz="6" w:space="0" w:color="auto"/>
              <w:left w:val="single" w:sz="4" w:space="0" w:color="auto"/>
              <w:bottom w:val="single" w:sz="6" w:space="0" w:color="auto"/>
              <w:right w:val="single" w:sz="6" w:space="0" w:color="auto"/>
            </w:tcBorders>
          </w:tcPr>
          <w:p w14:paraId="5C81DDB3" w14:textId="77777777" w:rsidR="00C236A2" w:rsidRPr="0013396E" w:rsidRDefault="00C236A2" w:rsidP="0099759E">
            <w:pPr>
              <w:spacing w:after="60"/>
              <w:rPr>
                <w:iCs/>
                <w:sz w:val="20"/>
              </w:rPr>
            </w:pPr>
            <w:r w:rsidRPr="0013396E">
              <w:rPr>
                <w:iCs/>
                <w:sz w:val="20"/>
              </w:rPr>
              <w:lastRenderedPageBreak/>
              <w:t xml:space="preserve">ADJSWSUC </w:t>
            </w:r>
            <w:r w:rsidRPr="0013396E">
              <w:rPr>
                <w:i/>
                <w:iCs/>
                <w:sz w:val="20"/>
                <w:vertAlign w:val="subscript"/>
              </w:rPr>
              <w:t>q, r, d</w:t>
            </w:r>
          </w:p>
        </w:tc>
        <w:tc>
          <w:tcPr>
            <w:tcW w:w="692" w:type="pct"/>
            <w:tcBorders>
              <w:top w:val="single" w:sz="6" w:space="0" w:color="auto"/>
              <w:left w:val="single" w:sz="6" w:space="0" w:color="auto"/>
              <w:bottom w:val="single" w:sz="6" w:space="0" w:color="auto"/>
              <w:right w:val="single" w:sz="6" w:space="0" w:color="auto"/>
            </w:tcBorders>
          </w:tcPr>
          <w:p w14:paraId="7D22FB42" w14:textId="77777777" w:rsidR="00C236A2" w:rsidRPr="0013396E" w:rsidRDefault="00C236A2" w:rsidP="0099759E">
            <w:pPr>
              <w:spacing w:after="60"/>
              <w:rPr>
                <w:iCs/>
                <w:sz w:val="20"/>
              </w:rPr>
            </w:pPr>
            <w:r w:rsidRPr="0013396E">
              <w:rPr>
                <w:iCs/>
                <w:sz w:val="20"/>
              </w:rPr>
              <w:t>$</w:t>
            </w:r>
          </w:p>
        </w:tc>
        <w:tc>
          <w:tcPr>
            <w:tcW w:w="3342" w:type="pct"/>
            <w:tcBorders>
              <w:top w:val="single" w:sz="6" w:space="0" w:color="auto"/>
              <w:left w:val="single" w:sz="6" w:space="0" w:color="auto"/>
              <w:bottom w:val="single" w:sz="6" w:space="0" w:color="auto"/>
              <w:right w:val="single" w:sz="4" w:space="0" w:color="auto"/>
            </w:tcBorders>
          </w:tcPr>
          <w:p w14:paraId="420E0E02" w14:textId="77777777" w:rsidR="00C236A2" w:rsidRPr="0013396E" w:rsidRDefault="00C236A2" w:rsidP="0099759E">
            <w:pPr>
              <w:spacing w:after="60"/>
              <w:rPr>
                <w:iCs/>
                <w:sz w:val="20"/>
              </w:rPr>
            </w:pPr>
            <w:r w:rsidRPr="0013396E">
              <w:rPr>
                <w:i/>
                <w:iCs/>
                <w:sz w:val="20"/>
              </w:rPr>
              <w:t>Adjustment to Switchable Generation</w:t>
            </w:r>
            <w:r w:rsidRPr="0013396E">
              <w:rPr>
                <w:iCs/>
                <w:sz w:val="20"/>
              </w:rPr>
              <w:t xml:space="preserve"> </w:t>
            </w:r>
            <w:r w:rsidRPr="0013396E">
              <w:rPr>
                <w:i/>
                <w:iCs/>
                <w:sz w:val="20"/>
              </w:rPr>
              <w:t xml:space="preserve">Start-Up Cost </w:t>
            </w:r>
            <w:r w:rsidRPr="0013396E">
              <w:rPr>
                <w:iCs/>
                <w:sz w:val="20"/>
              </w:rPr>
              <w:t xml:space="preserve">— Adjustment to Switchable Generation Start-up Cost for Resource </w:t>
            </w:r>
            <w:r w:rsidRPr="0013396E">
              <w:rPr>
                <w:i/>
                <w:iCs/>
                <w:sz w:val="20"/>
              </w:rPr>
              <w:t xml:space="preserve">r </w:t>
            </w:r>
            <w:r w:rsidRPr="0013396E">
              <w:rPr>
                <w:iCs/>
                <w:sz w:val="20"/>
              </w:rPr>
              <w:t>represented by QSE</w:t>
            </w:r>
            <w:r w:rsidRPr="0013396E">
              <w:rPr>
                <w:i/>
                <w:iCs/>
                <w:sz w:val="20"/>
              </w:rPr>
              <w:t xml:space="preserve"> q</w:t>
            </w:r>
            <w:r w:rsidRPr="0013396E">
              <w:rPr>
                <w:iCs/>
                <w:sz w:val="20"/>
              </w:rPr>
              <w:t xml:space="preserve">, for the Operating Day </w:t>
            </w:r>
            <w:r w:rsidRPr="0013396E">
              <w:rPr>
                <w:i/>
                <w:iCs/>
                <w:sz w:val="20"/>
              </w:rPr>
              <w:t>d</w:t>
            </w:r>
            <w:r w:rsidRPr="0013396E">
              <w:rPr>
                <w:iCs/>
                <w:sz w:val="20"/>
              </w:rPr>
              <w:t xml:space="preserve">.  Where for a Combined Cycle Train, the Resource </w:t>
            </w:r>
            <w:r w:rsidRPr="0013396E">
              <w:rPr>
                <w:i/>
                <w:iCs/>
                <w:sz w:val="20"/>
              </w:rPr>
              <w:t xml:space="preserve">r </w:t>
            </w:r>
            <w:r w:rsidRPr="0013396E">
              <w:rPr>
                <w:iCs/>
                <w:sz w:val="20"/>
              </w:rPr>
              <w:t>is the Combined Cycle Train.  This adjustment may include eligible startup transition costs for a Combined Cycle Train or costs for any SWGR not captured in other billing determinants.</w:t>
            </w:r>
          </w:p>
        </w:tc>
      </w:tr>
      <w:tr w:rsidR="00C236A2" w:rsidRPr="0013396E" w14:paraId="1B6F24C9" w14:textId="77777777" w:rsidTr="000B7133">
        <w:tc>
          <w:tcPr>
            <w:tcW w:w="966" w:type="pct"/>
            <w:tcBorders>
              <w:top w:val="single" w:sz="6" w:space="0" w:color="auto"/>
              <w:left w:val="single" w:sz="4" w:space="0" w:color="auto"/>
              <w:bottom w:val="single" w:sz="6" w:space="0" w:color="auto"/>
              <w:right w:val="single" w:sz="6" w:space="0" w:color="auto"/>
            </w:tcBorders>
          </w:tcPr>
          <w:p w14:paraId="1367C748" w14:textId="77777777" w:rsidR="00C236A2" w:rsidRPr="0013396E" w:rsidRDefault="00C236A2" w:rsidP="0099759E">
            <w:pPr>
              <w:spacing w:after="60"/>
              <w:rPr>
                <w:iCs/>
                <w:sz w:val="20"/>
              </w:rPr>
            </w:pPr>
            <w:r w:rsidRPr="0013396E">
              <w:rPr>
                <w:iCs/>
                <w:sz w:val="20"/>
              </w:rPr>
              <w:t xml:space="preserve">RCGSC </w:t>
            </w:r>
            <w:r w:rsidRPr="0013396E">
              <w:rPr>
                <w:iCs/>
                <w:sz w:val="20"/>
                <w:vertAlign w:val="subscript"/>
              </w:rPr>
              <w:t xml:space="preserve">s, </w:t>
            </w:r>
            <w:r w:rsidRPr="0013396E">
              <w:rPr>
                <w:i/>
                <w:iCs/>
                <w:sz w:val="20"/>
                <w:vertAlign w:val="subscript"/>
              </w:rPr>
              <w:t>rc</w:t>
            </w:r>
          </w:p>
        </w:tc>
        <w:tc>
          <w:tcPr>
            <w:tcW w:w="692" w:type="pct"/>
            <w:tcBorders>
              <w:top w:val="single" w:sz="6" w:space="0" w:color="auto"/>
              <w:left w:val="single" w:sz="6" w:space="0" w:color="auto"/>
              <w:bottom w:val="single" w:sz="6" w:space="0" w:color="auto"/>
              <w:right w:val="single" w:sz="6" w:space="0" w:color="auto"/>
            </w:tcBorders>
          </w:tcPr>
          <w:p w14:paraId="0F54C14B" w14:textId="77777777" w:rsidR="00C236A2" w:rsidRPr="0013396E" w:rsidRDefault="00C236A2" w:rsidP="0099759E">
            <w:pPr>
              <w:spacing w:after="60"/>
              <w:rPr>
                <w:iCs/>
                <w:sz w:val="20"/>
              </w:rPr>
            </w:pPr>
            <w:r w:rsidRPr="0013396E">
              <w:rPr>
                <w:iCs/>
                <w:sz w:val="20"/>
              </w:rPr>
              <w:t>$/Start</w:t>
            </w:r>
          </w:p>
        </w:tc>
        <w:tc>
          <w:tcPr>
            <w:tcW w:w="3342" w:type="pct"/>
            <w:tcBorders>
              <w:top w:val="single" w:sz="6" w:space="0" w:color="auto"/>
              <w:left w:val="single" w:sz="6" w:space="0" w:color="auto"/>
              <w:bottom w:val="single" w:sz="6" w:space="0" w:color="auto"/>
              <w:right w:val="single" w:sz="4" w:space="0" w:color="auto"/>
            </w:tcBorders>
          </w:tcPr>
          <w:p w14:paraId="41880D33" w14:textId="77777777" w:rsidR="00C236A2" w:rsidRPr="0013396E" w:rsidRDefault="00C236A2" w:rsidP="0099759E">
            <w:pPr>
              <w:spacing w:after="60"/>
              <w:rPr>
                <w:i/>
                <w:iCs/>
                <w:sz w:val="20"/>
              </w:rPr>
            </w:pPr>
            <w:r w:rsidRPr="0013396E">
              <w:rPr>
                <w:i/>
                <w:iCs/>
                <w:sz w:val="20"/>
              </w:rPr>
              <w:t>Resource Category Generic Startup Cost</w:t>
            </w:r>
            <w:r w:rsidRPr="0013396E">
              <w:rPr>
                <w:iCs/>
                <w:sz w:val="20"/>
              </w:rPr>
              <w:t xml:space="preserve">—The Resource Category Generic Startup Cost cap for the category of the Resource </w:t>
            </w:r>
            <w:r w:rsidRPr="0013396E">
              <w:rPr>
                <w:i/>
                <w:iCs/>
                <w:sz w:val="20"/>
              </w:rPr>
              <w:t>rc</w:t>
            </w:r>
            <w:r w:rsidRPr="0013396E">
              <w:rPr>
                <w:iCs/>
                <w:sz w:val="20"/>
              </w:rPr>
              <w:t>, according to Section 4.4.9.2.3, Startup Offer and Minimum-Energy Offer Generic Caps, for the Operating Day.</w:t>
            </w:r>
          </w:p>
        </w:tc>
      </w:tr>
      <w:tr w:rsidR="00C236A2" w:rsidRPr="0013396E" w14:paraId="4456B0EE" w14:textId="77777777" w:rsidTr="000B7133">
        <w:tc>
          <w:tcPr>
            <w:tcW w:w="966" w:type="pct"/>
            <w:tcBorders>
              <w:top w:val="single" w:sz="6" w:space="0" w:color="auto"/>
              <w:left w:val="single" w:sz="4" w:space="0" w:color="auto"/>
              <w:bottom w:val="single" w:sz="6" w:space="0" w:color="auto"/>
              <w:right w:val="single" w:sz="6" w:space="0" w:color="auto"/>
            </w:tcBorders>
          </w:tcPr>
          <w:p w14:paraId="11E302E5" w14:textId="77777777" w:rsidR="00C236A2" w:rsidRPr="0013396E" w:rsidRDefault="00C236A2" w:rsidP="0099759E">
            <w:pPr>
              <w:spacing w:after="60"/>
              <w:rPr>
                <w:iCs/>
                <w:sz w:val="20"/>
              </w:rPr>
            </w:pPr>
            <w:r w:rsidRPr="0013396E">
              <w:rPr>
                <w:iCs/>
                <w:sz w:val="20"/>
              </w:rPr>
              <w:t xml:space="preserve">RCGMEC </w:t>
            </w:r>
            <w:r w:rsidRPr="0013396E">
              <w:rPr>
                <w:i/>
                <w:iCs/>
                <w:sz w:val="20"/>
                <w:vertAlign w:val="subscript"/>
              </w:rPr>
              <w:t>i, rc</w:t>
            </w:r>
          </w:p>
        </w:tc>
        <w:tc>
          <w:tcPr>
            <w:tcW w:w="692" w:type="pct"/>
            <w:tcBorders>
              <w:top w:val="single" w:sz="6" w:space="0" w:color="auto"/>
              <w:left w:val="single" w:sz="6" w:space="0" w:color="auto"/>
              <w:bottom w:val="single" w:sz="6" w:space="0" w:color="auto"/>
              <w:right w:val="single" w:sz="6" w:space="0" w:color="auto"/>
            </w:tcBorders>
          </w:tcPr>
          <w:p w14:paraId="4CF2D6CB" w14:textId="77777777" w:rsidR="00C236A2" w:rsidRPr="0013396E" w:rsidRDefault="00C236A2" w:rsidP="0099759E">
            <w:pPr>
              <w:spacing w:after="60"/>
              <w:rPr>
                <w:iCs/>
                <w:sz w:val="20"/>
              </w:rPr>
            </w:pPr>
            <w:r w:rsidRPr="0013396E">
              <w:rPr>
                <w:iCs/>
                <w:sz w:val="20"/>
              </w:rPr>
              <w:t>$/MWh</w:t>
            </w:r>
          </w:p>
        </w:tc>
        <w:tc>
          <w:tcPr>
            <w:tcW w:w="3342" w:type="pct"/>
            <w:tcBorders>
              <w:top w:val="single" w:sz="6" w:space="0" w:color="auto"/>
              <w:left w:val="single" w:sz="6" w:space="0" w:color="auto"/>
              <w:bottom w:val="single" w:sz="6" w:space="0" w:color="auto"/>
              <w:right w:val="single" w:sz="4" w:space="0" w:color="auto"/>
            </w:tcBorders>
          </w:tcPr>
          <w:p w14:paraId="1B270E27" w14:textId="77777777" w:rsidR="00C236A2" w:rsidRPr="0013396E" w:rsidRDefault="00C236A2" w:rsidP="0099759E">
            <w:pPr>
              <w:spacing w:after="60"/>
              <w:rPr>
                <w:iCs/>
                <w:sz w:val="20"/>
              </w:rPr>
            </w:pPr>
            <w:r w:rsidRPr="0013396E">
              <w:rPr>
                <w:i/>
                <w:iCs/>
                <w:sz w:val="20"/>
              </w:rPr>
              <w:t>Resource Category Generic Minimum-Energy Cost</w:t>
            </w:r>
            <w:r w:rsidRPr="0013396E">
              <w:rPr>
                <w:iCs/>
                <w:sz w:val="20"/>
              </w:rPr>
              <w:t xml:space="preserve">—The Resource Category Generic Minimum Energy Cost cap for the category of the Resource </w:t>
            </w:r>
            <w:r w:rsidRPr="0013396E">
              <w:rPr>
                <w:i/>
                <w:iCs/>
                <w:sz w:val="20"/>
              </w:rPr>
              <w:t>rc</w:t>
            </w:r>
            <w:r w:rsidRPr="0013396E">
              <w:rPr>
                <w:iCs/>
                <w:sz w:val="20"/>
              </w:rPr>
              <w:t>, according to Section 4.4.9.2.3, for the Operating Day.</w:t>
            </w:r>
          </w:p>
        </w:tc>
      </w:tr>
      <w:tr w:rsidR="00C236A2" w:rsidRPr="0013396E" w14:paraId="0D6348AF" w14:textId="77777777" w:rsidTr="000B7133">
        <w:tc>
          <w:tcPr>
            <w:tcW w:w="966" w:type="pct"/>
            <w:tcBorders>
              <w:top w:val="single" w:sz="6" w:space="0" w:color="auto"/>
              <w:left w:val="single" w:sz="4" w:space="0" w:color="auto"/>
              <w:bottom w:val="single" w:sz="6" w:space="0" w:color="auto"/>
              <w:right w:val="single" w:sz="6" w:space="0" w:color="auto"/>
            </w:tcBorders>
          </w:tcPr>
          <w:p w14:paraId="4CCE6E3B" w14:textId="77777777" w:rsidR="00C236A2" w:rsidRPr="0013396E" w:rsidRDefault="00C236A2" w:rsidP="0099759E">
            <w:pPr>
              <w:spacing w:after="60"/>
              <w:rPr>
                <w:iCs/>
                <w:sz w:val="20"/>
              </w:rPr>
            </w:pPr>
            <w:r w:rsidRPr="0013396E">
              <w:rPr>
                <w:iCs/>
                <w:sz w:val="20"/>
              </w:rPr>
              <w:t xml:space="preserve">PAHR </w:t>
            </w:r>
            <w:r w:rsidRPr="0013396E">
              <w:rPr>
                <w:i/>
                <w:iCs/>
                <w:sz w:val="20"/>
                <w:vertAlign w:val="subscript"/>
              </w:rPr>
              <w:t>r, i</w:t>
            </w:r>
          </w:p>
        </w:tc>
        <w:tc>
          <w:tcPr>
            <w:tcW w:w="692" w:type="pct"/>
            <w:tcBorders>
              <w:top w:val="single" w:sz="6" w:space="0" w:color="auto"/>
              <w:left w:val="single" w:sz="6" w:space="0" w:color="auto"/>
              <w:bottom w:val="single" w:sz="6" w:space="0" w:color="auto"/>
              <w:right w:val="single" w:sz="6" w:space="0" w:color="auto"/>
            </w:tcBorders>
          </w:tcPr>
          <w:p w14:paraId="2667AA1F" w14:textId="77777777" w:rsidR="00C236A2" w:rsidRPr="0013396E" w:rsidRDefault="00C236A2" w:rsidP="0099759E">
            <w:pPr>
              <w:spacing w:after="60"/>
              <w:rPr>
                <w:iCs/>
                <w:sz w:val="20"/>
              </w:rPr>
            </w:pPr>
            <w:r w:rsidRPr="0013396E">
              <w:rPr>
                <w:iCs/>
                <w:sz w:val="20"/>
              </w:rPr>
              <w:t>MMBtu / MWh</w:t>
            </w:r>
          </w:p>
        </w:tc>
        <w:tc>
          <w:tcPr>
            <w:tcW w:w="3342" w:type="pct"/>
            <w:tcBorders>
              <w:top w:val="single" w:sz="6" w:space="0" w:color="auto"/>
              <w:left w:val="single" w:sz="6" w:space="0" w:color="auto"/>
              <w:bottom w:val="single" w:sz="6" w:space="0" w:color="auto"/>
              <w:right w:val="single" w:sz="4" w:space="0" w:color="auto"/>
            </w:tcBorders>
          </w:tcPr>
          <w:p w14:paraId="71F6352F" w14:textId="77777777" w:rsidR="00C236A2" w:rsidRPr="0013396E" w:rsidRDefault="00C236A2" w:rsidP="0099759E">
            <w:pPr>
              <w:spacing w:after="60"/>
              <w:rPr>
                <w:i/>
                <w:iCs/>
                <w:sz w:val="20"/>
              </w:rPr>
            </w:pPr>
            <w:r w:rsidRPr="0013396E">
              <w:rPr>
                <w:i/>
                <w:iCs/>
                <w:sz w:val="20"/>
              </w:rPr>
              <w:t>Proxy Average Heat Rate-</w:t>
            </w:r>
            <w:r w:rsidRPr="0013396E">
              <w:rPr>
                <w:iCs/>
                <w:sz w:val="20"/>
              </w:rPr>
              <w:t xml:space="preserve"> The proxy average heat rate for the Resource </w:t>
            </w:r>
            <w:r w:rsidRPr="0013396E">
              <w:rPr>
                <w:i/>
                <w:iCs/>
                <w:sz w:val="20"/>
              </w:rPr>
              <w:t>r</w:t>
            </w:r>
            <w:r w:rsidRPr="0013396E">
              <w:rPr>
                <w:iCs/>
                <w:sz w:val="20"/>
              </w:rPr>
              <w:t xml:space="preserve"> for the 15-minute Settlement Interval </w:t>
            </w:r>
            <w:r w:rsidRPr="0013396E">
              <w:rPr>
                <w:i/>
                <w:iCs/>
                <w:sz w:val="20"/>
              </w:rPr>
              <w:t>i</w:t>
            </w:r>
            <w:r w:rsidRPr="0013396E">
              <w:rPr>
                <w:iCs/>
                <w:sz w:val="20"/>
              </w:rPr>
              <w:t xml:space="preserve">.  Where for a Combined Cycle Train, the Resource </w:t>
            </w:r>
            <w:r w:rsidRPr="0013396E">
              <w:rPr>
                <w:i/>
                <w:iCs/>
                <w:sz w:val="20"/>
              </w:rPr>
              <w:t>r</w:t>
            </w:r>
            <w:r w:rsidRPr="0013396E">
              <w:rPr>
                <w:iCs/>
                <w:sz w:val="20"/>
              </w:rPr>
              <w:t xml:space="preserve"> is a Combined Cycle Generation Resource within the Combined Cycle Train.</w:t>
            </w:r>
          </w:p>
        </w:tc>
      </w:tr>
      <w:tr w:rsidR="00C236A2" w:rsidRPr="0013396E" w14:paraId="1B9A1428" w14:textId="77777777" w:rsidTr="000B7133">
        <w:tc>
          <w:tcPr>
            <w:tcW w:w="966" w:type="pct"/>
            <w:tcBorders>
              <w:top w:val="single" w:sz="6" w:space="0" w:color="auto"/>
              <w:left w:val="single" w:sz="4" w:space="0" w:color="auto"/>
              <w:bottom w:val="single" w:sz="6" w:space="0" w:color="auto"/>
              <w:right w:val="single" w:sz="6" w:space="0" w:color="auto"/>
            </w:tcBorders>
            <w:hideMark/>
          </w:tcPr>
          <w:p w14:paraId="34E817C0" w14:textId="77777777" w:rsidR="00C236A2" w:rsidRPr="0013396E" w:rsidRDefault="00C236A2" w:rsidP="0099759E">
            <w:pPr>
              <w:spacing w:after="60"/>
              <w:rPr>
                <w:iCs/>
                <w:sz w:val="20"/>
              </w:rPr>
            </w:pPr>
            <w:r w:rsidRPr="0013396E">
              <w:rPr>
                <w:iCs/>
                <w:sz w:val="20"/>
              </w:rPr>
              <w:t xml:space="preserve">STOM </w:t>
            </w:r>
            <w:r w:rsidRPr="0013396E">
              <w:rPr>
                <w:i/>
                <w:iCs/>
                <w:sz w:val="20"/>
                <w:vertAlign w:val="subscript"/>
              </w:rPr>
              <w:t>rc</w:t>
            </w:r>
            <w:r w:rsidRPr="0013396E">
              <w:rPr>
                <w:iCs/>
                <w:sz w:val="20"/>
                <w:vertAlign w:val="subscript"/>
              </w:rPr>
              <w:t xml:space="preserve"> </w:t>
            </w:r>
          </w:p>
        </w:tc>
        <w:tc>
          <w:tcPr>
            <w:tcW w:w="692" w:type="pct"/>
            <w:tcBorders>
              <w:top w:val="single" w:sz="6" w:space="0" w:color="auto"/>
              <w:left w:val="single" w:sz="6" w:space="0" w:color="auto"/>
              <w:bottom w:val="single" w:sz="6" w:space="0" w:color="auto"/>
              <w:right w:val="single" w:sz="6" w:space="0" w:color="auto"/>
            </w:tcBorders>
            <w:hideMark/>
          </w:tcPr>
          <w:p w14:paraId="46E3E0BD" w14:textId="77777777" w:rsidR="00C236A2" w:rsidRPr="0013396E" w:rsidRDefault="00C236A2" w:rsidP="0099759E">
            <w:pPr>
              <w:spacing w:after="60"/>
              <w:rPr>
                <w:iCs/>
                <w:sz w:val="20"/>
              </w:rPr>
            </w:pPr>
            <w:r w:rsidRPr="0013396E">
              <w:rPr>
                <w:iCs/>
                <w:sz w:val="20"/>
              </w:rPr>
              <w:t>$/MWh</w:t>
            </w:r>
          </w:p>
        </w:tc>
        <w:tc>
          <w:tcPr>
            <w:tcW w:w="3342" w:type="pct"/>
            <w:tcBorders>
              <w:top w:val="single" w:sz="6" w:space="0" w:color="auto"/>
              <w:left w:val="single" w:sz="6" w:space="0" w:color="auto"/>
              <w:bottom w:val="single" w:sz="6" w:space="0" w:color="auto"/>
              <w:right w:val="single" w:sz="4" w:space="0" w:color="auto"/>
            </w:tcBorders>
            <w:hideMark/>
          </w:tcPr>
          <w:p w14:paraId="2F319125" w14:textId="77777777" w:rsidR="00C236A2" w:rsidRPr="0013396E" w:rsidRDefault="00C236A2" w:rsidP="0099759E">
            <w:pPr>
              <w:spacing w:after="60"/>
              <w:rPr>
                <w:iCs/>
                <w:sz w:val="20"/>
              </w:rPr>
            </w:pPr>
            <w:r w:rsidRPr="0013396E">
              <w:rPr>
                <w:i/>
                <w:iCs/>
                <w:sz w:val="20"/>
              </w:rPr>
              <w:t xml:space="preserve">Standard Operations and Maintenance Cost - </w:t>
            </w:r>
            <w:r w:rsidRPr="0013396E">
              <w:rPr>
                <w:iCs/>
                <w:sz w:val="20"/>
              </w:rPr>
              <w:t xml:space="preserve">The standard O&amp;M cost for the Resource Category </w:t>
            </w:r>
            <w:r w:rsidRPr="0013396E">
              <w:rPr>
                <w:i/>
                <w:iCs/>
                <w:sz w:val="20"/>
              </w:rPr>
              <w:t>rc</w:t>
            </w:r>
            <w:r w:rsidRPr="0013396E">
              <w:rPr>
                <w:iCs/>
                <w:sz w:val="20"/>
              </w:rPr>
              <w:t xml:space="preserve"> for operations above LSL, shall be set to the minimum energy variable O&amp;M costs, as described in paragraph (6)(c) of Section 5.6.1, Verifiable Costs.  </w:t>
            </w:r>
          </w:p>
        </w:tc>
      </w:tr>
      <w:tr w:rsidR="00C236A2" w:rsidRPr="0013396E" w14:paraId="792D4734" w14:textId="77777777" w:rsidTr="000B7133">
        <w:tc>
          <w:tcPr>
            <w:tcW w:w="966" w:type="pct"/>
            <w:tcBorders>
              <w:top w:val="single" w:sz="6" w:space="0" w:color="auto"/>
              <w:left w:val="single" w:sz="4" w:space="0" w:color="auto"/>
              <w:bottom w:val="single" w:sz="6" w:space="0" w:color="auto"/>
              <w:right w:val="single" w:sz="6" w:space="0" w:color="auto"/>
            </w:tcBorders>
          </w:tcPr>
          <w:p w14:paraId="01040299" w14:textId="77777777" w:rsidR="00C236A2" w:rsidRPr="0013396E" w:rsidRDefault="00C236A2" w:rsidP="0099759E">
            <w:pPr>
              <w:spacing w:after="60"/>
              <w:rPr>
                <w:iCs/>
                <w:sz w:val="20"/>
              </w:rPr>
            </w:pPr>
            <w:r w:rsidRPr="0013396E">
              <w:rPr>
                <w:iCs/>
                <w:sz w:val="20"/>
              </w:rPr>
              <w:t xml:space="preserve">RTSPP </w:t>
            </w:r>
            <w:r w:rsidRPr="0013396E">
              <w:rPr>
                <w:i/>
                <w:iCs/>
                <w:sz w:val="20"/>
                <w:vertAlign w:val="subscript"/>
              </w:rPr>
              <w:t>p, i</w:t>
            </w:r>
          </w:p>
        </w:tc>
        <w:tc>
          <w:tcPr>
            <w:tcW w:w="692" w:type="pct"/>
            <w:tcBorders>
              <w:top w:val="single" w:sz="6" w:space="0" w:color="auto"/>
              <w:left w:val="single" w:sz="6" w:space="0" w:color="auto"/>
              <w:bottom w:val="single" w:sz="6" w:space="0" w:color="auto"/>
              <w:right w:val="single" w:sz="6" w:space="0" w:color="auto"/>
            </w:tcBorders>
          </w:tcPr>
          <w:p w14:paraId="11E466AD" w14:textId="77777777" w:rsidR="00C236A2" w:rsidRPr="0013396E" w:rsidRDefault="00C236A2" w:rsidP="0099759E">
            <w:pPr>
              <w:spacing w:after="60"/>
              <w:rPr>
                <w:iCs/>
                <w:sz w:val="20"/>
              </w:rPr>
            </w:pPr>
            <w:r w:rsidRPr="0013396E">
              <w:rPr>
                <w:iCs/>
                <w:sz w:val="20"/>
              </w:rPr>
              <w:t>$/MWh</w:t>
            </w:r>
          </w:p>
        </w:tc>
        <w:tc>
          <w:tcPr>
            <w:tcW w:w="3342" w:type="pct"/>
            <w:tcBorders>
              <w:top w:val="single" w:sz="6" w:space="0" w:color="auto"/>
              <w:left w:val="single" w:sz="6" w:space="0" w:color="auto"/>
              <w:bottom w:val="single" w:sz="6" w:space="0" w:color="auto"/>
              <w:right w:val="single" w:sz="4" w:space="0" w:color="auto"/>
            </w:tcBorders>
          </w:tcPr>
          <w:p w14:paraId="0243AC15" w14:textId="77777777" w:rsidR="00C236A2" w:rsidRPr="0013396E" w:rsidRDefault="00C236A2" w:rsidP="0099759E">
            <w:pPr>
              <w:spacing w:after="60"/>
              <w:rPr>
                <w:i/>
                <w:iCs/>
                <w:sz w:val="20"/>
              </w:rPr>
            </w:pPr>
            <w:r w:rsidRPr="0013396E">
              <w:rPr>
                <w:i/>
                <w:iCs/>
                <w:sz w:val="20"/>
              </w:rPr>
              <w:t>Real-Time Settlement Point Price</w:t>
            </w:r>
            <w:r w:rsidRPr="0013396E">
              <w:rPr>
                <w:iCs/>
                <w:sz w:val="20"/>
              </w:rPr>
              <w:t xml:space="preserve">—The Real-Time Settlement Point Price at Settlement Point </w:t>
            </w:r>
            <w:r w:rsidRPr="0013396E">
              <w:rPr>
                <w:i/>
                <w:iCs/>
                <w:sz w:val="20"/>
              </w:rPr>
              <w:t>p</w:t>
            </w:r>
            <w:r w:rsidRPr="0013396E">
              <w:rPr>
                <w:iCs/>
                <w:sz w:val="20"/>
              </w:rPr>
              <w:t xml:space="preserve">, for the 15-minute Settlement Interval </w:t>
            </w:r>
            <w:r w:rsidRPr="0013396E">
              <w:rPr>
                <w:i/>
                <w:iCs/>
                <w:sz w:val="20"/>
              </w:rPr>
              <w:t>i</w:t>
            </w:r>
            <w:r w:rsidRPr="0013396E">
              <w:rPr>
                <w:iCs/>
                <w:sz w:val="20"/>
              </w:rPr>
              <w:t>.</w:t>
            </w:r>
          </w:p>
        </w:tc>
      </w:tr>
      <w:tr w:rsidR="00C236A2" w:rsidRPr="0013396E" w14:paraId="2C7CC92C" w14:textId="77777777" w:rsidTr="000B7133">
        <w:tc>
          <w:tcPr>
            <w:tcW w:w="966" w:type="pct"/>
            <w:tcBorders>
              <w:top w:val="single" w:sz="6" w:space="0" w:color="auto"/>
              <w:left w:val="single" w:sz="4" w:space="0" w:color="auto"/>
              <w:bottom w:val="single" w:sz="6" w:space="0" w:color="auto"/>
              <w:right w:val="single" w:sz="6" w:space="0" w:color="auto"/>
            </w:tcBorders>
          </w:tcPr>
          <w:p w14:paraId="59118679" w14:textId="77777777" w:rsidR="00C236A2" w:rsidRPr="0013396E" w:rsidRDefault="00C236A2" w:rsidP="0099759E">
            <w:pPr>
              <w:spacing w:after="60"/>
              <w:rPr>
                <w:iCs/>
                <w:sz w:val="20"/>
              </w:rPr>
            </w:pPr>
            <w:r w:rsidRPr="0013396E">
              <w:rPr>
                <w:iCs/>
                <w:sz w:val="20"/>
              </w:rPr>
              <w:t>FIP</w:t>
            </w:r>
          </w:p>
        </w:tc>
        <w:tc>
          <w:tcPr>
            <w:tcW w:w="692" w:type="pct"/>
            <w:tcBorders>
              <w:top w:val="single" w:sz="6" w:space="0" w:color="auto"/>
              <w:left w:val="single" w:sz="6" w:space="0" w:color="auto"/>
              <w:bottom w:val="single" w:sz="6" w:space="0" w:color="auto"/>
              <w:right w:val="single" w:sz="6" w:space="0" w:color="auto"/>
            </w:tcBorders>
          </w:tcPr>
          <w:p w14:paraId="1060AA66" w14:textId="77777777" w:rsidR="00C236A2" w:rsidRPr="0013396E" w:rsidRDefault="00C236A2" w:rsidP="0099759E">
            <w:pPr>
              <w:spacing w:after="60"/>
              <w:rPr>
                <w:iCs/>
                <w:sz w:val="20"/>
              </w:rPr>
            </w:pPr>
            <w:r w:rsidRPr="0013396E">
              <w:rPr>
                <w:iCs/>
                <w:sz w:val="20"/>
              </w:rPr>
              <w:t>$/MMBtu</w:t>
            </w:r>
          </w:p>
        </w:tc>
        <w:tc>
          <w:tcPr>
            <w:tcW w:w="3342" w:type="pct"/>
            <w:tcBorders>
              <w:top w:val="single" w:sz="6" w:space="0" w:color="auto"/>
              <w:left w:val="single" w:sz="6" w:space="0" w:color="auto"/>
              <w:bottom w:val="single" w:sz="6" w:space="0" w:color="auto"/>
              <w:right w:val="single" w:sz="4" w:space="0" w:color="auto"/>
            </w:tcBorders>
          </w:tcPr>
          <w:p w14:paraId="6775C7BF" w14:textId="77777777" w:rsidR="00C236A2" w:rsidRPr="0013396E" w:rsidRDefault="00C236A2" w:rsidP="0099759E">
            <w:pPr>
              <w:spacing w:after="60"/>
              <w:rPr>
                <w:i/>
                <w:iCs/>
                <w:sz w:val="20"/>
              </w:rPr>
            </w:pPr>
            <w:r w:rsidRPr="0013396E">
              <w:rPr>
                <w:i/>
                <w:iCs/>
                <w:sz w:val="20"/>
              </w:rPr>
              <w:t>Fuel Index Price</w:t>
            </w:r>
            <w:r w:rsidRPr="0013396E">
              <w:rPr>
                <w:iCs/>
                <w:sz w:val="20"/>
              </w:rPr>
              <w:t>—As defined in Section 2.1, Definitions.</w:t>
            </w:r>
          </w:p>
        </w:tc>
      </w:tr>
      <w:tr w:rsidR="00C236A2" w:rsidRPr="0013396E" w14:paraId="6EDB5E67" w14:textId="77777777" w:rsidTr="000B7133">
        <w:tc>
          <w:tcPr>
            <w:tcW w:w="966" w:type="pct"/>
            <w:tcBorders>
              <w:top w:val="single" w:sz="6" w:space="0" w:color="auto"/>
              <w:left w:val="single" w:sz="4" w:space="0" w:color="auto"/>
              <w:bottom w:val="single" w:sz="6" w:space="0" w:color="auto"/>
              <w:right w:val="single" w:sz="6" w:space="0" w:color="auto"/>
            </w:tcBorders>
          </w:tcPr>
          <w:p w14:paraId="4A3E6E35" w14:textId="77777777" w:rsidR="00C236A2" w:rsidRPr="0013396E" w:rsidRDefault="00C236A2" w:rsidP="0099759E">
            <w:pPr>
              <w:spacing w:after="60"/>
              <w:rPr>
                <w:iCs/>
                <w:sz w:val="20"/>
              </w:rPr>
            </w:pPr>
            <w:r w:rsidRPr="0013396E">
              <w:rPr>
                <w:iCs/>
                <w:sz w:val="20"/>
              </w:rPr>
              <w:t>FOP</w:t>
            </w:r>
          </w:p>
        </w:tc>
        <w:tc>
          <w:tcPr>
            <w:tcW w:w="692" w:type="pct"/>
            <w:tcBorders>
              <w:top w:val="single" w:sz="6" w:space="0" w:color="auto"/>
              <w:left w:val="single" w:sz="6" w:space="0" w:color="auto"/>
              <w:bottom w:val="single" w:sz="6" w:space="0" w:color="auto"/>
              <w:right w:val="single" w:sz="6" w:space="0" w:color="auto"/>
            </w:tcBorders>
          </w:tcPr>
          <w:p w14:paraId="5816BD32" w14:textId="77777777" w:rsidR="00C236A2" w:rsidRPr="0013396E" w:rsidRDefault="00C236A2" w:rsidP="0099759E">
            <w:pPr>
              <w:spacing w:after="60"/>
              <w:rPr>
                <w:iCs/>
                <w:sz w:val="20"/>
              </w:rPr>
            </w:pPr>
            <w:r w:rsidRPr="0013396E">
              <w:rPr>
                <w:iCs/>
                <w:sz w:val="20"/>
              </w:rPr>
              <w:t>$/MMBtu</w:t>
            </w:r>
          </w:p>
        </w:tc>
        <w:tc>
          <w:tcPr>
            <w:tcW w:w="3342" w:type="pct"/>
            <w:tcBorders>
              <w:top w:val="single" w:sz="6" w:space="0" w:color="auto"/>
              <w:left w:val="single" w:sz="6" w:space="0" w:color="auto"/>
              <w:bottom w:val="single" w:sz="6" w:space="0" w:color="auto"/>
              <w:right w:val="single" w:sz="4" w:space="0" w:color="auto"/>
            </w:tcBorders>
          </w:tcPr>
          <w:p w14:paraId="7B650E1D" w14:textId="77777777" w:rsidR="00C236A2" w:rsidRPr="0013396E" w:rsidRDefault="00C236A2" w:rsidP="0099759E">
            <w:pPr>
              <w:spacing w:after="60"/>
              <w:rPr>
                <w:iCs/>
                <w:sz w:val="20"/>
              </w:rPr>
            </w:pPr>
            <w:r w:rsidRPr="0013396E">
              <w:rPr>
                <w:i/>
                <w:iCs/>
                <w:sz w:val="20"/>
              </w:rPr>
              <w:t>Fuel Oil Price</w:t>
            </w:r>
            <w:r w:rsidRPr="0013396E">
              <w:rPr>
                <w:iCs/>
                <w:sz w:val="20"/>
              </w:rPr>
              <w:t>—As defined in Section 2.1.</w:t>
            </w:r>
          </w:p>
        </w:tc>
      </w:tr>
      <w:tr w:rsidR="00C236A2" w:rsidRPr="0013396E" w14:paraId="25C5F586" w14:textId="77777777" w:rsidTr="000B7133">
        <w:tc>
          <w:tcPr>
            <w:tcW w:w="966" w:type="pct"/>
            <w:tcBorders>
              <w:top w:val="single" w:sz="6" w:space="0" w:color="auto"/>
              <w:left w:val="single" w:sz="4" w:space="0" w:color="auto"/>
              <w:bottom w:val="single" w:sz="6" w:space="0" w:color="auto"/>
              <w:right w:val="single" w:sz="6" w:space="0" w:color="auto"/>
            </w:tcBorders>
            <w:hideMark/>
          </w:tcPr>
          <w:p w14:paraId="70C17699" w14:textId="77777777" w:rsidR="00C236A2" w:rsidRPr="0013396E" w:rsidRDefault="00C236A2" w:rsidP="0099759E">
            <w:pPr>
              <w:spacing w:after="60"/>
              <w:rPr>
                <w:i/>
                <w:iCs/>
                <w:sz w:val="20"/>
              </w:rPr>
            </w:pPr>
            <w:r w:rsidRPr="0013396E">
              <w:rPr>
                <w:iCs/>
                <w:sz w:val="20"/>
              </w:rPr>
              <w:t xml:space="preserve">FA </w:t>
            </w:r>
            <w:r w:rsidRPr="0013396E">
              <w:rPr>
                <w:i/>
                <w:iCs/>
                <w:sz w:val="20"/>
                <w:vertAlign w:val="subscript"/>
              </w:rPr>
              <w:t>r</w:t>
            </w:r>
          </w:p>
        </w:tc>
        <w:tc>
          <w:tcPr>
            <w:tcW w:w="692" w:type="pct"/>
            <w:tcBorders>
              <w:top w:val="single" w:sz="6" w:space="0" w:color="auto"/>
              <w:left w:val="single" w:sz="6" w:space="0" w:color="auto"/>
              <w:bottom w:val="single" w:sz="6" w:space="0" w:color="auto"/>
              <w:right w:val="single" w:sz="6" w:space="0" w:color="auto"/>
            </w:tcBorders>
            <w:hideMark/>
          </w:tcPr>
          <w:p w14:paraId="48EFBC0D" w14:textId="77777777" w:rsidR="00C236A2" w:rsidRPr="0013396E" w:rsidRDefault="00C236A2" w:rsidP="0099759E">
            <w:pPr>
              <w:spacing w:after="60"/>
              <w:rPr>
                <w:iCs/>
                <w:sz w:val="20"/>
              </w:rPr>
            </w:pPr>
            <w:r w:rsidRPr="0013396E">
              <w:rPr>
                <w:iCs/>
                <w:sz w:val="20"/>
              </w:rPr>
              <w:t>$/MMBtu</w:t>
            </w:r>
          </w:p>
        </w:tc>
        <w:tc>
          <w:tcPr>
            <w:tcW w:w="3342" w:type="pct"/>
            <w:tcBorders>
              <w:top w:val="single" w:sz="6" w:space="0" w:color="auto"/>
              <w:left w:val="single" w:sz="6" w:space="0" w:color="auto"/>
              <w:bottom w:val="single" w:sz="6" w:space="0" w:color="auto"/>
              <w:right w:val="single" w:sz="4" w:space="0" w:color="auto"/>
            </w:tcBorders>
            <w:hideMark/>
          </w:tcPr>
          <w:p w14:paraId="300E0AED" w14:textId="77777777" w:rsidR="00C236A2" w:rsidRPr="0013396E" w:rsidRDefault="00C236A2" w:rsidP="0099759E">
            <w:pPr>
              <w:spacing w:after="60"/>
              <w:rPr>
                <w:iCs/>
                <w:sz w:val="20"/>
              </w:rPr>
            </w:pPr>
            <w:r w:rsidRPr="0013396E">
              <w:rPr>
                <w:i/>
                <w:iCs/>
                <w:sz w:val="20"/>
              </w:rPr>
              <w:t>Fuel Adder</w:t>
            </w:r>
            <w:r w:rsidRPr="0013396E">
              <w:rPr>
                <w:iCs/>
                <w:sz w:val="20"/>
              </w:rPr>
              <w:t xml:space="preserve"> — The fuel adder is the average cost above the index price Resource </w:t>
            </w:r>
            <w:r w:rsidRPr="0013396E">
              <w:rPr>
                <w:i/>
                <w:iCs/>
                <w:sz w:val="20"/>
              </w:rPr>
              <w:t xml:space="preserve">r </w:t>
            </w:r>
            <w:r w:rsidRPr="0013396E">
              <w:rPr>
                <w:iCs/>
                <w:sz w:val="20"/>
              </w:rPr>
              <w:t xml:space="preserve">has paid to obtain fuel.  Where for a Combined Cycle Train, the Resource </w:t>
            </w:r>
            <w:r w:rsidRPr="0013396E">
              <w:rPr>
                <w:i/>
                <w:iCs/>
                <w:sz w:val="20"/>
              </w:rPr>
              <w:t xml:space="preserve">r </w:t>
            </w:r>
            <w:r w:rsidRPr="0013396E">
              <w:rPr>
                <w:iCs/>
                <w:sz w:val="20"/>
              </w:rPr>
              <w:t xml:space="preserve">is a Combined Cycle Generation Resource within the Combined Cycle Train.  See the Verifiable Cost Manual for additional information. </w:t>
            </w:r>
          </w:p>
        </w:tc>
      </w:tr>
      <w:tr w:rsidR="00C236A2" w:rsidRPr="0013396E" w14:paraId="7D9EE16B" w14:textId="77777777" w:rsidTr="000B7133">
        <w:tc>
          <w:tcPr>
            <w:tcW w:w="966" w:type="pct"/>
            <w:tcBorders>
              <w:top w:val="single" w:sz="6" w:space="0" w:color="auto"/>
              <w:left w:val="single" w:sz="4" w:space="0" w:color="auto"/>
              <w:bottom w:val="single" w:sz="6" w:space="0" w:color="auto"/>
              <w:right w:val="single" w:sz="6" w:space="0" w:color="auto"/>
            </w:tcBorders>
          </w:tcPr>
          <w:p w14:paraId="3668DDD6" w14:textId="77777777" w:rsidR="00C236A2" w:rsidRPr="0013396E" w:rsidRDefault="00C236A2" w:rsidP="0099759E">
            <w:pPr>
              <w:spacing w:after="60"/>
              <w:rPr>
                <w:iCs/>
                <w:sz w:val="20"/>
              </w:rPr>
            </w:pPr>
            <w:r w:rsidRPr="0013396E">
              <w:rPr>
                <w:iCs/>
                <w:sz w:val="20"/>
              </w:rPr>
              <w:t xml:space="preserve">EMREAMT </w:t>
            </w:r>
            <w:r w:rsidRPr="0013396E">
              <w:rPr>
                <w:i/>
                <w:iCs/>
                <w:sz w:val="20"/>
                <w:vertAlign w:val="subscript"/>
              </w:rPr>
              <w:t>q, r, p, i</w:t>
            </w:r>
          </w:p>
        </w:tc>
        <w:tc>
          <w:tcPr>
            <w:tcW w:w="692" w:type="pct"/>
            <w:tcBorders>
              <w:top w:val="single" w:sz="6" w:space="0" w:color="auto"/>
              <w:left w:val="single" w:sz="6" w:space="0" w:color="auto"/>
              <w:bottom w:val="single" w:sz="6" w:space="0" w:color="auto"/>
              <w:right w:val="single" w:sz="6" w:space="0" w:color="auto"/>
            </w:tcBorders>
          </w:tcPr>
          <w:p w14:paraId="70133182" w14:textId="77777777" w:rsidR="00C236A2" w:rsidRPr="0013396E" w:rsidRDefault="00C236A2" w:rsidP="0099759E">
            <w:pPr>
              <w:spacing w:after="60"/>
              <w:rPr>
                <w:iCs/>
                <w:sz w:val="20"/>
              </w:rPr>
            </w:pPr>
            <w:r w:rsidRPr="0013396E">
              <w:rPr>
                <w:iCs/>
                <w:sz w:val="20"/>
              </w:rPr>
              <w:t>$</w:t>
            </w:r>
          </w:p>
        </w:tc>
        <w:tc>
          <w:tcPr>
            <w:tcW w:w="3342" w:type="pct"/>
            <w:tcBorders>
              <w:top w:val="single" w:sz="6" w:space="0" w:color="auto"/>
              <w:left w:val="single" w:sz="6" w:space="0" w:color="auto"/>
              <w:bottom w:val="single" w:sz="6" w:space="0" w:color="auto"/>
              <w:right w:val="single" w:sz="4" w:space="0" w:color="auto"/>
            </w:tcBorders>
          </w:tcPr>
          <w:p w14:paraId="2B5F2F1B" w14:textId="77777777" w:rsidR="00C236A2" w:rsidRPr="0013396E" w:rsidRDefault="00C236A2" w:rsidP="0099759E">
            <w:pPr>
              <w:spacing w:after="60"/>
              <w:rPr>
                <w:iCs/>
                <w:sz w:val="20"/>
              </w:rPr>
            </w:pPr>
            <w:r w:rsidRPr="0013396E">
              <w:rPr>
                <w:i/>
                <w:iCs/>
                <w:sz w:val="20"/>
              </w:rPr>
              <w:t>Emergency Energy Amount per QSE per Settlement Point per unit per interval</w:t>
            </w:r>
            <w:r w:rsidRPr="0013396E">
              <w:rPr>
                <w:iCs/>
                <w:sz w:val="20"/>
              </w:rPr>
              <w:t xml:space="preserve">—The payment to QSE </w:t>
            </w:r>
            <w:r w:rsidRPr="0013396E">
              <w:rPr>
                <w:i/>
                <w:iCs/>
                <w:sz w:val="20"/>
              </w:rPr>
              <w:t>q</w:t>
            </w:r>
            <w:r w:rsidRPr="0013396E">
              <w:rPr>
                <w:iCs/>
                <w:sz w:val="20"/>
              </w:rPr>
              <w:t xml:space="preserve"> for the additional energy or Ancillary Services produced or consumed by Resource </w:t>
            </w:r>
            <w:r w:rsidRPr="0013396E">
              <w:rPr>
                <w:i/>
                <w:iCs/>
                <w:sz w:val="20"/>
              </w:rPr>
              <w:t>r</w:t>
            </w:r>
            <w:r w:rsidRPr="0013396E">
              <w:rPr>
                <w:iCs/>
                <w:sz w:val="20"/>
              </w:rPr>
              <w:t xml:space="preserve"> at Resource Node </w:t>
            </w:r>
            <w:r w:rsidRPr="0013396E">
              <w:rPr>
                <w:i/>
                <w:iCs/>
                <w:sz w:val="20"/>
              </w:rPr>
              <w:t>p</w:t>
            </w:r>
            <w:r w:rsidRPr="0013396E">
              <w:rPr>
                <w:iCs/>
                <w:sz w:val="20"/>
              </w:rPr>
              <w:t xml:space="preserve"> in Real-Time during the Emergency Condition, for the 15-minute Settlement Interval </w:t>
            </w:r>
            <w:r w:rsidRPr="0013396E">
              <w:rPr>
                <w:i/>
                <w:iCs/>
                <w:sz w:val="20"/>
              </w:rPr>
              <w:t>i</w:t>
            </w:r>
            <w:r w:rsidRPr="0013396E">
              <w:rPr>
                <w:iCs/>
                <w:sz w:val="20"/>
              </w:rPr>
              <w:t>.  Payment for emergency energy is made to the Combined Cycle Train.</w:t>
            </w:r>
          </w:p>
        </w:tc>
      </w:tr>
      <w:tr w:rsidR="00C236A2" w:rsidRPr="0013396E" w14:paraId="16234BD6" w14:textId="77777777" w:rsidTr="0099759E">
        <w:trPr>
          <w:cantSplit/>
        </w:trPr>
        <w:tc>
          <w:tcPr>
            <w:tcW w:w="966" w:type="pct"/>
            <w:tcBorders>
              <w:top w:val="single" w:sz="6" w:space="0" w:color="auto"/>
              <w:left w:val="single" w:sz="4" w:space="0" w:color="auto"/>
              <w:bottom w:val="single" w:sz="6" w:space="0" w:color="auto"/>
              <w:right w:val="single" w:sz="6" w:space="0" w:color="auto"/>
            </w:tcBorders>
          </w:tcPr>
          <w:p w14:paraId="533AB211" w14:textId="77777777" w:rsidR="00C236A2" w:rsidRPr="0013396E" w:rsidRDefault="00C236A2" w:rsidP="0099759E">
            <w:pPr>
              <w:spacing w:after="60"/>
              <w:rPr>
                <w:iCs/>
                <w:sz w:val="20"/>
              </w:rPr>
            </w:pPr>
            <w:r w:rsidRPr="0013396E">
              <w:rPr>
                <w:iCs/>
                <w:sz w:val="20"/>
              </w:rPr>
              <w:t xml:space="preserve">VSSVARAMT </w:t>
            </w:r>
            <w:r w:rsidRPr="0013396E">
              <w:rPr>
                <w:i/>
                <w:iCs/>
                <w:sz w:val="20"/>
                <w:vertAlign w:val="subscript"/>
              </w:rPr>
              <w:t>q, r, i</w:t>
            </w:r>
          </w:p>
        </w:tc>
        <w:tc>
          <w:tcPr>
            <w:tcW w:w="692" w:type="pct"/>
            <w:tcBorders>
              <w:top w:val="single" w:sz="6" w:space="0" w:color="auto"/>
              <w:left w:val="single" w:sz="6" w:space="0" w:color="auto"/>
              <w:bottom w:val="single" w:sz="6" w:space="0" w:color="auto"/>
              <w:right w:val="single" w:sz="6" w:space="0" w:color="auto"/>
            </w:tcBorders>
          </w:tcPr>
          <w:p w14:paraId="0DCE1B1C" w14:textId="77777777" w:rsidR="00C236A2" w:rsidRPr="0013396E" w:rsidRDefault="00C236A2" w:rsidP="0099759E">
            <w:pPr>
              <w:spacing w:after="60"/>
              <w:rPr>
                <w:iCs/>
                <w:sz w:val="20"/>
              </w:rPr>
            </w:pPr>
            <w:r w:rsidRPr="0013396E">
              <w:rPr>
                <w:iCs/>
                <w:sz w:val="20"/>
              </w:rPr>
              <w:t>$</w:t>
            </w:r>
          </w:p>
        </w:tc>
        <w:tc>
          <w:tcPr>
            <w:tcW w:w="3342" w:type="pct"/>
            <w:tcBorders>
              <w:top w:val="single" w:sz="6" w:space="0" w:color="auto"/>
              <w:left w:val="single" w:sz="6" w:space="0" w:color="auto"/>
              <w:bottom w:val="single" w:sz="6" w:space="0" w:color="auto"/>
              <w:right w:val="single" w:sz="4" w:space="0" w:color="auto"/>
            </w:tcBorders>
          </w:tcPr>
          <w:p w14:paraId="36F2A7FC" w14:textId="77777777" w:rsidR="00C236A2" w:rsidRPr="0013396E" w:rsidRDefault="00C236A2" w:rsidP="0099759E">
            <w:pPr>
              <w:spacing w:after="60"/>
              <w:rPr>
                <w:iCs/>
                <w:sz w:val="20"/>
              </w:rPr>
            </w:pPr>
            <w:r w:rsidRPr="0013396E">
              <w:rPr>
                <w:i/>
                <w:iCs/>
                <w:sz w:val="20"/>
              </w:rPr>
              <w:t>Voltage Support Service VAr Amount per QSE per Generation Resource -</w:t>
            </w:r>
            <w:r w:rsidRPr="0013396E">
              <w:rPr>
                <w:iCs/>
                <w:sz w:val="20"/>
              </w:rPr>
              <w:t xml:space="preserve"> The payment to QSE </w:t>
            </w:r>
            <w:r w:rsidRPr="0013396E">
              <w:rPr>
                <w:i/>
                <w:iCs/>
                <w:sz w:val="20"/>
              </w:rPr>
              <w:t>q</w:t>
            </w:r>
            <w:r w:rsidRPr="0013396E">
              <w:rPr>
                <w:iCs/>
                <w:sz w:val="20"/>
              </w:rPr>
              <w:t xml:space="preserve"> for the VSS provided by Generation Resource </w:t>
            </w:r>
            <w:r w:rsidRPr="0013396E">
              <w:rPr>
                <w:i/>
                <w:iCs/>
                <w:sz w:val="20"/>
              </w:rPr>
              <w:t>r,</w:t>
            </w:r>
            <w:r w:rsidRPr="0013396E">
              <w:rPr>
                <w:iCs/>
                <w:sz w:val="20"/>
              </w:rPr>
              <w:t xml:space="preserve"> for the 15-minute Settlement Interval </w:t>
            </w:r>
            <w:r w:rsidRPr="0013396E">
              <w:rPr>
                <w:i/>
                <w:iCs/>
                <w:sz w:val="20"/>
              </w:rPr>
              <w:t>i</w:t>
            </w:r>
            <w:r w:rsidRPr="0013396E">
              <w:rPr>
                <w:iCs/>
                <w:sz w:val="20"/>
              </w:rPr>
              <w:t>.  Where for a Combined Cycle Resource</w:t>
            </w:r>
            <w:r w:rsidRPr="0013396E">
              <w:rPr>
                <w:i/>
                <w:iCs/>
                <w:sz w:val="20"/>
              </w:rPr>
              <w:t xml:space="preserve"> r</w:t>
            </w:r>
            <w:r w:rsidRPr="0013396E">
              <w:rPr>
                <w:iCs/>
                <w:sz w:val="20"/>
              </w:rPr>
              <w:t xml:space="preserve"> is a Combined Cycle Train.</w:t>
            </w:r>
          </w:p>
        </w:tc>
      </w:tr>
      <w:tr w:rsidR="00C236A2" w:rsidRPr="0013396E" w14:paraId="1C08EF80" w14:textId="77777777" w:rsidTr="0099759E">
        <w:trPr>
          <w:cantSplit/>
        </w:trPr>
        <w:tc>
          <w:tcPr>
            <w:tcW w:w="966" w:type="pct"/>
            <w:tcBorders>
              <w:top w:val="single" w:sz="6" w:space="0" w:color="auto"/>
              <w:left w:val="single" w:sz="4" w:space="0" w:color="auto"/>
              <w:bottom w:val="single" w:sz="6" w:space="0" w:color="auto"/>
              <w:right w:val="single" w:sz="6" w:space="0" w:color="auto"/>
            </w:tcBorders>
          </w:tcPr>
          <w:p w14:paraId="632109B0" w14:textId="77777777" w:rsidR="00C236A2" w:rsidRPr="0013396E" w:rsidRDefault="00C236A2" w:rsidP="0099759E">
            <w:pPr>
              <w:spacing w:after="60"/>
              <w:rPr>
                <w:iCs/>
                <w:sz w:val="20"/>
              </w:rPr>
            </w:pPr>
            <w:r w:rsidRPr="0013396E">
              <w:rPr>
                <w:iCs/>
                <w:sz w:val="20"/>
              </w:rPr>
              <w:t xml:space="preserve">VSSEAMT </w:t>
            </w:r>
            <w:r w:rsidRPr="0013396E">
              <w:rPr>
                <w:i/>
                <w:iCs/>
                <w:sz w:val="20"/>
                <w:vertAlign w:val="subscript"/>
              </w:rPr>
              <w:t>q, r, i</w:t>
            </w:r>
          </w:p>
        </w:tc>
        <w:tc>
          <w:tcPr>
            <w:tcW w:w="692" w:type="pct"/>
            <w:tcBorders>
              <w:top w:val="single" w:sz="6" w:space="0" w:color="auto"/>
              <w:left w:val="single" w:sz="6" w:space="0" w:color="auto"/>
              <w:bottom w:val="single" w:sz="6" w:space="0" w:color="auto"/>
              <w:right w:val="single" w:sz="6" w:space="0" w:color="auto"/>
            </w:tcBorders>
          </w:tcPr>
          <w:p w14:paraId="057D8094" w14:textId="77777777" w:rsidR="00C236A2" w:rsidRPr="0013396E" w:rsidRDefault="00C236A2" w:rsidP="0099759E">
            <w:pPr>
              <w:spacing w:after="60"/>
              <w:rPr>
                <w:iCs/>
                <w:sz w:val="20"/>
              </w:rPr>
            </w:pPr>
            <w:r w:rsidRPr="0013396E">
              <w:rPr>
                <w:iCs/>
                <w:sz w:val="20"/>
              </w:rPr>
              <w:t>$</w:t>
            </w:r>
          </w:p>
        </w:tc>
        <w:tc>
          <w:tcPr>
            <w:tcW w:w="3342" w:type="pct"/>
            <w:tcBorders>
              <w:top w:val="single" w:sz="6" w:space="0" w:color="auto"/>
              <w:left w:val="single" w:sz="6" w:space="0" w:color="auto"/>
              <w:bottom w:val="single" w:sz="6" w:space="0" w:color="auto"/>
              <w:right w:val="single" w:sz="4" w:space="0" w:color="auto"/>
            </w:tcBorders>
          </w:tcPr>
          <w:p w14:paraId="3ABA66DD" w14:textId="77777777" w:rsidR="00C236A2" w:rsidRPr="0013396E" w:rsidRDefault="00C236A2" w:rsidP="0099759E">
            <w:pPr>
              <w:spacing w:after="60"/>
              <w:rPr>
                <w:iCs/>
                <w:sz w:val="20"/>
              </w:rPr>
            </w:pPr>
            <w:r w:rsidRPr="0013396E">
              <w:rPr>
                <w:i/>
                <w:iCs/>
                <w:sz w:val="20"/>
              </w:rPr>
              <w:t>Voltage Support Service Energy Amount per QSE per Generation Resource</w:t>
            </w:r>
            <w:r w:rsidRPr="0013396E">
              <w:rPr>
                <w:iCs/>
                <w:sz w:val="20"/>
              </w:rPr>
              <w:t xml:space="preserve">—The lost opportunity payment to QSE </w:t>
            </w:r>
            <w:r w:rsidRPr="0013396E">
              <w:rPr>
                <w:i/>
                <w:iCs/>
                <w:sz w:val="20"/>
              </w:rPr>
              <w:t>q</w:t>
            </w:r>
            <w:r w:rsidRPr="0013396E">
              <w:rPr>
                <w:iCs/>
                <w:sz w:val="20"/>
              </w:rPr>
              <w:t xml:space="preserve"> for ERCOT-directed VSS from Generation Resource </w:t>
            </w:r>
            <w:r w:rsidRPr="0013396E">
              <w:rPr>
                <w:i/>
                <w:iCs/>
                <w:sz w:val="20"/>
              </w:rPr>
              <w:t>r</w:t>
            </w:r>
            <w:r w:rsidRPr="0013396E">
              <w:rPr>
                <w:iCs/>
                <w:sz w:val="20"/>
              </w:rPr>
              <w:t xml:space="preserve"> for the 15-minute Settlement Interval </w:t>
            </w:r>
            <w:r w:rsidRPr="0013396E">
              <w:rPr>
                <w:i/>
                <w:iCs/>
                <w:sz w:val="20"/>
              </w:rPr>
              <w:t>i</w:t>
            </w:r>
            <w:r w:rsidRPr="0013396E">
              <w:rPr>
                <w:iCs/>
                <w:sz w:val="20"/>
              </w:rPr>
              <w:t>.  Where for a Combined Cycle Resource</w:t>
            </w:r>
            <w:r w:rsidRPr="0013396E">
              <w:rPr>
                <w:i/>
                <w:iCs/>
                <w:sz w:val="20"/>
              </w:rPr>
              <w:t xml:space="preserve"> r </w:t>
            </w:r>
            <w:r w:rsidRPr="0013396E">
              <w:rPr>
                <w:iCs/>
                <w:sz w:val="20"/>
              </w:rPr>
              <w:t>is a Combined Cycle Train.</w:t>
            </w:r>
          </w:p>
        </w:tc>
      </w:tr>
      <w:tr w:rsidR="00C236A2" w:rsidRPr="0013396E" w14:paraId="276B1D63" w14:textId="77777777" w:rsidTr="0099759E">
        <w:trPr>
          <w:cantSplit/>
        </w:trPr>
        <w:tc>
          <w:tcPr>
            <w:tcW w:w="966" w:type="pct"/>
            <w:tcBorders>
              <w:top w:val="single" w:sz="6" w:space="0" w:color="auto"/>
              <w:left w:val="single" w:sz="4" w:space="0" w:color="auto"/>
              <w:bottom w:val="single" w:sz="6" w:space="0" w:color="auto"/>
              <w:right w:val="single" w:sz="6" w:space="0" w:color="auto"/>
            </w:tcBorders>
          </w:tcPr>
          <w:p w14:paraId="1DD8B25B" w14:textId="77777777" w:rsidR="00C236A2" w:rsidRPr="0013396E" w:rsidRDefault="00C236A2" w:rsidP="0099759E">
            <w:pPr>
              <w:spacing w:after="60"/>
              <w:rPr>
                <w:iCs/>
                <w:sz w:val="20"/>
              </w:rPr>
            </w:pPr>
            <w:r w:rsidRPr="0013396E">
              <w:rPr>
                <w:sz w:val="20"/>
              </w:rPr>
              <w:t xml:space="preserve">RTRUREV </w:t>
            </w:r>
            <w:r w:rsidRPr="0013396E">
              <w:rPr>
                <w:i/>
                <w:sz w:val="20"/>
                <w:vertAlign w:val="subscript"/>
              </w:rPr>
              <w:t>q, r</w:t>
            </w:r>
          </w:p>
        </w:tc>
        <w:tc>
          <w:tcPr>
            <w:tcW w:w="692" w:type="pct"/>
            <w:tcBorders>
              <w:top w:val="single" w:sz="6" w:space="0" w:color="auto"/>
              <w:left w:val="single" w:sz="6" w:space="0" w:color="auto"/>
              <w:bottom w:val="single" w:sz="6" w:space="0" w:color="auto"/>
              <w:right w:val="single" w:sz="6" w:space="0" w:color="auto"/>
            </w:tcBorders>
          </w:tcPr>
          <w:p w14:paraId="1D3F1105" w14:textId="77777777" w:rsidR="00C236A2" w:rsidRPr="0013396E" w:rsidRDefault="00C236A2" w:rsidP="0099759E">
            <w:pPr>
              <w:spacing w:after="60"/>
              <w:rPr>
                <w:iCs/>
                <w:sz w:val="20"/>
              </w:rPr>
            </w:pPr>
            <w:r w:rsidRPr="0013396E">
              <w:rPr>
                <w:sz w:val="20"/>
              </w:rPr>
              <w:t>$</w:t>
            </w:r>
          </w:p>
        </w:tc>
        <w:tc>
          <w:tcPr>
            <w:tcW w:w="3342" w:type="pct"/>
            <w:tcBorders>
              <w:top w:val="single" w:sz="6" w:space="0" w:color="auto"/>
              <w:left w:val="single" w:sz="6" w:space="0" w:color="auto"/>
              <w:bottom w:val="single" w:sz="6" w:space="0" w:color="auto"/>
              <w:right w:val="single" w:sz="4" w:space="0" w:color="auto"/>
            </w:tcBorders>
          </w:tcPr>
          <w:p w14:paraId="177CBCFE" w14:textId="77777777" w:rsidR="00C236A2" w:rsidRPr="0013396E" w:rsidRDefault="00C236A2" w:rsidP="0099759E">
            <w:pPr>
              <w:spacing w:after="60"/>
              <w:rPr>
                <w:i/>
                <w:iCs/>
                <w:sz w:val="20"/>
              </w:rPr>
            </w:pPr>
            <w:r w:rsidRPr="0013396E">
              <w:rPr>
                <w:i/>
                <w:sz w:val="20"/>
              </w:rPr>
              <w:t>Real-Time Reg-Up Revenue</w:t>
            </w:r>
            <w:r w:rsidRPr="0013396E">
              <w:rPr>
                <w:sz w:val="20"/>
              </w:rPr>
              <w:t xml:space="preserve">— The Real-Time Reg-Up revenue for QSE </w:t>
            </w:r>
            <w:r w:rsidRPr="0013396E">
              <w:rPr>
                <w:i/>
                <w:sz w:val="20"/>
              </w:rPr>
              <w:t xml:space="preserve">q </w:t>
            </w:r>
            <w:r w:rsidRPr="0013396E">
              <w:rPr>
                <w:sz w:val="20"/>
              </w:rPr>
              <w:t>calculated for</w:t>
            </w:r>
            <w:r w:rsidRPr="0013396E">
              <w:rPr>
                <w:i/>
                <w:sz w:val="20"/>
              </w:rPr>
              <w:t xml:space="preserve"> </w:t>
            </w:r>
            <w:r w:rsidRPr="0013396E">
              <w:rPr>
                <w:sz w:val="20"/>
              </w:rPr>
              <w:t xml:space="preserve">Resource </w:t>
            </w:r>
            <w:r w:rsidRPr="0013396E">
              <w:rPr>
                <w:i/>
                <w:sz w:val="20"/>
              </w:rPr>
              <w:t xml:space="preserve">r </w:t>
            </w:r>
            <w:r w:rsidRPr="0013396E">
              <w:rPr>
                <w:sz w:val="20"/>
              </w:rPr>
              <w:t xml:space="preserve">for the 15-minute Settlement Interval.  Where for a Combined Cycle Train, the Resource </w:t>
            </w:r>
            <w:r w:rsidRPr="0013396E">
              <w:rPr>
                <w:i/>
                <w:sz w:val="20"/>
              </w:rPr>
              <w:t>r</w:t>
            </w:r>
            <w:r w:rsidRPr="0013396E">
              <w:rPr>
                <w:sz w:val="20"/>
              </w:rPr>
              <w:t xml:space="preserve"> is the Combined Cycle Train.</w:t>
            </w:r>
          </w:p>
        </w:tc>
      </w:tr>
      <w:tr w:rsidR="00C236A2" w:rsidRPr="0013396E" w14:paraId="706B879A" w14:textId="77777777" w:rsidTr="0099759E">
        <w:trPr>
          <w:cantSplit/>
        </w:trPr>
        <w:tc>
          <w:tcPr>
            <w:tcW w:w="966" w:type="pct"/>
            <w:tcBorders>
              <w:top w:val="single" w:sz="6" w:space="0" w:color="auto"/>
              <w:left w:val="single" w:sz="4" w:space="0" w:color="auto"/>
              <w:bottom w:val="single" w:sz="6" w:space="0" w:color="auto"/>
              <w:right w:val="single" w:sz="6" w:space="0" w:color="auto"/>
            </w:tcBorders>
          </w:tcPr>
          <w:p w14:paraId="535332E2" w14:textId="77777777" w:rsidR="00C236A2" w:rsidRPr="0013396E" w:rsidRDefault="00C236A2" w:rsidP="0099759E">
            <w:pPr>
              <w:spacing w:after="60"/>
              <w:rPr>
                <w:sz w:val="20"/>
              </w:rPr>
            </w:pPr>
            <w:r w:rsidRPr="0013396E">
              <w:rPr>
                <w:sz w:val="20"/>
              </w:rPr>
              <w:lastRenderedPageBreak/>
              <w:t xml:space="preserve">RTRDREV </w:t>
            </w:r>
            <w:r w:rsidRPr="0013396E">
              <w:rPr>
                <w:i/>
                <w:sz w:val="20"/>
                <w:vertAlign w:val="subscript"/>
              </w:rPr>
              <w:t>q, r</w:t>
            </w:r>
          </w:p>
        </w:tc>
        <w:tc>
          <w:tcPr>
            <w:tcW w:w="692" w:type="pct"/>
            <w:tcBorders>
              <w:top w:val="single" w:sz="6" w:space="0" w:color="auto"/>
              <w:left w:val="single" w:sz="6" w:space="0" w:color="auto"/>
              <w:bottom w:val="single" w:sz="6" w:space="0" w:color="auto"/>
              <w:right w:val="single" w:sz="6" w:space="0" w:color="auto"/>
            </w:tcBorders>
          </w:tcPr>
          <w:p w14:paraId="39D3F2BA" w14:textId="77777777" w:rsidR="00C236A2" w:rsidRPr="0013396E" w:rsidRDefault="00C236A2" w:rsidP="0099759E">
            <w:pPr>
              <w:spacing w:after="60"/>
              <w:rPr>
                <w:sz w:val="20"/>
              </w:rPr>
            </w:pPr>
            <w:r w:rsidRPr="0013396E">
              <w:rPr>
                <w:sz w:val="20"/>
              </w:rPr>
              <w:t>$</w:t>
            </w:r>
          </w:p>
        </w:tc>
        <w:tc>
          <w:tcPr>
            <w:tcW w:w="3342" w:type="pct"/>
            <w:tcBorders>
              <w:top w:val="single" w:sz="6" w:space="0" w:color="auto"/>
              <w:left w:val="single" w:sz="6" w:space="0" w:color="auto"/>
              <w:bottom w:val="single" w:sz="6" w:space="0" w:color="auto"/>
              <w:right w:val="single" w:sz="4" w:space="0" w:color="auto"/>
            </w:tcBorders>
          </w:tcPr>
          <w:p w14:paraId="13138F42" w14:textId="77777777" w:rsidR="00C236A2" w:rsidRPr="0013396E" w:rsidRDefault="00C236A2" w:rsidP="0099759E">
            <w:pPr>
              <w:spacing w:after="60"/>
              <w:rPr>
                <w:i/>
                <w:sz w:val="20"/>
              </w:rPr>
            </w:pPr>
            <w:r w:rsidRPr="0013396E">
              <w:rPr>
                <w:i/>
                <w:sz w:val="20"/>
              </w:rPr>
              <w:t>Real-Time Reg-Down Revenue</w:t>
            </w:r>
            <w:r w:rsidRPr="0013396E">
              <w:rPr>
                <w:sz w:val="20"/>
              </w:rPr>
              <w:t xml:space="preserve">— The Real-Time Reg-Down revenue for QSE </w:t>
            </w:r>
            <w:r w:rsidRPr="0013396E">
              <w:rPr>
                <w:i/>
                <w:sz w:val="20"/>
              </w:rPr>
              <w:t xml:space="preserve">q </w:t>
            </w:r>
            <w:r w:rsidRPr="0013396E">
              <w:rPr>
                <w:sz w:val="20"/>
              </w:rPr>
              <w:t xml:space="preserve">calculated for Resource </w:t>
            </w:r>
            <w:r w:rsidRPr="0013396E">
              <w:rPr>
                <w:i/>
                <w:sz w:val="20"/>
              </w:rPr>
              <w:t>r</w:t>
            </w:r>
            <w:r w:rsidRPr="0013396E">
              <w:rPr>
                <w:sz w:val="20"/>
              </w:rPr>
              <w:t xml:space="preserve"> for the 15-minute Settlement Interval.  Where for a Combined Cycle Train, the Resource </w:t>
            </w:r>
            <w:r w:rsidRPr="0013396E">
              <w:rPr>
                <w:i/>
                <w:sz w:val="20"/>
              </w:rPr>
              <w:t>r</w:t>
            </w:r>
            <w:r w:rsidRPr="0013396E">
              <w:rPr>
                <w:sz w:val="20"/>
              </w:rPr>
              <w:t xml:space="preserve"> is the Combined Cycle Train.</w:t>
            </w:r>
          </w:p>
        </w:tc>
      </w:tr>
      <w:tr w:rsidR="00C236A2" w:rsidRPr="0013396E" w14:paraId="19750B62" w14:textId="77777777" w:rsidTr="0099759E">
        <w:trPr>
          <w:cantSplit/>
        </w:trPr>
        <w:tc>
          <w:tcPr>
            <w:tcW w:w="966" w:type="pct"/>
            <w:tcBorders>
              <w:top w:val="single" w:sz="6" w:space="0" w:color="auto"/>
              <w:left w:val="single" w:sz="4" w:space="0" w:color="auto"/>
              <w:bottom w:val="single" w:sz="6" w:space="0" w:color="auto"/>
              <w:right w:val="single" w:sz="6" w:space="0" w:color="auto"/>
            </w:tcBorders>
          </w:tcPr>
          <w:p w14:paraId="683E1ABA" w14:textId="77777777" w:rsidR="00C236A2" w:rsidRPr="0013396E" w:rsidRDefault="00C236A2" w:rsidP="0099759E">
            <w:pPr>
              <w:spacing w:after="60"/>
              <w:rPr>
                <w:sz w:val="20"/>
              </w:rPr>
            </w:pPr>
            <w:r w:rsidRPr="0013396E">
              <w:rPr>
                <w:sz w:val="20"/>
              </w:rPr>
              <w:t xml:space="preserve">RTRRREV </w:t>
            </w:r>
            <w:r w:rsidRPr="0013396E">
              <w:rPr>
                <w:i/>
                <w:sz w:val="20"/>
                <w:vertAlign w:val="subscript"/>
              </w:rPr>
              <w:t>q, r</w:t>
            </w:r>
          </w:p>
        </w:tc>
        <w:tc>
          <w:tcPr>
            <w:tcW w:w="692" w:type="pct"/>
            <w:tcBorders>
              <w:top w:val="single" w:sz="6" w:space="0" w:color="auto"/>
              <w:left w:val="single" w:sz="6" w:space="0" w:color="auto"/>
              <w:bottom w:val="single" w:sz="6" w:space="0" w:color="auto"/>
              <w:right w:val="single" w:sz="6" w:space="0" w:color="auto"/>
            </w:tcBorders>
          </w:tcPr>
          <w:p w14:paraId="31942E1C" w14:textId="77777777" w:rsidR="00C236A2" w:rsidRPr="0013396E" w:rsidRDefault="00C236A2" w:rsidP="0099759E">
            <w:pPr>
              <w:spacing w:after="60"/>
              <w:rPr>
                <w:sz w:val="20"/>
              </w:rPr>
            </w:pPr>
            <w:r w:rsidRPr="0013396E">
              <w:rPr>
                <w:sz w:val="20"/>
              </w:rPr>
              <w:t>$</w:t>
            </w:r>
          </w:p>
        </w:tc>
        <w:tc>
          <w:tcPr>
            <w:tcW w:w="3342" w:type="pct"/>
            <w:tcBorders>
              <w:top w:val="single" w:sz="6" w:space="0" w:color="auto"/>
              <w:left w:val="single" w:sz="6" w:space="0" w:color="auto"/>
              <w:bottom w:val="single" w:sz="6" w:space="0" w:color="auto"/>
              <w:right w:val="single" w:sz="4" w:space="0" w:color="auto"/>
            </w:tcBorders>
          </w:tcPr>
          <w:p w14:paraId="1CB9A82A" w14:textId="77777777" w:rsidR="00C236A2" w:rsidRPr="0013396E" w:rsidRDefault="00C236A2" w:rsidP="0099759E">
            <w:pPr>
              <w:spacing w:after="60"/>
              <w:rPr>
                <w:i/>
                <w:sz w:val="20"/>
              </w:rPr>
            </w:pPr>
            <w:r w:rsidRPr="0013396E">
              <w:rPr>
                <w:i/>
                <w:sz w:val="20"/>
              </w:rPr>
              <w:t>Real-Time Responsive Reserve Revenue</w:t>
            </w:r>
            <w:r w:rsidRPr="0013396E">
              <w:rPr>
                <w:sz w:val="20"/>
              </w:rPr>
              <w:t xml:space="preserve">— The Real-Time RRS revenue for QSE </w:t>
            </w:r>
            <w:r w:rsidRPr="0013396E">
              <w:rPr>
                <w:i/>
                <w:sz w:val="20"/>
              </w:rPr>
              <w:t xml:space="preserve">q </w:t>
            </w:r>
            <w:r w:rsidRPr="0013396E">
              <w:rPr>
                <w:sz w:val="20"/>
              </w:rPr>
              <w:t xml:space="preserve">calculated for Resource </w:t>
            </w:r>
            <w:r w:rsidRPr="0013396E">
              <w:rPr>
                <w:i/>
                <w:sz w:val="20"/>
              </w:rPr>
              <w:t xml:space="preserve">r </w:t>
            </w:r>
            <w:r w:rsidRPr="0013396E">
              <w:rPr>
                <w:sz w:val="20"/>
              </w:rPr>
              <w:t xml:space="preserve">for the 15-minute Settlement Interval.  Where for a Combined Cycle Train, the Resource </w:t>
            </w:r>
            <w:r w:rsidRPr="0013396E">
              <w:rPr>
                <w:i/>
                <w:sz w:val="20"/>
              </w:rPr>
              <w:t>r</w:t>
            </w:r>
            <w:r w:rsidRPr="0013396E">
              <w:rPr>
                <w:sz w:val="20"/>
              </w:rPr>
              <w:t xml:space="preserve"> is the Combined Cycle Train.</w:t>
            </w:r>
          </w:p>
        </w:tc>
      </w:tr>
      <w:tr w:rsidR="00C236A2" w:rsidRPr="0013396E" w14:paraId="6F089B0F" w14:textId="77777777" w:rsidTr="0099759E">
        <w:trPr>
          <w:cantSplit/>
        </w:trPr>
        <w:tc>
          <w:tcPr>
            <w:tcW w:w="966" w:type="pct"/>
            <w:tcBorders>
              <w:top w:val="single" w:sz="6" w:space="0" w:color="auto"/>
              <w:left w:val="single" w:sz="4" w:space="0" w:color="auto"/>
              <w:bottom w:val="single" w:sz="6" w:space="0" w:color="auto"/>
              <w:right w:val="single" w:sz="6" w:space="0" w:color="auto"/>
            </w:tcBorders>
          </w:tcPr>
          <w:p w14:paraId="3A4263F4" w14:textId="77777777" w:rsidR="00C236A2" w:rsidRPr="0013396E" w:rsidRDefault="00C236A2" w:rsidP="0099759E">
            <w:pPr>
              <w:spacing w:after="60"/>
              <w:rPr>
                <w:sz w:val="20"/>
              </w:rPr>
            </w:pPr>
            <w:r w:rsidRPr="0013396E">
              <w:rPr>
                <w:sz w:val="20"/>
              </w:rPr>
              <w:t xml:space="preserve">RTNSREV </w:t>
            </w:r>
            <w:r w:rsidRPr="0013396E">
              <w:rPr>
                <w:i/>
                <w:sz w:val="20"/>
                <w:vertAlign w:val="subscript"/>
              </w:rPr>
              <w:t>q, r</w:t>
            </w:r>
          </w:p>
        </w:tc>
        <w:tc>
          <w:tcPr>
            <w:tcW w:w="692" w:type="pct"/>
            <w:tcBorders>
              <w:top w:val="single" w:sz="6" w:space="0" w:color="auto"/>
              <w:left w:val="single" w:sz="6" w:space="0" w:color="auto"/>
              <w:bottom w:val="single" w:sz="6" w:space="0" w:color="auto"/>
              <w:right w:val="single" w:sz="6" w:space="0" w:color="auto"/>
            </w:tcBorders>
          </w:tcPr>
          <w:p w14:paraId="200147B5" w14:textId="77777777" w:rsidR="00C236A2" w:rsidRPr="0013396E" w:rsidRDefault="00C236A2" w:rsidP="0099759E">
            <w:pPr>
              <w:spacing w:after="60"/>
              <w:rPr>
                <w:sz w:val="20"/>
              </w:rPr>
            </w:pPr>
            <w:r w:rsidRPr="0013396E">
              <w:rPr>
                <w:sz w:val="20"/>
              </w:rPr>
              <w:t>$</w:t>
            </w:r>
          </w:p>
        </w:tc>
        <w:tc>
          <w:tcPr>
            <w:tcW w:w="3342" w:type="pct"/>
            <w:tcBorders>
              <w:top w:val="single" w:sz="6" w:space="0" w:color="auto"/>
              <w:left w:val="single" w:sz="6" w:space="0" w:color="auto"/>
              <w:bottom w:val="single" w:sz="6" w:space="0" w:color="auto"/>
              <w:right w:val="single" w:sz="4" w:space="0" w:color="auto"/>
            </w:tcBorders>
          </w:tcPr>
          <w:p w14:paraId="6C28A9D7" w14:textId="77777777" w:rsidR="00C236A2" w:rsidRPr="0013396E" w:rsidRDefault="00C236A2" w:rsidP="0099759E">
            <w:pPr>
              <w:spacing w:after="60"/>
              <w:rPr>
                <w:i/>
                <w:sz w:val="20"/>
              </w:rPr>
            </w:pPr>
            <w:r w:rsidRPr="0013396E">
              <w:rPr>
                <w:i/>
                <w:sz w:val="20"/>
              </w:rPr>
              <w:t>Real-Time Non-Spin Revenue</w:t>
            </w:r>
            <w:r w:rsidRPr="0013396E">
              <w:rPr>
                <w:sz w:val="20"/>
              </w:rPr>
              <w:t xml:space="preserve">— The Real-Time Non-Spin revenue for QSE </w:t>
            </w:r>
            <w:r w:rsidRPr="0013396E">
              <w:rPr>
                <w:i/>
                <w:sz w:val="20"/>
              </w:rPr>
              <w:t xml:space="preserve">q </w:t>
            </w:r>
            <w:r w:rsidRPr="0013396E">
              <w:rPr>
                <w:sz w:val="20"/>
              </w:rPr>
              <w:t xml:space="preserve">calculated for Resource </w:t>
            </w:r>
            <w:r w:rsidRPr="0013396E">
              <w:rPr>
                <w:i/>
                <w:sz w:val="20"/>
              </w:rPr>
              <w:t>r</w:t>
            </w:r>
            <w:r w:rsidRPr="0013396E">
              <w:rPr>
                <w:sz w:val="20"/>
              </w:rPr>
              <w:t xml:space="preserve"> for the 15-minute Settlement Interval.  Where for a Combined Cycle Train, the Resource </w:t>
            </w:r>
            <w:r w:rsidRPr="0013396E">
              <w:rPr>
                <w:i/>
                <w:sz w:val="20"/>
              </w:rPr>
              <w:t>r</w:t>
            </w:r>
            <w:r w:rsidRPr="0013396E">
              <w:rPr>
                <w:sz w:val="20"/>
              </w:rPr>
              <w:t xml:space="preserve"> is the Combined Cycle Train.</w:t>
            </w:r>
          </w:p>
        </w:tc>
      </w:tr>
      <w:tr w:rsidR="00C236A2" w:rsidRPr="0013396E" w14:paraId="21C10238" w14:textId="77777777" w:rsidTr="0099759E">
        <w:trPr>
          <w:cantSplit/>
        </w:trPr>
        <w:tc>
          <w:tcPr>
            <w:tcW w:w="966" w:type="pct"/>
            <w:tcBorders>
              <w:top w:val="single" w:sz="6" w:space="0" w:color="auto"/>
              <w:left w:val="single" w:sz="4" w:space="0" w:color="auto"/>
              <w:bottom w:val="single" w:sz="6" w:space="0" w:color="auto"/>
              <w:right w:val="single" w:sz="6" w:space="0" w:color="auto"/>
            </w:tcBorders>
          </w:tcPr>
          <w:p w14:paraId="38317554" w14:textId="77777777" w:rsidR="00C236A2" w:rsidRPr="0013396E" w:rsidRDefault="00C236A2" w:rsidP="0099759E">
            <w:pPr>
              <w:spacing w:after="60"/>
              <w:rPr>
                <w:sz w:val="20"/>
              </w:rPr>
            </w:pPr>
            <w:r w:rsidRPr="0013396E">
              <w:rPr>
                <w:sz w:val="20"/>
              </w:rPr>
              <w:t xml:space="preserve">RTECRREV </w:t>
            </w:r>
            <w:r w:rsidRPr="0013396E">
              <w:rPr>
                <w:i/>
                <w:sz w:val="20"/>
                <w:vertAlign w:val="subscript"/>
              </w:rPr>
              <w:t>q, r</w:t>
            </w:r>
          </w:p>
        </w:tc>
        <w:tc>
          <w:tcPr>
            <w:tcW w:w="692" w:type="pct"/>
            <w:tcBorders>
              <w:top w:val="single" w:sz="6" w:space="0" w:color="auto"/>
              <w:left w:val="single" w:sz="6" w:space="0" w:color="auto"/>
              <w:bottom w:val="single" w:sz="6" w:space="0" w:color="auto"/>
              <w:right w:val="single" w:sz="6" w:space="0" w:color="auto"/>
            </w:tcBorders>
          </w:tcPr>
          <w:p w14:paraId="5C6EDA20" w14:textId="77777777" w:rsidR="00C236A2" w:rsidRPr="0013396E" w:rsidRDefault="00C236A2" w:rsidP="0099759E">
            <w:pPr>
              <w:spacing w:after="60"/>
              <w:rPr>
                <w:sz w:val="20"/>
              </w:rPr>
            </w:pPr>
            <w:r w:rsidRPr="0013396E">
              <w:rPr>
                <w:sz w:val="20"/>
              </w:rPr>
              <w:t>$</w:t>
            </w:r>
          </w:p>
        </w:tc>
        <w:tc>
          <w:tcPr>
            <w:tcW w:w="3342" w:type="pct"/>
            <w:tcBorders>
              <w:top w:val="single" w:sz="6" w:space="0" w:color="auto"/>
              <w:left w:val="single" w:sz="6" w:space="0" w:color="auto"/>
              <w:bottom w:val="single" w:sz="6" w:space="0" w:color="auto"/>
              <w:right w:val="single" w:sz="4" w:space="0" w:color="auto"/>
            </w:tcBorders>
          </w:tcPr>
          <w:p w14:paraId="23B2E9D3" w14:textId="77777777" w:rsidR="00C236A2" w:rsidRPr="0013396E" w:rsidRDefault="00C236A2" w:rsidP="0099759E">
            <w:pPr>
              <w:spacing w:after="60"/>
              <w:rPr>
                <w:i/>
                <w:sz w:val="20"/>
              </w:rPr>
            </w:pPr>
            <w:r w:rsidRPr="0013396E">
              <w:rPr>
                <w:i/>
                <w:sz w:val="20"/>
              </w:rPr>
              <w:t>Real-Time ERCOT Contingency Reserve Service Revenue</w:t>
            </w:r>
            <w:r w:rsidRPr="0013396E">
              <w:rPr>
                <w:sz w:val="20"/>
              </w:rPr>
              <w:t xml:space="preserve">— The Real-Time ECRS revenue for QSE </w:t>
            </w:r>
            <w:r w:rsidRPr="0013396E">
              <w:rPr>
                <w:i/>
                <w:sz w:val="20"/>
              </w:rPr>
              <w:t xml:space="preserve">q </w:t>
            </w:r>
            <w:r w:rsidRPr="0013396E">
              <w:rPr>
                <w:sz w:val="20"/>
              </w:rPr>
              <w:t xml:space="preserve">calculated for Resource </w:t>
            </w:r>
            <w:r w:rsidRPr="0013396E">
              <w:rPr>
                <w:i/>
                <w:sz w:val="20"/>
              </w:rPr>
              <w:t>r</w:t>
            </w:r>
            <w:r w:rsidRPr="0013396E">
              <w:rPr>
                <w:sz w:val="20"/>
              </w:rPr>
              <w:t xml:space="preserve"> for the 15-minute Settlement Interval.  Where for a Combined Cycle Train, the Resource </w:t>
            </w:r>
            <w:r w:rsidRPr="0013396E">
              <w:rPr>
                <w:i/>
                <w:sz w:val="20"/>
              </w:rPr>
              <w:t>r</w:t>
            </w:r>
            <w:r w:rsidRPr="0013396E">
              <w:rPr>
                <w:sz w:val="20"/>
              </w:rPr>
              <w:t xml:space="preserve"> is the Combined Cycle Train.</w:t>
            </w:r>
          </w:p>
        </w:tc>
      </w:tr>
      <w:tr w:rsidR="00C236A2" w:rsidRPr="0013396E" w14:paraId="33E8DA40" w14:textId="77777777" w:rsidTr="0099759E">
        <w:trPr>
          <w:cantSplit/>
        </w:trPr>
        <w:tc>
          <w:tcPr>
            <w:tcW w:w="966" w:type="pct"/>
            <w:tcBorders>
              <w:top w:val="single" w:sz="6" w:space="0" w:color="auto"/>
              <w:left w:val="single" w:sz="4" w:space="0" w:color="auto"/>
              <w:bottom w:val="single" w:sz="6" w:space="0" w:color="auto"/>
              <w:right w:val="single" w:sz="6" w:space="0" w:color="auto"/>
            </w:tcBorders>
            <w:hideMark/>
          </w:tcPr>
          <w:p w14:paraId="047EEB86" w14:textId="77777777" w:rsidR="00C236A2" w:rsidRPr="0013396E" w:rsidRDefault="00C236A2" w:rsidP="0099759E">
            <w:pPr>
              <w:spacing w:after="60"/>
              <w:rPr>
                <w:i/>
                <w:iCs/>
                <w:sz w:val="20"/>
              </w:rPr>
            </w:pPr>
            <w:r w:rsidRPr="0013396E">
              <w:rPr>
                <w:i/>
                <w:iCs/>
                <w:sz w:val="20"/>
              </w:rPr>
              <w:t>q</w:t>
            </w:r>
          </w:p>
        </w:tc>
        <w:tc>
          <w:tcPr>
            <w:tcW w:w="692" w:type="pct"/>
            <w:tcBorders>
              <w:top w:val="single" w:sz="6" w:space="0" w:color="auto"/>
              <w:left w:val="single" w:sz="6" w:space="0" w:color="auto"/>
              <w:bottom w:val="single" w:sz="6" w:space="0" w:color="auto"/>
              <w:right w:val="single" w:sz="6" w:space="0" w:color="auto"/>
            </w:tcBorders>
            <w:hideMark/>
          </w:tcPr>
          <w:p w14:paraId="141E2A9B" w14:textId="77777777" w:rsidR="00C236A2" w:rsidRPr="0013396E" w:rsidRDefault="00C236A2" w:rsidP="0099759E">
            <w:pPr>
              <w:spacing w:after="60"/>
              <w:rPr>
                <w:iCs/>
                <w:sz w:val="20"/>
              </w:rPr>
            </w:pPr>
            <w:r w:rsidRPr="0013396E">
              <w:rPr>
                <w:iCs/>
                <w:sz w:val="20"/>
              </w:rPr>
              <w:t>none</w:t>
            </w:r>
          </w:p>
        </w:tc>
        <w:tc>
          <w:tcPr>
            <w:tcW w:w="3342" w:type="pct"/>
            <w:tcBorders>
              <w:top w:val="single" w:sz="6" w:space="0" w:color="auto"/>
              <w:left w:val="single" w:sz="6" w:space="0" w:color="auto"/>
              <w:bottom w:val="single" w:sz="6" w:space="0" w:color="auto"/>
              <w:right w:val="single" w:sz="4" w:space="0" w:color="auto"/>
            </w:tcBorders>
            <w:hideMark/>
          </w:tcPr>
          <w:p w14:paraId="64553541" w14:textId="77777777" w:rsidR="00C236A2" w:rsidRPr="0013396E" w:rsidRDefault="00C236A2" w:rsidP="0099759E">
            <w:pPr>
              <w:spacing w:after="60"/>
              <w:rPr>
                <w:iCs/>
                <w:sz w:val="20"/>
              </w:rPr>
            </w:pPr>
            <w:r w:rsidRPr="0013396E">
              <w:rPr>
                <w:iCs/>
                <w:sz w:val="20"/>
              </w:rPr>
              <w:t>A QSE.</w:t>
            </w:r>
          </w:p>
        </w:tc>
      </w:tr>
      <w:tr w:rsidR="00C236A2" w:rsidRPr="0013396E" w14:paraId="7817E241" w14:textId="77777777" w:rsidTr="0099759E">
        <w:trPr>
          <w:cantSplit/>
        </w:trPr>
        <w:tc>
          <w:tcPr>
            <w:tcW w:w="966" w:type="pct"/>
            <w:tcBorders>
              <w:top w:val="single" w:sz="6" w:space="0" w:color="auto"/>
              <w:left w:val="single" w:sz="4" w:space="0" w:color="auto"/>
              <w:bottom w:val="single" w:sz="6" w:space="0" w:color="auto"/>
              <w:right w:val="single" w:sz="6" w:space="0" w:color="auto"/>
            </w:tcBorders>
            <w:hideMark/>
          </w:tcPr>
          <w:p w14:paraId="0709A8B6" w14:textId="77777777" w:rsidR="00C236A2" w:rsidRPr="0013396E" w:rsidRDefault="00C236A2" w:rsidP="0099759E">
            <w:pPr>
              <w:spacing w:after="60"/>
              <w:rPr>
                <w:i/>
                <w:iCs/>
                <w:sz w:val="20"/>
              </w:rPr>
            </w:pPr>
            <w:r w:rsidRPr="0013396E">
              <w:rPr>
                <w:i/>
                <w:iCs/>
                <w:sz w:val="20"/>
              </w:rPr>
              <w:t>r</w:t>
            </w:r>
          </w:p>
        </w:tc>
        <w:tc>
          <w:tcPr>
            <w:tcW w:w="692" w:type="pct"/>
            <w:tcBorders>
              <w:top w:val="single" w:sz="6" w:space="0" w:color="auto"/>
              <w:left w:val="single" w:sz="6" w:space="0" w:color="auto"/>
              <w:bottom w:val="single" w:sz="6" w:space="0" w:color="auto"/>
              <w:right w:val="single" w:sz="6" w:space="0" w:color="auto"/>
            </w:tcBorders>
            <w:hideMark/>
          </w:tcPr>
          <w:p w14:paraId="189A1155" w14:textId="77777777" w:rsidR="00C236A2" w:rsidRPr="0013396E" w:rsidRDefault="00C236A2" w:rsidP="0099759E">
            <w:pPr>
              <w:spacing w:after="60"/>
              <w:rPr>
                <w:iCs/>
                <w:sz w:val="20"/>
              </w:rPr>
            </w:pPr>
            <w:r w:rsidRPr="0013396E">
              <w:rPr>
                <w:iCs/>
                <w:sz w:val="20"/>
              </w:rPr>
              <w:t>none</w:t>
            </w:r>
          </w:p>
        </w:tc>
        <w:tc>
          <w:tcPr>
            <w:tcW w:w="3342" w:type="pct"/>
            <w:tcBorders>
              <w:top w:val="single" w:sz="6" w:space="0" w:color="auto"/>
              <w:left w:val="single" w:sz="6" w:space="0" w:color="auto"/>
              <w:bottom w:val="single" w:sz="6" w:space="0" w:color="auto"/>
              <w:right w:val="single" w:sz="4" w:space="0" w:color="auto"/>
            </w:tcBorders>
            <w:hideMark/>
          </w:tcPr>
          <w:p w14:paraId="69979ABB" w14:textId="77777777" w:rsidR="00C236A2" w:rsidRPr="0013396E" w:rsidRDefault="00C236A2" w:rsidP="0099759E">
            <w:pPr>
              <w:spacing w:after="60"/>
              <w:rPr>
                <w:iCs/>
                <w:sz w:val="20"/>
              </w:rPr>
            </w:pPr>
            <w:r w:rsidRPr="0013396E">
              <w:rPr>
                <w:iCs/>
                <w:sz w:val="20"/>
              </w:rPr>
              <w:t>A Switchable Generation Resource.</w:t>
            </w:r>
          </w:p>
        </w:tc>
      </w:tr>
      <w:tr w:rsidR="00C236A2" w:rsidRPr="0013396E" w14:paraId="7BB3244E" w14:textId="77777777" w:rsidTr="0099759E">
        <w:trPr>
          <w:cantSplit/>
        </w:trPr>
        <w:tc>
          <w:tcPr>
            <w:tcW w:w="966" w:type="pct"/>
            <w:tcBorders>
              <w:top w:val="single" w:sz="6" w:space="0" w:color="auto"/>
              <w:left w:val="single" w:sz="4" w:space="0" w:color="auto"/>
              <w:bottom w:val="single" w:sz="6" w:space="0" w:color="auto"/>
              <w:right w:val="single" w:sz="6" w:space="0" w:color="auto"/>
            </w:tcBorders>
            <w:hideMark/>
          </w:tcPr>
          <w:p w14:paraId="474FCE26" w14:textId="77777777" w:rsidR="00C236A2" w:rsidRPr="0013396E" w:rsidRDefault="00C236A2" w:rsidP="0099759E">
            <w:pPr>
              <w:spacing w:after="60"/>
              <w:rPr>
                <w:i/>
                <w:iCs/>
                <w:sz w:val="20"/>
              </w:rPr>
            </w:pPr>
            <w:r w:rsidRPr="0013396E">
              <w:rPr>
                <w:i/>
                <w:iCs/>
                <w:sz w:val="20"/>
              </w:rPr>
              <w:t>d</w:t>
            </w:r>
          </w:p>
        </w:tc>
        <w:tc>
          <w:tcPr>
            <w:tcW w:w="692" w:type="pct"/>
            <w:tcBorders>
              <w:top w:val="single" w:sz="6" w:space="0" w:color="auto"/>
              <w:left w:val="single" w:sz="6" w:space="0" w:color="auto"/>
              <w:bottom w:val="single" w:sz="6" w:space="0" w:color="auto"/>
              <w:right w:val="single" w:sz="6" w:space="0" w:color="auto"/>
            </w:tcBorders>
            <w:hideMark/>
          </w:tcPr>
          <w:p w14:paraId="5BA46F6E" w14:textId="77777777" w:rsidR="00C236A2" w:rsidRPr="0013396E" w:rsidRDefault="00C236A2" w:rsidP="0099759E">
            <w:pPr>
              <w:spacing w:after="60"/>
              <w:rPr>
                <w:iCs/>
                <w:sz w:val="20"/>
              </w:rPr>
            </w:pPr>
            <w:r w:rsidRPr="0013396E">
              <w:rPr>
                <w:iCs/>
                <w:sz w:val="20"/>
              </w:rPr>
              <w:t>none</w:t>
            </w:r>
          </w:p>
        </w:tc>
        <w:tc>
          <w:tcPr>
            <w:tcW w:w="3342" w:type="pct"/>
            <w:tcBorders>
              <w:top w:val="single" w:sz="6" w:space="0" w:color="auto"/>
              <w:left w:val="single" w:sz="6" w:space="0" w:color="auto"/>
              <w:bottom w:val="single" w:sz="6" w:space="0" w:color="auto"/>
              <w:right w:val="single" w:sz="4" w:space="0" w:color="auto"/>
            </w:tcBorders>
            <w:hideMark/>
          </w:tcPr>
          <w:p w14:paraId="4E53B0D1" w14:textId="77777777" w:rsidR="00C236A2" w:rsidRPr="0013396E" w:rsidRDefault="00C236A2" w:rsidP="0099759E">
            <w:pPr>
              <w:spacing w:after="60"/>
              <w:rPr>
                <w:iCs/>
                <w:sz w:val="20"/>
              </w:rPr>
            </w:pPr>
            <w:r w:rsidRPr="0013396E">
              <w:rPr>
                <w:iCs/>
                <w:sz w:val="20"/>
              </w:rPr>
              <w:t xml:space="preserve">An Operating Day containing the RUC instruction to the SWGR. </w:t>
            </w:r>
          </w:p>
        </w:tc>
      </w:tr>
      <w:tr w:rsidR="00C236A2" w:rsidRPr="0013396E" w14:paraId="5BD9BDC7" w14:textId="77777777" w:rsidTr="0099759E">
        <w:trPr>
          <w:cantSplit/>
        </w:trPr>
        <w:tc>
          <w:tcPr>
            <w:tcW w:w="966" w:type="pct"/>
            <w:tcBorders>
              <w:top w:val="single" w:sz="6" w:space="0" w:color="auto"/>
              <w:left w:val="single" w:sz="4" w:space="0" w:color="auto"/>
              <w:bottom w:val="single" w:sz="6" w:space="0" w:color="auto"/>
              <w:right w:val="single" w:sz="6" w:space="0" w:color="auto"/>
            </w:tcBorders>
            <w:hideMark/>
          </w:tcPr>
          <w:p w14:paraId="2284B122" w14:textId="77777777" w:rsidR="00C236A2" w:rsidRPr="0013396E" w:rsidRDefault="00C236A2" w:rsidP="0099759E">
            <w:pPr>
              <w:spacing w:after="60"/>
              <w:rPr>
                <w:i/>
                <w:iCs/>
                <w:sz w:val="20"/>
              </w:rPr>
            </w:pPr>
            <w:r w:rsidRPr="0013396E">
              <w:rPr>
                <w:i/>
                <w:iCs/>
                <w:sz w:val="20"/>
              </w:rPr>
              <w:t>i</w:t>
            </w:r>
          </w:p>
        </w:tc>
        <w:tc>
          <w:tcPr>
            <w:tcW w:w="692" w:type="pct"/>
            <w:tcBorders>
              <w:top w:val="single" w:sz="6" w:space="0" w:color="auto"/>
              <w:left w:val="single" w:sz="6" w:space="0" w:color="auto"/>
              <w:bottom w:val="single" w:sz="6" w:space="0" w:color="auto"/>
              <w:right w:val="single" w:sz="6" w:space="0" w:color="auto"/>
            </w:tcBorders>
            <w:hideMark/>
          </w:tcPr>
          <w:p w14:paraId="578C354D" w14:textId="77777777" w:rsidR="00C236A2" w:rsidRPr="0013396E" w:rsidRDefault="00C236A2" w:rsidP="0099759E">
            <w:pPr>
              <w:spacing w:after="60"/>
              <w:rPr>
                <w:iCs/>
                <w:sz w:val="20"/>
              </w:rPr>
            </w:pPr>
            <w:r w:rsidRPr="0013396E">
              <w:rPr>
                <w:iCs/>
                <w:sz w:val="20"/>
              </w:rPr>
              <w:t>none</w:t>
            </w:r>
          </w:p>
        </w:tc>
        <w:tc>
          <w:tcPr>
            <w:tcW w:w="3342" w:type="pct"/>
            <w:tcBorders>
              <w:top w:val="single" w:sz="6" w:space="0" w:color="auto"/>
              <w:left w:val="single" w:sz="6" w:space="0" w:color="auto"/>
              <w:bottom w:val="single" w:sz="6" w:space="0" w:color="auto"/>
              <w:right w:val="single" w:sz="4" w:space="0" w:color="auto"/>
            </w:tcBorders>
            <w:hideMark/>
          </w:tcPr>
          <w:p w14:paraId="38E59D8B" w14:textId="77777777" w:rsidR="00C236A2" w:rsidRPr="0013396E" w:rsidRDefault="00C236A2" w:rsidP="0099759E">
            <w:pPr>
              <w:spacing w:after="60"/>
              <w:rPr>
                <w:iCs/>
                <w:sz w:val="20"/>
              </w:rPr>
            </w:pPr>
            <w:r w:rsidRPr="0013396E">
              <w:rPr>
                <w:iCs/>
                <w:sz w:val="20"/>
              </w:rPr>
              <w:t>A 15-minute Settlement Interval within the hour of an Operating Day during which the SWGR is instructed by ERCOT.</w:t>
            </w:r>
          </w:p>
        </w:tc>
      </w:tr>
      <w:tr w:rsidR="00C236A2" w:rsidRPr="0013396E" w14:paraId="159EEFA5" w14:textId="77777777" w:rsidTr="0099759E">
        <w:trPr>
          <w:cantSplit/>
        </w:trPr>
        <w:tc>
          <w:tcPr>
            <w:tcW w:w="966" w:type="pct"/>
            <w:tcBorders>
              <w:top w:val="single" w:sz="6" w:space="0" w:color="auto"/>
              <w:left w:val="single" w:sz="4" w:space="0" w:color="auto"/>
              <w:bottom w:val="single" w:sz="6" w:space="0" w:color="auto"/>
              <w:right w:val="single" w:sz="6" w:space="0" w:color="auto"/>
            </w:tcBorders>
            <w:hideMark/>
          </w:tcPr>
          <w:p w14:paraId="4B5264CB" w14:textId="77777777" w:rsidR="00C236A2" w:rsidRPr="0013396E" w:rsidRDefault="00C236A2" w:rsidP="0099759E">
            <w:pPr>
              <w:spacing w:after="60"/>
              <w:rPr>
                <w:i/>
                <w:iCs/>
                <w:sz w:val="20"/>
              </w:rPr>
            </w:pPr>
            <w:r w:rsidRPr="0013396E">
              <w:rPr>
                <w:i/>
                <w:iCs/>
                <w:sz w:val="20"/>
              </w:rPr>
              <w:t>s</w:t>
            </w:r>
          </w:p>
        </w:tc>
        <w:tc>
          <w:tcPr>
            <w:tcW w:w="692" w:type="pct"/>
            <w:tcBorders>
              <w:top w:val="single" w:sz="6" w:space="0" w:color="auto"/>
              <w:left w:val="single" w:sz="6" w:space="0" w:color="auto"/>
              <w:bottom w:val="single" w:sz="6" w:space="0" w:color="auto"/>
              <w:right w:val="single" w:sz="6" w:space="0" w:color="auto"/>
            </w:tcBorders>
            <w:hideMark/>
          </w:tcPr>
          <w:p w14:paraId="32F18FFF" w14:textId="77777777" w:rsidR="00C236A2" w:rsidRPr="0013396E" w:rsidRDefault="00C236A2" w:rsidP="0099759E">
            <w:pPr>
              <w:spacing w:after="60"/>
              <w:rPr>
                <w:iCs/>
                <w:sz w:val="20"/>
              </w:rPr>
            </w:pPr>
            <w:r w:rsidRPr="0013396E">
              <w:rPr>
                <w:iCs/>
                <w:sz w:val="20"/>
              </w:rPr>
              <w:t>none</w:t>
            </w:r>
          </w:p>
        </w:tc>
        <w:tc>
          <w:tcPr>
            <w:tcW w:w="3342" w:type="pct"/>
            <w:tcBorders>
              <w:top w:val="single" w:sz="6" w:space="0" w:color="auto"/>
              <w:left w:val="single" w:sz="6" w:space="0" w:color="auto"/>
              <w:bottom w:val="single" w:sz="6" w:space="0" w:color="auto"/>
              <w:right w:val="single" w:sz="4" w:space="0" w:color="auto"/>
            </w:tcBorders>
            <w:hideMark/>
          </w:tcPr>
          <w:p w14:paraId="782DF1B7" w14:textId="77777777" w:rsidR="00C236A2" w:rsidRPr="0013396E" w:rsidRDefault="00C236A2" w:rsidP="0099759E">
            <w:pPr>
              <w:spacing w:after="60"/>
              <w:rPr>
                <w:iCs/>
                <w:sz w:val="20"/>
              </w:rPr>
            </w:pPr>
            <w:r w:rsidRPr="0013396E">
              <w:rPr>
                <w:iCs/>
                <w:sz w:val="20"/>
              </w:rPr>
              <w:t xml:space="preserve">An ERCOT area start that is eligible to have its costs included in the Switchable Generation Cost Guarantee. </w:t>
            </w:r>
          </w:p>
        </w:tc>
      </w:tr>
      <w:tr w:rsidR="00C236A2" w:rsidRPr="0013396E" w14:paraId="3E0F2454" w14:textId="77777777" w:rsidTr="0099759E">
        <w:trPr>
          <w:cantSplit/>
        </w:trPr>
        <w:tc>
          <w:tcPr>
            <w:tcW w:w="966" w:type="pct"/>
            <w:tcBorders>
              <w:top w:val="single" w:sz="6" w:space="0" w:color="auto"/>
              <w:left w:val="single" w:sz="4" w:space="0" w:color="auto"/>
              <w:bottom w:val="single" w:sz="6" w:space="0" w:color="auto"/>
              <w:right w:val="single" w:sz="6" w:space="0" w:color="auto"/>
            </w:tcBorders>
            <w:hideMark/>
          </w:tcPr>
          <w:p w14:paraId="0D5C51A7" w14:textId="77777777" w:rsidR="00C236A2" w:rsidRPr="0013396E" w:rsidRDefault="00C236A2" w:rsidP="0099759E">
            <w:pPr>
              <w:spacing w:after="60"/>
              <w:rPr>
                <w:i/>
                <w:iCs/>
                <w:sz w:val="20"/>
              </w:rPr>
            </w:pPr>
            <w:r w:rsidRPr="0013396E">
              <w:rPr>
                <w:i/>
                <w:iCs/>
                <w:sz w:val="20"/>
              </w:rPr>
              <w:t>rc</w:t>
            </w:r>
          </w:p>
        </w:tc>
        <w:tc>
          <w:tcPr>
            <w:tcW w:w="692" w:type="pct"/>
            <w:tcBorders>
              <w:top w:val="single" w:sz="6" w:space="0" w:color="auto"/>
              <w:left w:val="single" w:sz="6" w:space="0" w:color="auto"/>
              <w:bottom w:val="single" w:sz="6" w:space="0" w:color="auto"/>
              <w:right w:val="single" w:sz="6" w:space="0" w:color="auto"/>
            </w:tcBorders>
            <w:hideMark/>
          </w:tcPr>
          <w:p w14:paraId="29B53CCD" w14:textId="77777777" w:rsidR="00C236A2" w:rsidRPr="0013396E" w:rsidRDefault="00C236A2" w:rsidP="0099759E">
            <w:pPr>
              <w:spacing w:after="60"/>
              <w:rPr>
                <w:iCs/>
                <w:sz w:val="20"/>
              </w:rPr>
            </w:pPr>
            <w:r w:rsidRPr="0013396E">
              <w:rPr>
                <w:iCs/>
                <w:sz w:val="20"/>
              </w:rPr>
              <w:t>none</w:t>
            </w:r>
          </w:p>
        </w:tc>
        <w:tc>
          <w:tcPr>
            <w:tcW w:w="3342" w:type="pct"/>
            <w:tcBorders>
              <w:top w:val="single" w:sz="6" w:space="0" w:color="auto"/>
              <w:left w:val="single" w:sz="6" w:space="0" w:color="auto"/>
              <w:bottom w:val="single" w:sz="6" w:space="0" w:color="auto"/>
              <w:right w:val="single" w:sz="4" w:space="0" w:color="auto"/>
            </w:tcBorders>
            <w:hideMark/>
          </w:tcPr>
          <w:p w14:paraId="28EA42BD" w14:textId="77777777" w:rsidR="00C236A2" w:rsidRPr="0013396E" w:rsidRDefault="00C236A2" w:rsidP="0099759E">
            <w:pPr>
              <w:spacing w:after="60"/>
              <w:rPr>
                <w:iCs/>
                <w:sz w:val="20"/>
              </w:rPr>
            </w:pPr>
            <w:r w:rsidRPr="0013396E">
              <w:rPr>
                <w:iCs/>
                <w:sz w:val="20"/>
              </w:rPr>
              <w:t>A Resource Category.</w:t>
            </w:r>
          </w:p>
        </w:tc>
      </w:tr>
      <w:tr w:rsidR="00C236A2" w:rsidRPr="0013396E" w14:paraId="32F7D793" w14:textId="77777777" w:rsidTr="0099759E">
        <w:trPr>
          <w:cantSplit/>
        </w:trPr>
        <w:tc>
          <w:tcPr>
            <w:tcW w:w="966" w:type="pct"/>
            <w:tcBorders>
              <w:top w:val="single" w:sz="6" w:space="0" w:color="auto"/>
              <w:left w:val="single" w:sz="4" w:space="0" w:color="auto"/>
              <w:bottom w:val="single" w:sz="6" w:space="0" w:color="auto"/>
              <w:right w:val="single" w:sz="6" w:space="0" w:color="auto"/>
            </w:tcBorders>
          </w:tcPr>
          <w:p w14:paraId="65F171EC" w14:textId="77777777" w:rsidR="00C236A2" w:rsidRPr="0013396E" w:rsidRDefault="00C236A2" w:rsidP="0099759E">
            <w:pPr>
              <w:spacing w:after="60"/>
              <w:rPr>
                <w:i/>
                <w:iCs/>
                <w:sz w:val="20"/>
              </w:rPr>
            </w:pPr>
            <w:r w:rsidRPr="0013396E">
              <w:rPr>
                <w:i/>
                <w:iCs/>
                <w:sz w:val="20"/>
              </w:rPr>
              <w:t>p</w:t>
            </w:r>
          </w:p>
        </w:tc>
        <w:tc>
          <w:tcPr>
            <w:tcW w:w="692" w:type="pct"/>
            <w:tcBorders>
              <w:top w:val="single" w:sz="6" w:space="0" w:color="auto"/>
              <w:left w:val="single" w:sz="6" w:space="0" w:color="auto"/>
              <w:bottom w:val="single" w:sz="6" w:space="0" w:color="auto"/>
              <w:right w:val="single" w:sz="6" w:space="0" w:color="auto"/>
            </w:tcBorders>
          </w:tcPr>
          <w:p w14:paraId="7AAC488B" w14:textId="77777777" w:rsidR="00C236A2" w:rsidRPr="0013396E" w:rsidRDefault="00C236A2" w:rsidP="0099759E">
            <w:pPr>
              <w:spacing w:after="60"/>
              <w:rPr>
                <w:iCs/>
                <w:sz w:val="20"/>
              </w:rPr>
            </w:pPr>
            <w:r w:rsidRPr="0013396E">
              <w:rPr>
                <w:iCs/>
                <w:sz w:val="20"/>
              </w:rPr>
              <w:t>none</w:t>
            </w:r>
          </w:p>
        </w:tc>
        <w:tc>
          <w:tcPr>
            <w:tcW w:w="3342" w:type="pct"/>
            <w:tcBorders>
              <w:top w:val="single" w:sz="6" w:space="0" w:color="auto"/>
              <w:left w:val="single" w:sz="6" w:space="0" w:color="auto"/>
              <w:bottom w:val="single" w:sz="6" w:space="0" w:color="auto"/>
              <w:right w:val="single" w:sz="4" w:space="0" w:color="auto"/>
            </w:tcBorders>
          </w:tcPr>
          <w:p w14:paraId="3E67E638" w14:textId="77777777" w:rsidR="00C236A2" w:rsidRPr="0013396E" w:rsidRDefault="00C236A2" w:rsidP="0099759E">
            <w:pPr>
              <w:spacing w:after="60"/>
              <w:rPr>
                <w:iCs/>
                <w:sz w:val="20"/>
              </w:rPr>
            </w:pPr>
            <w:r w:rsidRPr="0013396E">
              <w:rPr>
                <w:iCs/>
                <w:sz w:val="20"/>
              </w:rPr>
              <w:t>A Resource Node Settlement Point.</w:t>
            </w:r>
          </w:p>
        </w:tc>
      </w:tr>
    </w:tbl>
    <w:p w14:paraId="724B9467" w14:textId="04EA6F34" w:rsidR="00236104" w:rsidRPr="0013396E" w:rsidRDefault="00236104" w:rsidP="00236104">
      <w:pPr>
        <w:pStyle w:val="BodyTextNumbered"/>
        <w:spacing w:before="240"/>
      </w:pPr>
      <w:r w:rsidRPr="0013396E">
        <w:t>(2)</w:t>
      </w:r>
      <w:r w:rsidRPr="0013396E">
        <w:tab/>
        <w:t>The total compensation to each QSE for the Switchable Generation Make-Whole Payment for a given hour in the Operating Day is calculated as follows:</w:t>
      </w:r>
    </w:p>
    <w:p w14:paraId="58892190" w14:textId="77777777" w:rsidR="00236104" w:rsidRPr="0013396E" w:rsidRDefault="00236104" w:rsidP="00236104">
      <w:pPr>
        <w:pStyle w:val="BodyTextNumbered"/>
        <w:ind w:left="1440"/>
        <w:rPr>
          <w:b/>
          <w:i/>
          <w:vertAlign w:val="subscript"/>
          <w:lang w:val="es-ES"/>
        </w:rPr>
      </w:pPr>
      <w:r w:rsidRPr="0013396E">
        <w:rPr>
          <w:b/>
        </w:rPr>
        <w:t xml:space="preserve">SWMWAMTQSETOT </w:t>
      </w:r>
      <w:r w:rsidRPr="0013396E">
        <w:rPr>
          <w:b/>
          <w:i/>
          <w:vertAlign w:val="subscript"/>
        </w:rPr>
        <w:t>q</w:t>
      </w:r>
      <w:r w:rsidRPr="0013396E">
        <w:rPr>
          <w:b/>
          <w:i/>
          <w:vertAlign w:val="subscript"/>
        </w:rPr>
        <w:tab/>
      </w:r>
      <w:r w:rsidRPr="0013396E">
        <w:rPr>
          <w:b/>
        </w:rPr>
        <w:t xml:space="preserve">=  </w:t>
      </w:r>
      <w:r w:rsidRPr="0013396E">
        <w:rPr>
          <w:b/>
          <w:position w:val="-18"/>
        </w:rPr>
        <w:object w:dxaOrig="220" w:dyaOrig="420" w14:anchorId="149310FE">
          <v:shape id="_x0000_i1252" type="#_x0000_t75" style="width:12pt;height:24pt" o:ole="">
            <v:imagedata r:id="rId325" o:title=""/>
          </v:shape>
          <o:OLEObject Type="Embed" ProgID="Equation.3" ShapeID="_x0000_i1252" DrawAspect="Content" ObjectID="_1836311530" r:id="rId326"/>
        </w:object>
      </w:r>
      <w:r w:rsidRPr="0013396E">
        <w:rPr>
          <w:b/>
        </w:rPr>
        <w:t xml:space="preserve"> SWMWAMT </w:t>
      </w:r>
      <w:r w:rsidRPr="0013396E">
        <w:rPr>
          <w:b/>
          <w:i/>
          <w:vertAlign w:val="subscript"/>
        </w:rPr>
        <w:t>q, r</w:t>
      </w:r>
    </w:p>
    <w:p w14:paraId="1FD97724" w14:textId="77777777" w:rsidR="00236104" w:rsidRPr="0013396E" w:rsidRDefault="00236104" w:rsidP="00236104">
      <w:pPr>
        <w:pStyle w:val="BodyTextNumbered"/>
        <w:spacing w:after="0"/>
      </w:pPr>
      <w:r w:rsidRPr="0013396E">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5"/>
        <w:gridCol w:w="810"/>
        <w:gridCol w:w="5935"/>
      </w:tblGrid>
      <w:tr w:rsidR="00236104" w:rsidRPr="0013396E" w14:paraId="5FDAF585" w14:textId="77777777" w:rsidTr="00BA73E7">
        <w:trPr>
          <w:cantSplit/>
          <w:tblHeader/>
        </w:trPr>
        <w:tc>
          <w:tcPr>
            <w:tcW w:w="1393" w:type="pct"/>
            <w:tcBorders>
              <w:top w:val="single" w:sz="4" w:space="0" w:color="auto"/>
              <w:left w:val="single" w:sz="4" w:space="0" w:color="auto"/>
              <w:bottom w:val="single" w:sz="4" w:space="0" w:color="auto"/>
              <w:right w:val="single" w:sz="4" w:space="0" w:color="auto"/>
            </w:tcBorders>
            <w:hideMark/>
          </w:tcPr>
          <w:p w14:paraId="74BC7425" w14:textId="77777777" w:rsidR="00236104" w:rsidRPr="0013396E" w:rsidRDefault="00236104" w:rsidP="00BA73E7">
            <w:pPr>
              <w:pStyle w:val="TableHead"/>
            </w:pPr>
            <w:r w:rsidRPr="0013396E">
              <w:t>Variable</w:t>
            </w:r>
          </w:p>
        </w:tc>
        <w:tc>
          <w:tcPr>
            <w:tcW w:w="433" w:type="pct"/>
            <w:tcBorders>
              <w:top w:val="single" w:sz="4" w:space="0" w:color="auto"/>
              <w:left w:val="single" w:sz="4" w:space="0" w:color="auto"/>
              <w:bottom w:val="single" w:sz="4" w:space="0" w:color="auto"/>
              <w:right w:val="single" w:sz="4" w:space="0" w:color="auto"/>
            </w:tcBorders>
            <w:hideMark/>
          </w:tcPr>
          <w:p w14:paraId="7CC0A7FF" w14:textId="77777777" w:rsidR="00236104" w:rsidRPr="0013396E" w:rsidRDefault="00236104" w:rsidP="00BA73E7">
            <w:pPr>
              <w:pStyle w:val="TableHead"/>
            </w:pPr>
            <w:r w:rsidRPr="0013396E">
              <w:t>Unit</w:t>
            </w:r>
          </w:p>
        </w:tc>
        <w:tc>
          <w:tcPr>
            <w:tcW w:w="3174" w:type="pct"/>
            <w:tcBorders>
              <w:top w:val="single" w:sz="4" w:space="0" w:color="auto"/>
              <w:left w:val="single" w:sz="4" w:space="0" w:color="auto"/>
              <w:bottom w:val="single" w:sz="4" w:space="0" w:color="auto"/>
              <w:right w:val="single" w:sz="4" w:space="0" w:color="auto"/>
            </w:tcBorders>
            <w:hideMark/>
          </w:tcPr>
          <w:p w14:paraId="05F9EBE2" w14:textId="77777777" w:rsidR="00236104" w:rsidRPr="0013396E" w:rsidRDefault="00236104" w:rsidP="00BA73E7">
            <w:pPr>
              <w:pStyle w:val="TableHead"/>
            </w:pPr>
            <w:r w:rsidRPr="0013396E">
              <w:t>Definition</w:t>
            </w:r>
          </w:p>
        </w:tc>
      </w:tr>
      <w:tr w:rsidR="00236104" w:rsidRPr="0013396E" w14:paraId="6AD8A9BF" w14:textId="77777777" w:rsidTr="00BA73E7">
        <w:trPr>
          <w:cantSplit/>
        </w:trPr>
        <w:tc>
          <w:tcPr>
            <w:tcW w:w="1393" w:type="pct"/>
            <w:tcBorders>
              <w:top w:val="single" w:sz="4" w:space="0" w:color="auto"/>
              <w:left w:val="single" w:sz="4" w:space="0" w:color="auto"/>
              <w:bottom w:val="single" w:sz="4" w:space="0" w:color="auto"/>
              <w:right w:val="single" w:sz="4" w:space="0" w:color="auto"/>
            </w:tcBorders>
            <w:hideMark/>
          </w:tcPr>
          <w:p w14:paraId="6E09E6E6" w14:textId="77777777" w:rsidR="00236104" w:rsidRPr="0013396E" w:rsidRDefault="00236104" w:rsidP="00BA73E7">
            <w:pPr>
              <w:pStyle w:val="TableBody"/>
            </w:pPr>
            <w:r w:rsidRPr="0013396E">
              <w:t>SWMWAMTQSETOT</w:t>
            </w:r>
            <w:r w:rsidRPr="0013396E">
              <w:rPr>
                <w:b/>
              </w:rPr>
              <w:t xml:space="preserve"> </w:t>
            </w:r>
            <w:r w:rsidRPr="0013396E">
              <w:rPr>
                <w:b/>
                <w:i/>
                <w:vertAlign w:val="subscript"/>
              </w:rPr>
              <w:t>q</w:t>
            </w:r>
          </w:p>
        </w:tc>
        <w:tc>
          <w:tcPr>
            <w:tcW w:w="433" w:type="pct"/>
            <w:tcBorders>
              <w:top w:val="single" w:sz="4" w:space="0" w:color="auto"/>
              <w:left w:val="single" w:sz="4" w:space="0" w:color="auto"/>
              <w:bottom w:val="single" w:sz="4" w:space="0" w:color="auto"/>
              <w:right w:val="single" w:sz="4" w:space="0" w:color="auto"/>
            </w:tcBorders>
            <w:hideMark/>
          </w:tcPr>
          <w:p w14:paraId="0CEC01DD" w14:textId="77777777" w:rsidR="00236104" w:rsidRPr="0013396E" w:rsidRDefault="00236104" w:rsidP="00BA73E7">
            <w:pPr>
              <w:pStyle w:val="TableBody"/>
            </w:pPr>
            <w:r w:rsidRPr="0013396E">
              <w:t>$</w:t>
            </w:r>
          </w:p>
        </w:tc>
        <w:tc>
          <w:tcPr>
            <w:tcW w:w="3174" w:type="pct"/>
            <w:tcBorders>
              <w:top w:val="single" w:sz="4" w:space="0" w:color="auto"/>
              <w:left w:val="single" w:sz="4" w:space="0" w:color="auto"/>
              <w:bottom w:val="single" w:sz="4" w:space="0" w:color="auto"/>
              <w:right w:val="single" w:sz="4" w:space="0" w:color="auto"/>
            </w:tcBorders>
            <w:hideMark/>
          </w:tcPr>
          <w:p w14:paraId="55103BF3" w14:textId="77777777" w:rsidR="00236104" w:rsidRPr="0013396E" w:rsidRDefault="00236104" w:rsidP="00BA73E7">
            <w:pPr>
              <w:pStyle w:val="TableBody"/>
            </w:pPr>
            <w:r w:rsidRPr="0013396E">
              <w:rPr>
                <w:i/>
              </w:rPr>
              <w:t>Switchable Generation Make-Whole Payment per QSE</w:t>
            </w:r>
            <w:r w:rsidRPr="0013396E">
              <w:t xml:space="preserve">—The total Switchable Generation Make-Whole Payment to the QSE </w:t>
            </w:r>
            <w:r w:rsidRPr="0013396E">
              <w:rPr>
                <w:i/>
              </w:rPr>
              <w:t>q</w:t>
            </w:r>
            <w:r w:rsidRPr="0013396E">
              <w:t xml:space="preserve">, for the hour.  </w:t>
            </w:r>
          </w:p>
        </w:tc>
      </w:tr>
      <w:tr w:rsidR="00236104" w:rsidRPr="0013396E" w14:paraId="7FCCDCF4" w14:textId="77777777" w:rsidTr="00BA73E7">
        <w:trPr>
          <w:cantSplit/>
        </w:trPr>
        <w:tc>
          <w:tcPr>
            <w:tcW w:w="1393" w:type="pct"/>
            <w:tcBorders>
              <w:top w:val="single" w:sz="4" w:space="0" w:color="auto"/>
              <w:left w:val="single" w:sz="4" w:space="0" w:color="auto"/>
              <w:bottom w:val="single" w:sz="4" w:space="0" w:color="auto"/>
              <w:right w:val="single" w:sz="4" w:space="0" w:color="auto"/>
            </w:tcBorders>
          </w:tcPr>
          <w:p w14:paraId="14F507BD" w14:textId="77777777" w:rsidR="00236104" w:rsidRPr="0013396E" w:rsidRDefault="00236104" w:rsidP="00BA73E7">
            <w:pPr>
              <w:pStyle w:val="TableBody"/>
              <w:rPr>
                <w:b/>
              </w:rPr>
            </w:pPr>
            <w:r w:rsidRPr="0013396E">
              <w:t xml:space="preserve">SWMWAMT </w:t>
            </w:r>
            <w:r w:rsidRPr="0013396E">
              <w:rPr>
                <w:i/>
                <w:vertAlign w:val="subscript"/>
              </w:rPr>
              <w:t>q, r</w:t>
            </w:r>
          </w:p>
        </w:tc>
        <w:tc>
          <w:tcPr>
            <w:tcW w:w="433" w:type="pct"/>
            <w:tcBorders>
              <w:top w:val="single" w:sz="4" w:space="0" w:color="auto"/>
              <w:left w:val="single" w:sz="4" w:space="0" w:color="auto"/>
              <w:bottom w:val="single" w:sz="4" w:space="0" w:color="auto"/>
              <w:right w:val="single" w:sz="4" w:space="0" w:color="auto"/>
            </w:tcBorders>
          </w:tcPr>
          <w:p w14:paraId="1736A12C" w14:textId="77777777" w:rsidR="00236104" w:rsidRPr="0013396E" w:rsidRDefault="00236104" w:rsidP="00BA73E7">
            <w:pPr>
              <w:pStyle w:val="TableBody"/>
            </w:pPr>
            <w:r w:rsidRPr="0013396E">
              <w:t>$</w:t>
            </w:r>
          </w:p>
        </w:tc>
        <w:tc>
          <w:tcPr>
            <w:tcW w:w="3174" w:type="pct"/>
            <w:tcBorders>
              <w:top w:val="single" w:sz="4" w:space="0" w:color="auto"/>
              <w:left w:val="single" w:sz="4" w:space="0" w:color="auto"/>
              <w:bottom w:val="single" w:sz="4" w:space="0" w:color="auto"/>
              <w:right w:val="single" w:sz="4" w:space="0" w:color="auto"/>
            </w:tcBorders>
          </w:tcPr>
          <w:p w14:paraId="25D1E1B6" w14:textId="77777777" w:rsidR="00236104" w:rsidRPr="0013396E" w:rsidRDefault="00236104" w:rsidP="00BA73E7">
            <w:pPr>
              <w:pStyle w:val="TableBody"/>
              <w:rPr>
                <w:i/>
              </w:rPr>
            </w:pPr>
            <w:r w:rsidRPr="0013396E">
              <w:rPr>
                <w:i/>
              </w:rPr>
              <w:t>Switchable Generation Make-Whole Payment</w:t>
            </w:r>
            <w:r w:rsidRPr="0013396E">
              <w:t xml:space="preserve">—The Switchable Generation Make-Whole Payment to the QSE </w:t>
            </w:r>
            <w:r w:rsidRPr="0013396E">
              <w:rPr>
                <w:i/>
              </w:rPr>
              <w:t>q,</w:t>
            </w:r>
            <w:r w:rsidRPr="0013396E">
              <w:t xml:space="preserve"> for Resource </w:t>
            </w:r>
            <w:r w:rsidRPr="0013396E">
              <w:rPr>
                <w:i/>
              </w:rPr>
              <w:t>r</w:t>
            </w:r>
            <w:r w:rsidRPr="0013396E">
              <w:t xml:space="preserve">, for the hour.  Where for a Combined Cycle Train, the Resource </w:t>
            </w:r>
            <w:r w:rsidRPr="0013396E">
              <w:rPr>
                <w:i/>
              </w:rPr>
              <w:t xml:space="preserve">r </w:t>
            </w:r>
            <w:r w:rsidRPr="0013396E">
              <w:t>is the Combined Cycle Train.</w:t>
            </w:r>
          </w:p>
        </w:tc>
      </w:tr>
      <w:tr w:rsidR="00236104" w:rsidRPr="0013396E" w14:paraId="512AF95E" w14:textId="77777777" w:rsidTr="00BA73E7">
        <w:trPr>
          <w:cantSplit/>
        </w:trPr>
        <w:tc>
          <w:tcPr>
            <w:tcW w:w="1393" w:type="pct"/>
            <w:tcBorders>
              <w:top w:val="single" w:sz="4" w:space="0" w:color="auto"/>
              <w:left w:val="single" w:sz="4" w:space="0" w:color="auto"/>
              <w:bottom w:val="single" w:sz="4" w:space="0" w:color="auto"/>
              <w:right w:val="single" w:sz="4" w:space="0" w:color="auto"/>
            </w:tcBorders>
            <w:hideMark/>
          </w:tcPr>
          <w:p w14:paraId="714574AC" w14:textId="77777777" w:rsidR="00236104" w:rsidRPr="0013396E" w:rsidRDefault="00236104" w:rsidP="00BA73E7">
            <w:pPr>
              <w:pStyle w:val="TableBody"/>
              <w:rPr>
                <w:i/>
              </w:rPr>
            </w:pPr>
            <w:r w:rsidRPr="0013396E">
              <w:rPr>
                <w:i/>
              </w:rPr>
              <w:t>q</w:t>
            </w:r>
          </w:p>
        </w:tc>
        <w:tc>
          <w:tcPr>
            <w:tcW w:w="433" w:type="pct"/>
            <w:tcBorders>
              <w:top w:val="single" w:sz="4" w:space="0" w:color="auto"/>
              <w:left w:val="single" w:sz="4" w:space="0" w:color="auto"/>
              <w:bottom w:val="single" w:sz="4" w:space="0" w:color="auto"/>
              <w:right w:val="single" w:sz="4" w:space="0" w:color="auto"/>
            </w:tcBorders>
            <w:hideMark/>
          </w:tcPr>
          <w:p w14:paraId="1099EA64" w14:textId="77777777" w:rsidR="00236104" w:rsidRPr="0013396E" w:rsidRDefault="00236104" w:rsidP="00BA73E7">
            <w:pPr>
              <w:pStyle w:val="TableBody"/>
            </w:pPr>
            <w:r w:rsidRPr="0013396E">
              <w:t>none</w:t>
            </w:r>
          </w:p>
        </w:tc>
        <w:tc>
          <w:tcPr>
            <w:tcW w:w="3174" w:type="pct"/>
            <w:tcBorders>
              <w:top w:val="single" w:sz="4" w:space="0" w:color="auto"/>
              <w:left w:val="single" w:sz="4" w:space="0" w:color="auto"/>
              <w:bottom w:val="single" w:sz="4" w:space="0" w:color="auto"/>
              <w:right w:val="single" w:sz="4" w:space="0" w:color="auto"/>
            </w:tcBorders>
            <w:hideMark/>
          </w:tcPr>
          <w:p w14:paraId="7BC1B433" w14:textId="77777777" w:rsidR="00236104" w:rsidRPr="0013396E" w:rsidRDefault="00236104" w:rsidP="00BA73E7">
            <w:pPr>
              <w:pStyle w:val="TableBody"/>
            </w:pPr>
            <w:r w:rsidRPr="0013396E">
              <w:t>A QSE.</w:t>
            </w:r>
          </w:p>
        </w:tc>
      </w:tr>
      <w:tr w:rsidR="00236104" w:rsidRPr="0013396E" w14:paraId="69AB95DE" w14:textId="77777777" w:rsidTr="00BA73E7">
        <w:trPr>
          <w:cantSplit/>
        </w:trPr>
        <w:tc>
          <w:tcPr>
            <w:tcW w:w="1393" w:type="pct"/>
            <w:tcBorders>
              <w:top w:val="single" w:sz="4" w:space="0" w:color="auto"/>
              <w:left w:val="single" w:sz="4" w:space="0" w:color="auto"/>
              <w:bottom w:val="single" w:sz="4" w:space="0" w:color="auto"/>
              <w:right w:val="single" w:sz="4" w:space="0" w:color="auto"/>
            </w:tcBorders>
            <w:hideMark/>
          </w:tcPr>
          <w:p w14:paraId="78AD7A44" w14:textId="77777777" w:rsidR="00236104" w:rsidRPr="0013396E" w:rsidRDefault="00236104" w:rsidP="00BA73E7">
            <w:pPr>
              <w:pStyle w:val="TableBody"/>
              <w:rPr>
                <w:i/>
              </w:rPr>
            </w:pPr>
            <w:r w:rsidRPr="0013396E">
              <w:rPr>
                <w:i/>
              </w:rPr>
              <w:t>r</w:t>
            </w:r>
          </w:p>
        </w:tc>
        <w:tc>
          <w:tcPr>
            <w:tcW w:w="433" w:type="pct"/>
            <w:tcBorders>
              <w:top w:val="single" w:sz="4" w:space="0" w:color="auto"/>
              <w:left w:val="single" w:sz="4" w:space="0" w:color="auto"/>
              <w:bottom w:val="single" w:sz="4" w:space="0" w:color="auto"/>
              <w:right w:val="single" w:sz="4" w:space="0" w:color="auto"/>
            </w:tcBorders>
            <w:hideMark/>
          </w:tcPr>
          <w:p w14:paraId="32386ADB" w14:textId="77777777" w:rsidR="00236104" w:rsidRPr="0013396E" w:rsidRDefault="00236104" w:rsidP="00BA73E7">
            <w:pPr>
              <w:pStyle w:val="TableBody"/>
            </w:pPr>
            <w:r w:rsidRPr="0013396E">
              <w:t>none</w:t>
            </w:r>
          </w:p>
        </w:tc>
        <w:tc>
          <w:tcPr>
            <w:tcW w:w="3174" w:type="pct"/>
            <w:tcBorders>
              <w:top w:val="single" w:sz="4" w:space="0" w:color="auto"/>
              <w:left w:val="single" w:sz="4" w:space="0" w:color="auto"/>
              <w:bottom w:val="single" w:sz="4" w:space="0" w:color="auto"/>
              <w:right w:val="single" w:sz="4" w:space="0" w:color="auto"/>
            </w:tcBorders>
            <w:hideMark/>
          </w:tcPr>
          <w:p w14:paraId="3968199E" w14:textId="77777777" w:rsidR="00236104" w:rsidRPr="0013396E" w:rsidRDefault="00236104" w:rsidP="00BA73E7">
            <w:pPr>
              <w:pStyle w:val="TableBody"/>
            </w:pPr>
            <w:r w:rsidRPr="0013396E">
              <w:t>A Switchable Generation Resource.</w:t>
            </w:r>
          </w:p>
        </w:tc>
      </w:tr>
    </w:tbl>
    <w:p w14:paraId="76A14CD2" w14:textId="7AAEE3B6" w:rsidR="00236104" w:rsidRPr="0013396E" w:rsidRDefault="00236104" w:rsidP="00236104">
      <w:pPr>
        <w:pStyle w:val="H4"/>
        <w:spacing w:before="480"/>
        <w:ind w:left="1267" w:hanging="1267"/>
      </w:pPr>
      <w:bookmarkStart w:id="2215" w:name="_Toc214879021"/>
      <w:r w:rsidRPr="0013396E">
        <w:lastRenderedPageBreak/>
        <w:t>6.6.12.2</w:t>
      </w:r>
      <w:r w:rsidRPr="0013396E">
        <w:tab/>
        <w:t>Switchable Generation Make-Whole Charge</w:t>
      </w:r>
      <w:bookmarkEnd w:id="2215"/>
      <w:r w:rsidRPr="0013396E">
        <w:t xml:space="preserve"> </w:t>
      </w:r>
    </w:p>
    <w:p w14:paraId="250D1910" w14:textId="77777777" w:rsidR="00236104" w:rsidRPr="0013396E" w:rsidRDefault="00236104" w:rsidP="00236104">
      <w:pPr>
        <w:spacing w:after="240"/>
        <w:ind w:left="720" w:hanging="720"/>
      </w:pPr>
      <w:r w:rsidRPr="0013396E">
        <w:t>(1)</w:t>
      </w:r>
      <w:r w:rsidRPr="0013396E">
        <w:tab/>
        <w:t xml:space="preserve">The total cost for Switchable Generation Make-Whole Payments associated with SWGRs that switch to the ERCOT Control Area from a non-ERCOT Control Area pursuant to an ERCOT RUC instruction for an actual or anticipated EEA condition is allocated to QSEs representing Load based on HLRS.  The Switchable Generation Make-Whole Charge for a given hour is calculated as follows:  </w:t>
      </w:r>
    </w:p>
    <w:p w14:paraId="02874F8F" w14:textId="77777777" w:rsidR="00236104" w:rsidRPr="0013396E" w:rsidRDefault="00236104" w:rsidP="00236104">
      <w:pPr>
        <w:tabs>
          <w:tab w:val="left" w:pos="2610"/>
          <w:tab w:val="left" w:pos="3060"/>
        </w:tabs>
        <w:spacing w:after="240"/>
        <w:ind w:left="3060" w:hanging="2340"/>
        <w:rPr>
          <w:b/>
          <w:bCs/>
          <w:i/>
          <w:szCs w:val="24"/>
          <w:vertAlign w:val="subscript"/>
        </w:rPr>
      </w:pPr>
      <w:r w:rsidRPr="0013396E">
        <w:rPr>
          <w:b/>
          <w:bCs/>
          <w:szCs w:val="24"/>
        </w:rPr>
        <w:t xml:space="preserve">LASWMWAMT </w:t>
      </w:r>
      <w:r w:rsidRPr="0013396E">
        <w:rPr>
          <w:b/>
          <w:bCs/>
          <w:i/>
          <w:szCs w:val="24"/>
          <w:vertAlign w:val="subscript"/>
        </w:rPr>
        <w:t>q</w:t>
      </w:r>
      <w:r w:rsidRPr="0013396E">
        <w:rPr>
          <w:b/>
          <w:bCs/>
          <w:szCs w:val="24"/>
        </w:rPr>
        <w:tab/>
      </w:r>
      <w:r w:rsidRPr="0013396E">
        <w:rPr>
          <w:b/>
        </w:rPr>
        <w:tab/>
      </w:r>
      <w:r w:rsidRPr="0013396E">
        <w:rPr>
          <w:b/>
          <w:bCs/>
          <w:szCs w:val="24"/>
        </w:rPr>
        <w:t>=</w:t>
      </w:r>
      <w:r w:rsidRPr="0013396E">
        <w:rPr>
          <w:b/>
          <w:bCs/>
          <w:szCs w:val="24"/>
        </w:rPr>
        <w:tab/>
        <w:t xml:space="preserve">(-1) * </w:t>
      </w:r>
      <w:r w:rsidRPr="0013396E">
        <w:rPr>
          <w:b/>
          <w:szCs w:val="24"/>
        </w:rPr>
        <w:t>SWMWAMTTOT</w:t>
      </w:r>
      <w:r w:rsidRPr="0013396E">
        <w:rPr>
          <w:b/>
          <w:bCs/>
          <w:szCs w:val="24"/>
        </w:rPr>
        <w:t xml:space="preserve"> * HLRS </w:t>
      </w:r>
      <w:r w:rsidRPr="0013396E">
        <w:rPr>
          <w:b/>
          <w:bCs/>
          <w:i/>
          <w:szCs w:val="24"/>
          <w:vertAlign w:val="subscript"/>
        </w:rPr>
        <w:t>q</w:t>
      </w:r>
    </w:p>
    <w:p w14:paraId="1C03E523" w14:textId="77777777" w:rsidR="00236104" w:rsidRPr="0013396E" w:rsidRDefault="00236104" w:rsidP="00236104">
      <w:pPr>
        <w:spacing w:before="240" w:after="240"/>
        <w:ind w:left="3600" w:hanging="2880"/>
        <w:rPr>
          <w:bCs/>
          <w:szCs w:val="24"/>
        </w:rPr>
      </w:pPr>
      <w:r w:rsidRPr="0013396E">
        <w:rPr>
          <w:bCs/>
          <w:szCs w:val="24"/>
        </w:rPr>
        <w:t>Where:</w:t>
      </w:r>
    </w:p>
    <w:p w14:paraId="5C7A2E6E" w14:textId="77777777" w:rsidR="00236104" w:rsidRPr="0013396E" w:rsidRDefault="00236104" w:rsidP="00236104">
      <w:pPr>
        <w:tabs>
          <w:tab w:val="left" w:pos="2610"/>
          <w:tab w:val="left" w:pos="3060"/>
        </w:tabs>
        <w:spacing w:after="240"/>
        <w:ind w:left="3060" w:hanging="2340"/>
        <w:rPr>
          <w:bCs/>
          <w:szCs w:val="24"/>
        </w:rPr>
      </w:pPr>
      <w:r w:rsidRPr="0013396E">
        <w:rPr>
          <w:bCs/>
          <w:szCs w:val="24"/>
        </w:rPr>
        <w:t>SWMWAMTTOT</w:t>
      </w:r>
      <w:r w:rsidRPr="0013396E">
        <w:tab/>
      </w:r>
      <w:r w:rsidRPr="0013396E">
        <w:tab/>
      </w:r>
      <w:r w:rsidRPr="0013396E">
        <w:rPr>
          <w:bCs/>
          <w:szCs w:val="24"/>
        </w:rPr>
        <w:t>=</w:t>
      </w:r>
      <w:r w:rsidRPr="0013396E">
        <w:rPr>
          <w:bCs/>
          <w:szCs w:val="24"/>
        </w:rPr>
        <w:tab/>
        <w:t xml:space="preserve"> </w:t>
      </w:r>
      <w:r w:rsidR="00343E89">
        <w:rPr>
          <w:bCs/>
          <w:position w:val="-22"/>
          <w:szCs w:val="24"/>
        </w:rPr>
        <w:pict w14:anchorId="68FF9CE3">
          <v:shape id="_x0000_i1253" type="#_x0000_t75" style="width:12pt;height:30pt">
            <v:imagedata r:id="rId327" o:title=""/>
          </v:shape>
        </w:pict>
      </w:r>
      <w:r w:rsidRPr="0013396E">
        <w:rPr>
          <w:bCs/>
          <w:color w:val="000000"/>
          <w:szCs w:val="24"/>
        </w:rPr>
        <w:t xml:space="preserve"> </w:t>
      </w:r>
      <w:r w:rsidRPr="0013396E">
        <w:rPr>
          <w:bCs/>
          <w:szCs w:val="24"/>
        </w:rPr>
        <w:t>SWMWAMTQSETOT</w:t>
      </w:r>
      <w:r w:rsidRPr="0013396E">
        <w:rPr>
          <w:b/>
          <w:bCs/>
          <w:szCs w:val="24"/>
        </w:rPr>
        <w:t xml:space="preserve"> </w:t>
      </w:r>
      <w:r w:rsidRPr="0013396E">
        <w:rPr>
          <w:bCs/>
          <w:i/>
          <w:szCs w:val="24"/>
          <w:vertAlign w:val="subscript"/>
        </w:rPr>
        <w:t>q</w:t>
      </w:r>
    </w:p>
    <w:p w14:paraId="56542413" w14:textId="77777777" w:rsidR="00236104" w:rsidRPr="0013396E" w:rsidRDefault="00236104" w:rsidP="00236104">
      <w:pPr>
        <w:spacing w:before="120"/>
        <w:rPr>
          <w:szCs w:val="24"/>
        </w:rPr>
      </w:pPr>
      <w:r w:rsidRPr="0013396E">
        <w:rPr>
          <w:szCs w:val="24"/>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5"/>
        <w:gridCol w:w="810"/>
        <w:gridCol w:w="5935"/>
      </w:tblGrid>
      <w:tr w:rsidR="00236104" w:rsidRPr="0013396E" w14:paraId="6764DF7C" w14:textId="77777777" w:rsidTr="00BA73E7">
        <w:trPr>
          <w:cantSplit/>
          <w:tblHeader/>
        </w:trPr>
        <w:tc>
          <w:tcPr>
            <w:tcW w:w="1393" w:type="pct"/>
            <w:tcBorders>
              <w:top w:val="single" w:sz="4" w:space="0" w:color="auto"/>
              <w:left w:val="single" w:sz="4" w:space="0" w:color="auto"/>
              <w:bottom w:val="single" w:sz="4" w:space="0" w:color="auto"/>
              <w:right w:val="single" w:sz="4" w:space="0" w:color="auto"/>
            </w:tcBorders>
            <w:hideMark/>
          </w:tcPr>
          <w:p w14:paraId="74F8DF3D" w14:textId="77777777" w:rsidR="00236104" w:rsidRPr="0013396E" w:rsidRDefault="00236104" w:rsidP="00BA73E7">
            <w:pPr>
              <w:pStyle w:val="TableHead"/>
            </w:pPr>
            <w:r w:rsidRPr="0013396E">
              <w:t>Variable</w:t>
            </w:r>
          </w:p>
        </w:tc>
        <w:tc>
          <w:tcPr>
            <w:tcW w:w="433" w:type="pct"/>
            <w:tcBorders>
              <w:top w:val="single" w:sz="4" w:space="0" w:color="auto"/>
              <w:left w:val="single" w:sz="4" w:space="0" w:color="auto"/>
              <w:bottom w:val="single" w:sz="4" w:space="0" w:color="auto"/>
              <w:right w:val="single" w:sz="4" w:space="0" w:color="auto"/>
            </w:tcBorders>
            <w:hideMark/>
          </w:tcPr>
          <w:p w14:paraId="0A992E69" w14:textId="77777777" w:rsidR="00236104" w:rsidRPr="0013396E" w:rsidRDefault="00236104" w:rsidP="00BA73E7">
            <w:pPr>
              <w:pStyle w:val="TableHead"/>
            </w:pPr>
            <w:r w:rsidRPr="0013396E">
              <w:t>Unit</w:t>
            </w:r>
          </w:p>
        </w:tc>
        <w:tc>
          <w:tcPr>
            <w:tcW w:w="3174" w:type="pct"/>
            <w:tcBorders>
              <w:top w:val="single" w:sz="4" w:space="0" w:color="auto"/>
              <w:left w:val="single" w:sz="4" w:space="0" w:color="auto"/>
              <w:bottom w:val="single" w:sz="4" w:space="0" w:color="auto"/>
              <w:right w:val="single" w:sz="4" w:space="0" w:color="auto"/>
            </w:tcBorders>
            <w:hideMark/>
          </w:tcPr>
          <w:p w14:paraId="31962060" w14:textId="77777777" w:rsidR="00236104" w:rsidRPr="0013396E" w:rsidRDefault="00236104" w:rsidP="00BA73E7">
            <w:pPr>
              <w:pStyle w:val="TableHead"/>
            </w:pPr>
            <w:r w:rsidRPr="0013396E">
              <w:t>Definition</w:t>
            </w:r>
          </w:p>
        </w:tc>
      </w:tr>
      <w:tr w:rsidR="00236104" w:rsidRPr="0013396E" w14:paraId="2E1941C1" w14:textId="77777777" w:rsidTr="00BA73E7">
        <w:trPr>
          <w:cantSplit/>
        </w:trPr>
        <w:tc>
          <w:tcPr>
            <w:tcW w:w="1393" w:type="pct"/>
            <w:tcBorders>
              <w:top w:val="single" w:sz="4" w:space="0" w:color="auto"/>
              <w:left w:val="single" w:sz="4" w:space="0" w:color="auto"/>
              <w:bottom w:val="single" w:sz="4" w:space="0" w:color="auto"/>
              <w:right w:val="single" w:sz="4" w:space="0" w:color="auto"/>
            </w:tcBorders>
          </w:tcPr>
          <w:p w14:paraId="23DE855F" w14:textId="77777777" w:rsidR="00236104" w:rsidRPr="0013396E" w:rsidRDefault="00236104" w:rsidP="00BA73E7">
            <w:pPr>
              <w:pStyle w:val="TableBody"/>
            </w:pPr>
            <w:r w:rsidRPr="0013396E">
              <w:rPr>
                <w:bCs/>
              </w:rPr>
              <w:t>LASWMWAMT</w:t>
            </w:r>
            <w:r w:rsidRPr="0013396E">
              <w:rPr>
                <w:i/>
                <w:vertAlign w:val="subscript"/>
              </w:rPr>
              <w:t xml:space="preserve"> q</w:t>
            </w:r>
          </w:p>
        </w:tc>
        <w:tc>
          <w:tcPr>
            <w:tcW w:w="433" w:type="pct"/>
            <w:tcBorders>
              <w:top w:val="single" w:sz="4" w:space="0" w:color="auto"/>
              <w:left w:val="single" w:sz="4" w:space="0" w:color="auto"/>
              <w:bottom w:val="single" w:sz="4" w:space="0" w:color="auto"/>
              <w:right w:val="single" w:sz="4" w:space="0" w:color="auto"/>
            </w:tcBorders>
          </w:tcPr>
          <w:p w14:paraId="2AAF4183" w14:textId="77777777" w:rsidR="00236104" w:rsidRPr="0013396E" w:rsidRDefault="00236104" w:rsidP="00BA73E7">
            <w:pPr>
              <w:pStyle w:val="TableBody"/>
            </w:pPr>
            <w:r w:rsidRPr="0013396E">
              <w:t>$</w:t>
            </w:r>
          </w:p>
        </w:tc>
        <w:tc>
          <w:tcPr>
            <w:tcW w:w="3174" w:type="pct"/>
            <w:tcBorders>
              <w:top w:val="single" w:sz="4" w:space="0" w:color="auto"/>
              <w:left w:val="single" w:sz="4" w:space="0" w:color="auto"/>
              <w:bottom w:val="single" w:sz="4" w:space="0" w:color="auto"/>
              <w:right w:val="single" w:sz="4" w:space="0" w:color="auto"/>
            </w:tcBorders>
          </w:tcPr>
          <w:p w14:paraId="20711AAE" w14:textId="77777777" w:rsidR="00236104" w:rsidRPr="0013396E" w:rsidRDefault="00236104" w:rsidP="00BA73E7">
            <w:pPr>
              <w:pStyle w:val="TableBody"/>
              <w:rPr>
                <w:i/>
              </w:rPr>
            </w:pPr>
            <w:r w:rsidRPr="0013396E">
              <w:rPr>
                <w:i/>
              </w:rPr>
              <w:t>Load Allocated Switchable Generation Make-Whole Charge Amount</w:t>
            </w:r>
            <w:r w:rsidRPr="0013396E">
              <w:rPr>
                <w:i/>
                <w:iCs w:val="0"/>
              </w:rPr>
              <w:t xml:space="preserve">– </w:t>
            </w:r>
            <w:r w:rsidRPr="0013396E">
              <w:t xml:space="preserve">The allocated charge to QSE </w:t>
            </w:r>
            <w:r w:rsidRPr="0013396E">
              <w:rPr>
                <w:i/>
              </w:rPr>
              <w:t>q</w:t>
            </w:r>
            <w:r w:rsidRPr="0013396E">
              <w:t xml:space="preserve"> for Switchable Generation Make-Whole Payments.</w:t>
            </w:r>
          </w:p>
        </w:tc>
      </w:tr>
      <w:tr w:rsidR="00236104" w:rsidRPr="0013396E" w14:paraId="78C03208" w14:textId="77777777" w:rsidTr="00BA73E7">
        <w:trPr>
          <w:cantSplit/>
        </w:trPr>
        <w:tc>
          <w:tcPr>
            <w:tcW w:w="1393" w:type="pct"/>
            <w:tcBorders>
              <w:top w:val="single" w:sz="4" w:space="0" w:color="auto"/>
              <w:left w:val="single" w:sz="4" w:space="0" w:color="auto"/>
              <w:bottom w:val="single" w:sz="4" w:space="0" w:color="auto"/>
              <w:right w:val="single" w:sz="4" w:space="0" w:color="auto"/>
            </w:tcBorders>
          </w:tcPr>
          <w:p w14:paraId="19FC59F7" w14:textId="77777777" w:rsidR="00236104" w:rsidRPr="0013396E" w:rsidRDefault="00236104" w:rsidP="00BA73E7">
            <w:pPr>
              <w:pStyle w:val="TableBody"/>
            </w:pPr>
            <w:r w:rsidRPr="0013396E">
              <w:t>SWMWAMTTOT</w:t>
            </w:r>
          </w:p>
        </w:tc>
        <w:tc>
          <w:tcPr>
            <w:tcW w:w="433" w:type="pct"/>
            <w:tcBorders>
              <w:top w:val="single" w:sz="4" w:space="0" w:color="auto"/>
              <w:left w:val="single" w:sz="4" w:space="0" w:color="auto"/>
              <w:bottom w:val="single" w:sz="4" w:space="0" w:color="auto"/>
              <w:right w:val="single" w:sz="4" w:space="0" w:color="auto"/>
            </w:tcBorders>
          </w:tcPr>
          <w:p w14:paraId="01140BD6" w14:textId="77777777" w:rsidR="00236104" w:rsidRPr="0013396E" w:rsidRDefault="00236104" w:rsidP="00BA73E7">
            <w:pPr>
              <w:pStyle w:val="TableBody"/>
            </w:pPr>
            <w:r w:rsidRPr="0013396E">
              <w:t>$</w:t>
            </w:r>
          </w:p>
        </w:tc>
        <w:tc>
          <w:tcPr>
            <w:tcW w:w="3174" w:type="pct"/>
            <w:tcBorders>
              <w:top w:val="single" w:sz="4" w:space="0" w:color="auto"/>
              <w:left w:val="single" w:sz="4" w:space="0" w:color="auto"/>
              <w:bottom w:val="single" w:sz="4" w:space="0" w:color="auto"/>
              <w:right w:val="single" w:sz="4" w:space="0" w:color="auto"/>
            </w:tcBorders>
          </w:tcPr>
          <w:p w14:paraId="7916BF92" w14:textId="77777777" w:rsidR="00236104" w:rsidRPr="0013396E" w:rsidRDefault="00236104" w:rsidP="00BA73E7">
            <w:pPr>
              <w:pStyle w:val="TableBody"/>
              <w:rPr>
                <w:i/>
              </w:rPr>
            </w:pPr>
            <w:r w:rsidRPr="0013396E">
              <w:rPr>
                <w:i/>
              </w:rPr>
              <w:t>Switchable Generation Make-Whole Payment Total—</w:t>
            </w:r>
            <w:r w:rsidRPr="0013396E">
              <w:t>The total Switchable Generation Make-Whole Payments to all QSEs for the hour.</w:t>
            </w:r>
            <w:r w:rsidRPr="0013396E">
              <w:rPr>
                <w:i/>
              </w:rPr>
              <w:t xml:space="preserve">  </w:t>
            </w:r>
          </w:p>
        </w:tc>
      </w:tr>
      <w:tr w:rsidR="00236104" w:rsidRPr="0013396E" w14:paraId="27034025" w14:textId="77777777" w:rsidTr="00BA73E7">
        <w:trPr>
          <w:cantSplit/>
        </w:trPr>
        <w:tc>
          <w:tcPr>
            <w:tcW w:w="1393" w:type="pct"/>
            <w:tcBorders>
              <w:top w:val="single" w:sz="4" w:space="0" w:color="auto"/>
              <w:left w:val="single" w:sz="4" w:space="0" w:color="auto"/>
              <w:bottom w:val="single" w:sz="4" w:space="0" w:color="auto"/>
              <w:right w:val="single" w:sz="4" w:space="0" w:color="auto"/>
            </w:tcBorders>
          </w:tcPr>
          <w:p w14:paraId="004C5B2A" w14:textId="77777777" w:rsidR="00236104" w:rsidRPr="0013396E" w:rsidDel="00FF5D22" w:rsidRDefault="00236104" w:rsidP="00BA73E7">
            <w:pPr>
              <w:pStyle w:val="TableBody"/>
            </w:pPr>
            <w:r w:rsidRPr="0013396E">
              <w:t>SWMWAMTQSETOT</w:t>
            </w:r>
            <w:r w:rsidRPr="0013396E">
              <w:rPr>
                <w:b/>
              </w:rPr>
              <w:t xml:space="preserve"> </w:t>
            </w:r>
            <w:r w:rsidRPr="0013396E">
              <w:rPr>
                <w:b/>
                <w:i/>
                <w:vertAlign w:val="subscript"/>
              </w:rPr>
              <w:t>q</w:t>
            </w:r>
          </w:p>
        </w:tc>
        <w:tc>
          <w:tcPr>
            <w:tcW w:w="433" w:type="pct"/>
            <w:tcBorders>
              <w:top w:val="single" w:sz="4" w:space="0" w:color="auto"/>
              <w:left w:val="single" w:sz="4" w:space="0" w:color="auto"/>
              <w:bottom w:val="single" w:sz="4" w:space="0" w:color="auto"/>
              <w:right w:val="single" w:sz="4" w:space="0" w:color="auto"/>
            </w:tcBorders>
          </w:tcPr>
          <w:p w14:paraId="0C521049" w14:textId="77777777" w:rsidR="00236104" w:rsidRPr="0013396E" w:rsidRDefault="00236104" w:rsidP="00BA73E7">
            <w:pPr>
              <w:pStyle w:val="TableBody"/>
            </w:pPr>
            <w:r w:rsidRPr="0013396E">
              <w:t>$</w:t>
            </w:r>
          </w:p>
        </w:tc>
        <w:tc>
          <w:tcPr>
            <w:tcW w:w="3174" w:type="pct"/>
            <w:tcBorders>
              <w:top w:val="single" w:sz="4" w:space="0" w:color="auto"/>
              <w:left w:val="single" w:sz="4" w:space="0" w:color="auto"/>
              <w:bottom w:val="single" w:sz="4" w:space="0" w:color="auto"/>
              <w:right w:val="single" w:sz="4" w:space="0" w:color="auto"/>
            </w:tcBorders>
          </w:tcPr>
          <w:p w14:paraId="43477293" w14:textId="77777777" w:rsidR="00236104" w:rsidRPr="0013396E" w:rsidRDefault="00236104" w:rsidP="00BA73E7">
            <w:pPr>
              <w:pStyle w:val="TableBody"/>
              <w:rPr>
                <w:i/>
              </w:rPr>
            </w:pPr>
            <w:r w:rsidRPr="0013396E">
              <w:rPr>
                <w:i/>
              </w:rPr>
              <w:t xml:space="preserve">Switchable Generation Make-Whole Payment per QSE </w:t>
            </w:r>
            <w:r w:rsidRPr="0013396E">
              <w:t xml:space="preserve">—The total Switchable Generation Make-Whole Payment to the QSE </w:t>
            </w:r>
            <w:r w:rsidRPr="0013396E">
              <w:rPr>
                <w:i/>
              </w:rPr>
              <w:t>q</w:t>
            </w:r>
            <w:r w:rsidRPr="0013396E">
              <w:t xml:space="preserve"> for the hour.  </w:t>
            </w:r>
          </w:p>
        </w:tc>
      </w:tr>
      <w:tr w:rsidR="00236104" w:rsidRPr="0013396E" w14:paraId="7CFD72B4" w14:textId="77777777" w:rsidTr="00BA73E7">
        <w:trPr>
          <w:cantSplit/>
        </w:trPr>
        <w:tc>
          <w:tcPr>
            <w:tcW w:w="1393" w:type="pct"/>
            <w:tcBorders>
              <w:top w:val="single" w:sz="4" w:space="0" w:color="auto"/>
              <w:left w:val="single" w:sz="4" w:space="0" w:color="auto"/>
              <w:bottom w:val="single" w:sz="4" w:space="0" w:color="auto"/>
              <w:right w:val="single" w:sz="4" w:space="0" w:color="auto"/>
            </w:tcBorders>
          </w:tcPr>
          <w:p w14:paraId="42C09253" w14:textId="77777777" w:rsidR="00236104" w:rsidRPr="0013396E" w:rsidRDefault="00236104" w:rsidP="00BA73E7">
            <w:pPr>
              <w:pStyle w:val="TableBody"/>
            </w:pPr>
            <w:r w:rsidRPr="0013396E">
              <w:t>HLRS</w:t>
            </w:r>
            <w:r w:rsidRPr="0013396E">
              <w:rPr>
                <w:i/>
                <w:vertAlign w:val="subscript"/>
              </w:rPr>
              <w:t xml:space="preserve"> q</w:t>
            </w:r>
          </w:p>
        </w:tc>
        <w:tc>
          <w:tcPr>
            <w:tcW w:w="433" w:type="pct"/>
            <w:tcBorders>
              <w:top w:val="single" w:sz="4" w:space="0" w:color="auto"/>
              <w:left w:val="single" w:sz="4" w:space="0" w:color="auto"/>
              <w:bottom w:val="single" w:sz="4" w:space="0" w:color="auto"/>
              <w:right w:val="single" w:sz="4" w:space="0" w:color="auto"/>
            </w:tcBorders>
          </w:tcPr>
          <w:p w14:paraId="70BA4D8B" w14:textId="77777777" w:rsidR="00236104" w:rsidRPr="0013396E" w:rsidRDefault="00236104" w:rsidP="00BA73E7">
            <w:pPr>
              <w:pStyle w:val="TableBody"/>
            </w:pPr>
            <w:r w:rsidRPr="0013396E">
              <w:t>none</w:t>
            </w:r>
          </w:p>
        </w:tc>
        <w:tc>
          <w:tcPr>
            <w:tcW w:w="3174" w:type="pct"/>
            <w:tcBorders>
              <w:top w:val="single" w:sz="4" w:space="0" w:color="auto"/>
              <w:left w:val="single" w:sz="4" w:space="0" w:color="auto"/>
              <w:bottom w:val="single" w:sz="4" w:space="0" w:color="auto"/>
              <w:right w:val="single" w:sz="4" w:space="0" w:color="auto"/>
            </w:tcBorders>
          </w:tcPr>
          <w:p w14:paraId="363DD411" w14:textId="77777777" w:rsidR="00236104" w:rsidRPr="0013396E" w:rsidRDefault="00236104" w:rsidP="00BA73E7">
            <w:pPr>
              <w:pStyle w:val="TableBody"/>
              <w:rPr>
                <w:i/>
              </w:rPr>
            </w:pPr>
            <w:r w:rsidRPr="0013396E">
              <w:rPr>
                <w:i/>
              </w:rPr>
              <w:t>The Hourly Load Ratio Share calculated for QSE q for the hour</w:t>
            </w:r>
            <w:r w:rsidRPr="0013396E">
              <w:t>.  See Section 6.6.2.4, QSE Load Ratio Share for an Operating Hour.</w:t>
            </w:r>
          </w:p>
        </w:tc>
      </w:tr>
      <w:tr w:rsidR="00236104" w:rsidRPr="0013396E" w14:paraId="20CDE28D" w14:textId="77777777" w:rsidTr="00BA73E7">
        <w:trPr>
          <w:cantSplit/>
        </w:trPr>
        <w:tc>
          <w:tcPr>
            <w:tcW w:w="1393" w:type="pct"/>
            <w:tcBorders>
              <w:top w:val="single" w:sz="4" w:space="0" w:color="auto"/>
              <w:left w:val="single" w:sz="4" w:space="0" w:color="auto"/>
              <w:bottom w:val="single" w:sz="4" w:space="0" w:color="auto"/>
              <w:right w:val="single" w:sz="4" w:space="0" w:color="auto"/>
            </w:tcBorders>
          </w:tcPr>
          <w:p w14:paraId="22265E20" w14:textId="77777777" w:rsidR="00236104" w:rsidRPr="0013396E" w:rsidRDefault="00236104" w:rsidP="00BA73E7">
            <w:pPr>
              <w:pStyle w:val="TableBody"/>
              <w:rPr>
                <w:i/>
              </w:rPr>
            </w:pPr>
            <w:r w:rsidRPr="0013396E">
              <w:rPr>
                <w:i/>
              </w:rPr>
              <w:t>q</w:t>
            </w:r>
          </w:p>
        </w:tc>
        <w:tc>
          <w:tcPr>
            <w:tcW w:w="433" w:type="pct"/>
            <w:tcBorders>
              <w:top w:val="single" w:sz="4" w:space="0" w:color="auto"/>
              <w:left w:val="single" w:sz="4" w:space="0" w:color="auto"/>
              <w:bottom w:val="single" w:sz="4" w:space="0" w:color="auto"/>
              <w:right w:val="single" w:sz="4" w:space="0" w:color="auto"/>
            </w:tcBorders>
          </w:tcPr>
          <w:p w14:paraId="34F5B97B" w14:textId="77777777" w:rsidR="00236104" w:rsidRPr="0013396E" w:rsidRDefault="00236104" w:rsidP="00BA73E7">
            <w:pPr>
              <w:pStyle w:val="TableBody"/>
            </w:pPr>
            <w:r w:rsidRPr="0013396E">
              <w:t>none</w:t>
            </w:r>
          </w:p>
        </w:tc>
        <w:tc>
          <w:tcPr>
            <w:tcW w:w="3174" w:type="pct"/>
            <w:tcBorders>
              <w:top w:val="single" w:sz="4" w:space="0" w:color="auto"/>
              <w:left w:val="single" w:sz="4" w:space="0" w:color="auto"/>
              <w:bottom w:val="single" w:sz="4" w:space="0" w:color="auto"/>
              <w:right w:val="single" w:sz="4" w:space="0" w:color="auto"/>
            </w:tcBorders>
          </w:tcPr>
          <w:p w14:paraId="51D984F1" w14:textId="77777777" w:rsidR="00236104" w:rsidRPr="0013396E" w:rsidRDefault="00236104" w:rsidP="00BA73E7">
            <w:pPr>
              <w:pStyle w:val="TableBody"/>
            </w:pPr>
            <w:r w:rsidRPr="0013396E">
              <w:t>A QSE.</w:t>
            </w:r>
          </w:p>
        </w:tc>
      </w:tr>
    </w:tbl>
    <w:p w14:paraId="1578FC43" w14:textId="3DD28978" w:rsidR="00236104" w:rsidRPr="0013396E" w:rsidRDefault="00236104" w:rsidP="00236104">
      <w:pPr>
        <w:pStyle w:val="H4"/>
        <w:spacing w:before="480"/>
        <w:ind w:left="1267" w:hanging="1267"/>
      </w:pPr>
      <w:bookmarkStart w:id="2216" w:name="_Toc214879022"/>
      <w:r w:rsidRPr="0013396E">
        <w:t>6.6.12.3</w:t>
      </w:r>
      <w:r w:rsidRPr="0013396E">
        <w:tab/>
        <w:t>Miscellaneous Invoice for Switchable Generation Make-Whole Payments and Charges</w:t>
      </w:r>
      <w:bookmarkEnd w:id="2216"/>
      <w:r w:rsidRPr="0013396E">
        <w:t xml:space="preserve"> </w:t>
      </w:r>
    </w:p>
    <w:p w14:paraId="5D72634A" w14:textId="77777777" w:rsidR="00236104" w:rsidRPr="0013396E" w:rsidRDefault="00236104" w:rsidP="00236104">
      <w:pPr>
        <w:spacing w:after="240"/>
        <w:ind w:left="720" w:hanging="720"/>
      </w:pPr>
      <w:r w:rsidRPr="0013396E">
        <w:t>(1)</w:t>
      </w:r>
      <w:r w:rsidRPr="0013396E">
        <w:tab/>
        <w:t>All approved disputes shall be settled as described in Section 9.14.2, Notice of Dispute.</w:t>
      </w:r>
      <w:r w:rsidRPr="0013396E" w:rsidDel="00A8410F">
        <w:t xml:space="preserve"> </w:t>
      </w:r>
    </w:p>
    <w:p w14:paraId="0857FCA1" w14:textId="77777777" w:rsidR="00236104" w:rsidRPr="0013396E" w:rsidRDefault="00236104" w:rsidP="00236104">
      <w:pPr>
        <w:spacing w:after="240"/>
        <w:ind w:left="720" w:hanging="720"/>
        <w:rPr>
          <w:bCs/>
        </w:rPr>
      </w:pPr>
      <w:r w:rsidRPr="0013396E">
        <w:rPr>
          <w:bCs/>
          <w:iCs/>
        </w:rPr>
        <w:t xml:space="preserve">(2) </w:t>
      </w:r>
      <w:r w:rsidRPr="0013396E">
        <w:rPr>
          <w:bCs/>
          <w:iCs/>
        </w:rPr>
        <w:tab/>
        <w:t xml:space="preserve">ERCOT shall issue a miscellaneous Invoice to a </w:t>
      </w:r>
      <w:r w:rsidRPr="0013396E">
        <w:t>QSE</w:t>
      </w:r>
      <w:r w:rsidRPr="0013396E">
        <w:rPr>
          <w:bCs/>
          <w:iCs/>
        </w:rPr>
        <w:t xml:space="preserve"> for </w:t>
      </w:r>
      <w:r w:rsidRPr="0013396E">
        <w:rPr>
          <w:bCs/>
        </w:rPr>
        <w:t xml:space="preserve">Switchable Generation Make-Whole Payments as described in Section 6.6.12.1, Switchable Generation Make-Whole Payment.  </w:t>
      </w:r>
    </w:p>
    <w:p w14:paraId="328371CC" w14:textId="77777777" w:rsidR="00236104" w:rsidRPr="0013396E" w:rsidRDefault="00236104" w:rsidP="00236104">
      <w:pPr>
        <w:spacing w:after="240"/>
        <w:ind w:left="720" w:hanging="720"/>
        <w:rPr>
          <w:bCs/>
          <w:iCs/>
        </w:rPr>
      </w:pPr>
      <w:r w:rsidRPr="0013396E">
        <w:rPr>
          <w:bCs/>
          <w:iCs/>
        </w:rPr>
        <w:t xml:space="preserve">(3)       ERCOT shall issue a miscellaneous Invoice to the QSE representing Load based on the HLRS as described in Section 6.6.12.2, Switchable Generation Make-Whole Charge. </w:t>
      </w:r>
    </w:p>
    <w:p w14:paraId="77B1799F" w14:textId="760E5A5B" w:rsidR="00234FA4" w:rsidRPr="0013396E" w:rsidRDefault="00236104" w:rsidP="00236104">
      <w:pPr>
        <w:spacing w:after="240"/>
        <w:ind w:left="720" w:hanging="720"/>
      </w:pPr>
      <w:r w:rsidRPr="0013396E">
        <w:t xml:space="preserve">(4) </w:t>
      </w:r>
      <w:r w:rsidRPr="0013396E">
        <w:tab/>
        <w:t xml:space="preserve">ERCOT </w:t>
      </w:r>
      <w:r w:rsidRPr="0013396E">
        <w:rPr>
          <w:bCs/>
        </w:rPr>
        <w:t>shall</w:t>
      </w:r>
      <w:r w:rsidRPr="0013396E">
        <w:t xml:space="preserve"> issue a Market Notice in conjunction with the issuance of the miscellaneous Invoice.</w:t>
      </w:r>
    </w:p>
    <w:p w14:paraId="5F4A6E1E" w14:textId="77777777" w:rsidR="00EE47CF" w:rsidRPr="0013396E" w:rsidRDefault="00EE47CF" w:rsidP="00EE47CF">
      <w:pPr>
        <w:pStyle w:val="H3"/>
        <w:spacing w:before="480"/>
      </w:pPr>
      <w:bookmarkStart w:id="2217" w:name="_Toc214879023"/>
      <w:r w:rsidRPr="0013396E">
        <w:lastRenderedPageBreak/>
        <w:t>6.6.13</w:t>
      </w:r>
      <w:r w:rsidRPr="0013396E">
        <w:tab/>
        <w:t>Wholesale Storage Load Reconciliation for ESRs Operating in a Private Microgrid Island</w:t>
      </w:r>
      <w:bookmarkEnd w:id="2217"/>
    </w:p>
    <w:p w14:paraId="456F61EB" w14:textId="71C2FDB5" w:rsidR="00EE47CF" w:rsidRPr="0013396E" w:rsidRDefault="00EE47CF" w:rsidP="00EE47CF">
      <w:pPr>
        <w:spacing w:after="240"/>
        <w:ind w:left="720" w:hanging="720"/>
        <w:rPr>
          <w:rFonts w:cs="Arial"/>
          <w:color w:val="201F1E"/>
        </w:rPr>
      </w:pPr>
      <w:r w:rsidRPr="0013396E">
        <w:t>(1)</w:t>
      </w:r>
      <w:r w:rsidRPr="0013396E">
        <w:tab/>
      </w:r>
      <w:bookmarkStart w:id="2218" w:name="_Hlk100001339"/>
      <w:bookmarkStart w:id="2219" w:name="_Hlk100005710"/>
      <w:r w:rsidRPr="0013396E">
        <w:t xml:space="preserve">A QSE representing an ESR operating in a Private Microgrid Island (PMI) configuration shall, within 96 hours of the end of such operations, submit a Settlement and billing dispute notifying ERCOT of the date and time that PMI operation began and ended. </w:t>
      </w:r>
      <w:bookmarkStart w:id="2220" w:name="_Hlk100002098"/>
      <w:r w:rsidRPr="0013396E">
        <w:t xml:space="preserve"> The QSE shall also notify the interconnecting Transmission and/or Distribution Service Provider(s) (TDSP(s)) of the time and date the PMI configuration began and ended within 96 hours of the end of such operations.  Following the submission of such a dispute, ERCOT shall use the outflow quantities recorded by the ERCOT-Polled Settlement (EPS) Meter measuring the ESR’s gross output net of any internal telemetered auxiliary Load, combined with any telemetered integrated auxiliary Load to determine the amount of Load served by the Resource during the period of PMI operation.  ERCOT shall then determine the minimum whole number of Operating Days including and successively preceding the beginning of PMI operation for which the cumulative amount of WSL consumed on those Operating Days would equal or exceed the amount of Load served by the Resource during the period of PMI operation.  ERCOT shall grant the dispute and recharacterize all WSL previously settled on each such Operating Day as non-WSL.  </w:t>
      </w:r>
      <w:bookmarkEnd w:id="2218"/>
      <w:bookmarkEnd w:id="2220"/>
      <w:r w:rsidRPr="0013396E">
        <w:t xml:space="preserve">The adjustment to Settlements based on the recharacterization of WSL </w:t>
      </w:r>
      <w:r w:rsidRPr="0013396E">
        <w:rPr>
          <w:rFonts w:cs="Arial"/>
          <w:color w:val="201F1E"/>
        </w:rPr>
        <w:t>will be included in the RTM Final Settlement and/or RTM True-Up Settlement for each Operating Day.</w:t>
      </w:r>
      <w:bookmarkEnd w:id="2219"/>
    </w:p>
    <w:p w14:paraId="5F183220" w14:textId="77777777" w:rsidR="00281DEA" w:rsidRPr="0013396E" w:rsidRDefault="00281DEA" w:rsidP="000445FA">
      <w:pPr>
        <w:pStyle w:val="H3"/>
        <w:spacing w:before="480"/>
      </w:pPr>
      <w:bookmarkStart w:id="2221" w:name="_Toc214879024"/>
      <w:r w:rsidRPr="0013396E">
        <w:t>6.6.14</w:t>
      </w:r>
      <w:r w:rsidRPr="0013396E">
        <w:tab/>
        <w:t>Firm Fuel Supply Service Capability</w:t>
      </w:r>
      <w:bookmarkEnd w:id="2221"/>
    </w:p>
    <w:p w14:paraId="3E47EEDC" w14:textId="77777777" w:rsidR="00281DEA" w:rsidRPr="0013396E" w:rsidRDefault="00281DEA" w:rsidP="00F510E2">
      <w:pPr>
        <w:pStyle w:val="H4"/>
        <w:spacing w:before="480"/>
        <w:ind w:left="1267" w:hanging="1267"/>
      </w:pPr>
      <w:bookmarkStart w:id="2222" w:name="_Toc214879025"/>
      <w:r w:rsidRPr="0013396E">
        <w:t>6.6.14.1</w:t>
      </w:r>
      <w:r w:rsidRPr="0013396E">
        <w:tab/>
        <w:t>Firm Fuel Supply Service Fuel Replacement Costs Recovery</w:t>
      </w:r>
      <w:bookmarkEnd w:id="2222"/>
    </w:p>
    <w:p w14:paraId="68A343B6" w14:textId="5862C569" w:rsidR="00281DEA" w:rsidRPr="0013396E" w:rsidRDefault="00281DEA" w:rsidP="00281DEA">
      <w:pPr>
        <w:pStyle w:val="BodyTextNumbered"/>
      </w:pPr>
      <w:r w:rsidRPr="0013396E">
        <w:t>(1)</w:t>
      </w:r>
      <w:r w:rsidRPr="0013396E">
        <w:tab/>
        <w:t>If ERCOT approves a Firm Fuel Supply Service Resource (FFSSR) to switch to consume the reserved fuel</w:t>
      </w:r>
      <w:r w:rsidR="00792AED" w:rsidRPr="0013396E">
        <w:t xml:space="preserve"> and directs or approves a restocking pursuant to paragraph (5) of Section 3.14.5, Firm Fuel Supply Service</w:t>
      </w:r>
      <w:r w:rsidRPr="0013396E">
        <w:t>, ERCOT shall pay the QSE representing the FFSSR for the replacement of burned fuel, if the QSE has:</w:t>
      </w:r>
    </w:p>
    <w:p w14:paraId="5A699C7E" w14:textId="77777777" w:rsidR="00281DEA" w:rsidRPr="0013396E" w:rsidRDefault="00281DEA" w:rsidP="00281DEA">
      <w:pPr>
        <w:spacing w:after="240"/>
        <w:ind w:left="1440" w:hanging="720"/>
      </w:pPr>
      <w:r w:rsidRPr="0013396E">
        <w:t>(a)</w:t>
      </w:r>
      <w:r w:rsidRPr="0013396E">
        <w:tab/>
        <w:t>Complied with the Firm Fuel Supply Service (FFSS) instruction to switch to the reserved fuel;</w:t>
      </w:r>
    </w:p>
    <w:p w14:paraId="20A585E3" w14:textId="77777777" w:rsidR="00281DEA" w:rsidRPr="0013396E" w:rsidRDefault="00281DEA" w:rsidP="00281DEA">
      <w:pPr>
        <w:spacing w:after="240"/>
        <w:ind w:left="1440" w:hanging="720"/>
      </w:pPr>
      <w:r w:rsidRPr="0013396E">
        <w:t>(b)</w:t>
      </w:r>
      <w:r w:rsidRPr="0013396E">
        <w:tab/>
        <w:t xml:space="preserve">Submitted a Settlement and billing dispute consistent with the dispute process described in Section 9.14, Settlement and Billing Dispute Process;  </w:t>
      </w:r>
    </w:p>
    <w:p w14:paraId="090E0F77" w14:textId="6B0872F2" w:rsidR="00281DEA" w:rsidRPr="0013396E" w:rsidRDefault="00281DEA" w:rsidP="00281DEA">
      <w:pPr>
        <w:spacing w:after="240"/>
        <w:ind w:left="1440" w:hanging="720"/>
      </w:pPr>
      <w:r w:rsidRPr="0013396E">
        <w:t>(c)</w:t>
      </w:r>
      <w:r w:rsidRPr="0013396E">
        <w:tab/>
        <w:t>Submitted the following within 90 days of the issuance of a RTM Initial Statement for the Operating Day on which the FFSS instruction was issued:</w:t>
      </w:r>
    </w:p>
    <w:p w14:paraId="7B73EBF8" w14:textId="77777777" w:rsidR="00281DEA" w:rsidRPr="0013396E" w:rsidRDefault="00281DEA" w:rsidP="00281DEA">
      <w:pPr>
        <w:spacing w:after="240"/>
        <w:ind w:left="2160" w:hanging="720"/>
      </w:pPr>
      <w:r w:rsidRPr="0013396E">
        <w:t>(i)</w:t>
      </w:r>
      <w:r w:rsidRPr="0013396E">
        <w:tab/>
        <w:t>An attestation signed by an officer or executive with authority to bind the QSE stating that the information contained in the dispute is accurate;</w:t>
      </w:r>
    </w:p>
    <w:p w14:paraId="29307B96" w14:textId="77777777" w:rsidR="00281DEA" w:rsidRPr="0013396E" w:rsidRDefault="00281DEA" w:rsidP="00281DEA">
      <w:pPr>
        <w:spacing w:after="240"/>
        <w:ind w:left="2160" w:hanging="720"/>
      </w:pPr>
      <w:r w:rsidRPr="0013396E">
        <w:t>(ii)</w:t>
      </w:r>
      <w:r w:rsidRPr="0013396E">
        <w:tab/>
        <w:t>For each deployment of FFSS, the quantity of total fuel consumed for the hours in each instance when FFSS was deployed;</w:t>
      </w:r>
    </w:p>
    <w:p w14:paraId="4401F1F3" w14:textId="77777777" w:rsidR="00281DEA" w:rsidRPr="0013396E" w:rsidRDefault="00281DEA" w:rsidP="00281DEA">
      <w:pPr>
        <w:spacing w:after="240"/>
        <w:ind w:left="2160" w:hanging="720"/>
      </w:pPr>
      <w:r w:rsidRPr="0013396E">
        <w:lastRenderedPageBreak/>
        <w:t>(iii)</w:t>
      </w:r>
      <w:r w:rsidRPr="0013396E">
        <w:tab/>
        <w:t>For thermal units, the input-output equation or other documentation that allows for verification of fuel consumption for the hours when FFSS was deployed;</w:t>
      </w:r>
    </w:p>
    <w:p w14:paraId="3FD7C203" w14:textId="77777777" w:rsidR="006E1C22" w:rsidRPr="0013396E" w:rsidRDefault="006E1C22" w:rsidP="006E1C22">
      <w:pPr>
        <w:spacing w:after="240"/>
        <w:ind w:left="2160" w:hanging="720"/>
      </w:pPr>
      <w:r w:rsidRPr="0013396E">
        <w:t>(iv)</w:t>
      </w:r>
      <w:r w:rsidRPr="0013396E">
        <w:tab/>
        <w:t>The heat content of the fuel, in terms of MMBtu/gal or similar units of measurement;</w:t>
      </w:r>
    </w:p>
    <w:p w14:paraId="19ABC38F" w14:textId="64E6A24A" w:rsidR="00281DEA" w:rsidRPr="0013396E" w:rsidRDefault="00281DEA" w:rsidP="00281DEA">
      <w:pPr>
        <w:spacing w:after="240"/>
        <w:ind w:left="2160" w:hanging="720"/>
      </w:pPr>
      <w:r w:rsidRPr="0013396E">
        <w:t>(v)</w:t>
      </w:r>
      <w:r w:rsidRPr="0013396E">
        <w:tab/>
        <w:t>The dollar amount and quantity of fuel purchased to replace the consumed fuel;</w:t>
      </w:r>
    </w:p>
    <w:p w14:paraId="6D79F4FA" w14:textId="3E78BD22" w:rsidR="00281DEA" w:rsidRPr="0013396E" w:rsidRDefault="00281DEA" w:rsidP="00281DEA">
      <w:pPr>
        <w:spacing w:after="240"/>
        <w:ind w:left="2160" w:hanging="720"/>
      </w:pPr>
      <w:r w:rsidRPr="0013396E">
        <w:t>(v</w:t>
      </w:r>
      <w:r w:rsidR="006E1C22" w:rsidRPr="0013396E">
        <w:t>i</w:t>
      </w:r>
      <w:r w:rsidRPr="0013396E">
        <w:t>)</w:t>
      </w:r>
      <w:r w:rsidRPr="0013396E">
        <w:tab/>
        <w:t xml:space="preserve">Sufficient documentation to support the QSE’s determination of the amount and cost of replaced fuel; and </w:t>
      </w:r>
    </w:p>
    <w:p w14:paraId="3F259490" w14:textId="1E408659" w:rsidR="00792AED" w:rsidRPr="0013396E" w:rsidRDefault="00281DEA" w:rsidP="00792AED">
      <w:pPr>
        <w:spacing w:after="240"/>
        <w:ind w:left="2160" w:hanging="720"/>
      </w:pPr>
      <w:r w:rsidRPr="0013396E">
        <w:t>(vi</w:t>
      </w:r>
      <w:r w:rsidR="006E1C22" w:rsidRPr="0013396E">
        <w:t>i</w:t>
      </w:r>
      <w:r w:rsidRPr="0013396E">
        <w:t>)</w:t>
      </w:r>
      <w:r w:rsidRPr="0013396E">
        <w:tab/>
        <w:t>Any other technical documentation within the possession of the QSE or Resource Entity which ERCOT finds reasonably necessary to verify paragraphs (i) through (v</w:t>
      </w:r>
      <w:r w:rsidR="006E1C22" w:rsidRPr="0013396E">
        <w:t>i</w:t>
      </w:r>
      <w:r w:rsidRPr="0013396E">
        <w:t xml:space="preserve">) above.  Any additional request from ERCOT for documentation or clarification of previously submitted documentation must be honored within 15 Business Days.  </w:t>
      </w:r>
      <w:r w:rsidR="00792AED" w:rsidRPr="0013396E">
        <w:t xml:space="preserve">  </w:t>
      </w:r>
    </w:p>
    <w:p w14:paraId="7AB80537" w14:textId="1FC11E73" w:rsidR="00281DEA" w:rsidRPr="0013396E" w:rsidRDefault="00792AED" w:rsidP="00792AED">
      <w:pPr>
        <w:pStyle w:val="BodyTextNumbered"/>
      </w:pPr>
      <w:r w:rsidRPr="0013396E">
        <w:t>(2)</w:t>
      </w:r>
      <w:r w:rsidRPr="0013396E">
        <w:tab/>
        <w:t>In addition to the requirements under paragraph (1)(c) above, for a Generation Resource that was awarded FFSS using reserved fuel based on a Firm Gas Storage Agreement and is requesting compensation for the cost of the replaced fuel, the QSE or Resource Entity representing the FFSSR must show proof that it purchased and nominated fuel in sufficient quantities (in MMBtu) that was consumed during the FFSS deployment and that its actual receipts and deliveries of such replacement fuel conformed with its nominated quantities.</w:t>
      </w:r>
    </w:p>
    <w:p w14:paraId="00AD0C7D" w14:textId="63245925" w:rsidR="00281DEA" w:rsidRPr="0013396E" w:rsidRDefault="00281DEA" w:rsidP="00281DEA">
      <w:pPr>
        <w:pStyle w:val="BodyTextNumbered"/>
      </w:pPr>
      <w:r w:rsidRPr="0013396E">
        <w:t>(</w:t>
      </w:r>
      <w:r w:rsidR="00792AED" w:rsidRPr="0013396E">
        <w:t>3</w:t>
      </w:r>
      <w:r w:rsidRPr="0013396E">
        <w:t>)</w:t>
      </w:r>
      <w:r w:rsidRPr="0013396E">
        <w:tab/>
        <w:t>The Firm Fuel Supply Service Fuel Replacement Cost shall only represent the replacement fuel costs not recovered during the FFSS deployment period through Day-Ahead energy sales and Real-Time energy imbalance settlement revenues related to the Resource with the FFSS award.</w:t>
      </w:r>
      <w:r w:rsidR="00792AED" w:rsidRPr="0013396E">
        <w:rPr>
          <w:shd w:val="clear" w:color="auto" w:fill="FFFFFF"/>
        </w:rPr>
        <w:t xml:space="preserve">  In addition, the Firm Fuel Supply Service Fuel Replacement Cost shall only include commodity and variable transportation costs directly attributable to the replenishment of fuel for the FFSSR.</w:t>
      </w:r>
    </w:p>
    <w:p w14:paraId="5032E45D" w14:textId="77777777" w:rsidR="00AD58D8" w:rsidRPr="0013396E" w:rsidRDefault="00AD58D8" w:rsidP="00AD58D8">
      <w:pPr>
        <w:spacing w:after="240"/>
        <w:ind w:left="720" w:hanging="720"/>
        <w:rPr>
          <w:iCs/>
          <w:shd w:val="clear" w:color="auto" w:fill="FFFFFF"/>
        </w:rPr>
      </w:pPr>
      <w:r w:rsidRPr="0013396E">
        <w:rPr>
          <w:iCs/>
        </w:rPr>
        <w:t xml:space="preserve">(4) </w:t>
      </w:r>
      <w:r w:rsidRPr="0013396E">
        <w:rPr>
          <w:iCs/>
        </w:rPr>
        <w:tab/>
        <w:t xml:space="preserve">If, after ERCOT approval, the fuel that was burned during FFSS deployment is replaced using existing fuel inventories, the </w:t>
      </w:r>
      <w:r w:rsidRPr="0013396E">
        <w:rPr>
          <w:iCs/>
          <w:shd w:val="clear" w:color="auto" w:fill="FFFFFF"/>
        </w:rPr>
        <w:t>Firm Fuel Supply Service Fuel Replacement Cost may be based on:</w:t>
      </w:r>
    </w:p>
    <w:p w14:paraId="4B6FB6CD" w14:textId="77777777" w:rsidR="00AD58D8" w:rsidRPr="0013396E" w:rsidRDefault="00AD58D8" w:rsidP="00AD58D8">
      <w:pPr>
        <w:spacing w:after="240"/>
        <w:ind w:left="1440" w:hanging="720"/>
        <w:rPr>
          <w:szCs w:val="24"/>
        </w:rPr>
      </w:pPr>
      <w:r w:rsidRPr="0013396E">
        <w:rPr>
          <w:szCs w:val="24"/>
        </w:rPr>
        <w:t>(a)</w:t>
      </w:r>
      <w:r w:rsidRPr="0013396E">
        <w:rPr>
          <w:szCs w:val="24"/>
        </w:rPr>
        <w:tab/>
        <w:t>New fuel purchases made within 30 days after ERCOT approves the restock of the burned fuel as described in paragraph (6) of Section 3.14.5; or</w:t>
      </w:r>
    </w:p>
    <w:p w14:paraId="17C4A959" w14:textId="77777777" w:rsidR="00AD58D8" w:rsidRPr="0013396E" w:rsidRDefault="00AD58D8" w:rsidP="00AD58D8">
      <w:pPr>
        <w:spacing w:after="240"/>
        <w:ind w:left="1440" w:hanging="720"/>
        <w:rPr>
          <w:szCs w:val="24"/>
        </w:rPr>
      </w:pPr>
      <w:r w:rsidRPr="0013396E">
        <w:rPr>
          <w:szCs w:val="24"/>
        </w:rPr>
        <w:t>(b)</w:t>
      </w:r>
      <w:r w:rsidRPr="0013396E">
        <w:rPr>
          <w:szCs w:val="24"/>
        </w:rPr>
        <w:tab/>
        <w:t>The Fuel Oil Index Price (FOP) for the Operating Day the QSE received approval to restock fuel, which includes $0.05/gallon to cover the cost of transportation.</w:t>
      </w:r>
    </w:p>
    <w:p w14:paraId="09C4D47B" w14:textId="66418761" w:rsidR="00281DEA" w:rsidRPr="0013396E" w:rsidRDefault="00281DEA" w:rsidP="000445FA">
      <w:pPr>
        <w:pStyle w:val="BodyTextNumbered"/>
      </w:pPr>
      <w:r w:rsidRPr="0013396E">
        <w:t>(</w:t>
      </w:r>
      <w:r w:rsidR="00AD58D8" w:rsidRPr="0013396E">
        <w:t>5</w:t>
      </w:r>
      <w:r w:rsidRPr="0013396E">
        <w:t>)</w:t>
      </w:r>
      <w:r w:rsidRPr="0013396E">
        <w:tab/>
        <w:t>ERCOT shall allocate any approved fuel replacement costs to the hours of the corresponding FFSS deployment period when the fuel was consumed following ERCOT’s approval to switch to utilize the awarded FFSS.</w:t>
      </w:r>
    </w:p>
    <w:p w14:paraId="5F182795" w14:textId="77777777" w:rsidR="00281DEA" w:rsidRPr="0013396E" w:rsidRDefault="00281DEA" w:rsidP="00426931">
      <w:pPr>
        <w:pStyle w:val="H4"/>
        <w:spacing w:before="480"/>
        <w:ind w:left="1267" w:hanging="1267"/>
      </w:pPr>
      <w:bookmarkStart w:id="2223" w:name="_Toc214879026"/>
      <w:r w:rsidRPr="0013396E">
        <w:lastRenderedPageBreak/>
        <w:t>6.6.14.2</w:t>
      </w:r>
      <w:r w:rsidRPr="0013396E">
        <w:tab/>
        <w:t>Firm Fuel Supply Service Hourly Standby Fee Payment and Fuel Replacement Cost Recovery</w:t>
      </w:r>
      <w:bookmarkEnd w:id="2223"/>
    </w:p>
    <w:p w14:paraId="160F9B52" w14:textId="77777777" w:rsidR="00426931" w:rsidRPr="0013396E" w:rsidRDefault="00426931" w:rsidP="00426931">
      <w:pPr>
        <w:ind w:left="720" w:hanging="720"/>
      </w:pPr>
      <w:r w:rsidRPr="0013396E">
        <w:t>(1)</w:t>
      </w:r>
      <w:r w:rsidRPr="0013396E">
        <w:tab/>
        <w:t xml:space="preserve">ERCOT shall pay </w:t>
      </w:r>
      <w:r w:rsidRPr="0013396E">
        <w:rPr>
          <w:iCs/>
        </w:rPr>
        <w:t>the FFSS</w:t>
      </w:r>
      <w:r w:rsidRPr="0013396E">
        <w:t xml:space="preserve"> Hourly Standby Fee to the QSE representing </w:t>
      </w:r>
      <w:r w:rsidRPr="0013396E">
        <w:rPr>
          <w:iCs/>
        </w:rPr>
        <w:t>the primary Generation Resource</w:t>
      </w:r>
      <w:r w:rsidRPr="0013396E">
        <w:t xml:space="preserve">.  This standby fee is determined through a competitive bidding process, with an adjustment for reliability based on an Hourly Rolling Equivalent Availability Factor, as well as adjustments for capacity and deployment. </w:t>
      </w:r>
    </w:p>
    <w:p w14:paraId="6FC656AD" w14:textId="77777777" w:rsidR="00426931" w:rsidRPr="0013396E" w:rsidRDefault="00426931" w:rsidP="00426931">
      <w:r w:rsidRPr="0013396E">
        <w:t xml:space="preserve"> </w:t>
      </w:r>
    </w:p>
    <w:p w14:paraId="26F82C67" w14:textId="77777777" w:rsidR="00426931" w:rsidRPr="0013396E" w:rsidRDefault="00426931" w:rsidP="00426931">
      <w:pPr>
        <w:spacing w:after="240"/>
        <w:ind w:left="720" w:hanging="720"/>
      </w:pPr>
      <w:r w:rsidRPr="0013396E">
        <w:t>(2)</w:t>
      </w:r>
      <w:r w:rsidRPr="0013396E">
        <w:tab/>
        <w:t>The FFSSR will be considered available when calculating the FFSS Hourly Rolling Equivalent Availability Factor:</w:t>
      </w:r>
    </w:p>
    <w:p w14:paraId="19CC2125" w14:textId="77777777" w:rsidR="00426931" w:rsidRPr="0013396E" w:rsidRDefault="00426931" w:rsidP="00426931">
      <w:pPr>
        <w:spacing w:after="240"/>
        <w:ind w:left="1410" w:hanging="720"/>
      </w:pPr>
      <w:r w:rsidRPr="0013396E">
        <w:t>(a)</w:t>
      </w:r>
      <w:r w:rsidRPr="0013396E">
        <w:tab/>
        <w:t xml:space="preserve">During each non-FFSS deployment hour for which the FFSSR shows available in its Availability Plan; </w:t>
      </w:r>
    </w:p>
    <w:p w14:paraId="472044FC" w14:textId="5DF1A029" w:rsidR="00426931" w:rsidRPr="0013396E" w:rsidRDefault="00426931" w:rsidP="00426931">
      <w:pPr>
        <w:spacing w:after="240"/>
        <w:ind w:left="1410" w:hanging="720"/>
      </w:pPr>
      <w:r w:rsidRPr="0013396E">
        <w:t>(b)</w:t>
      </w:r>
      <w:r w:rsidRPr="0013396E">
        <w:tab/>
        <w:t xml:space="preserve">During any successful FFSS deployment of the FFSSR in which the FFSSR shows available in its Availability Plan; </w:t>
      </w:r>
    </w:p>
    <w:p w14:paraId="3C034865" w14:textId="531E3DF9" w:rsidR="00426931" w:rsidRPr="0013396E" w:rsidRDefault="00426931" w:rsidP="00426931">
      <w:pPr>
        <w:spacing w:after="240"/>
        <w:ind w:left="1410" w:hanging="720"/>
      </w:pPr>
      <w:r w:rsidRPr="0013396E">
        <w:t>(c)</w:t>
      </w:r>
      <w:r w:rsidRPr="0013396E">
        <w:tab/>
      </w:r>
      <w:r w:rsidR="005C7988" w:rsidRPr="0013396E">
        <w:rPr>
          <w:szCs w:val="24"/>
        </w:rPr>
        <w:t>If the reserved fuel was exhausted during an FFSS deployment, starting the hour after the FFSSR has consumed all the fuel reserved to provide FFSS, through the approved hours when reserved fuel for FFSS is being restocked following a final approval from ERCOT to do so, per paragraph (5) of Section 3.14.5, Firm Fuel Supply Service;</w:t>
      </w:r>
    </w:p>
    <w:p w14:paraId="508537AB" w14:textId="2DAD707F" w:rsidR="005C7988" w:rsidRPr="0013396E" w:rsidRDefault="00426931" w:rsidP="005C7988">
      <w:pPr>
        <w:spacing w:after="240"/>
        <w:ind w:left="1410" w:hanging="720"/>
      </w:pPr>
      <w:r w:rsidRPr="0013396E">
        <w:t>(d)</w:t>
      </w:r>
      <w:r w:rsidRPr="0013396E">
        <w:tab/>
      </w:r>
      <w:r w:rsidR="005C7988" w:rsidRPr="0013396E">
        <w:t>In the event the FFSSR has consumed all the fuel reserved to provide FFSS and ERCOT does not issue an instruction or approval to restore FFSS capability, the FFSSR shall be considered to be available for the remainder of the FFSS obligation period in progress; or</w:t>
      </w:r>
    </w:p>
    <w:p w14:paraId="64FD2427" w14:textId="1BF8387B" w:rsidR="00426931" w:rsidRPr="0013396E" w:rsidRDefault="005C7988" w:rsidP="0087426F">
      <w:pPr>
        <w:spacing w:after="240"/>
        <w:ind w:left="1410" w:hanging="720"/>
      </w:pPr>
      <w:r w:rsidRPr="0013396E">
        <w:t>(e)</w:t>
      </w:r>
      <w:r w:rsidRPr="0013396E">
        <w:tab/>
        <w:t>If the FFSSR was deployed to provide FFSS and, as a result, has exhausted its emission hours allocated for the FFSSR, as specified in the FFSS Offer Submission Form.</w:t>
      </w:r>
    </w:p>
    <w:p w14:paraId="5E60E7B9" w14:textId="308FD1E4" w:rsidR="00426931" w:rsidRPr="0013396E" w:rsidRDefault="00426931" w:rsidP="0087426F">
      <w:pPr>
        <w:spacing w:after="240"/>
        <w:ind w:left="720" w:hanging="720"/>
      </w:pPr>
      <w:r w:rsidRPr="0013396E">
        <w:t>(3)</w:t>
      </w:r>
      <w:r w:rsidRPr="0013396E">
        <w:tab/>
        <w:t>The FFSS Hourly Standby Fee is subject to reduction and</w:t>
      </w:r>
      <w:r w:rsidRPr="0013396E">
        <w:rPr>
          <w:iCs/>
        </w:rPr>
        <w:t xml:space="preserve"> claw-back provisions as described in Section 8.1.1.2.1.6, </w:t>
      </w:r>
      <w:r w:rsidRPr="0013396E">
        <w:t>Firm Fuel Supply Service Resource Qualification, Testing, Decertification, and Recertification</w:t>
      </w:r>
      <w:r w:rsidRPr="0013396E">
        <w:rPr>
          <w:iCs/>
        </w:rPr>
        <w:t>.</w:t>
      </w:r>
      <w:r w:rsidRPr="0013396E">
        <w:t xml:space="preserve">  </w:t>
      </w:r>
    </w:p>
    <w:p w14:paraId="46A69234" w14:textId="77777777" w:rsidR="00426931" w:rsidRPr="0013396E" w:rsidRDefault="00426931" w:rsidP="00426931">
      <w:pPr>
        <w:spacing w:after="240"/>
        <w:ind w:left="720" w:hanging="720"/>
      </w:pPr>
      <w:r w:rsidRPr="0013396E">
        <w:t>(4)</w:t>
      </w:r>
      <w:r w:rsidRPr="0013396E">
        <w:tab/>
        <w:t>ERCOT shall pay an FFSS payment to each QSE for each FFSSR.  The FFSS payment for each hour of November 15, through March 15, i.e., during the FFSS obligation period, is calculated as follows:</w:t>
      </w:r>
    </w:p>
    <w:p w14:paraId="7F43A13D" w14:textId="77777777" w:rsidR="00426931" w:rsidRPr="0013396E" w:rsidRDefault="00426931" w:rsidP="00426931">
      <w:pPr>
        <w:tabs>
          <w:tab w:val="left" w:pos="2250"/>
          <w:tab w:val="left" w:pos="3150"/>
          <w:tab w:val="left" w:pos="3960"/>
        </w:tabs>
        <w:spacing w:after="240"/>
        <w:ind w:left="3960" w:hanging="3240"/>
        <w:rPr>
          <w:b/>
          <w:bCs/>
          <w:szCs w:val="24"/>
        </w:rPr>
      </w:pPr>
      <w:r w:rsidRPr="0013396E">
        <w:rPr>
          <w:b/>
          <w:bCs/>
          <w:szCs w:val="24"/>
        </w:rPr>
        <w:t xml:space="preserve">FFSSAMT </w:t>
      </w:r>
      <w:r w:rsidRPr="0013396E">
        <w:rPr>
          <w:b/>
          <w:bCs/>
          <w:i/>
          <w:szCs w:val="24"/>
          <w:vertAlign w:val="subscript"/>
        </w:rPr>
        <w:t>q, r, h</w:t>
      </w:r>
      <w:r w:rsidRPr="0013396E">
        <w:rPr>
          <w:b/>
          <w:bCs/>
          <w:szCs w:val="24"/>
        </w:rPr>
        <w:tab/>
        <w:t>=</w:t>
      </w:r>
      <w:r w:rsidRPr="0013396E">
        <w:rPr>
          <w:b/>
          <w:bCs/>
          <w:szCs w:val="24"/>
        </w:rPr>
        <w:tab/>
        <w:t>(-1) * (FFSSSBF</w:t>
      </w:r>
      <w:r w:rsidRPr="0013396E">
        <w:rPr>
          <w:b/>
          <w:bCs/>
          <w:i/>
          <w:szCs w:val="24"/>
          <w:vertAlign w:val="subscript"/>
        </w:rPr>
        <w:t xml:space="preserve"> q, r, h </w:t>
      </w:r>
      <w:r w:rsidRPr="0013396E">
        <w:rPr>
          <w:b/>
          <w:bCs/>
          <w:i/>
          <w:szCs w:val="24"/>
        </w:rPr>
        <w:t xml:space="preserve">+ </w:t>
      </w:r>
      <w:r w:rsidRPr="0013396E">
        <w:rPr>
          <w:b/>
          <w:bCs/>
          <w:szCs w:val="24"/>
        </w:rPr>
        <w:t xml:space="preserve">FFSSFRC </w:t>
      </w:r>
      <w:r w:rsidRPr="0013396E">
        <w:rPr>
          <w:b/>
          <w:bCs/>
          <w:i/>
          <w:szCs w:val="24"/>
          <w:vertAlign w:val="subscript"/>
        </w:rPr>
        <w:t>q, r, h</w:t>
      </w:r>
      <w:r w:rsidRPr="0013396E">
        <w:rPr>
          <w:b/>
          <w:bCs/>
          <w:szCs w:val="24"/>
        </w:rPr>
        <w:t>)</w:t>
      </w:r>
    </w:p>
    <w:p w14:paraId="608DA4E2" w14:textId="77777777" w:rsidR="00426931" w:rsidRPr="0013396E" w:rsidRDefault="00426931" w:rsidP="00426931">
      <w:pPr>
        <w:tabs>
          <w:tab w:val="left" w:pos="2250"/>
          <w:tab w:val="left" w:pos="3150"/>
          <w:tab w:val="left" w:pos="3960"/>
        </w:tabs>
        <w:spacing w:after="240"/>
        <w:ind w:left="3960" w:hanging="3240"/>
        <w:rPr>
          <w:szCs w:val="24"/>
        </w:rPr>
      </w:pPr>
      <w:r w:rsidRPr="0013396E">
        <w:rPr>
          <w:szCs w:val="24"/>
        </w:rPr>
        <w:t>Where:</w:t>
      </w:r>
    </w:p>
    <w:p w14:paraId="34FB5888" w14:textId="77777777" w:rsidR="00426931" w:rsidRPr="0013396E" w:rsidRDefault="00426931" w:rsidP="00426931">
      <w:pPr>
        <w:spacing w:after="240"/>
        <w:ind w:left="2315" w:hanging="1595"/>
        <w:rPr>
          <w:iCs/>
        </w:rPr>
      </w:pPr>
      <w:r w:rsidRPr="0013396E">
        <w:rPr>
          <w:iCs/>
        </w:rPr>
        <w:t>FFSSSBF</w:t>
      </w:r>
      <w:r w:rsidRPr="0013396E">
        <w:rPr>
          <w:i/>
          <w:iCs/>
          <w:vertAlign w:val="subscript"/>
        </w:rPr>
        <w:t xml:space="preserve"> q, r, h</w:t>
      </w:r>
      <w:r w:rsidRPr="0013396E">
        <w:rPr>
          <w:iCs/>
        </w:rPr>
        <w:tab/>
        <w:t>=</w:t>
      </w:r>
      <w:r w:rsidRPr="0013396E">
        <w:rPr>
          <w:iCs/>
        </w:rPr>
        <w:tab/>
        <w:t xml:space="preserve"> FFSSAWARD </w:t>
      </w:r>
      <w:r w:rsidRPr="0013396E">
        <w:rPr>
          <w:i/>
          <w:iCs/>
          <w:vertAlign w:val="subscript"/>
        </w:rPr>
        <w:t>q, r, h</w:t>
      </w:r>
      <w:r w:rsidRPr="0013396E">
        <w:rPr>
          <w:iCs/>
        </w:rPr>
        <w:t xml:space="preserve"> * </w:t>
      </w:r>
      <w:r w:rsidRPr="0013396E">
        <w:rPr>
          <w:iCs/>
          <w:lang w:val="pt-BR"/>
        </w:rPr>
        <w:t xml:space="preserve">FFSSCRF </w:t>
      </w:r>
      <w:r w:rsidRPr="0013396E">
        <w:rPr>
          <w:i/>
          <w:iCs/>
          <w:vertAlign w:val="subscript"/>
        </w:rPr>
        <w:t>q, r, h</w:t>
      </w:r>
      <w:r w:rsidRPr="0013396E">
        <w:rPr>
          <w:iCs/>
        </w:rPr>
        <w:t xml:space="preserve"> * FFSSARF </w:t>
      </w:r>
      <w:r w:rsidRPr="0013396E">
        <w:rPr>
          <w:i/>
          <w:iCs/>
          <w:vertAlign w:val="subscript"/>
        </w:rPr>
        <w:t>q, r, h</w:t>
      </w:r>
      <w:r w:rsidRPr="0013396E">
        <w:rPr>
          <w:iCs/>
        </w:rPr>
        <w:t xml:space="preserve"> * (1 - FFSSDRP</w:t>
      </w:r>
      <w:r w:rsidRPr="0013396E">
        <w:rPr>
          <w:i/>
          <w:iCs/>
          <w:vertAlign w:val="subscript"/>
        </w:rPr>
        <w:t xml:space="preserve"> q, r, h</w:t>
      </w:r>
      <w:r w:rsidRPr="0013396E">
        <w:rPr>
          <w:iCs/>
        </w:rPr>
        <w:t>)</w:t>
      </w:r>
    </w:p>
    <w:p w14:paraId="2980187F" w14:textId="77777777" w:rsidR="00426931" w:rsidRPr="0013396E" w:rsidRDefault="00426931" w:rsidP="00426931">
      <w:pPr>
        <w:spacing w:after="240"/>
        <w:ind w:firstLine="720"/>
        <w:rPr>
          <w:iCs/>
        </w:rPr>
      </w:pPr>
      <w:r w:rsidRPr="0013396E">
        <w:rPr>
          <w:iCs/>
        </w:rPr>
        <w:t>FFSSAWARD</w:t>
      </w:r>
      <w:r w:rsidRPr="0013396E">
        <w:rPr>
          <w:i/>
          <w:iCs/>
          <w:vertAlign w:val="subscript"/>
        </w:rPr>
        <w:t xml:space="preserve"> q, r, h</w:t>
      </w:r>
      <w:r w:rsidRPr="0013396E">
        <w:rPr>
          <w:iCs/>
        </w:rPr>
        <w:t xml:space="preserve"> = FFSSPR</w:t>
      </w:r>
      <w:r w:rsidRPr="0013396E">
        <w:rPr>
          <w:i/>
          <w:iCs/>
          <w:vertAlign w:val="subscript"/>
        </w:rPr>
        <w:t xml:space="preserve"> q, r, h</w:t>
      </w:r>
      <w:r w:rsidRPr="0013396E">
        <w:rPr>
          <w:iCs/>
        </w:rPr>
        <w:t xml:space="preserve"> * FFSSACAP</w:t>
      </w:r>
      <w:r w:rsidRPr="0013396E">
        <w:rPr>
          <w:i/>
          <w:iCs/>
          <w:vertAlign w:val="subscript"/>
        </w:rPr>
        <w:t xml:space="preserve"> q, r, h</w:t>
      </w:r>
      <w:r w:rsidRPr="0013396E">
        <w:rPr>
          <w:iCs/>
          <w:sz w:val="16"/>
          <w:szCs w:val="16"/>
        </w:rPr>
        <w:t xml:space="preserve"> </w:t>
      </w:r>
    </w:p>
    <w:p w14:paraId="323897BB" w14:textId="77777777" w:rsidR="00426931" w:rsidRPr="0013396E" w:rsidRDefault="00426931" w:rsidP="00426931">
      <w:pPr>
        <w:spacing w:after="240"/>
        <w:ind w:firstLine="720"/>
        <w:rPr>
          <w:iCs/>
        </w:rPr>
      </w:pPr>
      <w:r w:rsidRPr="0013396E">
        <w:rPr>
          <w:iCs/>
        </w:rPr>
        <w:lastRenderedPageBreak/>
        <w:t>And:</w:t>
      </w:r>
    </w:p>
    <w:p w14:paraId="4021A15F" w14:textId="77777777" w:rsidR="00426931" w:rsidRPr="0013396E" w:rsidRDefault="00426931" w:rsidP="00426931">
      <w:pPr>
        <w:spacing w:after="240"/>
        <w:ind w:firstLine="720"/>
      </w:pPr>
      <w:r w:rsidRPr="0013396E">
        <w:t>FFSS Capacity Reduction Factor</w:t>
      </w:r>
    </w:p>
    <w:p w14:paraId="65389B71" w14:textId="77777777" w:rsidR="00426931" w:rsidRPr="0013396E" w:rsidRDefault="00426931" w:rsidP="00426931">
      <w:pPr>
        <w:spacing w:after="240"/>
        <w:ind w:firstLine="720"/>
      </w:pPr>
      <w:r w:rsidRPr="0013396E">
        <w:t xml:space="preserve">If (FFSSTCAP </w:t>
      </w:r>
      <w:r w:rsidRPr="0013396E">
        <w:rPr>
          <w:i/>
          <w:vertAlign w:val="subscript"/>
        </w:rPr>
        <w:t>q, r, h</w:t>
      </w:r>
      <w:r w:rsidRPr="0013396E">
        <w:t xml:space="preserve"> ≥ FFSSACAP </w:t>
      </w:r>
      <w:r w:rsidRPr="0013396E">
        <w:rPr>
          <w:i/>
          <w:vertAlign w:val="subscript"/>
        </w:rPr>
        <w:t>q, r, h</w:t>
      </w:r>
      <w:r w:rsidRPr="0013396E">
        <w:t xml:space="preserve">) </w:t>
      </w:r>
    </w:p>
    <w:p w14:paraId="47B02766" w14:textId="77777777" w:rsidR="00426931" w:rsidRPr="0013396E" w:rsidRDefault="00426931" w:rsidP="00426931">
      <w:pPr>
        <w:spacing w:after="240"/>
        <w:ind w:firstLine="720"/>
        <w:rPr>
          <w:lang w:val="pt-BR"/>
        </w:rPr>
      </w:pPr>
      <w:r w:rsidRPr="0013396E">
        <w:rPr>
          <w:lang w:val="pt-BR"/>
        </w:rPr>
        <w:t xml:space="preserve">Then: </w:t>
      </w:r>
      <w:r w:rsidRPr="0013396E">
        <w:rPr>
          <w:lang w:val="pt-BR"/>
        </w:rPr>
        <w:tab/>
      </w:r>
      <w:r w:rsidRPr="0013396E">
        <w:rPr>
          <w:lang w:val="pt-BR"/>
        </w:rPr>
        <w:tab/>
        <w:t xml:space="preserve">FFSSCRF </w:t>
      </w:r>
      <w:r w:rsidRPr="0013396E">
        <w:rPr>
          <w:i/>
          <w:vertAlign w:val="subscript"/>
          <w:lang w:val="pt-BR"/>
        </w:rPr>
        <w:t>q, r, h</w:t>
      </w:r>
      <w:r w:rsidRPr="0013396E">
        <w:rPr>
          <w:lang w:val="pt-BR"/>
        </w:rPr>
        <w:t xml:space="preserve">  = 1</w:t>
      </w:r>
    </w:p>
    <w:p w14:paraId="4BE45CBB" w14:textId="77777777" w:rsidR="00426931" w:rsidRPr="0013396E" w:rsidRDefault="00426931" w:rsidP="00426931">
      <w:pPr>
        <w:ind w:firstLine="720"/>
        <w:rPr>
          <w:sz w:val="32"/>
          <w:szCs w:val="32"/>
          <w:lang w:val="pt-BR"/>
        </w:rPr>
      </w:pPr>
      <w:r w:rsidRPr="0013396E">
        <w:rPr>
          <w:lang w:val="pt-BR"/>
        </w:rPr>
        <w:t>Otherwise:</w:t>
      </w:r>
      <w:r w:rsidRPr="0013396E">
        <w:rPr>
          <w:lang w:val="pt-BR"/>
        </w:rPr>
        <w:tab/>
        <w:t xml:space="preserve">FFSSCRF </w:t>
      </w:r>
      <w:r w:rsidRPr="0013396E">
        <w:rPr>
          <w:i/>
          <w:vertAlign w:val="subscript"/>
          <w:lang w:val="pt-BR"/>
        </w:rPr>
        <w:t>q, r, h</w:t>
      </w:r>
      <w:r w:rsidRPr="0013396E">
        <w:rPr>
          <w:lang w:val="pt-BR"/>
        </w:rPr>
        <w:t xml:space="preserve"> = Max (0, 1 – 2 * (FFSSACAP </w:t>
      </w:r>
      <w:r w:rsidRPr="0013396E">
        <w:rPr>
          <w:i/>
          <w:vertAlign w:val="subscript"/>
          <w:lang w:val="pt-BR"/>
        </w:rPr>
        <w:t xml:space="preserve">q, r, h </w:t>
      </w:r>
      <w:r w:rsidRPr="0013396E">
        <w:rPr>
          <w:lang w:val="pt-BR"/>
        </w:rPr>
        <w:t xml:space="preserve">– FFSSTCAP </w:t>
      </w:r>
      <w:r w:rsidRPr="0013396E">
        <w:rPr>
          <w:i/>
          <w:vertAlign w:val="subscript"/>
          <w:lang w:val="pt-BR"/>
        </w:rPr>
        <w:t>q, r, h</w:t>
      </w:r>
      <w:r w:rsidRPr="0013396E">
        <w:rPr>
          <w:lang w:val="pt-BR"/>
        </w:rPr>
        <w:t xml:space="preserve">) </w:t>
      </w:r>
      <w:r w:rsidRPr="0013396E">
        <w:rPr>
          <w:b/>
          <w:sz w:val="32"/>
          <w:szCs w:val="32"/>
          <w:lang w:val="pt-BR"/>
        </w:rPr>
        <w:t>/</w:t>
      </w:r>
      <w:r w:rsidRPr="0013396E">
        <w:rPr>
          <w:sz w:val="32"/>
          <w:szCs w:val="32"/>
          <w:lang w:val="pt-BR"/>
        </w:rPr>
        <w:t xml:space="preserve"> </w:t>
      </w:r>
    </w:p>
    <w:p w14:paraId="12C64243" w14:textId="77777777" w:rsidR="00426931" w:rsidRPr="0013396E" w:rsidRDefault="00426931" w:rsidP="00426931">
      <w:pPr>
        <w:spacing w:after="240"/>
        <w:ind w:left="1440" w:firstLine="720"/>
        <w:rPr>
          <w:lang w:val="pt-BR"/>
        </w:rPr>
      </w:pPr>
      <w:r w:rsidRPr="0013396E">
        <w:rPr>
          <w:lang w:val="pt-BR"/>
        </w:rPr>
        <w:t xml:space="preserve">FFSSACAP </w:t>
      </w:r>
      <w:r w:rsidRPr="0013396E">
        <w:rPr>
          <w:i/>
          <w:vertAlign w:val="subscript"/>
          <w:lang w:val="pt-BR"/>
        </w:rPr>
        <w:t>q, r, h</w:t>
      </w:r>
      <w:r w:rsidRPr="0013396E">
        <w:rPr>
          <w:lang w:val="pt-BR"/>
        </w:rPr>
        <w:t>)</w:t>
      </w:r>
    </w:p>
    <w:p w14:paraId="5AE8AD06" w14:textId="77777777" w:rsidR="00426931" w:rsidRPr="0013396E" w:rsidRDefault="00426931" w:rsidP="00426931">
      <w:pPr>
        <w:spacing w:after="240"/>
        <w:ind w:firstLine="720"/>
      </w:pPr>
      <w:r w:rsidRPr="0013396E">
        <w:t>FFSS Availability Reduction Factor</w:t>
      </w:r>
    </w:p>
    <w:p w14:paraId="2B42B139" w14:textId="77777777" w:rsidR="00426931" w:rsidRPr="0013396E" w:rsidRDefault="00426931" w:rsidP="00426931">
      <w:pPr>
        <w:spacing w:after="240"/>
        <w:ind w:firstLine="720"/>
        <w:rPr>
          <w:lang w:val="pt-BR"/>
        </w:rPr>
      </w:pPr>
      <w:r w:rsidRPr="0013396E">
        <w:rPr>
          <w:lang w:val="pt-BR"/>
        </w:rPr>
        <w:t xml:space="preserve">If (FFSSHREAF </w:t>
      </w:r>
      <w:r w:rsidRPr="0013396E">
        <w:rPr>
          <w:i/>
          <w:vertAlign w:val="subscript"/>
          <w:lang w:val="pt-BR"/>
        </w:rPr>
        <w:t>q, r, h</w:t>
      </w:r>
      <w:r w:rsidRPr="0013396E">
        <w:rPr>
          <w:lang w:val="pt-BR"/>
        </w:rPr>
        <w:t xml:space="preserve"> </w:t>
      </w:r>
      <w:r w:rsidRPr="0013396E">
        <w:sym w:font="Symbol" w:char="F0B3"/>
      </w:r>
      <w:r w:rsidRPr="0013396E">
        <w:rPr>
          <w:lang w:val="pt-BR"/>
        </w:rPr>
        <w:t xml:space="preserve"> 0.90)</w:t>
      </w:r>
    </w:p>
    <w:p w14:paraId="38959CB7" w14:textId="77777777" w:rsidR="00426931" w:rsidRPr="0013396E" w:rsidRDefault="00426931" w:rsidP="00426931">
      <w:pPr>
        <w:spacing w:after="240"/>
        <w:ind w:firstLine="720"/>
        <w:rPr>
          <w:lang w:val="pt-BR"/>
        </w:rPr>
      </w:pPr>
      <w:r w:rsidRPr="0013396E">
        <w:rPr>
          <w:lang w:val="pt-BR"/>
        </w:rPr>
        <w:t>Then:</w:t>
      </w:r>
      <w:r w:rsidRPr="0013396E">
        <w:rPr>
          <w:lang w:val="pt-BR"/>
        </w:rPr>
        <w:tab/>
      </w:r>
      <w:r w:rsidRPr="0013396E">
        <w:rPr>
          <w:lang w:val="pt-BR"/>
        </w:rPr>
        <w:tab/>
        <w:t xml:space="preserve">FFSSARF </w:t>
      </w:r>
      <w:r w:rsidRPr="0013396E">
        <w:rPr>
          <w:i/>
          <w:vertAlign w:val="subscript"/>
          <w:lang w:val="pt-BR"/>
        </w:rPr>
        <w:t>q, r, h</w:t>
      </w:r>
      <w:r w:rsidRPr="0013396E">
        <w:rPr>
          <w:lang w:val="pt-BR"/>
        </w:rPr>
        <w:t xml:space="preserve"> </w:t>
      </w:r>
      <w:r w:rsidRPr="0013396E">
        <w:rPr>
          <w:lang w:val="pt-BR"/>
        </w:rPr>
        <w:tab/>
        <w:t>= 1</w:t>
      </w:r>
    </w:p>
    <w:p w14:paraId="5EA9FD7B" w14:textId="77777777" w:rsidR="00426931" w:rsidRPr="0013396E" w:rsidRDefault="00426931" w:rsidP="00426931">
      <w:pPr>
        <w:spacing w:after="240"/>
        <w:ind w:firstLine="720"/>
        <w:rPr>
          <w:lang w:val="pt-BR"/>
        </w:rPr>
      </w:pPr>
      <w:r w:rsidRPr="0013396E">
        <w:rPr>
          <w:lang w:val="pt-BR"/>
        </w:rPr>
        <w:t>Otherwise:</w:t>
      </w:r>
      <w:r w:rsidRPr="0013396E">
        <w:rPr>
          <w:lang w:val="pt-BR"/>
        </w:rPr>
        <w:tab/>
        <w:t xml:space="preserve">FFSSARF </w:t>
      </w:r>
      <w:r w:rsidRPr="0013396E">
        <w:rPr>
          <w:i/>
          <w:vertAlign w:val="subscript"/>
          <w:lang w:val="pt-BR"/>
        </w:rPr>
        <w:t>q, r, h</w:t>
      </w:r>
      <w:r w:rsidRPr="0013396E">
        <w:rPr>
          <w:lang w:val="pt-BR"/>
        </w:rPr>
        <w:t xml:space="preserve"> </w:t>
      </w:r>
      <w:r w:rsidRPr="0013396E">
        <w:rPr>
          <w:lang w:val="pt-BR"/>
        </w:rPr>
        <w:tab/>
        <w:t xml:space="preserve">= Max (0, 1 - (0.90 - FFSSHREAF </w:t>
      </w:r>
      <w:r w:rsidRPr="0013396E">
        <w:rPr>
          <w:i/>
          <w:vertAlign w:val="subscript"/>
          <w:lang w:val="pt-BR"/>
        </w:rPr>
        <w:t>q, r, h</w:t>
      </w:r>
      <w:r w:rsidRPr="0013396E">
        <w:rPr>
          <w:lang w:val="pt-BR"/>
        </w:rPr>
        <w:t>) * 2)</w:t>
      </w:r>
    </w:p>
    <w:p w14:paraId="3A6E5231" w14:textId="77777777" w:rsidR="00426931" w:rsidRPr="0013396E" w:rsidRDefault="00426931" w:rsidP="00426931">
      <w:pPr>
        <w:spacing w:after="240"/>
        <w:ind w:firstLine="720"/>
      </w:pPr>
      <w:r w:rsidRPr="0013396E">
        <w:t>FFSS Hourly Rolling Equivalent Availability Factor</w:t>
      </w:r>
    </w:p>
    <w:p w14:paraId="3553FAF7" w14:textId="77777777" w:rsidR="00426931" w:rsidRPr="0013396E" w:rsidRDefault="00426931" w:rsidP="00426931">
      <w:pPr>
        <w:spacing w:after="240"/>
        <w:ind w:left="3600" w:hanging="2160"/>
        <w:rPr>
          <w:iCs/>
          <w:lang w:val="pt-BR"/>
        </w:rPr>
      </w:pPr>
    </w:p>
    <w:p w14:paraId="71CFB569" w14:textId="77777777" w:rsidR="00426931" w:rsidRPr="0013396E" w:rsidRDefault="00426931" w:rsidP="00426931">
      <w:pPr>
        <w:spacing w:after="240"/>
        <w:ind w:left="3600" w:hanging="2160"/>
        <w:rPr>
          <w:iCs/>
          <w:lang w:val="pt-BR"/>
        </w:rPr>
      </w:pPr>
      <w:r w:rsidRPr="0013396E">
        <w:rPr>
          <w:lang w:val="pt-BR"/>
        </w:rPr>
        <w:t xml:space="preserve">FFSSHREAF </w:t>
      </w:r>
      <w:r w:rsidRPr="0013396E">
        <w:rPr>
          <w:i/>
          <w:vertAlign w:val="subscript"/>
          <w:lang w:val="pt-BR"/>
        </w:rPr>
        <w:t>q, r, h</w:t>
      </w:r>
      <w:r w:rsidRPr="0013396E">
        <w:rPr>
          <w:lang w:val="pt-BR"/>
        </w:rPr>
        <w:t xml:space="preserve">  = </w:t>
      </w:r>
      <m:oMath>
        <m:nary>
          <m:naryPr>
            <m:chr m:val="∑"/>
            <m:limLoc m:val="undOvr"/>
            <m:ctrlPr>
              <w:rPr>
                <w:rFonts w:ascii="Cambria Math" w:hAnsi="Cambria Math"/>
                <w:i/>
                <w:lang w:val="pt-BR"/>
              </w:rPr>
            </m:ctrlPr>
          </m:naryPr>
          <m:sub>
            <m:r>
              <w:rPr>
                <w:rFonts w:ascii="Cambria Math" w:hAnsi="Cambria Math"/>
                <w:lang w:val="pt-BR"/>
              </w:rPr>
              <m:t>hr=h-</m:t>
            </m:r>
            <m:r>
              <w:rPr>
                <w:rFonts w:ascii="Cambria Math" w:hAnsi="Cambria Math"/>
                <w:lang w:val="pt-BR"/>
              </w:rPr>
              <m:t>1451</m:t>
            </m:r>
          </m:sub>
          <m:sup>
            <m:r>
              <w:rPr>
                <w:rFonts w:ascii="Cambria Math" w:hAnsi="Cambria Math"/>
                <w:lang w:val="pt-BR"/>
              </w:rPr>
              <m:t>h</m:t>
            </m:r>
          </m:sup>
          <m:e>
            <m:r>
              <w:rPr>
                <w:rFonts w:ascii="Cambria Math" w:hAnsi="Cambria Math"/>
                <w:lang w:val="pt-BR"/>
              </w:rPr>
              <m:t>(</m:t>
            </m:r>
          </m:e>
        </m:nary>
      </m:oMath>
      <w:r w:rsidRPr="0013396E">
        <w:rPr>
          <w:lang w:val="pt-BR"/>
        </w:rPr>
        <w:t xml:space="preserve">max(AVCAP </w:t>
      </w:r>
      <w:r w:rsidRPr="0013396E">
        <w:rPr>
          <w:i/>
          <w:vertAlign w:val="subscript"/>
          <w:lang w:val="pt-BR"/>
        </w:rPr>
        <w:t>q, r, hr</w:t>
      </w:r>
      <w:r w:rsidRPr="0013396E">
        <w:rPr>
          <w:iCs/>
          <w:lang w:val="pt-BR"/>
        </w:rPr>
        <w:t>))</w:t>
      </w:r>
      <w:r w:rsidRPr="0013396E">
        <w:rPr>
          <w:lang w:val="pt-BR"/>
        </w:rPr>
        <w:t xml:space="preserve"> / </w:t>
      </w:r>
      <m:oMath>
        <m:nary>
          <m:naryPr>
            <m:chr m:val="∑"/>
            <m:limLoc m:val="undOvr"/>
            <m:ctrlPr>
              <w:rPr>
                <w:rFonts w:ascii="Cambria Math" w:hAnsi="Cambria Math"/>
                <w:i/>
                <w:lang w:val="pt-BR"/>
              </w:rPr>
            </m:ctrlPr>
          </m:naryPr>
          <m:sub>
            <m:r>
              <w:rPr>
                <w:rFonts w:ascii="Cambria Math" w:hAnsi="Cambria Math"/>
                <w:lang w:val="pt-BR"/>
              </w:rPr>
              <m:t>hr=h-</m:t>
            </m:r>
            <m:r>
              <w:rPr>
                <w:rFonts w:ascii="Cambria Math" w:hAnsi="Cambria Math"/>
                <w:lang w:val="pt-BR"/>
              </w:rPr>
              <m:t>1451</m:t>
            </m:r>
          </m:sub>
          <m:sup>
            <m:r>
              <w:rPr>
                <w:rFonts w:ascii="Cambria Math" w:hAnsi="Cambria Math"/>
                <w:lang w:val="pt-BR"/>
              </w:rPr>
              <m:t>h</m:t>
            </m:r>
          </m:sup>
          <m:e>
            <m:r>
              <m:rPr>
                <m:sty m:val="p"/>
              </m:rPr>
              <w:rPr>
                <w:rFonts w:ascii="Cambria Math" w:hAnsi="Cambria Math"/>
                <w:lang w:val="pt-BR"/>
              </w:rPr>
              <m:t>(</m:t>
            </m:r>
          </m:e>
        </m:nary>
      </m:oMath>
      <w:r w:rsidRPr="0013396E">
        <w:t xml:space="preserve">FFSSACAP </w:t>
      </w:r>
      <w:r w:rsidRPr="0013396E">
        <w:rPr>
          <w:i/>
          <w:vertAlign w:val="subscript"/>
          <w:lang w:val="pt-BR"/>
        </w:rPr>
        <w:t>q, r, hr</w:t>
      </w:r>
      <w:r w:rsidRPr="0013396E">
        <w:rPr>
          <w:iCs/>
          <w:lang w:val="pt-BR"/>
        </w:rPr>
        <w:t>)</w:t>
      </w:r>
    </w:p>
    <w:p w14:paraId="486F7BA0" w14:textId="77777777" w:rsidR="00426931" w:rsidRPr="0013396E" w:rsidRDefault="00426931" w:rsidP="00426931">
      <w:pPr>
        <w:spacing w:after="240"/>
        <w:ind w:left="2880" w:hanging="2160"/>
      </w:pPr>
      <w:r w:rsidRPr="0013396E">
        <w:rPr>
          <w:iCs/>
          <w:lang w:val="pt-BR"/>
        </w:rPr>
        <w:t>Where,</w:t>
      </w:r>
    </w:p>
    <w:p w14:paraId="77E673FA" w14:textId="77777777" w:rsidR="00426931" w:rsidRPr="0013396E" w:rsidRDefault="00426931" w:rsidP="00426931">
      <w:pPr>
        <w:spacing w:after="240"/>
        <w:ind w:left="720" w:firstLine="720"/>
        <w:rPr>
          <w:lang w:val="pt-BR"/>
        </w:rPr>
      </w:pPr>
      <w:r w:rsidRPr="0013396E">
        <w:rPr>
          <w:lang w:val="pt-BR"/>
        </w:rPr>
        <w:t>If the Resource is a Combined Cycle Train:</w:t>
      </w:r>
    </w:p>
    <w:p w14:paraId="5EFC2944" w14:textId="77777777" w:rsidR="00426931" w:rsidRPr="0013396E" w:rsidRDefault="00426931" w:rsidP="00426931">
      <w:pPr>
        <w:spacing w:after="120"/>
        <w:ind w:left="3118" w:hanging="1710"/>
        <w:rPr>
          <w:i/>
          <w:vertAlign w:val="subscript"/>
          <w:lang w:val="pt-BR"/>
        </w:rPr>
      </w:pPr>
      <w:r w:rsidRPr="0013396E">
        <w:rPr>
          <w:lang w:val="pt-BR"/>
        </w:rPr>
        <w:t>AVCAP</w:t>
      </w:r>
      <w:r w:rsidRPr="0013396E">
        <w:rPr>
          <w:i/>
          <w:vertAlign w:val="subscript"/>
          <w:lang w:val="pt-BR"/>
        </w:rPr>
        <w:t xml:space="preserve">q, r, hr </w:t>
      </w:r>
      <w:r w:rsidRPr="0013396E">
        <w:rPr>
          <w:lang w:val="pt-BR"/>
        </w:rPr>
        <w:t xml:space="preserve"> = max</w:t>
      </w:r>
      <w:r w:rsidRPr="0013396E">
        <w:rPr>
          <w:i/>
          <w:vertAlign w:val="subscript"/>
          <w:lang w:val="pt-BR"/>
        </w:rPr>
        <w:t>train,hr</w:t>
      </w:r>
      <w:r w:rsidRPr="0013396E">
        <w:rPr>
          <w:lang w:val="pt-BR"/>
        </w:rPr>
        <w:t xml:space="preserve"> (max(FFSEDFLAG </w:t>
      </w:r>
      <w:r w:rsidRPr="0013396E">
        <w:rPr>
          <w:i/>
          <w:iCs/>
          <w:vertAlign w:val="subscript"/>
          <w:lang w:val="pt-BR"/>
        </w:rPr>
        <w:t>q, train, hr</w:t>
      </w:r>
      <w:r w:rsidRPr="0013396E">
        <w:rPr>
          <w:lang w:val="pt-BR"/>
        </w:rPr>
        <w:t xml:space="preserve">, FFSSAFLAG </w:t>
      </w:r>
      <w:r w:rsidRPr="0013396E">
        <w:rPr>
          <w:i/>
          <w:vertAlign w:val="subscript"/>
          <w:lang w:val="pt-BR"/>
        </w:rPr>
        <w:t>q, ccgr, hr</w:t>
      </w:r>
      <w:r w:rsidRPr="0013396E">
        <w:rPr>
          <w:iCs/>
          <w:lang w:val="pt-BR"/>
        </w:rPr>
        <w:t>)</w:t>
      </w:r>
      <w:r w:rsidRPr="0013396E">
        <w:rPr>
          <w:i/>
          <w:vertAlign w:val="subscript"/>
          <w:lang w:val="pt-BR"/>
        </w:rPr>
        <w:t xml:space="preserve"> </w:t>
      </w:r>
      <w:r w:rsidRPr="0013396E">
        <w:rPr>
          <w:lang w:val="pt-BR"/>
        </w:rPr>
        <w:t>* min(HSL</w:t>
      </w:r>
      <w:r w:rsidRPr="0013396E">
        <w:rPr>
          <w:i/>
          <w:vertAlign w:val="subscript"/>
          <w:lang w:val="pt-BR"/>
        </w:rPr>
        <w:t xml:space="preserve"> q, ccgr, hr</w:t>
      </w:r>
      <w:r w:rsidRPr="0013396E">
        <w:rPr>
          <w:lang w:val="pt-BR"/>
        </w:rPr>
        <w:t xml:space="preserve">, </w:t>
      </w:r>
      <w:r w:rsidRPr="0013396E">
        <w:t>FFSSACAP</w:t>
      </w:r>
      <w:r w:rsidRPr="0013396E">
        <w:rPr>
          <w:i/>
          <w:vertAlign w:val="subscript"/>
          <w:lang w:val="pt-BR"/>
        </w:rPr>
        <w:t>q, train, hr</w:t>
      </w:r>
      <w:r w:rsidRPr="0013396E">
        <w:rPr>
          <w:iCs/>
          <w:lang w:val="pt-BR"/>
        </w:rPr>
        <w:t>))</w:t>
      </w:r>
    </w:p>
    <w:p w14:paraId="0AC801D4" w14:textId="77777777" w:rsidR="00426931" w:rsidRPr="0013396E" w:rsidRDefault="00426931" w:rsidP="00426931">
      <w:pPr>
        <w:spacing w:after="240"/>
        <w:ind w:left="720" w:firstLine="720"/>
        <w:rPr>
          <w:lang w:val="pt-BR"/>
        </w:rPr>
      </w:pPr>
      <w:r w:rsidRPr="0013396E">
        <w:rPr>
          <w:lang w:val="pt-BR"/>
        </w:rPr>
        <w:t>Otherwise:</w:t>
      </w:r>
    </w:p>
    <w:p w14:paraId="35FAD99D" w14:textId="77777777" w:rsidR="00426931" w:rsidRPr="0013396E" w:rsidRDefault="00426931" w:rsidP="00426931">
      <w:pPr>
        <w:spacing w:after="120"/>
        <w:ind w:left="3118" w:hanging="1710"/>
        <w:rPr>
          <w:iCs/>
          <w:lang w:val="pt-BR"/>
        </w:rPr>
      </w:pPr>
      <w:r w:rsidRPr="0013396E">
        <w:rPr>
          <w:lang w:val="pt-BR"/>
        </w:rPr>
        <w:t xml:space="preserve">AVCAP </w:t>
      </w:r>
      <w:r w:rsidRPr="0013396E">
        <w:rPr>
          <w:i/>
          <w:iCs/>
          <w:vertAlign w:val="subscript"/>
          <w:lang w:val="pt-BR"/>
        </w:rPr>
        <w:t>q, r, hr</w:t>
      </w:r>
      <w:r w:rsidRPr="0013396E">
        <w:rPr>
          <w:lang w:val="pt-BR"/>
        </w:rPr>
        <w:t xml:space="preserve"> = max(FFSEDFLAG </w:t>
      </w:r>
      <w:r w:rsidRPr="0013396E">
        <w:rPr>
          <w:i/>
          <w:iCs/>
          <w:vertAlign w:val="subscript"/>
          <w:lang w:val="pt-BR"/>
        </w:rPr>
        <w:t>q, r, hr</w:t>
      </w:r>
      <w:r w:rsidRPr="0013396E">
        <w:rPr>
          <w:lang w:val="pt-BR"/>
        </w:rPr>
        <w:t xml:space="preserve">, FFSSAFLAG </w:t>
      </w:r>
      <w:r w:rsidRPr="0013396E">
        <w:rPr>
          <w:i/>
          <w:vertAlign w:val="subscript"/>
          <w:lang w:val="pt-BR"/>
        </w:rPr>
        <w:t>q, r, hr</w:t>
      </w:r>
      <w:r w:rsidRPr="0013396E">
        <w:rPr>
          <w:iCs/>
          <w:lang w:val="pt-BR"/>
        </w:rPr>
        <w:t>)</w:t>
      </w:r>
      <w:r w:rsidRPr="0013396E">
        <w:rPr>
          <w:i/>
          <w:vertAlign w:val="subscript"/>
          <w:lang w:val="pt-BR"/>
        </w:rPr>
        <w:t xml:space="preserve"> </w:t>
      </w:r>
      <w:r w:rsidRPr="0013396E">
        <w:rPr>
          <w:lang w:val="pt-BR"/>
        </w:rPr>
        <w:t>* min(HSL</w:t>
      </w:r>
      <w:r w:rsidRPr="0013396E">
        <w:rPr>
          <w:i/>
          <w:vertAlign w:val="subscript"/>
          <w:lang w:val="pt-BR"/>
        </w:rPr>
        <w:t xml:space="preserve"> q, r, hr</w:t>
      </w:r>
      <w:r w:rsidRPr="0013396E">
        <w:rPr>
          <w:lang w:val="pt-BR"/>
        </w:rPr>
        <w:t xml:space="preserve">, </w:t>
      </w:r>
      <w:r w:rsidRPr="0013396E">
        <w:t xml:space="preserve">FFSSACAP </w:t>
      </w:r>
      <w:r w:rsidRPr="0013396E">
        <w:rPr>
          <w:i/>
          <w:vertAlign w:val="subscript"/>
          <w:lang w:val="pt-BR"/>
        </w:rPr>
        <w:t>q, r, hr</w:t>
      </w:r>
      <w:r w:rsidRPr="0013396E">
        <w:rPr>
          <w:iCs/>
          <w:lang w:val="pt-BR"/>
        </w:rPr>
        <w:t>)</w:t>
      </w:r>
    </w:p>
    <w:p w14:paraId="737B2D54" w14:textId="77777777" w:rsidR="00426931" w:rsidRPr="0013396E" w:rsidRDefault="00426931" w:rsidP="00426931">
      <w:pPr>
        <w:spacing w:after="240"/>
        <w:ind w:left="1440"/>
        <w:rPr>
          <w:lang w:val="pt-BR"/>
        </w:rPr>
      </w:pPr>
      <w:r w:rsidRPr="0013396E">
        <w:t>Availability for a Combined Cycle Train will be determined pursuant to terms set forth in the RFP but no more than once per hour.</w:t>
      </w:r>
      <w:r w:rsidRPr="0013396E">
        <w:rPr>
          <w:lang w:val="pt-BR"/>
        </w:rPr>
        <w:t xml:space="preserve"> </w:t>
      </w:r>
    </w:p>
    <w:p w14:paraId="5786F2CA" w14:textId="77777777" w:rsidR="00426931" w:rsidRPr="0013396E" w:rsidRDefault="00426931" w:rsidP="00426931">
      <w:r w:rsidRPr="0013396E">
        <w:t>The above variables are defined as follows:</w:t>
      </w: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3"/>
        <w:gridCol w:w="1632"/>
        <w:gridCol w:w="5697"/>
      </w:tblGrid>
      <w:tr w:rsidR="00426931" w:rsidRPr="0013396E" w14:paraId="02B949CA" w14:textId="77777777" w:rsidTr="00426931">
        <w:trPr>
          <w:cantSplit/>
          <w:trHeight w:val="332"/>
          <w:tblHeader/>
        </w:trPr>
        <w:tc>
          <w:tcPr>
            <w:tcW w:w="2483" w:type="dxa"/>
            <w:tcBorders>
              <w:top w:val="single" w:sz="4" w:space="0" w:color="auto"/>
              <w:left w:val="single" w:sz="4" w:space="0" w:color="auto"/>
              <w:bottom w:val="single" w:sz="4" w:space="0" w:color="auto"/>
              <w:right w:val="single" w:sz="4" w:space="0" w:color="auto"/>
            </w:tcBorders>
            <w:hideMark/>
          </w:tcPr>
          <w:p w14:paraId="6F1D1236" w14:textId="77777777" w:rsidR="00426931" w:rsidRPr="0013396E" w:rsidRDefault="00426931" w:rsidP="00426931">
            <w:pPr>
              <w:spacing w:after="120"/>
              <w:rPr>
                <w:b/>
                <w:bCs/>
                <w:iCs/>
                <w:sz w:val="20"/>
              </w:rPr>
            </w:pPr>
            <w:r w:rsidRPr="0013396E">
              <w:rPr>
                <w:b/>
                <w:bCs/>
                <w:sz w:val="20"/>
              </w:rPr>
              <w:t>Variable</w:t>
            </w:r>
          </w:p>
        </w:tc>
        <w:tc>
          <w:tcPr>
            <w:tcW w:w="1632" w:type="dxa"/>
            <w:tcBorders>
              <w:top w:val="single" w:sz="4" w:space="0" w:color="auto"/>
              <w:left w:val="single" w:sz="4" w:space="0" w:color="auto"/>
              <w:bottom w:val="single" w:sz="4" w:space="0" w:color="auto"/>
              <w:right w:val="single" w:sz="4" w:space="0" w:color="auto"/>
            </w:tcBorders>
            <w:hideMark/>
          </w:tcPr>
          <w:p w14:paraId="495091DC" w14:textId="77777777" w:rsidR="00426931" w:rsidRPr="0013396E" w:rsidRDefault="00426931" w:rsidP="00426931">
            <w:pPr>
              <w:spacing w:after="120"/>
              <w:rPr>
                <w:b/>
                <w:iCs/>
                <w:sz w:val="20"/>
              </w:rPr>
            </w:pPr>
            <w:r w:rsidRPr="0013396E">
              <w:rPr>
                <w:b/>
                <w:iCs/>
                <w:sz w:val="20"/>
              </w:rPr>
              <w:t>Unit</w:t>
            </w:r>
          </w:p>
        </w:tc>
        <w:tc>
          <w:tcPr>
            <w:tcW w:w="5697" w:type="dxa"/>
            <w:tcBorders>
              <w:top w:val="single" w:sz="4" w:space="0" w:color="auto"/>
              <w:left w:val="single" w:sz="4" w:space="0" w:color="auto"/>
              <w:bottom w:val="single" w:sz="4" w:space="0" w:color="auto"/>
              <w:right w:val="single" w:sz="4" w:space="0" w:color="auto"/>
            </w:tcBorders>
            <w:hideMark/>
          </w:tcPr>
          <w:p w14:paraId="32F882A9" w14:textId="77777777" w:rsidR="00426931" w:rsidRPr="0013396E" w:rsidRDefault="00426931" w:rsidP="00426931">
            <w:pPr>
              <w:spacing w:after="120"/>
              <w:rPr>
                <w:b/>
                <w:iCs/>
                <w:sz w:val="20"/>
              </w:rPr>
            </w:pPr>
            <w:r w:rsidRPr="0013396E">
              <w:rPr>
                <w:b/>
                <w:iCs/>
                <w:sz w:val="20"/>
              </w:rPr>
              <w:t>Definition</w:t>
            </w:r>
          </w:p>
        </w:tc>
      </w:tr>
      <w:tr w:rsidR="00426931" w:rsidRPr="0013396E" w14:paraId="6E4292F6" w14:textId="77777777" w:rsidTr="00426931">
        <w:trPr>
          <w:cantSplit/>
        </w:trPr>
        <w:tc>
          <w:tcPr>
            <w:tcW w:w="2483" w:type="dxa"/>
            <w:tcBorders>
              <w:top w:val="single" w:sz="4" w:space="0" w:color="auto"/>
              <w:left w:val="single" w:sz="4" w:space="0" w:color="auto"/>
              <w:bottom w:val="single" w:sz="4" w:space="0" w:color="auto"/>
              <w:right w:val="single" w:sz="4" w:space="0" w:color="auto"/>
            </w:tcBorders>
            <w:hideMark/>
          </w:tcPr>
          <w:p w14:paraId="19508D4C" w14:textId="77777777" w:rsidR="00426931" w:rsidRPr="0013396E" w:rsidRDefault="00426931" w:rsidP="00426931">
            <w:pPr>
              <w:spacing w:after="60"/>
              <w:rPr>
                <w:bCs/>
                <w:iCs/>
                <w:sz w:val="20"/>
              </w:rPr>
            </w:pPr>
            <w:r w:rsidRPr="0013396E">
              <w:rPr>
                <w:bCs/>
                <w:iCs/>
                <w:sz w:val="20"/>
              </w:rPr>
              <w:t xml:space="preserve">FFSSAMT </w:t>
            </w:r>
            <w:r w:rsidRPr="0013396E">
              <w:rPr>
                <w:bCs/>
                <w:i/>
                <w:iCs/>
                <w:sz w:val="20"/>
                <w:vertAlign w:val="subscript"/>
              </w:rPr>
              <w:t>q, r, h</w:t>
            </w:r>
          </w:p>
        </w:tc>
        <w:tc>
          <w:tcPr>
            <w:tcW w:w="1632" w:type="dxa"/>
            <w:tcBorders>
              <w:top w:val="single" w:sz="4" w:space="0" w:color="auto"/>
              <w:left w:val="single" w:sz="4" w:space="0" w:color="auto"/>
              <w:bottom w:val="single" w:sz="4" w:space="0" w:color="auto"/>
              <w:right w:val="single" w:sz="4" w:space="0" w:color="auto"/>
            </w:tcBorders>
            <w:hideMark/>
          </w:tcPr>
          <w:p w14:paraId="424957F5" w14:textId="77777777" w:rsidR="00426931" w:rsidRPr="0013396E" w:rsidRDefault="00426931" w:rsidP="00426931">
            <w:pPr>
              <w:spacing w:after="60"/>
              <w:rPr>
                <w:iCs/>
                <w:sz w:val="20"/>
              </w:rPr>
            </w:pPr>
            <w:r w:rsidRPr="0013396E">
              <w:rPr>
                <w:iCs/>
                <w:sz w:val="20"/>
              </w:rPr>
              <w:t>$</w:t>
            </w:r>
          </w:p>
        </w:tc>
        <w:tc>
          <w:tcPr>
            <w:tcW w:w="5697" w:type="dxa"/>
            <w:tcBorders>
              <w:top w:val="single" w:sz="4" w:space="0" w:color="auto"/>
              <w:left w:val="single" w:sz="4" w:space="0" w:color="auto"/>
              <w:bottom w:val="single" w:sz="4" w:space="0" w:color="auto"/>
              <w:right w:val="single" w:sz="4" w:space="0" w:color="auto"/>
            </w:tcBorders>
            <w:hideMark/>
          </w:tcPr>
          <w:p w14:paraId="12C01717" w14:textId="77777777" w:rsidR="00426931" w:rsidRPr="0013396E" w:rsidRDefault="00426931" w:rsidP="00426931">
            <w:pPr>
              <w:spacing w:after="60"/>
              <w:rPr>
                <w:iCs/>
                <w:sz w:val="20"/>
              </w:rPr>
            </w:pPr>
            <w:r w:rsidRPr="0013396E">
              <w:rPr>
                <w:i/>
                <w:iCs/>
                <w:sz w:val="20"/>
              </w:rPr>
              <w:t>Firm Fuel Supply Service Amount per QSE per Resource by hour</w:t>
            </w:r>
            <w:r w:rsidRPr="0013396E">
              <w:rPr>
                <w:iCs/>
                <w:sz w:val="20"/>
              </w:rPr>
              <w:t xml:space="preserve">—The payment to QSE </w:t>
            </w:r>
            <w:r w:rsidRPr="0013396E">
              <w:rPr>
                <w:i/>
                <w:iCs/>
                <w:sz w:val="20"/>
              </w:rPr>
              <w:t>q</w:t>
            </w:r>
            <w:r w:rsidRPr="0013396E">
              <w:rPr>
                <w:iCs/>
                <w:sz w:val="20"/>
              </w:rPr>
              <w:t xml:space="preserve"> assigned to the FFSS for the primary Generation Resource </w:t>
            </w:r>
            <w:r w:rsidRPr="0013396E">
              <w:rPr>
                <w:i/>
                <w:iCs/>
                <w:sz w:val="20"/>
              </w:rPr>
              <w:t>r</w:t>
            </w:r>
            <w:r w:rsidRPr="0013396E">
              <w:rPr>
                <w:iCs/>
                <w:sz w:val="20"/>
              </w:rPr>
              <w:t xml:space="preserve">, for the hour, calculated each hour of November 15 through March 15 during the awarded FFSS obligation period.  Where for a Combined Cycle Train, the Resource </w:t>
            </w:r>
            <w:r w:rsidRPr="0013396E">
              <w:rPr>
                <w:i/>
                <w:iCs/>
                <w:sz w:val="20"/>
              </w:rPr>
              <w:t xml:space="preserve">r </w:t>
            </w:r>
            <w:r w:rsidRPr="0013396E">
              <w:rPr>
                <w:iCs/>
                <w:sz w:val="20"/>
              </w:rPr>
              <w:t>is the Combined Cycle Train.</w:t>
            </w:r>
          </w:p>
        </w:tc>
      </w:tr>
      <w:tr w:rsidR="00426931" w:rsidRPr="0013396E" w14:paraId="27A0C6E4" w14:textId="77777777" w:rsidTr="00426931">
        <w:trPr>
          <w:cantSplit/>
        </w:trPr>
        <w:tc>
          <w:tcPr>
            <w:tcW w:w="2483" w:type="dxa"/>
            <w:tcBorders>
              <w:top w:val="single" w:sz="4" w:space="0" w:color="auto"/>
              <w:left w:val="single" w:sz="4" w:space="0" w:color="auto"/>
              <w:bottom w:val="single" w:sz="4" w:space="0" w:color="auto"/>
              <w:right w:val="single" w:sz="4" w:space="0" w:color="auto"/>
            </w:tcBorders>
            <w:hideMark/>
          </w:tcPr>
          <w:p w14:paraId="0B0CDDC2" w14:textId="77777777" w:rsidR="00426931" w:rsidRPr="0013396E" w:rsidRDefault="00426931" w:rsidP="00426931">
            <w:pPr>
              <w:spacing w:after="60"/>
              <w:rPr>
                <w:bCs/>
                <w:iCs/>
                <w:sz w:val="20"/>
              </w:rPr>
            </w:pPr>
            <w:r w:rsidRPr="0013396E">
              <w:rPr>
                <w:bCs/>
                <w:iCs/>
                <w:sz w:val="20"/>
              </w:rPr>
              <w:lastRenderedPageBreak/>
              <w:t xml:space="preserve">FFSSAWARD </w:t>
            </w:r>
            <w:r w:rsidRPr="0013396E">
              <w:rPr>
                <w:bCs/>
                <w:i/>
                <w:sz w:val="20"/>
                <w:vertAlign w:val="subscript"/>
              </w:rPr>
              <w:t>q, r, h</w:t>
            </w:r>
          </w:p>
        </w:tc>
        <w:tc>
          <w:tcPr>
            <w:tcW w:w="1632" w:type="dxa"/>
            <w:tcBorders>
              <w:top w:val="single" w:sz="4" w:space="0" w:color="auto"/>
              <w:left w:val="single" w:sz="4" w:space="0" w:color="auto"/>
              <w:bottom w:val="single" w:sz="4" w:space="0" w:color="auto"/>
              <w:right w:val="single" w:sz="4" w:space="0" w:color="auto"/>
            </w:tcBorders>
            <w:hideMark/>
          </w:tcPr>
          <w:p w14:paraId="07A40EA8" w14:textId="77777777" w:rsidR="00426931" w:rsidRPr="0013396E" w:rsidRDefault="00426931" w:rsidP="00426931">
            <w:pPr>
              <w:spacing w:after="60"/>
              <w:rPr>
                <w:iCs/>
                <w:sz w:val="20"/>
              </w:rPr>
            </w:pPr>
            <w:r w:rsidRPr="0013396E">
              <w:rPr>
                <w:iCs/>
                <w:sz w:val="20"/>
              </w:rPr>
              <w:t>$</w:t>
            </w:r>
          </w:p>
        </w:tc>
        <w:tc>
          <w:tcPr>
            <w:tcW w:w="5697" w:type="dxa"/>
            <w:tcBorders>
              <w:top w:val="single" w:sz="4" w:space="0" w:color="auto"/>
              <w:left w:val="single" w:sz="4" w:space="0" w:color="auto"/>
              <w:bottom w:val="single" w:sz="4" w:space="0" w:color="auto"/>
              <w:right w:val="single" w:sz="4" w:space="0" w:color="auto"/>
            </w:tcBorders>
            <w:hideMark/>
          </w:tcPr>
          <w:p w14:paraId="3BD2F8D5" w14:textId="77777777" w:rsidR="00426931" w:rsidRPr="0013396E" w:rsidRDefault="00426931" w:rsidP="00426931">
            <w:pPr>
              <w:spacing w:after="60"/>
              <w:rPr>
                <w:i/>
                <w:iCs/>
                <w:sz w:val="20"/>
              </w:rPr>
            </w:pPr>
            <w:r w:rsidRPr="0013396E">
              <w:rPr>
                <w:i/>
                <w:iCs/>
                <w:sz w:val="20"/>
              </w:rPr>
              <w:t>Firm Fuel Supply Service Award Amount per QSE by hour—</w:t>
            </w:r>
            <w:r w:rsidRPr="0013396E">
              <w:rPr>
                <w:sz w:val="20"/>
              </w:rPr>
              <w:t xml:space="preserve">The payment to the QSE </w:t>
            </w:r>
            <w:r w:rsidRPr="0013396E">
              <w:rPr>
                <w:i/>
                <w:iCs/>
                <w:sz w:val="20"/>
              </w:rPr>
              <w:t>q</w:t>
            </w:r>
            <w:r w:rsidRPr="0013396E">
              <w:rPr>
                <w:sz w:val="20"/>
              </w:rPr>
              <w:t xml:space="preserve"> for the FFSS awarded to the </w:t>
            </w:r>
            <w:r w:rsidRPr="0013396E">
              <w:rPr>
                <w:iCs/>
                <w:sz w:val="20"/>
              </w:rPr>
              <w:t>primary Generation Resource</w:t>
            </w:r>
            <w:r w:rsidRPr="0013396E">
              <w:rPr>
                <w:sz w:val="20"/>
              </w:rPr>
              <w:t xml:space="preserve"> </w:t>
            </w:r>
            <w:r w:rsidRPr="0013396E">
              <w:rPr>
                <w:i/>
                <w:iCs/>
                <w:sz w:val="20"/>
              </w:rPr>
              <w:t>r</w:t>
            </w:r>
            <w:r w:rsidRPr="0013396E">
              <w:rPr>
                <w:sz w:val="20"/>
              </w:rPr>
              <w:t xml:space="preserve"> for each hour </w:t>
            </w:r>
            <w:r w:rsidRPr="0013396E">
              <w:rPr>
                <w:i/>
                <w:iCs/>
                <w:sz w:val="20"/>
              </w:rPr>
              <w:t>h</w:t>
            </w:r>
            <w:r w:rsidRPr="0013396E">
              <w:rPr>
                <w:sz w:val="20"/>
              </w:rPr>
              <w:t xml:space="preserve">, </w:t>
            </w:r>
            <w:r w:rsidRPr="0013396E">
              <w:rPr>
                <w:iCs/>
                <w:sz w:val="20"/>
              </w:rPr>
              <w:t>during the awarded FFSS obligation period.</w:t>
            </w:r>
            <w:r w:rsidRPr="0013396E">
              <w:rPr>
                <w:sz w:val="20"/>
              </w:rPr>
              <w:t xml:space="preserve"> </w:t>
            </w:r>
            <w:r w:rsidRPr="0013396E">
              <w:rPr>
                <w:iCs/>
                <w:sz w:val="20"/>
              </w:rPr>
              <w:t xml:space="preserve">Where for a Combined Cycle Train, the Resource </w:t>
            </w:r>
            <w:r w:rsidRPr="0013396E">
              <w:rPr>
                <w:i/>
                <w:iCs/>
                <w:sz w:val="20"/>
              </w:rPr>
              <w:t xml:space="preserve">r </w:t>
            </w:r>
            <w:r w:rsidRPr="0013396E">
              <w:rPr>
                <w:iCs/>
                <w:sz w:val="20"/>
              </w:rPr>
              <w:t>is the Combined Cycle Train.</w:t>
            </w:r>
          </w:p>
        </w:tc>
      </w:tr>
      <w:tr w:rsidR="00426931" w:rsidRPr="0013396E" w14:paraId="7F6FBD9A" w14:textId="77777777" w:rsidTr="00426931">
        <w:trPr>
          <w:cantSplit/>
        </w:trPr>
        <w:tc>
          <w:tcPr>
            <w:tcW w:w="2483" w:type="dxa"/>
            <w:tcBorders>
              <w:top w:val="single" w:sz="4" w:space="0" w:color="auto"/>
              <w:left w:val="single" w:sz="4" w:space="0" w:color="auto"/>
              <w:bottom w:val="single" w:sz="4" w:space="0" w:color="auto"/>
              <w:right w:val="single" w:sz="4" w:space="0" w:color="auto"/>
            </w:tcBorders>
            <w:hideMark/>
          </w:tcPr>
          <w:p w14:paraId="5DFAE58E" w14:textId="77777777" w:rsidR="00426931" w:rsidRPr="0013396E" w:rsidRDefault="00426931" w:rsidP="00426931">
            <w:pPr>
              <w:spacing w:after="60"/>
              <w:rPr>
                <w:iCs/>
                <w:sz w:val="20"/>
              </w:rPr>
            </w:pPr>
            <w:r w:rsidRPr="0013396E">
              <w:rPr>
                <w:iCs/>
                <w:sz w:val="20"/>
              </w:rPr>
              <w:t xml:space="preserve">FFSSPR </w:t>
            </w:r>
            <w:r w:rsidRPr="0013396E">
              <w:rPr>
                <w:i/>
                <w:iCs/>
                <w:sz w:val="20"/>
                <w:vertAlign w:val="subscript"/>
              </w:rPr>
              <w:t>q, r, h</w:t>
            </w:r>
          </w:p>
        </w:tc>
        <w:tc>
          <w:tcPr>
            <w:tcW w:w="1632" w:type="dxa"/>
            <w:tcBorders>
              <w:top w:val="single" w:sz="4" w:space="0" w:color="auto"/>
              <w:left w:val="single" w:sz="4" w:space="0" w:color="auto"/>
              <w:bottom w:val="single" w:sz="4" w:space="0" w:color="auto"/>
              <w:right w:val="single" w:sz="4" w:space="0" w:color="auto"/>
            </w:tcBorders>
            <w:hideMark/>
          </w:tcPr>
          <w:p w14:paraId="7D45526C" w14:textId="77777777" w:rsidR="00426931" w:rsidRPr="0013396E" w:rsidRDefault="00426931" w:rsidP="00426931">
            <w:pPr>
              <w:spacing w:after="60"/>
              <w:rPr>
                <w:iCs/>
                <w:sz w:val="20"/>
              </w:rPr>
            </w:pPr>
            <w:r w:rsidRPr="0013396E">
              <w:rPr>
                <w:iCs/>
                <w:sz w:val="20"/>
              </w:rPr>
              <w:t>$/MW per hour</w:t>
            </w:r>
          </w:p>
        </w:tc>
        <w:tc>
          <w:tcPr>
            <w:tcW w:w="5697" w:type="dxa"/>
            <w:tcBorders>
              <w:top w:val="single" w:sz="4" w:space="0" w:color="auto"/>
              <w:left w:val="single" w:sz="4" w:space="0" w:color="auto"/>
              <w:bottom w:val="single" w:sz="4" w:space="0" w:color="auto"/>
              <w:right w:val="single" w:sz="4" w:space="0" w:color="auto"/>
            </w:tcBorders>
            <w:hideMark/>
          </w:tcPr>
          <w:p w14:paraId="6777F144" w14:textId="77777777" w:rsidR="00426931" w:rsidRPr="0013396E" w:rsidRDefault="00426931" w:rsidP="00426931">
            <w:pPr>
              <w:spacing w:after="60"/>
              <w:rPr>
                <w:iCs/>
                <w:sz w:val="20"/>
              </w:rPr>
            </w:pPr>
            <w:r w:rsidRPr="0013396E">
              <w:rPr>
                <w:i/>
                <w:iCs/>
                <w:sz w:val="20"/>
              </w:rPr>
              <w:t>Firm Fuel Supply Service Price per QSE per Resource by hour</w:t>
            </w:r>
            <w:r w:rsidRPr="0013396E">
              <w:rPr>
                <w:iCs/>
                <w:sz w:val="20"/>
              </w:rPr>
              <w:t xml:space="preserve">—The standby price of the primary Generation Resource </w:t>
            </w:r>
            <w:r w:rsidRPr="0013396E">
              <w:rPr>
                <w:i/>
                <w:iCs/>
                <w:sz w:val="20"/>
              </w:rPr>
              <w:t>r</w:t>
            </w:r>
            <w:r w:rsidRPr="0013396E">
              <w:rPr>
                <w:iCs/>
                <w:sz w:val="20"/>
              </w:rPr>
              <w:t xml:space="preserve"> represented by QSE </w:t>
            </w:r>
            <w:r w:rsidRPr="0013396E">
              <w:rPr>
                <w:i/>
                <w:iCs/>
                <w:sz w:val="20"/>
              </w:rPr>
              <w:t>q</w:t>
            </w:r>
            <w:r w:rsidRPr="0013396E">
              <w:rPr>
                <w:iCs/>
                <w:sz w:val="20"/>
              </w:rPr>
              <w:t xml:space="preserve">, as specified in the FFSS award.  Where for a Combined Cycle Train, the Resource </w:t>
            </w:r>
            <w:r w:rsidRPr="0013396E">
              <w:rPr>
                <w:i/>
                <w:iCs/>
                <w:sz w:val="20"/>
              </w:rPr>
              <w:t xml:space="preserve">r </w:t>
            </w:r>
            <w:r w:rsidRPr="0013396E">
              <w:rPr>
                <w:iCs/>
                <w:sz w:val="20"/>
              </w:rPr>
              <w:t>is the Combined Cycle Train.</w:t>
            </w:r>
          </w:p>
        </w:tc>
      </w:tr>
      <w:tr w:rsidR="00426931" w:rsidRPr="0013396E" w14:paraId="53030747" w14:textId="77777777" w:rsidTr="00426931">
        <w:trPr>
          <w:cantSplit/>
        </w:trPr>
        <w:tc>
          <w:tcPr>
            <w:tcW w:w="2483" w:type="dxa"/>
            <w:tcBorders>
              <w:top w:val="single" w:sz="4" w:space="0" w:color="auto"/>
              <w:left w:val="single" w:sz="4" w:space="0" w:color="auto"/>
              <w:bottom w:val="single" w:sz="4" w:space="0" w:color="auto"/>
              <w:right w:val="single" w:sz="4" w:space="0" w:color="auto"/>
            </w:tcBorders>
            <w:hideMark/>
          </w:tcPr>
          <w:p w14:paraId="7CC9BF78" w14:textId="77777777" w:rsidR="00426931" w:rsidRPr="0013396E" w:rsidRDefault="00426931" w:rsidP="00426931">
            <w:pPr>
              <w:spacing w:after="60"/>
              <w:rPr>
                <w:iCs/>
                <w:sz w:val="20"/>
              </w:rPr>
            </w:pPr>
            <w:r w:rsidRPr="0013396E">
              <w:rPr>
                <w:iCs/>
                <w:sz w:val="20"/>
              </w:rPr>
              <w:t xml:space="preserve">FFSSCRF </w:t>
            </w:r>
            <w:r w:rsidRPr="0013396E">
              <w:rPr>
                <w:i/>
                <w:iCs/>
                <w:sz w:val="20"/>
                <w:vertAlign w:val="subscript"/>
              </w:rPr>
              <w:t>q, r, h</w:t>
            </w:r>
          </w:p>
        </w:tc>
        <w:tc>
          <w:tcPr>
            <w:tcW w:w="1632" w:type="dxa"/>
            <w:tcBorders>
              <w:top w:val="single" w:sz="4" w:space="0" w:color="auto"/>
              <w:left w:val="single" w:sz="4" w:space="0" w:color="auto"/>
              <w:bottom w:val="single" w:sz="4" w:space="0" w:color="auto"/>
              <w:right w:val="single" w:sz="4" w:space="0" w:color="auto"/>
            </w:tcBorders>
            <w:hideMark/>
          </w:tcPr>
          <w:p w14:paraId="62C3489E" w14:textId="77777777" w:rsidR="00426931" w:rsidRPr="0013396E" w:rsidRDefault="00426931" w:rsidP="00426931">
            <w:pPr>
              <w:spacing w:after="60"/>
              <w:rPr>
                <w:iCs/>
                <w:sz w:val="20"/>
              </w:rPr>
            </w:pPr>
            <w:r w:rsidRPr="0013396E">
              <w:rPr>
                <w:iCs/>
                <w:sz w:val="20"/>
              </w:rPr>
              <w:t>none</w:t>
            </w:r>
          </w:p>
        </w:tc>
        <w:tc>
          <w:tcPr>
            <w:tcW w:w="5697" w:type="dxa"/>
            <w:tcBorders>
              <w:top w:val="single" w:sz="4" w:space="0" w:color="auto"/>
              <w:left w:val="single" w:sz="4" w:space="0" w:color="auto"/>
              <w:bottom w:val="single" w:sz="4" w:space="0" w:color="auto"/>
              <w:right w:val="single" w:sz="4" w:space="0" w:color="auto"/>
            </w:tcBorders>
            <w:hideMark/>
          </w:tcPr>
          <w:p w14:paraId="78C5B022" w14:textId="77777777" w:rsidR="00426931" w:rsidRPr="0013396E" w:rsidRDefault="00426931" w:rsidP="00426931">
            <w:pPr>
              <w:spacing w:after="60"/>
              <w:rPr>
                <w:i/>
                <w:iCs/>
                <w:sz w:val="20"/>
              </w:rPr>
            </w:pPr>
            <w:r w:rsidRPr="0013396E">
              <w:rPr>
                <w:i/>
                <w:iCs/>
                <w:sz w:val="20"/>
              </w:rPr>
              <w:t xml:space="preserve">Firm Fuel Supply Service </w:t>
            </w:r>
            <w:r w:rsidRPr="0013396E">
              <w:rPr>
                <w:i/>
                <w:sz w:val="20"/>
              </w:rPr>
              <w:t>Capacity Reduction Factor per QSE per Resource by hour</w:t>
            </w:r>
            <w:r w:rsidRPr="0013396E">
              <w:rPr>
                <w:iCs/>
                <w:sz w:val="20"/>
              </w:rPr>
              <w:t xml:space="preserve">—The capacity reduction factor assigned to the primary Generation Resource </w:t>
            </w:r>
            <w:r w:rsidRPr="0013396E">
              <w:rPr>
                <w:i/>
                <w:sz w:val="20"/>
              </w:rPr>
              <w:t>r</w:t>
            </w:r>
            <w:r w:rsidRPr="0013396E">
              <w:rPr>
                <w:iCs/>
                <w:sz w:val="20"/>
              </w:rPr>
              <w:t xml:space="preserve">, represented by QSE </w:t>
            </w:r>
            <w:r w:rsidRPr="0013396E">
              <w:rPr>
                <w:i/>
                <w:sz w:val="20"/>
              </w:rPr>
              <w:t>q</w:t>
            </w:r>
            <w:r w:rsidRPr="0013396E">
              <w:rPr>
                <w:iCs/>
                <w:sz w:val="20"/>
              </w:rPr>
              <w:t xml:space="preserve">, for the hour.  Where for a Combined Cycle Train, the Resource </w:t>
            </w:r>
            <w:r w:rsidRPr="0013396E">
              <w:rPr>
                <w:i/>
                <w:sz w:val="20"/>
              </w:rPr>
              <w:t>r</w:t>
            </w:r>
            <w:r w:rsidRPr="0013396E">
              <w:rPr>
                <w:iCs/>
                <w:sz w:val="20"/>
              </w:rPr>
              <w:t xml:space="preserve"> is the Combined Cycle Train.</w:t>
            </w:r>
          </w:p>
        </w:tc>
      </w:tr>
      <w:tr w:rsidR="00426931" w:rsidRPr="0013396E" w14:paraId="5CE9BFC2" w14:textId="77777777" w:rsidTr="00426931">
        <w:trPr>
          <w:cantSplit/>
        </w:trPr>
        <w:tc>
          <w:tcPr>
            <w:tcW w:w="2483" w:type="dxa"/>
            <w:tcBorders>
              <w:top w:val="single" w:sz="4" w:space="0" w:color="auto"/>
              <w:left w:val="single" w:sz="4" w:space="0" w:color="auto"/>
              <w:bottom w:val="single" w:sz="4" w:space="0" w:color="auto"/>
              <w:right w:val="single" w:sz="4" w:space="0" w:color="auto"/>
            </w:tcBorders>
            <w:hideMark/>
          </w:tcPr>
          <w:p w14:paraId="363B239B" w14:textId="77777777" w:rsidR="00426931" w:rsidRPr="0013396E" w:rsidRDefault="00426931" w:rsidP="00426931">
            <w:pPr>
              <w:spacing w:after="60"/>
              <w:rPr>
                <w:iCs/>
                <w:sz w:val="20"/>
              </w:rPr>
            </w:pPr>
            <w:r w:rsidRPr="0013396E">
              <w:rPr>
                <w:iCs/>
                <w:sz w:val="20"/>
              </w:rPr>
              <w:t xml:space="preserve">HSL </w:t>
            </w:r>
            <w:r w:rsidRPr="0013396E">
              <w:rPr>
                <w:i/>
                <w:iCs/>
                <w:sz w:val="20"/>
                <w:vertAlign w:val="subscript"/>
              </w:rPr>
              <w:t>q, r, hr</w:t>
            </w:r>
          </w:p>
        </w:tc>
        <w:tc>
          <w:tcPr>
            <w:tcW w:w="1632" w:type="dxa"/>
            <w:tcBorders>
              <w:top w:val="single" w:sz="4" w:space="0" w:color="auto"/>
              <w:left w:val="single" w:sz="4" w:space="0" w:color="auto"/>
              <w:bottom w:val="single" w:sz="4" w:space="0" w:color="auto"/>
              <w:right w:val="single" w:sz="4" w:space="0" w:color="auto"/>
            </w:tcBorders>
            <w:hideMark/>
          </w:tcPr>
          <w:p w14:paraId="15D1D1F8" w14:textId="77777777" w:rsidR="00426931" w:rsidRPr="0013396E" w:rsidRDefault="00426931" w:rsidP="00426931">
            <w:pPr>
              <w:spacing w:after="60"/>
              <w:rPr>
                <w:iCs/>
                <w:sz w:val="20"/>
              </w:rPr>
            </w:pPr>
            <w:r w:rsidRPr="0013396E">
              <w:rPr>
                <w:iCs/>
                <w:sz w:val="20"/>
              </w:rPr>
              <w:t>MW</w:t>
            </w:r>
          </w:p>
        </w:tc>
        <w:tc>
          <w:tcPr>
            <w:tcW w:w="5697" w:type="dxa"/>
            <w:tcBorders>
              <w:top w:val="single" w:sz="4" w:space="0" w:color="auto"/>
              <w:left w:val="single" w:sz="4" w:space="0" w:color="auto"/>
              <w:bottom w:val="single" w:sz="4" w:space="0" w:color="auto"/>
              <w:right w:val="single" w:sz="4" w:space="0" w:color="auto"/>
            </w:tcBorders>
            <w:hideMark/>
          </w:tcPr>
          <w:p w14:paraId="2D70D6B6" w14:textId="77777777" w:rsidR="00426931" w:rsidRPr="0013396E" w:rsidRDefault="00426931" w:rsidP="00426931">
            <w:pPr>
              <w:spacing w:after="60"/>
              <w:rPr>
                <w:i/>
                <w:iCs/>
                <w:sz w:val="20"/>
              </w:rPr>
            </w:pPr>
            <w:r w:rsidRPr="0013396E">
              <w:rPr>
                <w:i/>
                <w:sz w:val="20"/>
              </w:rPr>
              <w:t>High Sustained Limit</w:t>
            </w:r>
            <w:r w:rsidRPr="0013396E">
              <w:rPr>
                <w:iCs/>
                <w:sz w:val="20"/>
              </w:rPr>
              <w:t xml:space="preserve">—The HSL of the primary Generation Resource or the alternate Generation Resource </w:t>
            </w:r>
            <w:r w:rsidRPr="0013396E">
              <w:rPr>
                <w:i/>
                <w:sz w:val="20"/>
              </w:rPr>
              <w:t>r</w:t>
            </w:r>
            <w:r w:rsidRPr="0013396E">
              <w:rPr>
                <w:iCs/>
                <w:sz w:val="20"/>
              </w:rPr>
              <w:t xml:space="preserve"> represented by QSE </w:t>
            </w:r>
            <w:r w:rsidRPr="0013396E">
              <w:rPr>
                <w:i/>
                <w:sz w:val="20"/>
              </w:rPr>
              <w:t>q</w:t>
            </w:r>
            <w:r w:rsidRPr="0013396E">
              <w:rPr>
                <w:iCs/>
                <w:sz w:val="20"/>
              </w:rPr>
              <w:t xml:space="preserve"> as submitted in the COP, for the hour </w:t>
            </w:r>
            <w:r w:rsidRPr="0013396E">
              <w:rPr>
                <w:i/>
                <w:sz w:val="20"/>
              </w:rPr>
              <w:t>h</w:t>
            </w:r>
            <w:r w:rsidRPr="0013396E">
              <w:rPr>
                <w:iCs/>
                <w:sz w:val="20"/>
              </w:rPr>
              <w:t xml:space="preserve">.  Where for a combined cycle Resource </w:t>
            </w:r>
            <w:r w:rsidRPr="0013396E">
              <w:rPr>
                <w:i/>
                <w:sz w:val="20"/>
              </w:rPr>
              <w:t>r</w:t>
            </w:r>
            <w:r w:rsidRPr="0013396E">
              <w:rPr>
                <w:iCs/>
                <w:sz w:val="20"/>
              </w:rPr>
              <w:t xml:space="preserve"> is a Combined Cycle Generation Resource.</w:t>
            </w:r>
          </w:p>
        </w:tc>
      </w:tr>
      <w:tr w:rsidR="00426931" w:rsidRPr="0013396E" w14:paraId="557D0D03" w14:textId="77777777" w:rsidTr="00426931">
        <w:trPr>
          <w:cantSplit/>
        </w:trPr>
        <w:tc>
          <w:tcPr>
            <w:tcW w:w="2483" w:type="dxa"/>
            <w:tcBorders>
              <w:top w:val="single" w:sz="4" w:space="0" w:color="auto"/>
              <w:left w:val="single" w:sz="4" w:space="0" w:color="auto"/>
              <w:bottom w:val="single" w:sz="4" w:space="0" w:color="auto"/>
              <w:right w:val="single" w:sz="4" w:space="0" w:color="auto"/>
            </w:tcBorders>
            <w:hideMark/>
          </w:tcPr>
          <w:p w14:paraId="0E6E65CC" w14:textId="77777777" w:rsidR="00426931" w:rsidRPr="0013396E" w:rsidRDefault="00426931" w:rsidP="00426931">
            <w:pPr>
              <w:spacing w:after="60"/>
              <w:rPr>
                <w:iCs/>
                <w:sz w:val="20"/>
              </w:rPr>
            </w:pPr>
            <w:r w:rsidRPr="0013396E">
              <w:rPr>
                <w:iCs/>
                <w:sz w:val="20"/>
              </w:rPr>
              <w:t xml:space="preserve">FFSSFRC </w:t>
            </w:r>
            <w:r w:rsidRPr="0013396E">
              <w:rPr>
                <w:i/>
                <w:iCs/>
                <w:sz w:val="20"/>
                <w:vertAlign w:val="subscript"/>
              </w:rPr>
              <w:t>q, r, h</w:t>
            </w:r>
          </w:p>
        </w:tc>
        <w:tc>
          <w:tcPr>
            <w:tcW w:w="1632" w:type="dxa"/>
            <w:tcBorders>
              <w:top w:val="single" w:sz="4" w:space="0" w:color="auto"/>
              <w:left w:val="single" w:sz="4" w:space="0" w:color="auto"/>
              <w:bottom w:val="single" w:sz="4" w:space="0" w:color="auto"/>
              <w:right w:val="single" w:sz="4" w:space="0" w:color="auto"/>
            </w:tcBorders>
            <w:hideMark/>
          </w:tcPr>
          <w:p w14:paraId="3C44014D" w14:textId="77777777" w:rsidR="00426931" w:rsidRPr="0013396E" w:rsidRDefault="00426931" w:rsidP="00426931">
            <w:pPr>
              <w:spacing w:after="60"/>
              <w:rPr>
                <w:iCs/>
                <w:sz w:val="20"/>
              </w:rPr>
            </w:pPr>
            <w:r w:rsidRPr="0013396E">
              <w:rPr>
                <w:iCs/>
                <w:sz w:val="20"/>
              </w:rPr>
              <w:t>$ per hour</w:t>
            </w:r>
          </w:p>
        </w:tc>
        <w:tc>
          <w:tcPr>
            <w:tcW w:w="5697" w:type="dxa"/>
            <w:tcBorders>
              <w:top w:val="single" w:sz="4" w:space="0" w:color="auto"/>
              <w:left w:val="single" w:sz="4" w:space="0" w:color="auto"/>
              <w:bottom w:val="single" w:sz="4" w:space="0" w:color="auto"/>
              <w:right w:val="single" w:sz="4" w:space="0" w:color="auto"/>
            </w:tcBorders>
            <w:hideMark/>
          </w:tcPr>
          <w:p w14:paraId="17F2B7AC" w14:textId="77777777" w:rsidR="00426931" w:rsidRPr="0013396E" w:rsidRDefault="00426931" w:rsidP="00426931">
            <w:pPr>
              <w:spacing w:after="60"/>
              <w:rPr>
                <w:i/>
                <w:iCs/>
                <w:sz w:val="20"/>
              </w:rPr>
            </w:pPr>
            <w:r w:rsidRPr="0013396E">
              <w:rPr>
                <w:i/>
                <w:sz w:val="20"/>
              </w:rPr>
              <w:t>Firm Fuel Supply Service Fuel Replacement Cost</w:t>
            </w:r>
            <w:r w:rsidRPr="0013396E">
              <w:rPr>
                <w:iCs/>
                <w:sz w:val="20"/>
              </w:rPr>
              <w:t xml:space="preserve">—The fuel costs and fees to replace the burned fuel by the FFSSR, not recovered during the FFSS deployment period, paid to the primary Generation Resource </w:t>
            </w:r>
            <w:r w:rsidRPr="0013396E">
              <w:rPr>
                <w:i/>
                <w:sz w:val="20"/>
              </w:rPr>
              <w:t>r</w:t>
            </w:r>
            <w:r w:rsidRPr="0013396E">
              <w:rPr>
                <w:iCs/>
                <w:sz w:val="20"/>
              </w:rPr>
              <w:t xml:space="preserve"> represented by QSE </w:t>
            </w:r>
            <w:r w:rsidRPr="0013396E">
              <w:rPr>
                <w:i/>
                <w:sz w:val="20"/>
              </w:rPr>
              <w:t>q</w:t>
            </w:r>
            <w:r w:rsidRPr="0013396E">
              <w:rPr>
                <w:iCs/>
                <w:sz w:val="20"/>
              </w:rPr>
              <w:t xml:space="preserve"> for each FFSS instructed hour.  Where for a Combined Cycle Train, the Resource </w:t>
            </w:r>
            <w:r w:rsidRPr="0013396E">
              <w:rPr>
                <w:i/>
                <w:sz w:val="20"/>
              </w:rPr>
              <w:t>r</w:t>
            </w:r>
            <w:r w:rsidRPr="0013396E">
              <w:rPr>
                <w:iCs/>
                <w:sz w:val="20"/>
              </w:rPr>
              <w:t xml:space="preserve"> is the Combined Cycle Train.</w:t>
            </w:r>
          </w:p>
        </w:tc>
      </w:tr>
      <w:tr w:rsidR="00426931" w:rsidRPr="0013396E" w14:paraId="2B5552FC" w14:textId="77777777" w:rsidTr="00426931">
        <w:trPr>
          <w:cantSplit/>
        </w:trPr>
        <w:tc>
          <w:tcPr>
            <w:tcW w:w="2483" w:type="dxa"/>
            <w:tcBorders>
              <w:top w:val="single" w:sz="4" w:space="0" w:color="auto"/>
              <w:left w:val="single" w:sz="4" w:space="0" w:color="auto"/>
              <w:bottom w:val="single" w:sz="4" w:space="0" w:color="auto"/>
              <w:right w:val="single" w:sz="4" w:space="0" w:color="auto"/>
            </w:tcBorders>
            <w:hideMark/>
          </w:tcPr>
          <w:p w14:paraId="39690987" w14:textId="77777777" w:rsidR="00426931" w:rsidRPr="0013396E" w:rsidRDefault="00426931" w:rsidP="00426931">
            <w:pPr>
              <w:spacing w:after="60"/>
              <w:rPr>
                <w:iCs/>
                <w:sz w:val="20"/>
              </w:rPr>
            </w:pPr>
            <w:r w:rsidRPr="0013396E">
              <w:rPr>
                <w:iCs/>
                <w:sz w:val="20"/>
              </w:rPr>
              <w:t>FFSSDRP</w:t>
            </w:r>
            <w:r w:rsidRPr="0013396E">
              <w:rPr>
                <w:i/>
                <w:iCs/>
                <w:sz w:val="20"/>
                <w:vertAlign w:val="subscript"/>
              </w:rPr>
              <w:t xml:space="preserve"> q, r, h</w:t>
            </w:r>
          </w:p>
        </w:tc>
        <w:tc>
          <w:tcPr>
            <w:tcW w:w="1632" w:type="dxa"/>
            <w:tcBorders>
              <w:top w:val="single" w:sz="4" w:space="0" w:color="auto"/>
              <w:left w:val="single" w:sz="4" w:space="0" w:color="auto"/>
              <w:bottom w:val="single" w:sz="4" w:space="0" w:color="auto"/>
              <w:right w:val="single" w:sz="4" w:space="0" w:color="auto"/>
            </w:tcBorders>
            <w:hideMark/>
          </w:tcPr>
          <w:p w14:paraId="0D9F46EE" w14:textId="77777777" w:rsidR="00426931" w:rsidRPr="0013396E" w:rsidRDefault="00426931" w:rsidP="00426931">
            <w:pPr>
              <w:spacing w:after="60"/>
              <w:rPr>
                <w:iCs/>
                <w:sz w:val="20"/>
              </w:rPr>
            </w:pPr>
            <w:r w:rsidRPr="0013396E">
              <w:rPr>
                <w:iCs/>
                <w:sz w:val="20"/>
              </w:rPr>
              <w:t>none</w:t>
            </w:r>
          </w:p>
        </w:tc>
        <w:tc>
          <w:tcPr>
            <w:tcW w:w="5697" w:type="dxa"/>
            <w:tcBorders>
              <w:top w:val="single" w:sz="4" w:space="0" w:color="auto"/>
              <w:left w:val="single" w:sz="4" w:space="0" w:color="auto"/>
              <w:bottom w:val="single" w:sz="4" w:space="0" w:color="auto"/>
              <w:right w:val="single" w:sz="4" w:space="0" w:color="auto"/>
            </w:tcBorders>
            <w:hideMark/>
          </w:tcPr>
          <w:p w14:paraId="3270C57E" w14:textId="77777777" w:rsidR="00426931" w:rsidRPr="0013396E" w:rsidRDefault="00426931" w:rsidP="00426931">
            <w:pPr>
              <w:spacing w:after="60"/>
              <w:rPr>
                <w:i/>
                <w:iCs/>
                <w:sz w:val="20"/>
              </w:rPr>
            </w:pPr>
            <w:r w:rsidRPr="0013396E">
              <w:rPr>
                <w:i/>
                <w:iCs/>
                <w:sz w:val="20"/>
              </w:rPr>
              <w:t>Firm Fuel Supply Service Deployment Reduction Percentage</w:t>
            </w:r>
            <w:r w:rsidRPr="0013396E">
              <w:rPr>
                <w:iCs/>
                <w:sz w:val="20"/>
              </w:rPr>
              <w:t>—</w:t>
            </w:r>
            <w:r w:rsidRPr="0013396E">
              <w:rPr>
                <w:sz w:val="20"/>
              </w:rPr>
              <w:t xml:space="preserve">The percentage of the </w:t>
            </w:r>
            <w:r w:rsidRPr="0013396E">
              <w:rPr>
                <w:iCs/>
                <w:sz w:val="20"/>
              </w:rPr>
              <w:t>Firm Fuel Supply Service Standby Fee subject to clawback per paragraphs (9) through (16) of Section 8.1.1.2.1.6, Firm Fuel Supply Service Resource Qualification, Testing, Decertification, and Recertification,</w:t>
            </w:r>
            <w:r w:rsidRPr="0013396E">
              <w:rPr>
                <w:i/>
                <w:iCs/>
                <w:sz w:val="20"/>
              </w:rPr>
              <w:t xml:space="preserve"> </w:t>
            </w:r>
            <w:r w:rsidRPr="0013396E">
              <w:rPr>
                <w:sz w:val="20"/>
              </w:rPr>
              <w:t xml:space="preserve">for the QSE </w:t>
            </w:r>
            <w:r w:rsidRPr="0013396E">
              <w:rPr>
                <w:i/>
                <w:iCs/>
                <w:sz w:val="20"/>
              </w:rPr>
              <w:t>q</w:t>
            </w:r>
            <w:r w:rsidRPr="0013396E">
              <w:rPr>
                <w:sz w:val="20"/>
              </w:rPr>
              <w:t xml:space="preserve">, assigned to the </w:t>
            </w:r>
            <w:r w:rsidRPr="0013396E">
              <w:rPr>
                <w:iCs/>
                <w:sz w:val="20"/>
              </w:rPr>
              <w:t>primary Generation Resource</w:t>
            </w:r>
            <w:r w:rsidRPr="0013396E">
              <w:rPr>
                <w:sz w:val="20"/>
              </w:rPr>
              <w:t xml:space="preserve"> </w:t>
            </w:r>
            <w:r w:rsidRPr="0013396E">
              <w:rPr>
                <w:i/>
                <w:iCs/>
                <w:sz w:val="20"/>
              </w:rPr>
              <w:t>r</w:t>
            </w:r>
            <w:r w:rsidRPr="0013396E">
              <w:rPr>
                <w:sz w:val="20"/>
              </w:rPr>
              <w:t xml:space="preserve">, for the hour </w:t>
            </w:r>
            <w:r w:rsidRPr="0013396E">
              <w:rPr>
                <w:i/>
                <w:iCs/>
                <w:sz w:val="20"/>
              </w:rPr>
              <w:t>h</w:t>
            </w:r>
            <w:r w:rsidRPr="0013396E">
              <w:rPr>
                <w:sz w:val="20"/>
              </w:rPr>
              <w:t xml:space="preserve">.  </w:t>
            </w:r>
            <w:r w:rsidRPr="0013396E">
              <w:rPr>
                <w:iCs/>
                <w:sz w:val="20"/>
              </w:rPr>
              <w:t xml:space="preserve">Where for a Combined Cycle Train, the Resource </w:t>
            </w:r>
            <w:r w:rsidRPr="0013396E">
              <w:rPr>
                <w:i/>
                <w:iCs/>
                <w:sz w:val="20"/>
              </w:rPr>
              <w:t xml:space="preserve">r </w:t>
            </w:r>
            <w:r w:rsidRPr="0013396E">
              <w:rPr>
                <w:iCs/>
                <w:sz w:val="20"/>
              </w:rPr>
              <w:t>is the Combined Cycle Train.</w:t>
            </w:r>
          </w:p>
        </w:tc>
      </w:tr>
      <w:tr w:rsidR="00426931" w:rsidRPr="0013396E" w14:paraId="2052883E" w14:textId="77777777" w:rsidTr="00426931">
        <w:trPr>
          <w:cantSplit/>
        </w:trPr>
        <w:tc>
          <w:tcPr>
            <w:tcW w:w="2483" w:type="dxa"/>
            <w:tcBorders>
              <w:top w:val="single" w:sz="4" w:space="0" w:color="auto"/>
              <w:left w:val="single" w:sz="4" w:space="0" w:color="auto"/>
              <w:bottom w:val="single" w:sz="4" w:space="0" w:color="auto"/>
              <w:right w:val="single" w:sz="4" w:space="0" w:color="auto"/>
            </w:tcBorders>
            <w:hideMark/>
          </w:tcPr>
          <w:p w14:paraId="035D49B8" w14:textId="77777777" w:rsidR="00426931" w:rsidRPr="0013396E" w:rsidRDefault="00426931" w:rsidP="00426931">
            <w:pPr>
              <w:spacing w:after="60"/>
              <w:rPr>
                <w:iCs/>
                <w:sz w:val="20"/>
              </w:rPr>
            </w:pPr>
            <w:r w:rsidRPr="0013396E">
              <w:rPr>
                <w:iCs/>
                <w:sz w:val="20"/>
              </w:rPr>
              <w:t>FFSSSBF</w:t>
            </w:r>
            <w:r w:rsidRPr="0013396E">
              <w:rPr>
                <w:i/>
                <w:iCs/>
                <w:sz w:val="20"/>
                <w:vertAlign w:val="subscript"/>
              </w:rPr>
              <w:t xml:space="preserve"> q, r, h</w:t>
            </w:r>
          </w:p>
        </w:tc>
        <w:tc>
          <w:tcPr>
            <w:tcW w:w="1632" w:type="dxa"/>
            <w:tcBorders>
              <w:top w:val="single" w:sz="4" w:space="0" w:color="auto"/>
              <w:left w:val="single" w:sz="4" w:space="0" w:color="auto"/>
              <w:bottom w:val="single" w:sz="4" w:space="0" w:color="auto"/>
              <w:right w:val="single" w:sz="4" w:space="0" w:color="auto"/>
            </w:tcBorders>
            <w:hideMark/>
          </w:tcPr>
          <w:p w14:paraId="2CE1C5DA" w14:textId="77777777" w:rsidR="00426931" w:rsidRPr="0013396E" w:rsidRDefault="00426931" w:rsidP="00426931">
            <w:pPr>
              <w:spacing w:after="60"/>
              <w:rPr>
                <w:iCs/>
                <w:sz w:val="20"/>
              </w:rPr>
            </w:pPr>
            <w:r w:rsidRPr="0013396E">
              <w:rPr>
                <w:iCs/>
                <w:sz w:val="20"/>
              </w:rPr>
              <w:t>$</w:t>
            </w:r>
          </w:p>
        </w:tc>
        <w:tc>
          <w:tcPr>
            <w:tcW w:w="5697" w:type="dxa"/>
            <w:tcBorders>
              <w:top w:val="single" w:sz="4" w:space="0" w:color="auto"/>
              <w:left w:val="single" w:sz="4" w:space="0" w:color="auto"/>
              <w:bottom w:val="single" w:sz="4" w:space="0" w:color="auto"/>
              <w:right w:val="single" w:sz="4" w:space="0" w:color="auto"/>
            </w:tcBorders>
            <w:hideMark/>
          </w:tcPr>
          <w:p w14:paraId="6C7003E6" w14:textId="77777777" w:rsidR="00426931" w:rsidRPr="0013396E" w:rsidRDefault="00426931" w:rsidP="00426931">
            <w:pPr>
              <w:spacing w:after="60"/>
              <w:rPr>
                <w:iCs/>
                <w:sz w:val="20"/>
              </w:rPr>
            </w:pPr>
            <w:r w:rsidRPr="0013396E">
              <w:rPr>
                <w:i/>
                <w:sz w:val="20"/>
              </w:rPr>
              <w:t>Firm Fuel Supply Service Standby Fee per QSE per Resource by hour</w:t>
            </w:r>
            <w:r w:rsidRPr="0013396E">
              <w:rPr>
                <w:iCs/>
                <w:sz w:val="20"/>
              </w:rPr>
              <w:t xml:space="preserve">—The standby fee to QSE </w:t>
            </w:r>
            <w:r w:rsidRPr="0013396E">
              <w:rPr>
                <w:i/>
                <w:iCs/>
                <w:sz w:val="20"/>
              </w:rPr>
              <w:t>q</w:t>
            </w:r>
            <w:r w:rsidRPr="0013396E">
              <w:rPr>
                <w:iCs/>
                <w:sz w:val="20"/>
              </w:rPr>
              <w:t xml:space="preserve"> for the FFSS assigned to the primary Generation Resource </w:t>
            </w:r>
            <w:r w:rsidRPr="0013396E">
              <w:rPr>
                <w:i/>
                <w:iCs/>
                <w:sz w:val="20"/>
              </w:rPr>
              <w:t>r</w:t>
            </w:r>
            <w:r w:rsidRPr="0013396E">
              <w:rPr>
                <w:iCs/>
                <w:sz w:val="20"/>
              </w:rPr>
              <w:t xml:space="preserve">, for the hour.  Where for a Combined Cycle Train, the Resource </w:t>
            </w:r>
            <w:r w:rsidRPr="0013396E">
              <w:rPr>
                <w:i/>
                <w:iCs/>
                <w:sz w:val="20"/>
              </w:rPr>
              <w:t xml:space="preserve">r </w:t>
            </w:r>
            <w:r w:rsidRPr="0013396E">
              <w:rPr>
                <w:iCs/>
                <w:sz w:val="20"/>
              </w:rPr>
              <w:t>is the Combined Cycle Train.</w:t>
            </w:r>
          </w:p>
        </w:tc>
      </w:tr>
      <w:tr w:rsidR="00426931" w:rsidRPr="0013396E" w14:paraId="63C1B80D" w14:textId="77777777" w:rsidTr="00426931">
        <w:trPr>
          <w:cantSplit/>
        </w:trPr>
        <w:tc>
          <w:tcPr>
            <w:tcW w:w="2483" w:type="dxa"/>
            <w:tcBorders>
              <w:top w:val="single" w:sz="4" w:space="0" w:color="auto"/>
              <w:left w:val="single" w:sz="4" w:space="0" w:color="auto"/>
              <w:bottom w:val="single" w:sz="4" w:space="0" w:color="auto"/>
              <w:right w:val="single" w:sz="4" w:space="0" w:color="auto"/>
            </w:tcBorders>
            <w:hideMark/>
          </w:tcPr>
          <w:p w14:paraId="19416567" w14:textId="77777777" w:rsidR="00426931" w:rsidRPr="0013396E" w:rsidRDefault="00426931" w:rsidP="00426931">
            <w:pPr>
              <w:spacing w:after="60"/>
              <w:rPr>
                <w:iCs/>
                <w:sz w:val="20"/>
              </w:rPr>
            </w:pPr>
            <w:r w:rsidRPr="0013396E">
              <w:rPr>
                <w:iCs/>
                <w:sz w:val="20"/>
              </w:rPr>
              <w:t xml:space="preserve">FFSSTCAP </w:t>
            </w:r>
            <w:r w:rsidRPr="0013396E">
              <w:rPr>
                <w:i/>
                <w:iCs/>
                <w:sz w:val="20"/>
                <w:vertAlign w:val="subscript"/>
              </w:rPr>
              <w:t>q, r, h</w:t>
            </w:r>
          </w:p>
        </w:tc>
        <w:tc>
          <w:tcPr>
            <w:tcW w:w="1632" w:type="dxa"/>
            <w:tcBorders>
              <w:top w:val="single" w:sz="4" w:space="0" w:color="auto"/>
              <w:left w:val="single" w:sz="4" w:space="0" w:color="auto"/>
              <w:bottom w:val="single" w:sz="4" w:space="0" w:color="auto"/>
              <w:right w:val="single" w:sz="4" w:space="0" w:color="auto"/>
            </w:tcBorders>
            <w:hideMark/>
          </w:tcPr>
          <w:p w14:paraId="7CDBE0B4" w14:textId="77777777" w:rsidR="00426931" w:rsidRPr="0013396E" w:rsidRDefault="00426931" w:rsidP="00426931">
            <w:pPr>
              <w:spacing w:after="60"/>
              <w:rPr>
                <w:iCs/>
                <w:sz w:val="20"/>
              </w:rPr>
            </w:pPr>
            <w:r w:rsidRPr="0013396E">
              <w:rPr>
                <w:iCs/>
                <w:sz w:val="20"/>
              </w:rPr>
              <w:t>MW</w:t>
            </w:r>
          </w:p>
        </w:tc>
        <w:tc>
          <w:tcPr>
            <w:tcW w:w="5697" w:type="dxa"/>
            <w:tcBorders>
              <w:top w:val="single" w:sz="4" w:space="0" w:color="auto"/>
              <w:left w:val="single" w:sz="4" w:space="0" w:color="auto"/>
              <w:bottom w:val="single" w:sz="4" w:space="0" w:color="auto"/>
              <w:right w:val="single" w:sz="4" w:space="0" w:color="auto"/>
            </w:tcBorders>
            <w:hideMark/>
          </w:tcPr>
          <w:p w14:paraId="1A4853C0" w14:textId="77777777" w:rsidR="00426931" w:rsidRPr="0013396E" w:rsidRDefault="00426931" w:rsidP="00426931">
            <w:pPr>
              <w:spacing w:after="60"/>
              <w:rPr>
                <w:i/>
                <w:iCs/>
                <w:sz w:val="20"/>
              </w:rPr>
            </w:pPr>
            <w:r w:rsidRPr="0013396E">
              <w:rPr>
                <w:i/>
                <w:iCs/>
                <w:sz w:val="20"/>
              </w:rPr>
              <w:t xml:space="preserve">Firm Fuel Supply Service </w:t>
            </w:r>
            <w:r w:rsidRPr="0013396E">
              <w:rPr>
                <w:i/>
                <w:sz w:val="20"/>
              </w:rPr>
              <w:t>Testing Capacity per QSE per Resource</w:t>
            </w:r>
            <w:r w:rsidRPr="0013396E">
              <w:rPr>
                <w:iCs/>
                <w:sz w:val="20"/>
              </w:rPr>
              <w:t xml:space="preserve">—The tested capacity of the primary Generation Resource </w:t>
            </w:r>
            <w:r w:rsidRPr="0013396E">
              <w:rPr>
                <w:i/>
                <w:sz w:val="20"/>
              </w:rPr>
              <w:t>r</w:t>
            </w:r>
            <w:r w:rsidRPr="0013396E">
              <w:rPr>
                <w:iCs/>
                <w:sz w:val="20"/>
              </w:rPr>
              <w:t xml:space="preserve">, represented by QSE </w:t>
            </w:r>
            <w:r w:rsidRPr="0013396E">
              <w:rPr>
                <w:i/>
                <w:sz w:val="20"/>
              </w:rPr>
              <w:t>q</w:t>
            </w:r>
            <w:r w:rsidRPr="0013396E">
              <w:rPr>
                <w:iCs/>
                <w:sz w:val="20"/>
              </w:rPr>
              <w:t xml:space="preserve">, for the hour.  Where for a Combined Cycle Train, the Resource </w:t>
            </w:r>
            <w:r w:rsidRPr="0013396E">
              <w:rPr>
                <w:i/>
                <w:sz w:val="20"/>
              </w:rPr>
              <w:t>r</w:t>
            </w:r>
            <w:r w:rsidRPr="0013396E">
              <w:rPr>
                <w:iCs/>
                <w:sz w:val="20"/>
              </w:rPr>
              <w:t xml:space="preserve"> is the Combined Cycle Train.</w:t>
            </w:r>
          </w:p>
        </w:tc>
      </w:tr>
      <w:tr w:rsidR="00426931" w:rsidRPr="0013396E" w14:paraId="48EAFB64" w14:textId="77777777" w:rsidTr="00426931">
        <w:trPr>
          <w:cantSplit/>
        </w:trPr>
        <w:tc>
          <w:tcPr>
            <w:tcW w:w="2483" w:type="dxa"/>
            <w:tcBorders>
              <w:top w:val="single" w:sz="4" w:space="0" w:color="auto"/>
              <w:left w:val="single" w:sz="4" w:space="0" w:color="auto"/>
              <w:bottom w:val="single" w:sz="4" w:space="0" w:color="auto"/>
              <w:right w:val="single" w:sz="4" w:space="0" w:color="auto"/>
            </w:tcBorders>
            <w:hideMark/>
          </w:tcPr>
          <w:p w14:paraId="19BEB99F" w14:textId="77777777" w:rsidR="00426931" w:rsidRPr="0013396E" w:rsidRDefault="00426931" w:rsidP="00426931">
            <w:pPr>
              <w:spacing w:after="60"/>
              <w:rPr>
                <w:iCs/>
                <w:sz w:val="20"/>
              </w:rPr>
            </w:pPr>
            <w:r w:rsidRPr="0013396E">
              <w:rPr>
                <w:iCs/>
                <w:sz w:val="20"/>
              </w:rPr>
              <w:t xml:space="preserve">FFSSACAP </w:t>
            </w:r>
            <w:r w:rsidRPr="0013396E">
              <w:rPr>
                <w:i/>
                <w:iCs/>
                <w:sz w:val="20"/>
                <w:vertAlign w:val="subscript"/>
              </w:rPr>
              <w:t>q, r, hr</w:t>
            </w:r>
          </w:p>
        </w:tc>
        <w:tc>
          <w:tcPr>
            <w:tcW w:w="1632" w:type="dxa"/>
            <w:tcBorders>
              <w:top w:val="single" w:sz="4" w:space="0" w:color="auto"/>
              <w:left w:val="single" w:sz="4" w:space="0" w:color="auto"/>
              <w:bottom w:val="single" w:sz="4" w:space="0" w:color="auto"/>
              <w:right w:val="single" w:sz="4" w:space="0" w:color="auto"/>
            </w:tcBorders>
            <w:hideMark/>
          </w:tcPr>
          <w:p w14:paraId="44E3B5A5" w14:textId="77777777" w:rsidR="00426931" w:rsidRPr="0013396E" w:rsidRDefault="00426931" w:rsidP="00426931">
            <w:pPr>
              <w:spacing w:after="60"/>
              <w:rPr>
                <w:iCs/>
                <w:sz w:val="20"/>
              </w:rPr>
            </w:pPr>
            <w:r w:rsidRPr="0013396E">
              <w:rPr>
                <w:iCs/>
                <w:sz w:val="20"/>
              </w:rPr>
              <w:t>MW</w:t>
            </w:r>
          </w:p>
        </w:tc>
        <w:tc>
          <w:tcPr>
            <w:tcW w:w="5697" w:type="dxa"/>
            <w:tcBorders>
              <w:top w:val="single" w:sz="4" w:space="0" w:color="auto"/>
              <w:left w:val="single" w:sz="4" w:space="0" w:color="auto"/>
              <w:bottom w:val="single" w:sz="4" w:space="0" w:color="auto"/>
              <w:right w:val="single" w:sz="4" w:space="0" w:color="auto"/>
            </w:tcBorders>
            <w:hideMark/>
          </w:tcPr>
          <w:p w14:paraId="6EBC4D36" w14:textId="77777777" w:rsidR="00426931" w:rsidRPr="0013396E" w:rsidRDefault="00426931" w:rsidP="00426931">
            <w:pPr>
              <w:spacing w:after="60"/>
              <w:rPr>
                <w:i/>
                <w:iCs/>
                <w:sz w:val="20"/>
              </w:rPr>
            </w:pPr>
            <w:r w:rsidRPr="0013396E">
              <w:rPr>
                <w:i/>
                <w:iCs/>
                <w:sz w:val="20"/>
              </w:rPr>
              <w:t xml:space="preserve">Firm Fuel Supply Service </w:t>
            </w:r>
            <w:r w:rsidRPr="0013396E">
              <w:rPr>
                <w:i/>
                <w:sz w:val="20"/>
              </w:rPr>
              <w:t>Awarded Capacity per QSE per Resource</w:t>
            </w:r>
            <w:r w:rsidRPr="0013396E">
              <w:rPr>
                <w:iCs/>
                <w:sz w:val="20"/>
              </w:rPr>
              <w:t xml:space="preserve">—The awarded FFSS capacity of the primary Generation Resource </w:t>
            </w:r>
            <w:r w:rsidRPr="0013396E">
              <w:rPr>
                <w:i/>
                <w:sz w:val="20"/>
              </w:rPr>
              <w:t>r</w:t>
            </w:r>
            <w:r w:rsidRPr="0013396E">
              <w:rPr>
                <w:iCs/>
                <w:sz w:val="20"/>
              </w:rPr>
              <w:t xml:space="preserve">, represented by QSE </w:t>
            </w:r>
            <w:r w:rsidRPr="0013396E">
              <w:rPr>
                <w:i/>
                <w:sz w:val="20"/>
              </w:rPr>
              <w:t>q</w:t>
            </w:r>
            <w:r w:rsidRPr="0013396E">
              <w:rPr>
                <w:iCs/>
                <w:sz w:val="20"/>
              </w:rPr>
              <w:t xml:space="preserve"> as specified in the FFSS award, applicable to each hour of November 15 through March 15 during the awarded FFSS obligation period.  Where for a Combined Cycle Train, the Resource </w:t>
            </w:r>
            <w:r w:rsidRPr="0013396E">
              <w:rPr>
                <w:i/>
                <w:sz w:val="20"/>
              </w:rPr>
              <w:t>r</w:t>
            </w:r>
            <w:r w:rsidRPr="0013396E">
              <w:rPr>
                <w:iCs/>
                <w:sz w:val="20"/>
              </w:rPr>
              <w:t xml:space="preserve"> is the Combined Cycle Train.</w:t>
            </w:r>
          </w:p>
        </w:tc>
      </w:tr>
      <w:tr w:rsidR="00426931" w:rsidRPr="0013396E" w14:paraId="0ADD3CD1" w14:textId="77777777" w:rsidTr="00426931">
        <w:trPr>
          <w:cantSplit/>
        </w:trPr>
        <w:tc>
          <w:tcPr>
            <w:tcW w:w="2483" w:type="dxa"/>
            <w:tcBorders>
              <w:top w:val="single" w:sz="4" w:space="0" w:color="auto"/>
              <w:left w:val="single" w:sz="4" w:space="0" w:color="auto"/>
              <w:bottom w:val="single" w:sz="4" w:space="0" w:color="auto"/>
              <w:right w:val="single" w:sz="4" w:space="0" w:color="auto"/>
            </w:tcBorders>
            <w:hideMark/>
          </w:tcPr>
          <w:p w14:paraId="79BAFF05" w14:textId="77777777" w:rsidR="00426931" w:rsidRPr="0013396E" w:rsidRDefault="00426931" w:rsidP="00426931">
            <w:pPr>
              <w:spacing w:after="60"/>
              <w:rPr>
                <w:iCs/>
                <w:sz w:val="20"/>
              </w:rPr>
            </w:pPr>
            <w:r w:rsidRPr="0013396E">
              <w:rPr>
                <w:iCs/>
                <w:sz w:val="20"/>
              </w:rPr>
              <w:lastRenderedPageBreak/>
              <w:t xml:space="preserve">FFSSARF </w:t>
            </w:r>
            <w:r w:rsidRPr="0013396E">
              <w:rPr>
                <w:i/>
                <w:iCs/>
                <w:sz w:val="20"/>
                <w:vertAlign w:val="subscript"/>
              </w:rPr>
              <w:t>q, r, h</w:t>
            </w:r>
          </w:p>
        </w:tc>
        <w:tc>
          <w:tcPr>
            <w:tcW w:w="1632" w:type="dxa"/>
            <w:tcBorders>
              <w:top w:val="single" w:sz="4" w:space="0" w:color="auto"/>
              <w:left w:val="single" w:sz="4" w:space="0" w:color="auto"/>
              <w:bottom w:val="single" w:sz="4" w:space="0" w:color="auto"/>
              <w:right w:val="single" w:sz="4" w:space="0" w:color="auto"/>
            </w:tcBorders>
            <w:hideMark/>
          </w:tcPr>
          <w:p w14:paraId="15D65EE7" w14:textId="77777777" w:rsidR="00426931" w:rsidRPr="0013396E" w:rsidRDefault="00426931" w:rsidP="00426931">
            <w:pPr>
              <w:spacing w:after="60"/>
              <w:rPr>
                <w:iCs/>
                <w:sz w:val="20"/>
              </w:rPr>
            </w:pPr>
            <w:r w:rsidRPr="0013396E">
              <w:rPr>
                <w:iCs/>
                <w:sz w:val="20"/>
              </w:rPr>
              <w:t>none</w:t>
            </w:r>
          </w:p>
        </w:tc>
        <w:tc>
          <w:tcPr>
            <w:tcW w:w="5697" w:type="dxa"/>
            <w:tcBorders>
              <w:top w:val="single" w:sz="4" w:space="0" w:color="auto"/>
              <w:left w:val="single" w:sz="4" w:space="0" w:color="auto"/>
              <w:bottom w:val="single" w:sz="4" w:space="0" w:color="auto"/>
              <w:right w:val="single" w:sz="4" w:space="0" w:color="auto"/>
            </w:tcBorders>
            <w:hideMark/>
          </w:tcPr>
          <w:p w14:paraId="5C036F9A" w14:textId="77777777" w:rsidR="00426931" w:rsidRPr="0013396E" w:rsidRDefault="00426931" w:rsidP="00426931">
            <w:pPr>
              <w:spacing w:after="60"/>
              <w:rPr>
                <w:iCs/>
                <w:sz w:val="20"/>
              </w:rPr>
            </w:pPr>
            <w:r w:rsidRPr="0013396E">
              <w:rPr>
                <w:i/>
                <w:iCs/>
                <w:sz w:val="20"/>
              </w:rPr>
              <w:t>Firm Fuel Supply Service Availability Reduction Factor per QSE per Resource by hour</w:t>
            </w:r>
            <w:r w:rsidRPr="0013396E">
              <w:rPr>
                <w:iCs/>
                <w:sz w:val="20"/>
              </w:rPr>
              <w:t xml:space="preserve">—The availability reduction factor assigned to the primary Generation Resource </w:t>
            </w:r>
            <w:r w:rsidRPr="0013396E">
              <w:rPr>
                <w:i/>
                <w:iCs/>
                <w:sz w:val="20"/>
              </w:rPr>
              <w:t>r</w:t>
            </w:r>
            <w:r w:rsidRPr="0013396E">
              <w:rPr>
                <w:iCs/>
                <w:sz w:val="20"/>
              </w:rPr>
              <w:t xml:space="preserve"> represented by QSE </w:t>
            </w:r>
            <w:r w:rsidRPr="0013396E">
              <w:rPr>
                <w:i/>
                <w:iCs/>
                <w:sz w:val="20"/>
              </w:rPr>
              <w:t>q</w:t>
            </w:r>
            <w:r w:rsidRPr="0013396E">
              <w:rPr>
                <w:iCs/>
                <w:sz w:val="20"/>
              </w:rPr>
              <w:t xml:space="preserve"> for the hour.  Where for a Combined Cycle Train, the Resource </w:t>
            </w:r>
            <w:r w:rsidRPr="0013396E">
              <w:rPr>
                <w:i/>
                <w:iCs/>
                <w:sz w:val="20"/>
              </w:rPr>
              <w:t xml:space="preserve">r </w:t>
            </w:r>
            <w:r w:rsidRPr="0013396E">
              <w:rPr>
                <w:iCs/>
                <w:sz w:val="20"/>
              </w:rPr>
              <w:t>is the Combined Cycle Train.</w:t>
            </w:r>
          </w:p>
        </w:tc>
      </w:tr>
      <w:tr w:rsidR="00426931" w:rsidRPr="0013396E" w14:paraId="7A5A7B3C" w14:textId="77777777" w:rsidTr="00426931">
        <w:trPr>
          <w:cantSplit/>
        </w:trPr>
        <w:tc>
          <w:tcPr>
            <w:tcW w:w="2483" w:type="dxa"/>
            <w:tcBorders>
              <w:top w:val="single" w:sz="4" w:space="0" w:color="auto"/>
              <w:left w:val="single" w:sz="4" w:space="0" w:color="auto"/>
              <w:bottom w:val="single" w:sz="4" w:space="0" w:color="auto"/>
              <w:right w:val="single" w:sz="4" w:space="0" w:color="auto"/>
            </w:tcBorders>
            <w:hideMark/>
          </w:tcPr>
          <w:p w14:paraId="6472D78B" w14:textId="77777777" w:rsidR="00426931" w:rsidRPr="0013396E" w:rsidRDefault="00426931" w:rsidP="00426931">
            <w:pPr>
              <w:spacing w:after="60"/>
              <w:rPr>
                <w:iCs/>
                <w:sz w:val="20"/>
              </w:rPr>
            </w:pPr>
            <w:r w:rsidRPr="0013396E">
              <w:rPr>
                <w:iCs/>
                <w:sz w:val="20"/>
              </w:rPr>
              <w:t xml:space="preserve">FFSSHREAF </w:t>
            </w:r>
            <w:r w:rsidRPr="0013396E">
              <w:rPr>
                <w:i/>
                <w:iCs/>
                <w:sz w:val="20"/>
                <w:vertAlign w:val="subscript"/>
              </w:rPr>
              <w:t>q, r, h</w:t>
            </w:r>
          </w:p>
        </w:tc>
        <w:tc>
          <w:tcPr>
            <w:tcW w:w="1632" w:type="dxa"/>
            <w:tcBorders>
              <w:top w:val="single" w:sz="4" w:space="0" w:color="auto"/>
              <w:left w:val="single" w:sz="4" w:space="0" w:color="auto"/>
              <w:bottom w:val="single" w:sz="4" w:space="0" w:color="auto"/>
              <w:right w:val="single" w:sz="4" w:space="0" w:color="auto"/>
            </w:tcBorders>
            <w:hideMark/>
          </w:tcPr>
          <w:p w14:paraId="24C3E37D" w14:textId="77777777" w:rsidR="00426931" w:rsidRPr="0013396E" w:rsidRDefault="00426931" w:rsidP="00426931">
            <w:pPr>
              <w:spacing w:after="60"/>
              <w:rPr>
                <w:iCs/>
                <w:sz w:val="20"/>
              </w:rPr>
            </w:pPr>
            <w:r w:rsidRPr="0013396E">
              <w:rPr>
                <w:iCs/>
                <w:sz w:val="20"/>
              </w:rPr>
              <w:t>none</w:t>
            </w:r>
          </w:p>
        </w:tc>
        <w:tc>
          <w:tcPr>
            <w:tcW w:w="5697" w:type="dxa"/>
            <w:tcBorders>
              <w:top w:val="single" w:sz="4" w:space="0" w:color="auto"/>
              <w:left w:val="single" w:sz="4" w:space="0" w:color="auto"/>
              <w:bottom w:val="single" w:sz="4" w:space="0" w:color="auto"/>
              <w:right w:val="single" w:sz="4" w:space="0" w:color="auto"/>
            </w:tcBorders>
            <w:hideMark/>
          </w:tcPr>
          <w:p w14:paraId="09FAECC8" w14:textId="77777777" w:rsidR="00426931" w:rsidRPr="0013396E" w:rsidRDefault="00426931" w:rsidP="00426931">
            <w:pPr>
              <w:spacing w:after="60"/>
              <w:rPr>
                <w:iCs/>
                <w:sz w:val="20"/>
              </w:rPr>
            </w:pPr>
            <w:r w:rsidRPr="0013396E">
              <w:rPr>
                <w:i/>
                <w:iCs/>
                <w:sz w:val="20"/>
              </w:rPr>
              <w:t>Firm Fuel Supply Service Hourly Rolling Equivalent Availability Factor per QSE per Resource by hour</w:t>
            </w:r>
            <w:r w:rsidRPr="0013396E">
              <w:rPr>
                <w:iCs/>
                <w:sz w:val="20"/>
              </w:rPr>
              <w:t xml:space="preserve">—The equivalent availability factor assigned to the primary Generation Resource </w:t>
            </w:r>
            <w:r w:rsidRPr="0013396E">
              <w:rPr>
                <w:i/>
                <w:iCs/>
                <w:sz w:val="20"/>
              </w:rPr>
              <w:t>r</w:t>
            </w:r>
            <w:r w:rsidRPr="0013396E">
              <w:rPr>
                <w:iCs/>
                <w:sz w:val="20"/>
              </w:rPr>
              <w:t xml:space="preserve"> represented by QSE </w:t>
            </w:r>
            <w:r w:rsidRPr="0013396E">
              <w:rPr>
                <w:i/>
                <w:iCs/>
                <w:sz w:val="20"/>
              </w:rPr>
              <w:t>q</w:t>
            </w:r>
            <w:r w:rsidRPr="0013396E">
              <w:rPr>
                <w:iCs/>
                <w:sz w:val="20"/>
              </w:rPr>
              <w:t xml:space="preserve"> over 1,452 hours, for the hour.  Where for a Combined Cycle Train, the Resource </w:t>
            </w:r>
            <w:r w:rsidRPr="0013396E">
              <w:rPr>
                <w:i/>
                <w:iCs/>
                <w:sz w:val="20"/>
              </w:rPr>
              <w:t xml:space="preserve">r </w:t>
            </w:r>
            <w:r w:rsidRPr="0013396E">
              <w:rPr>
                <w:iCs/>
                <w:sz w:val="20"/>
              </w:rPr>
              <w:t>is the Combined Cycle Train.</w:t>
            </w:r>
          </w:p>
        </w:tc>
      </w:tr>
      <w:tr w:rsidR="00426931" w:rsidRPr="0013396E" w14:paraId="31C8D150" w14:textId="77777777" w:rsidTr="00426931">
        <w:trPr>
          <w:cantSplit/>
        </w:trPr>
        <w:tc>
          <w:tcPr>
            <w:tcW w:w="2483" w:type="dxa"/>
            <w:tcBorders>
              <w:top w:val="single" w:sz="4" w:space="0" w:color="auto"/>
              <w:left w:val="single" w:sz="4" w:space="0" w:color="auto"/>
              <w:bottom w:val="single" w:sz="4" w:space="0" w:color="auto"/>
              <w:right w:val="single" w:sz="4" w:space="0" w:color="auto"/>
            </w:tcBorders>
            <w:hideMark/>
          </w:tcPr>
          <w:p w14:paraId="7C36B10B" w14:textId="77777777" w:rsidR="00426931" w:rsidRPr="0013396E" w:rsidRDefault="00426931" w:rsidP="00426931">
            <w:pPr>
              <w:spacing w:after="60"/>
              <w:rPr>
                <w:iCs/>
                <w:sz w:val="20"/>
              </w:rPr>
            </w:pPr>
            <w:r w:rsidRPr="0013396E">
              <w:rPr>
                <w:iCs/>
                <w:sz w:val="20"/>
              </w:rPr>
              <w:t xml:space="preserve">FFSSAFLAG </w:t>
            </w:r>
            <w:r w:rsidRPr="0013396E">
              <w:rPr>
                <w:i/>
                <w:iCs/>
                <w:sz w:val="20"/>
                <w:vertAlign w:val="subscript"/>
              </w:rPr>
              <w:t xml:space="preserve">q, r, </w:t>
            </w:r>
            <w:r w:rsidRPr="0013396E">
              <w:rPr>
                <w:i/>
                <w:sz w:val="20"/>
                <w:vertAlign w:val="subscript"/>
              </w:rPr>
              <w:t>hr</w:t>
            </w:r>
          </w:p>
        </w:tc>
        <w:tc>
          <w:tcPr>
            <w:tcW w:w="1632" w:type="dxa"/>
            <w:tcBorders>
              <w:top w:val="single" w:sz="4" w:space="0" w:color="auto"/>
              <w:left w:val="single" w:sz="4" w:space="0" w:color="auto"/>
              <w:bottom w:val="single" w:sz="4" w:space="0" w:color="auto"/>
              <w:right w:val="single" w:sz="4" w:space="0" w:color="auto"/>
            </w:tcBorders>
            <w:hideMark/>
          </w:tcPr>
          <w:p w14:paraId="5932E3C3" w14:textId="77777777" w:rsidR="00426931" w:rsidRPr="0013396E" w:rsidRDefault="00426931" w:rsidP="00426931">
            <w:pPr>
              <w:spacing w:after="60"/>
              <w:rPr>
                <w:iCs/>
                <w:sz w:val="20"/>
              </w:rPr>
            </w:pPr>
            <w:r w:rsidRPr="0013396E">
              <w:rPr>
                <w:iCs/>
                <w:sz w:val="20"/>
              </w:rPr>
              <w:t>none</w:t>
            </w:r>
          </w:p>
        </w:tc>
        <w:tc>
          <w:tcPr>
            <w:tcW w:w="5697" w:type="dxa"/>
            <w:tcBorders>
              <w:top w:val="single" w:sz="4" w:space="0" w:color="auto"/>
              <w:left w:val="single" w:sz="4" w:space="0" w:color="auto"/>
              <w:bottom w:val="single" w:sz="4" w:space="0" w:color="auto"/>
              <w:right w:val="single" w:sz="4" w:space="0" w:color="auto"/>
            </w:tcBorders>
            <w:hideMark/>
          </w:tcPr>
          <w:p w14:paraId="105897EB" w14:textId="77777777" w:rsidR="00426931" w:rsidRPr="0013396E" w:rsidRDefault="00426931" w:rsidP="00426931">
            <w:pPr>
              <w:spacing w:after="60"/>
              <w:rPr>
                <w:iCs/>
                <w:sz w:val="20"/>
              </w:rPr>
            </w:pPr>
            <w:r w:rsidRPr="0013396E">
              <w:rPr>
                <w:i/>
                <w:iCs/>
                <w:sz w:val="20"/>
              </w:rPr>
              <w:t>Firm Fuel Supply Service Availability Flag per QSE per Resource by hour</w:t>
            </w:r>
            <w:r w:rsidRPr="0013396E">
              <w:rPr>
                <w:iCs/>
                <w:sz w:val="20"/>
              </w:rPr>
              <w:t>—The flag of the availability assigned to the primary Generation Resource or the alternate Generation Resource</w:t>
            </w:r>
            <w:r w:rsidRPr="0013396E">
              <w:rPr>
                <w:i/>
                <w:iCs/>
                <w:sz w:val="20"/>
              </w:rPr>
              <w:t xml:space="preserve"> r</w:t>
            </w:r>
            <w:r w:rsidRPr="0013396E">
              <w:rPr>
                <w:iCs/>
                <w:sz w:val="20"/>
              </w:rPr>
              <w:t xml:space="preserve"> represented by QSE </w:t>
            </w:r>
            <w:r w:rsidRPr="0013396E">
              <w:rPr>
                <w:i/>
                <w:iCs/>
                <w:sz w:val="20"/>
              </w:rPr>
              <w:t>q</w:t>
            </w:r>
            <w:r w:rsidRPr="0013396E">
              <w:rPr>
                <w:iCs/>
                <w:sz w:val="20"/>
              </w:rPr>
              <w:t xml:space="preserve">, 1 for available and 0 for unavailable, for the hour.  Where for a Combined Cycle Train, the Resource </w:t>
            </w:r>
            <w:r w:rsidRPr="0013396E">
              <w:rPr>
                <w:i/>
                <w:iCs/>
                <w:sz w:val="20"/>
              </w:rPr>
              <w:t xml:space="preserve">r </w:t>
            </w:r>
            <w:r w:rsidRPr="0013396E">
              <w:rPr>
                <w:iCs/>
                <w:sz w:val="20"/>
              </w:rPr>
              <w:t>is a Combined Cycle Generation Resource within the Combined Cycle Train.</w:t>
            </w:r>
          </w:p>
        </w:tc>
      </w:tr>
      <w:tr w:rsidR="00426931" w:rsidRPr="0013396E" w14:paraId="0298E8F5" w14:textId="77777777" w:rsidTr="00426931">
        <w:trPr>
          <w:cantSplit/>
        </w:trPr>
        <w:tc>
          <w:tcPr>
            <w:tcW w:w="2483" w:type="dxa"/>
            <w:tcBorders>
              <w:top w:val="single" w:sz="4" w:space="0" w:color="auto"/>
              <w:left w:val="single" w:sz="4" w:space="0" w:color="auto"/>
              <w:bottom w:val="single" w:sz="4" w:space="0" w:color="auto"/>
              <w:right w:val="single" w:sz="4" w:space="0" w:color="auto"/>
            </w:tcBorders>
            <w:hideMark/>
          </w:tcPr>
          <w:p w14:paraId="0012B3B9" w14:textId="77777777" w:rsidR="00426931" w:rsidRPr="0013396E" w:rsidRDefault="00426931" w:rsidP="00426931">
            <w:pPr>
              <w:spacing w:after="60"/>
              <w:rPr>
                <w:iCs/>
                <w:sz w:val="20"/>
              </w:rPr>
            </w:pPr>
            <w:r w:rsidRPr="0013396E">
              <w:rPr>
                <w:iCs/>
                <w:sz w:val="20"/>
              </w:rPr>
              <w:t xml:space="preserve">FFSEDFLAG </w:t>
            </w:r>
            <w:r w:rsidRPr="0013396E">
              <w:rPr>
                <w:i/>
                <w:iCs/>
                <w:sz w:val="20"/>
                <w:vertAlign w:val="subscript"/>
              </w:rPr>
              <w:t xml:space="preserve">q, r, </w:t>
            </w:r>
            <w:r w:rsidRPr="0013396E">
              <w:rPr>
                <w:i/>
                <w:sz w:val="20"/>
                <w:vertAlign w:val="subscript"/>
              </w:rPr>
              <w:t>hr</w:t>
            </w:r>
          </w:p>
        </w:tc>
        <w:tc>
          <w:tcPr>
            <w:tcW w:w="1632" w:type="dxa"/>
            <w:tcBorders>
              <w:top w:val="single" w:sz="4" w:space="0" w:color="auto"/>
              <w:left w:val="single" w:sz="4" w:space="0" w:color="auto"/>
              <w:bottom w:val="single" w:sz="4" w:space="0" w:color="auto"/>
              <w:right w:val="single" w:sz="4" w:space="0" w:color="auto"/>
            </w:tcBorders>
            <w:hideMark/>
          </w:tcPr>
          <w:p w14:paraId="68856286" w14:textId="77777777" w:rsidR="00426931" w:rsidRPr="0013396E" w:rsidRDefault="00426931" w:rsidP="00426931">
            <w:pPr>
              <w:spacing w:after="60"/>
              <w:rPr>
                <w:iCs/>
                <w:sz w:val="20"/>
              </w:rPr>
            </w:pPr>
            <w:r w:rsidRPr="0013396E">
              <w:rPr>
                <w:iCs/>
                <w:sz w:val="20"/>
              </w:rPr>
              <w:t>none</w:t>
            </w:r>
          </w:p>
        </w:tc>
        <w:tc>
          <w:tcPr>
            <w:tcW w:w="5697" w:type="dxa"/>
            <w:tcBorders>
              <w:top w:val="single" w:sz="4" w:space="0" w:color="auto"/>
              <w:left w:val="single" w:sz="4" w:space="0" w:color="auto"/>
              <w:bottom w:val="single" w:sz="4" w:space="0" w:color="auto"/>
              <w:right w:val="single" w:sz="4" w:space="0" w:color="auto"/>
            </w:tcBorders>
            <w:hideMark/>
          </w:tcPr>
          <w:p w14:paraId="3C7D8D0D" w14:textId="26A08F5F" w:rsidR="00A36EAA" w:rsidRPr="0013396E" w:rsidRDefault="00426931" w:rsidP="00426931">
            <w:pPr>
              <w:spacing w:after="60"/>
              <w:rPr>
                <w:i/>
                <w:iCs/>
                <w:sz w:val="20"/>
              </w:rPr>
            </w:pPr>
            <w:r w:rsidRPr="0013396E">
              <w:rPr>
                <w:i/>
                <w:iCs/>
                <w:sz w:val="20"/>
              </w:rPr>
              <w:t>Firm Fuel Supply Event Deployment Flag per QSE per Resource by hour</w:t>
            </w:r>
            <w:r w:rsidRPr="0013396E">
              <w:rPr>
                <w:iCs/>
                <w:sz w:val="20"/>
              </w:rPr>
              <w:t>—</w:t>
            </w:r>
            <w:r w:rsidR="005C7988" w:rsidRPr="0013396E">
              <w:rPr>
                <w:iCs/>
                <w:sz w:val="20"/>
              </w:rPr>
              <w:t xml:space="preserve">The flag assigned to the primary Generation Resource </w:t>
            </w:r>
            <w:r w:rsidR="005C7988" w:rsidRPr="0013396E">
              <w:rPr>
                <w:i/>
                <w:sz w:val="20"/>
              </w:rPr>
              <w:t>r</w:t>
            </w:r>
            <w:r w:rsidR="005C7988" w:rsidRPr="0013396E">
              <w:rPr>
                <w:iCs/>
                <w:sz w:val="20"/>
              </w:rPr>
              <w:t xml:space="preserve">, represented by QSE </w:t>
            </w:r>
            <w:r w:rsidR="005C7988" w:rsidRPr="0013396E">
              <w:rPr>
                <w:i/>
                <w:sz w:val="20"/>
              </w:rPr>
              <w:t>q</w:t>
            </w:r>
            <w:r w:rsidR="005C7988" w:rsidRPr="0013396E">
              <w:rPr>
                <w:iCs/>
                <w:sz w:val="20"/>
              </w:rPr>
              <w:t xml:space="preserve">, that is used to determine if the FFSSR is considered available, as described in paragraph (2)(c) through (2)(e) above, 1 for available and 0 for unavailable, for the hour.  Where for a Combined Cycle Train, the Resource </w:t>
            </w:r>
            <w:r w:rsidR="005C7988" w:rsidRPr="0013396E">
              <w:rPr>
                <w:i/>
                <w:sz w:val="20"/>
              </w:rPr>
              <w:t>r</w:t>
            </w:r>
            <w:r w:rsidR="005C7988" w:rsidRPr="0013396E">
              <w:rPr>
                <w:iCs/>
                <w:sz w:val="20"/>
              </w:rPr>
              <w:t xml:space="preserve"> is the Combined Cycle Train.</w:t>
            </w:r>
          </w:p>
          <w:p w14:paraId="60218FDD" w14:textId="7CC569EC" w:rsidR="00426931" w:rsidRPr="0013396E" w:rsidRDefault="00426931" w:rsidP="00426931">
            <w:pPr>
              <w:spacing w:after="60"/>
              <w:rPr>
                <w:i/>
                <w:iCs/>
                <w:sz w:val="20"/>
              </w:rPr>
            </w:pPr>
          </w:p>
        </w:tc>
      </w:tr>
      <w:tr w:rsidR="00426931" w:rsidRPr="0013396E" w14:paraId="7D00366A" w14:textId="77777777" w:rsidTr="00426931">
        <w:trPr>
          <w:cantSplit/>
        </w:trPr>
        <w:tc>
          <w:tcPr>
            <w:tcW w:w="2483" w:type="dxa"/>
            <w:tcBorders>
              <w:top w:val="single" w:sz="4" w:space="0" w:color="auto"/>
              <w:left w:val="single" w:sz="4" w:space="0" w:color="auto"/>
              <w:bottom w:val="single" w:sz="4" w:space="0" w:color="auto"/>
              <w:right w:val="single" w:sz="4" w:space="0" w:color="auto"/>
            </w:tcBorders>
            <w:hideMark/>
          </w:tcPr>
          <w:p w14:paraId="3F2DA00C" w14:textId="77777777" w:rsidR="00426931" w:rsidRPr="0013396E" w:rsidRDefault="00426931" w:rsidP="00426931">
            <w:pPr>
              <w:spacing w:after="60"/>
              <w:rPr>
                <w:iCs/>
                <w:sz w:val="20"/>
              </w:rPr>
            </w:pPr>
            <w:r w:rsidRPr="0013396E">
              <w:rPr>
                <w:iCs/>
                <w:sz w:val="20"/>
                <w:lang w:val="pt-BR"/>
              </w:rPr>
              <w:t xml:space="preserve">AVCAP </w:t>
            </w:r>
            <w:r w:rsidRPr="0013396E">
              <w:rPr>
                <w:i/>
                <w:iCs/>
                <w:sz w:val="20"/>
                <w:vertAlign w:val="subscript"/>
                <w:lang w:val="pt-BR"/>
              </w:rPr>
              <w:t>q, r, hr</w:t>
            </w:r>
          </w:p>
        </w:tc>
        <w:tc>
          <w:tcPr>
            <w:tcW w:w="1632" w:type="dxa"/>
            <w:tcBorders>
              <w:top w:val="single" w:sz="4" w:space="0" w:color="auto"/>
              <w:left w:val="single" w:sz="4" w:space="0" w:color="auto"/>
              <w:bottom w:val="single" w:sz="4" w:space="0" w:color="auto"/>
              <w:right w:val="single" w:sz="4" w:space="0" w:color="auto"/>
            </w:tcBorders>
            <w:hideMark/>
          </w:tcPr>
          <w:p w14:paraId="5461CA2C" w14:textId="77777777" w:rsidR="00426931" w:rsidRPr="0013396E" w:rsidRDefault="00426931" w:rsidP="00426931">
            <w:pPr>
              <w:spacing w:after="60"/>
              <w:rPr>
                <w:iCs/>
                <w:sz w:val="20"/>
              </w:rPr>
            </w:pPr>
            <w:r w:rsidRPr="0013396E">
              <w:rPr>
                <w:iCs/>
                <w:sz w:val="20"/>
              </w:rPr>
              <w:t>MW</w:t>
            </w:r>
          </w:p>
        </w:tc>
        <w:tc>
          <w:tcPr>
            <w:tcW w:w="5697" w:type="dxa"/>
            <w:tcBorders>
              <w:top w:val="single" w:sz="4" w:space="0" w:color="auto"/>
              <w:left w:val="single" w:sz="4" w:space="0" w:color="auto"/>
              <w:bottom w:val="single" w:sz="4" w:space="0" w:color="auto"/>
              <w:right w:val="single" w:sz="4" w:space="0" w:color="auto"/>
            </w:tcBorders>
            <w:hideMark/>
          </w:tcPr>
          <w:p w14:paraId="4695D459" w14:textId="77777777" w:rsidR="00426931" w:rsidRPr="0013396E" w:rsidRDefault="00426931" w:rsidP="00426931">
            <w:pPr>
              <w:spacing w:after="60"/>
              <w:rPr>
                <w:i/>
                <w:iCs/>
                <w:sz w:val="20"/>
              </w:rPr>
            </w:pPr>
            <w:r w:rsidRPr="0013396E">
              <w:rPr>
                <w:i/>
                <w:iCs/>
                <w:sz w:val="20"/>
              </w:rPr>
              <w:t>Available Capacity per Resource by hour</w:t>
            </w:r>
            <w:r w:rsidRPr="0013396E">
              <w:rPr>
                <w:iCs/>
                <w:sz w:val="20"/>
              </w:rPr>
              <w:t xml:space="preserve">—The available capacity assigned to the primary Generation Resource </w:t>
            </w:r>
            <w:r w:rsidRPr="0013396E">
              <w:rPr>
                <w:i/>
                <w:sz w:val="20"/>
              </w:rPr>
              <w:t xml:space="preserve">r </w:t>
            </w:r>
            <w:r w:rsidRPr="0013396E">
              <w:rPr>
                <w:iCs/>
                <w:sz w:val="20"/>
              </w:rPr>
              <w:t xml:space="preserve">represented by QSE </w:t>
            </w:r>
            <w:r w:rsidRPr="0013396E">
              <w:rPr>
                <w:i/>
                <w:sz w:val="20"/>
              </w:rPr>
              <w:t>q</w:t>
            </w:r>
            <w:r w:rsidRPr="0013396E">
              <w:rPr>
                <w:iCs/>
                <w:sz w:val="20"/>
              </w:rPr>
              <w:t xml:space="preserve"> as calculated for the hour. Where for a Combined Cycle Train, the Resource </w:t>
            </w:r>
            <w:r w:rsidRPr="0013396E">
              <w:rPr>
                <w:i/>
                <w:iCs/>
                <w:sz w:val="20"/>
              </w:rPr>
              <w:t xml:space="preserve">r </w:t>
            </w:r>
            <w:r w:rsidRPr="0013396E">
              <w:rPr>
                <w:iCs/>
                <w:sz w:val="20"/>
              </w:rPr>
              <w:t>is the Combined Cycle Train.</w:t>
            </w:r>
          </w:p>
        </w:tc>
      </w:tr>
      <w:tr w:rsidR="00426931" w:rsidRPr="0013396E" w14:paraId="44D5D7B1" w14:textId="77777777" w:rsidTr="00426931">
        <w:trPr>
          <w:cantSplit/>
        </w:trPr>
        <w:tc>
          <w:tcPr>
            <w:tcW w:w="2483" w:type="dxa"/>
            <w:tcBorders>
              <w:top w:val="single" w:sz="4" w:space="0" w:color="auto"/>
              <w:left w:val="single" w:sz="4" w:space="0" w:color="auto"/>
              <w:bottom w:val="single" w:sz="4" w:space="0" w:color="auto"/>
              <w:right w:val="single" w:sz="4" w:space="0" w:color="auto"/>
            </w:tcBorders>
            <w:hideMark/>
          </w:tcPr>
          <w:p w14:paraId="0C3489C8" w14:textId="77777777" w:rsidR="00426931" w:rsidRPr="0013396E" w:rsidRDefault="00426931" w:rsidP="00426931">
            <w:pPr>
              <w:spacing w:after="60"/>
              <w:rPr>
                <w:i/>
                <w:iCs/>
                <w:sz w:val="20"/>
              </w:rPr>
            </w:pPr>
            <w:r w:rsidRPr="0013396E">
              <w:rPr>
                <w:i/>
                <w:iCs/>
                <w:sz w:val="20"/>
              </w:rPr>
              <w:t>q</w:t>
            </w:r>
          </w:p>
        </w:tc>
        <w:tc>
          <w:tcPr>
            <w:tcW w:w="1632" w:type="dxa"/>
            <w:tcBorders>
              <w:top w:val="single" w:sz="4" w:space="0" w:color="auto"/>
              <w:left w:val="single" w:sz="4" w:space="0" w:color="auto"/>
              <w:bottom w:val="single" w:sz="4" w:space="0" w:color="auto"/>
              <w:right w:val="single" w:sz="4" w:space="0" w:color="auto"/>
            </w:tcBorders>
            <w:hideMark/>
          </w:tcPr>
          <w:p w14:paraId="56966824" w14:textId="77777777" w:rsidR="00426931" w:rsidRPr="0013396E" w:rsidRDefault="00426931" w:rsidP="00426931">
            <w:pPr>
              <w:spacing w:after="60"/>
              <w:rPr>
                <w:iCs/>
                <w:sz w:val="20"/>
              </w:rPr>
            </w:pPr>
            <w:r w:rsidRPr="0013396E">
              <w:rPr>
                <w:iCs/>
                <w:sz w:val="20"/>
              </w:rPr>
              <w:t>none</w:t>
            </w:r>
          </w:p>
        </w:tc>
        <w:tc>
          <w:tcPr>
            <w:tcW w:w="5697" w:type="dxa"/>
            <w:tcBorders>
              <w:top w:val="single" w:sz="4" w:space="0" w:color="auto"/>
              <w:left w:val="single" w:sz="4" w:space="0" w:color="auto"/>
              <w:bottom w:val="single" w:sz="4" w:space="0" w:color="auto"/>
              <w:right w:val="single" w:sz="4" w:space="0" w:color="auto"/>
            </w:tcBorders>
            <w:hideMark/>
          </w:tcPr>
          <w:p w14:paraId="6326068A" w14:textId="77777777" w:rsidR="00426931" w:rsidRPr="0013396E" w:rsidRDefault="00426931" w:rsidP="00426931">
            <w:pPr>
              <w:spacing w:after="60"/>
              <w:rPr>
                <w:iCs/>
                <w:sz w:val="20"/>
              </w:rPr>
            </w:pPr>
            <w:r w:rsidRPr="0013396E">
              <w:rPr>
                <w:iCs/>
                <w:sz w:val="20"/>
              </w:rPr>
              <w:t>A QSE.</w:t>
            </w:r>
          </w:p>
        </w:tc>
      </w:tr>
      <w:tr w:rsidR="00426931" w:rsidRPr="0013396E" w14:paraId="095FA209" w14:textId="77777777" w:rsidTr="00426931">
        <w:trPr>
          <w:cantSplit/>
        </w:trPr>
        <w:tc>
          <w:tcPr>
            <w:tcW w:w="2483" w:type="dxa"/>
            <w:tcBorders>
              <w:top w:val="single" w:sz="4" w:space="0" w:color="auto"/>
              <w:left w:val="single" w:sz="4" w:space="0" w:color="auto"/>
              <w:bottom w:val="single" w:sz="4" w:space="0" w:color="auto"/>
              <w:right w:val="single" w:sz="4" w:space="0" w:color="auto"/>
            </w:tcBorders>
            <w:hideMark/>
          </w:tcPr>
          <w:p w14:paraId="5AC068EE" w14:textId="77777777" w:rsidR="00426931" w:rsidRPr="0013396E" w:rsidRDefault="00426931" w:rsidP="00426931">
            <w:pPr>
              <w:spacing w:after="60"/>
              <w:rPr>
                <w:i/>
                <w:iCs/>
                <w:sz w:val="20"/>
              </w:rPr>
            </w:pPr>
            <w:r w:rsidRPr="0013396E">
              <w:rPr>
                <w:i/>
                <w:iCs/>
                <w:sz w:val="20"/>
              </w:rPr>
              <w:t>r</w:t>
            </w:r>
          </w:p>
        </w:tc>
        <w:tc>
          <w:tcPr>
            <w:tcW w:w="1632" w:type="dxa"/>
            <w:tcBorders>
              <w:top w:val="single" w:sz="4" w:space="0" w:color="auto"/>
              <w:left w:val="single" w:sz="4" w:space="0" w:color="auto"/>
              <w:bottom w:val="single" w:sz="4" w:space="0" w:color="auto"/>
              <w:right w:val="single" w:sz="4" w:space="0" w:color="auto"/>
            </w:tcBorders>
            <w:hideMark/>
          </w:tcPr>
          <w:p w14:paraId="2286652E" w14:textId="77777777" w:rsidR="00426931" w:rsidRPr="0013396E" w:rsidRDefault="00426931" w:rsidP="00426931">
            <w:pPr>
              <w:spacing w:after="60"/>
              <w:rPr>
                <w:iCs/>
                <w:sz w:val="20"/>
              </w:rPr>
            </w:pPr>
            <w:r w:rsidRPr="0013396E">
              <w:rPr>
                <w:iCs/>
                <w:sz w:val="20"/>
              </w:rPr>
              <w:t>none</w:t>
            </w:r>
          </w:p>
        </w:tc>
        <w:tc>
          <w:tcPr>
            <w:tcW w:w="5697" w:type="dxa"/>
            <w:tcBorders>
              <w:top w:val="single" w:sz="4" w:space="0" w:color="auto"/>
              <w:left w:val="single" w:sz="4" w:space="0" w:color="auto"/>
              <w:bottom w:val="single" w:sz="4" w:space="0" w:color="auto"/>
              <w:right w:val="single" w:sz="4" w:space="0" w:color="auto"/>
            </w:tcBorders>
            <w:hideMark/>
          </w:tcPr>
          <w:p w14:paraId="18E44CB6" w14:textId="77777777" w:rsidR="00426931" w:rsidRPr="0013396E" w:rsidRDefault="00426931" w:rsidP="00426931">
            <w:pPr>
              <w:spacing w:after="60"/>
              <w:rPr>
                <w:iCs/>
                <w:sz w:val="20"/>
              </w:rPr>
            </w:pPr>
            <w:r w:rsidRPr="0013396E">
              <w:rPr>
                <w:iCs/>
                <w:sz w:val="20"/>
              </w:rPr>
              <w:t>A primary or alternate Generation Resource approved by ERCOT to provide FFSS.</w:t>
            </w:r>
          </w:p>
        </w:tc>
      </w:tr>
      <w:tr w:rsidR="00426931" w:rsidRPr="0013396E" w14:paraId="47D93F0B" w14:textId="77777777" w:rsidTr="00426931">
        <w:trPr>
          <w:cantSplit/>
        </w:trPr>
        <w:tc>
          <w:tcPr>
            <w:tcW w:w="2483" w:type="dxa"/>
            <w:tcBorders>
              <w:top w:val="single" w:sz="4" w:space="0" w:color="auto"/>
              <w:left w:val="single" w:sz="4" w:space="0" w:color="auto"/>
              <w:bottom w:val="single" w:sz="4" w:space="0" w:color="auto"/>
              <w:right w:val="single" w:sz="4" w:space="0" w:color="auto"/>
            </w:tcBorders>
            <w:hideMark/>
          </w:tcPr>
          <w:p w14:paraId="34D7E46C" w14:textId="77777777" w:rsidR="00426931" w:rsidRPr="0013396E" w:rsidRDefault="00426931" w:rsidP="00426931">
            <w:pPr>
              <w:spacing w:after="60"/>
              <w:rPr>
                <w:i/>
                <w:iCs/>
                <w:sz w:val="20"/>
              </w:rPr>
            </w:pPr>
            <w:r w:rsidRPr="0013396E">
              <w:rPr>
                <w:i/>
                <w:iCs/>
                <w:sz w:val="20"/>
              </w:rPr>
              <w:t>hr</w:t>
            </w:r>
          </w:p>
        </w:tc>
        <w:tc>
          <w:tcPr>
            <w:tcW w:w="1632" w:type="dxa"/>
            <w:tcBorders>
              <w:top w:val="single" w:sz="4" w:space="0" w:color="auto"/>
              <w:left w:val="single" w:sz="4" w:space="0" w:color="auto"/>
              <w:bottom w:val="single" w:sz="4" w:space="0" w:color="auto"/>
              <w:right w:val="single" w:sz="4" w:space="0" w:color="auto"/>
            </w:tcBorders>
            <w:hideMark/>
          </w:tcPr>
          <w:p w14:paraId="5962E311" w14:textId="77777777" w:rsidR="00426931" w:rsidRPr="0013396E" w:rsidRDefault="00426931" w:rsidP="00426931">
            <w:pPr>
              <w:spacing w:after="60"/>
              <w:rPr>
                <w:iCs/>
                <w:sz w:val="20"/>
              </w:rPr>
            </w:pPr>
            <w:r w:rsidRPr="0013396E">
              <w:rPr>
                <w:iCs/>
                <w:sz w:val="20"/>
              </w:rPr>
              <w:t>none</w:t>
            </w:r>
          </w:p>
        </w:tc>
        <w:tc>
          <w:tcPr>
            <w:tcW w:w="5697" w:type="dxa"/>
            <w:tcBorders>
              <w:top w:val="single" w:sz="4" w:space="0" w:color="auto"/>
              <w:left w:val="single" w:sz="4" w:space="0" w:color="auto"/>
              <w:bottom w:val="single" w:sz="4" w:space="0" w:color="auto"/>
              <w:right w:val="single" w:sz="4" w:space="0" w:color="auto"/>
            </w:tcBorders>
            <w:hideMark/>
          </w:tcPr>
          <w:p w14:paraId="41ADE93A" w14:textId="77777777" w:rsidR="00426931" w:rsidRPr="0013396E" w:rsidRDefault="00426931" w:rsidP="00426931">
            <w:pPr>
              <w:spacing w:after="60"/>
              <w:rPr>
                <w:iCs/>
                <w:sz w:val="20"/>
              </w:rPr>
            </w:pPr>
            <w:r w:rsidRPr="0013396E">
              <w:rPr>
                <w:iCs/>
                <w:sz w:val="20"/>
              </w:rPr>
              <w:t>The index of a given hour and the previous 1,451 hours counted only during each hour of November 15 through March 15 during the awarded FFSS obligation period.</w:t>
            </w:r>
          </w:p>
        </w:tc>
      </w:tr>
      <w:tr w:rsidR="00426931" w:rsidRPr="0013396E" w14:paraId="2F77FB54" w14:textId="77777777" w:rsidTr="00426931">
        <w:trPr>
          <w:cantSplit/>
        </w:trPr>
        <w:tc>
          <w:tcPr>
            <w:tcW w:w="2483" w:type="dxa"/>
            <w:tcBorders>
              <w:top w:val="single" w:sz="4" w:space="0" w:color="auto"/>
              <w:left w:val="single" w:sz="4" w:space="0" w:color="auto"/>
              <w:bottom w:val="single" w:sz="4" w:space="0" w:color="auto"/>
              <w:right w:val="single" w:sz="4" w:space="0" w:color="auto"/>
            </w:tcBorders>
            <w:hideMark/>
          </w:tcPr>
          <w:p w14:paraId="74547531" w14:textId="77777777" w:rsidR="00426931" w:rsidRPr="0013396E" w:rsidRDefault="00426931" w:rsidP="00426931">
            <w:pPr>
              <w:spacing w:after="60"/>
              <w:rPr>
                <w:i/>
                <w:iCs/>
                <w:sz w:val="20"/>
              </w:rPr>
            </w:pPr>
            <w:r w:rsidRPr="0013396E">
              <w:rPr>
                <w:i/>
                <w:iCs/>
                <w:sz w:val="20"/>
              </w:rPr>
              <w:t>h</w:t>
            </w:r>
          </w:p>
        </w:tc>
        <w:tc>
          <w:tcPr>
            <w:tcW w:w="1632" w:type="dxa"/>
            <w:tcBorders>
              <w:top w:val="single" w:sz="4" w:space="0" w:color="auto"/>
              <w:left w:val="single" w:sz="4" w:space="0" w:color="auto"/>
              <w:bottom w:val="single" w:sz="4" w:space="0" w:color="auto"/>
              <w:right w:val="single" w:sz="4" w:space="0" w:color="auto"/>
            </w:tcBorders>
            <w:hideMark/>
          </w:tcPr>
          <w:p w14:paraId="6720BDBA" w14:textId="77777777" w:rsidR="00426931" w:rsidRPr="0013396E" w:rsidRDefault="00426931" w:rsidP="00426931">
            <w:pPr>
              <w:spacing w:after="60"/>
              <w:rPr>
                <w:iCs/>
                <w:sz w:val="20"/>
              </w:rPr>
            </w:pPr>
            <w:r w:rsidRPr="0013396E">
              <w:rPr>
                <w:iCs/>
                <w:sz w:val="20"/>
              </w:rPr>
              <w:t>none</w:t>
            </w:r>
          </w:p>
        </w:tc>
        <w:tc>
          <w:tcPr>
            <w:tcW w:w="5697" w:type="dxa"/>
            <w:tcBorders>
              <w:top w:val="single" w:sz="4" w:space="0" w:color="auto"/>
              <w:left w:val="single" w:sz="4" w:space="0" w:color="auto"/>
              <w:bottom w:val="single" w:sz="4" w:space="0" w:color="auto"/>
              <w:right w:val="single" w:sz="4" w:space="0" w:color="auto"/>
            </w:tcBorders>
            <w:hideMark/>
          </w:tcPr>
          <w:p w14:paraId="6E1B7C2F" w14:textId="77777777" w:rsidR="00426931" w:rsidRPr="0013396E" w:rsidRDefault="00426931" w:rsidP="00426931">
            <w:pPr>
              <w:spacing w:after="60"/>
              <w:rPr>
                <w:iCs/>
                <w:sz w:val="20"/>
              </w:rPr>
            </w:pPr>
            <w:r w:rsidRPr="0013396E">
              <w:rPr>
                <w:iCs/>
                <w:sz w:val="20"/>
              </w:rPr>
              <w:t>The Operating Hour.</w:t>
            </w:r>
          </w:p>
        </w:tc>
      </w:tr>
      <w:tr w:rsidR="00426931" w:rsidRPr="0013396E" w14:paraId="455BB46F" w14:textId="77777777" w:rsidTr="00426931">
        <w:trPr>
          <w:cantSplit/>
        </w:trPr>
        <w:tc>
          <w:tcPr>
            <w:tcW w:w="2483" w:type="dxa"/>
            <w:tcBorders>
              <w:top w:val="single" w:sz="4" w:space="0" w:color="auto"/>
              <w:left w:val="single" w:sz="4" w:space="0" w:color="auto"/>
              <w:bottom w:val="single" w:sz="4" w:space="0" w:color="auto"/>
              <w:right w:val="single" w:sz="4" w:space="0" w:color="auto"/>
            </w:tcBorders>
            <w:hideMark/>
          </w:tcPr>
          <w:p w14:paraId="28F1A0DB" w14:textId="77777777" w:rsidR="00426931" w:rsidRPr="0013396E" w:rsidRDefault="00426931" w:rsidP="00426931">
            <w:pPr>
              <w:spacing w:after="60"/>
              <w:rPr>
                <w:i/>
                <w:iCs/>
                <w:sz w:val="20"/>
              </w:rPr>
            </w:pPr>
            <w:r w:rsidRPr="0013396E">
              <w:rPr>
                <w:i/>
                <w:iCs/>
                <w:sz w:val="20"/>
              </w:rPr>
              <w:t>train</w:t>
            </w:r>
          </w:p>
        </w:tc>
        <w:tc>
          <w:tcPr>
            <w:tcW w:w="1632" w:type="dxa"/>
            <w:tcBorders>
              <w:top w:val="single" w:sz="4" w:space="0" w:color="auto"/>
              <w:left w:val="single" w:sz="4" w:space="0" w:color="auto"/>
              <w:bottom w:val="single" w:sz="4" w:space="0" w:color="auto"/>
              <w:right w:val="single" w:sz="4" w:space="0" w:color="auto"/>
            </w:tcBorders>
            <w:hideMark/>
          </w:tcPr>
          <w:p w14:paraId="58B4B525" w14:textId="77777777" w:rsidR="00426931" w:rsidRPr="0013396E" w:rsidRDefault="00426931" w:rsidP="00426931">
            <w:pPr>
              <w:spacing w:after="60"/>
              <w:rPr>
                <w:iCs/>
                <w:sz w:val="20"/>
              </w:rPr>
            </w:pPr>
            <w:r w:rsidRPr="0013396E">
              <w:rPr>
                <w:iCs/>
                <w:sz w:val="20"/>
              </w:rPr>
              <w:t xml:space="preserve">none </w:t>
            </w:r>
          </w:p>
        </w:tc>
        <w:tc>
          <w:tcPr>
            <w:tcW w:w="5697" w:type="dxa"/>
            <w:tcBorders>
              <w:top w:val="single" w:sz="4" w:space="0" w:color="auto"/>
              <w:left w:val="single" w:sz="4" w:space="0" w:color="auto"/>
              <w:bottom w:val="single" w:sz="4" w:space="0" w:color="auto"/>
              <w:right w:val="single" w:sz="4" w:space="0" w:color="auto"/>
            </w:tcBorders>
            <w:hideMark/>
          </w:tcPr>
          <w:p w14:paraId="27962023" w14:textId="77777777" w:rsidR="00426931" w:rsidRPr="0013396E" w:rsidRDefault="00426931" w:rsidP="00426931">
            <w:pPr>
              <w:spacing w:after="60"/>
              <w:rPr>
                <w:iCs/>
                <w:sz w:val="20"/>
              </w:rPr>
            </w:pPr>
            <w:r w:rsidRPr="0013396E">
              <w:rPr>
                <w:iCs/>
                <w:sz w:val="20"/>
              </w:rPr>
              <w:t>A Combined Cycle Train or an alternate Combined Cycle Train approved by ERCOT.</w:t>
            </w:r>
          </w:p>
        </w:tc>
      </w:tr>
      <w:tr w:rsidR="00426931" w:rsidRPr="0013396E" w14:paraId="63A8D755" w14:textId="77777777" w:rsidTr="00426931">
        <w:trPr>
          <w:cantSplit/>
        </w:trPr>
        <w:tc>
          <w:tcPr>
            <w:tcW w:w="2483" w:type="dxa"/>
            <w:tcBorders>
              <w:top w:val="single" w:sz="4" w:space="0" w:color="auto"/>
              <w:left w:val="single" w:sz="4" w:space="0" w:color="auto"/>
              <w:bottom w:val="single" w:sz="4" w:space="0" w:color="auto"/>
              <w:right w:val="single" w:sz="4" w:space="0" w:color="auto"/>
            </w:tcBorders>
            <w:hideMark/>
          </w:tcPr>
          <w:p w14:paraId="6A25D85E" w14:textId="77777777" w:rsidR="00426931" w:rsidRPr="0013396E" w:rsidRDefault="00426931" w:rsidP="00426931">
            <w:pPr>
              <w:spacing w:after="60"/>
              <w:rPr>
                <w:i/>
                <w:sz w:val="20"/>
              </w:rPr>
            </w:pPr>
            <w:r w:rsidRPr="0013396E">
              <w:rPr>
                <w:i/>
                <w:sz w:val="20"/>
              </w:rPr>
              <w:t>ccgr</w:t>
            </w:r>
          </w:p>
        </w:tc>
        <w:tc>
          <w:tcPr>
            <w:tcW w:w="1632" w:type="dxa"/>
            <w:tcBorders>
              <w:top w:val="single" w:sz="4" w:space="0" w:color="auto"/>
              <w:left w:val="single" w:sz="4" w:space="0" w:color="auto"/>
              <w:bottom w:val="single" w:sz="4" w:space="0" w:color="auto"/>
              <w:right w:val="single" w:sz="4" w:space="0" w:color="auto"/>
            </w:tcBorders>
            <w:hideMark/>
          </w:tcPr>
          <w:p w14:paraId="48EA8A61" w14:textId="77777777" w:rsidR="00426931" w:rsidRPr="0013396E" w:rsidRDefault="00426931" w:rsidP="00426931">
            <w:pPr>
              <w:spacing w:after="60"/>
              <w:rPr>
                <w:iCs/>
                <w:sz w:val="20"/>
              </w:rPr>
            </w:pPr>
            <w:r w:rsidRPr="0013396E">
              <w:rPr>
                <w:iCs/>
                <w:sz w:val="20"/>
              </w:rPr>
              <w:t>none</w:t>
            </w:r>
          </w:p>
        </w:tc>
        <w:tc>
          <w:tcPr>
            <w:tcW w:w="5697" w:type="dxa"/>
            <w:tcBorders>
              <w:top w:val="single" w:sz="4" w:space="0" w:color="auto"/>
              <w:left w:val="single" w:sz="4" w:space="0" w:color="auto"/>
              <w:bottom w:val="single" w:sz="4" w:space="0" w:color="auto"/>
              <w:right w:val="single" w:sz="4" w:space="0" w:color="auto"/>
            </w:tcBorders>
            <w:hideMark/>
          </w:tcPr>
          <w:p w14:paraId="68CB8B38" w14:textId="77777777" w:rsidR="00426931" w:rsidRPr="0013396E" w:rsidRDefault="00426931" w:rsidP="00426931">
            <w:pPr>
              <w:spacing w:after="60"/>
              <w:rPr>
                <w:iCs/>
                <w:sz w:val="20"/>
              </w:rPr>
            </w:pPr>
            <w:r w:rsidRPr="0013396E">
              <w:rPr>
                <w:iCs/>
                <w:sz w:val="20"/>
              </w:rPr>
              <w:t>A Combined Cycle Generation Resource within the Combined Cycle Train.</w:t>
            </w:r>
          </w:p>
        </w:tc>
      </w:tr>
    </w:tbl>
    <w:p w14:paraId="5F59B89C" w14:textId="77777777" w:rsidR="00426931" w:rsidRPr="0013396E" w:rsidRDefault="00426931" w:rsidP="00426931">
      <w:pPr>
        <w:spacing w:before="240" w:after="240"/>
        <w:ind w:left="720" w:hanging="720"/>
      </w:pPr>
      <w:r w:rsidRPr="0013396E">
        <w:t>(5)</w:t>
      </w:r>
      <w:r w:rsidRPr="0013396E">
        <w:tab/>
        <w:t>The total of the payments to each QSE for all FFSSRs represented by this QSE for a given hour is calculated as follows:</w:t>
      </w:r>
    </w:p>
    <w:p w14:paraId="100C259F" w14:textId="77777777" w:rsidR="00426931" w:rsidRPr="0013396E" w:rsidRDefault="00426931" w:rsidP="00426931">
      <w:pPr>
        <w:tabs>
          <w:tab w:val="left" w:pos="2250"/>
          <w:tab w:val="left" w:pos="3150"/>
          <w:tab w:val="left" w:pos="3960"/>
        </w:tabs>
        <w:spacing w:after="240"/>
        <w:ind w:left="3960" w:hanging="3240"/>
        <w:rPr>
          <w:b/>
          <w:bCs/>
          <w:szCs w:val="24"/>
        </w:rPr>
      </w:pPr>
      <w:r w:rsidRPr="0013396E">
        <w:rPr>
          <w:b/>
          <w:bCs/>
          <w:szCs w:val="24"/>
        </w:rPr>
        <w:t xml:space="preserve">FFSSAMTQSETOT </w:t>
      </w:r>
      <w:r w:rsidRPr="0013396E">
        <w:rPr>
          <w:b/>
          <w:bCs/>
          <w:i/>
          <w:szCs w:val="24"/>
          <w:vertAlign w:val="subscript"/>
        </w:rPr>
        <w:t>q</w:t>
      </w:r>
      <w:r w:rsidRPr="0013396E">
        <w:rPr>
          <w:b/>
          <w:bCs/>
          <w:szCs w:val="24"/>
        </w:rPr>
        <w:tab/>
        <w:t>=</w:t>
      </w:r>
      <w:r w:rsidRPr="0013396E">
        <w:rPr>
          <w:b/>
          <w:bCs/>
          <w:szCs w:val="24"/>
        </w:rPr>
        <w:tab/>
      </w:r>
      <w:r w:rsidRPr="0013396E">
        <w:rPr>
          <w:b/>
          <w:bCs/>
          <w:position w:val="-18"/>
          <w:szCs w:val="24"/>
        </w:rPr>
        <w:object w:dxaOrig="240" w:dyaOrig="420" w14:anchorId="4584E345">
          <v:shape id="_x0000_i1254" type="#_x0000_t75" style="width:12pt;height:24pt" o:ole="">
            <v:imagedata r:id="rId199" o:title=""/>
          </v:shape>
          <o:OLEObject Type="Embed" ProgID="Equation.3" ShapeID="_x0000_i1254" DrawAspect="Content" ObjectID="_1836311531" r:id="rId328"/>
        </w:object>
      </w:r>
      <w:r w:rsidRPr="0013396E">
        <w:rPr>
          <w:b/>
          <w:bCs/>
          <w:szCs w:val="24"/>
        </w:rPr>
        <w:t xml:space="preserve">FFSSAMT </w:t>
      </w:r>
      <w:r w:rsidRPr="0013396E">
        <w:rPr>
          <w:b/>
          <w:bCs/>
          <w:i/>
          <w:szCs w:val="24"/>
          <w:vertAlign w:val="subscript"/>
        </w:rPr>
        <w:t>q, r</w:t>
      </w:r>
    </w:p>
    <w:p w14:paraId="3D0BFC49" w14:textId="77777777" w:rsidR="00426931" w:rsidRPr="0013396E" w:rsidRDefault="00426931" w:rsidP="00426931">
      <w:r w:rsidRPr="0013396E">
        <w:t>The above variables are defined as follows:</w:t>
      </w:r>
    </w:p>
    <w:tbl>
      <w:tblPr>
        <w:tblW w:w="9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605"/>
        <w:gridCol w:w="7140"/>
      </w:tblGrid>
      <w:tr w:rsidR="00426931" w:rsidRPr="0013396E" w14:paraId="0C07F16E" w14:textId="77777777" w:rsidTr="00426931">
        <w:trPr>
          <w:cantSplit/>
          <w:tblHeader/>
        </w:trPr>
        <w:tc>
          <w:tcPr>
            <w:tcW w:w="1998" w:type="dxa"/>
            <w:tcBorders>
              <w:top w:val="single" w:sz="4" w:space="0" w:color="auto"/>
              <w:left w:val="single" w:sz="4" w:space="0" w:color="auto"/>
              <w:bottom w:val="single" w:sz="4" w:space="0" w:color="auto"/>
              <w:right w:val="single" w:sz="4" w:space="0" w:color="auto"/>
            </w:tcBorders>
            <w:hideMark/>
          </w:tcPr>
          <w:p w14:paraId="0FDA46DA" w14:textId="77777777" w:rsidR="00426931" w:rsidRPr="0013396E" w:rsidRDefault="00426931" w:rsidP="00426931">
            <w:pPr>
              <w:spacing w:after="120"/>
              <w:rPr>
                <w:b/>
                <w:iCs/>
                <w:sz w:val="20"/>
              </w:rPr>
            </w:pPr>
            <w:r w:rsidRPr="0013396E">
              <w:rPr>
                <w:b/>
                <w:iCs/>
                <w:sz w:val="20"/>
              </w:rPr>
              <w:lastRenderedPageBreak/>
              <w:t>Variable</w:t>
            </w:r>
          </w:p>
        </w:tc>
        <w:tc>
          <w:tcPr>
            <w:tcW w:w="0" w:type="auto"/>
            <w:tcBorders>
              <w:top w:val="single" w:sz="4" w:space="0" w:color="auto"/>
              <w:left w:val="single" w:sz="4" w:space="0" w:color="auto"/>
              <w:bottom w:val="single" w:sz="4" w:space="0" w:color="auto"/>
              <w:right w:val="single" w:sz="4" w:space="0" w:color="auto"/>
            </w:tcBorders>
            <w:hideMark/>
          </w:tcPr>
          <w:p w14:paraId="43DCD3DD" w14:textId="77777777" w:rsidR="00426931" w:rsidRPr="0013396E" w:rsidRDefault="00426931" w:rsidP="00426931">
            <w:pPr>
              <w:spacing w:after="120"/>
              <w:rPr>
                <w:b/>
                <w:iCs/>
                <w:sz w:val="20"/>
              </w:rPr>
            </w:pPr>
            <w:r w:rsidRPr="0013396E">
              <w:rPr>
                <w:b/>
                <w:iCs/>
                <w:sz w:val="20"/>
              </w:rPr>
              <w:t>Unit</w:t>
            </w:r>
          </w:p>
        </w:tc>
        <w:tc>
          <w:tcPr>
            <w:tcW w:w="0" w:type="auto"/>
            <w:tcBorders>
              <w:top w:val="single" w:sz="4" w:space="0" w:color="auto"/>
              <w:left w:val="single" w:sz="4" w:space="0" w:color="auto"/>
              <w:bottom w:val="single" w:sz="4" w:space="0" w:color="auto"/>
              <w:right w:val="single" w:sz="4" w:space="0" w:color="auto"/>
            </w:tcBorders>
            <w:hideMark/>
          </w:tcPr>
          <w:p w14:paraId="09B8A7BF" w14:textId="77777777" w:rsidR="00426931" w:rsidRPr="0013396E" w:rsidRDefault="00426931" w:rsidP="00426931">
            <w:pPr>
              <w:spacing w:after="120"/>
              <w:rPr>
                <w:b/>
                <w:iCs/>
                <w:sz w:val="20"/>
              </w:rPr>
            </w:pPr>
            <w:r w:rsidRPr="0013396E">
              <w:rPr>
                <w:b/>
                <w:iCs/>
                <w:sz w:val="20"/>
              </w:rPr>
              <w:t>Definition</w:t>
            </w:r>
          </w:p>
        </w:tc>
      </w:tr>
      <w:tr w:rsidR="00426931" w:rsidRPr="0013396E" w14:paraId="3FD2D3DF" w14:textId="77777777" w:rsidTr="00426931">
        <w:trPr>
          <w:cantSplit/>
        </w:trPr>
        <w:tc>
          <w:tcPr>
            <w:tcW w:w="1998" w:type="dxa"/>
            <w:tcBorders>
              <w:top w:val="single" w:sz="4" w:space="0" w:color="auto"/>
              <w:left w:val="single" w:sz="4" w:space="0" w:color="auto"/>
              <w:bottom w:val="single" w:sz="4" w:space="0" w:color="auto"/>
              <w:right w:val="single" w:sz="4" w:space="0" w:color="auto"/>
            </w:tcBorders>
            <w:hideMark/>
          </w:tcPr>
          <w:p w14:paraId="27C5AE6D" w14:textId="77777777" w:rsidR="00426931" w:rsidRPr="0013396E" w:rsidRDefault="00426931" w:rsidP="00426931">
            <w:pPr>
              <w:spacing w:after="60"/>
              <w:rPr>
                <w:iCs/>
                <w:sz w:val="20"/>
              </w:rPr>
            </w:pPr>
            <w:r w:rsidRPr="0013396E">
              <w:rPr>
                <w:iCs/>
                <w:sz w:val="20"/>
              </w:rPr>
              <w:t>FFSSAMTQSETOT</w:t>
            </w:r>
            <w:r w:rsidRPr="0013396E">
              <w:rPr>
                <w:i/>
                <w:iCs/>
                <w:sz w:val="20"/>
              </w:rPr>
              <w:t xml:space="preserve"> </w:t>
            </w:r>
            <w:r w:rsidRPr="0013396E">
              <w:rPr>
                <w:i/>
                <w:iCs/>
                <w:sz w:val="20"/>
                <w:vertAlign w:val="subscript"/>
              </w:rPr>
              <w:t>q</w:t>
            </w:r>
          </w:p>
        </w:tc>
        <w:tc>
          <w:tcPr>
            <w:tcW w:w="0" w:type="auto"/>
            <w:tcBorders>
              <w:top w:val="single" w:sz="4" w:space="0" w:color="auto"/>
              <w:left w:val="single" w:sz="4" w:space="0" w:color="auto"/>
              <w:bottom w:val="single" w:sz="4" w:space="0" w:color="auto"/>
              <w:right w:val="single" w:sz="4" w:space="0" w:color="auto"/>
            </w:tcBorders>
            <w:hideMark/>
          </w:tcPr>
          <w:p w14:paraId="65C15E8B" w14:textId="77777777" w:rsidR="00426931" w:rsidRPr="0013396E" w:rsidRDefault="00426931" w:rsidP="00426931">
            <w:pPr>
              <w:spacing w:after="60"/>
              <w:rPr>
                <w:iCs/>
                <w:sz w:val="20"/>
              </w:rPr>
            </w:pPr>
            <w:r w:rsidRPr="0013396E">
              <w:rPr>
                <w:iCs/>
                <w:sz w:val="20"/>
              </w:rPr>
              <w:t>$</w:t>
            </w:r>
          </w:p>
        </w:tc>
        <w:tc>
          <w:tcPr>
            <w:tcW w:w="0" w:type="auto"/>
            <w:tcBorders>
              <w:top w:val="single" w:sz="4" w:space="0" w:color="auto"/>
              <w:left w:val="single" w:sz="4" w:space="0" w:color="auto"/>
              <w:bottom w:val="single" w:sz="4" w:space="0" w:color="auto"/>
              <w:right w:val="single" w:sz="4" w:space="0" w:color="auto"/>
            </w:tcBorders>
            <w:hideMark/>
          </w:tcPr>
          <w:p w14:paraId="4654D742" w14:textId="77777777" w:rsidR="00426931" w:rsidRPr="0013396E" w:rsidRDefault="00426931" w:rsidP="00426931">
            <w:pPr>
              <w:spacing w:after="60"/>
              <w:rPr>
                <w:iCs/>
                <w:sz w:val="20"/>
              </w:rPr>
            </w:pPr>
            <w:r w:rsidRPr="0013396E">
              <w:rPr>
                <w:i/>
                <w:iCs/>
                <w:sz w:val="20"/>
              </w:rPr>
              <w:t>Firm Fuel Supply Service Amount QSE Total per QSE</w:t>
            </w:r>
            <w:r w:rsidRPr="0013396E">
              <w:rPr>
                <w:iCs/>
                <w:sz w:val="20"/>
              </w:rPr>
              <w:sym w:font="Symbol" w:char="F0BE"/>
            </w:r>
            <w:r w:rsidRPr="0013396E">
              <w:rPr>
                <w:iCs/>
                <w:sz w:val="20"/>
              </w:rPr>
              <w:t xml:space="preserve">The total of the payments to QSE </w:t>
            </w:r>
            <w:r w:rsidRPr="0013396E">
              <w:rPr>
                <w:i/>
                <w:iCs/>
                <w:sz w:val="20"/>
              </w:rPr>
              <w:t>q</w:t>
            </w:r>
            <w:r w:rsidRPr="0013396E">
              <w:rPr>
                <w:iCs/>
                <w:sz w:val="20"/>
              </w:rPr>
              <w:t xml:space="preserve"> for FFSS provided by all the FFSS Resources represented by this QSE for the hour.</w:t>
            </w:r>
          </w:p>
        </w:tc>
      </w:tr>
      <w:tr w:rsidR="00426931" w:rsidRPr="0013396E" w14:paraId="75DBE1F8" w14:textId="77777777" w:rsidTr="00426931">
        <w:trPr>
          <w:cantSplit/>
        </w:trPr>
        <w:tc>
          <w:tcPr>
            <w:tcW w:w="1998" w:type="dxa"/>
            <w:tcBorders>
              <w:top w:val="single" w:sz="4" w:space="0" w:color="auto"/>
              <w:left w:val="single" w:sz="4" w:space="0" w:color="auto"/>
              <w:bottom w:val="single" w:sz="4" w:space="0" w:color="auto"/>
              <w:right w:val="single" w:sz="4" w:space="0" w:color="auto"/>
            </w:tcBorders>
            <w:hideMark/>
          </w:tcPr>
          <w:p w14:paraId="1616E423" w14:textId="77777777" w:rsidR="00426931" w:rsidRPr="0013396E" w:rsidRDefault="00426931" w:rsidP="00426931">
            <w:pPr>
              <w:spacing w:after="60"/>
              <w:rPr>
                <w:iCs/>
                <w:sz w:val="20"/>
              </w:rPr>
            </w:pPr>
            <w:r w:rsidRPr="0013396E">
              <w:rPr>
                <w:iCs/>
                <w:sz w:val="20"/>
              </w:rPr>
              <w:t xml:space="preserve">FFSSAMT </w:t>
            </w:r>
            <w:r w:rsidRPr="0013396E">
              <w:rPr>
                <w:i/>
                <w:iCs/>
                <w:sz w:val="20"/>
                <w:vertAlign w:val="subscript"/>
              </w:rPr>
              <w:t>q, r</w:t>
            </w:r>
          </w:p>
        </w:tc>
        <w:tc>
          <w:tcPr>
            <w:tcW w:w="0" w:type="auto"/>
            <w:tcBorders>
              <w:top w:val="single" w:sz="4" w:space="0" w:color="auto"/>
              <w:left w:val="single" w:sz="4" w:space="0" w:color="auto"/>
              <w:bottom w:val="single" w:sz="4" w:space="0" w:color="auto"/>
              <w:right w:val="single" w:sz="4" w:space="0" w:color="auto"/>
            </w:tcBorders>
            <w:hideMark/>
          </w:tcPr>
          <w:p w14:paraId="073AC931" w14:textId="77777777" w:rsidR="00426931" w:rsidRPr="0013396E" w:rsidRDefault="00426931" w:rsidP="00426931">
            <w:pPr>
              <w:spacing w:after="60"/>
              <w:rPr>
                <w:iCs/>
                <w:sz w:val="20"/>
              </w:rPr>
            </w:pPr>
            <w:r w:rsidRPr="0013396E">
              <w:rPr>
                <w:iCs/>
                <w:sz w:val="20"/>
              </w:rPr>
              <w:t>$</w:t>
            </w:r>
          </w:p>
        </w:tc>
        <w:tc>
          <w:tcPr>
            <w:tcW w:w="0" w:type="auto"/>
            <w:tcBorders>
              <w:top w:val="single" w:sz="4" w:space="0" w:color="auto"/>
              <w:left w:val="single" w:sz="4" w:space="0" w:color="auto"/>
              <w:bottom w:val="single" w:sz="4" w:space="0" w:color="auto"/>
              <w:right w:val="single" w:sz="4" w:space="0" w:color="auto"/>
            </w:tcBorders>
            <w:hideMark/>
          </w:tcPr>
          <w:p w14:paraId="7545124C" w14:textId="77777777" w:rsidR="00426931" w:rsidRPr="0013396E" w:rsidRDefault="00426931" w:rsidP="00426931">
            <w:pPr>
              <w:spacing w:after="60"/>
              <w:rPr>
                <w:iCs/>
                <w:sz w:val="20"/>
              </w:rPr>
            </w:pPr>
            <w:r w:rsidRPr="0013396E">
              <w:rPr>
                <w:i/>
                <w:iCs/>
                <w:sz w:val="20"/>
              </w:rPr>
              <w:t>Firm Fuel Supply Service Amount per QSE per Resource</w:t>
            </w:r>
            <w:r w:rsidRPr="0013396E">
              <w:rPr>
                <w:iCs/>
                <w:sz w:val="20"/>
              </w:rPr>
              <w:t xml:space="preserve">—The payment to QSE </w:t>
            </w:r>
            <w:r w:rsidRPr="0013396E">
              <w:rPr>
                <w:i/>
                <w:iCs/>
                <w:sz w:val="20"/>
              </w:rPr>
              <w:t>q</w:t>
            </w:r>
            <w:r w:rsidRPr="0013396E">
              <w:rPr>
                <w:iCs/>
                <w:sz w:val="20"/>
              </w:rPr>
              <w:t xml:space="preserve"> for the FFSS assigned to the primary Generation Resource </w:t>
            </w:r>
            <w:r w:rsidRPr="0013396E">
              <w:rPr>
                <w:i/>
                <w:iCs/>
                <w:sz w:val="20"/>
              </w:rPr>
              <w:t>r</w:t>
            </w:r>
            <w:r w:rsidRPr="0013396E">
              <w:rPr>
                <w:iCs/>
                <w:sz w:val="20"/>
              </w:rPr>
              <w:t xml:space="preserve">, for the hour, calculated each hour of November 15 through March 15 during the awarded FFSS obligation period.  Where for a Combined Cycle Train, the Resource </w:t>
            </w:r>
            <w:r w:rsidRPr="0013396E">
              <w:rPr>
                <w:i/>
                <w:iCs/>
                <w:sz w:val="20"/>
              </w:rPr>
              <w:t xml:space="preserve">r </w:t>
            </w:r>
            <w:r w:rsidRPr="0013396E">
              <w:rPr>
                <w:iCs/>
                <w:sz w:val="20"/>
              </w:rPr>
              <w:t>is the Combined Cycle Train.</w:t>
            </w:r>
          </w:p>
        </w:tc>
      </w:tr>
      <w:tr w:rsidR="00426931" w:rsidRPr="0013396E" w14:paraId="51DDF34D" w14:textId="77777777" w:rsidTr="00426931">
        <w:trPr>
          <w:cantSplit/>
        </w:trPr>
        <w:tc>
          <w:tcPr>
            <w:tcW w:w="1998" w:type="dxa"/>
            <w:tcBorders>
              <w:top w:val="single" w:sz="4" w:space="0" w:color="auto"/>
              <w:left w:val="single" w:sz="4" w:space="0" w:color="auto"/>
              <w:bottom w:val="single" w:sz="4" w:space="0" w:color="auto"/>
              <w:right w:val="single" w:sz="4" w:space="0" w:color="auto"/>
            </w:tcBorders>
            <w:hideMark/>
          </w:tcPr>
          <w:p w14:paraId="0F78EABF" w14:textId="77777777" w:rsidR="00426931" w:rsidRPr="0013396E" w:rsidRDefault="00426931" w:rsidP="00426931">
            <w:pPr>
              <w:spacing w:after="60"/>
              <w:rPr>
                <w:i/>
                <w:iCs/>
                <w:sz w:val="20"/>
              </w:rPr>
            </w:pPr>
            <w:r w:rsidRPr="0013396E">
              <w:rPr>
                <w:i/>
                <w:iCs/>
                <w:sz w:val="20"/>
              </w:rPr>
              <w:t>q</w:t>
            </w:r>
          </w:p>
        </w:tc>
        <w:tc>
          <w:tcPr>
            <w:tcW w:w="0" w:type="auto"/>
            <w:tcBorders>
              <w:top w:val="single" w:sz="4" w:space="0" w:color="auto"/>
              <w:left w:val="single" w:sz="4" w:space="0" w:color="auto"/>
              <w:bottom w:val="single" w:sz="4" w:space="0" w:color="auto"/>
              <w:right w:val="single" w:sz="4" w:space="0" w:color="auto"/>
            </w:tcBorders>
            <w:hideMark/>
          </w:tcPr>
          <w:p w14:paraId="2CD25A69" w14:textId="77777777" w:rsidR="00426931" w:rsidRPr="0013396E" w:rsidRDefault="00426931" w:rsidP="00426931">
            <w:pPr>
              <w:spacing w:after="60"/>
              <w:rPr>
                <w:iCs/>
                <w:sz w:val="20"/>
              </w:rPr>
            </w:pPr>
            <w:r w:rsidRPr="0013396E">
              <w:rPr>
                <w:iCs/>
                <w:sz w:val="20"/>
              </w:rPr>
              <w:t>none</w:t>
            </w:r>
          </w:p>
        </w:tc>
        <w:tc>
          <w:tcPr>
            <w:tcW w:w="0" w:type="auto"/>
            <w:tcBorders>
              <w:top w:val="single" w:sz="4" w:space="0" w:color="auto"/>
              <w:left w:val="single" w:sz="4" w:space="0" w:color="auto"/>
              <w:bottom w:val="single" w:sz="4" w:space="0" w:color="auto"/>
              <w:right w:val="single" w:sz="4" w:space="0" w:color="auto"/>
            </w:tcBorders>
            <w:hideMark/>
          </w:tcPr>
          <w:p w14:paraId="1CE32A64" w14:textId="77777777" w:rsidR="00426931" w:rsidRPr="0013396E" w:rsidRDefault="00426931" w:rsidP="00426931">
            <w:pPr>
              <w:spacing w:after="60"/>
              <w:rPr>
                <w:iCs/>
                <w:sz w:val="20"/>
              </w:rPr>
            </w:pPr>
            <w:r w:rsidRPr="0013396E">
              <w:rPr>
                <w:iCs/>
                <w:sz w:val="20"/>
              </w:rPr>
              <w:t>A QSE.</w:t>
            </w:r>
          </w:p>
        </w:tc>
      </w:tr>
      <w:tr w:rsidR="00426931" w:rsidRPr="0013396E" w14:paraId="38216D42" w14:textId="77777777" w:rsidTr="00426931">
        <w:trPr>
          <w:cantSplit/>
        </w:trPr>
        <w:tc>
          <w:tcPr>
            <w:tcW w:w="1998" w:type="dxa"/>
            <w:tcBorders>
              <w:top w:val="single" w:sz="4" w:space="0" w:color="auto"/>
              <w:left w:val="single" w:sz="4" w:space="0" w:color="auto"/>
              <w:bottom w:val="single" w:sz="4" w:space="0" w:color="auto"/>
              <w:right w:val="single" w:sz="4" w:space="0" w:color="auto"/>
            </w:tcBorders>
            <w:hideMark/>
          </w:tcPr>
          <w:p w14:paraId="4ACBBAEC" w14:textId="03B7EFBF" w:rsidR="00426931" w:rsidRPr="0013396E" w:rsidRDefault="008417AF" w:rsidP="00426931">
            <w:pPr>
              <w:spacing w:after="60"/>
              <w:rPr>
                <w:i/>
                <w:iCs/>
                <w:sz w:val="20"/>
              </w:rPr>
            </w:pPr>
            <w:r w:rsidRPr="0013396E">
              <w:rPr>
                <w:i/>
                <w:iCs/>
                <w:sz w:val="20"/>
              </w:rPr>
              <w:t>r</w:t>
            </w:r>
          </w:p>
        </w:tc>
        <w:tc>
          <w:tcPr>
            <w:tcW w:w="0" w:type="auto"/>
            <w:tcBorders>
              <w:top w:val="single" w:sz="4" w:space="0" w:color="auto"/>
              <w:left w:val="single" w:sz="4" w:space="0" w:color="auto"/>
              <w:bottom w:val="single" w:sz="4" w:space="0" w:color="auto"/>
              <w:right w:val="single" w:sz="4" w:space="0" w:color="auto"/>
            </w:tcBorders>
            <w:hideMark/>
          </w:tcPr>
          <w:p w14:paraId="04CEC36F" w14:textId="77777777" w:rsidR="00426931" w:rsidRPr="0013396E" w:rsidRDefault="00426931" w:rsidP="00426931">
            <w:pPr>
              <w:spacing w:after="60"/>
              <w:rPr>
                <w:iCs/>
                <w:sz w:val="20"/>
              </w:rPr>
            </w:pPr>
            <w:r w:rsidRPr="0013396E">
              <w:rPr>
                <w:iCs/>
                <w:sz w:val="20"/>
              </w:rPr>
              <w:t>none</w:t>
            </w:r>
          </w:p>
        </w:tc>
        <w:tc>
          <w:tcPr>
            <w:tcW w:w="0" w:type="auto"/>
            <w:tcBorders>
              <w:top w:val="single" w:sz="4" w:space="0" w:color="auto"/>
              <w:left w:val="single" w:sz="4" w:space="0" w:color="auto"/>
              <w:bottom w:val="single" w:sz="4" w:space="0" w:color="auto"/>
              <w:right w:val="single" w:sz="4" w:space="0" w:color="auto"/>
            </w:tcBorders>
            <w:hideMark/>
          </w:tcPr>
          <w:p w14:paraId="0B2C28AF" w14:textId="77777777" w:rsidR="00426931" w:rsidRPr="0013396E" w:rsidRDefault="00426931" w:rsidP="00426931">
            <w:pPr>
              <w:spacing w:after="60"/>
              <w:rPr>
                <w:iCs/>
                <w:sz w:val="20"/>
              </w:rPr>
            </w:pPr>
            <w:r w:rsidRPr="0013396E">
              <w:rPr>
                <w:iCs/>
                <w:sz w:val="20"/>
              </w:rPr>
              <w:t>A primary or alternate Generation Resource approved by ERCOT to provide FFSS.</w:t>
            </w:r>
          </w:p>
        </w:tc>
      </w:tr>
    </w:tbl>
    <w:p w14:paraId="08D5AA10" w14:textId="77777777" w:rsidR="00281DEA" w:rsidRPr="0013396E" w:rsidRDefault="00281DEA" w:rsidP="00281DEA">
      <w:pPr>
        <w:pStyle w:val="H4"/>
        <w:spacing w:before="480"/>
        <w:ind w:left="1267" w:hanging="1267"/>
      </w:pPr>
      <w:bookmarkStart w:id="2224" w:name="_Toc214879027"/>
      <w:r w:rsidRPr="0013396E">
        <w:t>6.6.14.3</w:t>
      </w:r>
      <w:r w:rsidRPr="0013396E">
        <w:tab/>
        <w:t>Firm Fuel Supply Service Capacity Charge</w:t>
      </w:r>
      <w:bookmarkEnd w:id="2224"/>
    </w:p>
    <w:p w14:paraId="07E9DDFE" w14:textId="77777777" w:rsidR="00281DEA" w:rsidRPr="0013396E" w:rsidRDefault="00281DEA" w:rsidP="00281DEA">
      <w:pPr>
        <w:pStyle w:val="BodyTextNumbered"/>
        <w:spacing w:before="240"/>
      </w:pPr>
      <w:r w:rsidRPr="0013396E">
        <w:t>(1)</w:t>
      </w:r>
      <w:r w:rsidRPr="0013396E">
        <w:tab/>
        <w:t>ERCOT shall allocate the total FFSS capacity and fuel replacement payment to the QSEs representing Loads based on an hourly LRS.  The resulting charge to each QSE for a given hour is calculated as follows:</w:t>
      </w:r>
    </w:p>
    <w:p w14:paraId="31F5FE67" w14:textId="77777777" w:rsidR="00281DEA" w:rsidRPr="0013396E" w:rsidRDefault="00281DEA" w:rsidP="00281DEA">
      <w:pPr>
        <w:pStyle w:val="FormulaBold"/>
      </w:pPr>
      <w:r w:rsidRPr="0013396E">
        <w:t xml:space="preserve">LAFFSSAMT </w:t>
      </w:r>
      <w:r w:rsidRPr="0013396E">
        <w:rPr>
          <w:i/>
          <w:vertAlign w:val="subscript"/>
        </w:rPr>
        <w:t>q</w:t>
      </w:r>
      <w:r w:rsidRPr="0013396E">
        <w:tab/>
        <w:t>=</w:t>
      </w:r>
      <w:r w:rsidRPr="0013396E">
        <w:tab/>
        <w:t xml:space="preserve">(-1) * FFSSAMTTOT * HLRS </w:t>
      </w:r>
      <w:r w:rsidRPr="0013396E">
        <w:rPr>
          <w:i/>
          <w:vertAlign w:val="subscript"/>
        </w:rPr>
        <w:t>q</w:t>
      </w:r>
    </w:p>
    <w:p w14:paraId="452D7C30" w14:textId="77777777" w:rsidR="00281DEA" w:rsidRPr="0013396E" w:rsidRDefault="00281DEA" w:rsidP="00281DEA">
      <w:pPr>
        <w:pStyle w:val="BodyText"/>
      </w:pPr>
      <w:r w:rsidRPr="0013396E">
        <w:t>Where:</w:t>
      </w:r>
    </w:p>
    <w:p w14:paraId="7D02198F" w14:textId="77777777" w:rsidR="00281DEA" w:rsidRPr="0013396E" w:rsidRDefault="00281DEA" w:rsidP="00281DEA">
      <w:pPr>
        <w:pStyle w:val="Formula"/>
        <w:ind w:left="2880" w:hanging="2160"/>
      </w:pPr>
      <w:r w:rsidRPr="0013396E">
        <w:t>FFSSAMTTOT</w:t>
      </w:r>
      <w:r w:rsidRPr="0013396E">
        <w:tab/>
        <w:t>=</w:t>
      </w:r>
      <w:r w:rsidRPr="0013396E">
        <w:tab/>
      </w:r>
      <w:r w:rsidRPr="0013396E">
        <w:rPr>
          <w:position w:val="-22"/>
        </w:rPr>
        <w:object w:dxaOrig="255" w:dyaOrig="555" w14:anchorId="33BC6FC2">
          <v:shape id="_x0000_i1255" type="#_x0000_t75" style="width:12pt;height:29.4pt" o:ole="">
            <v:imagedata r:id="rId251" o:title=""/>
          </v:shape>
          <o:OLEObject Type="Embed" ProgID="Equation.3" ShapeID="_x0000_i1255" DrawAspect="Content" ObjectID="_1836311532" r:id="rId329"/>
        </w:object>
      </w:r>
      <w:r w:rsidRPr="0013396E">
        <w:t xml:space="preserve">FFSSAMTQSETOT </w:t>
      </w:r>
      <w:r w:rsidRPr="0013396E">
        <w:rPr>
          <w:i/>
          <w:vertAlign w:val="subscript"/>
        </w:rPr>
        <w:t>q</w:t>
      </w:r>
    </w:p>
    <w:p w14:paraId="549B7C7B" w14:textId="77777777" w:rsidR="00281DEA" w:rsidRPr="0013396E" w:rsidRDefault="00281DEA" w:rsidP="00281DEA">
      <w:r w:rsidRPr="0013396E">
        <w:t>The above variables are defined as follows:</w:t>
      </w:r>
    </w:p>
    <w:tbl>
      <w:tblPr>
        <w:tblW w:w="9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605"/>
        <w:gridCol w:w="7113"/>
      </w:tblGrid>
      <w:tr w:rsidR="00281DEA" w:rsidRPr="0013396E" w14:paraId="1E2292D9" w14:textId="77777777" w:rsidTr="00D90E98">
        <w:tc>
          <w:tcPr>
            <w:tcW w:w="1998" w:type="dxa"/>
          </w:tcPr>
          <w:p w14:paraId="6C036C7F" w14:textId="77777777" w:rsidR="00281DEA" w:rsidRPr="0013396E" w:rsidRDefault="00281DEA" w:rsidP="00D90E98">
            <w:pPr>
              <w:pStyle w:val="TableHead"/>
            </w:pPr>
            <w:r w:rsidRPr="0013396E">
              <w:t>Variable</w:t>
            </w:r>
          </w:p>
        </w:tc>
        <w:tc>
          <w:tcPr>
            <w:tcW w:w="0" w:type="auto"/>
          </w:tcPr>
          <w:p w14:paraId="5A6640F7" w14:textId="77777777" w:rsidR="00281DEA" w:rsidRPr="0013396E" w:rsidRDefault="00281DEA" w:rsidP="00D90E98">
            <w:pPr>
              <w:pStyle w:val="TableHead"/>
            </w:pPr>
            <w:r w:rsidRPr="0013396E">
              <w:t>Unit</w:t>
            </w:r>
          </w:p>
        </w:tc>
        <w:tc>
          <w:tcPr>
            <w:tcW w:w="0" w:type="auto"/>
          </w:tcPr>
          <w:p w14:paraId="1FD73540" w14:textId="77777777" w:rsidR="00281DEA" w:rsidRPr="0013396E" w:rsidRDefault="00281DEA" w:rsidP="00D90E98">
            <w:pPr>
              <w:pStyle w:val="TableHead"/>
            </w:pPr>
            <w:r w:rsidRPr="0013396E">
              <w:t>Definition</w:t>
            </w:r>
          </w:p>
        </w:tc>
      </w:tr>
      <w:tr w:rsidR="00281DEA" w:rsidRPr="0013396E" w14:paraId="5AB0239A" w14:textId="77777777" w:rsidTr="00D90E98">
        <w:trPr>
          <w:cantSplit/>
        </w:trPr>
        <w:tc>
          <w:tcPr>
            <w:tcW w:w="1998" w:type="dxa"/>
          </w:tcPr>
          <w:p w14:paraId="2F6843F5" w14:textId="77777777" w:rsidR="00281DEA" w:rsidRPr="0013396E" w:rsidRDefault="00281DEA" w:rsidP="00D90E98">
            <w:pPr>
              <w:pStyle w:val="TableBody"/>
            </w:pPr>
            <w:r w:rsidRPr="0013396E">
              <w:t xml:space="preserve">LAFFSSAMT </w:t>
            </w:r>
            <w:r w:rsidRPr="0013396E">
              <w:rPr>
                <w:i/>
                <w:vertAlign w:val="subscript"/>
              </w:rPr>
              <w:t>q</w:t>
            </w:r>
          </w:p>
        </w:tc>
        <w:tc>
          <w:tcPr>
            <w:tcW w:w="0" w:type="auto"/>
          </w:tcPr>
          <w:p w14:paraId="4E03DF86" w14:textId="77777777" w:rsidR="00281DEA" w:rsidRPr="0013396E" w:rsidRDefault="00281DEA" w:rsidP="00D90E98">
            <w:pPr>
              <w:pStyle w:val="TableBody"/>
            </w:pPr>
            <w:r w:rsidRPr="0013396E">
              <w:t>$</w:t>
            </w:r>
          </w:p>
        </w:tc>
        <w:tc>
          <w:tcPr>
            <w:tcW w:w="0" w:type="auto"/>
          </w:tcPr>
          <w:p w14:paraId="05A30980" w14:textId="77777777" w:rsidR="00281DEA" w:rsidRPr="0013396E" w:rsidRDefault="00281DEA" w:rsidP="00D90E98">
            <w:pPr>
              <w:pStyle w:val="TableBody"/>
            </w:pPr>
            <w:r w:rsidRPr="0013396E">
              <w:rPr>
                <w:i/>
              </w:rPr>
              <w:t>Load-Allocated Firm Fuel Supply Service Amount per QSE</w:t>
            </w:r>
            <w:r w:rsidRPr="0013396E">
              <w:t xml:space="preserve">—The charge allocated to QSE </w:t>
            </w:r>
            <w:r w:rsidRPr="0013396E">
              <w:rPr>
                <w:i/>
              </w:rPr>
              <w:t>q</w:t>
            </w:r>
            <w:r w:rsidRPr="0013396E">
              <w:t xml:space="preserve"> for the FFSS, for the hour.</w:t>
            </w:r>
          </w:p>
        </w:tc>
      </w:tr>
      <w:tr w:rsidR="00281DEA" w:rsidRPr="0013396E" w14:paraId="2BCCDB32" w14:textId="77777777" w:rsidTr="00D90E98">
        <w:trPr>
          <w:cantSplit/>
        </w:trPr>
        <w:tc>
          <w:tcPr>
            <w:tcW w:w="1998" w:type="dxa"/>
          </w:tcPr>
          <w:p w14:paraId="3252BC50" w14:textId="77777777" w:rsidR="00281DEA" w:rsidRPr="0013396E" w:rsidRDefault="00281DEA" w:rsidP="00D90E98">
            <w:pPr>
              <w:pStyle w:val="TableBody"/>
            </w:pPr>
            <w:r w:rsidRPr="0013396E">
              <w:t xml:space="preserve">FFSSAMTQSETOT </w:t>
            </w:r>
            <w:r w:rsidRPr="0013396E">
              <w:rPr>
                <w:i/>
                <w:iCs w:val="0"/>
                <w:vertAlign w:val="subscript"/>
              </w:rPr>
              <w:t>q</w:t>
            </w:r>
          </w:p>
        </w:tc>
        <w:tc>
          <w:tcPr>
            <w:tcW w:w="0" w:type="auto"/>
          </w:tcPr>
          <w:p w14:paraId="2B0F1C16" w14:textId="77777777" w:rsidR="00281DEA" w:rsidRPr="0013396E" w:rsidRDefault="00281DEA" w:rsidP="00D90E98">
            <w:pPr>
              <w:pStyle w:val="TableBody"/>
            </w:pPr>
            <w:r w:rsidRPr="0013396E">
              <w:t>$</w:t>
            </w:r>
          </w:p>
        </w:tc>
        <w:tc>
          <w:tcPr>
            <w:tcW w:w="0" w:type="auto"/>
          </w:tcPr>
          <w:p w14:paraId="7DB5355B" w14:textId="77777777" w:rsidR="00281DEA" w:rsidRPr="0013396E" w:rsidRDefault="00281DEA" w:rsidP="00D90E98">
            <w:pPr>
              <w:pStyle w:val="TableBody"/>
            </w:pPr>
            <w:r w:rsidRPr="0013396E">
              <w:rPr>
                <w:i/>
              </w:rPr>
              <w:t>Firm Fuel Supply Service Amount QSE Total per QSE</w:t>
            </w:r>
            <w:r w:rsidRPr="0013396E">
              <w:sym w:font="Symbol" w:char="F0BE"/>
            </w:r>
            <w:r w:rsidRPr="0013396E">
              <w:t xml:space="preserve">The total of the payments to QSE </w:t>
            </w:r>
            <w:r w:rsidRPr="0013396E">
              <w:rPr>
                <w:i/>
              </w:rPr>
              <w:t>q</w:t>
            </w:r>
            <w:r w:rsidRPr="0013396E">
              <w:t xml:space="preserve"> for FFSS provided by all the FFSSRs represented by this QSE for the hour.</w:t>
            </w:r>
          </w:p>
        </w:tc>
      </w:tr>
      <w:tr w:rsidR="00281DEA" w:rsidRPr="0013396E" w14:paraId="28EA32F9" w14:textId="77777777" w:rsidTr="00D90E98">
        <w:trPr>
          <w:cantSplit/>
        </w:trPr>
        <w:tc>
          <w:tcPr>
            <w:tcW w:w="1998" w:type="dxa"/>
          </w:tcPr>
          <w:p w14:paraId="6D01DFCF" w14:textId="77777777" w:rsidR="00281DEA" w:rsidRPr="0013396E" w:rsidRDefault="00281DEA" w:rsidP="00D90E98">
            <w:pPr>
              <w:pStyle w:val="TableBody"/>
            </w:pPr>
            <w:r w:rsidRPr="0013396E">
              <w:t>FFSSAMTTOT</w:t>
            </w:r>
          </w:p>
        </w:tc>
        <w:tc>
          <w:tcPr>
            <w:tcW w:w="0" w:type="auto"/>
          </w:tcPr>
          <w:p w14:paraId="7BF3EF72" w14:textId="77777777" w:rsidR="00281DEA" w:rsidRPr="0013396E" w:rsidRDefault="00281DEA" w:rsidP="00D90E98">
            <w:pPr>
              <w:pStyle w:val="TableBody"/>
            </w:pPr>
            <w:r w:rsidRPr="0013396E">
              <w:t>$</w:t>
            </w:r>
          </w:p>
        </w:tc>
        <w:tc>
          <w:tcPr>
            <w:tcW w:w="0" w:type="auto"/>
          </w:tcPr>
          <w:p w14:paraId="5835F44E" w14:textId="77777777" w:rsidR="00281DEA" w:rsidRPr="0013396E" w:rsidRDefault="00281DEA" w:rsidP="00D90E98">
            <w:pPr>
              <w:pStyle w:val="TableBody"/>
            </w:pPr>
            <w:r w:rsidRPr="0013396E">
              <w:rPr>
                <w:i/>
              </w:rPr>
              <w:t>Firm Fuel Supply Service Amount QSE Total ERCOT-Wide—</w:t>
            </w:r>
            <w:r w:rsidRPr="0013396E">
              <w:t>The total of the payments to all QSEs for FFSS for the hour.</w:t>
            </w:r>
          </w:p>
        </w:tc>
      </w:tr>
      <w:tr w:rsidR="00281DEA" w:rsidRPr="0013396E" w14:paraId="7C6DF40C" w14:textId="77777777" w:rsidTr="00D90E98">
        <w:trPr>
          <w:cantSplit/>
        </w:trPr>
        <w:tc>
          <w:tcPr>
            <w:tcW w:w="1998" w:type="dxa"/>
          </w:tcPr>
          <w:p w14:paraId="3BB23DBE" w14:textId="77777777" w:rsidR="00281DEA" w:rsidRPr="0013396E" w:rsidRDefault="00281DEA" w:rsidP="00D90E98">
            <w:pPr>
              <w:pStyle w:val="TableBody"/>
            </w:pPr>
            <w:r w:rsidRPr="0013396E">
              <w:t xml:space="preserve">HLRS </w:t>
            </w:r>
            <w:r w:rsidRPr="0013396E">
              <w:rPr>
                <w:i/>
                <w:vertAlign w:val="subscript"/>
              </w:rPr>
              <w:t>q</w:t>
            </w:r>
          </w:p>
        </w:tc>
        <w:tc>
          <w:tcPr>
            <w:tcW w:w="0" w:type="auto"/>
          </w:tcPr>
          <w:p w14:paraId="3FF78035" w14:textId="77777777" w:rsidR="00281DEA" w:rsidRPr="0013396E" w:rsidRDefault="00281DEA" w:rsidP="00D90E98">
            <w:pPr>
              <w:pStyle w:val="TableBody"/>
            </w:pPr>
            <w:r w:rsidRPr="0013396E">
              <w:t>none</w:t>
            </w:r>
          </w:p>
        </w:tc>
        <w:tc>
          <w:tcPr>
            <w:tcW w:w="0" w:type="auto"/>
          </w:tcPr>
          <w:p w14:paraId="14FE5776" w14:textId="77777777" w:rsidR="00281DEA" w:rsidRPr="0013396E" w:rsidRDefault="00281DEA" w:rsidP="00D90E98">
            <w:pPr>
              <w:pStyle w:val="TableBody"/>
            </w:pPr>
            <w:r w:rsidRPr="0013396E">
              <w:t xml:space="preserve">The hourly LRS calculated for QSE </w:t>
            </w:r>
            <w:r w:rsidRPr="0013396E">
              <w:rPr>
                <w:i/>
              </w:rPr>
              <w:t>q</w:t>
            </w:r>
            <w:r w:rsidRPr="0013396E">
              <w:t xml:space="preserve"> for the hour.  See Section 6.6.2.4, QSE Load Ratio Share for an Operating Hour.</w:t>
            </w:r>
          </w:p>
        </w:tc>
      </w:tr>
      <w:tr w:rsidR="00281DEA" w:rsidRPr="0013396E" w14:paraId="34B30D92" w14:textId="77777777" w:rsidTr="00D90E98">
        <w:trPr>
          <w:cantSplit/>
        </w:trPr>
        <w:tc>
          <w:tcPr>
            <w:tcW w:w="1998" w:type="dxa"/>
            <w:tcBorders>
              <w:top w:val="single" w:sz="4" w:space="0" w:color="auto"/>
              <w:left w:val="single" w:sz="4" w:space="0" w:color="auto"/>
              <w:bottom w:val="single" w:sz="4" w:space="0" w:color="auto"/>
              <w:right w:val="single" w:sz="4" w:space="0" w:color="auto"/>
            </w:tcBorders>
          </w:tcPr>
          <w:p w14:paraId="21387AAE" w14:textId="77777777" w:rsidR="00281DEA" w:rsidRPr="0013396E" w:rsidRDefault="00281DEA" w:rsidP="00D90E98">
            <w:pPr>
              <w:pStyle w:val="TableBody"/>
              <w:rPr>
                <w:i/>
              </w:rPr>
            </w:pPr>
            <w:r w:rsidRPr="0013396E">
              <w:rPr>
                <w:i/>
              </w:rPr>
              <w:t>q</w:t>
            </w:r>
          </w:p>
        </w:tc>
        <w:tc>
          <w:tcPr>
            <w:tcW w:w="0" w:type="auto"/>
            <w:tcBorders>
              <w:top w:val="single" w:sz="4" w:space="0" w:color="auto"/>
              <w:left w:val="single" w:sz="4" w:space="0" w:color="auto"/>
              <w:bottom w:val="single" w:sz="4" w:space="0" w:color="auto"/>
              <w:right w:val="single" w:sz="4" w:space="0" w:color="auto"/>
            </w:tcBorders>
          </w:tcPr>
          <w:p w14:paraId="0EC724AE" w14:textId="77777777" w:rsidR="00281DEA" w:rsidRPr="0013396E" w:rsidRDefault="00281DEA" w:rsidP="00D90E98">
            <w:pPr>
              <w:pStyle w:val="TableBody"/>
            </w:pPr>
            <w:r w:rsidRPr="0013396E">
              <w:t>none</w:t>
            </w:r>
          </w:p>
        </w:tc>
        <w:tc>
          <w:tcPr>
            <w:tcW w:w="0" w:type="auto"/>
            <w:tcBorders>
              <w:top w:val="single" w:sz="4" w:space="0" w:color="auto"/>
              <w:left w:val="single" w:sz="4" w:space="0" w:color="auto"/>
              <w:bottom w:val="single" w:sz="4" w:space="0" w:color="auto"/>
              <w:right w:val="single" w:sz="4" w:space="0" w:color="auto"/>
            </w:tcBorders>
          </w:tcPr>
          <w:p w14:paraId="08D6D4EC" w14:textId="77777777" w:rsidR="00281DEA" w:rsidRPr="0013396E" w:rsidRDefault="00281DEA" w:rsidP="00D90E98">
            <w:pPr>
              <w:pStyle w:val="TableBody"/>
            </w:pPr>
            <w:r w:rsidRPr="0013396E">
              <w:t>A QSE.</w:t>
            </w:r>
          </w:p>
        </w:tc>
      </w:tr>
    </w:tbl>
    <w:p w14:paraId="6E93B2C8" w14:textId="77777777" w:rsidR="001F04FD" w:rsidRPr="0013396E" w:rsidRDefault="001F04FD" w:rsidP="001F04FD">
      <w:pPr>
        <w:pStyle w:val="H2"/>
        <w:spacing w:before="480"/>
        <w:ind w:left="907" w:hanging="907"/>
      </w:pPr>
      <w:bookmarkStart w:id="2225" w:name="_Toc214879028"/>
      <w:r w:rsidRPr="0013396E">
        <w:t>6.7</w:t>
      </w:r>
      <w:r w:rsidRPr="0013396E">
        <w:tab/>
        <w:t>Real-Time Settlement Calculations for the Ancillary Services</w:t>
      </w:r>
      <w:bookmarkEnd w:id="2152"/>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25"/>
    </w:p>
    <w:p w14:paraId="51557BBE" w14:textId="5F4B45AA" w:rsidR="001F04FD" w:rsidRPr="0013396E" w:rsidRDefault="001F04FD" w:rsidP="000B7133">
      <w:pPr>
        <w:pStyle w:val="H3"/>
      </w:pPr>
      <w:bookmarkStart w:id="2226" w:name="_Toc103141433"/>
      <w:bookmarkStart w:id="2227" w:name="_Toc109009425"/>
      <w:bookmarkStart w:id="2228" w:name="_Toc397505049"/>
      <w:bookmarkStart w:id="2229" w:name="_Toc402357181"/>
      <w:bookmarkStart w:id="2230" w:name="_Toc422486561"/>
      <w:bookmarkStart w:id="2231" w:name="_Toc433093414"/>
      <w:bookmarkStart w:id="2232" w:name="_Toc433093572"/>
      <w:bookmarkStart w:id="2233" w:name="_Toc440874802"/>
      <w:bookmarkStart w:id="2234" w:name="_Toc448142359"/>
      <w:bookmarkStart w:id="2235" w:name="_Toc448142516"/>
      <w:bookmarkStart w:id="2236" w:name="_Toc458770357"/>
      <w:bookmarkStart w:id="2237" w:name="_Toc459294325"/>
      <w:bookmarkStart w:id="2238" w:name="_Toc463262819"/>
      <w:bookmarkStart w:id="2239" w:name="_Toc468286893"/>
      <w:bookmarkStart w:id="2240" w:name="_Toc481502933"/>
      <w:bookmarkStart w:id="2241" w:name="_Toc496080101"/>
      <w:bookmarkStart w:id="2242" w:name="_Toc214879029"/>
      <w:r w:rsidRPr="0013396E">
        <w:t>6.7.</w:t>
      </w:r>
      <w:r w:rsidR="007C3D35" w:rsidRPr="0013396E">
        <w:t>1</w:t>
      </w:r>
      <w:r w:rsidRPr="0013396E">
        <w:tab/>
      </w:r>
      <w:r w:rsidR="00EF6376" w:rsidRPr="0013396E">
        <w:t>Real-Time Settlement for Updated Day-Ahead Market Ancillary Service Obligations</w:t>
      </w:r>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p>
    <w:p w14:paraId="35F6BFA0" w14:textId="77777777" w:rsidR="00EF6376" w:rsidRPr="0013396E" w:rsidRDefault="00EF6376" w:rsidP="00EF6376">
      <w:pPr>
        <w:spacing w:after="240"/>
        <w:ind w:left="720" w:hanging="720"/>
        <w:rPr>
          <w:iCs/>
        </w:rPr>
      </w:pPr>
      <w:r w:rsidRPr="0013396E">
        <w:t>(1)</w:t>
      </w:r>
      <w:r w:rsidRPr="0013396E">
        <w:tab/>
      </w:r>
      <w:r w:rsidRPr="0013396E">
        <w:rPr>
          <w:iCs/>
        </w:rPr>
        <w:t xml:space="preserve">Each QSE is charged or paid for net obligations for each Ancillary Service procured in the DAM.  DAM costs are calculated for each QSE in accordance with Section 4.6.4, Settlement of Ancillary Services Procured in the DAM.  DAM net total costs for Ancillary Service procured in the DAM are re-calculated for each QSE under this Section </w:t>
      </w:r>
      <w:r w:rsidRPr="0013396E">
        <w:rPr>
          <w:iCs/>
        </w:rPr>
        <w:lastRenderedPageBreak/>
        <w:t xml:space="preserve">based on Real-Time Load Ratio Share (LRS).  </w:t>
      </w:r>
      <w:r w:rsidRPr="0013396E">
        <w:t xml:space="preserve">Payments and/or charges for Ancillary Service obligations are calculated by Operating Hour as follows:      </w:t>
      </w:r>
    </w:p>
    <w:p w14:paraId="562220EF" w14:textId="77777777" w:rsidR="00EF6376" w:rsidRPr="0013396E" w:rsidRDefault="00EF6376" w:rsidP="00EF6376">
      <w:pPr>
        <w:pStyle w:val="BodyTextNumbered"/>
        <w:ind w:left="1440"/>
        <w:rPr>
          <w:iCs/>
        </w:rPr>
      </w:pPr>
      <w:r w:rsidRPr="0013396E">
        <w:rPr>
          <w:iCs/>
        </w:rPr>
        <w:t>(a)</w:t>
      </w:r>
      <w:r w:rsidRPr="0013396E">
        <w:rPr>
          <w:iCs/>
        </w:rPr>
        <w:tab/>
        <w:t>For Regulation Up Service (Reg-Up), if applicable:</w:t>
      </w:r>
    </w:p>
    <w:p w14:paraId="7656596C" w14:textId="77777777" w:rsidR="00EF6376" w:rsidRPr="0013396E" w:rsidRDefault="00EF6376" w:rsidP="00EF6376">
      <w:pPr>
        <w:pStyle w:val="BodyTextNumbered"/>
        <w:ind w:left="1440"/>
        <w:rPr>
          <w:iCs/>
        </w:rPr>
      </w:pPr>
      <w:r w:rsidRPr="0013396E">
        <w:rPr>
          <w:iCs/>
        </w:rPr>
        <w:t xml:space="preserve">DARTPCRUAMT </w:t>
      </w:r>
      <w:r w:rsidRPr="0013396E">
        <w:rPr>
          <w:i/>
          <w:iCs/>
          <w:vertAlign w:val="subscript"/>
        </w:rPr>
        <w:t>q</w:t>
      </w:r>
      <w:r w:rsidRPr="0013396E">
        <w:rPr>
          <w:iCs/>
          <w:vertAlign w:val="subscript"/>
        </w:rPr>
        <w:t xml:space="preserve">  </w:t>
      </w:r>
      <w:r w:rsidRPr="0013396E">
        <w:rPr>
          <w:iCs/>
        </w:rPr>
        <w:t>=  (DARUNOBL</w:t>
      </w:r>
      <w:r w:rsidRPr="0013396E">
        <w:rPr>
          <w:iCs/>
          <w:vertAlign w:val="subscript"/>
        </w:rPr>
        <w:t xml:space="preserve"> </w:t>
      </w:r>
      <w:r w:rsidRPr="0013396E">
        <w:rPr>
          <w:i/>
          <w:iCs/>
          <w:vertAlign w:val="subscript"/>
        </w:rPr>
        <w:t>q</w:t>
      </w:r>
      <w:r w:rsidRPr="0013396E">
        <w:rPr>
          <w:iCs/>
        </w:rPr>
        <w:t xml:space="preserve"> -</w:t>
      </w:r>
      <w:r w:rsidRPr="0013396E">
        <w:rPr>
          <w:i/>
          <w:iCs/>
          <w:vertAlign w:val="subscript"/>
        </w:rPr>
        <w:t xml:space="preserve"> </w:t>
      </w:r>
      <w:r w:rsidRPr="0013396E">
        <w:rPr>
          <w:iCs/>
        </w:rPr>
        <w:t xml:space="preserve">DASARUQ </w:t>
      </w:r>
      <w:r w:rsidRPr="0013396E">
        <w:rPr>
          <w:i/>
          <w:iCs/>
          <w:vertAlign w:val="subscript"/>
        </w:rPr>
        <w:t>q</w:t>
      </w:r>
      <w:r w:rsidRPr="0013396E">
        <w:rPr>
          <w:iCs/>
        </w:rPr>
        <w:t xml:space="preserve">) * DARUPR - DARUAMT </w:t>
      </w:r>
      <w:r w:rsidRPr="0013396E">
        <w:rPr>
          <w:i/>
          <w:iCs/>
          <w:vertAlign w:val="subscript"/>
        </w:rPr>
        <w:t>q</w:t>
      </w:r>
    </w:p>
    <w:p w14:paraId="69B173F3" w14:textId="77777777" w:rsidR="00EF6376" w:rsidRPr="0013396E" w:rsidRDefault="00EF6376" w:rsidP="00EF6376">
      <w:pPr>
        <w:pStyle w:val="BodyText"/>
        <w:tabs>
          <w:tab w:val="left" w:pos="2340"/>
        </w:tabs>
        <w:rPr>
          <w:iCs w:val="0"/>
          <w:szCs w:val="24"/>
          <w:lang w:val="pt-BR"/>
        </w:rPr>
      </w:pPr>
      <w:r w:rsidRPr="0013396E">
        <w:rPr>
          <w:lang w:val="pt-BR"/>
        </w:rPr>
        <w:t>Where:</w:t>
      </w:r>
    </w:p>
    <w:p w14:paraId="57BA2AE3" w14:textId="77777777" w:rsidR="00EF6376" w:rsidRPr="0013396E" w:rsidRDefault="00EF6376" w:rsidP="00EF6376">
      <w:pPr>
        <w:pStyle w:val="BodyTextNumbered"/>
        <w:ind w:left="1440"/>
        <w:rPr>
          <w:iCs/>
          <w:vertAlign w:val="subscript"/>
        </w:rPr>
      </w:pPr>
      <w:r w:rsidRPr="0013396E">
        <w:rPr>
          <w:iCs/>
        </w:rPr>
        <w:t xml:space="preserve">DARUNOBL </w:t>
      </w:r>
      <w:r w:rsidRPr="0013396E">
        <w:rPr>
          <w:i/>
          <w:iCs/>
          <w:vertAlign w:val="subscript"/>
        </w:rPr>
        <w:t>q</w:t>
      </w:r>
      <w:r w:rsidRPr="0013396E">
        <w:rPr>
          <w:iCs/>
        </w:rPr>
        <w:tab/>
        <w:t>=  DAPCRU</w:t>
      </w:r>
      <w:r w:rsidRPr="0013396E">
        <w:rPr>
          <w:iCs/>
          <w:lang w:val="pt-BR"/>
        </w:rPr>
        <w:t xml:space="preserve">QTOT </w:t>
      </w:r>
      <w:r w:rsidRPr="0013396E">
        <w:rPr>
          <w:iCs/>
        </w:rPr>
        <w:t xml:space="preserve">* HLRS </w:t>
      </w:r>
      <w:r w:rsidRPr="0013396E">
        <w:rPr>
          <w:i/>
          <w:iCs/>
          <w:vertAlign w:val="subscript"/>
        </w:rPr>
        <w:t>q</w:t>
      </w:r>
    </w:p>
    <w:p w14:paraId="1C0C18BD" w14:textId="77777777" w:rsidR="00EF6376" w:rsidRPr="0013396E" w:rsidRDefault="00EF6376" w:rsidP="00EF6376">
      <w:pPr>
        <w:pStyle w:val="BodyTextNumbered"/>
        <w:ind w:left="1440"/>
        <w:rPr>
          <w:iCs/>
          <w:lang w:val="pt-BR"/>
        </w:rPr>
      </w:pPr>
      <w:r w:rsidRPr="0013396E">
        <w:rPr>
          <w:iCs/>
        </w:rPr>
        <w:t>DAPCRU</w:t>
      </w:r>
      <w:r w:rsidRPr="0013396E">
        <w:rPr>
          <w:iCs/>
          <w:lang w:val="pt-BR"/>
        </w:rPr>
        <w:t>QTOT  =</w:t>
      </w:r>
      <w:r w:rsidRPr="0013396E">
        <w:rPr>
          <w:iCs/>
          <w:position w:val="-22"/>
        </w:rPr>
        <w:object w:dxaOrig="285" w:dyaOrig="285" w14:anchorId="6E88945D">
          <v:shape id="_x0000_i1256" type="#_x0000_t75" style="width:18pt;height:35.4pt" o:ole="">
            <v:imagedata r:id="rId330" o:title=""/>
          </v:shape>
          <o:OLEObject Type="Embed" ProgID="Equation.3" ShapeID="_x0000_i1256" DrawAspect="Content" ObjectID="_1836311533" r:id="rId331"/>
        </w:object>
      </w:r>
      <w:r w:rsidRPr="0013396E">
        <w:rPr>
          <w:iCs/>
        </w:rPr>
        <w:t xml:space="preserve"> (</w:t>
      </w:r>
      <w:r w:rsidRPr="0013396E">
        <w:rPr>
          <w:iCs/>
          <w:position w:val="-18"/>
        </w:rPr>
        <w:object w:dxaOrig="285" w:dyaOrig="570" w14:anchorId="08B09366">
          <v:shape id="_x0000_i1257" type="#_x0000_t75" style="width:12pt;height:30pt" o:ole="">
            <v:imagedata r:id="rId332" o:title=""/>
          </v:shape>
          <o:OLEObject Type="Embed" ProgID="Equation.3" ShapeID="_x0000_i1257" DrawAspect="Content" ObjectID="_1836311534" r:id="rId333"/>
        </w:object>
      </w:r>
      <w:r w:rsidRPr="0013396E">
        <w:rPr>
          <w:iCs/>
        </w:rPr>
        <w:t>PCRUR</w:t>
      </w:r>
      <w:r w:rsidRPr="0013396E">
        <w:rPr>
          <w:i/>
          <w:iCs/>
        </w:rPr>
        <w:t xml:space="preserve"> </w:t>
      </w:r>
      <w:r w:rsidRPr="0013396E">
        <w:rPr>
          <w:i/>
          <w:iCs/>
          <w:vertAlign w:val="subscript"/>
        </w:rPr>
        <w:t>r, q, DAM</w:t>
      </w:r>
      <w:r w:rsidRPr="0013396E">
        <w:rPr>
          <w:iCs/>
        </w:rPr>
        <w:t xml:space="preserve"> </w:t>
      </w:r>
      <w:r w:rsidRPr="0013396E">
        <w:rPr>
          <w:i/>
          <w:iCs/>
        </w:rPr>
        <w:t xml:space="preserve">+ </w:t>
      </w:r>
      <w:r w:rsidRPr="0013396E">
        <w:rPr>
          <w:iCs/>
        </w:rPr>
        <w:t xml:space="preserve">DARUOAWD </w:t>
      </w:r>
      <w:r w:rsidRPr="0013396E">
        <w:rPr>
          <w:i/>
          <w:iCs/>
          <w:vertAlign w:val="subscript"/>
        </w:rPr>
        <w:t xml:space="preserve">q </w:t>
      </w:r>
      <w:r w:rsidRPr="0013396E">
        <w:rPr>
          <w:iCs/>
        </w:rPr>
        <w:t>+</w:t>
      </w:r>
      <w:r w:rsidRPr="0013396E">
        <w:rPr>
          <w:i/>
          <w:iCs/>
          <w:vertAlign w:val="subscript"/>
        </w:rPr>
        <w:t xml:space="preserve"> </w:t>
      </w:r>
      <w:r w:rsidRPr="0013396E">
        <w:rPr>
          <w:iCs/>
        </w:rPr>
        <w:t xml:space="preserve">DASARUQ </w:t>
      </w:r>
      <w:r w:rsidRPr="0013396E">
        <w:rPr>
          <w:i/>
          <w:iCs/>
          <w:vertAlign w:val="subscript"/>
        </w:rPr>
        <w:t>q</w:t>
      </w:r>
      <w:r w:rsidRPr="0013396E">
        <w:rPr>
          <w:iCs/>
          <w:color w:val="000000"/>
        </w:rPr>
        <w:t xml:space="preserve">) </w:t>
      </w:r>
    </w:p>
    <w:p w14:paraId="171DCF13" w14:textId="77777777" w:rsidR="00EF6376" w:rsidRPr="0013396E" w:rsidRDefault="00EF6376" w:rsidP="00EF6376">
      <w:pPr>
        <w:rPr>
          <w:szCs w:val="24"/>
        </w:rPr>
      </w:pPr>
      <w:r w:rsidRPr="0013396E">
        <w:t>The above variables are defined as follows:</w:t>
      </w:r>
    </w:p>
    <w:tbl>
      <w:tblPr>
        <w:tblW w:w="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1"/>
        <w:gridCol w:w="970"/>
        <w:gridCol w:w="6394"/>
      </w:tblGrid>
      <w:tr w:rsidR="00EF6376" w:rsidRPr="0013396E" w14:paraId="6EFD9F88" w14:textId="77777777" w:rsidTr="0099759E">
        <w:trPr>
          <w:cantSplit/>
          <w:tblHeader/>
        </w:trPr>
        <w:tc>
          <w:tcPr>
            <w:tcW w:w="1883" w:type="dxa"/>
            <w:tcBorders>
              <w:top w:val="single" w:sz="4" w:space="0" w:color="auto"/>
              <w:left w:val="single" w:sz="4" w:space="0" w:color="auto"/>
              <w:bottom w:val="single" w:sz="4" w:space="0" w:color="auto"/>
              <w:right w:val="single" w:sz="4" w:space="0" w:color="auto"/>
            </w:tcBorders>
            <w:hideMark/>
          </w:tcPr>
          <w:p w14:paraId="6D9DB928" w14:textId="77777777" w:rsidR="00EF6376" w:rsidRPr="0013396E" w:rsidRDefault="00EF6376" w:rsidP="0099759E">
            <w:pPr>
              <w:pStyle w:val="TableHead"/>
            </w:pPr>
            <w:r w:rsidRPr="0013396E">
              <w:rPr>
                <w:iCs w:val="0"/>
              </w:rPr>
              <w:t>Variable</w:t>
            </w:r>
          </w:p>
        </w:tc>
        <w:tc>
          <w:tcPr>
            <w:tcW w:w="990" w:type="dxa"/>
            <w:tcBorders>
              <w:top w:val="single" w:sz="4" w:space="0" w:color="auto"/>
              <w:left w:val="single" w:sz="4" w:space="0" w:color="auto"/>
              <w:bottom w:val="single" w:sz="4" w:space="0" w:color="auto"/>
              <w:right w:val="single" w:sz="4" w:space="0" w:color="auto"/>
            </w:tcBorders>
            <w:hideMark/>
          </w:tcPr>
          <w:p w14:paraId="56D528A5" w14:textId="77777777" w:rsidR="00EF6376" w:rsidRPr="0013396E" w:rsidRDefault="00EF6376" w:rsidP="0099759E">
            <w:pPr>
              <w:pStyle w:val="TableHead"/>
            </w:pPr>
            <w:r w:rsidRPr="0013396E">
              <w:t>Unit</w:t>
            </w:r>
          </w:p>
        </w:tc>
        <w:tc>
          <w:tcPr>
            <w:tcW w:w="6840" w:type="dxa"/>
            <w:tcBorders>
              <w:top w:val="single" w:sz="4" w:space="0" w:color="auto"/>
              <w:left w:val="single" w:sz="4" w:space="0" w:color="auto"/>
              <w:bottom w:val="single" w:sz="4" w:space="0" w:color="auto"/>
              <w:right w:val="single" w:sz="4" w:space="0" w:color="auto"/>
            </w:tcBorders>
            <w:hideMark/>
          </w:tcPr>
          <w:p w14:paraId="4A85182F" w14:textId="77777777" w:rsidR="00EF6376" w:rsidRPr="0013396E" w:rsidRDefault="00EF6376" w:rsidP="0099759E">
            <w:pPr>
              <w:pStyle w:val="TableHead"/>
            </w:pPr>
            <w:r w:rsidRPr="0013396E">
              <w:t>Description</w:t>
            </w:r>
          </w:p>
        </w:tc>
      </w:tr>
      <w:tr w:rsidR="00EF6376" w:rsidRPr="0013396E" w14:paraId="20076B8B" w14:textId="77777777" w:rsidTr="0099759E">
        <w:trPr>
          <w:cantSplit/>
        </w:trPr>
        <w:tc>
          <w:tcPr>
            <w:tcW w:w="1883" w:type="dxa"/>
            <w:tcBorders>
              <w:top w:val="single" w:sz="4" w:space="0" w:color="auto"/>
              <w:left w:val="single" w:sz="4" w:space="0" w:color="auto"/>
              <w:bottom w:val="single" w:sz="4" w:space="0" w:color="auto"/>
              <w:right w:val="single" w:sz="4" w:space="0" w:color="auto"/>
            </w:tcBorders>
            <w:hideMark/>
          </w:tcPr>
          <w:p w14:paraId="12DE2A28" w14:textId="77777777" w:rsidR="00EF6376" w:rsidRPr="0013396E" w:rsidRDefault="00EF6376" w:rsidP="0099759E">
            <w:pPr>
              <w:pStyle w:val="TableBody"/>
            </w:pPr>
            <w:r w:rsidRPr="0013396E">
              <w:t xml:space="preserve">DARTPCRUAMT </w:t>
            </w:r>
            <w:r w:rsidRPr="0013396E">
              <w:rPr>
                <w:i/>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7003FCD9" w14:textId="77777777" w:rsidR="00EF6376" w:rsidRPr="0013396E" w:rsidRDefault="00EF6376" w:rsidP="0099759E">
            <w:pPr>
              <w:pStyle w:val="TableBody"/>
            </w:pPr>
            <w:r w:rsidRPr="0013396E">
              <w:t>$</w:t>
            </w:r>
          </w:p>
        </w:tc>
        <w:tc>
          <w:tcPr>
            <w:tcW w:w="6840" w:type="dxa"/>
            <w:tcBorders>
              <w:top w:val="single" w:sz="4" w:space="0" w:color="auto"/>
              <w:left w:val="single" w:sz="4" w:space="0" w:color="auto"/>
              <w:bottom w:val="single" w:sz="4" w:space="0" w:color="auto"/>
              <w:right w:val="single" w:sz="4" w:space="0" w:color="auto"/>
            </w:tcBorders>
            <w:hideMark/>
          </w:tcPr>
          <w:p w14:paraId="6407F323" w14:textId="77777777" w:rsidR="00EF6376" w:rsidRPr="0013396E" w:rsidRDefault="00EF6376" w:rsidP="0099759E">
            <w:pPr>
              <w:pStyle w:val="TableBody"/>
            </w:pPr>
            <w:r w:rsidRPr="0013396E">
              <w:rPr>
                <w:i/>
              </w:rPr>
              <w:t>Day-Ahead Updated Real-Time Procured Capacity for Reg-Up Amount by QSE</w:t>
            </w:r>
            <w:r w:rsidRPr="0013396E">
              <w:t xml:space="preserve">—The payment or charge to QSE </w:t>
            </w:r>
            <w:r w:rsidRPr="0013396E">
              <w:rPr>
                <w:i/>
              </w:rPr>
              <w:t>q</w:t>
            </w:r>
            <w:r w:rsidRPr="0013396E">
              <w:t xml:space="preserve"> for Reg-Up, for the re-calculated Real-Time obligation, for the Operating Hour.</w:t>
            </w:r>
          </w:p>
        </w:tc>
      </w:tr>
      <w:tr w:rsidR="00EF6376" w:rsidRPr="0013396E" w14:paraId="6B120EAA" w14:textId="77777777" w:rsidTr="0099759E">
        <w:trPr>
          <w:cantSplit/>
        </w:trPr>
        <w:tc>
          <w:tcPr>
            <w:tcW w:w="1883" w:type="dxa"/>
            <w:tcBorders>
              <w:top w:val="single" w:sz="4" w:space="0" w:color="auto"/>
              <w:left w:val="single" w:sz="4" w:space="0" w:color="auto"/>
              <w:bottom w:val="single" w:sz="4" w:space="0" w:color="auto"/>
              <w:right w:val="single" w:sz="4" w:space="0" w:color="auto"/>
            </w:tcBorders>
            <w:hideMark/>
          </w:tcPr>
          <w:p w14:paraId="57B58791" w14:textId="77777777" w:rsidR="00EF6376" w:rsidRPr="0013396E" w:rsidRDefault="00EF6376" w:rsidP="0099759E">
            <w:pPr>
              <w:pStyle w:val="TableBody"/>
            </w:pPr>
            <w:r w:rsidRPr="0013396E">
              <w:t>DARUPR</w:t>
            </w:r>
          </w:p>
        </w:tc>
        <w:tc>
          <w:tcPr>
            <w:tcW w:w="990" w:type="dxa"/>
            <w:tcBorders>
              <w:top w:val="single" w:sz="4" w:space="0" w:color="auto"/>
              <w:left w:val="single" w:sz="4" w:space="0" w:color="auto"/>
              <w:bottom w:val="single" w:sz="4" w:space="0" w:color="auto"/>
              <w:right w:val="single" w:sz="4" w:space="0" w:color="auto"/>
            </w:tcBorders>
            <w:hideMark/>
          </w:tcPr>
          <w:p w14:paraId="6A1E97DF" w14:textId="77777777" w:rsidR="00EF6376" w:rsidRPr="0013396E" w:rsidRDefault="00EF6376" w:rsidP="0099759E">
            <w:pPr>
              <w:pStyle w:val="TableBody"/>
            </w:pPr>
            <w:r w:rsidRPr="0013396E">
              <w:t xml:space="preserve">$/MW </w:t>
            </w:r>
          </w:p>
        </w:tc>
        <w:tc>
          <w:tcPr>
            <w:tcW w:w="6840" w:type="dxa"/>
            <w:tcBorders>
              <w:top w:val="single" w:sz="4" w:space="0" w:color="auto"/>
              <w:left w:val="single" w:sz="4" w:space="0" w:color="auto"/>
              <w:bottom w:val="single" w:sz="4" w:space="0" w:color="auto"/>
              <w:right w:val="single" w:sz="4" w:space="0" w:color="auto"/>
            </w:tcBorders>
            <w:hideMark/>
          </w:tcPr>
          <w:p w14:paraId="32B529D1" w14:textId="77777777" w:rsidR="00EF6376" w:rsidRPr="0013396E" w:rsidRDefault="00EF6376" w:rsidP="0099759E">
            <w:pPr>
              <w:pStyle w:val="TableBody"/>
              <w:rPr>
                <w:i/>
              </w:rPr>
            </w:pPr>
            <w:r w:rsidRPr="0013396E">
              <w:rPr>
                <w:i/>
              </w:rPr>
              <w:t>Day-Ahead Reg-Up Price</w:t>
            </w:r>
            <w:r w:rsidRPr="0013396E">
              <w:t>—The DAM Reg-Up price for the Operating Hour.</w:t>
            </w:r>
          </w:p>
        </w:tc>
      </w:tr>
      <w:tr w:rsidR="00EF6376" w:rsidRPr="0013396E" w14:paraId="4C48202A" w14:textId="77777777" w:rsidTr="0099759E">
        <w:trPr>
          <w:cantSplit/>
        </w:trPr>
        <w:tc>
          <w:tcPr>
            <w:tcW w:w="1883" w:type="dxa"/>
            <w:tcBorders>
              <w:top w:val="single" w:sz="4" w:space="0" w:color="auto"/>
              <w:left w:val="single" w:sz="4" w:space="0" w:color="auto"/>
              <w:bottom w:val="single" w:sz="4" w:space="0" w:color="auto"/>
              <w:right w:val="single" w:sz="4" w:space="0" w:color="auto"/>
            </w:tcBorders>
            <w:hideMark/>
          </w:tcPr>
          <w:p w14:paraId="2EC9847F" w14:textId="77777777" w:rsidR="00EF6376" w:rsidRPr="0013396E" w:rsidRDefault="00EF6376" w:rsidP="0099759E">
            <w:pPr>
              <w:pStyle w:val="TableBody"/>
            </w:pPr>
            <w:r w:rsidRPr="0013396E">
              <w:t>DARUNOBL</w:t>
            </w:r>
            <w:r w:rsidRPr="0013396E">
              <w:rPr>
                <w:vertAlign w:val="subscript"/>
              </w:rPr>
              <w:t xml:space="preserve"> </w:t>
            </w:r>
            <w:r w:rsidRPr="0013396E">
              <w:rPr>
                <w:i/>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03ECD5FB" w14:textId="77777777" w:rsidR="00EF6376" w:rsidRPr="0013396E" w:rsidRDefault="00EF6376" w:rsidP="0099759E">
            <w:pPr>
              <w:pStyle w:val="TableBody"/>
            </w:pPr>
            <w:r w:rsidRPr="0013396E">
              <w:t>MW</w:t>
            </w:r>
          </w:p>
        </w:tc>
        <w:tc>
          <w:tcPr>
            <w:tcW w:w="6840" w:type="dxa"/>
            <w:tcBorders>
              <w:top w:val="single" w:sz="4" w:space="0" w:color="auto"/>
              <w:left w:val="single" w:sz="4" w:space="0" w:color="auto"/>
              <w:bottom w:val="single" w:sz="4" w:space="0" w:color="auto"/>
              <w:right w:val="single" w:sz="4" w:space="0" w:color="auto"/>
            </w:tcBorders>
            <w:hideMark/>
          </w:tcPr>
          <w:p w14:paraId="2FD9A97E" w14:textId="77777777" w:rsidR="00EF6376" w:rsidRPr="0013396E" w:rsidRDefault="00EF6376" w:rsidP="0099759E">
            <w:pPr>
              <w:pStyle w:val="TableBody"/>
              <w:rPr>
                <w:i/>
              </w:rPr>
            </w:pPr>
            <w:r w:rsidRPr="0013396E">
              <w:rPr>
                <w:i/>
              </w:rPr>
              <w:t>Day-Ahead Reg-Up New Obligation per QSE—</w:t>
            </w:r>
            <w:r w:rsidRPr="0013396E">
              <w:t xml:space="preserve">The updated Reg-Up Ancillary Service Obligation in Real-Time for QSE </w:t>
            </w:r>
            <w:r w:rsidRPr="0013396E">
              <w:rPr>
                <w:i/>
              </w:rPr>
              <w:t>q</w:t>
            </w:r>
            <w:r w:rsidRPr="0013396E">
              <w:t xml:space="preserve"> for the Operating Hour.</w:t>
            </w:r>
          </w:p>
        </w:tc>
      </w:tr>
      <w:tr w:rsidR="00EF6376" w:rsidRPr="0013396E" w14:paraId="5EB10DA8" w14:textId="77777777" w:rsidTr="0099759E">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0606B97D" w14:textId="77777777" w:rsidR="00EF6376" w:rsidRPr="0013396E" w:rsidRDefault="00EF6376" w:rsidP="0099759E">
            <w:pPr>
              <w:pStyle w:val="TableBody"/>
              <w:rPr>
                <w:i/>
              </w:rPr>
            </w:pPr>
            <w:r w:rsidRPr="0013396E">
              <w:t xml:space="preserve">DARUAMT </w:t>
            </w:r>
            <w:r w:rsidRPr="0013396E">
              <w:rPr>
                <w:i/>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4B0695CD" w14:textId="77777777" w:rsidR="00EF6376" w:rsidRPr="0013396E" w:rsidRDefault="00EF6376" w:rsidP="0099759E">
            <w:pPr>
              <w:pStyle w:val="TableBody"/>
            </w:pPr>
            <w:r w:rsidRPr="0013396E">
              <w:t>$</w:t>
            </w:r>
          </w:p>
        </w:tc>
        <w:tc>
          <w:tcPr>
            <w:tcW w:w="6840" w:type="dxa"/>
            <w:tcBorders>
              <w:top w:val="single" w:sz="4" w:space="0" w:color="auto"/>
              <w:left w:val="single" w:sz="4" w:space="0" w:color="auto"/>
              <w:bottom w:val="single" w:sz="4" w:space="0" w:color="auto"/>
              <w:right w:val="single" w:sz="4" w:space="0" w:color="auto"/>
            </w:tcBorders>
            <w:hideMark/>
          </w:tcPr>
          <w:p w14:paraId="56ADA573" w14:textId="77777777" w:rsidR="00EF6376" w:rsidRPr="0013396E" w:rsidRDefault="00EF6376" w:rsidP="0099759E">
            <w:pPr>
              <w:pStyle w:val="TableBody"/>
            </w:pPr>
            <w:r w:rsidRPr="0013396E">
              <w:rPr>
                <w:i/>
              </w:rPr>
              <w:t>Day-Ahead Reg-Up Amount per QSE</w:t>
            </w:r>
            <w:r w:rsidRPr="0013396E">
              <w:t xml:space="preserve">—QSE </w:t>
            </w:r>
            <w:r w:rsidRPr="0013396E">
              <w:rPr>
                <w:i/>
              </w:rPr>
              <w:t>q</w:t>
            </w:r>
            <w:r w:rsidRPr="0013396E">
              <w:t>’s share of the DAM costs for Reg-Up for the Operating Hour.</w:t>
            </w:r>
          </w:p>
        </w:tc>
      </w:tr>
      <w:tr w:rsidR="00EF6376" w:rsidRPr="0013396E" w14:paraId="0A535C61" w14:textId="77777777" w:rsidTr="0099759E">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4965E0EA" w14:textId="77777777" w:rsidR="00EF6376" w:rsidRPr="0013396E" w:rsidRDefault="00EF6376" w:rsidP="0099759E">
            <w:pPr>
              <w:pStyle w:val="TableBody"/>
            </w:pPr>
            <w:r w:rsidRPr="0013396E">
              <w:t xml:space="preserve">PCRUR </w:t>
            </w:r>
            <w:r w:rsidRPr="0013396E">
              <w:rPr>
                <w:i/>
                <w:vertAlign w:val="subscript"/>
              </w:rPr>
              <w:t>r,</w:t>
            </w:r>
            <w:r w:rsidRPr="0013396E">
              <w:rPr>
                <w:i/>
              </w:rPr>
              <w:t xml:space="preserve"> </w:t>
            </w:r>
            <w:r w:rsidRPr="0013396E">
              <w:rPr>
                <w:i/>
                <w:vertAlign w:val="subscript"/>
              </w:rPr>
              <w:t>q, DAM</w:t>
            </w:r>
          </w:p>
        </w:tc>
        <w:tc>
          <w:tcPr>
            <w:tcW w:w="990" w:type="dxa"/>
            <w:tcBorders>
              <w:top w:val="single" w:sz="4" w:space="0" w:color="auto"/>
              <w:left w:val="single" w:sz="4" w:space="0" w:color="auto"/>
              <w:bottom w:val="single" w:sz="4" w:space="0" w:color="auto"/>
              <w:right w:val="single" w:sz="4" w:space="0" w:color="auto"/>
            </w:tcBorders>
            <w:hideMark/>
          </w:tcPr>
          <w:p w14:paraId="647246A6" w14:textId="77777777" w:rsidR="00EF6376" w:rsidRPr="0013396E" w:rsidRDefault="00EF6376" w:rsidP="0099759E">
            <w:pPr>
              <w:pStyle w:val="TableBody"/>
            </w:pPr>
            <w:r w:rsidRPr="0013396E">
              <w:t>MW</w:t>
            </w:r>
          </w:p>
        </w:tc>
        <w:tc>
          <w:tcPr>
            <w:tcW w:w="6840" w:type="dxa"/>
            <w:tcBorders>
              <w:top w:val="single" w:sz="4" w:space="0" w:color="auto"/>
              <w:left w:val="single" w:sz="4" w:space="0" w:color="auto"/>
              <w:bottom w:val="single" w:sz="4" w:space="0" w:color="auto"/>
              <w:right w:val="single" w:sz="4" w:space="0" w:color="auto"/>
            </w:tcBorders>
            <w:hideMark/>
          </w:tcPr>
          <w:p w14:paraId="0F0D3FC0" w14:textId="77777777" w:rsidR="00EF6376" w:rsidRPr="0013396E" w:rsidRDefault="00EF6376" w:rsidP="0099759E">
            <w:pPr>
              <w:pStyle w:val="TableBody"/>
              <w:rPr>
                <w:i/>
              </w:rPr>
            </w:pPr>
            <w:r w:rsidRPr="0013396E">
              <w:rPr>
                <w:i/>
              </w:rPr>
              <w:t>Procured Capacity for Reg-Up per Resource per QSE in DAM</w:t>
            </w:r>
            <w:r w:rsidRPr="0013396E">
              <w:t xml:space="preserve">—The Reg-Up capacity awarded to QSE </w:t>
            </w:r>
            <w:r w:rsidRPr="0013396E">
              <w:rPr>
                <w:i/>
              </w:rPr>
              <w:t>q</w:t>
            </w:r>
            <w:r w:rsidRPr="0013396E">
              <w:t xml:space="preserve"> in the DAM for Resource </w:t>
            </w:r>
            <w:r w:rsidRPr="0013396E">
              <w:rPr>
                <w:i/>
              </w:rPr>
              <w:t>r</w:t>
            </w:r>
            <w:r w:rsidRPr="0013396E">
              <w:t xml:space="preserve"> for the Operating Hour.  Where for a Combined Cycle Train, the Resource </w:t>
            </w:r>
            <w:r w:rsidRPr="0013396E">
              <w:rPr>
                <w:i/>
              </w:rPr>
              <w:t>r</w:t>
            </w:r>
            <w:r w:rsidRPr="0013396E">
              <w:t xml:space="preserve"> is a Combined Cycle Generation Resource within the Combined Cycle Train.</w:t>
            </w:r>
          </w:p>
        </w:tc>
      </w:tr>
      <w:tr w:rsidR="00EF6376" w:rsidRPr="0013396E" w14:paraId="39FF9ECA" w14:textId="77777777" w:rsidTr="0099759E">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3B0BAE7C" w14:textId="77777777" w:rsidR="00EF6376" w:rsidRPr="0013396E" w:rsidRDefault="00EF6376" w:rsidP="0099759E">
            <w:pPr>
              <w:pStyle w:val="TableBody"/>
            </w:pPr>
            <w:r w:rsidRPr="0013396E">
              <w:t xml:space="preserve">DARUOAWD </w:t>
            </w:r>
            <w:r w:rsidRPr="0013396E">
              <w:rPr>
                <w:i/>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4A319C32" w14:textId="77777777" w:rsidR="00EF6376" w:rsidRPr="0013396E" w:rsidRDefault="00EF6376" w:rsidP="0099759E">
            <w:pPr>
              <w:pStyle w:val="TableBody"/>
            </w:pPr>
            <w:r w:rsidRPr="0013396E">
              <w:t>MW</w:t>
            </w:r>
          </w:p>
        </w:tc>
        <w:tc>
          <w:tcPr>
            <w:tcW w:w="6840" w:type="dxa"/>
            <w:tcBorders>
              <w:top w:val="single" w:sz="4" w:space="0" w:color="auto"/>
              <w:left w:val="single" w:sz="4" w:space="0" w:color="auto"/>
              <w:bottom w:val="single" w:sz="4" w:space="0" w:color="auto"/>
              <w:right w:val="single" w:sz="4" w:space="0" w:color="auto"/>
            </w:tcBorders>
            <w:hideMark/>
          </w:tcPr>
          <w:p w14:paraId="6C41F923" w14:textId="77777777" w:rsidR="00EF6376" w:rsidRPr="0013396E" w:rsidRDefault="00EF6376" w:rsidP="0099759E">
            <w:pPr>
              <w:pStyle w:val="TableBody"/>
              <w:rPr>
                <w:i/>
              </w:rPr>
            </w:pPr>
            <w:r w:rsidRPr="0013396E">
              <w:rPr>
                <w:i/>
              </w:rPr>
              <w:t>Day-Ahead Reg-Up Award for the QSE</w:t>
            </w:r>
            <w:r w:rsidRPr="0013396E">
              <w:t xml:space="preserve">—The Reg-Up Only capacity awarded in the DAM to QSE </w:t>
            </w:r>
            <w:r w:rsidRPr="0013396E">
              <w:rPr>
                <w:i/>
              </w:rPr>
              <w:t>q</w:t>
            </w:r>
            <w:r w:rsidRPr="0013396E">
              <w:t xml:space="preserve"> for the Operating Hour.</w:t>
            </w:r>
          </w:p>
        </w:tc>
      </w:tr>
      <w:tr w:rsidR="00EF6376" w:rsidRPr="0013396E" w14:paraId="0C78D0B4" w14:textId="77777777" w:rsidTr="0099759E">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1E7B7497" w14:textId="77777777" w:rsidR="00EF6376" w:rsidRPr="0013396E" w:rsidRDefault="00EF6376" w:rsidP="0099759E">
            <w:pPr>
              <w:pStyle w:val="TableBody"/>
            </w:pPr>
            <w:r w:rsidRPr="0013396E">
              <w:t>HLRS</w:t>
            </w:r>
            <w:r w:rsidRPr="0013396E">
              <w:rPr>
                <w:i/>
                <w:vertAlign w:val="subscript"/>
              </w:rPr>
              <w:t xml:space="preserve"> q</w:t>
            </w:r>
          </w:p>
        </w:tc>
        <w:tc>
          <w:tcPr>
            <w:tcW w:w="990" w:type="dxa"/>
            <w:tcBorders>
              <w:top w:val="single" w:sz="4" w:space="0" w:color="auto"/>
              <w:left w:val="single" w:sz="4" w:space="0" w:color="auto"/>
              <w:bottom w:val="single" w:sz="4" w:space="0" w:color="auto"/>
              <w:right w:val="single" w:sz="4" w:space="0" w:color="auto"/>
            </w:tcBorders>
            <w:hideMark/>
          </w:tcPr>
          <w:p w14:paraId="01348A18" w14:textId="77777777" w:rsidR="00EF6376" w:rsidRPr="0013396E" w:rsidRDefault="00EF6376" w:rsidP="0099759E">
            <w:pPr>
              <w:pStyle w:val="TableBody"/>
            </w:pPr>
            <w:r w:rsidRPr="0013396E">
              <w:t>none</w:t>
            </w:r>
          </w:p>
        </w:tc>
        <w:tc>
          <w:tcPr>
            <w:tcW w:w="6840" w:type="dxa"/>
            <w:tcBorders>
              <w:top w:val="single" w:sz="4" w:space="0" w:color="auto"/>
              <w:left w:val="single" w:sz="4" w:space="0" w:color="auto"/>
              <w:bottom w:val="single" w:sz="4" w:space="0" w:color="auto"/>
              <w:right w:val="single" w:sz="4" w:space="0" w:color="auto"/>
            </w:tcBorders>
            <w:hideMark/>
          </w:tcPr>
          <w:p w14:paraId="57A267E6" w14:textId="77777777" w:rsidR="00EF6376" w:rsidRPr="0013396E" w:rsidRDefault="00EF6376" w:rsidP="0099759E">
            <w:pPr>
              <w:pStyle w:val="TableBody"/>
            </w:pPr>
            <w:r w:rsidRPr="0013396E">
              <w:rPr>
                <w:i/>
              </w:rPr>
              <w:t>Hourly Load Ratio Share per QSE</w:t>
            </w:r>
            <w:r w:rsidRPr="0013396E">
              <w:t xml:space="preserve">—The Real-Time LRS as defined in Section 6.6.2.4, QSE Load Ratio Share for an Operating Hour, for QSE </w:t>
            </w:r>
            <w:r w:rsidRPr="0013396E">
              <w:rPr>
                <w:i/>
              </w:rPr>
              <w:t>q</w:t>
            </w:r>
            <w:r w:rsidRPr="0013396E">
              <w:t>, for the Operating Hour.</w:t>
            </w:r>
          </w:p>
        </w:tc>
      </w:tr>
      <w:tr w:rsidR="00EF6376" w:rsidRPr="0013396E" w14:paraId="16B2AC2E" w14:textId="77777777" w:rsidTr="0099759E">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11EB48C8" w14:textId="77777777" w:rsidR="00EF6376" w:rsidRPr="0013396E" w:rsidRDefault="00EF6376" w:rsidP="0099759E">
            <w:pPr>
              <w:pStyle w:val="TableBody"/>
            </w:pPr>
            <w:r w:rsidRPr="0013396E">
              <w:t xml:space="preserve">DAPCRUQTOT  </w:t>
            </w:r>
          </w:p>
        </w:tc>
        <w:tc>
          <w:tcPr>
            <w:tcW w:w="990" w:type="dxa"/>
            <w:tcBorders>
              <w:top w:val="single" w:sz="4" w:space="0" w:color="auto"/>
              <w:left w:val="single" w:sz="4" w:space="0" w:color="auto"/>
              <w:bottom w:val="single" w:sz="4" w:space="0" w:color="auto"/>
              <w:right w:val="single" w:sz="4" w:space="0" w:color="auto"/>
            </w:tcBorders>
            <w:hideMark/>
          </w:tcPr>
          <w:p w14:paraId="0A53EDC3" w14:textId="77777777" w:rsidR="00EF6376" w:rsidRPr="0013396E" w:rsidRDefault="00EF6376" w:rsidP="0099759E">
            <w:pPr>
              <w:pStyle w:val="TableBody"/>
            </w:pPr>
            <w:r w:rsidRPr="0013396E">
              <w:t>MW</w:t>
            </w:r>
          </w:p>
        </w:tc>
        <w:tc>
          <w:tcPr>
            <w:tcW w:w="6840" w:type="dxa"/>
            <w:tcBorders>
              <w:top w:val="single" w:sz="4" w:space="0" w:color="auto"/>
              <w:left w:val="single" w:sz="4" w:space="0" w:color="auto"/>
              <w:bottom w:val="single" w:sz="4" w:space="0" w:color="auto"/>
              <w:right w:val="single" w:sz="4" w:space="0" w:color="auto"/>
            </w:tcBorders>
            <w:hideMark/>
          </w:tcPr>
          <w:p w14:paraId="50D501CB" w14:textId="77777777" w:rsidR="00EF6376" w:rsidRPr="0013396E" w:rsidRDefault="00EF6376" w:rsidP="0099759E">
            <w:pPr>
              <w:pStyle w:val="TableBody"/>
              <w:rPr>
                <w:i/>
              </w:rPr>
            </w:pPr>
            <w:r w:rsidRPr="0013396E">
              <w:rPr>
                <w:i/>
              </w:rPr>
              <w:t>Day-Ahead Procured Capacity for Reg-Up Total</w:t>
            </w:r>
            <w:r w:rsidRPr="0013396E">
              <w:t>—The total Reg-Up capacity for all QSEs for all Reg-Up awarded and self-arranged in the DAM for the Operating Hour.</w:t>
            </w:r>
          </w:p>
        </w:tc>
      </w:tr>
      <w:tr w:rsidR="00EF6376" w:rsidRPr="0013396E" w14:paraId="05C11465" w14:textId="77777777" w:rsidTr="0099759E">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5F84159C" w14:textId="77777777" w:rsidR="00EF6376" w:rsidRPr="0013396E" w:rsidRDefault="00EF6376" w:rsidP="0099759E">
            <w:pPr>
              <w:pStyle w:val="TableBody"/>
            </w:pPr>
            <w:r w:rsidRPr="0013396E">
              <w:t xml:space="preserve">DASARUQ </w:t>
            </w:r>
            <w:r w:rsidRPr="0013396E">
              <w:rPr>
                <w:i/>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693DE4A6" w14:textId="77777777" w:rsidR="00EF6376" w:rsidRPr="0013396E" w:rsidRDefault="00EF6376" w:rsidP="0099759E">
            <w:pPr>
              <w:pStyle w:val="TableBody"/>
            </w:pPr>
            <w:r w:rsidRPr="0013396E">
              <w:t>MW</w:t>
            </w:r>
          </w:p>
        </w:tc>
        <w:tc>
          <w:tcPr>
            <w:tcW w:w="6840" w:type="dxa"/>
            <w:tcBorders>
              <w:top w:val="single" w:sz="4" w:space="0" w:color="auto"/>
              <w:left w:val="single" w:sz="4" w:space="0" w:color="auto"/>
              <w:bottom w:val="single" w:sz="4" w:space="0" w:color="auto"/>
              <w:right w:val="single" w:sz="4" w:space="0" w:color="auto"/>
            </w:tcBorders>
            <w:hideMark/>
          </w:tcPr>
          <w:p w14:paraId="0679B27D" w14:textId="77777777" w:rsidR="00EF6376" w:rsidRPr="0013396E" w:rsidRDefault="00EF6376" w:rsidP="0099759E">
            <w:pPr>
              <w:pStyle w:val="TableBody"/>
              <w:rPr>
                <w:i/>
              </w:rPr>
            </w:pPr>
            <w:r w:rsidRPr="0013396E">
              <w:rPr>
                <w:i/>
              </w:rPr>
              <w:t>Day-Ahead Self-Arranged Reg-Up Quantity per QSE</w:t>
            </w:r>
            <w:r w:rsidRPr="0013396E">
              <w:t xml:space="preserve">—The self-arranged Reg-Up capacity submitted by QSE </w:t>
            </w:r>
            <w:r w:rsidRPr="0013396E">
              <w:rPr>
                <w:i/>
              </w:rPr>
              <w:t>q</w:t>
            </w:r>
            <w:r w:rsidRPr="0013396E">
              <w:t xml:space="preserve"> before 1000 in the DAM for the Operating Hour.</w:t>
            </w:r>
          </w:p>
        </w:tc>
      </w:tr>
      <w:tr w:rsidR="00EF6376" w:rsidRPr="0013396E" w14:paraId="4C2A7AE2" w14:textId="77777777" w:rsidTr="0099759E">
        <w:trPr>
          <w:cantSplit/>
        </w:trPr>
        <w:tc>
          <w:tcPr>
            <w:tcW w:w="1883" w:type="dxa"/>
            <w:tcBorders>
              <w:top w:val="single" w:sz="4" w:space="0" w:color="auto"/>
              <w:left w:val="single" w:sz="4" w:space="0" w:color="auto"/>
              <w:bottom w:val="single" w:sz="4" w:space="0" w:color="auto"/>
              <w:right w:val="single" w:sz="4" w:space="0" w:color="auto"/>
            </w:tcBorders>
            <w:hideMark/>
          </w:tcPr>
          <w:p w14:paraId="5B3815E5" w14:textId="77777777" w:rsidR="00EF6376" w:rsidRPr="0013396E" w:rsidRDefault="00EF6376" w:rsidP="0099759E">
            <w:pPr>
              <w:pStyle w:val="TableBody"/>
              <w:rPr>
                <w:i/>
              </w:rPr>
            </w:pPr>
            <w:r w:rsidRPr="0013396E">
              <w:rPr>
                <w:i/>
              </w:rPr>
              <w:t>q</w:t>
            </w:r>
          </w:p>
        </w:tc>
        <w:tc>
          <w:tcPr>
            <w:tcW w:w="990" w:type="dxa"/>
            <w:tcBorders>
              <w:top w:val="single" w:sz="4" w:space="0" w:color="auto"/>
              <w:left w:val="single" w:sz="4" w:space="0" w:color="auto"/>
              <w:bottom w:val="single" w:sz="4" w:space="0" w:color="auto"/>
              <w:right w:val="single" w:sz="4" w:space="0" w:color="auto"/>
            </w:tcBorders>
            <w:hideMark/>
          </w:tcPr>
          <w:p w14:paraId="11ACDCAB" w14:textId="77777777" w:rsidR="00EF6376" w:rsidRPr="0013396E" w:rsidRDefault="00EF6376" w:rsidP="0099759E">
            <w:pPr>
              <w:pStyle w:val="TableBody"/>
            </w:pPr>
            <w:r w:rsidRPr="0013396E">
              <w:t>none</w:t>
            </w:r>
          </w:p>
        </w:tc>
        <w:tc>
          <w:tcPr>
            <w:tcW w:w="6840" w:type="dxa"/>
            <w:tcBorders>
              <w:top w:val="single" w:sz="4" w:space="0" w:color="auto"/>
              <w:left w:val="single" w:sz="4" w:space="0" w:color="auto"/>
              <w:bottom w:val="single" w:sz="4" w:space="0" w:color="auto"/>
              <w:right w:val="single" w:sz="4" w:space="0" w:color="auto"/>
            </w:tcBorders>
            <w:hideMark/>
          </w:tcPr>
          <w:p w14:paraId="2F9A43DE" w14:textId="77777777" w:rsidR="00EF6376" w:rsidRPr="0013396E" w:rsidRDefault="00EF6376" w:rsidP="0099759E">
            <w:pPr>
              <w:pStyle w:val="TableBody"/>
            </w:pPr>
            <w:r w:rsidRPr="0013396E">
              <w:t>A QSE.</w:t>
            </w:r>
          </w:p>
        </w:tc>
      </w:tr>
      <w:tr w:rsidR="00EF6376" w:rsidRPr="0013396E" w14:paraId="67A01750" w14:textId="77777777" w:rsidTr="0099759E">
        <w:trPr>
          <w:cantSplit/>
        </w:trPr>
        <w:tc>
          <w:tcPr>
            <w:tcW w:w="1883" w:type="dxa"/>
            <w:tcBorders>
              <w:top w:val="single" w:sz="4" w:space="0" w:color="auto"/>
              <w:left w:val="single" w:sz="4" w:space="0" w:color="auto"/>
              <w:bottom w:val="single" w:sz="4" w:space="0" w:color="auto"/>
              <w:right w:val="single" w:sz="4" w:space="0" w:color="auto"/>
            </w:tcBorders>
            <w:hideMark/>
          </w:tcPr>
          <w:p w14:paraId="14B904C6" w14:textId="77777777" w:rsidR="00EF6376" w:rsidRPr="0013396E" w:rsidRDefault="00EF6376" w:rsidP="0099759E">
            <w:pPr>
              <w:pStyle w:val="TableBody"/>
              <w:rPr>
                <w:i/>
              </w:rPr>
            </w:pPr>
            <w:r w:rsidRPr="0013396E">
              <w:rPr>
                <w:i/>
              </w:rPr>
              <w:t>r</w:t>
            </w:r>
          </w:p>
        </w:tc>
        <w:tc>
          <w:tcPr>
            <w:tcW w:w="990" w:type="dxa"/>
            <w:tcBorders>
              <w:top w:val="single" w:sz="4" w:space="0" w:color="auto"/>
              <w:left w:val="single" w:sz="4" w:space="0" w:color="auto"/>
              <w:bottom w:val="single" w:sz="4" w:space="0" w:color="auto"/>
              <w:right w:val="single" w:sz="4" w:space="0" w:color="auto"/>
            </w:tcBorders>
            <w:hideMark/>
          </w:tcPr>
          <w:p w14:paraId="18F8DD26" w14:textId="77777777" w:rsidR="00EF6376" w:rsidRPr="0013396E" w:rsidRDefault="00EF6376" w:rsidP="0099759E">
            <w:pPr>
              <w:pStyle w:val="TableBody"/>
            </w:pPr>
            <w:r w:rsidRPr="0013396E">
              <w:t>none</w:t>
            </w:r>
          </w:p>
        </w:tc>
        <w:tc>
          <w:tcPr>
            <w:tcW w:w="6840" w:type="dxa"/>
            <w:tcBorders>
              <w:top w:val="single" w:sz="4" w:space="0" w:color="auto"/>
              <w:left w:val="single" w:sz="4" w:space="0" w:color="auto"/>
              <w:bottom w:val="single" w:sz="4" w:space="0" w:color="auto"/>
              <w:right w:val="single" w:sz="4" w:space="0" w:color="auto"/>
            </w:tcBorders>
            <w:hideMark/>
          </w:tcPr>
          <w:p w14:paraId="1E48BDA5" w14:textId="77777777" w:rsidR="00EF6376" w:rsidRPr="0013396E" w:rsidRDefault="00EF6376" w:rsidP="0099759E">
            <w:pPr>
              <w:pStyle w:val="TableBody"/>
            </w:pPr>
            <w:r w:rsidRPr="0013396E">
              <w:t>A Resource.</w:t>
            </w:r>
          </w:p>
        </w:tc>
      </w:tr>
    </w:tbl>
    <w:p w14:paraId="03AB56FF" w14:textId="77777777" w:rsidR="00EF6376" w:rsidRPr="0013396E" w:rsidRDefault="00EF6376" w:rsidP="00EF6376">
      <w:pPr>
        <w:pStyle w:val="BodyTextNumbered"/>
        <w:spacing w:before="240"/>
        <w:ind w:left="1440"/>
        <w:rPr>
          <w:iCs/>
        </w:rPr>
      </w:pPr>
      <w:r w:rsidRPr="0013396E">
        <w:rPr>
          <w:iCs/>
        </w:rPr>
        <w:t>(b)</w:t>
      </w:r>
      <w:r w:rsidRPr="0013396E">
        <w:rPr>
          <w:iCs/>
        </w:rPr>
        <w:tab/>
        <w:t>For Regulation Down Service (Reg-Down), if applicable:</w:t>
      </w:r>
    </w:p>
    <w:p w14:paraId="5F351C92" w14:textId="77777777" w:rsidR="00EF6376" w:rsidRPr="0013396E" w:rsidRDefault="00EF6376" w:rsidP="00EF6376">
      <w:pPr>
        <w:pStyle w:val="BodyTextNumbered"/>
        <w:ind w:left="1440"/>
        <w:rPr>
          <w:iCs/>
        </w:rPr>
      </w:pPr>
      <w:r w:rsidRPr="0013396E">
        <w:rPr>
          <w:iCs/>
        </w:rPr>
        <w:t xml:space="preserve">DARTPCRDAMT </w:t>
      </w:r>
      <w:r w:rsidRPr="0013396E">
        <w:rPr>
          <w:i/>
          <w:iCs/>
          <w:vertAlign w:val="subscript"/>
        </w:rPr>
        <w:t>q</w:t>
      </w:r>
      <w:r w:rsidRPr="0013396E">
        <w:rPr>
          <w:iCs/>
          <w:vertAlign w:val="subscript"/>
        </w:rPr>
        <w:t xml:space="preserve"> </w:t>
      </w:r>
      <w:r w:rsidRPr="0013396E">
        <w:rPr>
          <w:iCs/>
        </w:rPr>
        <w:t>= (DARDNOBL</w:t>
      </w:r>
      <w:r w:rsidRPr="0013396E">
        <w:rPr>
          <w:iCs/>
          <w:vertAlign w:val="subscript"/>
        </w:rPr>
        <w:t xml:space="preserve"> </w:t>
      </w:r>
      <w:r w:rsidRPr="0013396E">
        <w:rPr>
          <w:i/>
          <w:iCs/>
          <w:vertAlign w:val="subscript"/>
        </w:rPr>
        <w:t>q</w:t>
      </w:r>
      <w:r w:rsidRPr="0013396E">
        <w:rPr>
          <w:iCs/>
          <w:vertAlign w:val="subscript"/>
        </w:rPr>
        <w:t xml:space="preserve"> </w:t>
      </w:r>
      <w:r w:rsidRPr="0013396E">
        <w:rPr>
          <w:iCs/>
        </w:rPr>
        <w:t xml:space="preserve">- DASARDQ </w:t>
      </w:r>
      <w:r w:rsidRPr="0013396E">
        <w:rPr>
          <w:i/>
          <w:iCs/>
          <w:vertAlign w:val="subscript"/>
        </w:rPr>
        <w:t>q</w:t>
      </w:r>
      <w:r w:rsidRPr="0013396E">
        <w:rPr>
          <w:iCs/>
        </w:rPr>
        <w:t xml:space="preserve">) * DARDPR - DARDAMT </w:t>
      </w:r>
      <w:r w:rsidRPr="0013396E">
        <w:rPr>
          <w:i/>
          <w:iCs/>
          <w:vertAlign w:val="subscript"/>
        </w:rPr>
        <w:t>q</w:t>
      </w:r>
    </w:p>
    <w:p w14:paraId="13960620" w14:textId="77777777" w:rsidR="00EF6376" w:rsidRPr="0013396E" w:rsidRDefault="00EF6376" w:rsidP="00EF6376">
      <w:pPr>
        <w:pStyle w:val="BodyText"/>
        <w:rPr>
          <w:iCs w:val="0"/>
          <w:szCs w:val="24"/>
          <w:lang w:val="pt-BR"/>
        </w:rPr>
      </w:pPr>
      <w:r w:rsidRPr="0013396E">
        <w:rPr>
          <w:lang w:val="pt-BR"/>
        </w:rPr>
        <w:t>Where:</w:t>
      </w:r>
    </w:p>
    <w:p w14:paraId="7D75C17A" w14:textId="77777777" w:rsidR="00EF6376" w:rsidRPr="0013396E" w:rsidRDefault="00EF6376" w:rsidP="00EF6376">
      <w:pPr>
        <w:pStyle w:val="BodyTextNumbered"/>
        <w:ind w:left="1440"/>
        <w:rPr>
          <w:iCs/>
        </w:rPr>
      </w:pPr>
      <w:r w:rsidRPr="0013396E">
        <w:rPr>
          <w:iCs/>
        </w:rPr>
        <w:lastRenderedPageBreak/>
        <w:t xml:space="preserve">DARDNOBL </w:t>
      </w:r>
      <w:r w:rsidRPr="0013396E">
        <w:rPr>
          <w:i/>
          <w:iCs/>
          <w:vertAlign w:val="subscript"/>
        </w:rPr>
        <w:t xml:space="preserve">q     </w:t>
      </w:r>
      <w:r w:rsidRPr="0013396E">
        <w:rPr>
          <w:iCs/>
        </w:rPr>
        <w:t xml:space="preserve">=  DAPCRDQTOT * HLRS </w:t>
      </w:r>
      <w:r w:rsidRPr="0013396E">
        <w:rPr>
          <w:i/>
          <w:iCs/>
          <w:vertAlign w:val="subscript"/>
        </w:rPr>
        <w:t>q</w:t>
      </w:r>
      <w:r w:rsidRPr="0013396E">
        <w:rPr>
          <w:iCs/>
        </w:rPr>
        <w:t xml:space="preserve"> </w:t>
      </w:r>
    </w:p>
    <w:p w14:paraId="298C6CF1" w14:textId="77777777" w:rsidR="00EF6376" w:rsidRPr="0013396E" w:rsidRDefault="00EF6376" w:rsidP="00EF6376">
      <w:pPr>
        <w:pStyle w:val="BodyTextNumbered"/>
        <w:ind w:left="1440"/>
        <w:rPr>
          <w:iCs/>
        </w:rPr>
      </w:pPr>
      <w:r w:rsidRPr="0013396E">
        <w:rPr>
          <w:iCs/>
        </w:rPr>
        <w:t xml:space="preserve">DAPCRDQTOT       = </w:t>
      </w:r>
      <w:r w:rsidRPr="0013396E">
        <w:rPr>
          <w:iCs/>
          <w:position w:val="-22"/>
        </w:rPr>
        <w:object w:dxaOrig="285" w:dyaOrig="285" w14:anchorId="79135AD6">
          <v:shape id="_x0000_i1258" type="#_x0000_t75" style="width:30pt;height:30pt" o:ole="">
            <v:imagedata r:id="rId330" o:title=""/>
          </v:shape>
          <o:OLEObject Type="Embed" ProgID="Equation.3" ShapeID="_x0000_i1258" DrawAspect="Content" ObjectID="_1836311535" r:id="rId334"/>
        </w:object>
      </w:r>
      <w:r w:rsidRPr="0013396E">
        <w:rPr>
          <w:iCs/>
        </w:rPr>
        <w:t xml:space="preserve"> (</w:t>
      </w:r>
      <w:r w:rsidRPr="0013396E">
        <w:rPr>
          <w:iCs/>
          <w:position w:val="-18"/>
        </w:rPr>
        <w:object w:dxaOrig="285" w:dyaOrig="570" w14:anchorId="7690B914">
          <v:shape id="_x0000_i1259" type="#_x0000_t75" style="width:12pt;height:30pt" o:ole="">
            <v:imagedata r:id="rId332" o:title=""/>
          </v:shape>
          <o:OLEObject Type="Embed" ProgID="Equation.3" ShapeID="_x0000_i1259" DrawAspect="Content" ObjectID="_1836311536" r:id="rId335"/>
        </w:object>
      </w:r>
      <w:r w:rsidRPr="0013396E">
        <w:rPr>
          <w:iCs/>
        </w:rPr>
        <w:t>PCRDR</w:t>
      </w:r>
      <w:r w:rsidRPr="0013396E">
        <w:rPr>
          <w:i/>
          <w:iCs/>
        </w:rPr>
        <w:t xml:space="preserve"> </w:t>
      </w:r>
      <w:r w:rsidRPr="0013396E">
        <w:rPr>
          <w:i/>
          <w:iCs/>
          <w:vertAlign w:val="subscript"/>
        </w:rPr>
        <w:t>r, q, DAM</w:t>
      </w:r>
      <w:r w:rsidRPr="0013396E">
        <w:rPr>
          <w:iCs/>
        </w:rPr>
        <w:t xml:space="preserve"> + DARDOAWD </w:t>
      </w:r>
      <w:r w:rsidRPr="0013396E">
        <w:rPr>
          <w:i/>
          <w:iCs/>
          <w:vertAlign w:val="subscript"/>
        </w:rPr>
        <w:t>q</w:t>
      </w:r>
      <w:r w:rsidRPr="0013396E">
        <w:rPr>
          <w:iCs/>
        </w:rPr>
        <w:t xml:space="preserve"> + DASARDQ </w:t>
      </w:r>
      <w:r w:rsidRPr="0013396E">
        <w:rPr>
          <w:i/>
          <w:iCs/>
          <w:vertAlign w:val="subscript"/>
        </w:rPr>
        <w:t>q</w:t>
      </w:r>
      <w:r w:rsidRPr="0013396E">
        <w:rPr>
          <w:iCs/>
        </w:rPr>
        <w:t>)</w:t>
      </w:r>
    </w:p>
    <w:p w14:paraId="0B3C2AB4" w14:textId="77777777" w:rsidR="00EF6376" w:rsidRPr="0013396E" w:rsidRDefault="00EF6376" w:rsidP="00EF6376">
      <w:pPr>
        <w:pStyle w:val="BodyText"/>
        <w:spacing w:after="0"/>
        <w:rPr>
          <w:iCs w:val="0"/>
          <w:szCs w:val="24"/>
        </w:rPr>
      </w:pPr>
      <w:r w:rsidRPr="0013396E">
        <w:t>The above variables are defined as follows:</w:t>
      </w:r>
    </w:p>
    <w:tbl>
      <w:tblPr>
        <w:tblW w:w="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1"/>
        <w:gridCol w:w="970"/>
        <w:gridCol w:w="6394"/>
      </w:tblGrid>
      <w:tr w:rsidR="00EF6376" w:rsidRPr="0013396E" w14:paraId="02C5E88A" w14:textId="77777777" w:rsidTr="0099759E">
        <w:trPr>
          <w:cantSplit/>
          <w:tblHeader/>
        </w:trPr>
        <w:tc>
          <w:tcPr>
            <w:tcW w:w="1883" w:type="dxa"/>
            <w:tcBorders>
              <w:top w:val="single" w:sz="4" w:space="0" w:color="auto"/>
              <w:left w:val="single" w:sz="4" w:space="0" w:color="auto"/>
              <w:bottom w:val="single" w:sz="4" w:space="0" w:color="auto"/>
              <w:right w:val="single" w:sz="4" w:space="0" w:color="auto"/>
            </w:tcBorders>
            <w:hideMark/>
          </w:tcPr>
          <w:p w14:paraId="1E3EE401" w14:textId="77777777" w:rsidR="00EF6376" w:rsidRPr="0013396E" w:rsidRDefault="00EF6376" w:rsidP="0099759E">
            <w:pPr>
              <w:pStyle w:val="TableHead"/>
            </w:pPr>
            <w:r w:rsidRPr="0013396E">
              <w:rPr>
                <w:iCs w:val="0"/>
              </w:rPr>
              <w:t>Variable</w:t>
            </w:r>
          </w:p>
        </w:tc>
        <w:tc>
          <w:tcPr>
            <w:tcW w:w="990" w:type="dxa"/>
            <w:tcBorders>
              <w:top w:val="single" w:sz="4" w:space="0" w:color="auto"/>
              <w:left w:val="single" w:sz="4" w:space="0" w:color="auto"/>
              <w:bottom w:val="single" w:sz="4" w:space="0" w:color="auto"/>
              <w:right w:val="single" w:sz="4" w:space="0" w:color="auto"/>
            </w:tcBorders>
            <w:hideMark/>
          </w:tcPr>
          <w:p w14:paraId="6DBDBF12" w14:textId="77777777" w:rsidR="00EF6376" w:rsidRPr="0013396E" w:rsidRDefault="00EF6376" w:rsidP="0099759E">
            <w:pPr>
              <w:pStyle w:val="TableHead"/>
            </w:pPr>
            <w:r w:rsidRPr="0013396E">
              <w:t>Unit</w:t>
            </w:r>
          </w:p>
        </w:tc>
        <w:tc>
          <w:tcPr>
            <w:tcW w:w="6840" w:type="dxa"/>
            <w:tcBorders>
              <w:top w:val="single" w:sz="4" w:space="0" w:color="auto"/>
              <w:left w:val="single" w:sz="4" w:space="0" w:color="auto"/>
              <w:bottom w:val="single" w:sz="4" w:space="0" w:color="auto"/>
              <w:right w:val="single" w:sz="4" w:space="0" w:color="auto"/>
            </w:tcBorders>
            <w:hideMark/>
          </w:tcPr>
          <w:p w14:paraId="23580509" w14:textId="77777777" w:rsidR="00EF6376" w:rsidRPr="0013396E" w:rsidRDefault="00EF6376" w:rsidP="0099759E">
            <w:pPr>
              <w:pStyle w:val="TableHead"/>
            </w:pPr>
            <w:r w:rsidRPr="0013396E">
              <w:t>Description</w:t>
            </w:r>
          </w:p>
        </w:tc>
      </w:tr>
      <w:tr w:rsidR="00EF6376" w:rsidRPr="0013396E" w14:paraId="3D61CE10" w14:textId="77777777" w:rsidTr="0099759E">
        <w:trPr>
          <w:cantSplit/>
        </w:trPr>
        <w:tc>
          <w:tcPr>
            <w:tcW w:w="1883" w:type="dxa"/>
            <w:tcBorders>
              <w:top w:val="single" w:sz="4" w:space="0" w:color="auto"/>
              <w:left w:val="single" w:sz="4" w:space="0" w:color="auto"/>
              <w:bottom w:val="single" w:sz="4" w:space="0" w:color="auto"/>
              <w:right w:val="single" w:sz="4" w:space="0" w:color="auto"/>
            </w:tcBorders>
            <w:hideMark/>
          </w:tcPr>
          <w:p w14:paraId="7D76A76F" w14:textId="77777777" w:rsidR="00EF6376" w:rsidRPr="0013396E" w:rsidRDefault="00EF6376" w:rsidP="0099759E">
            <w:pPr>
              <w:pStyle w:val="TableBody"/>
            </w:pPr>
            <w:r w:rsidRPr="0013396E">
              <w:t xml:space="preserve">DARTPCRDAMT </w:t>
            </w:r>
            <w:r w:rsidRPr="0013396E">
              <w:rPr>
                <w:i/>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4C023B19" w14:textId="77777777" w:rsidR="00EF6376" w:rsidRPr="0013396E" w:rsidRDefault="00EF6376" w:rsidP="0099759E">
            <w:pPr>
              <w:pStyle w:val="TableBody"/>
            </w:pPr>
            <w:r w:rsidRPr="0013396E">
              <w:t>$</w:t>
            </w:r>
          </w:p>
        </w:tc>
        <w:tc>
          <w:tcPr>
            <w:tcW w:w="6840" w:type="dxa"/>
            <w:tcBorders>
              <w:top w:val="single" w:sz="4" w:space="0" w:color="auto"/>
              <w:left w:val="single" w:sz="4" w:space="0" w:color="auto"/>
              <w:bottom w:val="single" w:sz="4" w:space="0" w:color="auto"/>
              <w:right w:val="single" w:sz="4" w:space="0" w:color="auto"/>
            </w:tcBorders>
            <w:hideMark/>
          </w:tcPr>
          <w:p w14:paraId="0CA1FC89" w14:textId="77777777" w:rsidR="00EF6376" w:rsidRPr="0013396E" w:rsidRDefault="00EF6376" w:rsidP="0099759E">
            <w:pPr>
              <w:pStyle w:val="TableBody"/>
            </w:pPr>
            <w:r w:rsidRPr="0013396E">
              <w:rPr>
                <w:i/>
              </w:rPr>
              <w:t>Day-Ahead Updated Real-Time Procured Capacity for Reg-Down Amount by QSE</w:t>
            </w:r>
            <w:r w:rsidRPr="0013396E">
              <w:t xml:space="preserve">—The payment or charge to QSE </w:t>
            </w:r>
            <w:r w:rsidRPr="0013396E">
              <w:rPr>
                <w:i/>
              </w:rPr>
              <w:t>q</w:t>
            </w:r>
            <w:r w:rsidRPr="0013396E">
              <w:t xml:space="preserve"> for Reg-Down, for the re-calculated Real-Time obligation, for the Operating Hour.</w:t>
            </w:r>
          </w:p>
        </w:tc>
      </w:tr>
      <w:tr w:rsidR="00EF6376" w:rsidRPr="0013396E" w14:paraId="5EDEE0B5" w14:textId="77777777" w:rsidTr="0099759E">
        <w:trPr>
          <w:cantSplit/>
        </w:trPr>
        <w:tc>
          <w:tcPr>
            <w:tcW w:w="1883" w:type="dxa"/>
            <w:tcBorders>
              <w:top w:val="single" w:sz="4" w:space="0" w:color="auto"/>
              <w:left w:val="single" w:sz="4" w:space="0" w:color="auto"/>
              <w:bottom w:val="single" w:sz="4" w:space="0" w:color="auto"/>
              <w:right w:val="single" w:sz="4" w:space="0" w:color="auto"/>
            </w:tcBorders>
            <w:hideMark/>
          </w:tcPr>
          <w:p w14:paraId="6C2B21CA" w14:textId="77777777" w:rsidR="00EF6376" w:rsidRPr="0013396E" w:rsidRDefault="00EF6376" w:rsidP="0099759E">
            <w:pPr>
              <w:pStyle w:val="TableBody"/>
            </w:pPr>
            <w:r w:rsidRPr="0013396E">
              <w:t>DARDPR</w:t>
            </w:r>
          </w:p>
        </w:tc>
        <w:tc>
          <w:tcPr>
            <w:tcW w:w="990" w:type="dxa"/>
            <w:tcBorders>
              <w:top w:val="single" w:sz="4" w:space="0" w:color="auto"/>
              <w:left w:val="single" w:sz="4" w:space="0" w:color="auto"/>
              <w:bottom w:val="single" w:sz="4" w:space="0" w:color="auto"/>
              <w:right w:val="single" w:sz="4" w:space="0" w:color="auto"/>
            </w:tcBorders>
            <w:hideMark/>
          </w:tcPr>
          <w:p w14:paraId="4DBC2463" w14:textId="77777777" w:rsidR="00EF6376" w:rsidRPr="0013396E" w:rsidRDefault="00EF6376" w:rsidP="0099759E">
            <w:pPr>
              <w:pStyle w:val="TableBody"/>
            </w:pPr>
            <w:r w:rsidRPr="0013396E">
              <w:t xml:space="preserve">$/MW </w:t>
            </w:r>
          </w:p>
        </w:tc>
        <w:tc>
          <w:tcPr>
            <w:tcW w:w="6840" w:type="dxa"/>
            <w:tcBorders>
              <w:top w:val="single" w:sz="4" w:space="0" w:color="auto"/>
              <w:left w:val="single" w:sz="4" w:space="0" w:color="auto"/>
              <w:bottom w:val="single" w:sz="4" w:space="0" w:color="auto"/>
              <w:right w:val="single" w:sz="4" w:space="0" w:color="auto"/>
            </w:tcBorders>
            <w:hideMark/>
          </w:tcPr>
          <w:p w14:paraId="45CCDA48" w14:textId="77777777" w:rsidR="00EF6376" w:rsidRPr="0013396E" w:rsidRDefault="00EF6376" w:rsidP="0099759E">
            <w:pPr>
              <w:pStyle w:val="TableBody"/>
              <w:rPr>
                <w:i/>
              </w:rPr>
            </w:pPr>
            <w:r w:rsidRPr="0013396E">
              <w:rPr>
                <w:i/>
              </w:rPr>
              <w:t>Day-Ahead Reg-Down Price</w:t>
            </w:r>
            <w:r w:rsidRPr="0013396E">
              <w:t>—The DAM Reg-Down price for the Operating Hour.</w:t>
            </w:r>
          </w:p>
        </w:tc>
      </w:tr>
      <w:tr w:rsidR="00EF6376" w:rsidRPr="0013396E" w14:paraId="1792EAA7" w14:textId="77777777" w:rsidTr="0099759E">
        <w:trPr>
          <w:cantSplit/>
        </w:trPr>
        <w:tc>
          <w:tcPr>
            <w:tcW w:w="1883" w:type="dxa"/>
            <w:tcBorders>
              <w:top w:val="single" w:sz="4" w:space="0" w:color="auto"/>
              <w:left w:val="single" w:sz="4" w:space="0" w:color="auto"/>
              <w:bottom w:val="single" w:sz="4" w:space="0" w:color="auto"/>
              <w:right w:val="single" w:sz="4" w:space="0" w:color="auto"/>
            </w:tcBorders>
            <w:hideMark/>
          </w:tcPr>
          <w:p w14:paraId="275F76D1" w14:textId="77777777" w:rsidR="00EF6376" w:rsidRPr="0013396E" w:rsidRDefault="00EF6376" w:rsidP="0099759E">
            <w:pPr>
              <w:pStyle w:val="TableBody"/>
            </w:pPr>
            <w:r w:rsidRPr="0013396E">
              <w:t>DARDNOBL</w:t>
            </w:r>
            <w:r w:rsidRPr="0013396E">
              <w:rPr>
                <w:vertAlign w:val="subscript"/>
              </w:rPr>
              <w:t xml:space="preserve"> </w:t>
            </w:r>
            <w:r w:rsidRPr="0013396E">
              <w:rPr>
                <w:i/>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145DFB75" w14:textId="77777777" w:rsidR="00EF6376" w:rsidRPr="0013396E" w:rsidRDefault="00EF6376" w:rsidP="0099759E">
            <w:pPr>
              <w:pStyle w:val="TableBody"/>
            </w:pPr>
            <w:r w:rsidRPr="0013396E">
              <w:t>MW</w:t>
            </w:r>
          </w:p>
        </w:tc>
        <w:tc>
          <w:tcPr>
            <w:tcW w:w="6840" w:type="dxa"/>
            <w:tcBorders>
              <w:top w:val="single" w:sz="4" w:space="0" w:color="auto"/>
              <w:left w:val="single" w:sz="4" w:space="0" w:color="auto"/>
              <w:bottom w:val="single" w:sz="4" w:space="0" w:color="auto"/>
              <w:right w:val="single" w:sz="4" w:space="0" w:color="auto"/>
            </w:tcBorders>
            <w:hideMark/>
          </w:tcPr>
          <w:p w14:paraId="74846E93" w14:textId="77777777" w:rsidR="00EF6376" w:rsidRPr="0013396E" w:rsidRDefault="00EF6376" w:rsidP="0099759E">
            <w:pPr>
              <w:pStyle w:val="TableBody"/>
              <w:rPr>
                <w:i/>
              </w:rPr>
            </w:pPr>
            <w:r w:rsidRPr="0013396E">
              <w:rPr>
                <w:i/>
              </w:rPr>
              <w:t>Day-Ahead Reg-Down New Obligation per QSE—</w:t>
            </w:r>
            <w:r w:rsidRPr="0013396E">
              <w:t xml:space="preserve">The updated Reg-Down Ancillary Service Obligation in Real-Time, for QSE </w:t>
            </w:r>
            <w:r w:rsidRPr="0013396E">
              <w:rPr>
                <w:i/>
              </w:rPr>
              <w:t>q</w:t>
            </w:r>
            <w:r w:rsidRPr="0013396E">
              <w:t>, for the Operating Hour.</w:t>
            </w:r>
          </w:p>
        </w:tc>
      </w:tr>
      <w:tr w:rsidR="00EF6376" w:rsidRPr="0013396E" w14:paraId="05E83F09" w14:textId="77777777" w:rsidTr="0099759E">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7A40B5D9" w14:textId="77777777" w:rsidR="00EF6376" w:rsidRPr="0013396E" w:rsidRDefault="00EF6376" w:rsidP="0099759E">
            <w:pPr>
              <w:pStyle w:val="TableBody"/>
              <w:rPr>
                <w:i/>
              </w:rPr>
            </w:pPr>
            <w:r w:rsidRPr="0013396E">
              <w:t xml:space="preserve">DARDAMT </w:t>
            </w:r>
            <w:r w:rsidRPr="0013396E">
              <w:rPr>
                <w:i/>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1F8D33FB" w14:textId="77777777" w:rsidR="00EF6376" w:rsidRPr="0013396E" w:rsidRDefault="00EF6376" w:rsidP="0099759E">
            <w:pPr>
              <w:pStyle w:val="TableBody"/>
            </w:pPr>
            <w:r w:rsidRPr="0013396E">
              <w:t>$</w:t>
            </w:r>
          </w:p>
        </w:tc>
        <w:tc>
          <w:tcPr>
            <w:tcW w:w="6840" w:type="dxa"/>
            <w:tcBorders>
              <w:top w:val="single" w:sz="4" w:space="0" w:color="auto"/>
              <w:left w:val="single" w:sz="4" w:space="0" w:color="auto"/>
              <w:bottom w:val="single" w:sz="4" w:space="0" w:color="auto"/>
              <w:right w:val="single" w:sz="4" w:space="0" w:color="auto"/>
            </w:tcBorders>
            <w:hideMark/>
          </w:tcPr>
          <w:p w14:paraId="070FD843" w14:textId="77777777" w:rsidR="00EF6376" w:rsidRPr="0013396E" w:rsidRDefault="00EF6376" w:rsidP="0099759E">
            <w:pPr>
              <w:pStyle w:val="TableBody"/>
            </w:pPr>
            <w:r w:rsidRPr="0013396E">
              <w:rPr>
                <w:i/>
              </w:rPr>
              <w:t>Day-Ahead Reg-Down Amount per QSE</w:t>
            </w:r>
            <w:r w:rsidRPr="0013396E">
              <w:t xml:space="preserve">—QSE </w:t>
            </w:r>
            <w:r w:rsidRPr="0013396E">
              <w:rPr>
                <w:i/>
              </w:rPr>
              <w:t>q</w:t>
            </w:r>
            <w:r w:rsidRPr="0013396E">
              <w:t>’s share of the DAM cost for Reg-Down, for the Operating Hour.</w:t>
            </w:r>
          </w:p>
        </w:tc>
      </w:tr>
      <w:tr w:rsidR="00EF6376" w:rsidRPr="0013396E" w14:paraId="4A76CFB6" w14:textId="77777777" w:rsidTr="0099759E">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39C6F4B1" w14:textId="77777777" w:rsidR="00EF6376" w:rsidRPr="0013396E" w:rsidRDefault="00EF6376" w:rsidP="0099759E">
            <w:pPr>
              <w:pStyle w:val="TableBody"/>
            </w:pPr>
            <w:r w:rsidRPr="0013396E">
              <w:t xml:space="preserve">PCRDR </w:t>
            </w:r>
            <w:r w:rsidRPr="0013396E">
              <w:rPr>
                <w:i/>
                <w:vertAlign w:val="subscript"/>
              </w:rPr>
              <w:t>r,</w:t>
            </w:r>
            <w:r w:rsidRPr="0013396E">
              <w:rPr>
                <w:i/>
              </w:rPr>
              <w:t xml:space="preserve"> </w:t>
            </w:r>
            <w:r w:rsidRPr="0013396E">
              <w:rPr>
                <w:i/>
                <w:vertAlign w:val="subscript"/>
              </w:rPr>
              <w:t>q, DAM</w:t>
            </w:r>
          </w:p>
        </w:tc>
        <w:tc>
          <w:tcPr>
            <w:tcW w:w="990" w:type="dxa"/>
            <w:tcBorders>
              <w:top w:val="single" w:sz="4" w:space="0" w:color="auto"/>
              <w:left w:val="single" w:sz="4" w:space="0" w:color="auto"/>
              <w:bottom w:val="single" w:sz="4" w:space="0" w:color="auto"/>
              <w:right w:val="single" w:sz="4" w:space="0" w:color="auto"/>
            </w:tcBorders>
            <w:hideMark/>
          </w:tcPr>
          <w:p w14:paraId="20A5FB86" w14:textId="77777777" w:rsidR="00EF6376" w:rsidRPr="0013396E" w:rsidRDefault="00EF6376" w:rsidP="0099759E">
            <w:pPr>
              <w:pStyle w:val="TableBody"/>
            </w:pPr>
            <w:r w:rsidRPr="0013396E">
              <w:t>MW</w:t>
            </w:r>
          </w:p>
        </w:tc>
        <w:tc>
          <w:tcPr>
            <w:tcW w:w="6840" w:type="dxa"/>
            <w:tcBorders>
              <w:top w:val="single" w:sz="4" w:space="0" w:color="auto"/>
              <w:left w:val="single" w:sz="4" w:space="0" w:color="auto"/>
              <w:bottom w:val="single" w:sz="4" w:space="0" w:color="auto"/>
              <w:right w:val="single" w:sz="4" w:space="0" w:color="auto"/>
            </w:tcBorders>
            <w:hideMark/>
          </w:tcPr>
          <w:p w14:paraId="1AAF19A0" w14:textId="77777777" w:rsidR="00EF6376" w:rsidRPr="0013396E" w:rsidRDefault="00EF6376" w:rsidP="0099759E">
            <w:pPr>
              <w:pStyle w:val="TableBody"/>
              <w:rPr>
                <w:i/>
              </w:rPr>
            </w:pPr>
            <w:r w:rsidRPr="0013396E">
              <w:rPr>
                <w:i/>
              </w:rPr>
              <w:t>Procured Capacity for Reg-Down per Resource per QSE in DAM</w:t>
            </w:r>
            <w:r w:rsidRPr="0013396E">
              <w:t xml:space="preserve">—The Reg-Down capacity awarded to QSE </w:t>
            </w:r>
            <w:r w:rsidRPr="0013396E">
              <w:rPr>
                <w:i/>
              </w:rPr>
              <w:t>q</w:t>
            </w:r>
            <w:r w:rsidRPr="0013396E">
              <w:t xml:space="preserve"> in the DAM for Resource </w:t>
            </w:r>
            <w:r w:rsidRPr="0013396E">
              <w:rPr>
                <w:i/>
              </w:rPr>
              <w:t>r</w:t>
            </w:r>
            <w:r w:rsidRPr="0013396E">
              <w:t xml:space="preserve"> for the Operating Hour.  Where for a Combined Cycle Train, the Resource </w:t>
            </w:r>
            <w:r w:rsidRPr="0013396E">
              <w:rPr>
                <w:i/>
              </w:rPr>
              <w:t xml:space="preserve">r </w:t>
            </w:r>
            <w:r w:rsidRPr="0013396E">
              <w:t>is a Combined Cycle Generation Resource within the Combined Cycle Train.</w:t>
            </w:r>
          </w:p>
        </w:tc>
      </w:tr>
      <w:tr w:rsidR="00EF6376" w:rsidRPr="0013396E" w14:paraId="4BC85E00" w14:textId="77777777" w:rsidTr="0099759E">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4B0B68FC" w14:textId="77777777" w:rsidR="00EF6376" w:rsidRPr="0013396E" w:rsidRDefault="00EF6376" w:rsidP="0099759E">
            <w:pPr>
              <w:pStyle w:val="TableBody"/>
            </w:pPr>
            <w:r w:rsidRPr="0013396E">
              <w:t xml:space="preserve">DARDOAWD </w:t>
            </w:r>
            <w:r w:rsidRPr="0013396E">
              <w:rPr>
                <w:i/>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0FC76CA8" w14:textId="77777777" w:rsidR="00EF6376" w:rsidRPr="0013396E" w:rsidRDefault="00EF6376" w:rsidP="0099759E">
            <w:pPr>
              <w:pStyle w:val="TableBody"/>
            </w:pPr>
            <w:r w:rsidRPr="0013396E">
              <w:t>MW</w:t>
            </w:r>
          </w:p>
        </w:tc>
        <w:tc>
          <w:tcPr>
            <w:tcW w:w="6840" w:type="dxa"/>
            <w:tcBorders>
              <w:top w:val="single" w:sz="4" w:space="0" w:color="auto"/>
              <w:left w:val="single" w:sz="4" w:space="0" w:color="auto"/>
              <w:bottom w:val="single" w:sz="4" w:space="0" w:color="auto"/>
              <w:right w:val="single" w:sz="4" w:space="0" w:color="auto"/>
            </w:tcBorders>
            <w:hideMark/>
          </w:tcPr>
          <w:p w14:paraId="70A02C17" w14:textId="77777777" w:rsidR="00EF6376" w:rsidRPr="0013396E" w:rsidRDefault="00EF6376" w:rsidP="0099759E">
            <w:pPr>
              <w:pStyle w:val="TableBody"/>
            </w:pPr>
            <w:r w:rsidRPr="0013396E">
              <w:rPr>
                <w:i/>
              </w:rPr>
              <w:t>Day-Ahead Reg-Down Only Award for the QSE</w:t>
            </w:r>
            <w:r w:rsidRPr="0013396E">
              <w:t xml:space="preserve">—The Reg-Down Only capacity awarded in the DAM to QSE </w:t>
            </w:r>
            <w:r w:rsidRPr="0013396E">
              <w:rPr>
                <w:i/>
              </w:rPr>
              <w:t>q</w:t>
            </w:r>
            <w:r w:rsidRPr="0013396E">
              <w:t xml:space="preserve"> for the Operating Hour.</w:t>
            </w:r>
          </w:p>
        </w:tc>
      </w:tr>
      <w:tr w:rsidR="00EF6376" w:rsidRPr="0013396E" w14:paraId="7290CE4C" w14:textId="77777777" w:rsidTr="0099759E">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60CAF25A" w14:textId="77777777" w:rsidR="00EF6376" w:rsidRPr="0013396E" w:rsidRDefault="00EF6376" w:rsidP="0099759E">
            <w:pPr>
              <w:pStyle w:val="TableBody"/>
            </w:pPr>
            <w:r w:rsidRPr="0013396E">
              <w:t>HLRS</w:t>
            </w:r>
            <w:r w:rsidRPr="0013396E">
              <w:rPr>
                <w:i/>
                <w:vertAlign w:val="subscript"/>
              </w:rPr>
              <w:t xml:space="preserve"> q</w:t>
            </w:r>
          </w:p>
        </w:tc>
        <w:tc>
          <w:tcPr>
            <w:tcW w:w="990" w:type="dxa"/>
            <w:tcBorders>
              <w:top w:val="single" w:sz="4" w:space="0" w:color="auto"/>
              <w:left w:val="single" w:sz="4" w:space="0" w:color="auto"/>
              <w:bottom w:val="single" w:sz="4" w:space="0" w:color="auto"/>
              <w:right w:val="single" w:sz="4" w:space="0" w:color="auto"/>
            </w:tcBorders>
            <w:hideMark/>
          </w:tcPr>
          <w:p w14:paraId="64C0440E" w14:textId="77777777" w:rsidR="00EF6376" w:rsidRPr="0013396E" w:rsidRDefault="00EF6376" w:rsidP="0099759E">
            <w:pPr>
              <w:pStyle w:val="TableBody"/>
            </w:pPr>
            <w:r w:rsidRPr="0013396E">
              <w:t>none</w:t>
            </w:r>
          </w:p>
        </w:tc>
        <w:tc>
          <w:tcPr>
            <w:tcW w:w="6840" w:type="dxa"/>
            <w:tcBorders>
              <w:top w:val="single" w:sz="4" w:space="0" w:color="auto"/>
              <w:left w:val="single" w:sz="4" w:space="0" w:color="auto"/>
              <w:bottom w:val="single" w:sz="4" w:space="0" w:color="auto"/>
              <w:right w:val="single" w:sz="4" w:space="0" w:color="auto"/>
            </w:tcBorders>
            <w:hideMark/>
          </w:tcPr>
          <w:p w14:paraId="3EFFB35D" w14:textId="77777777" w:rsidR="00EF6376" w:rsidRPr="0013396E" w:rsidRDefault="00EF6376" w:rsidP="0099759E">
            <w:pPr>
              <w:pStyle w:val="TableBody"/>
            </w:pPr>
            <w:r w:rsidRPr="0013396E">
              <w:rPr>
                <w:i/>
              </w:rPr>
              <w:t>Hourly Load Ratio Share per QSE</w:t>
            </w:r>
            <w:r w:rsidRPr="0013396E">
              <w:t xml:space="preserve">—The Real-Time as defined in Section 6.6.2.4, QSE Load Ratio Share for an Operating Hour, for QSE </w:t>
            </w:r>
            <w:r w:rsidRPr="0013396E">
              <w:rPr>
                <w:i/>
              </w:rPr>
              <w:t>q</w:t>
            </w:r>
            <w:r w:rsidRPr="0013396E">
              <w:t>, for the Operating Hour.</w:t>
            </w:r>
          </w:p>
        </w:tc>
      </w:tr>
      <w:tr w:rsidR="00EF6376" w:rsidRPr="0013396E" w14:paraId="714B56C6" w14:textId="77777777" w:rsidTr="0099759E">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38473FCF" w14:textId="77777777" w:rsidR="00EF6376" w:rsidRPr="0013396E" w:rsidRDefault="00EF6376" w:rsidP="0099759E">
            <w:pPr>
              <w:pStyle w:val="TableBody"/>
            </w:pPr>
            <w:r w:rsidRPr="0013396E">
              <w:t xml:space="preserve">DAPCRDQTOT  </w:t>
            </w:r>
          </w:p>
        </w:tc>
        <w:tc>
          <w:tcPr>
            <w:tcW w:w="990" w:type="dxa"/>
            <w:tcBorders>
              <w:top w:val="single" w:sz="4" w:space="0" w:color="auto"/>
              <w:left w:val="single" w:sz="4" w:space="0" w:color="auto"/>
              <w:bottom w:val="single" w:sz="4" w:space="0" w:color="auto"/>
              <w:right w:val="single" w:sz="4" w:space="0" w:color="auto"/>
            </w:tcBorders>
            <w:hideMark/>
          </w:tcPr>
          <w:p w14:paraId="2067A7F7" w14:textId="77777777" w:rsidR="00EF6376" w:rsidRPr="0013396E" w:rsidRDefault="00EF6376" w:rsidP="0099759E">
            <w:pPr>
              <w:pStyle w:val="TableBody"/>
            </w:pPr>
            <w:r w:rsidRPr="0013396E">
              <w:t>MW</w:t>
            </w:r>
          </w:p>
        </w:tc>
        <w:tc>
          <w:tcPr>
            <w:tcW w:w="6840" w:type="dxa"/>
            <w:tcBorders>
              <w:top w:val="single" w:sz="4" w:space="0" w:color="auto"/>
              <w:left w:val="single" w:sz="4" w:space="0" w:color="auto"/>
              <w:bottom w:val="single" w:sz="4" w:space="0" w:color="auto"/>
              <w:right w:val="single" w:sz="4" w:space="0" w:color="auto"/>
            </w:tcBorders>
            <w:hideMark/>
          </w:tcPr>
          <w:p w14:paraId="43A3784F" w14:textId="77777777" w:rsidR="00EF6376" w:rsidRPr="0013396E" w:rsidRDefault="00EF6376" w:rsidP="0099759E">
            <w:pPr>
              <w:pStyle w:val="TableBody"/>
              <w:rPr>
                <w:i/>
              </w:rPr>
            </w:pPr>
            <w:r w:rsidRPr="0013396E">
              <w:rPr>
                <w:i/>
              </w:rPr>
              <w:t>Day-Ahead Procured Capacity for Reg-Down Total</w:t>
            </w:r>
            <w:r w:rsidRPr="0013396E">
              <w:t>—The total Reg-Down capacity for all QSEs for all Reg-Down awarded and self-arranged, in the DAM for the Operating Hour.</w:t>
            </w:r>
          </w:p>
        </w:tc>
      </w:tr>
      <w:tr w:rsidR="00EF6376" w:rsidRPr="0013396E" w14:paraId="1A9CC558" w14:textId="77777777" w:rsidTr="0099759E">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724CCF3B" w14:textId="77777777" w:rsidR="00EF6376" w:rsidRPr="0013396E" w:rsidRDefault="00EF6376" w:rsidP="0099759E">
            <w:pPr>
              <w:pStyle w:val="TableBody"/>
            </w:pPr>
            <w:r w:rsidRPr="0013396E">
              <w:t xml:space="preserve">DASARDQ </w:t>
            </w:r>
            <w:r w:rsidRPr="0013396E">
              <w:rPr>
                <w:i/>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07B6FA75" w14:textId="77777777" w:rsidR="00EF6376" w:rsidRPr="0013396E" w:rsidRDefault="00EF6376" w:rsidP="0099759E">
            <w:pPr>
              <w:pStyle w:val="TableBody"/>
            </w:pPr>
            <w:r w:rsidRPr="0013396E">
              <w:t>MW</w:t>
            </w:r>
          </w:p>
        </w:tc>
        <w:tc>
          <w:tcPr>
            <w:tcW w:w="6840" w:type="dxa"/>
            <w:tcBorders>
              <w:top w:val="single" w:sz="4" w:space="0" w:color="auto"/>
              <w:left w:val="single" w:sz="4" w:space="0" w:color="auto"/>
              <w:bottom w:val="single" w:sz="4" w:space="0" w:color="auto"/>
              <w:right w:val="single" w:sz="4" w:space="0" w:color="auto"/>
            </w:tcBorders>
            <w:hideMark/>
          </w:tcPr>
          <w:p w14:paraId="11B2FCE6" w14:textId="77777777" w:rsidR="00EF6376" w:rsidRPr="0013396E" w:rsidRDefault="00EF6376" w:rsidP="0099759E">
            <w:pPr>
              <w:pStyle w:val="TableBody"/>
            </w:pPr>
            <w:r w:rsidRPr="0013396E">
              <w:rPr>
                <w:i/>
              </w:rPr>
              <w:t>Day-Ahead Self-Arranged Reg-Down Quantity per QSE</w:t>
            </w:r>
            <w:r w:rsidRPr="0013396E">
              <w:t xml:space="preserve">—The self-arranged Reg-Down capacity submitted by QSE </w:t>
            </w:r>
            <w:r w:rsidRPr="0013396E">
              <w:rPr>
                <w:i/>
              </w:rPr>
              <w:t>q</w:t>
            </w:r>
            <w:r w:rsidRPr="0013396E">
              <w:t xml:space="preserve"> before 1000 in the DAM for the Operating Hour.</w:t>
            </w:r>
          </w:p>
        </w:tc>
      </w:tr>
      <w:tr w:rsidR="00EF6376" w:rsidRPr="0013396E" w14:paraId="7EEAA3C7" w14:textId="77777777" w:rsidTr="0099759E">
        <w:trPr>
          <w:cantSplit/>
        </w:trPr>
        <w:tc>
          <w:tcPr>
            <w:tcW w:w="1883" w:type="dxa"/>
            <w:tcBorders>
              <w:top w:val="single" w:sz="4" w:space="0" w:color="auto"/>
              <w:left w:val="single" w:sz="4" w:space="0" w:color="auto"/>
              <w:bottom w:val="single" w:sz="4" w:space="0" w:color="auto"/>
              <w:right w:val="single" w:sz="4" w:space="0" w:color="auto"/>
            </w:tcBorders>
            <w:hideMark/>
          </w:tcPr>
          <w:p w14:paraId="0B4B86E1" w14:textId="77777777" w:rsidR="00EF6376" w:rsidRPr="0013396E" w:rsidRDefault="00EF6376" w:rsidP="0099759E">
            <w:pPr>
              <w:pStyle w:val="TableBody"/>
              <w:rPr>
                <w:i/>
              </w:rPr>
            </w:pPr>
            <w:r w:rsidRPr="0013396E">
              <w:rPr>
                <w:i/>
              </w:rPr>
              <w:t>q</w:t>
            </w:r>
          </w:p>
        </w:tc>
        <w:tc>
          <w:tcPr>
            <w:tcW w:w="990" w:type="dxa"/>
            <w:tcBorders>
              <w:top w:val="single" w:sz="4" w:space="0" w:color="auto"/>
              <w:left w:val="single" w:sz="4" w:space="0" w:color="auto"/>
              <w:bottom w:val="single" w:sz="4" w:space="0" w:color="auto"/>
              <w:right w:val="single" w:sz="4" w:space="0" w:color="auto"/>
            </w:tcBorders>
            <w:hideMark/>
          </w:tcPr>
          <w:p w14:paraId="6B822B45" w14:textId="77777777" w:rsidR="00EF6376" w:rsidRPr="0013396E" w:rsidRDefault="00EF6376" w:rsidP="0099759E">
            <w:pPr>
              <w:pStyle w:val="TableBody"/>
            </w:pPr>
            <w:r w:rsidRPr="0013396E">
              <w:t>none</w:t>
            </w:r>
          </w:p>
        </w:tc>
        <w:tc>
          <w:tcPr>
            <w:tcW w:w="6840" w:type="dxa"/>
            <w:tcBorders>
              <w:top w:val="single" w:sz="4" w:space="0" w:color="auto"/>
              <w:left w:val="single" w:sz="4" w:space="0" w:color="auto"/>
              <w:bottom w:val="single" w:sz="4" w:space="0" w:color="auto"/>
              <w:right w:val="single" w:sz="4" w:space="0" w:color="auto"/>
            </w:tcBorders>
            <w:hideMark/>
          </w:tcPr>
          <w:p w14:paraId="7BC2E57B" w14:textId="77777777" w:rsidR="00EF6376" w:rsidRPr="0013396E" w:rsidRDefault="00EF6376" w:rsidP="0099759E">
            <w:pPr>
              <w:pStyle w:val="TableBody"/>
            </w:pPr>
            <w:r w:rsidRPr="0013396E">
              <w:t>A QSE.</w:t>
            </w:r>
          </w:p>
        </w:tc>
      </w:tr>
      <w:tr w:rsidR="00EF6376" w:rsidRPr="0013396E" w14:paraId="2453A54E" w14:textId="77777777" w:rsidTr="0099759E">
        <w:trPr>
          <w:cantSplit/>
        </w:trPr>
        <w:tc>
          <w:tcPr>
            <w:tcW w:w="1883" w:type="dxa"/>
            <w:tcBorders>
              <w:top w:val="single" w:sz="4" w:space="0" w:color="auto"/>
              <w:left w:val="single" w:sz="4" w:space="0" w:color="auto"/>
              <w:bottom w:val="single" w:sz="4" w:space="0" w:color="auto"/>
              <w:right w:val="single" w:sz="4" w:space="0" w:color="auto"/>
            </w:tcBorders>
            <w:hideMark/>
          </w:tcPr>
          <w:p w14:paraId="0A9A127E" w14:textId="77777777" w:rsidR="00EF6376" w:rsidRPr="0013396E" w:rsidRDefault="00EF6376" w:rsidP="0099759E">
            <w:pPr>
              <w:pStyle w:val="TableBody"/>
              <w:rPr>
                <w:i/>
              </w:rPr>
            </w:pPr>
            <w:r w:rsidRPr="0013396E">
              <w:rPr>
                <w:i/>
              </w:rPr>
              <w:t>r</w:t>
            </w:r>
          </w:p>
        </w:tc>
        <w:tc>
          <w:tcPr>
            <w:tcW w:w="990" w:type="dxa"/>
            <w:tcBorders>
              <w:top w:val="single" w:sz="4" w:space="0" w:color="auto"/>
              <w:left w:val="single" w:sz="4" w:space="0" w:color="auto"/>
              <w:bottom w:val="single" w:sz="4" w:space="0" w:color="auto"/>
              <w:right w:val="single" w:sz="4" w:space="0" w:color="auto"/>
            </w:tcBorders>
            <w:hideMark/>
          </w:tcPr>
          <w:p w14:paraId="53C40F5D" w14:textId="77777777" w:rsidR="00EF6376" w:rsidRPr="0013396E" w:rsidRDefault="00EF6376" w:rsidP="0099759E">
            <w:pPr>
              <w:pStyle w:val="TableBody"/>
            </w:pPr>
            <w:r w:rsidRPr="0013396E">
              <w:t>none</w:t>
            </w:r>
          </w:p>
        </w:tc>
        <w:tc>
          <w:tcPr>
            <w:tcW w:w="6840" w:type="dxa"/>
            <w:tcBorders>
              <w:top w:val="single" w:sz="4" w:space="0" w:color="auto"/>
              <w:left w:val="single" w:sz="4" w:space="0" w:color="auto"/>
              <w:bottom w:val="single" w:sz="4" w:space="0" w:color="auto"/>
              <w:right w:val="single" w:sz="4" w:space="0" w:color="auto"/>
            </w:tcBorders>
            <w:hideMark/>
          </w:tcPr>
          <w:p w14:paraId="238E4757" w14:textId="77777777" w:rsidR="00EF6376" w:rsidRPr="0013396E" w:rsidRDefault="00EF6376" w:rsidP="0099759E">
            <w:pPr>
              <w:pStyle w:val="TableBody"/>
            </w:pPr>
            <w:r w:rsidRPr="0013396E">
              <w:t>A Resource.</w:t>
            </w:r>
          </w:p>
        </w:tc>
      </w:tr>
    </w:tbl>
    <w:p w14:paraId="37F96CDD" w14:textId="77777777" w:rsidR="00EF6376" w:rsidRPr="0013396E" w:rsidRDefault="00EF6376" w:rsidP="00EF6376">
      <w:pPr>
        <w:pStyle w:val="BodyTextNumbered"/>
        <w:spacing w:before="240"/>
        <w:ind w:left="1440"/>
        <w:rPr>
          <w:iCs/>
        </w:rPr>
      </w:pPr>
      <w:r w:rsidRPr="0013396E">
        <w:rPr>
          <w:iCs/>
        </w:rPr>
        <w:t>(c)</w:t>
      </w:r>
      <w:r w:rsidRPr="0013396E">
        <w:rPr>
          <w:iCs/>
        </w:rPr>
        <w:tab/>
        <w:t>For Responsive Reserve (RRS), if applicable:</w:t>
      </w:r>
    </w:p>
    <w:p w14:paraId="76D237B8" w14:textId="77777777" w:rsidR="00EF6376" w:rsidRPr="0013396E" w:rsidRDefault="00EF6376" w:rsidP="00EF6376">
      <w:pPr>
        <w:pStyle w:val="BodyTextNumbered"/>
        <w:ind w:left="1440"/>
        <w:rPr>
          <w:iCs/>
        </w:rPr>
      </w:pPr>
      <w:r w:rsidRPr="0013396E">
        <w:rPr>
          <w:iCs/>
        </w:rPr>
        <w:t xml:space="preserve">DARTPCRRAMT </w:t>
      </w:r>
      <w:r w:rsidRPr="0013396E">
        <w:rPr>
          <w:i/>
          <w:iCs/>
          <w:vertAlign w:val="subscript"/>
        </w:rPr>
        <w:t>q</w:t>
      </w:r>
      <w:r w:rsidRPr="0013396E">
        <w:rPr>
          <w:iCs/>
        </w:rPr>
        <w:t xml:space="preserve">  =  (DARRNOBL </w:t>
      </w:r>
      <w:r w:rsidRPr="0013396E">
        <w:rPr>
          <w:i/>
          <w:iCs/>
          <w:vertAlign w:val="subscript"/>
        </w:rPr>
        <w:t>q</w:t>
      </w:r>
      <w:r w:rsidRPr="0013396E">
        <w:rPr>
          <w:iCs/>
        </w:rPr>
        <w:t xml:space="preserve"> – DASARRQ </w:t>
      </w:r>
      <w:r w:rsidRPr="0013396E">
        <w:rPr>
          <w:i/>
          <w:iCs/>
          <w:vertAlign w:val="subscript"/>
        </w:rPr>
        <w:t>q</w:t>
      </w:r>
      <w:r w:rsidRPr="0013396E">
        <w:rPr>
          <w:iCs/>
        </w:rPr>
        <w:t xml:space="preserve">) * DARRPR - DARRAMT </w:t>
      </w:r>
      <w:r w:rsidRPr="0013396E">
        <w:rPr>
          <w:i/>
          <w:iCs/>
          <w:vertAlign w:val="subscript"/>
        </w:rPr>
        <w:t>q</w:t>
      </w:r>
    </w:p>
    <w:p w14:paraId="79B07B16" w14:textId="77777777" w:rsidR="00EF6376" w:rsidRPr="0013396E" w:rsidRDefault="00EF6376" w:rsidP="00EF6376">
      <w:pPr>
        <w:pStyle w:val="BodyTextNumbered"/>
        <w:rPr>
          <w:iCs/>
        </w:rPr>
      </w:pPr>
      <w:r w:rsidRPr="0013396E">
        <w:rPr>
          <w:iCs/>
        </w:rPr>
        <w:t>Where:</w:t>
      </w:r>
    </w:p>
    <w:p w14:paraId="026EF4E8" w14:textId="77777777" w:rsidR="00EF6376" w:rsidRPr="0013396E" w:rsidRDefault="00EF6376" w:rsidP="00EF6376">
      <w:pPr>
        <w:pStyle w:val="BodyTextNumbered"/>
        <w:ind w:left="1440"/>
        <w:rPr>
          <w:iCs/>
        </w:rPr>
      </w:pPr>
      <w:r w:rsidRPr="0013396E">
        <w:rPr>
          <w:iCs/>
        </w:rPr>
        <w:t xml:space="preserve">DARRNOBL </w:t>
      </w:r>
      <w:r w:rsidRPr="0013396E">
        <w:rPr>
          <w:i/>
          <w:iCs/>
          <w:vertAlign w:val="subscript"/>
        </w:rPr>
        <w:t>q</w:t>
      </w:r>
      <w:r w:rsidRPr="0013396E">
        <w:rPr>
          <w:iCs/>
        </w:rPr>
        <w:tab/>
        <w:t xml:space="preserve">=  DAPCRRQTOT * HLRS </w:t>
      </w:r>
      <w:r w:rsidRPr="0013396E">
        <w:rPr>
          <w:i/>
          <w:iCs/>
          <w:vertAlign w:val="subscript"/>
        </w:rPr>
        <w:t>q</w:t>
      </w:r>
      <w:r w:rsidRPr="0013396E">
        <w:rPr>
          <w:iCs/>
        </w:rPr>
        <w:t xml:space="preserve"> </w:t>
      </w:r>
    </w:p>
    <w:p w14:paraId="75B609C5" w14:textId="77777777" w:rsidR="00EF6376" w:rsidRPr="0013396E" w:rsidRDefault="00EF6376" w:rsidP="00EF6376">
      <w:pPr>
        <w:pStyle w:val="BodyTextNumbered"/>
        <w:ind w:left="1440"/>
        <w:rPr>
          <w:iCs/>
        </w:rPr>
      </w:pPr>
      <w:r w:rsidRPr="0013396E">
        <w:rPr>
          <w:iCs/>
        </w:rPr>
        <w:t xml:space="preserve">DAPCRRQTOT  =  </w:t>
      </w:r>
      <w:r w:rsidRPr="0013396E">
        <w:rPr>
          <w:iCs/>
          <w:position w:val="-22"/>
        </w:rPr>
        <w:object w:dxaOrig="285" w:dyaOrig="285" w14:anchorId="29191F7D">
          <v:shape id="_x0000_i1260" type="#_x0000_t75" style="width:18pt;height:30pt" o:ole="">
            <v:imagedata r:id="rId330" o:title=""/>
          </v:shape>
          <o:OLEObject Type="Embed" ProgID="Equation.3" ShapeID="_x0000_i1260" DrawAspect="Content" ObjectID="_1836311537" r:id="rId336"/>
        </w:object>
      </w:r>
      <w:r w:rsidRPr="0013396E">
        <w:rPr>
          <w:iCs/>
        </w:rPr>
        <w:t>(</w:t>
      </w:r>
      <w:r w:rsidRPr="0013396E">
        <w:rPr>
          <w:iCs/>
          <w:position w:val="-18"/>
        </w:rPr>
        <w:object w:dxaOrig="285" w:dyaOrig="570" w14:anchorId="43D9D58D">
          <v:shape id="_x0000_i1261" type="#_x0000_t75" style="width:12pt;height:30pt" o:ole="">
            <v:imagedata r:id="rId332" o:title=""/>
          </v:shape>
          <o:OLEObject Type="Embed" ProgID="Equation.3" ShapeID="_x0000_i1261" DrawAspect="Content" ObjectID="_1836311538" r:id="rId337"/>
        </w:object>
      </w:r>
      <w:r w:rsidRPr="0013396E">
        <w:rPr>
          <w:iCs/>
        </w:rPr>
        <w:fldChar w:fldCharType="begin"/>
      </w:r>
      <w:r w:rsidRPr="0013396E">
        <w:rPr>
          <w:iCs/>
        </w:rPr>
        <w:fldChar w:fldCharType="separate"/>
      </w:r>
      <w:r w:rsidRPr="0013396E">
        <w:rPr>
          <w:iCs/>
          <w:noProof/>
          <w:position w:val="-18"/>
        </w:rPr>
        <w:drawing>
          <wp:inline distT="0" distB="0" distL="0" distR="0" wp14:anchorId="165C74E5" wp14:editId="73FD43A3">
            <wp:extent cx="155575" cy="310515"/>
            <wp:effectExtent l="0" t="0" r="0" b="0"/>
            <wp:docPr id="1620291524" name="Picture 1620291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38" cstate="print">
                      <a:extLst>
                        <a:ext uri="{28A0092B-C50C-407E-A947-70E740481C1C}">
                          <a14:useLocalDpi xmlns:a14="http://schemas.microsoft.com/office/drawing/2010/main" val="0"/>
                        </a:ext>
                      </a:extLst>
                    </a:blip>
                    <a:srcRect/>
                    <a:stretch>
                      <a:fillRect/>
                    </a:stretch>
                  </pic:blipFill>
                  <pic:spPr bwMode="auto">
                    <a:xfrm>
                      <a:off x="0" y="0"/>
                      <a:ext cx="155575" cy="310515"/>
                    </a:xfrm>
                    <a:prstGeom prst="rect">
                      <a:avLst/>
                    </a:prstGeom>
                    <a:noFill/>
                    <a:ln>
                      <a:noFill/>
                    </a:ln>
                  </pic:spPr>
                </pic:pic>
              </a:graphicData>
            </a:graphic>
          </wp:inline>
        </w:drawing>
      </w:r>
      <w:r w:rsidRPr="0013396E">
        <w:rPr>
          <w:iCs/>
        </w:rPr>
        <w:fldChar w:fldCharType="end"/>
      </w:r>
      <w:r w:rsidRPr="0013396E">
        <w:rPr>
          <w:iCs/>
        </w:rPr>
        <w:t>PCRRR</w:t>
      </w:r>
      <w:r w:rsidRPr="0013396E">
        <w:rPr>
          <w:i/>
          <w:iCs/>
        </w:rPr>
        <w:t xml:space="preserve"> </w:t>
      </w:r>
      <w:r w:rsidRPr="0013396E">
        <w:rPr>
          <w:i/>
          <w:iCs/>
          <w:vertAlign w:val="subscript"/>
        </w:rPr>
        <w:t>r, q, DAM</w:t>
      </w:r>
      <w:r w:rsidRPr="0013396E">
        <w:rPr>
          <w:iCs/>
        </w:rPr>
        <w:t xml:space="preserve"> + DARROAWD </w:t>
      </w:r>
      <w:r w:rsidRPr="0013396E">
        <w:rPr>
          <w:i/>
          <w:iCs/>
          <w:vertAlign w:val="subscript"/>
        </w:rPr>
        <w:t>q</w:t>
      </w:r>
      <w:r w:rsidRPr="0013396E">
        <w:rPr>
          <w:iCs/>
        </w:rPr>
        <w:t xml:space="preserve"> + DASARRQ </w:t>
      </w:r>
      <w:r w:rsidRPr="0013396E">
        <w:rPr>
          <w:i/>
          <w:iCs/>
          <w:vertAlign w:val="subscript"/>
        </w:rPr>
        <w:t>q</w:t>
      </w:r>
      <w:r w:rsidRPr="0013396E">
        <w:rPr>
          <w:iCs/>
        </w:rPr>
        <w:t>)</w:t>
      </w:r>
    </w:p>
    <w:p w14:paraId="63A1D230" w14:textId="77777777" w:rsidR="00EF6376" w:rsidRPr="0013396E" w:rsidRDefault="00EF6376" w:rsidP="00EF6376">
      <w:pPr>
        <w:rPr>
          <w:szCs w:val="24"/>
        </w:rPr>
      </w:pPr>
      <w:r w:rsidRPr="0013396E">
        <w:t>The above variables are defined as follows:</w:t>
      </w:r>
    </w:p>
    <w:tbl>
      <w:tblPr>
        <w:tblW w:w="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0"/>
        <w:gridCol w:w="970"/>
        <w:gridCol w:w="6395"/>
      </w:tblGrid>
      <w:tr w:rsidR="00EF6376" w:rsidRPr="0013396E" w14:paraId="4B23E483" w14:textId="77777777" w:rsidTr="0099759E">
        <w:trPr>
          <w:cantSplit/>
          <w:tblHeader/>
        </w:trPr>
        <w:tc>
          <w:tcPr>
            <w:tcW w:w="1883" w:type="dxa"/>
            <w:tcBorders>
              <w:top w:val="single" w:sz="4" w:space="0" w:color="auto"/>
              <w:left w:val="single" w:sz="4" w:space="0" w:color="auto"/>
              <w:bottom w:val="single" w:sz="4" w:space="0" w:color="auto"/>
              <w:right w:val="single" w:sz="4" w:space="0" w:color="auto"/>
            </w:tcBorders>
            <w:hideMark/>
          </w:tcPr>
          <w:p w14:paraId="52096383" w14:textId="77777777" w:rsidR="00EF6376" w:rsidRPr="0013396E" w:rsidRDefault="00EF6376" w:rsidP="0099759E">
            <w:pPr>
              <w:pStyle w:val="TableHead"/>
            </w:pPr>
            <w:r w:rsidRPr="0013396E">
              <w:rPr>
                <w:iCs w:val="0"/>
              </w:rPr>
              <w:lastRenderedPageBreak/>
              <w:t>Variable</w:t>
            </w:r>
          </w:p>
        </w:tc>
        <w:tc>
          <w:tcPr>
            <w:tcW w:w="990" w:type="dxa"/>
            <w:tcBorders>
              <w:top w:val="single" w:sz="4" w:space="0" w:color="auto"/>
              <w:left w:val="single" w:sz="4" w:space="0" w:color="auto"/>
              <w:bottom w:val="single" w:sz="4" w:space="0" w:color="auto"/>
              <w:right w:val="single" w:sz="4" w:space="0" w:color="auto"/>
            </w:tcBorders>
            <w:hideMark/>
          </w:tcPr>
          <w:p w14:paraId="4D3B7DE4" w14:textId="77777777" w:rsidR="00EF6376" w:rsidRPr="0013396E" w:rsidRDefault="00EF6376" w:rsidP="0099759E">
            <w:pPr>
              <w:pStyle w:val="TableHead"/>
            </w:pPr>
            <w:r w:rsidRPr="0013396E">
              <w:t>Unit</w:t>
            </w:r>
          </w:p>
        </w:tc>
        <w:tc>
          <w:tcPr>
            <w:tcW w:w="6840" w:type="dxa"/>
            <w:tcBorders>
              <w:top w:val="single" w:sz="4" w:space="0" w:color="auto"/>
              <w:left w:val="single" w:sz="4" w:space="0" w:color="auto"/>
              <w:bottom w:val="single" w:sz="4" w:space="0" w:color="auto"/>
              <w:right w:val="single" w:sz="4" w:space="0" w:color="auto"/>
            </w:tcBorders>
            <w:hideMark/>
          </w:tcPr>
          <w:p w14:paraId="7E5983D8" w14:textId="77777777" w:rsidR="00EF6376" w:rsidRPr="0013396E" w:rsidRDefault="00EF6376" w:rsidP="0099759E">
            <w:pPr>
              <w:pStyle w:val="TableHead"/>
            </w:pPr>
            <w:r w:rsidRPr="0013396E">
              <w:t>Description</w:t>
            </w:r>
          </w:p>
        </w:tc>
      </w:tr>
      <w:tr w:rsidR="00EF6376" w:rsidRPr="0013396E" w14:paraId="34C00D07" w14:textId="77777777" w:rsidTr="0099759E">
        <w:trPr>
          <w:cantSplit/>
        </w:trPr>
        <w:tc>
          <w:tcPr>
            <w:tcW w:w="1883" w:type="dxa"/>
            <w:tcBorders>
              <w:top w:val="single" w:sz="4" w:space="0" w:color="auto"/>
              <w:left w:val="single" w:sz="4" w:space="0" w:color="auto"/>
              <w:bottom w:val="single" w:sz="4" w:space="0" w:color="auto"/>
              <w:right w:val="single" w:sz="4" w:space="0" w:color="auto"/>
            </w:tcBorders>
            <w:hideMark/>
          </w:tcPr>
          <w:p w14:paraId="3B0256EC" w14:textId="77777777" w:rsidR="00EF6376" w:rsidRPr="0013396E" w:rsidRDefault="00EF6376" w:rsidP="0099759E">
            <w:pPr>
              <w:pStyle w:val="TableBody"/>
            </w:pPr>
            <w:r w:rsidRPr="0013396E">
              <w:t xml:space="preserve">DARTPCRRAMT </w:t>
            </w:r>
            <w:r w:rsidRPr="0013396E">
              <w:rPr>
                <w:i/>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63CD73B3" w14:textId="77777777" w:rsidR="00EF6376" w:rsidRPr="0013396E" w:rsidRDefault="00EF6376" w:rsidP="0099759E">
            <w:pPr>
              <w:pStyle w:val="TableBody"/>
            </w:pPr>
            <w:r w:rsidRPr="0013396E">
              <w:t>$</w:t>
            </w:r>
          </w:p>
        </w:tc>
        <w:tc>
          <w:tcPr>
            <w:tcW w:w="6840" w:type="dxa"/>
            <w:tcBorders>
              <w:top w:val="single" w:sz="4" w:space="0" w:color="auto"/>
              <w:left w:val="single" w:sz="4" w:space="0" w:color="auto"/>
              <w:bottom w:val="single" w:sz="4" w:space="0" w:color="auto"/>
              <w:right w:val="single" w:sz="4" w:space="0" w:color="auto"/>
            </w:tcBorders>
            <w:hideMark/>
          </w:tcPr>
          <w:p w14:paraId="5BDC7D4E" w14:textId="77777777" w:rsidR="00EF6376" w:rsidRPr="0013396E" w:rsidRDefault="00EF6376" w:rsidP="0099759E">
            <w:pPr>
              <w:pStyle w:val="TableBody"/>
            </w:pPr>
            <w:r w:rsidRPr="0013396E">
              <w:rPr>
                <w:i/>
              </w:rPr>
              <w:t>Day-Ahead Updated Real-Time Procured Capacity for Responsive Reserve Amount by QSE</w:t>
            </w:r>
            <w:r w:rsidRPr="0013396E">
              <w:t xml:space="preserve">—The payment or charge to QSE </w:t>
            </w:r>
            <w:r w:rsidRPr="0013396E">
              <w:rPr>
                <w:i/>
              </w:rPr>
              <w:t>q</w:t>
            </w:r>
            <w:r w:rsidRPr="0013396E">
              <w:t xml:space="preserve"> for RRS, for the re-calculated Real-Time obligation, for the Operating Hour.</w:t>
            </w:r>
          </w:p>
        </w:tc>
      </w:tr>
      <w:tr w:rsidR="00EF6376" w:rsidRPr="0013396E" w14:paraId="0EC32FBE" w14:textId="77777777" w:rsidTr="0099759E">
        <w:trPr>
          <w:cantSplit/>
        </w:trPr>
        <w:tc>
          <w:tcPr>
            <w:tcW w:w="1883" w:type="dxa"/>
            <w:tcBorders>
              <w:top w:val="single" w:sz="4" w:space="0" w:color="auto"/>
              <w:left w:val="single" w:sz="4" w:space="0" w:color="auto"/>
              <w:bottom w:val="single" w:sz="4" w:space="0" w:color="auto"/>
              <w:right w:val="single" w:sz="4" w:space="0" w:color="auto"/>
            </w:tcBorders>
            <w:hideMark/>
          </w:tcPr>
          <w:p w14:paraId="46C08A67" w14:textId="77777777" w:rsidR="00EF6376" w:rsidRPr="0013396E" w:rsidRDefault="00EF6376" w:rsidP="0099759E">
            <w:pPr>
              <w:pStyle w:val="TableBody"/>
            </w:pPr>
            <w:r w:rsidRPr="0013396E">
              <w:t>DARRPR</w:t>
            </w:r>
          </w:p>
        </w:tc>
        <w:tc>
          <w:tcPr>
            <w:tcW w:w="990" w:type="dxa"/>
            <w:tcBorders>
              <w:top w:val="single" w:sz="4" w:space="0" w:color="auto"/>
              <w:left w:val="single" w:sz="4" w:space="0" w:color="auto"/>
              <w:bottom w:val="single" w:sz="4" w:space="0" w:color="auto"/>
              <w:right w:val="single" w:sz="4" w:space="0" w:color="auto"/>
            </w:tcBorders>
            <w:hideMark/>
          </w:tcPr>
          <w:p w14:paraId="638A687C" w14:textId="77777777" w:rsidR="00EF6376" w:rsidRPr="0013396E" w:rsidRDefault="00EF6376" w:rsidP="0099759E">
            <w:pPr>
              <w:pStyle w:val="TableBody"/>
            </w:pPr>
            <w:r w:rsidRPr="0013396E">
              <w:t>$/MW</w:t>
            </w:r>
          </w:p>
        </w:tc>
        <w:tc>
          <w:tcPr>
            <w:tcW w:w="6840" w:type="dxa"/>
            <w:tcBorders>
              <w:top w:val="single" w:sz="4" w:space="0" w:color="auto"/>
              <w:left w:val="single" w:sz="4" w:space="0" w:color="auto"/>
              <w:bottom w:val="single" w:sz="4" w:space="0" w:color="auto"/>
              <w:right w:val="single" w:sz="4" w:space="0" w:color="auto"/>
            </w:tcBorders>
            <w:hideMark/>
          </w:tcPr>
          <w:p w14:paraId="4FD7396F" w14:textId="77777777" w:rsidR="00EF6376" w:rsidRPr="0013396E" w:rsidRDefault="00EF6376" w:rsidP="0099759E">
            <w:pPr>
              <w:pStyle w:val="TableBody"/>
              <w:rPr>
                <w:i/>
              </w:rPr>
            </w:pPr>
            <w:r w:rsidRPr="0013396E">
              <w:rPr>
                <w:i/>
              </w:rPr>
              <w:t>Day-Ahead Responsive Reserve Price</w:t>
            </w:r>
            <w:r w:rsidRPr="0013396E">
              <w:t>—The DAM RRS price for the Operating Hour.</w:t>
            </w:r>
          </w:p>
        </w:tc>
      </w:tr>
      <w:tr w:rsidR="00EF6376" w:rsidRPr="0013396E" w14:paraId="62CD1BB7" w14:textId="77777777" w:rsidTr="0099759E">
        <w:trPr>
          <w:cantSplit/>
        </w:trPr>
        <w:tc>
          <w:tcPr>
            <w:tcW w:w="1883" w:type="dxa"/>
            <w:tcBorders>
              <w:top w:val="single" w:sz="4" w:space="0" w:color="auto"/>
              <w:left w:val="single" w:sz="4" w:space="0" w:color="auto"/>
              <w:bottom w:val="single" w:sz="4" w:space="0" w:color="auto"/>
              <w:right w:val="single" w:sz="4" w:space="0" w:color="auto"/>
            </w:tcBorders>
            <w:hideMark/>
          </w:tcPr>
          <w:p w14:paraId="710B4C62" w14:textId="77777777" w:rsidR="00EF6376" w:rsidRPr="0013396E" w:rsidRDefault="00EF6376" w:rsidP="0099759E">
            <w:pPr>
              <w:pStyle w:val="TableBody"/>
            </w:pPr>
            <w:r w:rsidRPr="0013396E">
              <w:t>DARRNOBL</w:t>
            </w:r>
            <w:r w:rsidRPr="0013396E">
              <w:rPr>
                <w:vertAlign w:val="subscript"/>
              </w:rPr>
              <w:t xml:space="preserve"> </w:t>
            </w:r>
            <w:r w:rsidRPr="0013396E">
              <w:rPr>
                <w:i/>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597E4CED" w14:textId="77777777" w:rsidR="00EF6376" w:rsidRPr="0013396E" w:rsidRDefault="00EF6376" w:rsidP="0099759E">
            <w:pPr>
              <w:pStyle w:val="TableBody"/>
            </w:pPr>
            <w:r w:rsidRPr="0013396E">
              <w:t>MW</w:t>
            </w:r>
          </w:p>
        </w:tc>
        <w:tc>
          <w:tcPr>
            <w:tcW w:w="6840" w:type="dxa"/>
            <w:tcBorders>
              <w:top w:val="single" w:sz="4" w:space="0" w:color="auto"/>
              <w:left w:val="single" w:sz="4" w:space="0" w:color="auto"/>
              <w:bottom w:val="single" w:sz="4" w:space="0" w:color="auto"/>
              <w:right w:val="single" w:sz="4" w:space="0" w:color="auto"/>
            </w:tcBorders>
            <w:hideMark/>
          </w:tcPr>
          <w:p w14:paraId="5D5A0DB7" w14:textId="77777777" w:rsidR="00EF6376" w:rsidRPr="0013396E" w:rsidRDefault="00EF6376" w:rsidP="0099759E">
            <w:pPr>
              <w:pStyle w:val="TableBody"/>
              <w:rPr>
                <w:i/>
              </w:rPr>
            </w:pPr>
            <w:r w:rsidRPr="0013396E">
              <w:rPr>
                <w:i/>
              </w:rPr>
              <w:t>Day-Ahead Responsive Reserve New Obligation per QSE—</w:t>
            </w:r>
            <w:r w:rsidRPr="0013396E">
              <w:t xml:space="preserve">The updated RRS Ancillary Service Obligation in Real-Time for QSE </w:t>
            </w:r>
            <w:r w:rsidRPr="0013396E">
              <w:rPr>
                <w:i/>
              </w:rPr>
              <w:t>q</w:t>
            </w:r>
            <w:r w:rsidRPr="0013396E">
              <w:t xml:space="preserve"> for the Operating Hour.</w:t>
            </w:r>
          </w:p>
        </w:tc>
      </w:tr>
      <w:tr w:rsidR="00EF6376" w:rsidRPr="0013396E" w14:paraId="57C9977E" w14:textId="77777777" w:rsidTr="0099759E">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71AD2D72" w14:textId="77777777" w:rsidR="00EF6376" w:rsidRPr="0013396E" w:rsidRDefault="00EF6376" w:rsidP="0099759E">
            <w:pPr>
              <w:pStyle w:val="TableBody"/>
            </w:pPr>
            <w:r w:rsidRPr="0013396E">
              <w:t xml:space="preserve">DARRAMT </w:t>
            </w:r>
            <w:r w:rsidRPr="0013396E">
              <w:rPr>
                <w:i/>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1BB552D2" w14:textId="77777777" w:rsidR="00EF6376" w:rsidRPr="0013396E" w:rsidRDefault="00EF6376" w:rsidP="0099759E">
            <w:pPr>
              <w:pStyle w:val="TableBody"/>
            </w:pPr>
            <w:r w:rsidRPr="0013396E">
              <w:t>$</w:t>
            </w:r>
          </w:p>
        </w:tc>
        <w:tc>
          <w:tcPr>
            <w:tcW w:w="6840" w:type="dxa"/>
            <w:tcBorders>
              <w:top w:val="single" w:sz="4" w:space="0" w:color="auto"/>
              <w:left w:val="single" w:sz="4" w:space="0" w:color="auto"/>
              <w:bottom w:val="single" w:sz="4" w:space="0" w:color="auto"/>
              <w:right w:val="single" w:sz="4" w:space="0" w:color="auto"/>
            </w:tcBorders>
            <w:hideMark/>
          </w:tcPr>
          <w:p w14:paraId="1637050E" w14:textId="77777777" w:rsidR="00EF6376" w:rsidRPr="0013396E" w:rsidRDefault="00EF6376" w:rsidP="0099759E">
            <w:pPr>
              <w:pStyle w:val="TableBody"/>
              <w:rPr>
                <w:i/>
              </w:rPr>
            </w:pPr>
            <w:r w:rsidRPr="0013396E">
              <w:rPr>
                <w:i/>
              </w:rPr>
              <w:t>Day-Ahead Responsive Reserve Amount per QSE</w:t>
            </w:r>
            <w:r w:rsidRPr="0013396E">
              <w:t xml:space="preserve">—QSE </w:t>
            </w:r>
            <w:r w:rsidRPr="0013396E">
              <w:rPr>
                <w:i/>
              </w:rPr>
              <w:t>q</w:t>
            </w:r>
            <w:r w:rsidRPr="0013396E">
              <w:t>’s share of the DAM cost for RRS for the Operating Hour.</w:t>
            </w:r>
          </w:p>
        </w:tc>
      </w:tr>
      <w:tr w:rsidR="00EF6376" w:rsidRPr="0013396E" w14:paraId="4B6EBC5F" w14:textId="77777777" w:rsidTr="0099759E">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6BC59975" w14:textId="77777777" w:rsidR="00EF6376" w:rsidRPr="0013396E" w:rsidRDefault="00EF6376" w:rsidP="0099759E">
            <w:pPr>
              <w:pStyle w:val="TableBody"/>
            </w:pPr>
            <w:r w:rsidRPr="0013396E">
              <w:t xml:space="preserve">PCRRR </w:t>
            </w:r>
            <w:r w:rsidRPr="0013396E">
              <w:rPr>
                <w:i/>
                <w:vertAlign w:val="subscript"/>
              </w:rPr>
              <w:t>r,</w:t>
            </w:r>
            <w:r w:rsidRPr="0013396E">
              <w:rPr>
                <w:i/>
              </w:rPr>
              <w:t xml:space="preserve"> </w:t>
            </w:r>
            <w:r w:rsidRPr="0013396E">
              <w:rPr>
                <w:i/>
                <w:vertAlign w:val="subscript"/>
              </w:rPr>
              <w:t>q, DAM</w:t>
            </w:r>
          </w:p>
        </w:tc>
        <w:tc>
          <w:tcPr>
            <w:tcW w:w="990" w:type="dxa"/>
            <w:tcBorders>
              <w:top w:val="single" w:sz="4" w:space="0" w:color="auto"/>
              <w:left w:val="single" w:sz="4" w:space="0" w:color="auto"/>
              <w:bottom w:val="single" w:sz="4" w:space="0" w:color="auto"/>
              <w:right w:val="single" w:sz="4" w:space="0" w:color="auto"/>
            </w:tcBorders>
            <w:hideMark/>
          </w:tcPr>
          <w:p w14:paraId="169D11CC" w14:textId="77777777" w:rsidR="00EF6376" w:rsidRPr="0013396E" w:rsidRDefault="00EF6376" w:rsidP="0099759E">
            <w:pPr>
              <w:pStyle w:val="TableBody"/>
            </w:pPr>
            <w:r w:rsidRPr="0013396E">
              <w:t>MW</w:t>
            </w:r>
          </w:p>
        </w:tc>
        <w:tc>
          <w:tcPr>
            <w:tcW w:w="6840" w:type="dxa"/>
            <w:tcBorders>
              <w:top w:val="single" w:sz="4" w:space="0" w:color="auto"/>
              <w:left w:val="single" w:sz="4" w:space="0" w:color="auto"/>
              <w:bottom w:val="single" w:sz="4" w:space="0" w:color="auto"/>
              <w:right w:val="single" w:sz="4" w:space="0" w:color="auto"/>
            </w:tcBorders>
            <w:hideMark/>
          </w:tcPr>
          <w:p w14:paraId="22C06EFE" w14:textId="77777777" w:rsidR="00EF6376" w:rsidRPr="0013396E" w:rsidRDefault="00EF6376" w:rsidP="0099759E">
            <w:pPr>
              <w:pStyle w:val="TableBody"/>
              <w:rPr>
                <w:i/>
              </w:rPr>
            </w:pPr>
            <w:r w:rsidRPr="0013396E">
              <w:rPr>
                <w:i/>
              </w:rPr>
              <w:t>Procured Capacity for Responsive Reserve per Resource per QSE in DAM</w:t>
            </w:r>
            <w:r w:rsidRPr="0013396E">
              <w:t xml:space="preserve">—The RRS capacity awarded to QSE </w:t>
            </w:r>
            <w:r w:rsidRPr="0013396E">
              <w:rPr>
                <w:i/>
              </w:rPr>
              <w:t>q</w:t>
            </w:r>
            <w:r w:rsidRPr="0013396E">
              <w:t xml:space="preserve"> in the DAM for Resource </w:t>
            </w:r>
            <w:r w:rsidRPr="0013396E">
              <w:rPr>
                <w:i/>
              </w:rPr>
              <w:t>r</w:t>
            </w:r>
            <w:r w:rsidRPr="0013396E">
              <w:t xml:space="preserve"> for the Operating Hour.  Where for a Combined Cycle Train, the Resource </w:t>
            </w:r>
            <w:r w:rsidRPr="0013396E">
              <w:rPr>
                <w:i/>
              </w:rPr>
              <w:t xml:space="preserve">r </w:t>
            </w:r>
            <w:r w:rsidRPr="0013396E">
              <w:t>is a Combined Cycle Generation Resource within the Combined Cycle Train.</w:t>
            </w:r>
          </w:p>
        </w:tc>
      </w:tr>
      <w:tr w:rsidR="00EF6376" w:rsidRPr="0013396E" w14:paraId="4273A65D" w14:textId="77777777" w:rsidTr="0099759E">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723D67E5" w14:textId="77777777" w:rsidR="00EF6376" w:rsidRPr="0013396E" w:rsidRDefault="00EF6376" w:rsidP="0099759E">
            <w:pPr>
              <w:pStyle w:val="TableBody"/>
            </w:pPr>
            <w:r w:rsidRPr="0013396E">
              <w:t xml:space="preserve">DARROAWD </w:t>
            </w:r>
            <w:r w:rsidRPr="0013396E">
              <w:rPr>
                <w:i/>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38C79ECC" w14:textId="77777777" w:rsidR="00EF6376" w:rsidRPr="0013396E" w:rsidRDefault="00EF6376" w:rsidP="0099759E">
            <w:pPr>
              <w:pStyle w:val="TableBody"/>
            </w:pPr>
            <w:r w:rsidRPr="0013396E">
              <w:t>MW</w:t>
            </w:r>
          </w:p>
        </w:tc>
        <w:tc>
          <w:tcPr>
            <w:tcW w:w="6840" w:type="dxa"/>
            <w:tcBorders>
              <w:top w:val="single" w:sz="4" w:space="0" w:color="auto"/>
              <w:left w:val="single" w:sz="4" w:space="0" w:color="auto"/>
              <w:bottom w:val="single" w:sz="4" w:space="0" w:color="auto"/>
              <w:right w:val="single" w:sz="4" w:space="0" w:color="auto"/>
            </w:tcBorders>
            <w:hideMark/>
          </w:tcPr>
          <w:p w14:paraId="5D23D372" w14:textId="77777777" w:rsidR="00EF6376" w:rsidRPr="0013396E" w:rsidRDefault="00EF6376" w:rsidP="0099759E">
            <w:pPr>
              <w:pStyle w:val="TableBody"/>
            </w:pPr>
            <w:r w:rsidRPr="0013396E">
              <w:rPr>
                <w:i/>
              </w:rPr>
              <w:t>Day-Ahead Responsive Reserve Only Award for the QSE</w:t>
            </w:r>
            <w:r w:rsidRPr="0013396E">
              <w:t xml:space="preserve">—The RRS Only capacity awarded in the DAM to QSE </w:t>
            </w:r>
            <w:r w:rsidRPr="0013396E">
              <w:rPr>
                <w:i/>
              </w:rPr>
              <w:t>q</w:t>
            </w:r>
            <w:r w:rsidRPr="0013396E">
              <w:t xml:space="preserve"> for the Operating Hour.  </w:t>
            </w:r>
          </w:p>
        </w:tc>
      </w:tr>
      <w:tr w:rsidR="00EF6376" w:rsidRPr="0013396E" w14:paraId="73DB0118" w14:textId="77777777" w:rsidTr="0099759E">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69C2117A" w14:textId="77777777" w:rsidR="00EF6376" w:rsidRPr="0013396E" w:rsidRDefault="00EF6376" w:rsidP="0099759E">
            <w:pPr>
              <w:pStyle w:val="TableBody"/>
            </w:pPr>
            <w:r w:rsidRPr="0013396E">
              <w:t>HLRS</w:t>
            </w:r>
            <w:r w:rsidRPr="0013396E">
              <w:rPr>
                <w:i/>
                <w:vertAlign w:val="subscript"/>
              </w:rPr>
              <w:t xml:space="preserve"> q</w:t>
            </w:r>
          </w:p>
        </w:tc>
        <w:tc>
          <w:tcPr>
            <w:tcW w:w="990" w:type="dxa"/>
            <w:tcBorders>
              <w:top w:val="single" w:sz="4" w:space="0" w:color="auto"/>
              <w:left w:val="single" w:sz="4" w:space="0" w:color="auto"/>
              <w:bottom w:val="single" w:sz="4" w:space="0" w:color="auto"/>
              <w:right w:val="single" w:sz="4" w:space="0" w:color="auto"/>
            </w:tcBorders>
            <w:hideMark/>
          </w:tcPr>
          <w:p w14:paraId="55257167" w14:textId="77777777" w:rsidR="00EF6376" w:rsidRPr="0013396E" w:rsidRDefault="00EF6376" w:rsidP="0099759E">
            <w:pPr>
              <w:pStyle w:val="TableBody"/>
            </w:pPr>
            <w:r w:rsidRPr="0013396E">
              <w:t>none</w:t>
            </w:r>
          </w:p>
        </w:tc>
        <w:tc>
          <w:tcPr>
            <w:tcW w:w="6840" w:type="dxa"/>
            <w:tcBorders>
              <w:top w:val="single" w:sz="4" w:space="0" w:color="auto"/>
              <w:left w:val="single" w:sz="4" w:space="0" w:color="auto"/>
              <w:bottom w:val="single" w:sz="4" w:space="0" w:color="auto"/>
              <w:right w:val="single" w:sz="4" w:space="0" w:color="auto"/>
            </w:tcBorders>
            <w:hideMark/>
          </w:tcPr>
          <w:p w14:paraId="187C4E78" w14:textId="77777777" w:rsidR="00EF6376" w:rsidRPr="0013396E" w:rsidRDefault="00EF6376" w:rsidP="0099759E">
            <w:pPr>
              <w:pStyle w:val="TableBody"/>
            </w:pPr>
            <w:r w:rsidRPr="0013396E">
              <w:rPr>
                <w:i/>
                <w:iCs w:val="0"/>
              </w:rPr>
              <w:t>Hourly Load Ratio Share per QSE</w:t>
            </w:r>
            <w:r w:rsidRPr="0013396E">
              <w:t xml:space="preserve">—The Real-Time LRS as defined in Section 6.6.2.4, QSE Load Ratio Share for an Operating Hour, for QSE </w:t>
            </w:r>
            <w:r w:rsidRPr="0013396E">
              <w:rPr>
                <w:i/>
              </w:rPr>
              <w:t>q</w:t>
            </w:r>
            <w:r w:rsidRPr="0013396E">
              <w:t xml:space="preserve"> for the Operating Hour.</w:t>
            </w:r>
          </w:p>
        </w:tc>
      </w:tr>
      <w:tr w:rsidR="00EF6376" w:rsidRPr="0013396E" w14:paraId="3F6783BA" w14:textId="77777777" w:rsidTr="0099759E">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33C5FC11" w14:textId="77777777" w:rsidR="00EF6376" w:rsidRPr="0013396E" w:rsidRDefault="00EF6376" w:rsidP="0099759E">
            <w:pPr>
              <w:pStyle w:val="TableBody"/>
            </w:pPr>
            <w:r w:rsidRPr="0013396E">
              <w:t xml:space="preserve">DAPCRRQTOT  </w:t>
            </w:r>
          </w:p>
        </w:tc>
        <w:tc>
          <w:tcPr>
            <w:tcW w:w="990" w:type="dxa"/>
            <w:tcBorders>
              <w:top w:val="single" w:sz="4" w:space="0" w:color="auto"/>
              <w:left w:val="single" w:sz="4" w:space="0" w:color="auto"/>
              <w:bottom w:val="single" w:sz="4" w:space="0" w:color="auto"/>
              <w:right w:val="single" w:sz="4" w:space="0" w:color="auto"/>
            </w:tcBorders>
            <w:hideMark/>
          </w:tcPr>
          <w:p w14:paraId="4D63E5E0" w14:textId="77777777" w:rsidR="00EF6376" w:rsidRPr="0013396E" w:rsidRDefault="00EF6376" w:rsidP="0099759E">
            <w:pPr>
              <w:pStyle w:val="TableBody"/>
            </w:pPr>
            <w:r w:rsidRPr="0013396E">
              <w:t>MW</w:t>
            </w:r>
          </w:p>
        </w:tc>
        <w:tc>
          <w:tcPr>
            <w:tcW w:w="6840" w:type="dxa"/>
            <w:tcBorders>
              <w:top w:val="single" w:sz="4" w:space="0" w:color="auto"/>
              <w:left w:val="single" w:sz="4" w:space="0" w:color="auto"/>
              <w:bottom w:val="single" w:sz="4" w:space="0" w:color="auto"/>
              <w:right w:val="single" w:sz="4" w:space="0" w:color="auto"/>
            </w:tcBorders>
            <w:hideMark/>
          </w:tcPr>
          <w:p w14:paraId="0C76AA14" w14:textId="77777777" w:rsidR="00EF6376" w:rsidRPr="0013396E" w:rsidRDefault="00EF6376" w:rsidP="0099759E">
            <w:pPr>
              <w:pStyle w:val="TableBody"/>
            </w:pPr>
            <w:r w:rsidRPr="0013396E">
              <w:rPr>
                <w:i/>
              </w:rPr>
              <w:t>Day-Ahead Procured Capacity for Responsive Reserve Total</w:t>
            </w:r>
            <w:r w:rsidRPr="0013396E">
              <w:t>—The total RRS capacity for all QSEs for all RRS awarded and self-arranged in the DAM for the Operating Hour.</w:t>
            </w:r>
          </w:p>
        </w:tc>
      </w:tr>
      <w:tr w:rsidR="00EF6376" w:rsidRPr="0013396E" w14:paraId="782B5D26" w14:textId="77777777" w:rsidTr="0099759E">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013554D6" w14:textId="77777777" w:rsidR="00EF6376" w:rsidRPr="0013396E" w:rsidRDefault="00EF6376" w:rsidP="0099759E">
            <w:pPr>
              <w:pStyle w:val="TableBody"/>
            </w:pPr>
            <w:r w:rsidRPr="0013396E">
              <w:t xml:space="preserve">DASARRQ </w:t>
            </w:r>
            <w:r w:rsidRPr="0013396E">
              <w:rPr>
                <w:i/>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7604362F" w14:textId="77777777" w:rsidR="00EF6376" w:rsidRPr="0013396E" w:rsidRDefault="00EF6376" w:rsidP="0099759E">
            <w:pPr>
              <w:pStyle w:val="TableBody"/>
            </w:pPr>
            <w:r w:rsidRPr="0013396E">
              <w:t>MW</w:t>
            </w:r>
          </w:p>
        </w:tc>
        <w:tc>
          <w:tcPr>
            <w:tcW w:w="6840" w:type="dxa"/>
            <w:tcBorders>
              <w:top w:val="single" w:sz="4" w:space="0" w:color="auto"/>
              <w:left w:val="single" w:sz="4" w:space="0" w:color="auto"/>
              <w:bottom w:val="single" w:sz="4" w:space="0" w:color="auto"/>
              <w:right w:val="single" w:sz="4" w:space="0" w:color="auto"/>
            </w:tcBorders>
            <w:hideMark/>
          </w:tcPr>
          <w:p w14:paraId="1A9F9BDE" w14:textId="77777777" w:rsidR="00EF6376" w:rsidRPr="0013396E" w:rsidRDefault="00EF6376" w:rsidP="0099759E">
            <w:pPr>
              <w:pStyle w:val="TableBody"/>
              <w:rPr>
                <w:i/>
              </w:rPr>
            </w:pPr>
            <w:r w:rsidRPr="0013396E">
              <w:rPr>
                <w:i/>
              </w:rPr>
              <w:t>Day-Ahead Self-Arranged Responsive Reserve Quantity per QSE</w:t>
            </w:r>
            <w:r w:rsidRPr="0013396E">
              <w:t xml:space="preserve">—The self-arranged RRS capacity submitted by QSE </w:t>
            </w:r>
            <w:r w:rsidRPr="0013396E">
              <w:rPr>
                <w:i/>
              </w:rPr>
              <w:t>q</w:t>
            </w:r>
            <w:r w:rsidRPr="0013396E">
              <w:t xml:space="preserve"> before 1000 in the DAM for the Operating Hour.</w:t>
            </w:r>
          </w:p>
        </w:tc>
      </w:tr>
      <w:tr w:rsidR="00EF6376" w:rsidRPr="0013396E" w14:paraId="35FE9675" w14:textId="77777777" w:rsidTr="0099759E">
        <w:trPr>
          <w:cantSplit/>
        </w:trPr>
        <w:tc>
          <w:tcPr>
            <w:tcW w:w="1883" w:type="dxa"/>
            <w:tcBorders>
              <w:top w:val="single" w:sz="4" w:space="0" w:color="auto"/>
              <w:left w:val="single" w:sz="4" w:space="0" w:color="auto"/>
              <w:bottom w:val="single" w:sz="4" w:space="0" w:color="auto"/>
              <w:right w:val="single" w:sz="4" w:space="0" w:color="auto"/>
            </w:tcBorders>
            <w:hideMark/>
          </w:tcPr>
          <w:p w14:paraId="32A18247" w14:textId="77777777" w:rsidR="00EF6376" w:rsidRPr="0013396E" w:rsidRDefault="00EF6376" w:rsidP="0099759E">
            <w:pPr>
              <w:pStyle w:val="TableBody"/>
              <w:rPr>
                <w:i/>
              </w:rPr>
            </w:pPr>
            <w:r w:rsidRPr="0013396E">
              <w:rPr>
                <w:i/>
              </w:rPr>
              <w:t>q</w:t>
            </w:r>
          </w:p>
        </w:tc>
        <w:tc>
          <w:tcPr>
            <w:tcW w:w="990" w:type="dxa"/>
            <w:tcBorders>
              <w:top w:val="single" w:sz="4" w:space="0" w:color="auto"/>
              <w:left w:val="single" w:sz="4" w:space="0" w:color="auto"/>
              <w:bottom w:val="single" w:sz="4" w:space="0" w:color="auto"/>
              <w:right w:val="single" w:sz="4" w:space="0" w:color="auto"/>
            </w:tcBorders>
            <w:hideMark/>
          </w:tcPr>
          <w:p w14:paraId="790FA0DA" w14:textId="77777777" w:rsidR="00EF6376" w:rsidRPr="0013396E" w:rsidRDefault="00EF6376" w:rsidP="0099759E">
            <w:pPr>
              <w:pStyle w:val="TableBody"/>
            </w:pPr>
            <w:r w:rsidRPr="0013396E">
              <w:t>none</w:t>
            </w:r>
          </w:p>
        </w:tc>
        <w:tc>
          <w:tcPr>
            <w:tcW w:w="6840" w:type="dxa"/>
            <w:tcBorders>
              <w:top w:val="single" w:sz="4" w:space="0" w:color="auto"/>
              <w:left w:val="single" w:sz="4" w:space="0" w:color="auto"/>
              <w:bottom w:val="single" w:sz="4" w:space="0" w:color="auto"/>
              <w:right w:val="single" w:sz="4" w:space="0" w:color="auto"/>
            </w:tcBorders>
            <w:hideMark/>
          </w:tcPr>
          <w:p w14:paraId="679ABAD6" w14:textId="77777777" w:rsidR="00EF6376" w:rsidRPr="0013396E" w:rsidRDefault="00EF6376" w:rsidP="0099759E">
            <w:pPr>
              <w:pStyle w:val="TableBody"/>
            </w:pPr>
            <w:r w:rsidRPr="0013396E">
              <w:t>A QSE.</w:t>
            </w:r>
          </w:p>
        </w:tc>
      </w:tr>
      <w:tr w:rsidR="00EF6376" w:rsidRPr="0013396E" w14:paraId="27572DDB" w14:textId="77777777" w:rsidTr="0099759E">
        <w:trPr>
          <w:cantSplit/>
        </w:trPr>
        <w:tc>
          <w:tcPr>
            <w:tcW w:w="1883" w:type="dxa"/>
            <w:tcBorders>
              <w:top w:val="single" w:sz="4" w:space="0" w:color="auto"/>
              <w:left w:val="single" w:sz="4" w:space="0" w:color="auto"/>
              <w:bottom w:val="single" w:sz="4" w:space="0" w:color="auto"/>
              <w:right w:val="single" w:sz="4" w:space="0" w:color="auto"/>
            </w:tcBorders>
            <w:hideMark/>
          </w:tcPr>
          <w:p w14:paraId="02DEE3DE" w14:textId="77777777" w:rsidR="00EF6376" w:rsidRPr="0013396E" w:rsidRDefault="00EF6376" w:rsidP="0099759E">
            <w:pPr>
              <w:pStyle w:val="TableBody"/>
              <w:rPr>
                <w:i/>
              </w:rPr>
            </w:pPr>
            <w:r w:rsidRPr="0013396E">
              <w:rPr>
                <w:i/>
              </w:rPr>
              <w:t>r</w:t>
            </w:r>
          </w:p>
        </w:tc>
        <w:tc>
          <w:tcPr>
            <w:tcW w:w="990" w:type="dxa"/>
            <w:tcBorders>
              <w:top w:val="single" w:sz="4" w:space="0" w:color="auto"/>
              <w:left w:val="single" w:sz="4" w:space="0" w:color="auto"/>
              <w:bottom w:val="single" w:sz="4" w:space="0" w:color="auto"/>
              <w:right w:val="single" w:sz="4" w:space="0" w:color="auto"/>
            </w:tcBorders>
            <w:hideMark/>
          </w:tcPr>
          <w:p w14:paraId="3BD87B90" w14:textId="77777777" w:rsidR="00EF6376" w:rsidRPr="0013396E" w:rsidRDefault="00EF6376" w:rsidP="0099759E">
            <w:pPr>
              <w:pStyle w:val="TableBody"/>
            </w:pPr>
            <w:r w:rsidRPr="0013396E">
              <w:t>none</w:t>
            </w:r>
          </w:p>
        </w:tc>
        <w:tc>
          <w:tcPr>
            <w:tcW w:w="6840" w:type="dxa"/>
            <w:tcBorders>
              <w:top w:val="single" w:sz="4" w:space="0" w:color="auto"/>
              <w:left w:val="single" w:sz="4" w:space="0" w:color="auto"/>
              <w:bottom w:val="single" w:sz="4" w:space="0" w:color="auto"/>
              <w:right w:val="single" w:sz="4" w:space="0" w:color="auto"/>
            </w:tcBorders>
            <w:hideMark/>
          </w:tcPr>
          <w:p w14:paraId="7B091AD4" w14:textId="77777777" w:rsidR="00EF6376" w:rsidRPr="0013396E" w:rsidRDefault="00EF6376" w:rsidP="0099759E">
            <w:pPr>
              <w:pStyle w:val="TableBody"/>
            </w:pPr>
            <w:r w:rsidRPr="0013396E">
              <w:t>A Resource.</w:t>
            </w:r>
          </w:p>
        </w:tc>
      </w:tr>
    </w:tbl>
    <w:p w14:paraId="5686E155" w14:textId="77777777" w:rsidR="00EF6376" w:rsidRPr="0013396E" w:rsidRDefault="00EF6376" w:rsidP="00EF6376">
      <w:pPr>
        <w:pStyle w:val="BodyTextNumbered"/>
        <w:spacing w:before="240"/>
        <w:ind w:left="1440"/>
        <w:rPr>
          <w:iCs/>
        </w:rPr>
      </w:pPr>
      <w:r w:rsidRPr="0013396E">
        <w:rPr>
          <w:iCs/>
        </w:rPr>
        <w:t>(d)</w:t>
      </w:r>
      <w:r w:rsidRPr="0013396E">
        <w:rPr>
          <w:iCs/>
        </w:rPr>
        <w:tab/>
        <w:t xml:space="preserve">For Non-Spinning Reserve (Non-Spin), if applicable: </w:t>
      </w:r>
    </w:p>
    <w:p w14:paraId="0F7F4B41" w14:textId="77777777" w:rsidR="00EF6376" w:rsidRPr="0013396E" w:rsidRDefault="00EF6376" w:rsidP="00EF6376">
      <w:pPr>
        <w:pStyle w:val="BodyTextNumbered"/>
        <w:ind w:left="1440"/>
        <w:rPr>
          <w:iCs/>
        </w:rPr>
      </w:pPr>
      <w:r w:rsidRPr="0013396E">
        <w:rPr>
          <w:iCs/>
        </w:rPr>
        <w:t xml:space="preserve">DARTPCNSAMT </w:t>
      </w:r>
      <w:r w:rsidRPr="0013396E">
        <w:rPr>
          <w:i/>
          <w:iCs/>
          <w:vertAlign w:val="subscript"/>
        </w:rPr>
        <w:t>q</w:t>
      </w:r>
      <w:r w:rsidRPr="0013396E">
        <w:rPr>
          <w:iCs/>
        </w:rPr>
        <w:t xml:space="preserve"> = (DANSNOBL </w:t>
      </w:r>
      <w:r w:rsidRPr="0013396E">
        <w:rPr>
          <w:i/>
          <w:iCs/>
          <w:vertAlign w:val="subscript"/>
        </w:rPr>
        <w:t>q</w:t>
      </w:r>
      <w:r w:rsidRPr="0013396E">
        <w:rPr>
          <w:iCs/>
        </w:rPr>
        <w:t xml:space="preserve"> – DASANSQ </w:t>
      </w:r>
      <w:r w:rsidRPr="0013396E">
        <w:rPr>
          <w:i/>
          <w:iCs/>
          <w:vertAlign w:val="subscript"/>
        </w:rPr>
        <w:t>q</w:t>
      </w:r>
      <w:r w:rsidRPr="0013396E">
        <w:rPr>
          <w:iCs/>
        </w:rPr>
        <w:t xml:space="preserve">) * DANSPR - DANSAMT </w:t>
      </w:r>
      <w:r w:rsidRPr="0013396E">
        <w:rPr>
          <w:i/>
          <w:iCs/>
          <w:vertAlign w:val="subscript"/>
        </w:rPr>
        <w:t>q</w:t>
      </w:r>
    </w:p>
    <w:p w14:paraId="2176BA22" w14:textId="77777777" w:rsidR="00EF6376" w:rsidRPr="0013396E" w:rsidRDefault="00EF6376" w:rsidP="00EF6376">
      <w:pPr>
        <w:pStyle w:val="BodyTextNumbered"/>
        <w:rPr>
          <w:iCs/>
        </w:rPr>
      </w:pPr>
      <w:r w:rsidRPr="0013396E">
        <w:rPr>
          <w:iCs/>
        </w:rPr>
        <w:t>Where:</w:t>
      </w:r>
    </w:p>
    <w:p w14:paraId="62CF62B2" w14:textId="77777777" w:rsidR="00EF6376" w:rsidRPr="0013396E" w:rsidRDefault="00EF6376" w:rsidP="00EF6376">
      <w:pPr>
        <w:pStyle w:val="BodyTextNumbered"/>
        <w:ind w:left="1440"/>
        <w:rPr>
          <w:iCs/>
        </w:rPr>
      </w:pPr>
      <w:r w:rsidRPr="0013396E">
        <w:rPr>
          <w:iCs/>
        </w:rPr>
        <w:t xml:space="preserve">DANSNOBL </w:t>
      </w:r>
      <w:r w:rsidRPr="0013396E">
        <w:rPr>
          <w:i/>
          <w:iCs/>
          <w:vertAlign w:val="subscript"/>
        </w:rPr>
        <w:t xml:space="preserve">q </w:t>
      </w:r>
      <w:r w:rsidRPr="0013396E">
        <w:rPr>
          <w:iCs/>
        </w:rPr>
        <w:t xml:space="preserve">    =  DAPCNSQTOT * HLRS </w:t>
      </w:r>
      <w:r w:rsidRPr="0013396E">
        <w:rPr>
          <w:i/>
          <w:iCs/>
          <w:vertAlign w:val="subscript"/>
        </w:rPr>
        <w:t>q</w:t>
      </w:r>
      <w:r w:rsidRPr="0013396E">
        <w:rPr>
          <w:iCs/>
        </w:rPr>
        <w:t xml:space="preserve"> </w:t>
      </w:r>
    </w:p>
    <w:p w14:paraId="490A3748" w14:textId="77777777" w:rsidR="00EF6376" w:rsidRPr="0013396E" w:rsidRDefault="00EF6376" w:rsidP="00EF6376">
      <w:pPr>
        <w:pStyle w:val="BodyTextNumbered"/>
        <w:ind w:left="1440"/>
        <w:rPr>
          <w:iCs/>
        </w:rPr>
      </w:pPr>
      <w:r w:rsidRPr="0013396E">
        <w:rPr>
          <w:iCs/>
        </w:rPr>
        <w:t xml:space="preserve">DAPCNSQTOT      =  </w:t>
      </w:r>
      <w:r w:rsidRPr="0013396E">
        <w:rPr>
          <w:iCs/>
          <w:position w:val="-22"/>
        </w:rPr>
        <w:object w:dxaOrig="285" w:dyaOrig="285" w14:anchorId="16E26595">
          <v:shape id="_x0000_i1262" type="#_x0000_t75" style="width:30pt;height:30pt" o:ole="">
            <v:imagedata r:id="rId330" o:title=""/>
          </v:shape>
          <o:OLEObject Type="Embed" ProgID="Equation.3" ShapeID="_x0000_i1262" DrawAspect="Content" ObjectID="_1836311539" r:id="rId339"/>
        </w:object>
      </w:r>
      <w:r w:rsidRPr="0013396E">
        <w:rPr>
          <w:iCs/>
        </w:rPr>
        <w:t xml:space="preserve"> (</w:t>
      </w:r>
      <w:r w:rsidRPr="0013396E">
        <w:rPr>
          <w:iCs/>
          <w:position w:val="-18"/>
        </w:rPr>
        <w:object w:dxaOrig="285" w:dyaOrig="570" w14:anchorId="065FB310">
          <v:shape id="_x0000_i1263" type="#_x0000_t75" style="width:12pt;height:30pt" o:ole="">
            <v:imagedata r:id="rId332" o:title=""/>
          </v:shape>
          <o:OLEObject Type="Embed" ProgID="Equation.3" ShapeID="_x0000_i1263" DrawAspect="Content" ObjectID="_1836311540" r:id="rId340"/>
        </w:object>
      </w:r>
      <w:r w:rsidRPr="0013396E">
        <w:rPr>
          <w:iCs/>
        </w:rPr>
        <w:t>PCNSR</w:t>
      </w:r>
      <w:r w:rsidRPr="0013396E">
        <w:rPr>
          <w:i/>
          <w:iCs/>
        </w:rPr>
        <w:t xml:space="preserve"> </w:t>
      </w:r>
      <w:r w:rsidRPr="0013396E">
        <w:rPr>
          <w:i/>
          <w:iCs/>
          <w:vertAlign w:val="subscript"/>
        </w:rPr>
        <w:t>r, q, DAM</w:t>
      </w:r>
      <w:r w:rsidRPr="0013396E">
        <w:rPr>
          <w:iCs/>
        </w:rPr>
        <w:t xml:space="preserve"> + DANSOAWD </w:t>
      </w:r>
      <w:r w:rsidRPr="0013396E">
        <w:rPr>
          <w:i/>
          <w:iCs/>
          <w:vertAlign w:val="subscript"/>
        </w:rPr>
        <w:t>q</w:t>
      </w:r>
      <w:r w:rsidRPr="0013396E">
        <w:rPr>
          <w:iCs/>
        </w:rPr>
        <w:t xml:space="preserve"> + DASANSQ </w:t>
      </w:r>
      <w:r w:rsidRPr="0013396E">
        <w:rPr>
          <w:i/>
          <w:iCs/>
          <w:vertAlign w:val="subscript"/>
        </w:rPr>
        <w:t>q</w:t>
      </w:r>
      <w:r w:rsidRPr="0013396E">
        <w:rPr>
          <w:iCs/>
        </w:rPr>
        <w:t>)</w:t>
      </w:r>
    </w:p>
    <w:p w14:paraId="27F79F39" w14:textId="77777777" w:rsidR="00EF6376" w:rsidRPr="0013396E" w:rsidRDefault="00EF6376" w:rsidP="00EF6376">
      <w:pPr>
        <w:pStyle w:val="BodyTextNumbered"/>
        <w:spacing w:after="0"/>
        <w:rPr>
          <w:iCs/>
        </w:rPr>
      </w:pPr>
      <w:r w:rsidRPr="0013396E">
        <w:rPr>
          <w:iCs/>
        </w:rPr>
        <w:t>The above variables are defined as follows:</w:t>
      </w:r>
    </w:p>
    <w:tbl>
      <w:tblPr>
        <w:tblW w:w="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9"/>
        <w:gridCol w:w="970"/>
        <w:gridCol w:w="6396"/>
      </w:tblGrid>
      <w:tr w:rsidR="00EF6376" w:rsidRPr="0013396E" w14:paraId="3DB83C10" w14:textId="77777777" w:rsidTr="0099759E">
        <w:trPr>
          <w:cantSplit/>
          <w:tblHeader/>
        </w:trPr>
        <w:tc>
          <w:tcPr>
            <w:tcW w:w="1883" w:type="dxa"/>
            <w:tcBorders>
              <w:top w:val="single" w:sz="4" w:space="0" w:color="auto"/>
              <w:left w:val="single" w:sz="4" w:space="0" w:color="auto"/>
              <w:bottom w:val="single" w:sz="4" w:space="0" w:color="auto"/>
              <w:right w:val="single" w:sz="4" w:space="0" w:color="auto"/>
            </w:tcBorders>
            <w:hideMark/>
          </w:tcPr>
          <w:p w14:paraId="61A40DEB" w14:textId="77777777" w:rsidR="00EF6376" w:rsidRPr="0013396E" w:rsidRDefault="00EF6376" w:rsidP="0099759E">
            <w:pPr>
              <w:pStyle w:val="TableHead"/>
            </w:pPr>
            <w:r w:rsidRPr="0013396E">
              <w:rPr>
                <w:iCs w:val="0"/>
              </w:rPr>
              <w:t>Variable</w:t>
            </w:r>
          </w:p>
        </w:tc>
        <w:tc>
          <w:tcPr>
            <w:tcW w:w="990" w:type="dxa"/>
            <w:tcBorders>
              <w:top w:val="single" w:sz="4" w:space="0" w:color="auto"/>
              <w:left w:val="single" w:sz="4" w:space="0" w:color="auto"/>
              <w:bottom w:val="single" w:sz="4" w:space="0" w:color="auto"/>
              <w:right w:val="single" w:sz="4" w:space="0" w:color="auto"/>
            </w:tcBorders>
            <w:hideMark/>
          </w:tcPr>
          <w:p w14:paraId="6DB6E3C2" w14:textId="77777777" w:rsidR="00EF6376" w:rsidRPr="0013396E" w:rsidRDefault="00EF6376" w:rsidP="0099759E">
            <w:pPr>
              <w:pStyle w:val="TableHead"/>
            </w:pPr>
            <w:r w:rsidRPr="0013396E">
              <w:t>Unit</w:t>
            </w:r>
          </w:p>
        </w:tc>
        <w:tc>
          <w:tcPr>
            <w:tcW w:w="6840" w:type="dxa"/>
            <w:tcBorders>
              <w:top w:val="single" w:sz="4" w:space="0" w:color="auto"/>
              <w:left w:val="single" w:sz="4" w:space="0" w:color="auto"/>
              <w:bottom w:val="single" w:sz="4" w:space="0" w:color="auto"/>
              <w:right w:val="single" w:sz="4" w:space="0" w:color="auto"/>
            </w:tcBorders>
            <w:hideMark/>
          </w:tcPr>
          <w:p w14:paraId="1C4C7F31" w14:textId="77777777" w:rsidR="00EF6376" w:rsidRPr="0013396E" w:rsidRDefault="00EF6376" w:rsidP="0099759E">
            <w:pPr>
              <w:pStyle w:val="TableHead"/>
            </w:pPr>
            <w:r w:rsidRPr="0013396E">
              <w:t>Description</w:t>
            </w:r>
          </w:p>
        </w:tc>
      </w:tr>
      <w:tr w:rsidR="00EF6376" w:rsidRPr="0013396E" w14:paraId="764B738E" w14:textId="77777777" w:rsidTr="0099759E">
        <w:trPr>
          <w:cantSplit/>
        </w:trPr>
        <w:tc>
          <w:tcPr>
            <w:tcW w:w="1883" w:type="dxa"/>
            <w:tcBorders>
              <w:top w:val="single" w:sz="4" w:space="0" w:color="auto"/>
              <w:left w:val="single" w:sz="4" w:space="0" w:color="auto"/>
              <w:bottom w:val="single" w:sz="4" w:space="0" w:color="auto"/>
              <w:right w:val="single" w:sz="4" w:space="0" w:color="auto"/>
            </w:tcBorders>
            <w:hideMark/>
          </w:tcPr>
          <w:p w14:paraId="5FE513AB" w14:textId="77777777" w:rsidR="00EF6376" w:rsidRPr="0013396E" w:rsidRDefault="00EF6376" w:rsidP="0099759E">
            <w:pPr>
              <w:pStyle w:val="TableBody"/>
            </w:pPr>
            <w:r w:rsidRPr="0013396E">
              <w:t xml:space="preserve">DARTPCNSAMT </w:t>
            </w:r>
            <w:r w:rsidRPr="0013396E">
              <w:rPr>
                <w:i/>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72306980" w14:textId="77777777" w:rsidR="00EF6376" w:rsidRPr="0013396E" w:rsidRDefault="00EF6376" w:rsidP="0099759E">
            <w:pPr>
              <w:pStyle w:val="TableBody"/>
            </w:pPr>
            <w:r w:rsidRPr="0013396E">
              <w:t>$</w:t>
            </w:r>
          </w:p>
        </w:tc>
        <w:tc>
          <w:tcPr>
            <w:tcW w:w="6840" w:type="dxa"/>
            <w:tcBorders>
              <w:top w:val="single" w:sz="4" w:space="0" w:color="auto"/>
              <w:left w:val="single" w:sz="4" w:space="0" w:color="auto"/>
              <w:bottom w:val="single" w:sz="4" w:space="0" w:color="auto"/>
              <w:right w:val="single" w:sz="4" w:space="0" w:color="auto"/>
            </w:tcBorders>
            <w:hideMark/>
          </w:tcPr>
          <w:p w14:paraId="464C404C" w14:textId="77777777" w:rsidR="00EF6376" w:rsidRPr="0013396E" w:rsidRDefault="00EF6376" w:rsidP="0099759E">
            <w:pPr>
              <w:pStyle w:val="TableBody"/>
            </w:pPr>
            <w:r w:rsidRPr="0013396E">
              <w:rPr>
                <w:i/>
              </w:rPr>
              <w:t>Day-Ahead Updated Real-Time Procured Capacity for Non-Spin Amount by QSE</w:t>
            </w:r>
            <w:r w:rsidRPr="0013396E">
              <w:t xml:space="preserve">—The payment or charge to QSE </w:t>
            </w:r>
            <w:r w:rsidRPr="0013396E">
              <w:rPr>
                <w:i/>
              </w:rPr>
              <w:t>q</w:t>
            </w:r>
            <w:r w:rsidRPr="0013396E">
              <w:t xml:space="preserve"> for Non-Spin for the re-calculated Real-Time obligation for the Operating Hour.</w:t>
            </w:r>
          </w:p>
        </w:tc>
      </w:tr>
      <w:tr w:rsidR="00EF6376" w:rsidRPr="0013396E" w14:paraId="34ECC5CF" w14:textId="77777777" w:rsidTr="0099759E">
        <w:trPr>
          <w:cantSplit/>
        </w:trPr>
        <w:tc>
          <w:tcPr>
            <w:tcW w:w="1883" w:type="dxa"/>
            <w:tcBorders>
              <w:top w:val="single" w:sz="4" w:space="0" w:color="auto"/>
              <w:left w:val="single" w:sz="4" w:space="0" w:color="auto"/>
              <w:bottom w:val="single" w:sz="4" w:space="0" w:color="auto"/>
              <w:right w:val="single" w:sz="4" w:space="0" w:color="auto"/>
            </w:tcBorders>
            <w:hideMark/>
          </w:tcPr>
          <w:p w14:paraId="479D0785" w14:textId="77777777" w:rsidR="00EF6376" w:rsidRPr="0013396E" w:rsidRDefault="00EF6376" w:rsidP="0099759E">
            <w:pPr>
              <w:pStyle w:val="TableBody"/>
            </w:pPr>
            <w:r w:rsidRPr="0013396E">
              <w:t>DANSPR</w:t>
            </w:r>
          </w:p>
        </w:tc>
        <w:tc>
          <w:tcPr>
            <w:tcW w:w="990" w:type="dxa"/>
            <w:tcBorders>
              <w:top w:val="single" w:sz="4" w:space="0" w:color="auto"/>
              <w:left w:val="single" w:sz="4" w:space="0" w:color="auto"/>
              <w:bottom w:val="single" w:sz="4" w:space="0" w:color="auto"/>
              <w:right w:val="single" w:sz="4" w:space="0" w:color="auto"/>
            </w:tcBorders>
            <w:hideMark/>
          </w:tcPr>
          <w:p w14:paraId="6E3659BF" w14:textId="77777777" w:rsidR="00EF6376" w:rsidRPr="0013396E" w:rsidRDefault="00EF6376" w:rsidP="0099759E">
            <w:pPr>
              <w:pStyle w:val="TableBody"/>
            </w:pPr>
            <w:r w:rsidRPr="0013396E">
              <w:t>$/MW</w:t>
            </w:r>
          </w:p>
        </w:tc>
        <w:tc>
          <w:tcPr>
            <w:tcW w:w="6840" w:type="dxa"/>
            <w:tcBorders>
              <w:top w:val="single" w:sz="4" w:space="0" w:color="auto"/>
              <w:left w:val="single" w:sz="4" w:space="0" w:color="auto"/>
              <w:bottom w:val="single" w:sz="4" w:space="0" w:color="auto"/>
              <w:right w:val="single" w:sz="4" w:space="0" w:color="auto"/>
            </w:tcBorders>
            <w:hideMark/>
          </w:tcPr>
          <w:p w14:paraId="361DEBD3" w14:textId="77777777" w:rsidR="00EF6376" w:rsidRPr="0013396E" w:rsidRDefault="00EF6376" w:rsidP="0099759E">
            <w:pPr>
              <w:pStyle w:val="TableBody"/>
              <w:rPr>
                <w:i/>
              </w:rPr>
            </w:pPr>
            <w:r w:rsidRPr="0013396E">
              <w:rPr>
                <w:i/>
              </w:rPr>
              <w:t>Day-Ahead Non-Spin Price</w:t>
            </w:r>
            <w:r w:rsidRPr="0013396E">
              <w:t>—The DAM Non-Spin price for the Operating Hour.</w:t>
            </w:r>
          </w:p>
        </w:tc>
      </w:tr>
      <w:tr w:rsidR="00EF6376" w:rsidRPr="0013396E" w14:paraId="02E0435B" w14:textId="77777777" w:rsidTr="0099759E">
        <w:trPr>
          <w:cantSplit/>
        </w:trPr>
        <w:tc>
          <w:tcPr>
            <w:tcW w:w="1883" w:type="dxa"/>
            <w:tcBorders>
              <w:top w:val="single" w:sz="4" w:space="0" w:color="auto"/>
              <w:left w:val="single" w:sz="4" w:space="0" w:color="auto"/>
              <w:bottom w:val="single" w:sz="4" w:space="0" w:color="auto"/>
              <w:right w:val="single" w:sz="4" w:space="0" w:color="auto"/>
            </w:tcBorders>
            <w:hideMark/>
          </w:tcPr>
          <w:p w14:paraId="7A6D6CF7" w14:textId="77777777" w:rsidR="00EF6376" w:rsidRPr="0013396E" w:rsidRDefault="00EF6376" w:rsidP="0099759E">
            <w:pPr>
              <w:pStyle w:val="TableBody"/>
            </w:pPr>
            <w:r w:rsidRPr="0013396E">
              <w:lastRenderedPageBreak/>
              <w:t>DANSNOBL</w:t>
            </w:r>
            <w:r w:rsidRPr="0013396E">
              <w:rPr>
                <w:vertAlign w:val="subscript"/>
              </w:rPr>
              <w:t xml:space="preserve"> </w:t>
            </w:r>
            <w:r w:rsidRPr="0013396E">
              <w:rPr>
                <w:i/>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52FA269B" w14:textId="77777777" w:rsidR="00EF6376" w:rsidRPr="0013396E" w:rsidRDefault="00EF6376" w:rsidP="0099759E">
            <w:pPr>
              <w:pStyle w:val="TableBody"/>
            </w:pPr>
            <w:r w:rsidRPr="0013396E">
              <w:t>MW</w:t>
            </w:r>
          </w:p>
        </w:tc>
        <w:tc>
          <w:tcPr>
            <w:tcW w:w="6840" w:type="dxa"/>
            <w:tcBorders>
              <w:top w:val="single" w:sz="4" w:space="0" w:color="auto"/>
              <w:left w:val="single" w:sz="4" w:space="0" w:color="auto"/>
              <w:bottom w:val="single" w:sz="4" w:space="0" w:color="auto"/>
              <w:right w:val="single" w:sz="4" w:space="0" w:color="auto"/>
            </w:tcBorders>
            <w:hideMark/>
          </w:tcPr>
          <w:p w14:paraId="61A7F148" w14:textId="77777777" w:rsidR="00EF6376" w:rsidRPr="0013396E" w:rsidRDefault="00EF6376" w:rsidP="0099759E">
            <w:pPr>
              <w:pStyle w:val="TableBody"/>
              <w:rPr>
                <w:i/>
              </w:rPr>
            </w:pPr>
            <w:r w:rsidRPr="0013396E">
              <w:rPr>
                <w:i/>
              </w:rPr>
              <w:t>Day-Ahead Non-Spin New Obligation per QSE—</w:t>
            </w:r>
            <w:r w:rsidRPr="0013396E">
              <w:t xml:space="preserve">The updated Non-Spin Ancillary Service Obligation in Real-Time for QSE </w:t>
            </w:r>
            <w:r w:rsidRPr="0013396E">
              <w:rPr>
                <w:i/>
              </w:rPr>
              <w:t>q</w:t>
            </w:r>
            <w:r w:rsidRPr="0013396E">
              <w:t xml:space="preserve"> for the Operating Hour.</w:t>
            </w:r>
          </w:p>
        </w:tc>
      </w:tr>
      <w:tr w:rsidR="00EF6376" w:rsidRPr="0013396E" w14:paraId="0FD65D75" w14:textId="77777777" w:rsidTr="0099759E">
        <w:trPr>
          <w:cantSplit/>
        </w:trPr>
        <w:tc>
          <w:tcPr>
            <w:tcW w:w="1883" w:type="dxa"/>
            <w:tcBorders>
              <w:top w:val="single" w:sz="4" w:space="0" w:color="auto"/>
              <w:left w:val="single" w:sz="4" w:space="0" w:color="auto"/>
              <w:bottom w:val="single" w:sz="4" w:space="0" w:color="auto"/>
              <w:right w:val="single" w:sz="4" w:space="0" w:color="auto"/>
            </w:tcBorders>
            <w:hideMark/>
          </w:tcPr>
          <w:p w14:paraId="7084B89F" w14:textId="77777777" w:rsidR="00EF6376" w:rsidRPr="0013396E" w:rsidRDefault="00EF6376" w:rsidP="0099759E">
            <w:pPr>
              <w:pStyle w:val="TableBody"/>
            </w:pPr>
            <w:r w:rsidRPr="0013396E">
              <w:t xml:space="preserve">PCNSR </w:t>
            </w:r>
            <w:r w:rsidRPr="0013396E">
              <w:rPr>
                <w:i/>
                <w:vertAlign w:val="subscript"/>
              </w:rPr>
              <w:t>r,</w:t>
            </w:r>
            <w:r w:rsidRPr="0013396E">
              <w:rPr>
                <w:i/>
              </w:rPr>
              <w:t xml:space="preserve"> </w:t>
            </w:r>
            <w:r w:rsidRPr="0013396E">
              <w:rPr>
                <w:i/>
                <w:vertAlign w:val="subscript"/>
              </w:rPr>
              <w:t>q, DAM</w:t>
            </w:r>
          </w:p>
        </w:tc>
        <w:tc>
          <w:tcPr>
            <w:tcW w:w="990" w:type="dxa"/>
            <w:tcBorders>
              <w:top w:val="single" w:sz="4" w:space="0" w:color="auto"/>
              <w:left w:val="single" w:sz="4" w:space="0" w:color="auto"/>
              <w:bottom w:val="single" w:sz="4" w:space="0" w:color="auto"/>
              <w:right w:val="single" w:sz="4" w:space="0" w:color="auto"/>
            </w:tcBorders>
            <w:hideMark/>
          </w:tcPr>
          <w:p w14:paraId="2EAB9F4E" w14:textId="77777777" w:rsidR="00EF6376" w:rsidRPr="0013396E" w:rsidRDefault="00EF6376" w:rsidP="0099759E">
            <w:pPr>
              <w:pStyle w:val="TableBody"/>
            </w:pPr>
            <w:r w:rsidRPr="0013396E">
              <w:t>MW</w:t>
            </w:r>
          </w:p>
        </w:tc>
        <w:tc>
          <w:tcPr>
            <w:tcW w:w="6840" w:type="dxa"/>
            <w:tcBorders>
              <w:top w:val="single" w:sz="4" w:space="0" w:color="auto"/>
              <w:left w:val="single" w:sz="4" w:space="0" w:color="auto"/>
              <w:bottom w:val="single" w:sz="4" w:space="0" w:color="auto"/>
              <w:right w:val="single" w:sz="4" w:space="0" w:color="auto"/>
            </w:tcBorders>
            <w:hideMark/>
          </w:tcPr>
          <w:p w14:paraId="090B4157" w14:textId="77777777" w:rsidR="00EF6376" w:rsidRPr="0013396E" w:rsidRDefault="00EF6376" w:rsidP="0099759E">
            <w:pPr>
              <w:pStyle w:val="TableBody"/>
              <w:rPr>
                <w:i/>
              </w:rPr>
            </w:pPr>
            <w:r w:rsidRPr="0013396E">
              <w:rPr>
                <w:i/>
              </w:rPr>
              <w:t>Procured Capacity for Non-Spin per Resource per QSE in DAM</w:t>
            </w:r>
            <w:r w:rsidRPr="0013396E">
              <w:t xml:space="preserve">—The Non-Spin capacity awarded to QSE </w:t>
            </w:r>
            <w:r w:rsidRPr="0013396E">
              <w:rPr>
                <w:i/>
              </w:rPr>
              <w:t>q</w:t>
            </w:r>
            <w:r w:rsidRPr="0013396E">
              <w:t xml:space="preserve"> in the DAM for Resource </w:t>
            </w:r>
            <w:r w:rsidRPr="0013396E">
              <w:rPr>
                <w:i/>
              </w:rPr>
              <w:t>r</w:t>
            </w:r>
            <w:r w:rsidRPr="0013396E">
              <w:t xml:space="preserve"> for the Operating Hour.  Where for a Combined Cycle Train, the Resource </w:t>
            </w:r>
            <w:r w:rsidRPr="0013396E">
              <w:rPr>
                <w:i/>
              </w:rPr>
              <w:t xml:space="preserve">r </w:t>
            </w:r>
            <w:r w:rsidRPr="0013396E">
              <w:t>is a Combined Cycle Generation Resource within the Combined Cycle Train.</w:t>
            </w:r>
          </w:p>
        </w:tc>
      </w:tr>
      <w:tr w:rsidR="00EF6376" w:rsidRPr="0013396E" w14:paraId="3BF82873" w14:textId="77777777" w:rsidTr="0099759E">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2DCC037C" w14:textId="77777777" w:rsidR="00EF6376" w:rsidRPr="0013396E" w:rsidRDefault="00EF6376" w:rsidP="0099759E">
            <w:pPr>
              <w:pStyle w:val="TableBody"/>
            </w:pPr>
            <w:r w:rsidRPr="0013396E">
              <w:t xml:space="preserve">DANSOAWD </w:t>
            </w:r>
            <w:r w:rsidRPr="0013396E">
              <w:rPr>
                <w:i/>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06AE6572" w14:textId="77777777" w:rsidR="00EF6376" w:rsidRPr="0013396E" w:rsidRDefault="00EF6376" w:rsidP="0099759E">
            <w:pPr>
              <w:pStyle w:val="TableBody"/>
            </w:pPr>
            <w:r w:rsidRPr="0013396E">
              <w:t>MW</w:t>
            </w:r>
          </w:p>
        </w:tc>
        <w:tc>
          <w:tcPr>
            <w:tcW w:w="6840" w:type="dxa"/>
            <w:tcBorders>
              <w:top w:val="single" w:sz="4" w:space="0" w:color="auto"/>
              <w:left w:val="single" w:sz="4" w:space="0" w:color="auto"/>
              <w:bottom w:val="single" w:sz="4" w:space="0" w:color="auto"/>
              <w:right w:val="single" w:sz="4" w:space="0" w:color="auto"/>
            </w:tcBorders>
            <w:hideMark/>
          </w:tcPr>
          <w:p w14:paraId="6B767F22" w14:textId="77777777" w:rsidR="00EF6376" w:rsidRPr="0013396E" w:rsidRDefault="00EF6376" w:rsidP="0099759E">
            <w:pPr>
              <w:pStyle w:val="TableBody"/>
              <w:rPr>
                <w:i/>
              </w:rPr>
            </w:pPr>
            <w:r w:rsidRPr="0013396E">
              <w:rPr>
                <w:i/>
              </w:rPr>
              <w:t>Day-Ahead Non-Spin Only Award for the QSE</w:t>
            </w:r>
            <w:r w:rsidRPr="0013396E">
              <w:t xml:space="preserve">—The Non-Spin Only capacity awarded in the DAM to QSE </w:t>
            </w:r>
            <w:r w:rsidRPr="0013396E">
              <w:rPr>
                <w:i/>
              </w:rPr>
              <w:t>q</w:t>
            </w:r>
            <w:r w:rsidRPr="0013396E">
              <w:t xml:space="preserve"> for the Operating Hour.  </w:t>
            </w:r>
          </w:p>
        </w:tc>
      </w:tr>
      <w:tr w:rsidR="00EF6376" w:rsidRPr="0013396E" w14:paraId="647C8888" w14:textId="77777777" w:rsidTr="0099759E">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3A34893D" w14:textId="77777777" w:rsidR="00EF6376" w:rsidRPr="0013396E" w:rsidRDefault="00EF6376" w:rsidP="0099759E">
            <w:pPr>
              <w:pStyle w:val="TableBody"/>
              <w:rPr>
                <w:i/>
              </w:rPr>
            </w:pPr>
            <w:r w:rsidRPr="0013396E">
              <w:t xml:space="preserve">DANSAMT </w:t>
            </w:r>
            <w:r w:rsidRPr="0013396E">
              <w:rPr>
                <w:i/>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0C81AB40" w14:textId="77777777" w:rsidR="00EF6376" w:rsidRPr="0013396E" w:rsidRDefault="00EF6376" w:rsidP="0099759E">
            <w:pPr>
              <w:pStyle w:val="TableBody"/>
            </w:pPr>
            <w:r w:rsidRPr="0013396E">
              <w:t>$</w:t>
            </w:r>
          </w:p>
        </w:tc>
        <w:tc>
          <w:tcPr>
            <w:tcW w:w="6840" w:type="dxa"/>
            <w:tcBorders>
              <w:top w:val="single" w:sz="4" w:space="0" w:color="auto"/>
              <w:left w:val="single" w:sz="4" w:space="0" w:color="auto"/>
              <w:bottom w:val="single" w:sz="4" w:space="0" w:color="auto"/>
              <w:right w:val="single" w:sz="4" w:space="0" w:color="auto"/>
            </w:tcBorders>
            <w:hideMark/>
          </w:tcPr>
          <w:p w14:paraId="659371AB" w14:textId="77777777" w:rsidR="00EF6376" w:rsidRPr="0013396E" w:rsidRDefault="00EF6376" w:rsidP="0099759E">
            <w:pPr>
              <w:pStyle w:val="TableBody"/>
            </w:pPr>
            <w:r w:rsidRPr="0013396E">
              <w:rPr>
                <w:i/>
              </w:rPr>
              <w:t>Day-Ahead Non-Spin Amount per QSE</w:t>
            </w:r>
            <w:r w:rsidRPr="0013396E">
              <w:t xml:space="preserve">—QSE </w:t>
            </w:r>
            <w:r w:rsidRPr="0013396E">
              <w:rPr>
                <w:i/>
              </w:rPr>
              <w:t>q</w:t>
            </w:r>
            <w:r w:rsidRPr="0013396E">
              <w:t>’s share of the DAM cost for Non-Spin for the Operating Hour.</w:t>
            </w:r>
          </w:p>
        </w:tc>
      </w:tr>
      <w:tr w:rsidR="00EF6376" w:rsidRPr="0013396E" w14:paraId="393D2249" w14:textId="77777777" w:rsidTr="0099759E">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188EBA53" w14:textId="77777777" w:rsidR="00EF6376" w:rsidRPr="0013396E" w:rsidRDefault="00EF6376" w:rsidP="0099759E">
            <w:pPr>
              <w:pStyle w:val="TableBody"/>
            </w:pPr>
            <w:r w:rsidRPr="0013396E">
              <w:t>HLRS</w:t>
            </w:r>
            <w:r w:rsidRPr="0013396E">
              <w:rPr>
                <w:i/>
                <w:vertAlign w:val="subscript"/>
              </w:rPr>
              <w:t xml:space="preserve"> q</w:t>
            </w:r>
          </w:p>
        </w:tc>
        <w:tc>
          <w:tcPr>
            <w:tcW w:w="990" w:type="dxa"/>
            <w:tcBorders>
              <w:top w:val="single" w:sz="4" w:space="0" w:color="auto"/>
              <w:left w:val="single" w:sz="4" w:space="0" w:color="auto"/>
              <w:bottom w:val="single" w:sz="4" w:space="0" w:color="auto"/>
              <w:right w:val="single" w:sz="4" w:space="0" w:color="auto"/>
            </w:tcBorders>
            <w:hideMark/>
          </w:tcPr>
          <w:p w14:paraId="368ED1BA" w14:textId="77777777" w:rsidR="00EF6376" w:rsidRPr="0013396E" w:rsidRDefault="00EF6376" w:rsidP="0099759E">
            <w:pPr>
              <w:pStyle w:val="TableBody"/>
            </w:pPr>
            <w:r w:rsidRPr="0013396E">
              <w:t>none</w:t>
            </w:r>
          </w:p>
        </w:tc>
        <w:tc>
          <w:tcPr>
            <w:tcW w:w="6840" w:type="dxa"/>
            <w:tcBorders>
              <w:top w:val="single" w:sz="4" w:space="0" w:color="auto"/>
              <w:left w:val="single" w:sz="4" w:space="0" w:color="auto"/>
              <w:bottom w:val="single" w:sz="4" w:space="0" w:color="auto"/>
              <w:right w:val="single" w:sz="4" w:space="0" w:color="auto"/>
            </w:tcBorders>
            <w:hideMark/>
          </w:tcPr>
          <w:p w14:paraId="2010A2AA" w14:textId="77777777" w:rsidR="00EF6376" w:rsidRPr="0013396E" w:rsidRDefault="00EF6376" w:rsidP="0099759E">
            <w:pPr>
              <w:pStyle w:val="TableBody"/>
            </w:pPr>
            <w:r w:rsidRPr="0013396E">
              <w:rPr>
                <w:i/>
              </w:rPr>
              <w:t>Hourly Load Ratio Share per QSE</w:t>
            </w:r>
            <w:r w:rsidRPr="0013396E">
              <w:t xml:space="preserve">—The Real-Time LRS as defined in Section 6.6.2.4, QSE Load Ratio Share for an Operating Hour, for QSE </w:t>
            </w:r>
            <w:r w:rsidRPr="0013396E">
              <w:rPr>
                <w:i/>
              </w:rPr>
              <w:t>q</w:t>
            </w:r>
            <w:r w:rsidRPr="0013396E">
              <w:t xml:space="preserve"> for the Operating Hour.</w:t>
            </w:r>
          </w:p>
        </w:tc>
      </w:tr>
      <w:tr w:rsidR="00EF6376" w:rsidRPr="0013396E" w14:paraId="6765CEA1" w14:textId="77777777" w:rsidTr="0099759E">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79590BC7" w14:textId="77777777" w:rsidR="00EF6376" w:rsidRPr="0013396E" w:rsidRDefault="00EF6376" w:rsidP="0099759E">
            <w:pPr>
              <w:pStyle w:val="TableBody"/>
            </w:pPr>
            <w:r w:rsidRPr="0013396E">
              <w:t xml:space="preserve">DAPCNSQTOT  </w:t>
            </w:r>
          </w:p>
        </w:tc>
        <w:tc>
          <w:tcPr>
            <w:tcW w:w="990" w:type="dxa"/>
            <w:tcBorders>
              <w:top w:val="single" w:sz="4" w:space="0" w:color="auto"/>
              <w:left w:val="single" w:sz="4" w:space="0" w:color="auto"/>
              <w:bottom w:val="single" w:sz="4" w:space="0" w:color="auto"/>
              <w:right w:val="single" w:sz="4" w:space="0" w:color="auto"/>
            </w:tcBorders>
            <w:hideMark/>
          </w:tcPr>
          <w:p w14:paraId="6825D983" w14:textId="77777777" w:rsidR="00EF6376" w:rsidRPr="0013396E" w:rsidRDefault="00EF6376" w:rsidP="0099759E">
            <w:pPr>
              <w:pStyle w:val="TableBody"/>
            </w:pPr>
            <w:r w:rsidRPr="0013396E">
              <w:t>MW</w:t>
            </w:r>
          </w:p>
        </w:tc>
        <w:tc>
          <w:tcPr>
            <w:tcW w:w="6840" w:type="dxa"/>
            <w:tcBorders>
              <w:top w:val="single" w:sz="4" w:space="0" w:color="auto"/>
              <w:left w:val="single" w:sz="4" w:space="0" w:color="auto"/>
              <w:bottom w:val="single" w:sz="4" w:space="0" w:color="auto"/>
              <w:right w:val="single" w:sz="4" w:space="0" w:color="auto"/>
            </w:tcBorders>
            <w:hideMark/>
          </w:tcPr>
          <w:p w14:paraId="0F165920" w14:textId="77777777" w:rsidR="00EF6376" w:rsidRPr="0013396E" w:rsidRDefault="00EF6376" w:rsidP="0099759E">
            <w:pPr>
              <w:pStyle w:val="TableBody"/>
            </w:pPr>
            <w:r w:rsidRPr="0013396E">
              <w:rPr>
                <w:i/>
              </w:rPr>
              <w:t>Day-Ahead Procured Capacity for Non-Spin Total</w:t>
            </w:r>
            <w:r w:rsidRPr="0013396E">
              <w:t>—The total Non-Spin capacity for all QSEs for all Non-Spin awarded and self-arranged in the DAM for the Operating Hour.</w:t>
            </w:r>
          </w:p>
        </w:tc>
      </w:tr>
      <w:tr w:rsidR="00EF6376" w:rsidRPr="0013396E" w14:paraId="1F2F83FE" w14:textId="77777777" w:rsidTr="0099759E">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47B4E48F" w14:textId="77777777" w:rsidR="00EF6376" w:rsidRPr="0013396E" w:rsidRDefault="00EF6376" w:rsidP="0099759E">
            <w:pPr>
              <w:pStyle w:val="TableBody"/>
            </w:pPr>
            <w:r w:rsidRPr="0013396E">
              <w:t xml:space="preserve">DASANSQ </w:t>
            </w:r>
            <w:r w:rsidRPr="0013396E">
              <w:rPr>
                <w:i/>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01B11546" w14:textId="77777777" w:rsidR="00EF6376" w:rsidRPr="0013396E" w:rsidRDefault="00EF6376" w:rsidP="0099759E">
            <w:pPr>
              <w:pStyle w:val="TableBody"/>
            </w:pPr>
            <w:r w:rsidRPr="0013396E">
              <w:t>MW</w:t>
            </w:r>
          </w:p>
        </w:tc>
        <w:tc>
          <w:tcPr>
            <w:tcW w:w="6840" w:type="dxa"/>
            <w:tcBorders>
              <w:top w:val="single" w:sz="4" w:space="0" w:color="auto"/>
              <w:left w:val="single" w:sz="4" w:space="0" w:color="auto"/>
              <w:bottom w:val="single" w:sz="4" w:space="0" w:color="auto"/>
              <w:right w:val="single" w:sz="4" w:space="0" w:color="auto"/>
            </w:tcBorders>
            <w:hideMark/>
          </w:tcPr>
          <w:p w14:paraId="0189D14F" w14:textId="77777777" w:rsidR="00EF6376" w:rsidRPr="0013396E" w:rsidRDefault="00EF6376" w:rsidP="0099759E">
            <w:pPr>
              <w:pStyle w:val="TableBody"/>
            </w:pPr>
            <w:r w:rsidRPr="0013396E">
              <w:rPr>
                <w:i/>
              </w:rPr>
              <w:t>Day-Ahead Self-Arranged Non-Spin Quantity per QSE</w:t>
            </w:r>
            <w:r w:rsidRPr="0013396E">
              <w:t xml:space="preserve">—The self-arranged Non-Spin capacity submitted by QSE </w:t>
            </w:r>
            <w:r w:rsidRPr="0013396E">
              <w:rPr>
                <w:i/>
              </w:rPr>
              <w:t>q</w:t>
            </w:r>
            <w:r w:rsidRPr="0013396E">
              <w:t xml:space="preserve"> before 1000 in the DAM for the Operating Hour.</w:t>
            </w:r>
          </w:p>
        </w:tc>
      </w:tr>
      <w:tr w:rsidR="00EF6376" w:rsidRPr="0013396E" w14:paraId="2902B8A3" w14:textId="77777777" w:rsidTr="0099759E">
        <w:trPr>
          <w:cantSplit/>
        </w:trPr>
        <w:tc>
          <w:tcPr>
            <w:tcW w:w="1883" w:type="dxa"/>
            <w:tcBorders>
              <w:top w:val="single" w:sz="4" w:space="0" w:color="auto"/>
              <w:left w:val="single" w:sz="4" w:space="0" w:color="auto"/>
              <w:bottom w:val="single" w:sz="4" w:space="0" w:color="auto"/>
              <w:right w:val="single" w:sz="4" w:space="0" w:color="auto"/>
            </w:tcBorders>
            <w:hideMark/>
          </w:tcPr>
          <w:p w14:paraId="7CE76BE6" w14:textId="77777777" w:rsidR="00EF6376" w:rsidRPr="0013396E" w:rsidRDefault="00EF6376" w:rsidP="0099759E">
            <w:pPr>
              <w:pStyle w:val="TableBody"/>
              <w:rPr>
                <w:i/>
              </w:rPr>
            </w:pPr>
            <w:r w:rsidRPr="0013396E">
              <w:rPr>
                <w:i/>
              </w:rPr>
              <w:t>q</w:t>
            </w:r>
          </w:p>
        </w:tc>
        <w:tc>
          <w:tcPr>
            <w:tcW w:w="990" w:type="dxa"/>
            <w:tcBorders>
              <w:top w:val="single" w:sz="4" w:space="0" w:color="auto"/>
              <w:left w:val="single" w:sz="4" w:space="0" w:color="auto"/>
              <w:bottom w:val="single" w:sz="4" w:space="0" w:color="auto"/>
              <w:right w:val="single" w:sz="4" w:space="0" w:color="auto"/>
            </w:tcBorders>
            <w:hideMark/>
          </w:tcPr>
          <w:p w14:paraId="5523524C" w14:textId="77777777" w:rsidR="00EF6376" w:rsidRPr="0013396E" w:rsidRDefault="00EF6376" w:rsidP="0099759E">
            <w:pPr>
              <w:pStyle w:val="TableBody"/>
            </w:pPr>
            <w:r w:rsidRPr="0013396E">
              <w:t>none</w:t>
            </w:r>
          </w:p>
        </w:tc>
        <w:tc>
          <w:tcPr>
            <w:tcW w:w="6840" w:type="dxa"/>
            <w:tcBorders>
              <w:top w:val="single" w:sz="4" w:space="0" w:color="auto"/>
              <w:left w:val="single" w:sz="4" w:space="0" w:color="auto"/>
              <w:bottom w:val="single" w:sz="4" w:space="0" w:color="auto"/>
              <w:right w:val="single" w:sz="4" w:space="0" w:color="auto"/>
            </w:tcBorders>
            <w:hideMark/>
          </w:tcPr>
          <w:p w14:paraId="471919E1" w14:textId="77777777" w:rsidR="00EF6376" w:rsidRPr="0013396E" w:rsidRDefault="00EF6376" w:rsidP="0099759E">
            <w:pPr>
              <w:pStyle w:val="TableBody"/>
            </w:pPr>
            <w:r w:rsidRPr="0013396E">
              <w:t>A QSE.</w:t>
            </w:r>
          </w:p>
        </w:tc>
      </w:tr>
      <w:tr w:rsidR="00EF6376" w:rsidRPr="0013396E" w14:paraId="666E9987" w14:textId="77777777" w:rsidTr="0099759E">
        <w:trPr>
          <w:cantSplit/>
        </w:trPr>
        <w:tc>
          <w:tcPr>
            <w:tcW w:w="1883" w:type="dxa"/>
            <w:tcBorders>
              <w:top w:val="single" w:sz="4" w:space="0" w:color="auto"/>
              <w:left w:val="single" w:sz="4" w:space="0" w:color="auto"/>
              <w:bottom w:val="single" w:sz="4" w:space="0" w:color="auto"/>
              <w:right w:val="single" w:sz="4" w:space="0" w:color="auto"/>
            </w:tcBorders>
            <w:hideMark/>
          </w:tcPr>
          <w:p w14:paraId="68720E45" w14:textId="77777777" w:rsidR="00EF6376" w:rsidRPr="0013396E" w:rsidRDefault="00EF6376" w:rsidP="0099759E">
            <w:pPr>
              <w:pStyle w:val="TableBody"/>
              <w:rPr>
                <w:i/>
              </w:rPr>
            </w:pPr>
            <w:r w:rsidRPr="0013396E">
              <w:rPr>
                <w:i/>
              </w:rPr>
              <w:t>r</w:t>
            </w:r>
          </w:p>
        </w:tc>
        <w:tc>
          <w:tcPr>
            <w:tcW w:w="990" w:type="dxa"/>
            <w:tcBorders>
              <w:top w:val="single" w:sz="4" w:space="0" w:color="auto"/>
              <w:left w:val="single" w:sz="4" w:space="0" w:color="auto"/>
              <w:bottom w:val="single" w:sz="4" w:space="0" w:color="auto"/>
              <w:right w:val="single" w:sz="4" w:space="0" w:color="auto"/>
            </w:tcBorders>
            <w:hideMark/>
          </w:tcPr>
          <w:p w14:paraId="7A9A4AB9" w14:textId="77777777" w:rsidR="00EF6376" w:rsidRPr="0013396E" w:rsidRDefault="00EF6376" w:rsidP="0099759E">
            <w:pPr>
              <w:pStyle w:val="TableBody"/>
            </w:pPr>
            <w:r w:rsidRPr="0013396E">
              <w:t>none</w:t>
            </w:r>
          </w:p>
        </w:tc>
        <w:tc>
          <w:tcPr>
            <w:tcW w:w="6840" w:type="dxa"/>
            <w:tcBorders>
              <w:top w:val="single" w:sz="4" w:space="0" w:color="auto"/>
              <w:left w:val="single" w:sz="4" w:space="0" w:color="auto"/>
              <w:bottom w:val="single" w:sz="4" w:space="0" w:color="auto"/>
              <w:right w:val="single" w:sz="4" w:space="0" w:color="auto"/>
            </w:tcBorders>
            <w:hideMark/>
          </w:tcPr>
          <w:p w14:paraId="0C319D5C" w14:textId="77777777" w:rsidR="00EF6376" w:rsidRPr="0013396E" w:rsidRDefault="00EF6376" w:rsidP="0099759E">
            <w:pPr>
              <w:pStyle w:val="TableBody"/>
            </w:pPr>
            <w:r w:rsidRPr="0013396E">
              <w:t>A Resource.</w:t>
            </w:r>
          </w:p>
        </w:tc>
      </w:tr>
    </w:tbl>
    <w:p w14:paraId="3C04B858" w14:textId="77777777" w:rsidR="00EF6376" w:rsidRPr="0013396E" w:rsidRDefault="00EF6376" w:rsidP="00EF6376">
      <w:pPr>
        <w:pStyle w:val="BodyTextNumbered"/>
        <w:spacing w:before="240"/>
        <w:ind w:left="1440"/>
        <w:rPr>
          <w:iCs/>
        </w:rPr>
      </w:pPr>
      <w:r w:rsidRPr="0013396E">
        <w:rPr>
          <w:iCs/>
        </w:rPr>
        <w:t>(e)</w:t>
      </w:r>
      <w:r w:rsidRPr="0013396E">
        <w:rPr>
          <w:iCs/>
        </w:rPr>
        <w:tab/>
        <w:t>For ERCOT Contingency Reserve Service</w:t>
      </w:r>
      <w:r w:rsidRPr="0013396E">
        <w:rPr>
          <w:i/>
          <w:sz w:val="20"/>
        </w:rPr>
        <w:t xml:space="preserve"> </w:t>
      </w:r>
      <w:r w:rsidRPr="0013396E">
        <w:rPr>
          <w:iCs/>
        </w:rPr>
        <w:t>(ECRS), if applicable:</w:t>
      </w:r>
    </w:p>
    <w:p w14:paraId="1C20DBD1" w14:textId="77777777" w:rsidR="00EF6376" w:rsidRPr="0013396E" w:rsidRDefault="00EF6376" w:rsidP="00EF6376">
      <w:pPr>
        <w:pStyle w:val="BodyTextNumbered"/>
        <w:spacing w:after="0"/>
        <w:ind w:left="1440"/>
        <w:rPr>
          <w:iCs/>
        </w:rPr>
      </w:pPr>
      <w:r w:rsidRPr="0013396E">
        <w:rPr>
          <w:iCs/>
        </w:rPr>
        <w:t xml:space="preserve">DARTPCECRAMT </w:t>
      </w:r>
      <w:r w:rsidRPr="0013396E">
        <w:rPr>
          <w:i/>
          <w:iCs/>
          <w:vertAlign w:val="subscript"/>
        </w:rPr>
        <w:t>q</w:t>
      </w:r>
      <w:r w:rsidRPr="0013396E">
        <w:rPr>
          <w:iCs/>
        </w:rPr>
        <w:t xml:space="preserve"> = (DAECRNOBL </w:t>
      </w:r>
      <w:r w:rsidRPr="0013396E">
        <w:rPr>
          <w:i/>
          <w:iCs/>
          <w:vertAlign w:val="subscript"/>
        </w:rPr>
        <w:t>q</w:t>
      </w:r>
      <w:r w:rsidRPr="0013396E">
        <w:rPr>
          <w:iCs/>
        </w:rPr>
        <w:t xml:space="preserve"> – DASAECRQ </w:t>
      </w:r>
      <w:r w:rsidRPr="0013396E">
        <w:rPr>
          <w:i/>
          <w:iCs/>
          <w:vertAlign w:val="subscript"/>
        </w:rPr>
        <w:t>q</w:t>
      </w:r>
      <w:r w:rsidRPr="0013396E">
        <w:rPr>
          <w:iCs/>
        </w:rPr>
        <w:t xml:space="preserve">) * DAECRPR –  </w:t>
      </w:r>
    </w:p>
    <w:p w14:paraId="339D9E38" w14:textId="77777777" w:rsidR="00EF6376" w:rsidRPr="0013396E" w:rsidRDefault="00EF6376" w:rsidP="00EF6376">
      <w:pPr>
        <w:pStyle w:val="BodyTextNumbered"/>
        <w:ind w:left="2880" w:firstLine="0"/>
        <w:rPr>
          <w:iCs/>
        </w:rPr>
      </w:pPr>
      <w:r w:rsidRPr="0013396E">
        <w:rPr>
          <w:iCs/>
        </w:rPr>
        <w:t xml:space="preserve">      DAECRAMT </w:t>
      </w:r>
      <w:r w:rsidRPr="0013396E">
        <w:rPr>
          <w:i/>
          <w:iCs/>
          <w:vertAlign w:val="subscript"/>
        </w:rPr>
        <w:t>q</w:t>
      </w:r>
    </w:p>
    <w:p w14:paraId="40CB9426" w14:textId="77777777" w:rsidR="00EF6376" w:rsidRPr="0013396E" w:rsidRDefault="00EF6376" w:rsidP="00EF6376">
      <w:pPr>
        <w:pStyle w:val="BodyTextNumbered"/>
        <w:rPr>
          <w:iCs/>
        </w:rPr>
      </w:pPr>
      <w:r w:rsidRPr="0013396E">
        <w:rPr>
          <w:iCs/>
        </w:rPr>
        <w:t>Where:</w:t>
      </w:r>
    </w:p>
    <w:p w14:paraId="5CFF4C6C" w14:textId="77777777" w:rsidR="00EF6376" w:rsidRPr="0013396E" w:rsidRDefault="00EF6376" w:rsidP="00EF6376">
      <w:pPr>
        <w:pStyle w:val="BodyTextNumbered"/>
        <w:ind w:left="1440"/>
        <w:rPr>
          <w:iCs/>
        </w:rPr>
      </w:pPr>
      <w:r w:rsidRPr="0013396E">
        <w:rPr>
          <w:iCs/>
        </w:rPr>
        <w:t xml:space="preserve">DAECRNOBL </w:t>
      </w:r>
      <w:r w:rsidRPr="0013396E">
        <w:rPr>
          <w:i/>
          <w:iCs/>
          <w:vertAlign w:val="subscript"/>
        </w:rPr>
        <w:t>q</w:t>
      </w:r>
      <w:r w:rsidRPr="0013396E">
        <w:rPr>
          <w:iCs/>
        </w:rPr>
        <w:t xml:space="preserve"> = DAPCECRQTOT * HLRS </w:t>
      </w:r>
      <w:r w:rsidRPr="0013396E">
        <w:rPr>
          <w:i/>
          <w:iCs/>
          <w:vertAlign w:val="subscript"/>
        </w:rPr>
        <w:t>q</w:t>
      </w:r>
      <w:r w:rsidRPr="0013396E">
        <w:rPr>
          <w:iCs/>
        </w:rPr>
        <w:t xml:space="preserve"> </w:t>
      </w:r>
    </w:p>
    <w:p w14:paraId="4923A42D" w14:textId="77777777" w:rsidR="00EF6376" w:rsidRPr="0013396E" w:rsidRDefault="00EF6376" w:rsidP="00EF6376">
      <w:pPr>
        <w:pStyle w:val="BodyTextNumbered"/>
        <w:ind w:left="1440"/>
        <w:rPr>
          <w:iCs/>
        </w:rPr>
      </w:pPr>
      <w:r w:rsidRPr="0013396E">
        <w:rPr>
          <w:iCs/>
        </w:rPr>
        <w:t xml:space="preserve">DAPCECRQTOT  =  </w:t>
      </w:r>
      <w:r w:rsidRPr="0013396E">
        <w:rPr>
          <w:iCs/>
          <w:position w:val="-22"/>
        </w:rPr>
        <w:object w:dxaOrig="285" w:dyaOrig="285" w14:anchorId="20652D8E">
          <v:shape id="_x0000_i1264" type="#_x0000_t75" style="width:30pt;height:30pt" o:ole="">
            <v:imagedata r:id="rId330" o:title=""/>
          </v:shape>
          <o:OLEObject Type="Embed" ProgID="Equation.3" ShapeID="_x0000_i1264" DrawAspect="Content" ObjectID="_1836311541" r:id="rId341"/>
        </w:object>
      </w:r>
      <w:r w:rsidRPr="0013396E">
        <w:rPr>
          <w:iCs/>
        </w:rPr>
        <w:t>(</w:t>
      </w:r>
      <w:r w:rsidRPr="0013396E">
        <w:rPr>
          <w:iCs/>
          <w:position w:val="-18"/>
        </w:rPr>
        <w:object w:dxaOrig="285" w:dyaOrig="570" w14:anchorId="649151A9">
          <v:shape id="_x0000_i1265" type="#_x0000_t75" style="width:12pt;height:30pt" o:ole="">
            <v:imagedata r:id="rId332" o:title=""/>
          </v:shape>
          <o:OLEObject Type="Embed" ProgID="Equation.3" ShapeID="_x0000_i1265" DrawAspect="Content" ObjectID="_1836311542" r:id="rId342"/>
        </w:object>
      </w:r>
      <w:r w:rsidRPr="0013396E">
        <w:rPr>
          <w:bCs/>
          <w:iCs/>
        </w:rPr>
        <w:t>PCECRR</w:t>
      </w:r>
      <w:r w:rsidRPr="0013396E">
        <w:rPr>
          <w:bCs/>
          <w:i/>
          <w:iCs/>
        </w:rPr>
        <w:t xml:space="preserve"> </w:t>
      </w:r>
      <w:r w:rsidRPr="0013396E">
        <w:rPr>
          <w:bCs/>
          <w:i/>
          <w:iCs/>
          <w:vertAlign w:val="subscript"/>
        </w:rPr>
        <w:t>r, q, DAM</w:t>
      </w:r>
      <w:r w:rsidRPr="0013396E">
        <w:rPr>
          <w:iCs/>
        </w:rPr>
        <w:t xml:space="preserve"> + DAECROAWD </w:t>
      </w:r>
      <w:r w:rsidRPr="0013396E">
        <w:rPr>
          <w:i/>
          <w:iCs/>
          <w:vertAlign w:val="subscript"/>
        </w:rPr>
        <w:t>q</w:t>
      </w:r>
      <w:r w:rsidRPr="0013396E">
        <w:rPr>
          <w:iCs/>
        </w:rPr>
        <w:t xml:space="preserve"> + DASAECRQ </w:t>
      </w:r>
      <w:r w:rsidRPr="0013396E">
        <w:rPr>
          <w:i/>
          <w:iCs/>
          <w:vertAlign w:val="subscript"/>
        </w:rPr>
        <w:t>q</w:t>
      </w:r>
      <w:r w:rsidRPr="0013396E">
        <w:rPr>
          <w:iCs/>
        </w:rPr>
        <w:t>)</w:t>
      </w:r>
    </w:p>
    <w:p w14:paraId="775E1D1F" w14:textId="77777777" w:rsidR="00EF6376" w:rsidRPr="0013396E" w:rsidRDefault="00EF6376" w:rsidP="00EF6376">
      <w:pPr>
        <w:rPr>
          <w:szCs w:val="24"/>
        </w:rPr>
      </w:pPr>
      <w:r w:rsidRPr="0013396E">
        <w:t>The above variables are defined as follows:</w:t>
      </w:r>
    </w:p>
    <w:tbl>
      <w:tblPr>
        <w:tblW w:w="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2"/>
        <w:gridCol w:w="887"/>
        <w:gridCol w:w="6386"/>
      </w:tblGrid>
      <w:tr w:rsidR="00EF6376" w:rsidRPr="0013396E" w14:paraId="4FFDE27A" w14:textId="77777777" w:rsidTr="0099759E">
        <w:trPr>
          <w:cantSplit/>
          <w:tblHeader/>
        </w:trPr>
        <w:tc>
          <w:tcPr>
            <w:tcW w:w="1973" w:type="dxa"/>
            <w:tcBorders>
              <w:top w:val="single" w:sz="4" w:space="0" w:color="auto"/>
              <w:left w:val="single" w:sz="4" w:space="0" w:color="auto"/>
              <w:bottom w:val="single" w:sz="4" w:space="0" w:color="auto"/>
              <w:right w:val="single" w:sz="4" w:space="0" w:color="auto"/>
            </w:tcBorders>
            <w:hideMark/>
          </w:tcPr>
          <w:p w14:paraId="7090391A" w14:textId="77777777" w:rsidR="00EF6376" w:rsidRPr="0013396E" w:rsidRDefault="00EF6376" w:rsidP="0099759E">
            <w:pPr>
              <w:pStyle w:val="TableHead"/>
            </w:pPr>
            <w:r w:rsidRPr="0013396E">
              <w:rPr>
                <w:iCs w:val="0"/>
              </w:rPr>
              <w:t>Variable</w:t>
            </w:r>
          </w:p>
        </w:tc>
        <w:tc>
          <w:tcPr>
            <w:tcW w:w="900" w:type="dxa"/>
            <w:tcBorders>
              <w:top w:val="single" w:sz="4" w:space="0" w:color="auto"/>
              <w:left w:val="single" w:sz="4" w:space="0" w:color="auto"/>
              <w:bottom w:val="single" w:sz="4" w:space="0" w:color="auto"/>
              <w:right w:val="single" w:sz="4" w:space="0" w:color="auto"/>
            </w:tcBorders>
            <w:hideMark/>
          </w:tcPr>
          <w:p w14:paraId="67EB8A9C" w14:textId="77777777" w:rsidR="00EF6376" w:rsidRPr="0013396E" w:rsidRDefault="00EF6376" w:rsidP="0099759E">
            <w:pPr>
              <w:pStyle w:val="TableHead"/>
            </w:pPr>
            <w:r w:rsidRPr="0013396E">
              <w:t>Unit</w:t>
            </w:r>
          </w:p>
        </w:tc>
        <w:tc>
          <w:tcPr>
            <w:tcW w:w="6840" w:type="dxa"/>
            <w:tcBorders>
              <w:top w:val="single" w:sz="4" w:space="0" w:color="auto"/>
              <w:left w:val="single" w:sz="4" w:space="0" w:color="auto"/>
              <w:bottom w:val="single" w:sz="4" w:space="0" w:color="auto"/>
              <w:right w:val="single" w:sz="4" w:space="0" w:color="auto"/>
            </w:tcBorders>
            <w:hideMark/>
          </w:tcPr>
          <w:p w14:paraId="52317FBA" w14:textId="77777777" w:rsidR="00EF6376" w:rsidRPr="0013396E" w:rsidRDefault="00EF6376" w:rsidP="0099759E">
            <w:pPr>
              <w:pStyle w:val="TableHead"/>
            </w:pPr>
            <w:r w:rsidRPr="0013396E">
              <w:t>Description</w:t>
            </w:r>
          </w:p>
        </w:tc>
      </w:tr>
      <w:tr w:rsidR="00EF6376" w:rsidRPr="0013396E" w14:paraId="44C7A462" w14:textId="77777777" w:rsidTr="0099759E">
        <w:trPr>
          <w:cantSplit/>
        </w:trPr>
        <w:tc>
          <w:tcPr>
            <w:tcW w:w="1973" w:type="dxa"/>
            <w:tcBorders>
              <w:top w:val="single" w:sz="4" w:space="0" w:color="auto"/>
              <w:left w:val="single" w:sz="4" w:space="0" w:color="auto"/>
              <w:bottom w:val="single" w:sz="4" w:space="0" w:color="auto"/>
              <w:right w:val="single" w:sz="4" w:space="0" w:color="auto"/>
            </w:tcBorders>
            <w:hideMark/>
          </w:tcPr>
          <w:p w14:paraId="59E64F57" w14:textId="77777777" w:rsidR="00EF6376" w:rsidRPr="0013396E" w:rsidRDefault="00EF6376" w:rsidP="0099759E">
            <w:pPr>
              <w:pStyle w:val="TableBody"/>
            </w:pPr>
            <w:r w:rsidRPr="0013396E">
              <w:t xml:space="preserve">DARTPCECRAMT </w:t>
            </w:r>
            <w:r w:rsidRPr="0013396E">
              <w:rPr>
                <w:i/>
                <w:vertAlign w:val="subscript"/>
              </w:rPr>
              <w:t>q</w:t>
            </w:r>
          </w:p>
        </w:tc>
        <w:tc>
          <w:tcPr>
            <w:tcW w:w="900" w:type="dxa"/>
            <w:tcBorders>
              <w:top w:val="single" w:sz="4" w:space="0" w:color="auto"/>
              <w:left w:val="single" w:sz="4" w:space="0" w:color="auto"/>
              <w:bottom w:val="single" w:sz="4" w:space="0" w:color="auto"/>
              <w:right w:val="single" w:sz="4" w:space="0" w:color="auto"/>
            </w:tcBorders>
            <w:hideMark/>
          </w:tcPr>
          <w:p w14:paraId="737EA175" w14:textId="77777777" w:rsidR="00EF6376" w:rsidRPr="0013396E" w:rsidRDefault="00EF6376" w:rsidP="0099759E">
            <w:pPr>
              <w:pStyle w:val="TableBody"/>
            </w:pPr>
            <w:r w:rsidRPr="0013396E">
              <w:t>$</w:t>
            </w:r>
          </w:p>
        </w:tc>
        <w:tc>
          <w:tcPr>
            <w:tcW w:w="6840" w:type="dxa"/>
            <w:tcBorders>
              <w:top w:val="single" w:sz="4" w:space="0" w:color="auto"/>
              <w:left w:val="single" w:sz="4" w:space="0" w:color="auto"/>
              <w:bottom w:val="single" w:sz="4" w:space="0" w:color="auto"/>
              <w:right w:val="single" w:sz="4" w:space="0" w:color="auto"/>
            </w:tcBorders>
            <w:hideMark/>
          </w:tcPr>
          <w:p w14:paraId="5C04F213" w14:textId="77777777" w:rsidR="00EF6376" w:rsidRPr="0013396E" w:rsidRDefault="00EF6376" w:rsidP="0099759E">
            <w:pPr>
              <w:pStyle w:val="TableBody"/>
            </w:pPr>
            <w:r w:rsidRPr="0013396E">
              <w:rPr>
                <w:i/>
              </w:rPr>
              <w:t xml:space="preserve">Day-Ahead Updated Real-Time Procured Capacity for </w:t>
            </w:r>
            <w:r w:rsidRPr="0013396E">
              <w:rPr>
                <w:i/>
                <w:iCs w:val="0"/>
              </w:rPr>
              <w:t xml:space="preserve">ERCOT Contingency Reserve Service </w:t>
            </w:r>
            <w:r w:rsidRPr="0013396E">
              <w:rPr>
                <w:i/>
              </w:rPr>
              <w:t>Amount by QSE</w:t>
            </w:r>
            <w:r w:rsidRPr="0013396E">
              <w:t xml:space="preserve">—The payment or charge to QSE </w:t>
            </w:r>
            <w:r w:rsidRPr="0013396E">
              <w:rPr>
                <w:i/>
              </w:rPr>
              <w:t>q</w:t>
            </w:r>
            <w:r w:rsidRPr="0013396E">
              <w:t xml:space="preserve"> for ECRS for the re-calculated Real-Time obligation for the Operating Hour.</w:t>
            </w:r>
          </w:p>
        </w:tc>
      </w:tr>
      <w:tr w:rsidR="00EF6376" w:rsidRPr="0013396E" w14:paraId="02318775" w14:textId="77777777" w:rsidTr="0099759E">
        <w:trPr>
          <w:cantSplit/>
        </w:trPr>
        <w:tc>
          <w:tcPr>
            <w:tcW w:w="1973" w:type="dxa"/>
            <w:tcBorders>
              <w:top w:val="single" w:sz="4" w:space="0" w:color="auto"/>
              <w:left w:val="single" w:sz="4" w:space="0" w:color="auto"/>
              <w:bottom w:val="single" w:sz="4" w:space="0" w:color="auto"/>
              <w:right w:val="single" w:sz="4" w:space="0" w:color="auto"/>
            </w:tcBorders>
            <w:hideMark/>
          </w:tcPr>
          <w:p w14:paraId="39FA2981" w14:textId="77777777" w:rsidR="00EF6376" w:rsidRPr="0013396E" w:rsidRDefault="00EF6376" w:rsidP="0099759E">
            <w:pPr>
              <w:pStyle w:val="TableBody"/>
            </w:pPr>
            <w:r w:rsidRPr="0013396E">
              <w:t>DAECRPR</w:t>
            </w:r>
          </w:p>
        </w:tc>
        <w:tc>
          <w:tcPr>
            <w:tcW w:w="900" w:type="dxa"/>
            <w:tcBorders>
              <w:top w:val="single" w:sz="4" w:space="0" w:color="auto"/>
              <w:left w:val="single" w:sz="4" w:space="0" w:color="auto"/>
              <w:bottom w:val="single" w:sz="4" w:space="0" w:color="auto"/>
              <w:right w:val="single" w:sz="4" w:space="0" w:color="auto"/>
            </w:tcBorders>
            <w:hideMark/>
          </w:tcPr>
          <w:p w14:paraId="4D1714E7" w14:textId="77777777" w:rsidR="00EF6376" w:rsidRPr="0013396E" w:rsidRDefault="00EF6376" w:rsidP="0099759E">
            <w:pPr>
              <w:pStyle w:val="TableBody"/>
            </w:pPr>
            <w:r w:rsidRPr="0013396E">
              <w:t>$/MW</w:t>
            </w:r>
          </w:p>
        </w:tc>
        <w:tc>
          <w:tcPr>
            <w:tcW w:w="6840" w:type="dxa"/>
            <w:tcBorders>
              <w:top w:val="single" w:sz="4" w:space="0" w:color="auto"/>
              <w:left w:val="single" w:sz="4" w:space="0" w:color="auto"/>
              <w:bottom w:val="single" w:sz="4" w:space="0" w:color="auto"/>
              <w:right w:val="single" w:sz="4" w:space="0" w:color="auto"/>
            </w:tcBorders>
            <w:hideMark/>
          </w:tcPr>
          <w:p w14:paraId="0989AFFF" w14:textId="77777777" w:rsidR="00EF6376" w:rsidRPr="0013396E" w:rsidRDefault="00EF6376" w:rsidP="0099759E">
            <w:pPr>
              <w:pStyle w:val="TableBody"/>
              <w:rPr>
                <w:i/>
              </w:rPr>
            </w:pPr>
            <w:r w:rsidRPr="0013396E">
              <w:rPr>
                <w:i/>
              </w:rPr>
              <w:t>Day-Ahead ERCOT Contingency Reserve Price</w:t>
            </w:r>
            <w:r w:rsidRPr="0013396E">
              <w:t>—The DAM ECRS price for the Operating Hour.</w:t>
            </w:r>
          </w:p>
        </w:tc>
      </w:tr>
      <w:tr w:rsidR="00EF6376" w:rsidRPr="0013396E" w14:paraId="5458AFAA" w14:textId="77777777" w:rsidTr="0099759E">
        <w:trPr>
          <w:cantSplit/>
        </w:trPr>
        <w:tc>
          <w:tcPr>
            <w:tcW w:w="1973" w:type="dxa"/>
            <w:tcBorders>
              <w:top w:val="single" w:sz="4" w:space="0" w:color="auto"/>
              <w:left w:val="single" w:sz="4" w:space="0" w:color="auto"/>
              <w:bottom w:val="single" w:sz="4" w:space="0" w:color="auto"/>
              <w:right w:val="single" w:sz="4" w:space="0" w:color="auto"/>
            </w:tcBorders>
            <w:hideMark/>
          </w:tcPr>
          <w:p w14:paraId="4126415C" w14:textId="77777777" w:rsidR="00EF6376" w:rsidRPr="0013396E" w:rsidRDefault="00EF6376" w:rsidP="0099759E">
            <w:pPr>
              <w:pStyle w:val="TableBody"/>
            </w:pPr>
            <w:r w:rsidRPr="0013396E">
              <w:t>DAECRNOBL</w:t>
            </w:r>
            <w:r w:rsidRPr="0013396E">
              <w:rPr>
                <w:vertAlign w:val="subscript"/>
              </w:rPr>
              <w:t xml:space="preserve"> </w:t>
            </w:r>
            <w:r w:rsidRPr="0013396E">
              <w:rPr>
                <w:i/>
                <w:vertAlign w:val="subscript"/>
              </w:rPr>
              <w:t>q</w:t>
            </w:r>
          </w:p>
        </w:tc>
        <w:tc>
          <w:tcPr>
            <w:tcW w:w="900" w:type="dxa"/>
            <w:tcBorders>
              <w:top w:val="single" w:sz="4" w:space="0" w:color="auto"/>
              <w:left w:val="single" w:sz="4" w:space="0" w:color="auto"/>
              <w:bottom w:val="single" w:sz="4" w:space="0" w:color="auto"/>
              <w:right w:val="single" w:sz="4" w:space="0" w:color="auto"/>
            </w:tcBorders>
            <w:hideMark/>
          </w:tcPr>
          <w:p w14:paraId="73A6468E" w14:textId="77777777" w:rsidR="00EF6376" w:rsidRPr="0013396E" w:rsidRDefault="00EF6376" w:rsidP="0099759E">
            <w:pPr>
              <w:pStyle w:val="TableBody"/>
            </w:pPr>
            <w:r w:rsidRPr="0013396E">
              <w:t>MW</w:t>
            </w:r>
          </w:p>
        </w:tc>
        <w:tc>
          <w:tcPr>
            <w:tcW w:w="6840" w:type="dxa"/>
            <w:tcBorders>
              <w:top w:val="single" w:sz="4" w:space="0" w:color="auto"/>
              <w:left w:val="single" w:sz="4" w:space="0" w:color="auto"/>
              <w:bottom w:val="single" w:sz="4" w:space="0" w:color="auto"/>
              <w:right w:val="single" w:sz="4" w:space="0" w:color="auto"/>
            </w:tcBorders>
            <w:hideMark/>
          </w:tcPr>
          <w:p w14:paraId="4CEDA827" w14:textId="77777777" w:rsidR="00EF6376" w:rsidRPr="0013396E" w:rsidRDefault="00EF6376" w:rsidP="0099759E">
            <w:pPr>
              <w:pStyle w:val="TableBody"/>
            </w:pPr>
            <w:r w:rsidRPr="0013396E">
              <w:rPr>
                <w:i/>
              </w:rPr>
              <w:t>Day-Ahead ERCOT Contingency Reserve Service New Obligation per QSE</w:t>
            </w:r>
            <w:r w:rsidRPr="0013396E">
              <w:t xml:space="preserve">—The updated ECRS Ancillary Service Obligation in Real-Time for QSE </w:t>
            </w:r>
            <w:r w:rsidRPr="0013396E">
              <w:rPr>
                <w:i/>
              </w:rPr>
              <w:t>q</w:t>
            </w:r>
            <w:r w:rsidRPr="0013396E">
              <w:t xml:space="preserve"> for the Operating Hour.</w:t>
            </w:r>
          </w:p>
        </w:tc>
      </w:tr>
      <w:tr w:rsidR="00EF6376" w:rsidRPr="0013396E" w14:paraId="0E26DF90" w14:textId="77777777" w:rsidTr="0099759E">
        <w:trPr>
          <w:cantSplit/>
        </w:trPr>
        <w:tc>
          <w:tcPr>
            <w:tcW w:w="1973" w:type="dxa"/>
            <w:tcBorders>
              <w:top w:val="single" w:sz="4" w:space="0" w:color="auto"/>
              <w:left w:val="single" w:sz="4" w:space="0" w:color="auto"/>
              <w:bottom w:val="single" w:sz="4" w:space="0" w:color="auto"/>
              <w:right w:val="single" w:sz="4" w:space="0" w:color="auto"/>
            </w:tcBorders>
            <w:hideMark/>
          </w:tcPr>
          <w:p w14:paraId="6958023E" w14:textId="77777777" w:rsidR="00EF6376" w:rsidRPr="0013396E" w:rsidRDefault="00EF6376" w:rsidP="0099759E">
            <w:pPr>
              <w:pStyle w:val="TableBody"/>
              <w:rPr>
                <w:iCs w:val="0"/>
              </w:rPr>
            </w:pPr>
            <w:r w:rsidRPr="0013396E">
              <w:lastRenderedPageBreak/>
              <w:t xml:space="preserve">PCECRR </w:t>
            </w:r>
            <w:r w:rsidRPr="0013396E">
              <w:rPr>
                <w:i/>
                <w:vertAlign w:val="subscript"/>
              </w:rPr>
              <w:t>r,</w:t>
            </w:r>
            <w:r w:rsidRPr="0013396E">
              <w:rPr>
                <w:i/>
              </w:rPr>
              <w:t xml:space="preserve"> </w:t>
            </w:r>
            <w:r w:rsidRPr="0013396E">
              <w:rPr>
                <w:i/>
                <w:vertAlign w:val="subscript"/>
              </w:rPr>
              <w:t>q, DAM</w:t>
            </w:r>
          </w:p>
        </w:tc>
        <w:tc>
          <w:tcPr>
            <w:tcW w:w="900" w:type="dxa"/>
            <w:tcBorders>
              <w:top w:val="single" w:sz="4" w:space="0" w:color="auto"/>
              <w:left w:val="single" w:sz="4" w:space="0" w:color="auto"/>
              <w:bottom w:val="single" w:sz="4" w:space="0" w:color="auto"/>
              <w:right w:val="single" w:sz="4" w:space="0" w:color="auto"/>
            </w:tcBorders>
            <w:hideMark/>
          </w:tcPr>
          <w:p w14:paraId="705AFD88" w14:textId="77777777" w:rsidR="00EF6376" w:rsidRPr="0013396E" w:rsidRDefault="00EF6376" w:rsidP="0099759E">
            <w:pPr>
              <w:pStyle w:val="TableBody"/>
              <w:rPr>
                <w:iCs w:val="0"/>
              </w:rPr>
            </w:pPr>
            <w:r w:rsidRPr="0013396E">
              <w:t>MW</w:t>
            </w:r>
          </w:p>
        </w:tc>
        <w:tc>
          <w:tcPr>
            <w:tcW w:w="6840" w:type="dxa"/>
            <w:tcBorders>
              <w:top w:val="single" w:sz="4" w:space="0" w:color="auto"/>
              <w:left w:val="single" w:sz="4" w:space="0" w:color="auto"/>
              <w:bottom w:val="single" w:sz="4" w:space="0" w:color="auto"/>
              <w:right w:val="single" w:sz="4" w:space="0" w:color="auto"/>
            </w:tcBorders>
            <w:hideMark/>
          </w:tcPr>
          <w:p w14:paraId="6DBD31A8" w14:textId="77777777" w:rsidR="00EF6376" w:rsidRPr="0013396E" w:rsidRDefault="00EF6376" w:rsidP="0099759E">
            <w:pPr>
              <w:pStyle w:val="TableBody"/>
              <w:rPr>
                <w:i/>
              </w:rPr>
            </w:pPr>
            <w:r w:rsidRPr="0013396E">
              <w:rPr>
                <w:i/>
                <w:iCs w:val="0"/>
              </w:rPr>
              <w:t>Procured Capacity for ERCOT Contingency Reserve Service per Resource per QSE in DAM</w:t>
            </w:r>
            <w:r w:rsidRPr="0013396E">
              <w:rPr>
                <w:iCs w:val="0"/>
              </w:rPr>
              <w:t xml:space="preserve">—The ECRS capacity awarded to QSE </w:t>
            </w:r>
            <w:r w:rsidRPr="0013396E">
              <w:rPr>
                <w:i/>
                <w:iCs w:val="0"/>
              </w:rPr>
              <w:t>q</w:t>
            </w:r>
            <w:r w:rsidRPr="0013396E">
              <w:rPr>
                <w:iCs w:val="0"/>
              </w:rPr>
              <w:t xml:space="preserve"> in the DAM for Resource </w:t>
            </w:r>
            <w:r w:rsidRPr="0013396E">
              <w:rPr>
                <w:i/>
                <w:iCs w:val="0"/>
              </w:rPr>
              <w:t>r</w:t>
            </w:r>
            <w:r w:rsidRPr="0013396E">
              <w:rPr>
                <w:iCs w:val="0"/>
              </w:rPr>
              <w:t xml:space="preserve"> for the </w:t>
            </w:r>
            <w:r w:rsidRPr="0013396E">
              <w:t>Operating Hour</w:t>
            </w:r>
            <w:r w:rsidRPr="0013396E">
              <w:rPr>
                <w:iCs w:val="0"/>
              </w:rPr>
              <w:t xml:space="preserve">.  Where for a Combined Cycle Train, the Resource </w:t>
            </w:r>
            <w:r w:rsidRPr="0013396E">
              <w:rPr>
                <w:i/>
                <w:iCs w:val="0"/>
              </w:rPr>
              <w:t xml:space="preserve">r </w:t>
            </w:r>
            <w:r w:rsidRPr="0013396E">
              <w:rPr>
                <w:iCs w:val="0"/>
              </w:rPr>
              <w:t>is a Combined Cycle Generation Resource within the Combined Cycle Train.</w:t>
            </w:r>
          </w:p>
        </w:tc>
      </w:tr>
      <w:tr w:rsidR="00EF6376" w:rsidRPr="0013396E" w14:paraId="2DF58E86" w14:textId="77777777" w:rsidTr="0099759E">
        <w:trPr>
          <w:cantSplit/>
          <w:trHeight w:val="440"/>
        </w:trPr>
        <w:tc>
          <w:tcPr>
            <w:tcW w:w="1973" w:type="dxa"/>
            <w:tcBorders>
              <w:top w:val="single" w:sz="4" w:space="0" w:color="auto"/>
              <w:left w:val="single" w:sz="4" w:space="0" w:color="auto"/>
              <w:bottom w:val="single" w:sz="4" w:space="0" w:color="auto"/>
              <w:right w:val="single" w:sz="4" w:space="0" w:color="auto"/>
            </w:tcBorders>
            <w:hideMark/>
          </w:tcPr>
          <w:p w14:paraId="045B4F96" w14:textId="77777777" w:rsidR="00EF6376" w:rsidRPr="0013396E" w:rsidRDefault="00EF6376" w:rsidP="0099759E">
            <w:pPr>
              <w:pStyle w:val="TableBody"/>
              <w:rPr>
                <w:iCs w:val="0"/>
              </w:rPr>
            </w:pPr>
            <w:r w:rsidRPr="0013396E">
              <w:t>DAECROAWD</w:t>
            </w:r>
            <w:r w:rsidRPr="0013396E">
              <w:rPr>
                <w:i/>
                <w:iCs w:val="0"/>
              </w:rPr>
              <w:t xml:space="preserve"> </w:t>
            </w:r>
            <w:r w:rsidRPr="0013396E">
              <w:rPr>
                <w:i/>
                <w:iCs w:val="0"/>
                <w:vertAlign w:val="subscript"/>
              </w:rPr>
              <w:t>q</w:t>
            </w:r>
          </w:p>
        </w:tc>
        <w:tc>
          <w:tcPr>
            <w:tcW w:w="900" w:type="dxa"/>
            <w:tcBorders>
              <w:top w:val="single" w:sz="4" w:space="0" w:color="auto"/>
              <w:left w:val="single" w:sz="4" w:space="0" w:color="auto"/>
              <w:bottom w:val="single" w:sz="4" w:space="0" w:color="auto"/>
              <w:right w:val="single" w:sz="4" w:space="0" w:color="auto"/>
            </w:tcBorders>
            <w:hideMark/>
          </w:tcPr>
          <w:p w14:paraId="3E08F0C7" w14:textId="77777777" w:rsidR="00EF6376" w:rsidRPr="0013396E" w:rsidRDefault="00EF6376" w:rsidP="0099759E">
            <w:pPr>
              <w:pStyle w:val="TableBody"/>
            </w:pPr>
            <w:r w:rsidRPr="0013396E">
              <w:t>MW</w:t>
            </w:r>
          </w:p>
        </w:tc>
        <w:tc>
          <w:tcPr>
            <w:tcW w:w="6840" w:type="dxa"/>
            <w:tcBorders>
              <w:top w:val="single" w:sz="4" w:space="0" w:color="auto"/>
              <w:left w:val="single" w:sz="4" w:space="0" w:color="auto"/>
              <w:bottom w:val="single" w:sz="4" w:space="0" w:color="auto"/>
              <w:right w:val="single" w:sz="4" w:space="0" w:color="auto"/>
            </w:tcBorders>
            <w:hideMark/>
          </w:tcPr>
          <w:p w14:paraId="7809E07A" w14:textId="77777777" w:rsidR="00EF6376" w:rsidRPr="0013396E" w:rsidRDefault="00EF6376" w:rsidP="0099759E">
            <w:pPr>
              <w:pStyle w:val="TableBody"/>
              <w:rPr>
                <w:i/>
              </w:rPr>
            </w:pPr>
            <w:r w:rsidRPr="0013396E">
              <w:rPr>
                <w:i/>
              </w:rPr>
              <w:t xml:space="preserve">Day-Ahead </w:t>
            </w:r>
            <w:r w:rsidRPr="0013396E">
              <w:rPr>
                <w:i/>
                <w:iCs w:val="0"/>
              </w:rPr>
              <w:t>ERCOT Contingency Reserve Service Only</w:t>
            </w:r>
            <w:r w:rsidRPr="0013396E">
              <w:rPr>
                <w:i/>
              </w:rPr>
              <w:t xml:space="preserve"> Award for the QSE—</w:t>
            </w:r>
            <w:r w:rsidRPr="0013396E">
              <w:t xml:space="preserve">The </w:t>
            </w:r>
            <w:r w:rsidRPr="0013396E">
              <w:rPr>
                <w:iCs w:val="0"/>
              </w:rPr>
              <w:t>ECRS</w:t>
            </w:r>
            <w:r w:rsidRPr="0013396E">
              <w:t xml:space="preserve"> Only capacity awarded in the DAM to QSE </w:t>
            </w:r>
            <w:r w:rsidRPr="0013396E">
              <w:rPr>
                <w:i/>
              </w:rPr>
              <w:t>q</w:t>
            </w:r>
            <w:r w:rsidRPr="0013396E">
              <w:t xml:space="preserve"> for the Operating Hour.  </w:t>
            </w:r>
          </w:p>
        </w:tc>
      </w:tr>
      <w:tr w:rsidR="00EF6376" w:rsidRPr="0013396E" w14:paraId="646CE10E" w14:textId="77777777" w:rsidTr="0099759E">
        <w:trPr>
          <w:cantSplit/>
          <w:trHeight w:val="440"/>
        </w:trPr>
        <w:tc>
          <w:tcPr>
            <w:tcW w:w="1973" w:type="dxa"/>
            <w:tcBorders>
              <w:top w:val="single" w:sz="4" w:space="0" w:color="auto"/>
              <w:left w:val="single" w:sz="4" w:space="0" w:color="auto"/>
              <w:bottom w:val="single" w:sz="4" w:space="0" w:color="auto"/>
              <w:right w:val="single" w:sz="4" w:space="0" w:color="auto"/>
            </w:tcBorders>
            <w:hideMark/>
          </w:tcPr>
          <w:p w14:paraId="40697B3A" w14:textId="77777777" w:rsidR="00EF6376" w:rsidRPr="0013396E" w:rsidRDefault="00EF6376" w:rsidP="0099759E">
            <w:pPr>
              <w:pStyle w:val="TableBody"/>
              <w:rPr>
                <w:i/>
              </w:rPr>
            </w:pPr>
            <w:r w:rsidRPr="0013396E">
              <w:rPr>
                <w:iCs w:val="0"/>
              </w:rPr>
              <w:t xml:space="preserve">DAECRAMT </w:t>
            </w:r>
            <w:r w:rsidRPr="0013396E">
              <w:rPr>
                <w:i/>
                <w:vertAlign w:val="subscript"/>
              </w:rPr>
              <w:t>q</w:t>
            </w:r>
          </w:p>
        </w:tc>
        <w:tc>
          <w:tcPr>
            <w:tcW w:w="900" w:type="dxa"/>
            <w:tcBorders>
              <w:top w:val="single" w:sz="4" w:space="0" w:color="auto"/>
              <w:left w:val="single" w:sz="4" w:space="0" w:color="auto"/>
              <w:bottom w:val="single" w:sz="4" w:space="0" w:color="auto"/>
              <w:right w:val="single" w:sz="4" w:space="0" w:color="auto"/>
            </w:tcBorders>
            <w:hideMark/>
          </w:tcPr>
          <w:p w14:paraId="29A94407" w14:textId="77777777" w:rsidR="00EF6376" w:rsidRPr="0013396E" w:rsidRDefault="00EF6376" w:rsidP="0099759E">
            <w:pPr>
              <w:pStyle w:val="TableBody"/>
            </w:pPr>
            <w:r w:rsidRPr="0013396E">
              <w:t>$</w:t>
            </w:r>
          </w:p>
        </w:tc>
        <w:tc>
          <w:tcPr>
            <w:tcW w:w="6840" w:type="dxa"/>
            <w:tcBorders>
              <w:top w:val="single" w:sz="4" w:space="0" w:color="auto"/>
              <w:left w:val="single" w:sz="4" w:space="0" w:color="auto"/>
              <w:bottom w:val="single" w:sz="4" w:space="0" w:color="auto"/>
              <w:right w:val="single" w:sz="4" w:space="0" w:color="auto"/>
            </w:tcBorders>
            <w:hideMark/>
          </w:tcPr>
          <w:p w14:paraId="5DA37FDB" w14:textId="77777777" w:rsidR="00EF6376" w:rsidRPr="0013396E" w:rsidRDefault="00EF6376" w:rsidP="0099759E">
            <w:pPr>
              <w:pStyle w:val="TableBody"/>
            </w:pPr>
            <w:r w:rsidRPr="0013396E">
              <w:rPr>
                <w:i/>
              </w:rPr>
              <w:t>Day-Ahead ERCOT Contingency Reserve Amount per QSE</w:t>
            </w:r>
            <w:r w:rsidRPr="0013396E">
              <w:t xml:space="preserve">—QSE </w:t>
            </w:r>
            <w:r w:rsidRPr="0013396E">
              <w:rPr>
                <w:i/>
              </w:rPr>
              <w:t>q</w:t>
            </w:r>
            <w:r w:rsidRPr="0013396E">
              <w:t>’s share of the DAM cost for ECRS for the Operating Hour.</w:t>
            </w:r>
          </w:p>
        </w:tc>
      </w:tr>
      <w:tr w:rsidR="00EF6376" w:rsidRPr="0013396E" w14:paraId="666554D9" w14:textId="77777777" w:rsidTr="0099759E">
        <w:trPr>
          <w:cantSplit/>
          <w:trHeight w:val="440"/>
        </w:trPr>
        <w:tc>
          <w:tcPr>
            <w:tcW w:w="1973" w:type="dxa"/>
            <w:tcBorders>
              <w:top w:val="single" w:sz="4" w:space="0" w:color="auto"/>
              <w:left w:val="single" w:sz="4" w:space="0" w:color="auto"/>
              <w:bottom w:val="single" w:sz="4" w:space="0" w:color="auto"/>
              <w:right w:val="single" w:sz="4" w:space="0" w:color="auto"/>
            </w:tcBorders>
            <w:hideMark/>
          </w:tcPr>
          <w:p w14:paraId="4002B086" w14:textId="77777777" w:rsidR="00EF6376" w:rsidRPr="0013396E" w:rsidRDefault="00EF6376" w:rsidP="0099759E">
            <w:pPr>
              <w:pStyle w:val="TableBody"/>
            </w:pPr>
            <w:r w:rsidRPr="0013396E">
              <w:t>HLRS</w:t>
            </w:r>
            <w:r w:rsidRPr="0013396E">
              <w:rPr>
                <w:i/>
                <w:vertAlign w:val="subscript"/>
              </w:rPr>
              <w:t xml:space="preserve"> q</w:t>
            </w:r>
          </w:p>
        </w:tc>
        <w:tc>
          <w:tcPr>
            <w:tcW w:w="900" w:type="dxa"/>
            <w:tcBorders>
              <w:top w:val="single" w:sz="4" w:space="0" w:color="auto"/>
              <w:left w:val="single" w:sz="4" w:space="0" w:color="auto"/>
              <w:bottom w:val="single" w:sz="4" w:space="0" w:color="auto"/>
              <w:right w:val="single" w:sz="4" w:space="0" w:color="auto"/>
            </w:tcBorders>
            <w:hideMark/>
          </w:tcPr>
          <w:p w14:paraId="423AE7BC" w14:textId="77777777" w:rsidR="00EF6376" w:rsidRPr="0013396E" w:rsidRDefault="00EF6376" w:rsidP="0099759E">
            <w:pPr>
              <w:pStyle w:val="TableBody"/>
            </w:pPr>
            <w:r w:rsidRPr="0013396E">
              <w:t>none</w:t>
            </w:r>
          </w:p>
        </w:tc>
        <w:tc>
          <w:tcPr>
            <w:tcW w:w="6840" w:type="dxa"/>
            <w:tcBorders>
              <w:top w:val="single" w:sz="4" w:space="0" w:color="auto"/>
              <w:left w:val="single" w:sz="4" w:space="0" w:color="auto"/>
              <w:bottom w:val="single" w:sz="4" w:space="0" w:color="auto"/>
              <w:right w:val="single" w:sz="4" w:space="0" w:color="auto"/>
            </w:tcBorders>
            <w:hideMark/>
          </w:tcPr>
          <w:p w14:paraId="68D8F614" w14:textId="77777777" w:rsidR="00EF6376" w:rsidRPr="0013396E" w:rsidRDefault="00EF6376" w:rsidP="0099759E">
            <w:pPr>
              <w:pStyle w:val="TableBody"/>
            </w:pPr>
            <w:r w:rsidRPr="0013396E">
              <w:rPr>
                <w:i/>
              </w:rPr>
              <w:t>Hourly Load Ratio Share per QSE</w:t>
            </w:r>
            <w:r w:rsidRPr="0013396E">
              <w:t xml:space="preserve">—The Real-Time LRS as defined in Section 6.6.2.4, QSE Load Ratio Share for an Operating Hour, for QSE </w:t>
            </w:r>
            <w:r w:rsidRPr="0013396E">
              <w:rPr>
                <w:i/>
              </w:rPr>
              <w:t>q</w:t>
            </w:r>
            <w:r w:rsidRPr="0013396E">
              <w:t xml:space="preserve"> for the Operating Hour.</w:t>
            </w:r>
          </w:p>
        </w:tc>
      </w:tr>
      <w:tr w:rsidR="00EF6376" w:rsidRPr="0013396E" w14:paraId="3270263C" w14:textId="77777777" w:rsidTr="0099759E">
        <w:trPr>
          <w:cantSplit/>
          <w:trHeight w:val="440"/>
        </w:trPr>
        <w:tc>
          <w:tcPr>
            <w:tcW w:w="1973" w:type="dxa"/>
            <w:tcBorders>
              <w:top w:val="single" w:sz="4" w:space="0" w:color="auto"/>
              <w:left w:val="single" w:sz="4" w:space="0" w:color="auto"/>
              <w:bottom w:val="single" w:sz="4" w:space="0" w:color="auto"/>
              <w:right w:val="single" w:sz="4" w:space="0" w:color="auto"/>
            </w:tcBorders>
            <w:hideMark/>
          </w:tcPr>
          <w:p w14:paraId="58750523" w14:textId="77777777" w:rsidR="00EF6376" w:rsidRPr="0013396E" w:rsidRDefault="00EF6376" w:rsidP="0099759E">
            <w:pPr>
              <w:pStyle w:val="TableBody"/>
            </w:pPr>
            <w:r w:rsidRPr="0013396E">
              <w:t xml:space="preserve">DAPCECRQTOT  </w:t>
            </w:r>
          </w:p>
        </w:tc>
        <w:tc>
          <w:tcPr>
            <w:tcW w:w="900" w:type="dxa"/>
            <w:tcBorders>
              <w:top w:val="single" w:sz="4" w:space="0" w:color="auto"/>
              <w:left w:val="single" w:sz="4" w:space="0" w:color="auto"/>
              <w:bottom w:val="single" w:sz="4" w:space="0" w:color="auto"/>
              <w:right w:val="single" w:sz="4" w:space="0" w:color="auto"/>
            </w:tcBorders>
            <w:hideMark/>
          </w:tcPr>
          <w:p w14:paraId="1C52F6AB" w14:textId="77777777" w:rsidR="00EF6376" w:rsidRPr="0013396E" w:rsidRDefault="00EF6376" w:rsidP="0099759E">
            <w:pPr>
              <w:pStyle w:val="TableBody"/>
            </w:pPr>
            <w:r w:rsidRPr="0013396E">
              <w:t>MW</w:t>
            </w:r>
          </w:p>
        </w:tc>
        <w:tc>
          <w:tcPr>
            <w:tcW w:w="6840" w:type="dxa"/>
            <w:tcBorders>
              <w:top w:val="single" w:sz="4" w:space="0" w:color="auto"/>
              <w:left w:val="single" w:sz="4" w:space="0" w:color="auto"/>
              <w:bottom w:val="single" w:sz="4" w:space="0" w:color="auto"/>
              <w:right w:val="single" w:sz="4" w:space="0" w:color="auto"/>
            </w:tcBorders>
            <w:hideMark/>
          </w:tcPr>
          <w:p w14:paraId="35CDC7A0" w14:textId="77777777" w:rsidR="00EF6376" w:rsidRPr="0013396E" w:rsidRDefault="00EF6376" w:rsidP="0099759E">
            <w:pPr>
              <w:pStyle w:val="TableBody"/>
            </w:pPr>
            <w:r w:rsidRPr="0013396E">
              <w:rPr>
                <w:i/>
              </w:rPr>
              <w:t>Day-Ahead Procured Capacity for ERCOT Contingency Reserve Total</w:t>
            </w:r>
            <w:r w:rsidRPr="0013396E">
              <w:t>—The total ECRS capacity for all QSEs for all ECRS awarded and self-arranged in the DAM for the Operating Hour.</w:t>
            </w:r>
          </w:p>
        </w:tc>
      </w:tr>
      <w:tr w:rsidR="00EF6376" w:rsidRPr="0013396E" w14:paraId="6FA49237" w14:textId="77777777" w:rsidTr="0099759E">
        <w:trPr>
          <w:cantSplit/>
          <w:trHeight w:val="440"/>
        </w:trPr>
        <w:tc>
          <w:tcPr>
            <w:tcW w:w="1973" w:type="dxa"/>
            <w:tcBorders>
              <w:top w:val="single" w:sz="4" w:space="0" w:color="auto"/>
              <w:left w:val="single" w:sz="4" w:space="0" w:color="auto"/>
              <w:bottom w:val="single" w:sz="4" w:space="0" w:color="auto"/>
              <w:right w:val="single" w:sz="4" w:space="0" w:color="auto"/>
            </w:tcBorders>
            <w:hideMark/>
          </w:tcPr>
          <w:p w14:paraId="13778EDC" w14:textId="77777777" w:rsidR="00EF6376" w:rsidRPr="0013396E" w:rsidRDefault="00EF6376" w:rsidP="0099759E">
            <w:pPr>
              <w:pStyle w:val="TableBody"/>
            </w:pPr>
            <w:r w:rsidRPr="0013396E">
              <w:t xml:space="preserve">DASAECRQ </w:t>
            </w:r>
            <w:r w:rsidRPr="0013396E">
              <w:rPr>
                <w:i/>
                <w:vertAlign w:val="subscript"/>
              </w:rPr>
              <w:t>q</w:t>
            </w:r>
          </w:p>
        </w:tc>
        <w:tc>
          <w:tcPr>
            <w:tcW w:w="900" w:type="dxa"/>
            <w:tcBorders>
              <w:top w:val="single" w:sz="4" w:space="0" w:color="auto"/>
              <w:left w:val="single" w:sz="4" w:space="0" w:color="auto"/>
              <w:bottom w:val="single" w:sz="4" w:space="0" w:color="auto"/>
              <w:right w:val="single" w:sz="4" w:space="0" w:color="auto"/>
            </w:tcBorders>
            <w:hideMark/>
          </w:tcPr>
          <w:p w14:paraId="6CB05733" w14:textId="77777777" w:rsidR="00EF6376" w:rsidRPr="0013396E" w:rsidRDefault="00EF6376" w:rsidP="0099759E">
            <w:pPr>
              <w:pStyle w:val="TableBody"/>
            </w:pPr>
            <w:r w:rsidRPr="0013396E">
              <w:t>MW</w:t>
            </w:r>
          </w:p>
        </w:tc>
        <w:tc>
          <w:tcPr>
            <w:tcW w:w="6840" w:type="dxa"/>
            <w:tcBorders>
              <w:top w:val="single" w:sz="4" w:space="0" w:color="auto"/>
              <w:left w:val="single" w:sz="4" w:space="0" w:color="auto"/>
              <w:bottom w:val="single" w:sz="4" w:space="0" w:color="auto"/>
              <w:right w:val="single" w:sz="4" w:space="0" w:color="auto"/>
            </w:tcBorders>
            <w:hideMark/>
          </w:tcPr>
          <w:p w14:paraId="440E3218" w14:textId="77777777" w:rsidR="00EF6376" w:rsidRPr="0013396E" w:rsidRDefault="00EF6376" w:rsidP="0099759E">
            <w:pPr>
              <w:pStyle w:val="TableBody"/>
            </w:pPr>
            <w:r w:rsidRPr="0013396E">
              <w:rPr>
                <w:i/>
              </w:rPr>
              <w:t>Day-Ahead Self-Arranged ERCOT Contingency Reserve Quantity per QSE</w:t>
            </w:r>
            <w:r w:rsidRPr="0013396E">
              <w:t xml:space="preserve">—The self-arranged ECRS capacity submitted by QSE </w:t>
            </w:r>
            <w:r w:rsidRPr="0013396E">
              <w:rPr>
                <w:i/>
              </w:rPr>
              <w:t>q</w:t>
            </w:r>
            <w:r w:rsidRPr="0013396E">
              <w:t xml:space="preserve"> before 1000 in the DAM for the Operating Hour.</w:t>
            </w:r>
          </w:p>
        </w:tc>
      </w:tr>
      <w:tr w:rsidR="00EF6376" w:rsidRPr="0013396E" w14:paraId="2F618F86" w14:textId="77777777" w:rsidTr="0099759E">
        <w:trPr>
          <w:cantSplit/>
        </w:trPr>
        <w:tc>
          <w:tcPr>
            <w:tcW w:w="1973" w:type="dxa"/>
            <w:tcBorders>
              <w:top w:val="single" w:sz="4" w:space="0" w:color="auto"/>
              <w:left w:val="single" w:sz="4" w:space="0" w:color="auto"/>
              <w:bottom w:val="single" w:sz="4" w:space="0" w:color="auto"/>
              <w:right w:val="single" w:sz="4" w:space="0" w:color="auto"/>
            </w:tcBorders>
            <w:hideMark/>
          </w:tcPr>
          <w:p w14:paraId="178A3D79" w14:textId="77777777" w:rsidR="00EF6376" w:rsidRPr="0013396E" w:rsidRDefault="00EF6376" w:rsidP="0099759E">
            <w:pPr>
              <w:pStyle w:val="TableBody"/>
              <w:rPr>
                <w:i/>
              </w:rPr>
            </w:pPr>
            <w:r w:rsidRPr="0013396E">
              <w:rPr>
                <w:i/>
              </w:rPr>
              <w:t>q</w:t>
            </w:r>
          </w:p>
        </w:tc>
        <w:tc>
          <w:tcPr>
            <w:tcW w:w="900" w:type="dxa"/>
            <w:tcBorders>
              <w:top w:val="single" w:sz="4" w:space="0" w:color="auto"/>
              <w:left w:val="single" w:sz="4" w:space="0" w:color="auto"/>
              <w:bottom w:val="single" w:sz="4" w:space="0" w:color="auto"/>
              <w:right w:val="single" w:sz="4" w:space="0" w:color="auto"/>
            </w:tcBorders>
            <w:hideMark/>
          </w:tcPr>
          <w:p w14:paraId="2D64F73E" w14:textId="77777777" w:rsidR="00EF6376" w:rsidRPr="0013396E" w:rsidRDefault="00EF6376" w:rsidP="0099759E">
            <w:pPr>
              <w:pStyle w:val="TableBody"/>
            </w:pPr>
            <w:r w:rsidRPr="0013396E">
              <w:t>none</w:t>
            </w:r>
          </w:p>
        </w:tc>
        <w:tc>
          <w:tcPr>
            <w:tcW w:w="6840" w:type="dxa"/>
            <w:tcBorders>
              <w:top w:val="single" w:sz="4" w:space="0" w:color="auto"/>
              <w:left w:val="single" w:sz="4" w:space="0" w:color="auto"/>
              <w:bottom w:val="single" w:sz="4" w:space="0" w:color="auto"/>
              <w:right w:val="single" w:sz="4" w:space="0" w:color="auto"/>
            </w:tcBorders>
            <w:hideMark/>
          </w:tcPr>
          <w:p w14:paraId="156DC66A" w14:textId="77777777" w:rsidR="00EF6376" w:rsidRPr="0013396E" w:rsidRDefault="00EF6376" w:rsidP="0099759E">
            <w:pPr>
              <w:pStyle w:val="TableBody"/>
            </w:pPr>
            <w:r w:rsidRPr="0013396E">
              <w:t>A QSE.</w:t>
            </w:r>
          </w:p>
        </w:tc>
      </w:tr>
      <w:tr w:rsidR="00EF6376" w:rsidRPr="0013396E" w14:paraId="254D0242" w14:textId="77777777" w:rsidTr="0099759E">
        <w:trPr>
          <w:cantSplit/>
        </w:trPr>
        <w:tc>
          <w:tcPr>
            <w:tcW w:w="1973" w:type="dxa"/>
            <w:tcBorders>
              <w:top w:val="single" w:sz="4" w:space="0" w:color="auto"/>
              <w:left w:val="single" w:sz="4" w:space="0" w:color="auto"/>
              <w:bottom w:val="single" w:sz="4" w:space="0" w:color="auto"/>
              <w:right w:val="single" w:sz="4" w:space="0" w:color="auto"/>
            </w:tcBorders>
            <w:hideMark/>
          </w:tcPr>
          <w:p w14:paraId="4CCBD84D" w14:textId="77777777" w:rsidR="00EF6376" w:rsidRPr="0013396E" w:rsidRDefault="00EF6376" w:rsidP="0099759E">
            <w:pPr>
              <w:pStyle w:val="TableBody"/>
              <w:rPr>
                <w:i/>
              </w:rPr>
            </w:pPr>
            <w:r w:rsidRPr="0013396E">
              <w:rPr>
                <w:i/>
              </w:rPr>
              <w:t>r</w:t>
            </w:r>
          </w:p>
        </w:tc>
        <w:tc>
          <w:tcPr>
            <w:tcW w:w="900" w:type="dxa"/>
            <w:tcBorders>
              <w:top w:val="single" w:sz="4" w:space="0" w:color="auto"/>
              <w:left w:val="single" w:sz="4" w:space="0" w:color="auto"/>
              <w:bottom w:val="single" w:sz="4" w:space="0" w:color="auto"/>
              <w:right w:val="single" w:sz="4" w:space="0" w:color="auto"/>
            </w:tcBorders>
            <w:hideMark/>
          </w:tcPr>
          <w:p w14:paraId="4335ECE5" w14:textId="77777777" w:rsidR="00EF6376" w:rsidRPr="0013396E" w:rsidRDefault="00EF6376" w:rsidP="0099759E">
            <w:pPr>
              <w:pStyle w:val="TableBody"/>
            </w:pPr>
            <w:r w:rsidRPr="0013396E">
              <w:t>none</w:t>
            </w:r>
          </w:p>
        </w:tc>
        <w:tc>
          <w:tcPr>
            <w:tcW w:w="6840" w:type="dxa"/>
            <w:tcBorders>
              <w:top w:val="single" w:sz="4" w:space="0" w:color="auto"/>
              <w:left w:val="single" w:sz="4" w:space="0" w:color="auto"/>
              <w:bottom w:val="single" w:sz="4" w:space="0" w:color="auto"/>
              <w:right w:val="single" w:sz="4" w:space="0" w:color="auto"/>
            </w:tcBorders>
            <w:hideMark/>
          </w:tcPr>
          <w:p w14:paraId="06CDEEC0" w14:textId="77777777" w:rsidR="00EF6376" w:rsidRPr="0013396E" w:rsidRDefault="00EF6376" w:rsidP="0099759E">
            <w:pPr>
              <w:pStyle w:val="TableBody"/>
            </w:pPr>
            <w:r w:rsidRPr="0013396E">
              <w:t>A Resource.</w:t>
            </w:r>
          </w:p>
        </w:tc>
      </w:tr>
    </w:tbl>
    <w:p w14:paraId="0B539F11" w14:textId="77777777" w:rsidR="008871B2" w:rsidRPr="0013396E" w:rsidRDefault="008871B2" w:rsidP="008871B2">
      <w:bookmarkStart w:id="2243" w:name="_Toc397505050"/>
      <w:bookmarkStart w:id="2244" w:name="_Toc402357182"/>
      <w:bookmarkStart w:id="2245" w:name="_Toc422486562"/>
      <w:bookmarkStart w:id="2246" w:name="_Toc433093415"/>
      <w:bookmarkStart w:id="2247" w:name="_Toc433093573"/>
      <w:bookmarkStart w:id="2248" w:name="_Toc440874803"/>
      <w:bookmarkStart w:id="2249" w:name="_Toc448142360"/>
      <w:bookmarkStart w:id="2250" w:name="_Toc448142517"/>
      <w:bookmarkStart w:id="2251" w:name="_Toc458770358"/>
      <w:bookmarkStart w:id="2252" w:name="_Toc459294326"/>
      <w:bookmarkStart w:id="2253" w:name="_Toc463262820"/>
      <w:bookmarkStart w:id="2254" w:name="_Toc468286895"/>
      <w:bookmarkStart w:id="2255" w:name="_Toc481502935"/>
      <w:bookmarkStart w:id="2256" w:name="_Toc496080102"/>
    </w:p>
    <w:p w14:paraId="01B72A0B" w14:textId="342A853C" w:rsidR="001F04FD" w:rsidRPr="0013396E" w:rsidRDefault="001F04FD" w:rsidP="000B7133">
      <w:pPr>
        <w:pStyle w:val="H3"/>
        <w:ind w:left="0" w:firstLine="0"/>
      </w:pPr>
      <w:bookmarkStart w:id="2257" w:name="_Toc214879030"/>
      <w:bookmarkStart w:id="2258" w:name="_Hlk174606168"/>
      <w:bookmarkStart w:id="2259" w:name="_Hlk102565182"/>
      <w:r w:rsidRPr="0013396E">
        <w:t>6.7.</w:t>
      </w:r>
      <w:r w:rsidR="00A12B52" w:rsidRPr="0013396E">
        <w:t>2</w:t>
      </w:r>
      <w:r w:rsidRPr="0013396E">
        <w:tab/>
      </w:r>
      <w:r w:rsidR="00F10AF1" w:rsidRPr="0013396E">
        <w:t>Real-Time Ancillary Service Charges and Payments</w:t>
      </w:r>
      <w:bookmarkEnd w:id="2257"/>
      <w:r w:rsidR="00F10AF1" w:rsidRPr="0013396E" w:rsidDel="00F10AF1">
        <w:t xml:space="preserve"> </w:t>
      </w:r>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p>
    <w:p w14:paraId="2B9A6CE3" w14:textId="32948180" w:rsidR="00F10AF1" w:rsidRPr="0013396E" w:rsidRDefault="00F10AF1" w:rsidP="000B7133">
      <w:pPr>
        <w:pStyle w:val="H4"/>
        <w:spacing w:before="480"/>
        <w:ind w:left="1267" w:hanging="1267"/>
      </w:pPr>
      <w:bookmarkStart w:id="2260" w:name="_Toc214879031"/>
      <w:r w:rsidRPr="0013396E">
        <w:t>6.7.</w:t>
      </w:r>
      <w:r w:rsidR="00A12B52" w:rsidRPr="0013396E">
        <w:t>2</w:t>
      </w:r>
      <w:r w:rsidRPr="0013396E">
        <w:t>.1</w:t>
      </w:r>
      <w:r w:rsidRPr="0013396E">
        <w:tab/>
        <w:t>Real-Time Ancillary Service Imbalance Payment or Charge</w:t>
      </w:r>
      <w:bookmarkEnd w:id="2260"/>
    </w:p>
    <w:p w14:paraId="5E50095E" w14:textId="77777777" w:rsidR="00F10AF1" w:rsidRPr="0013396E" w:rsidRDefault="00F10AF1" w:rsidP="00F10AF1">
      <w:pPr>
        <w:spacing w:after="240"/>
      </w:pPr>
      <w:r w:rsidRPr="0013396E">
        <w:t>(1)</w:t>
      </w:r>
      <w:r w:rsidRPr="0013396E">
        <w:tab/>
        <w:t>The payments or charges to each QSE for Real-Time Ancillary Services are as follows:</w:t>
      </w:r>
    </w:p>
    <w:p w14:paraId="3F84513C" w14:textId="77777777" w:rsidR="00F10AF1" w:rsidRPr="0013396E" w:rsidRDefault="00F10AF1" w:rsidP="00F10AF1">
      <w:pPr>
        <w:spacing w:after="240"/>
        <w:ind w:left="1440" w:hanging="720"/>
      </w:pPr>
      <w:r w:rsidRPr="0013396E">
        <w:t>(a)</w:t>
      </w:r>
      <w:r w:rsidRPr="0013396E">
        <w:tab/>
        <w:t>Ancillary Service Imbalance payment or charges based on Real-Time Ancillary Service prices with an imbalance quantity determined by:</w:t>
      </w:r>
    </w:p>
    <w:p w14:paraId="522D4ED3" w14:textId="77777777" w:rsidR="00F10AF1" w:rsidRPr="0013396E" w:rsidRDefault="00F10AF1" w:rsidP="00F10AF1">
      <w:pPr>
        <w:spacing w:after="240"/>
        <w:ind w:left="720" w:firstLine="720"/>
      </w:pPr>
      <w:r w:rsidRPr="0013396E">
        <w:t>(i)</w:t>
      </w:r>
      <w:r w:rsidRPr="0013396E">
        <w:tab/>
        <w:t>The Real-Time Ancillary Service awarded; minus</w:t>
      </w:r>
    </w:p>
    <w:p w14:paraId="2F35E14D" w14:textId="77777777" w:rsidR="00F10AF1" w:rsidRPr="0013396E" w:rsidRDefault="00F10AF1" w:rsidP="00F10AF1">
      <w:pPr>
        <w:spacing w:after="240"/>
        <w:ind w:left="2160" w:hanging="720"/>
      </w:pPr>
      <w:r w:rsidRPr="0013396E">
        <w:t>(ii)</w:t>
      </w:r>
      <w:r w:rsidRPr="0013396E">
        <w:tab/>
        <w:t>The amount of Day-Ahead Market (DAM) Ancillary Service awards cleared in the DAM; minus</w:t>
      </w:r>
    </w:p>
    <w:p w14:paraId="411108FC" w14:textId="77777777" w:rsidR="00F10AF1" w:rsidRPr="0013396E" w:rsidRDefault="00F10AF1" w:rsidP="00F10AF1">
      <w:pPr>
        <w:spacing w:after="240"/>
        <w:ind w:left="2160" w:hanging="720"/>
      </w:pPr>
      <w:r w:rsidRPr="0013396E">
        <w:t>(iii)</w:t>
      </w:r>
      <w:r w:rsidRPr="0013396E">
        <w:tab/>
        <w:t>The amount of DAM Self Arranged Ancillary Services; plus</w:t>
      </w:r>
    </w:p>
    <w:p w14:paraId="4592865C" w14:textId="77777777" w:rsidR="00F10AF1" w:rsidRPr="0013396E" w:rsidRDefault="00F10AF1" w:rsidP="00F10AF1">
      <w:pPr>
        <w:spacing w:after="240"/>
        <w:ind w:left="2160" w:hanging="720"/>
      </w:pPr>
      <w:r w:rsidRPr="0013396E">
        <w:t>(iv)</w:t>
      </w:r>
      <w:r w:rsidRPr="0013396E">
        <w:tab/>
        <w:t>The amount of Ancillary Service Trades where the QSE is the buyer; minus</w:t>
      </w:r>
    </w:p>
    <w:p w14:paraId="213956F5" w14:textId="77777777" w:rsidR="00F10AF1" w:rsidRPr="0013396E" w:rsidRDefault="00F10AF1" w:rsidP="00F10AF1">
      <w:pPr>
        <w:spacing w:after="240"/>
        <w:ind w:left="2160" w:hanging="720"/>
      </w:pPr>
      <w:r w:rsidRPr="0013396E">
        <w:t>(v)</w:t>
      </w:r>
      <w:r w:rsidRPr="0013396E">
        <w:tab/>
        <w:t>The amount of Ancillary Service Trades where the QSE is the seller.</w:t>
      </w:r>
    </w:p>
    <w:p w14:paraId="2FC9BF2F" w14:textId="77777777" w:rsidR="00F10AF1" w:rsidRPr="0013396E" w:rsidRDefault="00F10AF1" w:rsidP="00F10AF1">
      <w:pPr>
        <w:spacing w:after="240"/>
        <w:ind w:left="1440" w:hanging="720"/>
      </w:pPr>
      <w:r w:rsidRPr="0013396E">
        <w:t>(b)</w:t>
      </w:r>
      <w:r w:rsidRPr="0013396E">
        <w:tab/>
        <w:t>Charges for Ancillary Service Only Offers purchased in the DAM.</w:t>
      </w:r>
    </w:p>
    <w:p w14:paraId="02AEA42A" w14:textId="55930C49" w:rsidR="008871B2" w:rsidRPr="0013396E" w:rsidRDefault="00F10AF1" w:rsidP="000B7133">
      <w:pPr>
        <w:pStyle w:val="BodyText"/>
        <w:spacing w:after="0"/>
        <w:ind w:left="1440" w:hanging="720"/>
      </w:pPr>
      <w:r w:rsidRPr="0013396E">
        <w:lastRenderedPageBreak/>
        <w:t>(c)</w:t>
      </w:r>
      <w:r w:rsidRPr="0013396E">
        <w:tab/>
        <w:t>Charges for any Ancillary Service trade overage per paragraph (7) of Section 4.4.7.1, Self-Arranged Ancillary Service Quantities.</w:t>
      </w:r>
      <w:bookmarkStart w:id="2261" w:name="_Toc397505051"/>
      <w:bookmarkStart w:id="2262" w:name="_Toc402357183"/>
      <w:bookmarkStart w:id="2263" w:name="_Toc412617247"/>
      <w:bookmarkStart w:id="2264" w:name="_Toc422486563"/>
      <w:bookmarkStart w:id="2265" w:name="_Toc433093416"/>
      <w:bookmarkStart w:id="2266" w:name="_Toc433093574"/>
      <w:bookmarkStart w:id="2267" w:name="_Toc440874804"/>
      <w:bookmarkStart w:id="2268" w:name="_Toc448142361"/>
      <w:bookmarkStart w:id="2269" w:name="_Toc448142518"/>
      <w:bookmarkStart w:id="2270" w:name="_Toc458770359"/>
      <w:bookmarkStart w:id="2271" w:name="_Toc459294327"/>
      <w:bookmarkStart w:id="2272" w:name="_Toc463262821"/>
      <w:bookmarkStart w:id="2273" w:name="_Toc468286896"/>
      <w:bookmarkStart w:id="2274" w:name="_Toc481502936"/>
      <w:bookmarkStart w:id="2275" w:name="_Toc496080103"/>
      <w:bookmarkEnd w:id="2258"/>
      <w:bookmarkEnd w:id="2259"/>
    </w:p>
    <w:p w14:paraId="154C0275" w14:textId="677FD3F2" w:rsidR="00F10AF1" w:rsidRPr="0013396E" w:rsidRDefault="00F10AF1" w:rsidP="000B7133">
      <w:pPr>
        <w:pStyle w:val="H4"/>
      </w:pPr>
      <w:bookmarkStart w:id="2276" w:name="_Toc214879032"/>
      <w:r w:rsidRPr="0013396E">
        <w:t>6.7.</w:t>
      </w:r>
      <w:r w:rsidR="00A12B52" w:rsidRPr="0013396E">
        <w:t>2</w:t>
      </w:r>
      <w:r w:rsidRPr="0013396E">
        <w:t>.2</w:t>
      </w:r>
      <w:r w:rsidRPr="0013396E">
        <w:tab/>
        <w:t>Regulation Up Service Payments and Charges</w:t>
      </w:r>
      <w:bookmarkEnd w:id="2276"/>
    </w:p>
    <w:p w14:paraId="2006FB14" w14:textId="77777777" w:rsidR="00F10AF1" w:rsidRPr="0013396E" w:rsidRDefault="00F10AF1" w:rsidP="00F10AF1">
      <w:r w:rsidRPr="0013396E">
        <w:t>(1)</w:t>
      </w:r>
      <w:r w:rsidRPr="0013396E">
        <w:tab/>
        <w:t>Reg-Up Imbalance Payment or Charge:</w:t>
      </w:r>
    </w:p>
    <w:p w14:paraId="46DAE710" w14:textId="77777777" w:rsidR="00F10AF1" w:rsidRPr="0013396E" w:rsidRDefault="00F10AF1" w:rsidP="00F10AF1">
      <w:pPr>
        <w:pStyle w:val="FormulaBold"/>
      </w:pPr>
      <w:r w:rsidRPr="0013396E">
        <w:t>RTRUIMBAMT</w:t>
      </w:r>
      <w:r w:rsidRPr="0013396E">
        <w:rPr>
          <w:i/>
          <w:vertAlign w:val="subscript"/>
        </w:rPr>
        <w:t xml:space="preserve"> q  </w:t>
      </w:r>
      <w:r w:rsidRPr="0013396E">
        <w:t xml:space="preserve">= </w:t>
      </w:r>
      <w:r w:rsidRPr="0013396E">
        <w:tab/>
        <w:t>(-1) * [</w:t>
      </w:r>
      <w:r w:rsidRPr="0013396E">
        <w:rPr>
          <w:position w:val="-18"/>
        </w:rPr>
        <w:object w:dxaOrig="285" w:dyaOrig="570" w14:anchorId="7EE2B6D2">
          <v:shape id="_x0000_i1266" type="#_x0000_t75" style="width:12pt;height:30pt" o:ole="">
            <v:imagedata r:id="rId134" o:title=""/>
          </v:shape>
          <o:OLEObject Type="Embed" ProgID="Equation.3" ShapeID="_x0000_i1266" DrawAspect="Content" ObjectID="_1836311543" r:id="rId343"/>
        </w:object>
      </w:r>
      <w:r w:rsidRPr="0013396E">
        <w:t>[</w:t>
      </w:r>
      <w:r w:rsidRPr="0013396E">
        <w:rPr>
          <w:rStyle w:val="BodyTextChar"/>
        </w:rPr>
        <w:t xml:space="preserve">RTRUREV </w:t>
      </w:r>
      <w:r w:rsidRPr="0013396E">
        <w:rPr>
          <w:i/>
          <w:vertAlign w:val="subscript"/>
          <w:lang w:val="it-IT"/>
        </w:rPr>
        <w:t xml:space="preserve">q, r </w:t>
      </w:r>
      <w:r w:rsidRPr="0013396E">
        <w:t>– (1/4) * (PCRUR</w:t>
      </w:r>
      <w:r w:rsidRPr="0013396E">
        <w:rPr>
          <w:i/>
        </w:rPr>
        <w:t xml:space="preserve"> </w:t>
      </w:r>
      <w:r w:rsidRPr="0013396E">
        <w:rPr>
          <w:i/>
          <w:vertAlign w:val="subscript"/>
        </w:rPr>
        <w:t>r, q, DAM</w:t>
      </w:r>
      <w:r w:rsidRPr="0013396E">
        <w:t xml:space="preserve"> * RTMCPCRU)] – (1/4) * (DASARUQ </w:t>
      </w:r>
      <w:r w:rsidRPr="0013396E">
        <w:rPr>
          <w:i/>
          <w:vertAlign w:val="subscript"/>
        </w:rPr>
        <w:t>q</w:t>
      </w:r>
      <w:r w:rsidRPr="0013396E">
        <w:t xml:space="preserve"> * RTMCPCRU) + (1/4) * (RUTP </w:t>
      </w:r>
      <w:r w:rsidRPr="0013396E">
        <w:rPr>
          <w:i/>
          <w:vertAlign w:val="subscript"/>
        </w:rPr>
        <w:t>q</w:t>
      </w:r>
      <w:r w:rsidRPr="0013396E">
        <w:t xml:space="preserve"> – RUTS </w:t>
      </w:r>
      <w:r w:rsidRPr="0013396E">
        <w:rPr>
          <w:i/>
          <w:vertAlign w:val="subscript"/>
        </w:rPr>
        <w:t>q</w:t>
      </w:r>
      <w:r w:rsidRPr="0013396E">
        <w:t>) * RTMCPCRU]</w:t>
      </w:r>
    </w:p>
    <w:p w14:paraId="56DF1E83" w14:textId="77777777" w:rsidR="00F10AF1" w:rsidRPr="000B7133" w:rsidRDefault="00F10AF1" w:rsidP="00F10AF1">
      <w:pPr>
        <w:pStyle w:val="FormulaBold"/>
        <w:rPr>
          <w:b w:val="0"/>
          <w:bCs w:val="0"/>
        </w:rPr>
      </w:pPr>
      <w:r w:rsidRPr="000B7133">
        <w:rPr>
          <w:b w:val="0"/>
          <w:bCs w:val="0"/>
        </w:rPr>
        <w:t xml:space="preserve">Where:   </w:t>
      </w:r>
    </w:p>
    <w:p w14:paraId="48A26F4A" w14:textId="77777777" w:rsidR="00F10AF1" w:rsidRPr="000B7133" w:rsidRDefault="00F10AF1" w:rsidP="00F10AF1">
      <w:pPr>
        <w:pStyle w:val="FormulaBold"/>
        <w:rPr>
          <w:b w:val="0"/>
          <w:bCs w:val="0"/>
        </w:rPr>
      </w:pPr>
      <w:r w:rsidRPr="000B7133">
        <w:rPr>
          <w:rStyle w:val="BodyTextChar"/>
          <w:b w:val="0"/>
          <w:bCs w:val="0"/>
        </w:rPr>
        <w:t xml:space="preserve">RTRUREV </w:t>
      </w:r>
      <w:r w:rsidRPr="000B7133">
        <w:rPr>
          <w:b w:val="0"/>
          <w:bCs w:val="0"/>
          <w:i/>
          <w:vertAlign w:val="subscript"/>
          <w:lang w:val="it-IT"/>
        </w:rPr>
        <w:t xml:space="preserve">q, r </w:t>
      </w:r>
      <w:r w:rsidRPr="000B7133">
        <w:rPr>
          <w:b w:val="0"/>
          <w:bCs w:val="0"/>
          <w:i/>
        </w:rPr>
        <w:t xml:space="preserve"> =  </w:t>
      </w:r>
      <w:r w:rsidRPr="000B7133">
        <w:rPr>
          <w:b w:val="0"/>
          <w:bCs w:val="0"/>
        </w:rPr>
        <w:t>(1/4) * RTRUAWD</w:t>
      </w:r>
      <w:r w:rsidRPr="000B7133">
        <w:rPr>
          <w:b w:val="0"/>
          <w:bCs w:val="0"/>
          <w:i/>
          <w:vertAlign w:val="subscript"/>
        </w:rPr>
        <w:t xml:space="preserve"> </w:t>
      </w:r>
      <w:r w:rsidRPr="000B7133">
        <w:rPr>
          <w:b w:val="0"/>
          <w:bCs w:val="0"/>
          <w:i/>
          <w:vertAlign w:val="subscript"/>
          <w:lang w:val="it-IT"/>
        </w:rPr>
        <w:t>q, r</w:t>
      </w:r>
      <w:r w:rsidRPr="000B7133">
        <w:rPr>
          <w:b w:val="0"/>
          <w:bCs w:val="0"/>
        </w:rPr>
        <w:t xml:space="preserve"> * RTMCPCRUR </w:t>
      </w:r>
      <w:r w:rsidRPr="000B7133">
        <w:rPr>
          <w:b w:val="0"/>
          <w:bCs w:val="0"/>
          <w:i/>
          <w:vertAlign w:val="subscript"/>
          <w:lang w:val="it-IT"/>
        </w:rPr>
        <w:t xml:space="preserve">q, r </w:t>
      </w:r>
    </w:p>
    <w:p w14:paraId="1A9452B6" w14:textId="77777777" w:rsidR="00F10AF1" w:rsidRPr="00016609" w:rsidRDefault="00F10AF1" w:rsidP="00F10AF1">
      <w:pPr>
        <w:pStyle w:val="FormulaBold"/>
        <w:rPr>
          <w:b w:val="0"/>
          <w:bCs w:val="0"/>
        </w:rPr>
      </w:pPr>
      <w:r w:rsidRPr="000B7133">
        <w:rPr>
          <w:b w:val="0"/>
          <w:bCs w:val="0"/>
        </w:rPr>
        <w:t xml:space="preserve">RTMCPCRUR </w:t>
      </w:r>
      <w:r w:rsidRPr="000B7133">
        <w:rPr>
          <w:b w:val="0"/>
          <w:bCs w:val="0"/>
          <w:i/>
          <w:vertAlign w:val="subscript"/>
          <w:lang w:val="it-IT"/>
        </w:rPr>
        <w:t>q, r</w:t>
      </w:r>
      <w:r w:rsidRPr="000B7133">
        <w:rPr>
          <w:b w:val="0"/>
          <w:bCs w:val="0"/>
          <w:i/>
        </w:rPr>
        <w:t xml:space="preserve"> = </w:t>
      </w:r>
      <w:r w:rsidRPr="007E0677">
        <w:rPr>
          <w:b w:val="0"/>
          <w:bCs w:val="0"/>
          <w:position w:val="-22"/>
        </w:rPr>
        <w:object w:dxaOrig="285" w:dyaOrig="285" w14:anchorId="5A8C9C8F">
          <v:shape id="_x0000_i1267" type="#_x0000_t75" style="width:30pt;height:30pt" o:ole="">
            <v:imagedata r:id="rId20" o:title=""/>
          </v:shape>
          <o:OLEObject Type="Embed" ProgID="Equation.3" ShapeID="_x0000_i1267" DrawAspect="Content" ObjectID="_1836311544" r:id="rId344"/>
        </w:object>
      </w:r>
      <w:r w:rsidRPr="00016609">
        <w:rPr>
          <w:b w:val="0"/>
          <w:bCs w:val="0"/>
        </w:rPr>
        <w:t xml:space="preserve"> (RURWF</w:t>
      </w:r>
      <w:r w:rsidRPr="00016609">
        <w:rPr>
          <w:b w:val="0"/>
          <w:bCs w:val="0"/>
          <w:i/>
          <w:vertAlign w:val="subscript"/>
        </w:rPr>
        <w:t xml:space="preserve"> q, r, y</w:t>
      </w:r>
      <w:r w:rsidRPr="00016609">
        <w:rPr>
          <w:b w:val="0"/>
          <w:bCs w:val="0"/>
        </w:rPr>
        <w:t xml:space="preserve"> * (RTMCPCRUS</w:t>
      </w:r>
      <w:r w:rsidRPr="00016609">
        <w:rPr>
          <w:b w:val="0"/>
          <w:bCs w:val="0"/>
          <w:i/>
          <w:vertAlign w:val="subscript"/>
        </w:rPr>
        <w:t xml:space="preserve"> y</w:t>
      </w:r>
      <w:r w:rsidRPr="00016609">
        <w:rPr>
          <w:b w:val="0"/>
          <w:bCs w:val="0"/>
        </w:rPr>
        <w:t xml:space="preserve"> + RTRDPARUS </w:t>
      </w:r>
      <w:r w:rsidRPr="00016609">
        <w:rPr>
          <w:b w:val="0"/>
          <w:bCs w:val="0"/>
          <w:i/>
          <w:vertAlign w:val="subscript"/>
        </w:rPr>
        <w:t>y</w:t>
      </w:r>
      <w:r w:rsidRPr="00016609">
        <w:rPr>
          <w:b w:val="0"/>
          <w:bCs w:val="0"/>
        </w:rPr>
        <w:t>))</w:t>
      </w:r>
    </w:p>
    <w:p w14:paraId="4735C803" w14:textId="77777777" w:rsidR="00F10AF1" w:rsidRPr="000B7133" w:rsidRDefault="00F10AF1" w:rsidP="00F10AF1">
      <w:pPr>
        <w:pStyle w:val="FormulaBold"/>
        <w:rPr>
          <w:b w:val="0"/>
          <w:bCs w:val="0"/>
          <w:i/>
          <w:vertAlign w:val="subscript"/>
        </w:rPr>
      </w:pPr>
      <w:r w:rsidRPr="00016609">
        <w:rPr>
          <w:b w:val="0"/>
          <w:bCs w:val="0"/>
        </w:rPr>
        <w:t>RTRUAWD</w:t>
      </w:r>
      <w:r w:rsidRPr="00016609">
        <w:rPr>
          <w:b w:val="0"/>
          <w:bCs w:val="0"/>
          <w:i/>
          <w:vertAlign w:val="subscript"/>
        </w:rPr>
        <w:t xml:space="preserve"> q, r  </w:t>
      </w:r>
      <w:r w:rsidRPr="00016609">
        <w:rPr>
          <w:b w:val="0"/>
          <w:bCs w:val="0"/>
        </w:rPr>
        <w:tab/>
        <w:t xml:space="preserve">=  </w:t>
      </w:r>
      <w:r w:rsidRPr="007E0677">
        <w:rPr>
          <w:b w:val="0"/>
          <w:bCs w:val="0"/>
          <w:position w:val="-22"/>
        </w:rPr>
        <w:object w:dxaOrig="285" w:dyaOrig="285" w14:anchorId="5F5F06F8">
          <v:shape id="_x0000_i1268" type="#_x0000_t75" style="width:30pt;height:30pt" o:ole="">
            <v:imagedata r:id="rId20" o:title=""/>
          </v:shape>
          <o:OLEObject Type="Embed" ProgID="Equation.3" ShapeID="_x0000_i1268" DrawAspect="Content" ObjectID="_1836311545" r:id="rId345"/>
        </w:object>
      </w:r>
      <w:r w:rsidRPr="000B7133">
        <w:rPr>
          <w:b w:val="0"/>
          <w:bCs w:val="0"/>
        </w:rPr>
        <w:t xml:space="preserve"> (RNWF </w:t>
      </w:r>
      <w:r w:rsidRPr="000B7133">
        <w:rPr>
          <w:b w:val="0"/>
          <w:bCs w:val="0"/>
          <w:i/>
          <w:vertAlign w:val="subscript"/>
        </w:rPr>
        <w:t>y</w:t>
      </w:r>
      <w:r w:rsidRPr="000B7133">
        <w:rPr>
          <w:b w:val="0"/>
          <w:bCs w:val="0"/>
        </w:rPr>
        <w:t xml:space="preserve"> * RTRUAWDS</w:t>
      </w:r>
      <w:r w:rsidRPr="000B7133">
        <w:rPr>
          <w:b w:val="0"/>
          <w:bCs w:val="0"/>
          <w:i/>
          <w:vertAlign w:val="subscript"/>
        </w:rPr>
        <w:t xml:space="preserve"> q, r, y</w:t>
      </w:r>
      <w:r w:rsidRPr="000B7133">
        <w:rPr>
          <w:b w:val="0"/>
          <w:bCs w:val="0"/>
        </w:rPr>
        <w:t>)</w:t>
      </w:r>
    </w:p>
    <w:p w14:paraId="75470842" w14:textId="77777777" w:rsidR="00F10AF1" w:rsidRPr="0013396E" w:rsidRDefault="00F10AF1" w:rsidP="00F10AF1">
      <w:pPr>
        <w:pStyle w:val="BodyTextNumbered"/>
        <w:ind w:left="0" w:firstLine="720"/>
      </w:pPr>
      <w:r w:rsidRPr="0013396E">
        <w:t>Where:</w:t>
      </w:r>
    </w:p>
    <w:p w14:paraId="4114BEC4" w14:textId="77777777" w:rsidR="00F10AF1" w:rsidRPr="0013396E" w:rsidRDefault="00F10AF1" w:rsidP="00F10AF1">
      <w:pPr>
        <w:pStyle w:val="NoSpacing"/>
        <w:rPr>
          <w:position w:val="-22"/>
        </w:rPr>
      </w:pPr>
      <w:r w:rsidRPr="0013396E">
        <w:t xml:space="preserve">           RURWF</w:t>
      </w:r>
      <w:r w:rsidRPr="0013396E">
        <w:rPr>
          <w:i/>
          <w:vertAlign w:val="subscript"/>
        </w:rPr>
        <w:t xml:space="preserve"> q, r, y</w:t>
      </w:r>
      <w:r w:rsidRPr="0013396E">
        <w:rPr>
          <w:vertAlign w:val="subscript"/>
        </w:rPr>
        <w:tab/>
        <w:t xml:space="preserve"> </w:t>
      </w:r>
      <w:r w:rsidRPr="0013396E">
        <w:t>=  [max(0.001, RTRUAWDS</w:t>
      </w:r>
      <w:r w:rsidRPr="0013396E">
        <w:rPr>
          <w:i/>
          <w:vertAlign w:val="subscript"/>
        </w:rPr>
        <w:t xml:space="preserve"> q, r, y</w:t>
      </w:r>
      <w:r w:rsidRPr="0013396E">
        <w:t>) * TLMP</w:t>
      </w:r>
      <w:r w:rsidRPr="0013396E">
        <w:rPr>
          <w:i/>
          <w:vertAlign w:val="subscript"/>
        </w:rPr>
        <w:t xml:space="preserve"> y</w:t>
      </w:r>
      <w:r w:rsidRPr="0013396E">
        <w:t>] / [</w:t>
      </w:r>
      <w:r w:rsidRPr="0013396E">
        <w:rPr>
          <w:b/>
          <w:position w:val="-22"/>
        </w:rPr>
        <w:object w:dxaOrig="285" w:dyaOrig="285" w14:anchorId="5B9B3CF2">
          <v:shape id="_x0000_i1269" type="#_x0000_t75" style="width:24pt;height:24pt" o:ole="">
            <v:imagedata r:id="rId20" o:title=""/>
          </v:shape>
          <o:OLEObject Type="Embed" ProgID="Equation.3" ShapeID="_x0000_i1269" DrawAspect="Content" ObjectID="_1836311546" r:id="rId346"/>
        </w:object>
      </w:r>
      <w:r w:rsidRPr="0013396E">
        <w:t>max(0.001,</w:t>
      </w:r>
    </w:p>
    <w:p w14:paraId="53E74988" w14:textId="77777777" w:rsidR="00F10AF1" w:rsidRPr="0013396E" w:rsidRDefault="00F10AF1" w:rsidP="00F10AF1">
      <w:pPr>
        <w:pStyle w:val="NoSpacing"/>
        <w:rPr>
          <w:position w:val="-22"/>
        </w:rPr>
      </w:pPr>
      <w:r w:rsidRPr="0013396E">
        <w:rPr>
          <w:position w:val="-22"/>
        </w:rPr>
        <w:t xml:space="preserve">                                         RTRUAWDS </w:t>
      </w:r>
      <w:r w:rsidRPr="0013396E">
        <w:rPr>
          <w:i/>
          <w:position w:val="-22"/>
          <w:vertAlign w:val="subscript"/>
        </w:rPr>
        <w:t>q, r, y</w:t>
      </w:r>
      <w:r w:rsidRPr="0013396E">
        <w:rPr>
          <w:position w:val="-22"/>
        </w:rPr>
        <w:t xml:space="preserve">) * TLMP </w:t>
      </w:r>
      <w:r w:rsidRPr="0013396E">
        <w:rPr>
          <w:i/>
          <w:position w:val="-22"/>
          <w:vertAlign w:val="subscript"/>
        </w:rPr>
        <w:t>y</w:t>
      </w:r>
      <w:r w:rsidRPr="0013396E">
        <w:rPr>
          <w:position w:val="-22"/>
        </w:rPr>
        <w:t>]</w:t>
      </w:r>
    </w:p>
    <w:p w14:paraId="6AFCC88F" w14:textId="77777777" w:rsidR="00F10AF1" w:rsidRPr="0013396E" w:rsidRDefault="00F10AF1" w:rsidP="00F10AF1">
      <w:pPr>
        <w:spacing w:after="240"/>
        <w:ind w:firstLine="720"/>
      </w:pPr>
      <w:r w:rsidRPr="0013396E">
        <w:t>And:</w:t>
      </w:r>
    </w:p>
    <w:p w14:paraId="7EA71433" w14:textId="77777777" w:rsidR="00F10AF1" w:rsidRPr="0013396E" w:rsidRDefault="00F10AF1" w:rsidP="00F10AF1">
      <w:pPr>
        <w:spacing w:after="240"/>
        <w:ind w:firstLine="720"/>
        <w:rPr>
          <w:i/>
          <w:vertAlign w:val="subscript"/>
        </w:rPr>
      </w:pPr>
      <w:r w:rsidRPr="0013396E">
        <w:t xml:space="preserve">RNWF </w:t>
      </w:r>
      <w:r w:rsidRPr="0013396E">
        <w:rPr>
          <w:i/>
          <w:vertAlign w:val="subscript"/>
        </w:rPr>
        <w:t xml:space="preserve">y   </w:t>
      </w:r>
      <w:r w:rsidRPr="0013396E">
        <w:t xml:space="preserve">=  TLMP </w:t>
      </w:r>
      <w:r w:rsidRPr="0013396E">
        <w:rPr>
          <w:i/>
          <w:vertAlign w:val="subscript"/>
        </w:rPr>
        <w:t>y</w:t>
      </w:r>
      <w:r w:rsidRPr="0013396E">
        <w:t xml:space="preserve"> </w:t>
      </w:r>
      <w:r w:rsidRPr="0013396E">
        <w:rPr>
          <w:color w:val="000000"/>
          <w:sz w:val="32"/>
          <w:szCs w:val="32"/>
        </w:rPr>
        <w:t>/</w:t>
      </w:r>
      <w:r w:rsidRPr="0013396E">
        <w:rPr>
          <w:color w:val="000000"/>
        </w:rPr>
        <w:t xml:space="preserve"> </w:t>
      </w:r>
      <w:r w:rsidRPr="0013396E">
        <w:rPr>
          <w:position w:val="-22"/>
          <w:szCs w:val="24"/>
        </w:rPr>
        <w:object w:dxaOrig="285" w:dyaOrig="285" w14:anchorId="6D7DFC7C">
          <v:shape id="_x0000_i1270" type="#_x0000_t75" style="width:30pt;height:30pt" o:ole="">
            <v:imagedata r:id="rId20" o:title=""/>
          </v:shape>
          <o:OLEObject Type="Embed" ProgID="Equation.3" ShapeID="_x0000_i1270" DrawAspect="Content" ObjectID="_1836311547" r:id="rId347"/>
        </w:object>
      </w:r>
      <w:r w:rsidRPr="0013396E">
        <w:t xml:space="preserve">TLMP </w:t>
      </w:r>
      <w:r w:rsidRPr="0013396E">
        <w:rPr>
          <w:i/>
          <w:vertAlign w:val="subscript"/>
        </w:rPr>
        <w:t>y</w:t>
      </w:r>
    </w:p>
    <w:p w14:paraId="6ABEEB46" w14:textId="77777777" w:rsidR="00F10AF1" w:rsidRPr="0013396E" w:rsidRDefault="00F10AF1" w:rsidP="00F10AF1">
      <w:pPr>
        <w:pStyle w:val="Instructions"/>
        <w:spacing w:after="0"/>
        <w:ind w:left="720" w:hanging="720"/>
        <w:rPr>
          <w:i w:val="0"/>
        </w:rPr>
      </w:pPr>
      <w:r w:rsidRPr="0013396E">
        <w:rPr>
          <w:b w:val="0"/>
          <w:i w:val="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392"/>
        <w:gridCol w:w="1165"/>
        <w:gridCol w:w="5793"/>
      </w:tblGrid>
      <w:tr w:rsidR="00F10AF1" w:rsidRPr="0013396E" w14:paraId="775C771D" w14:textId="77777777" w:rsidTr="0099759E">
        <w:trPr>
          <w:cantSplit/>
          <w:tblHeader/>
        </w:trPr>
        <w:tc>
          <w:tcPr>
            <w:tcW w:w="1279" w:type="pct"/>
            <w:tcBorders>
              <w:top w:val="single" w:sz="4" w:space="0" w:color="auto"/>
              <w:left w:val="single" w:sz="4" w:space="0" w:color="auto"/>
              <w:bottom w:val="single" w:sz="4" w:space="0" w:color="auto"/>
              <w:right w:val="single" w:sz="4" w:space="0" w:color="auto"/>
            </w:tcBorders>
            <w:hideMark/>
          </w:tcPr>
          <w:p w14:paraId="3954DB49" w14:textId="77777777" w:rsidR="00F10AF1" w:rsidRPr="0013396E" w:rsidRDefault="00F10AF1" w:rsidP="0099759E">
            <w:pPr>
              <w:pStyle w:val="TableHead"/>
            </w:pPr>
            <w:r w:rsidRPr="0013396E">
              <w:t>Variable</w:t>
            </w:r>
          </w:p>
        </w:tc>
        <w:tc>
          <w:tcPr>
            <w:tcW w:w="623" w:type="pct"/>
            <w:tcBorders>
              <w:top w:val="single" w:sz="4" w:space="0" w:color="auto"/>
              <w:left w:val="single" w:sz="4" w:space="0" w:color="auto"/>
              <w:bottom w:val="single" w:sz="4" w:space="0" w:color="auto"/>
              <w:right w:val="single" w:sz="4" w:space="0" w:color="auto"/>
            </w:tcBorders>
            <w:hideMark/>
          </w:tcPr>
          <w:p w14:paraId="076D46DB" w14:textId="77777777" w:rsidR="00F10AF1" w:rsidRPr="0013396E" w:rsidRDefault="00F10AF1" w:rsidP="0099759E">
            <w:pPr>
              <w:pStyle w:val="TableHead"/>
            </w:pPr>
            <w:r w:rsidRPr="0013396E">
              <w:t>Unit</w:t>
            </w:r>
          </w:p>
        </w:tc>
        <w:tc>
          <w:tcPr>
            <w:tcW w:w="3098" w:type="pct"/>
            <w:tcBorders>
              <w:top w:val="single" w:sz="4" w:space="0" w:color="auto"/>
              <w:left w:val="single" w:sz="4" w:space="0" w:color="auto"/>
              <w:bottom w:val="single" w:sz="4" w:space="0" w:color="auto"/>
              <w:right w:val="single" w:sz="4" w:space="0" w:color="auto"/>
            </w:tcBorders>
            <w:hideMark/>
          </w:tcPr>
          <w:p w14:paraId="0643F00B" w14:textId="77777777" w:rsidR="00F10AF1" w:rsidRPr="0013396E" w:rsidRDefault="00F10AF1" w:rsidP="0099759E">
            <w:pPr>
              <w:pStyle w:val="TableHead"/>
            </w:pPr>
            <w:r w:rsidRPr="0013396E">
              <w:t>Description</w:t>
            </w:r>
          </w:p>
        </w:tc>
      </w:tr>
      <w:tr w:rsidR="00F10AF1" w:rsidRPr="0013396E" w14:paraId="282885F9"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31527851" w14:textId="77777777" w:rsidR="00F10AF1" w:rsidRPr="0013396E" w:rsidRDefault="00F10AF1" w:rsidP="0099759E">
            <w:pPr>
              <w:pStyle w:val="tablebody0"/>
            </w:pPr>
            <w:r w:rsidRPr="0013396E">
              <w:t xml:space="preserve">RTRUIMBAMT </w:t>
            </w:r>
            <w:r w:rsidRPr="0013396E">
              <w:rPr>
                <w:i/>
                <w:vertAlign w:val="subscript"/>
              </w:rPr>
              <w:t>q</w:t>
            </w:r>
          </w:p>
        </w:tc>
        <w:tc>
          <w:tcPr>
            <w:tcW w:w="623" w:type="pct"/>
            <w:tcBorders>
              <w:top w:val="single" w:sz="4" w:space="0" w:color="auto"/>
              <w:left w:val="single" w:sz="4" w:space="0" w:color="auto"/>
              <w:bottom w:val="single" w:sz="4" w:space="0" w:color="auto"/>
              <w:right w:val="single" w:sz="4" w:space="0" w:color="auto"/>
            </w:tcBorders>
            <w:hideMark/>
          </w:tcPr>
          <w:p w14:paraId="43DE7ABE" w14:textId="77777777" w:rsidR="00F10AF1" w:rsidRPr="0013396E" w:rsidRDefault="00F10AF1" w:rsidP="0099759E">
            <w:pPr>
              <w:pStyle w:val="tablebody0"/>
            </w:pPr>
            <w:r w:rsidRPr="0013396E">
              <w:t>$</w:t>
            </w:r>
          </w:p>
        </w:tc>
        <w:tc>
          <w:tcPr>
            <w:tcW w:w="3098" w:type="pct"/>
            <w:tcBorders>
              <w:top w:val="single" w:sz="4" w:space="0" w:color="auto"/>
              <w:left w:val="single" w:sz="4" w:space="0" w:color="auto"/>
              <w:bottom w:val="single" w:sz="4" w:space="0" w:color="auto"/>
              <w:right w:val="single" w:sz="4" w:space="0" w:color="auto"/>
            </w:tcBorders>
            <w:hideMark/>
          </w:tcPr>
          <w:p w14:paraId="49179128" w14:textId="77777777" w:rsidR="00F10AF1" w:rsidRPr="0013396E" w:rsidRDefault="00F10AF1" w:rsidP="0099759E">
            <w:pPr>
              <w:pStyle w:val="tablebody0"/>
              <w:rPr>
                <w:i/>
              </w:rPr>
            </w:pPr>
            <w:r w:rsidRPr="0013396E">
              <w:rPr>
                <w:i/>
              </w:rPr>
              <w:t>Real-Time Reg-Up Imbalance Amount for the QSE</w:t>
            </w:r>
            <w:r w:rsidRPr="0013396E">
              <w:t xml:space="preserve">—The total payment or charge to QSE </w:t>
            </w:r>
            <w:r w:rsidRPr="0013396E">
              <w:rPr>
                <w:i/>
              </w:rPr>
              <w:t>q</w:t>
            </w:r>
            <w:r w:rsidRPr="0013396E">
              <w:t xml:space="preserve"> for the Real-Time Reg-Up imbalance for each 15-minute Settlement Interval.</w:t>
            </w:r>
          </w:p>
        </w:tc>
      </w:tr>
      <w:tr w:rsidR="00F10AF1" w:rsidRPr="0013396E" w14:paraId="2F792536"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35A85E26" w14:textId="77777777" w:rsidR="00F10AF1" w:rsidRPr="0013396E" w:rsidRDefault="00F10AF1" w:rsidP="0099759E">
            <w:pPr>
              <w:pStyle w:val="tablebody0"/>
            </w:pPr>
            <w:r w:rsidRPr="0013396E">
              <w:t xml:space="preserve">RTRUREV </w:t>
            </w:r>
            <w:r w:rsidRPr="0013396E">
              <w:rPr>
                <w:i/>
                <w:vertAlign w:val="subscript"/>
              </w:rPr>
              <w:t>q, r</w:t>
            </w:r>
          </w:p>
        </w:tc>
        <w:tc>
          <w:tcPr>
            <w:tcW w:w="623" w:type="pct"/>
            <w:tcBorders>
              <w:top w:val="single" w:sz="4" w:space="0" w:color="auto"/>
              <w:left w:val="single" w:sz="4" w:space="0" w:color="auto"/>
              <w:bottom w:val="single" w:sz="4" w:space="0" w:color="auto"/>
              <w:right w:val="single" w:sz="4" w:space="0" w:color="auto"/>
            </w:tcBorders>
            <w:hideMark/>
          </w:tcPr>
          <w:p w14:paraId="1730B697" w14:textId="77777777" w:rsidR="00F10AF1" w:rsidRPr="0013396E" w:rsidRDefault="00F10AF1" w:rsidP="0099759E">
            <w:pPr>
              <w:pStyle w:val="tablebody0"/>
            </w:pPr>
            <w:r w:rsidRPr="0013396E">
              <w:t>$</w:t>
            </w:r>
          </w:p>
        </w:tc>
        <w:tc>
          <w:tcPr>
            <w:tcW w:w="3098" w:type="pct"/>
            <w:tcBorders>
              <w:top w:val="single" w:sz="4" w:space="0" w:color="auto"/>
              <w:left w:val="single" w:sz="4" w:space="0" w:color="auto"/>
              <w:bottom w:val="single" w:sz="4" w:space="0" w:color="auto"/>
              <w:right w:val="single" w:sz="4" w:space="0" w:color="auto"/>
            </w:tcBorders>
            <w:hideMark/>
          </w:tcPr>
          <w:p w14:paraId="42D99014" w14:textId="77777777" w:rsidR="00F10AF1" w:rsidRPr="0013396E" w:rsidRDefault="00F10AF1" w:rsidP="0099759E">
            <w:pPr>
              <w:pStyle w:val="tablebody0"/>
              <w:rPr>
                <w:i/>
              </w:rPr>
            </w:pPr>
            <w:r w:rsidRPr="0013396E">
              <w:rPr>
                <w:i/>
              </w:rPr>
              <w:t>Real-Time Reg-Up Revenue</w:t>
            </w:r>
            <w:r w:rsidRPr="0013396E">
              <w:t xml:space="preserve">—The Real-Time Reg-Up revenue for QSE </w:t>
            </w:r>
            <w:r w:rsidRPr="0013396E">
              <w:rPr>
                <w:i/>
              </w:rPr>
              <w:t xml:space="preserve">q </w:t>
            </w:r>
            <w:r w:rsidRPr="0013396E">
              <w:t>calculated for</w:t>
            </w:r>
            <w:r w:rsidRPr="0013396E">
              <w:rPr>
                <w:i/>
              </w:rPr>
              <w:t xml:space="preserve"> </w:t>
            </w:r>
            <w:r w:rsidRPr="0013396E">
              <w:t xml:space="preserve">Resource </w:t>
            </w:r>
            <w:r w:rsidRPr="0013396E">
              <w:rPr>
                <w:i/>
              </w:rPr>
              <w:t xml:space="preserve">r </w:t>
            </w:r>
            <w:r w:rsidRPr="0013396E">
              <w:t xml:space="preserve">for the 15-minute Settlement Interval.  Where for a Combined Cycle Train, the Resource </w:t>
            </w:r>
            <w:r w:rsidRPr="0013396E">
              <w:rPr>
                <w:i/>
              </w:rPr>
              <w:t>r</w:t>
            </w:r>
            <w:r w:rsidRPr="0013396E">
              <w:t xml:space="preserve"> is the Combined Cycle Train.</w:t>
            </w:r>
          </w:p>
        </w:tc>
      </w:tr>
      <w:tr w:rsidR="00F10AF1" w:rsidRPr="0013396E" w14:paraId="01FCFB8F"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55954934" w14:textId="77777777" w:rsidR="00F10AF1" w:rsidRPr="0013396E" w:rsidRDefault="00F10AF1" w:rsidP="0099759E">
            <w:pPr>
              <w:pStyle w:val="tablebody0"/>
            </w:pPr>
            <w:r w:rsidRPr="0013396E">
              <w:t>RTRDPARUS</w:t>
            </w:r>
            <w:r w:rsidRPr="0013396E">
              <w:rPr>
                <w:rFonts w:ascii="Segoe UI" w:hAnsi="Segoe UI" w:cs="Segoe UI"/>
                <w:color w:val="000000"/>
              </w:rPr>
              <w:t xml:space="preserve"> </w:t>
            </w:r>
            <w:r w:rsidRPr="0013396E">
              <w:rPr>
                <w:i/>
                <w:vertAlign w:val="subscript"/>
              </w:rPr>
              <w:t>y</w:t>
            </w:r>
          </w:p>
        </w:tc>
        <w:tc>
          <w:tcPr>
            <w:tcW w:w="623" w:type="pct"/>
            <w:tcBorders>
              <w:top w:val="single" w:sz="4" w:space="0" w:color="auto"/>
              <w:left w:val="single" w:sz="4" w:space="0" w:color="auto"/>
              <w:bottom w:val="single" w:sz="4" w:space="0" w:color="auto"/>
              <w:right w:val="single" w:sz="4" w:space="0" w:color="auto"/>
            </w:tcBorders>
            <w:hideMark/>
          </w:tcPr>
          <w:p w14:paraId="5B263FC2" w14:textId="77777777" w:rsidR="00F10AF1" w:rsidRPr="0013396E" w:rsidRDefault="00F10AF1" w:rsidP="0099759E">
            <w:pPr>
              <w:pStyle w:val="tablebody0"/>
            </w:pPr>
            <w:r w:rsidRPr="0013396E">
              <w:t>$/MW</w:t>
            </w:r>
          </w:p>
        </w:tc>
        <w:tc>
          <w:tcPr>
            <w:tcW w:w="3098" w:type="pct"/>
            <w:tcBorders>
              <w:top w:val="single" w:sz="4" w:space="0" w:color="auto"/>
              <w:left w:val="single" w:sz="4" w:space="0" w:color="auto"/>
              <w:bottom w:val="single" w:sz="4" w:space="0" w:color="auto"/>
              <w:right w:val="single" w:sz="4" w:space="0" w:color="auto"/>
            </w:tcBorders>
            <w:hideMark/>
          </w:tcPr>
          <w:p w14:paraId="6568D695" w14:textId="77777777" w:rsidR="00F10AF1" w:rsidRPr="0013396E" w:rsidRDefault="00F10AF1" w:rsidP="0099759E">
            <w:pPr>
              <w:pStyle w:val="tablebody0"/>
              <w:rPr>
                <w:i/>
              </w:rPr>
            </w:pPr>
            <w:r w:rsidRPr="0013396E">
              <w:rPr>
                <w:i/>
                <w:szCs w:val="18"/>
              </w:rPr>
              <w:t xml:space="preserve">Real-Time </w:t>
            </w:r>
            <w:r w:rsidRPr="0013396E">
              <w:rPr>
                <w:i/>
              </w:rPr>
              <w:t xml:space="preserve">Reliability Deployment Price Adder </w:t>
            </w:r>
            <w:r w:rsidRPr="0013396E">
              <w:rPr>
                <w:i/>
                <w:szCs w:val="18"/>
              </w:rPr>
              <w:t xml:space="preserve">for Ancillary Service for Reg-Up </w:t>
            </w:r>
            <w:r w:rsidRPr="0013396E">
              <w:rPr>
                <w:i/>
              </w:rPr>
              <w:t>per SCED interval</w:t>
            </w:r>
            <w:r w:rsidRPr="0013396E">
              <w:rPr>
                <w:iCs/>
              </w:rPr>
              <w:t>—</w:t>
            </w:r>
            <w:r w:rsidRPr="0013396E">
              <w:t xml:space="preserve">The Real-Time price adder for Reg-Up that captures the impact of reliability deployments on Reg-Up prices for the SCED interval </w:t>
            </w:r>
            <w:r w:rsidRPr="0013396E">
              <w:rPr>
                <w:i/>
                <w:iCs/>
              </w:rPr>
              <w:t>y</w:t>
            </w:r>
            <w:r w:rsidRPr="0013396E">
              <w:t>.</w:t>
            </w:r>
          </w:p>
        </w:tc>
      </w:tr>
      <w:tr w:rsidR="00F10AF1" w:rsidRPr="0013396E" w14:paraId="23E33137"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614B3FDD" w14:textId="77777777" w:rsidR="00F10AF1" w:rsidRPr="0013396E" w:rsidRDefault="00F10AF1" w:rsidP="0099759E">
            <w:pPr>
              <w:pStyle w:val="tablebody0"/>
            </w:pPr>
            <w:r w:rsidRPr="0013396E">
              <w:lastRenderedPageBreak/>
              <w:t>RTRUAWD</w:t>
            </w:r>
            <w:r w:rsidRPr="0013396E">
              <w:rPr>
                <w:i/>
                <w:vertAlign w:val="subscript"/>
              </w:rPr>
              <w:t xml:space="preserve"> q, r</w:t>
            </w:r>
          </w:p>
        </w:tc>
        <w:tc>
          <w:tcPr>
            <w:tcW w:w="623" w:type="pct"/>
            <w:tcBorders>
              <w:top w:val="single" w:sz="4" w:space="0" w:color="auto"/>
              <w:left w:val="single" w:sz="4" w:space="0" w:color="auto"/>
              <w:bottom w:val="single" w:sz="4" w:space="0" w:color="auto"/>
              <w:right w:val="single" w:sz="4" w:space="0" w:color="auto"/>
            </w:tcBorders>
            <w:hideMark/>
          </w:tcPr>
          <w:p w14:paraId="1EDDF3DB" w14:textId="77777777" w:rsidR="00F10AF1" w:rsidRPr="0013396E" w:rsidRDefault="00F10AF1" w:rsidP="0099759E">
            <w:pPr>
              <w:pStyle w:val="tablebody0"/>
            </w:pPr>
            <w:r w:rsidRPr="0013396E">
              <w:t>MW</w:t>
            </w:r>
          </w:p>
        </w:tc>
        <w:tc>
          <w:tcPr>
            <w:tcW w:w="3098" w:type="pct"/>
            <w:tcBorders>
              <w:top w:val="single" w:sz="4" w:space="0" w:color="auto"/>
              <w:left w:val="single" w:sz="4" w:space="0" w:color="auto"/>
              <w:bottom w:val="single" w:sz="4" w:space="0" w:color="auto"/>
              <w:right w:val="single" w:sz="4" w:space="0" w:color="auto"/>
            </w:tcBorders>
            <w:hideMark/>
          </w:tcPr>
          <w:p w14:paraId="43E0D89F" w14:textId="77777777" w:rsidR="00F10AF1" w:rsidRPr="0013396E" w:rsidRDefault="00F10AF1" w:rsidP="0099759E">
            <w:pPr>
              <w:pStyle w:val="tablebody0"/>
              <w:rPr>
                <w:i/>
              </w:rPr>
            </w:pPr>
            <w:r w:rsidRPr="0013396E">
              <w:rPr>
                <w:i/>
              </w:rPr>
              <w:t>Real-Time Reg-Up Award per Resource per QSE</w:t>
            </w:r>
            <w:r w:rsidRPr="0013396E">
              <w:t xml:space="preserve">—The Reg-Up amount awarded to QSE </w:t>
            </w:r>
            <w:r w:rsidRPr="0013396E">
              <w:rPr>
                <w:i/>
              </w:rPr>
              <w:t>q</w:t>
            </w:r>
            <w:r w:rsidRPr="0013396E">
              <w:t xml:space="preserve"> for Resource </w:t>
            </w:r>
            <w:r w:rsidRPr="0013396E">
              <w:rPr>
                <w:i/>
              </w:rPr>
              <w:t>r</w:t>
            </w:r>
            <w:r w:rsidRPr="0013396E">
              <w:t xml:space="preserve"> in Real-Time </w:t>
            </w:r>
            <w:r w:rsidRPr="0013396E">
              <w:rPr>
                <w:szCs w:val="18"/>
              </w:rPr>
              <w:t xml:space="preserve">for </w:t>
            </w:r>
            <w:r w:rsidRPr="0013396E">
              <w:t xml:space="preserve">the 15-minute Settlement Interval.  Where for a Combined Cycle Train, the Resource </w:t>
            </w:r>
            <w:r w:rsidRPr="0013396E">
              <w:rPr>
                <w:i/>
              </w:rPr>
              <w:t xml:space="preserve">r </w:t>
            </w:r>
            <w:r w:rsidRPr="0013396E">
              <w:t>is the Combined Cycle Train.</w:t>
            </w:r>
          </w:p>
        </w:tc>
      </w:tr>
      <w:tr w:rsidR="00F10AF1" w:rsidRPr="0013396E" w14:paraId="44895D9E"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5DE3E292" w14:textId="77777777" w:rsidR="00F10AF1" w:rsidRPr="0013396E" w:rsidRDefault="00F10AF1" w:rsidP="0099759E">
            <w:pPr>
              <w:pStyle w:val="tablebody0"/>
            </w:pPr>
            <w:r w:rsidRPr="0013396E">
              <w:t xml:space="preserve">RTRUAWDS </w:t>
            </w:r>
            <w:r w:rsidRPr="0013396E">
              <w:rPr>
                <w:i/>
                <w:vertAlign w:val="subscript"/>
              </w:rPr>
              <w:t>q, r, y</w:t>
            </w:r>
          </w:p>
        </w:tc>
        <w:tc>
          <w:tcPr>
            <w:tcW w:w="623" w:type="pct"/>
            <w:tcBorders>
              <w:top w:val="single" w:sz="4" w:space="0" w:color="auto"/>
              <w:left w:val="single" w:sz="4" w:space="0" w:color="auto"/>
              <w:bottom w:val="single" w:sz="4" w:space="0" w:color="auto"/>
              <w:right w:val="single" w:sz="4" w:space="0" w:color="auto"/>
            </w:tcBorders>
            <w:hideMark/>
          </w:tcPr>
          <w:p w14:paraId="0A77E1D8" w14:textId="77777777" w:rsidR="00F10AF1" w:rsidRPr="0013396E" w:rsidRDefault="00F10AF1" w:rsidP="0099759E">
            <w:pPr>
              <w:pStyle w:val="tablebody0"/>
            </w:pPr>
            <w:r w:rsidRPr="0013396E">
              <w:t>MW</w:t>
            </w:r>
          </w:p>
        </w:tc>
        <w:tc>
          <w:tcPr>
            <w:tcW w:w="3098" w:type="pct"/>
            <w:tcBorders>
              <w:top w:val="single" w:sz="4" w:space="0" w:color="auto"/>
              <w:left w:val="single" w:sz="4" w:space="0" w:color="auto"/>
              <w:bottom w:val="single" w:sz="4" w:space="0" w:color="auto"/>
              <w:right w:val="single" w:sz="4" w:space="0" w:color="auto"/>
            </w:tcBorders>
            <w:hideMark/>
          </w:tcPr>
          <w:p w14:paraId="341FD70A" w14:textId="77777777" w:rsidR="00F10AF1" w:rsidRPr="0013396E" w:rsidRDefault="00F10AF1" w:rsidP="0099759E">
            <w:pPr>
              <w:pStyle w:val="tablebody0"/>
              <w:rPr>
                <w:i/>
              </w:rPr>
            </w:pPr>
            <w:r w:rsidRPr="0013396E">
              <w:rPr>
                <w:i/>
              </w:rPr>
              <w:t>Real-Time Reg-Up Award per Resource per QSE per SCED interval</w:t>
            </w:r>
            <w:r w:rsidRPr="0013396E">
              <w:rPr>
                <w:iCs/>
              </w:rPr>
              <w:t>—</w:t>
            </w:r>
            <w:r w:rsidRPr="0013396E">
              <w:t xml:space="preserve">The Reg-Up amount awarded to QSE </w:t>
            </w:r>
            <w:r w:rsidRPr="0013396E">
              <w:rPr>
                <w:i/>
              </w:rPr>
              <w:t>q</w:t>
            </w:r>
            <w:r w:rsidRPr="0013396E">
              <w:t xml:space="preserve"> for Resource </w:t>
            </w:r>
            <w:r w:rsidRPr="0013396E">
              <w:rPr>
                <w:i/>
              </w:rPr>
              <w:t xml:space="preserve">r </w:t>
            </w:r>
            <w:r w:rsidRPr="0013396E">
              <w:t>in Real-Time</w:t>
            </w:r>
            <w:r w:rsidRPr="0013396E">
              <w:rPr>
                <w:i/>
              </w:rPr>
              <w:t xml:space="preserve"> </w:t>
            </w:r>
            <w:r w:rsidRPr="0013396E">
              <w:t xml:space="preserve">for the SCED interval </w:t>
            </w:r>
            <w:r w:rsidRPr="0013396E">
              <w:rPr>
                <w:i/>
              </w:rPr>
              <w:t xml:space="preserve">y.  </w:t>
            </w:r>
            <w:r w:rsidRPr="0013396E">
              <w:t xml:space="preserve">Where for a Combined Cycle Train, the Resource </w:t>
            </w:r>
            <w:r w:rsidRPr="0013396E">
              <w:rPr>
                <w:i/>
              </w:rPr>
              <w:t xml:space="preserve">r </w:t>
            </w:r>
            <w:r w:rsidRPr="0013396E">
              <w:t>is a Combined Cycle Generation Resource within the Combined Cycle Train.</w:t>
            </w:r>
          </w:p>
        </w:tc>
      </w:tr>
      <w:tr w:rsidR="00F10AF1" w:rsidRPr="0013396E" w14:paraId="20687CF2"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64D95F12" w14:textId="77777777" w:rsidR="00F10AF1" w:rsidRPr="0013396E" w:rsidRDefault="00F10AF1" w:rsidP="0099759E">
            <w:pPr>
              <w:pStyle w:val="tablebody0"/>
            </w:pPr>
            <w:r w:rsidRPr="0013396E">
              <w:t xml:space="preserve">RTMCPCRUR </w:t>
            </w:r>
            <w:r w:rsidRPr="0013396E">
              <w:rPr>
                <w:i/>
                <w:vertAlign w:val="subscript"/>
              </w:rPr>
              <w:t>q, r</w:t>
            </w:r>
          </w:p>
        </w:tc>
        <w:tc>
          <w:tcPr>
            <w:tcW w:w="623" w:type="pct"/>
            <w:tcBorders>
              <w:top w:val="single" w:sz="4" w:space="0" w:color="auto"/>
              <w:left w:val="single" w:sz="4" w:space="0" w:color="auto"/>
              <w:bottom w:val="single" w:sz="4" w:space="0" w:color="auto"/>
              <w:right w:val="single" w:sz="4" w:space="0" w:color="auto"/>
            </w:tcBorders>
            <w:hideMark/>
          </w:tcPr>
          <w:p w14:paraId="02212C3B" w14:textId="77777777" w:rsidR="00F10AF1" w:rsidRPr="0013396E" w:rsidRDefault="00F10AF1" w:rsidP="0099759E">
            <w:pPr>
              <w:pStyle w:val="tablebody0"/>
            </w:pPr>
            <w:r w:rsidRPr="0013396E">
              <w:t>$/MW</w:t>
            </w:r>
          </w:p>
        </w:tc>
        <w:tc>
          <w:tcPr>
            <w:tcW w:w="3098" w:type="pct"/>
            <w:tcBorders>
              <w:top w:val="single" w:sz="4" w:space="0" w:color="auto"/>
              <w:left w:val="single" w:sz="4" w:space="0" w:color="auto"/>
              <w:bottom w:val="single" w:sz="4" w:space="0" w:color="auto"/>
              <w:right w:val="single" w:sz="4" w:space="0" w:color="auto"/>
            </w:tcBorders>
            <w:hideMark/>
          </w:tcPr>
          <w:p w14:paraId="4DAA7C1F" w14:textId="77777777" w:rsidR="00F10AF1" w:rsidRPr="0013396E" w:rsidRDefault="00F10AF1" w:rsidP="0099759E">
            <w:pPr>
              <w:pStyle w:val="tablebody0"/>
              <w:rPr>
                <w:iCs/>
              </w:rPr>
            </w:pPr>
            <w:r w:rsidRPr="0013396E">
              <w:rPr>
                <w:i/>
              </w:rPr>
              <w:t>Real-Time Market Clearing Price for Capacity for Reg-Up per Resource per QSE</w:t>
            </w:r>
            <w:r w:rsidRPr="0013396E">
              <w:sym w:font="Symbol" w:char="F0BE"/>
            </w:r>
            <w:r w:rsidRPr="0013396E">
              <w:t xml:space="preserve">The Real-Time MCPC for Reg-Up for Resource </w:t>
            </w:r>
            <w:r w:rsidRPr="0013396E">
              <w:rPr>
                <w:i/>
              </w:rPr>
              <w:t>r</w:t>
            </w:r>
            <w:r w:rsidRPr="0013396E">
              <w:t xml:space="preserve">, represented by QSE </w:t>
            </w:r>
            <w:r w:rsidRPr="0013396E">
              <w:rPr>
                <w:i/>
              </w:rPr>
              <w:t xml:space="preserve">q </w:t>
            </w:r>
            <w:r w:rsidRPr="0013396E">
              <w:t xml:space="preserve">for the 15-minute Settlement Interval.  Where for a Combined Cycle Train, the Resource </w:t>
            </w:r>
            <w:r w:rsidRPr="0013396E">
              <w:rPr>
                <w:i/>
                <w:iCs/>
              </w:rPr>
              <w:t>r</w:t>
            </w:r>
            <w:r w:rsidRPr="0013396E">
              <w:t xml:space="preserve"> is the Combined Cycle Train.</w:t>
            </w:r>
          </w:p>
        </w:tc>
      </w:tr>
      <w:tr w:rsidR="00F10AF1" w:rsidRPr="0013396E" w14:paraId="15AA8270"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638E0590" w14:textId="77777777" w:rsidR="00F10AF1" w:rsidRPr="0013396E" w:rsidRDefault="00F10AF1" w:rsidP="0099759E">
            <w:pPr>
              <w:pStyle w:val="tablebody0"/>
            </w:pPr>
            <w:r w:rsidRPr="0013396E">
              <w:t>RTMCPCRUS</w:t>
            </w:r>
            <w:r w:rsidRPr="0013396E">
              <w:rPr>
                <w:i/>
                <w:vertAlign w:val="subscript"/>
              </w:rPr>
              <w:t xml:space="preserve"> y</w:t>
            </w:r>
          </w:p>
        </w:tc>
        <w:tc>
          <w:tcPr>
            <w:tcW w:w="623" w:type="pct"/>
            <w:tcBorders>
              <w:top w:val="single" w:sz="4" w:space="0" w:color="auto"/>
              <w:left w:val="single" w:sz="4" w:space="0" w:color="auto"/>
              <w:bottom w:val="single" w:sz="4" w:space="0" w:color="auto"/>
              <w:right w:val="single" w:sz="4" w:space="0" w:color="auto"/>
            </w:tcBorders>
            <w:hideMark/>
          </w:tcPr>
          <w:p w14:paraId="5A784140" w14:textId="77777777" w:rsidR="00F10AF1" w:rsidRPr="0013396E" w:rsidRDefault="00F10AF1" w:rsidP="0099759E">
            <w:pPr>
              <w:pStyle w:val="tablebody0"/>
            </w:pPr>
            <w:r w:rsidRPr="0013396E">
              <w:t>$/MW</w:t>
            </w:r>
          </w:p>
        </w:tc>
        <w:tc>
          <w:tcPr>
            <w:tcW w:w="3098" w:type="pct"/>
            <w:tcBorders>
              <w:top w:val="single" w:sz="4" w:space="0" w:color="auto"/>
              <w:left w:val="single" w:sz="4" w:space="0" w:color="auto"/>
              <w:bottom w:val="single" w:sz="4" w:space="0" w:color="auto"/>
              <w:right w:val="single" w:sz="4" w:space="0" w:color="auto"/>
            </w:tcBorders>
            <w:hideMark/>
          </w:tcPr>
          <w:p w14:paraId="526C0938" w14:textId="77777777" w:rsidR="00F10AF1" w:rsidRPr="0013396E" w:rsidRDefault="00F10AF1" w:rsidP="0099759E">
            <w:pPr>
              <w:pStyle w:val="tablebody0"/>
              <w:rPr>
                <w:i/>
              </w:rPr>
            </w:pPr>
            <w:r w:rsidRPr="0013396E">
              <w:rPr>
                <w:i/>
                <w:szCs w:val="18"/>
              </w:rPr>
              <w:t xml:space="preserve">Real-Time Market Clearing Price for Capacity for Reg-Up </w:t>
            </w:r>
            <w:r w:rsidRPr="0013396E">
              <w:rPr>
                <w:i/>
              </w:rPr>
              <w:t>per SCED interval</w:t>
            </w:r>
            <w:r w:rsidRPr="0013396E">
              <w:rPr>
                <w:iCs/>
              </w:rPr>
              <w:t>—</w:t>
            </w:r>
            <w:r w:rsidRPr="0013396E">
              <w:t xml:space="preserve">The Real-Time MCPC for Reg-Up for the SCED interval </w:t>
            </w:r>
            <w:r w:rsidRPr="0013396E">
              <w:rPr>
                <w:i/>
              </w:rPr>
              <w:t>y.</w:t>
            </w:r>
          </w:p>
        </w:tc>
      </w:tr>
      <w:tr w:rsidR="00F10AF1" w:rsidRPr="0013396E" w14:paraId="0E68E762"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495AB50A" w14:textId="77777777" w:rsidR="00F10AF1" w:rsidRPr="0013396E" w:rsidRDefault="00F10AF1" w:rsidP="0099759E">
            <w:pPr>
              <w:pStyle w:val="tablebody0"/>
            </w:pPr>
            <w:r w:rsidRPr="0013396E">
              <w:t xml:space="preserve">PCRUR </w:t>
            </w:r>
            <w:r w:rsidRPr="0013396E">
              <w:rPr>
                <w:i/>
                <w:vertAlign w:val="subscript"/>
              </w:rPr>
              <w:t>r,</w:t>
            </w:r>
            <w:r w:rsidRPr="0013396E">
              <w:rPr>
                <w:i/>
              </w:rPr>
              <w:t xml:space="preserve"> </w:t>
            </w:r>
            <w:r w:rsidRPr="0013396E">
              <w:rPr>
                <w:i/>
                <w:vertAlign w:val="subscript"/>
              </w:rPr>
              <w:t>q, DAM</w:t>
            </w:r>
          </w:p>
        </w:tc>
        <w:tc>
          <w:tcPr>
            <w:tcW w:w="623" w:type="pct"/>
            <w:tcBorders>
              <w:top w:val="single" w:sz="4" w:space="0" w:color="auto"/>
              <w:left w:val="single" w:sz="4" w:space="0" w:color="auto"/>
              <w:bottom w:val="single" w:sz="4" w:space="0" w:color="auto"/>
              <w:right w:val="single" w:sz="4" w:space="0" w:color="auto"/>
            </w:tcBorders>
            <w:hideMark/>
          </w:tcPr>
          <w:p w14:paraId="37E01CDF" w14:textId="77777777" w:rsidR="00F10AF1" w:rsidRPr="0013396E" w:rsidRDefault="00F10AF1" w:rsidP="0099759E">
            <w:pPr>
              <w:pStyle w:val="tablebody0"/>
            </w:pPr>
            <w:r w:rsidRPr="0013396E">
              <w:t>MW</w:t>
            </w:r>
          </w:p>
        </w:tc>
        <w:tc>
          <w:tcPr>
            <w:tcW w:w="3098" w:type="pct"/>
            <w:tcBorders>
              <w:top w:val="single" w:sz="4" w:space="0" w:color="auto"/>
              <w:left w:val="single" w:sz="4" w:space="0" w:color="auto"/>
              <w:bottom w:val="single" w:sz="4" w:space="0" w:color="auto"/>
              <w:right w:val="single" w:sz="4" w:space="0" w:color="auto"/>
            </w:tcBorders>
            <w:hideMark/>
          </w:tcPr>
          <w:p w14:paraId="2BC0617E" w14:textId="77777777" w:rsidR="00F10AF1" w:rsidRPr="0013396E" w:rsidRDefault="00F10AF1" w:rsidP="0099759E">
            <w:pPr>
              <w:pStyle w:val="tablebody0"/>
              <w:rPr>
                <w:i/>
              </w:rPr>
            </w:pPr>
            <w:r w:rsidRPr="0013396E">
              <w:rPr>
                <w:i/>
              </w:rPr>
              <w:t>Procured Capacity for Reg-Up per Resource per QSE in DAM</w:t>
            </w:r>
            <w:r w:rsidRPr="0013396E">
              <w:t xml:space="preserve">—The Reg-Up capacity awarded to QSE </w:t>
            </w:r>
            <w:r w:rsidRPr="0013396E">
              <w:rPr>
                <w:i/>
              </w:rPr>
              <w:t>q</w:t>
            </w:r>
            <w:r w:rsidRPr="0013396E">
              <w:t xml:space="preserve"> in the DAM for Resource </w:t>
            </w:r>
            <w:r w:rsidRPr="0013396E">
              <w:rPr>
                <w:i/>
              </w:rPr>
              <w:t>r</w:t>
            </w:r>
            <w:r w:rsidRPr="0013396E">
              <w:t xml:space="preserve"> for the Operating Hour.  Where for a Combined Cycle Train, the Resource </w:t>
            </w:r>
            <w:r w:rsidRPr="0013396E">
              <w:rPr>
                <w:i/>
              </w:rPr>
              <w:t>r</w:t>
            </w:r>
            <w:r w:rsidRPr="0013396E">
              <w:t xml:space="preserve"> is a Combined Cycle Generation Resource within the Combined Cycle Train.</w:t>
            </w:r>
          </w:p>
        </w:tc>
      </w:tr>
      <w:tr w:rsidR="00F10AF1" w:rsidRPr="0013396E" w14:paraId="45ACF301"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69814E73" w14:textId="77777777" w:rsidR="00F10AF1" w:rsidRPr="0013396E" w:rsidRDefault="00F10AF1" w:rsidP="0099759E">
            <w:pPr>
              <w:pStyle w:val="tablebody0"/>
            </w:pPr>
            <w:r w:rsidRPr="0013396E">
              <w:t xml:space="preserve">RTMCPCRU </w:t>
            </w:r>
          </w:p>
        </w:tc>
        <w:tc>
          <w:tcPr>
            <w:tcW w:w="623" w:type="pct"/>
            <w:tcBorders>
              <w:top w:val="single" w:sz="4" w:space="0" w:color="auto"/>
              <w:left w:val="single" w:sz="4" w:space="0" w:color="auto"/>
              <w:bottom w:val="single" w:sz="4" w:space="0" w:color="auto"/>
              <w:right w:val="single" w:sz="4" w:space="0" w:color="auto"/>
            </w:tcBorders>
            <w:hideMark/>
          </w:tcPr>
          <w:p w14:paraId="20AB864B" w14:textId="77777777" w:rsidR="00F10AF1" w:rsidRPr="0013396E" w:rsidRDefault="00F10AF1" w:rsidP="0099759E">
            <w:pPr>
              <w:pStyle w:val="tablebody0"/>
            </w:pPr>
            <w:r w:rsidRPr="0013396E">
              <w:t>$/MW</w:t>
            </w:r>
          </w:p>
        </w:tc>
        <w:tc>
          <w:tcPr>
            <w:tcW w:w="3098" w:type="pct"/>
            <w:tcBorders>
              <w:top w:val="single" w:sz="4" w:space="0" w:color="auto"/>
              <w:left w:val="single" w:sz="4" w:space="0" w:color="auto"/>
              <w:bottom w:val="single" w:sz="4" w:space="0" w:color="auto"/>
              <w:right w:val="single" w:sz="4" w:space="0" w:color="auto"/>
            </w:tcBorders>
            <w:hideMark/>
          </w:tcPr>
          <w:p w14:paraId="6F4BB007" w14:textId="77777777" w:rsidR="00F10AF1" w:rsidRPr="0013396E" w:rsidRDefault="00F10AF1" w:rsidP="0099759E">
            <w:pPr>
              <w:pStyle w:val="tablebody0"/>
              <w:rPr>
                <w:i/>
              </w:rPr>
            </w:pPr>
            <w:r w:rsidRPr="0013396E">
              <w:rPr>
                <w:i/>
                <w:szCs w:val="18"/>
              </w:rPr>
              <w:t>Real-Time Market Clearing Price for Capacity for Reg-Up</w:t>
            </w:r>
            <w:r w:rsidRPr="0013396E">
              <w:rPr>
                <w:iCs/>
              </w:rPr>
              <w:t>—</w:t>
            </w:r>
            <w:r w:rsidRPr="0013396E">
              <w:t>The Real-Time MCPC for Reg-Up for the 15-minute Settlement Interval.</w:t>
            </w:r>
          </w:p>
        </w:tc>
      </w:tr>
      <w:tr w:rsidR="00F10AF1" w:rsidRPr="0013396E" w14:paraId="213E71DE"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16F34DF3" w14:textId="77777777" w:rsidR="00F10AF1" w:rsidRPr="0013396E" w:rsidRDefault="00F10AF1" w:rsidP="0099759E">
            <w:pPr>
              <w:pStyle w:val="tablebody0"/>
            </w:pPr>
            <w:r w:rsidRPr="0013396E">
              <w:t>DASARUQ</w:t>
            </w:r>
            <w:r w:rsidRPr="0013396E">
              <w:rPr>
                <w:b/>
                <w:i/>
                <w:vertAlign w:val="subscript"/>
              </w:rPr>
              <w:t xml:space="preserve"> q</w:t>
            </w:r>
          </w:p>
        </w:tc>
        <w:tc>
          <w:tcPr>
            <w:tcW w:w="623" w:type="pct"/>
            <w:tcBorders>
              <w:top w:val="single" w:sz="4" w:space="0" w:color="auto"/>
              <w:left w:val="single" w:sz="4" w:space="0" w:color="auto"/>
              <w:bottom w:val="single" w:sz="4" w:space="0" w:color="auto"/>
              <w:right w:val="single" w:sz="4" w:space="0" w:color="auto"/>
            </w:tcBorders>
            <w:hideMark/>
          </w:tcPr>
          <w:p w14:paraId="0F021BED" w14:textId="77777777" w:rsidR="00F10AF1" w:rsidRPr="0013396E" w:rsidRDefault="00F10AF1" w:rsidP="0099759E">
            <w:pPr>
              <w:pStyle w:val="tablebody0"/>
            </w:pPr>
            <w:r w:rsidRPr="0013396E">
              <w:t>MW</w:t>
            </w:r>
          </w:p>
        </w:tc>
        <w:tc>
          <w:tcPr>
            <w:tcW w:w="3098" w:type="pct"/>
            <w:tcBorders>
              <w:top w:val="single" w:sz="4" w:space="0" w:color="auto"/>
              <w:left w:val="single" w:sz="4" w:space="0" w:color="auto"/>
              <w:bottom w:val="single" w:sz="4" w:space="0" w:color="auto"/>
              <w:right w:val="single" w:sz="4" w:space="0" w:color="auto"/>
            </w:tcBorders>
            <w:hideMark/>
          </w:tcPr>
          <w:p w14:paraId="5EF612DC" w14:textId="77777777" w:rsidR="00F10AF1" w:rsidRPr="0013396E" w:rsidRDefault="00F10AF1" w:rsidP="0099759E">
            <w:pPr>
              <w:pStyle w:val="tablebody0"/>
              <w:rPr>
                <w:i/>
              </w:rPr>
            </w:pPr>
            <w:r w:rsidRPr="0013396E">
              <w:rPr>
                <w:i/>
                <w:iCs/>
              </w:rPr>
              <w:t>Day-Ahead Self-Arranged Reg-Up Quantity per QSE</w:t>
            </w:r>
            <w:r w:rsidRPr="0013396E">
              <w:rPr>
                <w:iCs/>
              </w:rPr>
              <w:t xml:space="preserve">—The self-arranged Reg-Up quantity submitted by QSE </w:t>
            </w:r>
            <w:r w:rsidRPr="0013396E">
              <w:rPr>
                <w:i/>
                <w:iCs/>
              </w:rPr>
              <w:t>q</w:t>
            </w:r>
            <w:r w:rsidRPr="0013396E">
              <w:rPr>
                <w:iCs/>
              </w:rPr>
              <w:t xml:space="preserve"> before 1000 in the DAM for the Operating Hour.</w:t>
            </w:r>
          </w:p>
        </w:tc>
      </w:tr>
      <w:tr w:rsidR="00F10AF1" w:rsidRPr="0013396E" w14:paraId="2060DBC1"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73A3135C" w14:textId="77777777" w:rsidR="00F10AF1" w:rsidRPr="0013396E" w:rsidRDefault="00F10AF1" w:rsidP="0099759E">
            <w:pPr>
              <w:pStyle w:val="tablebody0"/>
            </w:pPr>
            <w:r w:rsidRPr="0013396E">
              <w:t>RUTP</w:t>
            </w:r>
            <w:r w:rsidRPr="0013396E">
              <w:rPr>
                <w:i/>
                <w:vertAlign w:val="subscript"/>
              </w:rPr>
              <w:t xml:space="preserve"> q</w:t>
            </w:r>
          </w:p>
        </w:tc>
        <w:tc>
          <w:tcPr>
            <w:tcW w:w="623" w:type="pct"/>
            <w:tcBorders>
              <w:top w:val="single" w:sz="4" w:space="0" w:color="auto"/>
              <w:left w:val="single" w:sz="4" w:space="0" w:color="auto"/>
              <w:bottom w:val="single" w:sz="4" w:space="0" w:color="auto"/>
              <w:right w:val="single" w:sz="4" w:space="0" w:color="auto"/>
            </w:tcBorders>
            <w:hideMark/>
          </w:tcPr>
          <w:p w14:paraId="522A95B9" w14:textId="77777777" w:rsidR="00F10AF1" w:rsidRPr="0013396E" w:rsidRDefault="00F10AF1" w:rsidP="0099759E">
            <w:pPr>
              <w:pStyle w:val="tablebody0"/>
            </w:pPr>
            <w:r w:rsidRPr="0013396E">
              <w:t>MW</w:t>
            </w:r>
          </w:p>
        </w:tc>
        <w:tc>
          <w:tcPr>
            <w:tcW w:w="3098" w:type="pct"/>
            <w:tcBorders>
              <w:top w:val="single" w:sz="4" w:space="0" w:color="auto"/>
              <w:left w:val="single" w:sz="4" w:space="0" w:color="auto"/>
              <w:bottom w:val="single" w:sz="4" w:space="0" w:color="auto"/>
              <w:right w:val="single" w:sz="4" w:space="0" w:color="auto"/>
            </w:tcBorders>
            <w:hideMark/>
          </w:tcPr>
          <w:p w14:paraId="46BECA3A" w14:textId="77777777" w:rsidR="00F10AF1" w:rsidRPr="0013396E" w:rsidRDefault="00F10AF1" w:rsidP="0099759E">
            <w:pPr>
              <w:pStyle w:val="tablebody0"/>
              <w:rPr>
                <w:i/>
              </w:rPr>
            </w:pPr>
            <w:r w:rsidRPr="0013396E">
              <w:rPr>
                <w:i/>
                <w:szCs w:val="18"/>
              </w:rPr>
              <w:t>Trade Purchases for Reg-Up for the QSE—</w:t>
            </w:r>
            <w:r w:rsidRPr="0013396E">
              <w:rPr>
                <w:szCs w:val="18"/>
              </w:rPr>
              <w:t xml:space="preserve">The final approved trade purchases for QSE </w:t>
            </w:r>
            <w:r w:rsidRPr="0013396E">
              <w:rPr>
                <w:i/>
                <w:szCs w:val="18"/>
              </w:rPr>
              <w:t>q</w:t>
            </w:r>
            <w:r w:rsidRPr="0013396E">
              <w:rPr>
                <w:szCs w:val="18"/>
              </w:rPr>
              <w:t xml:space="preserve"> for Reg-Up for the Operating Hour.</w:t>
            </w:r>
          </w:p>
        </w:tc>
      </w:tr>
      <w:tr w:rsidR="00F10AF1" w:rsidRPr="0013396E" w14:paraId="0A86D080"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3EDB35EF" w14:textId="77777777" w:rsidR="00F10AF1" w:rsidRPr="0013396E" w:rsidRDefault="00F10AF1" w:rsidP="0099759E">
            <w:pPr>
              <w:pStyle w:val="tablebody0"/>
            </w:pPr>
            <w:r w:rsidRPr="0013396E">
              <w:t>RUTS</w:t>
            </w:r>
            <w:r w:rsidRPr="0013396E">
              <w:rPr>
                <w:i/>
                <w:vertAlign w:val="subscript"/>
              </w:rPr>
              <w:t xml:space="preserve"> q</w:t>
            </w:r>
          </w:p>
        </w:tc>
        <w:tc>
          <w:tcPr>
            <w:tcW w:w="623" w:type="pct"/>
            <w:tcBorders>
              <w:top w:val="single" w:sz="4" w:space="0" w:color="auto"/>
              <w:left w:val="single" w:sz="4" w:space="0" w:color="auto"/>
              <w:bottom w:val="single" w:sz="4" w:space="0" w:color="auto"/>
              <w:right w:val="single" w:sz="4" w:space="0" w:color="auto"/>
            </w:tcBorders>
            <w:hideMark/>
          </w:tcPr>
          <w:p w14:paraId="7AB0DBDA" w14:textId="77777777" w:rsidR="00F10AF1" w:rsidRPr="0013396E" w:rsidRDefault="00F10AF1" w:rsidP="0099759E">
            <w:pPr>
              <w:pStyle w:val="tablebody0"/>
            </w:pPr>
            <w:r w:rsidRPr="0013396E">
              <w:t>MW</w:t>
            </w:r>
          </w:p>
        </w:tc>
        <w:tc>
          <w:tcPr>
            <w:tcW w:w="3098" w:type="pct"/>
            <w:tcBorders>
              <w:top w:val="single" w:sz="4" w:space="0" w:color="auto"/>
              <w:left w:val="single" w:sz="4" w:space="0" w:color="auto"/>
              <w:bottom w:val="single" w:sz="4" w:space="0" w:color="auto"/>
              <w:right w:val="single" w:sz="4" w:space="0" w:color="auto"/>
            </w:tcBorders>
            <w:hideMark/>
          </w:tcPr>
          <w:p w14:paraId="6DEF25B7" w14:textId="77777777" w:rsidR="00F10AF1" w:rsidRPr="0013396E" w:rsidRDefault="00F10AF1" w:rsidP="0099759E">
            <w:pPr>
              <w:pStyle w:val="tablebody0"/>
              <w:rPr>
                <w:i/>
              </w:rPr>
            </w:pPr>
            <w:r w:rsidRPr="0013396E">
              <w:rPr>
                <w:i/>
                <w:szCs w:val="18"/>
              </w:rPr>
              <w:t>Trade Sales for Reg-Up for the QSE—</w:t>
            </w:r>
            <w:r w:rsidRPr="0013396E">
              <w:rPr>
                <w:szCs w:val="18"/>
              </w:rPr>
              <w:t xml:space="preserve">The final approved trade sales for QSE </w:t>
            </w:r>
            <w:r w:rsidRPr="0013396E">
              <w:rPr>
                <w:i/>
                <w:szCs w:val="18"/>
              </w:rPr>
              <w:t>q</w:t>
            </w:r>
            <w:r w:rsidRPr="0013396E">
              <w:rPr>
                <w:szCs w:val="18"/>
              </w:rPr>
              <w:t xml:space="preserve"> for Reg-Up for the Operating Hour.</w:t>
            </w:r>
          </w:p>
        </w:tc>
      </w:tr>
      <w:tr w:rsidR="00F10AF1" w:rsidRPr="0013396E" w14:paraId="65BEB291"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70F96B14" w14:textId="77777777" w:rsidR="00F10AF1" w:rsidRPr="0013396E" w:rsidRDefault="00F10AF1" w:rsidP="0099759E">
            <w:pPr>
              <w:pStyle w:val="tablebody0"/>
            </w:pPr>
            <w:r w:rsidRPr="0013396E">
              <w:t xml:space="preserve">TLMP </w:t>
            </w:r>
            <w:r w:rsidRPr="0013396E">
              <w:rPr>
                <w:i/>
                <w:vertAlign w:val="subscript"/>
              </w:rPr>
              <w:t>y</w:t>
            </w:r>
          </w:p>
        </w:tc>
        <w:tc>
          <w:tcPr>
            <w:tcW w:w="623" w:type="pct"/>
            <w:tcBorders>
              <w:top w:val="single" w:sz="4" w:space="0" w:color="auto"/>
              <w:left w:val="single" w:sz="4" w:space="0" w:color="auto"/>
              <w:bottom w:val="single" w:sz="4" w:space="0" w:color="auto"/>
              <w:right w:val="single" w:sz="4" w:space="0" w:color="auto"/>
            </w:tcBorders>
            <w:hideMark/>
          </w:tcPr>
          <w:p w14:paraId="2B8DE164" w14:textId="77777777" w:rsidR="00F10AF1" w:rsidRPr="0013396E" w:rsidRDefault="00F10AF1" w:rsidP="0099759E">
            <w:pPr>
              <w:pStyle w:val="tablebody0"/>
            </w:pPr>
            <w:r w:rsidRPr="0013396E">
              <w:t>second</w:t>
            </w:r>
          </w:p>
        </w:tc>
        <w:tc>
          <w:tcPr>
            <w:tcW w:w="3098" w:type="pct"/>
            <w:tcBorders>
              <w:top w:val="single" w:sz="4" w:space="0" w:color="auto"/>
              <w:left w:val="single" w:sz="4" w:space="0" w:color="auto"/>
              <w:bottom w:val="single" w:sz="4" w:space="0" w:color="auto"/>
              <w:right w:val="single" w:sz="4" w:space="0" w:color="auto"/>
            </w:tcBorders>
            <w:hideMark/>
          </w:tcPr>
          <w:p w14:paraId="7D0C8E5E" w14:textId="77777777" w:rsidR="00F10AF1" w:rsidRPr="0013396E" w:rsidRDefault="00F10AF1" w:rsidP="0099759E">
            <w:pPr>
              <w:pStyle w:val="tablebody0"/>
              <w:rPr>
                <w:i/>
              </w:rPr>
            </w:pPr>
            <w:r w:rsidRPr="0013396E">
              <w:rPr>
                <w:i/>
                <w:iCs/>
              </w:rPr>
              <w:t xml:space="preserve">Duration of </w:t>
            </w:r>
            <w:r w:rsidRPr="0013396E">
              <w:rPr>
                <w:i/>
              </w:rPr>
              <w:t>SCED</w:t>
            </w:r>
            <w:r w:rsidRPr="0013396E">
              <w:rPr>
                <w:i/>
                <w:iCs/>
              </w:rPr>
              <w:t xml:space="preserve"> interval per interval</w:t>
            </w:r>
            <w:r w:rsidRPr="0013396E">
              <w:rPr>
                <w:iCs/>
              </w:rPr>
              <w:t>—</w:t>
            </w:r>
            <w:r w:rsidRPr="0013396E">
              <w:t xml:space="preserve">The duration of the SCED interval </w:t>
            </w:r>
            <w:r w:rsidRPr="0013396E">
              <w:rPr>
                <w:i/>
                <w:iCs/>
              </w:rPr>
              <w:t>y</w:t>
            </w:r>
            <w:r w:rsidRPr="0013396E">
              <w:t>.</w:t>
            </w:r>
          </w:p>
        </w:tc>
      </w:tr>
      <w:tr w:rsidR="00F10AF1" w:rsidRPr="0013396E" w14:paraId="3D55AE35"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5FD55FC8" w14:textId="77777777" w:rsidR="00F10AF1" w:rsidRPr="0013396E" w:rsidRDefault="00F10AF1" w:rsidP="0099759E">
            <w:pPr>
              <w:pStyle w:val="tablebody0"/>
            </w:pPr>
            <w:r w:rsidRPr="0013396E">
              <w:t xml:space="preserve">RNWF </w:t>
            </w:r>
            <w:r w:rsidRPr="0013396E">
              <w:rPr>
                <w:i/>
                <w:vertAlign w:val="subscript"/>
              </w:rPr>
              <w:t>y</w:t>
            </w:r>
          </w:p>
        </w:tc>
        <w:tc>
          <w:tcPr>
            <w:tcW w:w="623" w:type="pct"/>
            <w:tcBorders>
              <w:top w:val="single" w:sz="4" w:space="0" w:color="auto"/>
              <w:left w:val="single" w:sz="4" w:space="0" w:color="auto"/>
              <w:bottom w:val="single" w:sz="4" w:space="0" w:color="auto"/>
              <w:right w:val="single" w:sz="4" w:space="0" w:color="auto"/>
            </w:tcBorders>
            <w:hideMark/>
          </w:tcPr>
          <w:p w14:paraId="17C86635" w14:textId="77777777" w:rsidR="00F10AF1" w:rsidRPr="0013396E" w:rsidRDefault="00F10AF1" w:rsidP="0099759E">
            <w:pPr>
              <w:pStyle w:val="tablebody0"/>
            </w:pPr>
            <w:r w:rsidRPr="0013396E">
              <w:t>none</w:t>
            </w:r>
          </w:p>
        </w:tc>
        <w:tc>
          <w:tcPr>
            <w:tcW w:w="3098" w:type="pct"/>
            <w:tcBorders>
              <w:top w:val="single" w:sz="4" w:space="0" w:color="auto"/>
              <w:left w:val="single" w:sz="4" w:space="0" w:color="auto"/>
              <w:bottom w:val="single" w:sz="4" w:space="0" w:color="auto"/>
              <w:right w:val="single" w:sz="4" w:space="0" w:color="auto"/>
            </w:tcBorders>
            <w:hideMark/>
          </w:tcPr>
          <w:p w14:paraId="7E05BDF7" w14:textId="77777777" w:rsidR="00F10AF1" w:rsidRPr="0013396E" w:rsidRDefault="00F10AF1" w:rsidP="0099759E">
            <w:pPr>
              <w:pStyle w:val="tablebody0"/>
              <w:rPr>
                <w:i/>
              </w:rPr>
            </w:pPr>
            <w:r w:rsidRPr="0013396E">
              <w:rPr>
                <w:i/>
              </w:rPr>
              <w:t>Resource Node Weighting Factor per interval</w:t>
            </w:r>
            <w:r w:rsidRPr="0013396E">
              <w:rPr>
                <w:iCs/>
              </w:rPr>
              <w:t>—</w:t>
            </w:r>
            <w:r w:rsidRPr="0013396E">
              <w:t xml:space="preserve">The weight used in the Ancillary Service award calculation for the portion of the SCED interval </w:t>
            </w:r>
            <w:r w:rsidRPr="0013396E">
              <w:rPr>
                <w:i/>
              </w:rPr>
              <w:t>y</w:t>
            </w:r>
            <w:r w:rsidRPr="0013396E">
              <w:t xml:space="preserve"> within the Settlement Interval</w:t>
            </w:r>
            <w:r w:rsidRPr="0013396E">
              <w:rPr>
                <w:i/>
              </w:rPr>
              <w:t>.</w:t>
            </w:r>
          </w:p>
        </w:tc>
      </w:tr>
      <w:tr w:rsidR="00F10AF1" w:rsidRPr="0013396E" w14:paraId="19E8F418"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1B08FC4D" w14:textId="77777777" w:rsidR="00F10AF1" w:rsidRPr="0013396E" w:rsidRDefault="00F10AF1" w:rsidP="0099759E">
            <w:pPr>
              <w:pStyle w:val="tablebody0"/>
            </w:pPr>
            <w:r w:rsidRPr="0013396E">
              <w:t xml:space="preserve">RURWF </w:t>
            </w:r>
            <w:r w:rsidRPr="0013396E">
              <w:rPr>
                <w:i/>
                <w:vertAlign w:val="subscript"/>
              </w:rPr>
              <w:t>q, r, y</w:t>
            </w:r>
          </w:p>
        </w:tc>
        <w:tc>
          <w:tcPr>
            <w:tcW w:w="623" w:type="pct"/>
            <w:tcBorders>
              <w:top w:val="single" w:sz="4" w:space="0" w:color="auto"/>
              <w:left w:val="single" w:sz="4" w:space="0" w:color="auto"/>
              <w:bottom w:val="single" w:sz="4" w:space="0" w:color="auto"/>
              <w:right w:val="single" w:sz="4" w:space="0" w:color="auto"/>
            </w:tcBorders>
            <w:hideMark/>
          </w:tcPr>
          <w:p w14:paraId="42C3CFAB" w14:textId="77777777" w:rsidR="00F10AF1" w:rsidRPr="0013396E" w:rsidRDefault="00F10AF1" w:rsidP="0099759E">
            <w:pPr>
              <w:pStyle w:val="tablebody0"/>
            </w:pPr>
            <w:r w:rsidRPr="0013396E">
              <w:t>none</w:t>
            </w:r>
          </w:p>
        </w:tc>
        <w:tc>
          <w:tcPr>
            <w:tcW w:w="3098" w:type="pct"/>
            <w:tcBorders>
              <w:top w:val="single" w:sz="4" w:space="0" w:color="auto"/>
              <w:left w:val="single" w:sz="4" w:space="0" w:color="auto"/>
              <w:bottom w:val="single" w:sz="4" w:space="0" w:color="auto"/>
              <w:right w:val="single" w:sz="4" w:space="0" w:color="auto"/>
            </w:tcBorders>
            <w:hideMark/>
          </w:tcPr>
          <w:p w14:paraId="6D02A7B6" w14:textId="77777777" w:rsidR="00F10AF1" w:rsidRPr="0013396E" w:rsidRDefault="00F10AF1" w:rsidP="0099759E">
            <w:pPr>
              <w:pStyle w:val="tablebody0"/>
              <w:rPr>
                <w:i/>
              </w:rPr>
            </w:pPr>
            <w:r w:rsidRPr="0013396E">
              <w:rPr>
                <w:i/>
              </w:rPr>
              <w:t>Reg-Up Resource Node Weighting Factor per interval</w:t>
            </w:r>
            <w:r w:rsidRPr="0013396E">
              <w:rPr>
                <w:iCs/>
              </w:rPr>
              <w:t>—</w:t>
            </w:r>
            <w:r w:rsidRPr="0013396E">
              <w:t xml:space="preserve">The Reg-Up Resource weight, based on Reg-Up awards, used in the Real-Time MCPC calculation for the portion of the SCED interval </w:t>
            </w:r>
            <w:r w:rsidRPr="0013396E">
              <w:rPr>
                <w:i/>
              </w:rPr>
              <w:t>y</w:t>
            </w:r>
            <w:r w:rsidRPr="0013396E">
              <w:t xml:space="preserve"> within the Settlement Interval.  Where for a Combined Cycle Train, the Resource </w:t>
            </w:r>
            <w:r w:rsidRPr="0013396E">
              <w:rPr>
                <w:i/>
              </w:rPr>
              <w:t xml:space="preserve">r </w:t>
            </w:r>
            <w:r w:rsidRPr="0013396E">
              <w:t xml:space="preserve">is a Combined Cycle Generation Resource within the Combined Cycle Train.   </w:t>
            </w:r>
          </w:p>
        </w:tc>
      </w:tr>
      <w:tr w:rsidR="00F10AF1" w:rsidRPr="0013396E" w14:paraId="7918714B"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18E903AE" w14:textId="77777777" w:rsidR="00F10AF1" w:rsidRPr="0013396E" w:rsidRDefault="00F10AF1" w:rsidP="0099759E">
            <w:pPr>
              <w:pStyle w:val="tablebody0"/>
            </w:pPr>
            <w:r w:rsidRPr="0013396E">
              <w:rPr>
                <w:i/>
              </w:rPr>
              <w:t>r</w:t>
            </w:r>
          </w:p>
        </w:tc>
        <w:tc>
          <w:tcPr>
            <w:tcW w:w="623" w:type="pct"/>
            <w:tcBorders>
              <w:top w:val="single" w:sz="4" w:space="0" w:color="auto"/>
              <w:left w:val="single" w:sz="4" w:space="0" w:color="auto"/>
              <w:bottom w:val="single" w:sz="4" w:space="0" w:color="auto"/>
              <w:right w:val="single" w:sz="4" w:space="0" w:color="auto"/>
            </w:tcBorders>
            <w:hideMark/>
          </w:tcPr>
          <w:p w14:paraId="3E3EDE36" w14:textId="77777777" w:rsidR="00F10AF1" w:rsidRPr="0013396E" w:rsidRDefault="00F10AF1" w:rsidP="0099759E">
            <w:pPr>
              <w:pStyle w:val="tablebody0"/>
            </w:pPr>
            <w:r w:rsidRPr="0013396E">
              <w:t>none</w:t>
            </w:r>
          </w:p>
        </w:tc>
        <w:tc>
          <w:tcPr>
            <w:tcW w:w="3098" w:type="pct"/>
            <w:tcBorders>
              <w:top w:val="single" w:sz="4" w:space="0" w:color="auto"/>
              <w:left w:val="single" w:sz="4" w:space="0" w:color="auto"/>
              <w:bottom w:val="single" w:sz="4" w:space="0" w:color="auto"/>
              <w:right w:val="single" w:sz="4" w:space="0" w:color="auto"/>
            </w:tcBorders>
            <w:hideMark/>
          </w:tcPr>
          <w:p w14:paraId="0CDF99B5" w14:textId="77777777" w:rsidR="00F10AF1" w:rsidRPr="0013396E" w:rsidRDefault="00F10AF1" w:rsidP="0099759E">
            <w:pPr>
              <w:pStyle w:val="tablebody0"/>
              <w:rPr>
                <w:i/>
              </w:rPr>
            </w:pPr>
            <w:r w:rsidRPr="0013396E">
              <w:t>A Resource.</w:t>
            </w:r>
          </w:p>
        </w:tc>
      </w:tr>
      <w:tr w:rsidR="00F10AF1" w:rsidRPr="0013396E" w14:paraId="0C5D598F"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39BF4175" w14:textId="77777777" w:rsidR="00F10AF1" w:rsidRPr="0013396E" w:rsidRDefault="00F10AF1" w:rsidP="0099759E">
            <w:pPr>
              <w:pStyle w:val="tablebody0"/>
              <w:rPr>
                <w:i/>
              </w:rPr>
            </w:pPr>
            <w:r w:rsidRPr="0013396E">
              <w:rPr>
                <w:i/>
              </w:rPr>
              <w:t>q</w:t>
            </w:r>
          </w:p>
        </w:tc>
        <w:tc>
          <w:tcPr>
            <w:tcW w:w="623" w:type="pct"/>
            <w:tcBorders>
              <w:top w:val="single" w:sz="4" w:space="0" w:color="auto"/>
              <w:left w:val="single" w:sz="4" w:space="0" w:color="auto"/>
              <w:bottom w:val="single" w:sz="4" w:space="0" w:color="auto"/>
              <w:right w:val="single" w:sz="4" w:space="0" w:color="auto"/>
            </w:tcBorders>
            <w:hideMark/>
          </w:tcPr>
          <w:p w14:paraId="793EFF0A" w14:textId="77777777" w:rsidR="00F10AF1" w:rsidRPr="0013396E" w:rsidRDefault="00F10AF1" w:rsidP="0099759E">
            <w:pPr>
              <w:pStyle w:val="tablebody0"/>
            </w:pPr>
            <w:r w:rsidRPr="0013396E">
              <w:t>none</w:t>
            </w:r>
          </w:p>
        </w:tc>
        <w:tc>
          <w:tcPr>
            <w:tcW w:w="3098" w:type="pct"/>
            <w:tcBorders>
              <w:top w:val="single" w:sz="4" w:space="0" w:color="auto"/>
              <w:left w:val="single" w:sz="4" w:space="0" w:color="auto"/>
              <w:bottom w:val="single" w:sz="4" w:space="0" w:color="auto"/>
              <w:right w:val="single" w:sz="4" w:space="0" w:color="auto"/>
            </w:tcBorders>
            <w:hideMark/>
          </w:tcPr>
          <w:p w14:paraId="00CB2529" w14:textId="77777777" w:rsidR="00F10AF1" w:rsidRPr="0013396E" w:rsidRDefault="00F10AF1" w:rsidP="0099759E">
            <w:pPr>
              <w:pStyle w:val="tablebody0"/>
            </w:pPr>
            <w:r w:rsidRPr="0013396E">
              <w:t>A QSE.</w:t>
            </w:r>
          </w:p>
        </w:tc>
      </w:tr>
      <w:tr w:rsidR="00F10AF1" w:rsidRPr="0013396E" w14:paraId="3B54F3FC"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7441773F" w14:textId="77777777" w:rsidR="00F10AF1" w:rsidRPr="0013396E" w:rsidRDefault="00F10AF1" w:rsidP="0099759E">
            <w:pPr>
              <w:pStyle w:val="tablebody0"/>
              <w:rPr>
                <w:i/>
              </w:rPr>
            </w:pPr>
            <w:r w:rsidRPr="0013396E">
              <w:rPr>
                <w:i/>
              </w:rPr>
              <w:t>y</w:t>
            </w:r>
          </w:p>
        </w:tc>
        <w:tc>
          <w:tcPr>
            <w:tcW w:w="623" w:type="pct"/>
            <w:tcBorders>
              <w:top w:val="single" w:sz="4" w:space="0" w:color="auto"/>
              <w:left w:val="single" w:sz="4" w:space="0" w:color="auto"/>
              <w:bottom w:val="single" w:sz="4" w:space="0" w:color="auto"/>
              <w:right w:val="single" w:sz="4" w:space="0" w:color="auto"/>
            </w:tcBorders>
            <w:hideMark/>
          </w:tcPr>
          <w:p w14:paraId="0E88AF5A" w14:textId="77777777" w:rsidR="00F10AF1" w:rsidRPr="0013396E" w:rsidRDefault="00F10AF1" w:rsidP="0099759E">
            <w:pPr>
              <w:pStyle w:val="tablebody0"/>
            </w:pPr>
            <w:r w:rsidRPr="0013396E">
              <w:t>none</w:t>
            </w:r>
          </w:p>
        </w:tc>
        <w:tc>
          <w:tcPr>
            <w:tcW w:w="3098" w:type="pct"/>
            <w:tcBorders>
              <w:top w:val="single" w:sz="4" w:space="0" w:color="auto"/>
              <w:left w:val="single" w:sz="4" w:space="0" w:color="auto"/>
              <w:bottom w:val="single" w:sz="4" w:space="0" w:color="auto"/>
              <w:right w:val="single" w:sz="4" w:space="0" w:color="auto"/>
            </w:tcBorders>
            <w:hideMark/>
          </w:tcPr>
          <w:p w14:paraId="2CBBCA84" w14:textId="77777777" w:rsidR="00F10AF1" w:rsidRPr="0013396E" w:rsidRDefault="00F10AF1" w:rsidP="0099759E">
            <w:pPr>
              <w:pStyle w:val="tablebody0"/>
            </w:pPr>
            <w:r w:rsidRPr="0013396E">
              <w:t>A SCED interval in the 15-minute Settlement Interval.</w:t>
            </w:r>
          </w:p>
        </w:tc>
      </w:tr>
    </w:tbl>
    <w:p w14:paraId="4520CFB5" w14:textId="77777777" w:rsidR="00F10AF1" w:rsidRPr="0013396E" w:rsidRDefault="00F10AF1" w:rsidP="00F10AF1">
      <w:pPr>
        <w:spacing w:before="240" w:after="240"/>
      </w:pPr>
      <w:r w:rsidRPr="0013396E">
        <w:t>(2)</w:t>
      </w:r>
      <w:r w:rsidRPr="0013396E">
        <w:tab/>
        <w:t>Reg-Up Only Charge:</w:t>
      </w:r>
    </w:p>
    <w:p w14:paraId="16CD1F55" w14:textId="77777777" w:rsidR="00F10AF1" w:rsidRPr="0013396E" w:rsidRDefault="00F10AF1" w:rsidP="00F10AF1">
      <w:pPr>
        <w:pStyle w:val="FormulaBold"/>
      </w:pPr>
      <w:r w:rsidRPr="0013396E">
        <w:t>RTRUOAMT</w:t>
      </w:r>
      <w:r w:rsidRPr="0013396E">
        <w:rPr>
          <w:i/>
          <w:vertAlign w:val="subscript"/>
        </w:rPr>
        <w:t xml:space="preserve"> q  </w:t>
      </w:r>
      <w:r w:rsidRPr="0013396E">
        <w:t xml:space="preserve">= </w:t>
      </w:r>
      <w:r w:rsidRPr="0013396E">
        <w:tab/>
        <w:t xml:space="preserve">(1/4) * DARUOAWD </w:t>
      </w:r>
      <w:r w:rsidRPr="0013396E">
        <w:rPr>
          <w:i/>
          <w:vertAlign w:val="subscript"/>
        </w:rPr>
        <w:t>q</w:t>
      </w:r>
      <w:r w:rsidRPr="0013396E">
        <w:t xml:space="preserve"> * RTMCPCRU</w:t>
      </w:r>
    </w:p>
    <w:p w14:paraId="5637CBC8" w14:textId="77777777" w:rsidR="00F10AF1" w:rsidRPr="0013396E" w:rsidRDefault="00F10AF1" w:rsidP="00F10AF1">
      <w:pPr>
        <w:pStyle w:val="Instructions"/>
        <w:spacing w:after="0"/>
        <w:ind w:left="720" w:hanging="720"/>
        <w:rPr>
          <w:i w:val="0"/>
        </w:rPr>
      </w:pPr>
      <w:r w:rsidRPr="0013396E">
        <w:rPr>
          <w:b w:val="0"/>
          <w:i w:val="0"/>
        </w:rPr>
        <w:lastRenderedPageBreak/>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392"/>
        <w:gridCol w:w="1165"/>
        <w:gridCol w:w="5793"/>
      </w:tblGrid>
      <w:tr w:rsidR="00F10AF1" w:rsidRPr="0013396E" w14:paraId="7EA99B48" w14:textId="77777777" w:rsidTr="0099759E">
        <w:trPr>
          <w:cantSplit/>
          <w:tblHeader/>
        </w:trPr>
        <w:tc>
          <w:tcPr>
            <w:tcW w:w="1279" w:type="pct"/>
            <w:tcBorders>
              <w:top w:val="single" w:sz="4" w:space="0" w:color="auto"/>
              <w:left w:val="single" w:sz="4" w:space="0" w:color="auto"/>
              <w:bottom w:val="single" w:sz="4" w:space="0" w:color="auto"/>
              <w:right w:val="single" w:sz="4" w:space="0" w:color="auto"/>
            </w:tcBorders>
            <w:hideMark/>
          </w:tcPr>
          <w:p w14:paraId="35919192" w14:textId="77777777" w:rsidR="00F10AF1" w:rsidRPr="0013396E" w:rsidRDefault="00F10AF1" w:rsidP="0099759E">
            <w:pPr>
              <w:pStyle w:val="TableHead"/>
            </w:pPr>
            <w:r w:rsidRPr="0013396E">
              <w:t>Variable</w:t>
            </w:r>
          </w:p>
        </w:tc>
        <w:tc>
          <w:tcPr>
            <w:tcW w:w="623" w:type="pct"/>
            <w:tcBorders>
              <w:top w:val="single" w:sz="4" w:space="0" w:color="auto"/>
              <w:left w:val="single" w:sz="4" w:space="0" w:color="auto"/>
              <w:bottom w:val="single" w:sz="4" w:space="0" w:color="auto"/>
              <w:right w:val="single" w:sz="4" w:space="0" w:color="auto"/>
            </w:tcBorders>
            <w:hideMark/>
          </w:tcPr>
          <w:p w14:paraId="2C8A66AE" w14:textId="77777777" w:rsidR="00F10AF1" w:rsidRPr="0013396E" w:rsidRDefault="00F10AF1" w:rsidP="0099759E">
            <w:pPr>
              <w:pStyle w:val="TableHead"/>
            </w:pPr>
            <w:r w:rsidRPr="0013396E">
              <w:t>Unit</w:t>
            </w:r>
          </w:p>
        </w:tc>
        <w:tc>
          <w:tcPr>
            <w:tcW w:w="3098" w:type="pct"/>
            <w:tcBorders>
              <w:top w:val="single" w:sz="4" w:space="0" w:color="auto"/>
              <w:left w:val="single" w:sz="4" w:space="0" w:color="auto"/>
              <w:bottom w:val="single" w:sz="4" w:space="0" w:color="auto"/>
              <w:right w:val="single" w:sz="4" w:space="0" w:color="auto"/>
            </w:tcBorders>
            <w:hideMark/>
          </w:tcPr>
          <w:p w14:paraId="5491F67A" w14:textId="77777777" w:rsidR="00F10AF1" w:rsidRPr="0013396E" w:rsidRDefault="00F10AF1" w:rsidP="0099759E">
            <w:pPr>
              <w:pStyle w:val="TableHead"/>
            </w:pPr>
            <w:r w:rsidRPr="0013396E">
              <w:t>Description</w:t>
            </w:r>
          </w:p>
        </w:tc>
      </w:tr>
      <w:tr w:rsidR="00F10AF1" w:rsidRPr="0013396E" w14:paraId="0C56FAC0"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4BB707C0" w14:textId="77777777" w:rsidR="00F10AF1" w:rsidRPr="0013396E" w:rsidRDefault="00F10AF1" w:rsidP="0099759E">
            <w:pPr>
              <w:pStyle w:val="tablebody0"/>
            </w:pPr>
            <w:r w:rsidRPr="0013396E">
              <w:t xml:space="preserve">RTRUOAMT </w:t>
            </w:r>
            <w:r w:rsidRPr="0013396E">
              <w:rPr>
                <w:i/>
                <w:vertAlign w:val="subscript"/>
              </w:rPr>
              <w:t>q</w:t>
            </w:r>
          </w:p>
        </w:tc>
        <w:tc>
          <w:tcPr>
            <w:tcW w:w="623" w:type="pct"/>
            <w:tcBorders>
              <w:top w:val="single" w:sz="4" w:space="0" w:color="auto"/>
              <w:left w:val="single" w:sz="4" w:space="0" w:color="auto"/>
              <w:bottom w:val="single" w:sz="4" w:space="0" w:color="auto"/>
              <w:right w:val="single" w:sz="4" w:space="0" w:color="auto"/>
            </w:tcBorders>
            <w:hideMark/>
          </w:tcPr>
          <w:p w14:paraId="47B12E7C" w14:textId="77777777" w:rsidR="00F10AF1" w:rsidRPr="0013396E" w:rsidRDefault="00F10AF1" w:rsidP="0099759E">
            <w:pPr>
              <w:pStyle w:val="tablebody0"/>
            </w:pPr>
            <w:r w:rsidRPr="0013396E">
              <w:t>$</w:t>
            </w:r>
          </w:p>
        </w:tc>
        <w:tc>
          <w:tcPr>
            <w:tcW w:w="3098" w:type="pct"/>
            <w:tcBorders>
              <w:top w:val="single" w:sz="4" w:space="0" w:color="auto"/>
              <w:left w:val="single" w:sz="4" w:space="0" w:color="auto"/>
              <w:bottom w:val="single" w:sz="4" w:space="0" w:color="auto"/>
              <w:right w:val="single" w:sz="4" w:space="0" w:color="auto"/>
            </w:tcBorders>
            <w:hideMark/>
          </w:tcPr>
          <w:p w14:paraId="73512DCD" w14:textId="77777777" w:rsidR="00F10AF1" w:rsidRPr="0013396E" w:rsidRDefault="00F10AF1" w:rsidP="0099759E">
            <w:pPr>
              <w:pStyle w:val="tablebody0"/>
              <w:rPr>
                <w:i/>
              </w:rPr>
            </w:pPr>
            <w:r w:rsidRPr="0013396E">
              <w:rPr>
                <w:i/>
              </w:rPr>
              <w:t>Real-Time Reg-Up Only Amount for the QSE</w:t>
            </w:r>
            <w:r w:rsidRPr="0013396E">
              <w:t xml:space="preserve">—The total charge to QSE </w:t>
            </w:r>
            <w:r w:rsidRPr="0013396E">
              <w:rPr>
                <w:i/>
              </w:rPr>
              <w:t>q</w:t>
            </w:r>
            <w:r w:rsidRPr="0013396E">
              <w:t xml:space="preserve"> in Real-Time for Reg-Up Only awards for each 15-minute Settlement Interval.</w:t>
            </w:r>
          </w:p>
        </w:tc>
      </w:tr>
      <w:tr w:rsidR="00F10AF1" w:rsidRPr="0013396E" w14:paraId="16B1393B"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7FDE532A" w14:textId="77777777" w:rsidR="00F10AF1" w:rsidRPr="0013396E" w:rsidRDefault="00F10AF1" w:rsidP="0099759E">
            <w:pPr>
              <w:pStyle w:val="tablebody0"/>
            </w:pPr>
            <w:r w:rsidRPr="0013396E">
              <w:t xml:space="preserve">DARUOAWD </w:t>
            </w:r>
            <w:r w:rsidRPr="0013396E">
              <w:rPr>
                <w:i/>
                <w:vertAlign w:val="subscript"/>
              </w:rPr>
              <w:t>q</w:t>
            </w:r>
          </w:p>
        </w:tc>
        <w:tc>
          <w:tcPr>
            <w:tcW w:w="623" w:type="pct"/>
            <w:tcBorders>
              <w:top w:val="single" w:sz="4" w:space="0" w:color="auto"/>
              <w:left w:val="single" w:sz="4" w:space="0" w:color="auto"/>
              <w:bottom w:val="single" w:sz="4" w:space="0" w:color="auto"/>
              <w:right w:val="single" w:sz="4" w:space="0" w:color="auto"/>
            </w:tcBorders>
            <w:hideMark/>
          </w:tcPr>
          <w:p w14:paraId="0F297409" w14:textId="77777777" w:rsidR="00F10AF1" w:rsidRPr="0013396E" w:rsidRDefault="00F10AF1" w:rsidP="0099759E">
            <w:pPr>
              <w:pStyle w:val="tablebody0"/>
            </w:pPr>
            <w:r w:rsidRPr="0013396E">
              <w:t>MW</w:t>
            </w:r>
          </w:p>
        </w:tc>
        <w:tc>
          <w:tcPr>
            <w:tcW w:w="3098" w:type="pct"/>
            <w:tcBorders>
              <w:top w:val="single" w:sz="4" w:space="0" w:color="auto"/>
              <w:left w:val="single" w:sz="4" w:space="0" w:color="auto"/>
              <w:bottom w:val="single" w:sz="4" w:space="0" w:color="auto"/>
              <w:right w:val="single" w:sz="4" w:space="0" w:color="auto"/>
            </w:tcBorders>
            <w:hideMark/>
          </w:tcPr>
          <w:p w14:paraId="445547D3" w14:textId="77777777" w:rsidR="00F10AF1" w:rsidRPr="0013396E" w:rsidRDefault="00F10AF1" w:rsidP="0099759E">
            <w:pPr>
              <w:pStyle w:val="tablebody0"/>
            </w:pPr>
            <w:r w:rsidRPr="0013396E">
              <w:rPr>
                <w:i/>
              </w:rPr>
              <w:t>Day-Ahead Reg-Up Only Award for the QSE</w:t>
            </w:r>
            <w:r w:rsidRPr="0013396E">
              <w:sym w:font="Symbol" w:char="F0BE"/>
            </w:r>
            <w:r w:rsidRPr="0013396E">
              <w:t xml:space="preserve">The Reg-Up only capacity awarded in the DAM to the QSE </w:t>
            </w:r>
            <w:r w:rsidRPr="0013396E">
              <w:rPr>
                <w:i/>
              </w:rPr>
              <w:t>q</w:t>
            </w:r>
            <w:r w:rsidRPr="0013396E">
              <w:t xml:space="preserve"> for the </w:t>
            </w:r>
            <w:r w:rsidRPr="0013396E">
              <w:rPr>
                <w:szCs w:val="18"/>
              </w:rPr>
              <w:t>Operating Hour</w:t>
            </w:r>
            <w:r w:rsidRPr="0013396E">
              <w:t>.</w:t>
            </w:r>
          </w:p>
        </w:tc>
      </w:tr>
      <w:tr w:rsidR="00F10AF1" w:rsidRPr="0013396E" w14:paraId="6BE0D903"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27ED3C2A" w14:textId="77777777" w:rsidR="00F10AF1" w:rsidRPr="0013396E" w:rsidRDefault="00F10AF1" w:rsidP="0099759E">
            <w:pPr>
              <w:pStyle w:val="tablebody0"/>
            </w:pPr>
            <w:r w:rsidRPr="0013396E">
              <w:t xml:space="preserve">RTMCPCRU </w:t>
            </w:r>
          </w:p>
        </w:tc>
        <w:tc>
          <w:tcPr>
            <w:tcW w:w="623" w:type="pct"/>
            <w:tcBorders>
              <w:top w:val="single" w:sz="4" w:space="0" w:color="auto"/>
              <w:left w:val="single" w:sz="4" w:space="0" w:color="auto"/>
              <w:bottom w:val="single" w:sz="4" w:space="0" w:color="auto"/>
              <w:right w:val="single" w:sz="4" w:space="0" w:color="auto"/>
            </w:tcBorders>
            <w:hideMark/>
          </w:tcPr>
          <w:p w14:paraId="5329E5C8" w14:textId="77777777" w:rsidR="00F10AF1" w:rsidRPr="0013396E" w:rsidRDefault="00F10AF1" w:rsidP="0099759E">
            <w:pPr>
              <w:pStyle w:val="tablebody0"/>
            </w:pPr>
            <w:r w:rsidRPr="0013396E">
              <w:t>$/MW</w:t>
            </w:r>
          </w:p>
        </w:tc>
        <w:tc>
          <w:tcPr>
            <w:tcW w:w="3098" w:type="pct"/>
            <w:tcBorders>
              <w:top w:val="single" w:sz="4" w:space="0" w:color="auto"/>
              <w:left w:val="single" w:sz="4" w:space="0" w:color="auto"/>
              <w:bottom w:val="single" w:sz="4" w:space="0" w:color="auto"/>
              <w:right w:val="single" w:sz="4" w:space="0" w:color="auto"/>
            </w:tcBorders>
            <w:hideMark/>
          </w:tcPr>
          <w:p w14:paraId="09611149" w14:textId="77777777" w:rsidR="00F10AF1" w:rsidRPr="0013396E" w:rsidRDefault="00F10AF1" w:rsidP="0099759E">
            <w:pPr>
              <w:pStyle w:val="tablebody0"/>
              <w:rPr>
                <w:i/>
              </w:rPr>
            </w:pPr>
            <w:r w:rsidRPr="0013396E">
              <w:rPr>
                <w:i/>
                <w:szCs w:val="18"/>
              </w:rPr>
              <w:t>Real-Time Market Clearing Price for Capacity for Reg-Up</w:t>
            </w:r>
            <w:r w:rsidRPr="0013396E">
              <w:rPr>
                <w:iCs/>
              </w:rPr>
              <w:t>—</w:t>
            </w:r>
            <w:r w:rsidRPr="0013396E">
              <w:t>The Real-Time MCPC for Reg-Up for the 15-minute Settlement Interval.</w:t>
            </w:r>
          </w:p>
        </w:tc>
      </w:tr>
      <w:tr w:rsidR="00F10AF1" w:rsidRPr="0013396E" w14:paraId="61D5F641"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2BF22A79" w14:textId="77777777" w:rsidR="00F10AF1" w:rsidRPr="0013396E" w:rsidRDefault="00F10AF1" w:rsidP="0099759E">
            <w:pPr>
              <w:pStyle w:val="tablebody0"/>
              <w:rPr>
                <w:i/>
              </w:rPr>
            </w:pPr>
            <w:r w:rsidRPr="0013396E">
              <w:rPr>
                <w:i/>
              </w:rPr>
              <w:t>q</w:t>
            </w:r>
          </w:p>
        </w:tc>
        <w:tc>
          <w:tcPr>
            <w:tcW w:w="623" w:type="pct"/>
            <w:tcBorders>
              <w:top w:val="single" w:sz="4" w:space="0" w:color="auto"/>
              <w:left w:val="single" w:sz="4" w:space="0" w:color="auto"/>
              <w:bottom w:val="single" w:sz="4" w:space="0" w:color="auto"/>
              <w:right w:val="single" w:sz="4" w:space="0" w:color="auto"/>
            </w:tcBorders>
            <w:hideMark/>
          </w:tcPr>
          <w:p w14:paraId="04542A78" w14:textId="77777777" w:rsidR="00F10AF1" w:rsidRPr="0013396E" w:rsidRDefault="00F10AF1" w:rsidP="0099759E">
            <w:pPr>
              <w:pStyle w:val="tablebody0"/>
            </w:pPr>
            <w:r w:rsidRPr="0013396E">
              <w:t>none</w:t>
            </w:r>
          </w:p>
        </w:tc>
        <w:tc>
          <w:tcPr>
            <w:tcW w:w="3098" w:type="pct"/>
            <w:tcBorders>
              <w:top w:val="single" w:sz="4" w:space="0" w:color="auto"/>
              <w:left w:val="single" w:sz="4" w:space="0" w:color="auto"/>
              <w:bottom w:val="single" w:sz="4" w:space="0" w:color="auto"/>
              <w:right w:val="single" w:sz="4" w:space="0" w:color="auto"/>
            </w:tcBorders>
            <w:hideMark/>
          </w:tcPr>
          <w:p w14:paraId="2BEDEE26" w14:textId="77777777" w:rsidR="00F10AF1" w:rsidRPr="0013396E" w:rsidRDefault="00F10AF1" w:rsidP="0099759E">
            <w:pPr>
              <w:pStyle w:val="tablebody0"/>
            </w:pPr>
            <w:r w:rsidRPr="0013396E">
              <w:t>A QSE.</w:t>
            </w:r>
          </w:p>
        </w:tc>
      </w:tr>
    </w:tbl>
    <w:p w14:paraId="6854FC45" w14:textId="77777777" w:rsidR="00F10AF1" w:rsidRPr="0013396E" w:rsidRDefault="00F10AF1" w:rsidP="00F10AF1">
      <w:pPr>
        <w:spacing w:before="240" w:after="240"/>
      </w:pPr>
      <w:r w:rsidRPr="0013396E">
        <w:t>(3)</w:t>
      </w:r>
      <w:r w:rsidRPr="0013396E">
        <w:tab/>
        <w:t>Reg-Up Trade Overage Charges:</w:t>
      </w:r>
    </w:p>
    <w:p w14:paraId="1F5EC90C" w14:textId="77777777" w:rsidR="00F10AF1" w:rsidRPr="0013396E" w:rsidRDefault="00F10AF1" w:rsidP="00F10AF1">
      <w:pPr>
        <w:pStyle w:val="FormulaBold"/>
      </w:pPr>
      <w:r w:rsidRPr="0013396E">
        <w:t>RTRUTOAMT</w:t>
      </w:r>
      <w:r w:rsidRPr="0013396E">
        <w:rPr>
          <w:i/>
          <w:vertAlign w:val="subscript"/>
        </w:rPr>
        <w:t xml:space="preserve"> q  </w:t>
      </w:r>
      <w:r w:rsidRPr="0013396E">
        <w:t xml:space="preserve">= </w:t>
      </w:r>
      <w:r w:rsidRPr="0013396E">
        <w:tab/>
        <w:t xml:space="preserve">(1/4) * RTRUTO </w:t>
      </w:r>
      <w:r w:rsidRPr="0013396E">
        <w:rPr>
          <w:i/>
          <w:vertAlign w:val="subscript"/>
        </w:rPr>
        <w:t>q</w:t>
      </w:r>
      <w:r w:rsidRPr="0013396E">
        <w:t xml:space="preserve"> * RTMCPCRU</w:t>
      </w:r>
    </w:p>
    <w:p w14:paraId="12538D01" w14:textId="77777777" w:rsidR="00F10AF1" w:rsidRPr="0013396E" w:rsidRDefault="00F10AF1" w:rsidP="00F10AF1">
      <w:pPr>
        <w:pStyle w:val="Instructions"/>
        <w:spacing w:after="0"/>
        <w:ind w:left="720" w:hanging="720"/>
        <w:rPr>
          <w:i w:val="0"/>
        </w:rPr>
      </w:pPr>
      <w:r w:rsidRPr="0013396E">
        <w:rPr>
          <w:b w:val="0"/>
          <w:i w:val="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392"/>
        <w:gridCol w:w="1165"/>
        <w:gridCol w:w="5793"/>
      </w:tblGrid>
      <w:tr w:rsidR="00F10AF1" w:rsidRPr="0013396E" w14:paraId="19318EA2" w14:textId="77777777" w:rsidTr="0099759E">
        <w:trPr>
          <w:cantSplit/>
          <w:tblHeader/>
        </w:trPr>
        <w:tc>
          <w:tcPr>
            <w:tcW w:w="1279" w:type="pct"/>
            <w:tcBorders>
              <w:top w:val="single" w:sz="4" w:space="0" w:color="auto"/>
              <w:left w:val="single" w:sz="4" w:space="0" w:color="auto"/>
              <w:bottom w:val="single" w:sz="4" w:space="0" w:color="auto"/>
              <w:right w:val="single" w:sz="4" w:space="0" w:color="auto"/>
            </w:tcBorders>
            <w:hideMark/>
          </w:tcPr>
          <w:p w14:paraId="2A552952" w14:textId="77777777" w:rsidR="00F10AF1" w:rsidRPr="0013396E" w:rsidRDefault="00F10AF1" w:rsidP="0099759E">
            <w:pPr>
              <w:pStyle w:val="TableHead"/>
            </w:pPr>
            <w:r w:rsidRPr="0013396E">
              <w:t>Variable</w:t>
            </w:r>
          </w:p>
        </w:tc>
        <w:tc>
          <w:tcPr>
            <w:tcW w:w="623" w:type="pct"/>
            <w:tcBorders>
              <w:top w:val="single" w:sz="4" w:space="0" w:color="auto"/>
              <w:left w:val="single" w:sz="4" w:space="0" w:color="auto"/>
              <w:bottom w:val="single" w:sz="4" w:space="0" w:color="auto"/>
              <w:right w:val="single" w:sz="4" w:space="0" w:color="auto"/>
            </w:tcBorders>
            <w:hideMark/>
          </w:tcPr>
          <w:p w14:paraId="201EECFB" w14:textId="77777777" w:rsidR="00F10AF1" w:rsidRPr="0013396E" w:rsidRDefault="00F10AF1" w:rsidP="0099759E">
            <w:pPr>
              <w:pStyle w:val="TableHead"/>
            </w:pPr>
            <w:r w:rsidRPr="0013396E">
              <w:t>Unit</w:t>
            </w:r>
          </w:p>
        </w:tc>
        <w:tc>
          <w:tcPr>
            <w:tcW w:w="3098" w:type="pct"/>
            <w:tcBorders>
              <w:top w:val="single" w:sz="4" w:space="0" w:color="auto"/>
              <w:left w:val="single" w:sz="4" w:space="0" w:color="auto"/>
              <w:bottom w:val="single" w:sz="4" w:space="0" w:color="auto"/>
              <w:right w:val="single" w:sz="4" w:space="0" w:color="auto"/>
            </w:tcBorders>
            <w:hideMark/>
          </w:tcPr>
          <w:p w14:paraId="5D7629E1" w14:textId="77777777" w:rsidR="00F10AF1" w:rsidRPr="0013396E" w:rsidRDefault="00F10AF1" w:rsidP="0099759E">
            <w:pPr>
              <w:pStyle w:val="TableHead"/>
            </w:pPr>
            <w:r w:rsidRPr="0013396E">
              <w:t>Description</w:t>
            </w:r>
          </w:p>
        </w:tc>
      </w:tr>
      <w:tr w:rsidR="00F10AF1" w:rsidRPr="0013396E" w14:paraId="6499B6F9"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1D3993ED" w14:textId="77777777" w:rsidR="00F10AF1" w:rsidRPr="0013396E" w:rsidRDefault="00F10AF1" w:rsidP="0099759E">
            <w:pPr>
              <w:pStyle w:val="tablebody0"/>
            </w:pPr>
            <w:r w:rsidRPr="0013396E">
              <w:t xml:space="preserve">RTRUTOAMT </w:t>
            </w:r>
            <w:r w:rsidRPr="0013396E">
              <w:rPr>
                <w:i/>
                <w:vertAlign w:val="subscript"/>
              </w:rPr>
              <w:t>q</w:t>
            </w:r>
          </w:p>
        </w:tc>
        <w:tc>
          <w:tcPr>
            <w:tcW w:w="623" w:type="pct"/>
            <w:tcBorders>
              <w:top w:val="single" w:sz="4" w:space="0" w:color="auto"/>
              <w:left w:val="single" w:sz="4" w:space="0" w:color="auto"/>
              <w:bottom w:val="single" w:sz="4" w:space="0" w:color="auto"/>
              <w:right w:val="single" w:sz="4" w:space="0" w:color="auto"/>
            </w:tcBorders>
            <w:hideMark/>
          </w:tcPr>
          <w:p w14:paraId="44ECB1FB" w14:textId="77777777" w:rsidR="00F10AF1" w:rsidRPr="0013396E" w:rsidRDefault="00F10AF1" w:rsidP="0099759E">
            <w:pPr>
              <w:pStyle w:val="tablebody0"/>
            </w:pPr>
            <w:r w:rsidRPr="0013396E">
              <w:t>$</w:t>
            </w:r>
          </w:p>
        </w:tc>
        <w:tc>
          <w:tcPr>
            <w:tcW w:w="3098" w:type="pct"/>
            <w:tcBorders>
              <w:top w:val="single" w:sz="4" w:space="0" w:color="auto"/>
              <w:left w:val="single" w:sz="4" w:space="0" w:color="auto"/>
              <w:bottom w:val="single" w:sz="4" w:space="0" w:color="auto"/>
              <w:right w:val="single" w:sz="4" w:space="0" w:color="auto"/>
            </w:tcBorders>
            <w:hideMark/>
          </w:tcPr>
          <w:p w14:paraId="4774BD94" w14:textId="77777777" w:rsidR="00F10AF1" w:rsidRPr="0013396E" w:rsidRDefault="00F10AF1" w:rsidP="0099759E">
            <w:pPr>
              <w:pStyle w:val="tablebody0"/>
              <w:rPr>
                <w:i/>
              </w:rPr>
            </w:pPr>
            <w:r w:rsidRPr="0013396E">
              <w:rPr>
                <w:i/>
              </w:rPr>
              <w:t>Real-Time Reg-Up Trade Overage Amount for the QSE</w:t>
            </w:r>
            <w:r w:rsidRPr="0013396E">
              <w:t xml:space="preserve">—The total charge to QSE </w:t>
            </w:r>
            <w:r w:rsidRPr="0013396E">
              <w:rPr>
                <w:i/>
              </w:rPr>
              <w:t>q</w:t>
            </w:r>
            <w:r w:rsidRPr="0013396E">
              <w:t xml:space="preserve"> in Real-Time for Reg-Up trade overages for each 15-minute Settlement Interval.</w:t>
            </w:r>
          </w:p>
        </w:tc>
      </w:tr>
      <w:tr w:rsidR="00F10AF1" w:rsidRPr="0013396E" w14:paraId="34291C59"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780D50FC" w14:textId="77777777" w:rsidR="00F10AF1" w:rsidRPr="0013396E" w:rsidRDefault="00F10AF1" w:rsidP="0099759E">
            <w:pPr>
              <w:pStyle w:val="tablebody0"/>
            </w:pPr>
            <w:r w:rsidRPr="0013396E">
              <w:t xml:space="preserve">RTRUTO </w:t>
            </w:r>
            <w:r w:rsidRPr="0013396E">
              <w:rPr>
                <w:i/>
                <w:vertAlign w:val="subscript"/>
              </w:rPr>
              <w:t>q</w:t>
            </w:r>
          </w:p>
        </w:tc>
        <w:tc>
          <w:tcPr>
            <w:tcW w:w="623" w:type="pct"/>
            <w:tcBorders>
              <w:top w:val="single" w:sz="4" w:space="0" w:color="auto"/>
              <w:left w:val="single" w:sz="4" w:space="0" w:color="auto"/>
              <w:bottom w:val="single" w:sz="4" w:space="0" w:color="auto"/>
              <w:right w:val="single" w:sz="4" w:space="0" w:color="auto"/>
            </w:tcBorders>
            <w:hideMark/>
          </w:tcPr>
          <w:p w14:paraId="31E8CE48" w14:textId="77777777" w:rsidR="00F10AF1" w:rsidRPr="0013396E" w:rsidRDefault="00F10AF1" w:rsidP="0099759E">
            <w:pPr>
              <w:pStyle w:val="tablebody0"/>
            </w:pPr>
            <w:r w:rsidRPr="0013396E">
              <w:t>MW</w:t>
            </w:r>
          </w:p>
        </w:tc>
        <w:tc>
          <w:tcPr>
            <w:tcW w:w="3098" w:type="pct"/>
            <w:tcBorders>
              <w:top w:val="single" w:sz="4" w:space="0" w:color="auto"/>
              <w:left w:val="single" w:sz="4" w:space="0" w:color="auto"/>
              <w:bottom w:val="single" w:sz="4" w:space="0" w:color="auto"/>
              <w:right w:val="single" w:sz="4" w:space="0" w:color="auto"/>
            </w:tcBorders>
            <w:hideMark/>
          </w:tcPr>
          <w:p w14:paraId="4B3E6803" w14:textId="77777777" w:rsidR="00F10AF1" w:rsidRPr="0013396E" w:rsidRDefault="00F10AF1" w:rsidP="0099759E">
            <w:pPr>
              <w:pStyle w:val="tablebody0"/>
            </w:pPr>
            <w:r w:rsidRPr="0013396E">
              <w:rPr>
                <w:i/>
              </w:rPr>
              <w:t>Real-Time Reg-Up Trade Overage for the QSE</w:t>
            </w:r>
            <w:r w:rsidRPr="0013396E">
              <w:sym w:font="Symbol" w:char="F0BE"/>
            </w:r>
            <w:r w:rsidRPr="0013396E">
              <w:t xml:space="preserve">The quantity of submitted Reg-Up trades in excess of DAM self-arrangement quantities for the QSE </w:t>
            </w:r>
            <w:r w:rsidRPr="0013396E">
              <w:rPr>
                <w:i/>
              </w:rPr>
              <w:t>q</w:t>
            </w:r>
            <w:r w:rsidRPr="0013396E">
              <w:t xml:space="preserve"> for the </w:t>
            </w:r>
            <w:r w:rsidRPr="0013396E">
              <w:rPr>
                <w:szCs w:val="18"/>
              </w:rPr>
              <w:t>Operating Hour</w:t>
            </w:r>
            <w:r w:rsidRPr="0013396E">
              <w:t>.</w:t>
            </w:r>
          </w:p>
        </w:tc>
      </w:tr>
      <w:tr w:rsidR="00F10AF1" w:rsidRPr="0013396E" w14:paraId="323D7089"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28315355" w14:textId="77777777" w:rsidR="00F10AF1" w:rsidRPr="0013396E" w:rsidRDefault="00F10AF1" w:rsidP="0099759E">
            <w:pPr>
              <w:pStyle w:val="tablebody0"/>
            </w:pPr>
            <w:r w:rsidRPr="0013396E">
              <w:t xml:space="preserve">RTMCPCRU </w:t>
            </w:r>
          </w:p>
        </w:tc>
        <w:tc>
          <w:tcPr>
            <w:tcW w:w="623" w:type="pct"/>
            <w:tcBorders>
              <w:top w:val="single" w:sz="4" w:space="0" w:color="auto"/>
              <w:left w:val="single" w:sz="4" w:space="0" w:color="auto"/>
              <w:bottom w:val="single" w:sz="4" w:space="0" w:color="auto"/>
              <w:right w:val="single" w:sz="4" w:space="0" w:color="auto"/>
            </w:tcBorders>
            <w:hideMark/>
          </w:tcPr>
          <w:p w14:paraId="0756A4EC" w14:textId="77777777" w:rsidR="00F10AF1" w:rsidRPr="0013396E" w:rsidRDefault="00F10AF1" w:rsidP="0099759E">
            <w:pPr>
              <w:pStyle w:val="tablebody0"/>
            </w:pPr>
            <w:r w:rsidRPr="0013396E">
              <w:t>$/MW</w:t>
            </w:r>
          </w:p>
        </w:tc>
        <w:tc>
          <w:tcPr>
            <w:tcW w:w="3098" w:type="pct"/>
            <w:tcBorders>
              <w:top w:val="single" w:sz="4" w:space="0" w:color="auto"/>
              <w:left w:val="single" w:sz="4" w:space="0" w:color="auto"/>
              <w:bottom w:val="single" w:sz="4" w:space="0" w:color="auto"/>
              <w:right w:val="single" w:sz="4" w:space="0" w:color="auto"/>
            </w:tcBorders>
            <w:hideMark/>
          </w:tcPr>
          <w:p w14:paraId="22019853" w14:textId="77777777" w:rsidR="00F10AF1" w:rsidRPr="0013396E" w:rsidRDefault="00F10AF1" w:rsidP="0099759E">
            <w:pPr>
              <w:pStyle w:val="tablebody0"/>
              <w:rPr>
                <w:i/>
              </w:rPr>
            </w:pPr>
            <w:r w:rsidRPr="0013396E">
              <w:rPr>
                <w:i/>
                <w:szCs w:val="18"/>
              </w:rPr>
              <w:t>Real-Time Market Clearing Price for Capacity for Reg-Up</w:t>
            </w:r>
            <w:r w:rsidRPr="0013396E">
              <w:rPr>
                <w:iCs/>
              </w:rPr>
              <w:t>—</w:t>
            </w:r>
            <w:r w:rsidRPr="0013396E">
              <w:t>The Real-Time MCPC for Reg-Up for the 15-minute Settlement Interval.</w:t>
            </w:r>
          </w:p>
        </w:tc>
      </w:tr>
      <w:tr w:rsidR="00F10AF1" w:rsidRPr="0013396E" w14:paraId="6A349C16"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7A12FD13" w14:textId="77777777" w:rsidR="00F10AF1" w:rsidRPr="0013396E" w:rsidRDefault="00F10AF1" w:rsidP="0099759E">
            <w:pPr>
              <w:pStyle w:val="tablebody0"/>
              <w:rPr>
                <w:i/>
              </w:rPr>
            </w:pPr>
            <w:r w:rsidRPr="0013396E">
              <w:rPr>
                <w:i/>
              </w:rPr>
              <w:t>q</w:t>
            </w:r>
          </w:p>
        </w:tc>
        <w:tc>
          <w:tcPr>
            <w:tcW w:w="623" w:type="pct"/>
            <w:tcBorders>
              <w:top w:val="single" w:sz="4" w:space="0" w:color="auto"/>
              <w:left w:val="single" w:sz="4" w:space="0" w:color="auto"/>
              <w:bottom w:val="single" w:sz="4" w:space="0" w:color="auto"/>
              <w:right w:val="single" w:sz="4" w:space="0" w:color="auto"/>
            </w:tcBorders>
            <w:hideMark/>
          </w:tcPr>
          <w:p w14:paraId="4583C2C7" w14:textId="77777777" w:rsidR="00F10AF1" w:rsidRPr="0013396E" w:rsidRDefault="00F10AF1" w:rsidP="0099759E">
            <w:pPr>
              <w:pStyle w:val="tablebody0"/>
            </w:pPr>
            <w:r w:rsidRPr="0013396E">
              <w:t>none</w:t>
            </w:r>
          </w:p>
        </w:tc>
        <w:tc>
          <w:tcPr>
            <w:tcW w:w="3098" w:type="pct"/>
            <w:tcBorders>
              <w:top w:val="single" w:sz="4" w:space="0" w:color="auto"/>
              <w:left w:val="single" w:sz="4" w:space="0" w:color="auto"/>
              <w:bottom w:val="single" w:sz="4" w:space="0" w:color="auto"/>
              <w:right w:val="single" w:sz="4" w:space="0" w:color="auto"/>
            </w:tcBorders>
            <w:hideMark/>
          </w:tcPr>
          <w:p w14:paraId="6AD43650" w14:textId="77777777" w:rsidR="00F10AF1" w:rsidRPr="0013396E" w:rsidRDefault="00F10AF1" w:rsidP="0099759E">
            <w:pPr>
              <w:pStyle w:val="tablebody0"/>
            </w:pPr>
            <w:r w:rsidRPr="0013396E">
              <w:t>A QSE.</w:t>
            </w:r>
          </w:p>
        </w:tc>
      </w:tr>
    </w:tbl>
    <w:p w14:paraId="01D7906B" w14:textId="77777777" w:rsidR="008871B2" w:rsidRPr="0013396E" w:rsidRDefault="008871B2" w:rsidP="008871B2">
      <w:pPr>
        <w:pStyle w:val="BodyText"/>
        <w:spacing w:after="0"/>
      </w:pPr>
    </w:p>
    <w:p w14:paraId="2762C128" w14:textId="230739FB" w:rsidR="00F10AF1" w:rsidRPr="0013396E" w:rsidRDefault="00F10AF1" w:rsidP="000B7133">
      <w:pPr>
        <w:pStyle w:val="H4"/>
      </w:pPr>
      <w:bookmarkStart w:id="2277" w:name="_Toc214879033"/>
      <w:r w:rsidRPr="0013396E">
        <w:t>6.7.</w:t>
      </w:r>
      <w:r w:rsidR="00A12B52" w:rsidRPr="0013396E">
        <w:t>2</w:t>
      </w:r>
      <w:r w:rsidRPr="0013396E">
        <w:t>.3</w:t>
      </w:r>
      <w:r w:rsidRPr="0013396E">
        <w:tab/>
        <w:t>Regulation Down Service Payments and Charges</w:t>
      </w:r>
      <w:bookmarkEnd w:id="2277"/>
    </w:p>
    <w:p w14:paraId="1298E08B" w14:textId="77777777" w:rsidR="00F10AF1" w:rsidRPr="0013396E" w:rsidRDefault="00F10AF1" w:rsidP="00F10AF1">
      <w:r w:rsidRPr="0013396E">
        <w:t>(1)</w:t>
      </w:r>
      <w:r w:rsidRPr="0013396E">
        <w:tab/>
        <w:t>Reg-Down Imbalance Payment or Charge:</w:t>
      </w:r>
    </w:p>
    <w:p w14:paraId="0DEAF324" w14:textId="77777777" w:rsidR="00F10AF1" w:rsidRPr="0013396E" w:rsidRDefault="00F10AF1" w:rsidP="00F10AF1">
      <w:pPr>
        <w:pStyle w:val="FormulaBold"/>
      </w:pPr>
      <w:r w:rsidRPr="0013396E">
        <w:t>RTRDIMBAMT</w:t>
      </w:r>
      <w:r w:rsidRPr="0013396E">
        <w:rPr>
          <w:i/>
          <w:vertAlign w:val="subscript"/>
        </w:rPr>
        <w:t xml:space="preserve"> q  </w:t>
      </w:r>
      <w:r w:rsidRPr="0013396E">
        <w:t xml:space="preserve">= </w:t>
      </w:r>
      <w:r w:rsidRPr="0013396E">
        <w:tab/>
        <w:t>(-1) * [</w:t>
      </w:r>
      <w:r w:rsidRPr="0013396E">
        <w:rPr>
          <w:position w:val="-18"/>
        </w:rPr>
        <w:object w:dxaOrig="285" w:dyaOrig="570" w14:anchorId="6441DC3C">
          <v:shape id="_x0000_i1271" type="#_x0000_t75" style="width:12pt;height:30pt" o:ole="">
            <v:imagedata r:id="rId134" o:title=""/>
          </v:shape>
          <o:OLEObject Type="Embed" ProgID="Equation.3" ShapeID="_x0000_i1271" DrawAspect="Content" ObjectID="_1836311548" r:id="rId348"/>
        </w:object>
      </w:r>
      <w:r w:rsidRPr="0013396E">
        <w:t>[</w:t>
      </w:r>
      <w:r w:rsidRPr="0013396E">
        <w:rPr>
          <w:rStyle w:val="BodyTextChar"/>
        </w:rPr>
        <w:t xml:space="preserve">RTRDREV </w:t>
      </w:r>
      <w:r w:rsidRPr="0013396E">
        <w:rPr>
          <w:i/>
          <w:vertAlign w:val="subscript"/>
        </w:rPr>
        <w:t xml:space="preserve">q, r </w:t>
      </w:r>
      <w:r w:rsidRPr="0013396E">
        <w:t>– (1/4) * (PCRDR</w:t>
      </w:r>
      <w:r w:rsidRPr="0013396E">
        <w:rPr>
          <w:i/>
        </w:rPr>
        <w:t xml:space="preserve"> </w:t>
      </w:r>
      <w:r w:rsidRPr="0013396E">
        <w:rPr>
          <w:i/>
          <w:vertAlign w:val="subscript"/>
        </w:rPr>
        <w:t>r, q, DAM</w:t>
      </w:r>
      <w:r w:rsidRPr="0013396E">
        <w:t xml:space="preserve"> * RTMCPCRD)] – (1/4) * (DASARDQ </w:t>
      </w:r>
      <w:r w:rsidRPr="0013396E">
        <w:rPr>
          <w:i/>
          <w:vertAlign w:val="subscript"/>
        </w:rPr>
        <w:t>q</w:t>
      </w:r>
      <w:r w:rsidRPr="0013396E">
        <w:t xml:space="preserve"> * RTMCPCRD) + (1/4) * (RDTP </w:t>
      </w:r>
      <w:r w:rsidRPr="0013396E">
        <w:rPr>
          <w:i/>
          <w:vertAlign w:val="subscript"/>
        </w:rPr>
        <w:t>q</w:t>
      </w:r>
      <w:r w:rsidRPr="0013396E">
        <w:t xml:space="preserve"> – RDTS </w:t>
      </w:r>
      <w:r w:rsidRPr="0013396E">
        <w:rPr>
          <w:i/>
          <w:vertAlign w:val="subscript"/>
        </w:rPr>
        <w:t>q</w:t>
      </w:r>
      <w:r w:rsidRPr="0013396E">
        <w:t>) * RTMCPCRD]</w:t>
      </w:r>
    </w:p>
    <w:p w14:paraId="097E59DD" w14:textId="77777777" w:rsidR="00F10AF1" w:rsidRPr="000B7133" w:rsidRDefault="00F10AF1" w:rsidP="00F10AF1">
      <w:pPr>
        <w:pStyle w:val="FormulaBold"/>
        <w:rPr>
          <w:b w:val="0"/>
          <w:bCs w:val="0"/>
        </w:rPr>
      </w:pPr>
      <w:r w:rsidRPr="000B7133">
        <w:rPr>
          <w:b w:val="0"/>
          <w:bCs w:val="0"/>
        </w:rPr>
        <w:t xml:space="preserve">Where:   </w:t>
      </w:r>
    </w:p>
    <w:p w14:paraId="4F4A2616" w14:textId="77777777" w:rsidR="00F10AF1" w:rsidRPr="000B7133" w:rsidRDefault="00F10AF1" w:rsidP="00F10AF1">
      <w:pPr>
        <w:pStyle w:val="FormulaBold"/>
        <w:rPr>
          <w:b w:val="0"/>
          <w:bCs w:val="0"/>
        </w:rPr>
      </w:pPr>
      <w:r w:rsidRPr="000B7133">
        <w:rPr>
          <w:rStyle w:val="BodyTextChar"/>
          <w:b w:val="0"/>
          <w:bCs w:val="0"/>
        </w:rPr>
        <w:t xml:space="preserve">RTRDREV </w:t>
      </w:r>
      <w:r w:rsidRPr="000B7133">
        <w:rPr>
          <w:b w:val="0"/>
          <w:bCs w:val="0"/>
          <w:i/>
          <w:vertAlign w:val="subscript"/>
        </w:rPr>
        <w:t xml:space="preserve">q, r </w:t>
      </w:r>
      <w:r w:rsidRPr="000B7133">
        <w:rPr>
          <w:b w:val="0"/>
          <w:bCs w:val="0"/>
          <w:i/>
        </w:rPr>
        <w:t xml:space="preserve"> =     </w:t>
      </w:r>
      <w:r w:rsidRPr="000B7133">
        <w:rPr>
          <w:b w:val="0"/>
          <w:bCs w:val="0"/>
        </w:rPr>
        <w:t>(1/4) * RTRDAWD</w:t>
      </w:r>
      <w:r w:rsidRPr="000B7133">
        <w:rPr>
          <w:b w:val="0"/>
          <w:bCs w:val="0"/>
          <w:i/>
          <w:vertAlign w:val="subscript"/>
        </w:rPr>
        <w:t xml:space="preserve"> q, r</w:t>
      </w:r>
      <w:r w:rsidRPr="000B7133">
        <w:rPr>
          <w:b w:val="0"/>
          <w:bCs w:val="0"/>
        </w:rPr>
        <w:t xml:space="preserve"> * RTMCPCRDR </w:t>
      </w:r>
      <w:r w:rsidRPr="000B7133">
        <w:rPr>
          <w:b w:val="0"/>
          <w:bCs w:val="0"/>
          <w:i/>
          <w:vertAlign w:val="subscript"/>
        </w:rPr>
        <w:t>q,</w:t>
      </w:r>
      <w:r w:rsidRPr="000B7133">
        <w:rPr>
          <w:b w:val="0"/>
          <w:bCs w:val="0"/>
          <w:i/>
        </w:rPr>
        <w:t xml:space="preserve"> </w:t>
      </w:r>
      <w:r w:rsidRPr="000B7133">
        <w:rPr>
          <w:b w:val="0"/>
          <w:bCs w:val="0"/>
          <w:i/>
          <w:vertAlign w:val="subscript"/>
        </w:rPr>
        <w:t>r</w:t>
      </w:r>
    </w:p>
    <w:p w14:paraId="6AA3F9AC" w14:textId="77777777" w:rsidR="00F10AF1" w:rsidRPr="000B7133" w:rsidRDefault="00F10AF1" w:rsidP="00F10AF1">
      <w:pPr>
        <w:pStyle w:val="FormulaBold"/>
        <w:rPr>
          <w:b w:val="0"/>
          <w:bCs w:val="0"/>
        </w:rPr>
      </w:pPr>
      <w:r w:rsidRPr="000B7133">
        <w:rPr>
          <w:b w:val="0"/>
          <w:bCs w:val="0"/>
        </w:rPr>
        <w:t xml:space="preserve">RTMCPCRDR </w:t>
      </w:r>
      <w:r w:rsidRPr="000B7133">
        <w:rPr>
          <w:b w:val="0"/>
          <w:bCs w:val="0"/>
          <w:i/>
          <w:vertAlign w:val="subscript"/>
        </w:rPr>
        <w:t>q, r</w:t>
      </w:r>
      <w:r w:rsidRPr="000B7133">
        <w:rPr>
          <w:b w:val="0"/>
          <w:bCs w:val="0"/>
          <w:i/>
        </w:rPr>
        <w:t xml:space="preserve">  = </w:t>
      </w:r>
      <w:r w:rsidRPr="007E0677">
        <w:rPr>
          <w:b w:val="0"/>
          <w:bCs w:val="0"/>
          <w:position w:val="-22"/>
        </w:rPr>
        <w:object w:dxaOrig="285" w:dyaOrig="285" w14:anchorId="4DAAD325">
          <v:shape id="_x0000_i1272" type="#_x0000_t75" style="width:30pt;height:30pt" o:ole="">
            <v:imagedata r:id="rId20" o:title=""/>
          </v:shape>
          <o:OLEObject Type="Embed" ProgID="Equation.3" ShapeID="_x0000_i1272" DrawAspect="Content" ObjectID="_1836311549" r:id="rId349"/>
        </w:object>
      </w:r>
      <w:r w:rsidRPr="000B7133">
        <w:rPr>
          <w:b w:val="0"/>
          <w:bCs w:val="0"/>
        </w:rPr>
        <w:t xml:space="preserve"> (RDRWF</w:t>
      </w:r>
      <w:r w:rsidRPr="000B7133">
        <w:rPr>
          <w:b w:val="0"/>
          <w:bCs w:val="0"/>
          <w:i/>
          <w:vertAlign w:val="subscript"/>
        </w:rPr>
        <w:t xml:space="preserve"> q, r, y</w:t>
      </w:r>
      <w:r w:rsidRPr="000B7133">
        <w:rPr>
          <w:b w:val="0"/>
          <w:bCs w:val="0"/>
        </w:rPr>
        <w:t xml:space="preserve"> * (RTMCPCRDS</w:t>
      </w:r>
      <w:r w:rsidRPr="000B7133">
        <w:rPr>
          <w:b w:val="0"/>
          <w:bCs w:val="0"/>
          <w:i/>
          <w:vertAlign w:val="subscript"/>
        </w:rPr>
        <w:t xml:space="preserve"> y</w:t>
      </w:r>
      <w:r w:rsidRPr="000B7133">
        <w:rPr>
          <w:b w:val="0"/>
          <w:bCs w:val="0"/>
        </w:rPr>
        <w:t xml:space="preserve"> + RTRDPARDS </w:t>
      </w:r>
      <w:r w:rsidRPr="000B7133">
        <w:rPr>
          <w:b w:val="0"/>
          <w:bCs w:val="0"/>
          <w:i/>
          <w:vertAlign w:val="subscript"/>
        </w:rPr>
        <w:t>y</w:t>
      </w:r>
      <w:r w:rsidRPr="000B7133">
        <w:rPr>
          <w:b w:val="0"/>
          <w:bCs w:val="0"/>
        </w:rPr>
        <w:t>))</w:t>
      </w:r>
    </w:p>
    <w:p w14:paraId="2FAE39F7" w14:textId="77777777" w:rsidR="00F10AF1" w:rsidRPr="000B7133" w:rsidRDefault="00F10AF1" w:rsidP="00F10AF1">
      <w:pPr>
        <w:pStyle w:val="FormulaBold"/>
        <w:rPr>
          <w:b w:val="0"/>
          <w:bCs w:val="0"/>
          <w:i/>
          <w:vertAlign w:val="subscript"/>
        </w:rPr>
      </w:pPr>
      <w:r w:rsidRPr="000B7133">
        <w:rPr>
          <w:b w:val="0"/>
          <w:bCs w:val="0"/>
        </w:rPr>
        <w:t>RTRDAWD</w:t>
      </w:r>
      <w:r w:rsidRPr="000B7133">
        <w:rPr>
          <w:b w:val="0"/>
          <w:bCs w:val="0"/>
          <w:i/>
          <w:vertAlign w:val="subscript"/>
        </w:rPr>
        <w:t xml:space="preserve"> q, r     </w:t>
      </w:r>
      <w:r w:rsidRPr="000B7133">
        <w:rPr>
          <w:b w:val="0"/>
          <w:bCs w:val="0"/>
        </w:rPr>
        <w:t xml:space="preserve">=  </w:t>
      </w:r>
      <w:r w:rsidRPr="007E0677">
        <w:rPr>
          <w:b w:val="0"/>
          <w:bCs w:val="0"/>
          <w:position w:val="-22"/>
        </w:rPr>
        <w:object w:dxaOrig="285" w:dyaOrig="285" w14:anchorId="2D731B1E">
          <v:shape id="_x0000_i1273" type="#_x0000_t75" style="width:30pt;height:30pt" o:ole="">
            <v:imagedata r:id="rId20" o:title=""/>
          </v:shape>
          <o:OLEObject Type="Embed" ProgID="Equation.3" ShapeID="_x0000_i1273" DrawAspect="Content" ObjectID="_1836311550" r:id="rId350"/>
        </w:object>
      </w:r>
      <w:r w:rsidRPr="000B7133">
        <w:rPr>
          <w:b w:val="0"/>
          <w:bCs w:val="0"/>
        </w:rPr>
        <w:t xml:space="preserve"> (RNWF </w:t>
      </w:r>
      <w:r w:rsidRPr="000B7133">
        <w:rPr>
          <w:b w:val="0"/>
          <w:bCs w:val="0"/>
          <w:i/>
          <w:vertAlign w:val="subscript"/>
        </w:rPr>
        <w:t>y</w:t>
      </w:r>
      <w:r w:rsidRPr="000B7133">
        <w:rPr>
          <w:b w:val="0"/>
          <w:bCs w:val="0"/>
          <w:vertAlign w:val="subscript"/>
        </w:rPr>
        <w:t xml:space="preserve"> </w:t>
      </w:r>
      <w:r w:rsidRPr="000B7133">
        <w:rPr>
          <w:b w:val="0"/>
          <w:bCs w:val="0"/>
        </w:rPr>
        <w:t>* RTRDAWDS</w:t>
      </w:r>
      <w:r w:rsidRPr="000B7133">
        <w:rPr>
          <w:b w:val="0"/>
          <w:bCs w:val="0"/>
          <w:i/>
          <w:vertAlign w:val="subscript"/>
        </w:rPr>
        <w:t xml:space="preserve"> q, r, y</w:t>
      </w:r>
      <w:r w:rsidRPr="000B7133">
        <w:rPr>
          <w:b w:val="0"/>
          <w:bCs w:val="0"/>
        </w:rPr>
        <w:t>)</w:t>
      </w:r>
    </w:p>
    <w:p w14:paraId="49F28395" w14:textId="77777777" w:rsidR="00F10AF1" w:rsidRPr="0013396E" w:rsidRDefault="00F10AF1" w:rsidP="00F10AF1">
      <w:pPr>
        <w:pStyle w:val="BodyTextNumbered"/>
        <w:ind w:left="0" w:firstLine="720"/>
      </w:pPr>
      <w:r w:rsidRPr="0013396E">
        <w:lastRenderedPageBreak/>
        <w:t>Where:</w:t>
      </w:r>
    </w:p>
    <w:p w14:paraId="77AED693" w14:textId="77777777" w:rsidR="00F10AF1" w:rsidRPr="0013396E" w:rsidRDefault="00F10AF1" w:rsidP="00F10AF1">
      <w:pPr>
        <w:pStyle w:val="NoSpacing"/>
        <w:spacing w:after="240"/>
      </w:pPr>
      <w:r w:rsidRPr="0013396E">
        <w:t xml:space="preserve">           RDRWF</w:t>
      </w:r>
      <w:r w:rsidRPr="0013396E">
        <w:rPr>
          <w:i/>
          <w:vertAlign w:val="subscript"/>
        </w:rPr>
        <w:t xml:space="preserve"> q, r, y</w:t>
      </w:r>
      <w:r w:rsidRPr="0013396E">
        <w:rPr>
          <w:vertAlign w:val="subscript"/>
        </w:rPr>
        <w:tab/>
        <w:t xml:space="preserve">  </w:t>
      </w:r>
      <w:r w:rsidRPr="0013396E">
        <w:t>=  [max(0.001, RTRDAWDS</w:t>
      </w:r>
      <w:r w:rsidRPr="0013396E">
        <w:rPr>
          <w:i/>
          <w:vertAlign w:val="subscript"/>
        </w:rPr>
        <w:t xml:space="preserve"> q, r, y</w:t>
      </w:r>
      <w:r w:rsidRPr="0013396E">
        <w:t>) * TLMP</w:t>
      </w:r>
      <w:r w:rsidRPr="0013396E">
        <w:rPr>
          <w:i/>
          <w:vertAlign w:val="subscript"/>
        </w:rPr>
        <w:t xml:space="preserve"> y</w:t>
      </w:r>
      <w:r w:rsidRPr="0013396E">
        <w:t>] / [</w:t>
      </w:r>
      <w:r w:rsidRPr="0013396E">
        <w:rPr>
          <w:b/>
          <w:position w:val="-22"/>
        </w:rPr>
        <w:object w:dxaOrig="285" w:dyaOrig="285" w14:anchorId="33E41E39">
          <v:shape id="_x0000_i1274" type="#_x0000_t75" style="width:30pt;height:30pt" o:ole="">
            <v:imagedata r:id="rId20" o:title=""/>
          </v:shape>
          <o:OLEObject Type="Embed" ProgID="Equation.3" ShapeID="_x0000_i1274" DrawAspect="Content" ObjectID="_1836311551" r:id="rId351"/>
        </w:object>
      </w:r>
      <w:r w:rsidRPr="0013396E">
        <w:t>max(0.001,</w:t>
      </w:r>
    </w:p>
    <w:p w14:paraId="096AB161" w14:textId="77777777" w:rsidR="00F10AF1" w:rsidRPr="0013396E" w:rsidRDefault="00F10AF1" w:rsidP="00F10AF1">
      <w:pPr>
        <w:pStyle w:val="NoSpacing"/>
        <w:spacing w:after="240"/>
        <w:ind w:firstLine="720"/>
        <w:rPr>
          <w:position w:val="-22"/>
        </w:rPr>
      </w:pPr>
      <w:r w:rsidRPr="0013396E">
        <w:t xml:space="preserve"> </w:t>
      </w:r>
      <w:r w:rsidRPr="0013396E">
        <w:tab/>
      </w:r>
      <w:r w:rsidRPr="0013396E">
        <w:tab/>
        <w:t xml:space="preserve">      RTRDAWDS</w:t>
      </w:r>
      <w:r w:rsidRPr="0013396E">
        <w:rPr>
          <w:i/>
          <w:vertAlign w:val="subscript"/>
        </w:rPr>
        <w:t xml:space="preserve"> q, r, y</w:t>
      </w:r>
      <w:r w:rsidRPr="0013396E">
        <w:t>) * TLMP</w:t>
      </w:r>
      <w:r w:rsidRPr="0013396E">
        <w:rPr>
          <w:i/>
          <w:vertAlign w:val="subscript"/>
        </w:rPr>
        <w:t xml:space="preserve"> y</w:t>
      </w:r>
      <w:r w:rsidRPr="0013396E">
        <w:t>]</w:t>
      </w:r>
    </w:p>
    <w:p w14:paraId="5D237FF9" w14:textId="77777777" w:rsidR="00F10AF1" w:rsidRPr="0013396E" w:rsidRDefault="00F10AF1" w:rsidP="00F10AF1">
      <w:pPr>
        <w:spacing w:after="240"/>
        <w:ind w:firstLine="720"/>
      </w:pPr>
      <w:r w:rsidRPr="0013396E">
        <w:t>And:</w:t>
      </w:r>
    </w:p>
    <w:p w14:paraId="35F153F7" w14:textId="77777777" w:rsidR="00F10AF1" w:rsidRPr="0013396E" w:rsidRDefault="00F10AF1" w:rsidP="00F10AF1">
      <w:pPr>
        <w:spacing w:after="240"/>
        <w:ind w:firstLine="720"/>
        <w:rPr>
          <w:i/>
          <w:vertAlign w:val="subscript"/>
        </w:rPr>
      </w:pPr>
      <w:r w:rsidRPr="0013396E">
        <w:t xml:space="preserve">RNWF </w:t>
      </w:r>
      <w:r w:rsidRPr="0013396E">
        <w:rPr>
          <w:i/>
          <w:vertAlign w:val="subscript"/>
        </w:rPr>
        <w:t xml:space="preserve">y   </w:t>
      </w:r>
      <w:r w:rsidRPr="0013396E">
        <w:t xml:space="preserve">=  TLMP </w:t>
      </w:r>
      <w:r w:rsidRPr="0013396E">
        <w:rPr>
          <w:i/>
          <w:vertAlign w:val="subscript"/>
        </w:rPr>
        <w:t>y</w:t>
      </w:r>
      <w:r w:rsidRPr="0013396E">
        <w:t xml:space="preserve"> </w:t>
      </w:r>
      <w:r w:rsidRPr="0013396E">
        <w:rPr>
          <w:color w:val="000000"/>
          <w:sz w:val="32"/>
          <w:szCs w:val="32"/>
        </w:rPr>
        <w:t>/</w:t>
      </w:r>
      <w:r w:rsidRPr="0013396E">
        <w:rPr>
          <w:color w:val="000000"/>
        </w:rPr>
        <w:t xml:space="preserve"> </w:t>
      </w:r>
      <w:r w:rsidRPr="0013396E">
        <w:rPr>
          <w:position w:val="-22"/>
          <w:szCs w:val="24"/>
        </w:rPr>
        <w:object w:dxaOrig="285" w:dyaOrig="285" w14:anchorId="51683FC1">
          <v:shape id="_x0000_i1275" type="#_x0000_t75" style="width:30pt;height:30pt" o:ole="">
            <v:imagedata r:id="rId20" o:title=""/>
          </v:shape>
          <o:OLEObject Type="Embed" ProgID="Equation.3" ShapeID="_x0000_i1275" DrawAspect="Content" ObjectID="_1836311552" r:id="rId352"/>
        </w:object>
      </w:r>
      <w:r w:rsidRPr="0013396E">
        <w:t xml:space="preserve">TLMP </w:t>
      </w:r>
      <w:r w:rsidRPr="0013396E">
        <w:rPr>
          <w:i/>
          <w:vertAlign w:val="subscript"/>
        </w:rPr>
        <w:t>y</w:t>
      </w:r>
    </w:p>
    <w:p w14:paraId="062F02C6" w14:textId="77777777" w:rsidR="00F10AF1" w:rsidRPr="0013396E" w:rsidRDefault="00F10AF1" w:rsidP="00F10AF1">
      <w:pPr>
        <w:pStyle w:val="Instructions"/>
        <w:spacing w:after="0"/>
        <w:ind w:left="720" w:hanging="720"/>
        <w:rPr>
          <w:i w:val="0"/>
        </w:rPr>
      </w:pPr>
      <w:r w:rsidRPr="0013396E">
        <w:rPr>
          <w:b w:val="0"/>
          <w:i w:val="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392"/>
        <w:gridCol w:w="1165"/>
        <w:gridCol w:w="5793"/>
      </w:tblGrid>
      <w:tr w:rsidR="00F10AF1" w:rsidRPr="0013396E" w14:paraId="03B9970B" w14:textId="77777777" w:rsidTr="0099759E">
        <w:trPr>
          <w:cantSplit/>
          <w:tblHeader/>
        </w:trPr>
        <w:tc>
          <w:tcPr>
            <w:tcW w:w="1279" w:type="pct"/>
            <w:tcBorders>
              <w:top w:val="single" w:sz="4" w:space="0" w:color="auto"/>
              <w:left w:val="single" w:sz="4" w:space="0" w:color="auto"/>
              <w:bottom w:val="single" w:sz="4" w:space="0" w:color="auto"/>
              <w:right w:val="single" w:sz="4" w:space="0" w:color="auto"/>
            </w:tcBorders>
            <w:hideMark/>
          </w:tcPr>
          <w:p w14:paraId="548A29D0" w14:textId="77777777" w:rsidR="00F10AF1" w:rsidRPr="0013396E" w:rsidRDefault="00F10AF1" w:rsidP="0099759E">
            <w:pPr>
              <w:pStyle w:val="TableHead"/>
            </w:pPr>
            <w:r w:rsidRPr="0013396E">
              <w:t>Variable</w:t>
            </w:r>
          </w:p>
        </w:tc>
        <w:tc>
          <w:tcPr>
            <w:tcW w:w="623" w:type="pct"/>
            <w:tcBorders>
              <w:top w:val="single" w:sz="4" w:space="0" w:color="auto"/>
              <w:left w:val="single" w:sz="4" w:space="0" w:color="auto"/>
              <w:bottom w:val="single" w:sz="4" w:space="0" w:color="auto"/>
              <w:right w:val="single" w:sz="4" w:space="0" w:color="auto"/>
            </w:tcBorders>
            <w:hideMark/>
          </w:tcPr>
          <w:p w14:paraId="53730021" w14:textId="77777777" w:rsidR="00F10AF1" w:rsidRPr="0013396E" w:rsidRDefault="00F10AF1" w:rsidP="0099759E">
            <w:pPr>
              <w:pStyle w:val="TableHead"/>
            </w:pPr>
            <w:r w:rsidRPr="0013396E">
              <w:t>Unit</w:t>
            </w:r>
          </w:p>
        </w:tc>
        <w:tc>
          <w:tcPr>
            <w:tcW w:w="3098" w:type="pct"/>
            <w:tcBorders>
              <w:top w:val="single" w:sz="4" w:space="0" w:color="auto"/>
              <w:left w:val="single" w:sz="4" w:space="0" w:color="auto"/>
              <w:bottom w:val="single" w:sz="4" w:space="0" w:color="auto"/>
              <w:right w:val="single" w:sz="4" w:space="0" w:color="auto"/>
            </w:tcBorders>
            <w:hideMark/>
          </w:tcPr>
          <w:p w14:paraId="7DD8DD95" w14:textId="77777777" w:rsidR="00F10AF1" w:rsidRPr="0013396E" w:rsidRDefault="00F10AF1" w:rsidP="0099759E">
            <w:pPr>
              <w:pStyle w:val="TableHead"/>
            </w:pPr>
            <w:r w:rsidRPr="0013396E">
              <w:t>Description</w:t>
            </w:r>
          </w:p>
        </w:tc>
      </w:tr>
      <w:tr w:rsidR="00F10AF1" w:rsidRPr="0013396E" w14:paraId="7CD0B04D"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01E4227E" w14:textId="77777777" w:rsidR="00F10AF1" w:rsidRPr="0013396E" w:rsidRDefault="00F10AF1" w:rsidP="0099759E">
            <w:pPr>
              <w:pStyle w:val="tablebody0"/>
            </w:pPr>
            <w:r w:rsidRPr="0013396E">
              <w:t xml:space="preserve">RTRDIMBAMT </w:t>
            </w:r>
            <w:r w:rsidRPr="0013396E">
              <w:rPr>
                <w:i/>
                <w:vertAlign w:val="subscript"/>
              </w:rPr>
              <w:t>q</w:t>
            </w:r>
          </w:p>
        </w:tc>
        <w:tc>
          <w:tcPr>
            <w:tcW w:w="623" w:type="pct"/>
            <w:tcBorders>
              <w:top w:val="single" w:sz="4" w:space="0" w:color="auto"/>
              <w:left w:val="single" w:sz="4" w:space="0" w:color="auto"/>
              <w:bottom w:val="single" w:sz="4" w:space="0" w:color="auto"/>
              <w:right w:val="single" w:sz="4" w:space="0" w:color="auto"/>
            </w:tcBorders>
            <w:hideMark/>
          </w:tcPr>
          <w:p w14:paraId="280BF6AB" w14:textId="77777777" w:rsidR="00F10AF1" w:rsidRPr="0013396E" w:rsidRDefault="00F10AF1" w:rsidP="0099759E">
            <w:pPr>
              <w:pStyle w:val="tablebody0"/>
            </w:pPr>
            <w:r w:rsidRPr="0013396E">
              <w:t>$</w:t>
            </w:r>
          </w:p>
        </w:tc>
        <w:tc>
          <w:tcPr>
            <w:tcW w:w="3098" w:type="pct"/>
            <w:tcBorders>
              <w:top w:val="single" w:sz="4" w:space="0" w:color="auto"/>
              <w:left w:val="single" w:sz="4" w:space="0" w:color="auto"/>
              <w:bottom w:val="single" w:sz="4" w:space="0" w:color="auto"/>
              <w:right w:val="single" w:sz="4" w:space="0" w:color="auto"/>
            </w:tcBorders>
            <w:hideMark/>
          </w:tcPr>
          <w:p w14:paraId="6E02CF1E" w14:textId="77777777" w:rsidR="00F10AF1" w:rsidRPr="0013396E" w:rsidRDefault="00F10AF1" w:rsidP="0099759E">
            <w:pPr>
              <w:pStyle w:val="tablebody0"/>
              <w:rPr>
                <w:i/>
              </w:rPr>
            </w:pPr>
            <w:r w:rsidRPr="0013396E">
              <w:rPr>
                <w:i/>
              </w:rPr>
              <w:t>Real-Time Reg-Down Imbalance Amount for the QSE</w:t>
            </w:r>
            <w:r w:rsidRPr="0013396E">
              <w:t xml:space="preserve">—The total payment or charge to QSE </w:t>
            </w:r>
            <w:r w:rsidRPr="0013396E">
              <w:rPr>
                <w:i/>
              </w:rPr>
              <w:t>q</w:t>
            </w:r>
            <w:r w:rsidRPr="0013396E">
              <w:t xml:space="preserve"> for the Real-Time Reg-Down imbalance for each 15-minute Settlement Interval.</w:t>
            </w:r>
          </w:p>
        </w:tc>
      </w:tr>
      <w:tr w:rsidR="00F10AF1" w:rsidRPr="0013396E" w14:paraId="111F951C"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6D08644B" w14:textId="77777777" w:rsidR="00F10AF1" w:rsidRPr="0013396E" w:rsidRDefault="00F10AF1" w:rsidP="0099759E">
            <w:pPr>
              <w:pStyle w:val="tablebody0"/>
            </w:pPr>
            <w:r w:rsidRPr="0013396E">
              <w:t>RTRDAWD</w:t>
            </w:r>
            <w:r w:rsidRPr="0013396E">
              <w:rPr>
                <w:vertAlign w:val="subscript"/>
              </w:rPr>
              <w:t xml:space="preserve"> </w:t>
            </w:r>
            <w:r w:rsidRPr="0013396E">
              <w:rPr>
                <w:i/>
                <w:vertAlign w:val="subscript"/>
              </w:rPr>
              <w:t>q, r</w:t>
            </w:r>
          </w:p>
        </w:tc>
        <w:tc>
          <w:tcPr>
            <w:tcW w:w="623" w:type="pct"/>
            <w:tcBorders>
              <w:top w:val="single" w:sz="4" w:space="0" w:color="auto"/>
              <w:left w:val="single" w:sz="4" w:space="0" w:color="auto"/>
              <w:bottom w:val="single" w:sz="4" w:space="0" w:color="auto"/>
              <w:right w:val="single" w:sz="4" w:space="0" w:color="auto"/>
            </w:tcBorders>
            <w:hideMark/>
          </w:tcPr>
          <w:p w14:paraId="75FC87DB" w14:textId="77777777" w:rsidR="00F10AF1" w:rsidRPr="0013396E" w:rsidRDefault="00F10AF1" w:rsidP="0099759E">
            <w:pPr>
              <w:pStyle w:val="tablebody0"/>
            </w:pPr>
            <w:r w:rsidRPr="0013396E">
              <w:t>MW</w:t>
            </w:r>
          </w:p>
        </w:tc>
        <w:tc>
          <w:tcPr>
            <w:tcW w:w="3098" w:type="pct"/>
            <w:tcBorders>
              <w:top w:val="single" w:sz="4" w:space="0" w:color="auto"/>
              <w:left w:val="single" w:sz="4" w:space="0" w:color="auto"/>
              <w:bottom w:val="single" w:sz="4" w:space="0" w:color="auto"/>
              <w:right w:val="single" w:sz="4" w:space="0" w:color="auto"/>
            </w:tcBorders>
            <w:hideMark/>
          </w:tcPr>
          <w:p w14:paraId="73F4CB13" w14:textId="77777777" w:rsidR="00F10AF1" w:rsidRPr="0013396E" w:rsidRDefault="00F10AF1" w:rsidP="0099759E">
            <w:pPr>
              <w:pStyle w:val="tablebody0"/>
              <w:rPr>
                <w:i/>
              </w:rPr>
            </w:pPr>
            <w:r w:rsidRPr="0013396E">
              <w:rPr>
                <w:i/>
              </w:rPr>
              <w:t>Real-Time Reg-Down Award per Resource per QSE</w:t>
            </w:r>
            <w:r w:rsidRPr="0013396E">
              <w:rPr>
                <w:iCs/>
              </w:rPr>
              <w:t>—</w:t>
            </w:r>
            <w:r w:rsidRPr="0013396E">
              <w:t xml:space="preserve">The Reg-Down amount awarded to QSE </w:t>
            </w:r>
            <w:r w:rsidRPr="0013396E">
              <w:rPr>
                <w:i/>
              </w:rPr>
              <w:t>q</w:t>
            </w:r>
            <w:r w:rsidRPr="0013396E">
              <w:t xml:space="preserve"> for Resource </w:t>
            </w:r>
            <w:r w:rsidRPr="0013396E">
              <w:rPr>
                <w:i/>
              </w:rPr>
              <w:t>r</w:t>
            </w:r>
            <w:r w:rsidRPr="0013396E">
              <w:t xml:space="preserve"> in Real-Time </w:t>
            </w:r>
            <w:r w:rsidRPr="0013396E">
              <w:rPr>
                <w:szCs w:val="18"/>
              </w:rPr>
              <w:t xml:space="preserve">for </w:t>
            </w:r>
            <w:r w:rsidRPr="0013396E">
              <w:t xml:space="preserve">the 15-minute Settlement Interval.  Where for a Combined Cycle Train, the Resource </w:t>
            </w:r>
            <w:r w:rsidRPr="0013396E">
              <w:rPr>
                <w:i/>
              </w:rPr>
              <w:t xml:space="preserve">r </w:t>
            </w:r>
            <w:r w:rsidRPr="0013396E">
              <w:t>is the Combined Cycle Train.</w:t>
            </w:r>
          </w:p>
        </w:tc>
      </w:tr>
      <w:tr w:rsidR="00F10AF1" w:rsidRPr="0013396E" w14:paraId="645D032F"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03A81ABB" w14:textId="77777777" w:rsidR="00F10AF1" w:rsidRPr="0013396E" w:rsidRDefault="00F10AF1" w:rsidP="0099759E">
            <w:pPr>
              <w:pStyle w:val="tablebody0"/>
            </w:pPr>
            <w:r w:rsidRPr="0013396E">
              <w:t xml:space="preserve">RTRDREV </w:t>
            </w:r>
            <w:r w:rsidRPr="0013396E">
              <w:rPr>
                <w:i/>
                <w:vertAlign w:val="subscript"/>
              </w:rPr>
              <w:t>q, r</w:t>
            </w:r>
          </w:p>
        </w:tc>
        <w:tc>
          <w:tcPr>
            <w:tcW w:w="623" w:type="pct"/>
            <w:tcBorders>
              <w:top w:val="single" w:sz="4" w:space="0" w:color="auto"/>
              <w:left w:val="single" w:sz="4" w:space="0" w:color="auto"/>
              <w:bottom w:val="single" w:sz="4" w:space="0" w:color="auto"/>
              <w:right w:val="single" w:sz="4" w:space="0" w:color="auto"/>
            </w:tcBorders>
            <w:hideMark/>
          </w:tcPr>
          <w:p w14:paraId="63163D51" w14:textId="77777777" w:rsidR="00F10AF1" w:rsidRPr="0013396E" w:rsidRDefault="00F10AF1" w:rsidP="0099759E">
            <w:pPr>
              <w:pStyle w:val="tablebody0"/>
            </w:pPr>
            <w:r w:rsidRPr="0013396E">
              <w:t>$</w:t>
            </w:r>
          </w:p>
        </w:tc>
        <w:tc>
          <w:tcPr>
            <w:tcW w:w="3098" w:type="pct"/>
            <w:tcBorders>
              <w:top w:val="single" w:sz="4" w:space="0" w:color="auto"/>
              <w:left w:val="single" w:sz="4" w:space="0" w:color="auto"/>
              <w:bottom w:val="single" w:sz="4" w:space="0" w:color="auto"/>
              <w:right w:val="single" w:sz="4" w:space="0" w:color="auto"/>
            </w:tcBorders>
            <w:hideMark/>
          </w:tcPr>
          <w:p w14:paraId="673B2DE8" w14:textId="77777777" w:rsidR="00F10AF1" w:rsidRPr="0013396E" w:rsidRDefault="00F10AF1" w:rsidP="0099759E">
            <w:pPr>
              <w:pStyle w:val="tablebody0"/>
            </w:pPr>
            <w:r w:rsidRPr="0013396E">
              <w:rPr>
                <w:i/>
              </w:rPr>
              <w:t>Real-Time Reg-Down Revenue</w:t>
            </w:r>
            <w:r w:rsidRPr="0013396E">
              <w:t xml:space="preserve">—The Real-Time Reg-Down revenue for QSE </w:t>
            </w:r>
            <w:r w:rsidRPr="0013396E">
              <w:rPr>
                <w:i/>
              </w:rPr>
              <w:t xml:space="preserve">q </w:t>
            </w:r>
            <w:r w:rsidRPr="0013396E">
              <w:t xml:space="preserve">calculated for Resource </w:t>
            </w:r>
            <w:r w:rsidRPr="0013396E">
              <w:rPr>
                <w:i/>
              </w:rPr>
              <w:t>r</w:t>
            </w:r>
            <w:r w:rsidRPr="0013396E">
              <w:t xml:space="preserve"> for the 15-minute Settlement Interval.  Where for a Combined Cycle Train, the Resource </w:t>
            </w:r>
            <w:r w:rsidRPr="0013396E">
              <w:rPr>
                <w:i/>
              </w:rPr>
              <w:t>r</w:t>
            </w:r>
            <w:r w:rsidRPr="0013396E">
              <w:t xml:space="preserve"> is the Combined Cycle Train.</w:t>
            </w:r>
          </w:p>
        </w:tc>
      </w:tr>
      <w:tr w:rsidR="00F10AF1" w:rsidRPr="0013396E" w14:paraId="7E2EFA69"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5F4FFD1C" w14:textId="77777777" w:rsidR="00F10AF1" w:rsidRPr="0013396E" w:rsidRDefault="00F10AF1" w:rsidP="0099759E">
            <w:pPr>
              <w:pStyle w:val="tablebody0"/>
            </w:pPr>
            <w:r w:rsidRPr="0013396E">
              <w:t>RTRDAWDS</w:t>
            </w:r>
            <w:r w:rsidRPr="0013396E">
              <w:rPr>
                <w:vertAlign w:val="subscript"/>
              </w:rPr>
              <w:t xml:space="preserve"> </w:t>
            </w:r>
            <w:r w:rsidRPr="0013396E">
              <w:rPr>
                <w:i/>
                <w:vertAlign w:val="subscript"/>
              </w:rPr>
              <w:t>q, r, y</w:t>
            </w:r>
          </w:p>
        </w:tc>
        <w:tc>
          <w:tcPr>
            <w:tcW w:w="623" w:type="pct"/>
            <w:tcBorders>
              <w:top w:val="single" w:sz="4" w:space="0" w:color="auto"/>
              <w:left w:val="single" w:sz="4" w:space="0" w:color="auto"/>
              <w:bottom w:val="single" w:sz="4" w:space="0" w:color="auto"/>
              <w:right w:val="single" w:sz="4" w:space="0" w:color="auto"/>
            </w:tcBorders>
            <w:hideMark/>
          </w:tcPr>
          <w:p w14:paraId="1AAE0F9D" w14:textId="77777777" w:rsidR="00F10AF1" w:rsidRPr="0013396E" w:rsidRDefault="00F10AF1" w:rsidP="0099759E">
            <w:pPr>
              <w:pStyle w:val="tablebody0"/>
            </w:pPr>
            <w:r w:rsidRPr="0013396E">
              <w:t>MW</w:t>
            </w:r>
          </w:p>
        </w:tc>
        <w:tc>
          <w:tcPr>
            <w:tcW w:w="3098" w:type="pct"/>
            <w:tcBorders>
              <w:top w:val="single" w:sz="4" w:space="0" w:color="auto"/>
              <w:left w:val="single" w:sz="4" w:space="0" w:color="auto"/>
              <w:bottom w:val="single" w:sz="4" w:space="0" w:color="auto"/>
              <w:right w:val="single" w:sz="4" w:space="0" w:color="auto"/>
            </w:tcBorders>
            <w:hideMark/>
          </w:tcPr>
          <w:p w14:paraId="2299B7DA" w14:textId="77777777" w:rsidR="00F10AF1" w:rsidRPr="0013396E" w:rsidRDefault="00F10AF1" w:rsidP="0099759E">
            <w:pPr>
              <w:pStyle w:val="tablebody0"/>
              <w:rPr>
                <w:i/>
              </w:rPr>
            </w:pPr>
            <w:r w:rsidRPr="0013396E">
              <w:rPr>
                <w:i/>
              </w:rPr>
              <w:t>Real-Time Reg-Down Award per Resource per QSE per SCED interval</w:t>
            </w:r>
            <w:r w:rsidRPr="0013396E">
              <w:rPr>
                <w:iCs/>
              </w:rPr>
              <w:t>—</w:t>
            </w:r>
            <w:r w:rsidRPr="0013396E">
              <w:t xml:space="preserve">The Reg-Down Amount awarded to QSE </w:t>
            </w:r>
            <w:r w:rsidRPr="0013396E">
              <w:rPr>
                <w:i/>
              </w:rPr>
              <w:t>q</w:t>
            </w:r>
            <w:r w:rsidRPr="0013396E">
              <w:t xml:space="preserve"> for Resource </w:t>
            </w:r>
            <w:r w:rsidRPr="0013396E">
              <w:rPr>
                <w:i/>
              </w:rPr>
              <w:t>r</w:t>
            </w:r>
            <w:r w:rsidRPr="0013396E">
              <w:t xml:space="preserve"> in Real-Time for the SCED interval </w:t>
            </w:r>
            <w:r w:rsidRPr="0013396E">
              <w:rPr>
                <w:i/>
              </w:rPr>
              <w:t xml:space="preserve">y.  </w:t>
            </w:r>
            <w:r w:rsidRPr="0013396E">
              <w:t xml:space="preserve">Where for a Combined Cycle Train, the Resource </w:t>
            </w:r>
            <w:r w:rsidRPr="0013396E">
              <w:rPr>
                <w:i/>
              </w:rPr>
              <w:t xml:space="preserve">r </w:t>
            </w:r>
            <w:r w:rsidRPr="0013396E">
              <w:t>is a Combined Cycle Generation Resource within the Combined Cycle Train.</w:t>
            </w:r>
          </w:p>
        </w:tc>
      </w:tr>
      <w:tr w:rsidR="00F10AF1" w:rsidRPr="0013396E" w14:paraId="68812622"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6B4994A3" w14:textId="77777777" w:rsidR="00F10AF1" w:rsidRPr="0013396E" w:rsidRDefault="00F10AF1" w:rsidP="0099759E">
            <w:pPr>
              <w:pStyle w:val="tablebody0"/>
            </w:pPr>
            <w:r w:rsidRPr="0013396E">
              <w:t xml:space="preserve">RTMCPCRDR </w:t>
            </w:r>
            <w:r w:rsidRPr="0013396E">
              <w:rPr>
                <w:i/>
                <w:vertAlign w:val="subscript"/>
              </w:rPr>
              <w:t>q, r</w:t>
            </w:r>
          </w:p>
        </w:tc>
        <w:tc>
          <w:tcPr>
            <w:tcW w:w="623" w:type="pct"/>
            <w:tcBorders>
              <w:top w:val="single" w:sz="4" w:space="0" w:color="auto"/>
              <w:left w:val="single" w:sz="4" w:space="0" w:color="auto"/>
              <w:bottom w:val="single" w:sz="4" w:space="0" w:color="auto"/>
              <w:right w:val="single" w:sz="4" w:space="0" w:color="auto"/>
            </w:tcBorders>
            <w:hideMark/>
          </w:tcPr>
          <w:p w14:paraId="00D83338" w14:textId="77777777" w:rsidR="00F10AF1" w:rsidRPr="0013396E" w:rsidRDefault="00F10AF1" w:rsidP="0099759E">
            <w:pPr>
              <w:pStyle w:val="tablebody0"/>
            </w:pPr>
            <w:r w:rsidRPr="0013396E">
              <w:t>$/MW</w:t>
            </w:r>
          </w:p>
        </w:tc>
        <w:tc>
          <w:tcPr>
            <w:tcW w:w="3098" w:type="pct"/>
            <w:tcBorders>
              <w:top w:val="single" w:sz="4" w:space="0" w:color="auto"/>
              <w:left w:val="single" w:sz="4" w:space="0" w:color="auto"/>
              <w:bottom w:val="single" w:sz="4" w:space="0" w:color="auto"/>
              <w:right w:val="single" w:sz="4" w:space="0" w:color="auto"/>
            </w:tcBorders>
            <w:hideMark/>
          </w:tcPr>
          <w:p w14:paraId="0131A485" w14:textId="77777777" w:rsidR="00F10AF1" w:rsidRPr="0013396E" w:rsidRDefault="00F10AF1" w:rsidP="0099759E">
            <w:pPr>
              <w:pStyle w:val="tablebody0"/>
              <w:rPr>
                <w:iCs/>
              </w:rPr>
            </w:pPr>
            <w:r w:rsidRPr="0013396E">
              <w:rPr>
                <w:i/>
              </w:rPr>
              <w:t>Real-Time Market Clearing Price for Capacity for Reg-Down per Resource per QSE</w:t>
            </w:r>
            <w:r w:rsidRPr="0013396E">
              <w:sym w:font="Symbol" w:char="F0BE"/>
            </w:r>
            <w:r w:rsidRPr="0013396E">
              <w:t xml:space="preserve">The Real-Time MCPC for Reg-Down for Resource </w:t>
            </w:r>
            <w:r w:rsidRPr="0013396E">
              <w:rPr>
                <w:i/>
              </w:rPr>
              <w:t>r</w:t>
            </w:r>
            <w:r w:rsidRPr="0013396E">
              <w:t xml:space="preserve">, represented by QSE </w:t>
            </w:r>
            <w:r w:rsidRPr="0013396E">
              <w:rPr>
                <w:i/>
              </w:rPr>
              <w:t xml:space="preserve">q </w:t>
            </w:r>
            <w:r w:rsidRPr="0013396E">
              <w:t xml:space="preserve">for the 15-minute Settlement Interval.  Where for a Combined Cycle Train, the Resource </w:t>
            </w:r>
            <w:r w:rsidRPr="0013396E">
              <w:rPr>
                <w:i/>
              </w:rPr>
              <w:t>r</w:t>
            </w:r>
            <w:r w:rsidRPr="0013396E">
              <w:t xml:space="preserve"> is the Combined Cycle Train.</w:t>
            </w:r>
          </w:p>
        </w:tc>
      </w:tr>
      <w:tr w:rsidR="00F10AF1" w:rsidRPr="0013396E" w14:paraId="5EFA61F1"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3DA0C4F2" w14:textId="77777777" w:rsidR="00F10AF1" w:rsidRPr="0013396E" w:rsidRDefault="00F10AF1" w:rsidP="0099759E">
            <w:pPr>
              <w:pStyle w:val="tablebody0"/>
            </w:pPr>
            <w:r w:rsidRPr="0013396E">
              <w:t>RTMCPCRDS</w:t>
            </w:r>
            <w:r w:rsidRPr="0013396E">
              <w:rPr>
                <w:i/>
                <w:vertAlign w:val="subscript"/>
              </w:rPr>
              <w:t xml:space="preserve"> y</w:t>
            </w:r>
          </w:p>
        </w:tc>
        <w:tc>
          <w:tcPr>
            <w:tcW w:w="623" w:type="pct"/>
            <w:tcBorders>
              <w:top w:val="single" w:sz="4" w:space="0" w:color="auto"/>
              <w:left w:val="single" w:sz="4" w:space="0" w:color="auto"/>
              <w:bottom w:val="single" w:sz="4" w:space="0" w:color="auto"/>
              <w:right w:val="single" w:sz="4" w:space="0" w:color="auto"/>
            </w:tcBorders>
            <w:hideMark/>
          </w:tcPr>
          <w:p w14:paraId="5BB05A4B" w14:textId="77777777" w:rsidR="00F10AF1" w:rsidRPr="0013396E" w:rsidRDefault="00F10AF1" w:rsidP="0099759E">
            <w:pPr>
              <w:pStyle w:val="tablebody0"/>
            </w:pPr>
            <w:r w:rsidRPr="0013396E">
              <w:t>$/MW</w:t>
            </w:r>
          </w:p>
        </w:tc>
        <w:tc>
          <w:tcPr>
            <w:tcW w:w="3098" w:type="pct"/>
            <w:tcBorders>
              <w:top w:val="single" w:sz="4" w:space="0" w:color="auto"/>
              <w:left w:val="single" w:sz="4" w:space="0" w:color="auto"/>
              <w:bottom w:val="single" w:sz="4" w:space="0" w:color="auto"/>
              <w:right w:val="single" w:sz="4" w:space="0" w:color="auto"/>
            </w:tcBorders>
            <w:hideMark/>
          </w:tcPr>
          <w:p w14:paraId="1784DC0B" w14:textId="77777777" w:rsidR="00F10AF1" w:rsidRPr="0013396E" w:rsidRDefault="00F10AF1" w:rsidP="0099759E">
            <w:pPr>
              <w:pStyle w:val="tablebody0"/>
              <w:rPr>
                <w:i/>
              </w:rPr>
            </w:pPr>
            <w:r w:rsidRPr="0013396E">
              <w:rPr>
                <w:i/>
              </w:rPr>
              <w:t>Real-Time Market Clearing Price for Capacity for Reg-Down per SCED interval</w:t>
            </w:r>
            <w:r w:rsidRPr="0013396E">
              <w:rPr>
                <w:iCs/>
              </w:rPr>
              <w:t>—</w:t>
            </w:r>
            <w:r w:rsidRPr="0013396E">
              <w:t xml:space="preserve">The Real-Time MCPC for Reg-Down for the SCED interval </w:t>
            </w:r>
            <w:r w:rsidRPr="0013396E">
              <w:rPr>
                <w:i/>
              </w:rPr>
              <w:t>y.</w:t>
            </w:r>
          </w:p>
        </w:tc>
      </w:tr>
      <w:tr w:rsidR="00F10AF1" w:rsidRPr="0013396E" w14:paraId="76FA65B3"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468C537C" w14:textId="77777777" w:rsidR="00F10AF1" w:rsidRPr="0013396E" w:rsidRDefault="00F10AF1" w:rsidP="0099759E">
            <w:pPr>
              <w:pStyle w:val="tablebody0"/>
            </w:pPr>
            <w:r w:rsidRPr="0013396E">
              <w:t xml:space="preserve">PCRDR </w:t>
            </w:r>
            <w:r w:rsidRPr="0013396E">
              <w:rPr>
                <w:i/>
                <w:vertAlign w:val="subscript"/>
              </w:rPr>
              <w:t>r,</w:t>
            </w:r>
            <w:r w:rsidRPr="0013396E">
              <w:rPr>
                <w:i/>
              </w:rPr>
              <w:t xml:space="preserve"> </w:t>
            </w:r>
            <w:r w:rsidRPr="0013396E">
              <w:rPr>
                <w:i/>
                <w:vertAlign w:val="subscript"/>
              </w:rPr>
              <w:t>q, DAM</w:t>
            </w:r>
          </w:p>
        </w:tc>
        <w:tc>
          <w:tcPr>
            <w:tcW w:w="623" w:type="pct"/>
            <w:tcBorders>
              <w:top w:val="single" w:sz="4" w:space="0" w:color="auto"/>
              <w:left w:val="single" w:sz="4" w:space="0" w:color="auto"/>
              <w:bottom w:val="single" w:sz="4" w:space="0" w:color="auto"/>
              <w:right w:val="single" w:sz="4" w:space="0" w:color="auto"/>
            </w:tcBorders>
            <w:hideMark/>
          </w:tcPr>
          <w:p w14:paraId="106B9C55" w14:textId="77777777" w:rsidR="00F10AF1" w:rsidRPr="0013396E" w:rsidRDefault="00F10AF1" w:rsidP="0099759E">
            <w:pPr>
              <w:pStyle w:val="tablebody0"/>
            </w:pPr>
            <w:r w:rsidRPr="0013396E">
              <w:t>MW</w:t>
            </w:r>
          </w:p>
        </w:tc>
        <w:tc>
          <w:tcPr>
            <w:tcW w:w="3098" w:type="pct"/>
            <w:tcBorders>
              <w:top w:val="single" w:sz="4" w:space="0" w:color="auto"/>
              <w:left w:val="single" w:sz="4" w:space="0" w:color="auto"/>
              <w:bottom w:val="single" w:sz="4" w:space="0" w:color="auto"/>
              <w:right w:val="single" w:sz="4" w:space="0" w:color="auto"/>
            </w:tcBorders>
            <w:hideMark/>
          </w:tcPr>
          <w:p w14:paraId="0B592C05" w14:textId="77777777" w:rsidR="00F10AF1" w:rsidRPr="0013396E" w:rsidRDefault="00F10AF1" w:rsidP="0099759E">
            <w:pPr>
              <w:pStyle w:val="tablebody0"/>
              <w:rPr>
                <w:i/>
              </w:rPr>
            </w:pPr>
            <w:r w:rsidRPr="0013396E">
              <w:rPr>
                <w:i/>
              </w:rPr>
              <w:t>Procured Capacity for Reg-Down per Resource per QSE in DAM</w:t>
            </w:r>
            <w:r w:rsidRPr="0013396E">
              <w:t xml:space="preserve">—The Reg-Down capacity awarded to QSE </w:t>
            </w:r>
            <w:r w:rsidRPr="0013396E">
              <w:rPr>
                <w:i/>
              </w:rPr>
              <w:t>q</w:t>
            </w:r>
            <w:r w:rsidRPr="0013396E">
              <w:t xml:space="preserve"> in the DAM for Resource </w:t>
            </w:r>
            <w:r w:rsidRPr="0013396E">
              <w:rPr>
                <w:i/>
              </w:rPr>
              <w:t>r</w:t>
            </w:r>
            <w:r w:rsidRPr="0013396E">
              <w:t xml:space="preserve"> for the </w:t>
            </w:r>
            <w:r w:rsidRPr="0013396E">
              <w:rPr>
                <w:szCs w:val="18"/>
              </w:rPr>
              <w:t>Operating Hour</w:t>
            </w:r>
            <w:r w:rsidRPr="0013396E">
              <w:t xml:space="preserve">.  Where for a Combined Cycle Train, the Resource </w:t>
            </w:r>
            <w:r w:rsidRPr="0013396E">
              <w:rPr>
                <w:i/>
              </w:rPr>
              <w:t xml:space="preserve">r </w:t>
            </w:r>
            <w:r w:rsidRPr="0013396E">
              <w:t>is a Combined Cycle Generation Resource within the Combined Cycle Train.</w:t>
            </w:r>
          </w:p>
        </w:tc>
      </w:tr>
      <w:tr w:rsidR="00F10AF1" w:rsidRPr="0013396E" w14:paraId="28945C5A"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7F1C7278" w14:textId="77777777" w:rsidR="00F10AF1" w:rsidRPr="0013396E" w:rsidRDefault="00F10AF1" w:rsidP="0099759E">
            <w:pPr>
              <w:pStyle w:val="tablebody0"/>
            </w:pPr>
            <w:r w:rsidRPr="0013396E">
              <w:t>RTMCPCRD</w:t>
            </w:r>
          </w:p>
        </w:tc>
        <w:tc>
          <w:tcPr>
            <w:tcW w:w="623" w:type="pct"/>
            <w:tcBorders>
              <w:top w:val="single" w:sz="4" w:space="0" w:color="auto"/>
              <w:left w:val="single" w:sz="4" w:space="0" w:color="auto"/>
              <w:bottom w:val="single" w:sz="4" w:space="0" w:color="auto"/>
              <w:right w:val="single" w:sz="4" w:space="0" w:color="auto"/>
            </w:tcBorders>
            <w:hideMark/>
          </w:tcPr>
          <w:p w14:paraId="01605BE9" w14:textId="77777777" w:rsidR="00F10AF1" w:rsidRPr="0013396E" w:rsidRDefault="00F10AF1" w:rsidP="0099759E">
            <w:pPr>
              <w:pStyle w:val="tablebody0"/>
            </w:pPr>
            <w:r w:rsidRPr="0013396E">
              <w:t>$/MW</w:t>
            </w:r>
          </w:p>
        </w:tc>
        <w:tc>
          <w:tcPr>
            <w:tcW w:w="3098" w:type="pct"/>
            <w:tcBorders>
              <w:top w:val="single" w:sz="4" w:space="0" w:color="auto"/>
              <w:left w:val="single" w:sz="4" w:space="0" w:color="auto"/>
              <w:bottom w:val="single" w:sz="4" w:space="0" w:color="auto"/>
              <w:right w:val="single" w:sz="4" w:space="0" w:color="auto"/>
            </w:tcBorders>
            <w:hideMark/>
          </w:tcPr>
          <w:p w14:paraId="68B2A5ED" w14:textId="77777777" w:rsidR="00F10AF1" w:rsidRPr="0013396E" w:rsidRDefault="00F10AF1" w:rsidP="0099759E">
            <w:pPr>
              <w:pStyle w:val="tablebody0"/>
              <w:rPr>
                <w:i/>
              </w:rPr>
            </w:pPr>
            <w:r w:rsidRPr="0013396E">
              <w:rPr>
                <w:i/>
              </w:rPr>
              <w:t>Real-Time Market Clearing Price for Capacity for Reg-Down</w:t>
            </w:r>
            <w:r w:rsidRPr="0013396E">
              <w:rPr>
                <w:iCs/>
              </w:rPr>
              <w:t>—</w:t>
            </w:r>
            <w:r w:rsidRPr="0013396E">
              <w:t>The Real-Time MCPC for Reg-Down for the 15-minute Settlement Interval.</w:t>
            </w:r>
          </w:p>
        </w:tc>
      </w:tr>
      <w:tr w:rsidR="00F10AF1" w:rsidRPr="0013396E" w14:paraId="5E3DD6B5"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5EA7B32C" w14:textId="77777777" w:rsidR="00F10AF1" w:rsidRPr="0013396E" w:rsidRDefault="00F10AF1" w:rsidP="0099759E">
            <w:pPr>
              <w:pStyle w:val="tablebody0"/>
            </w:pPr>
            <w:r w:rsidRPr="0013396E">
              <w:t xml:space="preserve">RTRDPARDS </w:t>
            </w:r>
            <w:r w:rsidRPr="0013396E">
              <w:rPr>
                <w:i/>
                <w:vertAlign w:val="subscript"/>
              </w:rPr>
              <w:t>y</w:t>
            </w:r>
          </w:p>
        </w:tc>
        <w:tc>
          <w:tcPr>
            <w:tcW w:w="623" w:type="pct"/>
            <w:tcBorders>
              <w:top w:val="single" w:sz="4" w:space="0" w:color="auto"/>
              <w:left w:val="single" w:sz="4" w:space="0" w:color="auto"/>
              <w:bottom w:val="single" w:sz="4" w:space="0" w:color="auto"/>
              <w:right w:val="single" w:sz="4" w:space="0" w:color="auto"/>
            </w:tcBorders>
            <w:hideMark/>
          </w:tcPr>
          <w:p w14:paraId="62918DF4" w14:textId="77777777" w:rsidR="00F10AF1" w:rsidRPr="0013396E" w:rsidRDefault="00F10AF1" w:rsidP="0099759E">
            <w:pPr>
              <w:pStyle w:val="tablebody0"/>
            </w:pPr>
            <w:r w:rsidRPr="0013396E">
              <w:t>$/MW</w:t>
            </w:r>
          </w:p>
        </w:tc>
        <w:tc>
          <w:tcPr>
            <w:tcW w:w="3098" w:type="pct"/>
            <w:tcBorders>
              <w:top w:val="single" w:sz="4" w:space="0" w:color="auto"/>
              <w:left w:val="single" w:sz="4" w:space="0" w:color="auto"/>
              <w:bottom w:val="single" w:sz="4" w:space="0" w:color="auto"/>
              <w:right w:val="single" w:sz="4" w:space="0" w:color="auto"/>
            </w:tcBorders>
            <w:hideMark/>
          </w:tcPr>
          <w:p w14:paraId="04FFA3DC" w14:textId="77777777" w:rsidR="00F10AF1" w:rsidRPr="0013396E" w:rsidRDefault="00F10AF1" w:rsidP="0099759E">
            <w:pPr>
              <w:pStyle w:val="tablebody0"/>
              <w:rPr>
                <w:i/>
              </w:rPr>
            </w:pPr>
            <w:r w:rsidRPr="0013396E">
              <w:rPr>
                <w:i/>
                <w:szCs w:val="18"/>
              </w:rPr>
              <w:t xml:space="preserve">Real-Time </w:t>
            </w:r>
            <w:r w:rsidRPr="0013396E">
              <w:rPr>
                <w:i/>
              </w:rPr>
              <w:t xml:space="preserve">Reliability Deployment Price Adder </w:t>
            </w:r>
            <w:r w:rsidRPr="0013396E">
              <w:rPr>
                <w:i/>
                <w:szCs w:val="18"/>
              </w:rPr>
              <w:t xml:space="preserve">for Ancillary Service for Reg-Down </w:t>
            </w:r>
            <w:r w:rsidRPr="0013396E">
              <w:rPr>
                <w:i/>
              </w:rPr>
              <w:t>per SCED interval</w:t>
            </w:r>
            <w:r w:rsidRPr="0013396E">
              <w:rPr>
                <w:iCs/>
              </w:rPr>
              <w:t>—</w:t>
            </w:r>
            <w:r w:rsidRPr="0013396E">
              <w:t xml:space="preserve">The Real-Time price adder for Reg-Down that captures the impact of reliability deployments on Reg-Down prices for the SCED interval </w:t>
            </w:r>
            <w:r w:rsidRPr="0013396E">
              <w:rPr>
                <w:i/>
              </w:rPr>
              <w:t>y</w:t>
            </w:r>
            <w:r w:rsidRPr="0013396E">
              <w:t>.</w:t>
            </w:r>
          </w:p>
        </w:tc>
      </w:tr>
      <w:tr w:rsidR="00F10AF1" w:rsidRPr="0013396E" w14:paraId="7CADF068"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0562C8E8" w14:textId="77777777" w:rsidR="00F10AF1" w:rsidRPr="0013396E" w:rsidRDefault="00F10AF1" w:rsidP="0099759E">
            <w:pPr>
              <w:pStyle w:val="tablebody0"/>
            </w:pPr>
            <w:r w:rsidRPr="0013396E">
              <w:lastRenderedPageBreak/>
              <w:t>DASARDQ</w:t>
            </w:r>
            <w:r w:rsidRPr="0013396E">
              <w:rPr>
                <w:i/>
                <w:vertAlign w:val="subscript"/>
              </w:rPr>
              <w:t xml:space="preserve"> q</w:t>
            </w:r>
          </w:p>
        </w:tc>
        <w:tc>
          <w:tcPr>
            <w:tcW w:w="623" w:type="pct"/>
            <w:tcBorders>
              <w:top w:val="single" w:sz="4" w:space="0" w:color="auto"/>
              <w:left w:val="single" w:sz="4" w:space="0" w:color="auto"/>
              <w:bottom w:val="single" w:sz="4" w:space="0" w:color="auto"/>
              <w:right w:val="single" w:sz="4" w:space="0" w:color="auto"/>
            </w:tcBorders>
            <w:hideMark/>
          </w:tcPr>
          <w:p w14:paraId="39C21604" w14:textId="77777777" w:rsidR="00F10AF1" w:rsidRPr="0013396E" w:rsidRDefault="00F10AF1" w:rsidP="0099759E">
            <w:pPr>
              <w:pStyle w:val="tablebody0"/>
            </w:pPr>
            <w:r w:rsidRPr="0013396E">
              <w:t>MW</w:t>
            </w:r>
          </w:p>
        </w:tc>
        <w:tc>
          <w:tcPr>
            <w:tcW w:w="3098" w:type="pct"/>
            <w:tcBorders>
              <w:top w:val="single" w:sz="4" w:space="0" w:color="auto"/>
              <w:left w:val="single" w:sz="4" w:space="0" w:color="auto"/>
              <w:bottom w:val="single" w:sz="4" w:space="0" w:color="auto"/>
              <w:right w:val="single" w:sz="4" w:space="0" w:color="auto"/>
            </w:tcBorders>
            <w:hideMark/>
          </w:tcPr>
          <w:p w14:paraId="65D377F5" w14:textId="77777777" w:rsidR="00F10AF1" w:rsidRPr="0013396E" w:rsidRDefault="00F10AF1" w:rsidP="0099759E">
            <w:pPr>
              <w:pStyle w:val="tablebody0"/>
              <w:rPr>
                <w:i/>
              </w:rPr>
            </w:pPr>
            <w:r w:rsidRPr="0013396E">
              <w:rPr>
                <w:i/>
                <w:iCs/>
              </w:rPr>
              <w:t>Day-Ahead Self-Arranged Reg-Down Quantity per QSE</w:t>
            </w:r>
            <w:r w:rsidRPr="0013396E">
              <w:rPr>
                <w:iCs/>
              </w:rPr>
              <w:t xml:space="preserve">—The self-arranged Reg-Down quantity submitted by QSE </w:t>
            </w:r>
            <w:r w:rsidRPr="0013396E">
              <w:rPr>
                <w:i/>
                <w:iCs/>
              </w:rPr>
              <w:t>q</w:t>
            </w:r>
            <w:r w:rsidRPr="0013396E">
              <w:rPr>
                <w:iCs/>
              </w:rPr>
              <w:t xml:space="preserve"> before 1000 in the DAM for the Operating Hour.</w:t>
            </w:r>
          </w:p>
        </w:tc>
      </w:tr>
      <w:tr w:rsidR="00F10AF1" w:rsidRPr="0013396E" w14:paraId="7D6301E4"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37ECB008" w14:textId="77777777" w:rsidR="00F10AF1" w:rsidRPr="0013396E" w:rsidRDefault="00F10AF1" w:rsidP="0099759E">
            <w:pPr>
              <w:pStyle w:val="tablebody0"/>
            </w:pPr>
            <w:r w:rsidRPr="0013396E">
              <w:t xml:space="preserve">RDTP </w:t>
            </w:r>
            <w:r w:rsidRPr="0013396E">
              <w:rPr>
                <w:i/>
                <w:vertAlign w:val="subscript"/>
              </w:rPr>
              <w:t>q</w:t>
            </w:r>
          </w:p>
        </w:tc>
        <w:tc>
          <w:tcPr>
            <w:tcW w:w="623" w:type="pct"/>
            <w:tcBorders>
              <w:top w:val="single" w:sz="4" w:space="0" w:color="auto"/>
              <w:left w:val="single" w:sz="4" w:space="0" w:color="auto"/>
              <w:bottom w:val="single" w:sz="4" w:space="0" w:color="auto"/>
              <w:right w:val="single" w:sz="4" w:space="0" w:color="auto"/>
            </w:tcBorders>
            <w:hideMark/>
          </w:tcPr>
          <w:p w14:paraId="0E29EC44" w14:textId="77777777" w:rsidR="00F10AF1" w:rsidRPr="0013396E" w:rsidRDefault="00F10AF1" w:rsidP="0099759E">
            <w:pPr>
              <w:pStyle w:val="tablebody0"/>
            </w:pPr>
            <w:r w:rsidRPr="0013396E">
              <w:t>MW</w:t>
            </w:r>
          </w:p>
        </w:tc>
        <w:tc>
          <w:tcPr>
            <w:tcW w:w="3098" w:type="pct"/>
            <w:tcBorders>
              <w:top w:val="single" w:sz="4" w:space="0" w:color="auto"/>
              <w:left w:val="single" w:sz="4" w:space="0" w:color="auto"/>
              <w:bottom w:val="single" w:sz="4" w:space="0" w:color="auto"/>
              <w:right w:val="single" w:sz="4" w:space="0" w:color="auto"/>
            </w:tcBorders>
            <w:hideMark/>
          </w:tcPr>
          <w:p w14:paraId="79599982" w14:textId="77777777" w:rsidR="00F10AF1" w:rsidRPr="0013396E" w:rsidRDefault="00F10AF1" w:rsidP="0099759E">
            <w:pPr>
              <w:pStyle w:val="tablebody0"/>
              <w:rPr>
                <w:i/>
              </w:rPr>
            </w:pPr>
            <w:r w:rsidRPr="0013396E">
              <w:rPr>
                <w:i/>
              </w:rPr>
              <w:t>Trade Purchases for Reg-Down for the QSE</w:t>
            </w:r>
            <w:r w:rsidRPr="0013396E">
              <w:t>—</w:t>
            </w:r>
            <w:r w:rsidRPr="0013396E">
              <w:rPr>
                <w:szCs w:val="18"/>
              </w:rPr>
              <w:t xml:space="preserve">The trade purchases for QSE </w:t>
            </w:r>
            <w:r w:rsidRPr="0013396E">
              <w:rPr>
                <w:i/>
                <w:szCs w:val="18"/>
              </w:rPr>
              <w:t>q</w:t>
            </w:r>
            <w:r w:rsidRPr="0013396E">
              <w:rPr>
                <w:szCs w:val="18"/>
              </w:rPr>
              <w:t xml:space="preserve"> for Reg-Down for the Operating Hour.</w:t>
            </w:r>
          </w:p>
        </w:tc>
      </w:tr>
      <w:tr w:rsidR="00F10AF1" w:rsidRPr="0013396E" w14:paraId="5A407F02"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5A4C76CC" w14:textId="77777777" w:rsidR="00F10AF1" w:rsidRPr="0013396E" w:rsidRDefault="00F10AF1" w:rsidP="0099759E">
            <w:pPr>
              <w:pStyle w:val="tablebody0"/>
            </w:pPr>
            <w:r w:rsidRPr="0013396E">
              <w:t xml:space="preserve">RDTS </w:t>
            </w:r>
            <w:r w:rsidRPr="0013396E">
              <w:rPr>
                <w:i/>
                <w:vertAlign w:val="subscript"/>
              </w:rPr>
              <w:t>q</w:t>
            </w:r>
          </w:p>
        </w:tc>
        <w:tc>
          <w:tcPr>
            <w:tcW w:w="623" w:type="pct"/>
            <w:tcBorders>
              <w:top w:val="single" w:sz="4" w:space="0" w:color="auto"/>
              <w:left w:val="single" w:sz="4" w:space="0" w:color="auto"/>
              <w:bottom w:val="single" w:sz="4" w:space="0" w:color="auto"/>
              <w:right w:val="single" w:sz="4" w:space="0" w:color="auto"/>
            </w:tcBorders>
            <w:hideMark/>
          </w:tcPr>
          <w:p w14:paraId="42764A66" w14:textId="77777777" w:rsidR="00F10AF1" w:rsidRPr="0013396E" w:rsidRDefault="00F10AF1" w:rsidP="0099759E">
            <w:pPr>
              <w:pStyle w:val="tablebody0"/>
            </w:pPr>
            <w:r w:rsidRPr="0013396E">
              <w:t>MW</w:t>
            </w:r>
          </w:p>
        </w:tc>
        <w:tc>
          <w:tcPr>
            <w:tcW w:w="3098" w:type="pct"/>
            <w:tcBorders>
              <w:top w:val="single" w:sz="4" w:space="0" w:color="auto"/>
              <w:left w:val="single" w:sz="4" w:space="0" w:color="auto"/>
              <w:bottom w:val="single" w:sz="4" w:space="0" w:color="auto"/>
              <w:right w:val="single" w:sz="4" w:space="0" w:color="auto"/>
            </w:tcBorders>
            <w:hideMark/>
          </w:tcPr>
          <w:p w14:paraId="4F11002C" w14:textId="77777777" w:rsidR="00F10AF1" w:rsidRPr="0013396E" w:rsidRDefault="00F10AF1" w:rsidP="0099759E">
            <w:pPr>
              <w:pStyle w:val="tablebody0"/>
              <w:rPr>
                <w:i/>
              </w:rPr>
            </w:pPr>
            <w:r w:rsidRPr="0013396E">
              <w:rPr>
                <w:i/>
              </w:rPr>
              <w:t>Trade Sales for Reg-Down for the QSE</w:t>
            </w:r>
            <w:r w:rsidRPr="0013396E">
              <w:t>—</w:t>
            </w:r>
            <w:r w:rsidRPr="0013396E">
              <w:rPr>
                <w:szCs w:val="18"/>
              </w:rPr>
              <w:t xml:space="preserve">The trade sales for QSE </w:t>
            </w:r>
            <w:r w:rsidRPr="0013396E">
              <w:rPr>
                <w:i/>
                <w:szCs w:val="18"/>
              </w:rPr>
              <w:t>q</w:t>
            </w:r>
            <w:r w:rsidRPr="0013396E">
              <w:rPr>
                <w:szCs w:val="18"/>
              </w:rPr>
              <w:t xml:space="preserve"> for Reg-Down for the Operating Hour.</w:t>
            </w:r>
          </w:p>
        </w:tc>
      </w:tr>
      <w:tr w:rsidR="00F10AF1" w:rsidRPr="0013396E" w14:paraId="373411C6"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7755668F" w14:textId="77777777" w:rsidR="00F10AF1" w:rsidRPr="0013396E" w:rsidRDefault="00F10AF1" w:rsidP="0099759E">
            <w:pPr>
              <w:pStyle w:val="tablebody0"/>
            </w:pPr>
            <w:r w:rsidRPr="0013396E">
              <w:t xml:space="preserve">TLMP </w:t>
            </w:r>
            <w:r w:rsidRPr="0013396E">
              <w:rPr>
                <w:i/>
                <w:vertAlign w:val="subscript"/>
              </w:rPr>
              <w:t>y</w:t>
            </w:r>
          </w:p>
        </w:tc>
        <w:tc>
          <w:tcPr>
            <w:tcW w:w="623" w:type="pct"/>
            <w:tcBorders>
              <w:top w:val="single" w:sz="4" w:space="0" w:color="auto"/>
              <w:left w:val="single" w:sz="4" w:space="0" w:color="auto"/>
              <w:bottom w:val="single" w:sz="4" w:space="0" w:color="auto"/>
              <w:right w:val="single" w:sz="4" w:space="0" w:color="auto"/>
            </w:tcBorders>
            <w:hideMark/>
          </w:tcPr>
          <w:p w14:paraId="224C7F4D" w14:textId="77777777" w:rsidR="00F10AF1" w:rsidRPr="0013396E" w:rsidRDefault="00F10AF1" w:rsidP="0099759E">
            <w:pPr>
              <w:pStyle w:val="tablebody0"/>
            </w:pPr>
            <w:r w:rsidRPr="0013396E">
              <w:t>second</w:t>
            </w:r>
          </w:p>
        </w:tc>
        <w:tc>
          <w:tcPr>
            <w:tcW w:w="3098" w:type="pct"/>
            <w:tcBorders>
              <w:top w:val="single" w:sz="4" w:space="0" w:color="auto"/>
              <w:left w:val="single" w:sz="4" w:space="0" w:color="auto"/>
              <w:bottom w:val="single" w:sz="4" w:space="0" w:color="auto"/>
              <w:right w:val="single" w:sz="4" w:space="0" w:color="auto"/>
            </w:tcBorders>
            <w:hideMark/>
          </w:tcPr>
          <w:p w14:paraId="6BBC707B" w14:textId="77777777" w:rsidR="00F10AF1" w:rsidRPr="0013396E" w:rsidRDefault="00F10AF1" w:rsidP="0099759E">
            <w:pPr>
              <w:pStyle w:val="tablebody0"/>
              <w:rPr>
                <w:i/>
              </w:rPr>
            </w:pPr>
            <w:r w:rsidRPr="0013396E">
              <w:rPr>
                <w:i/>
                <w:iCs/>
              </w:rPr>
              <w:t xml:space="preserve">Duration of </w:t>
            </w:r>
            <w:r w:rsidRPr="0013396E">
              <w:rPr>
                <w:i/>
              </w:rPr>
              <w:t>SCED</w:t>
            </w:r>
            <w:r w:rsidRPr="0013396E">
              <w:rPr>
                <w:i/>
                <w:iCs/>
              </w:rPr>
              <w:t xml:space="preserve"> interval per interval</w:t>
            </w:r>
            <w:r w:rsidRPr="0013396E">
              <w:rPr>
                <w:iCs/>
              </w:rPr>
              <w:t>—</w:t>
            </w:r>
            <w:r w:rsidRPr="0013396E">
              <w:t xml:space="preserve">The duration of the SCED interval </w:t>
            </w:r>
            <w:r w:rsidRPr="0013396E">
              <w:rPr>
                <w:i/>
                <w:iCs/>
              </w:rPr>
              <w:t>y</w:t>
            </w:r>
            <w:r w:rsidRPr="0013396E">
              <w:t>.</w:t>
            </w:r>
          </w:p>
        </w:tc>
      </w:tr>
      <w:tr w:rsidR="00F10AF1" w:rsidRPr="0013396E" w14:paraId="383BA173"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639AB2C4" w14:textId="77777777" w:rsidR="00F10AF1" w:rsidRPr="0013396E" w:rsidRDefault="00F10AF1" w:rsidP="0099759E">
            <w:pPr>
              <w:pStyle w:val="tablebody0"/>
            </w:pPr>
            <w:r w:rsidRPr="0013396E">
              <w:t xml:space="preserve">RNWF </w:t>
            </w:r>
            <w:r w:rsidRPr="0013396E">
              <w:rPr>
                <w:i/>
                <w:vertAlign w:val="subscript"/>
              </w:rPr>
              <w:t>y</w:t>
            </w:r>
          </w:p>
        </w:tc>
        <w:tc>
          <w:tcPr>
            <w:tcW w:w="623" w:type="pct"/>
            <w:tcBorders>
              <w:top w:val="single" w:sz="4" w:space="0" w:color="auto"/>
              <w:left w:val="single" w:sz="4" w:space="0" w:color="auto"/>
              <w:bottom w:val="single" w:sz="4" w:space="0" w:color="auto"/>
              <w:right w:val="single" w:sz="4" w:space="0" w:color="auto"/>
            </w:tcBorders>
            <w:hideMark/>
          </w:tcPr>
          <w:p w14:paraId="40C9013D" w14:textId="77777777" w:rsidR="00F10AF1" w:rsidRPr="0013396E" w:rsidRDefault="00F10AF1" w:rsidP="0099759E">
            <w:pPr>
              <w:pStyle w:val="tablebody0"/>
            </w:pPr>
            <w:r w:rsidRPr="0013396E">
              <w:t>none</w:t>
            </w:r>
          </w:p>
        </w:tc>
        <w:tc>
          <w:tcPr>
            <w:tcW w:w="3098" w:type="pct"/>
            <w:tcBorders>
              <w:top w:val="single" w:sz="4" w:space="0" w:color="auto"/>
              <w:left w:val="single" w:sz="4" w:space="0" w:color="auto"/>
              <w:bottom w:val="single" w:sz="4" w:space="0" w:color="auto"/>
              <w:right w:val="single" w:sz="4" w:space="0" w:color="auto"/>
            </w:tcBorders>
            <w:hideMark/>
          </w:tcPr>
          <w:p w14:paraId="7A415A8C" w14:textId="77777777" w:rsidR="00F10AF1" w:rsidRPr="0013396E" w:rsidRDefault="00F10AF1" w:rsidP="0099759E">
            <w:pPr>
              <w:pStyle w:val="tablebody0"/>
              <w:rPr>
                <w:i/>
              </w:rPr>
            </w:pPr>
            <w:r w:rsidRPr="0013396E">
              <w:rPr>
                <w:i/>
              </w:rPr>
              <w:t>Resource Node Weighting Factor per interval</w:t>
            </w:r>
            <w:r w:rsidRPr="0013396E">
              <w:rPr>
                <w:iCs/>
              </w:rPr>
              <w:t>—</w:t>
            </w:r>
            <w:r w:rsidRPr="0013396E">
              <w:t xml:space="preserve">The weight used in the Ancillary Service award calculation for the portion of the SCED interval </w:t>
            </w:r>
            <w:r w:rsidRPr="0013396E">
              <w:rPr>
                <w:i/>
                <w:iCs/>
              </w:rPr>
              <w:t>y</w:t>
            </w:r>
            <w:r w:rsidRPr="0013396E">
              <w:t xml:space="preserve"> within the Settlement Interval.</w:t>
            </w:r>
          </w:p>
        </w:tc>
      </w:tr>
      <w:tr w:rsidR="00F10AF1" w:rsidRPr="0013396E" w14:paraId="324BA291"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62AD8487" w14:textId="77777777" w:rsidR="00F10AF1" w:rsidRPr="0013396E" w:rsidRDefault="00F10AF1" w:rsidP="0099759E">
            <w:pPr>
              <w:pStyle w:val="tablebody0"/>
            </w:pPr>
            <w:r w:rsidRPr="0013396E">
              <w:t xml:space="preserve">RDRWF </w:t>
            </w:r>
            <w:r w:rsidRPr="0013396E">
              <w:rPr>
                <w:i/>
                <w:vertAlign w:val="subscript"/>
              </w:rPr>
              <w:t>q, r, y</w:t>
            </w:r>
          </w:p>
        </w:tc>
        <w:tc>
          <w:tcPr>
            <w:tcW w:w="623" w:type="pct"/>
            <w:tcBorders>
              <w:top w:val="single" w:sz="4" w:space="0" w:color="auto"/>
              <w:left w:val="single" w:sz="4" w:space="0" w:color="auto"/>
              <w:bottom w:val="single" w:sz="4" w:space="0" w:color="auto"/>
              <w:right w:val="single" w:sz="4" w:space="0" w:color="auto"/>
            </w:tcBorders>
            <w:hideMark/>
          </w:tcPr>
          <w:p w14:paraId="35C22162" w14:textId="77777777" w:rsidR="00F10AF1" w:rsidRPr="0013396E" w:rsidRDefault="00F10AF1" w:rsidP="0099759E">
            <w:pPr>
              <w:pStyle w:val="tablebody0"/>
            </w:pPr>
            <w:r w:rsidRPr="0013396E">
              <w:t>none</w:t>
            </w:r>
          </w:p>
        </w:tc>
        <w:tc>
          <w:tcPr>
            <w:tcW w:w="3098" w:type="pct"/>
            <w:tcBorders>
              <w:top w:val="single" w:sz="4" w:space="0" w:color="auto"/>
              <w:left w:val="single" w:sz="4" w:space="0" w:color="auto"/>
              <w:bottom w:val="single" w:sz="4" w:space="0" w:color="auto"/>
              <w:right w:val="single" w:sz="4" w:space="0" w:color="auto"/>
            </w:tcBorders>
            <w:hideMark/>
          </w:tcPr>
          <w:p w14:paraId="73878D7B" w14:textId="77777777" w:rsidR="00F10AF1" w:rsidRPr="0013396E" w:rsidRDefault="00F10AF1" w:rsidP="0099759E">
            <w:pPr>
              <w:pStyle w:val="tablebody0"/>
              <w:rPr>
                <w:i/>
              </w:rPr>
            </w:pPr>
            <w:r w:rsidRPr="0013396E">
              <w:rPr>
                <w:i/>
              </w:rPr>
              <w:t>Regulation Down Resource Node Weighting Factor per interval</w:t>
            </w:r>
            <w:r w:rsidRPr="0013396E">
              <w:rPr>
                <w:iCs/>
              </w:rPr>
              <w:t>—</w:t>
            </w:r>
            <w:r w:rsidRPr="0013396E">
              <w:t xml:space="preserve">The Reg-Down Resource weight, based on Reg-Down awards, used in the Real-Time MCPC calculation for the portion of the SCED interval </w:t>
            </w:r>
            <w:r w:rsidRPr="0013396E">
              <w:rPr>
                <w:i/>
                <w:iCs/>
              </w:rPr>
              <w:t>y</w:t>
            </w:r>
            <w:r w:rsidRPr="0013396E">
              <w:t xml:space="preserve"> within the Settlement Interval.  Where for a Combined Cycle Train, the Resource </w:t>
            </w:r>
            <w:r w:rsidRPr="0013396E">
              <w:rPr>
                <w:i/>
                <w:iCs/>
              </w:rPr>
              <w:t>r</w:t>
            </w:r>
            <w:r w:rsidRPr="0013396E">
              <w:t xml:space="preserve"> is a Combined Cycle Generation Resource within the Combined Cycle Train.   </w:t>
            </w:r>
          </w:p>
        </w:tc>
      </w:tr>
      <w:tr w:rsidR="00F10AF1" w:rsidRPr="0013396E" w14:paraId="7FE8F8D2"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1AA86A52" w14:textId="77777777" w:rsidR="00F10AF1" w:rsidRPr="0013396E" w:rsidRDefault="00F10AF1" w:rsidP="0099759E">
            <w:pPr>
              <w:pStyle w:val="tablebody0"/>
            </w:pPr>
            <w:r w:rsidRPr="0013396E">
              <w:rPr>
                <w:i/>
              </w:rPr>
              <w:t>r</w:t>
            </w:r>
          </w:p>
        </w:tc>
        <w:tc>
          <w:tcPr>
            <w:tcW w:w="623" w:type="pct"/>
            <w:tcBorders>
              <w:top w:val="single" w:sz="4" w:space="0" w:color="auto"/>
              <w:left w:val="single" w:sz="4" w:space="0" w:color="auto"/>
              <w:bottom w:val="single" w:sz="4" w:space="0" w:color="auto"/>
              <w:right w:val="single" w:sz="4" w:space="0" w:color="auto"/>
            </w:tcBorders>
            <w:hideMark/>
          </w:tcPr>
          <w:p w14:paraId="4A0396DE" w14:textId="77777777" w:rsidR="00F10AF1" w:rsidRPr="0013396E" w:rsidRDefault="00F10AF1" w:rsidP="0099759E">
            <w:pPr>
              <w:pStyle w:val="tablebody0"/>
            </w:pPr>
            <w:r w:rsidRPr="0013396E">
              <w:t>none</w:t>
            </w:r>
          </w:p>
        </w:tc>
        <w:tc>
          <w:tcPr>
            <w:tcW w:w="3098" w:type="pct"/>
            <w:tcBorders>
              <w:top w:val="single" w:sz="4" w:space="0" w:color="auto"/>
              <w:left w:val="single" w:sz="4" w:space="0" w:color="auto"/>
              <w:bottom w:val="single" w:sz="4" w:space="0" w:color="auto"/>
              <w:right w:val="single" w:sz="4" w:space="0" w:color="auto"/>
            </w:tcBorders>
            <w:hideMark/>
          </w:tcPr>
          <w:p w14:paraId="06BF9CA4" w14:textId="77777777" w:rsidR="00F10AF1" w:rsidRPr="0013396E" w:rsidRDefault="00F10AF1" w:rsidP="0099759E">
            <w:pPr>
              <w:pStyle w:val="tablebody0"/>
              <w:rPr>
                <w:i/>
              </w:rPr>
            </w:pPr>
            <w:r w:rsidRPr="0013396E">
              <w:t>A Resource.</w:t>
            </w:r>
          </w:p>
        </w:tc>
      </w:tr>
      <w:tr w:rsidR="00F10AF1" w:rsidRPr="0013396E" w14:paraId="6CB4906E"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279E87CD" w14:textId="77777777" w:rsidR="00F10AF1" w:rsidRPr="0013396E" w:rsidRDefault="00F10AF1" w:rsidP="0099759E">
            <w:pPr>
              <w:pStyle w:val="tablebody0"/>
              <w:rPr>
                <w:i/>
              </w:rPr>
            </w:pPr>
            <w:r w:rsidRPr="0013396E">
              <w:rPr>
                <w:i/>
              </w:rPr>
              <w:t>q</w:t>
            </w:r>
          </w:p>
        </w:tc>
        <w:tc>
          <w:tcPr>
            <w:tcW w:w="623" w:type="pct"/>
            <w:tcBorders>
              <w:top w:val="single" w:sz="4" w:space="0" w:color="auto"/>
              <w:left w:val="single" w:sz="4" w:space="0" w:color="auto"/>
              <w:bottom w:val="single" w:sz="4" w:space="0" w:color="auto"/>
              <w:right w:val="single" w:sz="4" w:space="0" w:color="auto"/>
            </w:tcBorders>
            <w:hideMark/>
          </w:tcPr>
          <w:p w14:paraId="07CC9287" w14:textId="77777777" w:rsidR="00F10AF1" w:rsidRPr="0013396E" w:rsidRDefault="00F10AF1" w:rsidP="0099759E">
            <w:pPr>
              <w:pStyle w:val="tablebody0"/>
            </w:pPr>
            <w:r w:rsidRPr="0013396E">
              <w:t>none</w:t>
            </w:r>
          </w:p>
        </w:tc>
        <w:tc>
          <w:tcPr>
            <w:tcW w:w="3098" w:type="pct"/>
            <w:tcBorders>
              <w:top w:val="single" w:sz="4" w:space="0" w:color="auto"/>
              <w:left w:val="single" w:sz="4" w:space="0" w:color="auto"/>
              <w:bottom w:val="single" w:sz="4" w:space="0" w:color="auto"/>
              <w:right w:val="single" w:sz="4" w:space="0" w:color="auto"/>
            </w:tcBorders>
            <w:hideMark/>
          </w:tcPr>
          <w:p w14:paraId="4E1DEA5B" w14:textId="77777777" w:rsidR="00F10AF1" w:rsidRPr="0013396E" w:rsidRDefault="00F10AF1" w:rsidP="0099759E">
            <w:pPr>
              <w:pStyle w:val="tablebody0"/>
            </w:pPr>
            <w:r w:rsidRPr="0013396E">
              <w:t>A QSE.</w:t>
            </w:r>
          </w:p>
        </w:tc>
      </w:tr>
      <w:tr w:rsidR="00F10AF1" w:rsidRPr="0013396E" w14:paraId="6D834ED0"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6615B0F6" w14:textId="77777777" w:rsidR="00F10AF1" w:rsidRPr="0013396E" w:rsidRDefault="00F10AF1" w:rsidP="0099759E">
            <w:pPr>
              <w:pStyle w:val="tablebody0"/>
              <w:rPr>
                <w:i/>
              </w:rPr>
            </w:pPr>
            <w:r w:rsidRPr="0013396E">
              <w:rPr>
                <w:i/>
              </w:rPr>
              <w:t>y</w:t>
            </w:r>
          </w:p>
        </w:tc>
        <w:tc>
          <w:tcPr>
            <w:tcW w:w="623" w:type="pct"/>
            <w:tcBorders>
              <w:top w:val="single" w:sz="4" w:space="0" w:color="auto"/>
              <w:left w:val="single" w:sz="4" w:space="0" w:color="auto"/>
              <w:bottom w:val="single" w:sz="4" w:space="0" w:color="auto"/>
              <w:right w:val="single" w:sz="4" w:space="0" w:color="auto"/>
            </w:tcBorders>
            <w:hideMark/>
          </w:tcPr>
          <w:p w14:paraId="6932C7DF" w14:textId="77777777" w:rsidR="00F10AF1" w:rsidRPr="0013396E" w:rsidRDefault="00F10AF1" w:rsidP="0099759E">
            <w:pPr>
              <w:pStyle w:val="tablebody0"/>
            </w:pPr>
            <w:r w:rsidRPr="0013396E">
              <w:t>none</w:t>
            </w:r>
          </w:p>
        </w:tc>
        <w:tc>
          <w:tcPr>
            <w:tcW w:w="3098" w:type="pct"/>
            <w:tcBorders>
              <w:top w:val="single" w:sz="4" w:space="0" w:color="auto"/>
              <w:left w:val="single" w:sz="4" w:space="0" w:color="auto"/>
              <w:bottom w:val="single" w:sz="4" w:space="0" w:color="auto"/>
              <w:right w:val="single" w:sz="4" w:space="0" w:color="auto"/>
            </w:tcBorders>
            <w:hideMark/>
          </w:tcPr>
          <w:p w14:paraId="5C2AB58A" w14:textId="77777777" w:rsidR="00F10AF1" w:rsidRPr="0013396E" w:rsidRDefault="00F10AF1" w:rsidP="0099759E">
            <w:pPr>
              <w:pStyle w:val="tablebody0"/>
            </w:pPr>
            <w:r w:rsidRPr="0013396E">
              <w:t>A SCED interval in the 15-minute Settlement Interval.</w:t>
            </w:r>
          </w:p>
        </w:tc>
      </w:tr>
    </w:tbl>
    <w:p w14:paraId="6173800A" w14:textId="77777777" w:rsidR="00F10AF1" w:rsidRPr="0013396E" w:rsidRDefault="00F10AF1" w:rsidP="00F10AF1">
      <w:pPr>
        <w:spacing w:before="240" w:after="240"/>
      </w:pPr>
      <w:r w:rsidRPr="0013396E">
        <w:t>(2)</w:t>
      </w:r>
      <w:r w:rsidRPr="0013396E">
        <w:tab/>
        <w:t>Reg-Down Only Charge:</w:t>
      </w:r>
    </w:p>
    <w:p w14:paraId="2703F0DA" w14:textId="77777777" w:rsidR="00F10AF1" w:rsidRPr="0013396E" w:rsidRDefault="00F10AF1" w:rsidP="00F10AF1">
      <w:pPr>
        <w:pStyle w:val="FormulaBold"/>
      </w:pPr>
      <w:r w:rsidRPr="0013396E">
        <w:t>RTRDOAMT</w:t>
      </w:r>
      <w:r w:rsidRPr="0013396E">
        <w:rPr>
          <w:i/>
          <w:vertAlign w:val="subscript"/>
        </w:rPr>
        <w:t xml:space="preserve"> q  </w:t>
      </w:r>
      <w:r w:rsidRPr="0013396E">
        <w:t xml:space="preserve">= </w:t>
      </w:r>
      <w:r w:rsidRPr="0013396E">
        <w:tab/>
        <w:t xml:space="preserve">(1/4) * DARDOAWD </w:t>
      </w:r>
      <w:r w:rsidRPr="0013396E">
        <w:rPr>
          <w:i/>
          <w:vertAlign w:val="subscript"/>
        </w:rPr>
        <w:t>q</w:t>
      </w:r>
      <w:r w:rsidRPr="0013396E">
        <w:t xml:space="preserve"> * RTMCPCRD</w:t>
      </w:r>
    </w:p>
    <w:p w14:paraId="5D3BA047" w14:textId="77777777" w:rsidR="00F10AF1" w:rsidRPr="0013396E" w:rsidRDefault="00F10AF1" w:rsidP="00F10AF1">
      <w:pPr>
        <w:pStyle w:val="Instructions"/>
        <w:spacing w:after="0"/>
        <w:rPr>
          <w:i w:val="0"/>
        </w:rPr>
      </w:pPr>
      <w:r w:rsidRPr="0013396E">
        <w:rPr>
          <w:b w:val="0"/>
          <w:i w:val="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392"/>
        <w:gridCol w:w="1165"/>
        <w:gridCol w:w="5793"/>
      </w:tblGrid>
      <w:tr w:rsidR="00F10AF1" w:rsidRPr="0013396E" w14:paraId="1580B0D6" w14:textId="77777777" w:rsidTr="0099759E">
        <w:trPr>
          <w:cantSplit/>
          <w:tblHeader/>
        </w:trPr>
        <w:tc>
          <w:tcPr>
            <w:tcW w:w="1279" w:type="pct"/>
            <w:tcBorders>
              <w:top w:val="single" w:sz="4" w:space="0" w:color="auto"/>
              <w:left w:val="single" w:sz="4" w:space="0" w:color="auto"/>
              <w:bottom w:val="single" w:sz="4" w:space="0" w:color="auto"/>
              <w:right w:val="single" w:sz="4" w:space="0" w:color="auto"/>
            </w:tcBorders>
            <w:hideMark/>
          </w:tcPr>
          <w:p w14:paraId="5380AFC4" w14:textId="77777777" w:rsidR="00F10AF1" w:rsidRPr="0013396E" w:rsidRDefault="00F10AF1" w:rsidP="0099759E">
            <w:pPr>
              <w:pStyle w:val="TableHead"/>
            </w:pPr>
            <w:r w:rsidRPr="0013396E">
              <w:t>Variable</w:t>
            </w:r>
          </w:p>
        </w:tc>
        <w:tc>
          <w:tcPr>
            <w:tcW w:w="623" w:type="pct"/>
            <w:tcBorders>
              <w:top w:val="single" w:sz="4" w:space="0" w:color="auto"/>
              <w:left w:val="single" w:sz="4" w:space="0" w:color="auto"/>
              <w:bottom w:val="single" w:sz="4" w:space="0" w:color="auto"/>
              <w:right w:val="single" w:sz="4" w:space="0" w:color="auto"/>
            </w:tcBorders>
            <w:hideMark/>
          </w:tcPr>
          <w:p w14:paraId="0AE3C23B" w14:textId="77777777" w:rsidR="00F10AF1" w:rsidRPr="0013396E" w:rsidRDefault="00F10AF1" w:rsidP="0099759E">
            <w:pPr>
              <w:pStyle w:val="TableHead"/>
            </w:pPr>
            <w:r w:rsidRPr="0013396E">
              <w:t>Unit</w:t>
            </w:r>
          </w:p>
        </w:tc>
        <w:tc>
          <w:tcPr>
            <w:tcW w:w="3098" w:type="pct"/>
            <w:tcBorders>
              <w:top w:val="single" w:sz="4" w:space="0" w:color="auto"/>
              <w:left w:val="single" w:sz="4" w:space="0" w:color="auto"/>
              <w:bottom w:val="single" w:sz="4" w:space="0" w:color="auto"/>
              <w:right w:val="single" w:sz="4" w:space="0" w:color="auto"/>
            </w:tcBorders>
            <w:hideMark/>
          </w:tcPr>
          <w:p w14:paraId="5E9F049C" w14:textId="77777777" w:rsidR="00F10AF1" w:rsidRPr="0013396E" w:rsidRDefault="00F10AF1" w:rsidP="0099759E">
            <w:pPr>
              <w:pStyle w:val="TableHead"/>
            </w:pPr>
            <w:r w:rsidRPr="0013396E">
              <w:t>Description</w:t>
            </w:r>
          </w:p>
        </w:tc>
      </w:tr>
      <w:tr w:rsidR="00F10AF1" w:rsidRPr="0013396E" w14:paraId="1BF39117"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050CC542" w14:textId="77777777" w:rsidR="00F10AF1" w:rsidRPr="0013396E" w:rsidRDefault="00F10AF1" w:rsidP="0099759E">
            <w:pPr>
              <w:pStyle w:val="tablebody0"/>
            </w:pPr>
            <w:r w:rsidRPr="0013396E">
              <w:t xml:space="preserve">RTRDOAMT </w:t>
            </w:r>
            <w:r w:rsidRPr="0013396E">
              <w:rPr>
                <w:i/>
                <w:vertAlign w:val="subscript"/>
              </w:rPr>
              <w:t>q</w:t>
            </w:r>
          </w:p>
        </w:tc>
        <w:tc>
          <w:tcPr>
            <w:tcW w:w="623" w:type="pct"/>
            <w:tcBorders>
              <w:top w:val="single" w:sz="4" w:space="0" w:color="auto"/>
              <w:left w:val="single" w:sz="4" w:space="0" w:color="auto"/>
              <w:bottom w:val="single" w:sz="4" w:space="0" w:color="auto"/>
              <w:right w:val="single" w:sz="4" w:space="0" w:color="auto"/>
            </w:tcBorders>
            <w:hideMark/>
          </w:tcPr>
          <w:p w14:paraId="55F81B57" w14:textId="77777777" w:rsidR="00F10AF1" w:rsidRPr="0013396E" w:rsidRDefault="00F10AF1" w:rsidP="0099759E">
            <w:pPr>
              <w:pStyle w:val="tablebody0"/>
            </w:pPr>
            <w:r w:rsidRPr="0013396E">
              <w:t>$</w:t>
            </w:r>
          </w:p>
        </w:tc>
        <w:tc>
          <w:tcPr>
            <w:tcW w:w="3098" w:type="pct"/>
            <w:tcBorders>
              <w:top w:val="single" w:sz="4" w:space="0" w:color="auto"/>
              <w:left w:val="single" w:sz="4" w:space="0" w:color="auto"/>
              <w:bottom w:val="single" w:sz="4" w:space="0" w:color="auto"/>
              <w:right w:val="single" w:sz="4" w:space="0" w:color="auto"/>
            </w:tcBorders>
            <w:hideMark/>
          </w:tcPr>
          <w:p w14:paraId="2A3DB272" w14:textId="77777777" w:rsidR="00F10AF1" w:rsidRPr="0013396E" w:rsidRDefault="00F10AF1" w:rsidP="0099759E">
            <w:pPr>
              <w:pStyle w:val="tablebody0"/>
              <w:rPr>
                <w:i/>
              </w:rPr>
            </w:pPr>
            <w:r w:rsidRPr="0013396E">
              <w:rPr>
                <w:i/>
              </w:rPr>
              <w:t>Real-Time Reg-Down Only Amount for the QSE</w:t>
            </w:r>
            <w:r w:rsidRPr="0013396E">
              <w:t xml:space="preserve">—The total charge to QSE </w:t>
            </w:r>
            <w:r w:rsidRPr="0013396E">
              <w:rPr>
                <w:i/>
              </w:rPr>
              <w:t>q</w:t>
            </w:r>
            <w:r w:rsidRPr="0013396E">
              <w:t xml:space="preserve"> in Real-Time for Reg-Down only awards for each 15-minute Settlement Interval.</w:t>
            </w:r>
          </w:p>
        </w:tc>
      </w:tr>
      <w:tr w:rsidR="00F10AF1" w:rsidRPr="0013396E" w14:paraId="0301E08C"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6A11D261" w14:textId="77777777" w:rsidR="00F10AF1" w:rsidRPr="0013396E" w:rsidRDefault="00F10AF1" w:rsidP="0099759E">
            <w:pPr>
              <w:pStyle w:val="tablebody0"/>
            </w:pPr>
            <w:r w:rsidRPr="0013396E">
              <w:t xml:space="preserve">DARDOAWD </w:t>
            </w:r>
            <w:r w:rsidRPr="0013396E">
              <w:rPr>
                <w:i/>
                <w:vertAlign w:val="subscript"/>
              </w:rPr>
              <w:t>q</w:t>
            </w:r>
          </w:p>
        </w:tc>
        <w:tc>
          <w:tcPr>
            <w:tcW w:w="623" w:type="pct"/>
            <w:tcBorders>
              <w:top w:val="single" w:sz="4" w:space="0" w:color="auto"/>
              <w:left w:val="single" w:sz="4" w:space="0" w:color="auto"/>
              <w:bottom w:val="single" w:sz="4" w:space="0" w:color="auto"/>
              <w:right w:val="single" w:sz="4" w:space="0" w:color="auto"/>
            </w:tcBorders>
            <w:hideMark/>
          </w:tcPr>
          <w:p w14:paraId="48C0C7D4" w14:textId="77777777" w:rsidR="00F10AF1" w:rsidRPr="0013396E" w:rsidRDefault="00F10AF1" w:rsidP="0099759E">
            <w:pPr>
              <w:pStyle w:val="tablebody0"/>
            </w:pPr>
            <w:r w:rsidRPr="0013396E">
              <w:t>MW</w:t>
            </w:r>
          </w:p>
        </w:tc>
        <w:tc>
          <w:tcPr>
            <w:tcW w:w="3098" w:type="pct"/>
            <w:tcBorders>
              <w:top w:val="single" w:sz="4" w:space="0" w:color="auto"/>
              <w:left w:val="single" w:sz="4" w:space="0" w:color="auto"/>
              <w:bottom w:val="single" w:sz="4" w:space="0" w:color="auto"/>
              <w:right w:val="single" w:sz="4" w:space="0" w:color="auto"/>
            </w:tcBorders>
            <w:hideMark/>
          </w:tcPr>
          <w:p w14:paraId="26BEDBC5" w14:textId="77777777" w:rsidR="00F10AF1" w:rsidRPr="0013396E" w:rsidRDefault="00F10AF1" w:rsidP="0099759E">
            <w:pPr>
              <w:pStyle w:val="tablebody0"/>
              <w:rPr>
                <w:i/>
              </w:rPr>
            </w:pPr>
            <w:r w:rsidRPr="0013396E">
              <w:rPr>
                <w:i/>
              </w:rPr>
              <w:t>Day-Ahead Reg-Down Only Award for the QSE</w:t>
            </w:r>
            <w:r w:rsidRPr="0013396E">
              <w:sym w:font="Symbol" w:char="F0BE"/>
            </w:r>
            <w:r w:rsidRPr="0013396E">
              <w:t xml:space="preserve">The Reg-Down only capacity awarded in the DAM to the QSE </w:t>
            </w:r>
            <w:r w:rsidRPr="0013396E">
              <w:rPr>
                <w:i/>
              </w:rPr>
              <w:t>q</w:t>
            </w:r>
            <w:r w:rsidRPr="0013396E">
              <w:t xml:space="preserve"> for the </w:t>
            </w:r>
            <w:r w:rsidRPr="0013396E">
              <w:rPr>
                <w:szCs w:val="18"/>
              </w:rPr>
              <w:t>Operating Hour</w:t>
            </w:r>
            <w:r w:rsidRPr="0013396E">
              <w:t>.</w:t>
            </w:r>
          </w:p>
        </w:tc>
      </w:tr>
      <w:tr w:rsidR="00F10AF1" w:rsidRPr="0013396E" w14:paraId="560D7E82"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7A101560" w14:textId="77777777" w:rsidR="00F10AF1" w:rsidRPr="0013396E" w:rsidRDefault="00F10AF1" w:rsidP="0099759E">
            <w:pPr>
              <w:pStyle w:val="tablebody0"/>
            </w:pPr>
            <w:r w:rsidRPr="0013396E">
              <w:t>RTMCPCRD</w:t>
            </w:r>
          </w:p>
        </w:tc>
        <w:tc>
          <w:tcPr>
            <w:tcW w:w="623" w:type="pct"/>
            <w:tcBorders>
              <w:top w:val="single" w:sz="4" w:space="0" w:color="auto"/>
              <w:left w:val="single" w:sz="4" w:space="0" w:color="auto"/>
              <w:bottom w:val="single" w:sz="4" w:space="0" w:color="auto"/>
              <w:right w:val="single" w:sz="4" w:space="0" w:color="auto"/>
            </w:tcBorders>
            <w:hideMark/>
          </w:tcPr>
          <w:p w14:paraId="5610FEC2" w14:textId="77777777" w:rsidR="00F10AF1" w:rsidRPr="0013396E" w:rsidRDefault="00F10AF1" w:rsidP="0099759E">
            <w:pPr>
              <w:pStyle w:val="tablebody0"/>
            </w:pPr>
            <w:r w:rsidRPr="0013396E">
              <w:t>$/MW</w:t>
            </w:r>
          </w:p>
        </w:tc>
        <w:tc>
          <w:tcPr>
            <w:tcW w:w="3098" w:type="pct"/>
            <w:tcBorders>
              <w:top w:val="single" w:sz="4" w:space="0" w:color="auto"/>
              <w:left w:val="single" w:sz="4" w:space="0" w:color="auto"/>
              <w:bottom w:val="single" w:sz="4" w:space="0" w:color="auto"/>
              <w:right w:val="single" w:sz="4" w:space="0" w:color="auto"/>
            </w:tcBorders>
            <w:hideMark/>
          </w:tcPr>
          <w:p w14:paraId="650A4532" w14:textId="77777777" w:rsidR="00F10AF1" w:rsidRPr="0013396E" w:rsidRDefault="00F10AF1" w:rsidP="0099759E">
            <w:pPr>
              <w:pStyle w:val="tablebody0"/>
              <w:rPr>
                <w:i/>
              </w:rPr>
            </w:pPr>
            <w:r w:rsidRPr="0013396E">
              <w:rPr>
                <w:i/>
              </w:rPr>
              <w:t>Real-Time Market Clearing Price for Capacity for Reg-Down</w:t>
            </w:r>
            <w:r w:rsidRPr="0013396E">
              <w:rPr>
                <w:iCs/>
              </w:rPr>
              <w:t>—</w:t>
            </w:r>
            <w:r w:rsidRPr="0013396E">
              <w:t>The Real-Time MCPC for Reg-Down for the 15-minute Settlement Interval.</w:t>
            </w:r>
          </w:p>
        </w:tc>
      </w:tr>
      <w:tr w:rsidR="00F10AF1" w:rsidRPr="0013396E" w14:paraId="6D77E26A"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5EBB17EB" w14:textId="77777777" w:rsidR="00F10AF1" w:rsidRPr="0013396E" w:rsidRDefault="00F10AF1" w:rsidP="0099759E">
            <w:pPr>
              <w:pStyle w:val="tablebody0"/>
              <w:rPr>
                <w:i/>
              </w:rPr>
            </w:pPr>
            <w:r w:rsidRPr="0013396E">
              <w:rPr>
                <w:i/>
              </w:rPr>
              <w:t>q</w:t>
            </w:r>
          </w:p>
        </w:tc>
        <w:tc>
          <w:tcPr>
            <w:tcW w:w="623" w:type="pct"/>
            <w:tcBorders>
              <w:top w:val="single" w:sz="4" w:space="0" w:color="auto"/>
              <w:left w:val="single" w:sz="4" w:space="0" w:color="auto"/>
              <w:bottom w:val="single" w:sz="4" w:space="0" w:color="auto"/>
              <w:right w:val="single" w:sz="4" w:space="0" w:color="auto"/>
            </w:tcBorders>
            <w:hideMark/>
          </w:tcPr>
          <w:p w14:paraId="4A917247" w14:textId="77777777" w:rsidR="00F10AF1" w:rsidRPr="0013396E" w:rsidRDefault="00F10AF1" w:rsidP="0099759E">
            <w:pPr>
              <w:pStyle w:val="tablebody0"/>
            </w:pPr>
            <w:r w:rsidRPr="0013396E">
              <w:t>none</w:t>
            </w:r>
          </w:p>
        </w:tc>
        <w:tc>
          <w:tcPr>
            <w:tcW w:w="3098" w:type="pct"/>
            <w:tcBorders>
              <w:top w:val="single" w:sz="4" w:space="0" w:color="auto"/>
              <w:left w:val="single" w:sz="4" w:space="0" w:color="auto"/>
              <w:bottom w:val="single" w:sz="4" w:space="0" w:color="auto"/>
              <w:right w:val="single" w:sz="4" w:space="0" w:color="auto"/>
            </w:tcBorders>
            <w:hideMark/>
          </w:tcPr>
          <w:p w14:paraId="48D9FAD0" w14:textId="77777777" w:rsidR="00F10AF1" w:rsidRPr="0013396E" w:rsidRDefault="00F10AF1" w:rsidP="0099759E">
            <w:pPr>
              <w:pStyle w:val="tablebody0"/>
            </w:pPr>
            <w:r w:rsidRPr="0013396E">
              <w:t>A QSE.</w:t>
            </w:r>
          </w:p>
        </w:tc>
      </w:tr>
    </w:tbl>
    <w:p w14:paraId="2B35E915" w14:textId="77777777" w:rsidR="00F10AF1" w:rsidRPr="0013396E" w:rsidRDefault="00F10AF1" w:rsidP="00F10AF1">
      <w:pPr>
        <w:spacing w:before="240" w:after="240"/>
      </w:pPr>
      <w:r w:rsidRPr="0013396E">
        <w:t>(3)</w:t>
      </w:r>
      <w:r w:rsidRPr="0013396E">
        <w:tab/>
        <w:t>Reg-Down Trade Overage Charge:</w:t>
      </w:r>
    </w:p>
    <w:p w14:paraId="4E3B85BF" w14:textId="77777777" w:rsidR="00F10AF1" w:rsidRPr="0013396E" w:rsidRDefault="00F10AF1" w:rsidP="00F10AF1">
      <w:pPr>
        <w:pStyle w:val="FormulaBold"/>
      </w:pPr>
      <w:r w:rsidRPr="0013396E">
        <w:t>RTRDTOAMT</w:t>
      </w:r>
      <w:r w:rsidRPr="0013396E">
        <w:rPr>
          <w:i/>
          <w:vertAlign w:val="subscript"/>
        </w:rPr>
        <w:t xml:space="preserve"> q  </w:t>
      </w:r>
      <w:r w:rsidRPr="0013396E">
        <w:t xml:space="preserve">= </w:t>
      </w:r>
      <w:r w:rsidRPr="0013396E">
        <w:tab/>
        <w:t xml:space="preserve">(1/4) * RTRDTO </w:t>
      </w:r>
      <w:r w:rsidRPr="0013396E">
        <w:rPr>
          <w:i/>
          <w:vertAlign w:val="subscript"/>
        </w:rPr>
        <w:t>q</w:t>
      </w:r>
      <w:r w:rsidRPr="0013396E">
        <w:t xml:space="preserve"> * RTMCPCRD</w:t>
      </w:r>
    </w:p>
    <w:p w14:paraId="5C86D64A" w14:textId="77777777" w:rsidR="00F10AF1" w:rsidRPr="0013396E" w:rsidRDefault="00F10AF1" w:rsidP="00F10AF1">
      <w:pPr>
        <w:pStyle w:val="Instructions"/>
        <w:spacing w:after="0"/>
        <w:ind w:left="720" w:hanging="720"/>
        <w:rPr>
          <w:b w:val="0"/>
          <w:i w:val="0"/>
        </w:rPr>
      </w:pPr>
      <w:r w:rsidRPr="0013396E">
        <w:rPr>
          <w:b w:val="0"/>
          <w:i w:val="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392"/>
        <w:gridCol w:w="1165"/>
        <w:gridCol w:w="5793"/>
      </w:tblGrid>
      <w:tr w:rsidR="00F10AF1" w:rsidRPr="0013396E" w14:paraId="65243075" w14:textId="77777777" w:rsidTr="0099759E">
        <w:trPr>
          <w:cantSplit/>
          <w:tblHeader/>
        </w:trPr>
        <w:tc>
          <w:tcPr>
            <w:tcW w:w="1279" w:type="pct"/>
            <w:tcBorders>
              <w:top w:val="single" w:sz="4" w:space="0" w:color="auto"/>
              <w:left w:val="single" w:sz="4" w:space="0" w:color="auto"/>
              <w:bottom w:val="single" w:sz="4" w:space="0" w:color="auto"/>
              <w:right w:val="single" w:sz="4" w:space="0" w:color="auto"/>
            </w:tcBorders>
            <w:hideMark/>
          </w:tcPr>
          <w:p w14:paraId="3BD7AFEC" w14:textId="77777777" w:rsidR="00F10AF1" w:rsidRPr="0013396E" w:rsidRDefault="00F10AF1" w:rsidP="0099759E">
            <w:pPr>
              <w:pStyle w:val="TableHead"/>
            </w:pPr>
            <w:r w:rsidRPr="0013396E">
              <w:lastRenderedPageBreak/>
              <w:t>Variable</w:t>
            </w:r>
          </w:p>
        </w:tc>
        <w:tc>
          <w:tcPr>
            <w:tcW w:w="623" w:type="pct"/>
            <w:tcBorders>
              <w:top w:val="single" w:sz="4" w:space="0" w:color="auto"/>
              <w:left w:val="single" w:sz="4" w:space="0" w:color="auto"/>
              <w:bottom w:val="single" w:sz="4" w:space="0" w:color="auto"/>
              <w:right w:val="single" w:sz="4" w:space="0" w:color="auto"/>
            </w:tcBorders>
            <w:hideMark/>
          </w:tcPr>
          <w:p w14:paraId="5C84BECF" w14:textId="77777777" w:rsidR="00F10AF1" w:rsidRPr="0013396E" w:rsidRDefault="00F10AF1" w:rsidP="0099759E">
            <w:pPr>
              <w:pStyle w:val="TableHead"/>
            </w:pPr>
            <w:r w:rsidRPr="0013396E">
              <w:t>Unit</w:t>
            </w:r>
          </w:p>
        </w:tc>
        <w:tc>
          <w:tcPr>
            <w:tcW w:w="3098" w:type="pct"/>
            <w:tcBorders>
              <w:top w:val="single" w:sz="4" w:space="0" w:color="auto"/>
              <w:left w:val="single" w:sz="4" w:space="0" w:color="auto"/>
              <w:bottom w:val="single" w:sz="4" w:space="0" w:color="auto"/>
              <w:right w:val="single" w:sz="4" w:space="0" w:color="auto"/>
            </w:tcBorders>
            <w:hideMark/>
          </w:tcPr>
          <w:p w14:paraId="6B98EF60" w14:textId="77777777" w:rsidR="00F10AF1" w:rsidRPr="0013396E" w:rsidRDefault="00F10AF1" w:rsidP="0099759E">
            <w:pPr>
              <w:pStyle w:val="TableHead"/>
            </w:pPr>
            <w:r w:rsidRPr="0013396E">
              <w:t>Description</w:t>
            </w:r>
          </w:p>
        </w:tc>
      </w:tr>
      <w:tr w:rsidR="00F10AF1" w:rsidRPr="0013396E" w14:paraId="0007685B"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3863D8A3" w14:textId="77777777" w:rsidR="00F10AF1" w:rsidRPr="0013396E" w:rsidRDefault="00F10AF1" w:rsidP="0099759E">
            <w:pPr>
              <w:pStyle w:val="tablebody0"/>
            </w:pPr>
            <w:r w:rsidRPr="0013396E">
              <w:t xml:space="preserve">RTRDTOAMT </w:t>
            </w:r>
            <w:r w:rsidRPr="0013396E">
              <w:rPr>
                <w:i/>
                <w:vertAlign w:val="subscript"/>
              </w:rPr>
              <w:t>q</w:t>
            </w:r>
          </w:p>
        </w:tc>
        <w:tc>
          <w:tcPr>
            <w:tcW w:w="623" w:type="pct"/>
            <w:tcBorders>
              <w:top w:val="single" w:sz="4" w:space="0" w:color="auto"/>
              <w:left w:val="single" w:sz="4" w:space="0" w:color="auto"/>
              <w:bottom w:val="single" w:sz="4" w:space="0" w:color="auto"/>
              <w:right w:val="single" w:sz="4" w:space="0" w:color="auto"/>
            </w:tcBorders>
            <w:hideMark/>
          </w:tcPr>
          <w:p w14:paraId="697AC0C6" w14:textId="77777777" w:rsidR="00F10AF1" w:rsidRPr="0013396E" w:rsidRDefault="00F10AF1" w:rsidP="0099759E">
            <w:pPr>
              <w:pStyle w:val="tablebody0"/>
            </w:pPr>
            <w:r w:rsidRPr="0013396E">
              <w:t>$</w:t>
            </w:r>
          </w:p>
        </w:tc>
        <w:tc>
          <w:tcPr>
            <w:tcW w:w="3098" w:type="pct"/>
            <w:tcBorders>
              <w:top w:val="single" w:sz="4" w:space="0" w:color="auto"/>
              <w:left w:val="single" w:sz="4" w:space="0" w:color="auto"/>
              <w:bottom w:val="single" w:sz="4" w:space="0" w:color="auto"/>
              <w:right w:val="single" w:sz="4" w:space="0" w:color="auto"/>
            </w:tcBorders>
            <w:hideMark/>
          </w:tcPr>
          <w:p w14:paraId="25426AC9" w14:textId="77777777" w:rsidR="00F10AF1" w:rsidRPr="0013396E" w:rsidRDefault="00F10AF1" w:rsidP="0099759E">
            <w:pPr>
              <w:pStyle w:val="tablebody0"/>
              <w:rPr>
                <w:i/>
              </w:rPr>
            </w:pPr>
            <w:r w:rsidRPr="0013396E">
              <w:rPr>
                <w:i/>
              </w:rPr>
              <w:t>Real-Time Reg-Down Trade Overage Amount for the QSE</w:t>
            </w:r>
            <w:r w:rsidRPr="0013396E">
              <w:t xml:space="preserve">—The total charge to QSE </w:t>
            </w:r>
            <w:r w:rsidRPr="0013396E">
              <w:rPr>
                <w:i/>
              </w:rPr>
              <w:t>q</w:t>
            </w:r>
            <w:r w:rsidRPr="0013396E">
              <w:t xml:space="preserve"> in Real-Time for Reg-Down trade overages for each 15-minute Settlement Interval.</w:t>
            </w:r>
          </w:p>
        </w:tc>
      </w:tr>
      <w:tr w:rsidR="00F10AF1" w:rsidRPr="0013396E" w14:paraId="2F397CB4"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373B1B8A" w14:textId="77777777" w:rsidR="00F10AF1" w:rsidRPr="0013396E" w:rsidRDefault="00F10AF1" w:rsidP="0099759E">
            <w:pPr>
              <w:pStyle w:val="tablebody0"/>
            </w:pPr>
            <w:r w:rsidRPr="0013396E">
              <w:t xml:space="preserve">RTRDTO </w:t>
            </w:r>
            <w:r w:rsidRPr="0013396E">
              <w:rPr>
                <w:i/>
                <w:vertAlign w:val="subscript"/>
              </w:rPr>
              <w:t>q</w:t>
            </w:r>
          </w:p>
        </w:tc>
        <w:tc>
          <w:tcPr>
            <w:tcW w:w="623" w:type="pct"/>
            <w:tcBorders>
              <w:top w:val="single" w:sz="4" w:space="0" w:color="auto"/>
              <w:left w:val="single" w:sz="4" w:space="0" w:color="auto"/>
              <w:bottom w:val="single" w:sz="4" w:space="0" w:color="auto"/>
              <w:right w:val="single" w:sz="4" w:space="0" w:color="auto"/>
            </w:tcBorders>
            <w:hideMark/>
          </w:tcPr>
          <w:p w14:paraId="719C449D" w14:textId="77777777" w:rsidR="00F10AF1" w:rsidRPr="0013396E" w:rsidRDefault="00F10AF1" w:rsidP="0099759E">
            <w:pPr>
              <w:pStyle w:val="tablebody0"/>
            </w:pPr>
            <w:r w:rsidRPr="0013396E">
              <w:t>MW</w:t>
            </w:r>
          </w:p>
        </w:tc>
        <w:tc>
          <w:tcPr>
            <w:tcW w:w="3098" w:type="pct"/>
            <w:tcBorders>
              <w:top w:val="single" w:sz="4" w:space="0" w:color="auto"/>
              <w:left w:val="single" w:sz="4" w:space="0" w:color="auto"/>
              <w:bottom w:val="single" w:sz="4" w:space="0" w:color="auto"/>
              <w:right w:val="single" w:sz="4" w:space="0" w:color="auto"/>
            </w:tcBorders>
            <w:hideMark/>
          </w:tcPr>
          <w:p w14:paraId="13012D74" w14:textId="77777777" w:rsidR="00F10AF1" w:rsidRPr="0013396E" w:rsidRDefault="00F10AF1" w:rsidP="0099759E">
            <w:pPr>
              <w:pStyle w:val="tablebody0"/>
            </w:pPr>
            <w:r w:rsidRPr="0013396E">
              <w:rPr>
                <w:i/>
              </w:rPr>
              <w:t>Real-Time Reg-Down Trade Overage for the QSE</w:t>
            </w:r>
            <w:r w:rsidRPr="0013396E">
              <w:sym w:font="Symbol" w:char="F0BE"/>
            </w:r>
            <w:r w:rsidRPr="0013396E">
              <w:t xml:space="preserve">The quantity of submitted Reg-Down trades in excess of their DAM self- arrangement quantity for the QSE </w:t>
            </w:r>
            <w:r w:rsidRPr="0013396E">
              <w:rPr>
                <w:i/>
              </w:rPr>
              <w:t>q</w:t>
            </w:r>
            <w:r w:rsidRPr="0013396E">
              <w:t xml:space="preserve"> for the </w:t>
            </w:r>
            <w:r w:rsidRPr="0013396E">
              <w:rPr>
                <w:szCs w:val="18"/>
              </w:rPr>
              <w:t>Operating Hour</w:t>
            </w:r>
            <w:r w:rsidRPr="0013396E">
              <w:t>.</w:t>
            </w:r>
          </w:p>
        </w:tc>
      </w:tr>
      <w:tr w:rsidR="00F10AF1" w:rsidRPr="0013396E" w14:paraId="1A975910"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4B71DCC2" w14:textId="77777777" w:rsidR="00F10AF1" w:rsidRPr="0013396E" w:rsidRDefault="00F10AF1" w:rsidP="0099759E">
            <w:pPr>
              <w:pStyle w:val="tablebody0"/>
            </w:pPr>
            <w:r w:rsidRPr="0013396E">
              <w:t>RTMCPCRD</w:t>
            </w:r>
          </w:p>
        </w:tc>
        <w:tc>
          <w:tcPr>
            <w:tcW w:w="623" w:type="pct"/>
            <w:tcBorders>
              <w:top w:val="single" w:sz="4" w:space="0" w:color="auto"/>
              <w:left w:val="single" w:sz="4" w:space="0" w:color="auto"/>
              <w:bottom w:val="single" w:sz="4" w:space="0" w:color="auto"/>
              <w:right w:val="single" w:sz="4" w:space="0" w:color="auto"/>
            </w:tcBorders>
            <w:hideMark/>
          </w:tcPr>
          <w:p w14:paraId="6A2ED05F" w14:textId="77777777" w:rsidR="00F10AF1" w:rsidRPr="0013396E" w:rsidRDefault="00F10AF1" w:rsidP="0099759E">
            <w:pPr>
              <w:pStyle w:val="tablebody0"/>
            </w:pPr>
            <w:r w:rsidRPr="0013396E">
              <w:t>$/MW</w:t>
            </w:r>
          </w:p>
        </w:tc>
        <w:tc>
          <w:tcPr>
            <w:tcW w:w="3098" w:type="pct"/>
            <w:tcBorders>
              <w:top w:val="single" w:sz="4" w:space="0" w:color="auto"/>
              <w:left w:val="single" w:sz="4" w:space="0" w:color="auto"/>
              <w:bottom w:val="single" w:sz="4" w:space="0" w:color="auto"/>
              <w:right w:val="single" w:sz="4" w:space="0" w:color="auto"/>
            </w:tcBorders>
            <w:hideMark/>
          </w:tcPr>
          <w:p w14:paraId="20FCBACF" w14:textId="77777777" w:rsidR="00F10AF1" w:rsidRPr="0013396E" w:rsidRDefault="00F10AF1" w:rsidP="0099759E">
            <w:pPr>
              <w:pStyle w:val="tablebody0"/>
              <w:rPr>
                <w:i/>
              </w:rPr>
            </w:pPr>
            <w:r w:rsidRPr="0013396E">
              <w:rPr>
                <w:i/>
              </w:rPr>
              <w:t>Real-Time Market Clearing Price for Capacity for Reg-Down</w:t>
            </w:r>
            <w:r w:rsidRPr="0013396E">
              <w:rPr>
                <w:iCs/>
              </w:rPr>
              <w:t>—</w:t>
            </w:r>
            <w:r w:rsidRPr="0013396E">
              <w:t>The Real-Time MCPC for Reg-Down for the 15-minute Settlement Interval.</w:t>
            </w:r>
          </w:p>
        </w:tc>
      </w:tr>
      <w:tr w:rsidR="00F10AF1" w:rsidRPr="0013396E" w14:paraId="11A567C9"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3B4087B1" w14:textId="77777777" w:rsidR="00F10AF1" w:rsidRPr="0013396E" w:rsidRDefault="00F10AF1" w:rsidP="0099759E">
            <w:pPr>
              <w:pStyle w:val="tablebody0"/>
              <w:rPr>
                <w:i/>
              </w:rPr>
            </w:pPr>
            <w:r w:rsidRPr="0013396E">
              <w:rPr>
                <w:i/>
              </w:rPr>
              <w:t>q</w:t>
            </w:r>
          </w:p>
        </w:tc>
        <w:tc>
          <w:tcPr>
            <w:tcW w:w="623" w:type="pct"/>
            <w:tcBorders>
              <w:top w:val="single" w:sz="4" w:space="0" w:color="auto"/>
              <w:left w:val="single" w:sz="4" w:space="0" w:color="auto"/>
              <w:bottom w:val="single" w:sz="4" w:space="0" w:color="auto"/>
              <w:right w:val="single" w:sz="4" w:space="0" w:color="auto"/>
            </w:tcBorders>
            <w:hideMark/>
          </w:tcPr>
          <w:p w14:paraId="35A252B7" w14:textId="77777777" w:rsidR="00F10AF1" w:rsidRPr="0013396E" w:rsidRDefault="00F10AF1" w:rsidP="0099759E">
            <w:pPr>
              <w:pStyle w:val="tablebody0"/>
            </w:pPr>
            <w:r w:rsidRPr="0013396E">
              <w:t>none</w:t>
            </w:r>
          </w:p>
        </w:tc>
        <w:tc>
          <w:tcPr>
            <w:tcW w:w="3098" w:type="pct"/>
            <w:tcBorders>
              <w:top w:val="single" w:sz="4" w:space="0" w:color="auto"/>
              <w:left w:val="single" w:sz="4" w:space="0" w:color="auto"/>
              <w:bottom w:val="single" w:sz="4" w:space="0" w:color="auto"/>
              <w:right w:val="single" w:sz="4" w:space="0" w:color="auto"/>
            </w:tcBorders>
            <w:hideMark/>
          </w:tcPr>
          <w:p w14:paraId="2F4BFFE9" w14:textId="77777777" w:rsidR="00F10AF1" w:rsidRPr="0013396E" w:rsidRDefault="00F10AF1" w:rsidP="0099759E">
            <w:pPr>
              <w:pStyle w:val="tablebody0"/>
            </w:pPr>
            <w:r w:rsidRPr="0013396E">
              <w:t>A QSE.</w:t>
            </w:r>
          </w:p>
        </w:tc>
      </w:tr>
    </w:tbl>
    <w:p w14:paraId="639B481A" w14:textId="49AA7B1E" w:rsidR="00F10AF1" w:rsidRPr="0013396E" w:rsidRDefault="00F10AF1" w:rsidP="00F10AF1">
      <w:pPr>
        <w:pStyle w:val="H4"/>
        <w:spacing w:before="480"/>
      </w:pPr>
      <w:bookmarkStart w:id="2278" w:name="_Toc214879034"/>
      <w:r w:rsidRPr="0013396E">
        <w:t>6.7.</w:t>
      </w:r>
      <w:r w:rsidR="00A12B52" w:rsidRPr="0013396E">
        <w:t>2</w:t>
      </w:r>
      <w:r w:rsidRPr="0013396E">
        <w:t>.4</w:t>
      </w:r>
      <w:r w:rsidRPr="0013396E">
        <w:tab/>
        <w:t>Responsive Reserve Payments and Charges</w:t>
      </w:r>
      <w:bookmarkEnd w:id="2278"/>
    </w:p>
    <w:p w14:paraId="5729F8F7" w14:textId="77777777" w:rsidR="00F10AF1" w:rsidRPr="0013396E" w:rsidRDefault="00F10AF1" w:rsidP="00F10AF1">
      <w:r w:rsidRPr="0013396E">
        <w:t>(1)</w:t>
      </w:r>
      <w:r w:rsidRPr="0013396E">
        <w:tab/>
        <w:t>RRS Imbalance Payment or Charge:</w:t>
      </w:r>
    </w:p>
    <w:p w14:paraId="00410EAD" w14:textId="77777777" w:rsidR="00F10AF1" w:rsidRPr="0013396E" w:rsidRDefault="00F10AF1" w:rsidP="00F10AF1">
      <w:pPr>
        <w:pStyle w:val="FormulaBold"/>
      </w:pPr>
      <w:r w:rsidRPr="0013396E">
        <w:t>RTRRIMBAMT</w:t>
      </w:r>
      <w:r w:rsidRPr="0013396E">
        <w:rPr>
          <w:i/>
          <w:vertAlign w:val="subscript"/>
        </w:rPr>
        <w:t xml:space="preserve"> q  </w:t>
      </w:r>
      <w:r w:rsidRPr="0013396E">
        <w:t xml:space="preserve">= </w:t>
      </w:r>
      <w:r w:rsidRPr="0013396E">
        <w:tab/>
        <w:t>(-1) * [</w:t>
      </w:r>
      <w:r w:rsidRPr="0013396E">
        <w:rPr>
          <w:position w:val="-18"/>
        </w:rPr>
        <w:object w:dxaOrig="285" w:dyaOrig="570" w14:anchorId="0816DDF8">
          <v:shape id="_x0000_i1276" type="#_x0000_t75" style="width:12pt;height:30pt" o:ole="">
            <v:imagedata r:id="rId134" o:title=""/>
          </v:shape>
          <o:OLEObject Type="Embed" ProgID="Equation.3" ShapeID="_x0000_i1276" DrawAspect="Content" ObjectID="_1836311553" r:id="rId353"/>
        </w:object>
      </w:r>
      <w:r w:rsidRPr="0013396E">
        <w:t>[</w:t>
      </w:r>
      <w:r w:rsidRPr="0013396E">
        <w:rPr>
          <w:rStyle w:val="BodyTextChar"/>
        </w:rPr>
        <w:t xml:space="preserve">RTRRREV </w:t>
      </w:r>
      <w:r w:rsidRPr="0013396E">
        <w:rPr>
          <w:i/>
          <w:vertAlign w:val="subscript"/>
        </w:rPr>
        <w:t xml:space="preserve">q, r </w:t>
      </w:r>
      <w:r w:rsidRPr="0013396E">
        <w:t>– (1/4) * (PCRRR</w:t>
      </w:r>
      <w:r w:rsidRPr="0013396E">
        <w:rPr>
          <w:i/>
        </w:rPr>
        <w:t xml:space="preserve"> </w:t>
      </w:r>
      <w:r w:rsidRPr="0013396E">
        <w:rPr>
          <w:i/>
          <w:vertAlign w:val="subscript"/>
        </w:rPr>
        <w:t>r, q, DAM</w:t>
      </w:r>
      <w:r w:rsidRPr="0013396E">
        <w:t xml:space="preserve"> * RTMCPCRR)] – (1/4) * (DASARRQ </w:t>
      </w:r>
      <w:r w:rsidRPr="0013396E">
        <w:rPr>
          <w:i/>
          <w:vertAlign w:val="subscript"/>
        </w:rPr>
        <w:t>q</w:t>
      </w:r>
      <w:r w:rsidRPr="0013396E">
        <w:t xml:space="preserve"> * RTMCPCRR) + (1/4) * (RRTP </w:t>
      </w:r>
      <w:r w:rsidRPr="0013396E">
        <w:rPr>
          <w:i/>
          <w:vertAlign w:val="subscript"/>
        </w:rPr>
        <w:t>q</w:t>
      </w:r>
      <w:r w:rsidRPr="0013396E">
        <w:t xml:space="preserve"> – RRTS </w:t>
      </w:r>
      <w:r w:rsidRPr="0013396E">
        <w:rPr>
          <w:i/>
          <w:vertAlign w:val="subscript"/>
        </w:rPr>
        <w:t>q</w:t>
      </w:r>
      <w:r w:rsidRPr="0013396E">
        <w:t>) * RTMCPCRR]</w:t>
      </w:r>
    </w:p>
    <w:p w14:paraId="5ADCA863" w14:textId="77777777" w:rsidR="00F10AF1" w:rsidRPr="000B7133" w:rsidRDefault="00F10AF1" w:rsidP="00F10AF1">
      <w:pPr>
        <w:pStyle w:val="FormulaBold"/>
        <w:rPr>
          <w:b w:val="0"/>
          <w:bCs w:val="0"/>
        </w:rPr>
      </w:pPr>
      <w:r w:rsidRPr="000B7133">
        <w:rPr>
          <w:b w:val="0"/>
          <w:bCs w:val="0"/>
        </w:rPr>
        <w:t xml:space="preserve">Where:   </w:t>
      </w:r>
    </w:p>
    <w:p w14:paraId="5E34B7E1" w14:textId="77777777" w:rsidR="00F10AF1" w:rsidRPr="000B7133" w:rsidRDefault="00F10AF1" w:rsidP="00F10AF1">
      <w:pPr>
        <w:pStyle w:val="FormulaBold"/>
        <w:rPr>
          <w:b w:val="0"/>
          <w:bCs w:val="0"/>
        </w:rPr>
      </w:pPr>
      <w:r w:rsidRPr="000B7133">
        <w:rPr>
          <w:rStyle w:val="BodyTextChar"/>
          <w:b w:val="0"/>
          <w:bCs w:val="0"/>
        </w:rPr>
        <w:t xml:space="preserve">RTRRREV </w:t>
      </w:r>
      <w:r w:rsidRPr="000B7133">
        <w:rPr>
          <w:b w:val="0"/>
          <w:bCs w:val="0"/>
          <w:i/>
          <w:vertAlign w:val="subscript"/>
        </w:rPr>
        <w:t xml:space="preserve">q, r </w:t>
      </w:r>
      <w:r w:rsidRPr="000B7133">
        <w:rPr>
          <w:b w:val="0"/>
          <w:bCs w:val="0"/>
          <w:i/>
        </w:rPr>
        <w:t xml:space="preserve"> =     </w:t>
      </w:r>
      <w:r w:rsidRPr="000B7133">
        <w:rPr>
          <w:b w:val="0"/>
          <w:bCs w:val="0"/>
        </w:rPr>
        <w:t>(1/4) * RTRRAWD</w:t>
      </w:r>
      <w:r w:rsidRPr="000B7133">
        <w:rPr>
          <w:b w:val="0"/>
          <w:bCs w:val="0"/>
          <w:i/>
          <w:vertAlign w:val="subscript"/>
        </w:rPr>
        <w:t xml:space="preserve"> q, r</w:t>
      </w:r>
      <w:r w:rsidRPr="000B7133">
        <w:rPr>
          <w:b w:val="0"/>
          <w:bCs w:val="0"/>
        </w:rPr>
        <w:t xml:space="preserve"> * RTMCPCRRR </w:t>
      </w:r>
      <w:r w:rsidRPr="000B7133">
        <w:rPr>
          <w:b w:val="0"/>
          <w:bCs w:val="0"/>
          <w:i/>
          <w:vertAlign w:val="subscript"/>
        </w:rPr>
        <w:t>q, r</w:t>
      </w:r>
    </w:p>
    <w:p w14:paraId="277F19C4" w14:textId="77777777" w:rsidR="00F10AF1" w:rsidRPr="00016609" w:rsidRDefault="00F10AF1" w:rsidP="00F10AF1">
      <w:pPr>
        <w:pStyle w:val="FormulaBold"/>
        <w:rPr>
          <w:b w:val="0"/>
          <w:bCs w:val="0"/>
        </w:rPr>
      </w:pPr>
      <w:r w:rsidRPr="000B7133">
        <w:rPr>
          <w:b w:val="0"/>
          <w:bCs w:val="0"/>
        </w:rPr>
        <w:t xml:space="preserve">RTMCPCRRR </w:t>
      </w:r>
      <w:r w:rsidRPr="000B7133">
        <w:rPr>
          <w:b w:val="0"/>
          <w:bCs w:val="0"/>
          <w:i/>
          <w:vertAlign w:val="subscript"/>
        </w:rPr>
        <w:t>q, r</w:t>
      </w:r>
      <w:r w:rsidRPr="000B7133">
        <w:rPr>
          <w:b w:val="0"/>
          <w:bCs w:val="0"/>
          <w:i/>
        </w:rPr>
        <w:t xml:space="preserve"> = </w:t>
      </w:r>
      <w:r w:rsidRPr="007E0677">
        <w:rPr>
          <w:b w:val="0"/>
          <w:bCs w:val="0"/>
          <w:position w:val="-22"/>
        </w:rPr>
        <w:object w:dxaOrig="285" w:dyaOrig="285" w14:anchorId="704E2D89">
          <v:shape id="_x0000_i1277" type="#_x0000_t75" style="width:18pt;height:35.4pt" o:ole="">
            <v:imagedata r:id="rId20" o:title=""/>
          </v:shape>
          <o:OLEObject Type="Embed" ProgID="Equation.3" ShapeID="_x0000_i1277" DrawAspect="Content" ObjectID="_1836311554" r:id="rId354"/>
        </w:object>
      </w:r>
      <w:r w:rsidRPr="00016609">
        <w:rPr>
          <w:b w:val="0"/>
          <w:bCs w:val="0"/>
        </w:rPr>
        <w:t xml:space="preserve"> (RRRWF</w:t>
      </w:r>
      <w:r w:rsidRPr="00016609">
        <w:rPr>
          <w:b w:val="0"/>
          <w:bCs w:val="0"/>
          <w:i/>
          <w:vertAlign w:val="subscript"/>
        </w:rPr>
        <w:t xml:space="preserve"> q, r, y</w:t>
      </w:r>
      <w:r w:rsidRPr="00016609">
        <w:rPr>
          <w:b w:val="0"/>
          <w:bCs w:val="0"/>
        </w:rPr>
        <w:t xml:space="preserve"> * (RTMCPCRRS</w:t>
      </w:r>
      <w:r w:rsidRPr="00016609">
        <w:rPr>
          <w:b w:val="0"/>
          <w:bCs w:val="0"/>
          <w:i/>
          <w:vertAlign w:val="subscript"/>
        </w:rPr>
        <w:t xml:space="preserve"> y</w:t>
      </w:r>
      <w:r w:rsidRPr="00016609">
        <w:rPr>
          <w:b w:val="0"/>
          <w:bCs w:val="0"/>
        </w:rPr>
        <w:t xml:space="preserve"> + RTRDPARRS </w:t>
      </w:r>
      <w:r w:rsidRPr="00016609">
        <w:rPr>
          <w:b w:val="0"/>
          <w:bCs w:val="0"/>
          <w:i/>
          <w:vertAlign w:val="subscript"/>
        </w:rPr>
        <w:t>y</w:t>
      </w:r>
      <w:r w:rsidRPr="00016609">
        <w:rPr>
          <w:b w:val="0"/>
          <w:bCs w:val="0"/>
        </w:rPr>
        <w:t>))</w:t>
      </w:r>
    </w:p>
    <w:p w14:paraId="520C44AD" w14:textId="77777777" w:rsidR="00F10AF1" w:rsidRPr="000B7133" w:rsidRDefault="00F10AF1" w:rsidP="00F10AF1">
      <w:pPr>
        <w:pStyle w:val="FormulaBold"/>
        <w:rPr>
          <w:b w:val="0"/>
          <w:bCs w:val="0"/>
        </w:rPr>
      </w:pPr>
      <w:r w:rsidRPr="00016609">
        <w:rPr>
          <w:b w:val="0"/>
          <w:bCs w:val="0"/>
        </w:rPr>
        <w:t>RTRRAWD</w:t>
      </w:r>
      <w:r w:rsidRPr="00016609">
        <w:rPr>
          <w:b w:val="0"/>
          <w:bCs w:val="0"/>
          <w:i/>
          <w:vertAlign w:val="subscript"/>
        </w:rPr>
        <w:t xml:space="preserve"> q, r  </w:t>
      </w:r>
      <w:r w:rsidRPr="00016609">
        <w:rPr>
          <w:b w:val="0"/>
          <w:bCs w:val="0"/>
        </w:rPr>
        <w:tab/>
        <w:t xml:space="preserve">=  </w:t>
      </w:r>
      <w:r w:rsidRPr="007E0677">
        <w:rPr>
          <w:b w:val="0"/>
          <w:bCs w:val="0"/>
          <w:position w:val="-22"/>
        </w:rPr>
        <w:object w:dxaOrig="285" w:dyaOrig="285" w14:anchorId="0235D4B0">
          <v:shape id="_x0000_i1278" type="#_x0000_t75" style="width:12pt;height:30pt" o:ole="">
            <v:imagedata r:id="rId20" o:title=""/>
          </v:shape>
          <o:OLEObject Type="Embed" ProgID="Equation.3" ShapeID="_x0000_i1278" DrawAspect="Content" ObjectID="_1836311555" r:id="rId355"/>
        </w:object>
      </w:r>
      <w:r w:rsidRPr="000B7133">
        <w:rPr>
          <w:b w:val="0"/>
          <w:bCs w:val="0"/>
        </w:rPr>
        <w:t xml:space="preserve"> (RNWF </w:t>
      </w:r>
      <w:r w:rsidRPr="000B7133">
        <w:rPr>
          <w:b w:val="0"/>
          <w:bCs w:val="0"/>
          <w:i/>
          <w:vertAlign w:val="subscript"/>
        </w:rPr>
        <w:t>y</w:t>
      </w:r>
      <w:r w:rsidRPr="000B7133">
        <w:rPr>
          <w:b w:val="0"/>
          <w:bCs w:val="0"/>
          <w:vertAlign w:val="subscript"/>
        </w:rPr>
        <w:t xml:space="preserve"> </w:t>
      </w:r>
      <w:r w:rsidRPr="000B7133">
        <w:rPr>
          <w:b w:val="0"/>
          <w:bCs w:val="0"/>
        </w:rPr>
        <w:t>* RTRRAWDS</w:t>
      </w:r>
      <w:r w:rsidRPr="000B7133">
        <w:rPr>
          <w:b w:val="0"/>
          <w:bCs w:val="0"/>
          <w:i/>
          <w:vertAlign w:val="subscript"/>
        </w:rPr>
        <w:t xml:space="preserve"> q, r, y</w:t>
      </w:r>
      <w:r w:rsidRPr="000B7133">
        <w:rPr>
          <w:b w:val="0"/>
          <w:bCs w:val="0"/>
        </w:rPr>
        <w:t>)</w:t>
      </w:r>
    </w:p>
    <w:p w14:paraId="3BB37DD6" w14:textId="77777777" w:rsidR="00F10AF1" w:rsidRPr="0013396E" w:rsidRDefault="00F10AF1" w:rsidP="00F10AF1">
      <w:pPr>
        <w:pStyle w:val="BodyTextNumbered"/>
        <w:ind w:left="0" w:firstLine="720"/>
      </w:pPr>
      <w:r w:rsidRPr="0013396E">
        <w:t>Where:</w:t>
      </w:r>
    </w:p>
    <w:p w14:paraId="6FEF3E2D" w14:textId="77777777" w:rsidR="00F10AF1" w:rsidRPr="0013396E" w:rsidRDefault="00F10AF1" w:rsidP="00F10AF1">
      <w:pPr>
        <w:pStyle w:val="NoSpacing"/>
      </w:pPr>
      <w:r w:rsidRPr="0013396E">
        <w:t xml:space="preserve">           RRRWF</w:t>
      </w:r>
      <w:r w:rsidRPr="0013396E">
        <w:rPr>
          <w:i/>
          <w:vertAlign w:val="subscript"/>
        </w:rPr>
        <w:t xml:space="preserve"> q, r, y</w:t>
      </w:r>
      <w:r w:rsidRPr="0013396E">
        <w:rPr>
          <w:vertAlign w:val="subscript"/>
        </w:rPr>
        <w:t xml:space="preserve">  </w:t>
      </w:r>
      <w:r w:rsidRPr="0013396E">
        <w:t>= [max(0.001, RTRRAWDS</w:t>
      </w:r>
      <w:r w:rsidRPr="0013396E">
        <w:rPr>
          <w:i/>
          <w:vertAlign w:val="subscript"/>
        </w:rPr>
        <w:t xml:space="preserve"> q, r, y</w:t>
      </w:r>
      <w:r w:rsidRPr="0013396E">
        <w:t>) * TLMP</w:t>
      </w:r>
      <w:r w:rsidRPr="0013396E">
        <w:rPr>
          <w:i/>
          <w:vertAlign w:val="subscript"/>
        </w:rPr>
        <w:t xml:space="preserve"> y</w:t>
      </w:r>
      <w:r w:rsidRPr="0013396E">
        <w:t>] / [</w:t>
      </w:r>
      <w:r w:rsidRPr="0013396E">
        <w:rPr>
          <w:b/>
          <w:position w:val="-22"/>
        </w:rPr>
        <w:object w:dxaOrig="285" w:dyaOrig="285" w14:anchorId="662D1769">
          <v:shape id="_x0000_i1279" type="#_x0000_t75" style="width:30pt;height:30pt" o:ole="">
            <v:imagedata r:id="rId20" o:title=""/>
          </v:shape>
          <o:OLEObject Type="Embed" ProgID="Equation.3" ShapeID="_x0000_i1279" DrawAspect="Content" ObjectID="_1836311556" r:id="rId356"/>
        </w:object>
      </w:r>
      <w:r w:rsidRPr="0013396E">
        <w:t>max(0.001,</w:t>
      </w:r>
    </w:p>
    <w:p w14:paraId="48313078" w14:textId="77777777" w:rsidR="00F10AF1" w:rsidRPr="0013396E" w:rsidRDefault="00F10AF1" w:rsidP="00F10AF1">
      <w:pPr>
        <w:pStyle w:val="NoSpacing"/>
        <w:rPr>
          <w:vertAlign w:val="subscript"/>
        </w:rPr>
      </w:pPr>
      <w:r w:rsidRPr="0013396E">
        <w:t xml:space="preserve"> </w:t>
      </w:r>
      <w:r w:rsidRPr="0013396E">
        <w:tab/>
      </w:r>
      <w:r w:rsidRPr="0013396E">
        <w:tab/>
        <w:t xml:space="preserve">                RTRRAWDS</w:t>
      </w:r>
      <w:r w:rsidRPr="0013396E">
        <w:rPr>
          <w:i/>
          <w:vertAlign w:val="subscript"/>
        </w:rPr>
        <w:t xml:space="preserve"> q, r, y</w:t>
      </w:r>
      <w:r w:rsidRPr="0013396E">
        <w:t>) * TLMP</w:t>
      </w:r>
      <w:r w:rsidRPr="0013396E">
        <w:rPr>
          <w:i/>
          <w:vertAlign w:val="subscript"/>
        </w:rPr>
        <w:t xml:space="preserve"> y</w:t>
      </w:r>
      <w:r w:rsidRPr="0013396E">
        <w:t>]</w:t>
      </w:r>
      <w:r w:rsidRPr="0013396E">
        <w:rPr>
          <w:vertAlign w:val="subscript"/>
        </w:rPr>
        <w:t xml:space="preserve"> </w:t>
      </w:r>
    </w:p>
    <w:p w14:paraId="221D49A2" w14:textId="77777777" w:rsidR="00F10AF1" w:rsidRPr="0013396E" w:rsidRDefault="00F10AF1" w:rsidP="00F10AF1">
      <w:pPr>
        <w:spacing w:after="240"/>
        <w:ind w:firstLine="720"/>
      </w:pPr>
      <w:r w:rsidRPr="0013396E">
        <w:t>And:</w:t>
      </w:r>
    </w:p>
    <w:p w14:paraId="589E7DC1" w14:textId="77777777" w:rsidR="00F10AF1" w:rsidRPr="0013396E" w:rsidRDefault="00F10AF1" w:rsidP="00F10AF1">
      <w:pPr>
        <w:spacing w:after="240"/>
        <w:ind w:firstLine="720"/>
        <w:rPr>
          <w:i/>
          <w:vertAlign w:val="subscript"/>
        </w:rPr>
      </w:pPr>
      <w:r w:rsidRPr="0013396E">
        <w:t xml:space="preserve">RNWF </w:t>
      </w:r>
      <w:r w:rsidRPr="0013396E">
        <w:rPr>
          <w:i/>
          <w:vertAlign w:val="subscript"/>
        </w:rPr>
        <w:t xml:space="preserve">y  </w:t>
      </w:r>
      <w:r w:rsidRPr="0013396E">
        <w:t xml:space="preserve">= TLMP </w:t>
      </w:r>
      <w:r w:rsidRPr="0013396E">
        <w:rPr>
          <w:i/>
          <w:vertAlign w:val="subscript"/>
        </w:rPr>
        <w:t>y</w:t>
      </w:r>
      <w:r w:rsidRPr="0013396E">
        <w:t xml:space="preserve"> </w:t>
      </w:r>
      <w:r w:rsidRPr="0013396E">
        <w:rPr>
          <w:color w:val="000000"/>
          <w:sz w:val="32"/>
          <w:szCs w:val="32"/>
        </w:rPr>
        <w:t>/</w:t>
      </w:r>
      <w:r w:rsidRPr="0013396E">
        <w:rPr>
          <w:color w:val="000000"/>
        </w:rPr>
        <w:t xml:space="preserve"> </w:t>
      </w:r>
      <w:r w:rsidRPr="0013396E">
        <w:rPr>
          <w:position w:val="-22"/>
          <w:szCs w:val="24"/>
        </w:rPr>
        <w:object w:dxaOrig="285" w:dyaOrig="285" w14:anchorId="6AE80F2E">
          <v:shape id="_x0000_i1280" type="#_x0000_t75" style="width:18pt;height:24pt" o:ole="">
            <v:imagedata r:id="rId20" o:title=""/>
          </v:shape>
          <o:OLEObject Type="Embed" ProgID="Equation.3" ShapeID="_x0000_i1280" DrawAspect="Content" ObjectID="_1836311557" r:id="rId357"/>
        </w:object>
      </w:r>
      <w:r w:rsidRPr="0013396E">
        <w:t xml:space="preserve">TLMP </w:t>
      </w:r>
      <w:r w:rsidRPr="0013396E">
        <w:rPr>
          <w:i/>
          <w:vertAlign w:val="subscript"/>
        </w:rPr>
        <w:t>y</w:t>
      </w:r>
    </w:p>
    <w:p w14:paraId="534B2DE7" w14:textId="77777777" w:rsidR="00F10AF1" w:rsidRPr="0013396E" w:rsidRDefault="00F10AF1" w:rsidP="00F10AF1">
      <w:pPr>
        <w:pStyle w:val="Instructions"/>
        <w:spacing w:after="0"/>
        <w:ind w:left="720" w:hanging="720"/>
        <w:rPr>
          <w:i w:val="0"/>
        </w:rPr>
      </w:pPr>
      <w:r w:rsidRPr="0013396E">
        <w:rPr>
          <w:b w:val="0"/>
          <w:i w:val="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392"/>
        <w:gridCol w:w="1165"/>
        <w:gridCol w:w="5793"/>
      </w:tblGrid>
      <w:tr w:rsidR="00F10AF1" w:rsidRPr="0013396E" w14:paraId="3C4E08BD" w14:textId="77777777" w:rsidTr="0099759E">
        <w:trPr>
          <w:cantSplit/>
          <w:tblHeader/>
        </w:trPr>
        <w:tc>
          <w:tcPr>
            <w:tcW w:w="1279" w:type="pct"/>
            <w:tcBorders>
              <w:top w:val="single" w:sz="4" w:space="0" w:color="auto"/>
              <w:left w:val="single" w:sz="4" w:space="0" w:color="auto"/>
              <w:bottom w:val="single" w:sz="4" w:space="0" w:color="auto"/>
              <w:right w:val="single" w:sz="4" w:space="0" w:color="auto"/>
            </w:tcBorders>
            <w:hideMark/>
          </w:tcPr>
          <w:p w14:paraId="062CDA20" w14:textId="77777777" w:rsidR="00F10AF1" w:rsidRPr="0013396E" w:rsidRDefault="00F10AF1" w:rsidP="0099759E">
            <w:pPr>
              <w:pStyle w:val="TableHead"/>
            </w:pPr>
            <w:r w:rsidRPr="0013396E">
              <w:t>Variable</w:t>
            </w:r>
          </w:p>
        </w:tc>
        <w:tc>
          <w:tcPr>
            <w:tcW w:w="623" w:type="pct"/>
            <w:tcBorders>
              <w:top w:val="single" w:sz="4" w:space="0" w:color="auto"/>
              <w:left w:val="single" w:sz="4" w:space="0" w:color="auto"/>
              <w:bottom w:val="single" w:sz="4" w:space="0" w:color="auto"/>
              <w:right w:val="single" w:sz="4" w:space="0" w:color="auto"/>
            </w:tcBorders>
            <w:hideMark/>
          </w:tcPr>
          <w:p w14:paraId="01B8C3FD" w14:textId="77777777" w:rsidR="00F10AF1" w:rsidRPr="0013396E" w:rsidRDefault="00F10AF1" w:rsidP="0099759E">
            <w:pPr>
              <w:pStyle w:val="TableHead"/>
            </w:pPr>
            <w:r w:rsidRPr="0013396E">
              <w:t>Unit</w:t>
            </w:r>
          </w:p>
        </w:tc>
        <w:tc>
          <w:tcPr>
            <w:tcW w:w="3098" w:type="pct"/>
            <w:tcBorders>
              <w:top w:val="single" w:sz="4" w:space="0" w:color="auto"/>
              <w:left w:val="single" w:sz="4" w:space="0" w:color="auto"/>
              <w:bottom w:val="single" w:sz="4" w:space="0" w:color="auto"/>
              <w:right w:val="single" w:sz="4" w:space="0" w:color="auto"/>
            </w:tcBorders>
            <w:hideMark/>
          </w:tcPr>
          <w:p w14:paraId="28436387" w14:textId="77777777" w:rsidR="00F10AF1" w:rsidRPr="0013396E" w:rsidRDefault="00F10AF1" w:rsidP="0099759E">
            <w:pPr>
              <w:pStyle w:val="TableHead"/>
            </w:pPr>
            <w:r w:rsidRPr="0013396E">
              <w:t>Description</w:t>
            </w:r>
          </w:p>
        </w:tc>
      </w:tr>
      <w:tr w:rsidR="00F10AF1" w:rsidRPr="0013396E" w14:paraId="3E34C8F5"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18B20B36" w14:textId="77777777" w:rsidR="00F10AF1" w:rsidRPr="0013396E" w:rsidRDefault="00F10AF1" w:rsidP="0099759E">
            <w:pPr>
              <w:pStyle w:val="tablebody0"/>
            </w:pPr>
            <w:r w:rsidRPr="0013396E">
              <w:t xml:space="preserve">RTRRIMBAMT </w:t>
            </w:r>
            <w:r w:rsidRPr="0013396E">
              <w:rPr>
                <w:i/>
                <w:vertAlign w:val="subscript"/>
              </w:rPr>
              <w:t>q</w:t>
            </w:r>
          </w:p>
        </w:tc>
        <w:tc>
          <w:tcPr>
            <w:tcW w:w="623" w:type="pct"/>
            <w:tcBorders>
              <w:top w:val="single" w:sz="4" w:space="0" w:color="auto"/>
              <w:left w:val="single" w:sz="4" w:space="0" w:color="auto"/>
              <w:bottom w:val="single" w:sz="4" w:space="0" w:color="auto"/>
              <w:right w:val="single" w:sz="4" w:space="0" w:color="auto"/>
            </w:tcBorders>
            <w:hideMark/>
          </w:tcPr>
          <w:p w14:paraId="0164D436" w14:textId="77777777" w:rsidR="00F10AF1" w:rsidRPr="0013396E" w:rsidRDefault="00F10AF1" w:rsidP="0099759E">
            <w:pPr>
              <w:pStyle w:val="tablebody0"/>
            </w:pPr>
            <w:r w:rsidRPr="0013396E">
              <w:t>$</w:t>
            </w:r>
          </w:p>
        </w:tc>
        <w:tc>
          <w:tcPr>
            <w:tcW w:w="3098" w:type="pct"/>
            <w:tcBorders>
              <w:top w:val="single" w:sz="4" w:space="0" w:color="auto"/>
              <w:left w:val="single" w:sz="4" w:space="0" w:color="auto"/>
              <w:bottom w:val="single" w:sz="4" w:space="0" w:color="auto"/>
              <w:right w:val="single" w:sz="4" w:space="0" w:color="auto"/>
            </w:tcBorders>
            <w:hideMark/>
          </w:tcPr>
          <w:p w14:paraId="142DDAEF" w14:textId="77777777" w:rsidR="00F10AF1" w:rsidRPr="0013396E" w:rsidRDefault="00F10AF1" w:rsidP="0099759E">
            <w:pPr>
              <w:pStyle w:val="tablebody0"/>
              <w:rPr>
                <w:i/>
              </w:rPr>
            </w:pPr>
            <w:r w:rsidRPr="0013396E">
              <w:rPr>
                <w:i/>
              </w:rPr>
              <w:t>Real-Time Responsive Reserve Imbalance Amount for the QSE</w:t>
            </w:r>
            <w:r w:rsidRPr="0013396E">
              <w:t xml:space="preserve">—The total payment or charge to QSE </w:t>
            </w:r>
            <w:r w:rsidRPr="0013396E">
              <w:rPr>
                <w:i/>
              </w:rPr>
              <w:t>q</w:t>
            </w:r>
            <w:r w:rsidRPr="0013396E">
              <w:t xml:space="preserve"> for the Real-Time RRS imbalance for each 15-minute Settlement Interval.</w:t>
            </w:r>
          </w:p>
        </w:tc>
      </w:tr>
      <w:tr w:rsidR="00F10AF1" w:rsidRPr="0013396E" w14:paraId="2AACE583"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0A0E44F3" w14:textId="77777777" w:rsidR="00F10AF1" w:rsidRPr="0013396E" w:rsidRDefault="00F10AF1" w:rsidP="0099759E">
            <w:pPr>
              <w:pStyle w:val="tablebody0"/>
            </w:pPr>
            <w:r w:rsidRPr="0013396E">
              <w:lastRenderedPageBreak/>
              <w:t>RTRRAWD</w:t>
            </w:r>
            <w:r w:rsidRPr="0013396E">
              <w:rPr>
                <w:i/>
                <w:vertAlign w:val="subscript"/>
              </w:rPr>
              <w:t xml:space="preserve"> q, r</w:t>
            </w:r>
          </w:p>
        </w:tc>
        <w:tc>
          <w:tcPr>
            <w:tcW w:w="623" w:type="pct"/>
            <w:tcBorders>
              <w:top w:val="single" w:sz="4" w:space="0" w:color="auto"/>
              <w:left w:val="single" w:sz="4" w:space="0" w:color="auto"/>
              <w:bottom w:val="single" w:sz="4" w:space="0" w:color="auto"/>
              <w:right w:val="single" w:sz="4" w:space="0" w:color="auto"/>
            </w:tcBorders>
            <w:hideMark/>
          </w:tcPr>
          <w:p w14:paraId="6077C34A" w14:textId="77777777" w:rsidR="00F10AF1" w:rsidRPr="0013396E" w:rsidRDefault="00F10AF1" w:rsidP="0099759E">
            <w:pPr>
              <w:pStyle w:val="tablebody0"/>
            </w:pPr>
            <w:r w:rsidRPr="0013396E">
              <w:t>MW</w:t>
            </w:r>
          </w:p>
        </w:tc>
        <w:tc>
          <w:tcPr>
            <w:tcW w:w="3098" w:type="pct"/>
            <w:tcBorders>
              <w:top w:val="single" w:sz="4" w:space="0" w:color="auto"/>
              <w:left w:val="single" w:sz="4" w:space="0" w:color="auto"/>
              <w:bottom w:val="single" w:sz="4" w:space="0" w:color="auto"/>
              <w:right w:val="single" w:sz="4" w:space="0" w:color="auto"/>
            </w:tcBorders>
            <w:hideMark/>
          </w:tcPr>
          <w:p w14:paraId="6D8BE3BE" w14:textId="77777777" w:rsidR="00F10AF1" w:rsidRPr="0013396E" w:rsidRDefault="00F10AF1" w:rsidP="0099759E">
            <w:pPr>
              <w:pStyle w:val="tablebody0"/>
              <w:rPr>
                <w:i/>
              </w:rPr>
            </w:pPr>
            <w:r w:rsidRPr="0013396E">
              <w:rPr>
                <w:i/>
              </w:rPr>
              <w:t>Real-Time Responsive Reserve Award per Resource per QSE</w:t>
            </w:r>
            <w:r w:rsidRPr="0013396E">
              <w:t xml:space="preserve">—The RRS amount awarded to QSE </w:t>
            </w:r>
            <w:r w:rsidRPr="0013396E">
              <w:rPr>
                <w:i/>
              </w:rPr>
              <w:t>q</w:t>
            </w:r>
            <w:r w:rsidRPr="0013396E">
              <w:t xml:space="preserve"> for Resource </w:t>
            </w:r>
            <w:r w:rsidRPr="0013396E">
              <w:rPr>
                <w:i/>
              </w:rPr>
              <w:t>r</w:t>
            </w:r>
            <w:r w:rsidRPr="0013396E">
              <w:t xml:space="preserve"> in Real-Time </w:t>
            </w:r>
            <w:r w:rsidRPr="0013396E">
              <w:rPr>
                <w:szCs w:val="18"/>
              </w:rPr>
              <w:t xml:space="preserve">for the </w:t>
            </w:r>
            <w:r w:rsidRPr="0013396E">
              <w:t xml:space="preserve">15-minute Settlement Interval.  Where for a Combined Cycle Train, the Resource </w:t>
            </w:r>
            <w:r w:rsidRPr="0013396E">
              <w:rPr>
                <w:i/>
              </w:rPr>
              <w:t xml:space="preserve">r </w:t>
            </w:r>
            <w:r w:rsidRPr="0013396E">
              <w:t>is the Combined Cycle Train.</w:t>
            </w:r>
          </w:p>
        </w:tc>
      </w:tr>
      <w:tr w:rsidR="00F10AF1" w:rsidRPr="0013396E" w14:paraId="6C937648"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45EDA53C" w14:textId="77777777" w:rsidR="00F10AF1" w:rsidRPr="0013396E" w:rsidRDefault="00F10AF1" w:rsidP="0099759E">
            <w:pPr>
              <w:pStyle w:val="tablebody0"/>
            </w:pPr>
            <w:r w:rsidRPr="0013396E">
              <w:t xml:space="preserve">RTRRREV </w:t>
            </w:r>
            <w:r w:rsidRPr="0013396E">
              <w:rPr>
                <w:i/>
                <w:vertAlign w:val="subscript"/>
              </w:rPr>
              <w:t>q, r</w:t>
            </w:r>
          </w:p>
        </w:tc>
        <w:tc>
          <w:tcPr>
            <w:tcW w:w="623" w:type="pct"/>
            <w:tcBorders>
              <w:top w:val="single" w:sz="4" w:space="0" w:color="auto"/>
              <w:left w:val="single" w:sz="4" w:space="0" w:color="auto"/>
              <w:bottom w:val="single" w:sz="4" w:space="0" w:color="auto"/>
              <w:right w:val="single" w:sz="4" w:space="0" w:color="auto"/>
            </w:tcBorders>
            <w:hideMark/>
          </w:tcPr>
          <w:p w14:paraId="48E8D60C" w14:textId="77777777" w:rsidR="00F10AF1" w:rsidRPr="0013396E" w:rsidRDefault="00F10AF1" w:rsidP="0099759E">
            <w:pPr>
              <w:pStyle w:val="tablebody0"/>
            </w:pPr>
            <w:r w:rsidRPr="0013396E">
              <w:t>$</w:t>
            </w:r>
          </w:p>
        </w:tc>
        <w:tc>
          <w:tcPr>
            <w:tcW w:w="3098" w:type="pct"/>
            <w:tcBorders>
              <w:top w:val="single" w:sz="4" w:space="0" w:color="auto"/>
              <w:left w:val="single" w:sz="4" w:space="0" w:color="auto"/>
              <w:bottom w:val="single" w:sz="4" w:space="0" w:color="auto"/>
              <w:right w:val="single" w:sz="4" w:space="0" w:color="auto"/>
            </w:tcBorders>
            <w:hideMark/>
          </w:tcPr>
          <w:p w14:paraId="27686FBD" w14:textId="77777777" w:rsidR="00F10AF1" w:rsidRPr="0013396E" w:rsidRDefault="00F10AF1" w:rsidP="0099759E">
            <w:pPr>
              <w:pStyle w:val="tablebody0"/>
              <w:rPr>
                <w:i/>
              </w:rPr>
            </w:pPr>
            <w:r w:rsidRPr="0013396E">
              <w:rPr>
                <w:i/>
              </w:rPr>
              <w:t>Real-Time Responsive Reserve Revenue</w:t>
            </w:r>
            <w:r w:rsidRPr="0013396E">
              <w:t xml:space="preserve">—The Real-Time RRS revenue for QSE </w:t>
            </w:r>
            <w:r w:rsidRPr="0013396E">
              <w:rPr>
                <w:i/>
              </w:rPr>
              <w:t xml:space="preserve">q </w:t>
            </w:r>
            <w:r w:rsidRPr="0013396E">
              <w:t xml:space="preserve">calculated for Resource </w:t>
            </w:r>
            <w:r w:rsidRPr="0013396E">
              <w:rPr>
                <w:i/>
              </w:rPr>
              <w:t xml:space="preserve">r </w:t>
            </w:r>
            <w:r w:rsidRPr="0013396E">
              <w:t xml:space="preserve">for the 15-minute Settlement Interval.  Where for a Combined Cycle Train, the Resource </w:t>
            </w:r>
            <w:r w:rsidRPr="0013396E">
              <w:rPr>
                <w:i/>
              </w:rPr>
              <w:t>r</w:t>
            </w:r>
            <w:r w:rsidRPr="0013396E">
              <w:t xml:space="preserve"> is the Combined Cycle Train.</w:t>
            </w:r>
          </w:p>
        </w:tc>
      </w:tr>
      <w:tr w:rsidR="00F10AF1" w:rsidRPr="0013396E" w14:paraId="0C0DB594"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702D9314" w14:textId="77777777" w:rsidR="00F10AF1" w:rsidRPr="0013396E" w:rsidRDefault="00F10AF1" w:rsidP="0099759E">
            <w:pPr>
              <w:pStyle w:val="tablebody0"/>
            </w:pPr>
            <w:r w:rsidRPr="0013396E">
              <w:t xml:space="preserve">RTRDPARRS </w:t>
            </w:r>
            <w:r w:rsidRPr="0013396E">
              <w:rPr>
                <w:i/>
                <w:vertAlign w:val="subscript"/>
              </w:rPr>
              <w:t>y</w:t>
            </w:r>
          </w:p>
        </w:tc>
        <w:tc>
          <w:tcPr>
            <w:tcW w:w="623" w:type="pct"/>
            <w:tcBorders>
              <w:top w:val="single" w:sz="4" w:space="0" w:color="auto"/>
              <w:left w:val="single" w:sz="4" w:space="0" w:color="auto"/>
              <w:bottom w:val="single" w:sz="4" w:space="0" w:color="auto"/>
              <w:right w:val="single" w:sz="4" w:space="0" w:color="auto"/>
            </w:tcBorders>
            <w:hideMark/>
          </w:tcPr>
          <w:p w14:paraId="1F7047E6" w14:textId="77777777" w:rsidR="00F10AF1" w:rsidRPr="0013396E" w:rsidRDefault="00F10AF1" w:rsidP="0099759E">
            <w:pPr>
              <w:pStyle w:val="tablebody0"/>
            </w:pPr>
            <w:r w:rsidRPr="0013396E">
              <w:t>$/MW</w:t>
            </w:r>
          </w:p>
        </w:tc>
        <w:tc>
          <w:tcPr>
            <w:tcW w:w="3098" w:type="pct"/>
            <w:tcBorders>
              <w:top w:val="single" w:sz="4" w:space="0" w:color="auto"/>
              <w:left w:val="single" w:sz="4" w:space="0" w:color="auto"/>
              <w:bottom w:val="single" w:sz="4" w:space="0" w:color="auto"/>
              <w:right w:val="single" w:sz="4" w:space="0" w:color="auto"/>
            </w:tcBorders>
            <w:hideMark/>
          </w:tcPr>
          <w:p w14:paraId="3183101B" w14:textId="77777777" w:rsidR="00F10AF1" w:rsidRPr="0013396E" w:rsidRDefault="00F10AF1" w:rsidP="0099759E">
            <w:pPr>
              <w:pStyle w:val="tablebody0"/>
            </w:pPr>
            <w:r w:rsidRPr="0013396E">
              <w:rPr>
                <w:i/>
              </w:rPr>
              <w:t>Real-Time Reliability Deployment Price Adder for Ancillary Service for Responsive Reserve per SCED interval</w:t>
            </w:r>
            <w:r w:rsidRPr="0013396E">
              <w:rPr>
                <w:iCs/>
              </w:rPr>
              <w:t>—</w:t>
            </w:r>
            <w:r w:rsidRPr="0013396E">
              <w:t xml:space="preserve">The Real-Time price adder for RRS that captures the impact of reliability deployments on RRS prices for the SCED interval </w:t>
            </w:r>
            <w:r w:rsidRPr="0013396E">
              <w:rPr>
                <w:i/>
                <w:iCs/>
              </w:rPr>
              <w:t>y</w:t>
            </w:r>
            <w:r w:rsidRPr="0013396E">
              <w:t xml:space="preserve">. </w:t>
            </w:r>
          </w:p>
        </w:tc>
      </w:tr>
      <w:tr w:rsidR="00F10AF1" w:rsidRPr="0013396E" w14:paraId="0CBA8DDB"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04FB931C" w14:textId="77777777" w:rsidR="00F10AF1" w:rsidRPr="0013396E" w:rsidRDefault="00F10AF1" w:rsidP="0099759E">
            <w:pPr>
              <w:pStyle w:val="tablebody0"/>
            </w:pPr>
            <w:r w:rsidRPr="0013396E">
              <w:t xml:space="preserve">RTRRAWDS </w:t>
            </w:r>
            <w:r w:rsidRPr="0013396E">
              <w:rPr>
                <w:i/>
                <w:vertAlign w:val="subscript"/>
              </w:rPr>
              <w:t>q, r, y</w:t>
            </w:r>
          </w:p>
        </w:tc>
        <w:tc>
          <w:tcPr>
            <w:tcW w:w="623" w:type="pct"/>
            <w:tcBorders>
              <w:top w:val="single" w:sz="4" w:space="0" w:color="auto"/>
              <w:left w:val="single" w:sz="4" w:space="0" w:color="auto"/>
              <w:bottom w:val="single" w:sz="4" w:space="0" w:color="auto"/>
              <w:right w:val="single" w:sz="4" w:space="0" w:color="auto"/>
            </w:tcBorders>
            <w:hideMark/>
          </w:tcPr>
          <w:p w14:paraId="42475052" w14:textId="77777777" w:rsidR="00F10AF1" w:rsidRPr="0013396E" w:rsidRDefault="00F10AF1" w:rsidP="0099759E">
            <w:pPr>
              <w:pStyle w:val="tablebody0"/>
            </w:pPr>
            <w:r w:rsidRPr="0013396E">
              <w:t>MW</w:t>
            </w:r>
          </w:p>
        </w:tc>
        <w:tc>
          <w:tcPr>
            <w:tcW w:w="3098" w:type="pct"/>
            <w:tcBorders>
              <w:top w:val="single" w:sz="4" w:space="0" w:color="auto"/>
              <w:left w:val="single" w:sz="4" w:space="0" w:color="auto"/>
              <w:bottom w:val="single" w:sz="4" w:space="0" w:color="auto"/>
              <w:right w:val="single" w:sz="4" w:space="0" w:color="auto"/>
            </w:tcBorders>
            <w:hideMark/>
          </w:tcPr>
          <w:p w14:paraId="44E127A4" w14:textId="77777777" w:rsidR="00F10AF1" w:rsidRPr="0013396E" w:rsidRDefault="00F10AF1" w:rsidP="0099759E">
            <w:pPr>
              <w:pStyle w:val="tablebody0"/>
              <w:rPr>
                <w:i/>
              </w:rPr>
            </w:pPr>
            <w:r w:rsidRPr="0013396E">
              <w:rPr>
                <w:i/>
              </w:rPr>
              <w:t>Real-Time Responsive Reserve Award per Resource per QSE per SCED interval</w:t>
            </w:r>
            <w:r w:rsidRPr="0013396E">
              <w:rPr>
                <w:iCs/>
              </w:rPr>
              <w:t>—</w:t>
            </w:r>
            <w:r w:rsidRPr="0013396E">
              <w:t xml:space="preserve">The RRS amount awarded to QSE </w:t>
            </w:r>
            <w:r w:rsidRPr="0013396E">
              <w:rPr>
                <w:i/>
              </w:rPr>
              <w:t>q</w:t>
            </w:r>
            <w:r w:rsidRPr="0013396E">
              <w:t xml:space="preserve"> for Resource </w:t>
            </w:r>
            <w:r w:rsidRPr="0013396E">
              <w:rPr>
                <w:i/>
              </w:rPr>
              <w:t>r</w:t>
            </w:r>
            <w:r w:rsidRPr="0013396E">
              <w:t xml:space="preserve"> in Real-Time for the SCED interval </w:t>
            </w:r>
            <w:r w:rsidRPr="0013396E">
              <w:rPr>
                <w:i/>
              </w:rPr>
              <w:t xml:space="preserve">y.  </w:t>
            </w:r>
            <w:r w:rsidRPr="0013396E">
              <w:t xml:space="preserve">Where for a Combined Cycle Train, the Resource </w:t>
            </w:r>
            <w:r w:rsidRPr="0013396E">
              <w:rPr>
                <w:i/>
              </w:rPr>
              <w:t xml:space="preserve">r </w:t>
            </w:r>
            <w:r w:rsidRPr="0013396E">
              <w:t>is a Combined Cycle Generation Resource within the Combined Cycle Train.</w:t>
            </w:r>
          </w:p>
        </w:tc>
      </w:tr>
      <w:tr w:rsidR="00F10AF1" w:rsidRPr="0013396E" w14:paraId="3C472C07"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6BE0C4C7" w14:textId="77777777" w:rsidR="00F10AF1" w:rsidRPr="0013396E" w:rsidRDefault="00F10AF1" w:rsidP="0099759E">
            <w:pPr>
              <w:pStyle w:val="tablebody0"/>
            </w:pPr>
            <w:r w:rsidRPr="0013396E">
              <w:t xml:space="preserve">RTMCPCRRR </w:t>
            </w:r>
            <w:r w:rsidRPr="0013396E">
              <w:rPr>
                <w:i/>
                <w:vertAlign w:val="subscript"/>
              </w:rPr>
              <w:t>q, r</w:t>
            </w:r>
          </w:p>
        </w:tc>
        <w:tc>
          <w:tcPr>
            <w:tcW w:w="623" w:type="pct"/>
            <w:tcBorders>
              <w:top w:val="single" w:sz="4" w:space="0" w:color="auto"/>
              <w:left w:val="single" w:sz="4" w:space="0" w:color="auto"/>
              <w:bottom w:val="single" w:sz="4" w:space="0" w:color="auto"/>
              <w:right w:val="single" w:sz="4" w:space="0" w:color="auto"/>
            </w:tcBorders>
            <w:hideMark/>
          </w:tcPr>
          <w:p w14:paraId="28E9E54E" w14:textId="77777777" w:rsidR="00F10AF1" w:rsidRPr="0013396E" w:rsidRDefault="00F10AF1" w:rsidP="0099759E">
            <w:pPr>
              <w:pStyle w:val="tablebody0"/>
            </w:pPr>
            <w:r w:rsidRPr="0013396E">
              <w:t>$/MW</w:t>
            </w:r>
          </w:p>
        </w:tc>
        <w:tc>
          <w:tcPr>
            <w:tcW w:w="3098" w:type="pct"/>
            <w:tcBorders>
              <w:top w:val="single" w:sz="4" w:space="0" w:color="auto"/>
              <w:left w:val="single" w:sz="4" w:space="0" w:color="auto"/>
              <w:bottom w:val="single" w:sz="4" w:space="0" w:color="auto"/>
              <w:right w:val="single" w:sz="4" w:space="0" w:color="auto"/>
            </w:tcBorders>
            <w:hideMark/>
          </w:tcPr>
          <w:p w14:paraId="300EA11A" w14:textId="77777777" w:rsidR="00F10AF1" w:rsidRPr="0013396E" w:rsidRDefault="00F10AF1" w:rsidP="0099759E">
            <w:pPr>
              <w:pStyle w:val="tablebody0"/>
              <w:rPr>
                <w:iCs/>
              </w:rPr>
            </w:pPr>
            <w:r w:rsidRPr="0013396E">
              <w:rPr>
                <w:i/>
              </w:rPr>
              <w:t>Real-Time Market Clearing Price for Capacity for Responsive Reserve per Resource per QSE</w:t>
            </w:r>
            <w:r w:rsidRPr="0013396E">
              <w:sym w:font="Symbol" w:char="F0BE"/>
            </w:r>
            <w:r w:rsidRPr="0013396E">
              <w:t xml:space="preserve">The Real-Time MCPC for RRS for Resource </w:t>
            </w:r>
            <w:r w:rsidRPr="0013396E">
              <w:rPr>
                <w:i/>
              </w:rPr>
              <w:t>r</w:t>
            </w:r>
            <w:r w:rsidRPr="0013396E">
              <w:t xml:space="preserve">, represented by QSE </w:t>
            </w:r>
            <w:r w:rsidRPr="0013396E">
              <w:rPr>
                <w:i/>
              </w:rPr>
              <w:t xml:space="preserve">q </w:t>
            </w:r>
            <w:r w:rsidRPr="0013396E">
              <w:t xml:space="preserve">for the 15-minute Settlement Interval.  Where for a Combined Cycle Train, the Resource </w:t>
            </w:r>
            <w:r w:rsidRPr="0013396E">
              <w:rPr>
                <w:i/>
              </w:rPr>
              <w:t>r</w:t>
            </w:r>
            <w:r w:rsidRPr="0013396E">
              <w:t xml:space="preserve"> is the Combined Cycle Train.</w:t>
            </w:r>
          </w:p>
        </w:tc>
      </w:tr>
      <w:tr w:rsidR="00F10AF1" w:rsidRPr="0013396E" w14:paraId="67075639"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1170CA42" w14:textId="77777777" w:rsidR="00F10AF1" w:rsidRPr="0013396E" w:rsidRDefault="00F10AF1" w:rsidP="0099759E">
            <w:pPr>
              <w:pStyle w:val="tablebody0"/>
            </w:pPr>
            <w:r w:rsidRPr="0013396E">
              <w:t>RTMCPCRRS</w:t>
            </w:r>
            <w:r w:rsidRPr="0013396E">
              <w:rPr>
                <w:i/>
                <w:vertAlign w:val="subscript"/>
              </w:rPr>
              <w:t xml:space="preserve"> y</w:t>
            </w:r>
          </w:p>
        </w:tc>
        <w:tc>
          <w:tcPr>
            <w:tcW w:w="623" w:type="pct"/>
            <w:tcBorders>
              <w:top w:val="single" w:sz="4" w:space="0" w:color="auto"/>
              <w:left w:val="single" w:sz="4" w:space="0" w:color="auto"/>
              <w:bottom w:val="single" w:sz="4" w:space="0" w:color="auto"/>
              <w:right w:val="single" w:sz="4" w:space="0" w:color="auto"/>
            </w:tcBorders>
            <w:hideMark/>
          </w:tcPr>
          <w:p w14:paraId="2F0C04EB" w14:textId="77777777" w:rsidR="00F10AF1" w:rsidRPr="0013396E" w:rsidRDefault="00F10AF1" w:rsidP="0099759E">
            <w:pPr>
              <w:pStyle w:val="tablebody0"/>
            </w:pPr>
            <w:r w:rsidRPr="0013396E">
              <w:t>$/MW</w:t>
            </w:r>
          </w:p>
        </w:tc>
        <w:tc>
          <w:tcPr>
            <w:tcW w:w="3098" w:type="pct"/>
            <w:tcBorders>
              <w:top w:val="single" w:sz="4" w:space="0" w:color="auto"/>
              <w:left w:val="single" w:sz="4" w:space="0" w:color="auto"/>
              <w:bottom w:val="single" w:sz="4" w:space="0" w:color="auto"/>
              <w:right w:val="single" w:sz="4" w:space="0" w:color="auto"/>
            </w:tcBorders>
            <w:hideMark/>
          </w:tcPr>
          <w:p w14:paraId="7B257506" w14:textId="77777777" w:rsidR="00F10AF1" w:rsidRPr="0013396E" w:rsidRDefault="00F10AF1" w:rsidP="0099759E">
            <w:pPr>
              <w:pStyle w:val="tablebody0"/>
              <w:rPr>
                <w:i/>
              </w:rPr>
            </w:pPr>
            <w:r w:rsidRPr="0013396E">
              <w:rPr>
                <w:i/>
              </w:rPr>
              <w:t>Real-Time Market Clearing Price for Capacity for Responsive Reserve per SCED interval</w:t>
            </w:r>
            <w:r w:rsidRPr="0013396E">
              <w:rPr>
                <w:iCs/>
              </w:rPr>
              <w:t>—</w:t>
            </w:r>
            <w:r w:rsidRPr="0013396E">
              <w:t xml:space="preserve">The Real-Time MCPC for RRS for the SCED interval </w:t>
            </w:r>
            <w:r w:rsidRPr="0013396E">
              <w:rPr>
                <w:i/>
              </w:rPr>
              <w:t>y.</w:t>
            </w:r>
          </w:p>
        </w:tc>
      </w:tr>
      <w:tr w:rsidR="00F10AF1" w:rsidRPr="0013396E" w14:paraId="1DF01C9D"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1F83AA0B" w14:textId="77777777" w:rsidR="00F10AF1" w:rsidRPr="0013396E" w:rsidRDefault="00F10AF1" w:rsidP="0099759E">
            <w:pPr>
              <w:pStyle w:val="tablebody0"/>
            </w:pPr>
            <w:r w:rsidRPr="0013396E">
              <w:t xml:space="preserve">PCRRR </w:t>
            </w:r>
            <w:r w:rsidRPr="0013396E">
              <w:rPr>
                <w:i/>
                <w:vertAlign w:val="subscript"/>
              </w:rPr>
              <w:t>r,</w:t>
            </w:r>
            <w:r w:rsidRPr="0013396E">
              <w:rPr>
                <w:i/>
              </w:rPr>
              <w:t xml:space="preserve"> </w:t>
            </w:r>
            <w:r w:rsidRPr="0013396E">
              <w:rPr>
                <w:i/>
                <w:vertAlign w:val="subscript"/>
              </w:rPr>
              <w:t>q, DAM</w:t>
            </w:r>
          </w:p>
        </w:tc>
        <w:tc>
          <w:tcPr>
            <w:tcW w:w="623" w:type="pct"/>
            <w:tcBorders>
              <w:top w:val="single" w:sz="4" w:space="0" w:color="auto"/>
              <w:left w:val="single" w:sz="4" w:space="0" w:color="auto"/>
              <w:bottom w:val="single" w:sz="4" w:space="0" w:color="auto"/>
              <w:right w:val="single" w:sz="4" w:space="0" w:color="auto"/>
            </w:tcBorders>
            <w:hideMark/>
          </w:tcPr>
          <w:p w14:paraId="191F199A" w14:textId="77777777" w:rsidR="00F10AF1" w:rsidRPr="0013396E" w:rsidRDefault="00F10AF1" w:rsidP="0099759E">
            <w:pPr>
              <w:pStyle w:val="tablebody0"/>
            </w:pPr>
            <w:r w:rsidRPr="0013396E">
              <w:t>MW</w:t>
            </w:r>
          </w:p>
        </w:tc>
        <w:tc>
          <w:tcPr>
            <w:tcW w:w="3098" w:type="pct"/>
            <w:tcBorders>
              <w:top w:val="single" w:sz="4" w:space="0" w:color="auto"/>
              <w:left w:val="single" w:sz="4" w:space="0" w:color="auto"/>
              <w:bottom w:val="single" w:sz="4" w:space="0" w:color="auto"/>
              <w:right w:val="single" w:sz="4" w:space="0" w:color="auto"/>
            </w:tcBorders>
            <w:hideMark/>
          </w:tcPr>
          <w:p w14:paraId="5925E5DC" w14:textId="77777777" w:rsidR="00F10AF1" w:rsidRPr="0013396E" w:rsidRDefault="00F10AF1" w:rsidP="0099759E">
            <w:pPr>
              <w:pStyle w:val="tablebody0"/>
              <w:rPr>
                <w:i/>
              </w:rPr>
            </w:pPr>
            <w:r w:rsidRPr="0013396E">
              <w:rPr>
                <w:i/>
              </w:rPr>
              <w:t>Procured Capacity for Responsive Reserve per Resource per QSE in DAM</w:t>
            </w:r>
            <w:r w:rsidRPr="0013396E">
              <w:t xml:space="preserve">—The RRS capacity awarded to QSE </w:t>
            </w:r>
            <w:r w:rsidRPr="0013396E">
              <w:rPr>
                <w:i/>
              </w:rPr>
              <w:t>q</w:t>
            </w:r>
            <w:r w:rsidRPr="0013396E">
              <w:t xml:space="preserve"> in the DAM for Resource </w:t>
            </w:r>
            <w:r w:rsidRPr="0013396E">
              <w:rPr>
                <w:i/>
              </w:rPr>
              <w:t>r</w:t>
            </w:r>
            <w:r w:rsidRPr="0013396E">
              <w:t xml:space="preserve"> for the </w:t>
            </w:r>
            <w:r w:rsidRPr="0013396E">
              <w:rPr>
                <w:szCs w:val="18"/>
              </w:rPr>
              <w:t>Operating Hour</w:t>
            </w:r>
            <w:r w:rsidRPr="0013396E">
              <w:t xml:space="preserve">.  Where for a Combined Cycle Train, the Resource </w:t>
            </w:r>
            <w:r w:rsidRPr="0013396E">
              <w:rPr>
                <w:i/>
              </w:rPr>
              <w:t xml:space="preserve">r </w:t>
            </w:r>
            <w:r w:rsidRPr="0013396E">
              <w:t>is a Combined Cycle Generation Resource within the Combined Cycle Train.</w:t>
            </w:r>
          </w:p>
        </w:tc>
      </w:tr>
      <w:tr w:rsidR="00F10AF1" w:rsidRPr="0013396E" w14:paraId="4BEFE241" w14:textId="77777777" w:rsidTr="0099759E">
        <w:trPr>
          <w:cantSplit/>
        </w:trPr>
        <w:tc>
          <w:tcPr>
            <w:tcW w:w="1279" w:type="pct"/>
            <w:tcBorders>
              <w:top w:val="single" w:sz="4" w:space="0" w:color="auto"/>
              <w:left w:val="single" w:sz="4" w:space="0" w:color="auto"/>
              <w:bottom w:val="single" w:sz="4" w:space="0" w:color="auto"/>
              <w:right w:val="single" w:sz="4" w:space="0" w:color="auto"/>
            </w:tcBorders>
          </w:tcPr>
          <w:p w14:paraId="1F8677E6" w14:textId="77777777" w:rsidR="00F10AF1" w:rsidRPr="0013396E" w:rsidRDefault="00F10AF1" w:rsidP="0099759E">
            <w:pPr>
              <w:pStyle w:val="tablebody0"/>
            </w:pPr>
            <w:r w:rsidRPr="0013396E">
              <w:t>RTMCPCRR</w:t>
            </w:r>
          </w:p>
          <w:p w14:paraId="04B26343" w14:textId="77777777" w:rsidR="00F10AF1" w:rsidRPr="0013396E" w:rsidRDefault="00F10AF1" w:rsidP="0099759E">
            <w:pPr>
              <w:pStyle w:val="tablebody0"/>
            </w:pPr>
          </w:p>
        </w:tc>
        <w:tc>
          <w:tcPr>
            <w:tcW w:w="623" w:type="pct"/>
            <w:tcBorders>
              <w:top w:val="single" w:sz="4" w:space="0" w:color="auto"/>
              <w:left w:val="single" w:sz="4" w:space="0" w:color="auto"/>
              <w:bottom w:val="single" w:sz="4" w:space="0" w:color="auto"/>
              <w:right w:val="single" w:sz="4" w:space="0" w:color="auto"/>
            </w:tcBorders>
            <w:hideMark/>
          </w:tcPr>
          <w:p w14:paraId="4A96B75D" w14:textId="77777777" w:rsidR="00F10AF1" w:rsidRPr="0013396E" w:rsidRDefault="00F10AF1" w:rsidP="0099759E">
            <w:pPr>
              <w:pStyle w:val="tablebody0"/>
            </w:pPr>
            <w:r w:rsidRPr="0013396E">
              <w:t>$/MW</w:t>
            </w:r>
          </w:p>
        </w:tc>
        <w:tc>
          <w:tcPr>
            <w:tcW w:w="3098" w:type="pct"/>
            <w:tcBorders>
              <w:top w:val="single" w:sz="4" w:space="0" w:color="auto"/>
              <w:left w:val="single" w:sz="4" w:space="0" w:color="auto"/>
              <w:bottom w:val="single" w:sz="4" w:space="0" w:color="auto"/>
              <w:right w:val="single" w:sz="4" w:space="0" w:color="auto"/>
            </w:tcBorders>
            <w:hideMark/>
          </w:tcPr>
          <w:p w14:paraId="13054334" w14:textId="77777777" w:rsidR="00F10AF1" w:rsidRPr="0013396E" w:rsidRDefault="00F10AF1" w:rsidP="0099759E">
            <w:pPr>
              <w:pStyle w:val="tablebody0"/>
              <w:rPr>
                <w:i/>
              </w:rPr>
            </w:pPr>
            <w:r w:rsidRPr="0013396E">
              <w:rPr>
                <w:i/>
              </w:rPr>
              <w:t>Real-Time Market Clearing Price for Capacity for Responsive Reserve</w:t>
            </w:r>
            <w:r w:rsidRPr="0013396E">
              <w:rPr>
                <w:iCs/>
              </w:rPr>
              <w:t>—</w:t>
            </w:r>
            <w:r w:rsidRPr="0013396E">
              <w:t>The Real-Time MCPC for RRS for the 15-minute Settlement Interval.</w:t>
            </w:r>
          </w:p>
        </w:tc>
      </w:tr>
      <w:tr w:rsidR="00F10AF1" w:rsidRPr="0013396E" w14:paraId="3CCB05E8"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4CC7B293" w14:textId="77777777" w:rsidR="00F10AF1" w:rsidRPr="0013396E" w:rsidRDefault="00F10AF1" w:rsidP="0099759E">
            <w:pPr>
              <w:pStyle w:val="tablebody0"/>
            </w:pPr>
            <w:r w:rsidRPr="0013396E">
              <w:t>DASARRQ</w:t>
            </w:r>
            <w:r w:rsidRPr="0013396E">
              <w:rPr>
                <w:i/>
                <w:vertAlign w:val="subscript"/>
              </w:rPr>
              <w:t xml:space="preserve"> q</w:t>
            </w:r>
          </w:p>
        </w:tc>
        <w:tc>
          <w:tcPr>
            <w:tcW w:w="623" w:type="pct"/>
            <w:tcBorders>
              <w:top w:val="single" w:sz="4" w:space="0" w:color="auto"/>
              <w:left w:val="single" w:sz="4" w:space="0" w:color="auto"/>
              <w:bottom w:val="single" w:sz="4" w:space="0" w:color="auto"/>
              <w:right w:val="single" w:sz="4" w:space="0" w:color="auto"/>
            </w:tcBorders>
            <w:hideMark/>
          </w:tcPr>
          <w:p w14:paraId="241A9EE0" w14:textId="77777777" w:rsidR="00F10AF1" w:rsidRPr="0013396E" w:rsidRDefault="00F10AF1" w:rsidP="0099759E">
            <w:pPr>
              <w:pStyle w:val="tablebody0"/>
            </w:pPr>
            <w:r w:rsidRPr="0013396E">
              <w:t>MW</w:t>
            </w:r>
          </w:p>
        </w:tc>
        <w:tc>
          <w:tcPr>
            <w:tcW w:w="3098" w:type="pct"/>
            <w:tcBorders>
              <w:top w:val="single" w:sz="4" w:space="0" w:color="auto"/>
              <w:left w:val="single" w:sz="4" w:space="0" w:color="auto"/>
              <w:bottom w:val="single" w:sz="4" w:space="0" w:color="auto"/>
              <w:right w:val="single" w:sz="4" w:space="0" w:color="auto"/>
            </w:tcBorders>
            <w:hideMark/>
          </w:tcPr>
          <w:p w14:paraId="2C4DB950" w14:textId="77777777" w:rsidR="00F10AF1" w:rsidRPr="0013396E" w:rsidRDefault="00F10AF1" w:rsidP="0099759E">
            <w:pPr>
              <w:pStyle w:val="tablebody0"/>
              <w:rPr>
                <w:i/>
              </w:rPr>
            </w:pPr>
            <w:r w:rsidRPr="0013396E">
              <w:rPr>
                <w:i/>
                <w:iCs/>
              </w:rPr>
              <w:t>Day-Ahead Self-Arranged Responsive Reserve Quantity per QSE</w:t>
            </w:r>
            <w:r w:rsidRPr="0013396E">
              <w:rPr>
                <w:iCs/>
              </w:rPr>
              <w:t xml:space="preserve">—The self-arranged RRS quantity submitted by QSE </w:t>
            </w:r>
            <w:r w:rsidRPr="0013396E">
              <w:rPr>
                <w:i/>
                <w:iCs/>
              </w:rPr>
              <w:t>q</w:t>
            </w:r>
            <w:r w:rsidRPr="0013396E">
              <w:rPr>
                <w:iCs/>
              </w:rPr>
              <w:t xml:space="preserve"> before 1000 in the DAM for the Operating Hour.</w:t>
            </w:r>
          </w:p>
        </w:tc>
      </w:tr>
      <w:tr w:rsidR="00F10AF1" w:rsidRPr="0013396E" w14:paraId="79FFA9C4"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53AE78EF" w14:textId="77777777" w:rsidR="00F10AF1" w:rsidRPr="0013396E" w:rsidRDefault="00F10AF1" w:rsidP="0099759E">
            <w:pPr>
              <w:pStyle w:val="tablebody0"/>
            </w:pPr>
            <w:r w:rsidRPr="0013396E">
              <w:t>RRTP</w:t>
            </w:r>
            <w:r w:rsidRPr="0013396E">
              <w:rPr>
                <w:i/>
                <w:vertAlign w:val="subscript"/>
              </w:rPr>
              <w:t xml:space="preserve"> q</w:t>
            </w:r>
          </w:p>
        </w:tc>
        <w:tc>
          <w:tcPr>
            <w:tcW w:w="623" w:type="pct"/>
            <w:tcBorders>
              <w:top w:val="single" w:sz="4" w:space="0" w:color="auto"/>
              <w:left w:val="single" w:sz="4" w:space="0" w:color="auto"/>
              <w:bottom w:val="single" w:sz="4" w:space="0" w:color="auto"/>
              <w:right w:val="single" w:sz="4" w:space="0" w:color="auto"/>
            </w:tcBorders>
            <w:hideMark/>
          </w:tcPr>
          <w:p w14:paraId="676258FD" w14:textId="77777777" w:rsidR="00F10AF1" w:rsidRPr="0013396E" w:rsidRDefault="00F10AF1" w:rsidP="0099759E">
            <w:pPr>
              <w:pStyle w:val="tablebody0"/>
            </w:pPr>
            <w:r w:rsidRPr="0013396E">
              <w:t>MW</w:t>
            </w:r>
          </w:p>
        </w:tc>
        <w:tc>
          <w:tcPr>
            <w:tcW w:w="3098" w:type="pct"/>
            <w:tcBorders>
              <w:top w:val="single" w:sz="4" w:space="0" w:color="auto"/>
              <w:left w:val="single" w:sz="4" w:space="0" w:color="auto"/>
              <w:bottom w:val="single" w:sz="4" w:space="0" w:color="auto"/>
              <w:right w:val="single" w:sz="4" w:space="0" w:color="auto"/>
            </w:tcBorders>
            <w:hideMark/>
          </w:tcPr>
          <w:p w14:paraId="42FCDEE4" w14:textId="77777777" w:rsidR="00F10AF1" w:rsidRPr="0013396E" w:rsidRDefault="00F10AF1" w:rsidP="0099759E">
            <w:pPr>
              <w:pStyle w:val="tablebody0"/>
              <w:rPr>
                <w:i/>
              </w:rPr>
            </w:pPr>
            <w:r w:rsidRPr="0013396E">
              <w:rPr>
                <w:i/>
              </w:rPr>
              <w:t>Trade Purchases for Responsive Reserve for the QSE</w:t>
            </w:r>
            <w:r w:rsidRPr="0013396E">
              <w:rPr>
                <w:i/>
                <w:szCs w:val="18"/>
              </w:rPr>
              <w:t>—</w:t>
            </w:r>
            <w:r w:rsidRPr="0013396E">
              <w:rPr>
                <w:szCs w:val="18"/>
              </w:rPr>
              <w:t xml:space="preserve">The trade purchases for QSE </w:t>
            </w:r>
            <w:r w:rsidRPr="0013396E">
              <w:rPr>
                <w:i/>
                <w:szCs w:val="18"/>
              </w:rPr>
              <w:t>q</w:t>
            </w:r>
            <w:r w:rsidRPr="0013396E">
              <w:rPr>
                <w:szCs w:val="18"/>
              </w:rPr>
              <w:t xml:space="preserve"> for RRS for the Operating Hour.</w:t>
            </w:r>
          </w:p>
        </w:tc>
      </w:tr>
      <w:tr w:rsidR="00F10AF1" w:rsidRPr="0013396E" w14:paraId="579C2CA8"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6020B558" w14:textId="77777777" w:rsidR="00F10AF1" w:rsidRPr="0013396E" w:rsidRDefault="00F10AF1" w:rsidP="0099759E">
            <w:pPr>
              <w:pStyle w:val="tablebody0"/>
            </w:pPr>
            <w:r w:rsidRPr="0013396E">
              <w:t xml:space="preserve">RRTS </w:t>
            </w:r>
            <w:r w:rsidRPr="0013396E">
              <w:rPr>
                <w:i/>
                <w:vertAlign w:val="subscript"/>
              </w:rPr>
              <w:t>q</w:t>
            </w:r>
          </w:p>
        </w:tc>
        <w:tc>
          <w:tcPr>
            <w:tcW w:w="623" w:type="pct"/>
            <w:tcBorders>
              <w:top w:val="single" w:sz="4" w:space="0" w:color="auto"/>
              <w:left w:val="single" w:sz="4" w:space="0" w:color="auto"/>
              <w:bottom w:val="single" w:sz="4" w:space="0" w:color="auto"/>
              <w:right w:val="single" w:sz="4" w:space="0" w:color="auto"/>
            </w:tcBorders>
            <w:hideMark/>
          </w:tcPr>
          <w:p w14:paraId="61D9D599" w14:textId="77777777" w:rsidR="00F10AF1" w:rsidRPr="0013396E" w:rsidRDefault="00F10AF1" w:rsidP="0099759E">
            <w:pPr>
              <w:pStyle w:val="tablebody0"/>
            </w:pPr>
            <w:r w:rsidRPr="0013396E">
              <w:t>MW</w:t>
            </w:r>
          </w:p>
        </w:tc>
        <w:tc>
          <w:tcPr>
            <w:tcW w:w="3098" w:type="pct"/>
            <w:tcBorders>
              <w:top w:val="single" w:sz="4" w:space="0" w:color="auto"/>
              <w:left w:val="single" w:sz="4" w:space="0" w:color="auto"/>
              <w:bottom w:val="single" w:sz="4" w:space="0" w:color="auto"/>
              <w:right w:val="single" w:sz="4" w:space="0" w:color="auto"/>
            </w:tcBorders>
            <w:hideMark/>
          </w:tcPr>
          <w:p w14:paraId="7CE4263F" w14:textId="77777777" w:rsidR="00F10AF1" w:rsidRPr="0013396E" w:rsidRDefault="00F10AF1" w:rsidP="0099759E">
            <w:pPr>
              <w:pStyle w:val="tablebody0"/>
              <w:rPr>
                <w:i/>
              </w:rPr>
            </w:pPr>
            <w:r w:rsidRPr="0013396E">
              <w:rPr>
                <w:i/>
              </w:rPr>
              <w:t>Trade Sales for Responsive Reserve for the QSE</w:t>
            </w:r>
            <w:r w:rsidRPr="0013396E">
              <w:rPr>
                <w:i/>
                <w:szCs w:val="18"/>
              </w:rPr>
              <w:t>—</w:t>
            </w:r>
            <w:r w:rsidRPr="0013396E">
              <w:rPr>
                <w:szCs w:val="18"/>
              </w:rPr>
              <w:t xml:space="preserve">The trade sales for QSE </w:t>
            </w:r>
            <w:r w:rsidRPr="0013396E">
              <w:rPr>
                <w:i/>
                <w:szCs w:val="18"/>
              </w:rPr>
              <w:t>q</w:t>
            </w:r>
            <w:r w:rsidRPr="0013396E">
              <w:rPr>
                <w:szCs w:val="18"/>
              </w:rPr>
              <w:t xml:space="preserve"> for RRS for the Operating Hour.</w:t>
            </w:r>
          </w:p>
        </w:tc>
      </w:tr>
      <w:tr w:rsidR="00F10AF1" w:rsidRPr="0013396E" w14:paraId="3F636CE8"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1D6A06EB" w14:textId="77777777" w:rsidR="00F10AF1" w:rsidRPr="0013396E" w:rsidRDefault="00F10AF1" w:rsidP="0099759E">
            <w:pPr>
              <w:pStyle w:val="tablebody0"/>
            </w:pPr>
            <w:r w:rsidRPr="0013396E">
              <w:t xml:space="preserve">TLMP </w:t>
            </w:r>
            <w:r w:rsidRPr="0013396E">
              <w:rPr>
                <w:i/>
                <w:vertAlign w:val="subscript"/>
              </w:rPr>
              <w:t>y</w:t>
            </w:r>
          </w:p>
        </w:tc>
        <w:tc>
          <w:tcPr>
            <w:tcW w:w="623" w:type="pct"/>
            <w:tcBorders>
              <w:top w:val="single" w:sz="4" w:space="0" w:color="auto"/>
              <w:left w:val="single" w:sz="4" w:space="0" w:color="auto"/>
              <w:bottom w:val="single" w:sz="4" w:space="0" w:color="auto"/>
              <w:right w:val="single" w:sz="4" w:space="0" w:color="auto"/>
            </w:tcBorders>
            <w:hideMark/>
          </w:tcPr>
          <w:p w14:paraId="07982FB4" w14:textId="77777777" w:rsidR="00F10AF1" w:rsidRPr="0013396E" w:rsidRDefault="00F10AF1" w:rsidP="0099759E">
            <w:pPr>
              <w:pStyle w:val="tablebody0"/>
            </w:pPr>
            <w:r w:rsidRPr="0013396E">
              <w:t>second</w:t>
            </w:r>
          </w:p>
        </w:tc>
        <w:tc>
          <w:tcPr>
            <w:tcW w:w="3098" w:type="pct"/>
            <w:tcBorders>
              <w:top w:val="single" w:sz="4" w:space="0" w:color="auto"/>
              <w:left w:val="single" w:sz="4" w:space="0" w:color="auto"/>
              <w:bottom w:val="single" w:sz="4" w:space="0" w:color="auto"/>
              <w:right w:val="single" w:sz="4" w:space="0" w:color="auto"/>
            </w:tcBorders>
            <w:hideMark/>
          </w:tcPr>
          <w:p w14:paraId="746AC70E" w14:textId="77777777" w:rsidR="00F10AF1" w:rsidRPr="0013396E" w:rsidRDefault="00F10AF1" w:rsidP="0099759E">
            <w:pPr>
              <w:pStyle w:val="tablebody0"/>
              <w:rPr>
                <w:i/>
              </w:rPr>
            </w:pPr>
            <w:r w:rsidRPr="0013396E">
              <w:rPr>
                <w:i/>
                <w:iCs/>
              </w:rPr>
              <w:t xml:space="preserve">Duration of </w:t>
            </w:r>
            <w:r w:rsidRPr="0013396E">
              <w:rPr>
                <w:i/>
              </w:rPr>
              <w:t>SCED</w:t>
            </w:r>
            <w:r w:rsidRPr="0013396E">
              <w:rPr>
                <w:i/>
                <w:iCs/>
              </w:rPr>
              <w:t xml:space="preserve"> interval per interval</w:t>
            </w:r>
            <w:r w:rsidRPr="0013396E">
              <w:rPr>
                <w:iCs/>
              </w:rPr>
              <w:t>—</w:t>
            </w:r>
            <w:r w:rsidRPr="0013396E">
              <w:t xml:space="preserve">The duration of the SCED interval </w:t>
            </w:r>
            <w:r w:rsidRPr="0013396E">
              <w:rPr>
                <w:i/>
                <w:iCs/>
              </w:rPr>
              <w:t>y</w:t>
            </w:r>
            <w:r w:rsidRPr="0013396E">
              <w:t>.</w:t>
            </w:r>
          </w:p>
        </w:tc>
      </w:tr>
      <w:tr w:rsidR="00F10AF1" w:rsidRPr="0013396E" w14:paraId="7CEC54F3"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6455CDD5" w14:textId="77777777" w:rsidR="00F10AF1" w:rsidRPr="0013396E" w:rsidRDefault="00F10AF1" w:rsidP="0099759E">
            <w:pPr>
              <w:pStyle w:val="tablebody0"/>
            </w:pPr>
            <w:r w:rsidRPr="0013396E">
              <w:t xml:space="preserve">RNWF </w:t>
            </w:r>
            <w:r w:rsidRPr="0013396E">
              <w:rPr>
                <w:i/>
                <w:vertAlign w:val="subscript"/>
              </w:rPr>
              <w:t>y</w:t>
            </w:r>
          </w:p>
        </w:tc>
        <w:tc>
          <w:tcPr>
            <w:tcW w:w="623" w:type="pct"/>
            <w:tcBorders>
              <w:top w:val="single" w:sz="4" w:space="0" w:color="auto"/>
              <w:left w:val="single" w:sz="4" w:space="0" w:color="auto"/>
              <w:bottom w:val="single" w:sz="4" w:space="0" w:color="auto"/>
              <w:right w:val="single" w:sz="4" w:space="0" w:color="auto"/>
            </w:tcBorders>
            <w:hideMark/>
          </w:tcPr>
          <w:p w14:paraId="4AC63E25" w14:textId="77777777" w:rsidR="00F10AF1" w:rsidRPr="0013396E" w:rsidRDefault="00F10AF1" w:rsidP="0099759E">
            <w:pPr>
              <w:pStyle w:val="tablebody0"/>
            </w:pPr>
            <w:r w:rsidRPr="0013396E">
              <w:t>none</w:t>
            </w:r>
          </w:p>
        </w:tc>
        <w:tc>
          <w:tcPr>
            <w:tcW w:w="3098" w:type="pct"/>
            <w:tcBorders>
              <w:top w:val="single" w:sz="4" w:space="0" w:color="auto"/>
              <w:left w:val="single" w:sz="4" w:space="0" w:color="auto"/>
              <w:bottom w:val="single" w:sz="4" w:space="0" w:color="auto"/>
              <w:right w:val="single" w:sz="4" w:space="0" w:color="auto"/>
            </w:tcBorders>
            <w:hideMark/>
          </w:tcPr>
          <w:p w14:paraId="324ADC25" w14:textId="77777777" w:rsidR="00F10AF1" w:rsidRPr="0013396E" w:rsidRDefault="00F10AF1" w:rsidP="0099759E">
            <w:pPr>
              <w:pStyle w:val="tablebody0"/>
              <w:rPr>
                <w:i/>
              </w:rPr>
            </w:pPr>
            <w:r w:rsidRPr="0013396E">
              <w:rPr>
                <w:i/>
              </w:rPr>
              <w:t>Resource Node Weighting Factor per interval</w:t>
            </w:r>
            <w:r w:rsidRPr="0013396E">
              <w:rPr>
                <w:iCs/>
              </w:rPr>
              <w:t>—</w:t>
            </w:r>
            <w:r w:rsidRPr="0013396E">
              <w:t xml:space="preserve">The weight used in the Ancillary Service award calculation for the portion of the SCED interval </w:t>
            </w:r>
            <w:r w:rsidRPr="0013396E">
              <w:rPr>
                <w:i/>
                <w:iCs/>
              </w:rPr>
              <w:t>y</w:t>
            </w:r>
            <w:r w:rsidRPr="0013396E">
              <w:t xml:space="preserve"> within the Settlement Interval.</w:t>
            </w:r>
          </w:p>
        </w:tc>
      </w:tr>
      <w:tr w:rsidR="00F10AF1" w:rsidRPr="0013396E" w14:paraId="72064573"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1183E27F" w14:textId="77777777" w:rsidR="00F10AF1" w:rsidRPr="0013396E" w:rsidRDefault="00F10AF1" w:rsidP="0099759E">
            <w:pPr>
              <w:pStyle w:val="tablebody0"/>
            </w:pPr>
            <w:r w:rsidRPr="0013396E">
              <w:lastRenderedPageBreak/>
              <w:t xml:space="preserve">RRRWF </w:t>
            </w:r>
            <w:r w:rsidRPr="0013396E">
              <w:rPr>
                <w:i/>
                <w:vertAlign w:val="subscript"/>
              </w:rPr>
              <w:t>q, r, y</w:t>
            </w:r>
          </w:p>
        </w:tc>
        <w:tc>
          <w:tcPr>
            <w:tcW w:w="623" w:type="pct"/>
            <w:tcBorders>
              <w:top w:val="single" w:sz="4" w:space="0" w:color="auto"/>
              <w:left w:val="single" w:sz="4" w:space="0" w:color="auto"/>
              <w:bottom w:val="single" w:sz="4" w:space="0" w:color="auto"/>
              <w:right w:val="single" w:sz="4" w:space="0" w:color="auto"/>
            </w:tcBorders>
            <w:hideMark/>
          </w:tcPr>
          <w:p w14:paraId="0B94CB20" w14:textId="77777777" w:rsidR="00F10AF1" w:rsidRPr="0013396E" w:rsidRDefault="00F10AF1" w:rsidP="0099759E">
            <w:pPr>
              <w:pStyle w:val="tablebody0"/>
            </w:pPr>
            <w:r w:rsidRPr="0013396E">
              <w:t>none</w:t>
            </w:r>
          </w:p>
        </w:tc>
        <w:tc>
          <w:tcPr>
            <w:tcW w:w="3098" w:type="pct"/>
            <w:tcBorders>
              <w:top w:val="single" w:sz="4" w:space="0" w:color="auto"/>
              <w:left w:val="single" w:sz="4" w:space="0" w:color="auto"/>
              <w:bottom w:val="single" w:sz="4" w:space="0" w:color="auto"/>
              <w:right w:val="single" w:sz="4" w:space="0" w:color="auto"/>
            </w:tcBorders>
            <w:hideMark/>
          </w:tcPr>
          <w:p w14:paraId="66414BD0" w14:textId="77777777" w:rsidR="00F10AF1" w:rsidRPr="0013396E" w:rsidRDefault="00F10AF1" w:rsidP="0099759E">
            <w:pPr>
              <w:pStyle w:val="tablebody0"/>
              <w:rPr>
                <w:i/>
              </w:rPr>
            </w:pPr>
            <w:r w:rsidRPr="0013396E">
              <w:rPr>
                <w:i/>
              </w:rPr>
              <w:t>Responsive Reserve Resource Node Weighting Factor per interval</w:t>
            </w:r>
            <w:r w:rsidRPr="0013396E">
              <w:rPr>
                <w:iCs/>
              </w:rPr>
              <w:t>—</w:t>
            </w:r>
            <w:r w:rsidRPr="0013396E">
              <w:t xml:space="preserve">The RRS Resource weight, based on RRS awards, used in the Real-Time MCPC calculation for the portion of the SCED interval </w:t>
            </w:r>
            <w:r w:rsidRPr="0013396E">
              <w:rPr>
                <w:i/>
              </w:rPr>
              <w:t>y</w:t>
            </w:r>
            <w:r w:rsidRPr="0013396E">
              <w:t xml:space="preserve"> within the Settlement Interval.  Where for a Combined Cycle Train, the Resource </w:t>
            </w:r>
            <w:r w:rsidRPr="0013396E">
              <w:rPr>
                <w:i/>
              </w:rPr>
              <w:t xml:space="preserve">r </w:t>
            </w:r>
            <w:r w:rsidRPr="0013396E">
              <w:t xml:space="preserve">is a Combined Cycle Generation Resource within the Combined Cycle Train.   </w:t>
            </w:r>
          </w:p>
        </w:tc>
      </w:tr>
      <w:tr w:rsidR="00F10AF1" w:rsidRPr="0013396E" w14:paraId="02263ED4"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75A33347" w14:textId="77777777" w:rsidR="00F10AF1" w:rsidRPr="0013396E" w:rsidRDefault="00F10AF1" w:rsidP="0099759E">
            <w:pPr>
              <w:pStyle w:val="tablebody0"/>
            </w:pPr>
            <w:r w:rsidRPr="0013396E">
              <w:rPr>
                <w:i/>
              </w:rPr>
              <w:t>r</w:t>
            </w:r>
          </w:p>
        </w:tc>
        <w:tc>
          <w:tcPr>
            <w:tcW w:w="623" w:type="pct"/>
            <w:tcBorders>
              <w:top w:val="single" w:sz="4" w:space="0" w:color="auto"/>
              <w:left w:val="single" w:sz="4" w:space="0" w:color="auto"/>
              <w:bottom w:val="single" w:sz="4" w:space="0" w:color="auto"/>
              <w:right w:val="single" w:sz="4" w:space="0" w:color="auto"/>
            </w:tcBorders>
            <w:hideMark/>
          </w:tcPr>
          <w:p w14:paraId="10F31738" w14:textId="77777777" w:rsidR="00F10AF1" w:rsidRPr="0013396E" w:rsidRDefault="00F10AF1" w:rsidP="0099759E">
            <w:pPr>
              <w:pStyle w:val="tablebody0"/>
            </w:pPr>
            <w:r w:rsidRPr="0013396E">
              <w:t>none</w:t>
            </w:r>
          </w:p>
        </w:tc>
        <w:tc>
          <w:tcPr>
            <w:tcW w:w="3098" w:type="pct"/>
            <w:tcBorders>
              <w:top w:val="single" w:sz="4" w:space="0" w:color="auto"/>
              <w:left w:val="single" w:sz="4" w:space="0" w:color="auto"/>
              <w:bottom w:val="single" w:sz="4" w:space="0" w:color="auto"/>
              <w:right w:val="single" w:sz="4" w:space="0" w:color="auto"/>
            </w:tcBorders>
            <w:hideMark/>
          </w:tcPr>
          <w:p w14:paraId="58CE6C86" w14:textId="77777777" w:rsidR="00F10AF1" w:rsidRPr="0013396E" w:rsidRDefault="00F10AF1" w:rsidP="0099759E">
            <w:pPr>
              <w:pStyle w:val="tablebody0"/>
              <w:rPr>
                <w:i/>
              </w:rPr>
            </w:pPr>
            <w:r w:rsidRPr="0013396E">
              <w:t>A Resource.</w:t>
            </w:r>
          </w:p>
        </w:tc>
      </w:tr>
      <w:tr w:rsidR="00F10AF1" w:rsidRPr="0013396E" w14:paraId="4F6EFD93"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1044FEF2" w14:textId="77777777" w:rsidR="00F10AF1" w:rsidRPr="0013396E" w:rsidRDefault="00F10AF1" w:rsidP="0099759E">
            <w:pPr>
              <w:pStyle w:val="tablebody0"/>
              <w:rPr>
                <w:i/>
              </w:rPr>
            </w:pPr>
            <w:r w:rsidRPr="0013396E">
              <w:rPr>
                <w:i/>
              </w:rPr>
              <w:t>q</w:t>
            </w:r>
          </w:p>
        </w:tc>
        <w:tc>
          <w:tcPr>
            <w:tcW w:w="623" w:type="pct"/>
            <w:tcBorders>
              <w:top w:val="single" w:sz="4" w:space="0" w:color="auto"/>
              <w:left w:val="single" w:sz="4" w:space="0" w:color="auto"/>
              <w:bottom w:val="single" w:sz="4" w:space="0" w:color="auto"/>
              <w:right w:val="single" w:sz="4" w:space="0" w:color="auto"/>
            </w:tcBorders>
            <w:hideMark/>
          </w:tcPr>
          <w:p w14:paraId="41F538AC" w14:textId="77777777" w:rsidR="00F10AF1" w:rsidRPr="0013396E" w:rsidRDefault="00F10AF1" w:rsidP="0099759E">
            <w:pPr>
              <w:pStyle w:val="tablebody0"/>
            </w:pPr>
            <w:r w:rsidRPr="0013396E">
              <w:t>none</w:t>
            </w:r>
          </w:p>
        </w:tc>
        <w:tc>
          <w:tcPr>
            <w:tcW w:w="3098" w:type="pct"/>
            <w:tcBorders>
              <w:top w:val="single" w:sz="4" w:space="0" w:color="auto"/>
              <w:left w:val="single" w:sz="4" w:space="0" w:color="auto"/>
              <w:bottom w:val="single" w:sz="4" w:space="0" w:color="auto"/>
              <w:right w:val="single" w:sz="4" w:space="0" w:color="auto"/>
            </w:tcBorders>
            <w:hideMark/>
          </w:tcPr>
          <w:p w14:paraId="778BF626" w14:textId="77777777" w:rsidR="00F10AF1" w:rsidRPr="0013396E" w:rsidRDefault="00F10AF1" w:rsidP="0099759E">
            <w:pPr>
              <w:pStyle w:val="tablebody0"/>
            </w:pPr>
            <w:r w:rsidRPr="0013396E">
              <w:t>A QSE.</w:t>
            </w:r>
          </w:p>
        </w:tc>
      </w:tr>
      <w:tr w:rsidR="00F10AF1" w:rsidRPr="0013396E" w14:paraId="7F6E89C2"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7002CE49" w14:textId="77777777" w:rsidR="00F10AF1" w:rsidRPr="0013396E" w:rsidRDefault="00F10AF1" w:rsidP="0099759E">
            <w:pPr>
              <w:pStyle w:val="tablebody0"/>
              <w:rPr>
                <w:i/>
              </w:rPr>
            </w:pPr>
            <w:r w:rsidRPr="0013396E">
              <w:rPr>
                <w:i/>
              </w:rPr>
              <w:t>y</w:t>
            </w:r>
          </w:p>
        </w:tc>
        <w:tc>
          <w:tcPr>
            <w:tcW w:w="623" w:type="pct"/>
            <w:tcBorders>
              <w:top w:val="single" w:sz="4" w:space="0" w:color="auto"/>
              <w:left w:val="single" w:sz="4" w:space="0" w:color="auto"/>
              <w:bottom w:val="single" w:sz="4" w:space="0" w:color="auto"/>
              <w:right w:val="single" w:sz="4" w:space="0" w:color="auto"/>
            </w:tcBorders>
            <w:hideMark/>
          </w:tcPr>
          <w:p w14:paraId="36B0B736" w14:textId="77777777" w:rsidR="00F10AF1" w:rsidRPr="0013396E" w:rsidRDefault="00F10AF1" w:rsidP="0099759E">
            <w:pPr>
              <w:pStyle w:val="tablebody0"/>
            </w:pPr>
            <w:r w:rsidRPr="0013396E">
              <w:t>none</w:t>
            </w:r>
          </w:p>
        </w:tc>
        <w:tc>
          <w:tcPr>
            <w:tcW w:w="3098" w:type="pct"/>
            <w:tcBorders>
              <w:top w:val="single" w:sz="4" w:space="0" w:color="auto"/>
              <w:left w:val="single" w:sz="4" w:space="0" w:color="auto"/>
              <w:bottom w:val="single" w:sz="4" w:space="0" w:color="auto"/>
              <w:right w:val="single" w:sz="4" w:space="0" w:color="auto"/>
            </w:tcBorders>
            <w:hideMark/>
          </w:tcPr>
          <w:p w14:paraId="347173A6" w14:textId="77777777" w:rsidR="00F10AF1" w:rsidRPr="0013396E" w:rsidRDefault="00F10AF1" w:rsidP="0099759E">
            <w:pPr>
              <w:pStyle w:val="tablebody0"/>
            </w:pPr>
            <w:r w:rsidRPr="0013396E">
              <w:t>A SCED interval in the 15-minute Settlement Interval.</w:t>
            </w:r>
          </w:p>
        </w:tc>
      </w:tr>
    </w:tbl>
    <w:p w14:paraId="4EA7CB3D" w14:textId="77777777" w:rsidR="00F10AF1" w:rsidRPr="0013396E" w:rsidRDefault="00F10AF1" w:rsidP="00F10AF1">
      <w:pPr>
        <w:spacing w:before="240" w:after="240"/>
      </w:pPr>
      <w:r w:rsidRPr="0013396E">
        <w:t>(2)</w:t>
      </w:r>
      <w:r w:rsidRPr="0013396E">
        <w:tab/>
        <w:t>RRS Only Charge:</w:t>
      </w:r>
    </w:p>
    <w:p w14:paraId="162CD56E" w14:textId="77777777" w:rsidR="00F10AF1" w:rsidRPr="0013396E" w:rsidRDefault="00F10AF1" w:rsidP="00F10AF1">
      <w:pPr>
        <w:pStyle w:val="FormulaBold"/>
      </w:pPr>
      <w:r w:rsidRPr="0013396E">
        <w:t>RTRROAMT</w:t>
      </w:r>
      <w:r w:rsidRPr="0013396E">
        <w:rPr>
          <w:i/>
          <w:vertAlign w:val="subscript"/>
        </w:rPr>
        <w:t xml:space="preserve"> q  </w:t>
      </w:r>
      <w:r w:rsidRPr="0013396E">
        <w:t xml:space="preserve">= </w:t>
      </w:r>
      <w:r w:rsidRPr="0013396E">
        <w:tab/>
        <w:t xml:space="preserve">(1/4) * DARROAWD </w:t>
      </w:r>
      <w:r w:rsidRPr="0013396E">
        <w:rPr>
          <w:i/>
          <w:vertAlign w:val="subscript"/>
        </w:rPr>
        <w:t>q</w:t>
      </w:r>
      <w:r w:rsidRPr="0013396E">
        <w:t xml:space="preserve"> * RTMCPCRR</w:t>
      </w:r>
    </w:p>
    <w:p w14:paraId="51049083" w14:textId="77777777" w:rsidR="00F10AF1" w:rsidRPr="0013396E" w:rsidRDefault="00F10AF1" w:rsidP="00F10AF1">
      <w:pPr>
        <w:pStyle w:val="Instructions"/>
        <w:spacing w:after="0"/>
        <w:ind w:left="720" w:hanging="720"/>
        <w:rPr>
          <w:i w:val="0"/>
        </w:rPr>
      </w:pPr>
      <w:r w:rsidRPr="0013396E">
        <w:rPr>
          <w:b w:val="0"/>
          <w:i w:val="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392"/>
        <w:gridCol w:w="1165"/>
        <w:gridCol w:w="5793"/>
      </w:tblGrid>
      <w:tr w:rsidR="00F10AF1" w:rsidRPr="0013396E" w14:paraId="67CC2181" w14:textId="77777777" w:rsidTr="0099759E">
        <w:trPr>
          <w:cantSplit/>
          <w:tblHeader/>
        </w:trPr>
        <w:tc>
          <w:tcPr>
            <w:tcW w:w="1279" w:type="pct"/>
            <w:tcBorders>
              <w:top w:val="single" w:sz="4" w:space="0" w:color="auto"/>
              <w:left w:val="single" w:sz="4" w:space="0" w:color="auto"/>
              <w:bottom w:val="single" w:sz="4" w:space="0" w:color="auto"/>
              <w:right w:val="single" w:sz="4" w:space="0" w:color="auto"/>
            </w:tcBorders>
            <w:hideMark/>
          </w:tcPr>
          <w:p w14:paraId="3728CA3B" w14:textId="77777777" w:rsidR="00F10AF1" w:rsidRPr="0013396E" w:rsidRDefault="00F10AF1" w:rsidP="0099759E">
            <w:pPr>
              <w:pStyle w:val="TableHead"/>
            </w:pPr>
            <w:r w:rsidRPr="0013396E">
              <w:t>Variable</w:t>
            </w:r>
          </w:p>
        </w:tc>
        <w:tc>
          <w:tcPr>
            <w:tcW w:w="623" w:type="pct"/>
            <w:tcBorders>
              <w:top w:val="single" w:sz="4" w:space="0" w:color="auto"/>
              <w:left w:val="single" w:sz="4" w:space="0" w:color="auto"/>
              <w:bottom w:val="single" w:sz="4" w:space="0" w:color="auto"/>
              <w:right w:val="single" w:sz="4" w:space="0" w:color="auto"/>
            </w:tcBorders>
            <w:hideMark/>
          </w:tcPr>
          <w:p w14:paraId="32E30EB4" w14:textId="77777777" w:rsidR="00F10AF1" w:rsidRPr="0013396E" w:rsidRDefault="00F10AF1" w:rsidP="0099759E">
            <w:pPr>
              <w:pStyle w:val="TableHead"/>
            </w:pPr>
            <w:r w:rsidRPr="0013396E">
              <w:t>Unit</w:t>
            </w:r>
          </w:p>
        </w:tc>
        <w:tc>
          <w:tcPr>
            <w:tcW w:w="3098" w:type="pct"/>
            <w:tcBorders>
              <w:top w:val="single" w:sz="4" w:space="0" w:color="auto"/>
              <w:left w:val="single" w:sz="4" w:space="0" w:color="auto"/>
              <w:bottom w:val="single" w:sz="4" w:space="0" w:color="auto"/>
              <w:right w:val="single" w:sz="4" w:space="0" w:color="auto"/>
            </w:tcBorders>
            <w:hideMark/>
          </w:tcPr>
          <w:p w14:paraId="4BB7DDFD" w14:textId="77777777" w:rsidR="00F10AF1" w:rsidRPr="0013396E" w:rsidRDefault="00F10AF1" w:rsidP="0099759E">
            <w:pPr>
              <w:pStyle w:val="TableHead"/>
            </w:pPr>
            <w:r w:rsidRPr="0013396E">
              <w:t>Description</w:t>
            </w:r>
          </w:p>
        </w:tc>
      </w:tr>
      <w:tr w:rsidR="00F10AF1" w:rsidRPr="0013396E" w14:paraId="1B1500AA"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1D2E2F9A" w14:textId="77777777" w:rsidR="00F10AF1" w:rsidRPr="0013396E" w:rsidRDefault="00F10AF1" w:rsidP="0099759E">
            <w:pPr>
              <w:pStyle w:val="tablebody0"/>
            </w:pPr>
            <w:r w:rsidRPr="0013396E">
              <w:t xml:space="preserve">RTRROAMT </w:t>
            </w:r>
            <w:r w:rsidRPr="0013396E">
              <w:rPr>
                <w:i/>
                <w:vertAlign w:val="subscript"/>
              </w:rPr>
              <w:t>q</w:t>
            </w:r>
          </w:p>
        </w:tc>
        <w:tc>
          <w:tcPr>
            <w:tcW w:w="623" w:type="pct"/>
            <w:tcBorders>
              <w:top w:val="single" w:sz="4" w:space="0" w:color="auto"/>
              <w:left w:val="single" w:sz="4" w:space="0" w:color="auto"/>
              <w:bottom w:val="single" w:sz="4" w:space="0" w:color="auto"/>
              <w:right w:val="single" w:sz="4" w:space="0" w:color="auto"/>
            </w:tcBorders>
            <w:hideMark/>
          </w:tcPr>
          <w:p w14:paraId="0FE4E357" w14:textId="77777777" w:rsidR="00F10AF1" w:rsidRPr="0013396E" w:rsidRDefault="00F10AF1" w:rsidP="0099759E">
            <w:pPr>
              <w:pStyle w:val="tablebody0"/>
            </w:pPr>
            <w:r w:rsidRPr="0013396E">
              <w:t>$</w:t>
            </w:r>
          </w:p>
        </w:tc>
        <w:tc>
          <w:tcPr>
            <w:tcW w:w="3098" w:type="pct"/>
            <w:tcBorders>
              <w:top w:val="single" w:sz="4" w:space="0" w:color="auto"/>
              <w:left w:val="single" w:sz="4" w:space="0" w:color="auto"/>
              <w:bottom w:val="single" w:sz="4" w:space="0" w:color="auto"/>
              <w:right w:val="single" w:sz="4" w:space="0" w:color="auto"/>
            </w:tcBorders>
            <w:hideMark/>
          </w:tcPr>
          <w:p w14:paraId="5AF24384" w14:textId="77777777" w:rsidR="00F10AF1" w:rsidRPr="0013396E" w:rsidRDefault="00F10AF1" w:rsidP="0099759E">
            <w:pPr>
              <w:pStyle w:val="tablebody0"/>
              <w:rPr>
                <w:i/>
              </w:rPr>
            </w:pPr>
            <w:r w:rsidRPr="0013396E">
              <w:rPr>
                <w:i/>
              </w:rPr>
              <w:t>Real-Time Responsive Reserve Only Amount for the QSE</w:t>
            </w:r>
            <w:r w:rsidRPr="0013396E">
              <w:t xml:space="preserve">—The total charge to QSE </w:t>
            </w:r>
            <w:r w:rsidRPr="0013396E">
              <w:rPr>
                <w:i/>
              </w:rPr>
              <w:t>q</w:t>
            </w:r>
            <w:r w:rsidRPr="0013396E">
              <w:t xml:space="preserve"> in Real-Time for RRS only awards for each 15-minute Settlement Interval.</w:t>
            </w:r>
          </w:p>
        </w:tc>
      </w:tr>
      <w:tr w:rsidR="00F10AF1" w:rsidRPr="0013396E" w14:paraId="6B656F2C"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0FC727D8" w14:textId="77777777" w:rsidR="00F10AF1" w:rsidRPr="0013396E" w:rsidRDefault="00F10AF1" w:rsidP="0099759E">
            <w:pPr>
              <w:pStyle w:val="tablebody0"/>
            </w:pPr>
            <w:r w:rsidRPr="0013396E">
              <w:t xml:space="preserve">DARROAWD </w:t>
            </w:r>
            <w:r w:rsidRPr="0013396E">
              <w:rPr>
                <w:i/>
                <w:vertAlign w:val="subscript"/>
              </w:rPr>
              <w:t>q</w:t>
            </w:r>
          </w:p>
        </w:tc>
        <w:tc>
          <w:tcPr>
            <w:tcW w:w="623" w:type="pct"/>
            <w:tcBorders>
              <w:top w:val="single" w:sz="4" w:space="0" w:color="auto"/>
              <w:left w:val="single" w:sz="4" w:space="0" w:color="auto"/>
              <w:bottom w:val="single" w:sz="4" w:space="0" w:color="auto"/>
              <w:right w:val="single" w:sz="4" w:space="0" w:color="auto"/>
            </w:tcBorders>
            <w:hideMark/>
          </w:tcPr>
          <w:p w14:paraId="665031C7" w14:textId="77777777" w:rsidR="00F10AF1" w:rsidRPr="0013396E" w:rsidRDefault="00F10AF1" w:rsidP="0099759E">
            <w:pPr>
              <w:pStyle w:val="tablebody0"/>
            </w:pPr>
            <w:r w:rsidRPr="0013396E">
              <w:t>MW</w:t>
            </w:r>
          </w:p>
        </w:tc>
        <w:tc>
          <w:tcPr>
            <w:tcW w:w="3098" w:type="pct"/>
            <w:tcBorders>
              <w:top w:val="single" w:sz="4" w:space="0" w:color="auto"/>
              <w:left w:val="single" w:sz="4" w:space="0" w:color="auto"/>
              <w:bottom w:val="single" w:sz="4" w:space="0" w:color="auto"/>
              <w:right w:val="single" w:sz="4" w:space="0" w:color="auto"/>
            </w:tcBorders>
            <w:hideMark/>
          </w:tcPr>
          <w:p w14:paraId="2D9294DB" w14:textId="77777777" w:rsidR="00F10AF1" w:rsidRPr="0013396E" w:rsidRDefault="00F10AF1" w:rsidP="0099759E">
            <w:pPr>
              <w:pStyle w:val="tablebody0"/>
              <w:rPr>
                <w:i/>
              </w:rPr>
            </w:pPr>
            <w:r w:rsidRPr="0013396E">
              <w:rPr>
                <w:i/>
              </w:rPr>
              <w:t>Day-Ahead Responsive Reserve Only Award for the QSE</w:t>
            </w:r>
            <w:r w:rsidRPr="0013396E">
              <w:sym w:font="Symbol" w:char="F0BE"/>
            </w:r>
            <w:r w:rsidRPr="0013396E">
              <w:t xml:space="preserve">The RRS only capacity awarded in the DAM to the QSE </w:t>
            </w:r>
            <w:r w:rsidRPr="0013396E">
              <w:rPr>
                <w:i/>
              </w:rPr>
              <w:t>q</w:t>
            </w:r>
            <w:r w:rsidRPr="0013396E">
              <w:t xml:space="preserve"> for the </w:t>
            </w:r>
            <w:r w:rsidRPr="0013396E">
              <w:rPr>
                <w:szCs w:val="18"/>
              </w:rPr>
              <w:t>Operating Hour</w:t>
            </w:r>
            <w:r w:rsidRPr="0013396E">
              <w:t>.</w:t>
            </w:r>
          </w:p>
        </w:tc>
      </w:tr>
      <w:tr w:rsidR="00F10AF1" w:rsidRPr="0013396E" w14:paraId="0F8085EC" w14:textId="77777777" w:rsidTr="0099759E">
        <w:trPr>
          <w:cantSplit/>
        </w:trPr>
        <w:tc>
          <w:tcPr>
            <w:tcW w:w="1279" w:type="pct"/>
            <w:tcBorders>
              <w:top w:val="single" w:sz="4" w:space="0" w:color="auto"/>
              <w:left w:val="single" w:sz="4" w:space="0" w:color="auto"/>
              <w:bottom w:val="single" w:sz="4" w:space="0" w:color="auto"/>
              <w:right w:val="single" w:sz="4" w:space="0" w:color="auto"/>
            </w:tcBorders>
          </w:tcPr>
          <w:p w14:paraId="2D66CE1E" w14:textId="77777777" w:rsidR="00F10AF1" w:rsidRPr="0013396E" w:rsidRDefault="00F10AF1" w:rsidP="0099759E">
            <w:pPr>
              <w:pStyle w:val="tablebody0"/>
            </w:pPr>
            <w:r w:rsidRPr="0013396E">
              <w:t>RTMCPCRR</w:t>
            </w:r>
          </w:p>
          <w:p w14:paraId="5BFE145C" w14:textId="77777777" w:rsidR="00F10AF1" w:rsidRPr="0013396E" w:rsidRDefault="00F10AF1" w:rsidP="0099759E">
            <w:pPr>
              <w:pStyle w:val="tablebody0"/>
            </w:pPr>
          </w:p>
        </w:tc>
        <w:tc>
          <w:tcPr>
            <w:tcW w:w="623" w:type="pct"/>
            <w:tcBorders>
              <w:top w:val="single" w:sz="4" w:space="0" w:color="auto"/>
              <w:left w:val="single" w:sz="4" w:space="0" w:color="auto"/>
              <w:bottom w:val="single" w:sz="4" w:space="0" w:color="auto"/>
              <w:right w:val="single" w:sz="4" w:space="0" w:color="auto"/>
            </w:tcBorders>
            <w:hideMark/>
          </w:tcPr>
          <w:p w14:paraId="3D6007DB" w14:textId="77777777" w:rsidR="00F10AF1" w:rsidRPr="0013396E" w:rsidRDefault="00F10AF1" w:rsidP="0099759E">
            <w:pPr>
              <w:pStyle w:val="tablebody0"/>
            </w:pPr>
            <w:r w:rsidRPr="0013396E">
              <w:t>$/MW</w:t>
            </w:r>
          </w:p>
        </w:tc>
        <w:tc>
          <w:tcPr>
            <w:tcW w:w="3098" w:type="pct"/>
            <w:tcBorders>
              <w:top w:val="single" w:sz="4" w:space="0" w:color="auto"/>
              <w:left w:val="single" w:sz="4" w:space="0" w:color="auto"/>
              <w:bottom w:val="single" w:sz="4" w:space="0" w:color="auto"/>
              <w:right w:val="single" w:sz="4" w:space="0" w:color="auto"/>
            </w:tcBorders>
            <w:hideMark/>
          </w:tcPr>
          <w:p w14:paraId="281A2EC2" w14:textId="77777777" w:rsidR="00F10AF1" w:rsidRPr="0013396E" w:rsidRDefault="00F10AF1" w:rsidP="0099759E">
            <w:pPr>
              <w:pStyle w:val="tablebody0"/>
              <w:rPr>
                <w:i/>
              </w:rPr>
            </w:pPr>
            <w:r w:rsidRPr="0013396E">
              <w:rPr>
                <w:i/>
              </w:rPr>
              <w:t>Real-Time Market Clearing Price for Capacity for Responsive Reserve</w:t>
            </w:r>
            <w:r w:rsidRPr="0013396E">
              <w:rPr>
                <w:iCs/>
              </w:rPr>
              <w:t>—</w:t>
            </w:r>
            <w:r w:rsidRPr="0013396E">
              <w:t>The Real-Time MCPC for RRS for the 15-minute Settlement Interval.</w:t>
            </w:r>
          </w:p>
        </w:tc>
      </w:tr>
      <w:tr w:rsidR="00F10AF1" w:rsidRPr="0013396E" w14:paraId="442890FA"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509E601D" w14:textId="77777777" w:rsidR="00F10AF1" w:rsidRPr="0013396E" w:rsidRDefault="00F10AF1" w:rsidP="0099759E">
            <w:pPr>
              <w:pStyle w:val="tablebody0"/>
              <w:rPr>
                <w:i/>
              </w:rPr>
            </w:pPr>
            <w:r w:rsidRPr="0013396E">
              <w:rPr>
                <w:i/>
              </w:rPr>
              <w:t>q</w:t>
            </w:r>
          </w:p>
        </w:tc>
        <w:tc>
          <w:tcPr>
            <w:tcW w:w="623" w:type="pct"/>
            <w:tcBorders>
              <w:top w:val="single" w:sz="4" w:space="0" w:color="auto"/>
              <w:left w:val="single" w:sz="4" w:space="0" w:color="auto"/>
              <w:bottom w:val="single" w:sz="4" w:space="0" w:color="auto"/>
              <w:right w:val="single" w:sz="4" w:space="0" w:color="auto"/>
            </w:tcBorders>
            <w:hideMark/>
          </w:tcPr>
          <w:p w14:paraId="66DA06E8" w14:textId="77777777" w:rsidR="00F10AF1" w:rsidRPr="0013396E" w:rsidRDefault="00F10AF1" w:rsidP="0099759E">
            <w:pPr>
              <w:pStyle w:val="tablebody0"/>
            </w:pPr>
            <w:r w:rsidRPr="0013396E">
              <w:t>none</w:t>
            </w:r>
          </w:p>
        </w:tc>
        <w:tc>
          <w:tcPr>
            <w:tcW w:w="3098" w:type="pct"/>
            <w:tcBorders>
              <w:top w:val="single" w:sz="4" w:space="0" w:color="auto"/>
              <w:left w:val="single" w:sz="4" w:space="0" w:color="auto"/>
              <w:bottom w:val="single" w:sz="4" w:space="0" w:color="auto"/>
              <w:right w:val="single" w:sz="4" w:space="0" w:color="auto"/>
            </w:tcBorders>
            <w:hideMark/>
          </w:tcPr>
          <w:p w14:paraId="5547F255" w14:textId="77777777" w:rsidR="00F10AF1" w:rsidRPr="0013396E" w:rsidRDefault="00F10AF1" w:rsidP="0099759E">
            <w:pPr>
              <w:pStyle w:val="tablebody0"/>
            </w:pPr>
            <w:r w:rsidRPr="0013396E">
              <w:t>A QSE.</w:t>
            </w:r>
          </w:p>
        </w:tc>
      </w:tr>
    </w:tbl>
    <w:p w14:paraId="634EA873" w14:textId="77777777" w:rsidR="00F10AF1" w:rsidRPr="0013396E" w:rsidRDefault="00F10AF1" w:rsidP="00F10AF1">
      <w:pPr>
        <w:spacing w:before="240" w:after="240"/>
        <w:rPr>
          <w:i/>
          <w:iCs/>
        </w:rPr>
      </w:pPr>
      <w:r w:rsidRPr="0013396E">
        <w:t>(3)</w:t>
      </w:r>
      <w:r w:rsidRPr="0013396E">
        <w:tab/>
        <w:t xml:space="preserve">RRS Trade Overage Charge: </w:t>
      </w:r>
    </w:p>
    <w:p w14:paraId="5BA1379D" w14:textId="77777777" w:rsidR="00F10AF1" w:rsidRPr="0013396E" w:rsidRDefault="00F10AF1" w:rsidP="00F10AF1">
      <w:pPr>
        <w:pStyle w:val="FormulaBold"/>
      </w:pPr>
      <w:r w:rsidRPr="0013396E">
        <w:t>RTRRTOAMT</w:t>
      </w:r>
      <w:r w:rsidRPr="0013396E">
        <w:rPr>
          <w:i/>
          <w:vertAlign w:val="subscript"/>
        </w:rPr>
        <w:t xml:space="preserve"> q  </w:t>
      </w:r>
      <w:r w:rsidRPr="0013396E">
        <w:t xml:space="preserve">= </w:t>
      </w:r>
      <w:r w:rsidRPr="0013396E">
        <w:tab/>
        <w:t xml:space="preserve">(1/4) * RTRRTO </w:t>
      </w:r>
      <w:r w:rsidRPr="0013396E">
        <w:rPr>
          <w:i/>
          <w:vertAlign w:val="subscript"/>
        </w:rPr>
        <w:t>q</w:t>
      </w:r>
      <w:r w:rsidRPr="0013396E">
        <w:t xml:space="preserve"> * RTMCPCRR</w:t>
      </w:r>
    </w:p>
    <w:p w14:paraId="52DF7B32" w14:textId="77777777" w:rsidR="00F10AF1" w:rsidRPr="0013396E" w:rsidRDefault="00F10AF1" w:rsidP="00F10AF1">
      <w:pPr>
        <w:pStyle w:val="Instructions"/>
        <w:spacing w:after="0"/>
        <w:ind w:left="720" w:hanging="720"/>
        <w:rPr>
          <w:b w:val="0"/>
          <w:i w:val="0"/>
        </w:rPr>
      </w:pPr>
      <w:r w:rsidRPr="0013396E">
        <w:rPr>
          <w:b w:val="0"/>
          <w:i w:val="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392"/>
        <w:gridCol w:w="1165"/>
        <w:gridCol w:w="5793"/>
      </w:tblGrid>
      <w:tr w:rsidR="00F10AF1" w:rsidRPr="0013396E" w14:paraId="654518D0" w14:textId="77777777" w:rsidTr="0099759E">
        <w:trPr>
          <w:cantSplit/>
          <w:tblHeader/>
        </w:trPr>
        <w:tc>
          <w:tcPr>
            <w:tcW w:w="1279" w:type="pct"/>
            <w:tcBorders>
              <w:top w:val="single" w:sz="4" w:space="0" w:color="auto"/>
              <w:left w:val="single" w:sz="4" w:space="0" w:color="auto"/>
              <w:bottom w:val="single" w:sz="4" w:space="0" w:color="auto"/>
              <w:right w:val="single" w:sz="4" w:space="0" w:color="auto"/>
            </w:tcBorders>
            <w:hideMark/>
          </w:tcPr>
          <w:p w14:paraId="6285FBFD" w14:textId="77777777" w:rsidR="00F10AF1" w:rsidRPr="0013396E" w:rsidRDefault="00F10AF1" w:rsidP="0099759E">
            <w:pPr>
              <w:pStyle w:val="TableHead"/>
            </w:pPr>
            <w:r w:rsidRPr="0013396E">
              <w:t>Variable</w:t>
            </w:r>
          </w:p>
        </w:tc>
        <w:tc>
          <w:tcPr>
            <w:tcW w:w="623" w:type="pct"/>
            <w:tcBorders>
              <w:top w:val="single" w:sz="4" w:space="0" w:color="auto"/>
              <w:left w:val="single" w:sz="4" w:space="0" w:color="auto"/>
              <w:bottom w:val="single" w:sz="4" w:space="0" w:color="auto"/>
              <w:right w:val="single" w:sz="4" w:space="0" w:color="auto"/>
            </w:tcBorders>
            <w:hideMark/>
          </w:tcPr>
          <w:p w14:paraId="4920F60C" w14:textId="77777777" w:rsidR="00F10AF1" w:rsidRPr="0013396E" w:rsidRDefault="00F10AF1" w:rsidP="0099759E">
            <w:pPr>
              <w:pStyle w:val="TableHead"/>
            </w:pPr>
            <w:r w:rsidRPr="0013396E">
              <w:t>Unit</w:t>
            </w:r>
          </w:p>
        </w:tc>
        <w:tc>
          <w:tcPr>
            <w:tcW w:w="3098" w:type="pct"/>
            <w:tcBorders>
              <w:top w:val="single" w:sz="4" w:space="0" w:color="auto"/>
              <w:left w:val="single" w:sz="4" w:space="0" w:color="auto"/>
              <w:bottom w:val="single" w:sz="4" w:space="0" w:color="auto"/>
              <w:right w:val="single" w:sz="4" w:space="0" w:color="auto"/>
            </w:tcBorders>
            <w:hideMark/>
          </w:tcPr>
          <w:p w14:paraId="108BFBBC" w14:textId="77777777" w:rsidR="00F10AF1" w:rsidRPr="0013396E" w:rsidRDefault="00F10AF1" w:rsidP="0099759E">
            <w:pPr>
              <w:pStyle w:val="TableHead"/>
            </w:pPr>
            <w:r w:rsidRPr="0013396E">
              <w:t>Description</w:t>
            </w:r>
          </w:p>
        </w:tc>
      </w:tr>
      <w:tr w:rsidR="00F10AF1" w:rsidRPr="0013396E" w14:paraId="5A97C3F1"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26D5C246" w14:textId="77777777" w:rsidR="00F10AF1" w:rsidRPr="0013396E" w:rsidRDefault="00F10AF1" w:rsidP="0099759E">
            <w:pPr>
              <w:pStyle w:val="tablebody0"/>
            </w:pPr>
            <w:r w:rsidRPr="0013396E">
              <w:t xml:space="preserve">RTRRTOAMT </w:t>
            </w:r>
            <w:r w:rsidRPr="0013396E">
              <w:rPr>
                <w:i/>
                <w:vertAlign w:val="subscript"/>
              </w:rPr>
              <w:t>q</w:t>
            </w:r>
          </w:p>
        </w:tc>
        <w:tc>
          <w:tcPr>
            <w:tcW w:w="623" w:type="pct"/>
            <w:tcBorders>
              <w:top w:val="single" w:sz="4" w:space="0" w:color="auto"/>
              <w:left w:val="single" w:sz="4" w:space="0" w:color="auto"/>
              <w:bottom w:val="single" w:sz="4" w:space="0" w:color="auto"/>
              <w:right w:val="single" w:sz="4" w:space="0" w:color="auto"/>
            </w:tcBorders>
            <w:hideMark/>
          </w:tcPr>
          <w:p w14:paraId="718AC1AE" w14:textId="77777777" w:rsidR="00F10AF1" w:rsidRPr="0013396E" w:rsidRDefault="00F10AF1" w:rsidP="0099759E">
            <w:pPr>
              <w:pStyle w:val="tablebody0"/>
            </w:pPr>
            <w:r w:rsidRPr="0013396E">
              <w:t>$</w:t>
            </w:r>
          </w:p>
        </w:tc>
        <w:tc>
          <w:tcPr>
            <w:tcW w:w="3098" w:type="pct"/>
            <w:tcBorders>
              <w:top w:val="single" w:sz="4" w:space="0" w:color="auto"/>
              <w:left w:val="single" w:sz="4" w:space="0" w:color="auto"/>
              <w:bottom w:val="single" w:sz="4" w:space="0" w:color="auto"/>
              <w:right w:val="single" w:sz="4" w:space="0" w:color="auto"/>
            </w:tcBorders>
            <w:hideMark/>
          </w:tcPr>
          <w:p w14:paraId="733530A3" w14:textId="77777777" w:rsidR="00F10AF1" w:rsidRPr="0013396E" w:rsidRDefault="00F10AF1" w:rsidP="0099759E">
            <w:pPr>
              <w:pStyle w:val="tablebody0"/>
              <w:rPr>
                <w:i/>
              </w:rPr>
            </w:pPr>
            <w:r w:rsidRPr="0013396E">
              <w:rPr>
                <w:i/>
              </w:rPr>
              <w:t>Real-Time Responsive Reserve Trade Overage Amount for the QSE</w:t>
            </w:r>
            <w:r w:rsidRPr="0013396E">
              <w:t xml:space="preserve">—The total charge to QSE </w:t>
            </w:r>
            <w:r w:rsidRPr="0013396E">
              <w:rPr>
                <w:i/>
              </w:rPr>
              <w:t>q</w:t>
            </w:r>
            <w:r w:rsidRPr="0013396E">
              <w:t xml:space="preserve"> in Real-Time for RRS trade overages for each 15-minute Settlement Interval.</w:t>
            </w:r>
          </w:p>
        </w:tc>
      </w:tr>
      <w:tr w:rsidR="00F10AF1" w:rsidRPr="0013396E" w14:paraId="50F466CC"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0B44CF98" w14:textId="77777777" w:rsidR="00F10AF1" w:rsidRPr="0013396E" w:rsidRDefault="00F10AF1" w:rsidP="0099759E">
            <w:pPr>
              <w:pStyle w:val="tablebody0"/>
            </w:pPr>
            <w:r w:rsidRPr="0013396E">
              <w:t xml:space="preserve">RTRRTO </w:t>
            </w:r>
            <w:r w:rsidRPr="0013396E">
              <w:rPr>
                <w:i/>
                <w:vertAlign w:val="subscript"/>
              </w:rPr>
              <w:t>q</w:t>
            </w:r>
          </w:p>
        </w:tc>
        <w:tc>
          <w:tcPr>
            <w:tcW w:w="623" w:type="pct"/>
            <w:tcBorders>
              <w:top w:val="single" w:sz="4" w:space="0" w:color="auto"/>
              <w:left w:val="single" w:sz="4" w:space="0" w:color="auto"/>
              <w:bottom w:val="single" w:sz="4" w:space="0" w:color="auto"/>
              <w:right w:val="single" w:sz="4" w:space="0" w:color="auto"/>
            </w:tcBorders>
            <w:hideMark/>
          </w:tcPr>
          <w:p w14:paraId="69DCA1EE" w14:textId="77777777" w:rsidR="00F10AF1" w:rsidRPr="0013396E" w:rsidRDefault="00F10AF1" w:rsidP="0099759E">
            <w:pPr>
              <w:pStyle w:val="tablebody0"/>
            </w:pPr>
            <w:r w:rsidRPr="0013396E">
              <w:t>MW</w:t>
            </w:r>
          </w:p>
        </w:tc>
        <w:tc>
          <w:tcPr>
            <w:tcW w:w="3098" w:type="pct"/>
            <w:tcBorders>
              <w:top w:val="single" w:sz="4" w:space="0" w:color="auto"/>
              <w:left w:val="single" w:sz="4" w:space="0" w:color="auto"/>
              <w:bottom w:val="single" w:sz="4" w:space="0" w:color="auto"/>
              <w:right w:val="single" w:sz="4" w:space="0" w:color="auto"/>
            </w:tcBorders>
            <w:hideMark/>
          </w:tcPr>
          <w:p w14:paraId="503D0BA4" w14:textId="77777777" w:rsidR="00F10AF1" w:rsidRPr="0013396E" w:rsidRDefault="00F10AF1" w:rsidP="0099759E">
            <w:pPr>
              <w:pStyle w:val="tablebody0"/>
            </w:pPr>
            <w:r w:rsidRPr="0013396E">
              <w:rPr>
                <w:i/>
              </w:rPr>
              <w:t>Real-Time Responsive Reserve Trade Overage for the QSE</w:t>
            </w:r>
            <w:r w:rsidRPr="0013396E">
              <w:sym w:font="Symbol" w:char="F0BE"/>
            </w:r>
            <w:r w:rsidRPr="0013396E">
              <w:t xml:space="preserve">The quantity of submitted RRS trades in excess of their DAM self-arrangement quantity for the QSE </w:t>
            </w:r>
            <w:r w:rsidRPr="0013396E">
              <w:rPr>
                <w:i/>
              </w:rPr>
              <w:t>q</w:t>
            </w:r>
            <w:r w:rsidRPr="0013396E">
              <w:t xml:space="preserve"> for the </w:t>
            </w:r>
            <w:r w:rsidRPr="0013396E">
              <w:rPr>
                <w:szCs w:val="18"/>
              </w:rPr>
              <w:t>Operating Hour</w:t>
            </w:r>
            <w:r w:rsidRPr="0013396E">
              <w:t>.</w:t>
            </w:r>
          </w:p>
        </w:tc>
      </w:tr>
      <w:tr w:rsidR="00F10AF1" w:rsidRPr="0013396E" w14:paraId="75074E14" w14:textId="77777777" w:rsidTr="0099759E">
        <w:trPr>
          <w:cantSplit/>
        </w:trPr>
        <w:tc>
          <w:tcPr>
            <w:tcW w:w="1279" w:type="pct"/>
            <w:tcBorders>
              <w:top w:val="single" w:sz="4" w:space="0" w:color="auto"/>
              <w:left w:val="single" w:sz="4" w:space="0" w:color="auto"/>
              <w:bottom w:val="single" w:sz="4" w:space="0" w:color="auto"/>
              <w:right w:val="single" w:sz="4" w:space="0" w:color="auto"/>
            </w:tcBorders>
          </w:tcPr>
          <w:p w14:paraId="4B18803E" w14:textId="77777777" w:rsidR="00F10AF1" w:rsidRPr="0013396E" w:rsidRDefault="00F10AF1" w:rsidP="0099759E">
            <w:pPr>
              <w:pStyle w:val="tablebody0"/>
            </w:pPr>
            <w:r w:rsidRPr="0013396E">
              <w:t>RTMCPCRR</w:t>
            </w:r>
          </w:p>
          <w:p w14:paraId="05FCA617" w14:textId="77777777" w:rsidR="00F10AF1" w:rsidRPr="0013396E" w:rsidRDefault="00F10AF1" w:rsidP="0099759E">
            <w:pPr>
              <w:pStyle w:val="tablebody0"/>
            </w:pPr>
          </w:p>
        </w:tc>
        <w:tc>
          <w:tcPr>
            <w:tcW w:w="623" w:type="pct"/>
            <w:tcBorders>
              <w:top w:val="single" w:sz="4" w:space="0" w:color="auto"/>
              <w:left w:val="single" w:sz="4" w:space="0" w:color="auto"/>
              <w:bottom w:val="single" w:sz="4" w:space="0" w:color="auto"/>
              <w:right w:val="single" w:sz="4" w:space="0" w:color="auto"/>
            </w:tcBorders>
            <w:hideMark/>
          </w:tcPr>
          <w:p w14:paraId="487C727B" w14:textId="77777777" w:rsidR="00F10AF1" w:rsidRPr="0013396E" w:rsidRDefault="00F10AF1" w:rsidP="0099759E">
            <w:pPr>
              <w:pStyle w:val="tablebody0"/>
            </w:pPr>
            <w:r w:rsidRPr="0013396E">
              <w:t>$/MW</w:t>
            </w:r>
          </w:p>
        </w:tc>
        <w:tc>
          <w:tcPr>
            <w:tcW w:w="3098" w:type="pct"/>
            <w:tcBorders>
              <w:top w:val="single" w:sz="4" w:space="0" w:color="auto"/>
              <w:left w:val="single" w:sz="4" w:space="0" w:color="auto"/>
              <w:bottom w:val="single" w:sz="4" w:space="0" w:color="auto"/>
              <w:right w:val="single" w:sz="4" w:space="0" w:color="auto"/>
            </w:tcBorders>
            <w:hideMark/>
          </w:tcPr>
          <w:p w14:paraId="6940C660" w14:textId="77777777" w:rsidR="00F10AF1" w:rsidRPr="0013396E" w:rsidRDefault="00F10AF1" w:rsidP="0099759E">
            <w:pPr>
              <w:pStyle w:val="tablebody0"/>
              <w:rPr>
                <w:i/>
              </w:rPr>
            </w:pPr>
            <w:r w:rsidRPr="0013396E">
              <w:rPr>
                <w:i/>
              </w:rPr>
              <w:t>Real-Time Market Clearing Price for Capacity for Responsive Reserve</w:t>
            </w:r>
            <w:r w:rsidRPr="0013396E">
              <w:rPr>
                <w:iCs/>
              </w:rPr>
              <w:t>—</w:t>
            </w:r>
            <w:r w:rsidRPr="0013396E">
              <w:t>The Real-Time MCPC for RRS for the 15-minute Settlement Interval.</w:t>
            </w:r>
          </w:p>
        </w:tc>
      </w:tr>
      <w:tr w:rsidR="00F10AF1" w:rsidRPr="0013396E" w14:paraId="7CD7B90B"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344B431D" w14:textId="77777777" w:rsidR="00F10AF1" w:rsidRPr="0013396E" w:rsidRDefault="00F10AF1" w:rsidP="0099759E">
            <w:pPr>
              <w:pStyle w:val="tablebody0"/>
              <w:rPr>
                <w:i/>
              </w:rPr>
            </w:pPr>
            <w:r w:rsidRPr="0013396E">
              <w:rPr>
                <w:i/>
              </w:rPr>
              <w:t>q</w:t>
            </w:r>
          </w:p>
        </w:tc>
        <w:tc>
          <w:tcPr>
            <w:tcW w:w="623" w:type="pct"/>
            <w:tcBorders>
              <w:top w:val="single" w:sz="4" w:space="0" w:color="auto"/>
              <w:left w:val="single" w:sz="4" w:space="0" w:color="auto"/>
              <w:bottom w:val="single" w:sz="4" w:space="0" w:color="auto"/>
              <w:right w:val="single" w:sz="4" w:space="0" w:color="auto"/>
            </w:tcBorders>
            <w:hideMark/>
          </w:tcPr>
          <w:p w14:paraId="465A6E1A" w14:textId="77777777" w:rsidR="00F10AF1" w:rsidRPr="0013396E" w:rsidRDefault="00F10AF1" w:rsidP="0099759E">
            <w:pPr>
              <w:pStyle w:val="tablebody0"/>
            </w:pPr>
            <w:r w:rsidRPr="0013396E">
              <w:t>none</w:t>
            </w:r>
          </w:p>
        </w:tc>
        <w:tc>
          <w:tcPr>
            <w:tcW w:w="3098" w:type="pct"/>
            <w:tcBorders>
              <w:top w:val="single" w:sz="4" w:space="0" w:color="auto"/>
              <w:left w:val="single" w:sz="4" w:space="0" w:color="auto"/>
              <w:bottom w:val="single" w:sz="4" w:space="0" w:color="auto"/>
              <w:right w:val="single" w:sz="4" w:space="0" w:color="auto"/>
            </w:tcBorders>
            <w:hideMark/>
          </w:tcPr>
          <w:p w14:paraId="163EA8A0" w14:textId="77777777" w:rsidR="00F10AF1" w:rsidRPr="0013396E" w:rsidRDefault="00F10AF1" w:rsidP="0099759E">
            <w:pPr>
              <w:pStyle w:val="tablebody0"/>
            </w:pPr>
            <w:r w:rsidRPr="0013396E">
              <w:t>A QSE.</w:t>
            </w:r>
          </w:p>
        </w:tc>
      </w:tr>
    </w:tbl>
    <w:p w14:paraId="6633863C" w14:textId="56CF2503" w:rsidR="00F10AF1" w:rsidRPr="0013396E" w:rsidRDefault="00F10AF1" w:rsidP="00F10AF1">
      <w:pPr>
        <w:pStyle w:val="H4"/>
        <w:spacing w:before="480"/>
      </w:pPr>
      <w:bookmarkStart w:id="2279" w:name="_Toc214879035"/>
      <w:r w:rsidRPr="0013396E">
        <w:lastRenderedPageBreak/>
        <w:t>6.7.</w:t>
      </w:r>
      <w:r w:rsidR="00A12B52" w:rsidRPr="0013396E">
        <w:t>2</w:t>
      </w:r>
      <w:r w:rsidRPr="0013396E">
        <w:t>.5</w:t>
      </w:r>
      <w:r w:rsidRPr="0013396E">
        <w:tab/>
        <w:t>Non-Spinning Reserve Service Payments and Charges</w:t>
      </w:r>
      <w:bookmarkEnd w:id="2279"/>
    </w:p>
    <w:p w14:paraId="61B1A867" w14:textId="77777777" w:rsidR="00F10AF1" w:rsidRPr="0013396E" w:rsidRDefault="00F10AF1" w:rsidP="00F10AF1">
      <w:r w:rsidRPr="0013396E">
        <w:t>(1)</w:t>
      </w:r>
      <w:r w:rsidRPr="0013396E">
        <w:tab/>
        <w:t>Non-Spin Imbalance Payment or Charge:</w:t>
      </w:r>
    </w:p>
    <w:p w14:paraId="779653E0" w14:textId="77777777" w:rsidR="00F10AF1" w:rsidRPr="0013396E" w:rsidRDefault="00F10AF1" w:rsidP="00F10AF1">
      <w:pPr>
        <w:pStyle w:val="FormulaBold"/>
      </w:pPr>
      <w:r w:rsidRPr="0013396E">
        <w:t>RTNSIMBAMT</w:t>
      </w:r>
      <w:r w:rsidRPr="0013396E">
        <w:rPr>
          <w:i/>
          <w:vertAlign w:val="subscript"/>
        </w:rPr>
        <w:t xml:space="preserve"> q  </w:t>
      </w:r>
      <w:r w:rsidRPr="0013396E">
        <w:t xml:space="preserve">= </w:t>
      </w:r>
      <w:r w:rsidRPr="0013396E">
        <w:tab/>
        <w:t>(-1) * [</w:t>
      </w:r>
      <w:r w:rsidRPr="0013396E">
        <w:rPr>
          <w:position w:val="-18"/>
        </w:rPr>
        <w:object w:dxaOrig="285" w:dyaOrig="570" w14:anchorId="351D576D">
          <v:shape id="_x0000_i1281" type="#_x0000_t75" style="width:12pt;height:30pt" o:ole="">
            <v:imagedata r:id="rId134" o:title=""/>
          </v:shape>
          <o:OLEObject Type="Embed" ProgID="Equation.3" ShapeID="_x0000_i1281" DrawAspect="Content" ObjectID="_1836311558" r:id="rId358"/>
        </w:object>
      </w:r>
      <w:r w:rsidRPr="0013396E">
        <w:t>[</w:t>
      </w:r>
      <w:r w:rsidRPr="0013396E">
        <w:rPr>
          <w:rStyle w:val="BodyTextChar"/>
        </w:rPr>
        <w:t xml:space="preserve">RTNSREV </w:t>
      </w:r>
      <w:r w:rsidRPr="0013396E">
        <w:rPr>
          <w:i/>
          <w:vertAlign w:val="subscript"/>
        </w:rPr>
        <w:t xml:space="preserve">q, r </w:t>
      </w:r>
      <w:r w:rsidRPr="0013396E">
        <w:t>– (1/4) * (PCNSR</w:t>
      </w:r>
      <w:r w:rsidRPr="0013396E">
        <w:rPr>
          <w:i/>
        </w:rPr>
        <w:t xml:space="preserve"> </w:t>
      </w:r>
      <w:r w:rsidRPr="0013396E">
        <w:rPr>
          <w:i/>
          <w:vertAlign w:val="subscript"/>
        </w:rPr>
        <w:t>r, q, DAM</w:t>
      </w:r>
      <w:r w:rsidRPr="0013396E">
        <w:t xml:space="preserve"> * RTMCPCNS)] – (1/4) * (DASANSQ </w:t>
      </w:r>
      <w:r w:rsidRPr="0013396E">
        <w:rPr>
          <w:i/>
          <w:vertAlign w:val="subscript"/>
        </w:rPr>
        <w:t>q</w:t>
      </w:r>
      <w:r w:rsidRPr="0013396E">
        <w:t xml:space="preserve"> * RTMCPCNS) + (1/4) * (NSTP </w:t>
      </w:r>
      <w:r w:rsidRPr="0013396E">
        <w:rPr>
          <w:i/>
          <w:vertAlign w:val="subscript"/>
        </w:rPr>
        <w:t>q</w:t>
      </w:r>
      <w:r w:rsidRPr="0013396E">
        <w:t xml:space="preserve"> – NSTS </w:t>
      </w:r>
      <w:r w:rsidRPr="0013396E">
        <w:rPr>
          <w:i/>
          <w:vertAlign w:val="subscript"/>
        </w:rPr>
        <w:t>q</w:t>
      </w:r>
      <w:r w:rsidRPr="0013396E">
        <w:t>) * RTMCPCNS]</w:t>
      </w:r>
    </w:p>
    <w:p w14:paraId="5D1CBE1F" w14:textId="77777777" w:rsidR="00F10AF1" w:rsidRPr="000B7133" w:rsidRDefault="00F10AF1" w:rsidP="00F10AF1">
      <w:pPr>
        <w:pStyle w:val="FormulaBold"/>
        <w:rPr>
          <w:b w:val="0"/>
          <w:bCs w:val="0"/>
        </w:rPr>
      </w:pPr>
      <w:r w:rsidRPr="000B7133">
        <w:rPr>
          <w:b w:val="0"/>
          <w:bCs w:val="0"/>
        </w:rPr>
        <w:t xml:space="preserve">Where:   </w:t>
      </w:r>
    </w:p>
    <w:p w14:paraId="32B68DF2" w14:textId="77777777" w:rsidR="00F10AF1" w:rsidRPr="000B7133" w:rsidRDefault="00F10AF1" w:rsidP="00F10AF1">
      <w:pPr>
        <w:pStyle w:val="FormulaBold"/>
        <w:rPr>
          <w:b w:val="0"/>
          <w:bCs w:val="0"/>
        </w:rPr>
      </w:pPr>
      <w:r w:rsidRPr="000B7133">
        <w:rPr>
          <w:rStyle w:val="BodyTextChar"/>
          <w:b w:val="0"/>
          <w:bCs w:val="0"/>
        </w:rPr>
        <w:t xml:space="preserve">RTNSREV </w:t>
      </w:r>
      <w:r w:rsidRPr="000B7133">
        <w:rPr>
          <w:b w:val="0"/>
          <w:bCs w:val="0"/>
          <w:i/>
          <w:vertAlign w:val="subscript"/>
        </w:rPr>
        <w:t xml:space="preserve">q, r </w:t>
      </w:r>
      <w:r w:rsidRPr="000B7133">
        <w:rPr>
          <w:b w:val="0"/>
          <w:bCs w:val="0"/>
          <w:i/>
        </w:rPr>
        <w:t xml:space="preserve"> =     </w:t>
      </w:r>
      <w:r w:rsidRPr="000B7133">
        <w:rPr>
          <w:b w:val="0"/>
          <w:bCs w:val="0"/>
        </w:rPr>
        <w:t>(1/4) * RTNSAWD</w:t>
      </w:r>
      <w:r w:rsidRPr="000B7133">
        <w:rPr>
          <w:b w:val="0"/>
          <w:bCs w:val="0"/>
          <w:i/>
          <w:vertAlign w:val="subscript"/>
        </w:rPr>
        <w:t xml:space="preserve"> q, r</w:t>
      </w:r>
      <w:r w:rsidRPr="000B7133">
        <w:rPr>
          <w:b w:val="0"/>
          <w:bCs w:val="0"/>
        </w:rPr>
        <w:t xml:space="preserve"> * RTMCPCNSR </w:t>
      </w:r>
      <w:r w:rsidRPr="000B7133">
        <w:rPr>
          <w:b w:val="0"/>
          <w:bCs w:val="0"/>
          <w:i/>
          <w:vertAlign w:val="subscript"/>
        </w:rPr>
        <w:t>q, r</w:t>
      </w:r>
    </w:p>
    <w:p w14:paraId="207038DC" w14:textId="77777777" w:rsidR="00F10AF1" w:rsidRPr="00016609" w:rsidRDefault="00F10AF1" w:rsidP="00F10AF1">
      <w:pPr>
        <w:pStyle w:val="FormulaBold"/>
        <w:rPr>
          <w:b w:val="0"/>
          <w:bCs w:val="0"/>
        </w:rPr>
      </w:pPr>
      <w:r w:rsidRPr="000B7133">
        <w:rPr>
          <w:b w:val="0"/>
          <w:bCs w:val="0"/>
        </w:rPr>
        <w:t xml:space="preserve">RTMCPCNSR </w:t>
      </w:r>
      <w:r w:rsidRPr="000B7133">
        <w:rPr>
          <w:b w:val="0"/>
          <w:bCs w:val="0"/>
          <w:i/>
          <w:vertAlign w:val="subscript"/>
        </w:rPr>
        <w:t>q, r</w:t>
      </w:r>
      <w:r w:rsidRPr="000B7133">
        <w:rPr>
          <w:b w:val="0"/>
          <w:bCs w:val="0"/>
          <w:i/>
        </w:rPr>
        <w:t xml:space="preserve"> = </w:t>
      </w:r>
      <w:r w:rsidRPr="007A1E53">
        <w:rPr>
          <w:b w:val="0"/>
          <w:bCs w:val="0"/>
          <w:position w:val="-22"/>
        </w:rPr>
        <w:object w:dxaOrig="285" w:dyaOrig="285" w14:anchorId="41AFAEA3">
          <v:shape id="_x0000_i1282" type="#_x0000_t75" style="width:30pt;height:30pt" o:ole="">
            <v:imagedata r:id="rId20" o:title=""/>
          </v:shape>
          <o:OLEObject Type="Embed" ProgID="Equation.3" ShapeID="_x0000_i1282" DrawAspect="Content" ObjectID="_1836311559" r:id="rId359"/>
        </w:object>
      </w:r>
      <w:r w:rsidRPr="00016609">
        <w:rPr>
          <w:b w:val="0"/>
          <w:bCs w:val="0"/>
        </w:rPr>
        <w:t xml:space="preserve"> (NSRWF</w:t>
      </w:r>
      <w:r w:rsidRPr="00016609">
        <w:rPr>
          <w:b w:val="0"/>
          <w:bCs w:val="0"/>
          <w:i/>
          <w:vertAlign w:val="subscript"/>
        </w:rPr>
        <w:t xml:space="preserve"> q, r, y</w:t>
      </w:r>
      <w:r w:rsidRPr="00016609">
        <w:rPr>
          <w:b w:val="0"/>
          <w:bCs w:val="0"/>
        </w:rPr>
        <w:t xml:space="preserve"> * (RTMCPCNSS</w:t>
      </w:r>
      <w:r w:rsidRPr="00016609">
        <w:rPr>
          <w:b w:val="0"/>
          <w:bCs w:val="0"/>
          <w:i/>
          <w:vertAlign w:val="subscript"/>
        </w:rPr>
        <w:t xml:space="preserve"> y</w:t>
      </w:r>
      <w:r w:rsidRPr="00016609">
        <w:rPr>
          <w:b w:val="0"/>
          <w:bCs w:val="0"/>
        </w:rPr>
        <w:t xml:space="preserve"> + RTRDPANSS </w:t>
      </w:r>
      <w:r w:rsidRPr="00016609">
        <w:rPr>
          <w:b w:val="0"/>
          <w:bCs w:val="0"/>
          <w:i/>
          <w:vertAlign w:val="subscript"/>
        </w:rPr>
        <w:t>y</w:t>
      </w:r>
      <w:r w:rsidRPr="00016609">
        <w:rPr>
          <w:b w:val="0"/>
          <w:bCs w:val="0"/>
        </w:rPr>
        <w:t>))</w:t>
      </w:r>
    </w:p>
    <w:p w14:paraId="0C420F64" w14:textId="77777777" w:rsidR="00F10AF1" w:rsidRPr="000B7133" w:rsidRDefault="00F10AF1" w:rsidP="00F10AF1">
      <w:pPr>
        <w:pStyle w:val="FormulaBold"/>
        <w:rPr>
          <w:b w:val="0"/>
          <w:bCs w:val="0"/>
          <w:i/>
          <w:vertAlign w:val="subscript"/>
        </w:rPr>
      </w:pPr>
      <w:r w:rsidRPr="00016609">
        <w:rPr>
          <w:b w:val="0"/>
          <w:bCs w:val="0"/>
        </w:rPr>
        <w:t>RTNSAWD</w:t>
      </w:r>
      <w:r w:rsidRPr="00016609">
        <w:rPr>
          <w:b w:val="0"/>
          <w:bCs w:val="0"/>
          <w:i/>
          <w:vertAlign w:val="subscript"/>
        </w:rPr>
        <w:t xml:space="preserve"> q, r  </w:t>
      </w:r>
      <w:r w:rsidRPr="00016609">
        <w:rPr>
          <w:b w:val="0"/>
          <w:bCs w:val="0"/>
        </w:rPr>
        <w:tab/>
        <w:t xml:space="preserve">=  </w:t>
      </w:r>
      <w:r w:rsidRPr="007A1E53">
        <w:rPr>
          <w:b w:val="0"/>
          <w:bCs w:val="0"/>
          <w:position w:val="-22"/>
        </w:rPr>
        <w:object w:dxaOrig="285" w:dyaOrig="285" w14:anchorId="0BCB8C58">
          <v:shape id="_x0000_i1283" type="#_x0000_t75" style="width:30pt;height:30pt" o:ole="">
            <v:imagedata r:id="rId20" o:title=""/>
          </v:shape>
          <o:OLEObject Type="Embed" ProgID="Equation.3" ShapeID="_x0000_i1283" DrawAspect="Content" ObjectID="_1836311560" r:id="rId360"/>
        </w:object>
      </w:r>
      <w:r w:rsidRPr="000B7133">
        <w:rPr>
          <w:b w:val="0"/>
          <w:bCs w:val="0"/>
        </w:rPr>
        <w:t xml:space="preserve"> (RNWF </w:t>
      </w:r>
      <w:r w:rsidRPr="000B7133">
        <w:rPr>
          <w:b w:val="0"/>
          <w:bCs w:val="0"/>
          <w:i/>
          <w:vertAlign w:val="subscript"/>
        </w:rPr>
        <w:t>y</w:t>
      </w:r>
      <w:r w:rsidRPr="000B7133">
        <w:rPr>
          <w:b w:val="0"/>
          <w:bCs w:val="0"/>
          <w:vertAlign w:val="subscript"/>
        </w:rPr>
        <w:t xml:space="preserve"> </w:t>
      </w:r>
      <w:r w:rsidRPr="000B7133">
        <w:rPr>
          <w:b w:val="0"/>
          <w:bCs w:val="0"/>
        </w:rPr>
        <w:t>* RTNSAWDS</w:t>
      </w:r>
      <w:r w:rsidRPr="000B7133">
        <w:rPr>
          <w:b w:val="0"/>
          <w:bCs w:val="0"/>
          <w:i/>
          <w:vertAlign w:val="subscript"/>
        </w:rPr>
        <w:t xml:space="preserve"> q, r, y</w:t>
      </w:r>
      <w:r w:rsidRPr="000B7133">
        <w:rPr>
          <w:b w:val="0"/>
          <w:bCs w:val="0"/>
        </w:rPr>
        <w:t>)</w:t>
      </w:r>
    </w:p>
    <w:p w14:paraId="5D551D08" w14:textId="77777777" w:rsidR="00F10AF1" w:rsidRPr="000B7133" w:rsidRDefault="00F10AF1" w:rsidP="00F10AF1">
      <w:pPr>
        <w:pStyle w:val="FormulaBold"/>
        <w:rPr>
          <w:b w:val="0"/>
          <w:bCs w:val="0"/>
        </w:rPr>
      </w:pPr>
      <w:r w:rsidRPr="000B7133">
        <w:rPr>
          <w:b w:val="0"/>
          <w:bCs w:val="0"/>
        </w:rPr>
        <w:t>Where:</w:t>
      </w:r>
    </w:p>
    <w:p w14:paraId="2547B478" w14:textId="77777777" w:rsidR="00F10AF1" w:rsidRPr="0013396E" w:rsidRDefault="00F10AF1" w:rsidP="00F10AF1">
      <w:pPr>
        <w:pStyle w:val="NoSpacing"/>
        <w:spacing w:after="240"/>
        <w:ind w:left="720"/>
      </w:pPr>
      <w:r w:rsidRPr="0013396E">
        <w:t>NSRWF</w:t>
      </w:r>
      <w:r w:rsidRPr="0013396E">
        <w:rPr>
          <w:i/>
          <w:vertAlign w:val="subscript"/>
        </w:rPr>
        <w:t xml:space="preserve"> q, r, y</w:t>
      </w:r>
      <w:r w:rsidRPr="0013396E">
        <w:rPr>
          <w:vertAlign w:val="subscript"/>
        </w:rPr>
        <w:t xml:space="preserve">   </w:t>
      </w:r>
      <w:r w:rsidRPr="0013396E">
        <w:t>=  [max(0.001, RTNSAWDS</w:t>
      </w:r>
      <w:r w:rsidRPr="0013396E">
        <w:rPr>
          <w:i/>
          <w:vertAlign w:val="subscript"/>
        </w:rPr>
        <w:t xml:space="preserve"> q, r, y</w:t>
      </w:r>
      <w:r w:rsidRPr="0013396E">
        <w:t>) * TLMP</w:t>
      </w:r>
      <w:r w:rsidRPr="0013396E">
        <w:rPr>
          <w:i/>
          <w:vertAlign w:val="subscript"/>
        </w:rPr>
        <w:t xml:space="preserve"> y</w:t>
      </w:r>
      <w:r w:rsidRPr="0013396E">
        <w:t>] / [</w:t>
      </w:r>
      <w:r w:rsidRPr="0013396E">
        <w:rPr>
          <w:b/>
          <w:position w:val="-22"/>
        </w:rPr>
        <w:object w:dxaOrig="285" w:dyaOrig="285" w14:anchorId="1AD3B961">
          <v:shape id="_x0000_i1284" type="#_x0000_t75" style="width:24pt;height:24pt" o:ole="">
            <v:imagedata r:id="rId20" o:title=""/>
          </v:shape>
          <o:OLEObject Type="Embed" ProgID="Equation.3" ShapeID="_x0000_i1284" DrawAspect="Content" ObjectID="_1836311561" r:id="rId361"/>
        </w:object>
      </w:r>
      <w:r w:rsidRPr="0013396E">
        <w:t>max(0.001,</w:t>
      </w:r>
    </w:p>
    <w:p w14:paraId="4AE31D09" w14:textId="77777777" w:rsidR="00F10AF1" w:rsidRPr="0013396E" w:rsidRDefault="00F10AF1" w:rsidP="00F10AF1">
      <w:pPr>
        <w:pStyle w:val="NoSpacing"/>
        <w:spacing w:after="240"/>
        <w:rPr>
          <w:vertAlign w:val="subscript"/>
        </w:rPr>
      </w:pPr>
      <w:r w:rsidRPr="0013396E">
        <w:t xml:space="preserve">  </w:t>
      </w:r>
      <w:r w:rsidRPr="0013396E">
        <w:tab/>
      </w:r>
      <w:r w:rsidRPr="0013396E">
        <w:tab/>
      </w:r>
      <w:r w:rsidRPr="0013396E">
        <w:tab/>
        <w:t xml:space="preserve">      RTNSAWDS</w:t>
      </w:r>
      <w:r w:rsidRPr="0013396E">
        <w:rPr>
          <w:i/>
          <w:vertAlign w:val="subscript"/>
        </w:rPr>
        <w:t xml:space="preserve"> q, r, y</w:t>
      </w:r>
      <w:r w:rsidRPr="0013396E">
        <w:t>) * TLMP</w:t>
      </w:r>
      <w:r w:rsidRPr="0013396E">
        <w:rPr>
          <w:i/>
          <w:vertAlign w:val="subscript"/>
        </w:rPr>
        <w:t xml:space="preserve"> y</w:t>
      </w:r>
      <w:r w:rsidRPr="0013396E">
        <w:t>]</w:t>
      </w:r>
      <w:r w:rsidRPr="0013396E">
        <w:rPr>
          <w:vertAlign w:val="subscript"/>
        </w:rPr>
        <w:t xml:space="preserve"> </w:t>
      </w:r>
    </w:p>
    <w:p w14:paraId="05DDBA04" w14:textId="77777777" w:rsidR="00F10AF1" w:rsidRPr="000B7133" w:rsidRDefault="00F10AF1" w:rsidP="00F10AF1">
      <w:pPr>
        <w:pStyle w:val="FormulaBold"/>
        <w:rPr>
          <w:b w:val="0"/>
          <w:bCs w:val="0"/>
        </w:rPr>
      </w:pPr>
      <w:r w:rsidRPr="000B7133">
        <w:rPr>
          <w:b w:val="0"/>
          <w:bCs w:val="0"/>
        </w:rPr>
        <w:t>And:</w:t>
      </w:r>
    </w:p>
    <w:p w14:paraId="2635D377" w14:textId="77777777" w:rsidR="00F10AF1" w:rsidRPr="0013396E" w:rsidRDefault="00F10AF1" w:rsidP="00F10AF1">
      <w:pPr>
        <w:spacing w:after="240"/>
        <w:ind w:firstLine="720"/>
        <w:rPr>
          <w:i/>
          <w:vertAlign w:val="subscript"/>
        </w:rPr>
      </w:pPr>
      <w:r w:rsidRPr="0013396E">
        <w:t xml:space="preserve">RNWF </w:t>
      </w:r>
      <w:r w:rsidRPr="0013396E">
        <w:rPr>
          <w:i/>
          <w:vertAlign w:val="subscript"/>
        </w:rPr>
        <w:t xml:space="preserve">y </w:t>
      </w:r>
      <w:r w:rsidRPr="0013396E">
        <w:t>=</w:t>
      </w:r>
      <w:r w:rsidRPr="0013396E">
        <w:tab/>
      </w:r>
      <w:r w:rsidRPr="0013396E">
        <w:tab/>
        <w:t xml:space="preserve">TLMP </w:t>
      </w:r>
      <w:r w:rsidRPr="0013396E">
        <w:rPr>
          <w:i/>
          <w:vertAlign w:val="subscript"/>
        </w:rPr>
        <w:t>y</w:t>
      </w:r>
      <w:r w:rsidRPr="0013396E">
        <w:t xml:space="preserve"> </w:t>
      </w:r>
      <w:r w:rsidRPr="0013396E">
        <w:rPr>
          <w:color w:val="000000"/>
          <w:sz w:val="32"/>
          <w:szCs w:val="32"/>
        </w:rPr>
        <w:t>/</w:t>
      </w:r>
      <w:r w:rsidRPr="0013396E">
        <w:rPr>
          <w:color w:val="000000"/>
        </w:rPr>
        <w:t xml:space="preserve"> </w:t>
      </w:r>
      <w:r w:rsidRPr="0013396E">
        <w:rPr>
          <w:position w:val="-22"/>
          <w:szCs w:val="24"/>
        </w:rPr>
        <w:object w:dxaOrig="285" w:dyaOrig="285" w14:anchorId="477B7490">
          <v:shape id="_x0000_i1285" type="#_x0000_t75" style="width:24pt;height:24pt" o:ole="">
            <v:imagedata r:id="rId20" o:title=""/>
          </v:shape>
          <o:OLEObject Type="Embed" ProgID="Equation.3" ShapeID="_x0000_i1285" DrawAspect="Content" ObjectID="_1836311562" r:id="rId362"/>
        </w:object>
      </w:r>
      <w:r w:rsidRPr="0013396E">
        <w:t xml:space="preserve">TLMP </w:t>
      </w:r>
      <w:r w:rsidRPr="0013396E">
        <w:rPr>
          <w:i/>
          <w:vertAlign w:val="subscript"/>
        </w:rPr>
        <w:t>y</w:t>
      </w:r>
    </w:p>
    <w:p w14:paraId="79FE55EB" w14:textId="77777777" w:rsidR="00F10AF1" w:rsidRPr="0013396E" w:rsidRDefault="00F10AF1" w:rsidP="00F10AF1">
      <w:pPr>
        <w:pStyle w:val="Instructions"/>
        <w:spacing w:after="0"/>
        <w:ind w:left="720" w:hanging="720"/>
        <w:rPr>
          <w:i w:val="0"/>
        </w:rPr>
      </w:pPr>
      <w:r w:rsidRPr="0013396E">
        <w:rPr>
          <w:b w:val="0"/>
          <w:i w:val="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392"/>
        <w:gridCol w:w="1165"/>
        <w:gridCol w:w="5793"/>
      </w:tblGrid>
      <w:tr w:rsidR="00F10AF1" w:rsidRPr="0013396E" w14:paraId="7B9822A7" w14:textId="77777777" w:rsidTr="0099759E">
        <w:trPr>
          <w:cantSplit/>
          <w:tblHeader/>
        </w:trPr>
        <w:tc>
          <w:tcPr>
            <w:tcW w:w="1279" w:type="pct"/>
            <w:tcBorders>
              <w:top w:val="single" w:sz="4" w:space="0" w:color="auto"/>
              <w:left w:val="single" w:sz="4" w:space="0" w:color="auto"/>
              <w:bottom w:val="single" w:sz="4" w:space="0" w:color="auto"/>
              <w:right w:val="single" w:sz="4" w:space="0" w:color="auto"/>
            </w:tcBorders>
            <w:hideMark/>
          </w:tcPr>
          <w:p w14:paraId="2D330279" w14:textId="77777777" w:rsidR="00F10AF1" w:rsidRPr="0013396E" w:rsidRDefault="00F10AF1" w:rsidP="0099759E">
            <w:pPr>
              <w:pStyle w:val="TableHead"/>
            </w:pPr>
            <w:r w:rsidRPr="0013396E">
              <w:t>Variable</w:t>
            </w:r>
          </w:p>
        </w:tc>
        <w:tc>
          <w:tcPr>
            <w:tcW w:w="623" w:type="pct"/>
            <w:tcBorders>
              <w:top w:val="single" w:sz="4" w:space="0" w:color="auto"/>
              <w:left w:val="single" w:sz="4" w:space="0" w:color="auto"/>
              <w:bottom w:val="single" w:sz="4" w:space="0" w:color="auto"/>
              <w:right w:val="single" w:sz="4" w:space="0" w:color="auto"/>
            </w:tcBorders>
            <w:hideMark/>
          </w:tcPr>
          <w:p w14:paraId="18F2973A" w14:textId="77777777" w:rsidR="00F10AF1" w:rsidRPr="0013396E" w:rsidRDefault="00F10AF1" w:rsidP="0099759E">
            <w:pPr>
              <w:pStyle w:val="TableHead"/>
            </w:pPr>
            <w:r w:rsidRPr="0013396E">
              <w:t>Unit</w:t>
            </w:r>
          </w:p>
        </w:tc>
        <w:tc>
          <w:tcPr>
            <w:tcW w:w="3098" w:type="pct"/>
            <w:tcBorders>
              <w:top w:val="single" w:sz="4" w:space="0" w:color="auto"/>
              <w:left w:val="single" w:sz="4" w:space="0" w:color="auto"/>
              <w:bottom w:val="single" w:sz="4" w:space="0" w:color="auto"/>
              <w:right w:val="single" w:sz="4" w:space="0" w:color="auto"/>
            </w:tcBorders>
            <w:hideMark/>
          </w:tcPr>
          <w:p w14:paraId="2DA0598C" w14:textId="77777777" w:rsidR="00F10AF1" w:rsidRPr="0013396E" w:rsidRDefault="00F10AF1" w:rsidP="0099759E">
            <w:pPr>
              <w:pStyle w:val="TableHead"/>
            </w:pPr>
            <w:r w:rsidRPr="0013396E">
              <w:t>Description</w:t>
            </w:r>
          </w:p>
        </w:tc>
      </w:tr>
      <w:tr w:rsidR="00F10AF1" w:rsidRPr="0013396E" w14:paraId="29264A27"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167655DC" w14:textId="77777777" w:rsidR="00F10AF1" w:rsidRPr="0013396E" w:rsidRDefault="00F10AF1" w:rsidP="0099759E">
            <w:pPr>
              <w:pStyle w:val="tablebody0"/>
            </w:pPr>
            <w:r w:rsidRPr="0013396E">
              <w:t xml:space="preserve">RTNSIMBAMT </w:t>
            </w:r>
            <w:r w:rsidRPr="0013396E">
              <w:rPr>
                <w:i/>
                <w:vertAlign w:val="subscript"/>
              </w:rPr>
              <w:t>q</w:t>
            </w:r>
          </w:p>
        </w:tc>
        <w:tc>
          <w:tcPr>
            <w:tcW w:w="623" w:type="pct"/>
            <w:tcBorders>
              <w:top w:val="single" w:sz="4" w:space="0" w:color="auto"/>
              <w:left w:val="single" w:sz="4" w:space="0" w:color="auto"/>
              <w:bottom w:val="single" w:sz="4" w:space="0" w:color="auto"/>
              <w:right w:val="single" w:sz="4" w:space="0" w:color="auto"/>
            </w:tcBorders>
            <w:hideMark/>
          </w:tcPr>
          <w:p w14:paraId="54C88FB2" w14:textId="77777777" w:rsidR="00F10AF1" w:rsidRPr="0013396E" w:rsidRDefault="00F10AF1" w:rsidP="0099759E">
            <w:pPr>
              <w:pStyle w:val="tablebody0"/>
            </w:pPr>
            <w:r w:rsidRPr="0013396E">
              <w:t>$</w:t>
            </w:r>
          </w:p>
        </w:tc>
        <w:tc>
          <w:tcPr>
            <w:tcW w:w="3098" w:type="pct"/>
            <w:tcBorders>
              <w:top w:val="single" w:sz="4" w:space="0" w:color="auto"/>
              <w:left w:val="single" w:sz="4" w:space="0" w:color="auto"/>
              <w:bottom w:val="single" w:sz="4" w:space="0" w:color="auto"/>
              <w:right w:val="single" w:sz="4" w:space="0" w:color="auto"/>
            </w:tcBorders>
            <w:hideMark/>
          </w:tcPr>
          <w:p w14:paraId="2D3D710A" w14:textId="77777777" w:rsidR="00F10AF1" w:rsidRPr="0013396E" w:rsidRDefault="00F10AF1" w:rsidP="0099759E">
            <w:pPr>
              <w:pStyle w:val="tablebody0"/>
              <w:rPr>
                <w:i/>
              </w:rPr>
            </w:pPr>
            <w:r w:rsidRPr="0013396E">
              <w:rPr>
                <w:i/>
              </w:rPr>
              <w:t>Real-Time Non-Spin Imbalance Amount for the QSE</w:t>
            </w:r>
            <w:r w:rsidRPr="0013396E">
              <w:t xml:space="preserve">—The total payment or charge to QSE </w:t>
            </w:r>
            <w:r w:rsidRPr="0013396E">
              <w:rPr>
                <w:i/>
              </w:rPr>
              <w:t>q</w:t>
            </w:r>
            <w:r w:rsidRPr="0013396E">
              <w:t xml:space="preserve"> for the Real-Time Non-Spin imbalance for each 15-minute Settlement Interval.</w:t>
            </w:r>
          </w:p>
        </w:tc>
      </w:tr>
      <w:tr w:rsidR="00F10AF1" w:rsidRPr="0013396E" w14:paraId="460AA527"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3CF77284" w14:textId="77777777" w:rsidR="00F10AF1" w:rsidRPr="0013396E" w:rsidRDefault="00F10AF1" w:rsidP="0099759E">
            <w:pPr>
              <w:pStyle w:val="tablebody0"/>
            </w:pPr>
            <w:r w:rsidRPr="0013396E">
              <w:t>RTNSAWD</w:t>
            </w:r>
            <w:r w:rsidRPr="0013396E">
              <w:rPr>
                <w:i/>
                <w:vertAlign w:val="subscript"/>
              </w:rPr>
              <w:t xml:space="preserve"> q, r</w:t>
            </w:r>
          </w:p>
        </w:tc>
        <w:tc>
          <w:tcPr>
            <w:tcW w:w="623" w:type="pct"/>
            <w:tcBorders>
              <w:top w:val="single" w:sz="4" w:space="0" w:color="auto"/>
              <w:left w:val="single" w:sz="4" w:space="0" w:color="auto"/>
              <w:bottom w:val="single" w:sz="4" w:space="0" w:color="auto"/>
              <w:right w:val="single" w:sz="4" w:space="0" w:color="auto"/>
            </w:tcBorders>
            <w:hideMark/>
          </w:tcPr>
          <w:p w14:paraId="7BF0FC34" w14:textId="77777777" w:rsidR="00F10AF1" w:rsidRPr="0013396E" w:rsidRDefault="00F10AF1" w:rsidP="0099759E">
            <w:pPr>
              <w:pStyle w:val="tablebody0"/>
            </w:pPr>
            <w:r w:rsidRPr="0013396E">
              <w:t>MW</w:t>
            </w:r>
          </w:p>
        </w:tc>
        <w:tc>
          <w:tcPr>
            <w:tcW w:w="3098" w:type="pct"/>
            <w:tcBorders>
              <w:top w:val="single" w:sz="4" w:space="0" w:color="auto"/>
              <w:left w:val="single" w:sz="4" w:space="0" w:color="auto"/>
              <w:bottom w:val="single" w:sz="4" w:space="0" w:color="auto"/>
              <w:right w:val="single" w:sz="4" w:space="0" w:color="auto"/>
            </w:tcBorders>
            <w:hideMark/>
          </w:tcPr>
          <w:p w14:paraId="67085751" w14:textId="77777777" w:rsidR="00F10AF1" w:rsidRPr="0013396E" w:rsidRDefault="00F10AF1" w:rsidP="0099759E">
            <w:pPr>
              <w:pStyle w:val="tablebody0"/>
              <w:rPr>
                <w:i/>
              </w:rPr>
            </w:pPr>
            <w:r w:rsidRPr="0013396E">
              <w:rPr>
                <w:i/>
              </w:rPr>
              <w:t>Real Time Non-Spin Award per Resource per QSE</w:t>
            </w:r>
            <w:r w:rsidRPr="0013396E">
              <w:rPr>
                <w:iCs/>
              </w:rPr>
              <w:t>—</w:t>
            </w:r>
            <w:r w:rsidRPr="0013396E">
              <w:t xml:space="preserve">The Non-Spin amount awarded to QSE </w:t>
            </w:r>
            <w:r w:rsidRPr="0013396E">
              <w:rPr>
                <w:i/>
              </w:rPr>
              <w:t>q</w:t>
            </w:r>
            <w:r w:rsidRPr="0013396E">
              <w:t xml:space="preserve"> for Resource </w:t>
            </w:r>
            <w:r w:rsidRPr="0013396E">
              <w:rPr>
                <w:i/>
              </w:rPr>
              <w:t>r</w:t>
            </w:r>
            <w:r w:rsidRPr="0013396E">
              <w:t xml:space="preserve"> in Real-Time </w:t>
            </w:r>
            <w:r w:rsidRPr="0013396E">
              <w:rPr>
                <w:szCs w:val="18"/>
              </w:rPr>
              <w:t xml:space="preserve">for the </w:t>
            </w:r>
            <w:r w:rsidRPr="0013396E">
              <w:t xml:space="preserve">15-minute Settlement Interval.  Where for a Combined Cycle Train, the Resource </w:t>
            </w:r>
            <w:r w:rsidRPr="0013396E">
              <w:rPr>
                <w:i/>
              </w:rPr>
              <w:t xml:space="preserve">r </w:t>
            </w:r>
            <w:r w:rsidRPr="0013396E">
              <w:t>is the Combined Cycle Train.</w:t>
            </w:r>
          </w:p>
        </w:tc>
      </w:tr>
      <w:tr w:rsidR="00F10AF1" w:rsidRPr="0013396E" w14:paraId="10CEADAF"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216EA422" w14:textId="77777777" w:rsidR="00F10AF1" w:rsidRPr="0013396E" w:rsidRDefault="00F10AF1" w:rsidP="0099759E">
            <w:pPr>
              <w:pStyle w:val="tablebody0"/>
            </w:pPr>
            <w:r w:rsidRPr="0013396E">
              <w:t xml:space="preserve">RTNSREV </w:t>
            </w:r>
            <w:r w:rsidRPr="0013396E">
              <w:rPr>
                <w:i/>
                <w:vertAlign w:val="subscript"/>
              </w:rPr>
              <w:t>q, r</w:t>
            </w:r>
          </w:p>
        </w:tc>
        <w:tc>
          <w:tcPr>
            <w:tcW w:w="623" w:type="pct"/>
            <w:tcBorders>
              <w:top w:val="single" w:sz="4" w:space="0" w:color="auto"/>
              <w:left w:val="single" w:sz="4" w:space="0" w:color="auto"/>
              <w:bottom w:val="single" w:sz="4" w:space="0" w:color="auto"/>
              <w:right w:val="single" w:sz="4" w:space="0" w:color="auto"/>
            </w:tcBorders>
            <w:hideMark/>
          </w:tcPr>
          <w:p w14:paraId="2C9B7376" w14:textId="77777777" w:rsidR="00F10AF1" w:rsidRPr="0013396E" w:rsidRDefault="00F10AF1" w:rsidP="0099759E">
            <w:pPr>
              <w:pStyle w:val="tablebody0"/>
            </w:pPr>
            <w:r w:rsidRPr="0013396E">
              <w:t>$</w:t>
            </w:r>
          </w:p>
        </w:tc>
        <w:tc>
          <w:tcPr>
            <w:tcW w:w="3098" w:type="pct"/>
            <w:tcBorders>
              <w:top w:val="single" w:sz="4" w:space="0" w:color="auto"/>
              <w:left w:val="single" w:sz="4" w:space="0" w:color="auto"/>
              <w:bottom w:val="single" w:sz="4" w:space="0" w:color="auto"/>
              <w:right w:val="single" w:sz="4" w:space="0" w:color="auto"/>
            </w:tcBorders>
            <w:hideMark/>
          </w:tcPr>
          <w:p w14:paraId="62A937CD" w14:textId="77777777" w:rsidR="00F10AF1" w:rsidRPr="0013396E" w:rsidRDefault="00F10AF1" w:rsidP="0099759E">
            <w:pPr>
              <w:pStyle w:val="tablebody0"/>
              <w:rPr>
                <w:i/>
              </w:rPr>
            </w:pPr>
            <w:r w:rsidRPr="0013396E">
              <w:rPr>
                <w:i/>
              </w:rPr>
              <w:t>Real-Time Non-Spin Revenue</w:t>
            </w:r>
            <w:r w:rsidRPr="0013396E">
              <w:t xml:space="preserve">—The Real-Time Non-Spin revenue for QSE </w:t>
            </w:r>
            <w:r w:rsidRPr="0013396E">
              <w:rPr>
                <w:i/>
              </w:rPr>
              <w:t xml:space="preserve">q </w:t>
            </w:r>
            <w:r w:rsidRPr="0013396E">
              <w:t xml:space="preserve">calculated for Resource </w:t>
            </w:r>
            <w:r w:rsidRPr="0013396E">
              <w:rPr>
                <w:i/>
              </w:rPr>
              <w:t>r</w:t>
            </w:r>
            <w:r w:rsidRPr="0013396E">
              <w:t xml:space="preserve"> for the 15-minute Settlement interval.  Where for a Combined Cycle Train, the Resource </w:t>
            </w:r>
            <w:r w:rsidRPr="0013396E">
              <w:rPr>
                <w:i/>
              </w:rPr>
              <w:t>r</w:t>
            </w:r>
            <w:r w:rsidRPr="0013396E">
              <w:t xml:space="preserve"> is the Combined Cycle Train.</w:t>
            </w:r>
          </w:p>
        </w:tc>
      </w:tr>
      <w:tr w:rsidR="00F10AF1" w:rsidRPr="0013396E" w14:paraId="753C4C6A"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63E9CFDD" w14:textId="77777777" w:rsidR="00F10AF1" w:rsidRPr="0013396E" w:rsidRDefault="00F10AF1" w:rsidP="0099759E">
            <w:pPr>
              <w:pStyle w:val="tablebody0"/>
            </w:pPr>
            <w:r w:rsidRPr="0013396E">
              <w:t>RTNSAWDS</w:t>
            </w:r>
            <w:r w:rsidRPr="0013396E">
              <w:rPr>
                <w:i/>
                <w:vertAlign w:val="subscript"/>
              </w:rPr>
              <w:t xml:space="preserve"> q, r, y</w:t>
            </w:r>
          </w:p>
        </w:tc>
        <w:tc>
          <w:tcPr>
            <w:tcW w:w="623" w:type="pct"/>
            <w:tcBorders>
              <w:top w:val="single" w:sz="4" w:space="0" w:color="auto"/>
              <w:left w:val="single" w:sz="4" w:space="0" w:color="auto"/>
              <w:bottom w:val="single" w:sz="4" w:space="0" w:color="auto"/>
              <w:right w:val="single" w:sz="4" w:space="0" w:color="auto"/>
            </w:tcBorders>
            <w:hideMark/>
          </w:tcPr>
          <w:p w14:paraId="1BD84175" w14:textId="77777777" w:rsidR="00F10AF1" w:rsidRPr="0013396E" w:rsidRDefault="00F10AF1" w:rsidP="0099759E">
            <w:pPr>
              <w:pStyle w:val="tablebody0"/>
            </w:pPr>
            <w:r w:rsidRPr="0013396E">
              <w:t>MW</w:t>
            </w:r>
          </w:p>
        </w:tc>
        <w:tc>
          <w:tcPr>
            <w:tcW w:w="3098" w:type="pct"/>
            <w:tcBorders>
              <w:top w:val="single" w:sz="4" w:space="0" w:color="auto"/>
              <w:left w:val="single" w:sz="4" w:space="0" w:color="auto"/>
              <w:bottom w:val="single" w:sz="4" w:space="0" w:color="auto"/>
              <w:right w:val="single" w:sz="4" w:space="0" w:color="auto"/>
            </w:tcBorders>
            <w:hideMark/>
          </w:tcPr>
          <w:p w14:paraId="5253D5C2" w14:textId="77777777" w:rsidR="00F10AF1" w:rsidRPr="0013396E" w:rsidRDefault="00F10AF1" w:rsidP="0099759E">
            <w:pPr>
              <w:pStyle w:val="tablebody0"/>
              <w:rPr>
                <w:i/>
              </w:rPr>
            </w:pPr>
            <w:r w:rsidRPr="0013396E">
              <w:rPr>
                <w:i/>
              </w:rPr>
              <w:t>Real Time Non-Spin Award per Resource per QSE</w:t>
            </w:r>
            <w:r w:rsidRPr="0013396E">
              <w:t xml:space="preserve"> </w:t>
            </w:r>
            <w:r w:rsidRPr="0013396E">
              <w:rPr>
                <w:i/>
              </w:rPr>
              <w:t>per SCED interval</w:t>
            </w:r>
            <w:r w:rsidRPr="0013396E">
              <w:rPr>
                <w:iCs/>
              </w:rPr>
              <w:t>—</w:t>
            </w:r>
            <w:r w:rsidRPr="0013396E">
              <w:t xml:space="preserve">The Non-Spin Amount awarded to QSE </w:t>
            </w:r>
            <w:r w:rsidRPr="0013396E">
              <w:rPr>
                <w:i/>
              </w:rPr>
              <w:t>q</w:t>
            </w:r>
            <w:r w:rsidRPr="0013396E">
              <w:t xml:space="preserve"> for Resource </w:t>
            </w:r>
            <w:r w:rsidRPr="0013396E">
              <w:rPr>
                <w:i/>
              </w:rPr>
              <w:t>r</w:t>
            </w:r>
            <w:r w:rsidRPr="0013396E">
              <w:t xml:space="preserve"> in Real-Time for the SCED interval </w:t>
            </w:r>
            <w:r w:rsidRPr="0013396E">
              <w:rPr>
                <w:i/>
              </w:rPr>
              <w:t xml:space="preserve">y.  </w:t>
            </w:r>
            <w:r w:rsidRPr="0013396E">
              <w:t xml:space="preserve">Where for a Combined Cycle Train, the Resource </w:t>
            </w:r>
            <w:r w:rsidRPr="0013396E">
              <w:rPr>
                <w:i/>
              </w:rPr>
              <w:t xml:space="preserve">r </w:t>
            </w:r>
            <w:r w:rsidRPr="0013396E">
              <w:t>is a Combined Cycle Generation Resource within the Combined Cycle Train.</w:t>
            </w:r>
          </w:p>
        </w:tc>
      </w:tr>
      <w:tr w:rsidR="00F10AF1" w:rsidRPr="0013396E" w14:paraId="114DC02F"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254C6FA7" w14:textId="77777777" w:rsidR="00F10AF1" w:rsidRPr="0013396E" w:rsidRDefault="00F10AF1" w:rsidP="0099759E">
            <w:pPr>
              <w:pStyle w:val="tablebody0"/>
            </w:pPr>
            <w:r w:rsidRPr="0013396E">
              <w:lastRenderedPageBreak/>
              <w:t xml:space="preserve">RTMCPCNSR </w:t>
            </w:r>
            <w:r w:rsidRPr="0013396E">
              <w:rPr>
                <w:i/>
                <w:vertAlign w:val="subscript"/>
              </w:rPr>
              <w:t>q, r</w:t>
            </w:r>
          </w:p>
        </w:tc>
        <w:tc>
          <w:tcPr>
            <w:tcW w:w="623" w:type="pct"/>
            <w:tcBorders>
              <w:top w:val="single" w:sz="4" w:space="0" w:color="auto"/>
              <w:left w:val="single" w:sz="4" w:space="0" w:color="auto"/>
              <w:bottom w:val="single" w:sz="4" w:space="0" w:color="auto"/>
              <w:right w:val="single" w:sz="4" w:space="0" w:color="auto"/>
            </w:tcBorders>
            <w:hideMark/>
          </w:tcPr>
          <w:p w14:paraId="006417F0" w14:textId="77777777" w:rsidR="00F10AF1" w:rsidRPr="0013396E" w:rsidRDefault="00F10AF1" w:rsidP="0099759E">
            <w:pPr>
              <w:pStyle w:val="tablebody0"/>
            </w:pPr>
            <w:r w:rsidRPr="0013396E">
              <w:t>$/MW</w:t>
            </w:r>
          </w:p>
        </w:tc>
        <w:tc>
          <w:tcPr>
            <w:tcW w:w="3098" w:type="pct"/>
            <w:tcBorders>
              <w:top w:val="single" w:sz="4" w:space="0" w:color="auto"/>
              <w:left w:val="single" w:sz="4" w:space="0" w:color="auto"/>
              <w:bottom w:val="single" w:sz="4" w:space="0" w:color="auto"/>
              <w:right w:val="single" w:sz="4" w:space="0" w:color="auto"/>
            </w:tcBorders>
            <w:hideMark/>
          </w:tcPr>
          <w:p w14:paraId="1AF7037E" w14:textId="77777777" w:rsidR="00F10AF1" w:rsidRPr="0013396E" w:rsidRDefault="00F10AF1" w:rsidP="0099759E">
            <w:pPr>
              <w:pStyle w:val="tablebody0"/>
              <w:rPr>
                <w:iCs/>
              </w:rPr>
            </w:pPr>
            <w:r w:rsidRPr="0013396E">
              <w:rPr>
                <w:i/>
              </w:rPr>
              <w:t>Real-Time Market Clearing Price for Capacity for Non-Spin per Resource per QSE</w:t>
            </w:r>
            <w:r w:rsidRPr="0013396E">
              <w:sym w:font="Symbol" w:char="F0BE"/>
            </w:r>
            <w:r w:rsidRPr="0013396E">
              <w:t xml:space="preserve">The Real-Time MCPC for Non-Spin for Resource </w:t>
            </w:r>
            <w:r w:rsidRPr="0013396E">
              <w:rPr>
                <w:i/>
              </w:rPr>
              <w:t>r</w:t>
            </w:r>
            <w:r w:rsidRPr="0013396E">
              <w:t xml:space="preserve">, represented by QSE </w:t>
            </w:r>
            <w:r w:rsidRPr="0013396E">
              <w:rPr>
                <w:i/>
              </w:rPr>
              <w:t xml:space="preserve">q </w:t>
            </w:r>
            <w:r w:rsidRPr="0013396E">
              <w:t xml:space="preserve">for the 15-minute Settlement Interval.  Where for a Combined Cycle Train, the Resource </w:t>
            </w:r>
            <w:r w:rsidRPr="0013396E">
              <w:rPr>
                <w:i/>
              </w:rPr>
              <w:t>r</w:t>
            </w:r>
            <w:r w:rsidRPr="0013396E">
              <w:t xml:space="preserve"> is the Combined Cycle Train.</w:t>
            </w:r>
          </w:p>
        </w:tc>
      </w:tr>
      <w:tr w:rsidR="00F10AF1" w:rsidRPr="0013396E" w14:paraId="056A7DE8"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6ED290E8" w14:textId="77777777" w:rsidR="00F10AF1" w:rsidRPr="0013396E" w:rsidRDefault="00F10AF1" w:rsidP="0099759E">
            <w:pPr>
              <w:pStyle w:val="tablebody0"/>
            </w:pPr>
            <w:r w:rsidRPr="0013396E">
              <w:t>RTMCPCNSS</w:t>
            </w:r>
            <w:r w:rsidRPr="0013396E">
              <w:rPr>
                <w:i/>
                <w:vertAlign w:val="subscript"/>
              </w:rPr>
              <w:t xml:space="preserve"> y</w:t>
            </w:r>
          </w:p>
        </w:tc>
        <w:tc>
          <w:tcPr>
            <w:tcW w:w="623" w:type="pct"/>
            <w:tcBorders>
              <w:top w:val="single" w:sz="4" w:space="0" w:color="auto"/>
              <w:left w:val="single" w:sz="4" w:space="0" w:color="auto"/>
              <w:bottom w:val="single" w:sz="4" w:space="0" w:color="auto"/>
              <w:right w:val="single" w:sz="4" w:space="0" w:color="auto"/>
            </w:tcBorders>
            <w:hideMark/>
          </w:tcPr>
          <w:p w14:paraId="1F0DF936" w14:textId="77777777" w:rsidR="00F10AF1" w:rsidRPr="0013396E" w:rsidRDefault="00F10AF1" w:rsidP="0099759E">
            <w:pPr>
              <w:pStyle w:val="tablebody0"/>
            </w:pPr>
            <w:r w:rsidRPr="0013396E">
              <w:t>$/MW</w:t>
            </w:r>
          </w:p>
        </w:tc>
        <w:tc>
          <w:tcPr>
            <w:tcW w:w="3098" w:type="pct"/>
            <w:tcBorders>
              <w:top w:val="single" w:sz="4" w:space="0" w:color="auto"/>
              <w:left w:val="single" w:sz="4" w:space="0" w:color="auto"/>
              <w:bottom w:val="single" w:sz="4" w:space="0" w:color="auto"/>
              <w:right w:val="single" w:sz="4" w:space="0" w:color="auto"/>
            </w:tcBorders>
            <w:hideMark/>
          </w:tcPr>
          <w:p w14:paraId="761E59DE" w14:textId="77777777" w:rsidR="00F10AF1" w:rsidRPr="0013396E" w:rsidRDefault="00F10AF1" w:rsidP="0099759E">
            <w:pPr>
              <w:pStyle w:val="tablebody0"/>
              <w:rPr>
                <w:i/>
              </w:rPr>
            </w:pPr>
            <w:r w:rsidRPr="0013396E">
              <w:rPr>
                <w:i/>
              </w:rPr>
              <w:t>Real-Time Market Clearing Price for Capacity for Non-Spin per SCED Interval</w:t>
            </w:r>
            <w:r w:rsidRPr="0013396E">
              <w:rPr>
                <w:iCs/>
              </w:rPr>
              <w:t>—</w:t>
            </w:r>
            <w:r w:rsidRPr="0013396E">
              <w:t xml:space="preserve">The Real-Time MCPC for Non-Spin for the SCED interval </w:t>
            </w:r>
            <w:r w:rsidRPr="0013396E">
              <w:rPr>
                <w:i/>
              </w:rPr>
              <w:t>y.</w:t>
            </w:r>
          </w:p>
        </w:tc>
      </w:tr>
      <w:tr w:rsidR="00F10AF1" w:rsidRPr="0013396E" w14:paraId="66C17371"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616CE241" w14:textId="77777777" w:rsidR="00F10AF1" w:rsidRPr="0013396E" w:rsidRDefault="00F10AF1" w:rsidP="0099759E">
            <w:pPr>
              <w:pStyle w:val="tablebody0"/>
            </w:pPr>
            <w:r w:rsidRPr="0013396E">
              <w:t xml:space="preserve">PCNSR </w:t>
            </w:r>
            <w:r w:rsidRPr="0013396E">
              <w:rPr>
                <w:i/>
                <w:vertAlign w:val="subscript"/>
              </w:rPr>
              <w:t>r,</w:t>
            </w:r>
            <w:r w:rsidRPr="0013396E">
              <w:rPr>
                <w:i/>
              </w:rPr>
              <w:t xml:space="preserve"> </w:t>
            </w:r>
            <w:r w:rsidRPr="0013396E">
              <w:rPr>
                <w:i/>
                <w:vertAlign w:val="subscript"/>
              </w:rPr>
              <w:t>q, DAM</w:t>
            </w:r>
          </w:p>
        </w:tc>
        <w:tc>
          <w:tcPr>
            <w:tcW w:w="623" w:type="pct"/>
            <w:tcBorders>
              <w:top w:val="single" w:sz="4" w:space="0" w:color="auto"/>
              <w:left w:val="single" w:sz="4" w:space="0" w:color="auto"/>
              <w:bottom w:val="single" w:sz="4" w:space="0" w:color="auto"/>
              <w:right w:val="single" w:sz="4" w:space="0" w:color="auto"/>
            </w:tcBorders>
            <w:hideMark/>
          </w:tcPr>
          <w:p w14:paraId="2930C190" w14:textId="77777777" w:rsidR="00F10AF1" w:rsidRPr="0013396E" w:rsidRDefault="00F10AF1" w:rsidP="0099759E">
            <w:pPr>
              <w:pStyle w:val="tablebody0"/>
            </w:pPr>
            <w:r w:rsidRPr="0013396E">
              <w:t>MW</w:t>
            </w:r>
          </w:p>
        </w:tc>
        <w:tc>
          <w:tcPr>
            <w:tcW w:w="3098" w:type="pct"/>
            <w:tcBorders>
              <w:top w:val="single" w:sz="4" w:space="0" w:color="auto"/>
              <w:left w:val="single" w:sz="4" w:space="0" w:color="auto"/>
              <w:bottom w:val="single" w:sz="4" w:space="0" w:color="auto"/>
              <w:right w:val="single" w:sz="4" w:space="0" w:color="auto"/>
            </w:tcBorders>
            <w:hideMark/>
          </w:tcPr>
          <w:p w14:paraId="4E7E8502" w14:textId="77777777" w:rsidR="00F10AF1" w:rsidRPr="0013396E" w:rsidRDefault="00F10AF1" w:rsidP="0099759E">
            <w:pPr>
              <w:pStyle w:val="tablebody0"/>
              <w:rPr>
                <w:i/>
              </w:rPr>
            </w:pPr>
            <w:r w:rsidRPr="0013396E">
              <w:rPr>
                <w:i/>
              </w:rPr>
              <w:t>Procured Capacity for Non-Spin per Resource per QSE in DAM</w:t>
            </w:r>
            <w:r w:rsidRPr="0013396E">
              <w:t xml:space="preserve">—The Non-Spin capacity awarded to QSE </w:t>
            </w:r>
            <w:r w:rsidRPr="0013396E">
              <w:rPr>
                <w:i/>
              </w:rPr>
              <w:t>q</w:t>
            </w:r>
            <w:r w:rsidRPr="0013396E">
              <w:t xml:space="preserve"> in the DAM for Resource </w:t>
            </w:r>
            <w:r w:rsidRPr="0013396E">
              <w:rPr>
                <w:i/>
              </w:rPr>
              <w:t>r</w:t>
            </w:r>
            <w:r w:rsidRPr="0013396E">
              <w:t xml:space="preserve"> for the </w:t>
            </w:r>
            <w:r w:rsidRPr="0013396E">
              <w:rPr>
                <w:szCs w:val="18"/>
              </w:rPr>
              <w:t>Operating Hour</w:t>
            </w:r>
            <w:r w:rsidRPr="0013396E">
              <w:t xml:space="preserve">.  Where for a Combined Cycle Train, the Resource </w:t>
            </w:r>
            <w:r w:rsidRPr="0013396E">
              <w:rPr>
                <w:i/>
              </w:rPr>
              <w:t xml:space="preserve">r </w:t>
            </w:r>
            <w:r w:rsidRPr="0013396E">
              <w:t>is a Combined Cycle Generation Resource within the Combined Cycle Train.</w:t>
            </w:r>
          </w:p>
        </w:tc>
      </w:tr>
      <w:tr w:rsidR="00F10AF1" w:rsidRPr="0013396E" w14:paraId="4173FDC8"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2676AE76" w14:textId="77777777" w:rsidR="00F10AF1" w:rsidRPr="0013396E" w:rsidRDefault="00F10AF1" w:rsidP="0099759E">
            <w:pPr>
              <w:pStyle w:val="tablebody0"/>
            </w:pPr>
            <w:r w:rsidRPr="0013396E">
              <w:t>RTMCPCNS</w:t>
            </w:r>
          </w:p>
        </w:tc>
        <w:tc>
          <w:tcPr>
            <w:tcW w:w="623" w:type="pct"/>
            <w:tcBorders>
              <w:top w:val="single" w:sz="4" w:space="0" w:color="auto"/>
              <w:left w:val="single" w:sz="4" w:space="0" w:color="auto"/>
              <w:bottom w:val="single" w:sz="4" w:space="0" w:color="auto"/>
              <w:right w:val="single" w:sz="4" w:space="0" w:color="auto"/>
            </w:tcBorders>
            <w:hideMark/>
          </w:tcPr>
          <w:p w14:paraId="320FBABC" w14:textId="77777777" w:rsidR="00F10AF1" w:rsidRPr="0013396E" w:rsidRDefault="00F10AF1" w:rsidP="0099759E">
            <w:pPr>
              <w:pStyle w:val="tablebody0"/>
            </w:pPr>
            <w:r w:rsidRPr="0013396E">
              <w:t>$/MW</w:t>
            </w:r>
          </w:p>
        </w:tc>
        <w:tc>
          <w:tcPr>
            <w:tcW w:w="3098" w:type="pct"/>
            <w:tcBorders>
              <w:top w:val="single" w:sz="4" w:space="0" w:color="auto"/>
              <w:left w:val="single" w:sz="4" w:space="0" w:color="auto"/>
              <w:bottom w:val="single" w:sz="4" w:space="0" w:color="auto"/>
              <w:right w:val="single" w:sz="4" w:space="0" w:color="auto"/>
            </w:tcBorders>
            <w:hideMark/>
          </w:tcPr>
          <w:p w14:paraId="207B9E48" w14:textId="77777777" w:rsidR="00F10AF1" w:rsidRPr="0013396E" w:rsidRDefault="00F10AF1" w:rsidP="0099759E">
            <w:pPr>
              <w:pStyle w:val="tablebody0"/>
              <w:rPr>
                <w:i/>
              </w:rPr>
            </w:pPr>
            <w:r w:rsidRPr="0013396E">
              <w:rPr>
                <w:i/>
              </w:rPr>
              <w:t>Real-Time Market Clearing Price for Capacity for Non-Spin</w:t>
            </w:r>
            <w:r w:rsidRPr="0013396E">
              <w:rPr>
                <w:iCs/>
              </w:rPr>
              <w:t>—</w:t>
            </w:r>
            <w:r w:rsidRPr="0013396E">
              <w:t>The Real-Time MCPC for Non-Spin for the 15-minute Settlement Interval.</w:t>
            </w:r>
          </w:p>
        </w:tc>
      </w:tr>
      <w:tr w:rsidR="00F10AF1" w:rsidRPr="0013396E" w14:paraId="2F0CEFBD"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19DBC264" w14:textId="77777777" w:rsidR="00F10AF1" w:rsidRPr="0013396E" w:rsidRDefault="00F10AF1" w:rsidP="0099759E">
            <w:pPr>
              <w:pStyle w:val="tablebody0"/>
            </w:pPr>
            <w:r w:rsidRPr="0013396E">
              <w:t xml:space="preserve">RTRDPANSS </w:t>
            </w:r>
            <w:r w:rsidRPr="0013396E">
              <w:rPr>
                <w:i/>
                <w:vertAlign w:val="subscript"/>
              </w:rPr>
              <w:t>y</w:t>
            </w:r>
          </w:p>
        </w:tc>
        <w:tc>
          <w:tcPr>
            <w:tcW w:w="623" w:type="pct"/>
            <w:tcBorders>
              <w:top w:val="single" w:sz="4" w:space="0" w:color="auto"/>
              <w:left w:val="single" w:sz="4" w:space="0" w:color="auto"/>
              <w:bottom w:val="single" w:sz="4" w:space="0" w:color="auto"/>
              <w:right w:val="single" w:sz="4" w:space="0" w:color="auto"/>
            </w:tcBorders>
            <w:hideMark/>
          </w:tcPr>
          <w:p w14:paraId="1EBD3CEA" w14:textId="77777777" w:rsidR="00F10AF1" w:rsidRPr="0013396E" w:rsidRDefault="00F10AF1" w:rsidP="0099759E">
            <w:pPr>
              <w:pStyle w:val="tablebody0"/>
            </w:pPr>
            <w:r w:rsidRPr="0013396E">
              <w:t>$/MW</w:t>
            </w:r>
          </w:p>
        </w:tc>
        <w:tc>
          <w:tcPr>
            <w:tcW w:w="3098" w:type="pct"/>
            <w:tcBorders>
              <w:top w:val="single" w:sz="4" w:space="0" w:color="auto"/>
              <w:left w:val="single" w:sz="4" w:space="0" w:color="auto"/>
              <w:bottom w:val="single" w:sz="4" w:space="0" w:color="auto"/>
              <w:right w:val="single" w:sz="4" w:space="0" w:color="auto"/>
            </w:tcBorders>
            <w:hideMark/>
          </w:tcPr>
          <w:p w14:paraId="5CD69487" w14:textId="77777777" w:rsidR="00F10AF1" w:rsidRPr="0013396E" w:rsidRDefault="00F10AF1" w:rsidP="0099759E">
            <w:pPr>
              <w:pStyle w:val="tablebody0"/>
              <w:rPr>
                <w:i/>
              </w:rPr>
            </w:pPr>
            <w:r w:rsidRPr="0013396E">
              <w:rPr>
                <w:i/>
              </w:rPr>
              <w:t>Real-Time Reliability Deployment Price Adder for Ancillary Service for Non-Spin per SCED interval</w:t>
            </w:r>
            <w:r w:rsidRPr="0013396E">
              <w:rPr>
                <w:iCs/>
              </w:rPr>
              <w:t>—</w:t>
            </w:r>
            <w:r w:rsidRPr="0013396E">
              <w:t xml:space="preserve">The Real-Time price adder for Non-Spin that captures the impact of reliability deployments on Non-Spin prices for the SCED interval </w:t>
            </w:r>
            <w:r w:rsidRPr="0013396E">
              <w:rPr>
                <w:i/>
              </w:rPr>
              <w:t>y</w:t>
            </w:r>
            <w:r w:rsidRPr="0013396E">
              <w:t xml:space="preserve">. </w:t>
            </w:r>
          </w:p>
        </w:tc>
      </w:tr>
      <w:tr w:rsidR="00F10AF1" w:rsidRPr="0013396E" w14:paraId="57F4E4C0"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1E55E055" w14:textId="77777777" w:rsidR="00F10AF1" w:rsidRPr="0013396E" w:rsidRDefault="00F10AF1" w:rsidP="0099759E">
            <w:pPr>
              <w:pStyle w:val="tablebody0"/>
            </w:pPr>
            <w:r w:rsidRPr="0013396E">
              <w:t>DASANSQ</w:t>
            </w:r>
            <w:r w:rsidRPr="0013396E">
              <w:rPr>
                <w:i/>
                <w:vertAlign w:val="subscript"/>
              </w:rPr>
              <w:t xml:space="preserve"> q</w:t>
            </w:r>
          </w:p>
        </w:tc>
        <w:tc>
          <w:tcPr>
            <w:tcW w:w="623" w:type="pct"/>
            <w:tcBorders>
              <w:top w:val="single" w:sz="4" w:space="0" w:color="auto"/>
              <w:left w:val="single" w:sz="4" w:space="0" w:color="auto"/>
              <w:bottom w:val="single" w:sz="4" w:space="0" w:color="auto"/>
              <w:right w:val="single" w:sz="4" w:space="0" w:color="auto"/>
            </w:tcBorders>
            <w:hideMark/>
          </w:tcPr>
          <w:p w14:paraId="5F8BD8F8" w14:textId="77777777" w:rsidR="00F10AF1" w:rsidRPr="0013396E" w:rsidRDefault="00F10AF1" w:rsidP="0099759E">
            <w:pPr>
              <w:pStyle w:val="tablebody0"/>
            </w:pPr>
            <w:r w:rsidRPr="0013396E">
              <w:t>MW</w:t>
            </w:r>
          </w:p>
        </w:tc>
        <w:tc>
          <w:tcPr>
            <w:tcW w:w="3098" w:type="pct"/>
            <w:tcBorders>
              <w:top w:val="single" w:sz="4" w:space="0" w:color="auto"/>
              <w:left w:val="single" w:sz="4" w:space="0" w:color="auto"/>
              <w:bottom w:val="single" w:sz="4" w:space="0" w:color="auto"/>
              <w:right w:val="single" w:sz="4" w:space="0" w:color="auto"/>
            </w:tcBorders>
            <w:hideMark/>
          </w:tcPr>
          <w:p w14:paraId="130F95DC" w14:textId="77777777" w:rsidR="00F10AF1" w:rsidRPr="0013396E" w:rsidRDefault="00F10AF1" w:rsidP="0099759E">
            <w:pPr>
              <w:pStyle w:val="tablebody0"/>
              <w:rPr>
                <w:i/>
              </w:rPr>
            </w:pPr>
            <w:r w:rsidRPr="0013396E">
              <w:rPr>
                <w:i/>
                <w:iCs/>
              </w:rPr>
              <w:t>Day-Ahead Self-Arranged Non-Spin Quantity per QSE</w:t>
            </w:r>
            <w:r w:rsidRPr="0013396E">
              <w:rPr>
                <w:iCs/>
              </w:rPr>
              <w:t xml:space="preserve">—The self-arranged Non-Spin quantity submitted by QSE </w:t>
            </w:r>
            <w:r w:rsidRPr="0013396E">
              <w:rPr>
                <w:i/>
                <w:iCs/>
              </w:rPr>
              <w:t>q</w:t>
            </w:r>
            <w:r w:rsidRPr="0013396E">
              <w:rPr>
                <w:iCs/>
              </w:rPr>
              <w:t xml:space="preserve"> before 1000 in the DAM for the Operating Hour.</w:t>
            </w:r>
          </w:p>
        </w:tc>
      </w:tr>
      <w:tr w:rsidR="00F10AF1" w:rsidRPr="0013396E" w14:paraId="275DA2E6"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68F86CB2" w14:textId="77777777" w:rsidR="00F10AF1" w:rsidRPr="0013396E" w:rsidRDefault="00F10AF1" w:rsidP="0099759E">
            <w:pPr>
              <w:pStyle w:val="tablebody0"/>
            </w:pPr>
            <w:r w:rsidRPr="0013396E">
              <w:t xml:space="preserve">NSTP </w:t>
            </w:r>
            <w:r w:rsidRPr="0013396E">
              <w:rPr>
                <w:i/>
                <w:vertAlign w:val="subscript"/>
              </w:rPr>
              <w:t>q</w:t>
            </w:r>
          </w:p>
        </w:tc>
        <w:tc>
          <w:tcPr>
            <w:tcW w:w="623" w:type="pct"/>
            <w:tcBorders>
              <w:top w:val="single" w:sz="4" w:space="0" w:color="auto"/>
              <w:left w:val="single" w:sz="4" w:space="0" w:color="auto"/>
              <w:bottom w:val="single" w:sz="4" w:space="0" w:color="auto"/>
              <w:right w:val="single" w:sz="4" w:space="0" w:color="auto"/>
            </w:tcBorders>
            <w:hideMark/>
          </w:tcPr>
          <w:p w14:paraId="1D6EC56D" w14:textId="77777777" w:rsidR="00F10AF1" w:rsidRPr="0013396E" w:rsidRDefault="00F10AF1" w:rsidP="0099759E">
            <w:pPr>
              <w:pStyle w:val="tablebody0"/>
            </w:pPr>
            <w:r w:rsidRPr="0013396E">
              <w:t>MW</w:t>
            </w:r>
          </w:p>
        </w:tc>
        <w:tc>
          <w:tcPr>
            <w:tcW w:w="3098" w:type="pct"/>
            <w:tcBorders>
              <w:top w:val="single" w:sz="4" w:space="0" w:color="auto"/>
              <w:left w:val="single" w:sz="4" w:space="0" w:color="auto"/>
              <w:bottom w:val="single" w:sz="4" w:space="0" w:color="auto"/>
              <w:right w:val="single" w:sz="4" w:space="0" w:color="auto"/>
            </w:tcBorders>
            <w:hideMark/>
          </w:tcPr>
          <w:p w14:paraId="3D98BB7E" w14:textId="77777777" w:rsidR="00F10AF1" w:rsidRPr="0013396E" w:rsidRDefault="00F10AF1" w:rsidP="0099759E">
            <w:pPr>
              <w:pStyle w:val="tablebody0"/>
              <w:rPr>
                <w:i/>
              </w:rPr>
            </w:pPr>
            <w:r w:rsidRPr="0013396E">
              <w:rPr>
                <w:i/>
              </w:rPr>
              <w:t>Trade Purchases for Non-Spin for the QSE</w:t>
            </w:r>
            <w:r w:rsidRPr="0013396E">
              <w:t>—</w:t>
            </w:r>
            <w:r w:rsidRPr="0013396E">
              <w:rPr>
                <w:szCs w:val="18"/>
              </w:rPr>
              <w:t xml:space="preserve">The trade purchases for QSE </w:t>
            </w:r>
            <w:r w:rsidRPr="0013396E">
              <w:rPr>
                <w:i/>
                <w:szCs w:val="18"/>
              </w:rPr>
              <w:t>q</w:t>
            </w:r>
            <w:r w:rsidRPr="0013396E">
              <w:rPr>
                <w:szCs w:val="18"/>
              </w:rPr>
              <w:t xml:space="preserve"> for Non-Spin for the Operating Hour.</w:t>
            </w:r>
          </w:p>
        </w:tc>
      </w:tr>
      <w:tr w:rsidR="00F10AF1" w:rsidRPr="0013396E" w14:paraId="22DB1CDF"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4E3F0807" w14:textId="77777777" w:rsidR="00F10AF1" w:rsidRPr="0013396E" w:rsidRDefault="00F10AF1" w:rsidP="0099759E">
            <w:pPr>
              <w:pStyle w:val="tablebody0"/>
            </w:pPr>
            <w:r w:rsidRPr="0013396E">
              <w:t xml:space="preserve">NSTS </w:t>
            </w:r>
            <w:r w:rsidRPr="0013396E">
              <w:rPr>
                <w:i/>
                <w:vertAlign w:val="subscript"/>
              </w:rPr>
              <w:t>q</w:t>
            </w:r>
          </w:p>
        </w:tc>
        <w:tc>
          <w:tcPr>
            <w:tcW w:w="623" w:type="pct"/>
            <w:tcBorders>
              <w:top w:val="single" w:sz="4" w:space="0" w:color="auto"/>
              <w:left w:val="single" w:sz="4" w:space="0" w:color="auto"/>
              <w:bottom w:val="single" w:sz="4" w:space="0" w:color="auto"/>
              <w:right w:val="single" w:sz="4" w:space="0" w:color="auto"/>
            </w:tcBorders>
            <w:hideMark/>
          </w:tcPr>
          <w:p w14:paraId="6323D067" w14:textId="77777777" w:rsidR="00F10AF1" w:rsidRPr="0013396E" w:rsidRDefault="00F10AF1" w:rsidP="0099759E">
            <w:pPr>
              <w:pStyle w:val="tablebody0"/>
            </w:pPr>
            <w:r w:rsidRPr="0013396E">
              <w:t>MW</w:t>
            </w:r>
          </w:p>
        </w:tc>
        <w:tc>
          <w:tcPr>
            <w:tcW w:w="3098" w:type="pct"/>
            <w:tcBorders>
              <w:top w:val="single" w:sz="4" w:space="0" w:color="auto"/>
              <w:left w:val="single" w:sz="4" w:space="0" w:color="auto"/>
              <w:bottom w:val="single" w:sz="4" w:space="0" w:color="auto"/>
              <w:right w:val="single" w:sz="4" w:space="0" w:color="auto"/>
            </w:tcBorders>
            <w:hideMark/>
          </w:tcPr>
          <w:p w14:paraId="6FFEF3C7" w14:textId="77777777" w:rsidR="00F10AF1" w:rsidRPr="0013396E" w:rsidRDefault="00F10AF1" w:rsidP="0099759E">
            <w:pPr>
              <w:pStyle w:val="tablebody0"/>
              <w:rPr>
                <w:i/>
              </w:rPr>
            </w:pPr>
            <w:r w:rsidRPr="0013396E">
              <w:rPr>
                <w:i/>
                <w:szCs w:val="18"/>
              </w:rPr>
              <w:t>Trade Sales for Non-Spin for the QSE—</w:t>
            </w:r>
            <w:r w:rsidRPr="0013396E">
              <w:rPr>
                <w:szCs w:val="18"/>
              </w:rPr>
              <w:t xml:space="preserve">The trade sales for QSE </w:t>
            </w:r>
            <w:r w:rsidRPr="0013396E">
              <w:rPr>
                <w:i/>
                <w:szCs w:val="18"/>
              </w:rPr>
              <w:t>q</w:t>
            </w:r>
            <w:r w:rsidRPr="0013396E">
              <w:rPr>
                <w:szCs w:val="18"/>
              </w:rPr>
              <w:t xml:space="preserve"> for Non-Spin for the Operating Hour.</w:t>
            </w:r>
          </w:p>
        </w:tc>
      </w:tr>
      <w:tr w:rsidR="00F10AF1" w:rsidRPr="0013396E" w14:paraId="3E1C13FD"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4AEF48FD" w14:textId="77777777" w:rsidR="00F10AF1" w:rsidRPr="0013396E" w:rsidRDefault="00F10AF1" w:rsidP="0099759E">
            <w:pPr>
              <w:pStyle w:val="tablebody0"/>
            </w:pPr>
            <w:r w:rsidRPr="0013396E">
              <w:t xml:space="preserve">TLMP </w:t>
            </w:r>
            <w:r w:rsidRPr="0013396E">
              <w:rPr>
                <w:i/>
                <w:vertAlign w:val="subscript"/>
              </w:rPr>
              <w:t>y</w:t>
            </w:r>
          </w:p>
        </w:tc>
        <w:tc>
          <w:tcPr>
            <w:tcW w:w="623" w:type="pct"/>
            <w:tcBorders>
              <w:top w:val="single" w:sz="4" w:space="0" w:color="auto"/>
              <w:left w:val="single" w:sz="4" w:space="0" w:color="auto"/>
              <w:bottom w:val="single" w:sz="4" w:space="0" w:color="auto"/>
              <w:right w:val="single" w:sz="4" w:space="0" w:color="auto"/>
            </w:tcBorders>
            <w:hideMark/>
          </w:tcPr>
          <w:p w14:paraId="58CFF1AB" w14:textId="77777777" w:rsidR="00F10AF1" w:rsidRPr="0013396E" w:rsidRDefault="00F10AF1" w:rsidP="0099759E">
            <w:pPr>
              <w:pStyle w:val="tablebody0"/>
            </w:pPr>
            <w:r w:rsidRPr="0013396E">
              <w:t>second</w:t>
            </w:r>
          </w:p>
        </w:tc>
        <w:tc>
          <w:tcPr>
            <w:tcW w:w="3098" w:type="pct"/>
            <w:tcBorders>
              <w:top w:val="single" w:sz="4" w:space="0" w:color="auto"/>
              <w:left w:val="single" w:sz="4" w:space="0" w:color="auto"/>
              <w:bottom w:val="single" w:sz="4" w:space="0" w:color="auto"/>
              <w:right w:val="single" w:sz="4" w:space="0" w:color="auto"/>
            </w:tcBorders>
            <w:hideMark/>
          </w:tcPr>
          <w:p w14:paraId="3C770C35" w14:textId="77777777" w:rsidR="00F10AF1" w:rsidRPr="0013396E" w:rsidRDefault="00F10AF1" w:rsidP="0099759E">
            <w:pPr>
              <w:pStyle w:val="tablebody0"/>
              <w:rPr>
                <w:i/>
              </w:rPr>
            </w:pPr>
            <w:r w:rsidRPr="0013396E">
              <w:rPr>
                <w:i/>
                <w:iCs/>
              </w:rPr>
              <w:t xml:space="preserve">Duration of </w:t>
            </w:r>
            <w:r w:rsidRPr="0013396E">
              <w:rPr>
                <w:i/>
              </w:rPr>
              <w:t>SCED</w:t>
            </w:r>
            <w:r w:rsidRPr="0013396E">
              <w:rPr>
                <w:i/>
                <w:iCs/>
              </w:rPr>
              <w:t xml:space="preserve"> interval per interval</w:t>
            </w:r>
            <w:r w:rsidRPr="0013396E">
              <w:rPr>
                <w:iCs/>
              </w:rPr>
              <w:t>—</w:t>
            </w:r>
            <w:r w:rsidRPr="0013396E">
              <w:t xml:space="preserve">The duration of the SCED interval </w:t>
            </w:r>
            <w:r w:rsidRPr="0013396E">
              <w:rPr>
                <w:i/>
                <w:iCs/>
              </w:rPr>
              <w:t>y</w:t>
            </w:r>
            <w:r w:rsidRPr="0013396E">
              <w:t>.</w:t>
            </w:r>
          </w:p>
        </w:tc>
      </w:tr>
      <w:tr w:rsidR="00F10AF1" w:rsidRPr="0013396E" w14:paraId="3DD45A33"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5637965E" w14:textId="77777777" w:rsidR="00F10AF1" w:rsidRPr="0013396E" w:rsidRDefault="00F10AF1" w:rsidP="0099759E">
            <w:pPr>
              <w:pStyle w:val="tablebody0"/>
            </w:pPr>
            <w:r w:rsidRPr="0013396E">
              <w:t xml:space="preserve">RNWF </w:t>
            </w:r>
            <w:r w:rsidRPr="0013396E">
              <w:rPr>
                <w:i/>
                <w:vertAlign w:val="subscript"/>
              </w:rPr>
              <w:t>y</w:t>
            </w:r>
          </w:p>
        </w:tc>
        <w:tc>
          <w:tcPr>
            <w:tcW w:w="623" w:type="pct"/>
            <w:tcBorders>
              <w:top w:val="single" w:sz="4" w:space="0" w:color="auto"/>
              <w:left w:val="single" w:sz="4" w:space="0" w:color="auto"/>
              <w:bottom w:val="single" w:sz="4" w:space="0" w:color="auto"/>
              <w:right w:val="single" w:sz="4" w:space="0" w:color="auto"/>
            </w:tcBorders>
            <w:hideMark/>
          </w:tcPr>
          <w:p w14:paraId="2D907C9A" w14:textId="77777777" w:rsidR="00F10AF1" w:rsidRPr="0013396E" w:rsidRDefault="00F10AF1" w:rsidP="0099759E">
            <w:pPr>
              <w:pStyle w:val="tablebody0"/>
            </w:pPr>
            <w:r w:rsidRPr="0013396E">
              <w:t>none</w:t>
            </w:r>
          </w:p>
        </w:tc>
        <w:tc>
          <w:tcPr>
            <w:tcW w:w="3098" w:type="pct"/>
            <w:tcBorders>
              <w:top w:val="single" w:sz="4" w:space="0" w:color="auto"/>
              <w:left w:val="single" w:sz="4" w:space="0" w:color="auto"/>
              <w:bottom w:val="single" w:sz="4" w:space="0" w:color="auto"/>
              <w:right w:val="single" w:sz="4" w:space="0" w:color="auto"/>
            </w:tcBorders>
            <w:hideMark/>
          </w:tcPr>
          <w:p w14:paraId="1B08DB5E" w14:textId="77777777" w:rsidR="00F10AF1" w:rsidRPr="0013396E" w:rsidRDefault="00F10AF1" w:rsidP="0099759E">
            <w:pPr>
              <w:pStyle w:val="tablebody0"/>
              <w:rPr>
                <w:i/>
              </w:rPr>
            </w:pPr>
            <w:r w:rsidRPr="0013396E">
              <w:rPr>
                <w:i/>
              </w:rPr>
              <w:t>Resource Node Weighting Factor per interval</w:t>
            </w:r>
            <w:r w:rsidRPr="0013396E">
              <w:rPr>
                <w:iCs/>
              </w:rPr>
              <w:t>—</w:t>
            </w:r>
            <w:r w:rsidRPr="0013396E">
              <w:t xml:space="preserve">The weight used in the Ancillary Service award calculation for the portion of the SCED interval </w:t>
            </w:r>
            <w:r w:rsidRPr="0013396E">
              <w:rPr>
                <w:i/>
                <w:iCs/>
              </w:rPr>
              <w:t>y</w:t>
            </w:r>
            <w:r w:rsidRPr="0013396E">
              <w:t xml:space="preserve"> within the Settlement Interval.</w:t>
            </w:r>
          </w:p>
        </w:tc>
      </w:tr>
      <w:tr w:rsidR="00F10AF1" w:rsidRPr="0013396E" w14:paraId="798AB425"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16952115" w14:textId="77777777" w:rsidR="00F10AF1" w:rsidRPr="0013396E" w:rsidRDefault="00F10AF1" w:rsidP="0099759E">
            <w:pPr>
              <w:pStyle w:val="tablebody0"/>
            </w:pPr>
            <w:r w:rsidRPr="0013396E">
              <w:t xml:space="preserve">NSRWF </w:t>
            </w:r>
            <w:r w:rsidRPr="0013396E">
              <w:rPr>
                <w:i/>
                <w:vertAlign w:val="subscript"/>
              </w:rPr>
              <w:t>q, r, y</w:t>
            </w:r>
          </w:p>
        </w:tc>
        <w:tc>
          <w:tcPr>
            <w:tcW w:w="623" w:type="pct"/>
            <w:tcBorders>
              <w:top w:val="single" w:sz="4" w:space="0" w:color="auto"/>
              <w:left w:val="single" w:sz="4" w:space="0" w:color="auto"/>
              <w:bottom w:val="single" w:sz="4" w:space="0" w:color="auto"/>
              <w:right w:val="single" w:sz="4" w:space="0" w:color="auto"/>
            </w:tcBorders>
            <w:hideMark/>
          </w:tcPr>
          <w:p w14:paraId="7222F233" w14:textId="77777777" w:rsidR="00F10AF1" w:rsidRPr="0013396E" w:rsidRDefault="00F10AF1" w:rsidP="0099759E">
            <w:pPr>
              <w:pStyle w:val="tablebody0"/>
            </w:pPr>
            <w:r w:rsidRPr="0013396E">
              <w:t>none</w:t>
            </w:r>
          </w:p>
        </w:tc>
        <w:tc>
          <w:tcPr>
            <w:tcW w:w="3098" w:type="pct"/>
            <w:tcBorders>
              <w:top w:val="single" w:sz="4" w:space="0" w:color="auto"/>
              <w:left w:val="single" w:sz="4" w:space="0" w:color="auto"/>
              <w:bottom w:val="single" w:sz="4" w:space="0" w:color="auto"/>
              <w:right w:val="single" w:sz="4" w:space="0" w:color="auto"/>
            </w:tcBorders>
            <w:hideMark/>
          </w:tcPr>
          <w:p w14:paraId="41B28AFC" w14:textId="77777777" w:rsidR="00F10AF1" w:rsidRPr="0013396E" w:rsidRDefault="00F10AF1" w:rsidP="0099759E">
            <w:pPr>
              <w:pStyle w:val="tablebody0"/>
              <w:rPr>
                <w:i/>
              </w:rPr>
            </w:pPr>
            <w:r w:rsidRPr="0013396E">
              <w:rPr>
                <w:i/>
              </w:rPr>
              <w:t>Non-Spin Resource Node Weighting Factor per interval</w:t>
            </w:r>
            <w:r w:rsidRPr="0013396E">
              <w:rPr>
                <w:iCs/>
              </w:rPr>
              <w:t>—</w:t>
            </w:r>
            <w:r w:rsidRPr="0013396E">
              <w:t xml:space="preserve">The Non-Spin Resource weight, based on Non-Spin awards, used in the Real-Time MCPC calculation for the portion of the SCED interval </w:t>
            </w:r>
            <w:r w:rsidRPr="0013396E">
              <w:rPr>
                <w:i/>
              </w:rPr>
              <w:t>y</w:t>
            </w:r>
            <w:r w:rsidRPr="0013396E">
              <w:t xml:space="preserve"> within the Settlement Interval</w:t>
            </w:r>
            <w:r w:rsidRPr="0013396E">
              <w:rPr>
                <w:i/>
              </w:rPr>
              <w:t xml:space="preserve">.  </w:t>
            </w:r>
            <w:r w:rsidRPr="0013396E">
              <w:t xml:space="preserve">Where for a Combined Cycle Train, the Resource </w:t>
            </w:r>
            <w:r w:rsidRPr="0013396E">
              <w:rPr>
                <w:i/>
              </w:rPr>
              <w:t xml:space="preserve">r </w:t>
            </w:r>
            <w:r w:rsidRPr="0013396E">
              <w:t xml:space="preserve">is a Combined Cycle Generation Resource within the Combined Cycle Train.   </w:t>
            </w:r>
          </w:p>
        </w:tc>
      </w:tr>
      <w:tr w:rsidR="00F10AF1" w:rsidRPr="0013396E" w14:paraId="313D322D"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592DDE09" w14:textId="77777777" w:rsidR="00F10AF1" w:rsidRPr="0013396E" w:rsidRDefault="00F10AF1" w:rsidP="0099759E">
            <w:pPr>
              <w:pStyle w:val="tablebody0"/>
            </w:pPr>
            <w:r w:rsidRPr="0013396E">
              <w:rPr>
                <w:i/>
              </w:rPr>
              <w:t>r</w:t>
            </w:r>
          </w:p>
        </w:tc>
        <w:tc>
          <w:tcPr>
            <w:tcW w:w="623" w:type="pct"/>
            <w:tcBorders>
              <w:top w:val="single" w:sz="4" w:space="0" w:color="auto"/>
              <w:left w:val="single" w:sz="4" w:space="0" w:color="auto"/>
              <w:bottom w:val="single" w:sz="4" w:space="0" w:color="auto"/>
              <w:right w:val="single" w:sz="4" w:space="0" w:color="auto"/>
            </w:tcBorders>
            <w:hideMark/>
          </w:tcPr>
          <w:p w14:paraId="4FABDD01" w14:textId="77777777" w:rsidR="00F10AF1" w:rsidRPr="0013396E" w:rsidRDefault="00F10AF1" w:rsidP="0099759E">
            <w:pPr>
              <w:pStyle w:val="tablebody0"/>
            </w:pPr>
            <w:r w:rsidRPr="0013396E">
              <w:t>none</w:t>
            </w:r>
          </w:p>
        </w:tc>
        <w:tc>
          <w:tcPr>
            <w:tcW w:w="3098" w:type="pct"/>
            <w:tcBorders>
              <w:top w:val="single" w:sz="4" w:space="0" w:color="auto"/>
              <w:left w:val="single" w:sz="4" w:space="0" w:color="auto"/>
              <w:bottom w:val="single" w:sz="4" w:space="0" w:color="auto"/>
              <w:right w:val="single" w:sz="4" w:space="0" w:color="auto"/>
            </w:tcBorders>
            <w:hideMark/>
          </w:tcPr>
          <w:p w14:paraId="0F4A521F" w14:textId="77777777" w:rsidR="00F10AF1" w:rsidRPr="0013396E" w:rsidRDefault="00F10AF1" w:rsidP="0099759E">
            <w:pPr>
              <w:pStyle w:val="tablebody0"/>
              <w:rPr>
                <w:i/>
              </w:rPr>
            </w:pPr>
            <w:r w:rsidRPr="0013396E">
              <w:t>A Resource.</w:t>
            </w:r>
          </w:p>
        </w:tc>
      </w:tr>
      <w:tr w:rsidR="00F10AF1" w:rsidRPr="0013396E" w14:paraId="2FC5042A"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13BAA3B2" w14:textId="77777777" w:rsidR="00F10AF1" w:rsidRPr="0013396E" w:rsidRDefault="00F10AF1" w:rsidP="0099759E">
            <w:pPr>
              <w:pStyle w:val="tablebody0"/>
              <w:rPr>
                <w:i/>
              </w:rPr>
            </w:pPr>
            <w:r w:rsidRPr="0013396E">
              <w:rPr>
                <w:i/>
              </w:rPr>
              <w:t>q</w:t>
            </w:r>
          </w:p>
        </w:tc>
        <w:tc>
          <w:tcPr>
            <w:tcW w:w="623" w:type="pct"/>
            <w:tcBorders>
              <w:top w:val="single" w:sz="4" w:space="0" w:color="auto"/>
              <w:left w:val="single" w:sz="4" w:space="0" w:color="auto"/>
              <w:bottom w:val="single" w:sz="4" w:space="0" w:color="auto"/>
              <w:right w:val="single" w:sz="4" w:space="0" w:color="auto"/>
            </w:tcBorders>
            <w:hideMark/>
          </w:tcPr>
          <w:p w14:paraId="7A2691BE" w14:textId="77777777" w:rsidR="00F10AF1" w:rsidRPr="0013396E" w:rsidRDefault="00F10AF1" w:rsidP="0099759E">
            <w:pPr>
              <w:pStyle w:val="tablebody0"/>
            </w:pPr>
            <w:r w:rsidRPr="0013396E">
              <w:t>none</w:t>
            </w:r>
          </w:p>
        </w:tc>
        <w:tc>
          <w:tcPr>
            <w:tcW w:w="3098" w:type="pct"/>
            <w:tcBorders>
              <w:top w:val="single" w:sz="4" w:space="0" w:color="auto"/>
              <w:left w:val="single" w:sz="4" w:space="0" w:color="auto"/>
              <w:bottom w:val="single" w:sz="4" w:space="0" w:color="auto"/>
              <w:right w:val="single" w:sz="4" w:space="0" w:color="auto"/>
            </w:tcBorders>
            <w:hideMark/>
          </w:tcPr>
          <w:p w14:paraId="34B21B10" w14:textId="77777777" w:rsidR="00F10AF1" w:rsidRPr="0013396E" w:rsidRDefault="00F10AF1" w:rsidP="0099759E">
            <w:pPr>
              <w:pStyle w:val="tablebody0"/>
            </w:pPr>
            <w:r w:rsidRPr="0013396E">
              <w:t>A QSE.</w:t>
            </w:r>
          </w:p>
        </w:tc>
      </w:tr>
      <w:tr w:rsidR="00F10AF1" w:rsidRPr="0013396E" w14:paraId="1984AE62"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343D8072" w14:textId="77777777" w:rsidR="00F10AF1" w:rsidRPr="0013396E" w:rsidRDefault="00F10AF1" w:rsidP="0099759E">
            <w:pPr>
              <w:pStyle w:val="tablebody0"/>
              <w:rPr>
                <w:i/>
              </w:rPr>
            </w:pPr>
            <w:r w:rsidRPr="0013396E">
              <w:rPr>
                <w:i/>
              </w:rPr>
              <w:t>y</w:t>
            </w:r>
          </w:p>
        </w:tc>
        <w:tc>
          <w:tcPr>
            <w:tcW w:w="623" w:type="pct"/>
            <w:tcBorders>
              <w:top w:val="single" w:sz="4" w:space="0" w:color="auto"/>
              <w:left w:val="single" w:sz="4" w:space="0" w:color="auto"/>
              <w:bottom w:val="single" w:sz="4" w:space="0" w:color="auto"/>
              <w:right w:val="single" w:sz="4" w:space="0" w:color="auto"/>
            </w:tcBorders>
            <w:hideMark/>
          </w:tcPr>
          <w:p w14:paraId="3675704E" w14:textId="77777777" w:rsidR="00F10AF1" w:rsidRPr="0013396E" w:rsidRDefault="00F10AF1" w:rsidP="0099759E">
            <w:pPr>
              <w:pStyle w:val="tablebody0"/>
            </w:pPr>
            <w:r w:rsidRPr="0013396E">
              <w:t>none</w:t>
            </w:r>
          </w:p>
        </w:tc>
        <w:tc>
          <w:tcPr>
            <w:tcW w:w="3098" w:type="pct"/>
            <w:tcBorders>
              <w:top w:val="single" w:sz="4" w:space="0" w:color="auto"/>
              <w:left w:val="single" w:sz="4" w:space="0" w:color="auto"/>
              <w:bottom w:val="single" w:sz="4" w:space="0" w:color="auto"/>
              <w:right w:val="single" w:sz="4" w:space="0" w:color="auto"/>
            </w:tcBorders>
            <w:hideMark/>
          </w:tcPr>
          <w:p w14:paraId="52622079" w14:textId="77777777" w:rsidR="00F10AF1" w:rsidRPr="0013396E" w:rsidRDefault="00F10AF1" w:rsidP="0099759E">
            <w:pPr>
              <w:pStyle w:val="tablebody0"/>
            </w:pPr>
            <w:r w:rsidRPr="0013396E">
              <w:t>A SCED interval in the 15-minute Settlement Interval.</w:t>
            </w:r>
          </w:p>
        </w:tc>
      </w:tr>
    </w:tbl>
    <w:p w14:paraId="122292B6" w14:textId="77777777" w:rsidR="00F10AF1" w:rsidRPr="0013396E" w:rsidRDefault="00F10AF1" w:rsidP="00F10AF1">
      <w:pPr>
        <w:spacing w:before="240" w:after="240"/>
      </w:pPr>
      <w:r w:rsidRPr="0013396E">
        <w:t>(2)</w:t>
      </w:r>
      <w:r w:rsidRPr="0013396E">
        <w:tab/>
        <w:t>Non-Spin Only Charge:</w:t>
      </w:r>
    </w:p>
    <w:p w14:paraId="536310EE" w14:textId="77777777" w:rsidR="00F10AF1" w:rsidRPr="0013396E" w:rsidRDefault="00F10AF1" w:rsidP="00F10AF1">
      <w:pPr>
        <w:pStyle w:val="FormulaBold"/>
      </w:pPr>
      <w:r w:rsidRPr="0013396E">
        <w:t>RTNSOAMT</w:t>
      </w:r>
      <w:r w:rsidRPr="0013396E">
        <w:rPr>
          <w:i/>
          <w:vertAlign w:val="subscript"/>
        </w:rPr>
        <w:t xml:space="preserve"> q  </w:t>
      </w:r>
      <w:r w:rsidRPr="0013396E">
        <w:t xml:space="preserve">= </w:t>
      </w:r>
      <w:r w:rsidRPr="0013396E">
        <w:tab/>
        <w:t xml:space="preserve">(1/4) * DANSOAWD </w:t>
      </w:r>
      <w:r w:rsidRPr="0013396E">
        <w:rPr>
          <w:i/>
          <w:vertAlign w:val="subscript"/>
        </w:rPr>
        <w:t>q</w:t>
      </w:r>
      <w:r w:rsidRPr="0013396E">
        <w:t xml:space="preserve"> * RTMCPCNS</w:t>
      </w:r>
    </w:p>
    <w:p w14:paraId="1A8D58E0" w14:textId="77777777" w:rsidR="00F10AF1" w:rsidRPr="0013396E" w:rsidRDefault="00F10AF1" w:rsidP="00F10AF1">
      <w:pPr>
        <w:pStyle w:val="Instructions"/>
        <w:spacing w:after="0"/>
        <w:ind w:left="720" w:hanging="720"/>
        <w:rPr>
          <w:i w:val="0"/>
        </w:rPr>
      </w:pPr>
      <w:r w:rsidRPr="0013396E">
        <w:rPr>
          <w:b w:val="0"/>
          <w:i w:val="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392"/>
        <w:gridCol w:w="1165"/>
        <w:gridCol w:w="5793"/>
      </w:tblGrid>
      <w:tr w:rsidR="00F10AF1" w:rsidRPr="0013396E" w14:paraId="27146E12" w14:textId="77777777" w:rsidTr="0099759E">
        <w:trPr>
          <w:cantSplit/>
          <w:tblHeader/>
        </w:trPr>
        <w:tc>
          <w:tcPr>
            <w:tcW w:w="1279" w:type="pct"/>
            <w:tcBorders>
              <w:top w:val="single" w:sz="4" w:space="0" w:color="auto"/>
              <w:left w:val="single" w:sz="4" w:space="0" w:color="auto"/>
              <w:bottom w:val="single" w:sz="4" w:space="0" w:color="auto"/>
              <w:right w:val="single" w:sz="4" w:space="0" w:color="auto"/>
            </w:tcBorders>
            <w:hideMark/>
          </w:tcPr>
          <w:p w14:paraId="3B9737C2" w14:textId="77777777" w:rsidR="00F10AF1" w:rsidRPr="0013396E" w:rsidRDefault="00F10AF1" w:rsidP="0099759E">
            <w:pPr>
              <w:pStyle w:val="TableHead"/>
            </w:pPr>
            <w:r w:rsidRPr="0013396E">
              <w:lastRenderedPageBreak/>
              <w:t>Variable</w:t>
            </w:r>
          </w:p>
        </w:tc>
        <w:tc>
          <w:tcPr>
            <w:tcW w:w="623" w:type="pct"/>
            <w:tcBorders>
              <w:top w:val="single" w:sz="4" w:space="0" w:color="auto"/>
              <w:left w:val="single" w:sz="4" w:space="0" w:color="auto"/>
              <w:bottom w:val="single" w:sz="4" w:space="0" w:color="auto"/>
              <w:right w:val="single" w:sz="4" w:space="0" w:color="auto"/>
            </w:tcBorders>
            <w:hideMark/>
          </w:tcPr>
          <w:p w14:paraId="3342D1AA" w14:textId="77777777" w:rsidR="00F10AF1" w:rsidRPr="0013396E" w:rsidRDefault="00F10AF1" w:rsidP="0099759E">
            <w:pPr>
              <w:pStyle w:val="TableHead"/>
            </w:pPr>
            <w:r w:rsidRPr="0013396E">
              <w:t>Unit</w:t>
            </w:r>
          </w:p>
        </w:tc>
        <w:tc>
          <w:tcPr>
            <w:tcW w:w="3098" w:type="pct"/>
            <w:tcBorders>
              <w:top w:val="single" w:sz="4" w:space="0" w:color="auto"/>
              <w:left w:val="single" w:sz="4" w:space="0" w:color="auto"/>
              <w:bottom w:val="single" w:sz="4" w:space="0" w:color="auto"/>
              <w:right w:val="single" w:sz="4" w:space="0" w:color="auto"/>
            </w:tcBorders>
            <w:hideMark/>
          </w:tcPr>
          <w:p w14:paraId="2572257A" w14:textId="77777777" w:rsidR="00F10AF1" w:rsidRPr="0013396E" w:rsidRDefault="00F10AF1" w:rsidP="0099759E">
            <w:pPr>
              <w:pStyle w:val="TableHead"/>
            </w:pPr>
            <w:r w:rsidRPr="0013396E">
              <w:t>Description</w:t>
            </w:r>
          </w:p>
        </w:tc>
      </w:tr>
      <w:tr w:rsidR="00F10AF1" w:rsidRPr="0013396E" w14:paraId="4FF58284"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55CF7D95" w14:textId="77777777" w:rsidR="00F10AF1" w:rsidRPr="0013396E" w:rsidRDefault="00F10AF1" w:rsidP="0099759E">
            <w:pPr>
              <w:pStyle w:val="tablebody0"/>
            </w:pPr>
            <w:r w:rsidRPr="0013396E">
              <w:t xml:space="preserve">RTNSOAMT </w:t>
            </w:r>
            <w:r w:rsidRPr="0013396E">
              <w:rPr>
                <w:i/>
                <w:vertAlign w:val="subscript"/>
              </w:rPr>
              <w:t>q</w:t>
            </w:r>
          </w:p>
        </w:tc>
        <w:tc>
          <w:tcPr>
            <w:tcW w:w="623" w:type="pct"/>
            <w:tcBorders>
              <w:top w:val="single" w:sz="4" w:space="0" w:color="auto"/>
              <w:left w:val="single" w:sz="4" w:space="0" w:color="auto"/>
              <w:bottom w:val="single" w:sz="4" w:space="0" w:color="auto"/>
              <w:right w:val="single" w:sz="4" w:space="0" w:color="auto"/>
            </w:tcBorders>
            <w:hideMark/>
          </w:tcPr>
          <w:p w14:paraId="14119D31" w14:textId="77777777" w:rsidR="00F10AF1" w:rsidRPr="0013396E" w:rsidRDefault="00F10AF1" w:rsidP="0099759E">
            <w:pPr>
              <w:pStyle w:val="tablebody0"/>
            </w:pPr>
            <w:r w:rsidRPr="0013396E">
              <w:t>$</w:t>
            </w:r>
          </w:p>
        </w:tc>
        <w:tc>
          <w:tcPr>
            <w:tcW w:w="3098" w:type="pct"/>
            <w:tcBorders>
              <w:top w:val="single" w:sz="4" w:space="0" w:color="auto"/>
              <w:left w:val="single" w:sz="4" w:space="0" w:color="auto"/>
              <w:bottom w:val="single" w:sz="4" w:space="0" w:color="auto"/>
              <w:right w:val="single" w:sz="4" w:space="0" w:color="auto"/>
            </w:tcBorders>
            <w:hideMark/>
          </w:tcPr>
          <w:p w14:paraId="02C80F09" w14:textId="77777777" w:rsidR="00F10AF1" w:rsidRPr="0013396E" w:rsidRDefault="00F10AF1" w:rsidP="0099759E">
            <w:pPr>
              <w:pStyle w:val="tablebody0"/>
              <w:rPr>
                <w:i/>
              </w:rPr>
            </w:pPr>
            <w:r w:rsidRPr="0013396E">
              <w:rPr>
                <w:i/>
              </w:rPr>
              <w:t>Real-Time Non-Spin Only Amount for the QSE</w:t>
            </w:r>
            <w:r w:rsidRPr="0013396E">
              <w:t xml:space="preserve">—The total charge to QSE </w:t>
            </w:r>
            <w:r w:rsidRPr="0013396E">
              <w:rPr>
                <w:i/>
              </w:rPr>
              <w:t>q</w:t>
            </w:r>
            <w:r w:rsidRPr="0013396E">
              <w:t xml:space="preserve"> in Real-Time for Non-Spin only award for each 15-minute Settlement Interval.</w:t>
            </w:r>
          </w:p>
        </w:tc>
      </w:tr>
      <w:tr w:rsidR="00F10AF1" w:rsidRPr="0013396E" w14:paraId="21378FB8"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189CEF47" w14:textId="77777777" w:rsidR="00F10AF1" w:rsidRPr="0013396E" w:rsidRDefault="00F10AF1" w:rsidP="0099759E">
            <w:pPr>
              <w:pStyle w:val="tablebody0"/>
            </w:pPr>
            <w:r w:rsidRPr="0013396E">
              <w:t xml:space="preserve">DANSOAWD </w:t>
            </w:r>
            <w:r w:rsidRPr="0013396E">
              <w:rPr>
                <w:i/>
                <w:vertAlign w:val="subscript"/>
              </w:rPr>
              <w:t>q</w:t>
            </w:r>
          </w:p>
        </w:tc>
        <w:tc>
          <w:tcPr>
            <w:tcW w:w="623" w:type="pct"/>
            <w:tcBorders>
              <w:top w:val="single" w:sz="4" w:space="0" w:color="auto"/>
              <w:left w:val="single" w:sz="4" w:space="0" w:color="auto"/>
              <w:bottom w:val="single" w:sz="4" w:space="0" w:color="auto"/>
              <w:right w:val="single" w:sz="4" w:space="0" w:color="auto"/>
            </w:tcBorders>
            <w:hideMark/>
          </w:tcPr>
          <w:p w14:paraId="579441CC" w14:textId="77777777" w:rsidR="00F10AF1" w:rsidRPr="0013396E" w:rsidRDefault="00F10AF1" w:rsidP="0099759E">
            <w:pPr>
              <w:pStyle w:val="tablebody0"/>
            </w:pPr>
            <w:r w:rsidRPr="0013396E">
              <w:t>MW</w:t>
            </w:r>
          </w:p>
        </w:tc>
        <w:tc>
          <w:tcPr>
            <w:tcW w:w="3098" w:type="pct"/>
            <w:tcBorders>
              <w:top w:val="single" w:sz="4" w:space="0" w:color="auto"/>
              <w:left w:val="single" w:sz="4" w:space="0" w:color="auto"/>
              <w:bottom w:val="single" w:sz="4" w:space="0" w:color="auto"/>
              <w:right w:val="single" w:sz="4" w:space="0" w:color="auto"/>
            </w:tcBorders>
            <w:hideMark/>
          </w:tcPr>
          <w:p w14:paraId="6DAD0221" w14:textId="77777777" w:rsidR="00F10AF1" w:rsidRPr="0013396E" w:rsidRDefault="00F10AF1" w:rsidP="0099759E">
            <w:pPr>
              <w:pStyle w:val="tablebody0"/>
              <w:rPr>
                <w:i/>
              </w:rPr>
            </w:pPr>
            <w:r w:rsidRPr="0013396E">
              <w:rPr>
                <w:i/>
              </w:rPr>
              <w:t>Day-Ahead Non-Spin Only Award for the QSE</w:t>
            </w:r>
            <w:r w:rsidRPr="0013396E">
              <w:sym w:font="Symbol" w:char="F0BE"/>
            </w:r>
            <w:r w:rsidRPr="0013396E">
              <w:t xml:space="preserve">The Non-Spin only capacity awarded in the DAM to the QSE </w:t>
            </w:r>
            <w:r w:rsidRPr="0013396E">
              <w:rPr>
                <w:i/>
              </w:rPr>
              <w:t>q</w:t>
            </w:r>
            <w:r w:rsidRPr="0013396E">
              <w:t xml:space="preserve"> for the </w:t>
            </w:r>
            <w:r w:rsidRPr="0013396E">
              <w:rPr>
                <w:szCs w:val="18"/>
              </w:rPr>
              <w:t>Operating Hour</w:t>
            </w:r>
            <w:r w:rsidRPr="0013396E">
              <w:t>.</w:t>
            </w:r>
          </w:p>
        </w:tc>
      </w:tr>
      <w:tr w:rsidR="00F10AF1" w:rsidRPr="0013396E" w14:paraId="0841F96E"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6B9156B0" w14:textId="77777777" w:rsidR="00F10AF1" w:rsidRPr="0013396E" w:rsidRDefault="00F10AF1" w:rsidP="0099759E">
            <w:pPr>
              <w:pStyle w:val="tablebody0"/>
            </w:pPr>
            <w:r w:rsidRPr="0013396E">
              <w:t>RTMCPCNS</w:t>
            </w:r>
          </w:p>
        </w:tc>
        <w:tc>
          <w:tcPr>
            <w:tcW w:w="623" w:type="pct"/>
            <w:tcBorders>
              <w:top w:val="single" w:sz="4" w:space="0" w:color="auto"/>
              <w:left w:val="single" w:sz="4" w:space="0" w:color="auto"/>
              <w:bottom w:val="single" w:sz="4" w:space="0" w:color="auto"/>
              <w:right w:val="single" w:sz="4" w:space="0" w:color="auto"/>
            </w:tcBorders>
            <w:hideMark/>
          </w:tcPr>
          <w:p w14:paraId="41B79DC4" w14:textId="77777777" w:rsidR="00F10AF1" w:rsidRPr="0013396E" w:rsidRDefault="00F10AF1" w:rsidP="0099759E">
            <w:pPr>
              <w:pStyle w:val="tablebody0"/>
            </w:pPr>
            <w:r w:rsidRPr="0013396E">
              <w:t>$/MW</w:t>
            </w:r>
          </w:p>
        </w:tc>
        <w:tc>
          <w:tcPr>
            <w:tcW w:w="3098" w:type="pct"/>
            <w:tcBorders>
              <w:top w:val="single" w:sz="4" w:space="0" w:color="auto"/>
              <w:left w:val="single" w:sz="4" w:space="0" w:color="auto"/>
              <w:bottom w:val="single" w:sz="4" w:space="0" w:color="auto"/>
              <w:right w:val="single" w:sz="4" w:space="0" w:color="auto"/>
            </w:tcBorders>
            <w:hideMark/>
          </w:tcPr>
          <w:p w14:paraId="3C2C3D8C" w14:textId="77777777" w:rsidR="00F10AF1" w:rsidRPr="0013396E" w:rsidRDefault="00F10AF1" w:rsidP="0099759E">
            <w:pPr>
              <w:pStyle w:val="tablebody0"/>
              <w:rPr>
                <w:i/>
              </w:rPr>
            </w:pPr>
            <w:r w:rsidRPr="0013396E">
              <w:rPr>
                <w:i/>
              </w:rPr>
              <w:t>Real-Time Market Clearing Price for Capacity for Non-Spin</w:t>
            </w:r>
            <w:r w:rsidRPr="0013396E">
              <w:rPr>
                <w:iCs/>
              </w:rPr>
              <w:t>—</w:t>
            </w:r>
            <w:r w:rsidRPr="0013396E">
              <w:t>The Real-Time MCPC for Non-Spin for the 15-minute Settlement Interval.</w:t>
            </w:r>
          </w:p>
        </w:tc>
      </w:tr>
      <w:tr w:rsidR="00F10AF1" w:rsidRPr="0013396E" w14:paraId="49577ECD"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660AB512" w14:textId="77777777" w:rsidR="00F10AF1" w:rsidRPr="0013396E" w:rsidRDefault="00F10AF1" w:rsidP="0099759E">
            <w:pPr>
              <w:pStyle w:val="tablebody0"/>
              <w:rPr>
                <w:i/>
              </w:rPr>
            </w:pPr>
            <w:r w:rsidRPr="0013396E">
              <w:rPr>
                <w:i/>
              </w:rPr>
              <w:t>q</w:t>
            </w:r>
          </w:p>
        </w:tc>
        <w:tc>
          <w:tcPr>
            <w:tcW w:w="623" w:type="pct"/>
            <w:tcBorders>
              <w:top w:val="single" w:sz="4" w:space="0" w:color="auto"/>
              <w:left w:val="single" w:sz="4" w:space="0" w:color="auto"/>
              <w:bottom w:val="single" w:sz="4" w:space="0" w:color="auto"/>
              <w:right w:val="single" w:sz="4" w:space="0" w:color="auto"/>
            </w:tcBorders>
            <w:hideMark/>
          </w:tcPr>
          <w:p w14:paraId="43D151A6" w14:textId="77777777" w:rsidR="00F10AF1" w:rsidRPr="0013396E" w:rsidRDefault="00F10AF1" w:rsidP="0099759E">
            <w:pPr>
              <w:pStyle w:val="tablebody0"/>
            </w:pPr>
            <w:r w:rsidRPr="0013396E">
              <w:t>none</w:t>
            </w:r>
          </w:p>
        </w:tc>
        <w:tc>
          <w:tcPr>
            <w:tcW w:w="3098" w:type="pct"/>
            <w:tcBorders>
              <w:top w:val="single" w:sz="4" w:space="0" w:color="auto"/>
              <w:left w:val="single" w:sz="4" w:space="0" w:color="auto"/>
              <w:bottom w:val="single" w:sz="4" w:space="0" w:color="auto"/>
              <w:right w:val="single" w:sz="4" w:space="0" w:color="auto"/>
            </w:tcBorders>
            <w:hideMark/>
          </w:tcPr>
          <w:p w14:paraId="50362C8A" w14:textId="77777777" w:rsidR="00F10AF1" w:rsidRPr="0013396E" w:rsidRDefault="00F10AF1" w:rsidP="0099759E">
            <w:pPr>
              <w:pStyle w:val="tablebody0"/>
            </w:pPr>
            <w:r w:rsidRPr="0013396E">
              <w:t>A QSE.</w:t>
            </w:r>
          </w:p>
        </w:tc>
      </w:tr>
    </w:tbl>
    <w:p w14:paraId="3CA8620E" w14:textId="77777777" w:rsidR="00F10AF1" w:rsidRPr="0013396E" w:rsidRDefault="00F10AF1" w:rsidP="00F10AF1">
      <w:pPr>
        <w:spacing w:before="240" w:after="240"/>
      </w:pPr>
      <w:r w:rsidRPr="0013396E">
        <w:t>(3)</w:t>
      </w:r>
      <w:r w:rsidRPr="0013396E">
        <w:tab/>
        <w:t>Non-Spin Trade Overage Charge:</w:t>
      </w:r>
    </w:p>
    <w:p w14:paraId="22C675ED" w14:textId="77777777" w:rsidR="00F10AF1" w:rsidRPr="0013396E" w:rsidRDefault="00F10AF1" w:rsidP="00F10AF1">
      <w:pPr>
        <w:pStyle w:val="FormulaBold"/>
      </w:pPr>
      <w:r w:rsidRPr="0013396E">
        <w:t>RTNSTOAMT</w:t>
      </w:r>
      <w:r w:rsidRPr="0013396E">
        <w:rPr>
          <w:i/>
          <w:vertAlign w:val="subscript"/>
        </w:rPr>
        <w:t xml:space="preserve"> q  </w:t>
      </w:r>
      <w:r w:rsidRPr="0013396E">
        <w:t xml:space="preserve">= </w:t>
      </w:r>
      <w:r w:rsidRPr="0013396E">
        <w:tab/>
        <w:t xml:space="preserve">(1/4) * RTNSTO </w:t>
      </w:r>
      <w:r w:rsidRPr="0013396E">
        <w:rPr>
          <w:i/>
          <w:vertAlign w:val="subscript"/>
        </w:rPr>
        <w:t>q</w:t>
      </w:r>
      <w:r w:rsidRPr="0013396E">
        <w:t xml:space="preserve"> * RTMCPCNS</w:t>
      </w:r>
    </w:p>
    <w:p w14:paraId="32A6B979" w14:textId="77777777" w:rsidR="00F10AF1" w:rsidRPr="0013396E" w:rsidRDefault="00F10AF1" w:rsidP="00F10AF1">
      <w:pPr>
        <w:pStyle w:val="Instructions"/>
        <w:spacing w:after="0"/>
        <w:ind w:left="720" w:hanging="720"/>
        <w:rPr>
          <w:b w:val="0"/>
          <w:i w:val="0"/>
        </w:rPr>
      </w:pPr>
      <w:r w:rsidRPr="0013396E">
        <w:rPr>
          <w:b w:val="0"/>
          <w:i w:val="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392"/>
        <w:gridCol w:w="1165"/>
        <w:gridCol w:w="5793"/>
      </w:tblGrid>
      <w:tr w:rsidR="00F10AF1" w:rsidRPr="0013396E" w14:paraId="021E3C24" w14:textId="77777777" w:rsidTr="0099759E">
        <w:trPr>
          <w:cantSplit/>
          <w:tblHeader/>
        </w:trPr>
        <w:tc>
          <w:tcPr>
            <w:tcW w:w="1279" w:type="pct"/>
            <w:tcBorders>
              <w:top w:val="single" w:sz="4" w:space="0" w:color="auto"/>
              <w:left w:val="single" w:sz="4" w:space="0" w:color="auto"/>
              <w:bottom w:val="single" w:sz="4" w:space="0" w:color="auto"/>
              <w:right w:val="single" w:sz="4" w:space="0" w:color="auto"/>
            </w:tcBorders>
            <w:hideMark/>
          </w:tcPr>
          <w:p w14:paraId="41262F86" w14:textId="77777777" w:rsidR="00F10AF1" w:rsidRPr="0013396E" w:rsidRDefault="00F10AF1" w:rsidP="0099759E">
            <w:pPr>
              <w:pStyle w:val="TableHead"/>
            </w:pPr>
            <w:r w:rsidRPr="0013396E">
              <w:t>Variable</w:t>
            </w:r>
          </w:p>
        </w:tc>
        <w:tc>
          <w:tcPr>
            <w:tcW w:w="623" w:type="pct"/>
            <w:tcBorders>
              <w:top w:val="single" w:sz="4" w:space="0" w:color="auto"/>
              <w:left w:val="single" w:sz="4" w:space="0" w:color="auto"/>
              <w:bottom w:val="single" w:sz="4" w:space="0" w:color="auto"/>
              <w:right w:val="single" w:sz="4" w:space="0" w:color="auto"/>
            </w:tcBorders>
            <w:hideMark/>
          </w:tcPr>
          <w:p w14:paraId="70F9F5FA" w14:textId="77777777" w:rsidR="00F10AF1" w:rsidRPr="0013396E" w:rsidRDefault="00F10AF1" w:rsidP="0099759E">
            <w:pPr>
              <w:pStyle w:val="TableHead"/>
            </w:pPr>
            <w:r w:rsidRPr="0013396E">
              <w:t>Unit</w:t>
            </w:r>
          </w:p>
        </w:tc>
        <w:tc>
          <w:tcPr>
            <w:tcW w:w="3098" w:type="pct"/>
            <w:tcBorders>
              <w:top w:val="single" w:sz="4" w:space="0" w:color="auto"/>
              <w:left w:val="single" w:sz="4" w:space="0" w:color="auto"/>
              <w:bottom w:val="single" w:sz="4" w:space="0" w:color="auto"/>
              <w:right w:val="single" w:sz="4" w:space="0" w:color="auto"/>
            </w:tcBorders>
            <w:hideMark/>
          </w:tcPr>
          <w:p w14:paraId="405E70E8" w14:textId="77777777" w:rsidR="00F10AF1" w:rsidRPr="0013396E" w:rsidRDefault="00F10AF1" w:rsidP="0099759E">
            <w:pPr>
              <w:pStyle w:val="TableHead"/>
            </w:pPr>
            <w:r w:rsidRPr="0013396E">
              <w:t>Description</w:t>
            </w:r>
          </w:p>
        </w:tc>
      </w:tr>
      <w:tr w:rsidR="00F10AF1" w:rsidRPr="0013396E" w14:paraId="14891EBF"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5CF5EBF8" w14:textId="77777777" w:rsidR="00F10AF1" w:rsidRPr="0013396E" w:rsidRDefault="00F10AF1" w:rsidP="0099759E">
            <w:pPr>
              <w:pStyle w:val="tablebody0"/>
            </w:pPr>
            <w:r w:rsidRPr="0013396E">
              <w:t xml:space="preserve">RTNSTOAMT </w:t>
            </w:r>
            <w:r w:rsidRPr="0013396E">
              <w:rPr>
                <w:i/>
                <w:vertAlign w:val="subscript"/>
              </w:rPr>
              <w:t>q</w:t>
            </w:r>
          </w:p>
        </w:tc>
        <w:tc>
          <w:tcPr>
            <w:tcW w:w="623" w:type="pct"/>
            <w:tcBorders>
              <w:top w:val="single" w:sz="4" w:space="0" w:color="auto"/>
              <w:left w:val="single" w:sz="4" w:space="0" w:color="auto"/>
              <w:bottom w:val="single" w:sz="4" w:space="0" w:color="auto"/>
              <w:right w:val="single" w:sz="4" w:space="0" w:color="auto"/>
            </w:tcBorders>
            <w:hideMark/>
          </w:tcPr>
          <w:p w14:paraId="616A8075" w14:textId="77777777" w:rsidR="00F10AF1" w:rsidRPr="0013396E" w:rsidRDefault="00F10AF1" w:rsidP="0099759E">
            <w:pPr>
              <w:pStyle w:val="tablebody0"/>
            </w:pPr>
            <w:r w:rsidRPr="0013396E">
              <w:t>$</w:t>
            </w:r>
          </w:p>
        </w:tc>
        <w:tc>
          <w:tcPr>
            <w:tcW w:w="3098" w:type="pct"/>
            <w:tcBorders>
              <w:top w:val="single" w:sz="4" w:space="0" w:color="auto"/>
              <w:left w:val="single" w:sz="4" w:space="0" w:color="auto"/>
              <w:bottom w:val="single" w:sz="4" w:space="0" w:color="auto"/>
              <w:right w:val="single" w:sz="4" w:space="0" w:color="auto"/>
            </w:tcBorders>
            <w:hideMark/>
          </w:tcPr>
          <w:p w14:paraId="4DCEE08B" w14:textId="77777777" w:rsidR="00F10AF1" w:rsidRPr="0013396E" w:rsidRDefault="00F10AF1" w:rsidP="0099759E">
            <w:pPr>
              <w:pStyle w:val="tablebody0"/>
              <w:rPr>
                <w:i/>
              </w:rPr>
            </w:pPr>
            <w:r w:rsidRPr="0013396E">
              <w:rPr>
                <w:i/>
              </w:rPr>
              <w:t>Real-Time Non-Spin Trade Overage Amount for the QSE</w:t>
            </w:r>
            <w:r w:rsidRPr="0013396E">
              <w:t xml:space="preserve">—The total charge to QSE </w:t>
            </w:r>
            <w:r w:rsidRPr="0013396E">
              <w:rPr>
                <w:i/>
              </w:rPr>
              <w:t>q</w:t>
            </w:r>
            <w:r w:rsidRPr="0013396E">
              <w:t xml:space="preserve"> in Real-Time for Non-Spin trade overages for each 15-minute Settlement Interval.</w:t>
            </w:r>
          </w:p>
        </w:tc>
      </w:tr>
      <w:tr w:rsidR="00F10AF1" w:rsidRPr="0013396E" w14:paraId="3A55DAB8"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6B6D4E97" w14:textId="77777777" w:rsidR="00F10AF1" w:rsidRPr="0013396E" w:rsidRDefault="00F10AF1" w:rsidP="0099759E">
            <w:pPr>
              <w:pStyle w:val="tablebody0"/>
            </w:pPr>
            <w:r w:rsidRPr="0013396E">
              <w:t xml:space="preserve">RTNSTO </w:t>
            </w:r>
            <w:r w:rsidRPr="0013396E">
              <w:rPr>
                <w:i/>
                <w:vertAlign w:val="subscript"/>
              </w:rPr>
              <w:t>q</w:t>
            </w:r>
          </w:p>
        </w:tc>
        <w:tc>
          <w:tcPr>
            <w:tcW w:w="623" w:type="pct"/>
            <w:tcBorders>
              <w:top w:val="single" w:sz="4" w:space="0" w:color="auto"/>
              <w:left w:val="single" w:sz="4" w:space="0" w:color="auto"/>
              <w:bottom w:val="single" w:sz="4" w:space="0" w:color="auto"/>
              <w:right w:val="single" w:sz="4" w:space="0" w:color="auto"/>
            </w:tcBorders>
            <w:hideMark/>
          </w:tcPr>
          <w:p w14:paraId="5B6CE273" w14:textId="77777777" w:rsidR="00F10AF1" w:rsidRPr="0013396E" w:rsidRDefault="00F10AF1" w:rsidP="0099759E">
            <w:pPr>
              <w:pStyle w:val="tablebody0"/>
            </w:pPr>
            <w:r w:rsidRPr="0013396E">
              <w:t>MW</w:t>
            </w:r>
          </w:p>
        </w:tc>
        <w:tc>
          <w:tcPr>
            <w:tcW w:w="3098" w:type="pct"/>
            <w:tcBorders>
              <w:top w:val="single" w:sz="4" w:space="0" w:color="auto"/>
              <w:left w:val="single" w:sz="4" w:space="0" w:color="auto"/>
              <w:bottom w:val="single" w:sz="4" w:space="0" w:color="auto"/>
              <w:right w:val="single" w:sz="4" w:space="0" w:color="auto"/>
            </w:tcBorders>
            <w:hideMark/>
          </w:tcPr>
          <w:p w14:paraId="7B384FAF" w14:textId="77777777" w:rsidR="00F10AF1" w:rsidRPr="0013396E" w:rsidRDefault="00F10AF1" w:rsidP="0099759E">
            <w:pPr>
              <w:pStyle w:val="tablebody0"/>
            </w:pPr>
            <w:r w:rsidRPr="0013396E">
              <w:rPr>
                <w:i/>
              </w:rPr>
              <w:t>Real-Time Non-Spin Trade Overage for the QSE</w:t>
            </w:r>
            <w:r w:rsidRPr="0013396E">
              <w:sym w:font="Symbol" w:char="F0BE"/>
            </w:r>
            <w:r w:rsidRPr="0013396E">
              <w:t xml:space="preserve">The quantity of submitted Non-Spin trades in excess of their DAM self-arrangement quantity for the QSE </w:t>
            </w:r>
            <w:r w:rsidRPr="0013396E">
              <w:rPr>
                <w:i/>
              </w:rPr>
              <w:t>q</w:t>
            </w:r>
            <w:r w:rsidRPr="0013396E">
              <w:t xml:space="preserve"> for the </w:t>
            </w:r>
            <w:r w:rsidRPr="0013396E">
              <w:rPr>
                <w:szCs w:val="18"/>
              </w:rPr>
              <w:t>Operating Hour</w:t>
            </w:r>
            <w:r w:rsidRPr="0013396E">
              <w:t>.</w:t>
            </w:r>
          </w:p>
        </w:tc>
      </w:tr>
      <w:tr w:rsidR="00F10AF1" w:rsidRPr="0013396E" w14:paraId="404C8EA4"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0AB49F49" w14:textId="77777777" w:rsidR="00F10AF1" w:rsidRPr="0013396E" w:rsidRDefault="00F10AF1" w:rsidP="0099759E">
            <w:pPr>
              <w:pStyle w:val="tablebody0"/>
            </w:pPr>
            <w:r w:rsidRPr="0013396E">
              <w:t>RTMCPCNS</w:t>
            </w:r>
          </w:p>
        </w:tc>
        <w:tc>
          <w:tcPr>
            <w:tcW w:w="623" w:type="pct"/>
            <w:tcBorders>
              <w:top w:val="single" w:sz="4" w:space="0" w:color="auto"/>
              <w:left w:val="single" w:sz="4" w:space="0" w:color="auto"/>
              <w:bottom w:val="single" w:sz="4" w:space="0" w:color="auto"/>
              <w:right w:val="single" w:sz="4" w:space="0" w:color="auto"/>
            </w:tcBorders>
            <w:hideMark/>
          </w:tcPr>
          <w:p w14:paraId="4E4F7036" w14:textId="77777777" w:rsidR="00F10AF1" w:rsidRPr="0013396E" w:rsidRDefault="00F10AF1" w:rsidP="0099759E">
            <w:pPr>
              <w:pStyle w:val="tablebody0"/>
            </w:pPr>
            <w:r w:rsidRPr="0013396E">
              <w:t>$/MW</w:t>
            </w:r>
          </w:p>
        </w:tc>
        <w:tc>
          <w:tcPr>
            <w:tcW w:w="3098" w:type="pct"/>
            <w:tcBorders>
              <w:top w:val="single" w:sz="4" w:space="0" w:color="auto"/>
              <w:left w:val="single" w:sz="4" w:space="0" w:color="auto"/>
              <w:bottom w:val="single" w:sz="4" w:space="0" w:color="auto"/>
              <w:right w:val="single" w:sz="4" w:space="0" w:color="auto"/>
            </w:tcBorders>
            <w:hideMark/>
          </w:tcPr>
          <w:p w14:paraId="5890A666" w14:textId="77777777" w:rsidR="00F10AF1" w:rsidRPr="0013396E" w:rsidRDefault="00F10AF1" w:rsidP="0099759E">
            <w:pPr>
              <w:pStyle w:val="tablebody0"/>
              <w:rPr>
                <w:i/>
              </w:rPr>
            </w:pPr>
            <w:r w:rsidRPr="0013396E">
              <w:rPr>
                <w:i/>
              </w:rPr>
              <w:t xml:space="preserve">Real-Time Market Clearing Price </w:t>
            </w:r>
            <w:r w:rsidRPr="0013396E">
              <w:rPr>
                <w:bCs/>
                <w:i/>
                <w:lang w:val="pt-BR"/>
              </w:rPr>
              <w:t xml:space="preserve">for Capacity </w:t>
            </w:r>
            <w:r w:rsidRPr="0013396E">
              <w:rPr>
                <w:i/>
              </w:rPr>
              <w:t>for Non-Spin</w:t>
            </w:r>
            <w:r w:rsidRPr="0013396E">
              <w:rPr>
                <w:iCs/>
              </w:rPr>
              <w:t>—</w:t>
            </w:r>
            <w:r w:rsidRPr="0013396E">
              <w:t>The Real-Time MCPC for Non-Spin for the 15-minute Settlement Interval.</w:t>
            </w:r>
          </w:p>
        </w:tc>
      </w:tr>
      <w:tr w:rsidR="00F10AF1" w:rsidRPr="0013396E" w14:paraId="2EB69A39"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5408FF85" w14:textId="77777777" w:rsidR="00F10AF1" w:rsidRPr="0013396E" w:rsidRDefault="00F10AF1" w:rsidP="0099759E">
            <w:pPr>
              <w:pStyle w:val="tablebody0"/>
              <w:rPr>
                <w:i/>
              </w:rPr>
            </w:pPr>
            <w:r w:rsidRPr="0013396E">
              <w:rPr>
                <w:i/>
              </w:rPr>
              <w:t>q</w:t>
            </w:r>
          </w:p>
        </w:tc>
        <w:tc>
          <w:tcPr>
            <w:tcW w:w="623" w:type="pct"/>
            <w:tcBorders>
              <w:top w:val="single" w:sz="4" w:space="0" w:color="auto"/>
              <w:left w:val="single" w:sz="4" w:space="0" w:color="auto"/>
              <w:bottom w:val="single" w:sz="4" w:space="0" w:color="auto"/>
              <w:right w:val="single" w:sz="4" w:space="0" w:color="auto"/>
            </w:tcBorders>
            <w:hideMark/>
          </w:tcPr>
          <w:p w14:paraId="783F7844" w14:textId="77777777" w:rsidR="00F10AF1" w:rsidRPr="0013396E" w:rsidRDefault="00F10AF1" w:rsidP="0099759E">
            <w:pPr>
              <w:pStyle w:val="tablebody0"/>
            </w:pPr>
            <w:r w:rsidRPr="0013396E">
              <w:t>none</w:t>
            </w:r>
          </w:p>
        </w:tc>
        <w:tc>
          <w:tcPr>
            <w:tcW w:w="3098" w:type="pct"/>
            <w:tcBorders>
              <w:top w:val="single" w:sz="4" w:space="0" w:color="auto"/>
              <w:left w:val="single" w:sz="4" w:space="0" w:color="auto"/>
              <w:bottom w:val="single" w:sz="4" w:space="0" w:color="auto"/>
              <w:right w:val="single" w:sz="4" w:space="0" w:color="auto"/>
            </w:tcBorders>
            <w:hideMark/>
          </w:tcPr>
          <w:p w14:paraId="35F5B892" w14:textId="77777777" w:rsidR="00F10AF1" w:rsidRPr="0013396E" w:rsidRDefault="00F10AF1" w:rsidP="0099759E">
            <w:pPr>
              <w:pStyle w:val="tablebody0"/>
            </w:pPr>
            <w:r w:rsidRPr="0013396E">
              <w:t>A QSE.</w:t>
            </w:r>
          </w:p>
        </w:tc>
      </w:tr>
    </w:tbl>
    <w:p w14:paraId="68D77293" w14:textId="42D5ED49" w:rsidR="00F10AF1" w:rsidRPr="0013396E" w:rsidRDefault="00F10AF1" w:rsidP="00F10AF1">
      <w:pPr>
        <w:pStyle w:val="H4"/>
        <w:spacing w:before="480"/>
      </w:pPr>
      <w:bookmarkStart w:id="2280" w:name="_Toc214879036"/>
      <w:r w:rsidRPr="0013396E">
        <w:t>6.7.</w:t>
      </w:r>
      <w:r w:rsidR="00A12B52" w:rsidRPr="0013396E">
        <w:t>2</w:t>
      </w:r>
      <w:r w:rsidRPr="0013396E">
        <w:t>.6</w:t>
      </w:r>
      <w:r w:rsidRPr="0013396E">
        <w:tab/>
        <w:t>ERCOT Contingency Reserve Service Payments and Charges</w:t>
      </w:r>
      <w:bookmarkEnd w:id="2280"/>
    </w:p>
    <w:p w14:paraId="2C536205" w14:textId="77777777" w:rsidR="00F10AF1" w:rsidRPr="0013396E" w:rsidRDefault="00F10AF1" w:rsidP="00F10AF1">
      <w:r w:rsidRPr="0013396E">
        <w:t>(1)</w:t>
      </w:r>
      <w:r w:rsidRPr="0013396E">
        <w:tab/>
        <w:t>ECRS Imbalance Payment or Charge:</w:t>
      </w:r>
    </w:p>
    <w:p w14:paraId="15E433E2" w14:textId="77777777" w:rsidR="00F10AF1" w:rsidRPr="0013396E" w:rsidRDefault="00F10AF1" w:rsidP="00F10AF1">
      <w:pPr>
        <w:pStyle w:val="FormulaBold"/>
        <w:ind w:left="2340" w:hanging="1620"/>
      </w:pPr>
      <w:r w:rsidRPr="0013396E">
        <w:t>RTECRIMBAMT</w:t>
      </w:r>
      <w:r w:rsidRPr="0013396E">
        <w:rPr>
          <w:i/>
          <w:vertAlign w:val="subscript"/>
        </w:rPr>
        <w:t xml:space="preserve"> q </w:t>
      </w:r>
      <w:r w:rsidRPr="0013396E">
        <w:t>= (-1) * [</w:t>
      </w:r>
      <w:r w:rsidRPr="0013396E">
        <w:rPr>
          <w:position w:val="-18"/>
        </w:rPr>
        <w:object w:dxaOrig="285" w:dyaOrig="570" w14:anchorId="53579A32">
          <v:shape id="_x0000_i1286" type="#_x0000_t75" style="width:12pt;height:30pt" o:ole="">
            <v:imagedata r:id="rId134" o:title=""/>
          </v:shape>
          <o:OLEObject Type="Embed" ProgID="Equation.3" ShapeID="_x0000_i1286" DrawAspect="Content" ObjectID="_1836311563" r:id="rId363"/>
        </w:object>
      </w:r>
      <w:r w:rsidRPr="0013396E">
        <w:t>[RTECRREV</w:t>
      </w:r>
      <w:r w:rsidRPr="0013396E">
        <w:rPr>
          <w:i/>
          <w:vertAlign w:val="subscript"/>
        </w:rPr>
        <w:t xml:space="preserve">q, r </w:t>
      </w:r>
      <w:r w:rsidRPr="0013396E">
        <w:t>– (1/4) * (PCECRR</w:t>
      </w:r>
      <w:r w:rsidRPr="0013396E">
        <w:rPr>
          <w:i/>
        </w:rPr>
        <w:t xml:space="preserve"> </w:t>
      </w:r>
      <w:r w:rsidRPr="0013396E">
        <w:rPr>
          <w:i/>
          <w:vertAlign w:val="subscript"/>
        </w:rPr>
        <w:t>r, q, DAM</w:t>
      </w:r>
      <w:r w:rsidRPr="0013396E">
        <w:t xml:space="preserve"> *</w:t>
      </w:r>
    </w:p>
    <w:p w14:paraId="6EA72550" w14:textId="77777777" w:rsidR="00F10AF1" w:rsidRPr="0013396E" w:rsidRDefault="00F10AF1" w:rsidP="00F10AF1">
      <w:pPr>
        <w:pStyle w:val="FormulaBold"/>
        <w:ind w:left="2340" w:firstLine="270"/>
      </w:pPr>
      <w:r w:rsidRPr="0013396E">
        <w:t xml:space="preserve">RTMCPCECR)] – (1/4) * (DASAECRQ </w:t>
      </w:r>
      <w:r w:rsidRPr="0013396E">
        <w:rPr>
          <w:i/>
          <w:vertAlign w:val="subscript"/>
        </w:rPr>
        <w:t>q</w:t>
      </w:r>
      <w:r w:rsidRPr="0013396E">
        <w:t xml:space="preserve"> * RTMCPCECR) + (1/4) * (ECRTP </w:t>
      </w:r>
      <w:r w:rsidRPr="0013396E">
        <w:rPr>
          <w:i/>
          <w:vertAlign w:val="subscript"/>
        </w:rPr>
        <w:t>q</w:t>
      </w:r>
      <w:r w:rsidRPr="0013396E">
        <w:t xml:space="preserve"> – ECRTS </w:t>
      </w:r>
      <w:r w:rsidRPr="0013396E">
        <w:rPr>
          <w:i/>
          <w:vertAlign w:val="subscript"/>
        </w:rPr>
        <w:t>q</w:t>
      </w:r>
      <w:r w:rsidRPr="0013396E">
        <w:t>) * RTMCPCECR]</w:t>
      </w:r>
    </w:p>
    <w:p w14:paraId="1D4F6174" w14:textId="77777777" w:rsidR="00F10AF1" w:rsidRPr="000B7133" w:rsidRDefault="00F10AF1" w:rsidP="00F10AF1">
      <w:pPr>
        <w:pStyle w:val="FormulaBold"/>
        <w:rPr>
          <w:b w:val="0"/>
          <w:bCs w:val="0"/>
        </w:rPr>
      </w:pPr>
      <w:r w:rsidRPr="000B7133">
        <w:rPr>
          <w:b w:val="0"/>
          <w:bCs w:val="0"/>
        </w:rPr>
        <w:t xml:space="preserve">Where:   </w:t>
      </w:r>
    </w:p>
    <w:p w14:paraId="095A6E7E" w14:textId="77777777" w:rsidR="00F10AF1" w:rsidRPr="000B7133" w:rsidRDefault="00F10AF1" w:rsidP="00F10AF1">
      <w:pPr>
        <w:pStyle w:val="FormulaBold"/>
        <w:rPr>
          <w:b w:val="0"/>
          <w:bCs w:val="0"/>
        </w:rPr>
      </w:pPr>
      <w:r w:rsidRPr="000B7133">
        <w:rPr>
          <w:rStyle w:val="BodyTextChar"/>
          <w:b w:val="0"/>
          <w:bCs w:val="0"/>
        </w:rPr>
        <w:t>RT</w:t>
      </w:r>
      <w:r w:rsidRPr="000B7133">
        <w:rPr>
          <w:b w:val="0"/>
          <w:bCs w:val="0"/>
        </w:rPr>
        <w:t>ECR</w:t>
      </w:r>
      <w:r w:rsidRPr="000B7133">
        <w:rPr>
          <w:rStyle w:val="BodyTextChar"/>
          <w:b w:val="0"/>
          <w:bCs w:val="0"/>
        </w:rPr>
        <w:t xml:space="preserve">REV </w:t>
      </w:r>
      <w:r w:rsidRPr="000B7133">
        <w:rPr>
          <w:b w:val="0"/>
          <w:bCs w:val="0"/>
          <w:i/>
          <w:vertAlign w:val="subscript"/>
        </w:rPr>
        <w:t xml:space="preserve">q, r </w:t>
      </w:r>
      <w:r w:rsidRPr="000B7133">
        <w:rPr>
          <w:b w:val="0"/>
          <w:bCs w:val="0"/>
          <w:i/>
        </w:rPr>
        <w:t xml:space="preserve"> =     </w:t>
      </w:r>
      <w:r w:rsidRPr="000B7133">
        <w:rPr>
          <w:b w:val="0"/>
          <w:bCs w:val="0"/>
        </w:rPr>
        <w:t>(1/4) * RTECRAWD</w:t>
      </w:r>
      <w:r w:rsidRPr="000B7133">
        <w:rPr>
          <w:b w:val="0"/>
          <w:bCs w:val="0"/>
          <w:i/>
          <w:vertAlign w:val="subscript"/>
        </w:rPr>
        <w:t xml:space="preserve"> q, r</w:t>
      </w:r>
      <w:r w:rsidRPr="000B7133">
        <w:rPr>
          <w:b w:val="0"/>
          <w:bCs w:val="0"/>
        </w:rPr>
        <w:t xml:space="preserve"> * RTMCPCECRR </w:t>
      </w:r>
      <w:r w:rsidRPr="000B7133">
        <w:rPr>
          <w:b w:val="0"/>
          <w:bCs w:val="0"/>
          <w:i/>
          <w:vertAlign w:val="subscript"/>
        </w:rPr>
        <w:t>q,</w:t>
      </w:r>
      <w:r w:rsidRPr="000B7133">
        <w:rPr>
          <w:b w:val="0"/>
          <w:bCs w:val="0"/>
          <w:i/>
        </w:rPr>
        <w:t xml:space="preserve"> </w:t>
      </w:r>
      <w:r w:rsidRPr="000B7133">
        <w:rPr>
          <w:b w:val="0"/>
          <w:bCs w:val="0"/>
          <w:i/>
          <w:vertAlign w:val="subscript"/>
        </w:rPr>
        <w:t>r</w:t>
      </w:r>
    </w:p>
    <w:p w14:paraId="6D4D98F5" w14:textId="77777777" w:rsidR="00F10AF1" w:rsidRPr="00016609" w:rsidRDefault="00F10AF1" w:rsidP="00F10AF1">
      <w:pPr>
        <w:pStyle w:val="FormulaBold"/>
        <w:rPr>
          <w:b w:val="0"/>
          <w:bCs w:val="0"/>
        </w:rPr>
      </w:pPr>
      <w:r w:rsidRPr="000B7133">
        <w:rPr>
          <w:b w:val="0"/>
          <w:bCs w:val="0"/>
        </w:rPr>
        <w:t xml:space="preserve">RTMCPCECRR </w:t>
      </w:r>
      <w:r w:rsidRPr="000B7133">
        <w:rPr>
          <w:b w:val="0"/>
          <w:bCs w:val="0"/>
          <w:i/>
          <w:vertAlign w:val="subscript"/>
        </w:rPr>
        <w:t>q, r</w:t>
      </w:r>
      <w:r w:rsidRPr="000B7133">
        <w:rPr>
          <w:b w:val="0"/>
          <w:bCs w:val="0"/>
          <w:i/>
        </w:rPr>
        <w:t xml:space="preserve"> = </w:t>
      </w:r>
      <w:r w:rsidRPr="007A1E53">
        <w:rPr>
          <w:b w:val="0"/>
          <w:bCs w:val="0"/>
          <w:position w:val="-22"/>
        </w:rPr>
        <w:object w:dxaOrig="285" w:dyaOrig="285" w14:anchorId="62C34AAD">
          <v:shape id="_x0000_i1287" type="#_x0000_t75" style="width:24pt;height:24pt" o:ole="">
            <v:imagedata r:id="rId20" o:title=""/>
          </v:shape>
          <o:OLEObject Type="Embed" ProgID="Equation.3" ShapeID="_x0000_i1287" DrawAspect="Content" ObjectID="_1836311564" r:id="rId364"/>
        </w:object>
      </w:r>
      <w:r w:rsidRPr="00016609">
        <w:rPr>
          <w:b w:val="0"/>
          <w:bCs w:val="0"/>
        </w:rPr>
        <w:t>(ECRRWF</w:t>
      </w:r>
      <w:r w:rsidRPr="00016609">
        <w:rPr>
          <w:b w:val="0"/>
          <w:bCs w:val="0"/>
          <w:i/>
          <w:vertAlign w:val="subscript"/>
        </w:rPr>
        <w:t xml:space="preserve"> q, r, y</w:t>
      </w:r>
      <w:r w:rsidRPr="00016609">
        <w:rPr>
          <w:b w:val="0"/>
          <w:bCs w:val="0"/>
        </w:rPr>
        <w:t xml:space="preserve"> * (RTMCPCECRS</w:t>
      </w:r>
      <w:r w:rsidRPr="00016609">
        <w:rPr>
          <w:b w:val="0"/>
          <w:bCs w:val="0"/>
          <w:i/>
          <w:vertAlign w:val="subscript"/>
        </w:rPr>
        <w:t xml:space="preserve"> y</w:t>
      </w:r>
      <w:r w:rsidRPr="00016609">
        <w:rPr>
          <w:b w:val="0"/>
          <w:bCs w:val="0"/>
        </w:rPr>
        <w:t xml:space="preserve"> + RTRDPAECRS </w:t>
      </w:r>
      <w:r w:rsidRPr="00016609">
        <w:rPr>
          <w:b w:val="0"/>
          <w:bCs w:val="0"/>
          <w:i/>
          <w:vertAlign w:val="subscript"/>
        </w:rPr>
        <w:t>y</w:t>
      </w:r>
      <w:r w:rsidRPr="00016609">
        <w:rPr>
          <w:b w:val="0"/>
          <w:bCs w:val="0"/>
          <w:i/>
        </w:rPr>
        <w:t>))</w:t>
      </w:r>
    </w:p>
    <w:p w14:paraId="54F1F041" w14:textId="77777777" w:rsidR="00F10AF1" w:rsidRPr="000B7133" w:rsidRDefault="00F10AF1" w:rsidP="00F10AF1">
      <w:pPr>
        <w:pStyle w:val="FormulaBold"/>
        <w:rPr>
          <w:b w:val="0"/>
          <w:bCs w:val="0"/>
          <w:i/>
          <w:vertAlign w:val="subscript"/>
        </w:rPr>
      </w:pPr>
      <w:r w:rsidRPr="00016609">
        <w:rPr>
          <w:b w:val="0"/>
          <w:bCs w:val="0"/>
        </w:rPr>
        <w:t>RTECRAWD</w:t>
      </w:r>
      <w:r w:rsidRPr="00016609">
        <w:rPr>
          <w:b w:val="0"/>
          <w:bCs w:val="0"/>
          <w:i/>
          <w:vertAlign w:val="subscript"/>
        </w:rPr>
        <w:t xml:space="preserve"> q, r  </w:t>
      </w:r>
      <w:r w:rsidRPr="00016609">
        <w:rPr>
          <w:b w:val="0"/>
          <w:bCs w:val="0"/>
        </w:rPr>
        <w:t xml:space="preserve"> =  </w:t>
      </w:r>
      <w:r w:rsidRPr="007A1E53">
        <w:rPr>
          <w:b w:val="0"/>
          <w:bCs w:val="0"/>
          <w:position w:val="-22"/>
        </w:rPr>
        <w:object w:dxaOrig="285" w:dyaOrig="285" w14:anchorId="7914B8DE">
          <v:shape id="_x0000_i1288" type="#_x0000_t75" style="width:24pt;height:24pt" o:ole="">
            <v:imagedata r:id="rId20" o:title=""/>
          </v:shape>
          <o:OLEObject Type="Embed" ProgID="Equation.3" ShapeID="_x0000_i1288" DrawAspect="Content" ObjectID="_1836311565" r:id="rId365"/>
        </w:object>
      </w:r>
      <w:r w:rsidRPr="000B7133">
        <w:rPr>
          <w:b w:val="0"/>
          <w:bCs w:val="0"/>
        </w:rPr>
        <w:t xml:space="preserve"> (RNWF </w:t>
      </w:r>
      <w:r w:rsidRPr="000B7133">
        <w:rPr>
          <w:b w:val="0"/>
          <w:bCs w:val="0"/>
          <w:i/>
          <w:vertAlign w:val="subscript"/>
        </w:rPr>
        <w:t>y</w:t>
      </w:r>
      <w:r w:rsidRPr="000B7133">
        <w:rPr>
          <w:b w:val="0"/>
          <w:bCs w:val="0"/>
          <w:vertAlign w:val="subscript"/>
        </w:rPr>
        <w:t xml:space="preserve"> </w:t>
      </w:r>
      <w:r w:rsidRPr="000B7133">
        <w:rPr>
          <w:b w:val="0"/>
          <w:bCs w:val="0"/>
        </w:rPr>
        <w:t>* RTECRAWDS</w:t>
      </w:r>
      <w:r w:rsidRPr="000B7133">
        <w:rPr>
          <w:b w:val="0"/>
          <w:bCs w:val="0"/>
          <w:i/>
          <w:vertAlign w:val="subscript"/>
        </w:rPr>
        <w:t xml:space="preserve"> q, r, y</w:t>
      </w:r>
      <w:r w:rsidRPr="000B7133">
        <w:rPr>
          <w:b w:val="0"/>
          <w:bCs w:val="0"/>
        </w:rPr>
        <w:t>)</w:t>
      </w:r>
    </w:p>
    <w:p w14:paraId="609AD430" w14:textId="77777777" w:rsidR="00F10AF1" w:rsidRPr="0013396E" w:rsidRDefault="00F10AF1" w:rsidP="00F10AF1">
      <w:pPr>
        <w:pStyle w:val="BodyTextNumbered"/>
        <w:ind w:left="0" w:firstLine="720"/>
      </w:pPr>
      <w:r w:rsidRPr="0013396E">
        <w:t>Where:</w:t>
      </w:r>
    </w:p>
    <w:p w14:paraId="2ECB28D4" w14:textId="77777777" w:rsidR="00F10AF1" w:rsidRPr="0013396E" w:rsidRDefault="00F10AF1" w:rsidP="00F10AF1">
      <w:pPr>
        <w:pStyle w:val="NoSpacing"/>
        <w:ind w:left="1440" w:hanging="720"/>
      </w:pPr>
      <w:r w:rsidRPr="0013396E">
        <w:lastRenderedPageBreak/>
        <w:t>ECRRWF</w:t>
      </w:r>
      <w:r w:rsidRPr="0013396E">
        <w:rPr>
          <w:i/>
          <w:vertAlign w:val="subscript"/>
        </w:rPr>
        <w:t xml:space="preserve"> q, r, y</w:t>
      </w:r>
      <w:r w:rsidRPr="0013396E">
        <w:rPr>
          <w:vertAlign w:val="subscript"/>
        </w:rPr>
        <w:t xml:space="preserve"> </w:t>
      </w:r>
      <w:r w:rsidRPr="0013396E">
        <w:t xml:space="preserve"> =    [max(0.001, RTECRAWDS</w:t>
      </w:r>
      <w:r w:rsidRPr="0013396E">
        <w:rPr>
          <w:i/>
          <w:vertAlign w:val="subscript"/>
        </w:rPr>
        <w:t xml:space="preserve"> q, r, y</w:t>
      </w:r>
      <w:r w:rsidRPr="0013396E">
        <w:t>) * TLMP</w:t>
      </w:r>
      <w:r w:rsidRPr="0013396E">
        <w:rPr>
          <w:i/>
          <w:vertAlign w:val="subscript"/>
        </w:rPr>
        <w:t xml:space="preserve"> y</w:t>
      </w:r>
      <w:r w:rsidRPr="0013396E">
        <w:t>] / [</w:t>
      </w:r>
      <w:r w:rsidRPr="0013396E">
        <w:rPr>
          <w:b/>
          <w:position w:val="-22"/>
        </w:rPr>
        <w:object w:dxaOrig="285" w:dyaOrig="285" w14:anchorId="2B051DAD">
          <v:shape id="_x0000_i1289" type="#_x0000_t75" style="width:24pt;height:24pt" o:ole="">
            <v:imagedata r:id="rId20" o:title=""/>
          </v:shape>
          <o:OLEObject Type="Embed" ProgID="Equation.3" ShapeID="_x0000_i1289" DrawAspect="Content" ObjectID="_1836311566" r:id="rId366"/>
        </w:object>
      </w:r>
      <w:r w:rsidRPr="0013396E">
        <w:t>max(0.001,</w:t>
      </w:r>
    </w:p>
    <w:p w14:paraId="42EA1C5D" w14:textId="77777777" w:rsidR="00F10AF1" w:rsidRPr="0013396E" w:rsidRDefault="00F10AF1" w:rsidP="00F10AF1">
      <w:pPr>
        <w:pStyle w:val="NoSpacing"/>
        <w:spacing w:after="240"/>
        <w:ind w:left="2160" w:firstLine="720"/>
      </w:pPr>
      <w:r w:rsidRPr="0013396E">
        <w:t>RTECRAWDS</w:t>
      </w:r>
      <w:r w:rsidRPr="0013396E">
        <w:rPr>
          <w:i/>
          <w:vertAlign w:val="subscript"/>
        </w:rPr>
        <w:t xml:space="preserve"> q, r, y</w:t>
      </w:r>
      <w:r w:rsidRPr="0013396E">
        <w:t>) * TLMP</w:t>
      </w:r>
      <w:r w:rsidRPr="0013396E">
        <w:rPr>
          <w:i/>
          <w:vertAlign w:val="subscript"/>
        </w:rPr>
        <w:t xml:space="preserve"> y</w:t>
      </w:r>
      <w:r w:rsidRPr="0013396E">
        <w:t>]</w:t>
      </w:r>
      <w:r w:rsidRPr="0013396E">
        <w:rPr>
          <w:vertAlign w:val="subscript"/>
        </w:rPr>
        <w:t xml:space="preserve"> </w:t>
      </w:r>
    </w:p>
    <w:p w14:paraId="2A4F0356" w14:textId="77777777" w:rsidR="00F10AF1" w:rsidRPr="0013396E" w:rsidRDefault="00F10AF1" w:rsidP="00F10AF1">
      <w:pPr>
        <w:pStyle w:val="NoSpacing"/>
        <w:spacing w:after="240"/>
        <w:ind w:left="1440" w:hanging="720"/>
      </w:pPr>
      <w:r w:rsidRPr="0013396E">
        <w:t>And:</w:t>
      </w:r>
    </w:p>
    <w:p w14:paraId="343FD522" w14:textId="77777777" w:rsidR="00F10AF1" w:rsidRPr="0013396E" w:rsidRDefault="00F10AF1" w:rsidP="00F10AF1">
      <w:pPr>
        <w:spacing w:after="240"/>
        <w:ind w:left="1440" w:hanging="720"/>
        <w:rPr>
          <w:i/>
          <w:vertAlign w:val="subscript"/>
        </w:rPr>
      </w:pPr>
      <w:r w:rsidRPr="0013396E">
        <w:t xml:space="preserve">RNWF </w:t>
      </w:r>
      <w:r w:rsidRPr="0013396E">
        <w:rPr>
          <w:i/>
          <w:vertAlign w:val="subscript"/>
        </w:rPr>
        <w:t xml:space="preserve">y   </w:t>
      </w:r>
      <w:r w:rsidRPr="0013396E">
        <w:t xml:space="preserve">=  TLMP </w:t>
      </w:r>
      <w:r w:rsidRPr="0013396E">
        <w:rPr>
          <w:i/>
          <w:vertAlign w:val="subscript"/>
        </w:rPr>
        <w:t>y</w:t>
      </w:r>
      <w:r w:rsidRPr="0013396E">
        <w:t xml:space="preserve"> </w:t>
      </w:r>
      <w:r w:rsidRPr="0013396E">
        <w:rPr>
          <w:color w:val="000000"/>
          <w:sz w:val="32"/>
          <w:szCs w:val="32"/>
        </w:rPr>
        <w:t>/</w:t>
      </w:r>
      <w:r w:rsidRPr="0013396E">
        <w:rPr>
          <w:color w:val="000000"/>
        </w:rPr>
        <w:t xml:space="preserve"> </w:t>
      </w:r>
      <w:r w:rsidRPr="0013396E">
        <w:rPr>
          <w:position w:val="-22"/>
          <w:szCs w:val="24"/>
        </w:rPr>
        <w:object w:dxaOrig="285" w:dyaOrig="285" w14:anchorId="7E504797">
          <v:shape id="_x0000_i1290" type="#_x0000_t75" style="width:24pt;height:24pt" o:ole="">
            <v:imagedata r:id="rId20" o:title=""/>
          </v:shape>
          <o:OLEObject Type="Embed" ProgID="Equation.3" ShapeID="_x0000_i1290" DrawAspect="Content" ObjectID="_1836311567" r:id="rId367"/>
        </w:object>
      </w:r>
      <w:r w:rsidRPr="0013396E">
        <w:t xml:space="preserve">TLMP </w:t>
      </w:r>
      <w:r w:rsidRPr="0013396E">
        <w:rPr>
          <w:i/>
          <w:vertAlign w:val="subscript"/>
        </w:rPr>
        <w:t>y</w:t>
      </w:r>
    </w:p>
    <w:p w14:paraId="0FE0397E" w14:textId="77777777" w:rsidR="00F10AF1" w:rsidRPr="0013396E" w:rsidRDefault="00F10AF1" w:rsidP="00F10AF1">
      <w:pPr>
        <w:pStyle w:val="Instructions"/>
        <w:spacing w:after="0"/>
        <w:ind w:left="720" w:hanging="720"/>
        <w:rPr>
          <w:i w:val="0"/>
        </w:rPr>
      </w:pPr>
      <w:r w:rsidRPr="0013396E">
        <w:rPr>
          <w:b w:val="0"/>
          <w:i w:val="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392"/>
        <w:gridCol w:w="1165"/>
        <w:gridCol w:w="5793"/>
      </w:tblGrid>
      <w:tr w:rsidR="00F10AF1" w:rsidRPr="0013396E" w14:paraId="0D106124" w14:textId="77777777" w:rsidTr="0099759E">
        <w:trPr>
          <w:cantSplit/>
          <w:tblHeader/>
        </w:trPr>
        <w:tc>
          <w:tcPr>
            <w:tcW w:w="1279" w:type="pct"/>
            <w:tcBorders>
              <w:top w:val="single" w:sz="4" w:space="0" w:color="auto"/>
              <w:left w:val="single" w:sz="4" w:space="0" w:color="auto"/>
              <w:bottom w:val="single" w:sz="4" w:space="0" w:color="auto"/>
              <w:right w:val="single" w:sz="4" w:space="0" w:color="auto"/>
            </w:tcBorders>
            <w:hideMark/>
          </w:tcPr>
          <w:p w14:paraId="280A5CD5" w14:textId="77777777" w:rsidR="00F10AF1" w:rsidRPr="0013396E" w:rsidRDefault="00F10AF1" w:rsidP="0099759E">
            <w:pPr>
              <w:pStyle w:val="TableHead"/>
            </w:pPr>
            <w:r w:rsidRPr="0013396E">
              <w:t>Variable</w:t>
            </w:r>
          </w:p>
        </w:tc>
        <w:tc>
          <w:tcPr>
            <w:tcW w:w="623" w:type="pct"/>
            <w:tcBorders>
              <w:top w:val="single" w:sz="4" w:space="0" w:color="auto"/>
              <w:left w:val="single" w:sz="4" w:space="0" w:color="auto"/>
              <w:bottom w:val="single" w:sz="4" w:space="0" w:color="auto"/>
              <w:right w:val="single" w:sz="4" w:space="0" w:color="auto"/>
            </w:tcBorders>
            <w:hideMark/>
          </w:tcPr>
          <w:p w14:paraId="30982ADA" w14:textId="77777777" w:rsidR="00F10AF1" w:rsidRPr="0013396E" w:rsidRDefault="00F10AF1" w:rsidP="0099759E">
            <w:pPr>
              <w:pStyle w:val="TableHead"/>
            </w:pPr>
            <w:r w:rsidRPr="0013396E">
              <w:t>Unit</w:t>
            </w:r>
          </w:p>
        </w:tc>
        <w:tc>
          <w:tcPr>
            <w:tcW w:w="3098" w:type="pct"/>
            <w:tcBorders>
              <w:top w:val="single" w:sz="4" w:space="0" w:color="auto"/>
              <w:left w:val="single" w:sz="4" w:space="0" w:color="auto"/>
              <w:bottom w:val="single" w:sz="4" w:space="0" w:color="auto"/>
              <w:right w:val="single" w:sz="4" w:space="0" w:color="auto"/>
            </w:tcBorders>
            <w:hideMark/>
          </w:tcPr>
          <w:p w14:paraId="58B0AE02" w14:textId="77777777" w:rsidR="00F10AF1" w:rsidRPr="0013396E" w:rsidRDefault="00F10AF1" w:rsidP="0099759E">
            <w:pPr>
              <w:pStyle w:val="TableHead"/>
            </w:pPr>
            <w:r w:rsidRPr="0013396E">
              <w:t>Description</w:t>
            </w:r>
          </w:p>
        </w:tc>
      </w:tr>
      <w:tr w:rsidR="00F10AF1" w:rsidRPr="0013396E" w14:paraId="66E18995"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486B5075" w14:textId="77777777" w:rsidR="00F10AF1" w:rsidRPr="0013396E" w:rsidRDefault="00F10AF1" w:rsidP="0099759E">
            <w:pPr>
              <w:pStyle w:val="tablebody0"/>
            </w:pPr>
            <w:r w:rsidRPr="0013396E">
              <w:t xml:space="preserve">RTECRIMBAMT </w:t>
            </w:r>
            <w:r w:rsidRPr="0013396E">
              <w:rPr>
                <w:i/>
                <w:vertAlign w:val="subscript"/>
              </w:rPr>
              <w:t>q</w:t>
            </w:r>
          </w:p>
        </w:tc>
        <w:tc>
          <w:tcPr>
            <w:tcW w:w="623" w:type="pct"/>
            <w:tcBorders>
              <w:top w:val="single" w:sz="4" w:space="0" w:color="auto"/>
              <w:left w:val="single" w:sz="4" w:space="0" w:color="auto"/>
              <w:bottom w:val="single" w:sz="4" w:space="0" w:color="auto"/>
              <w:right w:val="single" w:sz="4" w:space="0" w:color="auto"/>
            </w:tcBorders>
            <w:hideMark/>
          </w:tcPr>
          <w:p w14:paraId="57FA830D" w14:textId="77777777" w:rsidR="00F10AF1" w:rsidRPr="0013396E" w:rsidRDefault="00F10AF1" w:rsidP="0099759E">
            <w:pPr>
              <w:pStyle w:val="tablebody0"/>
            </w:pPr>
            <w:r w:rsidRPr="0013396E">
              <w:t>$</w:t>
            </w:r>
          </w:p>
        </w:tc>
        <w:tc>
          <w:tcPr>
            <w:tcW w:w="3098" w:type="pct"/>
            <w:tcBorders>
              <w:top w:val="single" w:sz="4" w:space="0" w:color="auto"/>
              <w:left w:val="single" w:sz="4" w:space="0" w:color="auto"/>
              <w:bottom w:val="single" w:sz="4" w:space="0" w:color="auto"/>
              <w:right w:val="single" w:sz="4" w:space="0" w:color="auto"/>
            </w:tcBorders>
            <w:hideMark/>
          </w:tcPr>
          <w:p w14:paraId="40826ECD" w14:textId="77777777" w:rsidR="00F10AF1" w:rsidRPr="0013396E" w:rsidRDefault="00F10AF1" w:rsidP="0099759E">
            <w:pPr>
              <w:pStyle w:val="tablebody0"/>
              <w:rPr>
                <w:i/>
              </w:rPr>
            </w:pPr>
            <w:r w:rsidRPr="0013396E">
              <w:rPr>
                <w:i/>
              </w:rPr>
              <w:t>Real-Time ERCOT Contingency Reserve Service Imbalance Amount for the QSE—</w:t>
            </w:r>
            <w:r w:rsidRPr="0013396E">
              <w:t xml:space="preserve">The total payment or charge to QSE </w:t>
            </w:r>
            <w:r w:rsidRPr="0013396E">
              <w:rPr>
                <w:i/>
              </w:rPr>
              <w:t>q</w:t>
            </w:r>
            <w:r w:rsidRPr="0013396E">
              <w:t xml:space="preserve"> for the Real-Time ECRS imbalance for each 15-minute Settlement Interval.</w:t>
            </w:r>
          </w:p>
        </w:tc>
      </w:tr>
      <w:tr w:rsidR="00F10AF1" w:rsidRPr="0013396E" w14:paraId="7F00D505"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75681488" w14:textId="77777777" w:rsidR="00F10AF1" w:rsidRPr="0013396E" w:rsidRDefault="00F10AF1" w:rsidP="0099759E">
            <w:pPr>
              <w:pStyle w:val="tablebody0"/>
            </w:pPr>
            <w:r w:rsidRPr="0013396E">
              <w:t xml:space="preserve">RTECRAWD </w:t>
            </w:r>
            <w:r w:rsidRPr="0013396E">
              <w:rPr>
                <w:vertAlign w:val="subscript"/>
              </w:rPr>
              <w:t>q, r</w:t>
            </w:r>
          </w:p>
        </w:tc>
        <w:tc>
          <w:tcPr>
            <w:tcW w:w="623" w:type="pct"/>
            <w:tcBorders>
              <w:top w:val="single" w:sz="4" w:space="0" w:color="auto"/>
              <w:left w:val="single" w:sz="4" w:space="0" w:color="auto"/>
              <w:bottom w:val="single" w:sz="4" w:space="0" w:color="auto"/>
              <w:right w:val="single" w:sz="4" w:space="0" w:color="auto"/>
            </w:tcBorders>
            <w:hideMark/>
          </w:tcPr>
          <w:p w14:paraId="34E8ABD4" w14:textId="77777777" w:rsidR="00F10AF1" w:rsidRPr="0013396E" w:rsidRDefault="00F10AF1" w:rsidP="0099759E">
            <w:pPr>
              <w:pStyle w:val="tablebody0"/>
            </w:pPr>
            <w:r w:rsidRPr="0013396E">
              <w:t>MW</w:t>
            </w:r>
          </w:p>
        </w:tc>
        <w:tc>
          <w:tcPr>
            <w:tcW w:w="3098" w:type="pct"/>
            <w:tcBorders>
              <w:top w:val="single" w:sz="4" w:space="0" w:color="auto"/>
              <w:left w:val="single" w:sz="4" w:space="0" w:color="auto"/>
              <w:bottom w:val="single" w:sz="4" w:space="0" w:color="auto"/>
              <w:right w:val="single" w:sz="4" w:space="0" w:color="auto"/>
            </w:tcBorders>
            <w:hideMark/>
          </w:tcPr>
          <w:p w14:paraId="5D14B8C2" w14:textId="77777777" w:rsidR="00F10AF1" w:rsidRPr="0013396E" w:rsidRDefault="00F10AF1" w:rsidP="0099759E">
            <w:pPr>
              <w:pStyle w:val="tablebody0"/>
              <w:rPr>
                <w:i/>
              </w:rPr>
            </w:pPr>
            <w:r w:rsidRPr="0013396E">
              <w:rPr>
                <w:i/>
              </w:rPr>
              <w:t>Real-Time ERCOT Contingency Reserve Service Award per Resource per QSE</w:t>
            </w:r>
            <w:r w:rsidRPr="0013396E">
              <w:sym w:font="Symbol" w:char="F0BE"/>
            </w:r>
            <w:r w:rsidRPr="0013396E">
              <w:t xml:space="preserve">The ECRS amount awarded to QSE </w:t>
            </w:r>
            <w:r w:rsidRPr="0013396E">
              <w:rPr>
                <w:i/>
              </w:rPr>
              <w:t>q</w:t>
            </w:r>
            <w:r w:rsidRPr="0013396E">
              <w:t xml:space="preserve"> for Resource </w:t>
            </w:r>
            <w:r w:rsidRPr="0013396E">
              <w:rPr>
                <w:i/>
              </w:rPr>
              <w:t>r</w:t>
            </w:r>
            <w:r w:rsidRPr="0013396E">
              <w:t xml:space="preserve"> in Real-Time for the 15-minute Settlement Interval.  Where for a Combined Cycle Train, the Resource </w:t>
            </w:r>
            <w:r w:rsidRPr="0013396E">
              <w:rPr>
                <w:i/>
              </w:rPr>
              <w:t>r</w:t>
            </w:r>
            <w:r w:rsidRPr="0013396E">
              <w:t xml:space="preserve"> is a Combined Cycle Generation Resource within the Combined Cycle Train.</w:t>
            </w:r>
          </w:p>
        </w:tc>
      </w:tr>
      <w:tr w:rsidR="00F10AF1" w:rsidRPr="0013396E" w14:paraId="1DF33101"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5DF92C42" w14:textId="77777777" w:rsidR="00F10AF1" w:rsidRPr="0013396E" w:rsidRDefault="00F10AF1" w:rsidP="0099759E">
            <w:pPr>
              <w:pStyle w:val="tablebody0"/>
            </w:pPr>
            <w:r w:rsidRPr="0013396E">
              <w:t xml:space="preserve">RTECRREV </w:t>
            </w:r>
            <w:r w:rsidRPr="0013396E">
              <w:rPr>
                <w:i/>
                <w:vertAlign w:val="subscript"/>
              </w:rPr>
              <w:t>q, r</w:t>
            </w:r>
          </w:p>
        </w:tc>
        <w:tc>
          <w:tcPr>
            <w:tcW w:w="623" w:type="pct"/>
            <w:tcBorders>
              <w:top w:val="single" w:sz="4" w:space="0" w:color="auto"/>
              <w:left w:val="single" w:sz="4" w:space="0" w:color="auto"/>
              <w:bottom w:val="single" w:sz="4" w:space="0" w:color="auto"/>
              <w:right w:val="single" w:sz="4" w:space="0" w:color="auto"/>
            </w:tcBorders>
            <w:hideMark/>
          </w:tcPr>
          <w:p w14:paraId="3B23BB2A" w14:textId="77777777" w:rsidR="00F10AF1" w:rsidRPr="0013396E" w:rsidRDefault="00F10AF1" w:rsidP="0099759E">
            <w:pPr>
              <w:pStyle w:val="tablebody0"/>
            </w:pPr>
            <w:r w:rsidRPr="0013396E">
              <w:t>$</w:t>
            </w:r>
          </w:p>
        </w:tc>
        <w:tc>
          <w:tcPr>
            <w:tcW w:w="3098" w:type="pct"/>
            <w:tcBorders>
              <w:top w:val="single" w:sz="4" w:space="0" w:color="auto"/>
              <w:left w:val="single" w:sz="4" w:space="0" w:color="auto"/>
              <w:bottom w:val="single" w:sz="4" w:space="0" w:color="auto"/>
              <w:right w:val="single" w:sz="4" w:space="0" w:color="auto"/>
            </w:tcBorders>
            <w:hideMark/>
          </w:tcPr>
          <w:p w14:paraId="64D01645" w14:textId="77777777" w:rsidR="00F10AF1" w:rsidRPr="0013396E" w:rsidRDefault="00F10AF1" w:rsidP="0099759E">
            <w:pPr>
              <w:pStyle w:val="tablebody0"/>
              <w:rPr>
                <w:i/>
              </w:rPr>
            </w:pPr>
            <w:r w:rsidRPr="0013396E">
              <w:rPr>
                <w:i/>
              </w:rPr>
              <w:t>Real-Time ERCOT Contingency Reserve Service Revenue</w:t>
            </w:r>
            <w:r w:rsidRPr="0013396E">
              <w:t xml:space="preserve">—The Real-Time ECRS revenue for QSE </w:t>
            </w:r>
            <w:r w:rsidRPr="0013396E">
              <w:rPr>
                <w:i/>
              </w:rPr>
              <w:t xml:space="preserve">q </w:t>
            </w:r>
            <w:r w:rsidRPr="0013396E">
              <w:t xml:space="preserve">calculated for Resource </w:t>
            </w:r>
            <w:r w:rsidRPr="0013396E">
              <w:rPr>
                <w:i/>
              </w:rPr>
              <w:t>r</w:t>
            </w:r>
            <w:r w:rsidRPr="0013396E">
              <w:t xml:space="preserve"> for the 15-minute Settlement Interval.  Where for a Combined Cycle Train, the Resource </w:t>
            </w:r>
            <w:r w:rsidRPr="0013396E">
              <w:rPr>
                <w:i/>
              </w:rPr>
              <w:t>r</w:t>
            </w:r>
            <w:r w:rsidRPr="0013396E">
              <w:t xml:space="preserve"> is the Combined Cycle Train.</w:t>
            </w:r>
          </w:p>
        </w:tc>
      </w:tr>
      <w:tr w:rsidR="00F10AF1" w:rsidRPr="0013396E" w14:paraId="36548070"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15ABC856" w14:textId="77777777" w:rsidR="00F10AF1" w:rsidRPr="0013396E" w:rsidRDefault="00F10AF1" w:rsidP="0099759E">
            <w:pPr>
              <w:pStyle w:val="tablebody0"/>
            </w:pPr>
            <w:r w:rsidRPr="0013396E">
              <w:t xml:space="preserve">RTECRAWDS </w:t>
            </w:r>
            <w:r w:rsidRPr="0013396E">
              <w:rPr>
                <w:i/>
                <w:vertAlign w:val="subscript"/>
              </w:rPr>
              <w:t>q, r, y</w:t>
            </w:r>
          </w:p>
        </w:tc>
        <w:tc>
          <w:tcPr>
            <w:tcW w:w="623" w:type="pct"/>
            <w:tcBorders>
              <w:top w:val="single" w:sz="4" w:space="0" w:color="auto"/>
              <w:left w:val="single" w:sz="4" w:space="0" w:color="auto"/>
              <w:bottom w:val="single" w:sz="4" w:space="0" w:color="auto"/>
              <w:right w:val="single" w:sz="4" w:space="0" w:color="auto"/>
            </w:tcBorders>
            <w:hideMark/>
          </w:tcPr>
          <w:p w14:paraId="7A313DF7" w14:textId="77777777" w:rsidR="00F10AF1" w:rsidRPr="0013396E" w:rsidRDefault="00F10AF1" w:rsidP="0099759E">
            <w:pPr>
              <w:pStyle w:val="tablebody0"/>
            </w:pPr>
            <w:r w:rsidRPr="0013396E">
              <w:t>MW</w:t>
            </w:r>
          </w:p>
        </w:tc>
        <w:tc>
          <w:tcPr>
            <w:tcW w:w="3098" w:type="pct"/>
            <w:tcBorders>
              <w:top w:val="single" w:sz="4" w:space="0" w:color="auto"/>
              <w:left w:val="single" w:sz="4" w:space="0" w:color="auto"/>
              <w:bottom w:val="single" w:sz="4" w:space="0" w:color="auto"/>
              <w:right w:val="single" w:sz="4" w:space="0" w:color="auto"/>
            </w:tcBorders>
            <w:hideMark/>
          </w:tcPr>
          <w:p w14:paraId="4E232BCF" w14:textId="77777777" w:rsidR="00F10AF1" w:rsidRPr="0013396E" w:rsidRDefault="00F10AF1" w:rsidP="0099759E">
            <w:pPr>
              <w:pStyle w:val="tablebody0"/>
              <w:rPr>
                <w:i/>
              </w:rPr>
            </w:pPr>
            <w:r w:rsidRPr="0013396E">
              <w:rPr>
                <w:i/>
              </w:rPr>
              <w:t>Real-Time ERCOT Contingency Reserve Service Award per Resource per QSE per SCED interval</w:t>
            </w:r>
            <w:r w:rsidRPr="0013396E">
              <w:rPr>
                <w:iCs/>
              </w:rPr>
              <w:t>—</w:t>
            </w:r>
            <w:r w:rsidRPr="0013396E">
              <w:t xml:space="preserve">The ECRS amount awarded to QSE </w:t>
            </w:r>
            <w:r w:rsidRPr="0013396E">
              <w:rPr>
                <w:i/>
              </w:rPr>
              <w:t>q</w:t>
            </w:r>
            <w:r w:rsidRPr="0013396E">
              <w:t xml:space="preserve"> for Resource </w:t>
            </w:r>
            <w:r w:rsidRPr="0013396E">
              <w:rPr>
                <w:i/>
              </w:rPr>
              <w:t>r</w:t>
            </w:r>
            <w:r w:rsidRPr="0013396E">
              <w:t xml:space="preserve"> in Real-Time for the SCED interval </w:t>
            </w:r>
            <w:r w:rsidRPr="0013396E">
              <w:rPr>
                <w:i/>
              </w:rPr>
              <w:t>y.</w:t>
            </w:r>
            <w:r w:rsidRPr="0013396E">
              <w:t xml:space="preserve">  Where for a Combined Cycle Train, the Resource </w:t>
            </w:r>
            <w:r w:rsidRPr="0013396E">
              <w:rPr>
                <w:i/>
              </w:rPr>
              <w:t>r</w:t>
            </w:r>
            <w:r w:rsidRPr="0013396E">
              <w:t xml:space="preserve"> is the Combined Cycle Train.</w:t>
            </w:r>
          </w:p>
        </w:tc>
      </w:tr>
      <w:tr w:rsidR="00F10AF1" w:rsidRPr="0013396E" w14:paraId="046026AC"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62D0132A" w14:textId="77777777" w:rsidR="00F10AF1" w:rsidRPr="0013396E" w:rsidRDefault="00F10AF1" w:rsidP="0099759E">
            <w:pPr>
              <w:pStyle w:val="tablebody0"/>
            </w:pPr>
            <w:r w:rsidRPr="0013396E">
              <w:t xml:space="preserve">RTMCPCECRR </w:t>
            </w:r>
            <w:r w:rsidRPr="0013396E">
              <w:rPr>
                <w:i/>
                <w:vertAlign w:val="subscript"/>
              </w:rPr>
              <w:t>q, r</w:t>
            </w:r>
          </w:p>
        </w:tc>
        <w:tc>
          <w:tcPr>
            <w:tcW w:w="623" w:type="pct"/>
            <w:tcBorders>
              <w:top w:val="single" w:sz="4" w:space="0" w:color="auto"/>
              <w:left w:val="single" w:sz="4" w:space="0" w:color="auto"/>
              <w:bottom w:val="single" w:sz="4" w:space="0" w:color="auto"/>
              <w:right w:val="single" w:sz="4" w:space="0" w:color="auto"/>
            </w:tcBorders>
            <w:hideMark/>
          </w:tcPr>
          <w:p w14:paraId="637C213A" w14:textId="77777777" w:rsidR="00F10AF1" w:rsidRPr="0013396E" w:rsidRDefault="00F10AF1" w:rsidP="0099759E">
            <w:pPr>
              <w:pStyle w:val="tablebody0"/>
            </w:pPr>
            <w:r w:rsidRPr="0013396E">
              <w:t>$/MW</w:t>
            </w:r>
          </w:p>
        </w:tc>
        <w:tc>
          <w:tcPr>
            <w:tcW w:w="3098" w:type="pct"/>
            <w:tcBorders>
              <w:top w:val="single" w:sz="4" w:space="0" w:color="auto"/>
              <w:left w:val="single" w:sz="4" w:space="0" w:color="auto"/>
              <w:bottom w:val="single" w:sz="4" w:space="0" w:color="auto"/>
              <w:right w:val="single" w:sz="4" w:space="0" w:color="auto"/>
            </w:tcBorders>
            <w:hideMark/>
          </w:tcPr>
          <w:p w14:paraId="2C138849" w14:textId="77777777" w:rsidR="00F10AF1" w:rsidRPr="0013396E" w:rsidRDefault="00F10AF1" w:rsidP="0099759E">
            <w:pPr>
              <w:pStyle w:val="tablebody0"/>
              <w:rPr>
                <w:iCs/>
              </w:rPr>
            </w:pPr>
            <w:r w:rsidRPr="0013396E">
              <w:rPr>
                <w:i/>
              </w:rPr>
              <w:t>Real-Time Market Clearing Price for Capacity for ERCOT Contingency Reserve Service per Resource per QSE</w:t>
            </w:r>
            <w:r w:rsidRPr="0013396E">
              <w:sym w:font="Symbol" w:char="F0BE"/>
            </w:r>
            <w:r w:rsidRPr="0013396E">
              <w:t xml:space="preserve">The Real-Time MCPC for ECRS for Resource </w:t>
            </w:r>
            <w:r w:rsidRPr="0013396E">
              <w:rPr>
                <w:i/>
              </w:rPr>
              <w:t>r</w:t>
            </w:r>
            <w:r w:rsidRPr="0013396E">
              <w:t xml:space="preserve">, represented by QSE </w:t>
            </w:r>
            <w:r w:rsidRPr="0013396E">
              <w:rPr>
                <w:i/>
              </w:rPr>
              <w:t xml:space="preserve">q </w:t>
            </w:r>
            <w:r w:rsidRPr="0013396E">
              <w:t xml:space="preserve">for the 15-minute Settlement Interval.  Where for a Combined Cycle Train, the Resource </w:t>
            </w:r>
            <w:r w:rsidRPr="0013396E">
              <w:rPr>
                <w:i/>
              </w:rPr>
              <w:t>r</w:t>
            </w:r>
            <w:r w:rsidRPr="0013396E">
              <w:t xml:space="preserve"> is the Combined Cycle Train.</w:t>
            </w:r>
          </w:p>
        </w:tc>
      </w:tr>
      <w:tr w:rsidR="00F10AF1" w:rsidRPr="0013396E" w14:paraId="76A01230"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77B85944" w14:textId="77777777" w:rsidR="00F10AF1" w:rsidRPr="0013396E" w:rsidRDefault="00F10AF1" w:rsidP="0099759E">
            <w:pPr>
              <w:pStyle w:val="tablebody0"/>
            </w:pPr>
            <w:r w:rsidRPr="0013396E">
              <w:t>RTMCPCECRS</w:t>
            </w:r>
            <w:r w:rsidRPr="0013396E">
              <w:rPr>
                <w:i/>
                <w:vertAlign w:val="subscript"/>
              </w:rPr>
              <w:t xml:space="preserve"> y</w:t>
            </w:r>
          </w:p>
        </w:tc>
        <w:tc>
          <w:tcPr>
            <w:tcW w:w="623" w:type="pct"/>
            <w:tcBorders>
              <w:top w:val="single" w:sz="4" w:space="0" w:color="auto"/>
              <w:left w:val="single" w:sz="4" w:space="0" w:color="auto"/>
              <w:bottom w:val="single" w:sz="4" w:space="0" w:color="auto"/>
              <w:right w:val="single" w:sz="4" w:space="0" w:color="auto"/>
            </w:tcBorders>
            <w:hideMark/>
          </w:tcPr>
          <w:p w14:paraId="76457C29" w14:textId="77777777" w:rsidR="00F10AF1" w:rsidRPr="0013396E" w:rsidRDefault="00F10AF1" w:rsidP="0099759E">
            <w:pPr>
              <w:pStyle w:val="tablebody0"/>
            </w:pPr>
            <w:r w:rsidRPr="0013396E">
              <w:t>$/MW</w:t>
            </w:r>
          </w:p>
        </w:tc>
        <w:tc>
          <w:tcPr>
            <w:tcW w:w="3098" w:type="pct"/>
            <w:tcBorders>
              <w:top w:val="single" w:sz="4" w:space="0" w:color="auto"/>
              <w:left w:val="single" w:sz="4" w:space="0" w:color="auto"/>
              <w:bottom w:val="single" w:sz="4" w:space="0" w:color="auto"/>
              <w:right w:val="single" w:sz="4" w:space="0" w:color="auto"/>
            </w:tcBorders>
            <w:hideMark/>
          </w:tcPr>
          <w:p w14:paraId="62B937D7" w14:textId="77777777" w:rsidR="00F10AF1" w:rsidRPr="0013396E" w:rsidRDefault="00F10AF1" w:rsidP="0099759E">
            <w:pPr>
              <w:pStyle w:val="tablebody0"/>
              <w:rPr>
                <w:i/>
              </w:rPr>
            </w:pPr>
            <w:r w:rsidRPr="0013396E">
              <w:rPr>
                <w:i/>
              </w:rPr>
              <w:t>Real-Time Market Clearing Price</w:t>
            </w:r>
            <w:r w:rsidRPr="0013396E">
              <w:rPr>
                <w:bCs/>
                <w:i/>
                <w:lang w:val="pt-BR"/>
              </w:rPr>
              <w:t xml:space="preserve"> for Capacity</w:t>
            </w:r>
            <w:r w:rsidRPr="0013396E">
              <w:rPr>
                <w:i/>
              </w:rPr>
              <w:t xml:space="preserve"> for ERCOT Contingency Reserve Service per SCED Interval</w:t>
            </w:r>
            <w:r w:rsidRPr="0013396E">
              <w:t xml:space="preserve">—The Real-Time MCPC for ECRS for the SCED interval </w:t>
            </w:r>
            <w:r w:rsidRPr="0013396E">
              <w:rPr>
                <w:i/>
              </w:rPr>
              <w:t>y.</w:t>
            </w:r>
          </w:p>
        </w:tc>
      </w:tr>
      <w:tr w:rsidR="00F10AF1" w:rsidRPr="0013396E" w14:paraId="757201F7"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75E6A888" w14:textId="77777777" w:rsidR="00F10AF1" w:rsidRPr="0013396E" w:rsidRDefault="00F10AF1" w:rsidP="0099759E">
            <w:pPr>
              <w:pStyle w:val="tablebody0"/>
            </w:pPr>
            <w:r w:rsidRPr="0013396E">
              <w:rPr>
                <w:iCs/>
              </w:rPr>
              <w:t xml:space="preserve">PCECRR </w:t>
            </w:r>
            <w:r w:rsidRPr="0013396E">
              <w:rPr>
                <w:i/>
                <w:iCs/>
                <w:vertAlign w:val="subscript"/>
              </w:rPr>
              <w:t>r,</w:t>
            </w:r>
            <w:r w:rsidRPr="0013396E">
              <w:rPr>
                <w:i/>
                <w:iCs/>
              </w:rPr>
              <w:t xml:space="preserve"> </w:t>
            </w:r>
            <w:r w:rsidRPr="0013396E">
              <w:rPr>
                <w:i/>
                <w:iCs/>
                <w:vertAlign w:val="subscript"/>
              </w:rPr>
              <w:t>q, DAM</w:t>
            </w:r>
          </w:p>
        </w:tc>
        <w:tc>
          <w:tcPr>
            <w:tcW w:w="623" w:type="pct"/>
            <w:tcBorders>
              <w:top w:val="single" w:sz="4" w:space="0" w:color="auto"/>
              <w:left w:val="single" w:sz="4" w:space="0" w:color="auto"/>
              <w:bottom w:val="single" w:sz="4" w:space="0" w:color="auto"/>
              <w:right w:val="single" w:sz="4" w:space="0" w:color="auto"/>
            </w:tcBorders>
            <w:hideMark/>
          </w:tcPr>
          <w:p w14:paraId="2CDC553B" w14:textId="77777777" w:rsidR="00F10AF1" w:rsidRPr="0013396E" w:rsidRDefault="00F10AF1" w:rsidP="0099759E">
            <w:pPr>
              <w:pStyle w:val="tablebody0"/>
            </w:pPr>
            <w:r w:rsidRPr="0013396E">
              <w:t>MW</w:t>
            </w:r>
          </w:p>
        </w:tc>
        <w:tc>
          <w:tcPr>
            <w:tcW w:w="3098" w:type="pct"/>
            <w:tcBorders>
              <w:top w:val="single" w:sz="4" w:space="0" w:color="auto"/>
              <w:left w:val="single" w:sz="4" w:space="0" w:color="auto"/>
              <w:bottom w:val="single" w:sz="4" w:space="0" w:color="auto"/>
              <w:right w:val="single" w:sz="4" w:space="0" w:color="auto"/>
            </w:tcBorders>
            <w:hideMark/>
          </w:tcPr>
          <w:p w14:paraId="1BBE7A99" w14:textId="77777777" w:rsidR="00F10AF1" w:rsidRPr="0013396E" w:rsidRDefault="00F10AF1" w:rsidP="0099759E">
            <w:pPr>
              <w:pStyle w:val="tablebody0"/>
              <w:rPr>
                <w:i/>
              </w:rPr>
            </w:pPr>
            <w:r w:rsidRPr="0013396E">
              <w:rPr>
                <w:i/>
                <w:iCs/>
              </w:rPr>
              <w:t>Procured Capacity for ERCOT Contingency Reserve Service per Resource per QSE in DAM</w:t>
            </w:r>
            <w:r w:rsidRPr="0013396E">
              <w:rPr>
                <w:iCs/>
              </w:rPr>
              <w:t xml:space="preserve">—The ECRS capacity awarded to QSE </w:t>
            </w:r>
            <w:r w:rsidRPr="0013396E">
              <w:rPr>
                <w:i/>
                <w:iCs/>
              </w:rPr>
              <w:t>q</w:t>
            </w:r>
            <w:r w:rsidRPr="0013396E">
              <w:rPr>
                <w:iCs/>
              </w:rPr>
              <w:t xml:space="preserve"> in the DAM for Resource </w:t>
            </w:r>
            <w:r w:rsidRPr="0013396E">
              <w:rPr>
                <w:i/>
                <w:iCs/>
              </w:rPr>
              <w:t>r</w:t>
            </w:r>
            <w:r w:rsidRPr="0013396E">
              <w:rPr>
                <w:iCs/>
              </w:rPr>
              <w:t xml:space="preserve"> for the </w:t>
            </w:r>
            <w:r w:rsidRPr="0013396E">
              <w:rPr>
                <w:szCs w:val="18"/>
              </w:rPr>
              <w:t>Operating Hour</w:t>
            </w:r>
            <w:r w:rsidRPr="0013396E">
              <w:rPr>
                <w:iCs/>
              </w:rPr>
              <w:t xml:space="preserve">.  Where for a Combined Cycle Train, the Resource </w:t>
            </w:r>
            <w:r w:rsidRPr="0013396E">
              <w:rPr>
                <w:i/>
                <w:iCs/>
              </w:rPr>
              <w:t xml:space="preserve">r </w:t>
            </w:r>
            <w:r w:rsidRPr="0013396E">
              <w:rPr>
                <w:iCs/>
              </w:rPr>
              <w:t>is a Combined Cycle Generation Resource within the Combined Cycle Train.</w:t>
            </w:r>
          </w:p>
        </w:tc>
      </w:tr>
      <w:tr w:rsidR="00F10AF1" w:rsidRPr="0013396E" w14:paraId="41D49B44"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31C25E63" w14:textId="77777777" w:rsidR="00F10AF1" w:rsidRPr="0013396E" w:rsidRDefault="00F10AF1" w:rsidP="0099759E">
            <w:pPr>
              <w:pStyle w:val="tablebody0"/>
            </w:pPr>
            <w:r w:rsidRPr="0013396E">
              <w:t>RTMCPCECR</w:t>
            </w:r>
          </w:p>
        </w:tc>
        <w:tc>
          <w:tcPr>
            <w:tcW w:w="623" w:type="pct"/>
            <w:tcBorders>
              <w:top w:val="single" w:sz="4" w:space="0" w:color="auto"/>
              <w:left w:val="single" w:sz="4" w:space="0" w:color="auto"/>
              <w:bottom w:val="single" w:sz="4" w:space="0" w:color="auto"/>
              <w:right w:val="single" w:sz="4" w:space="0" w:color="auto"/>
            </w:tcBorders>
            <w:hideMark/>
          </w:tcPr>
          <w:p w14:paraId="08ABC6F9" w14:textId="77777777" w:rsidR="00F10AF1" w:rsidRPr="0013396E" w:rsidRDefault="00F10AF1" w:rsidP="0099759E">
            <w:pPr>
              <w:pStyle w:val="tablebody0"/>
            </w:pPr>
            <w:r w:rsidRPr="0013396E">
              <w:t>$/MW</w:t>
            </w:r>
          </w:p>
        </w:tc>
        <w:tc>
          <w:tcPr>
            <w:tcW w:w="3098" w:type="pct"/>
            <w:tcBorders>
              <w:top w:val="single" w:sz="4" w:space="0" w:color="auto"/>
              <w:left w:val="single" w:sz="4" w:space="0" w:color="auto"/>
              <w:bottom w:val="single" w:sz="4" w:space="0" w:color="auto"/>
              <w:right w:val="single" w:sz="4" w:space="0" w:color="auto"/>
            </w:tcBorders>
            <w:hideMark/>
          </w:tcPr>
          <w:p w14:paraId="40FCEB1D" w14:textId="77777777" w:rsidR="00F10AF1" w:rsidRPr="0013396E" w:rsidRDefault="00F10AF1" w:rsidP="0099759E">
            <w:pPr>
              <w:pStyle w:val="tablebody0"/>
              <w:rPr>
                <w:i/>
              </w:rPr>
            </w:pPr>
            <w:r w:rsidRPr="0013396E">
              <w:rPr>
                <w:i/>
              </w:rPr>
              <w:t>Real-Time Market Clearing Price for Capacity for ERCOT Contingency Reserve Service</w:t>
            </w:r>
            <w:r w:rsidRPr="0013396E">
              <w:t>—The Real-Time MCPC for ECRS for the 15-minute Settlement Interval.</w:t>
            </w:r>
          </w:p>
        </w:tc>
      </w:tr>
      <w:tr w:rsidR="00F10AF1" w:rsidRPr="0013396E" w14:paraId="2C4BAAC8"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1455507B" w14:textId="77777777" w:rsidR="00F10AF1" w:rsidRPr="0013396E" w:rsidRDefault="00F10AF1" w:rsidP="0099759E">
            <w:pPr>
              <w:pStyle w:val="tablebody0"/>
            </w:pPr>
            <w:r w:rsidRPr="0013396E">
              <w:t xml:space="preserve">RTRDPAECRS </w:t>
            </w:r>
            <w:r w:rsidRPr="0013396E">
              <w:rPr>
                <w:i/>
                <w:vertAlign w:val="subscript"/>
              </w:rPr>
              <w:t>y</w:t>
            </w:r>
          </w:p>
        </w:tc>
        <w:tc>
          <w:tcPr>
            <w:tcW w:w="623" w:type="pct"/>
            <w:tcBorders>
              <w:top w:val="single" w:sz="4" w:space="0" w:color="auto"/>
              <w:left w:val="single" w:sz="4" w:space="0" w:color="auto"/>
              <w:bottom w:val="single" w:sz="4" w:space="0" w:color="auto"/>
              <w:right w:val="single" w:sz="4" w:space="0" w:color="auto"/>
            </w:tcBorders>
            <w:hideMark/>
          </w:tcPr>
          <w:p w14:paraId="27FD2AD1" w14:textId="77777777" w:rsidR="00F10AF1" w:rsidRPr="0013396E" w:rsidRDefault="00F10AF1" w:rsidP="0099759E">
            <w:pPr>
              <w:pStyle w:val="tablebody0"/>
            </w:pPr>
            <w:r w:rsidRPr="0013396E">
              <w:t>$/MW</w:t>
            </w:r>
          </w:p>
        </w:tc>
        <w:tc>
          <w:tcPr>
            <w:tcW w:w="3098" w:type="pct"/>
            <w:tcBorders>
              <w:top w:val="single" w:sz="4" w:space="0" w:color="auto"/>
              <w:left w:val="single" w:sz="4" w:space="0" w:color="auto"/>
              <w:bottom w:val="single" w:sz="4" w:space="0" w:color="auto"/>
              <w:right w:val="single" w:sz="4" w:space="0" w:color="auto"/>
            </w:tcBorders>
            <w:hideMark/>
          </w:tcPr>
          <w:p w14:paraId="36606D3E" w14:textId="77777777" w:rsidR="00F10AF1" w:rsidRPr="0013396E" w:rsidRDefault="00F10AF1" w:rsidP="0099759E">
            <w:pPr>
              <w:pStyle w:val="tablebody0"/>
              <w:rPr>
                <w:i/>
              </w:rPr>
            </w:pPr>
            <w:r w:rsidRPr="0013396E">
              <w:rPr>
                <w:i/>
              </w:rPr>
              <w:t>Real-Time Reliability Deployment Price Adder for Ancillary Service for ERCOT Contingency Reserve Service per SCED interval</w:t>
            </w:r>
            <w:r w:rsidRPr="0013396E">
              <w:rPr>
                <w:iCs/>
              </w:rPr>
              <w:t>—</w:t>
            </w:r>
            <w:r w:rsidRPr="0013396E">
              <w:t xml:space="preserve">The Real-Time price adder for ECRS that captures the impact of reliability deployments on ECRS prices for the SCED interval </w:t>
            </w:r>
            <w:r w:rsidRPr="0013396E">
              <w:rPr>
                <w:i/>
              </w:rPr>
              <w:t>y</w:t>
            </w:r>
            <w:r w:rsidRPr="0013396E">
              <w:t xml:space="preserve">. </w:t>
            </w:r>
          </w:p>
        </w:tc>
      </w:tr>
      <w:tr w:rsidR="00F10AF1" w:rsidRPr="0013396E" w14:paraId="69AC8EFB"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6DE38A87" w14:textId="77777777" w:rsidR="00F10AF1" w:rsidRPr="0013396E" w:rsidRDefault="00F10AF1" w:rsidP="0099759E">
            <w:pPr>
              <w:pStyle w:val="tablebody0"/>
            </w:pPr>
            <w:r w:rsidRPr="0013396E">
              <w:t>DASAECRQ</w:t>
            </w:r>
            <w:r w:rsidRPr="0013396E">
              <w:rPr>
                <w:i/>
                <w:vertAlign w:val="subscript"/>
              </w:rPr>
              <w:t xml:space="preserve"> q</w:t>
            </w:r>
          </w:p>
        </w:tc>
        <w:tc>
          <w:tcPr>
            <w:tcW w:w="623" w:type="pct"/>
            <w:tcBorders>
              <w:top w:val="single" w:sz="4" w:space="0" w:color="auto"/>
              <w:left w:val="single" w:sz="4" w:space="0" w:color="auto"/>
              <w:bottom w:val="single" w:sz="4" w:space="0" w:color="auto"/>
              <w:right w:val="single" w:sz="4" w:space="0" w:color="auto"/>
            </w:tcBorders>
            <w:hideMark/>
          </w:tcPr>
          <w:p w14:paraId="4D464F02" w14:textId="77777777" w:rsidR="00F10AF1" w:rsidRPr="0013396E" w:rsidRDefault="00F10AF1" w:rsidP="0099759E">
            <w:pPr>
              <w:pStyle w:val="tablebody0"/>
            </w:pPr>
            <w:r w:rsidRPr="0013396E">
              <w:t>MW</w:t>
            </w:r>
          </w:p>
        </w:tc>
        <w:tc>
          <w:tcPr>
            <w:tcW w:w="3098" w:type="pct"/>
            <w:tcBorders>
              <w:top w:val="single" w:sz="4" w:space="0" w:color="auto"/>
              <w:left w:val="single" w:sz="4" w:space="0" w:color="auto"/>
              <w:bottom w:val="single" w:sz="4" w:space="0" w:color="auto"/>
              <w:right w:val="single" w:sz="4" w:space="0" w:color="auto"/>
            </w:tcBorders>
            <w:hideMark/>
          </w:tcPr>
          <w:p w14:paraId="1D51E435" w14:textId="77777777" w:rsidR="00F10AF1" w:rsidRPr="0013396E" w:rsidRDefault="00F10AF1" w:rsidP="0099759E">
            <w:pPr>
              <w:pStyle w:val="tablebody0"/>
              <w:rPr>
                <w:i/>
              </w:rPr>
            </w:pPr>
            <w:r w:rsidRPr="0013396E">
              <w:rPr>
                <w:i/>
                <w:iCs/>
              </w:rPr>
              <w:t>Day-Ahead Self-Arranged ERCOT Contingency Reserve Service Quantity per QSE</w:t>
            </w:r>
            <w:r w:rsidRPr="0013396E">
              <w:rPr>
                <w:iCs/>
              </w:rPr>
              <w:t xml:space="preserve">—The self-arranged ECRS quantity submitted by QSE </w:t>
            </w:r>
            <w:r w:rsidRPr="0013396E">
              <w:rPr>
                <w:i/>
                <w:iCs/>
              </w:rPr>
              <w:t>q</w:t>
            </w:r>
            <w:r w:rsidRPr="0013396E">
              <w:rPr>
                <w:iCs/>
              </w:rPr>
              <w:t xml:space="preserve"> before 1000 in the DAM for the Operating Hour.</w:t>
            </w:r>
          </w:p>
        </w:tc>
      </w:tr>
      <w:tr w:rsidR="00F10AF1" w:rsidRPr="0013396E" w14:paraId="782FF8F4"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1BF62933" w14:textId="77777777" w:rsidR="00F10AF1" w:rsidRPr="0013396E" w:rsidRDefault="00F10AF1" w:rsidP="0099759E">
            <w:pPr>
              <w:pStyle w:val="tablebody0"/>
            </w:pPr>
            <w:r w:rsidRPr="0013396E">
              <w:lastRenderedPageBreak/>
              <w:t xml:space="preserve">ECRTP </w:t>
            </w:r>
            <w:r w:rsidRPr="0013396E">
              <w:rPr>
                <w:i/>
                <w:vertAlign w:val="subscript"/>
              </w:rPr>
              <w:t>q</w:t>
            </w:r>
          </w:p>
        </w:tc>
        <w:tc>
          <w:tcPr>
            <w:tcW w:w="623" w:type="pct"/>
            <w:tcBorders>
              <w:top w:val="single" w:sz="4" w:space="0" w:color="auto"/>
              <w:left w:val="single" w:sz="4" w:space="0" w:color="auto"/>
              <w:bottom w:val="single" w:sz="4" w:space="0" w:color="auto"/>
              <w:right w:val="single" w:sz="4" w:space="0" w:color="auto"/>
            </w:tcBorders>
            <w:hideMark/>
          </w:tcPr>
          <w:p w14:paraId="4D974039" w14:textId="77777777" w:rsidR="00F10AF1" w:rsidRPr="0013396E" w:rsidRDefault="00F10AF1" w:rsidP="0099759E">
            <w:pPr>
              <w:pStyle w:val="tablebody0"/>
            </w:pPr>
            <w:r w:rsidRPr="0013396E">
              <w:t>MW</w:t>
            </w:r>
          </w:p>
        </w:tc>
        <w:tc>
          <w:tcPr>
            <w:tcW w:w="3098" w:type="pct"/>
            <w:tcBorders>
              <w:top w:val="single" w:sz="4" w:space="0" w:color="auto"/>
              <w:left w:val="single" w:sz="4" w:space="0" w:color="auto"/>
              <w:bottom w:val="single" w:sz="4" w:space="0" w:color="auto"/>
              <w:right w:val="single" w:sz="4" w:space="0" w:color="auto"/>
            </w:tcBorders>
            <w:hideMark/>
          </w:tcPr>
          <w:p w14:paraId="3E87BB79" w14:textId="77777777" w:rsidR="00F10AF1" w:rsidRPr="0013396E" w:rsidRDefault="00F10AF1" w:rsidP="0099759E">
            <w:pPr>
              <w:pStyle w:val="tablebody0"/>
              <w:rPr>
                <w:i/>
              </w:rPr>
            </w:pPr>
            <w:r w:rsidRPr="0013396E">
              <w:rPr>
                <w:i/>
              </w:rPr>
              <w:t>Trade Purchases for ERCOT Contingency Reserve Service for the QSE—</w:t>
            </w:r>
            <w:r w:rsidRPr="0013396E">
              <w:t xml:space="preserve">The trade purchases for QSE </w:t>
            </w:r>
            <w:r w:rsidRPr="0013396E">
              <w:rPr>
                <w:i/>
              </w:rPr>
              <w:t>q</w:t>
            </w:r>
            <w:r w:rsidRPr="0013396E">
              <w:t xml:space="preserve"> for ECRS for the </w:t>
            </w:r>
            <w:r w:rsidRPr="0013396E">
              <w:rPr>
                <w:szCs w:val="18"/>
              </w:rPr>
              <w:t>Operating Hour</w:t>
            </w:r>
            <w:r w:rsidRPr="0013396E">
              <w:t>.</w:t>
            </w:r>
          </w:p>
        </w:tc>
      </w:tr>
      <w:tr w:rsidR="00F10AF1" w:rsidRPr="0013396E" w14:paraId="39707DE0"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636EAD56" w14:textId="77777777" w:rsidR="00F10AF1" w:rsidRPr="0013396E" w:rsidRDefault="00F10AF1" w:rsidP="0099759E">
            <w:pPr>
              <w:pStyle w:val="tablebody0"/>
            </w:pPr>
            <w:r w:rsidRPr="0013396E">
              <w:t xml:space="preserve">ECRTS </w:t>
            </w:r>
            <w:r w:rsidRPr="0013396E">
              <w:rPr>
                <w:i/>
                <w:vertAlign w:val="subscript"/>
              </w:rPr>
              <w:t>q</w:t>
            </w:r>
          </w:p>
        </w:tc>
        <w:tc>
          <w:tcPr>
            <w:tcW w:w="623" w:type="pct"/>
            <w:tcBorders>
              <w:top w:val="single" w:sz="4" w:space="0" w:color="auto"/>
              <w:left w:val="single" w:sz="4" w:space="0" w:color="auto"/>
              <w:bottom w:val="single" w:sz="4" w:space="0" w:color="auto"/>
              <w:right w:val="single" w:sz="4" w:space="0" w:color="auto"/>
            </w:tcBorders>
            <w:hideMark/>
          </w:tcPr>
          <w:p w14:paraId="27FCB075" w14:textId="77777777" w:rsidR="00F10AF1" w:rsidRPr="0013396E" w:rsidRDefault="00F10AF1" w:rsidP="0099759E">
            <w:pPr>
              <w:pStyle w:val="tablebody0"/>
            </w:pPr>
            <w:r w:rsidRPr="0013396E">
              <w:t>MW</w:t>
            </w:r>
          </w:p>
        </w:tc>
        <w:tc>
          <w:tcPr>
            <w:tcW w:w="3098" w:type="pct"/>
            <w:tcBorders>
              <w:top w:val="single" w:sz="4" w:space="0" w:color="auto"/>
              <w:left w:val="single" w:sz="4" w:space="0" w:color="auto"/>
              <w:bottom w:val="single" w:sz="4" w:space="0" w:color="auto"/>
              <w:right w:val="single" w:sz="4" w:space="0" w:color="auto"/>
            </w:tcBorders>
            <w:hideMark/>
          </w:tcPr>
          <w:p w14:paraId="240A47C8" w14:textId="77777777" w:rsidR="00F10AF1" w:rsidRPr="0013396E" w:rsidRDefault="00F10AF1" w:rsidP="0099759E">
            <w:pPr>
              <w:pStyle w:val="tablebody0"/>
              <w:rPr>
                <w:i/>
              </w:rPr>
            </w:pPr>
            <w:r w:rsidRPr="0013396E">
              <w:rPr>
                <w:i/>
              </w:rPr>
              <w:t>Trade Sales for ERCOT Contingency Reserve Service for the QSE—</w:t>
            </w:r>
            <w:r w:rsidRPr="0013396E">
              <w:t xml:space="preserve">The trade sales for QSE </w:t>
            </w:r>
            <w:r w:rsidRPr="0013396E">
              <w:rPr>
                <w:i/>
              </w:rPr>
              <w:t>q</w:t>
            </w:r>
            <w:r w:rsidRPr="0013396E">
              <w:t xml:space="preserve"> for ECRS for the </w:t>
            </w:r>
            <w:r w:rsidRPr="0013396E">
              <w:rPr>
                <w:szCs w:val="18"/>
              </w:rPr>
              <w:t>Operating Hour</w:t>
            </w:r>
            <w:r w:rsidRPr="0013396E">
              <w:t>.</w:t>
            </w:r>
          </w:p>
        </w:tc>
      </w:tr>
      <w:tr w:rsidR="00F10AF1" w:rsidRPr="0013396E" w14:paraId="3EDFF6AA"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2B99D963" w14:textId="77777777" w:rsidR="00F10AF1" w:rsidRPr="0013396E" w:rsidRDefault="00F10AF1" w:rsidP="0099759E">
            <w:pPr>
              <w:pStyle w:val="tablebody0"/>
            </w:pPr>
            <w:r w:rsidRPr="0013396E">
              <w:t xml:space="preserve">TLMP </w:t>
            </w:r>
            <w:r w:rsidRPr="0013396E">
              <w:rPr>
                <w:i/>
                <w:vertAlign w:val="subscript"/>
              </w:rPr>
              <w:t>y</w:t>
            </w:r>
          </w:p>
        </w:tc>
        <w:tc>
          <w:tcPr>
            <w:tcW w:w="623" w:type="pct"/>
            <w:tcBorders>
              <w:top w:val="single" w:sz="4" w:space="0" w:color="auto"/>
              <w:left w:val="single" w:sz="4" w:space="0" w:color="auto"/>
              <w:bottom w:val="single" w:sz="4" w:space="0" w:color="auto"/>
              <w:right w:val="single" w:sz="4" w:space="0" w:color="auto"/>
            </w:tcBorders>
            <w:hideMark/>
          </w:tcPr>
          <w:p w14:paraId="48356ABB" w14:textId="77777777" w:rsidR="00F10AF1" w:rsidRPr="0013396E" w:rsidRDefault="00F10AF1" w:rsidP="0099759E">
            <w:pPr>
              <w:pStyle w:val="tablebody0"/>
            </w:pPr>
            <w:r w:rsidRPr="0013396E">
              <w:t>second</w:t>
            </w:r>
          </w:p>
        </w:tc>
        <w:tc>
          <w:tcPr>
            <w:tcW w:w="3098" w:type="pct"/>
            <w:tcBorders>
              <w:top w:val="single" w:sz="4" w:space="0" w:color="auto"/>
              <w:left w:val="single" w:sz="4" w:space="0" w:color="auto"/>
              <w:bottom w:val="single" w:sz="4" w:space="0" w:color="auto"/>
              <w:right w:val="single" w:sz="4" w:space="0" w:color="auto"/>
            </w:tcBorders>
            <w:hideMark/>
          </w:tcPr>
          <w:p w14:paraId="444C5183" w14:textId="77777777" w:rsidR="00F10AF1" w:rsidRPr="0013396E" w:rsidRDefault="00F10AF1" w:rsidP="0099759E">
            <w:pPr>
              <w:pStyle w:val="tablebody0"/>
              <w:rPr>
                <w:i/>
              </w:rPr>
            </w:pPr>
            <w:r w:rsidRPr="0013396E">
              <w:rPr>
                <w:i/>
                <w:iCs/>
              </w:rPr>
              <w:t xml:space="preserve">Duration of </w:t>
            </w:r>
            <w:r w:rsidRPr="0013396E">
              <w:rPr>
                <w:i/>
              </w:rPr>
              <w:t>SCED</w:t>
            </w:r>
            <w:r w:rsidRPr="0013396E">
              <w:rPr>
                <w:i/>
                <w:iCs/>
              </w:rPr>
              <w:t xml:space="preserve"> interval per interval</w:t>
            </w:r>
            <w:r w:rsidRPr="0013396E">
              <w:rPr>
                <w:iCs/>
              </w:rPr>
              <w:t>—</w:t>
            </w:r>
            <w:r w:rsidRPr="0013396E">
              <w:t xml:space="preserve">The duration of the SCED interval </w:t>
            </w:r>
            <w:r w:rsidRPr="0013396E">
              <w:rPr>
                <w:i/>
                <w:iCs/>
              </w:rPr>
              <w:t>y</w:t>
            </w:r>
            <w:r w:rsidRPr="0013396E">
              <w:t>.</w:t>
            </w:r>
          </w:p>
        </w:tc>
      </w:tr>
      <w:tr w:rsidR="00F10AF1" w:rsidRPr="0013396E" w14:paraId="0BC52A9D"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3106BD10" w14:textId="77777777" w:rsidR="00F10AF1" w:rsidRPr="0013396E" w:rsidRDefault="00F10AF1" w:rsidP="0099759E">
            <w:pPr>
              <w:pStyle w:val="tablebody0"/>
            </w:pPr>
            <w:r w:rsidRPr="0013396E">
              <w:t xml:space="preserve">RNWF </w:t>
            </w:r>
            <w:r w:rsidRPr="0013396E">
              <w:rPr>
                <w:i/>
                <w:vertAlign w:val="subscript"/>
              </w:rPr>
              <w:t>y</w:t>
            </w:r>
          </w:p>
        </w:tc>
        <w:tc>
          <w:tcPr>
            <w:tcW w:w="623" w:type="pct"/>
            <w:tcBorders>
              <w:top w:val="single" w:sz="4" w:space="0" w:color="auto"/>
              <w:left w:val="single" w:sz="4" w:space="0" w:color="auto"/>
              <w:bottom w:val="single" w:sz="4" w:space="0" w:color="auto"/>
              <w:right w:val="single" w:sz="4" w:space="0" w:color="auto"/>
            </w:tcBorders>
            <w:hideMark/>
          </w:tcPr>
          <w:p w14:paraId="6A8FD877" w14:textId="77777777" w:rsidR="00F10AF1" w:rsidRPr="0013396E" w:rsidRDefault="00F10AF1" w:rsidP="0099759E">
            <w:pPr>
              <w:pStyle w:val="tablebody0"/>
            </w:pPr>
            <w:r w:rsidRPr="0013396E">
              <w:t>none</w:t>
            </w:r>
          </w:p>
        </w:tc>
        <w:tc>
          <w:tcPr>
            <w:tcW w:w="3098" w:type="pct"/>
            <w:tcBorders>
              <w:top w:val="single" w:sz="4" w:space="0" w:color="auto"/>
              <w:left w:val="single" w:sz="4" w:space="0" w:color="auto"/>
              <w:bottom w:val="single" w:sz="4" w:space="0" w:color="auto"/>
              <w:right w:val="single" w:sz="4" w:space="0" w:color="auto"/>
            </w:tcBorders>
            <w:hideMark/>
          </w:tcPr>
          <w:p w14:paraId="2B703C47" w14:textId="77777777" w:rsidR="00F10AF1" w:rsidRPr="0013396E" w:rsidRDefault="00F10AF1" w:rsidP="0099759E">
            <w:pPr>
              <w:pStyle w:val="tablebody0"/>
              <w:rPr>
                <w:i/>
              </w:rPr>
            </w:pPr>
            <w:r w:rsidRPr="0013396E">
              <w:rPr>
                <w:i/>
              </w:rPr>
              <w:t>Resource Node Weighting Factor per interval</w:t>
            </w:r>
            <w:r w:rsidRPr="0013396E">
              <w:rPr>
                <w:iCs/>
              </w:rPr>
              <w:t>—</w:t>
            </w:r>
            <w:r w:rsidRPr="0013396E">
              <w:t xml:space="preserve">The weight used in the Ancillary Service award calculation for the portion of the SCED interval </w:t>
            </w:r>
            <w:r w:rsidRPr="0013396E">
              <w:rPr>
                <w:i/>
              </w:rPr>
              <w:t>y</w:t>
            </w:r>
            <w:r w:rsidRPr="0013396E">
              <w:t xml:space="preserve"> within the Settlement Interval.</w:t>
            </w:r>
          </w:p>
        </w:tc>
      </w:tr>
      <w:tr w:rsidR="00F10AF1" w:rsidRPr="0013396E" w14:paraId="1A294F58"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26009311" w14:textId="77777777" w:rsidR="00F10AF1" w:rsidRPr="0013396E" w:rsidRDefault="00F10AF1" w:rsidP="0099759E">
            <w:pPr>
              <w:pStyle w:val="tablebody0"/>
            </w:pPr>
            <w:r w:rsidRPr="0013396E">
              <w:t xml:space="preserve">ECRRWF </w:t>
            </w:r>
            <w:r w:rsidRPr="0013396E">
              <w:rPr>
                <w:i/>
                <w:vertAlign w:val="subscript"/>
              </w:rPr>
              <w:t>q, r, y</w:t>
            </w:r>
          </w:p>
        </w:tc>
        <w:tc>
          <w:tcPr>
            <w:tcW w:w="623" w:type="pct"/>
            <w:tcBorders>
              <w:top w:val="single" w:sz="4" w:space="0" w:color="auto"/>
              <w:left w:val="single" w:sz="4" w:space="0" w:color="auto"/>
              <w:bottom w:val="single" w:sz="4" w:space="0" w:color="auto"/>
              <w:right w:val="single" w:sz="4" w:space="0" w:color="auto"/>
            </w:tcBorders>
            <w:hideMark/>
          </w:tcPr>
          <w:p w14:paraId="7F16B855" w14:textId="77777777" w:rsidR="00F10AF1" w:rsidRPr="0013396E" w:rsidRDefault="00F10AF1" w:rsidP="0099759E">
            <w:pPr>
              <w:pStyle w:val="tablebody0"/>
            </w:pPr>
            <w:r w:rsidRPr="0013396E">
              <w:t>none</w:t>
            </w:r>
          </w:p>
        </w:tc>
        <w:tc>
          <w:tcPr>
            <w:tcW w:w="3098" w:type="pct"/>
            <w:tcBorders>
              <w:top w:val="single" w:sz="4" w:space="0" w:color="auto"/>
              <w:left w:val="single" w:sz="4" w:space="0" w:color="auto"/>
              <w:bottom w:val="single" w:sz="4" w:space="0" w:color="auto"/>
              <w:right w:val="single" w:sz="4" w:space="0" w:color="auto"/>
            </w:tcBorders>
            <w:hideMark/>
          </w:tcPr>
          <w:p w14:paraId="25AA87D2" w14:textId="77777777" w:rsidR="00F10AF1" w:rsidRPr="0013396E" w:rsidRDefault="00F10AF1" w:rsidP="0099759E">
            <w:pPr>
              <w:pStyle w:val="tablebody0"/>
              <w:rPr>
                <w:i/>
              </w:rPr>
            </w:pPr>
            <w:r w:rsidRPr="0013396E">
              <w:rPr>
                <w:i/>
              </w:rPr>
              <w:t>ERCOT Contingency Reserve Service Resource Node Weighting Factor per interval</w:t>
            </w:r>
            <w:r w:rsidRPr="0013396E">
              <w:rPr>
                <w:iCs/>
              </w:rPr>
              <w:t>—</w:t>
            </w:r>
            <w:r w:rsidRPr="0013396E">
              <w:t xml:space="preserve">The ECRS Resource weight, based on ECRS awards, used in the Real-Time MCPC calculation for the portion of the SCED interval </w:t>
            </w:r>
            <w:r w:rsidRPr="0013396E">
              <w:rPr>
                <w:i/>
              </w:rPr>
              <w:t>y</w:t>
            </w:r>
            <w:r w:rsidRPr="0013396E">
              <w:t xml:space="preserve"> within the Settlement Interval. </w:t>
            </w:r>
            <w:r w:rsidRPr="0013396E">
              <w:rPr>
                <w:i/>
              </w:rPr>
              <w:t xml:space="preserve"> </w:t>
            </w:r>
            <w:r w:rsidRPr="0013396E">
              <w:t xml:space="preserve">Where for a Combined Cycle Train, the Resource </w:t>
            </w:r>
            <w:r w:rsidRPr="0013396E">
              <w:rPr>
                <w:i/>
              </w:rPr>
              <w:t xml:space="preserve">r </w:t>
            </w:r>
            <w:r w:rsidRPr="0013396E">
              <w:t xml:space="preserve">is a Combined Cycle Generation Resource within the Combined Cycle Train.   </w:t>
            </w:r>
          </w:p>
        </w:tc>
      </w:tr>
      <w:tr w:rsidR="00F10AF1" w:rsidRPr="0013396E" w14:paraId="2996D1BF"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3DD5A475" w14:textId="77777777" w:rsidR="00F10AF1" w:rsidRPr="0013396E" w:rsidRDefault="00F10AF1" w:rsidP="0099759E">
            <w:pPr>
              <w:pStyle w:val="tablebody0"/>
            </w:pPr>
            <w:r w:rsidRPr="0013396E">
              <w:rPr>
                <w:i/>
              </w:rPr>
              <w:t>r</w:t>
            </w:r>
          </w:p>
        </w:tc>
        <w:tc>
          <w:tcPr>
            <w:tcW w:w="623" w:type="pct"/>
            <w:tcBorders>
              <w:top w:val="single" w:sz="4" w:space="0" w:color="auto"/>
              <w:left w:val="single" w:sz="4" w:space="0" w:color="auto"/>
              <w:bottom w:val="single" w:sz="4" w:space="0" w:color="auto"/>
              <w:right w:val="single" w:sz="4" w:space="0" w:color="auto"/>
            </w:tcBorders>
            <w:hideMark/>
          </w:tcPr>
          <w:p w14:paraId="4812ECE7" w14:textId="77777777" w:rsidR="00F10AF1" w:rsidRPr="0013396E" w:rsidRDefault="00F10AF1" w:rsidP="0099759E">
            <w:pPr>
              <w:pStyle w:val="tablebody0"/>
            </w:pPr>
            <w:r w:rsidRPr="0013396E">
              <w:t>none</w:t>
            </w:r>
          </w:p>
        </w:tc>
        <w:tc>
          <w:tcPr>
            <w:tcW w:w="3098" w:type="pct"/>
            <w:tcBorders>
              <w:top w:val="single" w:sz="4" w:space="0" w:color="auto"/>
              <w:left w:val="single" w:sz="4" w:space="0" w:color="auto"/>
              <w:bottom w:val="single" w:sz="4" w:space="0" w:color="auto"/>
              <w:right w:val="single" w:sz="4" w:space="0" w:color="auto"/>
            </w:tcBorders>
            <w:hideMark/>
          </w:tcPr>
          <w:p w14:paraId="19172FF0" w14:textId="77777777" w:rsidR="00F10AF1" w:rsidRPr="0013396E" w:rsidRDefault="00F10AF1" w:rsidP="0099759E">
            <w:pPr>
              <w:pStyle w:val="tablebody0"/>
              <w:rPr>
                <w:i/>
              </w:rPr>
            </w:pPr>
            <w:r w:rsidRPr="0013396E">
              <w:t>A Resource.</w:t>
            </w:r>
          </w:p>
        </w:tc>
      </w:tr>
      <w:tr w:rsidR="00F10AF1" w:rsidRPr="0013396E" w14:paraId="25560361"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19F951C6" w14:textId="77777777" w:rsidR="00F10AF1" w:rsidRPr="0013396E" w:rsidRDefault="00F10AF1" w:rsidP="0099759E">
            <w:pPr>
              <w:pStyle w:val="tablebody0"/>
              <w:rPr>
                <w:i/>
              </w:rPr>
            </w:pPr>
            <w:r w:rsidRPr="0013396E">
              <w:rPr>
                <w:i/>
              </w:rPr>
              <w:t>q</w:t>
            </w:r>
          </w:p>
        </w:tc>
        <w:tc>
          <w:tcPr>
            <w:tcW w:w="623" w:type="pct"/>
            <w:tcBorders>
              <w:top w:val="single" w:sz="4" w:space="0" w:color="auto"/>
              <w:left w:val="single" w:sz="4" w:space="0" w:color="auto"/>
              <w:bottom w:val="single" w:sz="4" w:space="0" w:color="auto"/>
              <w:right w:val="single" w:sz="4" w:space="0" w:color="auto"/>
            </w:tcBorders>
            <w:hideMark/>
          </w:tcPr>
          <w:p w14:paraId="0CC2D40D" w14:textId="77777777" w:rsidR="00F10AF1" w:rsidRPr="0013396E" w:rsidRDefault="00F10AF1" w:rsidP="0099759E">
            <w:pPr>
              <w:pStyle w:val="tablebody0"/>
            </w:pPr>
            <w:r w:rsidRPr="0013396E">
              <w:t>none</w:t>
            </w:r>
          </w:p>
        </w:tc>
        <w:tc>
          <w:tcPr>
            <w:tcW w:w="3098" w:type="pct"/>
            <w:tcBorders>
              <w:top w:val="single" w:sz="4" w:space="0" w:color="auto"/>
              <w:left w:val="single" w:sz="4" w:space="0" w:color="auto"/>
              <w:bottom w:val="single" w:sz="4" w:space="0" w:color="auto"/>
              <w:right w:val="single" w:sz="4" w:space="0" w:color="auto"/>
            </w:tcBorders>
            <w:hideMark/>
          </w:tcPr>
          <w:p w14:paraId="294DB643" w14:textId="77777777" w:rsidR="00F10AF1" w:rsidRPr="0013396E" w:rsidRDefault="00F10AF1" w:rsidP="0099759E">
            <w:pPr>
              <w:pStyle w:val="tablebody0"/>
            </w:pPr>
            <w:r w:rsidRPr="0013396E">
              <w:t>A QSE.</w:t>
            </w:r>
          </w:p>
        </w:tc>
      </w:tr>
      <w:tr w:rsidR="00F10AF1" w:rsidRPr="0013396E" w14:paraId="4D3CEE07"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6FCC6E50" w14:textId="77777777" w:rsidR="00F10AF1" w:rsidRPr="0013396E" w:rsidRDefault="00F10AF1" w:rsidP="0099759E">
            <w:pPr>
              <w:pStyle w:val="tablebody0"/>
              <w:rPr>
                <w:i/>
              </w:rPr>
            </w:pPr>
            <w:r w:rsidRPr="0013396E">
              <w:rPr>
                <w:i/>
              </w:rPr>
              <w:t>y</w:t>
            </w:r>
          </w:p>
        </w:tc>
        <w:tc>
          <w:tcPr>
            <w:tcW w:w="623" w:type="pct"/>
            <w:tcBorders>
              <w:top w:val="single" w:sz="4" w:space="0" w:color="auto"/>
              <w:left w:val="single" w:sz="4" w:space="0" w:color="auto"/>
              <w:bottom w:val="single" w:sz="4" w:space="0" w:color="auto"/>
              <w:right w:val="single" w:sz="4" w:space="0" w:color="auto"/>
            </w:tcBorders>
            <w:hideMark/>
          </w:tcPr>
          <w:p w14:paraId="10B0D73F" w14:textId="77777777" w:rsidR="00F10AF1" w:rsidRPr="0013396E" w:rsidRDefault="00F10AF1" w:rsidP="0099759E">
            <w:pPr>
              <w:pStyle w:val="tablebody0"/>
            </w:pPr>
            <w:r w:rsidRPr="0013396E">
              <w:t>none</w:t>
            </w:r>
          </w:p>
        </w:tc>
        <w:tc>
          <w:tcPr>
            <w:tcW w:w="3098" w:type="pct"/>
            <w:tcBorders>
              <w:top w:val="single" w:sz="4" w:space="0" w:color="auto"/>
              <w:left w:val="single" w:sz="4" w:space="0" w:color="auto"/>
              <w:bottom w:val="single" w:sz="4" w:space="0" w:color="auto"/>
              <w:right w:val="single" w:sz="4" w:space="0" w:color="auto"/>
            </w:tcBorders>
            <w:hideMark/>
          </w:tcPr>
          <w:p w14:paraId="6B3E39D1" w14:textId="77777777" w:rsidR="00F10AF1" w:rsidRPr="0013396E" w:rsidRDefault="00F10AF1" w:rsidP="0099759E">
            <w:pPr>
              <w:pStyle w:val="tablebody0"/>
            </w:pPr>
            <w:r w:rsidRPr="0013396E">
              <w:t>A SCED interval in the 15-minute Settlement Interval.</w:t>
            </w:r>
          </w:p>
        </w:tc>
      </w:tr>
    </w:tbl>
    <w:p w14:paraId="358459FC" w14:textId="77777777" w:rsidR="00F10AF1" w:rsidRPr="0013396E" w:rsidRDefault="00F10AF1" w:rsidP="00F10AF1">
      <w:pPr>
        <w:spacing w:before="240" w:after="240"/>
      </w:pPr>
      <w:r w:rsidRPr="0013396E">
        <w:t>(2)</w:t>
      </w:r>
      <w:r w:rsidRPr="0013396E">
        <w:tab/>
        <w:t>ECRS Only Charge:</w:t>
      </w:r>
    </w:p>
    <w:p w14:paraId="317CF16A" w14:textId="77777777" w:rsidR="00F10AF1" w:rsidRPr="0013396E" w:rsidRDefault="00F10AF1" w:rsidP="00F10AF1">
      <w:pPr>
        <w:pStyle w:val="FormulaBold"/>
      </w:pPr>
      <w:r w:rsidRPr="0013396E">
        <w:t>RTECROAMT</w:t>
      </w:r>
      <w:r w:rsidRPr="0013396E">
        <w:rPr>
          <w:i/>
          <w:vertAlign w:val="subscript"/>
        </w:rPr>
        <w:t xml:space="preserve"> q  </w:t>
      </w:r>
      <w:r w:rsidRPr="0013396E">
        <w:t xml:space="preserve">= </w:t>
      </w:r>
      <w:r w:rsidRPr="0013396E">
        <w:tab/>
        <w:t xml:space="preserve">(1/4) * DAECROAWD </w:t>
      </w:r>
      <w:r w:rsidRPr="0013396E">
        <w:rPr>
          <w:i/>
          <w:vertAlign w:val="subscript"/>
        </w:rPr>
        <w:t>q</w:t>
      </w:r>
      <w:r w:rsidRPr="0013396E">
        <w:t xml:space="preserve"> * RTMCPCECR</w:t>
      </w:r>
    </w:p>
    <w:p w14:paraId="21463352" w14:textId="77777777" w:rsidR="00F10AF1" w:rsidRPr="0013396E" w:rsidRDefault="00F10AF1" w:rsidP="00F10AF1">
      <w:pPr>
        <w:pStyle w:val="Instructions"/>
        <w:spacing w:after="0"/>
        <w:ind w:left="720" w:hanging="720"/>
        <w:rPr>
          <w:i w:val="0"/>
        </w:rPr>
      </w:pPr>
      <w:r w:rsidRPr="0013396E">
        <w:rPr>
          <w:b w:val="0"/>
          <w:i w:val="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392"/>
        <w:gridCol w:w="1165"/>
        <w:gridCol w:w="5793"/>
      </w:tblGrid>
      <w:tr w:rsidR="00F10AF1" w:rsidRPr="0013396E" w14:paraId="2521A8E0" w14:textId="77777777" w:rsidTr="0099759E">
        <w:trPr>
          <w:cantSplit/>
          <w:tblHeader/>
        </w:trPr>
        <w:tc>
          <w:tcPr>
            <w:tcW w:w="1279" w:type="pct"/>
            <w:tcBorders>
              <w:top w:val="single" w:sz="4" w:space="0" w:color="auto"/>
              <w:left w:val="single" w:sz="4" w:space="0" w:color="auto"/>
              <w:bottom w:val="single" w:sz="4" w:space="0" w:color="auto"/>
              <w:right w:val="single" w:sz="4" w:space="0" w:color="auto"/>
            </w:tcBorders>
            <w:hideMark/>
          </w:tcPr>
          <w:p w14:paraId="1D2B9307" w14:textId="77777777" w:rsidR="00F10AF1" w:rsidRPr="0013396E" w:rsidRDefault="00F10AF1" w:rsidP="0099759E">
            <w:pPr>
              <w:pStyle w:val="TableHead"/>
            </w:pPr>
            <w:r w:rsidRPr="0013396E">
              <w:t>Variable</w:t>
            </w:r>
          </w:p>
        </w:tc>
        <w:tc>
          <w:tcPr>
            <w:tcW w:w="623" w:type="pct"/>
            <w:tcBorders>
              <w:top w:val="single" w:sz="4" w:space="0" w:color="auto"/>
              <w:left w:val="single" w:sz="4" w:space="0" w:color="auto"/>
              <w:bottom w:val="single" w:sz="4" w:space="0" w:color="auto"/>
              <w:right w:val="single" w:sz="4" w:space="0" w:color="auto"/>
            </w:tcBorders>
            <w:hideMark/>
          </w:tcPr>
          <w:p w14:paraId="2BB43CE6" w14:textId="77777777" w:rsidR="00F10AF1" w:rsidRPr="0013396E" w:rsidRDefault="00F10AF1" w:rsidP="0099759E">
            <w:pPr>
              <w:pStyle w:val="TableHead"/>
            </w:pPr>
            <w:r w:rsidRPr="0013396E">
              <w:t>Unit</w:t>
            </w:r>
          </w:p>
        </w:tc>
        <w:tc>
          <w:tcPr>
            <w:tcW w:w="3098" w:type="pct"/>
            <w:tcBorders>
              <w:top w:val="single" w:sz="4" w:space="0" w:color="auto"/>
              <w:left w:val="single" w:sz="4" w:space="0" w:color="auto"/>
              <w:bottom w:val="single" w:sz="4" w:space="0" w:color="auto"/>
              <w:right w:val="single" w:sz="4" w:space="0" w:color="auto"/>
            </w:tcBorders>
            <w:hideMark/>
          </w:tcPr>
          <w:p w14:paraId="3C9116BA" w14:textId="77777777" w:rsidR="00F10AF1" w:rsidRPr="0013396E" w:rsidRDefault="00F10AF1" w:rsidP="0099759E">
            <w:pPr>
              <w:pStyle w:val="TableHead"/>
            </w:pPr>
            <w:r w:rsidRPr="0013396E">
              <w:t>Description</w:t>
            </w:r>
          </w:p>
        </w:tc>
      </w:tr>
      <w:tr w:rsidR="00F10AF1" w:rsidRPr="0013396E" w14:paraId="756314D5"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175861E9" w14:textId="77777777" w:rsidR="00F10AF1" w:rsidRPr="0013396E" w:rsidRDefault="00F10AF1" w:rsidP="0099759E">
            <w:pPr>
              <w:pStyle w:val="tablebody0"/>
            </w:pPr>
            <w:r w:rsidRPr="0013396E">
              <w:t xml:space="preserve">RTECROAMT </w:t>
            </w:r>
            <w:r w:rsidRPr="0013396E">
              <w:rPr>
                <w:i/>
                <w:vertAlign w:val="subscript"/>
              </w:rPr>
              <w:t>q</w:t>
            </w:r>
          </w:p>
        </w:tc>
        <w:tc>
          <w:tcPr>
            <w:tcW w:w="623" w:type="pct"/>
            <w:tcBorders>
              <w:top w:val="single" w:sz="4" w:space="0" w:color="auto"/>
              <w:left w:val="single" w:sz="4" w:space="0" w:color="auto"/>
              <w:bottom w:val="single" w:sz="4" w:space="0" w:color="auto"/>
              <w:right w:val="single" w:sz="4" w:space="0" w:color="auto"/>
            </w:tcBorders>
            <w:hideMark/>
          </w:tcPr>
          <w:p w14:paraId="34B0D487" w14:textId="77777777" w:rsidR="00F10AF1" w:rsidRPr="0013396E" w:rsidRDefault="00F10AF1" w:rsidP="0099759E">
            <w:pPr>
              <w:pStyle w:val="tablebody0"/>
            </w:pPr>
            <w:r w:rsidRPr="0013396E">
              <w:t>$</w:t>
            </w:r>
          </w:p>
        </w:tc>
        <w:tc>
          <w:tcPr>
            <w:tcW w:w="3098" w:type="pct"/>
            <w:tcBorders>
              <w:top w:val="single" w:sz="4" w:space="0" w:color="auto"/>
              <w:left w:val="single" w:sz="4" w:space="0" w:color="auto"/>
              <w:bottom w:val="single" w:sz="4" w:space="0" w:color="auto"/>
              <w:right w:val="single" w:sz="4" w:space="0" w:color="auto"/>
            </w:tcBorders>
            <w:hideMark/>
          </w:tcPr>
          <w:p w14:paraId="7ED61150" w14:textId="77777777" w:rsidR="00F10AF1" w:rsidRPr="0013396E" w:rsidRDefault="00F10AF1" w:rsidP="0099759E">
            <w:pPr>
              <w:pStyle w:val="tablebody0"/>
              <w:rPr>
                <w:i/>
              </w:rPr>
            </w:pPr>
            <w:r w:rsidRPr="0013396E">
              <w:rPr>
                <w:i/>
              </w:rPr>
              <w:t>Real-Time ERCOT Contingency Reserve Service Only Amount for the QSE—</w:t>
            </w:r>
            <w:r w:rsidRPr="0013396E">
              <w:t xml:space="preserve">The total charge to QSE </w:t>
            </w:r>
            <w:r w:rsidRPr="0013396E">
              <w:rPr>
                <w:i/>
              </w:rPr>
              <w:t>q</w:t>
            </w:r>
            <w:r w:rsidRPr="0013396E">
              <w:t xml:space="preserve"> in Real-Time for ECRS only awards for each 15-minute Settlement Interval.</w:t>
            </w:r>
          </w:p>
        </w:tc>
      </w:tr>
      <w:tr w:rsidR="00F10AF1" w:rsidRPr="0013396E" w14:paraId="30B02AA5"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7523296F" w14:textId="77777777" w:rsidR="00F10AF1" w:rsidRPr="0013396E" w:rsidRDefault="00F10AF1" w:rsidP="0099759E">
            <w:pPr>
              <w:pStyle w:val="tablebody0"/>
            </w:pPr>
            <w:r w:rsidRPr="0013396E">
              <w:t xml:space="preserve">DAECROAWD </w:t>
            </w:r>
            <w:r w:rsidRPr="0013396E">
              <w:rPr>
                <w:i/>
                <w:vertAlign w:val="subscript"/>
              </w:rPr>
              <w:t>q</w:t>
            </w:r>
          </w:p>
        </w:tc>
        <w:tc>
          <w:tcPr>
            <w:tcW w:w="623" w:type="pct"/>
            <w:tcBorders>
              <w:top w:val="single" w:sz="4" w:space="0" w:color="auto"/>
              <w:left w:val="single" w:sz="4" w:space="0" w:color="auto"/>
              <w:bottom w:val="single" w:sz="4" w:space="0" w:color="auto"/>
              <w:right w:val="single" w:sz="4" w:space="0" w:color="auto"/>
            </w:tcBorders>
            <w:hideMark/>
          </w:tcPr>
          <w:p w14:paraId="60F9837B" w14:textId="77777777" w:rsidR="00F10AF1" w:rsidRPr="0013396E" w:rsidRDefault="00F10AF1" w:rsidP="0099759E">
            <w:pPr>
              <w:pStyle w:val="tablebody0"/>
            </w:pPr>
            <w:r w:rsidRPr="0013396E">
              <w:t>MW</w:t>
            </w:r>
          </w:p>
        </w:tc>
        <w:tc>
          <w:tcPr>
            <w:tcW w:w="3098" w:type="pct"/>
            <w:tcBorders>
              <w:top w:val="single" w:sz="4" w:space="0" w:color="auto"/>
              <w:left w:val="single" w:sz="4" w:space="0" w:color="auto"/>
              <w:bottom w:val="single" w:sz="4" w:space="0" w:color="auto"/>
              <w:right w:val="single" w:sz="4" w:space="0" w:color="auto"/>
            </w:tcBorders>
            <w:hideMark/>
          </w:tcPr>
          <w:p w14:paraId="5F35DEC6" w14:textId="77777777" w:rsidR="00F10AF1" w:rsidRPr="0013396E" w:rsidRDefault="00F10AF1" w:rsidP="0099759E">
            <w:pPr>
              <w:pStyle w:val="tablebody0"/>
              <w:rPr>
                <w:i/>
              </w:rPr>
            </w:pPr>
            <w:r w:rsidRPr="0013396E">
              <w:rPr>
                <w:i/>
              </w:rPr>
              <w:t>Day-Ahead ERCOT Contingency Service Only Award for the QSE</w:t>
            </w:r>
            <w:r w:rsidRPr="0013396E">
              <w:sym w:font="Symbol" w:char="F0BE"/>
            </w:r>
            <w:r w:rsidRPr="0013396E">
              <w:t xml:space="preserve">The ECRS only capacity awarded in the DAM to the QSE </w:t>
            </w:r>
            <w:r w:rsidRPr="0013396E">
              <w:rPr>
                <w:i/>
              </w:rPr>
              <w:t>q</w:t>
            </w:r>
            <w:r w:rsidRPr="0013396E">
              <w:t xml:space="preserve"> for the </w:t>
            </w:r>
            <w:r w:rsidRPr="0013396E">
              <w:rPr>
                <w:szCs w:val="18"/>
              </w:rPr>
              <w:t>Operating Hour</w:t>
            </w:r>
            <w:r w:rsidRPr="0013396E">
              <w:t>.</w:t>
            </w:r>
          </w:p>
        </w:tc>
      </w:tr>
      <w:tr w:rsidR="00F10AF1" w:rsidRPr="0013396E" w14:paraId="317D6EBD"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7160D82D" w14:textId="77777777" w:rsidR="00F10AF1" w:rsidRPr="0013396E" w:rsidRDefault="00F10AF1" w:rsidP="0099759E">
            <w:pPr>
              <w:pStyle w:val="tablebody0"/>
            </w:pPr>
            <w:r w:rsidRPr="0013396E">
              <w:t>RTMCPCECR</w:t>
            </w:r>
          </w:p>
        </w:tc>
        <w:tc>
          <w:tcPr>
            <w:tcW w:w="623" w:type="pct"/>
            <w:tcBorders>
              <w:top w:val="single" w:sz="4" w:space="0" w:color="auto"/>
              <w:left w:val="single" w:sz="4" w:space="0" w:color="auto"/>
              <w:bottom w:val="single" w:sz="4" w:space="0" w:color="auto"/>
              <w:right w:val="single" w:sz="4" w:space="0" w:color="auto"/>
            </w:tcBorders>
            <w:hideMark/>
          </w:tcPr>
          <w:p w14:paraId="2B522731" w14:textId="77777777" w:rsidR="00F10AF1" w:rsidRPr="0013396E" w:rsidRDefault="00F10AF1" w:rsidP="0099759E">
            <w:pPr>
              <w:pStyle w:val="tablebody0"/>
            </w:pPr>
            <w:r w:rsidRPr="0013396E">
              <w:t>$/MW</w:t>
            </w:r>
          </w:p>
        </w:tc>
        <w:tc>
          <w:tcPr>
            <w:tcW w:w="3098" w:type="pct"/>
            <w:tcBorders>
              <w:top w:val="single" w:sz="4" w:space="0" w:color="auto"/>
              <w:left w:val="single" w:sz="4" w:space="0" w:color="auto"/>
              <w:bottom w:val="single" w:sz="4" w:space="0" w:color="auto"/>
              <w:right w:val="single" w:sz="4" w:space="0" w:color="auto"/>
            </w:tcBorders>
            <w:hideMark/>
          </w:tcPr>
          <w:p w14:paraId="09B64B8F" w14:textId="77777777" w:rsidR="00F10AF1" w:rsidRPr="0013396E" w:rsidRDefault="00F10AF1" w:rsidP="0099759E">
            <w:pPr>
              <w:pStyle w:val="tablebody0"/>
              <w:rPr>
                <w:i/>
              </w:rPr>
            </w:pPr>
            <w:r w:rsidRPr="0013396E">
              <w:rPr>
                <w:i/>
              </w:rPr>
              <w:t>Real-Time Market Clearing Price</w:t>
            </w:r>
            <w:r w:rsidRPr="0013396E">
              <w:rPr>
                <w:bCs/>
                <w:i/>
                <w:lang w:val="pt-BR"/>
              </w:rPr>
              <w:t xml:space="preserve"> for Capacity</w:t>
            </w:r>
            <w:r w:rsidRPr="0013396E">
              <w:rPr>
                <w:i/>
              </w:rPr>
              <w:t xml:space="preserve"> for ERCOT Contingency Reserve Service</w:t>
            </w:r>
            <w:r w:rsidRPr="0013396E">
              <w:t>—The Real-Time MCPC for ECRS for the 15-minute Settlement Interval.</w:t>
            </w:r>
          </w:p>
        </w:tc>
      </w:tr>
      <w:tr w:rsidR="00F10AF1" w:rsidRPr="0013396E" w14:paraId="679C922A"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340E0E92" w14:textId="77777777" w:rsidR="00F10AF1" w:rsidRPr="0013396E" w:rsidRDefault="00F10AF1" w:rsidP="0099759E">
            <w:pPr>
              <w:pStyle w:val="tablebody0"/>
              <w:rPr>
                <w:i/>
              </w:rPr>
            </w:pPr>
            <w:r w:rsidRPr="0013396E">
              <w:rPr>
                <w:i/>
              </w:rPr>
              <w:t>q</w:t>
            </w:r>
          </w:p>
        </w:tc>
        <w:tc>
          <w:tcPr>
            <w:tcW w:w="623" w:type="pct"/>
            <w:tcBorders>
              <w:top w:val="single" w:sz="4" w:space="0" w:color="auto"/>
              <w:left w:val="single" w:sz="4" w:space="0" w:color="auto"/>
              <w:bottom w:val="single" w:sz="4" w:space="0" w:color="auto"/>
              <w:right w:val="single" w:sz="4" w:space="0" w:color="auto"/>
            </w:tcBorders>
            <w:hideMark/>
          </w:tcPr>
          <w:p w14:paraId="1A51BC93" w14:textId="77777777" w:rsidR="00F10AF1" w:rsidRPr="0013396E" w:rsidRDefault="00F10AF1" w:rsidP="0099759E">
            <w:pPr>
              <w:pStyle w:val="tablebody0"/>
            </w:pPr>
            <w:r w:rsidRPr="0013396E">
              <w:t>none</w:t>
            </w:r>
          </w:p>
        </w:tc>
        <w:tc>
          <w:tcPr>
            <w:tcW w:w="3098" w:type="pct"/>
            <w:tcBorders>
              <w:top w:val="single" w:sz="4" w:space="0" w:color="auto"/>
              <w:left w:val="single" w:sz="4" w:space="0" w:color="auto"/>
              <w:bottom w:val="single" w:sz="4" w:space="0" w:color="auto"/>
              <w:right w:val="single" w:sz="4" w:space="0" w:color="auto"/>
            </w:tcBorders>
            <w:hideMark/>
          </w:tcPr>
          <w:p w14:paraId="4CBC1C75" w14:textId="77777777" w:rsidR="00F10AF1" w:rsidRPr="0013396E" w:rsidRDefault="00F10AF1" w:rsidP="0099759E">
            <w:pPr>
              <w:pStyle w:val="tablebody0"/>
            </w:pPr>
            <w:r w:rsidRPr="0013396E">
              <w:t>A QSE.</w:t>
            </w:r>
          </w:p>
        </w:tc>
      </w:tr>
    </w:tbl>
    <w:p w14:paraId="7CA0310B" w14:textId="77777777" w:rsidR="00F10AF1" w:rsidRPr="0013396E" w:rsidRDefault="00F10AF1" w:rsidP="00F10AF1">
      <w:pPr>
        <w:spacing w:before="240" w:after="240"/>
      </w:pPr>
      <w:r w:rsidRPr="0013396E">
        <w:t>(3)</w:t>
      </w:r>
      <w:r w:rsidRPr="0013396E">
        <w:tab/>
        <w:t>ECRS Trade Overage Charge:</w:t>
      </w:r>
    </w:p>
    <w:p w14:paraId="28866065" w14:textId="77777777" w:rsidR="00F10AF1" w:rsidRPr="0013396E" w:rsidRDefault="00F10AF1" w:rsidP="00F10AF1">
      <w:pPr>
        <w:pStyle w:val="FormulaBold"/>
      </w:pPr>
      <w:r w:rsidRPr="0013396E">
        <w:t>RTECRTOAMT</w:t>
      </w:r>
      <w:r w:rsidRPr="0013396E">
        <w:rPr>
          <w:i/>
          <w:vertAlign w:val="subscript"/>
        </w:rPr>
        <w:t xml:space="preserve"> q  </w:t>
      </w:r>
      <w:r w:rsidRPr="0013396E">
        <w:t xml:space="preserve">= </w:t>
      </w:r>
      <w:r w:rsidRPr="0013396E">
        <w:tab/>
        <w:t xml:space="preserve">(1/4) * RTECRTO </w:t>
      </w:r>
      <w:r w:rsidRPr="0013396E">
        <w:rPr>
          <w:i/>
          <w:vertAlign w:val="subscript"/>
        </w:rPr>
        <w:t>q</w:t>
      </w:r>
      <w:r w:rsidRPr="0013396E">
        <w:t xml:space="preserve"> * RTMCPCECR</w:t>
      </w:r>
    </w:p>
    <w:p w14:paraId="462CBDA9" w14:textId="77777777" w:rsidR="00F10AF1" w:rsidRPr="0013396E" w:rsidRDefault="00F10AF1" w:rsidP="00F10AF1">
      <w:pPr>
        <w:pStyle w:val="Instructions"/>
        <w:spacing w:after="0"/>
        <w:ind w:left="720" w:hanging="720"/>
        <w:rPr>
          <w:b w:val="0"/>
          <w:i w:val="0"/>
        </w:rPr>
      </w:pPr>
      <w:r w:rsidRPr="0013396E">
        <w:rPr>
          <w:b w:val="0"/>
          <w:i w:val="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392"/>
        <w:gridCol w:w="1165"/>
        <w:gridCol w:w="5793"/>
      </w:tblGrid>
      <w:tr w:rsidR="00F10AF1" w:rsidRPr="0013396E" w14:paraId="61D475B3" w14:textId="77777777" w:rsidTr="0099759E">
        <w:trPr>
          <w:cantSplit/>
          <w:tblHeader/>
        </w:trPr>
        <w:tc>
          <w:tcPr>
            <w:tcW w:w="1279" w:type="pct"/>
            <w:tcBorders>
              <w:top w:val="single" w:sz="4" w:space="0" w:color="auto"/>
              <w:left w:val="single" w:sz="4" w:space="0" w:color="auto"/>
              <w:bottom w:val="single" w:sz="4" w:space="0" w:color="auto"/>
              <w:right w:val="single" w:sz="4" w:space="0" w:color="auto"/>
            </w:tcBorders>
            <w:hideMark/>
          </w:tcPr>
          <w:p w14:paraId="3D74D45C" w14:textId="77777777" w:rsidR="00F10AF1" w:rsidRPr="0013396E" w:rsidRDefault="00F10AF1" w:rsidP="0099759E">
            <w:pPr>
              <w:pStyle w:val="TableHead"/>
            </w:pPr>
            <w:r w:rsidRPr="0013396E">
              <w:t>Variable</w:t>
            </w:r>
          </w:p>
        </w:tc>
        <w:tc>
          <w:tcPr>
            <w:tcW w:w="623" w:type="pct"/>
            <w:tcBorders>
              <w:top w:val="single" w:sz="4" w:space="0" w:color="auto"/>
              <w:left w:val="single" w:sz="4" w:space="0" w:color="auto"/>
              <w:bottom w:val="single" w:sz="4" w:space="0" w:color="auto"/>
              <w:right w:val="single" w:sz="4" w:space="0" w:color="auto"/>
            </w:tcBorders>
            <w:hideMark/>
          </w:tcPr>
          <w:p w14:paraId="4603B0B4" w14:textId="77777777" w:rsidR="00F10AF1" w:rsidRPr="0013396E" w:rsidRDefault="00F10AF1" w:rsidP="0099759E">
            <w:pPr>
              <w:pStyle w:val="TableHead"/>
            </w:pPr>
            <w:r w:rsidRPr="0013396E">
              <w:t>Unit</w:t>
            </w:r>
          </w:p>
        </w:tc>
        <w:tc>
          <w:tcPr>
            <w:tcW w:w="3098" w:type="pct"/>
            <w:tcBorders>
              <w:top w:val="single" w:sz="4" w:space="0" w:color="auto"/>
              <w:left w:val="single" w:sz="4" w:space="0" w:color="auto"/>
              <w:bottom w:val="single" w:sz="4" w:space="0" w:color="auto"/>
              <w:right w:val="single" w:sz="4" w:space="0" w:color="auto"/>
            </w:tcBorders>
            <w:hideMark/>
          </w:tcPr>
          <w:p w14:paraId="169EB6B8" w14:textId="77777777" w:rsidR="00F10AF1" w:rsidRPr="0013396E" w:rsidRDefault="00F10AF1" w:rsidP="0099759E">
            <w:pPr>
              <w:pStyle w:val="TableHead"/>
            </w:pPr>
            <w:r w:rsidRPr="0013396E">
              <w:t>Description</w:t>
            </w:r>
          </w:p>
        </w:tc>
      </w:tr>
      <w:tr w:rsidR="00F10AF1" w:rsidRPr="0013396E" w14:paraId="581A6140"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2EB45175" w14:textId="77777777" w:rsidR="00F10AF1" w:rsidRPr="0013396E" w:rsidRDefault="00F10AF1" w:rsidP="0099759E">
            <w:pPr>
              <w:pStyle w:val="tablebody0"/>
            </w:pPr>
            <w:r w:rsidRPr="0013396E">
              <w:t xml:space="preserve">RTECRTOAMT </w:t>
            </w:r>
            <w:r w:rsidRPr="0013396E">
              <w:rPr>
                <w:i/>
                <w:vertAlign w:val="subscript"/>
              </w:rPr>
              <w:t>q</w:t>
            </w:r>
          </w:p>
        </w:tc>
        <w:tc>
          <w:tcPr>
            <w:tcW w:w="623" w:type="pct"/>
            <w:tcBorders>
              <w:top w:val="single" w:sz="4" w:space="0" w:color="auto"/>
              <w:left w:val="single" w:sz="4" w:space="0" w:color="auto"/>
              <w:bottom w:val="single" w:sz="4" w:space="0" w:color="auto"/>
              <w:right w:val="single" w:sz="4" w:space="0" w:color="auto"/>
            </w:tcBorders>
            <w:hideMark/>
          </w:tcPr>
          <w:p w14:paraId="56A5D1E4" w14:textId="77777777" w:rsidR="00F10AF1" w:rsidRPr="0013396E" w:rsidRDefault="00F10AF1" w:rsidP="0099759E">
            <w:pPr>
              <w:pStyle w:val="tablebody0"/>
            </w:pPr>
            <w:r w:rsidRPr="0013396E">
              <w:t>$</w:t>
            </w:r>
          </w:p>
        </w:tc>
        <w:tc>
          <w:tcPr>
            <w:tcW w:w="3098" w:type="pct"/>
            <w:tcBorders>
              <w:top w:val="single" w:sz="4" w:space="0" w:color="auto"/>
              <w:left w:val="single" w:sz="4" w:space="0" w:color="auto"/>
              <w:bottom w:val="single" w:sz="4" w:space="0" w:color="auto"/>
              <w:right w:val="single" w:sz="4" w:space="0" w:color="auto"/>
            </w:tcBorders>
            <w:hideMark/>
          </w:tcPr>
          <w:p w14:paraId="3271F03F" w14:textId="77777777" w:rsidR="00F10AF1" w:rsidRPr="0013396E" w:rsidRDefault="00F10AF1" w:rsidP="0099759E">
            <w:pPr>
              <w:pStyle w:val="tablebody0"/>
              <w:rPr>
                <w:i/>
              </w:rPr>
            </w:pPr>
            <w:r w:rsidRPr="0013396E">
              <w:rPr>
                <w:i/>
              </w:rPr>
              <w:t>Real-Time ERCOT Contingency Reserve Service Trade Overage Amount for the QSE</w:t>
            </w:r>
            <w:r w:rsidRPr="0013396E">
              <w:t xml:space="preserve">—The total charge to QSE </w:t>
            </w:r>
            <w:r w:rsidRPr="0013396E">
              <w:rPr>
                <w:i/>
              </w:rPr>
              <w:t>q</w:t>
            </w:r>
            <w:r w:rsidRPr="0013396E">
              <w:t xml:space="preserve"> in Real-Time for ECRS trade overages for each 15-minute Settlement Interval.</w:t>
            </w:r>
          </w:p>
        </w:tc>
      </w:tr>
      <w:tr w:rsidR="00F10AF1" w:rsidRPr="0013396E" w14:paraId="0BF54D18"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0711AF37" w14:textId="77777777" w:rsidR="00F10AF1" w:rsidRPr="0013396E" w:rsidRDefault="00F10AF1" w:rsidP="0099759E">
            <w:pPr>
              <w:pStyle w:val="tablebody0"/>
            </w:pPr>
            <w:r w:rsidRPr="0013396E">
              <w:lastRenderedPageBreak/>
              <w:t xml:space="preserve">RTECRTO </w:t>
            </w:r>
            <w:r w:rsidRPr="0013396E">
              <w:rPr>
                <w:i/>
                <w:vertAlign w:val="subscript"/>
              </w:rPr>
              <w:t>q</w:t>
            </w:r>
          </w:p>
        </w:tc>
        <w:tc>
          <w:tcPr>
            <w:tcW w:w="623" w:type="pct"/>
            <w:tcBorders>
              <w:top w:val="single" w:sz="4" w:space="0" w:color="auto"/>
              <w:left w:val="single" w:sz="4" w:space="0" w:color="auto"/>
              <w:bottom w:val="single" w:sz="4" w:space="0" w:color="auto"/>
              <w:right w:val="single" w:sz="4" w:space="0" w:color="auto"/>
            </w:tcBorders>
            <w:hideMark/>
          </w:tcPr>
          <w:p w14:paraId="4C7B9816" w14:textId="77777777" w:rsidR="00F10AF1" w:rsidRPr="0013396E" w:rsidRDefault="00F10AF1" w:rsidP="0099759E">
            <w:pPr>
              <w:pStyle w:val="tablebody0"/>
            </w:pPr>
            <w:r w:rsidRPr="0013396E">
              <w:t>MW</w:t>
            </w:r>
          </w:p>
        </w:tc>
        <w:tc>
          <w:tcPr>
            <w:tcW w:w="3098" w:type="pct"/>
            <w:tcBorders>
              <w:top w:val="single" w:sz="4" w:space="0" w:color="auto"/>
              <w:left w:val="single" w:sz="4" w:space="0" w:color="auto"/>
              <w:bottom w:val="single" w:sz="4" w:space="0" w:color="auto"/>
              <w:right w:val="single" w:sz="4" w:space="0" w:color="auto"/>
            </w:tcBorders>
            <w:hideMark/>
          </w:tcPr>
          <w:p w14:paraId="3C866C4B" w14:textId="77777777" w:rsidR="00F10AF1" w:rsidRPr="0013396E" w:rsidRDefault="00F10AF1" w:rsidP="0099759E">
            <w:pPr>
              <w:pStyle w:val="tablebody0"/>
            </w:pPr>
            <w:r w:rsidRPr="0013396E">
              <w:rPr>
                <w:i/>
              </w:rPr>
              <w:t>Real-Time ERCOT Contingency Reserve Service Trade Overage for the QSE</w:t>
            </w:r>
            <w:r w:rsidRPr="0013396E">
              <w:sym w:font="Symbol" w:char="F0BE"/>
            </w:r>
            <w:r w:rsidRPr="0013396E">
              <w:t xml:space="preserve">The quantity of submitted ECRS trades in excess of their DAM self-arrangement quantity for the QSE </w:t>
            </w:r>
            <w:r w:rsidRPr="0013396E">
              <w:rPr>
                <w:i/>
              </w:rPr>
              <w:t>q</w:t>
            </w:r>
            <w:r w:rsidRPr="0013396E">
              <w:t xml:space="preserve"> for the </w:t>
            </w:r>
            <w:r w:rsidRPr="0013396E">
              <w:rPr>
                <w:szCs w:val="18"/>
              </w:rPr>
              <w:t>Operating Hour</w:t>
            </w:r>
            <w:r w:rsidRPr="0013396E">
              <w:t>.</w:t>
            </w:r>
          </w:p>
        </w:tc>
      </w:tr>
      <w:tr w:rsidR="00F10AF1" w:rsidRPr="0013396E" w14:paraId="0387B025"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5C9B4F02" w14:textId="77777777" w:rsidR="00F10AF1" w:rsidRPr="0013396E" w:rsidRDefault="00F10AF1" w:rsidP="0099759E">
            <w:pPr>
              <w:pStyle w:val="tablebody0"/>
            </w:pPr>
            <w:r w:rsidRPr="0013396E">
              <w:t>RTMCPCECR</w:t>
            </w:r>
          </w:p>
        </w:tc>
        <w:tc>
          <w:tcPr>
            <w:tcW w:w="623" w:type="pct"/>
            <w:tcBorders>
              <w:top w:val="single" w:sz="4" w:space="0" w:color="auto"/>
              <w:left w:val="single" w:sz="4" w:space="0" w:color="auto"/>
              <w:bottom w:val="single" w:sz="4" w:space="0" w:color="auto"/>
              <w:right w:val="single" w:sz="4" w:space="0" w:color="auto"/>
            </w:tcBorders>
            <w:hideMark/>
          </w:tcPr>
          <w:p w14:paraId="4D32EFE5" w14:textId="77777777" w:rsidR="00F10AF1" w:rsidRPr="0013396E" w:rsidRDefault="00F10AF1" w:rsidP="0099759E">
            <w:pPr>
              <w:pStyle w:val="tablebody0"/>
            </w:pPr>
            <w:r w:rsidRPr="0013396E">
              <w:t>$/MW</w:t>
            </w:r>
          </w:p>
        </w:tc>
        <w:tc>
          <w:tcPr>
            <w:tcW w:w="3098" w:type="pct"/>
            <w:tcBorders>
              <w:top w:val="single" w:sz="4" w:space="0" w:color="auto"/>
              <w:left w:val="single" w:sz="4" w:space="0" w:color="auto"/>
              <w:bottom w:val="single" w:sz="4" w:space="0" w:color="auto"/>
              <w:right w:val="single" w:sz="4" w:space="0" w:color="auto"/>
            </w:tcBorders>
            <w:hideMark/>
          </w:tcPr>
          <w:p w14:paraId="3629FACF" w14:textId="77777777" w:rsidR="00F10AF1" w:rsidRPr="0013396E" w:rsidRDefault="00F10AF1" w:rsidP="0099759E">
            <w:pPr>
              <w:pStyle w:val="tablebody0"/>
              <w:rPr>
                <w:i/>
              </w:rPr>
            </w:pPr>
            <w:r w:rsidRPr="0013396E">
              <w:rPr>
                <w:i/>
              </w:rPr>
              <w:t>Real-Time Market Clearing Price</w:t>
            </w:r>
            <w:r w:rsidRPr="0013396E">
              <w:rPr>
                <w:bCs/>
                <w:i/>
                <w:lang w:val="pt-BR"/>
              </w:rPr>
              <w:t xml:space="preserve"> for Capacity</w:t>
            </w:r>
            <w:r w:rsidRPr="0013396E">
              <w:rPr>
                <w:i/>
              </w:rPr>
              <w:t xml:space="preserve"> for ERCOT Contingency Reserve Service</w:t>
            </w:r>
            <w:r w:rsidRPr="0013396E">
              <w:t>—The Real-Time MCPC for ECRS for the 15-minute Settlement Interval.</w:t>
            </w:r>
          </w:p>
        </w:tc>
      </w:tr>
      <w:tr w:rsidR="00F10AF1" w:rsidRPr="0013396E" w14:paraId="610CC56F"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077D1FDC" w14:textId="77777777" w:rsidR="00F10AF1" w:rsidRPr="0013396E" w:rsidRDefault="00F10AF1" w:rsidP="0099759E">
            <w:pPr>
              <w:pStyle w:val="tablebody0"/>
              <w:rPr>
                <w:i/>
              </w:rPr>
            </w:pPr>
            <w:r w:rsidRPr="0013396E">
              <w:rPr>
                <w:i/>
              </w:rPr>
              <w:t>q</w:t>
            </w:r>
          </w:p>
        </w:tc>
        <w:tc>
          <w:tcPr>
            <w:tcW w:w="623" w:type="pct"/>
            <w:tcBorders>
              <w:top w:val="single" w:sz="4" w:space="0" w:color="auto"/>
              <w:left w:val="single" w:sz="4" w:space="0" w:color="auto"/>
              <w:bottom w:val="single" w:sz="4" w:space="0" w:color="auto"/>
              <w:right w:val="single" w:sz="4" w:space="0" w:color="auto"/>
            </w:tcBorders>
            <w:hideMark/>
          </w:tcPr>
          <w:p w14:paraId="663BF909" w14:textId="77777777" w:rsidR="00F10AF1" w:rsidRPr="0013396E" w:rsidRDefault="00F10AF1" w:rsidP="0099759E">
            <w:pPr>
              <w:pStyle w:val="tablebody0"/>
            </w:pPr>
            <w:r w:rsidRPr="0013396E">
              <w:t>none</w:t>
            </w:r>
          </w:p>
        </w:tc>
        <w:tc>
          <w:tcPr>
            <w:tcW w:w="3098" w:type="pct"/>
            <w:tcBorders>
              <w:top w:val="single" w:sz="4" w:space="0" w:color="auto"/>
              <w:left w:val="single" w:sz="4" w:space="0" w:color="auto"/>
              <w:bottom w:val="single" w:sz="4" w:space="0" w:color="auto"/>
              <w:right w:val="single" w:sz="4" w:space="0" w:color="auto"/>
            </w:tcBorders>
            <w:hideMark/>
          </w:tcPr>
          <w:p w14:paraId="25CDBE5D" w14:textId="77777777" w:rsidR="00F10AF1" w:rsidRPr="0013396E" w:rsidRDefault="00F10AF1" w:rsidP="0099759E">
            <w:pPr>
              <w:pStyle w:val="tablebody0"/>
            </w:pPr>
            <w:r w:rsidRPr="0013396E">
              <w:t>A QSE.</w:t>
            </w:r>
          </w:p>
        </w:tc>
      </w:tr>
    </w:tbl>
    <w:p w14:paraId="28BB35C9" w14:textId="1D548249" w:rsidR="00F10AF1" w:rsidRPr="0013396E" w:rsidRDefault="00F10AF1" w:rsidP="00F10AF1">
      <w:pPr>
        <w:pStyle w:val="Heading4"/>
        <w:numPr>
          <w:ilvl w:val="0"/>
          <w:numId w:val="0"/>
        </w:numPr>
        <w:spacing w:before="480"/>
      </w:pPr>
      <w:bookmarkStart w:id="2281" w:name="_Toc214879037"/>
      <w:r w:rsidRPr="0013396E">
        <w:rPr>
          <w:bCs w:val="0"/>
        </w:rPr>
        <w:t>6.7.</w:t>
      </w:r>
      <w:r w:rsidR="00A12B52" w:rsidRPr="0013396E">
        <w:rPr>
          <w:bCs w:val="0"/>
        </w:rPr>
        <w:t>2</w:t>
      </w:r>
      <w:r w:rsidRPr="0013396E">
        <w:rPr>
          <w:bCs w:val="0"/>
        </w:rPr>
        <w:t>.7</w:t>
      </w:r>
      <w:r w:rsidRPr="0013396E">
        <w:rPr>
          <w:bCs w:val="0"/>
        </w:rPr>
        <w:tab/>
        <w:t>Real-Time Derated Ancillary Service Capability Payment</w:t>
      </w:r>
      <w:bookmarkEnd w:id="2281"/>
    </w:p>
    <w:p w14:paraId="310B3391" w14:textId="75F13E8D" w:rsidR="00F10AF1" w:rsidRPr="0013396E" w:rsidRDefault="00F10AF1" w:rsidP="00F10AF1">
      <w:pPr>
        <w:spacing w:after="240"/>
        <w:ind w:left="720" w:hanging="720"/>
        <w:rPr>
          <w:color w:val="000000"/>
        </w:rPr>
      </w:pPr>
      <w:r w:rsidRPr="0013396E">
        <w:rPr>
          <w:color w:val="000000"/>
        </w:rPr>
        <w:t>(1)</w:t>
      </w:r>
      <w:r w:rsidRPr="0013396E">
        <w:rPr>
          <w:color w:val="000000"/>
        </w:rPr>
        <w:tab/>
        <w:t>If ERCOT manually reduces the amount of an Ancillary Service that may be awarded to a Resource in Real-Time under paragraph (6) of Section 6.4.9.1.1, Ancillary Service Awards, and the reduction reduces the payment the QSE would have received under Section 6.7.</w:t>
      </w:r>
      <w:r w:rsidR="00A12B52" w:rsidRPr="0013396E">
        <w:rPr>
          <w:color w:val="000000"/>
        </w:rPr>
        <w:t>2</w:t>
      </w:r>
      <w:r w:rsidRPr="0013396E">
        <w:rPr>
          <w:color w:val="000000"/>
        </w:rPr>
        <w:t xml:space="preserve">.1, Real-Time Ancillary Service Imbalance Payment or Charge, the QSE may be eligible for a Real-Time derated Ancillary Service capability payment under this Section. </w:t>
      </w:r>
    </w:p>
    <w:p w14:paraId="15C60976" w14:textId="77777777" w:rsidR="00F10AF1" w:rsidRPr="0013396E" w:rsidRDefault="00F10AF1" w:rsidP="00F10AF1">
      <w:pPr>
        <w:spacing w:after="240"/>
        <w:ind w:left="720" w:hanging="720"/>
        <w:rPr>
          <w:color w:val="000000"/>
        </w:rPr>
      </w:pPr>
      <w:r w:rsidRPr="0013396E">
        <w:rPr>
          <w:color w:val="000000"/>
        </w:rPr>
        <w:t>(2)</w:t>
      </w:r>
      <w:r w:rsidRPr="0013396E">
        <w:rPr>
          <w:color w:val="000000"/>
        </w:rPr>
        <w:tab/>
        <w:t xml:space="preserve">In order to be eligible for a Real-Time derated Ancillary Service capability payment, the QSE must: </w:t>
      </w:r>
    </w:p>
    <w:p w14:paraId="6965A7CA" w14:textId="77777777" w:rsidR="00F10AF1" w:rsidRPr="0013396E" w:rsidRDefault="00F10AF1" w:rsidP="00F10AF1">
      <w:pPr>
        <w:spacing w:after="240"/>
        <w:ind w:left="1440" w:hanging="720"/>
        <w:rPr>
          <w:color w:val="000000"/>
        </w:rPr>
      </w:pPr>
      <w:r w:rsidRPr="0013396E">
        <w:rPr>
          <w:color w:val="000000"/>
        </w:rPr>
        <w:t>(a)</w:t>
      </w:r>
      <w:r w:rsidRPr="0013396E">
        <w:rPr>
          <w:color w:val="000000"/>
        </w:rPr>
        <w:tab/>
        <w:t>File a timely Settlement and billing dispute, identifying the following items, by Settlement Interval:</w:t>
      </w:r>
    </w:p>
    <w:p w14:paraId="7BE2EBDC" w14:textId="77777777" w:rsidR="00F10AF1" w:rsidRPr="0013396E" w:rsidRDefault="00F10AF1" w:rsidP="00F10AF1">
      <w:pPr>
        <w:spacing w:after="240"/>
        <w:ind w:left="2160" w:hanging="720"/>
      </w:pPr>
      <w:r w:rsidRPr="0013396E">
        <w:t>(i)</w:t>
      </w:r>
      <w:r w:rsidRPr="0013396E">
        <w:tab/>
        <w:t>Dollar amount and calculation of the estimated Real-Time derated Ancillary Service capability payment;</w:t>
      </w:r>
    </w:p>
    <w:p w14:paraId="4B7F6450" w14:textId="77777777" w:rsidR="00F10AF1" w:rsidRPr="0013396E" w:rsidRDefault="00F10AF1" w:rsidP="00F10AF1">
      <w:pPr>
        <w:spacing w:after="240"/>
        <w:ind w:left="2160" w:hanging="720"/>
      </w:pPr>
      <w:r w:rsidRPr="0013396E">
        <w:t>(ii)</w:t>
      </w:r>
      <w:r w:rsidRPr="0013396E">
        <w:tab/>
      </w:r>
      <w:r w:rsidRPr="0013396E">
        <w:rPr>
          <w:color w:val="000000"/>
        </w:rPr>
        <w:t>The quantity of Ancillary Service awards, by Ancillary Service product, that were not awarded due to ERCOT’s manual reduction of the Resource’s Ancillary Service capability;</w:t>
      </w:r>
    </w:p>
    <w:p w14:paraId="7138219C" w14:textId="77777777" w:rsidR="00F10AF1" w:rsidRPr="0013396E" w:rsidRDefault="00F10AF1" w:rsidP="00F10AF1">
      <w:pPr>
        <w:spacing w:after="240"/>
        <w:ind w:left="2160" w:hanging="720"/>
        <w:rPr>
          <w:color w:val="000000"/>
        </w:rPr>
      </w:pPr>
      <w:r w:rsidRPr="0013396E">
        <w:rPr>
          <w:color w:val="000000"/>
        </w:rPr>
        <w:t>(iii)</w:t>
      </w:r>
      <w:r w:rsidRPr="0013396E">
        <w:rPr>
          <w:color w:val="000000"/>
        </w:rPr>
        <w:tab/>
        <w:t>Any additional revenues earned by the QSE under Section 6.6.3.1, Real-Time Energy Imbalance Payment or Charge at a Resource Node; and</w:t>
      </w:r>
    </w:p>
    <w:p w14:paraId="116E41A1" w14:textId="0762979C" w:rsidR="00F10AF1" w:rsidRPr="0013396E" w:rsidRDefault="00F10AF1" w:rsidP="00F10AF1">
      <w:pPr>
        <w:spacing w:after="240"/>
        <w:ind w:left="2160" w:hanging="720"/>
        <w:rPr>
          <w:color w:val="000000"/>
        </w:rPr>
      </w:pPr>
      <w:r w:rsidRPr="0013396E">
        <w:rPr>
          <w:color w:val="000000"/>
        </w:rPr>
        <w:t>(iv)</w:t>
      </w:r>
      <w:r w:rsidRPr="0013396E">
        <w:rPr>
          <w:color w:val="000000"/>
        </w:rPr>
        <w:tab/>
        <w:t>Any additional revenues earned by the QSE under Section 6.7.</w:t>
      </w:r>
      <w:r w:rsidR="00A12B52" w:rsidRPr="0013396E">
        <w:rPr>
          <w:color w:val="000000"/>
        </w:rPr>
        <w:t>2</w:t>
      </w:r>
      <w:r w:rsidRPr="0013396E">
        <w:rPr>
          <w:color w:val="000000"/>
        </w:rPr>
        <w:t>.1, Real-Time Ancillary Service Imbalance Payment or Charge.</w:t>
      </w:r>
    </w:p>
    <w:p w14:paraId="4DD87CF4" w14:textId="77777777" w:rsidR="00F10AF1" w:rsidRPr="0013396E" w:rsidRDefault="00F10AF1" w:rsidP="00F10AF1">
      <w:pPr>
        <w:spacing w:after="240"/>
        <w:ind w:left="1440" w:hanging="720"/>
        <w:rPr>
          <w:color w:val="000000"/>
        </w:rPr>
      </w:pPr>
      <w:r w:rsidRPr="0013396E">
        <w:rPr>
          <w:color w:val="000000"/>
        </w:rPr>
        <w:t>(b)</w:t>
      </w:r>
      <w:r w:rsidRPr="0013396E">
        <w:rPr>
          <w:color w:val="000000"/>
        </w:rPr>
        <w:tab/>
        <w:t>Have submitted an Ancillary Service Offer for the disputed Settlement Interval(s).  The Ancillary Service Offer used to calculate the Real-Time derated Ancillary Service capability payment shall be the most recent offer received by ERCOT effective for the disputed Settlement Interval(s) before ERCOT manually reduced the amount of Ancillary Service to be awarded.</w:t>
      </w:r>
    </w:p>
    <w:p w14:paraId="053E70B7" w14:textId="77777777" w:rsidR="00F10AF1" w:rsidRPr="0013396E" w:rsidRDefault="00F10AF1" w:rsidP="00F10AF1">
      <w:pPr>
        <w:spacing w:after="240"/>
        <w:ind w:left="720" w:hanging="720"/>
        <w:rPr>
          <w:color w:val="000000"/>
        </w:rPr>
      </w:pPr>
      <w:r w:rsidRPr="0013396E">
        <w:rPr>
          <w:color w:val="000000"/>
        </w:rPr>
        <w:t>(3)</w:t>
      </w:r>
      <w:r w:rsidRPr="0013396E">
        <w:rPr>
          <w:color w:val="000000"/>
        </w:rPr>
        <w:tab/>
        <w:t xml:space="preserve">ERCOT shall attempt to validate the calculations provided by the QSE, and may request additional supporting documentation or explanation with respect to the submitted materials within 15 Business Days of receipt.  Additional information requested by </w:t>
      </w:r>
      <w:r w:rsidRPr="0013396E">
        <w:rPr>
          <w:color w:val="000000"/>
        </w:rPr>
        <w:lastRenderedPageBreak/>
        <w:t xml:space="preserve">ERCOT must be provided by the QSE within 15 Business Days of ERCOT’s request.  Upon determination by ERCOT that no additional supporting documentation or explanation is needed from the disputing QSE, ERCOT shall notify the QSE of its acceptance or rejection of the claim for the </w:t>
      </w:r>
      <w:r w:rsidRPr="0013396E">
        <w:t>Real-Time derated Ancillary Service capability payment</w:t>
      </w:r>
      <w:r w:rsidRPr="0013396E">
        <w:rPr>
          <w:color w:val="000000"/>
        </w:rPr>
        <w:t xml:space="preserve"> within 15 Business Days.</w:t>
      </w:r>
    </w:p>
    <w:p w14:paraId="4776C850" w14:textId="77777777" w:rsidR="00F10AF1" w:rsidRPr="0013396E" w:rsidRDefault="00F10AF1" w:rsidP="00F10AF1">
      <w:pPr>
        <w:spacing w:after="240"/>
        <w:ind w:left="720" w:hanging="720"/>
        <w:rPr>
          <w:color w:val="000000"/>
        </w:rPr>
      </w:pPr>
      <w:r w:rsidRPr="0013396E">
        <w:rPr>
          <w:color w:val="000000"/>
        </w:rPr>
        <w:t>(4)</w:t>
      </w:r>
      <w:r w:rsidRPr="0013396E">
        <w:rPr>
          <w:color w:val="000000"/>
        </w:rPr>
        <w:tab/>
        <w:t>The price used to determine the derated MWs that were not awarded due to the manual reduction shall be the Real-Time MCPC for the Ancillary Service that was reduced.</w:t>
      </w:r>
    </w:p>
    <w:p w14:paraId="32EF88DE" w14:textId="77777777" w:rsidR="00F10AF1" w:rsidRPr="0013396E" w:rsidRDefault="00F10AF1" w:rsidP="00F10AF1">
      <w:pPr>
        <w:spacing w:after="240"/>
        <w:ind w:left="720" w:hanging="720"/>
        <w:rPr>
          <w:color w:val="000000"/>
        </w:rPr>
      </w:pPr>
      <w:r w:rsidRPr="0013396E">
        <w:rPr>
          <w:color w:val="000000"/>
        </w:rPr>
        <w:t>(5)</w:t>
      </w:r>
      <w:r w:rsidRPr="0013396E">
        <w:rPr>
          <w:color w:val="000000"/>
        </w:rPr>
        <w:tab/>
        <w:t>The amount recoverable under this section shall be capped by the Real-Time MCPC for the Ancillary Service that was reduced, multiplied by the reduced quantity.</w:t>
      </w:r>
    </w:p>
    <w:p w14:paraId="2A628464" w14:textId="77777777" w:rsidR="00F10AF1" w:rsidRPr="0013396E" w:rsidRDefault="00F10AF1" w:rsidP="00F10AF1">
      <w:pPr>
        <w:spacing w:after="240"/>
        <w:ind w:left="720" w:hanging="720"/>
        <w:rPr>
          <w:color w:val="000000"/>
        </w:rPr>
      </w:pPr>
      <w:r w:rsidRPr="0013396E">
        <w:rPr>
          <w:color w:val="000000"/>
        </w:rPr>
        <w:t>(6)</w:t>
      </w:r>
      <w:r w:rsidRPr="0013396E">
        <w:rPr>
          <w:color w:val="000000"/>
        </w:rPr>
        <w:tab/>
        <w:t>The amount recoverable under this Section shall be reduced by any additional revenue received by the QSE, as determined in paragraphs (2)(a)(iii) and (2)(a)(iv) above. </w:t>
      </w:r>
    </w:p>
    <w:p w14:paraId="207DBEB5" w14:textId="77777777" w:rsidR="00F10AF1" w:rsidRPr="0013396E" w:rsidRDefault="00F10AF1" w:rsidP="00F10AF1">
      <w:pPr>
        <w:spacing w:after="240"/>
        <w:ind w:left="720" w:hanging="720"/>
        <w:rPr>
          <w:color w:val="000000"/>
        </w:rPr>
      </w:pPr>
      <w:r w:rsidRPr="0013396E">
        <w:rPr>
          <w:color w:val="000000"/>
        </w:rPr>
        <w:t>(7)</w:t>
      </w:r>
      <w:r w:rsidRPr="0013396E">
        <w:rPr>
          <w:color w:val="000000"/>
        </w:rPr>
        <w:tab/>
        <w:t xml:space="preserve">The Real-Time derated Ancillary Service capability payment for a given 15-minute Settlement Interval is calculated as follows:  </w:t>
      </w:r>
    </w:p>
    <w:p w14:paraId="1309D915" w14:textId="77777777" w:rsidR="00F10AF1" w:rsidRPr="0013396E" w:rsidRDefault="00F10AF1" w:rsidP="00F10AF1">
      <w:pPr>
        <w:spacing w:after="240"/>
        <w:ind w:left="2340" w:hanging="1620"/>
        <w:rPr>
          <w:color w:val="000000"/>
        </w:rPr>
      </w:pPr>
      <w:r w:rsidRPr="0013396E">
        <w:rPr>
          <w:b/>
          <w:bCs/>
          <w:lang w:val="pt-BR"/>
        </w:rPr>
        <w:t xml:space="preserve">RTDASAMT </w:t>
      </w:r>
      <w:r w:rsidRPr="0013396E">
        <w:rPr>
          <w:b/>
          <w:bCs/>
          <w:i/>
          <w:vertAlign w:val="subscript"/>
          <w:lang w:val="es-ES"/>
        </w:rPr>
        <w:t xml:space="preserve">q </w:t>
      </w:r>
      <w:r w:rsidRPr="0013396E">
        <w:rPr>
          <w:b/>
          <w:bCs/>
          <w:lang w:val="pt-BR"/>
        </w:rPr>
        <w:t xml:space="preserve">= </w:t>
      </w:r>
      <w:r w:rsidRPr="0013396E">
        <w:rPr>
          <w:b/>
          <w:bCs/>
          <w:vertAlign w:val="subscript"/>
          <w:lang w:val="es-ES"/>
        </w:rPr>
        <w:t xml:space="preserve"> </w:t>
      </w:r>
      <w:r w:rsidRPr="0013396E">
        <w:rPr>
          <w:b/>
          <w:bCs/>
          <w:lang w:val="es-ES"/>
        </w:rPr>
        <w:t xml:space="preserve">(-1) * </w:t>
      </w:r>
      <w:r w:rsidRPr="0013396E">
        <w:rPr>
          <w:b/>
          <w:bCs/>
        </w:rPr>
        <w:t>Max [0,</w:t>
      </w:r>
      <w:r w:rsidRPr="0013396E">
        <w:t xml:space="preserve"> </w:t>
      </w:r>
      <w:r w:rsidRPr="0013396E">
        <w:rPr>
          <w:b/>
          <w:bCs/>
          <w:lang w:val="es-ES"/>
        </w:rPr>
        <w:t>Min[(</w:t>
      </w:r>
      <w:r w:rsidRPr="0013396E">
        <w:rPr>
          <w:b/>
          <w:bCs/>
          <w:lang w:val="pt-BR"/>
        </w:rPr>
        <w:t xml:space="preserve">RTRUILD </w:t>
      </w:r>
      <w:r w:rsidRPr="0013396E">
        <w:rPr>
          <w:b/>
          <w:bCs/>
          <w:i/>
          <w:vertAlign w:val="subscript"/>
          <w:lang w:val="es-ES"/>
        </w:rPr>
        <w:t xml:space="preserve">q </w:t>
      </w:r>
      <w:r w:rsidRPr="0013396E">
        <w:rPr>
          <w:b/>
          <w:bCs/>
          <w:lang w:val="pt-BR"/>
        </w:rPr>
        <w:t xml:space="preserve">+ RTRDILD </w:t>
      </w:r>
      <w:r w:rsidRPr="0013396E">
        <w:rPr>
          <w:b/>
          <w:bCs/>
          <w:i/>
          <w:vertAlign w:val="subscript"/>
          <w:lang w:val="es-ES"/>
        </w:rPr>
        <w:t xml:space="preserve">q </w:t>
      </w:r>
      <w:r w:rsidRPr="0013396E">
        <w:rPr>
          <w:b/>
          <w:bCs/>
          <w:lang w:val="pt-BR"/>
        </w:rPr>
        <w:t xml:space="preserve">+ RTRRILD </w:t>
      </w:r>
      <w:r w:rsidRPr="0013396E">
        <w:rPr>
          <w:b/>
          <w:bCs/>
          <w:i/>
          <w:vertAlign w:val="subscript"/>
          <w:lang w:val="es-ES"/>
        </w:rPr>
        <w:t xml:space="preserve">q </w:t>
      </w:r>
      <w:r w:rsidRPr="0013396E">
        <w:rPr>
          <w:b/>
          <w:bCs/>
          <w:lang w:val="pt-BR"/>
        </w:rPr>
        <w:t xml:space="preserve">+ RTNSILD </w:t>
      </w:r>
      <w:r w:rsidRPr="0013396E">
        <w:rPr>
          <w:b/>
          <w:bCs/>
          <w:i/>
          <w:vertAlign w:val="subscript"/>
          <w:lang w:val="es-ES"/>
        </w:rPr>
        <w:t xml:space="preserve">q </w:t>
      </w:r>
      <w:r w:rsidRPr="0013396E">
        <w:rPr>
          <w:b/>
          <w:bCs/>
          <w:lang w:val="pt-BR"/>
        </w:rPr>
        <w:t xml:space="preserve">+ RTECRILD </w:t>
      </w:r>
      <w:r w:rsidRPr="0013396E">
        <w:rPr>
          <w:b/>
          <w:bCs/>
          <w:i/>
          <w:vertAlign w:val="subscript"/>
          <w:lang w:val="es-ES"/>
        </w:rPr>
        <w:t xml:space="preserve">q </w:t>
      </w:r>
      <w:r w:rsidRPr="0013396E">
        <w:rPr>
          <w:b/>
          <w:bCs/>
          <w:i/>
          <w:vertAlign w:val="subscript"/>
          <w:lang w:val="pt-BR"/>
        </w:rPr>
        <w:t xml:space="preserve"> </w:t>
      </w:r>
      <w:r w:rsidRPr="0013396E">
        <w:rPr>
          <w:b/>
          <w:bCs/>
          <w:lang w:val="pt-BR"/>
        </w:rPr>
        <w:t xml:space="preserve">– RTEIRD </w:t>
      </w:r>
      <w:r w:rsidRPr="0013396E">
        <w:rPr>
          <w:i/>
          <w:iCs/>
          <w:sz w:val="20"/>
          <w:vertAlign w:val="subscript"/>
        </w:rPr>
        <w:t>q</w:t>
      </w:r>
      <w:r w:rsidRPr="0013396E">
        <w:rPr>
          <w:b/>
          <w:bCs/>
          <w:lang w:val="pt-BR"/>
        </w:rPr>
        <w:t xml:space="preserve"> – RTASIRD</w:t>
      </w:r>
      <w:r w:rsidRPr="0013396E">
        <w:rPr>
          <w:b/>
          <w:bCs/>
          <w:i/>
          <w:vertAlign w:val="subscript"/>
          <w:lang w:val="pt-BR"/>
        </w:rPr>
        <w:t xml:space="preserve"> q</w:t>
      </w:r>
      <w:r w:rsidRPr="0013396E">
        <w:rPr>
          <w:b/>
          <w:bCs/>
          <w:lang w:val="es-ES"/>
        </w:rPr>
        <w:t xml:space="preserve">), </w:t>
      </w:r>
      <w:r w:rsidRPr="0013396E">
        <w:rPr>
          <w:position w:val="-18"/>
          <w:szCs w:val="24"/>
        </w:rPr>
        <w:object w:dxaOrig="285" w:dyaOrig="570" w14:anchorId="52086FF0">
          <v:shape id="_x0000_i1291" type="#_x0000_t75" style="width:12pt;height:30pt" o:ole="">
            <v:imagedata r:id="rId134" o:title=""/>
          </v:shape>
          <o:OLEObject Type="Embed" ProgID="Equation.3" ShapeID="_x0000_i1291" DrawAspect="Content" ObjectID="_1836311568" r:id="rId368"/>
        </w:object>
      </w:r>
      <w:r w:rsidRPr="0013396E">
        <w:rPr>
          <w:b/>
        </w:rPr>
        <w:t xml:space="preserve">RTDASCAP </w:t>
      </w:r>
      <w:r w:rsidRPr="0013396E">
        <w:rPr>
          <w:b/>
          <w:i/>
          <w:vertAlign w:val="subscript"/>
        </w:rPr>
        <w:t>q, r</w:t>
      </w:r>
      <w:r w:rsidRPr="0013396E">
        <w:rPr>
          <w:b/>
        </w:rPr>
        <w:t>]]</w:t>
      </w:r>
    </w:p>
    <w:p w14:paraId="7BD9BE5C" w14:textId="77777777" w:rsidR="00F10AF1" w:rsidRPr="0013396E" w:rsidRDefault="00F10AF1" w:rsidP="00F10AF1">
      <w:pPr>
        <w:tabs>
          <w:tab w:val="left" w:pos="1440"/>
          <w:tab w:val="left" w:pos="2340"/>
        </w:tabs>
        <w:spacing w:after="240"/>
        <w:ind w:left="3420" w:hanging="2700"/>
        <w:jc w:val="both"/>
        <w:rPr>
          <w:bCs/>
          <w:lang w:val="pt-BR"/>
        </w:rPr>
      </w:pPr>
      <w:r w:rsidRPr="0013396E">
        <w:rPr>
          <w:bCs/>
          <w:lang w:val="pt-BR"/>
        </w:rPr>
        <w:t>Where:</w:t>
      </w:r>
    </w:p>
    <w:p w14:paraId="6B68D76A" w14:textId="77777777" w:rsidR="00F10AF1" w:rsidRPr="0013396E" w:rsidRDefault="00F10AF1" w:rsidP="00F10AF1">
      <w:pPr>
        <w:tabs>
          <w:tab w:val="left" w:pos="1440"/>
          <w:tab w:val="left" w:pos="2250"/>
        </w:tabs>
        <w:spacing w:after="240"/>
        <w:ind w:left="1980" w:hanging="1260"/>
        <w:jc w:val="both"/>
        <w:rPr>
          <w:bCs/>
          <w:i/>
          <w:vertAlign w:val="subscript"/>
          <w:lang w:val="pt-BR"/>
        </w:rPr>
      </w:pPr>
      <w:r w:rsidRPr="0013396E">
        <w:t xml:space="preserve">RTDASCAP </w:t>
      </w:r>
      <w:r w:rsidRPr="0013396E">
        <w:rPr>
          <w:i/>
          <w:vertAlign w:val="subscript"/>
        </w:rPr>
        <w:t>q. r</w:t>
      </w:r>
      <w:r w:rsidRPr="0013396E">
        <w:t xml:space="preserve"> =  (1/4) * (RTMCPCRU</w:t>
      </w:r>
      <w:r w:rsidRPr="0013396E">
        <w:rPr>
          <w:bCs/>
          <w:lang w:val="pt-BR"/>
        </w:rPr>
        <w:t xml:space="preserve"> * RTRUDQ </w:t>
      </w:r>
      <w:r w:rsidRPr="0013396E">
        <w:rPr>
          <w:bCs/>
          <w:i/>
          <w:vertAlign w:val="subscript"/>
          <w:lang w:val="pt-BR"/>
        </w:rPr>
        <w:t>q, r</w:t>
      </w:r>
      <w:r w:rsidRPr="0013396E">
        <w:rPr>
          <w:b/>
          <w:bCs/>
          <w:i/>
          <w:vertAlign w:val="subscript"/>
          <w:lang w:val="es-ES"/>
        </w:rPr>
        <w:t xml:space="preserve"> </w:t>
      </w:r>
      <w:r w:rsidRPr="0013396E">
        <w:rPr>
          <w:b/>
          <w:bCs/>
          <w:lang w:val="pt-BR"/>
        </w:rPr>
        <w:t xml:space="preserve">+ </w:t>
      </w:r>
      <w:r w:rsidRPr="0013396E">
        <w:t>RTMCPCRD</w:t>
      </w:r>
      <w:r w:rsidRPr="0013396E">
        <w:rPr>
          <w:bCs/>
          <w:lang w:val="pt-BR"/>
        </w:rPr>
        <w:t xml:space="preserve"> * RTRDDQ </w:t>
      </w:r>
      <w:r w:rsidRPr="0013396E">
        <w:rPr>
          <w:bCs/>
          <w:i/>
          <w:vertAlign w:val="subscript"/>
          <w:lang w:val="pt-BR"/>
        </w:rPr>
        <w:t xml:space="preserve">q, r </w:t>
      </w:r>
      <w:r w:rsidRPr="0013396E">
        <w:rPr>
          <w:b/>
          <w:bCs/>
          <w:lang w:val="pt-BR"/>
        </w:rPr>
        <w:t xml:space="preserve">+ </w:t>
      </w:r>
      <w:r w:rsidRPr="0013396E">
        <w:t>RTMCPCRR</w:t>
      </w:r>
      <w:r w:rsidRPr="0013396E">
        <w:rPr>
          <w:bCs/>
          <w:lang w:val="pt-BR"/>
        </w:rPr>
        <w:t xml:space="preserve"> * RTRRDQ </w:t>
      </w:r>
      <w:r w:rsidRPr="0013396E">
        <w:rPr>
          <w:bCs/>
          <w:i/>
          <w:vertAlign w:val="subscript"/>
          <w:lang w:val="pt-BR"/>
        </w:rPr>
        <w:t xml:space="preserve">q, r </w:t>
      </w:r>
      <w:r w:rsidRPr="0013396E">
        <w:rPr>
          <w:b/>
          <w:bCs/>
          <w:lang w:val="pt-BR"/>
        </w:rPr>
        <w:t xml:space="preserve">+ </w:t>
      </w:r>
      <w:r w:rsidRPr="0013396E">
        <w:t>RTMCPCNS</w:t>
      </w:r>
      <w:r w:rsidRPr="0013396E">
        <w:rPr>
          <w:bCs/>
          <w:lang w:val="pt-BR"/>
        </w:rPr>
        <w:t xml:space="preserve"> * RTNSDQ </w:t>
      </w:r>
      <w:r w:rsidRPr="0013396E">
        <w:rPr>
          <w:bCs/>
          <w:i/>
          <w:vertAlign w:val="subscript"/>
          <w:lang w:val="pt-BR"/>
        </w:rPr>
        <w:t xml:space="preserve">q, r </w:t>
      </w:r>
      <w:r w:rsidRPr="0013396E">
        <w:rPr>
          <w:b/>
          <w:bCs/>
          <w:lang w:val="pt-BR"/>
        </w:rPr>
        <w:t xml:space="preserve">+ </w:t>
      </w:r>
      <w:r w:rsidRPr="0013396E">
        <w:rPr>
          <w:bCs/>
          <w:i/>
          <w:vertAlign w:val="subscript"/>
          <w:lang w:val="pt-BR"/>
        </w:rPr>
        <w:t xml:space="preserve"> </w:t>
      </w:r>
    </w:p>
    <w:p w14:paraId="301CF16C" w14:textId="77777777" w:rsidR="00F10AF1" w:rsidRPr="0013396E" w:rsidRDefault="00F10AF1" w:rsidP="00F10AF1">
      <w:pPr>
        <w:tabs>
          <w:tab w:val="left" w:pos="1440"/>
          <w:tab w:val="left" w:pos="2250"/>
        </w:tabs>
        <w:spacing w:before="240" w:after="240"/>
        <w:ind w:left="1980" w:hanging="1350"/>
        <w:jc w:val="both"/>
        <w:rPr>
          <w:bCs/>
          <w:lang w:val="pt-BR"/>
        </w:rPr>
      </w:pPr>
      <w:r w:rsidRPr="0013396E">
        <w:rPr>
          <w:bCs/>
          <w:i/>
          <w:vertAlign w:val="subscript"/>
          <w:lang w:val="pt-BR"/>
        </w:rPr>
        <w:tab/>
      </w:r>
      <w:r w:rsidRPr="0013396E">
        <w:rPr>
          <w:bCs/>
          <w:i/>
          <w:vertAlign w:val="subscript"/>
          <w:lang w:val="pt-BR"/>
        </w:rPr>
        <w:tab/>
      </w:r>
      <w:r w:rsidRPr="0013396E">
        <w:t>RTMCPCECR</w:t>
      </w:r>
      <w:r w:rsidRPr="0013396E">
        <w:rPr>
          <w:bCs/>
          <w:lang w:val="pt-BR"/>
        </w:rPr>
        <w:t xml:space="preserve"> * RTECRDQ </w:t>
      </w:r>
      <w:r w:rsidRPr="0013396E">
        <w:rPr>
          <w:bCs/>
          <w:i/>
          <w:vertAlign w:val="subscript"/>
          <w:lang w:val="pt-BR"/>
        </w:rPr>
        <w:t>q, r</w:t>
      </w:r>
      <w:r w:rsidRPr="0013396E">
        <w:rPr>
          <w:bCs/>
          <w:lang w:val="pt-BR"/>
        </w:rPr>
        <w:t>)</w:t>
      </w:r>
    </w:p>
    <w:p w14:paraId="61669612" w14:textId="77777777" w:rsidR="00F10AF1" w:rsidRPr="0013396E" w:rsidRDefault="00F10AF1" w:rsidP="00F10AF1">
      <w:pPr>
        <w:pStyle w:val="Instructions"/>
        <w:spacing w:after="0"/>
        <w:ind w:left="720" w:hanging="720"/>
        <w:rPr>
          <w:i w:val="0"/>
        </w:rPr>
      </w:pPr>
      <w:r w:rsidRPr="0013396E">
        <w:rPr>
          <w:b w:val="0"/>
          <w:i w:val="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3"/>
        <w:gridCol w:w="739"/>
        <w:gridCol w:w="6448"/>
      </w:tblGrid>
      <w:tr w:rsidR="00F10AF1" w:rsidRPr="0013396E" w14:paraId="7F567935" w14:textId="77777777" w:rsidTr="0099759E">
        <w:tc>
          <w:tcPr>
            <w:tcW w:w="1157" w:type="pct"/>
            <w:tcBorders>
              <w:top w:val="single" w:sz="4" w:space="0" w:color="auto"/>
              <w:left w:val="single" w:sz="4" w:space="0" w:color="auto"/>
              <w:bottom w:val="single" w:sz="4" w:space="0" w:color="auto"/>
              <w:right w:val="single" w:sz="4" w:space="0" w:color="auto"/>
            </w:tcBorders>
            <w:hideMark/>
          </w:tcPr>
          <w:p w14:paraId="37982893" w14:textId="77777777" w:rsidR="00F10AF1" w:rsidRPr="0013396E" w:rsidRDefault="00F10AF1" w:rsidP="0099759E">
            <w:pPr>
              <w:spacing w:after="240"/>
              <w:rPr>
                <w:b/>
                <w:iCs/>
                <w:sz w:val="20"/>
              </w:rPr>
            </w:pPr>
            <w:r w:rsidRPr="0013396E">
              <w:rPr>
                <w:b/>
                <w:iCs/>
                <w:sz w:val="20"/>
              </w:rPr>
              <w:t>Variable</w:t>
            </w:r>
          </w:p>
        </w:tc>
        <w:tc>
          <w:tcPr>
            <w:tcW w:w="395" w:type="pct"/>
            <w:tcBorders>
              <w:top w:val="single" w:sz="4" w:space="0" w:color="auto"/>
              <w:left w:val="single" w:sz="4" w:space="0" w:color="auto"/>
              <w:bottom w:val="single" w:sz="4" w:space="0" w:color="auto"/>
              <w:right w:val="single" w:sz="4" w:space="0" w:color="auto"/>
            </w:tcBorders>
            <w:hideMark/>
          </w:tcPr>
          <w:p w14:paraId="635968CA" w14:textId="77777777" w:rsidR="00F10AF1" w:rsidRPr="0013396E" w:rsidRDefault="00F10AF1" w:rsidP="0099759E">
            <w:pPr>
              <w:spacing w:after="240"/>
              <w:rPr>
                <w:b/>
                <w:iCs/>
                <w:sz w:val="20"/>
              </w:rPr>
            </w:pPr>
            <w:r w:rsidRPr="0013396E">
              <w:rPr>
                <w:b/>
                <w:iCs/>
                <w:sz w:val="20"/>
              </w:rPr>
              <w:t>Unit</w:t>
            </w:r>
          </w:p>
        </w:tc>
        <w:tc>
          <w:tcPr>
            <w:tcW w:w="3448" w:type="pct"/>
            <w:tcBorders>
              <w:top w:val="single" w:sz="4" w:space="0" w:color="auto"/>
              <w:left w:val="single" w:sz="4" w:space="0" w:color="auto"/>
              <w:bottom w:val="single" w:sz="4" w:space="0" w:color="auto"/>
              <w:right w:val="single" w:sz="4" w:space="0" w:color="auto"/>
            </w:tcBorders>
            <w:hideMark/>
          </w:tcPr>
          <w:p w14:paraId="781601F8" w14:textId="77777777" w:rsidR="00F10AF1" w:rsidRPr="0013396E" w:rsidRDefault="00F10AF1" w:rsidP="0099759E">
            <w:pPr>
              <w:spacing w:after="240"/>
              <w:rPr>
                <w:b/>
                <w:iCs/>
                <w:sz w:val="20"/>
              </w:rPr>
            </w:pPr>
            <w:r w:rsidRPr="0013396E">
              <w:rPr>
                <w:b/>
                <w:iCs/>
                <w:sz w:val="20"/>
              </w:rPr>
              <w:t>Description</w:t>
            </w:r>
          </w:p>
        </w:tc>
      </w:tr>
      <w:tr w:rsidR="00F10AF1" w:rsidRPr="0013396E" w14:paraId="295CE878" w14:textId="77777777" w:rsidTr="0099759E">
        <w:tc>
          <w:tcPr>
            <w:tcW w:w="1157" w:type="pct"/>
            <w:tcBorders>
              <w:top w:val="single" w:sz="4" w:space="0" w:color="auto"/>
              <w:left w:val="single" w:sz="4" w:space="0" w:color="auto"/>
              <w:bottom w:val="single" w:sz="4" w:space="0" w:color="auto"/>
              <w:right w:val="single" w:sz="4" w:space="0" w:color="auto"/>
            </w:tcBorders>
            <w:hideMark/>
          </w:tcPr>
          <w:p w14:paraId="3374D8AC" w14:textId="77777777" w:rsidR="00F10AF1" w:rsidRPr="0013396E" w:rsidRDefault="00F10AF1" w:rsidP="0099759E">
            <w:pPr>
              <w:spacing w:after="60"/>
              <w:rPr>
                <w:iCs/>
                <w:sz w:val="20"/>
              </w:rPr>
            </w:pPr>
            <w:r w:rsidRPr="0013396E">
              <w:rPr>
                <w:bCs/>
                <w:sz w:val="20"/>
                <w:lang w:val="pt-BR"/>
              </w:rPr>
              <w:t>RTDASAMT</w:t>
            </w:r>
            <w:r w:rsidRPr="0013396E">
              <w:rPr>
                <w:bCs/>
                <w:lang w:val="pt-BR"/>
              </w:rPr>
              <w:t xml:space="preserve"> </w:t>
            </w:r>
            <w:r w:rsidRPr="0013396E">
              <w:rPr>
                <w:i/>
                <w:iCs/>
                <w:sz w:val="20"/>
                <w:vertAlign w:val="subscript"/>
              </w:rPr>
              <w:t>q</w:t>
            </w:r>
          </w:p>
        </w:tc>
        <w:tc>
          <w:tcPr>
            <w:tcW w:w="395" w:type="pct"/>
            <w:tcBorders>
              <w:top w:val="single" w:sz="4" w:space="0" w:color="auto"/>
              <w:left w:val="single" w:sz="4" w:space="0" w:color="auto"/>
              <w:bottom w:val="single" w:sz="4" w:space="0" w:color="auto"/>
              <w:right w:val="single" w:sz="4" w:space="0" w:color="auto"/>
            </w:tcBorders>
            <w:hideMark/>
          </w:tcPr>
          <w:p w14:paraId="24A9000C" w14:textId="77777777" w:rsidR="00F10AF1" w:rsidRPr="0013396E" w:rsidRDefault="00F10AF1" w:rsidP="0099759E">
            <w:pPr>
              <w:spacing w:after="60"/>
              <w:rPr>
                <w:iCs/>
                <w:sz w:val="20"/>
              </w:rPr>
            </w:pPr>
            <w:r w:rsidRPr="0013396E">
              <w:rPr>
                <w:iCs/>
                <w:sz w:val="20"/>
              </w:rPr>
              <w:t>$</w:t>
            </w:r>
          </w:p>
        </w:tc>
        <w:tc>
          <w:tcPr>
            <w:tcW w:w="3448" w:type="pct"/>
            <w:tcBorders>
              <w:top w:val="single" w:sz="4" w:space="0" w:color="auto"/>
              <w:left w:val="single" w:sz="4" w:space="0" w:color="auto"/>
              <w:bottom w:val="single" w:sz="4" w:space="0" w:color="auto"/>
              <w:right w:val="single" w:sz="4" w:space="0" w:color="auto"/>
            </w:tcBorders>
            <w:hideMark/>
          </w:tcPr>
          <w:p w14:paraId="0273A3BB" w14:textId="77777777" w:rsidR="00F10AF1" w:rsidRPr="0013396E" w:rsidRDefault="00F10AF1" w:rsidP="0099759E">
            <w:pPr>
              <w:spacing w:after="60"/>
              <w:rPr>
                <w:iCs/>
                <w:sz w:val="20"/>
              </w:rPr>
            </w:pPr>
            <w:r w:rsidRPr="0013396E">
              <w:rPr>
                <w:i/>
                <w:iCs/>
                <w:sz w:val="20"/>
              </w:rPr>
              <w:t>Real-Time Derated Ancillary Service Amount</w:t>
            </w:r>
            <w:r w:rsidRPr="0013396E">
              <w:rPr>
                <w:iCs/>
                <w:sz w:val="20"/>
              </w:rPr>
              <w:t xml:space="preserve">—The payment to QSE </w:t>
            </w:r>
            <w:r w:rsidRPr="0013396E">
              <w:rPr>
                <w:i/>
                <w:iCs/>
                <w:sz w:val="20"/>
              </w:rPr>
              <w:t>q</w:t>
            </w:r>
            <w:r w:rsidRPr="0013396E">
              <w:rPr>
                <w:iCs/>
                <w:sz w:val="20"/>
              </w:rPr>
              <w:t xml:space="preserve"> for amounts recoverable resulting from a manual reduction of Ancillary Services by ERCOT for the 15-minute Settlement Interval.</w:t>
            </w:r>
          </w:p>
        </w:tc>
      </w:tr>
      <w:tr w:rsidR="00F10AF1" w:rsidRPr="0013396E" w14:paraId="636C627B" w14:textId="77777777" w:rsidTr="0099759E">
        <w:tc>
          <w:tcPr>
            <w:tcW w:w="1157" w:type="pct"/>
            <w:tcBorders>
              <w:top w:val="single" w:sz="4" w:space="0" w:color="auto"/>
              <w:left w:val="single" w:sz="4" w:space="0" w:color="auto"/>
              <w:bottom w:val="single" w:sz="4" w:space="0" w:color="auto"/>
              <w:right w:val="single" w:sz="4" w:space="0" w:color="auto"/>
            </w:tcBorders>
            <w:hideMark/>
          </w:tcPr>
          <w:p w14:paraId="6C4F0B86" w14:textId="77777777" w:rsidR="00F10AF1" w:rsidRPr="0013396E" w:rsidRDefault="00F10AF1" w:rsidP="0099759E">
            <w:pPr>
              <w:spacing w:after="60"/>
              <w:rPr>
                <w:iCs/>
                <w:sz w:val="20"/>
              </w:rPr>
            </w:pPr>
            <w:r w:rsidRPr="0013396E">
              <w:rPr>
                <w:bCs/>
                <w:sz w:val="20"/>
                <w:lang w:val="pt-BR"/>
              </w:rPr>
              <w:t>RTRUILD</w:t>
            </w:r>
            <w:r w:rsidRPr="0013396E">
              <w:rPr>
                <w:b/>
                <w:bCs/>
                <w:lang w:val="pt-BR"/>
              </w:rPr>
              <w:t xml:space="preserve"> </w:t>
            </w:r>
            <w:r w:rsidRPr="0013396E">
              <w:rPr>
                <w:i/>
                <w:iCs/>
                <w:sz w:val="20"/>
                <w:vertAlign w:val="subscript"/>
              </w:rPr>
              <w:t>q</w:t>
            </w:r>
          </w:p>
        </w:tc>
        <w:tc>
          <w:tcPr>
            <w:tcW w:w="395" w:type="pct"/>
            <w:tcBorders>
              <w:top w:val="single" w:sz="4" w:space="0" w:color="auto"/>
              <w:left w:val="single" w:sz="4" w:space="0" w:color="auto"/>
              <w:bottom w:val="single" w:sz="4" w:space="0" w:color="auto"/>
              <w:right w:val="single" w:sz="4" w:space="0" w:color="auto"/>
            </w:tcBorders>
            <w:hideMark/>
          </w:tcPr>
          <w:p w14:paraId="2F7A12E9" w14:textId="77777777" w:rsidR="00F10AF1" w:rsidRPr="0013396E" w:rsidRDefault="00F10AF1" w:rsidP="0099759E">
            <w:pPr>
              <w:spacing w:after="60"/>
              <w:rPr>
                <w:iCs/>
                <w:sz w:val="20"/>
              </w:rPr>
            </w:pPr>
            <w:r w:rsidRPr="0013396E">
              <w:rPr>
                <w:iCs/>
                <w:sz w:val="20"/>
              </w:rPr>
              <w:t>$</w:t>
            </w:r>
          </w:p>
        </w:tc>
        <w:tc>
          <w:tcPr>
            <w:tcW w:w="3448" w:type="pct"/>
            <w:tcBorders>
              <w:top w:val="single" w:sz="4" w:space="0" w:color="auto"/>
              <w:left w:val="single" w:sz="4" w:space="0" w:color="auto"/>
              <w:bottom w:val="single" w:sz="4" w:space="0" w:color="auto"/>
              <w:right w:val="single" w:sz="4" w:space="0" w:color="auto"/>
            </w:tcBorders>
            <w:hideMark/>
          </w:tcPr>
          <w:p w14:paraId="7934389A" w14:textId="7806295C" w:rsidR="00F10AF1" w:rsidRPr="0013396E" w:rsidRDefault="00F10AF1" w:rsidP="0099759E">
            <w:pPr>
              <w:spacing w:after="60"/>
              <w:rPr>
                <w:i/>
                <w:iCs/>
                <w:sz w:val="20"/>
              </w:rPr>
            </w:pPr>
            <w:r w:rsidRPr="0013396E">
              <w:rPr>
                <w:i/>
                <w:iCs/>
                <w:sz w:val="20"/>
              </w:rPr>
              <w:t>Real-Time Derated Regulation Up Imbalance Losses for Deration</w:t>
            </w:r>
            <w:r w:rsidRPr="0013396E">
              <w:rPr>
                <w:iCs/>
                <w:sz w:val="20"/>
              </w:rPr>
              <w:t xml:space="preserve">—The payments not made to QSE </w:t>
            </w:r>
            <w:r w:rsidRPr="0013396E">
              <w:rPr>
                <w:i/>
                <w:iCs/>
                <w:sz w:val="20"/>
              </w:rPr>
              <w:t>q</w:t>
            </w:r>
            <w:r w:rsidRPr="0013396E">
              <w:rPr>
                <w:iCs/>
                <w:sz w:val="20"/>
              </w:rPr>
              <w:t xml:space="preserve"> under paragraph (1) of Section 6.7.</w:t>
            </w:r>
            <w:r w:rsidR="00A12B52" w:rsidRPr="0013396E">
              <w:rPr>
                <w:iCs/>
                <w:sz w:val="20"/>
              </w:rPr>
              <w:t>2</w:t>
            </w:r>
            <w:r w:rsidRPr="0013396E">
              <w:rPr>
                <w:iCs/>
                <w:sz w:val="20"/>
              </w:rPr>
              <w:t>.2, Regulation Up Service Payments and Charges, for the 15-minute Settlement Interval.</w:t>
            </w:r>
          </w:p>
        </w:tc>
      </w:tr>
      <w:tr w:rsidR="00F10AF1" w:rsidRPr="0013396E" w14:paraId="42A7FD87" w14:textId="77777777" w:rsidTr="0099759E">
        <w:tc>
          <w:tcPr>
            <w:tcW w:w="1157" w:type="pct"/>
            <w:tcBorders>
              <w:top w:val="single" w:sz="4" w:space="0" w:color="auto"/>
              <w:left w:val="single" w:sz="4" w:space="0" w:color="auto"/>
              <w:bottom w:val="single" w:sz="4" w:space="0" w:color="auto"/>
              <w:right w:val="single" w:sz="4" w:space="0" w:color="auto"/>
            </w:tcBorders>
            <w:hideMark/>
          </w:tcPr>
          <w:p w14:paraId="500AF04F" w14:textId="77777777" w:rsidR="00F10AF1" w:rsidRPr="0013396E" w:rsidRDefault="00F10AF1" w:rsidP="0099759E">
            <w:pPr>
              <w:spacing w:after="60"/>
              <w:rPr>
                <w:bCs/>
                <w:sz w:val="20"/>
                <w:lang w:val="pt-BR"/>
              </w:rPr>
            </w:pPr>
            <w:r w:rsidRPr="0013396E">
              <w:rPr>
                <w:bCs/>
                <w:sz w:val="20"/>
                <w:lang w:val="pt-BR"/>
              </w:rPr>
              <w:t xml:space="preserve">RTRDILD </w:t>
            </w:r>
            <w:r w:rsidRPr="0013396E">
              <w:rPr>
                <w:i/>
                <w:iCs/>
                <w:sz w:val="20"/>
                <w:vertAlign w:val="subscript"/>
              </w:rPr>
              <w:t>q</w:t>
            </w:r>
          </w:p>
        </w:tc>
        <w:tc>
          <w:tcPr>
            <w:tcW w:w="395" w:type="pct"/>
            <w:tcBorders>
              <w:top w:val="single" w:sz="4" w:space="0" w:color="auto"/>
              <w:left w:val="single" w:sz="4" w:space="0" w:color="auto"/>
              <w:bottom w:val="single" w:sz="4" w:space="0" w:color="auto"/>
              <w:right w:val="single" w:sz="4" w:space="0" w:color="auto"/>
            </w:tcBorders>
            <w:hideMark/>
          </w:tcPr>
          <w:p w14:paraId="4EB1E88E" w14:textId="77777777" w:rsidR="00F10AF1" w:rsidRPr="0013396E" w:rsidRDefault="00F10AF1" w:rsidP="0099759E">
            <w:pPr>
              <w:spacing w:after="60"/>
              <w:rPr>
                <w:bCs/>
                <w:sz w:val="20"/>
                <w:lang w:val="pt-BR"/>
              </w:rPr>
            </w:pPr>
            <w:r w:rsidRPr="0013396E">
              <w:rPr>
                <w:bCs/>
                <w:sz w:val="20"/>
                <w:lang w:val="pt-BR"/>
              </w:rPr>
              <w:t>$</w:t>
            </w:r>
          </w:p>
        </w:tc>
        <w:tc>
          <w:tcPr>
            <w:tcW w:w="3448" w:type="pct"/>
            <w:tcBorders>
              <w:top w:val="single" w:sz="4" w:space="0" w:color="auto"/>
              <w:left w:val="single" w:sz="4" w:space="0" w:color="auto"/>
              <w:bottom w:val="single" w:sz="4" w:space="0" w:color="auto"/>
              <w:right w:val="single" w:sz="4" w:space="0" w:color="auto"/>
            </w:tcBorders>
            <w:hideMark/>
          </w:tcPr>
          <w:p w14:paraId="1A3371F8" w14:textId="295D753D" w:rsidR="00F10AF1" w:rsidRPr="0013396E" w:rsidRDefault="00F10AF1" w:rsidP="0099759E">
            <w:pPr>
              <w:spacing w:after="60"/>
              <w:rPr>
                <w:bCs/>
                <w:sz w:val="20"/>
                <w:lang w:val="pt-BR"/>
              </w:rPr>
            </w:pPr>
            <w:r w:rsidRPr="0013396E">
              <w:rPr>
                <w:bCs/>
                <w:i/>
                <w:sz w:val="20"/>
                <w:lang w:val="pt-BR"/>
              </w:rPr>
              <w:t>Real-Time Derated Regulation Down Imbalance Losses for Deration</w:t>
            </w:r>
            <w:r w:rsidRPr="0013396E">
              <w:rPr>
                <w:bCs/>
                <w:sz w:val="20"/>
                <w:lang w:val="pt-BR"/>
              </w:rPr>
              <w:t xml:space="preserve">—The payments </w:t>
            </w:r>
            <w:r w:rsidRPr="0013396E">
              <w:rPr>
                <w:iCs/>
                <w:sz w:val="20"/>
              </w:rPr>
              <w:t xml:space="preserve">not made </w:t>
            </w:r>
            <w:r w:rsidRPr="0013396E">
              <w:rPr>
                <w:bCs/>
                <w:sz w:val="20"/>
                <w:lang w:val="pt-BR"/>
              </w:rPr>
              <w:t xml:space="preserve">to QSE </w:t>
            </w:r>
            <w:r w:rsidRPr="0013396E">
              <w:rPr>
                <w:bCs/>
                <w:i/>
                <w:sz w:val="20"/>
                <w:lang w:val="pt-BR"/>
              </w:rPr>
              <w:t>q</w:t>
            </w:r>
            <w:r w:rsidRPr="0013396E">
              <w:rPr>
                <w:bCs/>
                <w:sz w:val="20"/>
                <w:lang w:val="pt-BR"/>
              </w:rPr>
              <w:t xml:space="preserve"> under paragraph (1) of Section 6.7.</w:t>
            </w:r>
            <w:r w:rsidR="00A12B52" w:rsidRPr="0013396E">
              <w:rPr>
                <w:bCs/>
                <w:sz w:val="20"/>
                <w:lang w:val="pt-BR"/>
              </w:rPr>
              <w:t>2</w:t>
            </w:r>
            <w:r w:rsidRPr="0013396E">
              <w:rPr>
                <w:bCs/>
                <w:sz w:val="20"/>
                <w:lang w:val="pt-BR"/>
              </w:rPr>
              <w:t>.3, Regulation Down Service Payments and Charges, for the 15-minute Settlement Interval.</w:t>
            </w:r>
          </w:p>
        </w:tc>
      </w:tr>
      <w:tr w:rsidR="00F10AF1" w:rsidRPr="0013396E" w14:paraId="73006652" w14:textId="77777777" w:rsidTr="0099759E">
        <w:tc>
          <w:tcPr>
            <w:tcW w:w="1157" w:type="pct"/>
            <w:tcBorders>
              <w:top w:val="single" w:sz="4" w:space="0" w:color="auto"/>
              <w:left w:val="single" w:sz="4" w:space="0" w:color="auto"/>
              <w:bottom w:val="single" w:sz="4" w:space="0" w:color="auto"/>
              <w:right w:val="single" w:sz="4" w:space="0" w:color="auto"/>
            </w:tcBorders>
            <w:hideMark/>
          </w:tcPr>
          <w:p w14:paraId="41B5F3FE" w14:textId="77777777" w:rsidR="00F10AF1" w:rsidRPr="0013396E" w:rsidRDefault="00F10AF1" w:rsidP="0099759E">
            <w:pPr>
              <w:spacing w:after="60"/>
              <w:rPr>
                <w:bCs/>
                <w:sz w:val="20"/>
                <w:lang w:val="pt-BR"/>
              </w:rPr>
            </w:pPr>
            <w:r w:rsidRPr="0013396E">
              <w:rPr>
                <w:bCs/>
                <w:sz w:val="20"/>
                <w:lang w:val="pt-BR"/>
              </w:rPr>
              <w:t xml:space="preserve">RTRRILD </w:t>
            </w:r>
            <w:r w:rsidRPr="0013396E">
              <w:rPr>
                <w:i/>
                <w:iCs/>
                <w:sz w:val="20"/>
                <w:vertAlign w:val="subscript"/>
              </w:rPr>
              <w:t>q</w:t>
            </w:r>
          </w:p>
        </w:tc>
        <w:tc>
          <w:tcPr>
            <w:tcW w:w="395" w:type="pct"/>
            <w:tcBorders>
              <w:top w:val="single" w:sz="4" w:space="0" w:color="auto"/>
              <w:left w:val="single" w:sz="4" w:space="0" w:color="auto"/>
              <w:bottom w:val="single" w:sz="4" w:space="0" w:color="auto"/>
              <w:right w:val="single" w:sz="4" w:space="0" w:color="auto"/>
            </w:tcBorders>
            <w:hideMark/>
          </w:tcPr>
          <w:p w14:paraId="7C5E29D7" w14:textId="77777777" w:rsidR="00F10AF1" w:rsidRPr="0013396E" w:rsidRDefault="00F10AF1" w:rsidP="0099759E">
            <w:pPr>
              <w:spacing w:after="60"/>
              <w:rPr>
                <w:bCs/>
                <w:sz w:val="20"/>
                <w:lang w:val="pt-BR"/>
              </w:rPr>
            </w:pPr>
            <w:r w:rsidRPr="0013396E">
              <w:rPr>
                <w:bCs/>
                <w:sz w:val="20"/>
                <w:lang w:val="pt-BR"/>
              </w:rPr>
              <w:t>$</w:t>
            </w:r>
          </w:p>
        </w:tc>
        <w:tc>
          <w:tcPr>
            <w:tcW w:w="3448" w:type="pct"/>
            <w:tcBorders>
              <w:top w:val="single" w:sz="4" w:space="0" w:color="auto"/>
              <w:left w:val="single" w:sz="4" w:space="0" w:color="auto"/>
              <w:bottom w:val="single" w:sz="4" w:space="0" w:color="auto"/>
              <w:right w:val="single" w:sz="4" w:space="0" w:color="auto"/>
            </w:tcBorders>
            <w:hideMark/>
          </w:tcPr>
          <w:p w14:paraId="437823C0" w14:textId="4A740443" w:rsidR="00F10AF1" w:rsidRPr="0013396E" w:rsidRDefault="00F10AF1" w:rsidP="0099759E">
            <w:pPr>
              <w:spacing w:after="60"/>
              <w:rPr>
                <w:bCs/>
                <w:sz w:val="20"/>
                <w:lang w:val="pt-BR"/>
              </w:rPr>
            </w:pPr>
            <w:r w:rsidRPr="0013396E">
              <w:rPr>
                <w:bCs/>
                <w:i/>
                <w:sz w:val="20"/>
                <w:lang w:val="pt-BR"/>
              </w:rPr>
              <w:t>Real-Time Derated Responsive Reserve Imbalance Losses for Deration</w:t>
            </w:r>
            <w:r w:rsidRPr="0013396E">
              <w:rPr>
                <w:bCs/>
                <w:sz w:val="20"/>
                <w:lang w:val="pt-BR"/>
              </w:rPr>
              <w:t xml:space="preserve">—The payments </w:t>
            </w:r>
            <w:r w:rsidRPr="0013396E">
              <w:rPr>
                <w:iCs/>
                <w:sz w:val="20"/>
              </w:rPr>
              <w:t xml:space="preserve">not made </w:t>
            </w:r>
            <w:r w:rsidRPr="0013396E">
              <w:rPr>
                <w:bCs/>
                <w:sz w:val="20"/>
                <w:lang w:val="pt-BR"/>
              </w:rPr>
              <w:t xml:space="preserve">to QSE </w:t>
            </w:r>
            <w:r w:rsidRPr="0013396E">
              <w:rPr>
                <w:bCs/>
                <w:i/>
                <w:sz w:val="20"/>
                <w:lang w:val="pt-BR"/>
              </w:rPr>
              <w:t>q</w:t>
            </w:r>
            <w:r w:rsidRPr="0013396E">
              <w:rPr>
                <w:bCs/>
                <w:sz w:val="20"/>
                <w:lang w:val="pt-BR"/>
              </w:rPr>
              <w:t xml:space="preserve"> under paragraph (1) of Section 6.7.</w:t>
            </w:r>
            <w:r w:rsidR="00A12B52" w:rsidRPr="0013396E">
              <w:rPr>
                <w:bCs/>
                <w:sz w:val="20"/>
                <w:lang w:val="pt-BR"/>
              </w:rPr>
              <w:t>2</w:t>
            </w:r>
            <w:r w:rsidRPr="0013396E">
              <w:rPr>
                <w:bCs/>
                <w:sz w:val="20"/>
                <w:lang w:val="pt-BR"/>
              </w:rPr>
              <w:t>.4, Responsive Reserve Payments and Charges, for the 15-minute Settlement Interval.</w:t>
            </w:r>
          </w:p>
        </w:tc>
      </w:tr>
      <w:tr w:rsidR="00F10AF1" w:rsidRPr="0013396E" w14:paraId="5CC54C55" w14:textId="77777777" w:rsidTr="0099759E">
        <w:tc>
          <w:tcPr>
            <w:tcW w:w="1157" w:type="pct"/>
            <w:tcBorders>
              <w:top w:val="single" w:sz="4" w:space="0" w:color="auto"/>
              <w:left w:val="single" w:sz="4" w:space="0" w:color="auto"/>
              <w:bottom w:val="single" w:sz="4" w:space="0" w:color="auto"/>
              <w:right w:val="single" w:sz="4" w:space="0" w:color="auto"/>
            </w:tcBorders>
            <w:hideMark/>
          </w:tcPr>
          <w:p w14:paraId="7162555E" w14:textId="77777777" w:rsidR="00F10AF1" w:rsidRPr="0013396E" w:rsidRDefault="00F10AF1" w:rsidP="0099759E">
            <w:pPr>
              <w:spacing w:after="60"/>
              <w:rPr>
                <w:bCs/>
                <w:sz w:val="20"/>
                <w:lang w:val="pt-BR"/>
              </w:rPr>
            </w:pPr>
            <w:r w:rsidRPr="0013396E">
              <w:rPr>
                <w:bCs/>
                <w:sz w:val="20"/>
                <w:lang w:val="pt-BR"/>
              </w:rPr>
              <w:lastRenderedPageBreak/>
              <w:t xml:space="preserve">RTNSILD </w:t>
            </w:r>
            <w:r w:rsidRPr="0013396E">
              <w:rPr>
                <w:i/>
                <w:iCs/>
                <w:sz w:val="20"/>
                <w:vertAlign w:val="subscript"/>
              </w:rPr>
              <w:t>q</w:t>
            </w:r>
          </w:p>
        </w:tc>
        <w:tc>
          <w:tcPr>
            <w:tcW w:w="395" w:type="pct"/>
            <w:tcBorders>
              <w:top w:val="single" w:sz="4" w:space="0" w:color="auto"/>
              <w:left w:val="single" w:sz="4" w:space="0" w:color="auto"/>
              <w:bottom w:val="single" w:sz="4" w:space="0" w:color="auto"/>
              <w:right w:val="single" w:sz="4" w:space="0" w:color="auto"/>
            </w:tcBorders>
            <w:hideMark/>
          </w:tcPr>
          <w:p w14:paraId="6471E178" w14:textId="77777777" w:rsidR="00F10AF1" w:rsidRPr="0013396E" w:rsidRDefault="00F10AF1" w:rsidP="0099759E">
            <w:pPr>
              <w:spacing w:after="60"/>
              <w:rPr>
                <w:bCs/>
                <w:sz w:val="20"/>
                <w:lang w:val="pt-BR"/>
              </w:rPr>
            </w:pPr>
            <w:r w:rsidRPr="0013396E">
              <w:rPr>
                <w:bCs/>
                <w:sz w:val="20"/>
                <w:lang w:val="pt-BR"/>
              </w:rPr>
              <w:t>$</w:t>
            </w:r>
          </w:p>
        </w:tc>
        <w:tc>
          <w:tcPr>
            <w:tcW w:w="3448" w:type="pct"/>
            <w:tcBorders>
              <w:top w:val="single" w:sz="4" w:space="0" w:color="auto"/>
              <w:left w:val="single" w:sz="4" w:space="0" w:color="auto"/>
              <w:bottom w:val="single" w:sz="4" w:space="0" w:color="auto"/>
              <w:right w:val="single" w:sz="4" w:space="0" w:color="auto"/>
            </w:tcBorders>
            <w:hideMark/>
          </w:tcPr>
          <w:p w14:paraId="7FE3AF34" w14:textId="1D9D18B2" w:rsidR="00F10AF1" w:rsidRPr="0013396E" w:rsidRDefault="00F10AF1" w:rsidP="0099759E">
            <w:pPr>
              <w:spacing w:after="60"/>
              <w:rPr>
                <w:bCs/>
                <w:sz w:val="20"/>
                <w:lang w:val="pt-BR"/>
              </w:rPr>
            </w:pPr>
            <w:r w:rsidRPr="0013396E">
              <w:rPr>
                <w:bCs/>
                <w:i/>
                <w:sz w:val="20"/>
                <w:lang w:val="pt-BR"/>
              </w:rPr>
              <w:t>Real-Time Derated Non-Spin Imbalance Losses for Deration</w:t>
            </w:r>
            <w:r w:rsidRPr="0013396E">
              <w:rPr>
                <w:bCs/>
                <w:sz w:val="20"/>
                <w:lang w:val="pt-BR"/>
              </w:rPr>
              <w:t xml:space="preserve">—The payments </w:t>
            </w:r>
            <w:r w:rsidRPr="0013396E">
              <w:rPr>
                <w:iCs/>
                <w:sz w:val="20"/>
              </w:rPr>
              <w:t xml:space="preserve">not made </w:t>
            </w:r>
            <w:r w:rsidRPr="0013396E">
              <w:rPr>
                <w:bCs/>
                <w:sz w:val="20"/>
                <w:lang w:val="pt-BR"/>
              </w:rPr>
              <w:t xml:space="preserve">to QSE </w:t>
            </w:r>
            <w:r w:rsidRPr="0013396E">
              <w:rPr>
                <w:bCs/>
                <w:i/>
                <w:sz w:val="20"/>
                <w:lang w:val="pt-BR"/>
              </w:rPr>
              <w:t>q</w:t>
            </w:r>
            <w:r w:rsidRPr="0013396E">
              <w:rPr>
                <w:bCs/>
                <w:sz w:val="20"/>
                <w:lang w:val="pt-BR"/>
              </w:rPr>
              <w:t xml:space="preserve"> under paragraph (1) of Section 6.7.</w:t>
            </w:r>
            <w:r w:rsidR="00A12B52" w:rsidRPr="0013396E">
              <w:rPr>
                <w:bCs/>
                <w:sz w:val="20"/>
                <w:lang w:val="pt-BR"/>
              </w:rPr>
              <w:t>2</w:t>
            </w:r>
            <w:r w:rsidRPr="0013396E">
              <w:rPr>
                <w:bCs/>
                <w:sz w:val="20"/>
                <w:lang w:val="pt-BR"/>
              </w:rPr>
              <w:t>.5, Non-Spinning Reserve Service Payments and Charges, for the 15-minute Settlement Interval.</w:t>
            </w:r>
          </w:p>
        </w:tc>
      </w:tr>
      <w:tr w:rsidR="00F10AF1" w:rsidRPr="0013396E" w14:paraId="39030652" w14:textId="77777777" w:rsidTr="0099759E">
        <w:tc>
          <w:tcPr>
            <w:tcW w:w="1157" w:type="pct"/>
            <w:tcBorders>
              <w:top w:val="single" w:sz="4" w:space="0" w:color="auto"/>
              <w:left w:val="single" w:sz="4" w:space="0" w:color="auto"/>
              <w:bottom w:val="single" w:sz="4" w:space="0" w:color="auto"/>
              <w:right w:val="single" w:sz="4" w:space="0" w:color="auto"/>
            </w:tcBorders>
            <w:hideMark/>
          </w:tcPr>
          <w:p w14:paraId="180E4F32" w14:textId="77777777" w:rsidR="00F10AF1" w:rsidRPr="0013396E" w:rsidRDefault="00F10AF1" w:rsidP="0099759E">
            <w:pPr>
              <w:spacing w:after="60"/>
              <w:rPr>
                <w:bCs/>
                <w:sz w:val="20"/>
                <w:lang w:val="pt-BR"/>
              </w:rPr>
            </w:pPr>
            <w:r w:rsidRPr="0013396E">
              <w:rPr>
                <w:bCs/>
                <w:sz w:val="20"/>
                <w:lang w:val="pt-BR"/>
              </w:rPr>
              <w:t xml:space="preserve">RTECRILD </w:t>
            </w:r>
            <w:r w:rsidRPr="0013396E">
              <w:rPr>
                <w:bCs/>
                <w:sz w:val="20"/>
                <w:vertAlign w:val="subscript"/>
                <w:lang w:val="pt-BR"/>
              </w:rPr>
              <w:t>q</w:t>
            </w:r>
          </w:p>
        </w:tc>
        <w:tc>
          <w:tcPr>
            <w:tcW w:w="395" w:type="pct"/>
            <w:tcBorders>
              <w:top w:val="single" w:sz="4" w:space="0" w:color="auto"/>
              <w:left w:val="single" w:sz="4" w:space="0" w:color="auto"/>
              <w:bottom w:val="single" w:sz="4" w:space="0" w:color="auto"/>
              <w:right w:val="single" w:sz="4" w:space="0" w:color="auto"/>
            </w:tcBorders>
            <w:hideMark/>
          </w:tcPr>
          <w:p w14:paraId="7800DD5E" w14:textId="77777777" w:rsidR="00F10AF1" w:rsidRPr="0013396E" w:rsidRDefault="00F10AF1" w:rsidP="0099759E">
            <w:pPr>
              <w:spacing w:after="60"/>
              <w:rPr>
                <w:bCs/>
                <w:sz w:val="20"/>
                <w:lang w:val="pt-BR"/>
              </w:rPr>
            </w:pPr>
            <w:r w:rsidRPr="0013396E">
              <w:rPr>
                <w:bCs/>
                <w:sz w:val="20"/>
                <w:lang w:val="pt-BR"/>
              </w:rPr>
              <w:t>$</w:t>
            </w:r>
          </w:p>
        </w:tc>
        <w:tc>
          <w:tcPr>
            <w:tcW w:w="3448" w:type="pct"/>
            <w:tcBorders>
              <w:top w:val="single" w:sz="4" w:space="0" w:color="auto"/>
              <w:left w:val="single" w:sz="4" w:space="0" w:color="auto"/>
              <w:bottom w:val="single" w:sz="4" w:space="0" w:color="auto"/>
              <w:right w:val="single" w:sz="4" w:space="0" w:color="auto"/>
            </w:tcBorders>
            <w:hideMark/>
          </w:tcPr>
          <w:p w14:paraId="543965CB" w14:textId="49C9CC67" w:rsidR="00F10AF1" w:rsidRPr="0013396E" w:rsidRDefault="00F10AF1" w:rsidP="0099759E">
            <w:pPr>
              <w:spacing w:after="60"/>
              <w:rPr>
                <w:bCs/>
                <w:sz w:val="20"/>
                <w:lang w:val="pt-BR"/>
              </w:rPr>
            </w:pPr>
            <w:r w:rsidRPr="0013396E">
              <w:rPr>
                <w:bCs/>
                <w:i/>
                <w:sz w:val="20"/>
                <w:lang w:val="pt-BR"/>
              </w:rPr>
              <w:t>Real-Time Derated ERCOT Contingency Reserve Service Imbalance Losses for Deration</w:t>
            </w:r>
            <w:r w:rsidRPr="0013396E">
              <w:rPr>
                <w:bCs/>
                <w:sz w:val="20"/>
                <w:lang w:val="pt-BR"/>
              </w:rPr>
              <w:t xml:space="preserve">—The payments </w:t>
            </w:r>
            <w:r w:rsidRPr="0013396E">
              <w:rPr>
                <w:iCs/>
                <w:sz w:val="20"/>
              </w:rPr>
              <w:t xml:space="preserve">not made </w:t>
            </w:r>
            <w:r w:rsidRPr="0013396E">
              <w:rPr>
                <w:bCs/>
                <w:sz w:val="20"/>
                <w:lang w:val="pt-BR"/>
              </w:rPr>
              <w:t xml:space="preserve">to QSE </w:t>
            </w:r>
            <w:r w:rsidRPr="0013396E">
              <w:rPr>
                <w:bCs/>
                <w:i/>
                <w:sz w:val="20"/>
                <w:lang w:val="pt-BR"/>
              </w:rPr>
              <w:t>q</w:t>
            </w:r>
            <w:r w:rsidRPr="0013396E">
              <w:rPr>
                <w:bCs/>
                <w:sz w:val="20"/>
                <w:lang w:val="pt-BR"/>
              </w:rPr>
              <w:t xml:space="preserve"> under paragraph (1) of Section 6.7.</w:t>
            </w:r>
            <w:r w:rsidR="00A12B52" w:rsidRPr="0013396E">
              <w:rPr>
                <w:bCs/>
                <w:sz w:val="20"/>
                <w:lang w:val="pt-BR"/>
              </w:rPr>
              <w:t>2</w:t>
            </w:r>
            <w:r w:rsidRPr="0013396E">
              <w:rPr>
                <w:bCs/>
                <w:sz w:val="20"/>
                <w:lang w:val="pt-BR"/>
              </w:rPr>
              <w:t>.6, ERCOT Contingency Reserve Service Payments and Charges, for the 15-minute Settlement Interval.</w:t>
            </w:r>
          </w:p>
        </w:tc>
      </w:tr>
      <w:tr w:rsidR="00F10AF1" w:rsidRPr="0013396E" w14:paraId="7AA6A4A5" w14:textId="77777777" w:rsidTr="0099759E">
        <w:tc>
          <w:tcPr>
            <w:tcW w:w="1157" w:type="pct"/>
            <w:tcBorders>
              <w:top w:val="single" w:sz="4" w:space="0" w:color="auto"/>
              <w:left w:val="single" w:sz="4" w:space="0" w:color="auto"/>
              <w:bottom w:val="single" w:sz="4" w:space="0" w:color="auto"/>
              <w:right w:val="single" w:sz="4" w:space="0" w:color="auto"/>
            </w:tcBorders>
            <w:hideMark/>
          </w:tcPr>
          <w:p w14:paraId="44164F01" w14:textId="77777777" w:rsidR="00F10AF1" w:rsidRPr="0013396E" w:rsidRDefault="00F10AF1" w:rsidP="0099759E">
            <w:pPr>
              <w:spacing w:after="60"/>
              <w:rPr>
                <w:bCs/>
                <w:szCs w:val="24"/>
              </w:rPr>
            </w:pPr>
            <w:r w:rsidRPr="0013396E">
              <w:rPr>
                <w:bCs/>
                <w:sz w:val="20"/>
                <w:lang w:val="pt-BR"/>
              </w:rPr>
              <w:t>RTEIRD</w:t>
            </w:r>
            <w:r w:rsidRPr="0013396E">
              <w:rPr>
                <w:b/>
                <w:bCs/>
                <w:i/>
                <w:vertAlign w:val="subscript"/>
                <w:lang w:val="pt-BR"/>
              </w:rPr>
              <w:t xml:space="preserve"> </w:t>
            </w:r>
            <w:r w:rsidRPr="0013396E">
              <w:rPr>
                <w:i/>
                <w:iCs/>
                <w:sz w:val="20"/>
                <w:vertAlign w:val="subscript"/>
              </w:rPr>
              <w:t>q</w:t>
            </w:r>
          </w:p>
        </w:tc>
        <w:tc>
          <w:tcPr>
            <w:tcW w:w="395" w:type="pct"/>
            <w:tcBorders>
              <w:top w:val="single" w:sz="4" w:space="0" w:color="auto"/>
              <w:left w:val="single" w:sz="4" w:space="0" w:color="auto"/>
              <w:bottom w:val="single" w:sz="4" w:space="0" w:color="auto"/>
              <w:right w:val="single" w:sz="4" w:space="0" w:color="auto"/>
            </w:tcBorders>
            <w:hideMark/>
          </w:tcPr>
          <w:p w14:paraId="26E1C3B0" w14:textId="77777777" w:rsidR="00F10AF1" w:rsidRPr="0013396E" w:rsidRDefault="00F10AF1" w:rsidP="0099759E">
            <w:pPr>
              <w:spacing w:after="60"/>
              <w:rPr>
                <w:iCs/>
                <w:sz w:val="20"/>
              </w:rPr>
            </w:pPr>
            <w:r w:rsidRPr="0013396E">
              <w:rPr>
                <w:iCs/>
                <w:sz w:val="20"/>
              </w:rPr>
              <w:t>$</w:t>
            </w:r>
          </w:p>
        </w:tc>
        <w:tc>
          <w:tcPr>
            <w:tcW w:w="3448" w:type="pct"/>
            <w:tcBorders>
              <w:top w:val="single" w:sz="4" w:space="0" w:color="auto"/>
              <w:left w:val="single" w:sz="4" w:space="0" w:color="auto"/>
              <w:bottom w:val="single" w:sz="4" w:space="0" w:color="auto"/>
              <w:right w:val="single" w:sz="4" w:space="0" w:color="auto"/>
            </w:tcBorders>
            <w:hideMark/>
          </w:tcPr>
          <w:p w14:paraId="3E1D071C" w14:textId="77777777" w:rsidR="00F10AF1" w:rsidRPr="0013396E" w:rsidRDefault="00F10AF1" w:rsidP="0099759E">
            <w:pPr>
              <w:spacing w:after="60"/>
              <w:rPr>
                <w:i/>
                <w:iCs/>
                <w:sz w:val="20"/>
              </w:rPr>
            </w:pPr>
            <w:r w:rsidRPr="0013396E">
              <w:rPr>
                <w:i/>
                <w:iCs/>
                <w:sz w:val="20"/>
              </w:rPr>
              <w:t>Real-Time Energy Imbalance Revenues for Deration</w:t>
            </w:r>
            <w:r w:rsidRPr="0013396E">
              <w:rPr>
                <w:iCs/>
                <w:sz w:val="20"/>
              </w:rPr>
              <w:t xml:space="preserve">—The additional payments to QSE </w:t>
            </w:r>
            <w:r w:rsidRPr="0013396E">
              <w:rPr>
                <w:i/>
                <w:iCs/>
                <w:sz w:val="20"/>
              </w:rPr>
              <w:t>q</w:t>
            </w:r>
            <w:r w:rsidRPr="0013396E">
              <w:rPr>
                <w:iCs/>
                <w:sz w:val="20"/>
              </w:rPr>
              <w:t xml:space="preserve"> under Section 6.6.3.1.</w:t>
            </w:r>
          </w:p>
        </w:tc>
      </w:tr>
      <w:tr w:rsidR="00F10AF1" w:rsidRPr="0013396E" w14:paraId="2950EA4E" w14:textId="77777777" w:rsidTr="0099759E">
        <w:tc>
          <w:tcPr>
            <w:tcW w:w="1157" w:type="pct"/>
            <w:tcBorders>
              <w:top w:val="single" w:sz="4" w:space="0" w:color="auto"/>
              <w:left w:val="single" w:sz="4" w:space="0" w:color="auto"/>
              <w:bottom w:val="single" w:sz="4" w:space="0" w:color="auto"/>
              <w:right w:val="single" w:sz="4" w:space="0" w:color="auto"/>
            </w:tcBorders>
            <w:hideMark/>
          </w:tcPr>
          <w:p w14:paraId="66074839" w14:textId="77777777" w:rsidR="00F10AF1" w:rsidRPr="0013396E" w:rsidRDefault="00F10AF1" w:rsidP="0099759E">
            <w:pPr>
              <w:spacing w:after="60"/>
              <w:rPr>
                <w:bCs/>
                <w:sz w:val="20"/>
                <w:lang w:val="pt-BR"/>
              </w:rPr>
            </w:pPr>
            <w:r w:rsidRPr="0013396E">
              <w:rPr>
                <w:bCs/>
                <w:sz w:val="20"/>
                <w:lang w:val="pt-BR"/>
              </w:rPr>
              <w:t>RTASIRD</w:t>
            </w:r>
            <w:r w:rsidRPr="0013396E">
              <w:rPr>
                <w:b/>
                <w:bCs/>
                <w:i/>
                <w:vertAlign w:val="subscript"/>
                <w:lang w:val="pt-BR"/>
              </w:rPr>
              <w:t xml:space="preserve"> </w:t>
            </w:r>
            <w:r w:rsidRPr="0013396E">
              <w:rPr>
                <w:i/>
                <w:iCs/>
                <w:sz w:val="20"/>
                <w:vertAlign w:val="subscript"/>
              </w:rPr>
              <w:t>q</w:t>
            </w:r>
          </w:p>
        </w:tc>
        <w:tc>
          <w:tcPr>
            <w:tcW w:w="395" w:type="pct"/>
            <w:tcBorders>
              <w:top w:val="single" w:sz="4" w:space="0" w:color="auto"/>
              <w:left w:val="single" w:sz="4" w:space="0" w:color="auto"/>
              <w:bottom w:val="single" w:sz="4" w:space="0" w:color="auto"/>
              <w:right w:val="single" w:sz="4" w:space="0" w:color="auto"/>
            </w:tcBorders>
            <w:hideMark/>
          </w:tcPr>
          <w:p w14:paraId="406A9D55" w14:textId="77777777" w:rsidR="00F10AF1" w:rsidRPr="0013396E" w:rsidRDefault="00F10AF1" w:rsidP="0099759E">
            <w:pPr>
              <w:spacing w:after="60"/>
              <w:rPr>
                <w:iCs/>
                <w:sz w:val="20"/>
                <w:szCs w:val="24"/>
              </w:rPr>
            </w:pPr>
            <w:r w:rsidRPr="0013396E">
              <w:rPr>
                <w:iCs/>
                <w:sz w:val="20"/>
              </w:rPr>
              <w:t>$</w:t>
            </w:r>
          </w:p>
        </w:tc>
        <w:tc>
          <w:tcPr>
            <w:tcW w:w="3448" w:type="pct"/>
            <w:tcBorders>
              <w:top w:val="single" w:sz="4" w:space="0" w:color="auto"/>
              <w:left w:val="single" w:sz="4" w:space="0" w:color="auto"/>
              <w:bottom w:val="single" w:sz="4" w:space="0" w:color="auto"/>
              <w:right w:val="single" w:sz="4" w:space="0" w:color="auto"/>
            </w:tcBorders>
            <w:hideMark/>
          </w:tcPr>
          <w:p w14:paraId="55228B90" w14:textId="77777777" w:rsidR="00F10AF1" w:rsidRPr="0013396E" w:rsidRDefault="00F10AF1" w:rsidP="0099759E">
            <w:pPr>
              <w:spacing w:after="60"/>
              <w:rPr>
                <w:i/>
                <w:iCs/>
                <w:sz w:val="20"/>
              </w:rPr>
            </w:pPr>
            <w:r w:rsidRPr="0013396E">
              <w:rPr>
                <w:i/>
                <w:iCs/>
                <w:sz w:val="20"/>
              </w:rPr>
              <w:t>Real-Time Ancillary Service Imbalance Revenues for Deration</w:t>
            </w:r>
            <w:r w:rsidRPr="0013396E">
              <w:rPr>
                <w:iCs/>
                <w:sz w:val="20"/>
              </w:rPr>
              <w:t xml:space="preserve">—The additional Ancillary Service imbalance payments to QSE </w:t>
            </w:r>
            <w:r w:rsidRPr="0013396E">
              <w:rPr>
                <w:i/>
                <w:iCs/>
                <w:sz w:val="20"/>
              </w:rPr>
              <w:t>q</w:t>
            </w:r>
            <w:r w:rsidRPr="0013396E">
              <w:rPr>
                <w:iCs/>
                <w:sz w:val="20"/>
              </w:rPr>
              <w:t xml:space="preserve"> for all Ancillary Service products for the 15-minute Settlement Interval.</w:t>
            </w:r>
          </w:p>
        </w:tc>
      </w:tr>
      <w:tr w:rsidR="00F10AF1" w:rsidRPr="0013396E" w14:paraId="4F50A484" w14:textId="77777777" w:rsidTr="0099759E">
        <w:tc>
          <w:tcPr>
            <w:tcW w:w="1157" w:type="pct"/>
            <w:tcBorders>
              <w:top w:val="single" w:sz="4" w:space="0" w:color="auto"/>
              <w:left w:val="single" w:sz="4" w:space="0" w:color="auto"/>
              <w:bottom w:val="single" w:sz="4" w:space="0" w:color="auto"/>
              <w:right w:val="single" w:sz="4" w:space="0" w:color="auto"/>
            </w:tcBorders>
            <w:hideMark/>
          </w:tcPr>
          <w:p w14:paraId="203987C2" w14:textId="77777777" w:rsidR="00F10AF1" w:rsidRPr="0013396E" w:rsidRDefault="00F10AF1" w:rsidP="0099759E">
            <w:pPr>
              <w:spacing w:after="60"/>
              <w:rPr>
                <w:bCs/>
                <w:sz w:val="20"/>
                <w:lang w:val="pt-BR"/>
              </w:rPr>
            </w:pPr>
            <w:r w:rsidRPr="0013396E">
              <w:rPr>
                <w:bCs/>
                <w:sz w:val="20"/>
                <w:lang w:val="pt-BR"/>
              </w:rPr>
              <w:t>RTDASCAP</w:t>
            </w:r>
            <w:r w:rsidRPr="0013396E">
              <w:rPr>
                <w:i/>
                <w:iCs/>
                <w:sz w:val="20"/>
                <w:vertAlign w:val="subscript"/>
              </w:rPr>
              <w:t xml:space="preserve"> q, r</w:t>
            </w:r>
          </w:p>
        </w:tc>
        <w:tc>
          <w:tcPr>
            <w:tcW w:w="395" w:type="pct"/>
            <w:tcBorders>
              <w:top w:val="single" w:sz="4" w:space="0" w:color="auto"/>
              <w:left w:val="single" w:sz="4" w:space="0" w:color="auto"/>
              <w:bottom w:val="single" w:sz="4" w:space="0" w:color="auto"/>
              <w:right w:val="single" w:sz="4" w:space="0" w:color="auto"/>
            </w:tcBorders>
            <w:hideMark/>
          </w:tcPr>
          <w:p w14:paraId="5A19D3A6" w14:textId="77777777" w:rsidR="00F10AF1" w:rsidRPr="0013396E" w:rsidRDefault="00F10AF1" w:rsidP="0099759E">
            <w:pPr>
              <w:spacing w:after="60"/>
              <w:rPr>
                <w:iCs/>
                <w:sz w:val="20"/>
                <w:szCs w:val="24"/>
              </w:rPr>
            </w:pPr>
            <w:r w:rsidRPr="0013396E">
              <w:rPr>
                <w:iCs/>
                <w:sz w:val="20"/>
              </w:rPr>
              <w:t>$</w:t>
            </w:r>
          </w:p>
        </w:tc>
        <w:tc>
          <w:tcPr>
            <w:tcW w:w="3448" w:type="pct"/>
            <w:tcBorders>
              <w:top w:val="single" w:sz="4" w:space="0" w:color="auto"/>
              <w:left w:val="single" w:sz="4" w:space="0" w:color="auto"/>
              <w:bottom w:val="single" w:sz="4" w:space="0" w:color="auto"/>
              <w:right w:val="single" w:sz="4" w:space="0" w:color="auto"/>
            </w:tcBorders>
            <w:hideMark/>
          </w:tcPr>
          <w:p w14:paraId="2BD96DA9" w14:textId="77777777" w:rsidR="00F10AF1" w:rsidRPr="0013396E" w:rsidRDefault="00F10AF1" w:rsidP="0099759E">
            <w:pPr>
              <w:autoSpaceDE w:val="0"/>
              <w:autoSpaceDN w:val="0"/>
              <w:rPr>
                <w:sz w:val="20"/>
              </w:rPr>
            </w:pPr>
            <w:r w:rsidRPr="0013396E">
              <w:rPr>
                <w:i/>
                <w:iCs/>
                <w:sz w:val="20"/>
              </w:rPr>
              <w:t>Real-Time Derated Ancillary Service Payment Cap—</w:t>
            </w:r>
            <w:r w:rsidRPr="0013396E">
              <w:rPr>
                <w:sz w:val="20"/>
              </w:rPr>
              <w:t xml:space="preserve">The amount recoverable for Resource </w:t>
            </w:r>
            <w:r w:rsidRPr="0013396E">
              <w:rPr>
                <w:i/>
                <w:sz w:val="20"/>
              </w:rPr>
              <w:t xml:space="preserve">r </w:t>
            </w:r>
            <w:r w:rsidRPr="0013396E">
              <w:rPr>
                <w:sz w:val="20"/>
              </w:rPr>
              <w:t xml:space="preserve">represented by QSE </w:t>
            </w:r>
            <w:r w:rsidRPr="0013396E">
              <w:rPr>
                <w:i/>
                <w:sz w:val="20"/>
              </w:rPr>
              <w:t>q,</w:t>
            </w:r>
            <w:r w:rsidRPr="0013396E">
              <w:rPr>
                <w:sz w:val="20"/>
              </w:rPr>
              <w:t xml:space="preserve"> capped by the Real-Time MCPC for the Ancillary Service product that was derated, multiplied by the quantity by which the Resource’s capability to provide the Ancillary Service was reduced for the 15-minute Settlement Interval.  </w:t>
            </w:r>
            <w:r w:rsidRPr="0013396E">
              <w:rPr>
                <w:iCs/>
                <w:sz w:val="20"/>
              </w:rPr>
              <w:t xml:space="preserve">Where for a Combined Cycle Train, the Resource </w:t>
            </w:r>
            <w:r w:rsidRPr="0013396E">
              <w:rPr>
                <w:i/>
                <w:iCs/>
                <w:sz w:val="20"/>
              </w:rPr>
              <w:t xml:space="preserve">r </w:t>
            </w:r>
            <w:r w:rsidRPr="0013396E">
              <w:rPr>
                <w:iCs/>
                <w:sz w:val="20"/>
              </w:rPr>
              <w:t>is the Combined Cycle Train.</w:t>
            </w:r>
          </w:p>
        </w:tc>
      </w:tr>
      <w:tr w:rsidR="00F10AF1" w:rsidRPr="0013396E" w14:paraId="3FCDB5C9" w14:textId="77777777" w:rsidTr="0099759E">
        <w:tc>
          <w:tcPr>
            <w:tcW w:w="1157" w:type="pct"/>
            <w:tcBorders>
              <w:top w:val="single" w:sz="4" w:space="0" w:color="auto"/>
              <w:left w:val="single" w:sz="4" w:space="0" w:color="auto"/>
              <w:bottom w:val="single" w:sz="4" w:space="0" w:color="auto"/>
              <w:right w:val="single" w:sz="4" w:space="0" w:color="auto"/>
            </w:tcBorders>
            <w:hideMark/>
          </w:tcPr>
          <w:p w14:paraId="63C437AA" w14:textId="77777777" w:rsidR="00F10AF1" w:rsidRPr="0013396E" w:rsidRDefault="00F10AF1" w:rsidP="0099759E">
            <w:pPr>
              <w:spacing w:after="60"/>
              <w:rPr>
                <w:bCs/>
                <w:sz w:val="20"/>
                <w:lang w:val="pt-BR"/>
              </w:rPr>
            </w:pPr>
            <w:r w:rsidRPr="0013396E">
              <w:rPr>
                <w:bCs/>
                <w:sz w:val="20"/>
                <w:lang w:val="pt-BR"/>
              </w:rPr>
              <w:t xml:space="preserve">RTMCPCRU </w:t>
            </w:r>
          </w:p>
        </w:tc>
        <w:tc>
          <w:tcPr>
            <w:tcW w:w="395" w:type="pct"/>
            <w:tcBorders>
              <w:top w:val="single" w:sz="4" w:space="0" w:color="auto"/>
              <w:left w:val="single" w:sz="4" w:space="0" w:color="auto"/>
              <w:bottom w:val="single" w:sz="4" w:space="0" w:color="auto"/>
              <w:right w:val="single" w:sz="4" w:space="0" w:color="auto"/>
            </w:tcBorders>
            <w:hideMark/>
          </w:tcPr>
          <w:p w14:paraId="79985B2E" w14:textId="77777777" w:rsidR="00F10AF1" w:rsidRPr="0013396E" w:rsidRDefault="00F10AF1" w:rsidP="0099759E">
            <w:pPr>
              <w:spacing w:after="60"/>
              <w:rPr>
                <w:bCs/>
                <w:sz w:val="20"/>
                <w:lang w:val="pt-BR"/>
              </w:rPr>
            </w:pPr>
            <w:r w:rsidRPr="0013396E">
              <w:rPr>
                <w:bCs/>
                <w:sz w:val="20"/>
                <w:lang w:val="pt-BR"/>
              </w:rPr>
              <w:t>$/MW</w:t>
            </w:r>
          </w:p>
        </w:tc>
        <w:tc>
          <w:tcPr>
            <w:tcW w:w="3448" w:type="pct"/>
            <w:tcBorders>
              <w:top w:val="single" w:sz="4" w:space="0" w:color="auto"/>
              <w:left w:val="single" w:sz="4" w:space="0" w:color="auto"/>
              <w:bottom w:val="single" w:sz="4" w:space="0" w:color="auto"/>
              <w:right w:val="single" w:sz="4" w:space="0" w:color="auto"/>
            </w:tcBorders>
            <w:hideMark/>
          </w:tcPr>
          <w:p w14:paraId="64EEFF86" w14:textId="77777777" w:rsidR="00F10AF1" w:rsidRPr="0013396E" w:rsidRDefault="00F10AF1" w:rsidP="0099759E">
            <w:pPr>
              <w:spacing w:after="60"/>
              <w:rPr>
                <w:bCs/>
                <w:sz w:val="20"/>
                <w:lang w:val="pt-BR"/>
              </w:rPr>
            </w:pPr>
            <w:r w:rsidRPr="0013396E">
              <w:rPr>
                <w:bCs/>
                <w:i/>
                <w:sz w:val="20"/>
                <w:lang w:val="pt-BR"/>
              </w:rPr>
              <w:t>Real-Time Market Clearing Price for Capacity for Regulation Up</w:t>
            </w:r>
            <w:r w:rsidRPr="0013396E">
              <w:rPr>
                <w:iCs/>
                <w:sz w:val="20"/>
              </w:rPr>
              <w:t>—</w:t>
            </w:r>
            <w:r w:rsidRPr="0013396E">
              <w:rPr>
                <w:bCs/>
                <w:sz w:val="20"/>
                <w:lang w:val="pt-BR"/>
              </w:rPr>
              <w:t xml:space="preserve">The Real-Time MCPC for Reg-Up for the 15-minute Settlement Interval. </w:t>
            </w:r>
          </w:p>
        </w:tc>
      </w:tr>
      <w:tr w:rsidR="00F10AF1" w:rsidRPr="0013396E" w14:paraId="5FEBCDDF" w14:textId="77777777" w:rsidTr="0099759E">
        <w:tc>
          <w:tcPr>
            <w:tcW w:w="1157" w:type="pct"/>
            <w:tcBorders>
              <w:top w:val="single" w:sz="4" w:space="0" w:color="auto"/>
              <w:left w:val="single" w:sz="4" w:space="0" w:color="auto"/>
              <w:bottom w:val="single" w:sz="4" w:space="0" w:color="auto"/>
              <w:right w:val="single" w:sz="4" w:space="0" w:color="auto"/>
            </w:tcBorders>
            <w:hideMark/>
          </w:tcPr>
          <w:p w14:paraId="51C3AE65" w14:textId="77777777" w:rsidR="00F10AF1" w:rsidRPr="0013396E" w:rsidRDefault="00F10AF1" w:rsidP="0099759E">
            <w:pPr>
              <w:spacing w:after="60"/>
              <w:rPr>
                <w:bCs/>
                <w:sz w:val="20"/>
                <w:lang w:val="pt-BR"/>
              </w:rPr>
            </w:pPr>
            <w:r w:rsidRPr="0013396E">
              <w:rPr>
                <w:bCs/>
                <w:sz w:val="20"/>
                <w:lang w:val="pt-BR"/>
              </w:rPr>
              <w:t>RTMCPCRD</w:t>
            </w:r>
          </w:p>
        </w:tc>
        <w:tc>
          <w:tcPr>
            <w:tcW w:w="395" w:type="pct"/>
            <w:tcBorders>
              <w:top w:val="single" w:sz="4" w:space="0" w:color="auto"/>
              <w:left w:val="single" w:sz="4" w:space="0" w:color="auto"/>
              <w:bottom w:val="single" w:sz="4" w:space="0" w:color="auto"/>
              <w:right w:val="single" w:sz="4" w:space="0" w:color="auto"/>
            </w:tcBorders>
            <w:hideMark/>
          </w:tcPr>
          <w:p w14:paraId="5B063261" w14:textId="77777777" w:rsidR="00F10AF1" w:rsidRPr="0013396E" w:rsidRDefault="00F10AF1" w:rsidP="0099759E">
            <w:pPr>
              <w:spacing w:after="60"/>
              <w:rPr>
                <w:bCs/>
                <w:sz w:val="20"/>
                <w:lang w:val="pt-BR"/>
              </w:rPr>
            </w:pPr>
            <w:r w:rsidRPr="0013396E">
              <w:rPr>
                <w:bCs/>
                <w:sz w:val="20"/>
                <w:lang w:val="pt-BR"/>
              </w:rPr>
              <w:t>$/MW</w:t>
            </w:r>
          </w:p>
        </w:tc>
        <w:tc>
          <w:tcPr>
            <w:tcW w:w="3448" w:type="pct"/>
            <w:tcBorders>
              <w:top w:val="single" w:sz="4" w:space="0" w:color="auto"/>
              <w:left w:val="single" w:sz="4" w:space="0" w:color="auto"/>
              <w:bottom w:val="single" w:sz="4" w:space="0" w:color="auto"/>
              <w:right w:val="single" w:sz="4" w:space="0" w:color="auto"/>
            </w:tcBorders>
            <w:hideMark/>
          </w:tcPr>
          <w:p w14:paraId="17C79D57" w14:textId="77777777" w:rsidR="00F10AF1" w:rsidRPr="0013396E" w:rsidRDefault="00F10AF1" w:rsidP="0099759E">
            <w:pPr>
              <w:spacing w:after="60"/>
              <w:rPr>
                <w:bCs/>
                <w:sz w:val="20"/>
                <w:lang w:val="pt-BR"/>
              </w:rPr>
            </w:pPr>
            <w:r w:rsidRPr="0013396E">
              <w:rPr>
                <w:bCs/>
                <w:i/>
                <w:sz w:val="20"/>
                <w:lang w:val="pt-BR"/>
              </w:rPr>
              <w:t>Real-Time Market Clearing Price for Capacity for Regulation Down</w:t>
            </w:r>
            <w:r w:rsidRPr="0013396E">
              <w:rPr>
                <w:iCs/>
                <w:sz w:val="20"/>
              </w:rPr>
              <w:t>—</w:t>
            </w:r>
            <w:r w:rsidRPr="0013396E">
              <w:rPr>
                <w:bCs/>
                <w:sz w:val="20"/>
                <w:lang w:val="pt-BR"/>
              </w:rPr>
              <w:t>The Real-Time MCPC for Reg-Down for the 15-minute Settlement Interval.</w:t>
            </w:r>
          </w:p>
        </w:tc>
      </w:tr>
      <w:tr w:rsidR="00F10AF1" w:rsidRPr="0013396E" w14:paraId="42FDD717" w14:textId="77777777" w:rsidTr="0099759E">
        <w:tc>
          <w:tcPr>
            <w:tcW w:w="1157" w:type="pct"/>
            <w:tcBorders>
              <w:top w:val="single" w:sz="4" w:space="0" w:color="auto"/>
              <w:left w:val="single" w:sz="4" w:space="0" w:color="auto"/>
              <w:bottom w:val="single" w:sz="4" w:space="0" w:color="auto"/>
              <w:right w:val="single" w:sz="4" w:space="0" w:color="auto"/>
            </w:tcBorders>
          </w:tcPr>
          <w:p w14:paraId="7445D7D9" w14:textId="77777777" w:rsidR="00F10AF1" w:rsidRPr="0013396E" w:rsidRDefault="00F10AF1" w:rsidP="0099759E">
            <w:pPr>
              <w:spacing w:after="60"/>
              <w:rPr>
                <w:bCs/>
                <w:szCs w:val="24"/>
                <w:lang w:val="pt-BR"/>
              </w:rPr>
            </w:pPr>
            <w:r w:rsidRPr="0013396E">
              <w:rPr>
                <w:bCs/>
                <w:sz w:val="20"/>
                <w:lang w:val="pt-BR"/>
              </w:rPr>
              <w:t>RTMCPCRR</w:t>
            </w:r>
          </w:p>
        </w:tc>
        <w:tc>
          <w:tcPr>
            <w:tcW w:w="395" w:type="pct"/>
            <w:tcBorders>
              <w:top w:val="single" w:sz="4" w:space="0" w:color="auto"/>
              <w:left w:val="single" w:sz="4" w:space="0" w:color="auto"/>
              <w:bottom w:val="single" w:sz="4" w:space="0" w:color="auto"/>
              <w:right w:val="single" w:sz="4" w:space="0" w:color="auto"/>
            </w:tcBorders>
            <w:hideMark/>
          </w:tcPr>
          <w:p w14:paraId="367698FE" w14:textId="77777777" w:rsidR="00F10AF1" w:rsidRPr="0013396E" w:rsidRDefault="00F10AF1" w:rsidP="0099759E">
            <w:pPr>
              <w:spacing w:after="60"/>
              <w:rPr>
                <w:bCs/>
                <w:sz w:val="20"/>
                <w:lang w:val="pt-BR"/>
              </w:rPr>
            </w:pPr>
            <w:r w:rsidRPr="0013396E">
              <w:rPr>
                <w:bCs/>
                <w:sz w:val="20"/>
                <w:lang w:val="pt-BR"/>
              </w:rPr>
              <w:t>$/MW</w:t>
            </w:r>
          </w:p>
        </w:tc>
        <w:tc>
          <w:tcPr>
            <w:tcW w:w="3448" w:type="pct"/>
            <w:tcBorders>
              <w:top w:val="single" w:sz="4" w:space="0" w:color="auto"/>
              <w:left w:val="single" w:sz="4" w:space="0" w:color="auto"/>
              <w:bottom w:val="single" w:sz="4" w:space="0" w:color="auto"/>
              <w:right w:val="single" w:sz="4" w:space="0" w:color="auto"/>
            </w:tcBorders>
            <w:hideMark/>
          </w:tcPr>
          <w:p w14:paraId="7ED8172B" w14:textId="77777777" w:rsidR="00F10AF1" w:rsidRPr="0013396E" w:rsidRDefault="00F10AF1" w:rsidP="0099759E">
            <w:pPr>
              <w:spacing w:after="60"/>
              <w:rPr>
                <w:bCs/>
                <w:sz w:val="20"/>
                <w:lang w:val="pt-BR"/>
              </w:rPr>
            </w:pPr>
            <w:r w:rsidRPr="0013396E">
              <w:rPr>
                <w:bCs/>
                <w:i/>
                <w:sz w:val="20"/>
                <w:lang w:val="pt-BR"/>
              </w:rPr>
              <w:t>Real-Time Market Clearing Price for Capacity for Responsive Reserve</w:t>
            </w:r>
            <w:r w:rsidRPr="0013396E">
              <w:rPr>
                <w:iCs/>
                <w:sz w:val="20"/>
              </w:rPr>
              <w:t>—</w:t>
            </w:r>
            <w:r w:rsidRPr="0013396E">
              <w:rPr>
                <w:bCs/>
                <w:sz w:val="20"/>
                <w:lang w:val="pt-BR"/>
              </w:rPr>
              <w:t>The Real-Time MCPC for RRS for the 15-minute Settlement Interval.</w:t>
            </w:r>
          </w:p>
        </w:tc>
      </w:tr>
      <w:tr w:rsidR="00F10AF1" w:rsidRPr="0013396E" w14:paraId="46E4AD83" w14:textId="77777777" w:rsidTr="0099759E">
        <w:tc>
          <w:tcPr>
            <w:tcW w:w="1157" w:type="pct"/>
            <w:tcBorders>
              <w:top w:val="single" w:sz="4" w:space="0" w:color="auto"/>
              <w:left w:val="single" w:sz="4" w:space="0" w:color="auto"/>
              <w:bottom w:val="single" w:sz="4" w:space="0" w:color="auto"/>
              <w:right w:val="single" w:sz="4" w:space="0" w:color="auto"/>
            </w:tcBorders>
            <w:hideMark/>
          </w:tcPr>
          <w:p w14:paraId="1F315A9C" w14:textId="77777777" w:rsidR="00F10AF1" w:rsidRPr="0013396E" w:rsidRDefault="00F10AF1" w:rsidP="0099759E">
            <w:pPr>
              <w:spacing w:after="60"/>
              <w:rPr>
                <w:bCs/>
                <w:sz w:val="20"/>
                <w:lang w:val="pt-BR"/>
              </w:rPr>
            </w:pPr>
            <w:r w:rsidRPr="0013396E">
              <w:rPr>
                <w:bCs/>
                <w:sz w:val="20"/>
                <w:lang w:val="pt-BR"/>
              </w:rPr>
              <w:t>RTMCPCNS</w:t>
            </w:r>
          </w:p>
        </w:tc>
        <w:tc>
          <w:tcPr>
            <w:tcW w:w="395" w:type="pct"/>
            <w:tcBorders>
              <w:top w:val="single" w:sz="4" w:space="0" w:color="auto"/>
              <w:left w:val="single" w:sz="4" w:space="0" w:color="auto"/>
              <w:bottom w:val="single" w:sz="4" w:space="0" w:color="auto"/>
              <w:right w:val="single" w:sz="4" w:space="0" w:color="auto"/>
            </w:tcBorders>
            <w:hideMark/>
          </w:tcPr>
          <w:p w14:paraId="436DD090" w14:textId="77777777" w:rsidR="00F10AF1" w:rsidRPr="0013396E" w:rsidRDefault="00F10AF1" w:rsidP="0099759E">
            <w:pPr>
              <w:spacing w:after="60"/>
              <w:rPr>
                <w:bCs/>
                <w:sz w:val="20"/>
                <w:lang w:val="pt-BR"/>
              </w:rPr>
            </w:pPr>
            <w:r w:rsidRPr="0013396E">
              <w:rPr>
                <w:bCs/>
                <w:sz w:val="20"/>
                <w:lang w:val="pt-BR"/>
              </w:rPr>
              <w:t>$/MW</w:t>
            </w:r>
          </w:p>
        </w:tc>
        <w:tc>
          <w:tcPr>
            <w:tcW w:w="3448" w:type="pct"/>
            <w:tcBorders>
              <w:top w:val="single" w:sz="4" w:space="0" w:color="auto"/>
              <w:left w:val="single" w:sz="4" w:space="0" w:color="auto"/>
              <w:bottom w:val="single" w:sz="4" w:space="0" w:color="auto"/>
              <w:right w:val="single" w:sz="4" w:space="0" w:color="auto"/>
            </w:tcBorders>
            <w:hideMark/>
          </w:tcPr>
          <w:p w14:paraId="66E6FF80" w14:textId="77777777" w:rsidR="00F10AF1" w:rsidRPr="0013396E" w:rsidRDefault="00F10AF1" w:rsidP="0099759E">
            <w:pPr>
              <w:spacing w:after="60"/>
              <w:rPr>
                <w:bCs/>
                <w:sz w:val="20"/>
                <w:lang w:val="pt-BR"/>
              </w:rPr>
            </w:pPr>
            <w:r w:rsidRPr="0013396E">
              <w:rPr>
                <w:bCs/>
                <w:i/>
                <w:sz w:val="20"/>
                <w:lang w:val="pt-BR"/>
              </w:rPr>
              <w:t>Real-Time Market Clearing Price for Capacity for Non-Spin</w:t>
            </w:r>
            <w:r w:rsidRPr="0013396E">
              <w:rPr>
                <w:iCs/>
                <w:sz w:val="20"/>
              </w:rPr>
              <w:t>—</w:t>
            </w:r>
            <w:r w:rsidRPr="0013396E">
              <w:rPr>
                <w:bCs/>
                <w:sz w:val="20"/>
                <w:lang w:val="pt-BR"/>
              </w:rPr>
              <w:t>The Real-Time MCPC for Non-Spin for the 15-minute Settlement Interval.</w:t>
            </w:r>
          </w:p>
        </w:tc>
      </w:tr>
      <w:tr w:rsidR="00F10AF1" w:rsidRPr="0013396E" w14:paraId="008C976E" w14:textId="77777777" w:rsidTr="0099759E">
        <w:tc>
          <w:tcPr>
            <w:tcW w:w="1157" w:type="pct"/>
            <w:tcBorders>
              <w:top w:val="single" w:sz="4" w:space="0" w:color="auto"/>
              <w:left w:val="single" w:sz="4" w:space="0" w:color="auto"/>
              <w:bottom w:val="single" w:sz="4" w:space="0" w:color="auto"/>
              <w:right w:val="single" w:sz="4" w:space="0" w:color="auto"/>
            </w:tcBorders>
            <w:hideMark/>
          </w:tcPr>
          <w:p w14:paraId="4DE15687" w14:textId="77777777" w:rsidR="00F10AF1" w:rsidRPr="0013396E" w:rsidRDefault="00F10AF1" w:rsidP="0099759E">
            <w:pPr>
              <w:spacing w:after="60"/>
              <w:rPr>
                <w:bCs/>
                <w:sz w:val="20"/>
                <w:lang w:val="pt-BR"/>
              </w:rPr>
            </w:pPr>
            <w:r w:rsidRPr="0013396E">
              <w:rPr>
                <w:bCs/>
                <w:sz w:val="20"/>
                <w:lang w:val="pt-BR"/>
              </w:rPr>
              <w:t>RTMCPCECR</w:t>
            </w:r>
          </w:p>
        </w:tc>
        <w:tc>
          <w:tcPr>
            <w:tcW w:w="395" w:type="pct"/>
            <w:tcBorders>
              <w:top w:val="single" w:sz="4" w:space="0" w:color="auto"/>
              <w:left w:val="single" w:sz="4" w:space="0" w:color="auto"/>
              <w:bottom w:val="single" w:sz="4" w:space="0" w:color="auto"/>
              <w:right w:val="single" w:sz="4" w:space="0" w:color="auto"/>
            </w:tcBorders>
            <w:hideMark/>
          </w:tcPr>
          <w:p w14:paraId="58C14E03" w14:textId="77777777" w:rsidR="00F10AF1" w:rsidRPr="0013396E" w:rsidRDefault="00F10AF1" w:rsidP="0099759E">
            <w:pPr>
              <w:spacing w:after="60"/>
              <w:rPr>
                <w:bCs/>
                <w:sz w:val="20"/>
                <w:lang w:val="pt-BR"/>
              </w:rPr>
            </w:pPr>
            <w:r w:rsidRPr="0013396E">
              <w:rPr>
                <w:bCs/>
                <w:sz w:val="20"/>
                <w:lang w:val="pt-BR"/>
              </w:rPr>
              <w:t>$/MW</w:t>
            </w:r>
          </w:p>
        </w:tc>
        <w:tc>
          <w:tcPr>
            <w:tcW w:w="3448" w:type="pct"/>
            <w:tcBorders>
              <w:top w:val="single" w:sz="4" w:space="0" w:color="auto"/>
              <w:left w:val="single" w:sz="4" w:space="0" w:color="auto"/>
              <w:bottom w:val="single" w:sz="4" w:space="0" w:color="auto"/>
              <w:right w:val="single" w:sz="4" w:space="0" w:color="auto"/>
            </w:tcBorders>
            <w:hideMark/>
          </w:tcPr>
          <w:p w14:paraId="0ADAA22F" w14:textId="77777777" w:rsidR="00F10AF1" w:rsidRPr="0013396E" w:rsidRDefault="00F10AF1" w:rsidP="0099759E">
            <w:pPr>
              <w:spacing w:after="60"/>
              <w:rPr>
                <w:bCs/>
                <w:sz w:val="20"/>
                <w:lang w:val="pt-BR"/>
              </w:rPr>
            </w:pPr>
            <w:r w:rsidRPr="0013396E">
              <w:rPr>
                <w:bCs/>
                <w:i/>
                <w:sz w:val="20"/>
                <w:lang w:val="pt-BR"/>
              </w:rPr>
              <w:t>Real-Time Market Clearing Price for Capacity for ERCOT Contingency Reserve Service</w:t>
            </w:r>
            <w:r w:rsidRPr="0013396E">
              <w:rPr>
                <w:bCs/>
                <w:sz w:val="20"/>
                <w:lang w:val="pt-BR"/>
              </w:rPr>
              <w:t>—The Real-Time MCPC for ECRS for the 15-minute Settlement Interval.</w:t>
            </w:r>
          </w:p>
        </w:tc>
      </w:tr>
      <w:tr w:rsidR="00F10AF1" w:rsidRPr="0013396E" w14:paraId="52EA326C" w14:textId="77777777" w:rsidTr="0099759E">
        <w:tc>
          <w:tcPr>
            <w:tcW w:w="1157" w:type="pct"/>
            <w:tcBorders>
              <w:top w:val="single" w:sz="4" w:space="0" w:color="auto"/>
              <w:left w:val="single" w:sz="4" w:space="0" w:color="auto"/>
              <w:bottom w:val="single" w:sz="4" w:space="0" w:color="auto"/>
              <w:right w:val="single" w:sz="4" w:space="0" w:color="auto"/>
            </w:tcBorders>
            <w:hideMark/>
          </w:tcPr>
          <w:p w14:paraId="2C9A0CD6" w14:textId="77777777" w:rsidR="00F10AF1" w:rsidRPr="0013396E" w:rsidRDefault="00F10AF1" w:rsidP="0099759E">
            <w:pPr>
              <w:spacing w:after="60"/>
              <w:rPr>
                <w:bCs/>
                <w:i/>
                <w:sz w:val="20"/>
                <w:lang w:val="pt-BR"/>
              </w:rPr>
            </w:pPr>
            <w:r w:rsidRPr="0013396E">
              <w:rPr>
                <w:bCs/>
                <w:sz w:val="20"/>
                <w:lang w:val="pt-BR"/>
              </w:rPr>
              <w:t>RTRUDQ</w:t>
            </w:r>
            <w:r w:rsidRPr="0013396E">
              <w:rPr>
                <w:i/>
                <w:iCs/>
                <w:sz w:val="20"/>
                <w:vertAlign w:val="subscript"/>
              </w:rPr>
              <w:t xml:space="preserve"> q, </w:t>
            </w:r>
            <w:r w:rsidRPr="0013396E">
              <w:rPr>
                <w:bCs/>
                <w:i/>
                <w:sz w:val="20"/>
                <w:vertAlign w:val="subscript"/>
                <w:lang w:val="pt-BR"/>
              </w:rPr>
              <w:t>r</w:t>
            </w:r>
          </w:p>
        </w:tc>
        <w:tc>
          <w:tcPr>
            <w:tcW w:w="395" w:type="pct"/>
            <w:tcBorders>
              <w:top w:val="single" w:sz="4" w:space="0" w:color="auto"/>
              <w:left w:val="single" w:sz="4" w:space="0" w:color="auto"/>
              <w:bottom w:val="single" w:sz="4" w:space="0" w:color="auto"/>
              <w:right w:val="single" w:sz="4" w:space="0" w:color="auto"/>
            </w:tcBorders>
            <w:hideMark/>
          </w:tcPr>
          <w:p w14:paraId="2CEB3839" w14:textId="77777777" w:rsidR="00F10AF1" w:rsidRPr="0013396E" w:rsidRDefault="00F10AF1" w:rsidP="0099759E">
            <w:pPr>
              <w:spacing w:after="60"/>
              <w:rPr>
                <w:bCs/>
                <w:sz w:val="20"/>
                <w:lang w:val="pt-BR"/>
              </w:rPr>
            </w:pPr>
            <w:r w:rsidRPr="0013396E">
              <w:rPr>
                <w:bCs/>
                <w:sz w:val="20"/>
                <w:lang w:val="pt-BR"/>
              </w:rPr>
              <w:t>MW</w:t>
            </w:r>
          </w:p>
        </w:tc>
        <w:tc>
          <w:tcPr>
            <w:tcW w:w="3448" w:type="pct"/>
            <w:tcBorders>
              <w:top w:val="single" w:sz="4" w:space="0" w:color="auto"/>
              <w:left w:val="single" w:sz="4" w:space="0" w:color="auto"/>
              <w:bottom w:val="single" w:sz="4" w:space="0" w:color="auto"/>
              <w:right w:val="single" w:sz="4" w:space="0" w:color="auto"/>
            </w:tcBorders>
            <w:hideMark/>
          </w:tcPr>
          <w:p w14:paraId="56D8B6D0" w14:textId="77777777" w:rsidR="00F10AF1" w:rsidRPr="0013396E" w:rsidRDefault="00F10AF1" w:rsidP="0099759E">
            <w:pPr>
              <w:spacing w:after="60"/>
              <w:rPr>
                <w:bCs/>
                <w:sz w:val="20"/>
                <w:lang w:val="pt-BR"/>
              </w:rPr>
            </w:pPr>
            <w:r w:rsidRPr="0013396E">
              <w:rPr>
                <w:bCs/>
                <w:i/>
                <w:sz w:val="20"/>
                <w:lang w:val="pt-BR"/>
              </w:rPr>
              <w:t>Real-Time Regulation Up Derated Quantity</w:t>
            </w:r>
            <w:r w:rsidRPr="0013396E">
              <w:rPr>
                <w:iCs/>
                <w:sz w:val="20"/>
              </w:rPr>
              <w:t>—</w:t>
            </w:r>
            <w:r w:rsidRPr="0013396E">
              <w:rPr>
                <w:bCs/>
                <w:sz w:val="20"/>
                <w:lang w:val="pt-BR"/>
              </w:rPr>
              <w:t xml:space="preserve">The Reg-Up quantity manually reduced by ERCOT for the Resource </w:t>
            </w:r>
            <w:r w:rsidRPr="0013396E">
              <w:rPr>
                <w:bCs/>
                <w:i/>
                <w:sz w:val="20"/>
                <w:lang w:val="pt-BR"/>
              </w:rPr>
              <w:t xml:space="preserve">r </w:t>
            </w:r>
            <w:r w:rsidRPr="0013396E">
              <w:rPr>
                <w:bCs/>
                <w:sz w:val="20"/>
                <w:lang w:val="pt-BR"/>
              </w:rPr>
              <w:t xml:space="preserve">represented by QSE </w:t>
            </w:r>
            <w:r w:rsidRPr="0013396E">
              <w:rPr>
                <w:bCs/>
                <w:i/>
                <w:sz w:val="20"/>
                <w:lang w:val="pt-BR"/>
              </w:rPr>
              <w:t>q</w:t>
            </w:r>
            <w:r w:rsidRPr="0013396E">
              <w:rPr>
                <w:bCs/>
                <w:sz w:val="20"/>
                <w:lang w:val="pt-BR"/>
              </w:rPr>
              <w:t xml:space="preserve"> for the 15-minute Settlement Interval.</w:t>
            </w:r>
            <w:r w:rsidRPr="0013396E">
              <w:rPr>
                <w:iCs/>
                <w:sz w:val="20"/>
              </w:rPr>
              <w:t xml:space="preserve">  Where for a Combined Cycle Train, the Resource </w:t>
            </w:r>
            <w:r w:rsidRPr="0013396E">
              <w:rPr>
                <w:i/>
                <w:iCs/>
                <w:sz w:val="20"/>
              </w:rPr>
              <w:t xml:space="preserve">r </w:t>
            </w:r>
            <w:r w:rsidRPr="0013396E">
              <w:rPr>
                <w:iCs/>
                <w:sz w:val="20"/>
              </w:rPr>
              <w:t>is the Combined Cycle Train.</w:t>
            </w:r>
          </w:p>
        </w:tc>
      </w:tr>
      <w:tr w:rsidR="00F10AF1" w:rsidRPr="0013396E" w14:paraId="3D6F0C0B" w14:textId="77777777" w:rsidTr="0099759E">
        <w:tc>
          <w:tcPr>
            <w:tcW w:w="1157" w:type="pct"/>
            <w:tcBorders>
              <w:top w:val="single" w:sz="4" w:space="0" w:color="auto"/>
              <w:left w:val="single" w:sz="4" w:space="0" w:color="auto"/>
              <w:bottom w:val="single" w:sz="4" w:space="0" w:color="auto"/>
              <w:right w:val="single" w:sz="4" w:space="0" w:color="auto"/>
            </w:tcBorders>
            <w:hideMark/>
          </w:tcPr>
          <w:p w14:paraId="7D9D4E1E" w14:textId="77777777" w:rsidR="00F10AF1" w:rsidRPr="0013396E" w:rsidRDefault="00F10AF1" w:rsidP="0099759E">
            <w:pPr>
              <w:spacing w:after="60"/>
              <w:rPr>
                <w:bCs/>
                <w:sz w:val="20"/>
                <w:lang w:val="pt-BR"/>
              </w:rPr>
            </w:pPr>
            <w:r w:rsidRPr="0013396E">
              <w:rPr>
                <w:bCs/>
                <w:sz w:val="20"/>
                <w:lang w:val="pt-BR"/>
              </w:rPr>
              <w:t>RTRDDQ</w:t>
            </w:r>
            <w:r w:rsidRPr="0013396E">
              <w:rPr>
                <w:i/>
                <w:iCs/>
                <w:sz w:val="20"/>
                <w:vertAlign w:val="subscript"/>
              </w:rPr>
              <w:t xml:space="preserve"> q, </w:t>
            </w:r>
            <w:r w:rsidRPr="0013396E">
              <w:rPr>
                <w:bCs/>
                <w:i/>
                <w:sz w:val="20"/>
                <w:vertAlign w:val="subscript"/>
                <w:lang w:val="pt-BR"/>
              </w:rPr>
              <w:t>r</w:t>
            </w:r>
          </w:p>
        </w:tc>
        <w:tc>
          <w:tcPr>
            <w:tcW w:w="395" w:type="pct"/>
            <w:tcBorders>
              <w:top w:val="single" w:sz="4" w:space="0" w:color="auto"/>
              <w:left w:val="single" w:sz="4" w:space="0" w:color="auto"/>
              <w:bottom w:val="single" w:sz="4" w:space="0" w:color="auto"/>
              <w:right w:val="single" w:sz="4" w:space="0" w:color="auto"/>
            </w:tcBorders>
            <w:hideMark/>
          </w:tcPr>
          <w:p w14:paraId="16CAE2E4" w14:textId="77777777" w:rsidR="00F10AF1" w:rsidRPr="0013396E" w:rsidRDefault="00F10AF1" w:rsidP="0099759E">
            <w:pPr>
              <w:spacing w:after="60"/>
              <w:rPr>
                <w:bCs/>
                <w:sz w:val="20"/>
                <w:lang w:val="pt-BR"/>
              </w:rPr>
            </w:pPr>
            <w:r w:rsidRPr="0013396E">
              <w:rPr>
                <w:bCs/>
                <w:sz w:val="20"/>
                <w:lang w:val="pt-BR"/>
              </w:rPr>
              <w:t>MW</w:t>
            </w:r>
          </w:p>
        </w:tc>
        <w:tc>
          <w:tcPr>
            <w:tcW w:w="3448" w:type="pct"/>
            <w:tcBorders>
              <w:top w:val="single" w:sz="4" w:space="0" w:color="auto"/>
              <w:left w:val="single" w:sz="4" w:space="0" w:color="auto"/>
              <w:bottom w:val="single" w:sz="4" w:space="0" w:color="auto"/>
              <w:right w:val="single" w:sz="4" w:space="0" w:color="auto"/>
            </w:tcBorders>
            <w:hideMark/>
          </w:tcPr>
          <w:p w14:paraId="006F0066" w14:textId="77777777" w:rsidR="00F10AF1" w:rsidRPr="0013396E" w:rsidRDefault="00F10AF1" w:rsidP="0099759E">
            <w:pPr>
              <w:spacing w:after="60"/>
              <w:rPr>
                <w:bCs/>
                <w:sz w:val="20"/>
                <w:lang w:val="pt-BR"/>
              </w:rPr>
            </w:pPr>
            <w:r w:rsidRPr="0013396E">
              <w:rPr>
                <w:bCs/>
                <w:i/>
                <w:sz w:val="20"/>
                <w:lang w:val="pt-BR"/>
              </w:rPr>
              <w:t>Real-Time Regulation Down Derated</w:t>
            </w:r>
            <w:r w:rsidRPr="0013396E">
              <w:rPr>
                <w:bCs/>
                <w:sz w:val="20"/>
                <w:lang w:val="pt-BR"/>
              </w:rPr>
              <w:t xml:space="preserve"> </w:t>
            </w:r>
            <w:r w:rsidRPr="0013396E">
              <w:rPr>
                <w:bCs/>
                <w:i/>
                <w:sz w:val="20"/>
                <w:lang w:val="pt-BR"/>
              </w:rPr>
              <w:t>Quantity</w:t>
            </w:r>
            <w:r w:rsidRPr="0013396E">
              <w:rPr>
                <w:iCs/>
                <w:sz w:val="20"/>
              </w:rPr>
              <w:t>—</w:t>
            </w:r>
            <w:r w:rsidRPr="0013396E">
              <w:rPr>
                <w:bCs/>
                <w:sz w:val="20"/>
                <w:lang w:val="pt-BR"/>
              </w:rPr>
              <w:t xml:space="preserve">The Reg-Down quantity manually reduced by ERCOT for the Resource </w:t>
            </w:r>
            <w:r w:rsidRPr="0013396E">
              <w:rPr>
                <w:bCs/>
                <w:i/>
                <w:sz w:val="20"/>
                <w:lang w:val="pt-BR"/>
              </w:rPr>
              <w:t xml:space="preserve">r </w:t>
            </w:r>
            <w:r w:rsidRPr="0013396E">
              <w:rPr>
                <w:bCs/>
                <w:sz w:val="20"/>
                <w:lang w:val="pt-BR"/>
              </w:rPr>
              <w:t xml:space="preserve">represented by QSE </w:t>
            </w:r>
            <w:r w:rsidRPr="0013396E">
              <w:rPr>
                <w:bCs/>
                <w:i/>
                <w:sz w:val="20"/>
                <w:lang w:val="pt-BR"/>
              </w:rPr>
              <w:t>q</w:t>
            </w:r>
            <w:r w:rsidRPr="0013396E">
              <w:rPr>
                <w:bCs/>
                <w:sz w:val="20"/>
                <w:lang w:val="pt-BR"/>
              </w:rPr>
              <w:t xml:space="preserve"> for the 15-minute Settlement Interval.  </w:t>
            </w:r>
            <w:r w:rsidRPr="0013396E">
              <w:rPr>
                <w:iCs/>
                <w:sz w:val="20"/>
              </w:rPr>
              <w:t xml:space="preserve">Where for a Combined Cycle Train, the Resource </w:t>
            </w:r>
            <w:r w:rsidRPr="0013396E">
              <w:rPr>
                <w:i/>
                <w:iCs/>
                <w:sz w:val="20"/>
              </w:rPr>
              <w:t xml:space="preserve">r </w:t>
            </w:r>
            <w:r w:rsidRPr="0013396E">
              <w:rPr>
                <w:iCs/>
                <w:sz w:val="20"/>
              </w:rPr>
              <w:t>is the Combined Cycle Train.</w:t>
            </w:r>
          </w:p>
        </w:tc>
      </w:tr>
      <w:tr w:rsidR="00F10AF1" w:rsidRPr="0013396E" w14:paraId="48AEA062" w14:textId="77777777" w:rsidTr="0099759E">
        <w:tc>
          <w:tcPr>
            <w:tcW w:w="1157" w:type="pct"/>
            <w:tcBorders>
              <w:top w:val="single" w:sz="4" w:space="0" w:color="auto"/>
              <w:left w:val="single" w:sz="4" w:space="0" w:color="auto"/>
              <w:bottom w:val="single" w:sz="4" w:space="0" w:color="auto"/>
              <w:right w:val="single" w:sz="4" w:space="0" w:color="auto"/>
            </w:tcBorders>
            <w:hideMark/>
          </w:tcPr>
          <w:p w14:paraId="682DC44F" w14:textId="77777777" w:rsidR="00F10AF1" w:rsidRPr="0013396E" w:rsidRDefault="00F10AF1" w:rsidP="0099759E">
            <w:pPr>
              <w:spacing w:after="60"/>
              <w:rPr>
                <w:bCs/>
                <w:sz w:val="20"/>
                <w:lang w:val="pt-BR"/>
              </w:rPr>
            </w:pPr>
            <w:r w:rsidRPr="0013396E">
              <w:rPr>
                <w:bCs/>
                <w:sz w:val="20"/>
                <w:lang w:val="pt-BR"/>
              </w:rPr>
              <w:t>RTRRDQ</w:t>
            </w:r>
            <w:r w:rsidRPr="0013396E">
              <w:rPr>
                <w:i/>
                <w:iCs/>
                <w:sz w:val="20"/>
                <w:vertAlign w:val="subscript"/>
              </w:rPr>
              <w:t xml:space="preserve"> q, </w:t>
            </w:r>
            <w:r w:rsidRPr="0013396E">
              <w:rPr>
                <w:bCs/>
                <w:i/>
                <w:sz w:val="20"/>
                <w:vertAlign w:val="subscript"/>
                <w:lang w:val="pt-BR"/>
              </w:rPr>
              <w:t>r</w:t>
            </w:r>
          </w:p>
        </w:tc>
        <w:tc>
          <w:tcPr>
            <w:tcW w:w="395" w:type="pct"/>
            <w:tcBorders>
              <w:top w:val="single" w:sz="4" w:space="0" w:color="auto"/>
              <w:left w:val="single" w:sz="4" w:space="0" w:color="auto"/>
              <w:bottom w:val="single" w:sz="4" w:space="0" w:color="auto"/>
              <w:right w:val="single" w:sz="4" w:space="0" w:color="auto"/>
            </w:tcBorders>
            <w:hideMark/>
          </w:tcPr>
          <w:p w14:paraId="3ED0E67D" w14:textId="77777777" w:rsidR="00F10AF1" w:rsidRPr="0013396E" w:rsidRDefault="00F10AF1" w:rsidP="0099759E">
            <w:pPr>
              <w:spacing w:after="60"/>
              <w:rPr>
                <w:bCs/>
                <w:sz w:val="20"/>
                <w:lang w:val="pt-BR"/>
              </w:rPr>
            </w:pPr>
            <w:r w:rsidRPr="0013396E">
              <w:rPr>
                <w:bCs/>
                <w:sz w:val="20"/>
                <w:lang w:val="pt-BR"/>
              </w:rPr>
              <w:t>MW</w:t>
            </w:r>
          </w:p>
        </w:tc>
        <w:tc>
          <w:tcPr>
            <w:tcW w:w="3448" w:type="pct"/>
            <w:tcBorders>
              <w:top w:val="single" w:sz="4" w:space="0" w:color="auto"/>
              <w:left w:val="single" w:sz="4" w:space="0" w:color="auto"/>
              <w:bottom w:val="single" w:sz="4" w:space="0" w:color="auto"/>
              <w:right w:val="single" w:sz="4" w:space="0" w:color="auto"/>
            </w:tcBorders>
            <w:hideMark/>
          </w:tcPr>
          <w:p w14:paraId="6F271071" w14:textId="77777777" w:rsidR="00F10AF1" w:rsidRPr="0013396E" w:rsidRDefault="00F10AF1" w:rsidP="0099759E">
            <w:pPr>
              <w:spacing w:after="60"/>
              <w:rPr>
                <w:bCs/>
                <w:sz w:val="20"/>
                <w:lang w:val="pt-BR"/>
              </w:rPr>
            </w:pPr>
            <w:r w:rsidRPr="0013396E">
              <w:rPr>
                <w:bCs/>
                <w:i/>
                <w:sz w:val="20"/>
                <w:lang w:val="pt-BR"/>
              </w:rPr>
              <w:t>Real-Time Responsive Reserve Derated Quantity</w:t>
            </w:r>
            <w:r w:rsidRPr="0013396E">
              <w:rPr>
                <w:iCs/>
                <w:sz w:val="20"/>
              </w:rPr>
              <w:t>—</w:t>
            </w:r>
            <w:r w:rsidRPr="0013396E">
              <w:rPr>
                <w:bCs/>
                <w:sz w:val="20"/>
                <w:lang w:val="pt-BR"/>
              </w:rPr>
              <w:t xml:space="preserve">The RRS quantity manually reduced by ERCOT for the Resource </w:t>
            </w:r>
            <w:r w:rsidRPr="0013396E">
              <w:rPr>
                <w:bCs/>
                <w:i/>
                <w:sz w:val="20"/>
                <w:lang w:val="pt-BR"/>
              </w:rPr>
              <w:t xml:space="preserve">r </w:t>
            </w:r>
            <w:r w:rsidRPr="0013396E">
              <w:rPr>
                <w:bCs/>
                <w:sz w:val="20"/>
                <w:lang w:val="pt-BR"/>
              </w:rPr>
              <w:t xml:space="preserve">represented by QSE </w:t>
            </w:r>
            <w:r w:rsidRPr="0013396E">
              <w:rPr>
                <w:bCs/>
                <w:i/>
                <w:sz w:val="20"/>
                <w:lang w:val="pt-BR"/>
              </w:rPr>
              <w:t>q</w:t>
            </w:r>
            <w:r w:rsidRPr="0013396E">
              <w:rPr>
                <w:bCs/>
                <w:sz w:val="20"/>
                <w:lang w:val="pt-BR"/>
              </w:rPr>
              <w:t xml:space="preserve"> for the 15-minute Settlement Interval.</w:t>
            </w:r>
            <w:r w:rsidRPr="0013396E">
              <w:rPr>
                <w:iCs/>
                <w:sz w:val="20"/>
              </w:rPr>
              <w:t xml:space="preserve">  Where for a Combined Cycle Train, the Resource </w:t>
            </w:r>
            <w:r w:rsidRPr="0013396E">
              <w:rPr>
                <w:i/>
                <w:iCs/>
                <w:sz w:val="20"/>
              </w:rPr>
              <w:t xml:space="preserve">r </w:t>
            </w:r>
            <w:r w:rsidRPr="0013396E">
              <w:rPr>
                <w:iCs/>
                <w:sz w:val="20"/>
              </w:rPr>
              <w:t>is the Combined Cycle Train.</w:t>
            </w:r>
          </w:p>
        </w:tc>
      </w:tr>
      <w:tr w:rsidR="00F10AF1" w:rsidRPr="0013396E" w14:paraId="3F090DAF" w14:textId="77777777" w:rsidTr="0099759E">
        <w:tc>
          <w:tcPr>
            <w:tcW w:w="1157" w:type="pct"/>
            <w:tcBorders>
              <w:top w:val="single" w:sz="4" w:space="0" w:color="auto"/>
              <w:left w:val="single" w:sz="4" w:space="0" w:color="auto"/>
              <w:bottom w:val="single" w:sz="4" w:space="0" w:color="auto"/>
              <w:right w:val="single" w:sz="4" w:space="0" w:color="auto"/>
            </w:tcBorders>
            <w:hideMark/>
          </w:tcPr>
          <w:p w14:paraId="6E4BA7A4" w14:textId="77777777" w:rsidR="00F10AF1" w:rsidRPr="0013396E" w:rsidRDefault="00F10AF1" w:rsidP="0099759E">
            <w:pPr>
              <w:spacing w:after="60"/>
              <w:rPr>
                <w:bCs/>
                <w:sz w:val="20"/>
                <w:lang w:val="pt-BR"/>
              </w:rPr>
            </w:pPr>
            <w:r w:rsidRPr="0013396E">
              <w:rPr>
                <w:bCs/>
                <w:sz w:val="20"/>
                <w:lang w:val="pt-BR"/>
              </w:rPr>
              <w:t>RTECRDQ</w:t>
            </w:r>
            <w:r w:rsidRPr="0013396E">
              <w:rPr>
                <w:i/>
                <w:iCs/>
                <w:sz w:val="20"/>
                <w:vertAlign w:val="subscript"/>
              </w:rPr>
              <w:t xml:space="preserve"> q, </w:t>
            </w:r>
            <w:r w:rsidRPr="0013396E">
              <w:rPr>
                <w:bCs/>
                <w:i/>
                <w:sz w:val="20"/>
                <w:vertAlign w:val="subscript"/>
                <w:lang w:val="pt-BR"/>
              </w:rPr>
              <w:t>r</w:t>
            </w:r>
          </w:p>
        </w:tc>
        <w:tc>
          <w:tcPr>
            <w:tcW w:w="395" w:type="pct"/>
            <w:tcBorders>
              <w:top w:val="single" w:sz="4" w:space="0" w:color="auto"/>
              <w:left w:val="single" w:sz="4" w:space="0" w:color="auto"/>
              <w:bottom w:val="single" w:sz="4" w:space="0" w:color="auto"/>
              <w:right w:val="single" w:sz="4" w:space="0" w:color="auto"/>
            </w:tcBorders>
            <w:hideMark/>
          </w:tcPr>
          <w:p w14:paraId="676B28D3" w14:textId="77777777" w:rsidR="00F10AF1" w:rsidRPr="0013396E" w:rsidRDefault="00F10AF1" w:rsidP="0099759E">
            <w:pPr>
              <w:spacing w:after="60"/>
              <w:rPr>
                <w:bCs/>
                <w:sz w:val="20"/>
                <w:lang w:val="pt-BR"/>
              </w:rPr>
            </w:pPr>
            <w:r w:rsidRPr="0013396E">
              <w:rPr>
                <w:bCs/>
                <w:sz w:val="20"/>
                <w:lang w:val="pt-BR"/>
              </w:rPr>
              <w:t>MW</w:t>
            </w:r>
          </w:p>
        </w:tc>
        <w:tc>
          <w:tcPr>
            <w:tcW w:w="3448" w:type="pct"/>
            <w:tcBorders>
              <w:top w:val="single" w:sz="4" w:space="0" w:color="auto"/>
              <w:left w:val="single" w:sz="4" w:space="0" w:color="auto"/>
              <w:bottom w:val="single" w:sz="4" w:space="0" w:color="auto"/>
              <w:right w:val="single" w:sz="4" w:space="0" w:color="auto"/>
            </w:tcBorders>
            <w:hideMark/>
          </w:tcPr>
          <w:p w14:paraId="150A1660" w14:textId="77777777" w:rsidR="00F10AF1" w:rsidRPr="0013396E" w:rsidRDefault="00F10AF1" w:rsidP="0099759E">
            <w:pPr>
              <w:spacing w:after="60"/>
              <w:rPr>
                <w:bCs/>
                <w:sz w:val="20"/>
                <w:lang w:val="pt-BR"/>
              </w:rPr>
            </w:pPr>
            <w:r w:rsidRPr="0013396E">
              <w:rPr>
                <w:bCs/>
                <w:i/>
                <w:sz w:val="20"/>
                <w:lang w:val="pt-BR"/>
              </w:rPr>
              <w:t>Real-Time ERCOT Contingency Reserve Service Derated Quantity</w:t>
            </w:r>
            <w:r w:rsidRPr="0013396E">
              <w:rPr>
                <w:iCs/>
                <w:sz w:val="20"/>
              </w:rPr>
              <w:t>—</w:t>
            </w:r>
            <w:r w:rsidRPr="0013396E">
              <w:rPr>
                <w:bCs/>
                <w:sz w:val="20"/>
                <w:lang w:val="pt-BR"/>
              </w:rPr>
              <w:t xml:space="preserve">The ECRS quantity manually reduced by ERCOT for the Resource </w:t>
            </w:r>
            <w:r w:rsidRPr="0013396E">
              <w:rPr>
                <w:bCs/>
                <w:i/>
                <w:sz w:val="20"/>
                <w:lang w:val="pt-BR"/>
              </w:rPr>
              <w:t xml:space="preserve">r </w:t>
            </w:r>
            <w:r w:rsidRPr="0013396E">
              <w:rPr>
                <w:bCs/>
                <w:sz w:val="20"/>
                <w:lang w:val="pt-BR"/>
              </w:rPr>
              <w:t xml:space="preserve">represented by QSE </w:t>
            </w:r>
            <w:r w:rsidRPr="0013396E">
              <w:rPr>
                <w:bCs/>
                <w:i/>
                <w:sz w:val="20"/>
                <w:lang w:val="pt-BR"/>
              </w:rPr>
              <w:t>q</w:t>
            </w:r>
            <w:r w:rsidRPr="0013396E">
              <w:rPr>
                <w:bCs/>
                <w:sz w:val="20"/>
                <w:lang w:val="pt-BR"/>
              </w:rPr>
              <w:t xml:space="preserve"> for the 15-minute Settlement Interval.  </w:t>
            </w:r>
            <w:r w:rsidRPr="0013396E">
              <w:rPr>
                <w:iCs/>
                <w:sz w:val="20"/>
              </w:rPr>
              <w:t xml:space="preserve">Where for a Combined Cycle Train, the Resource </w:t>
            </w:r>
            <w:r w:rsidRPr="0013396E">
              <w:rPr>
                <w:i/>
                <w:iCs/>
                <w:sz w:val="20"/>
              </w:rPr>
              <w:t xml:space="preserve">r </w:t>
            </w:r>
            <w:r w:rsidRPr="0013396E">
              <w:rPr>
                <w:iCs/>
                <w:sz w:val="20"/>
              </w:rPr>
              <w:t>is the Combined Cycle Train.</w:t>
            </w:r>
          </w:p>
        </w:tc>
      </w:tr>
      <w:tr w:rsidR="00F10AF1" w:rsidRPr="0013396E" w14:paraId="18434256" w14:textId="77777777" w:rsidTr="0099759E">
        <w:tc>
          <w:tcPr>
            <w:tcW w:w="1157" w:type="pct"/>
            <w:tcBorders>
              <w:top w:val="single" w:sz="4" w:space="0" w:color="auto"/>
              <w:left w:val="single" w:sz="4" w:space="0" w:color="auto"/>
              <w:bottom w:val="single" w:sz="4" w:space="0" w:color="auto"/>
              <w:right w:val="single" w:sz="4" w:space="0" w:color="auto"/>
            </w:tcBorders>
            <w:hideMark/>
          </w:tcPr>
          <w:p w14:paraId="595EBDE0" w14:textId="77777777" w:rsidR="00F10AF1" w:rsidRPr="0013396E" w:rsidRDefault="00F10AF1" w:rsidP="0099759E">
            <w:pPr>
              <w:spacing w:after="60"/>
              <w:rPr>
                <w:bCs/>
                <w:sz w:val="20"/>
                <w:lang w:val="pt-BR"/>
              </w:rPr>
            </w:pPr>
            <w:r w:rsidRPr="0013396E">
              <w:rPr>
                <w:bCs/>
                <w:sz w:val="20"/>
                <w:lang w:val="pt-BR"/>
              </w:rPr>
              <w:t>RTNSDQ</w:t>
            </w:r>
            <w:r w:rsidRPr="0013396E">
              <w:rPr>
                <w:i/>
                <w:iCs/>
                <w:sz w:val="20"/>
                <w:vertAlign w:val="subscript"/>
              </w:rPr>
              <w:t xml:space="preserve"> q, </w:t>
            </w:r>
            <w:r w:rsidRPr="0013396E">
              <w:rPr>
                <w:bCs/>
                <w:i/>
                <w:sz w:val="20"/>
                <w:vertAlign w:val="subscript"/>
                <w:lang w:val="pt-BR"/>
              </w:rPr>
              <w:t>r</w:t>
            </w:r>
          </w:p>
        </w:tc>
        <w:tc>
          <w:tcPr>
            <w:tcW w:w="395" w:type="pct"/>
            <w:tcBorders>
              <w:top w:val="single" w:sz="4" w:space="0" w:color="auto"/>
              <w:left w:val="single" w:sz="4" w:space="0" w:color="auto"/>
              <w:bottom w:val="single" w:sz="4" w:space="0" w:color="auto"/>
              <w:right w:val="single" w:sz="4" w:space="0" w:color="auto"/>
            </w:tcBorders>
            <w:hideMark/>
          </w:tcPr>
          <w:p w14:paraId="22A72945" w14:textId="77777777" w:rsidR="00F10AF1" w:rsidRPr="0013396E" w:rsidRDefault="00F10AF1" w:rsidP="0099759E">
            <w:pPr>
              <w:spacing w:after="60"/>
              <w:rPr>
                <w:bCs/>
                <w:sz w:val="20"/>
                <w:lang w:val="pt-BR"/>
              </w:rPr>
            </w:pPr>
            <w:r w:rsidRPr="0013396E">
              <w:rPr>
                <w:bCs/>
                <w:sz w:val="20"/>
                <w:lang w:val="pt-BR"/>
              </w:rPr>
              <w:t>MW</w:t>
            </w:r>
          </w:p>
        </w:tc>
        <w:tc>
          <w:tcPr>
            <w:tcW w:w="3448" w:type="pct"/>
            <w:tcBorders>
              <w:top w:val="single" w:sz="4" w:space="0" w:color="auto"/>
              <w:left w:val="single" w:sz="4" w:space="0" w:color="auto"/>
              <w:bottom w:val="single" w:sz="4" w:space="0" w:color="auto"/>
              <w:right w:val="single" w:sz="4" w:space="0" w:color="auto"/>
            </w:tcBorders>
            <w:hideMark/>
          </w:tcPr>
          <w:p w14:paraId="01E70F51" w14:textId="77777777" w:rsidR="00F10AF1" w:rsidRPr="0013396E" w:rsidRDefault="00F10AF1" w:rsidP="0099759E">
            <w:pPr>
              <w:spacing w:after="60"/>
              <w:rPr>
                <w:bCs/>
                <w:sz w:val="20"/>
                <w:lang w:val="pt-BR"/>
              </w:rPr>
            </w:pPr>
            <w:r w:rsidRPr="0013396E">
              <w:rPr>
                <w:bCs/>
                <w:i/>
                <w:sz w:val="20"/>
                <w:lang w:val="pt-BR"/>
              </w:rPr>
              <w:t>Real-Time Non-Spin Derated Quantity</w:t>
            </w:r>
            <w:r w:rsidRPr="0013396E">
              <w:rPr>
                <w:iCs/>
                <w:sz w:val="20"/>
              </w:rPr>
              <w:t>—</w:t>
            </w:r>
            <w:r w:rsidRPr="0013396E">
              <w:rPr>
                <w:bCs/>
                <w:sz w:val="20"/>
                <w:lang w:val="pt-BR"/>
              </w:rPr>
              <w:t xml:space="preserve">The Non-Spin quantity manually reduced by ERCOT for the Resource </w:t>
            </w:r>
            <w:r w:rsidRPr="0013396E">
              <w:rPr>
                <w:bCs/>
                <w:i/>
                <w:sz w:val="20"/>
                <w:lang w:val="pt-BR"/>
              </w:rPr>
              <w:t xml:space="preserve">r </w:t>
            </w:r>
            <w:r w:rsidRPr="0013396E">
              <w:rPr>
                <w:bCs/>
                <w:sz w:val="20"/>
                <w:lang w:val="pt-BR"/>
              </w:rPr>
              <w:t xml:space="preserve">represented by QSE </w:t>
            </w:r>
            <w:r w:rsidRPr="0013396E">
              <w:rPr>
                <w:bCs/>
                <w:i/>
                <w:sz w:val="20"/>
                <w:lang w:val="pt-BR"/>
              </w:rPr>
              <w:t>q</w:t>
            </w:r>
            <w:r w:rsidRPr="0013396E">
              <w:rPr>
                <w:bCs/>
                <w:sz w:val="20"/>
                <w:lang w:val="pt-BR"/>
              </w:rPr>
              <w:t xml:space="preserve"> for the 15-minute Settlement Interval.</w:t>
            </w:r>
            <w:r w:rsidRPr="0013396E">
              <w:rPr>
                <w:iCs/>
                <w:sz w:val="20"/>
              </w:rPr>
              <w:t xml:space="preserve">  Where for a Combined Cycle Train, the Resource </w:t>
            </w:r>
            <w:r w:rsidRPr="0013396E">
              <w:rPr>
                <w:i/>
                <w:iCs/>
                <w:sz w:val="20"/>
              </w:rPr>
              <w:t xml:space="preserve">r </w:t>
            </w:r>
            <w:r w:rsidRPr="0013396E">
              <w:rPr>
                <w:iCs/>
                <w:sz w:val="20"/>
              </w:rPr>
              <w:t>is the Combined Cycle Train.</w:t>
            </w:r>
          </w:p>
        </w:tc>
      </w:tr>
      <w:tr w:rsidR="00F10AF1" w:rsidRPr="0013396E" w14:paraId="7B5B9973" w14:textId="77777777" w:rsidTr="0099759E">
        <w:tc>
          <w:tcPr>
            <w:tcW w:w="1157" w:type="pct"/>
            <w:tcBorders>
              <w:top w:val="single" w:sz="4" w:space="0" w:color="auto"/>
              <w:left w:val="single" w:sz="4" w:space="0" w:color="auto"/>
              <w:bottom w:val="single" w:sz="4" w:space="0" w:color="auto"/>
              <w:right w:val="single" w:sz="4" w:space="0" w:color="auto"/>
            </w:tcBorders>
            <w:hideMark/>
          </w:tcPr>
          <w:p w14:paraId="6754A1A7" w14:textId="77777777" w:rsidR="00F10AF1" w:rsidRPr="0013396E" w:rsidRDefault="00F10AF1" w:rsidP="0099759E">
            <w:pPr>
              <w:spacing w:after="60"/>
              <w:rPr>
                <w:bCs/>
                <w:sz w:val="20"/>
                <w:lang w:val="pt-BR"/>
              </w:rPr>
            </w:pPr>
            <w:r w:rsidRPr="0013396E">
              <w:rPr>
                <w:i/>
                <w:sz w:val="20"/>
              </w:rPr>
              <w:t>q</w:t>
            </w:r>
          </w:p>
        </w:tc>
        <w:tc>
          <w:tcPr>
            <w:tcW w:w="395" w:type="pct"/>
            <w:tcBorders>
              <w:top w:val="single" w:sz="4" w:space="0" w:color="auto"/>
              <w:left w:val="single" w:sz="4" w:space="0" w:color="auto"/>
              <w:bottom w:val="single" w:sz="4" w:space="0" w:color="auto"/>
              <w:right w:val="single" w:sz="4" w:space="0" w:color="auto"/>
            </w:tcBorders>
            <w:hideMark/>
          </w:tcPr>
          <w:p w14:paraId="34CA6E4B" w14:textId="77777777" w:rsidR="00F10AF1" w:rsidRPr="0013396E" w:rsidRDefault="00F10AF1" w:rsidP="0099759E">
            <w:pPr>
              <w:spacing w:after="60"/>
              <w:rPr>
                <w:bCs/>
                <w:sz w:val="20"/>
                <w:lang w:val="pt-BR"/>
              </w:rPr>
            </w:pPr>
            <w:r w:rsidRPr="0013396E">
              <w:rPr>
                <w:sz w:val="20"/>
              </w:rPr>
              <w:t>none</w:t>
            </w:r>
          </w:p>
        </w:tc>
        <w:tc>
          <w:tcPr>
            <w:tcW w:w="3448" w:type="pct"/>
            <w:tcBorders>
              <w:top w:val="single" w:sz="4" w:space="0" w:color="auto"/>
              <w:left w:val="single" w:sz="4" w:space="0" w:color="auto"/>
              <w:bottom w:val="single" w:sz="4" w:space="0" w:color="auto"/>
              <w:right w:val="single" w:sz="4" w:space="0" w:color="auto"/>
            </w:tcBorders>
            <w:hideMark/>
          </w:tcPr>
          <w:p w14:paraId="54F5F8EE" w14:textId="77777777" w:rsidR="00F10AF1" w:rsidRPr="0013396E" w:rsidRDefault="00F10AF1" w:rsidP="0099759E">
            <w:pPr>
              <w:spacing w:after="60"/>
              <w:rPr>
                <w:bCs/>
                <w:i/>
                <w:sz w:val="20"/>
                <w:lang w:val="pt-BR"/>
              </w:rPr>
            </w:pPr>
            <w:r w:rsidRPr="0013396E">
              <w:rPr>
                <w:sz w:val="20"/>
              </w:rPr>
              <w:t>A QSE.</w:t>
            </w:r>
          </w:p>
        </w:tc>
      </w:tr>
      <w:tr w:rsidR="00F10AF1" w:rsidRPr="0013396E" w14:paraId="1E41EC8B" w14:textId="77777777" w:rsidTr="0099759E">
        <w:trPr>
          <w:trHeight w:val="89"/>
        </w:trPr>
        <w:tc>
          <w:tcPr>
            <w:tcW w:w="1157" w:type="pct"/>
            <w:tcBorders>
              <w:top w:val="single" w:sz="4" w:space="0" w:color="auto"/>
              <w:left w:val="single" w:sz="4" w:space="0" w:color="auto"/>
              <w:bottom w:val="single" w:sz="4" w:space="0" w:color="auto"/>
              <w:right w:val="single" w:sz="4" w:space="0" w:color="auto"/>
            </w:tcBorders>
            <w:hideMark/>
          </w:tcPr>
          <w:p w14:paraId="041ACC90" w14:textId="77777777" w:rsidR="00F10AF1" w:rsidRPr="0013396E" w:rsidRDefault="00F10AF1" w:rsidP="0099759E">
            <w:pPr>
              <w:spacing w:after="60"/>
              <w:rPr>
                <w:i/>
                <w:sz w:val="20"/>
                <w:szCs w:val="24"/>
              </w:rPr>
            </w:pPr>
            <w:r w:rsidRPr="0013396E">
              <w:rPr>
                <w:i/>
                <w:sz w:val="20"/>
              </w:rPr>
              <w:lastRenderedPageBreak/>
              <w:t>r</w:t>
            </w:r>
          </w:p>
        </w:tc>
        <w:tc>
          <w:tcPr>
            <w:tcW w:w="395" w:type="pct"/>
            <w:tcBorders>
              <w:top w:val="single" w:sz="4" w:space="0" w:color="auto"/>
              <w:left w:val="single" w:sz="4" w:space="0" w:color="auto"/>
              <w:bottom w:val="single" w:sz="4" w:space="0" w:color="auto"/>
              <w:right w:val="single" w:sz="4" w:space="0" w:color="auto"/>
            </w:tcBorders>
            <w:hideMark/>
          </w:tcPr>
          <w:p w14:paraId="1326667D" w14:textId="77777777" w:rsidR="00F10AF1" w:rsidRPr="0013396E" w:rsidRDefault="00F10AF1" w:rsidP="0099759E">
            <w:pPr>
              <w:spacing w:after="60"/>
              <w:rPr>
                <w:sz w:val="20"/>
              </w:rPr>
            </w:pPr>
            <w:r w:rsidRPr="0013396E">
              <w:rPr>
                <w:sz w:val="20"/>
              </w:rPr>
              <w:t>none</w:t>
            </w:r>
          </w:p>
        </w:tc>
        <w:tc>
          <w:tcPr>
            <w:tcW w:w="3448" w:type="pct"/>
            <w:tcBorders>
              <w:top w:val="single" w:sz="4" w:space="0" w:color="auto"/>
              <w:left w:val="single" w:sz="4" w:space="0" w:color="auto"/>
              <w:bottom w:val="single" w:sz="4" w:space="0" w:color="auto"/>
              <w:right w:val="single" w:sz="4" w:space="0" w:color="auto"/>
            </w:tcBorders>
            <w:hideMark/>
          </w:tcPr>
          <w:p w14:paraId="43368966" w14:textId="77777777" w:rsidR="00F10AF1" w:rsidRPr="0013396E" w:rsidRDefault="00F10AF1" w:rsidP="0099759E">
            <w:pPr>
              <w:spacing w:after="60"/>
              <w:rPr>
                <w:sz w:val="20"/>
              </w:rPr>
            </w:pPr>
            <w:r w:rsidRPr="0013396E">
              <w:rPr>
                <w:sz w:val="20"/>
              </w:rPr>
              <w:t xml:space="preserve">A Resource. </w:t>
            </w:r>
          </w:p>
        </w:tc>
      </w:tr>
    </w:tbl>
    <w:p w14:paraId="68C795B5" w14:textId="70CD2390" w:rsidR="00F10AF1" w:rsidRPr="0013396E" w:rsidRDefault="00F10AF1" w:rsidP="000B7133">
      <w:pPr>
        <w:pStyle w:val="Heading4"/>
        <w:numPr>
          <w:ilvl w:val="0"/>
          <w:numId w:val="0"/>
        </w:numPr>
        <w:spacing w:before="480"/>
      </w:pPr>
      <w:bookmarkStart w:id="2282" w:name="_Toc214879038"/>
      <w:r w:rsidRPr="0013396E">
        <w:rPr>
          <w:bCs w:val="0"/>
        </w:rPr>
        <w:t>6.7.</w:t>
      </w:r>
      <w:r w:rsidR="00A12B52" w:rsidRPr="0013396E">
        <w:rPr>
          <w:bCs w:val="0"/>
        </w:rPr>
        <w:t>2</w:t>
      </w:r>
      <w:r w:rsidRPr="0013396E">
        <w:rPr>
          <w:bCs w:val="0"/>
        </w:rPr>
        <w:t>.8</w:t>
      </w:r>
      <w:r w:rsidRPr="0013396E">
        <w:rPr>
          <w:bCs w:val="0"/>
        </w:rPr>
        <w:tab/>
        <w:t>Real-Time Derated Ancillary Service Capability Charge</w:t>
      </w:r>
      <w:bookmarkEnd w:id="2282"/>
    </w:p>
    <w:p w14:paraId="4BC727B4" w14:textId="77777777" w:rsidR="00F10AF1" w:rsidRPr="0013396E" w:rsidRDefault="00F10AF1" w:rsidP="00F10AF1">
      <w:pPr>
        <w:pStyle w:val="BodyText"/>
        <w:ind w:left="720" w:hanging="720"/>
      </w:pPr>
      <w:r w:rsidRPr="0013396E">
        <w:t>(1)</w:t>
      </w:r>
      <w:r w:rsidRPr="0013396E">
        <w:tab/>
        <w:t>The total cost for Real-Time derated Ancillary Service payments is allocated to QSEs representing Load based on Load Ratio Share (LRS).  The Real-Time derated Ancillary Service Payment allocations to each QSE for a given 15-minute Settlement Interval are calculated as follows:</w:t>
      </w:r>
    </w:p>
    <w:p w14:paraId="324B1442" w14:textId="77777777" w:rsidR="00F10AF1" w:rsidRPr="0013396E" w:rsidRDefault="00F10AF1" w:rsidP="00F10AF1">
      <w:pPr>
        <w:pStyle w:val="BodyText"/>
        <w:ind w:left="1440"/>
      </w:pPr>
      <w:r w:rsidRPr="0013396E">
        <w:t xml:space="preserve">LARTDASAMT </w:t>
      </w:r>
      <w:r w:rsidRPr="0013396E">
        <w:rPr>
          <w:i/>
          <w:vertAlign w:val="subscript"/>
        </w:rPr>
        <w:t>q</w:t>
      </w:r>
      <w:r w:rsidRPr="0013396E">
        <w:t xml:space="preserve"> =</w:t>
      </w:r>
      <w:r w:rsidRPr="0013396E">
        <w:tab/>
        <w:t xml:space="preserve">(-1) * RTDASAMTTOT * LRS </w:t>
      </w:r>
      <w:r w:rsidRPr="0013396E">
        <w:rPr>
          <w:i/>
          <w:vertAlign w:val="subscript"/>
        </w:rPr>
        <w:t>q</w:t>
      </w:r>
    </w:p>
    <w:p w14:paraId="05550916" w14:textId="77777777" w:rsidR="00F10AF1" w:rsidRPr="0013396E" w:rsidRDefault="00F10AF1" w:rsidP="00F10AF1">
      <w:pPr>
        <w:pStyle w:val="BodyText"/>
        <w:ind w:left="720" w:hanging="720"/>
      </w:pPr>
      <w:r w:rsidRPr="0013396E">
        <w:tab/>
        <w:t>Where:</w:t>
      </w:r>
    </w:p>
    <w:p w14:paraId="2A4A540E" w14:textId="77777777" w:rsidR="00F10AF1" w:rsidRPr="0013396E" w:rsidRDefault="00F10AF1" w:rsidP="00F10AF1">
      <w:pPr>
        <w:pStyle w:val="BodyText"/>
        <w:ind w:left="720" w:firstLine="720"/>
        <w:rPr>
          <w:bCs/>
          <w:i/>
          <w:vertAlign w:val="subscript"/>
          <w:lang w:val="es-ES"/>
        </w:rPr>
      </w:pPr>
      <w:r w:rsidRPr="0013396E">
        <w:t xml:space="preserve">RTDASAMTTOT = </w:t>
      </w:r>
      <w:r w:rsidRPr="0013396E">
        <w:rPr>
          <w:position w:val="-22"/>
          <w:szCs w:val="24"/>
        </w:rPr>
        <w:object w:dxaOrig="150" w:dyaOrig="285" w14:anchorId="3289BA94">
          <v:shape id="_x0000_i1292" type="#_x0000_t75" style="width:12pt;height:24pt" o:ole="">
            <v:imagedata r:id="rId281" o:title=""/>
          </v:shape>
          <o:OLEObject Type="Embed" ProgID="Equation.3" ShapeID="_x0000_i1292" DrawAspect="Content" ObjectID="_1836311569" r:id="rId369"/>
        </w:object>
      </w:r>
      <w:r w:rsidRPr="0013396E">
        <w:t xml:space="preserve"> </w:t>
      </w:r>
      <w:r w:rsidRPr="0013396E">
        <w:rPr>
          <w:bCs/>
          <w:lang w:val="pt-BR"/>
        </w:rPr>
        <w:t xml:space="preserve">RTDASAMT </w:t>
      </w:r>
      <w:r w:rsidRPr="0013396E">
        <w:rPr>
          <w:bCs/>
          <w:i/>
          <w:vertAlign w:val="subscript"/>
          <w:lang w:val="es-ES"/>
        </w:rPr>
        <w:t>q</w:t>
      </w:r>
    </w:p>
    <w:p w14:paraId="0087665F" w14:textId="77777777" w:rsidR="00F10AF1" w:rsidRPr="0013396E" w:rsidRDefault="00F10AF1" w:rsidP="00F10AF1">
      <w:pPr>
        <w:pStyle w:val="Instructions"/>
        <w:spacing w:after="0"/>
        <w:ind w:left="720" w:hanging="720"/>
        <w:rPr>
          <w:b w:val="0"/>
          <w:i w:val="0"/>
        </w:rPr>
      </w:pPr>
      <w:r w:rsidRPr="0013396E">
        <w:rPr>
          <w:b w:val="0"/>
          <w:i w:val="0"/>
          <w:iCs w:val="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3"/>
        <w:gridCol w:w="722"/>
        <w:gridCol w:w="6455"/>
      </w:tblGrid>
      <w:tr w:rsidR="00F10AF1" w:rsidRPr="0013396E" w14:paraId="64C3A0D9" w14:textId="77777777" w:rsidTr="0099759E">
        <w:tc>
          <w:tcPr>
            <w:tcW w:w="1162" w:type="pct"/>
            <w:tcBorders>
              <w:top w:val="single" w:sz="4" w:space="0" w:color="auto"/>
              <w:left w:val="single" w:sz="4" w:space="0" w:color="auto"/>
              <w:bottom w:val="single" w:sz="4" w:space="0" w:color="auto"/>
              <w:right w:val="single" w:sz="4" w:space="0" w:color="auto"/>
            </w:tcBorders>
            <w:hideMark/>
          </w:tcPr>
          <w:p w14:paraId="656EF059" w14:textId="77777777" w:rsidR="00F10AF1" w:rsidRPr="0013396E" w:rsidRDefault="00F10AF1" w:rsidP="0099759E">
            <w:pPr>
              <w:spacing w:after="240"/>
              <w:rPr>
                <w:b/>
                <w:iCs/>
                <w:sz w:val="20"/>
              </w:rPr>
            </w:pPr>
            <w:r w:rsidRPr="0013396E">
              <w:rPr>
                <w:b/>
                <w:iCs/>
                <w:sz w:val="20"/>
              </w:rPr>
              <w:t>Variable</w:t>
            </w:r>
          </w:p>
        </w:tc>
        <w:tc>
          <w:tcPr>
            <w:tcW w:w="386" w:type="pct"/>
            <w:tcBorders>
              <w:top w:val="single" w:sz="4" w:space="0" w:color="auto"/>
              <w:left w:val="single" w:sz="4" w:space="0" w:color="auto"/>
              <w:bottom w:val="single" w:sz="4" w:space="0" w:color="auto"/>
              <w:right w:val="single" w:sz="4" w:space="0" w:color="auto"/>
            </w:tcBorders>
            <w:hideMark/>
          </w:tcPr>
          <w:p w14:paraId="6C077C1E" w14:textId="77777777" w:rsidR="00F10AF1" w:rsidRPr="0013396E" w:rsidRDefault="00F10AF1" w:rsidP="0099759E">
            <w:pPr>
              <w:spacing w:after="240"/>
              <w:rPr>
                <w:b/>
                <w:iCs/>
                <w:sz w:val="20"/>
              </w:rPr>
            </w:pPr>
            <w:r w:rsidRPr="0013396E">
              <w:rPr>
                <w:b/>
                <w:iCs/>
                <w:sz w:val="20"/>
              </w:rPr>
              <w:t>Unit</w:t>
            </w:r>
          </w:p>
        </w:tc>
        <w:tc>
          <w:tcPr>
            <w:tcW w:w="3452" w:type="pct"/>
            <w:tcBorders>
              <w:top w:val="single" w:sz="4" w:space="0" w:color="auto"/>
              <w:left w:val="single" w:sz="4" w:space="0" w:color="auto"/>
              <w:bottom w:val="single" w:sz="4" w:space="0" w:color="auto"/>
              <w:right w:val="single" w:sz="4" w:space="0" w:color="auto"/>
            </w:tcBorders>
            <w:hideMark/>
          </w:tcPr>
          <w:p w14:paraId="763184E1" w14:textId="77777777" w:rsidR="00F10AF1" w:rsidRPr="0013396E" w:rsidRDefault="00F10AF1" w:rsidP="0099759E">
            <w:pPr>
              <w:spacing w:after="240"/>
              <w:rPr>
                <w:b/>
                <w:iCs/>
                <w:sz w:val="20"/>
              </w:rPr>
            </w:pPr>
            <w:r w:rsidRPr="0013396E">
              <w:rPr>
                <w:b/>
                <w:iCs/>
                <w:sz w:val="20"/>
              </w:rPr>
              <w:t>Description</w:t>
            </w:r>
          </w:p>
        </w:tc>
      </w:tr>
      <w:tr w:rsidR="00F10AF1" w:rsidRPr="0013396E" w14:paraId="5B31730B" w14:textId="77777777" w:rsidTr="0099759E">
        <w:tc>
          <w:tcPr>
            <w:tcW w:w="1162" w:type="pct"/>
            <w:tcBorders>
              <w:top w:val="single" w:sz="4" w:space="0" w:color="auto"/>
              <w:left w:val="single" w:sz="4" w:space="0" w:color="auto"/>
              <w:bottom w:val="single" w:sz="4" w:space="0" w:color="auto"/>
              <w:right w:val="single" w:sz="4" w:space="0" w:color="auto"/>
            </w:tcBorders>
            <w:hideMark/>
          </w:tcPr>
          <w:p w14:paraId="3FFEA170" w14:textId="77777777" w:rsidR="00F10AF1" w:rsidRPr="0013396E" w:rsidRDefault="00F10AF1" w:rsidP="0099759E">
            <w:pPr>
              <w:spacing w:after="60"/>
              <w:rPr>
                <w:iCs/>
                <w:sz w:val="20"/>
              </w:rPr>
            </w:pPr>
            <w:r w:rsidRPr="0013396E">
              <w:rPr>
                <w:bCs/>
                <w:sz w:val="20"/>
                <w:lang w:val="pt-BR"/>
              </w:rPr>
              <w:t>LARTDASAMT</w:t>
            </w:r>
            <w:r w:rsidRPr="0013396E">
              <w:rPr>
                <w:bCs/>
                <w:lang w:val="pt-BR"/>
              </w:rPr>
              <w:t xml:space="preserve"> </w:t>
            </w:r>
            <w:r w:rsidRPr="0013396E">
              <w:rPr>
                <w:i/>
                <w:iCs/>
                <w:sz w:val="20"/>
                <w:vertAlign w:val="subscript"/>
              </w:rPr>
              <w:t>q</w:t>
            </w:r>
          </w:p>
        </w:tc>
        <w:tc>
          <w:tcPr>
            <w:tcW w:w="386" w:type="pct"/>
            <w:tcBorders>
              <w:top w:val="single" w:sz="4" w:space="0" w:color="auto"/>
              <w:left w:val="single" w:sz="4" w:space="0" w:color="auto"/>
              <w:bottom w:val="single" w:sz="4" w:space="0" w:color="auto"/>
              <w:right w:val="single" w:sz="4" w:space="0" w:color="auto"/>
            </w:tcBorders>
            <w:hideMark/>
          </w:tcPr>
          <w:p w14:paraId="26842227" w14:textId="77777777" w:rsidR="00F10AF1" w:rsidRPr="0013396E" w:rsidRDefault="00F10AF1" w:rsidP="0099759E">
            <w:pPr>
              <w:spacing w:after="60"/>
              <w:rPr>
                <w:iCs/>
                <w:sz w:val="20"/>
              </w:rPr>
            </w:pPr>
            <w:r w:rsidRPr="0013396E">
              <w:rPr>
                <w:iCs/>
                <w:sz w:val="20"/>
              </w:rPr>
              <w:t>$</w:t>
            </w:r>
          </w:p>
        </w:tc>
        <w:tc>
          <w:tcPr>
            <w:tcW w:w="3452" w:type="pct"/>
            <w:tcBorders>
              <w:top w:val="single" w:sz="4" w:space="0" w:color="auto"/>
              <w:left w:val="single" w:sz="4" w:space="0" w:color="auto"/>
              <w:bottom w:val="single" w:sz="4" w:space="0" w:color="auto"/>
              <w:right w:val="single" w:sz="4" w:space="0" w:color="auto"/>
            </w:tcBorders>
            <w:hideMark/>
          </w:tcPr>
          <w:p w14:paraId="361EEB30" w14:textId="77777777" w:rsidR="00F10AF1" w:rsidRPr="0013396E" w:rsidRDefault="00F10AF1" w:rsidP="0099759E">
            <w:pPr>
              <w:spacing w:after="60"/>
              <w:rPr>
                <w:iCs/>
                <w:sz w:val="20"/>
              </w:rPr>
            </w:pPr>
            <w:r w:rsidRPr="0013396E">
              <w:rPr>
                <w:i/>
                <w:iCs/>
                <w:sz w:val="20"/>
              </w:rPr>
              <w:t>Load Allocated Real-Time Derated Ancillary Service Amount per QSE</w:t>
            </w:r>
            <w:r w:rsidRPr="0013396E">
              <w:rPr>
                <w:iCs/>
                <w:sz w:val="20"/>
              </w:rPr>
              <w:t xml:space="preserve">—The charge to QSE </w:t>
            </w:r>
            <w:r w:rsidRPr="0013396E">
              <w:rPr>
                <w:i/>
                <w:iCs/>
                <w:sz w:val="20"/>
              </w:rPr>
              <w:t>q</w:t>
            </w:r>
            <w:r w:rsidRPr="0013396E">
              <w:rPr>
                <w:iCs/>
                <w:sz w:val="20"/>
              </w:rPr>
              <w:t xml:space="preserve"> due to a manual reduction of Ancillary Services to be awarded for the 15-minute Settlement Interval.</w:t>
            </w:r>
          </w:p>
        </w:tc>
      </w:tr>
      <w:tr w:rsidR="00F10AF1" w:rsidRPr="0013396E" w14:paraId="115111EA" w14:textId="77777777" w:rsidTr="0099759E">
        <w:tc>
          <w:tcPr>
            <w:tcW w:w="1162" w:type="pct"/>
            <w:tcBorders>
              <w:top w:val="single" w:sz="4" w:space="0" w:color="auto"/>
              <w:left w:val="single" w:sz="4" w:space="0" w:color="auto"/>
              <w:bottom w:val="single" w:sz="4" w:space="0" w:color="auto"/>
              <w:right w:val="single" w:sz="4" w:space="0" w:color="auto"/>
            </w:tcBorders>
            <w:hideMark/>
          </w:tcPr>
          <w:p w14:paraId="13174856" w14:textId="77777777" w:rsidR="00F10AF1" w:rsidRPr="0013396E" w:rsidRDefault="00F10AF1" w:rsidP="0099759E">
            <w:pPr>
              <w:spacing w:after="60"/>
              <w:rPr>
                <w:iCs/>
                <w:sz w:val="20"/>
              </w:rPr>
            </w:pPr>
            <w:r w:rsidRPr="0013396E">
              <w:rPr>
                <w:bCs/>
                <w:sz w:val="20"/>
                <w:lang w:val="pt-BR"/>
              </w:rPr>
              <w:t>RTDASAMTTOT</w:t>
            </w:r>
          </w:p>
        </w:tc>
        <w:tc>
          <w:tcPr>
            <w:tcW w:w="386" w:type="pct"/>
            <w:tcBorders>
              <w:top w:val="single" w:sz="4" w:space="0" w:color="auto"/>
              <w:left w:val="single" w:sz="4" w:space="0" w:color="auto"/>
              <w:bottom w:val="single" w:sz="4" w:space="0" w:color="auto"/>
              <w:right w:val="single" w:sz="4" w:space="0" w:color="auto"/>
            </w:tcBorders>
            <w:hideMark/>
          </w:tcPr>
          <w:p w14:paraId="7F3ECED3" w14:textId="77777777" w:rsidR="00F10AF1" w:rsidRPr="0013396E" w:rsidRDefault="00F10AF1" w:rsidP="0099759E">
            <w:pPr>
              <w:spacing w:after="60"/>
              <w:rPr>
                <w:iCs/>
                <w:sz w:val="20"/>
              </w:rPr>
            </w:pPr>
            <w:r w:rsidRPr="0013396E">
              <w:rPr>
                <w:iCs/>
                <w:sz w:val="20"/>
              </w:rPr>
              <w:t>$</w:t>
            </w:r>
          </w:p>
        </w:tc>
        <w:tc>
          <w:tcPr>
            <w:tcW w:w="3452" w:type="pct"/>
            <w:tcBorders>
              <w:top w:val="single" w:sz="4" w:space="0" w:color="auto"/>
              <w:left w:val="single" w:sz="4" w:space="0" w:color="auto"/>
              <w:bottom w:val="single" w:sz="4" w:space="0" w:color="auto"/>
              <w:right w:val="single" w:sz="4" w:space="0" w:color="auto"/>
            </w:tcBorders>
            <w:hideMark/>
          </w:tcPr>
          <w:p w14:paraId="27916EB6" w14:textId="77777777" w:rsidR="00F10AF1" w:rsidRPr="0013396E" w:rsidRDefault="00F10AF1" w:rsidP="0099759E">
            <w:pPr>
              <w:spacing w:after="60"/>
              <w:rPr>
                <w:i/>
                <w:iCs/>
                <w:sz w:val="20"/>
              </w:rPr>
            </w:pPr>
            <w:r w:rsidRPr="0013396E">
              <w:rPr>
                <w:i/>
                <w:iCs/>
                <w:sz w:val="20"/>
              </w:rPr>
              <w:t>Real-Time Derated Ancillary Service Amount Total</w:t>
            </w:r>
            <w:r w:rsidRPr="0013396E">
              <w:rPr>
                <w:iCs/>
                <w:sz w:val="20"/>
              </w:rPr>
              <w:t>—The total of all payments to all QSEs for amounts recoverable due to an ERCOT issued manual reduction of Ancillary Services to be awarded for the 15-minute Settlement Interval.</w:t>
            </w:r>
          </w:p>
        </w:tc>
      </w:tr>
      <w:tr w:rsidR="00F10AF1" w:rsidRPr="0013396E" w14:paraId="2E9240AA" w14:textId="77777777" w:rsidTr="0099759E">
        <w:tc>
          <w:tcPr>
            <w:tcW w:w="1162" w:type="pct"/>
            <w:tcBorders>
              <w:top w:val="single" w:sz="4" w:space="0" w:color="auto"/>
              <w:left w:val="single" w:sz="4" w:space="0" w:color="auto"/>
              <w:bottom w:val="single" w:sz="4" w:space="0" w:color="auto"/>
              <w:right w:val="single" w:sz="4" w:space="0" w:color="auto"/>
            </w:tcBorders>
            <w:hideMark/>
          </w:tcPr>
          <w:p w14:paraId="6E28F0A8" w14:textId="77777777" w:rsidR="00F10AF1" w:rsidRPr="0013396E" w:rsidRDefault="00F10AF1" w:rsidP="0099759E">
            <w:pPr>
              <w:spacing w:after="60"/>
              <w:rPr>
                <w:bCs/>
                <w:sz w:val="20"/>
                <w:lang w:val="pt-BR"/>
              </w:rPr>
            </w:pPr>
            <w:r w:rsidRPr="0013396E">
              <w:rPr>
                <w:bCs/>
                <w:sz w:val="20"/>
                <w:lang w:val="pt-BR"/>
              </w:rPr>
              <w:t>RTDASAMT</w:t>
            </w:r>
            <w:r w:rsidRPr="0013396E">
              <w:rPr>
                <w:bCs/>
                <w:lang w:val="pt-BR"/>
              </w:rPr>
              <w:t xml:space="preserve"> </w:t>
            </w:r>
            <w:r w:rsidRPr="0013396E">
              <w:rPr>
                <w:i/>
                <w:iCs/>
                <w:sz w:val="20"/>
                <w:vertAlign w:val="subscript"/>
              </w:rPr>
              <w:t>q</w:t>
            </w:r>
          </w:p>
        </w:tc>
        <w:tc>
          <w:tcPr>
            <w:tcW w:w="386" w:type="pct"/>
            <w:tcBorders>
              <w:top w:val="single" w:sz="4" w:space="0" w:color="auto"/>
              <w:left w:val="single" w:sz="4" w:space="0" w:color="auto"/>
              <w:bottom w:val="single" w:sz="4" w:space="0" w:color="auto"/>
              <w:right w:val="single" w:sz="4" w:space="0" w:color="auto"/>
            </w:tcBorders>
            <w:hideMark/>
          </w:tcPr>
          <w:p w14:paraId="33A55524" w14:textId="77777777" w:rsidR="00F10AF1" w:rsidRPr="0013396E" w:rsidRDefault="00F10AF1" w:rsidP="0099759E">
            <w:pPr>
              <w:spacing w:after="60"/>
              <w:rPr>
                <w:iCs/>
                <w:sz w:val="20"/>
                <w:szCs w:val="24"/>
              </w:rPr>
            </w:pPr>
            <w:r w:rsidRPr="0013396E">
              <w:rPr>
                <w:iCs/>
                <w:sz w:val="20"/>
              </w:rPr>
              <w:t>$</w:t>
            </w:r>
          </w:p>
        </w:tc>
        <w:tc>
          <w:tcPr>
            <w:tcW w:w="3452" w:type="pct"/>
            <w:tcBorders>
              <w:top w:val="single" w:sz="4" w:space="0" w:color="auto"/>
              <w:left w:val="single" w:sz="4" w:space="0" w:color="auto"/>
              <w:bottom w:val="single" w:sz="4" w:space="0" w:color="auto"/>
              <w:right w:val="single" w:sz="4" w:space="0" w:color="auto"/>
            </w:tcBorders>
            <w:hideMark/>
          </w:tcPr>
          <w:p w14:paraId="68C02682" w14:textId="77777777" w:rsidR="00F10AF1" w:rsidRPr="0013396E" w:rsidRDefault="00F10AF1" w:rsidP="0099759E">
            <w:pPr>
              <w:spacing w:after="60"/>
              <w:rPr>
                <w:i/>
                <w:iCs/>
                <w:sz w:val="20"/>
              </w:rPr>
            </w:pPr>
            <w:r w:rsidRPr="0013396E">
              <w:rPr>
                <w:i/>
                <w:iCs/>
                <w:sz w:val="20"/>
              </w:rPr>
              <w:t>Real-Time Derated Ancillary Service Amount</w:t>
            </w:r>
            <w:r w:rsidRPr="0013396E">
              <w:rPr>
                <w:iCs/>
                <w:sz w:val="20"/>
              </w:rPr>
              <w:t xml:space="preserve">—The payment to QSE </w:t>
            </w:r>
            <w:r w:rsidRPr="0013396E">
              <w:rPr>
                <w:i/>
                <w:iCs/>
                <w:sz w:val="20"/>
              </w:rPr>
              <w:t>q</w:t>
            </w:r>
            <w:r w:rsidRPr="0013396E">
              <w:rPr>
                <w:iCs/>
                <w:sz w:val="20"/>
              </w:rPr>
              <w:t xml:space="preserve"> for amounts recoverable due to an ERCOT issued manual reduction of Ancillary Services to be awarded for the 15-minute Settlement Interval.</w:t>
            </w:r>
          </w:p>
        </w:tc>
      </w:tr>
      <w:tr w:rsidR="00F10AF1" w:rsidRPr="0013396E" w14:paraId="2E8B1568" w14:textId="77777777" w:rsidTr="0099759E">
        <w:tc>
          <w:tcPr>
            <w:tcW w:w="1162" w:type="pct"/>
            <w:tcBorders>
              <w:top w:val="single" w:sz="4" w:space="0" w:color="auto"/>
              <w:left w:val="single" w:sz="4" w:space="0" w:color="auto"/>
              <w:bottom w:val="single" w:sz="4" w:space="0" w:color="auto"/>
              <w:right w:val="single" w:sz="4" w:space="0" w:color="auto"/>
            </w:tcBorders>
            <w:hideMark/>
          </w:tcPr>
          <w:p w14:paraId="3BC781C4" w14:textId="77777777" w:rsidR="00F10AF1" w:rsidRPr="0013396E" w:rsidRDefault="00F10AF1" w:rsidP="0099759E">
            <w:pPr>
              <w:spacing w:after="60"/>
              <w:rPr>
                <w:bCs/>
                <w:sz w:val="20"/>
                <w:lang w:val="pt-BR"/>
              </w:rPr>
            </w:pPr>
            <w:r w:rsidRPr="0013396E">
              <w:rPr>
                <w:sz w:val="20"/>
              </w:rPr>
              <w:t>LRS</w:t>
            </w:r>
            <w:r w:rsidRPr="0013396E">
              <w:rPr>
                <w:sz w:val="20"/>
                <w:vertAlign w:val="subscript"/>
              </w:rPr>
              <w:t xml:space="preserve"> </w:t>
            </w:r>
            <w:r w:rsidRPr="0013396E">
              <w:rPr>
                <w:i/>
                <w:sz w:val="20"/>
                <w:vertAlign w:val="subscript"/>
              </w:rPr>
              <w:t>q</w:t>
            </w:r>
          </w:p>
        </w:tc>
        <w:tc>
          <w:tcPr>
            <w:tcW w:w="386" w:type="pct"/>
            <w:tcBorders>
              <w:top w:val="single" w:sz="4" w:space="0" w:color="auto"/>
              <w:left w:val="single" w:sz="4" w:space="0" w:color="auto"/>
              <w:bottom w:val="single" w:sz="4" w:space="0" w:color="auto"/>
              <w:right w:val="single" w:sz="4" w:space="0" w:color="auto"/>
            </w:tcBorders>
            <w:hideMark/>
          </w:tcPr>
          <w:p w14:paraId="6FCA0508" w14:textId="77777777" w:rsidR="00F10AF1" w:rsidRPr="0013396E" w:rsidRDefault="00F10AF1" w:rsidP="0099759E">
            <w:pPr>
              <w:spacing w:after="60"/>
              <w:rPr>
                <w:iCs/>
                <w:sz w:val="20"/>
              </w:rPr>
            </w:pPr>
            <w:r w:rsidRPr="0013396E">
              <w:rPr>
                <w:sz w:val="20"/>
              </w:rPr>
              <w:t>none</w:t>
            </w:r>
          </w:p>
        </w:tc>
        <w:tc>
          <w:tcPr>
            <w:tcW w:w="3452" w:type="pct"/>
            <w:tcBorders>
              <w:top w:val="single" w:sz="4" w:space="0" w:color="auto"/>
              <w:left w:val="single" w:sz="4" w:space="0" w:color="auto"/>
              <w:bottom w:val="single" w:sz="4" w:space="0" w:color="auto"/>
              <w:right w:val="single" w:sz="4" w:space="0" w:color="auto"/>
            </w:tcBorders>
            <w:hideMark/>
          </w:tcPr>
          <w:p w14:paraId="342FF307" w14:textId="77777777" w:rsidR="00F10AF1" w:rsidRPr="0013396E" w:rsidRDefault="00F10AF1" w:rsidP="0099759E">
            <w:pPr>
              <w:spacing w:after="60"/>
              <w:rPr>
                <w:i/>
                <w:iCs/>
                <w:sz w:val="20"/>
              </w:rPr>
            </w:pPr>
            <w:r w:rsidRPr="0013396E">
              <w:rPr>
                <w:i/>
                <w:sz w:val="20"/>
              </w:rPr>
              <w:t>Load Ratio Share per QSE</w:t>
            </w:r>
            <w:r w:rsidRPr="0013396E">
              <w:rPr>
                <w:sz w:val="20"/>
              </w:rPr>
              <w:t xml:space="preserve">—The LRS as defined in Section 6.6.2.2, QSE Load Ratio Share for a 15-Minute Settlement Interval, for QSE </w:t>
            </w:r>
            <w:r w:rsidRPr="0013396E">
              <w:rPr>
                <w:i/>
                <w:sz w:val="20"/>
              </w:rPr>
              <w:t>q</w:t>
            </w:r>
            <w:r w:rsidRPr="0013396E">
              <w:rPr>
                <w:sz w:val="20"/>
              </w:rPr>
              <w:t xml:space="preserve"> for the 15-minute Settlement Interval.</w:t>
            </w:r>
          </w:p>
        </w:tc>
      </w:tr>
      <w:tr w:rsidR="00F10AF1" w:rsidRPr="0013396E" w14:paraId="636993A0" w14:textId="77777777" w:rsidTr="0099759E">
        <w:tc>
          <w:tcPr>
            <w:tcW w:w="1162" w:type="pct"/>
            <w:tcBorders>
              <w:top w:val="single" w:sz="4" w:space="0" w:color="auto"/>
              <w:left w:val="single" w:sz="4" w:space="0" w:color="auto"/>
              <w:bottom w:val="single" w:sz="4" w:space="0" w:color="auto"/>
              <w:right w:val="single" w:sz="4" w:space="0" w:color="auto"/>
            </w:tcBorders>
            <w:hideMark/>
          </w:tcPr>
          <w:p w14:paraId="28C103A9" w14:textId="77777777" w:rsidR="00F10AF1" w:rsidRPr="0013396E" w:rsidRDefault="00F10AF1" w:rsidP="0099759E">
            <w:pPr>
              <w:spacing w:after="60"/>
              <w:rPr>
                <w:bCs/>
                <w:i/>
                <w:sz w:val="20"/>
                <w:lang w:val="pt-BR"/>
              </w:rPr>
            </w:pPr>
            <w:r w:rsidRPr="0013396E">
              <w:rPr>
                <w:bCs/>
                <w:i/>
                <w:sz w:val="20"/>
                <w:lang w:val="pt-BR"/>
              </w:rPr>
              <w:t>q</w:t>
            </w:r>
          </w:p>
        </w:tc>
        <w:tc>
          <w:tcPr>
            <w:tcW w:w="386" w:type="pct"/>
            <w:tcBorders>
              <w:top w:val="single" w:sz="4" w:space="0" w:color="auto"/>
              <w:left w:val="single" w:sz="4" w:space="0" w:color="auto"/>
              <w:bottom w:val="single" w:sz="4" w:space="0" w:color="auto"/>
              <w:right w:val="single" w:sz="4" w:space="0" w:color="auto"/>
            </w:tcBorders>
            <w:hideMark/>
          </w:tcPr>
          <w:p w14:paraId="0FB62BCF" w14:textId="77777777" w:rsidR="00F10AF1" w:rsidRPr="0013396E" w:rsidRDefault="00F10AF1" w:rsidP="0099759E">
            <w:pPr>
              <w:spacing w:after="60"/>
              <w:rPr>
                <w:iCs/>
                <w:sz w:val="20"/>
                <w:szCs w:val="24"/>
              </w:rPr>
            </w:pPr>
            <w:r w:rsidRPr="0013396E">
              <w:rPr>
                <w:iCs/>
                <w:sz w:val="20"/>
              </w:rPr>
              <w:t>none</w:t>
            </w:r>
          </w:p>
        </w:tc>
        <w:tc>
          <w:tcPr>
            <w:tcW w:w="3452" w:type="pct"/>
            <w:tcBorders>
              <w:top w:val="single" w:sz="4" w:space="0" w:color="auto"/>
              <w:left w:val="single" w:sz="4" w:space="0" w:color="auto"/>
              <w:bottom w:val="single" w:sz="4" w:space="0" w:color="auto"/>
              <w:right w:val="single" w:sz="4" w:space="0" w:color="auto"/>
            </w:tcBorders>
            <w:hideMark/>
          </w:tcPr>
          <w:p w14:paraId="5ABB6DA1" w14:textId="77777777" w:rsidR="00F10AF1" w:rsidRPr="0013396E" w:rsidRDefault="00F10AF1" w:rsidP="0099759E">
            <w:pPr>
              <w:spacing w:after="60"/>
              <w:rPr>
                <w:iCs/>
                <w:sz w:val="20"/>
              </w:rPr>
            </w:pPr>
            <w:r w:rsidRPr="0013396E">
              <w:rPr>
                <w:iCs/>
                <w:sz w:val="20"/>
              </w:rPr>
              <w:t>A QSE.</w:t>
            </w:r>
          </w:p>
        </w:tc>
      </w:tr>
    </w:tbl>
    <w:p w14:paraId="0938326E" w14:textId="65DDB8BD" w:rsidR="00A12B52" w:rsidRPr="0013396E" w:rsidRDefault="00A12B52" w:rsidP="00A12B52">
      <w:pPr>
        <w:keepNext/>
        <w:tabs>
          <w:tab w:val="left" w:pos="1080"/>
        </w:tabs>
        <w:spacing w:before="480" w:after="240"/>
        <w:outlineLvl w:val="2"/>
        <w:rPr>
          <w:b/>
          <w:bCs/>
          <w:i/>
        </w:rPr>
      </w:pPr>
      <w:bookmarkStart w:id="2283" w:name="_Toc214879039"/>
      <w:r w:rsidRPr="0013396E">
        <w:rPr>
          <w:b/>
          <w:bCs/>
          <w:i/>
        </w:rPr>
        <w:t>6.7.3</w:t>
      </w:r>
      <w:r w:rsidRPr="0013396E">
        <w:rPr>
          <w:b/>
          <w:bCs/>
          <w:i/>
        </w:rPr>
        <w:tab/>
        <w:t>Real-Time Ancillary Service Revenue Neutrality Allocation</w:t>
      </w:r>
      <w:bookmarkEnd w:id="2283"/>
    </w:p>
    <w:p w14:paraId="4BF34BF3" w14:textId="77777777" w:rsidR="00A12B52" w:rsidRPr="0013396E" w:rsidRDefault="00A12B52" w:rsidP="00A12B52">
      <w:pPr>
        <w:pStyle w:val="BodyText"/>
        <w:ind w:left="720" w:hanging="720"/>
        <w:rPr>
          <w:szCs w:val="24"/>
        </w:rPr>
      </w:pPr>
      <w:r w:rsidRPr="0013396E">
        <w:t>(1)</w:t>
      </w:r>
      <w:r w:rsidRPr="0013396E">
        <w:tab/>
        <w:t>The total cost for Real-Time Ancillary Service payments and charges is allocated to the QSEs representing Load based on Load Ratio Share (LRS).  The Real-Time Ancillary Service allocations to each QSE for a given 15-minute Settlement Interval are calculated as follows:</w:t>
      </w:r>
    </w:p>
    <w:p w14:paraId="4FB586A3" w14:textId="77777777" w:rsidR="00A12B52" w:rsidRPr="0013396E" w:rsidRDefault="00A12B52" w:rsidP="00A12B52">
      <w:pPr>
        <w:pStyle w:val="BodyText"/>
        <w:ind w:left="1440" w:hanging="720"/>
      </w:pPr>
      <w:r w:rsidRPr="0013396E">
        <w:t>(a)         For Reg-Up:</w:t>
      </w:r>
    </w:p>
    <w:p w14:paraId="01FB017F" w14:textId="77777777" w:rsidR="00A12B52" w:rsidRPr="0013396E" w:rsidRDefault="00A12B52" w:rsidP="00A12B52">
      <w:pPr>
        <w:pStyle w:val="BodyText"/>
        <w:spacing w:after="0"/>
        <w:ind w:left="1440" w:hanging="720"/>
      </w:pPr>
      <w:r w:rsidRPr="0013396E">
        <w:t xml:space="preserve">LARTRUAMT </w:t>
      </w:r>
      <w:r w:rsidRPr="0013396E">
        <w:rPr>
          <w:i/>
          <w:vertAlign w:val="subscript"/>
        </w:rPr>
        <w:t>q</w:t>
      </w:r>
      <w:r w:rsidRPr="0013396E">
        <w:t xml:space="preserve"> =</w:t>
      </w:r>
      <w:r w:rsidRPr="0013396E">
        <w:tab/>
        <w:t xml:space="preserve">(-1) * (RTRUIMBAMTTOT + RTRUOAMTTOT + </w:t>
      </w:r>
    </w:p>
    <w:p w14:paraId="1575164B" w14:textId="77777777" w:rsidR="00A12B52" w:rsidRPr="0013396E" w:rsidRDefault="00A12B52" w:rsidP="00A12B52">
      <w:pPr>
        <w:pStyle w:val="BodyText"/>
        <w:ind w:left="2160" w:firstLine="720"/>
      </w:pPr>
      <w:r w:rsidRPr="0013396E">
        <w:t xml:space="preserve">RTRUTOAMTTOT) * LRS </w:t>
      </w:r>
      <w:r w:rsidRPr="0013396E">
        <w:rPr>
          <w:i/>
          <w:vertAlign w:val="subscript"/>
        </w:rPr>
        <w:t>q</w:t>
      </w:r>
    </w:p>
    <w:p w14:paraId="47E4F4B8" w14:textId="77777777" w:rsidR="00A12B52" w:rsidRPr="0013396E" w:rsidRDefault="00A12B52" w:rsidP="00A12B52">
      <w:pPr>
        <w:pStyle w:val="BodyText"/>
        <w:ind w:left="1440" w:hanging="720"/>
      </w:pPr>
      <w:r w:rsidRPr="0013396E">
        <w:t>Where:</w:t>
      </w:r>
    </w:p>
    <w:p w14:paraId="358D0D89" w14:textId="77777777" w:rsidR="00A12B52" w:rsidRPr="0013396E" w:rsidRDefault="00A12B52" w:rsidP="00A12B52">
      <w:pPr>
        <w:pStyle w:val="BodyText"/>
        <w:ind w:left="1440" w:hanging="720"/>
      </w:pPr>
      <w:r w:rsidRPr="0013396E">
        <w:lastRenderedPageBreak/>
        <w:t xml:space="preserve">RTRUIMBAMTTOT = </w:t>
      </w:r>
      <w:r w:rsidRPr="0013396E">
        <w:rPr>
          <w:noProof/>
        </w:rPr>
        <w:drawing>
          <wp:inline distT="0" distB="0" distL="0" distR="0" wp14:anchorId="463275B9" wp14:editId="18DB0A4F">
            <wp:extent cx="146685" cy="293370"/>
            <wp:effectExtent l="0" t="0" r="5715" b="0"/>
            <wp:docPr id="2093296482" name="Picture 2093296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6"/>
                    <pic:cNvPicPr>
                      <a:picLocks noChangeAspect="1" noChangeArrowheads="1"/>
                    </pic:cNvPicPr>
                  </pic:nvPicPr>
                  <pic:blipFill>
                    <a:blip r:embed="rId370"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13396E">
        <w:t xml:space="preserve"> (RTRUIMBAMT </w:t>
      </w:r>
      <w:r w:rsidRPr="0013396E">
        <w:rPr>
          <w:i/>
          <w:vertAlign w:val="subscript"/>
        </w:rPr>
        <w:t>q</w:t>
      </w:r>
      <w:r w:rsidRPr="0013396E">
        <w:t>)</w:t>
      </w:r>
    </w:p>
    <w:p w14:paraId="7F4D20AD" w14:textId="77777777" w:rsidR="00A12B52" w:rsidRPr="0013396E" w:rsidRDefault="00A12B52" w:rsidP="00A12B52">
      <w:pPr>
        <w:pStyle w:val="BodyText"/>
        <w:ind w:left="1440" w:hanging="720"/>
      </w:pPr>
      <w:r w:rsidRPr="0013396E">
        <w:t xml:space="preserve">RTRUOAMTTOT = </w:t>
      </w:r>
      <w:r w:rsidRPr="0013396E">
        <w:rPr>
          <w:noProof/>
        </w:rPr>
        <w:drawing>
          <wp:inline distT="0" distB="0" distL="0" distR="0" wp14:anchorId="262732D8" wp14:editId="48D66082">
            <wp:extent cx="146685" cy="293370"/>
            <wp:effectExtent l="0" t="0" r="5715" b="0"/>
            <wp:docPr id="1368193077" name="Picture 13681930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7"/>
                    <pic:cNvPicPr>
                      <a:picLocks noChangeAspect="1" noChangeArrowheads="1"/>
                    </pic:cNvPicPr>
                  </pic:nvPicPr>
                  <pic:blipFill>
                    <a:blip r:embed="rId370"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13396E">
        <w:t xml:space="preserve"> (RTRUOAMT </w:t>
      </w:r>
      <w:r w:rsidRPr="0013396E">
        <w:rPr>
          <w:i/>
          <w:vertAlign w:val="subscript"/>
        </w:rPr>
        <w:t>q</w:t>
      </w:r>
      <w:r w:rsidRPr="0013396E">
        <w:t>)</w:t>
      </w:r>
    </w:p>
    <w:p w14:paraId="4CEB79DE" w14:textId="77777777" w:rsidR="00A12B52" w:rsidRPr="0013396E" w:rsidRDefault="00A12B52" w:rsidP="00A12B52">
      <w:pPr>
        <w:pStyle w:val="BodyText"/>
        <w:ind w:left="1440" w:hanging="720"/>
      </w:pPr>
      <w:r w:rsidRPr="0013396E">
        <w:t xml:space="preserve">RTRUTOAMTTOT = </w:t>
      </w:r>
      <w:r w:rsidRPr="0013396E">
        <w:rPr>
          <w:noProof/>
        </w:rPr>
        <w:drawing>
          <wp:inline distT="0" distB="0" distL="0" distR="0" wp14:anchorId="63414579" wp14:editId="5A132286">
            <wp:extent cx="146685" cy="293370"/>
            <wp:effectExtent l="0" t="0" r="5715" b="0"/>
            <wp:docPr id="1412853577" name="Picture 14128535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8"/>
                    <pic:cNvPicPr>
                      <a:picLocks noChangeAspect="1" noChangeArrowheads="1"/>
                    </pic:cNvPicPr>
                  </pic:nvPicPr>
                  <pic:blipFill>
                    <a:blip r:embed="rId370"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13396E">
        <w:t xml:space="preserve"> (RTRUTOAMT </w:t>
      </w:r>
      <w:r w:rsidRPr="0013396E">
        <w:rPr>
          <w:i/>
          <w:vertAlign w:val="subscript"/>
        </w:rPr>
        <w:t>q</w:t>
      </w:r>
      <w:r w:rsidRPr="0013396E">
        <w:t>)</w:t>
      </w:r>
    </w:p>
    <w:p w14:paraId="00AF1E95" w14:textId="77777777" w:rsidR="00A12B52" w:rsidRPr="0013396E" w:rsidRDefault="00A12B52" w:rsidP="00A12B52">
      <w:pPr>
        <w:pStyle w:val="NoSpacing"/>
      </w:pPr>
      <w:r w:rsidRPr="0013396E">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143"/>
        <w:gridCol w:w="1262"/>
        <w:gridCol w:w="5945"/>
      </w:tblGrid>
      <w:tr w:rsidR="00A12B52" w:rsidRPr="0013396E" w14:paraId="5CEED192" w14:textId="77777777" w:rsidTr="0099759E">
        <w:trPr>
          <w:cantSplit/>
          <w:tblHeader/>
        </w:trPr>
        <w:tc>
          <w:tcPr>
            <w:tcW w:w="1146" w:type="pct"/>
            <w:tcBorders>
              <w:top w:val="single" w:sz="4" w:space="0" w:color="auto"/>
              <w:left w:val="single" w:sz="4" w:space="0" w:color="auto"/>
              <w:bottom w:val="single" w:sz="4" w:space="0" w:color="auto"/>
              <w:right w:val="single" w:sz="4" w:space="0" w:color="auto"/>
            </w:tcBorders>
            <w:hideMark/>
          </w:tcPr>
          <w:p w14:paraId="5934E0F1" w14:textId="77777777" w:rsidR="00A12B52" w:rsidRPr="0013396E" w:rsidRDefault="00A12B52" w:rsidP="0099759E">
            <w:pPr>
              <w:pStyle w:val="TableHead"/>
            </w:pPr>
            <w:r w:rsidRPr="0013396E">
              <w:rPr>
                <w:b w:val="0"/>
                <w:iCs w:val="0"/>
              </w:rPr>
              <w:t>Variable</w:t>
            </w:r>
          </w:p>
        </w:tc>
        <w:tc>
          <w:tcPr>
            <w:tcW w:w="675" w:type="pct"/>
            <w:tcBorders>
              <w:top w:val="single" w:sz="4" w:space="0" w:color="auto"/>
              <w:left w:val="single" w:sz="4" w:space="0" w:color="auto"/>
              <w:bottom w:val="single" w:sz="4" w:space="0" w:color="auto"/>
              <w:right w:val="single" w:sz="4" w:space="0" w:color="auto"/>
            </w:tcBorders>
            <w:hideMark/>
          </w:tcPr>
          <w:p w14:paraId="5CA65AD6" w14:textId="77777777" w:rsidR="00A12B52" w:rsidRPr="0013396E" w:rsidRDefault="00A12B52" w:rsidP="0099759E">
            <w:pPr>
              <w:pStyle w:val="TableHead"/>
            </w:pPr>
            <w:r w:rsidRPr="0013396E">
              <w:t>Unit</w:t>
            </w:r>
          </w:p>
        </w:tc>
        <w:tc>
          <w:tcPr>
            <w:tcW w:w="3179" w:type="pct"/>
            <w:tcBorders>
              <w:top w:val="single" w:sz="4" w:space="0" w:color="auto"/>
              <w:left w:val="single" w:sz="4" w:space="0" w:color="auto"/>
              <w:bottom w:val="single" w:sz="4" w:space="0" w:color="auto"/>
              <w:right w:val="single" w:sz="4" w:space="0" w:color="auto"/>
            </w:tcBorders>
            <w:hideMark/>
          </w:tcPr>
          <w:p w14:paraId="74F7AE83" w14:textId="77777777" w:rsidR="00A12B52" w:rsidRPr="0013396E" w:rsidRDefault="00A12B52" w:rsidP="0099759E">
            <w:pPr>
              <w:pStyle w:val="TableHead"/>
            </w:pPr>
            <w:r w:rsidRPr="0013396E">
              <w:t>Description</w:t>
            </w:r>
          </w:p>
        </w:tc>
      </w:tr>
      <w:tr w:rsidR="00A12B52" w:rsidRPr="0013396E" w14:paraId="58DF54CD" w14:textId="77777777" w:rsidTr="0099759E">
        <w:trPr>
          <w:cantSplit/>
        </w:trPr>
        <w:tc>
          <w:tcPr>
            <w:tcW w:w="1146" w:type="pct"/>
            <w:tcBorders>
              <w:top w:val="single" w:sz="4" w:space="0" w:color="auto"/>
              <w:left w:val="single" w:sz="4" w:space="0" w:color="auto"/>
              <w:bottom w:val="single" w:sz="4" w:space="0" w:color="auto"/>
              <w:right w:val="single" w:sz="4" w:space="0" w:color="auto"/>
            </w:tcBorders>
            <w:hideMark/>
          </w:tcPr>
          <w:p w14:paraId="50EAC327" w14:textId="77777777" w:rsidR="00A12B52" w:rsidRPr="0013396E" w:rsidRDefault="00A12B52" w:rsidP="0099759E">
            <w:pPr>
              <w:pStyle w:val="tablebody0"/>
            </w:pPr>
            <w:r w:rsidRPr="0013396E">
              <w:t xml:space="preserve">LARTRUAMT </w:t>
            </w:r>
            <w:r w:rsidRPr="0013396E">
              <w:rPr>
                <w:i/>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594D8556" w14:textId="77777777" w:rsidR="00A12B52" w:rsidRPr="0013396E" w:rsidRDefault="00A12B52" w:rsidP="0099759E">
            <w:pPr>
              <w:pStyle w:val="tablebody0"/>
            </w:pPr>
            <w:r w:rsidRPr="0013396E">
              <w:t>$</w:t>
            </w:r>
          </w:p>
        </w:tc>
        <w:tc>
          <w:tcPr>
            <w:tcW w:w="3179" w:type="pct"/>
            <w:tcBorders>
              <w:top w:val="single" w:sz="4" w:space="0" w:color="auto"/>
              <w:left w:val="single" w:sz="4" w:space="0" w:color="auto"/>
              <w:bottom w:val="single" w:sz="4" w:space="0" w:color="auto"/>
              <w:right w:val="single" w:sz="4" w:space="0" w:color="auto"/>
            </w:tcBorders>
            <w:hideMark/>
          </w:tcPr>
          <w:p w14:paraId="0E0109BD" w14:textId="77777777" w:rsidR="00A12B52" w:rsidRPr="0013396E" w:rsidRDefault="00A12B52" w:rsidP="0099759E">
            <w:pPr>
              <w:pStyle w:val="tablebody0"/>
              <w:rPr>
                <w:i/>
              </w:rPr>
            </w:pPr>
            <w:r w:rsidRPr="0013396E">
              <w:rPr>
                <w:i/>
              </w:rPr>
              <w:t>Load-Allocated Real-Time Reg-Up Amount for the QSE</w:t>
            </w:r>
            <w:r w:rsidRPr="0013396E">
              <w:t xml:space="preserve">— The QSE </w:t>
            </w:r>
            <w:r w:rsidRPr="0013396E">
              <w:rPr>
                <w:i/>
              </w:rPr>
              <w:t>q</w:t>
            </w:r>
            <w:r w:rsidRPr="0013396E">
              <w:softHyphen/>
              <w:t>’s share of the total Real-Time Reg-Up amount for the 15-minute Settlement Interval.</w:t>
            </w:r>
          </w:p>
        </w:tc>
      </w:tr>
      <w:tr w:rsidR="00A12B52" w:rsidRPr="0013396E" w14:paraId="1AC841E0" w14:textId="77777777" w:rsidTr="0099759E">
        <w:trPr>
          <w:cantSplit/>
        </w:trPr>
        <w:tc>
          <w:tcPr>
            <w:tcW w:w="1146" w:type="pct"/>
            <w:tcBorders>
              <w:top w:val="single" w:sz="4" w:space="0" w:color="auto"/>
              <w:left w:val="single" w:sz="4" w:space="0" w:color="auto"/>
              <w:bottom w:val="single" w:sz="4" w:space="0" w:color="auto"/>
              <w:right w:val="single" w:sz="4" w:space="0" w:color="auto"/>
            </w:tcBorders>
            <w:hideMark/>
          </w:tcPr>
          <w:p w14:paraId="0AC51EB5" w14:textId="77777777" w:rsidR="00A12B52" w:rsidRPr="0013396E" w:rsidRDefault="00A12B52" w:rsidP="0099759E">
            <w:pPr>
              <w:pStyle w:val="tablebody0"/>
            </w:pPr>
            <w:r w:rsidRPr="0013396E">
              <w:t xml:space="preserve">RTRUIMBAMT </w:t>
            </w:r>
            <w:r w:rsidRPr="0013396E">
              <w:rPr>
                <w:i/>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4737BE40" w14:textId="77777777" w:rsidR="00A12B52" w:rsidRPr="0013396E" w:rsidRDefault="00A12B52" w:rsidP="0099759E">
            <w:pPr>
              <w:pStyle w:val="tablebody0"/>
            </w:pPr>
            <w:r w:rsidRPr="0013396E">
              <w:t>$</w:t>
            </w:r>
          </w:p>
        </w:tc>
        <w:tc>
          <w:tcPr>
            <w:tcW w:w="3179" w:type="pct"/>
            <w:tcBorders>
              <w:top w:val="single" w:sz="4" w:space="0" w:color="auto"/>
              <w:left w:val="single" w:sz="4" w:space="0" w:color="auto"/>
              <w:bottom w:val="single" w:sz="4" w:space="0" w:color="auto"/>
              <w:right w:val="single" w:sz="4" w:space="0" w:color="auto"/>
            </w:tcBorders>
            <w:hideMark/>
          </w:tcPr>
          <w:p w14:paraId="408A7571" w14:textId="77777777" w:rsidR="00A12B52" w:rsidRPr="0013396E" w:rsidRDefault="00A12B52" w:rsidP="0099759E">
            <w:pPr>
              <w:pStyle w:val="tablebody0"/>
              <w:rPr>
                <w:i/>
              </w:rPr>
            </w:pPr>
            <w:r w:rsidRPr="0013396E">
              <w:rPr>
                <w:i/>
              </w:rPr>
              <w:t xml:space="preserve">Real-Time Reg-Up Imbalance Amount for the QSE - </w:t>
            </w:r>
            <w:r w:rsidRPr="0013396E">
              <w:t xml:space="preserve">The total payment or charge to QSE </w:t>
            </w:r>
            <w:r w:rsidRPr="0013396E">
              <w:rPr>
                <w:i/>
              </w:rPr>
              <w:t>q</w:t>
            </w:r>
            <w:r w:rsidRPr="0013396E">
              <w:t xml:space="preserve"> for the Real-Time Reg-Up imbalance for each 15-minute Settlement Interval.</w:t>
            </w:r>
          </w:p>
        </w:tc>
      </w:tr>
      <w:tr w:rsidR="00A12B52" w:rsidRPr="0013396E" w14:paraId="5CD9595B" w14:textId="77777777" w:rsidTr="0099759E">
        <w:trPr>
          <w:cantSplit/>
        </w:trPr>
        <w:tc>
          <w:tcPr>
            <w:tcW w:w="1146" w:type="pct"/>
            <w:tcBorders>
              <w:top w:val="single" w:sz="4" w:space="0" w:color="auto"/>
              <w:left w:val="single" w:sz="4" w:space="0" w:color="auto"/>
              <w:bottom w:val="single" w:sz="4" w:space="0" w:color="auto"/>
              <w:right w:val="single" w:sz="4" w:space="0" w:color="auto"/>
            </w:tcBorders>
            <w:hideMark/>
          </w:tcPr>
          <w:p w14:paraId="0F93EF57" w14:textId="77777777" w:rsidR="00A12B52" w:rsidRPr="0013396E" w:rsidRDefault="00A12B52" w:rsidP="0099759E">
            <w:pPr>
              <w:pStyle w:val="tablebody0"/>
            </w:pPr>
            <w:r w:rsidRPr="0013396E">
              <w:t xml:space="preserve">RTRUOAMT </w:t>
            </w:r>
            <w:r w:rsidRPr="0013396E">
              <w:rPr>
                <w:i/>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3951A297" w14:textId="77777777" w:rsidR="00A12B52" w:rsidRPr="0013396E" w:rsidRDefault="00A12B52" w:rsidP="0099759E">
            <w:pPr>
              <w:pStyle w:val="tablebody0"/>
            </w:pPr>
            <w:r w:rsidRPr="0013396E">
              <w:t>$</w:t>
            </w:r>
          </w:p>
        </w:tc>
        <w:tc>
          <w:tcPr>
            <w:tcW w:w="3179" w:type="pct"/>
            <w:tcBorders>
              <w:top w:val="single" w:sz="4" w:space="0" w:color="auto"/>
              <w:left w:val="single" w:sz="4" w:space="0" w:color="auto"/>
              <w:bottom w:val="single" w:sz="4" w:space="0" w:color="auto"/>
              <w:right w:val="single" w:sz="4" w:space="0" w:color="auto"/>
            </w:tcBorders>
            <w:hideMark/>
          </w:tcPr>
          <w:p w14:paraId="0BD7475C" w14:textId="77777777" w:rsidR="00A12B52" w:rsidRPr="0013396E" w:rsidRDefault="00A12B52" w:rsidP="0099759E">
            <w:pPr>
              <w:pStyle w:val="tablebody0"/>
              <w:rPr>
                <w:i/>
              </w:rPr>
            </w:pPr>
            <w:r w:rsidRPr="0013396E">
              <w:rPr>
                <w:i/>
              </w:rPr>
              <w:t>Real-Time Reg-Up Only Amount for the QSE</w:t>
            </w:r>
            <w:r w:rsidRPr="0013396E">
              <w:t xml:space="preserve">— The total charge to QSE </w:t>
            </w:r>
            <w:r w:rsidRPr="0013396E">
              <w:rPr>
                <w:i/>
              </w:rPr>
              <w:t>q</w:t>
            </w:r>
            <w:r w:rsidRPr="0013396E">
              <w:t xml:space="preserve"> in Real-Time for Reg-Up only awards for each 15-minute Settlement Interval.</w:t>
            </w:r>
          </w:p>
        </w:tc>
      </w:tr>
      <w:tr w:rsidR="00A12B52" w:rsidRPr="0013396E" w14:paraId="61C99072" w14:textId="77777777" w:rsidTr="0099759E">
        <w:trPr>
          <w:cantSplit/>
        </w:trPr>
        <w:tc>
          <w:tcPr>
            <w:tcW w:w="1146" w:type="pct"/>
            <w:tcBorders>
              <w:top w:val="single" w:sz="4" w:space="0" w:color="auto"/>
              <w:left w:val="single" w:sz="4" w:space="0" w:color="auto"/>
              <w:bottom w:val="single" w:sz="4" w:space="0" w:color="auto"/>
              <w:right w:val="single" w:sz="4" w:space="0" w:color="auto"/>
            </w:tcBorders>
            <w:hideMark/>
          </w:tcPr>
          <w:p w14:paraId="1945D619" w14:textId="77777777" w:rsidR="00A12B52" w:rsidRPr="0013396E" w:rsidRDefault="00A12B52" w:rsidP="0099759E">
            <w:pPr>
              <w:pStyle w:val="tablebody0"/>
            </w:pPr>
            <w:r w:rsidRPr="0013396E">
              <w:t>RTRUIMBAMTTOT</w:t>
            </w:r>
          </w:p>
        </w:tc>
        <w:tc>
          <w:tcPr>
            <w:tcW w:w="675" w:type="pct"/>
            <w:tcBorders>
              <w:top w:val="single" w:sz="4" w:space="0" w:color="auto"/>
              <w:left w:val="single" w:sz="4" w:space="0" w:color="auto"/>
              <w:bottom w:val="single" w:sz="4" w:space="0" w:color="auto"/>
              <w:right w:val="single" w:sz="4" w:space="0" w:color="auto"/>
            </w:tcBorders>
            <w:hideMark/>
          </w:tcPr>
          <w:p w14:paraId="27332EFC" w14:textId="77777777" w:rsidR="00A12B52" w:rsidRPr="0013396E" w:rsidRDefault="00A12B52" w:rsidP="0099759E">
            <w:pPr>
              <w:pStyle w:val="tablebody0"/>
            </w:pPr>
            <w:r w:rsidRPr="0013396E">
              <w:t>$</w:t>
            </w:r>
          </w:p>
        </w:tc>
        <w:tc>
          <w:tcPr>
            <w:tcW w:w="3179" w:type="pct"/>
            <w:tcBorders>
              <w:top w:val="single" w:sz="4" w:space="0" w:color="auto"/>
              <w:left w:val="single" w:sz="4" w:space="0" w:color="auto"/>
              <w:bottom w:val="single" w:sz="4" w:space="0" w:color="auto"/>
              <w:right w:val="single" w:sz="4" w:space="0" w:color="auto"/>
            </w:tcBorders>
            <w:hideMark/>
          </w:tcPr>
          <w:p w14:paraId="719E5256" w14:textId="77777777" w:rsidR="00A12B52" w:rsidRPr="0013396E" w:rsidRDefault="00A12B52" w:rsidP="0099759E">
            <w:pPr>
              <w:pStyle w:val="tablebody0"/>
              <w:rPr>
                <w:i/>
              </w:rPr>
            </w:pPr>
            <w:r w:rsidRPr="0013396E">
              <w:rPr>
                <w:i/>
              </w:rPr>
              <w:t xml:space="preserve">Real-Time Reg-Up Imbalance Market Total Amount - </w:t>
            </w:r>
            <w:r w:rsidRPr="0013396E">
              <w:t>The total payment or charge to all QSEs for the Real-Time Reg-Up imbalance for each 15-minute Settlement Interval.</w:t>
            </w:r>
          </w:p>
        </w:tc>
      </w:tr>
      <w:tr w:rsidR="00A12B52" w:rsidRPr="0013396E" w14:paraId="2CDE330B" w14:textId="77777777" w:rsidTr="0099759E">
        <w:trPr>
          <w:cantSplit/>
        </w:trPr>
        <w:tc>
          <w:tcPr>
            <w:tcW w:w="1146" w:type="pct"/>
            <w:tcBorders>
              <w:top w:val="single" w:sz="4" w:space="0" w:color="auto"/>
              <w:left w:val="single" w:sz="4" w:space="0" w:color="auto"/>
              <w:bottom w:val="single" w:sz="4" w:space="0" w:color="auto"/>
              <w:right w:val="single" w:sz="4" w:space="0" w:color="auto"/>
            </w:tcBorders>
            <w:hideMark/>
          </w:tcPr>
          <w:p w14:paraId="0CB75223" w14:textId="77777777" w:rsidR="00A12B52" w:rsidRPr="0013396E" w:rsidRDefault="00A12B52" w:rsidP="0099759E">
            <w:pPr>
              <w:pStyle w:val="tablebody0"/>
            </w:pPr>
            <w:r w:rsidRPr="0013396E">
              <w:t>RTRUOAMTTOT</w:t>
            </w:r>
          </w:p>
        </w:tc>
        <w:tc>
          <w:tcPr>
            <w:tcW w:w="675" w:type="pct"/>
            <w:tcBorders>
              <w:top w:val="single" w:sz="4" w:space="0" w:color="auto"/>
              <w:left w:val="single" w:sz="4" w:space="0" w:color="auto"/>
              <w:bottom w:val="single" w:sz="4" w:space="0" w:color="auto"/>
              <w:right w:val="single" w:sz="4" w:space="0" w:color="auto"/>
            </w:tcBorders>
            <w:hideMark/>
          </w:tcPr>
          <w:p w14:paraId="6FD6D1B1" w14:textId="77777777" w:rsidR="00A12B52" w:rsidRPr="0013396E" w:rsidRDefault="00A12B52" w:rsidP="0099759E">
            <w:pPr>
              <w:pStyle w:val="tablebody0"/>
            </w:pPr>
            <w:r w:rsidRPr="0013396E">
              <w:t>$</w:t>
            </w:r>
          </w:p>
        </w:tc>
        <w:tc>
          <w:tcPr>
            <w:tcW w:w="3179" w:type="pct"/>
            <w:tcBorders>
              <w:top w:val="single" w:sz="4" w:space="0" w:color="auto"/>
              <w:left w:val="single" w:sz="4" w:space="0" w:color="auto"/>
              <w:bottom w:val="single" w:sz="4" w:space="0" w:color="auto"/>
              <w:right w:val="single" w:sz="4" w:space="0" w:color="auto"/>
            </w:tcBorders>
            <w:hideMark/>
          </w:tcPr>
          <w:p w14:paraId="1F37705C" w14:textId="77777777" w:rsidR="00A12B52" w:rsidRPr="0013396E" w:rsidRDefault="00A12B52" w:rsidP="0099759E">
            <w:pPr>
              <w:pStyle w:val="tablebody0"/>
              <w:rPr>
                <w:i/>
              </w:rPr>
            </w:pPr>
            <w:r w:rsidRPr="0013396E">
              <w:rPr>
                <w:i/>
              </w:rPr>
              <w:t xml:space="preserve">Real-Time Reg-Up Only Market Total Amount - </w:t>
            </w:r>
            <w:r w:rsidRPr="0013396E">
              <w:t>The total charge to all QSEs in Real-Time for Reg-Up only awards for each 15-minute Settlement Interval.</w:t>
            </w:r>
          </w:p>
        </w:tc>
      </w:tr>
      <w:tr w:rsidR="00A12B52" w:rsidRPr="0013396E" w14:paraId="650C7CBA" w14:textId="77777777" w:rsidTr="0099759E">
        <w:trPr>
          <w:cantSplit/>
        </w:trPr>
        <w:tc>
          <w:tcPr>
            <w:tcW w:w="1146" w:type="pct"/>
            <w:tcBorders>
              <w:top w:val="single" w:sz="4" w:space="0" w:color="auto"/>
              <w:left w:val="single" w:sz="4" w:space="0" w:color="auto"/>
              <w:bottom w:val="single" w:sz="4" w:space="0" w:color="auto"/>
              <w:right w:val="single" w:sz="4" w:space="0" w:color="auto"/>
            </w:tcBorders>
            <w:hideMark/>
          </w:tcPr>
          <w:p w14:paraId="6358FA9F" w14:textId="77777777" w:rsidR="00A12B52" w:rsidRPr="0013396E" w:rsidRDefault="00A12B52" w:rsidP="0099759E">
            <w:pPr>
              <w:pStyle w:val="tablebody0"/>
            </w:pPr>
            <w:r w:rsidRPr="0013396E">
              <w:t xml:space="preserve">RTRUTOAMT </w:t>
            </w:r>
            <w:r w:rsidRPr="0013396E">
              <w:rPr>
                <w:i/>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6793867E" w14:textId="77777777" w:rsidR="00A12B52" w:rsidRPr="0013396E" w:rsidRDefault="00A12B52" w:rsidP="0099759E">
            <w:pPr>
              <w:pStyle w:val="tablebody0"/>
            </w:pPr>
            <w:r w:rsidRPr="0013396E">
              <w:t>$</w:t>
            </w:r>
          </w:p>
        </w:tc>
        <w:tc>
          <w:tcPr>
            <w:tcW w:w="3179" w:type="pct"/>
            <w:tcBorders>
              <w:top w:val="single" w:sz="4" w:space="0" w:color="auto"/>
              <w:left w:val="single" w:sz="4" w:space="0" w:color="auto"/>
              <w:bottom w:val="single" w:sz="4" w:space="0" w:color="auto"/>
              <w:right w:val="single" w:sz="4" w:space="0" w:color="auto"/>
            </w:tcBorders>
            <w:hideMark/>
          </w:tcPr>
          <w:p w14:paraId="219B7CB9" w14:textId="77777777" w:rsidR="00A12B52" w:rsidRPr="0013396E" w:rsidRDefault="00A12B52" w:rsidP="0099759E">
            <w:pPr>
              <w:pStyle w:val="tablebody0"/>
              <w:rPr>
                <w:i/>
              </w:rPr>
            </w:pPr>
            <w:r w:rsidRPr="0013396E">
              <w:rPr>
                <w:i/>
              </w:rPr>
              <w:t>Real-Time Reg-Up Trade Overage Amount for the QSE</w:t>
            </w:r>
            <w:r w:rsidRPr="0013396E">
              <w:t xml:space="preserve">— The total charge to QSE </w:t>
            </w:r>
            <w:r w:rsidRPr="0013396E">
              <w:rPr>
                <w:i/>
              </w:rPr>
              <w:t>q</w:t>
            </w:r>
            <w:r w:rsidRPr="0013396E">
              <w:t xml:space="preserve"> in Real-Time for Reg-Up trade overages for each 15-minute Settlement Interval.</w:t>
            </w:r>
          </w:p>
        </w:tc>
      </w:tr>
      <w:tr w:rsidR="00A12B52" w:rsidRPr="0013396E" w14:paraId="5F5EAC7E" w14:textId="77777777" w:rsidTr="0099759E">
        <w:trPr>
          <w:cantSplit/>
        </w:trPr>
        <w:tc>
          <w:tcPr>
            <w:tcW w:w="1146" w:type="pct"/>
            <w:tcBorders>
              <w:top w:val="single" w:sz="4" w:space="0" w:color="auto"/>
              <w:left w:val="single" w:sz="4" w:space="0" w:color="auto"/>
              <w:bottom w:val="single" w:sz="4" w:space="0" w:color="auto"/>
              <w:right w:val="single" w:sz="4" w:space="0" w:color="auto"/>
            </w:tcBorders>
            <w:hideMark/>
          </w:tcPr>
          <w:p w14:paraId="2B19DC44" w14:textId="77777777" w:rsidR="00A12B52" w:rsidRPr="0013396E" w:rsidRDefault="00A12B52" w:rsidP="0099759E">
            <w:pPr>
              <w:pStyle w:val="tablebody0"/>
            </w:pPr>
            <w:r w:rsidRPr="0013396E">
              <w:t>RTRUTOAMTTOT</w:t>
            </w:r>
          </w:p>
        </w:tc>
        <w:tc>
          <w:tcPr>
            <w:tcW w:w="675" w:type="pct"/>
            <w:tcBorders>
              <w:top w:val="single" w:sz="4" w:space="0" w:color="auto"/>
              <w:left w:val="single" w:sz="4" w:space="0" w:color="auto"/>
              <w:bottom w:val="single" w:sz="4" w:space="0" w:color="auto"/>
              <w:right w:val="single" w:sz="4" w:space="0" w:color="auto"/>
            </w:tcBorders>
            <w:hideMark/>
          </w:tcPr>
          <w:p w14:paraId="1A23D760" w14:textId="77777777" w:rsidR="00A12B52" w:rsidRPr="0013396E" w:rsidRDefault="00A12B52" w:rsidP="0099759E">
            <w:pPr>
              <w:pStyle w:val="tablebody0"/>
            </w:pPr>
            <w:r w:rsidRPr="0013396E">
              <w:t>$</w:t>
            </w:r>
          </w:p>
        </w:tc>
        <w:tc>
          <w:tcPr>
            <w:tcW w:w="3179" w:type="pct"/>
            <w:tcBorders>
              <w:top w:val="single" w:sz="4" w:space="0" w:color="auto"/>
              <w:left w:val="single" w:sz="4" w:space="0" w:color="auto"/>
              <w:bottom w:val="single" w:sz="4" w:space="0" w:color="auto"/>
              <w:right w:val="single" w:sz="4" w:space="0" w:color="auto"/>
            </w:tcBorders>
            <w:hideMark/>
          </w:tcPr>
          <w:p w14:paraId="6C0A39F7" w14:textId="77777777" w:rsidR="00A12B52" w:rsidRPr="0013396E" w:rsidRDefault="00A12B52" w:rsidP="0099759E">
            <w:pPr>
              <w:pStyle w:val="tablebody0"/>
              <w:rPr>
                <w:i/>
              </w:rPr>
            </w:pPr>
            <w:r w:rsidRPr="0013396E">
              <w:rPr>
                <w:i/>
              </w:rPr>
              <w:t xml:space="preserve">Real-Time Reg-Up Trade Overage Total Amount </w:t>
            </w:r>
            <w:r w:rsidRPr="0013396E">
              <w:t>— The total charge to all QSEs for Real-Time Reg-Up trade overages for each 15-minute Settlement Interval.</w:t>
            </w:r>
          </w:p>
        </w:tc>
      </w:tr>
      <w:tr w:rsidR="00A12B52" w:rsidRPr="0013396E" w14:paraId="4D721BC5" w14:textId="77777777" w:rsidTr="0099759E">
        <w:trPr>
          <w:cantSplit/>
        </w:trPr>
        <w:tc>
          <w:tcPr>
            <w:tcW w:w="1146" w:type="pct"/>
            <w:tcBorders>
              <w:top w:val="single" w:sz="4" w:space="0" w:color="auto"/>
              <w:left w:val="single" w:sz="4" w:space="0" w:color="auto"/>
              <w:bottom w:val="single" w:sz="4" w:space="0" w:color="auto"/>
              <w:right w:val="single" w:sz="4" w:space="0" w:color="auto"/>
            </w:tcBorders>
            <w:hideMark/>
          </w:tcPr>
          <w:p w14:paraId="4E0C500A" w14:textId="77777777" w:rsidR="00A12B52" w:rsidRPr="0013396E" w:rsidRDefault="00A12B52" w:rsidP="0099759E">
            <w:pPr>
              <w:pStyle w:val="tablebody0"/>
            </w:pPr>
            <w:r w:rsidRPr="0013396E">
              <w:t>LRS</w:t>
            </w:r>
            <w:r w:rsidRPr="0013396E">
              <w:rPr>
                <w:vertAlign w:val="subscript"/>
              </w:rPr>
              <w:t xml:space="preserve"> </w:t>
            </w:r>
            <w:r w:rsidRPr="0013396E">
              <w:rPr>
                <w:i/>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4967698C" w14:textId="77777777" w:rsidR="00A12B52" w:rsidRPr="0013396E" w:rsidRDefault="00A12B52" w:rsidP="0099759E">
            <w:pPr>
              <w:pStyle w:val="tablebody0"/>
            </w:pPr>
            <w:r w:rsidRPr="0013396E">
              <w:t>none</w:t>
            </w:r>
          </w:p>
        </w:tc>
        <w:tc>
          <w:tcPr>
            <w:tcW w:w="3179" w:type="pct"/>
            <w:tcBorders>
              <w:top w:val="single" w:sz="4" w:space="0" w:color="auto"/>
              <w:left w:val="single" w:sz="4" w:space="0" w:color="auto"/>
              <w:bottom w:val="single" w:sz="4" w:space="0" w:color="auto"/>
              <w:right w:val="single" w:sz="4" w:space="0" w:color="auto"/>
            </w:tcBorders>
            <w:hideMark/>
          </w:tcPr>
          <w:p w14:paraId="1F48F880" w14:textId="77777777" w:rsidR="00A12B52" w:rsidRPr="0013396E" w:rsidRDefault="00A12B52" w:rsidP="0099759E">
            <w:pPr>
              <w:pStyle w:val="tablebody0"/>
              <w:rPr>
                <w:i/>
              </w:rPr>
            </w:pPr>
            <w:r w:rsidRPr="0013396E">
              <w:rPr>
                <w:i/>
              </w:rPr>
              <w:t>Load Ratio Share per QSE</w:t>
            </w:r>
            <w:r w:rsidRPr="0013396E">
              <w:t xml:space="preserve">—The LRS as defined in Section 6.6.2.2, QSE Load Ratio Share for a 15-Minute Settlement Interval, for QSE </w:t>
            </w:r>
            <w:r w:rsidRPr="0013396E">
              <w:rPr>
                <w:i/>
              </w:rPr>
              <w:t>q</w:t>
            </w:r>
            <w:r w:rsidRPr="0013396E">
              <w:t xml:space="preserve"> for the 15-minute Settlement Interval.</w:t>
            </w:r>
          </w:p>
        </w:tc>
      </w:tr>
      <w:tr w:rsidR="00A12B52" w:rsidRPr="0013396E" w14:paraId="0F90654B" w14:textId="77777777" w:rsidTr="0099759E">
        <w:trPr>
          <w:cantSplit/>
        </w:trPr>
        <w:tc>
          <w:tcPr>
            <w:tcW w:w="1146" w:type="pct"/>
            <w:tcBorders>
              <w:top w:val="single" w:sz="4" w:space="0" w:color="auto"/>
              <w:left w:val="single" w:sz="4" w:space="0" w:color="auto"/>
              <w:bottom w:val="single" w:sz="4" w:space="0" w:color="auto"/>
              <w:right w:val="single" w:sz="4" w:space="0" w:color="auto"/>
            </w:tcBorders>
            <w:hideMark/>
          </w:tcPr>
          <w:p w14:paraId="2DA0232B" w14:textId="77777777" w:rsidR="00A12B52" w:rsidRPr="0013396E" w:rsidRDefault="00A12B52" w:rsidP="0099759E">
            <w:pPr>
              <w:pStyle w:val="tablebody0"/>
            </w:pPr>
            <w:r w:rsidRPr="0013396E">
              <w:rPr>
                <w:i/>
              </w:rPr>
              <w:t>q</w:t>
            </w:r>
          </w:p>
        </w:tc>
        <w:tc>
          <w:tcPr>
            <w:tcW w:w="675" w:type="pct"/>
            <w:tcBorders>
              <w:top w:val="single" w:sz="4" w:space="0" w:color="auto"/>
              <w:left w:val="single" w:sz="4" w:space="0" w:color="auto"/>
              <w:bottom w:val="single" w:sz="4" w:space="0" w:color="auto"/>
              <w:right w:val="single" w:sz="4" w:space="0" w:color="auto"/>
            </w:tcBorders>
            <w:hideMark/>
          </w:tcPr>
          <w:p w14:paraId="7371F0D9" w14:textId="77777777" w:rsidR="00A12B52" w:rsidRPr="0013396E" w:rsidRDefault="00A12B52" w:rsidP="0099759E">
            <w:pPr>
              <w:pStyle w:val="tablebody0"/>
            </w:pPr>
            <w:r w:rsidRPr="0013396E">
              <w:t>none</w:t>
            </w:r>
          </w:p>
        </w:tc>
        <w:tc>
          <w:tcPr>
            <w:tcW w:w="3179" w:type="pct"/>
            <w:tcBorders>
              <w:top w:val="single" w:sz="4" w:space="0" w:color="auto"/>
              <w:left w:val="single" w:sz="4" w:space="0" w:color="auto"/>
              <w:bottom w:val="single" w:sz="4" w:space="0" w:color="auto"/>
              <w:right w:val="single" w:sz="4" w:space="0" w:color="auto"/>
            </w:tcBorders>
            <w:hideMark/>
          </w:tcPr>
          <w:p w14:paraId="7531B8ED" w14:textId="77777777" w:rsidR="00A12B52" w:rsidRPr="0013396E" w:rsidRDefault="00A12B52" w:rsidP="0099759E">
            <w:pPr>
              <w:pStyle w:val="tablebody0"/>
              <w:rPr>
                <w:i/>
              </w:rPr>
            </w:pPr>
            <w:r w:rsidRPr="0013396E">
              <w:t>A QSE.</w:t>
            </w:r>
          </w:p>
        </w:tc>
      </w:tr>
    </w:tbl>
    <w:p w14:paraId="318AB834" w14:textId="77777777" w:rsidR="00A12B52" w:rsidRPr="0013396E" w:rsidRDefault="00A12B52" w:rsidP="00A12B52">
      <w:pPr>
        <w:pStyle w:val="BodyText"/>
        <w:spacing w:before="240"/>
        <w:ind w:left="1440" w:hanging="720"/>
      </w:pPr>
      <w:r w:rsidRPr="0013396E">
        <w:t>(b)         For Reg-Down:</w:t>
      </w:r>
    </w:p>
    <w:p w14:paraId="31C96115" w14:textId="77777777" w:rsidR="00A12B52" w:rsidRPr="0013396E" w:rsidRDefault="00A12B52" w:rsidP="00A12B52">
      <w:pPr>
        <w:ind w:left="1440" w:hanging="720"/>
      </w:pPr>
      <w:r w:rsidRPr="0013396E">
        <w:t xml:space="preserve">LARTRDAMT </w:t>
      </w:r>
      <w:r w:rsidRPr="0013396E">
        <w:rPr>
          <w:i/>
          <w:vertAlign w:val="subscript"/>
        </w:rPr>
        <w:t>q</w:t>
      </w:r>
      <w:r w:rsidRPr="0013396E">
        <w:t xml:space="preserve"> =</w:t>
      </w:r>
      <w:r w:rsidRPr="0013396E">
        <w:tab/>
        <w:t>(-1)</w:t>
      </w:r>
      <w:r w:rsidRPr="0013396E">
        <w:rPr>
          <w:b/>
        </w:rPr>
        <w:t xml:space="preserve"> * (</w:t>
      </w:r>
      <w:r w:rsidRPr="0013396E">
        <w:t xml:space="preserve">RTRDIMBAMTTOT + RTRDOAMTTOT + </w:t>
      </w:r>
    </w:p>
    <w:p w14:paraId="159E3354" w14:textId="77777777" w:rsidR="00A12B52" w:rsidRPr="0013396E" w:rsidRDefault="00A12B52" w:rsidP="00A12B52">
      <w:pPr>
        <w:spacing w:after="240"/>
        <w:ind w:left="2160" w:firstLine="720"/>
        <w:rPr>
          <w:i/>
          <w:vertAlign w:val="subscript"/>
        </w:rPr>
      </w:pPr>
      <w:r w:rsidRPr="0013396E">
        <w:t xml:space="preserve">RTRDTOAMTTOT) * LRS </w:t>
      </w:r>
      <w:r w:rsidRPr="0013396E">
        <w:rPr>
          <w:i/>
          <w:vertAlign w:val="subscript"/>
        </w:rPr>
        <w:t>q</w:t>
      </w:r>
    </w:p>
    <w:p w14:paraId="7123E90A" w14:textId="77777777" w:rsidR="00A12B52" w:rsidRPr="0013396E" w:rsidRDefault="00A12B52" w:rsidP="00A12B52">
      <w:pPr>
        <w:spacing w:after="240"/>
        <w:ind w:left="1440" w:hanging="720"/>
      </w:pPr>
      <w:r w:rsidRPr="0013396E">
        <w:t>Where:</w:t>
      </w:r>
    </w:p>
    <w:p w14:paraId="09B0286F" w14:textId="77777777" w:rsidR="00A12B52" w:rsidRPr="0013396E" w:rsidRDefault="00A12B52" w:rsidP="00A12B52">
      <w:pPr>
        <w:pStyle w:val="BodyText"/>
        <w:ind w:left="1440" w:hanging="720"/>
      </w:pPr>
      <w:r w:rsidRPr="0013396E">
        <w:t xml:space="preserve">RTRDIMBAMTTOT = </w:t>
      </w:r>
      <w:r w:rsidRPr="0013396E">
        <w:rPr>
          <w:noProof/>
          <w:position w:val="-22"/>
        </w:rPr>
        <w:drawing>
          <wp:inline distT="0" distB="0" distL="0" distR="0" wp14:anchorId="2B205A47" wp14:editId="13342957">
            <wp:extent cx="146685" cy="293370"/>
            <wp:effectExtent l="0" t="0" r="5715" b="0"/>
            <wp:docPr id="449698907" name="Picture 4496989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9"/>
                    <pic:cNvPicPr>
                      <a:picLocks noChangeAspect="1" noChangeArrowheads="1"/>
                    </pic:cNvPicPr>
                  </pic:nvPicPr>
                  <pic:blipFill>
                    <a:blip r:embed="rId370"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13396E">
        <w:rPr>
          <w:b/>
        </w:rPr>
        <w:t xml:space="preserve"> </w:t>
      </w:r>
      <w:r w:rsidRPr="0013396E">
        <w:t xml:space="preserve">(RTRDIMBAMT </w:t>
      </w:r>
      <w:r w:rsidRPr="0013396E">
        <w:rPr>
          <w:i/>
          <w:vertAlign w:val="subscript"/>
        </w:rPr>
        <w:t>q</w:t>
      </w:r>
      <w:r w:rsidRPr="0013396E">
        <w:t>)</w:t>
      </w:r>
    </w:p>
    <w:p w14:paraId="460BF148" w14:textId="77777777" w:rsidR="00A12B52" w:rsidRPr="0013396E" w:rsidRDefault="00A12B52" w:rsidP="00A12B52">
      <w:pPr>
        <w:spacing w:after="240"/>
        <w:ind w:left="1440" w:hanging="720"/>
      </w:pPr>
      <w:r w:rsidRPr="0013396E">
        <w:t xml:space="preserve">RTRDOAMTTOT = </w:t>
      </w:r>
      <w:r w:rsidRPr="0013396E">
        <w:rPr>
          <w:noProof/>
          <w:position w:val="-22"/>
        </w:rPr>
        <w:drawing>
          <wp:inline distT="0" distB="0" distL="0" distR="0" wp14:anchorId="5322B663" wp14:editId="75BBCE40">
            <wp:extent cx="146685" cy="293370"/>
            <wp:effectExtent l="0" t="0" r="5715" b="0"/>
            <wp:docPr id="896662652" name="Picture 896662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0"/>
                    <pic:cNvPicPr>
                      <a:picLocks noChangeAspect="1" noChangeArrowheads="1"/>
                    </pic:cNvPicPr>
                  </pic:nvPicPr>
                  <pic:blipFill>
                    <a:blip r:embed="rId370"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13396E">
        <w:rPr>
          <w:b/>
        </w:rPr>
        <w:t xml:space="preserve"> </w:t>
      </w:r>
      <w:r w:rsidRPr="0013396E">
        <w:t xml:space="preserve">(RTRDOAMT </w:t>
      </w:r>
      <w:r w:rsidRPr="0013396E">
        <w:rPr>
          <w:i/>
          <w:vertAlign w:val="subscript"/>
        </w:rPr>
        <w:t>q</w:t>
      </w:r>
      <w:r w:rsidRPr="0013396E">
        <w:t>)</w:t>
      </w:r>
    </w:p>
    <w:p w14:paraId="53343185" w14:textId="77777777" w:rsidR="00A12B52" w:rsidRPr="0013396E" w:rsidRDefault="00A12B52" w:rsidP="00A12B52">
      <w:pPr>
        <w:spacing w:after="240"/>
        <w:ind w:left="1440" w:hanging="720"/>
      </w:pPr>
      <w:r w:rsidRPr="0013396E">
        <w:lastRenderedPageBreak/>
        <w:t xml:space="preserve">RTRDTOAMTTOT = </w:t>
      </w:r>
      <w:r w:rsidRPr="0013396E">
        <w:rPr>
          <w:noProof/>
          <w:position w:val="-22"/>
        </w:rPr>
        <w:drawing>
          <wp:inline distT="0" distB="0" distL="0" distR="0" wp14:anchorId="40E468BB" wp14:editId="1592B4F7">
            <wp:extent cx="146685" cy="293370"/>
            <wp:effectExtent l="0" t="0" r="5715" b="0"/>
            <wp:docPr id="1909073269" name="Picture 1909073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1"/>
                    <pic:cNvPicPr>
                      <a:picLocks noChangeAspect="1" noChangeArrowheads="1"/>
                    </pic:cNvPicPr>
                  </pic:nvPicPr>
                  <pic:blipFill>
                    <a:blip r:embed="rId370"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13396E">
        <w:rPr>
          <w:b/>
        </w:rPr>
        <w:t xml:space="preserve"> </w:t>
      </w:r>
      <w:r w:rsidRPr="0013396E">
        <w:t xml:space="preserve">(RTRDTOAMT </w:t>
      </w:r>
      <w:r w:rsidRPr="0013396E">
        <w:rPr>
          <w:i/>
          <w:vertAlign w:val="subscript"/>
        </w:rPr>
        <w:t>q</w:t>
      </w:r>
      <w:r w:rsidRPr="0013396E">
        <w:t>)</w:t>
      </w:r>
    </w:p>
    <w:p w14:paraId="145C9768" w14:textId="77777777" w:rsidR="00A12B52" w:rsidRPr="0013396E" w:rsidRDefault="00A12B52" w:rsidP="00A12B52">
      <w:pPr>
        <w:pStyle w:val="NoSpacing"/>
      </w:pPr>
      <w:r w:rsidRPr="0013396E">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143"/>
        <w:gridCol w:w="1262"/>
        <w:gridCol w:w="5945"/>
      </w:tblGrid>
      <w:tr w:rsidR="00A12B52" w:rsidRPr="0013396E" w14:paraId="3FC6696D" w14:textId="77777777" w:rsidTr="0099759E">
        <w:trPr>
          <w:cantSplit/>
          <w:tblHeader/>
        </w:trPr>
        <w:tc>
          <w:tcPr>
            <w:tcW w:w="1146" w:type="pct"/>
            <w:tcBorders>
              <w:top w:val="single" w:sz="4" w:space="0" w:color="auto"/>
              <w:left w:val="single" w:sz="4" w:space="0" w:color="auto"/>
              <w:bottom w:val="single" w:sz="4" w:space="0" w:color="auto"/>
              <w:right w:val="single" w:sz="4" w:space="0" w:color="auto"/>
            </w:tcBorders>
            <w:hideMark/>
          </w:tcPr>
          <w:p w14:paraId="3F292D53" w14:textId="77777777" w:rsidR="00A12B52" w:rsidRPr="0013396E" w:rsidRDefault="00A12B52" w:rsidP="0099759E">
            <w:pPr>
              <w:pStyle w:val="TableHead"/>
            </w:pPr>
            <w:r w:rsidRPr="0013396E">
              <w:rPr>
                <w:b w:val="0"/>
                <w:iCs w:val="0"/>
              </w:rPr>
              <w:t>Variable</w:t>
            </w:r>
          </w:p>
        </w:tc>
        <w:tc>
          <w:tcPr>
            <w:tcW w:w="675" w:type="pct"/>
            <w:tcBorders>
              <w:top w:val="single" w:sz="4" w:space="0" w:color="auto"/>
              <w:left w:val="single" w:sz="4" w:space="0" w:color="auto"/>
              <w:bottom w:val="single" w:sz="4" w:space="0" w:color="auto"/>
              <w:right w:val="single" w:sz="4" w:space="0" w:color="auto"/>
            </w:tcBorders>
            <w:hideMark/>
          </w:tcPr>
          <w:p w14:paraId="29BC9A00" w14:textId="77777777" w:rsidR="00A12B52" w:rsidRPr="0013396E" w:rsidRDefault="00A12B52" w:rsidP="0099759E">
            <w:pPr>
              <w:pStyle w:val="TableHead"/>
            </w:pPr>
            <w:r w:rsidRPr="0013396E">
              <w:t>Unit</w:t>
            </w:r>
          </w:p>
        </w:tc>
        <w:tc>
          <w:tcPr>
            <w:tcW w:w="3179" w:type="pct"/>
            <w:tcBorders>
              <w:top w:val="single" w:sz="4" w:space="0" w:color="auto"/>
              <w:left w:val="single" w:sz="4" w:space="0" w:color="auto"/>
              <w:bottom w:val="single" w:sz="4" w:space="0" w:color="auto"/>
              <w:right w:val="single" w:sz="4" w:space="0" w:color="auto"/>
            </w:tcBorders>
            <w:hideMark/>
          </w:tcPr>
          <w:p w14:paraId="436CCB77" w14:textId="77777777" w:rsidR="00A12B52" w:rsidRPr="0013396E" w:rsidRDefault="00A12B52" w:rsidP="0099759E">
            <w:pPr>
              <w:pStyle w:val="TableHead"/>
            </w:pPr>
            <w:r w:rsidRPr="0013396E">
              <w:t>Description</w:t>
            </w:r>
          </w:p>
        </w:tc>
      </w:tr>
      <w:tr w:rsidR="00A12B52" w:rsidRPr="0013396E" w14:paraId="67E94083" w14:textId="77777777" w:rsidTr="0099759E">
        <w:trPr>
          <w:cantSplit/>
        </w:trPr>
        <w:tc>
          <w:tcPr>
            <w:tcW w:w="1146" w:type="pct"/>
            <w:tcBorders>
              <w:top w:val="single" w:sz="4" w:space="0" w:color="auto"/>
              <w:left w:val="single" w:sz="4" w:space="0" w:color="auto"/>
              <w:bottom w:val="single" w:sz="4" w:space="0" w:color="auto"/>
              <w:right w:val="single" w:sz="4" w:space="0" w:color="auto"/>
            </w:tcBorders>
            <w:hideMark/>
          </w:tcPr>
          <w:p w14:paraId="39C7423B" w14:textId="77777777" w:rsidR="00A12B52" w:rsidRPr="0013396E" w:rsidRDefault="00A12B52" w:rsidP="0099759E">
            <w:pPr>
              <w:pStyle w:val="tablebody0"/>
            </w:pPr>
            <w:r w:rsidRPr="0013396E">
              <w:t xml:space="preserve">LARTRDAMT </w:t>
            </w:r>
            <w:r w:rsidRPr="0013396E">
              <w:rPr>
                <w:i/>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2C449DC9" w14:textId="77777777" w:rsidR="00A12B52" w:rsidRPr="0013396E" w:rsidRDefault="00A12B52" w:rsidP="0099759E">
            <w:pPr>
              <w:pStyle w:val="tablebody0"/>
            </w:pPr>
            <w:r w:rsidRPr="0013396E">
              <w:t>$</w:t>
            </w:r>
          </w:p>
        </w:tc>
        <w:tc>
          <w:tcPr>
            <w:tcW w:w="3179" w:type="pct"/>
            <w:tcBorders>
              <w:top w:val="single" w:sz="4" w:space="0" w:color="auto"/>
              <w:left w:val="single" w:sz="4" w:space="0" w:color="auto"/>
              <w:bottom w:val="single" w:sz="4" w:space="0" w:color="auto"/>
              <w:right w:val="single" w:sz="4" w:space="0" w:color="auto"/>
            </w:tcBorders>
            <w:hideMark/>
          </w:tcPr>
          <w:p w14:paraId="5F660561" w14:textId="77777777" w:rsidR="00A12B52" w:rsidRPr="0013396E" w:rsidRDefault="00A12B52" w:rsidP="0099759E">
            <w:pPr>
              <w:pStyle w:val="tablebody0"/>
              <w:rPr>
                <w:i/>
              </w:rPr>
            </w:pPr>
            <w:r w:rsidRPr="0013396E">
              <w:rPr>
                <w:i/>
              </w:rPr>
              <w:t>Load-Allocated Real-Time Reg-Down Amount for the QSE</w:t>
            </w:r>
            <w:r w:rsidRPr="0013396E">
              <w:t xml:space="preserve"> </w:t>
            </w:r>
            <w:r w:rsidRPr="0013396E">
              <w:sym w:font="Symbol" w:char="F0BE"/>
            </w:r>
            <w:r w:rsidRPr="0013396E">
              <w:t xml:space="preserve"> The QSE </w:t>
            </w:r>
            <w:r w:rsidRPr="0013396E">
              <w:rPr>
                <w:i/>
              </w:rPr>
              <w:t>q</w:t>
            </w:r>
            <w:r w:rsidRPr="0013396E">
              <w:t>’s share of the total Real-Time Reg-Down amount for the 15-minute Settlement Interval.</w:t>
            </w:r>
          </w:p>
        </w:tc>
      </w:tr>
      <w:tr w:rsidR="00A12B52" w:rsidRPr="0013396E" w14:paraId="027A6627" w14:textId="77777777" w:rsidTr="0099759E">
        <w:trPr>
          <w:cantSplit/>
        </w:trPr>
        <w:tc>
          <w:tcPr>
            <w:tcW w:w="1146" w:type="pct"/>
            <w:tcBorders>
              <w:top w:val="single" w:sz="4" w:space="0" w:color="auto"/>
              <w:left w:val="single" w:sz="4" w:space="0" w:color="auto"/>
              <w:bottom w:val="single" w:sz="4" w:space="0" w:color="auto"/>
              <w:right w:val="single" w:sz="4" w:space="0" w:color="auto"/>
            </w:tcBorders>
            <w:hideMark/>
          </w:tcPr>
          <w:p w14:paraId="7A5CDF77" w14:textId="77777777" w:rsidR="00A12B52" w:rsidRPr="0013396E" w:rsidRDefault="00A12B52" w:rsidP="0099759E">
            <w:pPr>
              <w:pStyle w:val="tablebody0"/>
            </w:pPr>
            <w:r w:rsidRPr="0013396E">
              <w:t xml:space="preserve">RTRDIMBAMT </w:t>
            </w:r>
            <w:r w:rsidRPr="0013396E">
              <w:rPr>
                <w:i/>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57F5DE6D" w14:textId="77777777" w:rsidR="00A12B52" w:rsidRPr="0013396E" w:rsidRDefault="00A12B52" w:rsidP="0099759E">
            <w:pPr>
              <w:pStyle w:val="tablebody0"/>
            </w:pPr>
            <w:r w:rsidRPr="0013396E">
              <w:t>$</w:t>
            </w:r>
          </w:p>
        </w:tc>
        <w:tc>
          <w:tcPr>
            <w:tcW w:w="3179" w:type="pct"/>
            <w:tcBorders>
              <w:top w:val="single" w:sz="4" w:space="0" w:color="auto"/>
              <w:left w:val="single" w:sz="4" w:space="0" w:color="auto"/>
              <w:bottom w:val="single" w:sz="4" w:space="0" w:color="auto"/>
              <w:right w:val="single" w:sz="4" w:space="0" w:color="auto"/>
            </w:tcBorders>
            <w:hideMark/>
          </w:tcPr>
          <w:p w14:paraId="0E62E1BA" w14:textId="77777777" w:rsidR="00A12B52" w:rsidRPr="0013396E" w:rsidRDefault="00A12B52" w:rsidP="0099759E">
            <w:pPr>
              <w:pStyle w:val="tablebody0"/>
              <w:rPr>
                <w:i/>
              </w:rPr>
            </w:pPr>
            <w:r w:rsidRPr="0013396E">
              <w:rPr>
                <w:i/>
              </w:rPr>
              <w:t xml:space="preserve">Real-Time Reg-Down Imbalance Amount for the QSE - </w:t>
            </w:r>
            <w:r w:rsidRPr="0013396E">
              <w:t xml:space="preserve">The total payment or charge to QSE </w:t>
            </w:r>
            <w:r w:rsidRPr="0013396E">
              <w:rPr>
                <w:i/>
              </w:rPr>
              <w:t>q</w:t>
            </w:r>
            <w:r w:rsidRPr="0013396E">
              <w:t xml:space="preserve"> for the Real-Time Reg-Down imbalance for each 15-minute Settlement Interval.</w:t>
            </w:r>
          </w:p>
        </w:tc>
      </w:tr>
      <w:tr w:rsidR="00A12B52" w:rsidRPr="0013396E" w14:paraId="2AAF22A6" w14:textId="77777777" w:rsidTr="0099759E">
        <w:trPr>
          <w:cantSplit/>
        </w:trPr>
        <w:tc>
          <w:tcPr>
            <w:tcW w:w="1146" w:type="pct"/>
            <w:tcBorders>
              <w:top w:val="single" w:sz="4" w:space="0" w:color="auto"/>
              <w:left w:val="single" w:sz="4" w:space="0" w:color="auto"/>
              <w:bottom w:val="single" w:sz="4" w:space="0" w:color="auto"/>
              <w:right w:val="single" w:sz="4" w:space="0" w:color="auto"/>
            </w:tcBorders>
            <w:hideMark/>
          </w:tcPr>
          <w:p w14:paraId="2CADA7E2" w14:textId="77777777" w:rsidR="00A12B52" w:rsidRPr="0013396E" w:rsidRDefault="00A12B52" w:rsidP="0099759E">
            <w:pPr>
              <w:pStyle w:val="tablebody0"/>
            </w:pPr>
            <w:r w:rsidRPr="0013396E">
              <w:t xml:space="preserve">RTRDOAMT </w:t>
            </w:r>
            <w:r w:rsidRPr="0013396E">
              <w:rPr>
                <w:i/>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1D0E480C" w14:textId="77777777" w:rsidR="00A12B52" w:rsidRPr="0013396E" w:rsidRDefault="00A12B52" w:rsidP="0099759E">
            <w:pPr>
              <w:pStyle w:val="tablebody0"/>
            </w:pPr>
            <w:r w:rsidRPr="0013396E">
              <w:t>$</w:t>
            </w:r>
          </w:p>
        </w:tc>
        <w:tc>
          <w:tcPr>
            <w:tcW w:w="3179" w:type="pct"/>
            <w:tcBorders>
              <w:top w:val="single" w:sz="4" w:space="0" w:color="auto"/>
              <w:left w:val="single" w:sz="4" w:space="0" w:color="auto"/>
              <w:bottom w:val="single" w:sz="4" w:space="0" w:color="auto"/>
              <w:right w:val="single" w:sz="4" w:space="0" w:color="auto"/>
            </w:tcBorders>
            <w:hideMark/>
          </w:tcPr>
          <w:p w14:paraId="47EEAEA7" w14:textId="77777777" w:rsidR="00A12B52" w:rsidRPr="0013396E" w:rsidRDefault="00A12B52" w:rsidP="0099759E">
            <w:pPr>
              <w:pStyle w:val="tablebody0"/>
              <w:rPr>
                <w:i/>
              </w:rPr>
            </w:pPr>
            <w:r w:rsidRPr="0013396E">
              <w:rPr>
                <w:i/>
              </w:rPr>
              <w:t>Real-Time Reg-Down Only Amount for the QSE</w:t>
            </w:r>
            <w:r w:rsidRPr="0013396E">
              <w:t xml:space="preserve">— The total charge to QSE </w:t>
            </w:r>
            <w:r w:rsidRPr="0013396E">
              <w:rPr>
                <w:i/>
              </w:rPr>
              <w:t>q</w:t>
            </w:r>
            <w:r w:rsidRPr="0013396E">
              <w:t xml:space="preserve"> in Real-Time for Reg-Down only awards for each 15-minute Settlement Interval.</w:t>
            </w:r>
          </w:p>
        </w:tc>
      </w:tr>
      <w:tr w:rsidR="00A12B52" w:rsidRPr="0013396E" w14:paraId="5E5C469B" w14:textId="77777777" w:rsidTr="0099759E">
        <w:trPr>
          <w:cantSplit/>
        </w:trPr>
        <w:tc>
          <w:tcPr>
            <w:tcW w:w="1146" w:type="pct"/>
            <w:tcBorders>
              <w:top w:val="single" w:sz="4" w:space="0" w:color="auto"/>
              <w:left w:val="single" w:sz="4" w:space="0" w:color="auto"/>
              <w:bottom w:val="single" w:sz="4" w:space="0" w:color="auto"/>
              <w:right w:val="single" w:sz="4" w:space="0" w:color="auto"/>
            </w:tcBorders>
            <w:hideMark/>
          </w:tcPr>
          <w:p w14:paraId="1BD0F5F3" w14:textId="77777777" w:rsidR="00A12B52" w:rsidRPr="0013396E" w:rsidRDefault="00A12B52" w:rsidP="0099759E">
            <w:pPr>
              <w:pStyle w:val="tablebody0"/>
            </w:pPr>
            <w:r w:rsidRPr="0013396E">
              <w:t>RTRDIMBAMTTOT</w:t>
            </w:r>
          </w:p>
        </w:tc>
        <w:tc>
          <w:tcPr>
            <w:tcW w:w="675" w:type="pct"/>
            <w:tcBorders>
              <w:top w:val="single" w:sz="4" w:space="0" w:color="auto"/>
              <w:left w:val="single" w:sz="4" w:space="0" w:color="auto"/>
              <w:bottom w:val="single" w:sz="4" w:space="0" w:color="auto"/>
              <w:right w:val="single" w:sz="4" w:space="0" w:color="auto"/>
            </w:tcBorders>
            <w:hideMark/>
          </w:tcPr>
          <w:p w14:paraId="3A78353B" w14:textId="77777777" w:rsidR="00A12B52" w:rsidRPr="0013396E" w:rsidRDefault="00A12B52" w:rsidP="0099759E">
            <w:pPr>
              <w:pStyle w:val="tablebody0"/>
            </w:pPr>
            <w:r w:rsidRPr="0013396E">
              <w:t>$</w:t>
            </w:r>
          </w:p>
        </w:tc>
        <w:tc>
          <w:tcPr>
            <w:tcW w:w="3179" w:type="pct"/>
            <w:tcBorders>
              <w:top w:val="single" w:sz="4" w:space="0" w:color="auto"/>
              <w:left w:val="single" w:sz="4" w:space="0" w:color="auto"/>
              <w:bottom w:val="single" w:sz="4" w:space="0" w:color="auto"/>
              <w:right w:val="single" w:sz="4" w:space="0" w:color="auto"/>
            </w:tcBorders>
            <w:hideMark/>
          </w:tcPr>
          <w:p w14:paraId="309EFCFD" w14:textId="77777777" w:rsidR="00A12B52" w:rsidRPr="0013396E" w:rsidRDefault="00A12B52" w:rsidP="0099759E">
            <w:pPr>
              <w:pStyle w:val="tablebody0"/>
              <w:rPr>
                <w:i/>
              </w:rPr>
            </w:pPr>
            <w:r w:rsidRPr="0013396E">
              <w:rPr>
                <w:i/>
              </w:rPr>
              <w:t xml:space="preserve">Real-Time Reg-Down Imbalance Market Total Amount - </w:t>
            </w:r>
            <w:r w:rsidRPr="0013396E">
              <w:t>The total payment or charge to all QSEs for the Real-Time Reg-Down imbalance for each 15-minute Settlement Interval.</w:t>
            </w:r>
          </w:p>
        </w:tc>
      </w:tr>
      <w:tr w:rsidR="00A12B52" w:rsidRPr="0013396E" w14:paraId="7D21076D" w14:textId="77777777" w:rsidTr="0099759E">
        <w:trPr>
          <w:cantSplit/>
        </w:trPr>
        <w:tc>
          <w:tcPr>
            <w:tcW w:w="1146" w:type="pct"/>
            <w:tcBorders>
              <w:top w:val="single" w:sz="4" w:space="0" w:color="auto"/>
              <w:left w:val="single" w:sz="4" w:space="0" w:color="auto"/>
              <w:bottom w:val="single" w:sz="4" w:space="0" w:color="auto"/>
              <w:right w:val="single" w:sz="4" w:space="0" w:color="auto"/>
            </w:tcBorders>
            <w:hideMark/>
          </w:tcPr>
          <w:p w14:paraId="150D9A34" w14:textId="77777777" w:rsidR="00A12B52" w:rsidRPr="0013396E" w:rsidRDefault="00A12B52" w:rsidP="0099759E">
            <w:pPr>
              <w:pStyle w:val="tablebody0"/>
            </w:pPr>
            <w:r w:rsidRPr="0013396E">
              <w:t>RTRDOAMTTOT</w:t>
            </w:r>
          </w:p>
        </w:tc>
        <w:tc>
          <w:tcPr>
            <w:tcW w:w="675" w:type="pct"/>
            <w:tcBorders>
              <w:top w:val="single" w:sz="4" w:space="0" w:color="auto"/>
              <w:left w:val="single" w:sz="4" w:space="0" w:color="auto"/>
              <w:bottom w:val="single" w:sz="4" w:space="0" w:color="auto"/>
              <w:right w:val="single" w:sz="4" w:space="0" w:color="auto"/>
            </w:tcBorders>
            <w:hideMark/>
          </w:tcPr>
          <w:p w14:paraId="45E173F6" w14:textId="77777777" w:rsidR="00A12B52" w:rsidRPr="0013396E" w:rsidRDefault="00A12B52" w:rsidP="0099759E">
            <w:pPr>
              <w:pStyle w:val="tablebody0"/>
            </w:pPr>
            <w:r w:rsidRPr="0013396E">
              <w:t>$</w:t>
            </w:r>
          </w:p>
        </w:tc>
        <w:tc>
          <w:tcPr>
            <w:tcW w:w="3179" w:type="pct"/>
            <w:tcBorders>
              <w:top w:val="single" w:sz="4" w:space="0" w:color="auto"/>
              <w:left w:val="single" w:sz="4" w:space="0" w:color="auto"/>
              <w:bottom w:val="single" w:sz="4" w:space="0" w:color="auto"/>
              <w:right w:val="single" w:sz="4" w:space="0" w:color="auto"/>
            </w:tcBorders>
            <w:hideMark/>
          </w:tcPr>
          <w:p w14:paraId="752A919C" w14:textId="77777777" w:rsidR="00A12B52" w:rsidRPr="0013396E" w:rsidRDefault="00A12B52" w:rsidP="0099759E">
            <w:pPr>
              <w:pStyle w:val="tablebody0"/>
              <w:rPr>
                <w:i/>
              </w:rPr>
            </w:pPr>
            <w:r w:rsidRPr="0013396E">
              <w:rPr>
                <w:i/>
              </w:rPr>
              <w:t xml:space="preserve">Real-Time Reg-Down Only Market Total Amount - </w:t>
            </w:r>
            <w:r w:rsidRPr="0013396E">
              <w:t>The total charge to all QSEs in Real-Time for Reg-Down only awards for each 15-minute Settlement Interval.</w:t>
            </w:r>
          </w:p>
        </w:tc>
      </w:tr>
      <w:tr w:rsidR="00A12B52" w:rsidRPr="0013396E" w14:paraId="787302CD" w14:textId="77777777" w:rsidTr="0099759E">
        <w:trPr>
          <w:cantSplit/>
        </w:trPr>
        <w:tc>
          <w:tcPr>
            <w:tcW w:w="1146" w:type="pct"/>
            <w:tcBorders>
              <w:top w:val="single" w:sz="4" w:space="0" w:color="auto"/>
              <w:left w:val="single" w:sz="4" w:space="0" w:color="auto"/>
              <w:bottom w:val="single" w:sz="4" w:space="0" w:color="auto"/>
              <w:right w:val="single" w:sz="4" w:space="0" w:color="auto"/>
            </w:tcBorders>
            <w:hideMark/>
          </w:tcPr>
          <w:p w14:paraId="7726E73E" w14:textId="77777777" w:rsidR="00A12B52" w:rsidRPr="0013396E" w:rsidRDefault="00A12B52" w:rsidP="0099759E">
            <w:pPr>
              <w:pStyle w:val="tablebody0"/>
            </w:pPr>
            <w:r w:rsidRPr="0013396E">
              <w:t xml:space="preserve">RTRDTOAMT </w:t>
            </w:r>
            <w:r w:rsidRPr="0013396E">
              <w:rPr>
                <w:i/>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2A821F19" w14:textId="77777777" w:rsidR="00A12B52" w:rsidRPr="0013396E" w:rsidRDefault="00A12B52" w:rsidP="0099759E">
            <w:pPr>
              <w:pStyle w:val="tablebody0"/>
            </w:pPr>
            <w:r w:rsidRPr="0013396E">
              <w:t>$</w:t>
            </w:r>
          </w:p>
        </w:tc>
        <w:tc>
          <w:tcPr>
            <w:tcW w:w="3179" w:type="pct"/>
            <w:tcBorders>
              <w:top w:val="single" w:sz="4" w:space="0" w:color="auto"/>
              <w:left w:val="single" w:sz="4" w:space="0" w:color="auto"/>
              <w:bottom w:val="single" w:sz="4" w:space="0" w:color="auto"/>
              <w:right w:val="single" w:sz="4" w:space="0" w:color="auto"/>
            </w:tcBorders>
            <w:hideMark/>
          </w:tcPr>
          <w:p w14:paraId="5CEFD95F" w14:textId="77777777" w:rsidR="00A12B52" w:rsidRPr="0013396E" w:rsidRDefault="00A12B52" w:rsidP="0099759E">
            <w:pPr>
              <w:pStyle w:val="tablebody0"/>
              <w:rPr>
                <w:i/>
              </w:rPr>
            </w:pPr>
            <w:r w:rsidRPr="0013396E">
              <w:rPr>
                <w:i/>
              </w:rPr>
              <w:t>Real-Time Reg-Down Trade Overage Amount for the QSE</w:t>
            </w:r>
            <w:r w:rsidRPr="0013396E">
              <w:t xml:space="preserve">— The total charge to QSE </w:t>
            </w:r>
            <w:r w:rsidRPr="0013396E">
              <w:rPr>
                <w:i/>
              </w:rPr>
              <w:t>q</w:t>
            </w:r>
            <w:r w:rsidRPr="0013396E">
              <w:t xml:space="preserve"> in Real-Time for Reg-Down trade overages for each 15-minute Settlement Interval.</w:t>
            </w:r>
          </w:p>
        </w:tc>
      </w:tr>
      <w:tr w:rsidR="00A12B52" w:rsidRPr="0013396E" w14:paraId="44084582" w14:textId="77777777" w:rsidTr="0099759E">
        <w:trPr>
          <w:cantSplit/>
        </w:trPr>
        <w:tc>
          <w:tcPr>
            <w:tcW w:w="1146" w:type="pct"/>
            <w:tcBorders>
              <w:top w:val="single" w:sz="4" w:space="0" w:color="auto"/>
              <w:left w:val="single" w:sz="4" w:space="0" w:color="auto"/>
              <w:bottom w:val="single" w:sz="4" w:space="0" w:color="auto"/>
              <w:right w:val="single" w:sz="4" w:space="0" w:color="auto"/>
            </w:tcBorders>
            <w:hideMark/>
          </w:tcPr>
          <w:p w14:paraId="6F3F64E3" w14:textId="77777777" w:rsidR="00A12B52" w:rsidRPr="0013396E" w:rsidRDefault="00A12B52" w:rsidP="0099759E">
            <w:pPr>
              <w:pStyle w:val="tablebody0"/>
            </w:pPr>
            <w:r w:rsidRPr="0013396E">
              <w:t>RTRDOAMTTOT</w:t>
            </w:r>
          </w:p>
        </w:tc>
        <w:tc>
          <w:tcPr>
            <w:tcW w:w="675" w:type="pct"/>
            <w:tcBorders>
              <w:top w:val="single" w:sz="4" w:space="0" w:color="auto"/>
              <w:left w:val="single" w:sz="4" w:space="0" w:color="auto"/>
              <w:bottom w:val="single" w:sz="4" w:space="0" w:color="auto"/>
              <w:right w:val="single" w:sz="4" w:space="0" w:color="auto"/>
            </w:tcBorders>
            <w:hideMark/>
          </w:tcPr>
          <w:p w14:paraId="6E0E4063" w14:textId="77777777" w:rsidR="00A12B52" w:rsidRPr="0013396E" w:rsidRDefault="00A12B52" w:rsidP="0099759E">
            <w:pPr>
              <w:pStyle w:val="tablebody0"/>
            </w:pPr>
            <w:r w:rsidRPr="0013396E">
              <w:t>$</w:t>
            </w:r>
          </w:p>
        </w:tc>
        <w:tc>
          <w:tcPr>
            <w:tcW w:w="3179" w:type="pct"/>
            <w:tcBorders>
              <w:top w:val="single" w:sz="4" w:space="0" w:color="auto"/>
              <w:left w:val="single" w:sz="4" w:space="0" w:color="auto"/>
              <w:bottom w:val="single" w:sz="4" w:space="0" w:color="auto"/>
              <w:right w:val="single" w:sz="4" w:space="0" w:color="auto"/>
            </w:tcBorders>
            <w:hideMark/>
          </w:tcPr>
          <w:p w14:paraId="33C913C5" w14:textId="77777777" w:rsidR="00A12B52" w:rsidRPr="0013396E" w:rsidRDefault="00A12B52" w:rsidP="0099759E">
            <w:pPr>
              <w:pStyle w:val="tablebody0"/>
              <w:rPr>
                <w:i/>
              </w:rPr>
            </w:pPr>
            <w:r w:rsidRPr="0013396E">
              <w:rPr>
                <w:i/>
              </w:rPr>
              <w:t xml:space="preserve">Real-Time Reg-Down Trade Overage Total Amount </w:t>
            </w:r>
            <w:r w:rsidRPr="0013396E">
              <w:t>— The total charge to all QSEs for Real-Time Reg-Down trade overages for each 15-minute Settlement Interval.</w:t>
            </w:r>
          </w:p>
        </w:tc>
      </w:tr>
      <w:tr w:rsidR="00A12B52" w:rsidRPr="0013396E" w14:paraId="70DF892C" w14:textId="77777777" w:rsidTr="0099759E">
        <w:trPr>
          <w:cantSplit/>
        </w:trPr>
        <w:tc>
          <w:tcPr>
            <w:tcW w:w="1146" w:type="pct"/>
            <w:tcBorders>
              <w:top w:val="single" w:sz="4" w:space="0" w:color="auto"/>
              <w:left w:val="single" w:sz="4" w:space="0" w:color="auto"/>
              <w:bottom w:val="single" w:sz="4" w:space="0" w:color="auto"/>
              <w:right w:val="single" w:sz="4" w:space="0" w:color="auto"/>
            </w:tcBorders>
            <w:hideMark/>
          </w:tcPr>
          <w:p w14:paraId="0C5F5702" w14:textId="77777777" w:rsidR="00A12B52" w:rsidRPr="0013396E" w:rsidRDefault="00A12B52" w:rsidP="0099759E">
            <w:pPr>
              <w:pStyle w:val="tablebody0"/>
            </w:pPr>
            <w:r w:rsidRPr="0013396E">
              <w:t>LRS</w:t>
            </w:r>
            <w:r w:rsidRPr="0013396E">
              <w:rPr>
                <w:vertAlign w:val="subscript"/>
              </w:rPr>
              <w:t xml:space="preserve"> </w:t>
            </w:r>
            <w:r w:rsidRPr="0013396E">
              <w:rPr>
                <w:i/>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4099A5D8" w14:textId="77777777" w:rsidR="00A12B52" w:rsidRPr="0013396E" w:rsidRDefault="00A12B52" w:rsidP="0099759E">
            <w:pPr>
              <w:pStyle w:val="tablebody0"/>
            </w:pPr>
            <w:r w:rsidRPr="0013396E">
              <w:t>none</w:t>
            </w:r>
          </w:p>
        </w:tc>
        <w:tc>
          <w:tcPr>
            <w:tcW w:w="3179" w:type="pct"/>
            <w:tcBorders>
              <w:top w:val="single" w:sz="4" w:space="0" w:color="auto"/>
              <w:left w:val="single" w:sz="4" w:space="0" w:color="auto"/>
              <w:bottom w:val="single" w:sz="4" w:space="0" w:color="auto"/>
              <w:right w:val="single" w:sz="4" w:space="0" w:color="auto"/>
            </w:tcBorders>
            <w:hideMark/>
          </w:tcPr>
          <w:p w14:paraId="617C1932" w14:textId="77777777" w:rsidR="00A12B52" w:rsidRPr="0013396E" w:rsidRDefault="00A12B52" w:rsidP="0099759E">
            <w:pPr>
              <w:pStyle w:val="tablebody0"/>
              <w:rPr>
                <w:i/>
              </w:rPr>
            </w:pPr>
            <w:r w:rsidRPr="0013396E">
              <w:rPr>
                <w:i/>
              </w:rPr>
              <w:t>Load Ratio Share per QSE</w:t>
            </w:r>
            <w:r w:rsidRPr="0013396E">
              <w:t xml:space="preserve">—The LRS as defined in Section 6.6.2.2 for QSE </w:t>
            </w:r>
            <w:r w:rsidRPr="0013396E">
              <w:rPr>
                <w:i/>
              </w:rPr>
              <w:t>q</w:t>
            </w:r>
            <w:r w:rsidRPr="0013396E">
              <w:t xml:space="preserve"> for the 15-minute Settlement Interval.</w:t>
            </w:r>
          </w:p>
        </w:tc>
      </w:tr>
      <w:tr w:rsidR="00A12B52" w:rsidRPr="0013396E" w14:paraId="7D00DA09" w14:textId="77777777" w:rsidTr="0099759E">
        <w:trPr>
          <w:cantSplit/>
        </w:trPr>
        <w:tc>
          <w:tcPr>
            <w:tcW w:w="1146" w:type="pct"/>
            <w:tcBorders>
              <w:top w:val="single" w:sz="4" w:space="0" w:color="auto"/>
              <w:left w:val="single" w:sz="4" w:space="0" w:color="auto"/>
              <w:bottom w:val="single" w:sz="4" w:space="0" w:color="auto"/>
              <w:right w:val="single" w:sz="4" w:space="0" w:color="auto"/>
            </w:tcBorders>
            <w:hideMark/>
          </w:tcPr>
          <w:p w14:paraId="4A9E6069" w14:textId="77777777" w:rsidR="00A12B52" w:rsidRPr="0013396E" w:rsidRDefault="00A12B52" w:rsidP="0099759E">
            <w:pPr>
              <w:pStyle w:val="tablebody0"/>
            </w:pPr>
            <w:r w:rsidRPr="0013396E">
              <w:rPr>
                <w:i/>
              </w:rPr>
              <w:t>q</w:t>
            </w:r>
          </w:p>
        </w:tc>
        <w:tc>
          <w:tcPr>
            <w:tcW w:w="675" w:type="pct"/>
            <w:tcBorders>
              <w:top w:val="single" w:sz="4" w:space="0" w:color="auto"/>
              <w:left w:val="single" w:sz="4" w:space="0" w:color="auto"/>
              <w:bottom w:val="single" w:sz="4" w:space="0" w:color="auto"/>
              <w:right w:val="single" w:sz="4" w:space="0" w:color="auto"/>
            </w:tcBorders>
            <w:hideMark/>
          </w:tcPr>
          <w:p w14:paraId="38E566B3" w14:textId="77777777" w:rsidR="00A12B52" w:rsidRPr="0013396E" w:rsidRDefault="00A12B52" w:rsidP="0099759E">
            <w:pPr>
              <w:pStyle w:val="tablebody0"/>
            </w:pPr>
            <w:r w:rsidRPr="0013396E">
              <w:t>none</w:t>
            </w:r>
          </w:p>
        </w:tc>
        <w:tc>
          <w:tcPr>
            <w:tcW w:w="3179" w:type="pct"/>
            <w:tcBorders>
              <w:top w:val="single" w:sz="4" w:space="0" w:color="auto"/>
              <w:left w:val="single" w:sz="4" w:space="0" w:color="auto"/>
              <w:bottom w:val="single" w:sz="4" w:space="0" w:color="auto"/>
              <w:right w:val="single" w:sz="4" w:space="0" w:color="auto"/>
            </w:tcBorders>
            <w:hideMark/>
          </w:tcPr>
          <w:p w14:paraId="53A1B09A" w14:textId="77777777" w:rsidR="00A12B52" w:rsidRPr="0013396E" w:rsidRDefault="00A12B52" w:rsidP="0099759E">
            <w:pPr>
              <w:pStyle w:val="tablebody0"/>
              <w:rPr>
                <w:i/>
              </w:rPr>
            </w:pPr>
            <w:r w:rsidRPr="0013396E">
              <w:t>A QSE.</w:t>
            </w:r>
          </w:p>
        </w:tc>
      </w:tr>
    </w:tbl>
    <w:p w14:paraId="24B98029" w14:textId="77777777" w:rsidR="00A12B52" w:rsidRPr="0013396E" w:rsidRDefault="00A12B52" w:rsidP="00A12B52">
      <w:pPr>
        <w:pStyle w:val="BodyText"/>
        <w:spacing w:before="240"/>
        <w:ind w:left="1440" w:hanging="720"/>
      </w:pPr>
      <w:r w:rsidRPr="0013396E">
        <w:t xml:space="preserve"> (c)         For Responsive Reserve (RRS):</w:t>
      </w:r>
    </w:p>
    <w:p w14:paraId="7B766627" w14:textId="77777777" w:rsidR="00A12B52" w:rsidRPr="0013396E" w:rsidRDefault="00A12B52" w:rsidP="00A12B52">
      <w:pPr>
        <w:spacing w:before="240"/>
        <w:ind w:left="1440" w:hanging="720"/>
      </w:pPr>
      <w:r w:rsidRPr="0013396E">
        <w:t xml:space="preserve">LARTRRAMT </w:t>
      </w:r>
      <w:r w:rsidRPr="0013396E">
        <w:rPr>
          <w:i/>
          <w:vertAlign w:val="subscript"/>
        </w:rPr>
        <w:t>q</w:t>
      </w:r>
      <w:r w:rsidRPr="0013396E">
        <w:t xml:space="preserve"> =</w:t>
      </w:r>
      <w:r w:rsidRPr="0013396E">
        <w:tab/>
        <w:t>(-1)</w:t>
      </w:r>
      <w:r w:rsidRPr="0013396E">
        <w:rPr>
          <w:b/>
        </w:rPr>
        <w:t xml:space="preserve"> * (</w:t>
      </w:r>
      <w:r w:rsidRPr="0013396E">
        <w:t xml:space="preserve">RTRRIMBAMTTOT + RTRROAMTTOT + </w:t>
      </w:r>
    </w:p>
    <w:p w14:paraId="0839EE64" w14:textId="77777777" w:rsidR="00A12B52" w:rsidRPr="0013396E" w:rsidRDefault="00A12B52" w:rsidP="00A12B52">
      <w:pPr>
        <w:spacing w:after="240"/>
        <w:ind w:left="2160" w:firstLine="720"/>
        <w:rPr>
          <w:i/>
          <w:vertAlign w:val="subscript"/>
        </w:rPr>
      </w:pPr>
      <w:r w:rsidRPr="0013396E">
        <w:t xml:space="preserve">RTRRTOAMTTOT) * LRS </w:t>
      </w:r>
      <w:r w:rsidRPr="0013396E">
        <w:rPr>
          <w:i/>
          <w:vertAlign w:val="subscript"/>
        </w:rPr>
        <w:t>q</w:t>
      </w:r>
    </w:p>
    <w:p w14:paraId="317B2E7F" w14:textId="77777777" w:rsidR="00A12B52" w:rsidRPr="0013396E" w:rsidRDefault="00A12B52" w:rsidP="00A12B52">
      <w:pPr>
        <w:spacing w:before="240"/>
        <w:ind w:left="1440" w:hanging="720"/>
      </w:pPr>
      <w:r w:rsidRPr="0013396E">
        <w:t>Where:</w:t>
      </w:r>
    </w:p>
    <w:p w14:paraId="5DB39281" w14:textId="77777777" w:rsidR="00A12B52" w:rsidRPr="0013396E" w:rsidRDefault="00A12B52" w:rsidP="00A12B52">
      <w:pPr>
        <w:spacing w:after="240"/>
        <w:ind w:left="1440" w:hanging="720"/>
      </w:pPr>
      <w:r w:rsidRPr="0013396E">
        <w:t xml:space="preserve">RTRRIMBAMTTOT = </w:t>
      </w:r>
      <w:r w:rsidRPr="0013396E">
        <w:rPr>
          <w:noProof/>
        </w:rPr>
        <w:drawing>
          <wp:inline distT="0" distB="0" distL="0" distR="0" wp14:anchorId="383511D7" wp14:editId="66FA4217">
            <wp:extent cx="146685" cy="293370"/>
            <wp:effectExtent l="0" t="0" r="5715" b="0"/>
            <wp:docPr id="915918404" name="Picture 915918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2"/>
                    <pic:cNvPicPr>
                      <a:picLocks noChangeAspect="1" noChangeArrowheads="1"/>
                    </pic:cNvPicPr>
                  </pic:nvPicPr>
                  <pic:blipFill>
                    <a:blip r:embed="rId370"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13396E">
        <w:t xml:space="preserve"> (RTRRIMBAMT </w:t>
      </w:r>
      <w:r w:rsidRPr="0013396E">
        <w:rPr>
          <w:i/>
          <w:vertAlign w:val="subscript"/>
        </w:rPr>
        <w:t>q</w:t>
      </w:r>
      <w:r w:rsidRPr="0013396E">
        <w:t>)</w:t>
      </w:r>
    </w:p>
    <w:p w14:paraId="4D084CEF" w14:textId="77777777" w:rsidR="00A12B52" w:rsidRPr="0013396E" w:rsidRDefault="00A12B52" w:rsidP="00A12B52">
      <w:pPr>
        <w:spacing w:after="240"/>
        <w:ind w:left="1440" w:hanging="720"/>
      </w:pPr>
      <w:r w:rsidRPr="0013396E">
        <w:t xml:space="preserve">RTRROAMTTOT = </w:t>
      </w:r>
      <w:r w:rsidRPr="0013396E">
        <w:rPr>
          <w:noProof/>
        </w:rPr>
        <w:drawing>
          <wp:inline distT="0" distB="0" distL="0" distR="0" wp14:anchorId="29C65628" wp14:editId="38E4024A">
            <wp:extent cx="146685" cy="293370"/>
            <wp:effectExtent l="0" t="0" r="5715" b="0"/>
            <wp:docPr id="1844790714" name="Picture 18447907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3"/>
                    <pic:cNvPicPr>
                      <a:picLocks noChangeAspect="1" noChangeArrowheads="1"/>
                    </pic:cNvPicPr>
                  </pic:nvPicPr>
                  <pic:blipFill>
                    <a:blip r:embed="rId370"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13396E">
        <w:t xml:space="preserve"> (RTRROAMT </w:t>
      </w:r>
      <w:r w:rsidRPr="0013396E">
        <w:rPr>
          <w:i/>
          <w:vertAlign w:val="subscript"/>
        </w:rPr>
        <w:t>q</w:t>
      </w:r>
      <w:r w:rsidRPr="0013396E">
        <w:t>)</w:t>
      </w:r>
    </w:p>
    <w:p w14:paraId="527C4025" w14:textId="77777777" w:rsidR="00A12B52" w:rsidRPr="0013396E" w:rsidRDefault="00A12B52" w:rsidP="00A12B52">
      <w:pPr>
        <w:spacing w:after="240"/>
        <w:ind w:left="1440" w:hanging="720"/>
      </w:pPr>
      <w:r w:rsidRPr="0013396E">
        <w:t xml:space="preserve">RTRRTOAMTTOT = </w:t>
      </w:r>
      <w:r w:rsidRPr="0013396E">
        <w:rPr>
          <w:noProof/>
        </w:rPr>
        <w:drawing>
          <wp:inline distT="0" distB="0" distL="0" distR="0" wp14:anchorId="1E38AED8" wp14:editId="7F9865C3">
            <wp:extent cx="146685" cy="293370"/>
            <wp:effectExtent l="0" t="0" r="5715" b="0"/>
            <wp:docPr id="1910368481" name="Picture 1910368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4"/>
                    <pic:cNvPicPr>
                      <a:picLocks noChangeAspect="1" noChangeArrowheads="1"/>
                    </pic:cNvPicPr>
                  </pic:nvPicPr>
                  <pic:blipFill>
                    <a:blip r:embed="rId370"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13396E">
        <w:t xml:space="preserve"> (RTRRTOAMT </w:t>
      </w:r>
      <w:r w:rsidRPr="0013396E">
        <w:rPr>
          <w:i/>
          <w:vertAlign w:val="subscript"/>
        </w:rPr>
        <w:t>q</w:t>
      </w:r>
      <w:r w:rsidRPr="0013396E">
        <w:t>)</w:t>
      </w:r>
    </w:p>
    <w:p w14:paraId="03B5A4AF" w14:textId="77777777" w:rsidR="00A12B52" w:rsidRPr="0013396E" w:rsidRDefault="00A12B52" w:rsidP="00A12B52">
      <w:pPr>
        <w:pStyle w:val="NoSpacing"/>
      </w:pPr>
      <w:r w:rsidRPr="0013396E">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143"/>
        <w:gridCol w:w="1262"/>
        <w:gridCol w:w="5945"/>
      </w:tblGrid>
      <w:tr w:rsidR="00A12B52" w:rsidRPr="0013396E" w14:paraId="15197B88" w14:textId="77777777" w:rsidTr="0099759E">
        <w:trPr>
          <w:cantSplit/>
          <w:tblHeader/>
        </w:trPr>
        <w:tc>
          <w:tcPr>
            <w:tcW w:w="1146" w:type="pct"/>
            <w:tcBorders>
              <w:top w:val="single" w:sz="4" w:space="0" w:color="auto"/>
              <w:left w:val="single" w:sz="4" w:space="0" w:color="auto"/>
              <w:bottom w:val="single" w:sz="4" w:space="0" w:color="auto"/>
              <w:right w:val="single" w:sz="4" w:space="0" w:color="auto"/>
            </w:tcBorders>
            <w:hideMark/>
          </w:tcPr>
          <w:p w14:paraId="6A7B8DDC" w14:textId="77777777" w:rsidR="00A12B52" w:rsidRPr="0013396E" w:rsidRDefault="00A12B52" w:rsidP="0099759E">
            <w:pPr>
              <w:pStyle w:val="TableHead"/>
            </w:pPr>
            <w:r w:rsidRPr="0013396E">
              <w:rPr>
                <w:b w:val="0"/>
                <w:iCs w:val="0"/>
              </w:rPr>
              <w:lastRenderedPageBreak/>
              <w:t>Variable</w:t>
            </w:r>
          </w:p>
        </w:tc>
        <w:tc>
          <w:tcPr>
            <w:tcW w:w="675" w:type="pct"/>
            <w:tcBorders>
              <w:top w:val="single" w:sz="4" w:space="0" w:color="auto"/>
              <w:left w:val="single" w:sz="4" w:space="0" w:color="auto"/>
              <w:bottom w:val="single" w:sz="4" w:space="0" w:color="auto"/>
              <w:right w:val="single" w:sz="4" w:space="0" w:color="auto"/>
            </w:tcBorders>
            <w:hideMark/>
          </w:tcPr>
          <w:p w14:paraId="20FE2B48" w14:textId="77777777" w:rsidR="00A12B52" w:rsidRPr="0013396E" w:rsidRDefault="00A12B52" w:rsidP="0099759E">
            <w:pPr>
              <w:pStyle w:val="TableHead"/>
            </w:pPr>
            <w:r w:rsidRPr="0013396E">
              <w:t>Unit</w:t>
            </w:r>
          </w:p>
        </w:tc>
        <w:tc>
          <w:tcPr>
            <w:tcW w:w="3179" w:type="pct"/>
            <w:tcBorders>
              <w:top w:val="single" w:sz="4" w:space="0" w:color="auto"/>
              <w:left w:val="single" w:sz="4" w:space="0" w:color="auto"/>
              <w:bottom w:val="single" w:sz="4" w:space="0" w:color="auto"/>
              <w:right w:val="single" w:sz="4" w:space="0" w:color="auto"/>
            </w:tcBorders>
            <w:hideMark/>
          </w:tcPr>
          <w:p w14:paraId="51CF3462" w14:textId="77777777" w:rsidR="00A12B52" w:rsidRPr="0013396E" w:rsidRDefault="00A12B52" w:rsidP="0099759E">
            <w:pPr>
              <w:pStyle w:val="TableHead"/>
            </w:pPr>
            <w:r w:rsidRPr="0013396E">
              <w:t>Description</w:t>
            </w:r>
          </w:p>
        </w:tc>
      </w:tr>
      <w:tr w:rsidR="00A12B52" w:rsidRPr="0013396E" w14:paraId="71DD4852" w14:textId="77777777" w:rsidTr="0099759E">
        <w:trPr>
          <w:cantSplit/>
        </w:trPr>
        <w:tc>
          <w:tcPr>
            <w:tcW w:w="1146" w:type="pct"/>
            <w:tcBorders>
              <w:top w:val="single" w:sz="4" w:space="0" w:color="auto"/>
              <w:left w:val="single" w:sz="4" w:space="0" w:color="auto"/>
              <w:bottom w:val="single" w:sz="4" w:space="0" w:color="auto"/>
              <w:right w:val="single" w:sz="4" w:space="0" w:color="auto"/>
            </w:tcBorders>
            <w:hideMark/>
          </w:tcPr>
          <w:p w14:paraId="0DA4C16A" w14:textId="77777777" w:rsidR="00A12B52" w:rsidRPr="0013396E" w:rsidRDefault="00A12B52" w:rsidP="0099759E">
            <w:pPr>
              <w:pStyle w:val="tablebody0"/>
            </w:pPr>
            <w:r w:rsidRPr="0013396E">
              <w:t xml:space="preserve">LARTRRAMT </w:t>
            </w:r>
            <w:r w:rsidRPr="0013396E">
              <w:rPr>
                <w:i/>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049CAB0C" w14:textId="77777777" w:rsidR="00A12B52" w:rsidRPr="0013396E" w:rsidRDefault="00A12B52" w:rsidP="0099759E">
            <w:pPr>
              <w:pStyle w:val="tablebody0"/>
            </w:pPr>
            <w:r w:rsidRPr="0013396E">
              <w:t>$</w:t>
            </w:r>
          </w:p>
        </w:tc>
        <w:tc>
          <w:tcPr>
            <w:tcW w:w="3179" w:type="pct"/>
            <w:tcBorders>
              <w:top w:val="single" w:sz="4" w:space="0" w:color="auto"/>
              <w:left w:val="single" w:sz="4" w:space="0" w:color="auto"/>
              <w:bottom w:val="single" w:sz="4" w:space="0" w:color="auto"/>
              <w:right w:val="single" w:sz="4" w:space="0" w:color="auto"/>
            </w:tcBorders>
            <w:hideMark/>
          </w:tcPr>
          <w:p w14:paraId="095A8CEE" w14:textId="77777777" w:rsidR="00A12B52" w:rsidRPr="0013396E" w:rsidRDefault="00A12B52" w:rsidP="0099759E">
            <w:pPr>
              <w:pStyle w:val="tablebody0"/>
              <w:rPr>
                <w:i/>
              </w:rPr>
            </w:pPr>
            <w:r w:rsidRPr="0013396E">
              <w:rPr>
                <w:i/>
              </w:rPr>
              <w:t>Load-Allocated Real-Time Responsive Reserve Amount for the QSE</w:t>
            </w:r>
            <w:r w:rsidRPr="0013396E">
              <w:t xml:space="preserve"> </w:t>
            </w:r>
            <w:r w:rsidRPr="0013396E">
              <w:sym w:font="Symbol" w:char="F0BE"/>
            </w:r>
            <w:r w:rsidRPr="0013396E">
              <w:t xml:space="preserve"> The QSE’s share of the total Real-Time RRS amount for the 15-minute Settlement Interval.</w:t>
            </w:r>
          </w:p>
        </w:tc>
      </w:tr>
      <w:tr w:rsidR="00A12B52" w:rsidRPr="0013396E" w14:paraId="236E8644" w14:textId="77777777" w:rsidTr="0099759E">
        <w:trPr>
          <w:cantSplit/>
        </w:trPr>
        <w:tc>
          <w:tcPr>
            <w:tcW w:w="1146" w:type="pct"/>
            <w:tcBorders>
              <w:top w:val="single" w:sz="4" w:space="0" w:color="auto"/>
              <w:left w:val="single" w:sz="4" w:space="0" w:color="auto"/>
              <w:bottom w:val="single" w:sz="4" w:space="0" w:color="auto"/>
              <w:right w:val="single" w:sz="4" w:space="0" w:color="auto"/>
            </w:tcBorders>
            <w:hideMark/>
          </w:tcPr>
          <w:p w14:paraId="512C6507" w14:textId="77777777" w:rsidR="00A12B52" w:rsidRPr="0013396E" w:rsidRDefault="00A12B52" w:rsidP="0099759E">
            <w:pPr>
              <w:pStyle w:val="tablebody0"/>
            </w:pPr>
            <w:r w:rsidRPr="0013396E">
              <w:t xml:space="preserve">RTRRIMBAMT </w:t>
            </w:r>
            <w:r w:rsidRPr="0013396E">
              <w:rPr>
                <w:i/>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2F2CA578" w14:textId="77777777" w:rsidR="00A12B52" w:rsidRPr="0013396E" w:rsidRDefault="00A12B52" w:rsidP="0099759E">
            <w:pPr>
              <w:pStyle w:val="tablebody0"/>
            </w:pPr>
            <w:r w:rsidRPr="0013396E">
              <w:t>$</w:t>
            </w:r>
          </w:p>
        </w:tc>
        <w:tc>
          <w:tcPr>
            <w:tcW w:w="3179" w:type="pct"/>
            <w:tcBorders>
              <w:top w:val="single" w:sz="4" w:space="0" w:color="auto"/>
              <w:left w:val="single" w:sz="4" w:space="0" w:color="auto"/>
              <w:bottom w:val="single" w:sz="4" w:space="0" w:color="auto"/>
              <w:right w:val="single" w:sz="4" w:space="0" w:color="auto"/>
            </w:tcBorders>
            <w:hideMark/>
          </w:tcPr>
          <w:p w14:paraId="5ED4C3F5" w14:textId="77777777" w:rsidR="00A12B52" w:rsidRPr="0013396E" w:rsidRDefault="00A12B52" w:rsidP="0099759E">
            <w:pPr>
              <w:pStyle w:val="tablebody0"/>
              <w:rPr>
                <w:i/>
              </w:rPr>
            </w:pPr>
            <w:r w:rsidRPr="0013396E">
              <w:rPr>
                <w:i/>
              </w:rPr>
              <w:t xml:space="preserve">Real-Time Responsive Reserve Imbalance Amount for the QSE - </w:t>
            </w:r>
            <w:r w:rsidRPr="0013396E">
              <w:t xml:space="preserve">The total payment or charge to QSE </w:t>
            </w:r>
            <w:r w:rsidRPr="0013396E">
              <w:rPr>
                <w:i/>
              </w:rPr>
              <w:t>q</w:t>
            </w:r>
            <w:r w:rsidRPr="0013396E">
              <w:t xml:space="preserve"> for the Real-Time RRS imbalance for each 15-minute Settlement Interval.</w:t>
            </w:r>
          </w:p>
        </w:tc>
      </w:tr>
      <w:tr w:rsidR="00A12B52" w:rsidRPr="0013396E" w14:paraId="23548DDB" w14:textId="77777777" w:rsidTr="0099759E">
        <w:trPr>
          <w:cantSplit/>
        </w:trPr>
        <w:tc>
          <w:tcPr>
            <w:tcW w:w="1146" w:type="pct"/>
            <w:tcBorders>
              <w:top w:val="single" w:sz="4" w:space="0" w:color="auto"/>
              <w:left w:val="single" w:sz="4" w:space="0" w:color="auto"/>
              <w:bottom w:val="single" w:sz="4" w:space="0" w:color="auto"/>
              <w:right w:val="single" w:sz="4" w:space="0" w:color="auto"/>
            </w:tcBorders>
            <w:hideMark/>
          </w:tcPr>
          <w:p w14:paraId="6221A6A2" w14:textId="77777777" w:rsidR="00A12B52" w:rsidRPr="0013396E" w:rsidRDefault="00A12B52" w:rsidP="0099759E">
            <w:pPr>
              <w:pStyle w:val="tablebody0"/>
            </w:pPr>
            <w:r w:rsidRPr="0013396E">
              <w:t xml:space="preserve">RTRROAMT </w:t>
            </w:r>
            <w:r w:rsidRPr="0013396E">
              <w:rPr>
                <w:i/>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40027D14" w14:textId="77777777" w:rsidR="00A12B52" w:rsidRPr="0013396E" w:rsidRDefault="00A12B52" w:rsidP="0099759E">
            <w:pPr>
              <w:pStyle w:val="tablebody0"/>
            </w:pPr>
            <w:r w:rsidRPr="0013396E">
              <w:t>$</w:t>
            </w:r>
          </w:p>
        </w:tc>
        <w:tc>
          <w:tcPr>
            <w:tcW w:w="3179" w:type="pct"/>
            <w:tcBorders>
              <w:top w:val="single" w:sz="4" w:space="0" w:color="auto"/>
              <w:left w:val="single" w:sz="4" w:space="0" w:color="auto"/>
              <w:bottom w:val="single" w:sz="4" w:space="0" w:color="auto"/>
              <w:right w:val="single" w:sz="4" w:space="0" w:color="auto"/>
            </w:tcBorders>
            <w:hideMark/>
          </w:tcPr>
          <w:p w14:paraId="3A853525" w14:textId="77777777" w:rsidR="00A12B52" w:rsidRPr="0013396E" w:rsidRDefault="00A12B52" w:rsidP="0099759E">
            <w:pPr>
              <w:pStyle w:val="tablebody0"/>
              <w:rPr>
                <w:i/>
              </w:rPr>
            </w:pPr>
            <w:r w:rsidRPr="0013396E">
              <w:rPr>
                <w:i/>
              </w:rPr>
              <w:t>Real-Time Responsive Reserve Only Amount for the QSE</w:t>
            </w:r>
            <w:r w:rsidRPr="0013396E">
              <w:t xml:space="preserve">— The total charge to QSE </w:t>
            </w:r>
            <w:r w:rsidRPr="0013396E">
              <w:rPr>
                <w:i/>
              </w:rPr>
              <w:t>q</w:t>
            </w:r>
            <w:r w:rsidRPr="0013396E">
              <w:t xml:space="preserve"> in Real-Time for RRS only awards for each 15-minute Settlement Interval.</w:t>
            </w:r>
          </w:p>
        </w:tc>
      </w:tr>
      <w:tr w:rsidR="00A12B52" w:rsidRPr="0013396E" w14:paraId="4387A50F" w14:textId="77777777" w:rsidTr="0099759E">
        <w:trPr>
          <w:cantSplit/>
        </w:trPr>
        <w:tc>
          <w:tcPr>
            <w:tcW w:w="1146" w:type="pct"/>
            <w:tcBorders>
              <w:top w:val="single" w:sz="4" w:space="0" w:color="auto"/>
              <w:left w:val="single" w:sz="4" w:space="0" w:color="auto"/>
              <w:bottom w:val="single" w:sz="4" w:space="0" w:color="auto"/>
              <w:right w:val="single" w:sz="4" w:space="0" w:color="auto"/>
            </w:tcBorders>
            <w:hideMark/>
          </w:tcPr>
          <w:p w14:paraId="7DD2D3FC" w14:textId="77777777" w:rsidR="00A12B52" w:rsidRPr="0013396E" w:rsidRDefault="00A12B52" w:rsidP="0099759E">
            <w:pPr>
              <w:pStyle w:val="tablebody0"/>
            </w:pPr>
            <w:r w:rsidRPr="0013396E">
              <w:t>RTRRIMBAMTTOT</w:t>
            </w:r>
          </w:p>
        </w:tc>
        <w:tc>
          <w:tcPr>
            <w:tcW w:w="675" w:type="pct"/>
            <w:tcBorders>
              <w:top w:val="single" w:sz="4" w:space="0" w:color="auto"/>
              <w:left w:val="single" w:sz="4" w:space="0" w:color="auto"/>
              <w:bottom w:val="single" w:sz="4" w:space="0" w:color="auto"/>
              <w:right w:val="single" w:sz="4" w:space="0" w:color="auto"/>
            </w:tcBorders>
            <w:hideMark/>
          </w:tcPr>
          <w:p w14:paraId="1C1B6B0D" w14:textId="77777777" w:rsidR="00A12B52" w:rsidRPr="0013396E" w:rsidRDefault="00A12B52" w:rsidP="0099759E">
            <w:pPr>
              <w:pStyle w:val="tablebody0"/>
            </w:pPr>
            <w:r w:rsidRPr="0013396E">
              <w:t>$</w:t>
            </w:r>
          </w:p>
        </w:tc>
        <w:tc>
          <w:tcPr>
            <w:tcW w:w="3179" w:type="pct"/>
            <w:tcBorders>
              <w:top w:val="single" w:sz="4" w:space="0" w:color="auto"/>
              <w:left w:val="single" w:sz="4" w:space="0" w:color="auto"/>
              <w:bottom w:val="single" w:sz="4" w:space="0" w:color="auto"/>
              <w:right w:val="single" w:sz="4" w:space="0" w:color="auto"/>
            </w:tcBorders>
            <w:hideMark/>
          </w:tcPr>
          <w:p w14:paraId="62E698FA" w14:textId="77777777" w:rsidR="00A12B52" w:rsidRPr="0013396E" w:rsidRDefault="00A12B52" w:rsidP="0099759E">
            <w:pPr>
              <w:pStyle w:val="tablebody0"/>
              <w:rPr>
                <w:i/>
              </w:rPr>
            </w:pPr>
            <w:r w:rsidRPr="0013396E">
              <w:rPr>
                <w:i/>
              </w:rPr>
              <w:t xml:space="preserve">Real-Time Responsive Reserve Imbalance Market Total Amount - </w:t>
            </w:r>
            <w:r w:rsidRPr="0013396E">
              <w:t>The total payment or charge to all QSEs for the Real-Time RRS imbalance for each 15-minute Settlement Interval.</w:t>
            </w:r>
          </w:p>
        </w:tc>
      </w:tr>
      <w:tr w:rsidR="00A12B52" w:rsidRPr="0013396E" w14:paraId="5BB5B898" w14:textId="77777777" w:rsidTr="0099759E">
        <w:trPr>
          <w:cantSplit/>
        </w:trPr>
        <w:tc>
          <w:tcPr>
            <w:tcW w:w="1146" w:type="pct"/>
            <w:tcBorders>
              <w:top w:val="single" w:sz="4" w:space="0" w:color="auto"/>
              <w:left w:val="single" w:sz="4" w:space="0" w:color="auto"/>
              <w:bottom w:val="single" w:sz="4" w:space="0" w:color="auto"/>
              <w:right w:val="single" w:sz="4" w:space="0" w:color="auto"/>
            </w:tcBorders>
            <w:hideMark/>
          </w:tcPr>
          <w:p w14:paraId="45D3FC0D" w14:textId="77777777" w:rsidR="00A12B52" w:rsidRPr="0013396E" w:rsidRDefault="00A12B52" w:rsidP="0099759E">
            <w:pPr>
              <w:pStyle w:val="tablebody0"/>
            </w:pPr>
            <w:r w:rsidRPr="0013396E">
              <w:t>RTRROAMTTOT</w:t>
            </w:r>
          </w:p>
        </w:tc>
        <w:tc>
          <w:tcPr>
            <w:tcW w:w="675" w:type="pct"/>
            <w:tcBorders>
              <w:top w:val="single" w:sz="4" w:space="0" w:color="auto"/>
              <w:left w:val="single" w:sz="4" w:space="0" w:color="auto"/>
              <w:bottom w:val="single" w:sz="4" w:space="0" w:color="auto"/>
              <w:right w:val="single" w:sz="4" w:space="0" w:color="auto"/>
            </w:tcBorders>
            <w:hideMark/>
          </w:tcPr>
          <w:p w14:paraId="70796320" w14:textId="77777777" w:rsidR="00A12B52" w:rsidRPr="0013396E" w:rsidRDefault="00A12B52" w:rsidP="0099759E">
            <w:pPr>
              <w:pStyle w:val="tablebody0"/>
            </w:pPr>
            <w:r w:rsidRPr="0013396E">
              <w:t>$</w:t>
            </w:r>
          </w:p>
        </w:tc>
        <w:tc>
          <w:tcPr>
            <w:tcW w:w="3179" w:type="pct"/>
            <w:tcBorders>
              <w:top w:val="single" w:sz="4" w:space="0" w:color="auto"/>
              <w:left w:val="single" w:sz="4" w:space="0" w:color="auto"/>
              <w:bottom w:val="single" w:sz="4" w:space="0" w:color="auto"/>
              <w:right w:val="single" w:sz="4" w:space="0" w:color="auto"/>
            </w:tcBorders>
            <w:hideMark/>
          </w:tcPr>
          <w:p w14:paraId="7BDCABBF" w14:textId="77777777" w:rsidR="00A12B52" w:rsidRPr="0013396E" w:rsidRDefault="00A12B52" w:rsidP="0099759E">
            <w:pPr>
              <w:pStyle w:val="tablebody0"/>
              <w:rPr>
                <w:i/>
              </w:rPr>
            </w:pPr>
            <w:r w:rsidRPr="0013396E">
              <w:rPr>
                <w:i/>
              </w:rPr>
              <w:t xml:space="preserve">Real-Time Responsive Reserve Only Market Total Amount - </w:t>
            </w:r>
            <w:r w:rsidRPr="0013396E">
              <w:t>The total charge to all QSEs in Real-Time for RRS only awards for each 15-minute Settlement Interval.</w:t>
            </w:r>
          </w:p>
        </w:tc>
      </w:tr>
      <w:tr w:rsidR="00A12B52" w:rsidRPr="0013396E" w14:paraId="56CCABA8" w14:textId="77777777" w:rsidTr="0099759E">
        <w:trPr>
          <w:cantSplit/>
        </w:trPr>
        <w:tc>
          <w:tcPr>
            <w:tcW w:w="1146" w:type="pct"/>
            <w:tcBorders>
              <w:top w:val="single" w:sz="4" w:space="0" w:color="auto"/>
              <w:left w:val="single" w:sz="4" w:space="0" w:color="auto"/>
              <w:bottom w:val="single" w:sz="4" w:space="0" w:color="auto"/>
              <w:right w:val="single" w:sz="4" w:space="0" w:color="auto"/>
            </w:tcBorders>
            <w:hideMark/>
          </w:tcPr>
          <w:p w14:paraId="657782F2" w14:textId="77777777" w:rsidR="00A12B52" w:rsidRPr="0013396E" w:rsidRDefault="00A12B52" w:rsidP="0099759E">
            <w:pPr>
              <w:pStyle w:val="tablebody0"/>
            </w:pPr>
            <w:r w:rsidRPr="0013396E">
              <w:t xml:space="preserve">RTRRTOAMT </w:t>
            </w:r>
            <w:r w:rsidRPr="0013396E">
              <w:rPr>
                <w:i/>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34E7750D" w14:textId="77777777" w:rsidR="00A12B52" w:rsidRPr="0013396E" w:rsidRDefault="00A12B52" w:rsidP="0099759E">
            <w:pPr>
              <w:pStyle w:val="tablebody0"/>
            </w:pPr>
            <w:r w:rsidRPr="0013396E">
              <w:t>$</w:t>
            </w:r>
          </w:p>
        </w:tc>
        <w:tc>
          <w:tcPr>
            <w:tcW w:w="3179" w:type="pct"/>
            <w:tcBorders>
              <w:top w:val="single" w:sz="4" w:space="0" w:color="auto"/>
              <w:left w:val="single" w:sz="4" w:space="0" w:color="auto"/>
              <w:bottom w:val="single" w:sz="4" w:space="0" w:color="auto"/>
              <w:right w:val="single" w:sz="4" w:space="0" w:color="auto"/>
            </w:tcBorders>
            <w:hideMark/>
          </w:tcPr>
          <w:p w14:paraId="2E824638" w14:textId="77777777" w:rsidR="00A12B52" w:rsidRPr="0013396E" w:rsidRDefault="00A12B52" w:rsidP="0099759E">
            <w:pPr>
              <w:pStyle w:val="tablebody0"/>
              <w:rPr>
                <w:i/>
              </w:rPr>
            </w:pPr>
            <w:r w:rsidRPr="0013396E">
              <w:rPr>
                <w:i/>
              </w:rPr>
              <w:t>Real-Time Responsive Reserve Trade Overage Amount for the QSE</w:t>
            </w:r>
            <w:r w:rsidRPr="0013396E">
              <w:t xml:space="preserve">— The total charge to QSE </w:t>
            </w:r>
            <w:r w:rsidRPr="0013396E">
              <w:rPr>
                <w:i/>
              </w:rPr>
              <w:t>q</w:t>
            </w:r>
            <w:r w:rsidRPr="0013396E">
              <w:t xml:space="preserve"> in Real-Time for RRS trade overages for each 15-minute Settlement Interval.</w:t>
            </w:r>
          </w:p>
        </w:tc>
      </w:tr>
      <w:tr w:rsidR="00A12B52" w:rsidRPr="0013396E" w14:paraId="2DADE690" w14:textId="77777777" w:rsidTr="0099759E">
        <w:trPr>
          <w:cantSplit/>
        </w:trPr>
        <w:tc>
          <w:tcPr>
            <w:tcW w:w="1146" w:type="pct"/>
            <w:tcBorders>
              <w:top w:val="single" w:sz="4" w:space="0" w:color="auto"/>
              <w:left w:val="single" w:sz="4" w:space="0" w:color="auto"/>
              <w:bottom w:val="single" w:sz="4" w:space="0" w:color="auto"/>
              <w:right w:val="single" w:sz="4" w:space="0" w:color="auto"/>
            </w:tcBorders>
            <w:hideMark/>
          </w:tcPr>
          <w:p w14:paraId="04E239A8" w14:textId="77777777" w:rsidR="00A12B52" w:rsidRPr="0013396E" w:rsidRDefault="00A12B52" w:rsidP="0099759E">
            <w:pPr>
              <w:pStyle w:val="tablebody0"/>
            </w:pPr>
            <w:r w:rsidRPr="0013396E">
              <w:t>RTRROAMTTOT</w:t>
            </w:r>
          </w:p>
        </w:tc>
        <w:tc>
          <w:tcPr>
            <w:tcW w:w="675" w:type="pct"/>
            <w:tcBorders>
              <w:top w:val="single" w:sz="4" w:space="0" w:color="auto"/>
              <w:left w:val="single" w:sz="4" w:space="0" w:color="auto"/>
              <w:bottom w:val="single" w:sz="4" w:space="0" w:color="auto"/>
              <w:right w:val="single" w:sz="4" w:space="0" w:color="auto"/>
            </w:tcBorders>
            <w:hideMark/>
          </w:tcPr>
          <w:p w14:paraId="75CA8B8A" w14:textId="77777777" w:rsidR="00A12B52" w:rsidRPr="0013396E" w:rsidRDefault="00A12B52" w:rsidP="0099759E">
            <w:pPr>
              <w:pStyle w:val="tablebody0"/>
            </w:pPr>
            <w:r w:rsidRPr="0013396E">
              <w:t>$</w:t>
            </w:r>
          </w:p>
        </w:tc>
        <w:tc>
          <w:tcPr>
            <w:tcW w:w="3179" w:type="pct"/>
            <w:tcBorders>
              <w:top w:val="single" w:sz="4" w:space="0" w:color="auto"/>
              <w:left w:val="single" w:sz="4" w:space="0" w:color="auto"/>
              <w:bottom w:val="single" w:sz="4" w:space="0" w:color="auto"/>
              <w:right w:val="single" w:sz="4" w:space="0" w:color="auto"/>
            </w:tcBorders>
            <w:hideMark/>
          </w:tcPr>
          <w:p w14:paraId="76581F19" w14:textId="77777777" w:rsidR="00A12B52" w:rsidRPr="0013396E" w:rsidRDefault="00A12B52" w:rsidP="0099759E">
            <w:pPr>
              <w:pStyle w:val="tablebody0"/>
              <w:rPr>
                <w:i/>
              </w:rPr>
            </w:pPr>
            <w:r w:rsidRPr="0013396E">
              <w:rPr>
                <w:i/>
              </w:rPr>
              <w:t xml:space="preserve">Real-Time Responsive Reserve Trade Overage Total Amount </w:t>
            </w:r>
            <w:r w:rsidRPr="0013396E">
              <w:t>— The total charge to all QSEs for Real-Time RRS trade overages for each 15-minute Settlement Interval.</w:t>
            </w:r>
          </w:p>
        </w:tc>
      </w:tr>
      <w:tr w:rsidR="00A12B52" w:rsidRPr="0013396E" w14:paraId="22C4950C" w14:textId="77777777" w:rsidTr="0099759E">
        <w:trPr>
          <w:cantSplit/>
        </w:trPr>
        <w:tc>
          <w:tcPr>
            <w:tcW w:w="1146" w:type="pct"/>
            <w:tcBorders>
              <w:top w:val="single" w:sz="4" w:space="0" w:color="auto"/>
              <w:left w:val="single" w:sz="4" w:space="0" w:color="auto"/>
              <w:bottom w:val="single" w:sz="4" w:space="0" w:color="auto"/>
              <w:right w:val="single" w:sz="4" w:space="0" w:color="auto"/>
            </w:tcBorders>
            <w:hideMark/>
          </w:tcPr>
          <w:p w14:paraId="0372EC1F" w14:textId="77777777" w:rsidR="00A12B52" w:rsidRPr="0013396E" w:rsidRDefault="00A12B52" w:rsidP="0099759E">
            <w:pPr>
              <w:pStyle w:val="tablebody0"/>
            </w:pPr>
            <w:r w:rsidRPr="0013396E">
              <w:t>LRS</w:t>
            </w:r>
            <w:r w:rsidRPr="0013396E">
              <w:rPr>
                <w:vertAlign w:val="subscript"/>
              </w:rPr>
              <w:t xml:space="preserve"> </w:t>
            </w:r>
            <w:r w:rsidRPr="0013396E">
              <w:rPr>
                <w:i/>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6AD91183" w14:textId="77777777" w:rsidR="00A12B52" w:rsidRPr="0013396E" w:rsidRDefault="00A12B52" w:rsidP="0099759E">
            <w:pPr>
              <w:pStyle w:val="tablebody0"/>
            </w:pPr>
            <w:r w:rsidRPr="0013396E">
              <w:t>none</w:t>
            </w:r>
          </w:p>
        </w:tc>
        <w:tc>
          <w:tcPr>
            <w:tcW w:w="3179" w:type="pct"/>
            <w:tcBorders>
              <w:top w:val="single" w:sz="4" w:space="0" w:color="auto"/>
              <w:left w:val="single" w:sz="4" w:space="0" w:color="auto"/>
              <w:bottom w:val="single" w:sz="4" w:space="0" w:color="auto"/>
              <w:right w:val="single" w:sz="4" w:space="0" w:color="auto"/>
            </w:tcBorders>
            <w:hideMark/>
          </w:tcPr>
          <w:p w14:paraId="2481CDE5" w14:textId="77777777" w:rsidR="00A12B52" w:rsidRPr="0013396E" w:rsidRDefault="00A12B52" w:rsidP="0099759E">
            <w:pPr>
              <w:pStyle w:val="tablebody0"/>
              <w:rPr>
                <w:i/>
              </w:rPr>
            </w:pPr>
            <w:r w:rsidRPr="0013396E">
              <w:rPr>
                <w:i/>
              </w:rPr>
              <w:t>Load Ratio Share per QSE</w:t>
            </w:r>
            <w:r w:rsidRPr="0013396E">
              <w:t xml:space="preserve">—The LRS as defined in Section 6.6.2.2 for QSE </w:t>
            </w:r>
            <w:r w:rsidRPr="0013396E">
              <w:rPr>
                <w:i/>
              </w:rPr>
              <w:t>q</w:t>
            </w:r>
            <w:r w:rsidRPr="0013396E">
              <w:t xml:space="preserve"> for the 15-minute Settlement Interval.</w:t>
            </w:r>
          </w:p>
        </w:tc>
      </w:tr>
      <w:tr w:rsidR="00A12B52" w:rsidRPr="0013396E" w14:paraId="38352F6E" w14:textId="77777777" w:rsidTr="0099759E">
        <w:trPr>
          <w:cantSplit/>
        </w:trPr>
        <w:tc>
          <w:tcPr>
            <w:tcW w:w="1146" w:type="pct"/>
            <w:tcBorders>
              <w:top w:val="single" w:sz="4" w:space="0" w:color="auto"/>
              <w:left w:val="single" w:sz="4" w:space="0" w:color="auto"/>
              <w:bottom w:val="single" w:sz="4" w:space="0" w:color="auto"/>
              <w:right w:val="single" w:sz="4" w:space="0" w:color="auto"/>
            </w:tcBorders>
            <w:hideMark/>
          </w:tcPr>
          <w:p w14:paraId="6A96B271" w14:textId="77777777" w:rsidR="00A12B52" w:rsidRPr="0013396E" w:rsidRDefault="00A12B52" w:rsidP="0099759E">
            <w:pPr>
              <w:pStyle w:val="tablebody0"/>
            </w:pPr>
            <w:r w:rsidRPr="0013396E">
              <w:rPr>
                <w:i/>
              </w:rPr>
              <w:t>q</w:t>
            </w:r>
          </w:p>
        </w:tc>
        <w:tc>
          <w:tcPr>
            <w:tcW w:w="675" w:type="pct"/>
            <w:tcBorders>
              <w:top w:val="single" w:sz="4" w:space="0" w:color="auto"/>
              <w:left w:val="single" w:sz="4" w:space="0" w:color="auto"/>
              <w:bottom w:val="single" w:sz="4" w:space="0" w:color="auto"/>
              <w:right w:val="single" w:sz="4" w:space="0" w:color="auto"/>
            </w:tcBorders>
            <w:hideMark/>
          </w:tcPr>
          <w:p w14:paraId="32488506" w14:textId="77777777" w:rsidR="00A12B52" w:rsidRPr="0013396E" w:rsidRDefault="00A12B52" w:rsidP="0099759E">
            <w:pPr>
              <w:pStyle w:val="tablebody0"/>
            </w:pPr>
            <w:r w:rsidRPr="0013396E">
              <w:t>none</w:t>
            </w:r>
          </w:p>
        </w:tc>
        <w:tc>
          <w:tcPr>
            <w:tcW w:w="3179" w:type="pct"/>
            <w:tcBorders>
              <w:top w:val="single" w:sz="4" w:space="0" w:color="auto"/>
              <w:left w:val="single" w:sz="4" w:space="0" w:color="auto"/>
              <w:bottom w:val="single" w:sz="4" w:space="0" w:color="auto"/>
              <w:right w:val="single" w:sz="4" w:space="0" w:color="auto"/>
            </w:tcBorders>
            <w:hideMark/>
          </w:tcPr>
          <w:p w14:paraId="23240735" w14:textId="77777777" w:rsidR="00A12B52" w:rsidRPr="0013396E" w:rsidRDefault="00A12B52" w:rsidP="0099759E">
            <w:pPr>
              <w:pStyle w:val="tablebody0"/>
              <w:rPr>
                <w:i/>
              </w:rPr>
            </w:pPr>
            <w:r w:rsidRPr="0013396E">
              <w:t>A QSE.</w:t>
            </w:r>
          </w:p>
        </w:tc>
      </w:tr>
    </w:tbl>
    <w:p w14:paraId="6B696B1F" w14:textId="77777777" w:rsidR="00A12B52" w:rsidRPr="0013396E" w:rsidRDefault="00A12B52" w:rsidP="00A12B52">
      <w:pPr>
        <w:pStyle w:val="BodyText"/>
        <w:spacing w:before="240"/>
        <w:ind w:left="1440" w:hanging="720"/>
      </w:pPr>
      <w:r w:rsidRPr="0013396E">
        <w:t>(d)         For Non-Spin:</w:t>
      </w:r>
    </w:p>
    <w:p w14:paraId="463F6E23" w14:textId="77777777" w:rsidR="00A12B52" w:rsidRPr="0013396E" w:rsidRDefault="00A12B52" w:rsidP="00A12B52">
      <w:pPr>
        <w:pStyle w:val="BodyText"/>
        <w:spacing w:before="240" w:after="0"/>
        <w:ind w:left="1440" w:hanging="720"/>
      </w:pPr>
      <w:r w:rsidRPr="0013396E">
        <w:t xml:space="preserve">LARTNSAMT </w:t>
      </w:r>
      <w:r w:rsidRPr="0013396E">
        <w:rPr>
          <w:i/>
          <w:vertAlign w:val="subscript"/>
        </w:rPr>
        <w:t>q</w:t>
      </w:r>
      <w:r w:rsidRPr="0013396E">
        <w:t xml:space="preserve"> =</w:t>
      </w:r>
      <w:r w:rsidRPr="0013396E">
        <w:tab/>
        <w:t xml:space="preserve">(-1) * (RTNSIMBAMTTOT + RTNSOAMTTOT + </w:t>
      </w:r>
    </w:p>
    <w:p w14:paraId="0A710185" w14:textId="77777777" w:rsidR="00A12B52" w:rsidRPr="0013396E" w:rsidRDefault="00A12B52" w:rsidP="00A12B52">
      <w:pPr>
        <w:pStyle w:val="BodyText"/>
        <w:ind w:left="2160" w:firstLine="720"/>
      </w:pPr>
      <w:r w:rsidRPr="0013396E">
        <w:t xml:space="preserve">RTNSTOAMTTOT) * LRS </w:t>
      </w:r>
      <w:r w:rsidRPr="0013396E">
        <w:rPr>
          <w:i/>
          <w:vertAlign w:val="subscript"/>
        </w:rPr>
        <w:t>q</w:t>
      </w:r>
    </w:p>
    <w:p w14:paraId="2C5405C3" w14:textId="77777777" w:rsidR="00A12B52" w:rsidRPr="0013396E" w:rsidRDefault="00A12B52" w:rsidP="00A12B52">
      <w:pPr>
        <w:pStyle w:val="BodyText"/>
        <w:ind w:left="1440" w:hanging="720"/>
      </w:pPr>
      <w:r w:rsidRPr="0013396E">
        <w:t>Where:</w:t>
      </w:r>
    </w:p>
    <w:p w14:paraId="2E6DD764" w14:textId="77777777" w:rsidR="00A12B52" w:rsidRPr="0013396E" w:rsidRDefault="00A12B52" w:rsidP="00A12B52">
      <w:pPr>
        <w:pStyle w:val="BodyText"/>
        <w:ind w:left="1440" w:hanging="720"/>
      </w:pPr>
      <w:r w:rsidRPr="0013396E">
        <w:t xml:space="preserve">RTNSIMBAMTTOT = </w:t>
      </w:r>
      <w:r w:rsidRPr="0013396E">
        <w:rPr>
          <w:noProof/>
        </w:rPr>
        <w:drawing>
          <wp:inline distT="0" distB="0" distL="0" distR="0" wp14:anchorId="1484ED1E" wp14:editId="4A89545E">
            <wp:extent cx="146685" cy="293370"/>
            <wp:effectExtent l="0" t="0" r="5715" b="0"/>
            <wp:docPr id="1049833463" name="Picture 1049833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5"/>
                    <pic:cNvPicPr>
                      <a:picLocks noChangeAspect="1" noChangeArrowheads="1"/>
                    </pic:cNvPicPr>
                  </pic:nvPicPr>
                  <pic:blipFill>
                    <a:blip r:embed="rId370"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13396E">
        <w:t xml:space="preserve"> (RTNSIMBAMT </w:t>
      </w:r>
      <w:r w:rsidRPr="0013396E">
        <w:rPr>
          <w:i/>
          <w:vertAlign w:val="subscript"/>
        </w:rPr>
        <w:t>q</w:t>
      </w:r>
      <w:r w:rsidRPr="0013396E">
        <w:t>)</w:t>
      </w:r>
    </w:p>
    <w:p w14:paraId="46ECF118" w14:textId="77777777" w:rsidR="00A12B52" w:rsidRPr="0013396E" w:rsidRDefault="00A12B52" w:rsidP="00A12B52">
      <w:pPr>
        <w:pStyle w:val="BodyText"/>
        <w:ind w:left="1440" w:hanging="720"/>
      </w:pPr>
      <w:r w:rsidRPr="0013396E">
        <w:t xml:space="preserve">RTNSOAMTTOT = </w:t>
      </w:r>
      <w:r w:rsidRPr="0013396E">
        <w:rPr>
          <w:noProof/>
        </w:rPr>
        <w:drawing>
          <wp:inline distT="0" distB="0" distL="0" distR="0" wp14:anchorId="11766408" wp14:editId="05E83E22">
            <wp:extent cx="146685" cy="293370"/>
            <wp:effectExtent l="0" t="0" r="5715" b="0"/>
            <wp:docPr id="1620414995" name="Picture 16204149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6"/>
                    <pic:cNvPicPr>
                      <a:picLocks noChangeAspect="1" noChangeArrowheads="1"/>
                    </pic:cNvPicPr>
                  </pic:nvPicPr>
                  <pic:blipFill>
                    <a:blip r:embed="rId370"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13396E">
        <w:t xml:space="preserve"> (RTNSOAMT </w:t>
      </w:r>
      <w:r w:rsidRPr="0013396E">
        <w:rPr>
          <w:i/>
          <w:vertAlign w:val="subscript"/>
        </w:rPr>
        <w:t>q</w:t>
      </w:r>
      <w:r w:rsidRPr="0013396E">
        <w:t>)</w:t>
      </w:r>
    </w:p>
    <w:p w14:paraId="0AE9F06D" w14:textId="77777777" w:rsidR="00A12B52" w:rsidRPr="0013396E" w:rsidRDefault="00A12B52" w:rsidP="00A12B52">
      <w:pPr>
        <w:pStyle w:val="BodyText"/>
        <w:ind w:left="1440" w:hanging="720"/>
      </w:pPr>
      <w:r w:rsidRPr="0013396E">
        <w:t xml:space="preserve">RTNSTOAMTTOT = </w:t>
      </w:r>
      <w:r w:rsidRPr="0013396E">
        <w:rPr>
          <w:noProof/>
        </w:rPr>
        <w:drawing>
          <wp:inline distT="0" distB="0" distL="0" distR="0" wp14:anchorId="39A44CCF" wp14:editId="6F236C5A">
            <wp:extent cx="146685" cy="293370"/>
            <wp:effectExtent l="0" t="0" r="5715" b="0"/>
            <wp:docPr id="1651913802" name="Picture 16519138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7"/>
                    <pic:cNvPicPr>
                      <a:picLocks noChangeAspect="1" noChangeArrowheads="1"/>
                    </pic:cNvPicPr>
                  </pic:nvPicPr>
                  <pic:blipFill>
                    <a:blip r:embed="rId370"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13396E">
        <w:t xml:space="preserve"> (RTNSTOAMT </w:t>
      </w:r>
      <w:r w:rsidRPr="0013396E">
        <w:rPr>
          <w:i/>
          <w:vertAlign w:val="subscript"/>
        </w:rPr>
        <w:t>q</w:t>
      </w:r>
      <w:r w:rsidRPr="0013396E">
        <w:t>)</w:t>
      </w:r>
    </w:p>
    <w:p w14:paraId="4BB93CBF" w14:textId="77777777" w:rsidR="00A12B52" w:rsidRPr="0013396E" w:rsidRDefault="00A12B52" w:rsidP="00A12B52">
      <w:pPr>
        <w:pStyle w:val="NoSpacing"/>
      </w:pPr>
      <w:r w:rsidRPr="0013396E">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143"/>
        <w:gridCol w:w="1262"/>
        <w:gridCol w:w="5945"/>
      </w:tblGrid>
      <w:tr w:rsidR="00A12B52" w:rsidRPr="0013396E" w14:paraId="312BC54B" w14:textId="77777777" w:rsidTr="0099759E">
        <w:trPr>
          <w:cantSplit/>
          <w:tblHeader/>
        </w:trPr>
        <w:tc>
          <w:tcPr>
            <w:tcW w:w="1146" w:type="pct"/>
            <w:tcBorders>
              <w:top w:val="single" w:sz="4" w:space="0" w:color="auto"/>
              <w:left w:val="single" w:sz="4" w:space="0" w:color="auto"/>
              <w:bottom w:val="single" w:sz="4" w:space="0" w:color="auto"/>
              <w:right w:val="single" w:sz="4" w:space="0" w:color="auto"/>
            </w:tcBorders>
            <w:hideMark/>
          </w:tcPr>
          <w:p w14:paraId="1C5C393D" w14:textId="77777777" w:rsidR="00A12B52" w:rsidRPr="0013396E" w:rsidRDefault="00A12B52" w:rsidP="0099759E">
            <w:pPr>
              <w:pStyle w:val="TableHead"/>
            </w:pPr>
            <w:r w:rsidRPr="0013396E">
              <w:rPr>
                <w:b w:val="0"/>
                <w:iCs w:val="0"/>
              </w:rPr>
              <w:t>Variable</w:t>
            </w:r>
          </w:p>
        </w:tc>
        <w:tc>
          <w:tcPr>
            <w:tcW w:w="675" w:type="pct"/>
            <w:tcBorders>
              <w:top w:val="single" w:sz="4" w:space="0" w:color="auto"/>
              <w:left w:val="single" w:sz="4" w:space="0" w:color="auto"/>
              <w:bottom w:val="single" w:sz="4" w:space="0" w:color="auto"/>
              <w:right w:val="single" w:sz="4" w:space="0" w:color="auto"/>
            </w:tcBorders>
            <w:hideMark/>
          </w:tcPr>
          <w:p w14:paraId="190CA870" w14:textId="77777777" w:rsidR="00A12B52" w:rsidRPr="0013396E" w:rsidRDefault="00A12B52" w:rsidP="0099759E">
            <w:pPr>
              <w:pStyle w:val="TableHead"/>
            </w:pPr>
            <w:r w:rsidRPr="0013396E">
              <w:t>Unit</w:t>
            </w:r>
          </w:p>
        </w:tc>
        <w:tc>
          <w:tcPr>
            <w:tcW w:w="3179" w:type="pct"/>
            <w:tcBorders>
              <w:top w:val="single" w:sz="4" w:space="0" w:color="auto"/>
              <w:left w:val="single" w:sz="4" w:space="0" w:color="auto"/>
              <w:bottom w:val="single" w:sz="4" w:space="0" w:color="auto"/>
              <w:right w:val="single" w:sz="4" w:space="0" w:color="auto"/>
            </w:tcBorders>
            <w:hideMark/>
          </w:tcPr>
          <w:p w14:paraId="15A68AE9" w14:textId="77777777" w:rsidR="00A12B52" w:rsidRPr="0013396E" w:rsidRDefault="00A12B52" w:rsidP="0099759E">
            <w:pPr>
              <w:pStyle w:val="TableHead"/>
            </w:pPr>
            <w:r w:rsidRPr="0013396E">
              <w:t>Description</w:t>
            </w:r>
          </w:p>
        </w:tc>
      </w:tr>
      <w:tr w:rsidR="00A12B52" w:rsidRPr="0013396E" w14:paraId="24186D36" w14:textId="77777777" w:rsidTr="0099759E">
        <w:trPr>
          <w:cantSplit/>
        </w:trPr>
        <w:tc>
          <w:tcPr>
            <w:tcW w:w="1146" w:type="pct"/>
            <w:tcBorders>
              <w:top w:val="single" w:sz="4" w:space="0" w:color="auto"/>
              <w:left w:val="single" w:sz="4" w:space="0" w:color="auto"/>
              <w:bottom w:val="single" w:sz="4" w:space="0" w:color="auto"/>
              <w:right w:val="single" w:sz="4" w:space="0" w:color="auto"/>
            </w:tcBorders>
            <w:hideMark/>
          </w:tcPr>
          <w:p w14:paraId="773C8E02" w14:textId="77777777" w:rsidR="00A12B52" w:rsidRPr="0013396E" w:rsidRDefault="00A12B52" w:rsidP="0099759E">
            <w:pPr>
              <w:pStyle w:val="tablebody0"/>
            </w:pPr>
            <w:r w:rsidRPr="0013396E">
              <w:t xml:space="preserve">LARTNSAMT </w:t>
            </w:r>
            <w:r w:rsidRPr="0013396E">
              <w:rPr>
                <w:i/>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6920D2AB" w14:textId="77777777" w:rsidR="00A12B52" w:rsidRPr="0013396E" w:rsidRDefault="00A12B52" w:rsidP="0099759E">
            <w:pPr>
              <w:pStyle w:val="tablebody0"/>
            </w:pPr>
            <w:r w:rsidRPr="0013396E">
              <w:t>$</w:t>
            </w:r>
          </w:p>
        </w:tc>
        <w:tc>
          <w:tcPr>
            <w:tcW w:w="3179" w:type="pct"/>
            <w:tcBorders>
              <w:top w:val="single" w:sz="4" w:space="0" w:color="auto"/>
              <w:left w:val="single" w:sz="4" w:space="0" w:color="auto"/>
              <w:bottom w:val="single" w:sz="4" w:space="0" w:color="auto"/>
              <w:right w:val="single" w:sz="4" w:space="0" w:color="auto"/>
            </w:tcBorders>
            <w:hideMark/>
          </w:tcPr>
          <w:p w14:paraId="2B3ED259" w14:textId="77777777" w:rsidR="00A12B52" w:rsidRPr="0013396E" w:rsidRDefault="00A12B52" w:rsidP="0099759E">
            <w:pPr>
              <w:pStyle w:val="tablebody0"/>
              <w:rPr>
                <w:i/>
              </w:rPr>
            </w:pPr>
            <w:r w:rsidRPr="0013396E">
              <w:rPr>
                <w:i/>
              </w:rPr>
              <w:t>Load-Allocated Real-Time Non-Spin Amount for the QSE</w:t>
            </w:r>
            <w:r w:rsidRPr="0013396E">
              <w:t xml:space="preserve"> </w:t>
            </w:r>
            <w:r w:rsidRPr="0013396E">
              <w:sym w:font="Symbol" w:char="F0BE"/>
            </w:r>
            <w:r w:rsidRPr="0013396E">
              <w:t xml:space="preserve"> The QSE’s share of the total Real-Time Non-Spin amount for the 15-minute Settlement Interval.</w:t>
            </w:r>
          </w:p>
        </w:tc>
      </w:tr>
      <w:tr w:rsidR="00A12B52" w:rsidRPr="0013396E" w14:paraId="724635C8" w14:textId="77777777" w:rsidTr="0099759E">
        <w:trPr>
          <w:cantSplit/>
        </w:trPr>
        <w:tc>
          <w:tcPr>
            <w:tcW w:w="1146" w:type="pct"/>
            <w:tcBorders>
              <w:top w:val="single" w:sz="4" w:space="0" w:color="auto"/>
              <w:left w:val="single" w:sz="4" w:space="0" w:color="auto"/>
              <w:bottom w:val="single" w:sz="4" w:space="0" w:color="auto"/>
              <w:right w:val="single" w:sz="4" w:space="0" w:color="auto"/>
            </w:tcBorders>
            <w:hideMark/>
          </w:tcPr>
          <w:p w14:paraId="58227207" w14:textId="77777777" w:rsidR="00A12B52" w:rsidRPr="0013396E" w:rsidRDefault="00A12B52" w:rsidP="0099759E">
            <w:pPr>
              <w:pStyle w:val="tablebody0"/>
            </w:pPr>
            <w:r w:rsidRPr="0013396E">
              <w:lastRenderedPageBreak/>
              <w:t xml:space="preserve">RTNSIMBAMT </w:t>
            </w:r>
            <w:r w:rsidRPr="0013396E">
              <w:rPr>
                <w:i/>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3C7D6656" w14:textId="77777777" w:rsidR="00A12B52" w:rsidRPr="0013396E" w:rsidRDefault="00A12B52" w:rsidP="0099759E">
            <w:pPr>
              <w:pStyle w:val="tablebody0"/>
            </w:pPr>
            <w:r w:rsidRPr="0013396E">
              <w:t>$</w:t>
            </w:r>
          </w:p>
        </w:tc>
        <w:tc>
          <w:tcPr>
            <w:tcW w:w="3179" w:type="pct"/>
            <w:tcBorders>
              <w:top w:val="single" w:sz="4" w:space="0" w:color="auto"/>
              <w:left w:val="single" w:sz="4" w:space="0" w:color="auto"/>
              <w:bottom w:val="single" w:sz="4" w:space="0" w:color="auto"/>
              <w:right w:val="single" w:sz="4" w:space="0" w:color="auto"/>
            </w:tcBorders>
            <w:hideMark/>
          </w:tcPr>
          <w:p w14:paraId="31CBCB62" w14:textId="77777777" w:rsidR="00A12B52" w:rsidRPr="0013396E" w:rsidRDefault="00A12B52" w:rsidP="0099759E">
            <w:pPr>
              <w:pStyle w:val="tablebody0"/>
              <w:rPr>
                <w:i/>
              </w:rPr>
            </w:pPr>
            <w:r w:rsidRPr="0013396E">
              <w:rPr>
                <w:i/>
              </w:rPr>
              <w:t xml:space="preserve">Real-Time Non-Spin Imbalance Amount for the QSE - </w:t>
            </w:r>
            <w:r w:rsidRPr="0013396E">
              <w:t xml:space="preserve">The total payment or charge to QSE </w:t>
            </w:r>
            <w:r w:rsidRPr="0013396E">
              <w:rPr>
                <w:i/>
              </w:rPr>
              <w:t>q</w:t>
            </w:r>
            <w:r w:rsidRPr="0013396E">
              <w:t xml:space="preserve"> for the Real-Time Non-Spin imbalance for each 15-minute Settlement Interval.</w:t>
            </w:r>
          </w:p>
        </w:tc>
      </w:tr>
      <w:tr w:rsidR="00A12B52" w:rsidRPr="0013396E" w14:paraId="0D4FD8F7" w14:textId="77777777" w:rsidTr="0099759E">
        <w:trPr>
          <w:cantSplit/>
        </w:trPr>
        <w:tc>
          <w:tcPr>
            <w:tcW w:w="1146" w:type="pct"/>
            <w:tcBorders>
              <w:top w:val="single" w:sz="4" w:space="0" w:color="auto"/>
              <w:left w:val="single" w:sz="4" w:space="0" w:color="auto"/>
              <w:bottom w:val="single" w:sz="4" w:space="0" w:color="auto"/>
              <w:right w:val="single" w:sz="4" w:space="0" w:color="auto"/>
            </w:tcBorders>
            <w:hideMark/>
          </w:tcPr>
          <w:p w14:paraId="0A8A28EE" w14:textId="77777777" w:rsidR="00A12B52" w:rsidRPr="0013396E" w:rsidRDefault="00A12B52" w:rsidP="0099759E">
            <w:pPr>
              <w:pStyle w:val="tablebody0"/>
            </w:pPr>
            <w:r w:rsidRPr="0013396E">
              <w:t xml:space="preserve">RTNSOAMT </w:t>
            </w:r>
            <w:r w:rsidRPr="0013396E">
              <w:rPr>
                <w:i/>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7150DBE5" w14:textId="77777777" w:rsidR="00A12B52" w:rsidRPr="0013396E" w:rsidRDefault="00A12B52" w:rsidP="0099759E">
            <w:pPr>
              <w:pStyle w:val="tablebody0"/>
            </w:pPr>
            <w:r w:rsidRPr="0013396E">
              <w:t>$</w:t>
            </w:r>
          </w:p>
        </w:tc>
        <w:tc>
          <w:tcPr>
            <w:tcW w:w="3179" w:type="pct"/>
            <w:tcBorders>
              <w:top w:val="single" w:sz="4" w:space="0" w:color="auto"/>
              <w:left w:val="single" w:sz="4" w:space="0" w:color="auto"/>
              <w:bottom w:val="single" w:sz="4" w:space="0" w:color="auto"/>
              <w:right w:val="single" w:sz="4" w:space="0" w:color="auto"/>
            </w:tcBorders>
            <w:hideMark/>
          </w:tcPr>
          <w:p w14:paraId="4610CB30" w14:textId="77777777" w:rsidR="00A12B52" w:rsidRPr="0013396E" w:rsidRDefault="00A12B52" w:rsidP="0099759E">
            <w:pPr>
              <w:pStyle w:val="tablebody0"/>
              <w:rPr>
                <w:i/>
              </w:rPr>
            </w:pPr>
            <w:r w:rsidRPr="0013396E">
              <w:rPr>
                <w:i/>
              </w:rPr>
              <w:t>Real-Time Non-Spin Only Amount for the QSE</w:t>
            </w:r>
            <w:r w:rsidRPr="0013396E">
              <w:t xml:space="preserve">— The total charge to QSE </w:t>
            </w:r>
            <w:r w:rsidRPr="0013396E">
              <w:rPr>
                <w:i/>
              </w:rPr>
              <w:t>q</w:t>
            </w:r>
            <w:r w:rsidRPr="0013396E">
              <w:t xml:space="preserve"> in Real-Time for Non-Spin only awards for each 15-minute Settlement Interval.</w:t>
            </w:r>
          </w:p>
        </w:tc>
      </w:tr>
      <w:tr w:rsidR="00A12B52" w:rsidRPr="0013396E" w14:paraId="405FE7FC" w14:textId="77777777" w:rsidTr="0099759E">
        <w:trPr>
          <w:cantSplit/>
        </w:trPr>
        <w:tc>
          <w:tcPr>
            <w:tcW w:w="1146" w:type="pct"/>
            <w:tcBorders>
              <w:top w:val="single" w:sz="4" w:space="0" w:color="auto"/>
              <w:left w:val="single" w:sz="4" w:space="0" w:color="auto"/>
              <w:bottom w:val="single" w:sz="4" w:space="0" w:color="auto"/>
              <w:right w:val="single" w:sz="4" w:space="0" w:color="auto"/>
            </w:tcBorders>
            <w:hideMark/>
          </w:tcPr>
          <w:p w14:paraId="4B433E1E" w14:textId="77777777" w:rsidR="00A12B52" w:rsidRPr="0013396E" w:rsidRDefault="00A12B52" w:rsidP="0099759E">
            <w:pPr>
              <w:pStyle w:val="tablebody0"/>
            </w:pPr>
            <w:r w:rsidRPr="0013396E">
              <w:t>RTNSIMBAMTTOT</w:t>
            </w:r>
          </w:p>
        </w:tc>
        <w:tc>
          <w:tcPr>
            <w:tcW w:w="675" w:type="pct"/>
            <w:tcBorders>
              <w:top w:val="single" w:sz="4" w:space="0" w:color="auto"/>
              <w:left w:val="single" w:sz="4" w:space="0" w:color="auto"/>
              <w:bottom w:val="single" w:sz="4" w:space="0" w:color="auto"/>
              <w:right w:val="single" w:sz="4" w:space="0" w:color="auto"/>
            </w:tcBorders>
            <w:hideMark/>
          </w:tcPr>
          <w:p w14:paraId="6DB2DC30" w14:textId="77777777" w:rsidR="00A12B52" w:rsidRPr="0013396E" w:rsidRDefault="00A12B52" w:rsidP="0099759E">
            <w:pPr>
              <w:pStyle w:val="tablebody0"/>
            </w:pPr>
            <w:r w:rsidRPr="0013396E">
              <w:t>$</w:t>
            </w:r>
          </w:p>
        </w:tc>
        <w:tc>
          <w:tcPr>
            <w:tcW w:w="3179" w:type="pct"/>
            <w:tcBorders>
              <w:top w:val="single" w:sz="4" w:space="0" w:color="auto"/>
              <w:left w:val="single" w:sz="4" w:space="0" w:color="auto"/>
              <w:bottom w:val="single" w:sz="4" w:space="0" w:color="auto"/>
              <w:right w:val="single" w:sz="4" w:space="0" w:color="auto"/>
            </w:tcBorders>
            <w:hideMark/>
          </w:tcPr>
          <w:p w14:paraId="01B60EBC" w14:textId="77777777" w:rsidR="00A12B52" w:rsidRPr="0013396E" w:rsidRDefault="00A12B52" w:rsidP="0099759E">
            <w:pPr>
              <w:pStyle w:val="tablebody0"/>
              <w:rPr>
                <w:i/>
              </w:rPr>
            </w:pPr>
            <w:r w:rsidRPr="0013396E">
              <w:rPr>
                <w:i/>
              </w:rPr>
              <w:t xml:space="preserve">Real-Time Non-Spin Imbalance Market Total Amount - </w:t>
            </w:r>
            <w:r w:rsidRPr="0013396E">
              <w:t>The total payment or charge to all QSEs for the Real-Time Non-Spin imbalance for each 15-minute Settlement Interval.</w:t>
            </w:r>
          </w:p>
        </w:tc>
      </w:tr>
      <w:tr w:rsidR="00A12B52" w:rsidRPr="0013396E" w14:paraId="7124CFE2" w14:textId="77777777" w:rsidTr="0099759E">
        <w:trPr>
          <w:cantSplit/>
        </w:trPr>
        <w:tc>
          <w:tcPr>
            <w:tcW w:w="1146" w:type="pct"/>
            <w:tcBorders>
              <w:top w:val="single" w:sz="4" w:space="0" w:color="auto"/>
              <w:left w:val="single" w:sz="4" w:space="0" w:color="auto"/>
              <w:bottom w:val="single" w:sz="4" w:space="0" w:color="auto"/>
              <w:right w:val="single" w:sz="4" w:space="0" w:color="auto"/>
            </w:tcBorders>
            <w:hideMark/>
          </w:tcPr>
          <w:p w14:paraId="3A539667" w14:textId="77777777" w:rsidR="00A12B52" w:rsidRPr="0013396E" w:rsidRDefault="00A12B52" w:rsidP="0099759E">
            <w:pPr>
              <w:pStyle w:val="tablebody0"/>
            </w:pPr>
            <w:r w:rsidRPr="0013396E">
              <w:t>RTNSOAMTTOT</w:t>
            </w:r>
          </w:p>
        </w:tc>
        <w:tc>
          <w:tcPr>
            <w:tcW w:w="675" w:type="pct"/>
            <w:tcBorders>
              <w:top w:val="single" w:sz="4" w:space="0" w:color="auto"/>
              <w:left w:val="single" w:sz="4" w:space="0" w:color="auto"/>
              <w:bottom w:val="single" w:sz="4" w:space="0" w:color="auto"/>
              <w:right w:val="single" w:sz="4" w:space="0" w:color="auto"/>
            </w:tcBorders>
            <w:hideMark/>
          </w:tcPr>
          <w:p w14:paraId="33BDAE75" w14:textId="77777777" w:rsidR="00A12B52" w:rsidRPr="0013396E" w:rsidRDefault="00A12B52" w:rsidP="0099759E">
            <w:pPr>
              <w:pStyle w:val="tablebody0"/>
            </w:pPr>
            <w:r w:rsidRPr="0013396E">
              <w:t>$</w:t>
            </w:r>
          </w:p>
        </w:tc>
        <w:tc>
          <w:tcPr>
            <w:tcW w:w="3179" w:type="pct"/>
            <w:tcBorders>
              <w:top w:val="single" w:sz="4" w:space="0" w:color="auto"/>
              <w:left w:val="single" w:sz="4" w:space="0" w:color="auto"/>
              <w:bottom w:val="single" w:sz="4" w:space="0" w:color="auto"/>
              <w:right w:val="single" w:sz="4" w:space="0" w:color="auto"/>
            </w:tcBorders>
            <w:hideMark/>
          </w:tcPr>
          <w:p w14:paraId="0EDA8B75" w14:textId="77777777" w:rsidR="00A12B52" w:rsidRPr="0013396E" w:rsidRDefault="00A12B52" w:rsidP="0099759E">
            <w:pPr>
              <w:pStyle w:val="tablebody0"/>
              <w:rPr>
                <w:i/>
              </w:rPr>
            </w:pPr>
            <w:r w:rsidRPr="0013396E">
              <w:rPr>
                <w:i/>
              </w:rPr>
              <w:t xml:space="preserve">Real-Time Non-Spin Only Market Total Amount - </w:t>
            </w:r>
            <w:r w:rsidRPr="0013396E">
              <w:t>The total charge to all QSEs in Real-Time for Non-Spin only awards for each 15-minute Settlement Interval.</w:t>
            </w:r>
          </w:p>
        </w:tc>
      </w:tr>
      <w:tr w:rsidR="00A12B52" w:rsidRPr="0013396E" w14:paraId="52FD1475" w14:textId="77777777" w:rsidTr="0099759E">
        <w:trPr>
          <w:cantSplit/>
        </w:trPr>
        <w:tc>
          <w:tcPr>
            <w:tcW w:w="1146" w:type="pct"/>
            <w:tcBorders>
              <w:top w:val="single" w:sz="4" w:space="0" w:color="auto"/>
              <w:left w:val="single" w:sz="4" w:space="0" w:color="auto"/>
              <w:bottom w:val="single" w:sz="4" w:space="0" w:color="auto"/>
              <w:right w:val="single" w:sz="4" w:space="0" w:color="auto"/>
            </w:tcBorders>
            <w:hideMark/>
          </w:tcPr>
          <w:p w14:paraId="2C47FCC6" w14:textId="77777777" w:rsidR="00A12B52" w:rsidRPr="0013396E" w:rsidRDefault="00A12B52" w:rsidP="0099759E">
            <w:pPr>
              <w:pStyle w:val="tablebody0"/>
            </w:pPr>
            <w:r w:rsidRPr="0013396E">
              <w:t xml:space="preserve">RTNSTOAMT </w:t>
            </w:r>
            <w:r w:rsidRPr="0013396E">
              <w:rPr>
                <w:i/>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60B91284" w14:textId="77777777" w:rsidR="00A12B52" w:rsidRPr="0013396E" w:rsidRDefault="00A12B52" w:rsidP="0099759E">
            <w:pPr>
              <w:pStyle w:val="tablebody0"/>
            </w:pPr>
            <w:r w:rsidRPr="0013396E">
              <w:t>$</w:t>
            </w:r>
          </w:p>
        </w:tc>
        <w:tc>
          <w:tcPr>
            <w:tcW w:w="3179" w:type="pct"/>
            <w:tcBorders>
              <w:top w:val="single" w:sz="4" w:space="0" w:color="auto"/>
              <w:left w:val="single" w:sz="4" w:space="0" w:color="auto"/>
              <w:bottom w:val="single" w:sz="4" w:space="0" w:color="auto"/>
              <w:right w:val="single" w:sz="4" w:space="0" w:color="auto"/>
            </w:tcBorders>
            <w:hideMark/>
          </w:tcPr>
          <w:p w14:paraId="370842F2" w14:textId="77777777" w:rsidR="00A12B52" w:rsidRPr="0013396E" w:rsidRDefault="00A12B52" w:rsidP="0099759E">
            <w:pPr>
              <w:pStyle w:val="tablebody0"/>
              <w:rPr>
                <w:i/>
              </w:rPr>
            </w:pPr>
            <w:r w:rsidRPr="0013396E">
              <w:rPr>
                <w:i/>
              </w:rPr>
              <w:t>Real-Time Non-Spin Trade Overage Amount for the QSE</w:t>
            </w:r>
            <w:r w:rsidRPr="0013396E">
              <w:t xml:space="preserve">— The total charge to QSE </w:t>
            </w:r>
            <w:r w:rsidRPr="0013396E">
              <w:rPr>
                <w:i/>
              </w:rPr>
              <w:t>q</w:t>
            </w:r>
            <w:r w:rsidRPr="0013396E">
              <w:t xml:space="preserve"> in Real-Time for Non-Spin trade overages for each 15-minute Settlement Interval.</w:t>
            </w:r>
          </w:p>
        </w:tc>
      </w:tr>
      <w:tr w:rsidR="00A12B52" w:rsidRPr="0013396E" w14:paraId="027E5608" w14:textId="77777777" w:rsidTr="0099759E">
        <w:trPr>
          <w:cantSplit/>
        </w:trPr>
        <w:tc>
          <w:tcPr>
            <w:tcW w:w="1146" w:type="pct"/>
            <w:tcBorders>
              <w:top w:val="single" w:sz="4" w:space="0" w:color="auto"/>
              <w:left w:val="single" w:sz="4" w:space="0" w:color="auto"/>
              <w:bottom w:val="single" w:sz="4" w:space="0" w:color="auto"/>
              <w:right w:val="single" w:sz="4" w:space="0" w:color="auto"/>
            </w:tcBorders>
            <w:hideMark/>
          </w:tcPr>
          <w:p w14:paraId="52069E7A" w14:textId="77777777" w:rsidR="00A12B52" w:rsidRPr="0013396E" w:rsidRDefault="00A12B52" w:rsidP="0099759E">
            <w:pPr>
              <w:pStyle w:val="tablebody0"/>
            </w:pPr>
            <w:r w:rsidRPr="0013396E">
              <w:t>RTNSOAMTTOT</w:t>
            </w:r>
          </w:p>
        </w:tc>
        <w:tc>
          <w:tcPr>
            <w:tcW w:w="675" w:type="pct"/>
            <w:tcBorders>
              <w:top w:val="single" w:sz="4" w:space="0" w:color="auto"/>
              <w:left w:val="single" w:sz="4" w:space="0" w:color="auto"/>
              <w:bottom w:val="single" w:sz="4" w:space="0" w:color="auto"/>
              <w:right w:val="single" w:sz="4" w:space="0" w:color="auto"/>
            </w:tcBorders>
            <w:hideMark/>
          </w:tcPr>
          <w:p w14:paraId="62FA7D38" w14:textId="77777777" w:rsidR="00A12B52" w:rsidRPr="0013396E" w:rsidRDefault="00A12B52" w:rsidP="0099759E">
            <w:pPr>
              <w:pStyle w:val="tablebody0"/>
            </w:pPr>
            <w:r w:rsidRPr="0013396E">
              <w:t>$</w:t>
            </w:r>
          </w:p>
        </w:tc>
        <w:tc>
          <w:tcPr>
            <w:tcW w:w="3179" w:type="pct"/>
            <w:tcBorders>
              <w:top w:val="single" w:sz="4" w:space="0" w:color="auto"/>
              <w:left w:val="single" w:sz="4" w:space="0" w:color="auto"/>
              <w:bottom w:val="single" w:sz="4" w:space="0" w:color="auto"/>
              <w:right w:val="single" w:sz="4" w:space="0" w:color="auto"/>
            </w:tcBorders>
            <w:hideMark/>
          </w:tcPr>
          <w:p w14:paraId="3EA2B173" w14:textId="77777777" w:rsidR="00A12B52" w:rsidRPr="0013396E" w:rsidRDefault="00A12B52" w:rsidP="0099759E">
            <w:pPr>
              <w:pStyle w:val="tablebody0"/>
              <w:rPr>
                <w:i/>
              </w:rPr>
            </w:pPr>
            <w:r w:rsidRPr="0013396E">
              <w:rPr>
                <w:i/>
              </w:rPr>
              <w:t xml:space="preserve">Real-Time Non-Spin Trade Overage Total Amount </w:t>
            </w:r>
            <w:r w:rsidRPr="0013396E">
              <w:t>— The total charge to all QSEs for Real-Time Non-Spin trade overages for each 15-minute Settlement Interval.</w:t>
            </w:r>
          </w:p>
        </w:tc>
      </w:tr>
      <w:tr w:rsidR="00A12B52" w:rsidRPr="0013396E" w14:paraId="1FD585FF" w14:textId="77777777" w:rsidTr="0099759E">
        <w:trPr>
          <w:cantSplit/>
        </w:trPr>
        <w:tc>
          <w:tcPr>
            <w:tcW w:w="1146" w:type="pct"/>
            <w:tcBorders>
              <w:top w:val="single" w:sz="4" w:space="0" w:color="auto"/>
              <w:left w:val="single" w:sz="4" w:space="0" w:color="auto"/>
              <w:bottom w:val="single" w:sz="4" w:space="0" w:color="auto"/>
              <w:right w:val="single" w:sz="4" w:space="0" w:color="auto"/>
            </w:tcBorders>
            <w:hideMark/>
          </w:tcPr>
          <w:p w14:paraId="43B72ECC" w14:textId="77777777" w:rsidR="00A12B52" w:rsidRPr="0013396E" w:rsidRDefault="00A12B52" w:rsidP="0099759E">
            <w:pPr>
              <w:pStyle w:val="tablebody0"/>
            </w:pPr>
            <w:r w:rsidRPr="0013396E">
              <w:t>LRS</w:t>
            </w:r>
            <w:r w:rsidRPr="0013396E">
              <w:rPr>
                <w:vertAlign w:val="subscript"/>
              </w:rPr>
              <w:t xml:space="preserve"> </w:t>
            </w:r>
            <w:r w:rsidRPr="0013396E">
              <w:rPr>
                <w:i/>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658B234C" w14:textId="77777777" w:rsidR="00A12B52" w:rsidRPr="0013396E" w:rsidRDefault="00A12B52" w:rsidP="0099759E">
            <w:pPr>
              <w:pStyle w:val="tablebody0"/>
            </w:pPr>
            <w:r w:rsidRPr="0013396E">
              <w:t>none</w:t>
            </w:r>
          </w:p>
        </w:tc>
        <w:tc>
          <w:tcPr>
            <w:tcW w:w="3179" w:type="pct"/>
            <w:tcBorders>
              <w:top w:val="single" w:sz="4" w:space="0" w:color="auto"/>
              <w:left w:val="single" w:sz="4" w:space="0" w:color="auto"/>
              <w:bottom w:val="single" w:sz="4" w:space="0" w:color="auto"/>
              <w:right w:val="single" w:sz="4" w:space="0" w:color="auto"/>
            </w:tcBorders>
            <w:hideMark/>
          </w:tcPr>
          <w:p w14:paraId="25D60DA0" w14:textId="77777777" w:rsidR="00A12B52" w:rsidRPr="0013396E" w:rsidRDefault="00A12B52" w:rsidP="0099759E">
            <w:pPr>
              <w:pStyle w:val="tablebody0"/>
              <w:rPr>
                <w:i/>
              </w:rPr>
            </w:pPr>
            <w:r w:rsidRPr="0013396E">
              <w:rPr>
                <w:i/>
              </w:rPr>
              <w:t>Load Ratio Share per QSE</w:t>
            </w:r>
            <w:r w:rsidRPr="0013396E">
              <w:t xml:space="preserve">—The LRS as defined in Section 6.6.2.2 for QSE </w:t>
            </w:r>
            <w:r w:rsidRPr="0013396E">
              <w:rPr>
                <w:i/>
              </w:rPr>
              <w:t>q</w:t>
            </w:r>
            <w:r w:rsidRPr="0013396E">
              <w:t xml:space="preserve"> for the 15-minute Settlement Interval.</w:t>
            </w:r>
          </w:p>
        </w:tc>
      </w:tr>
      <w:tr w:rsidR="00A12B52" w:rsidRPr="0013396E" w14:paraId="6355881B" w14:textId="77777777" w:rsidTr="0099759E">
        <w:trPr>
          <w:cantSplit/>
        </w:trPr>
        <w:tc>
          <w:tcPr>
            <w:tcW w:w="1146" w:type="pct"/>
            <w:tcBorders>
              <w:top w:val="single" w:sz="4" w:space="0" w:color="auto"/>
              <w:left w:val="single" w:sz="4" w:space="0" w:color="auto"/>
              <w:bottom w:val="single" w:sz="4" w:space="0" w:color="auto"/>
              <w:right w:val="single" w:sz="4" w:space="0" w:color="auto"/>
            </w:tcBorders>
            <w:hideMark/>
          </w:tcPr>
          <w:p w14:paraId="5D825D6E" w14:textId="77777777" w:rsidR="00A12B52" w:rsidRPr="0013396E" w:rsidRDefault="00A12B52" w:rsidP="0099759E">
            <w:pPr>
              <w:pStyle w:val="tablebody0"/>
            </w:pPr>
            <w:r w:rsidRPr="0013396E">
              <w:rPr>
                <w:i/>
              </w:rPr>
              <w:t>q</w:t>
            </w:r>
          </w:p>
        </w:tc>
        <w:tc>
          <w:tcPr>
            <w:tcW w:w="675" w:type="pct"/>
            <w:tcBorders>
              <w:top w:val="single" w:sz="4" w:space="0" w:color="auto"/>
              <w:left w:val="single" w:sz="4" w:space="0" w:color="auto"/>
              <w:bottom w:val="single" w:sz="4" w:space="0" w:color="auto"/>
              <w:right w:val="single" w:sz="4" w:space="0" w:color="auto"/>
            </w:tcBorders>
            <w:hideMark/>
          </w:tcPr>
          <w:p w14:paraId="6D471DF9" w14:textId="77777777" w:rsidR="00A12B52" w:rsidRPr="0013396E" w:rsidRDefault="00A12B52" w:rsidP="0099759E">
            <w:pPr>
              <w:pStyle w:val="tablebody0"/>
            </w:pPr>
            <w:r w:rsidRPr="0013396E">
              <w:t>none</w:t>
            </w:r>
          </w:p>
        </w:tc>
        <w:tc>
          <w:tcPr>
            <w:tcW w:w="3179" w:type="pct"/>
            <w:tcBorders>
              <w:top w:val="single" w:sz="4" w:space="0" w:color="auto"/>
              <w:left w:val="single" w:sz="4" w:space="0" w:color="auto"/>
              <w:bottom w:val="single" w:sz="4" w:space="0" w:color="auto"/>
              <w:right w:val="single" w:sz="4" w:space="0" w:color="auto"/>
            </w:tcBorders>
            <w:hideMark/>
          </w:tcPr>
          <w:p w14:paraId="5C55D191" w14:textId="77777777" w:rsidR="00A12B52" w:rsidRPr="0013396E" w:rsidRDefault="00A12B52" w:rsidP="0099759E">
            <w:pPr>
              <w:pStyle w:val="tablebody0"/>
              <w:rPr>
                <w:i/>
              </w:rPr>
            </w:pPr>
            <w:r w:rsidRPr="0013396E">
              <w:t>A QSE.</w:t>
            </w:r>
          </w:p>
        </w:tc>
      </w:tr>
    </w:tbl>
    <w:p w14:paraId="63536B3E" w14:textId="77777777" w:rsidR="00A12B52" w:rsidRPr="0013396E" w:rsidRDefault="00A12B52" w:rsidP="00A12B52">
      <w:pPr>
        <w:pStyle w:val="BodyText"/>
        <w:spacing w:before="240"/>
        <w:ind w:left="1440" w:hanging="720"/>
      </w:pPr>
      <w:r w:rsidRPr="0013396E">
        <w:t xml:space="preserve"> (e)         For ERCOT Contingency Reserve Service (ECRS):</w:t>
      </w:r>
    </w:p>
    <w:p w14:paraId="124617E5" w14:textId="77777777" w:rsidR="00A12B52" w:rsidRPr="0013396E" w:rsidRDefault="00A12B52" w:rsidP="00A12B52">
      <w:pPr>
        <w:pStyle w:val="BodyText"/>
        <w:spacing w:after="0"/>
        <w:ind w:left="1440" w:hanging="720"/>
      </w:pPr>
      <w:r w:rsidRPr="0013396E">
        <w:t xml:space="preserve">LARTECRAMT </w:t>
      </w:r>
      <w:r w:rsidRPr="0013396E">
        <w:rPr>
          <w:i/>
          <w:vertAlign w:val="subscript"/>
        </w:rPr>
        <w:t>q</w:t>
      </w:r>
      <w:r w:rsidRPr="0013396E">
        <w:t xml:space="preserve"> = (-1) * (RTECRIMBAMTTOT + RTECROAMTTOT + </w:t>
      </w:r>
    </w:p>
    <w:p w14:paraId="260F7506" w14:textId="77777777" w:rsidR="00A12B52" w:rsidRPr="0013396E" w:rsidRDefault="00A12B52" w:rsidP="00A12B52">
      <w:pPr>
        <w:pStyle w:val="BodyText"/>
        <w:ind w:left="1440" w:hanging="720"/>
      </w:pPr>
      <w:r w:rsidRPr="0013396E">
        <w:t xml:space="preserve"> </w:t>
      </w:r>
      <w:r w:rsidRPr="0013396E">
        <w:tab/>
      </w:r>
      <w:r w:rsidRPr="0013396E">
        <w:tab/>
      </w:r>
      <w:r w:rsidRPr="0013396E">
        <w:tab/>
        <w:t xml:space="preserve">RTECRTOAMTTOT) * LRS </w:t>
      </w:r>
      <w:r w:rsidRPr="0013396E">
        <w:rPr>
          <w:i/>
          <w:vertAlign w:val="subscript"/>
        </w:rPr>
        <w:t>q</w:t>
      </w:r>
    </w:p>
    <w:p w14:paraId="3A092FF0" w14:textId="77777777" w:rsidR="00A12B52" w:rsidRPr="0013396E" w:rsidRDefault="00A12B52" w:rsidP="00A12B52">
      <w:pPr>
        <w:pStyle w:val="BodyText"/>
        <w:ind w:left="1440" w:hanging="720"/>
      </w:pPr>
      <w:r w:rsidRPr="0013396E">
        <w:t>Where:</w:t>
      </w:r>
    </w:p>
    <w:p w14:paraId="0D80CBFA" w14:textId="77777777" w:rsidR="00A12B52" w:rsidRPr="0013396E" w:rsidRDefault="00A12B52" w:rsidP="00A12B52">
      <w:pPr>
        <w:pStyle w:val="BodyText"/>
        <w:ind w:left="1440" w:hanging="720"/>
      </w:pPr>
      <w:r w:rsidRPr="0013396E">
        <w:t xml:space="preserve">RTECRIMBAMTTOT = </w:t>
      </w:r>
      <w:r w:rsidRPr="0013396E">
        <w:rPr>
          <w:noProof/>
        </w:rPr>
        <w:drawing>
          <wp:inline distT="0" distB="0" distL="0" distR="0" wp14:anchorId="3D0099A7" wp14:editId="5B13774E">
            <wp:extent cx="146685" cy="293370"/>
            <wp:effectExtent l="0" t="0" r="5715" b="0"/>
            <wp:docPr id="758729390" name="Picture 758729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8"/>
                    <pic:cNvPicPr>
                      <a:picLocks noChangeAspect="1" noChangeArrowheads="1"/>
                    </pic:cNvPicPr>
                  </pic:nvPicPr>
                  <pic:blipFill>
                    <a:blip r:embed="rId370"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13396E">
        <w:t xml:space="preserve"> (RTECRIMBAMT </w:t>
      </w:r>
      <w:r w:rsidRPr="0013396E">
        <w:rPr>
          <w:i/>
          <w:vertAlign w:val="subscript"/>
        </w:rPr>
        <w:t>q</w:t>
      </w:r>
      <w:r w:rsidRPr="0013396E">
        <w:t>)</w:t>
      </w:r>
    </w:p>
    <w:p w14:paraId="211DFBBB" w14:textId="77777777" w:rsidR="00A12B52" w:rsidRPr="0013396E" w:rsidRDefault="00A12B52" w:rsidP="00A12B52">
      <w:pPr>
        <w:pStyle w:val="BodyText"/>
        <w:ind w:left="1440" w:hanging="720"/>
      </w:pPr>
      <w:r w:rsidRPr="0013396E">
        <w:t xml:space="preserve">RTECROAMTTOT = </w:t>
      </w:r>
      <w:r w:rsidRPr="0013396E">
        <w:rPr>
          <w:noProof/>
          <w:position w:val="-22"/>
        </w:rPr>
        <w:drawing>
          <wp:inline distT="0" distB="0" distL="0" distR="0" wp14:anchorId="14D4CACC" wp14:editId="4274B752">
            <wp:extent cx="146685" cy="293370"/>
            <wp:effectExtent l="0" t="0" r="5715" b="0"/>
            <wp:docPr id="604894267" name="Picture 604894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9"/>
                    <pic:cNvPicPr>
                      <a:picLocks noChangeAspect="1" noChangeArrowheads="1"/>
                    </pic:cNvPicPr>
                  </pic:nvPicPr>
                  <pic:blipFill>
                    <a:blip r:embed="rId370"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13396E">
        <w:rPr>
          <w:b/>
        </w:rPr>
        <w:t xml:space="preserve"> </w:t>
      </w:r>
      <w:r w:rsidRPr="0013396E">
        <w:t xml:space="preserve">(RTECROAMT </w:t>
      </w:r>
      <w:r w:rsidRPr="0013396E">
        <w:rPr>
          <w:i/>
          <w:vertAlign w:val="subscript"/>
        </w:rPr>
        <w:t>q</w:t>
      </w:r>
      <w:r w:rsidRPr="0013396E">
        <w:t>)</w:t>
      </w:r>
    </w:p>
    <w:p w14:paraId="164EFA78" w14:textId="77777777" w:rsidR="00A12B52" w:rsidRPr="0013396E" w:rsidRDefault="00A12B52" w:rsidP="00A12B52">
      <w:pPr>
        <w:pStyle w:val="BodyText"/>
        <w:ind w:left="1440" w:hanging="720"/>
      </w:pPr>
      <w:r w:rsidRPr="0013396E">
        <w:t xml:space="preserve">RTECRTOAMTTOT = </w:t>
      </w:r>
      <w:r w:rsidRPr="0013396E">
        <w:rPr>
          <w:noProof/>
          <w:position w:val="-22"/>
        </w:rPr>
        <w:drawing>
          <wp:inline distT="0" distB="0" distL="0" distR="0" wp14:anchorId="12A99C02" wp14:editId="0FD2BCB1">
            <wp:extent cx="146685" cy="293370"/>
            <wp:effectExtent l="0" t="0" r="5715" b="0"/>
            <wp:docPr id="1499600007" name="Picture 14996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70"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13396E">
        <w:rPr>
          <w:b/>
        </w:rPr>
        <w:t xml:space="preserve"> </w:t>
      </w:r>
      <w:r w:rsidRPr="0013396E">
        <w:t xml:space="preserve">(RTECRTOAMT </w:t>
      </w:r>
      <w:r w:rsidRPr="0013396E">
        <w:rPr>
          <w:i/>
          <w:vertAlign w:val="subscript"/>
        </w:rPr>
        <w:t>q</w:t>
      </w:r>
      <w:r w:rsidRPr="0013396E">
        <w:t>)</w:t>
      </w:r>
    </w:p>
    <w:p w14:paraId="6EEB96A5" w14:textId="77777777" w:rsidR="00A12B52" w:rsidRPr="0013396E" w:rsidRDefault="00A12B52" w:rsidP="00A12B52">
      <w:pPr>
        <w:pStyle w:val="NoSpacing"/>
      </w:pPr>
      <w:r w:rsidRPr="0013396E">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283"/>
        <w:gridCol w:w="1193"/>
        <w:gridCol w:w="5874"/>
      </w:tblGrid>
      <w:tr w:rsidR="00A12B52" w:rsidRPr="0013396E" w14:paraId="1C460A73" w14:textId="77777777" w:rsidTr="0099759E">
        <w:trPr>
          <w:cantSplit/>
          <w:tblHeader/>
        </w:trPr>
        <w:tc>
          <w:tcPr>
            <w:tcW w:w="1221" w:type="pct"/>
            <w:tcBorders>
              <w:top w:val="single" w:sz="4" w:space="0" w:color="auto"/>
              <w:left w:val="single" w:sz="4" w:space="0" w:color="auto"/>
              <w:bottom w:val="single" w:sz="4" w:space="0" w:color="auto"/>
              <w:right w:val="single" w:sz="4" w:space="0" w:color="auto"/>
            </w:tcBorders>
            <w:hideMark/>
          </w:tcPr>
          <w:p w14:paraId="5EFF3BF7" w14:textId="77777777" w:rsidR="00A12B52" w:rsidRPr="0013396E" w:rsidRDefault="00A12B52" w:rsidP="0099759E">
            <w:pPr>
              <w:pStyle w:val="TableHead"/>
            </w:pPr>
            <w:r w:rsidRPr="0013396E">
              <w:rPr>
                <w:b w:val="0"/>
                <w:iCs w:val="0"/>
              </w:rPr>
              <w:t>Variable</w:t>
            </w:r>
          </w:p>
        </w:tc>
        <w:tc>
          <w:tcPr>
            <w:tcW w:w="638" w:type="pct"/>
            <w:tcBorders>
              <w:top w:val="single" w:sz="4" w:space="0" w:color="auto"/>
              <w:left w:val="single" w:sz="4" w:space="0" w:color="auto"/>
              <w:bottom w:val="single" w:sz="4" w:space="0" w:color="auto"/>
              <w:right w:val="single" w:sz="4" w:space="0" w:color="auto"/>
            </w:tcBorders>
            <w:hideMark/>
          </w:tcPr>
          <w:p w14:paraId="00AC4EAC" w14:textId="77777777" w:rsidR="00A12B52" w:rsidRPr="0013396E" w:rsidRDefault="00A12B52" w:rsidP="0099759E">
            <w:pPr>
              <w:pStyle w:val="TableHead"/>
            </w:pPr>
            <w:r w:rsidRPr="0013396E">
              <w:t>Unit</w:t>
            </w:r>
          </w:p>
        </w:tc>
        <w:tc>
          <w:tcPr>
            <w:tcW w:w="3141" w:type="pct"/>
            <w:tcBorders>
              <w:top w:val="single" w:sz="4" w:space="0" w:color="auto"/>
              <w:left w:val="single" w:sz="4" w:space="0" w:color="auto"/>
              <w:bottom w:val="single" w:sz="4" w:space="0" w:color="auto"/>
              <w:right w:val="single" w:sz="4" w:space="0" w:color="auto"/>
            </w:tcBorders>
            <w:hideMark/>
          </w:tcPr>
          <w:p w14:paraId="6D52CB16" w14:textId="77777777" w:rsidR="00A12B52" w:rsidRPr="0013396E" w:rsidRDefault="00A12B52" w:rsidP="0099759E">
            <w:pPr>
              <w:pStyle w:val="TableHead"/>
            </w:pPr>
            <w:r w:rsidRPr="0013396E">
              <w:t>Description</w:t>
            </w:r>
          </w:p>
        </w:tc>
      </w:tr>
      <w:tr w:rsidR="00A12B52" w:rsidRPr="0013396E" w14:paraId="5030B642" w14:textId="77777777" w:rsidTr="0099759E">
        <w:trPr>
          <w:cantSplit/>
        </w:trPr>
        <w:tc>
          <w:tcPr>
            <w:tcW w:w="1221" w:type="pct"/>
            <w:tcBorders>
              <w:top w:val="single" w:sz="4" w:space="0" w:color="auto"/>
              <w:left w:val="single" w:sz="4" w:space="0" w:color="auto"/>
              <w:bottom w:val="single" w:sz="4" w:space="0" w:color="auto"/>
              <w:right w:val="single" w:sz="4" w:space="0" w:color="auto"/>
            </w:tcBorders>
            <w:hideMark/>
          </w:tcPr>
          <w:p w14:paraId="460B9BBE" w14:textId="77777777" w:rsidR="00A12B52" w:rsidRPr="0013396E" w:rsidRDefault="00A12B52" w:rsidP="0099759E">
            <w:pPr>
              <w:pStyle w:val="tablebody0"/>
            </w:pPr>
            <w:r w:rsidRPr="0013396E">
              <w:t xml:space="preserve">LARTECRAMT </w:t>
            </w:r>
            <w:r w:rsidRPr="0013396E">
              <w:rPr>
                <w:i/>
                <w:vertAlign w:val="subscript"/>
              </w:rPr>
              <w:t>q</w:t>
            </w:r>
          </w:p>
        </w:tc>
        <w:tc>
          <w:tcPr>
            <w:tcW w:w="638" w:type="pct"/>
            <w:tcBorders>
              <w:top w:val="single" w:sz="4" w:space="0" w:color="auto"/>
              <w:left w:val="single" w:sz="4" w:space="0" w:color="auto"/>
              <w:bottom w:val="single" w:sz="4" w:space="0" w:color="auto"/>
              <w:right w:val="single" w:sz="4" w:space="0" w:color="auto"/>
            </w:tcBorders>
            <w:hideMark/>
          </w:tcPr>
          <w:p w14:paraId="4662AA2E" w14:textId="77777777" w:rsidR="00A12B52" w:rsidRPr="0013396E" w:rsidRDefault="00A12B52" w:rsidP="0099759E">
            <w:pPr>
              <w:pStyle w:val="tablebody0"/>
            </w:pPr>
            <w:r w:rsidRPr="0013396E">
              <w:t>$</w:t>
            </w:r>
          </w:p>
        </w:tc>
        <w:tc>
          <w:tcPr>
            <w:tcW w:w="3141" w:type="pct"/>
            <w:tcBorders>
              <w:top w:val="single" w:sz="4" w:space="0" w:color="auto"/>
              <w:left w:val="single" w:sz="4" w:space="0" w:color="auto"/>
              <w:bottom w:val="single" w:sz="4" w:space="0" w:color="auto"/>
              <w:right w:val="single" w:sz="4" w:space="0" w:color="auto"/>
            </w:tcBorders>
            <w:hideMark/>
          </w:tcPr>
          <w:p w14:paraId="52277E9A" w14:textId="77777777" w:rsidR="00A12B52" w:rsidRPr="0013396E" w:rsidRDefault="00A12B52" w:rsidP="0099759E">
            <w:pPr>
              <w:pStyle w:val="tablebody0"/>
              <w:rPr>
                <w:i/>
              </w:rPr>
            </w:pPr>
            <w:r w:rsidRPr="0013396E">
              <w:rPr>
                <w:i/>
              </w:rPr>
              <w:t xml:space="preserve">Load-Allocated Real-Time ERCOT Contingency Reserve Service Amount for the QSE - </w:t>
            </w:r>
            <w:r w:rsidRPr="0013396E">
              <w:t xml:space="preserve">The QSE </w:t>
            </w:r>
            <w:r w:rsidRPr="0013396E">
              <w:rPr>
                <w:i/>
              </w:rPr>
              <w:t>q</w:t>
            </w:r>
            <w:r w:rsidRPr="0013396E">
              <w:t>’s share of the total Real-Time ECRS amount for the 15-minute Settlement Interval.</w:t>
            </w:r>
          </w:p>
        </w:tc>
      </w:tr>
      <w:tr w:rsidR="00A12B52" w:rsidRPr="0013396E" w14:paraId="40CE77B7" w14:textId="77777777" w:rsidTr="0099759E">
        <w:trPr>
          <w:cantSplit/>
        </w:trPr>
        <w:tc>
          <w:tcPr>
            <w:tcW w:w="1221" w:type="pct"/>
            <w:tcBorders>
              <w:top w:val="single" w:sz="4" w:space="0" w:color="auto"/>
              <w:left w:val="single" w:sz="4" w:space="0" w:color="auto"/>
              <w:bottom w:val="single" w:sz="4" w:space="0" w:color="auto"/>
              <w:right w:val="single" w:sz="4" w:space="0" w:color="auto"/>
            </w:tcBorders>
            <w:hideMark/>
          </w:tcPr>
          <w:p w14:paraId="77CCD36C" w14:textId="77777777" w:rsidR="00A12B52" w:rsidRPr="0013396E" w:rsidRDefault="00A12B52" w:rsidP="0099759E">
            <w:pPr>
              <w:pStyle w:val="tablebody0"/>
            </w:pPr>
            <w:r w:rsidRPr="0013396E">
              <w:t xml:space="preserve">RTECRIMBAMT </w:t>
            </w:r>
            <w:r w:rsidRPr="0013396E">
              <w:rPr>
                <w:i/>
                <w:vertAlign w:val="subscript"/>
              </w:rPr>
              <w:t>q</w:t>
            </w:r>
          </w:p>
        </w:tc>
        <w:tc>
          <w:tcPr>
            <w:tcW w:w="638" w:type="pct"/>
            <w:tcBorders>
              <w:top w:val="single" w:sz="4" w:space="0" w:color="auto"/>
              <w:left w:val="single" w:sz="4" w:space="0" w:color="auto"/>
              <w:bottom w:val="single" w:sz="4" w:space="0" w:color="auto"/>
              <w:right w:val="single" w:sz="4" w:space="0" w:color="auto"/>
            </w:tcBorders>
            <w:hideMark/>
          </w:tcPr>
          <w:p w14:paraId="07D7C116" w14:textId="77777777" w:rsidR="00A12B52" w:rsidRPr="0013396E" w:rsidRDefault="00A12B52" w:rsidP="0099759E">
            <w:pPr>
              <w:pStyle w:val="tablebody0"/>
            </w:pPr>
            <w:r w:rsidRPr="0013396E">
              <w:t>$</w:t>
            </w:r>
          </w:p>
        </w:tc>
        <w:tc>
          <w:tcPr>
            <w:tcW w:w="3141" w:type="pct"/>
            <w:tcBorders>
              <w:top w:val="single" w:sz="4" w:space="0" w:color="auto"/>
              <w:left w:val="single" w:sz="4" w:space="0" w:color="auto"/>
              <w:bottom w:val="single" w:sz="4" w:space="0" w:color="auto"/>
              <w:right w:val="single" w:sz="4" w:space="0" w:color="auto"/>
            </w:tcBorders>
            <w:hideMark/>
          </w:tcPr>
          <w:p w14:paraId="7B171D5D" w14:textId="77777777" w:rsidR="00A12B52" w:rsidRPr="0013396E" w:rsidRDefault="00A12B52" w:rsidP="0099759E">
            <w:pPr>
              <w:pStyle w:val="tablebody0"/>
              <w:rPr>
                <w:i/>
              </w:rPr>
            </w:pPr>
            <w:r w:rsidRPr="0013396E">
              <w:rPr>
                <w:i/>
              </w:rPr>
              <w:t xml:space="preserve">Real-Time ERCOT Contingency Reserve Service Imbalance Amount for the QSE - </w:t>
            </w:r>
            <w:r w:rsidRPr="0013396E">
              <w:t xml:space="preserve">The total payment or charge to QSE </w:t>
            </w:r>
            <w:r w:rsidRPr="0013396E">
              <w:rPr>
                <w:i/>
              </w:rPr>
              <w:t>q</w:t>
            </w:r>
            <w:r w:rsidRPr="0013396E">
              <w:t xml:space="preserve"> for the Real-Time ECRS imbalance for each 15-minute Settlement Interval.</w:t>
            </w:r>
          </w:p>
        </w:tc>
      </w:tr>
      <w:tr w:rsidR="00A12B52" w:rsidRPr="0013396E" w14:paraId="079D3363" w14:textId="77777777" w:rsidTr="0099759E">
        <w:trPr>
          <w:cantSplit/>
        </w:trPr>
        <w:tc>
          <w:tcPr>
            <w:tcW w:w="1221" w:type="pct"/>
            <w:tcBorders>
              <w:top w:val="single" w:sz="4" w:space="0" w:color="auto"/>
              <w:left w:val="single" w:sz="4" w:space="0" w:color="auto"/>
              <w:bottom w:val="single" w:sz="4" w:space="0" w:color="auto"/>
              <w:right w:val="single" w:sz="4" w:space="0" w:color="auto"/>
            </w:tcBorders>
            <w:hideMark/>
          </w:tcPr>
          <w:p w14:paraId="4BD375EE" w14:textId="77777777" w:rsidR="00A12B52" w:rsidRPr="0013396E" w:rsidRDefault="00A12B52" w:rsidP="0099759E">
            <w:pPr>
              <w:pStyle w:val="tablebody0"/>
            </w:pPr>
            <w:r w:rsidRPr="0013396E">
              <w:t xml:space="preserve">RTECROAMT </w:t>
            </w:r>
            <w:r w:rsidRPr="0013396E">
              <w:rPr>
                <w:i/>
                <w:vertAlign w:val="subscript"/>
              </w:rPr>
              <w:t>q</w:t>
            </w:r>
          </w:p>
        </w:tc>
        <w:tc>
          <w:tcPr>
            <w:tcW w:w="638" w:type="pct"/>
            <w:tcBorders>
              <w:top w:val="single" w:sz="4" w:space="0" w:color="auto"/>
              <w:left w:val="single" w:sz="4" w:space="0" w:color="auto"/>
              <w:bottom w:val="single" w:sz="4" w:space="0" w:color="auto"/>
              <w:right w:val="single" w:sz="4" w:space="0" w:color="auto"/>
            </w:tcBorders>
            <w:hideMark/>
          </w:tcPr>
          <w:p w14:paraId="0A600C1F" w14:textId="77777777" w:rsidR="00A12B52" w:rsidRPr="0013396E" w:rsidRDefault="00A12B52" w:rsidP="0099759E">
            <w:pPr>
              <w:pStyle w:val="tablebody0"/>
            </w:pPr>
            <w:r w:rsidRPr="0013396E">
              <w:t>$</w:t>
            </w:r>
          </w:p>
        </w:tc>
        <w:tc>
          <w:tcPr>
            <w:tcW w:w="3141" w:type="pct"/>
            <w:tcBorders>
              <w:top w:val="single" w:sz="4" w:space="0" w:color="auto"/>
              <w:left w:val="single" w:sz="4" w:space="0" w:color="auto"/>
              <w:bottom w:val="single" w:sz="4" w:space="0" w:color="auto"/>
              <w:right w:val="single" w:sz="4" w:space="0" w:color="auto"/>
            </w:tcBorders>
            <w:hideMark/>
          </w:tcPr>
          <w:p w14:paraId="21BDC0E1" w14:textId="77777777" w:rsidR="00A12B52" w:rsidRPr="0013396E" w:rsidRDefault="00A12B52" w:rsidP="0099759E">
            <w:pPr>
              <w:pStyle w:val="tablebody0"/>
              <w:rPr>
                <w:i/>
              </w:rPr>
            </w:pPr>
            <w:r w:rsidRPr="0013396E">
              <w:rPr>
                <w:i/>
              </w:rPr>
              <w:t xml:space="preserve">Real-Time ERCOT Contingency Reserve Service Only Amount for the QSE— </w:t>
            </w:r>
            <w:r w:rsidRPr="0013396E">
              <w:t xml:space="preserve">The total charge to QSE </w:t>
            </w:r>
            <w:r w:rsidRPr="0013396E">
              <w:rPr>
                <w:i/>
              </w:rPr>
              <w:t>q</w:t>
            </w:r>
            <w:r w:rsidRPr="0013396E">
              <w:t xml:space="preserve"> in Real-Time for ECRS only awards for each 15-minute Settlement Interval.</w:t>
            </w:r>
          </w:p>
        </w:tc>
      </w:tr>
      <w:tr w:rsidR="00A12B52" w:rsidRPr="0013396E" w14:paraId="10E36AD3" w14:textId="77777777" w:rsidTr="0099759E">
        <w:trPr>
          <w:cantSplit/>
        </w:trPr>
        <w:tc>
          <w:tcPr>
            <w:tcW w:w="1221" w:type="pct"/>
            <w:tcBorders>
              <w:top w:val="single" w:sz="4" w:space="0" w:color="auto"/>
              <w:left w:val="single" w:sz="4" w:space="0" w:color="auto"/>
              <w:bottom w:val="single" w:sz="4" w:space="0" w:color="auto"/>
              <w:right w:val="single" w:sz="4" w:space="0" w:color="auto"/>
            </w:tcBorders>
            <w:hideMark/>
          </w:tcPr>
          <w:p w14:paraId="34C9008F" w14:textId="77777777" w:rsidR="00A12B52" w:rsidRPr="0013396E" w:rsidRDefault="00A12B52" w:rsidP="0099759E">
            <w:pPr>
              <w:pStyle w:val="tablebody0"/>
            </w:pPr>
            <w:r w:rsidRPr="0013396E">
              <w:lastRenderedPageBreak/>
              <w:t>RTECRIMBAMTTOT</w:t>
            </w:r>
          </w:p>
        </w:tc>
        <w:tc>
          <w:tcPr>
            <w:tcW w:w="638" w:type="pct"/>
            <w:tcBorders>
              <w:top w:val="single" w:sz="4" w:space="0" w:color="auto"/>
              <w:left w:val="single" w:sz="4" w:space="0" w:color="auto"/>
              <w:bottom w:val="single" w:sz="4" w:space="0" w:color="auto"/>
              <w:right w:val="single" w:sz="4" w:space="0" w:color="auto"/>
            </w:tcBorders>
            <w:hideMark/>
          </w:tcPr>
          <w:p w14:paraId="1E272C24" w14:textId="77777777" w:rsidR="00A12B52" w:rsidRPr="0013396E" w:rsidRDefault="00A12B52" w:rsidP="0099759E">
            <w:pPr>
              <w:pStyle w:val="tablebody0"/>
            </w:pPr>
            <w:r w:rsidRPr="0013396E">
              <w:t>$</w:t>
            </w:r>
          </w:p>
        </w:tc>
        <w:tc>
          <w:tcPr>
            <w:tcW w:w="3141" w:type="pct"/>
            <w:tcBorders>
              <w:top w:val="single" w:sz="4" w:space="0" w:color="auto"/>
              <w:left w:val="single" w:sz="4" w:space="0" w:color="auto"/>
              <w:bottom w:val="single" w:sz="4" w:space="0" w:color="auto"/>
              <w:right w:val="single" w:sz="4" w:space="0" w:color="auto"/>
            </w:tcBorders>
            <w:hideMark/>
          </w:tcPr>
          <w:p w14:paraId="5FD531C6" w14:textId="77777777" w:rsidR="00A12B52" w:rsidRPr="0013396E" w:rsidRDefault="00A12B52" w:rsidP="0099759E">
            <w:pPr>
              <w:pStyle w:val="tablebody0"/>
              <w:rPr>
                <w:i/>
              </w:rPr>
            </w:pPr>
            <w:r w:rsidRPr="0013396E">
              <w:rPr>
                <w:i/>
              </w:rPr>
              <w:t xml:space="preserve">Real-Time ERCOT Contingency Reserve Service Imbalance Market Total Amount - </w:t>
            </w:r>
            <w:r w:rsidRPr="0013396E">
              <w:t>The total payment or charge to all QSEs for the Real-Time ECRS imbalance for each 15-minute Settlement Interval.</w:t>
            </w:r>
          </w:p>
        </w:tc>
      </w:tr>
      <w:tr w:rsidR="00A12B52" w:rsidRPr="0013396E" w14:paraId="630BF1B8" w14:textId="77777777" w:rsidTr="0099759E">
        <w:trPr>
          <w:cantSplit/>
        </w:trPr>
        <w:tc>
          <w:tcPr>
            <w:tcW w:w="1221" w:type="pct"/>
            <w:tcBorders>
              <w:top w:val="single" w:sz="4" w:space="0" w:color="auto"/>
              <w:left w:val="single" w:sz="4" w:space="0" w:color="auto"/>
              <w:bottom w:val="single" w:sz="4" w:space="0" w:color="auto"/>
              <w:right w:val="single" w:sz="4" w:space="0" w:color="auto"/>
            </w:tcBorders>
            <w:hideMark/>
          </w:tcPr>
          <w:p w14:paraId="7F85D7B9" w14:textId="77777777" w:rsidR="00A12B52" w:rsidRPr="0013396E" w:rsidRDefault="00A12B52" w:rsidP="0099759E">
            <w:pPr>
              <w:pStyle w:val="tablebody0"/>
            </w:pPr>
            <w:r w:rsidRPr="0013396E">
              <w:t>RTECROAMTTOT</w:t>
            </w:r>
          </w:p>
        </w:tc>
        <w:tc>
          <w:tcPr>
            <w:tcW w:w="638" w:type="pct"/>
            <w:tcBorders>
              <w:top w:val="single" w:sz="4" w:space="0" w:color="auto"/>
              <w:left w:val="single" w:sz="4" w:space="0" w:color="auto"/>
              <w:bottom w:val="single" w:sz="4" w:space="0" w:color="auto"/>
              <w:right w:val="single" w:sz="4" w:space="0" w:color="auto"/>
            </w:tcBorders>
            <w:hideMark/>
          </w:tcPr>
          <w:p w14:paraId="4CB1C174" w14:textId="77777777" w:rsidR="00A12B52" w:rsidRPr="0013396E" w:rsidRDefault="00A12B52" w:rsidP="0099759E">
            <w:pPr>
              <w:pStyle w:val="tablebody0"/>
            </w:pPr>
            <w:r w:rsidRPr="0013396E">
              <w:t>$</w:t>
            </w:r>
          </w:p>
        </w:tc>
        <w:tc>
          <w:tcPr>
            <w:tcW w:w="3141" w:type="pct"/>
            <w:tcBorders>
              <w:top w:val="single" w:sz="4" w:space="0" w:color="auto"/>
              <w:left w:val="single" w:sz="4" w:space="0" w:color="auto"/>
              <w:bottom w:val="single" w:sz="4" w:space="0" w:color="auto"/>
              <w:right w:val="single" w:sz="4" w:space="0" w:color="auto"/>
            </w:tcBorders>
            <w:hideMark/>
          </w:tcPr>
          <w:p w14:paraId="5A5752AF" w14:textId="77777777" w:rsidR="00A12B52" w:rsidRPr="0013396E" w:rsidRDefault="00A12B52" w:rsidP="0099759E">
            <w:pPr>
              <w:pStyle w:val="tablebody0"/>
              <w:rPr>
                <w:i/>
              </w:rPr>
            </w:pPr>
            <w:r w:rsidRPr="0013396E">
              <w:rPr>
                <w:i/>
              </w:rPr>
              <w:t xml:space="preserve">Real-Time ERCOT Contingency Reserve Service Only Market Total Amount - </w:t>
            </w:r>
            <w:r w:rsidRPr="0013396E">
              <w:t>The total charge to all QSEs in Real-Time for ECRS only awards for each 15-minute Settlement Interval.</w:t>
            </w:r>
          </w:p>
        </w:tc>
      </w:tr>
      <w:tr w:rsidR="00A12B52" w:rsidRPr="0013396E" w14:paraId="199DB53D" w14:textId="77777777" w:rsidTr="0099759E">
        <w:trPr>
          <w:cantSplit/>
        </w:trPr>
        <w:tc>
          <w:tcPr>
            <w:tcW w:w="1221" w:type="pct"/>
            <w:tcBorders>
              <w:top w:val="single" w:sz="4" w:space="0" w:color="auto"/>
              <w:left w:val="single" w:sz="4" w:space="0" w:color="auto"/>
              <w:bottom w:val="single" w:sz="4" w:space="0" w:color="auto"/>
              <w:right w:val="single" w:sz="4" w:space="0" w:color="auto"/>
            </w:tcBorders>
            <w:hideMark/>
          </w:tcPr>
          <w:p w14:paraId="5C44FA22" w14:textId="77777777" w:rsidR="00A12B52" w:rsidRPr="0013396E" w:rsidRDefault="00A12B52" w:rsidP="0099759E">
            <w:pPr>
              <w:pStyle w:val="tablebody0"/>
            </w:pPr>
            <w:r w:rsidRPr="0013396E">
              <w:t xml:space="preserve">RTECRTOAMT </w:t>
            </w:r>
            <w:r w:rsidRPr="0013396E">
              <w:rPr>
                <w:i/>
                <w:vertAlign w:val="subscript"/>
              </w:rPr>
              <w:t>q</w:t>
            </w:r>
          </w:p>
        </w:tc>
        <w:tc>
          <w:tcPr>
            <w:tcW w:w="638" w:type="pct"/>
            <w:tcBorders>
              <w:top w:val="single" w:sz="4" w:space="0" w:color="auto"/>
              <w:left w:val="single" w:sz="4" w:space="0" w:color="auto"/>
              <w:bottom w:val="single" w:sz="4" w:space="0" w:color="auto"/>
              <w:right w:val="single" w:sz="4" w:space="0" w:color="auto"/>
            </w:tcBorders>
            <w:hideMark/>
          </w:tcPr>
          <w:p w14:paraId="5D3CBF78" w14:textId="77777777" w:rsidR="00A12B52" w:rsidRPr="0013396E" w:rsidRDefault="00A12B52" w:rsidP="0099759E">
            <w:pPr>
              <w:pStyle w:val="tablebody0"/>
            </w:pPr>
            <w:r w:rsidRPr="0013396E">
              <w:t>$</w:t>
            </w:r>
          </w:p>
        </w:tc>
        <w:tc>
          <w:tcPr>
            <w:tcW w:w="3141" w:type="pct"/>
            <w:tcBorders>
              <w:top w:val="single" w:sz="4" w:space="0" w:color="auto"/>
              <w:left w:val="single" w:sz="4" w:space="0" w:color="auto"/>
              <w:bottom w:val="single" w:sz="4" w:space="0" w:color="auto"/>
              <w:right w:val="single" w:sz="4" w:space="0" w:color="auto"/>
            </w:tcBorders>
            <w:hideMark/>
          </w:tcPr>
          <w:p w14:paraId="7E8A459E" w14:textId="77777777" w:rsidR="00A12B52" w:rsidRPr="0013396E" w:rsidRDefault="00A12B52" w:rsidP="0099759E">
            <w:pPr>
              <w:pStyle w:val="tablebody0"/>
              <w:rPr>
                <w:i/>
              </w:rPr>
            </w:pPr>
            <w:r w:rsidRPr="0013396E">
              <w:rPr>
                <w:i/>
              </w:rPr>
              <w:t>Real-Time ERCOT Contingency Reserve Service Trade Overage Amount for the QSE</w:t>
            </w:r>
            <w:r w:rsidRPr="0013396E">
              <w:t xml:space="preserve">— The total charge to QSE </w:t>
            </w:r>
            <w:r w:rsidRPr="0013396E">
              <w:rPr>
                <w:i/>
              </w:rPr>
              <w:t>q</w:t>
            </w:r>
            <w:r w:rsidRPr="0013396E">
              <w:t xml:space="preserve"> in Real-Time for ECRS trade overages for each 15-minute Settlement Interval.</w:t>
            </w:r>
          </w:p>
        </w:tc>
      </w:tr>
      <w:tr w:rsidR="00A12B52" w:rsidRPr="0013396E" w14:paraId="5C1C57B4" w14:textId="77777777" w:rsidTr="0099759E">
        <w:trPr>
          <w:cantSplit/>
        </w:trPr>
        <w:tc>
          <w:tcPr>
            <w:tcW w:w="1221" w:type="pct"/>
            <w:tcBorders>
              <w:top w:val="single" w:sz="4" w:space="0" w:color="auto"/>
              <w:left w:val="single" w:sz="4" w:space="0" w:color="auto"/>
              <w:bottom w:val="single" w:sz="4" w:space="0" w:color="auto"/>
              <w:right w:val="single" w:sz="4" w:space="0" w:color="auto"/>
            </w:tcBorders>
            <w:hideMark/>
          </w:tcPr>
          <w:p w14:paraId="523E9BEF" w14:textId="77777777" w:rsidR="00A12B52" w:rsidRPr="0013396E" w:rsidRDefault="00A12B52" w:rsidP="0099759E">
            <w:pPr>
              <w:pStyle w:val="tablebody0"/>
            </w:pPr>
            <w:r w:rsidRPr="0013396E">
              <w:t>RTECROAMTTOT</w:t>
            </w:r>
          </w:p>
        </w:tc>
        <w:tc>
          <w:tcPr>
            <w:tcW w:w="638" w:type="pct"/>
            <w:tcBorders>
              <w:top w:val="single" w:sz="4" w:space="0" w:color="auto"/>
              <w:left w:val="single" w:sz="4" w:space="0" w:color="auto"/>
              <w:bottom w:val="single" w:sz="4" w:space="0" w:color="auto"/>
              <w:right w:val="single" w:sz="4" w:space="0" w:color="auto"/>
            </w:tcBorders>
            <w:hideMark/>
          </w:tcPr>
          <w:p w14:paraId="46F0F132" w14:textId="77777777" w:rsidR="00A12B52" w:rsidRPr="0013396E" w:rsidRDefault="00A12B52" w:rsidP="0099759E">
            <w:pPr>
              <w:pStyle w:val="tablebody0"/>
            </w:pPr>
            <w:r w:rsidRPr="0013396E">
              <w:t>$</w:t>
            </w:r>
          </w:p>
        </w:tc>
        <w:tc>
          <w:tcPr>
            <w:tcW w:w="3141" w:type="pct"/>
            <w:tcBorders>
              <w:top w:val="single" w:sz="4" w:space="0" w:color="auto"/>
              <w:left w:val="single" w:sz="4" w:space="0" w:color="auto"/>
              <w:bottom w:val="single" w:sz="4" w:space="0" w:color="auto"/>
              <w:right w:val="single" w:sz="4" w:space="0" w:color="auto"/>
            </w:tcBorders>
            <w:hideMark/>
          </w:tcPr>
          <w:p w14:paraId="2461EF0C" w14:textId="77777777" w:rsidR="00A12B52" w:rsidRPr="0013396E" w:rsidRDefault="00A12B52" w:rsidP="0099759E">
            <w:pPr>
              <w:pStyle w:val="tablebody0"/>
              <w:rPr>
                <w:i/>
              </w:rPr>
            </w:pPr>
            <w:r w:rsidRPr="0013396E">
              <w:rPr>
                <w:i/>
              </w:rPr>
              <w:t xml:space="preserve">Real-Time ERCOT Contingency Reserve Service Trade Overage Total Amount </w:t>
            </w:r>
            <w:r w:rsidRPr="0013396E">
              <w:t>— The total charge to all QSEs for Real-Time ECRS trade overages for each 15-minute Settlement Interval.</w:t>
            </w:r>
          </w:p>
        </w:tc>
      </w:tr>
      <w:tr w:rsidR="00A12B52" w:rsidRPr="0013396E" w14:paraId="3D5EB865" w14:textId="77777777" w:rsidTr="0099759E">
        <w:trPr>
          <w:cantSplit/>
        </w:trPr>
        <w:tc>
          <w:tcPr>
            <w:tcW w:w="1221" w:type="pct"/>
            <w:tcBorders>
              <w:top w:val="single" w:sz="4" w:space="0" w:color="auto"/>
              <w:left w:val="single" w:sz="4" w:space="0" w:color="auto"/>
              <w:bottom w:val="single" w:sz="4" w:space="0" w:color="auto"/>
              <w:right w:val="single" w:sz="4" w:space="0" w:color="auto"/>
            </w:tcBorders>
            <w:hideMark/>
          </w:tcPr>
          <w:p w14:paraId="465D8502" w14:textId="77777777" w:rsidR="00A12B52" w:rsidRPr="0013396E" w:rsidRDefault="00A12B52" w:rsidP="0099759E">
            <w:pPr>
              <w:pStyle w:val="tablebody0"/>
              <w:rPr>
                <w:b/>
              </w:rPr>
            </w:pPr>
            <w:r w:rsidRPr="0013396E">
              <w:t>LRS</w:t>
            </w:r>
            <w:r w:rsidRPr="0013396E">
              <w:rPr>
                <w:vertAlign w:val="subscript"/>
              </w:rPr>
              <w:t xml:space="preserve"> </w:t>
            </w:r>
            <w:r w:rsidRPr="0013396E">
              <w:rPr>
                <w:i/>
                <w:vertAlign w:val="subscript"/>
              </w:rPr>
              <w:t>q</w:t>
            </w:r>
          </w:p>
        </w:tc>
        <w:tc>
          <w:tcPr>
            <w:tcW w:w="638" w:type="pct"/>
            <w:tcBorders>
              <w:top w:val="single" w:sz="4" w:space="0" w:color="auto"/>
              <w:left w:val="single" w:sz="4" w:space="0" w:color="auto"/>
              <w:bottom w:val="single" w:sz="4" w:space="0" w:color="auto"/>
              <w:right w:val="single" w:sz="4" w:space="0" w:color="auto"/>
            </w:tcBorders>
            <w:hideMark/>
          </w:tcPr>
          <w:p w14:paraId="0CC477CB" w14:textId="77777777" w:rsidR="00A12B52" w:rsidRPr="0013396E" w:rsidRDefault="00A12B52" w:rsidP="0099759E">
            <w:pPr>
              <w:pStyle w:val="tablebody0"/>
            </w:pPr>
            <w:r w:rsidRPr="0013396E">
              <w:t>none</w:t>
            </w:r>
          </w:p>
        </w:tc>
        <w:tc>
          <w:tcPr>
            <w:tcW w:w="3141" w:type="pct"/>
            <w:tcBorders>
              <w:top w:val="single" w:sz="4" w:space="0" w:color="auto"/>
              <w:left w:val="single" w:sz="4" w:space="0" w:color="auto"/>
              <w:bottom w:val="single" w:sz="4" w:space="0" w:color="auto"/>
              <w:right w:val="single" w:sz="4" w:space="0" w:color="auto"/>
            </w:tcBorders>
            <w:hideMark/>
          </w:tcPr>
          <w:p w14:paraId="683466F5" w14:textId="77777777" w:rsidR="00A12B52" w:rsidRPr="0013396E" w:rsidRDefault="00A12B52" w:rsidP="0099759E">
            <w:pPr>
              <w:pStyle w:val="tablebody0"/>
              <w:rPr>
                <w:i/>
              </w:rPr>
            </w:pPr>
            <w:r w:rsidRPr="0013396E">
              <w:rPr>
                <w:i/>
              </w:rPr>
              <w:t>Load Ratio Share per QSE</w:t>
            </w:r>
            <w:r w:rsidRPr="0013396E">
              <w:t xml:space="preserve">—The LRS as defined in Section 6.6.2.2 for QSE </w:t>
            </w:r>
            <w:r w:rsidRPr="0013396E">
              <w:rPr>
                <w:i/>
              </w:rPr>
              <w:t>q</w:t>
            </w:r>
            <w:r w:rsidRPr="0013396E">
              <w:t xml:space="preserve"> for the 15-minute Settlement Interval.</w:t>
            </w:r>
          </w:p>
        </w:tc>
      </w:tr>
      <w:tr w:rsidR="00A12B52" w:rsidRPr="0013396E" w14:paraId="27C185B0" w14:textId="77777777" w:rsidTr="0099759E">
        <w:trPr>
          <w:cantSplit/>
        </w:trPr>
        <w:tc>
          <w:tcPr>
            <w:tcW w:w="1221" w:type="pct"/>
            <w:tcBorders>
              <w:top w:val="single" w:sz="4" w:space="0" w:color="auto"/>
              <w:left w:val="single" w:sz="4" w:space="0" w:color="auto"/>
              <w:bottom w:val="single" w:sz="4" w:space="0" w:color="auto"/>
              <w:right w:val="single" w:sz="4" w:space="0" w:color="auto"/>
            </w:tcBorders>
            <w:hideMark/>
          </w:tcPr>
          <w:p w14:paraId="75D4CA0A" w14:textId="77777777" w:rsidR="00A12B52" w:rsidRPr="0013396E" w:rsidRDefault="00A12B52" w:rsidP="0099759E">
            <w:pPr>
              <w:pStyle w:val="tablebody0"/>
            </w:pPr>
            <w:r w:rsidRPr="0013396E">
              <w:rPr>
                <w:i/>
              </w:rPr>
              <w:t>q</w:t>
            </w:r>
          </w:p>
        </w:tc>
        <w:tc>
          <w:tcPr>
            <w:tcW w:w="638" w:type="pct"/>
            <w:tcBorders>
              <w:top w:val="single" w:sz="4" w:space="0" w:color="auto"/>
              <w:left w:val="single" w:sz="4" w:space="0" w:color="auto"/>
              <w:bottom w:val="single" w:sz="4" w:space="0" w:color="auto"/>
              <w:right w:val="single" w:sz="4" w:space="0" w:color="auto"/>
            </w:tcBorders>
            <w:hideMark/>
          </w:tcPr>
          <w:p w14:paraId="7F57C92E" w14:textId="77777777" w:rsidR="00A12B52" w:rsidRPr="0013396E" w:rsidRDefault="00A12B52" w:rsidP="0099759E">
            <w:pPr>
              <w:pStyle w:val="tablebody0"/>
            </w:pPr>
            <w:r w:rsidRPr="0013396E">
              <w:t>none</w:t>
            </w:r>
          </w:p>
        </w:tc>
        <w:tc>
          <w:tcPr>
            <w:tcW w:w="3141" w:type="pct"/>
            <w:tcBorders>
              <w:top w:val="single" w:sz="4" w:space="0" w:color="auto"/>
              <w:left w:val="single" w:sz="4" w:space="0" w:color="auto"/>
              <w:bottom w:val="single" w:sz="4" w:space="0" w:color="auto"/>
              <w:right w:val="single" w:sz="4" w:space="0" w:color="auto"/>
            </w:tcBorders>
            <w:hideMark/>
          </w:tcPr>
          <w:p w14:paraId="65CDEB1C" w14:textId="77777777" w:rsidR="00A12B52" w:rsidRPr="0013396E" w:rsidRDefault="00A12B52" w:rsidP="0099759E">
            <w:pPr>
              <w:pStyle w:val="tablebody0"/>
              <w:rPr>
                <w:i/>
              </w:rPr>
            </w:pPr>
            <w:r w:rsidRPr="0013396E">
              <w:t>A QSE.</w:t>
            </w:r>
          </w:p>
        </w:tc>
      </w:tr>
    </w:tbl>
    <w:p w14:paraId="06C4D075" w14:textId="5D7AF5BC" w:rsidR="00162CAA" w:rsidRPr="0013396E" w:rsidRDefault="00162CAA" w:rsidP="0095782B">
      <w:pPr>
        <w:pStyle w:val="H2"/>
        <w:spacing w:before="480"/>
        <w:ind w:left="907" w:hanging="907"/>
        <w:rPr>
          <w:snapToGrid w:val="0"/>
        </w:rPr>
      </w:pPr>
      <w:bookmarkStart w:id="2284" w:name="_Toc21487904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r w:rsidRPr="0013396E">
        <w:rPr>
          <w:bCs/>
          <w:snapToGrid w:val="0"/>
        </w:rPr>
        <w:t>6.8</w:t>
      </w:r>
      <w:r w:rsidR="003D3379" w:rsidRPr="0013396E">
        <w:rPr>
          <w:bCs/>
          <w:snapToGrid w:val="0"/>
        </w:rPr>
        <w:tab/>
      </w:r>
      <w:r w:rsidRPr="0013396E">
        <w:rPr>
          <w:snapToGrid w:val="0"/>
        </w:rPr>
        <w:t>Settlement for Operating Losses During an LCAP</w:t>
      </w:r>
      <w:r w:rsidR="0064460C">
        <w:rPr>
          <w:snapToGrid w:val="0"/>
        </w:rPr>
        <w:t xml:space="preserve"> or ECAP</w:t>
      </w:r>
      <w:r w:rsidRPr="0013396E">
        <w:rPr>
          <w:snapToGrid w:val="0"/>
        </w:rPr>
        <w:t xml:space="preserve"> </w:t>
      </w:r>
      <w:r w:rsidRPr="0013396E">
        <w:rPr>
          <w:bCs/>
          <w:snapToGrid w:val="0"/>
        </w:rPr>
        <w:t>Effective Period</w:t>
      </w:r>
      <w:bookmarkEnd w:id="2284"/>
    </w:p>
    <w:p w14:paraId="477DBA85" w14:textId="0A50AA08" w:rsidR="00162CAA" w:rsidRPr="0013396E" w:rsidRDefault="00162CAA" w:rsidP="00E4313A">
      <w:pPr>
        <w:keepNext/>
        <w:tabs>
          <w:tab w:val="left" w:pos="1080"/>
        </w:tabs>
        <w:spacing w:before="240" w:after="240"/>
        <w:ind w:left="1080" w:hanging="1080"/>
        <w:outlineLvl w:val="2"/>
        <w:rPr>
          <w:b/>
          <w:bCs/>
          <w:i/>
          <w:iCs/>
          <w:snapToGrid w:val="0"/>
        </w:rPr>
      </w:pPr>
      <w:bookmarkStart w:id="2285" w:name="_Toc214879041"/>
      <w:r w:rsidRPr="0013396E">
        <w:rPr>
          <w:b/>
          <w:bCs/>
          <w:i/>
          <w:iCs/>
          <w:snapToGrid w:val="0"/>
        </w:rPr>
        <w:t>6.8.1</w:t>
      </w:r>
      <w:r w:rsidR="003D3379" w:rsidRPr="0013396E">
        <w:rPr>
          <w:b/>
          <w:bCs/>
          <w:i/>
          <w:iCs/>
          <w:snapToGrid w:val="0"/>
        </w:rPr>
        <w:tab/>
      </w:r>
      <w:r w:rsidRPr="0013396E">
        <w:rPr>
          <w:b/>
          <w:bCs/>
          <w:i/>
          <w:iCs/>
          <w:snapToGrid w:val="0"/>
        </w:rPr>
        <w:t xml:space="preserve">Determination of </w:t>
      </w:r>
      <w:r w:rsidRPr="0013396E">
        <w:rPr>
          <w:b/>
          <w:i/>
          <w:iCs/>
          <w:snapToGrid w:val="0"/>
        </w:rPr>
        <w:t>Operating Losses During an LCAP</w:t>
      </w:r>
      <w:r w:rsidR="0064460C">
        <w:rPr>
          <w:b/>
          <w:i/>
          <w:iCs/>
          <w:snapToGrid w:val="0"/>
        </w:rPr>
        <w:t xml:space="preserve"> or ECAP</w:t>
      </w:r>
      <w:r w:rsidRPr="0013396E">
        <w:rPr>
          <w:b/>
          <w:i/>
          <w:iCs/>
          <w:snapToGrid w:val="0"/>
        </w:rPr>
        <w:t xml:space="preserve"> </w:t>
      </w:r>
      <w:r w:rsidRPr="0013396E">
        <w:rPr>
          <w:b/>
          <w:bCs/>
          <w:i/>
          <w:iCs/>
          <w:snapToGrid w:val="0"/>
        </w:rPr>
        <w:t>Effective Period</w:t>
      </w:r>
      <w:bookmarkEnd w:id="2285"/>
    </w:p>
    <w:p w14:paraId="2716FF75" w14:textId="77777777" w:rsidR="0064460C" w:rsidRPr="0013396E" w:rsidRDefault="0064460C" w:rsidP="0064460C">
      <w:pPr>
        <w:spacing w:after="240"/>
        <w:ind w:left="720" w:hanging="720"/>
      </w:pPr>
      <w:r w:rsidRPr="0013396E">
        <w:t>(1)</w:t>
      </w:r>
      <w:r w:rsidRPr="0013396E">
        <w:tab/>
        <w:t>In order for a Qualified Scheduling Entity (QSE) that represents a Generation Resource or Energy Storage Resource (ESR) to recover actual marginal costs for operating losses during a Low System-Wide Offer Cap (LCAP) or an Emergency Offer Cap (ECAP) Effective Period, and incurred as calculated in Section 6.8.2, Recovery of Operating Losses During an LCAP or ECAP Effective Period, the QSE shall timely submit a Settlement and billing dispute for each affected Operating Day, consistent with the dispute process described in Section 9.14, Settlement and Billing Dispute Process.  The QSE shall also submit, through the Settlement and billing dispute process, and within 60 days of the issuance of a Real-Time Market (RTM) Initial Statement for an Operating Day, the following information:</w:t>
      </w:r>
    </w:p>
    <w:p w14:paraId="3852E43A" w14:textId="77777777" w:rsidR="0064460C" w:rsidRPr="0013396E" w:rsidRDefault="0064460C" w:rsidP="0064460C">
      <w:pPr>
        <w:spacing w:after="240"/>
        <w:ind w:left="1440" w:hanging="720"/>
      </w:pPr>
      <w:r w:rsidRPr="0013396E">
        <w:t>(a)</w:t>
      </w:r>
      <w:r w:rsidRPr="0013396E">
        <w:tab/>
        <w:t>For a Generation Resource:</w:t>
      </w:r>
    </w:p>
    <w:p w14:paraId="5F0A4BCD" w14:textId="77777777" w:rsidR="0064460C" w:rsidRPr="0013396E" w:rsidRDefault="0064460C" w:rsidP="0064460C">
      <w:pPr>
        <w:spacing w:after="240"/>
        <w:ind w:left="2160" w:hanging="720"/>
      </w:pPr>
      <w:r w:rsidRPr="0013396E">
        <w:t>(i)</w:t>
      </w:r>
      <w:r w:rsidRPr="0013396E">
        <w:tab/>
        <w:t>All fuel purchases used to determine the weighted average fuel price included in the calculation of the actual marginal operating fuel cost component, for the Generation Resource, for the 15-minute Settlement Interval within the Operating Day.</w:t>
      </w:r>
    </w:p>
    <w:p w14:paraId="290AE34C" w14:textId="77777777" w:rsidR="0064460C" w:rsidRPr="0013396E" w:rsidRDefault="0064460C" w:rsidP="0064460C">
      <w:pPr>
        <w:spacing w:after="240"/>
        <w:ind w:left="1440" w:hanging="720"/>
      </w:pPr>
      <w:r w:rsidRPr="0013396E">
        <w:t>(b)</w:t>
      </w:r>
      <w:r w:rsidRPr="0013396E">
        <w:tab/>
        <w:t>For an ESR, the average electricity cost incurred to charge the ESR for the amount of discharge during the LCAP or ECAP Effective Period.</w:t>
      </w:r>
    </w:p>
    <w:p w14:paraId="21BE9CB3" w14:textId="77777777" w:rsidR="0064460C" w:rsidRPr="0013396E" w:rsidRDefault="0064460C" w:rsidP="0064460C">
      <w:pPr>
        <w:spacing w:after="240"/>
        <w:ind w:left="1440" w:hanging="720"/>
      </w:pPr>
      <w:r w:rsidRPr="0013396E">
        <w:t>(c)</w:t>
      </w:r>
      <w:r w:rsidRPr="0013396E">
        <w:tab/>
        <w:t>For Resources with approved Raw Verifiable Operations and Maintenance Cost Above LSL</w:t>
      </w:r>
      <w:r w:rsidRPr="0013396E">
        <w:rPr>
          <w:i/>
          <w:iCs/>
          <w:sz w:val="20"/>
        </w:rPr>
        <w:t xml:space="preserve"> </w:t>
      </w:r>
      <w:r w:rsidRPr="0013396E">
        <w:t>(ROM), the QSE may submit an Incremental Variable Operations and Maintenance Costs (IVC) rate for costs incurred during the LCAP or ECAP Effective Period that were not included in the currently approved ROM value, subject to verification and approval by ERCOT.</w:t>
      </w:r>
    </w:p>
    <w:p w14:paraId="288E3A72" w14:textId="4326F2B1" w:rsidR="0064460C" w:rsidRPr="0013396E" w:rsidRDefault="0064460C" w:rsidP="0064460C">
      <w:pPr>
        <w:spacing w:after="240"/>
        <w:ind w:left="1440" w:hanging="720"/>
      </w:pPr>
      <w:r w:rsidRPr="0013396E">
        <w:lastRenderedPageBreak/>
        <w:t>(d)</w:t>
      </w:r>
      <w:r w:rsidRPr="0013396E">
        <w:tab/>
        <w:t>For Resources that do not have approved ROM, the QSE may submit an IVC rate for costs incurred during the LCAP or ECAP Effective Period in lieu of the Standard Operations and Maintenance Cost (STOM), defined in Section 6.8.2, subject to verification and approval by ERCOT.</w:t>
      </w:r>
    </w:p>
    <w:p w14:paraId="686FFAE9" w14:textId="67B5342E" w:rsidR="00162CAA" w:rsidRPr="0013396E" w:rsidRDefault="0064460C" w:rsidP="00162CAA">
      <w:pPr>
        <w:spacing w:after="240"/>
        <w:ind w:left="1440" w:hanging="720"/>
      </w:pPr>
      <w:r w:rsidRPr="0013396E">
        <w:t>(e)</w:t>
      </w:r>
      <w:r w:rsidRPr="0013396E">
        <w:tab/>
        <w:t>An attestation signed by an officer or executive with authority to bind the QSE stating that the information contained in the Settlement and billing dispute is accurate and that fixed costs (e.g., fees, penalties, and similar non-gas costs) were not included in the calculation of the weighted average fuel price.  If the marginal fuel cost exceeds the HCAP, the attestation must also include the following provision:  “All marginal fuel costs included in this submission are solely related to the provision of fuel or services directly related to the provision of the purchased fuel.”</w:t>
      </w:r>
    </w:p>
    <w:p w14:paraId="50EE536F" w14:textId="77777777" w:rsidR="0064460C" w:rsidRPr="0013396E" w:rsidRDefault="0064460C" w:rsidP="0064460C">
      <w:pPr>
        <w:spacing w:after="240"/>
        <w:ind w:left="720" w:hanging="720"/>
        <w:rPr>
          <w:color w:val="000000"/>
        </w:rPr>
      </w:pPr>
      <w:bookmarkStart w:id="2286" w:name="_Hlk77686274"/>
      <w:r w:rsidRPr="0013396E">
        <w:t>(2)</w:t>
      </w:r>
      <w:r w:rsidRPr="0013396E">
        <w:tab/>
      </w:r>
      <w:r w:rsidRPr="0013396E">
        <w:rPr>
          <w:color w:val="000000"/>
        </w:rPr>
        <w:t>The calculation of operating losses under Section 6.8.2 applies:</w:t>
      </w:r>
    </w:p>
    <w:p w14:paraId="6203A1AA" w14:textId="77777777" w:rsidR="0064460C" w:rsidRPr="0013396E" w:rsidRDefault="0064460C" w:rsidP="0064460C">
      <w:pPr>
        <w:spacing w:after="240"/>
        <w:ind w:left="1440" w:hanging="720"/>
      </w:pPr>
      <w:r w:rsidRPr="0013396E">
        <w:t>(a)</w:t>
      </w:r>
      <w:r w:rsidRPr="0013396E">
        <w:tab/>
        <w:t xml:space="preserve">When the Real-Time Settlement Point Price for the Resource is equal to or exceeds the LCAP or ECAP; and </w:t>
      </w:r>
    </w:p>
    <w:p w14:paraId="2AF9AE63" w14:textId="1AD4B526" w:rsidR="00162CAA" w:rsidRPr="0013396E" w:rsidRDefault="0064460C" w:rsidP="000B7133">
      <w:pPr>
        <w:spacing w:after="240"/>
        <w:ind w:left="1440" w:hanging="720"/>
      </w:pPr>
      <w:r w:rsidRPr="0013396E">
        <w:t>(b)</w:t>
      </w:r>
      <w:r w:rsidRPr="0013396E">
        <w:tab/>
        <w:t>When the Resource’s Energy Offer Curve or Energy Bid/Offer Curve is at the LCAP or ECAP and the Resource receives a Dispatch Instruction or a Base Point above its Low Sustained Limit (LSL).</w:t>
      </w:r>
      <w:r w:rsidRPr="0013396E" w:rsidDel="0064460C">
        <w:t xml:space="preserve"> </w:t>
      </w:r>
    </w:p>
    <w:bookmarkEnd w:id="2286"/>
    <w:p w14:paraId="47A3DB77" w14:textId="3B0F7A6D" w:rsidR="00162CAA" w:rsidRPr="0013396E" w:rsidRDefault="00162CAA" w:rsidP="000B7133">
      <w:pPr>
        <w:spacing w:after="240"/>
        <w:ind w:left="720" w:hanging="720"/>
      </w:pPr>
      <w:r w:rsidRPr="0013396E">
        <w:t>(3)</w:t>
      </w:r>
      <w:r w:rsidRPr="0013396E">
        <w:tab/>
        <w:t xml:space="preserve">Fuel prices may include all </w:t>
      </w:r>
      <w:bookmarkStart w:id="2287" w:name="_Hlk77692128"/>
      <w:r w:rsidRPr="0013396E">
        <w:t xml:space="preserve">variable </w:t>
      </w:r>
      <w:bookmarkEnd w:id="2287"/>
      <w:r w:rsidRPr="0013396E">
        <w:t xml:space="preserve">costs associated with the purchase, transportation, and storage of fuel. </w:t>
      </w:r>
    </w:p>
    <w:p w14:paraId="7427335A" w14:textId="52176249" w:rsidR="00162CAA" w:rsidRPr="0013396E" w:rsidRDefault="00445D1B" w:rsidP="00162CAA">
      <w:pPr>
        <w:spacing w:after="240"/>
        <w:ind w:left="720" w:hanging="720"/>
      </w:pPr>
      <w:r w:rsidRPr="0013396E">
        <w:t>(4)</w:t>
      </w:r>
      <w:r w:rsidRPr="0013396E">
        <w:tab/>
        <w:t>ERCOT will consider the documentation provided by the QSE in order to determine the weighted average fuel price for a Generation Resource or the average electricity cost to charge for an ESR during an LCAP or ECAP Effective Period.</w:t>
      </w:r>
      <w:r w:rsidRPr="0013396E" w:rsidDel="00445D1B">
        <w:t xml:space="preserve"> </w:t>
      </w:r>
    </w:p>
    <w:p w14:paraId="4CB4D8A5" w14:textId="77777777" w:rsidR="00445D1B" w:rsidRPr="0013396E" w:rsidRDefault="00445D1B" w:rsidP="00445D1B">
      <w:pPr>
        <w:spacing w:after="240"/>
        <w:ind w:left="720" w:hanging="720"/>
      </w:pPr>
      <w:r w:rsidRPr="0013396E">
        <w:t>(5)</w:t>
      </w:r>
      <w:r w:rsidRPr="0013396E">
        <w:tab/>
        <w:t xml:space="preserve">For purposes of determining operating losses during an LCAP or ECAP Effective Period, ERCOT may request additional information, documentation, or clarification from the QSE.  In addition, if the marginal fuel cost exceeds the HCAP, ERCOT may require copies of relevant fuel purchase contracts.  A QSE shall respond to any such request within ten Business Days.  Failure to provide such information to ERCOT shall result in denial of the fuel reimbursement request.  </w:t>
      </w:r>
    </w:p>
    <w:p w14:paraId="50E806E9" w14:textId="77777777" w:rsidR="00445D1B" w:rsidRPr="0013396E" w:rsidRDefault="00445D1B" w:rsidP="00445D1B">
      <w:pPr>
        <w:spacing w:after="240"/>
        <w:ind w:left="720" w:hanging="720"/>
      </w:pPr>
      <w:r w:rsidRPr="0013396E">
        <w:t>(6)</w:t>
      </w:r>
      <w:r w:rsidRPr="0013396E">
        <w:tab/>
        <w:t>At ERCOT’s sole discretion, submission and follow-up information deadlines may be extended on a case-by-case basis.</w:t>
      </w:r>
    </w:p>
    <w:p w14:paraId="705DF1BB" w14:textId="77777777" w:rsidR="00445D1B" w:rsidRPr="0013396E" w:rsidRDefault="00445D1B" w:rsidP="00445D1B">
      <w:pPr>
        <w:spacing w:after="240"/>
        <w:ind w:left="720" w:hanging="720"/>
      </w:pPr>
      <w:r w:rsidRPr="0013396E">
        <w:t>(7)</w:t>
      </w:r>
      <w:r w:rsidRPr="0013396E">
        <w:tab/>
        <w:t xml:space="preserve">Notwithstanding paragraphs (1) through (5) above: </w:t>
      </w:r>
    </w:p>
    <w:p w14:paraId="5F0F9203" w14:textId="77777777" w:rsidR="00445D1B" w:rsidRPr="0013396E" w:rsidRDefault="00445D1B" w:rsidP="00445D1B">
      <w:pPr>
        <w:spacing w:after="240"/>
        <w:ind w:left="1440" w:hanging="720"/>
      </w:pPr>
      <w:r w:rsidRPr="0013396E">
        <w:t>(a)</w:t>
      </w:r>
      <w:r w:rsidRPr="0013396E">
        <w:tab/>
        <w:t xml:space="preserve">A QSE representing a Generation Resource cannot submit a dispute to recover the incremental fuel costs incurred under both Section 9.14.7, Disputes for RUC Make-Whole Payment for Fuel Costs, and Section 6.8.1, Determination of Operating Losses During an LCAP or ECAP Effective Period; and </w:t>
      </w:r>
    </w:p>
    <w:p w14:paraId="3546A4B8" w14:textId="183D63A4" w:rsidR="00764A29" w:rsidRPr="0013396E" w:rsidRDefault="00445D1B" w:rsidP="000B7133">
      <w:pPr>
        <w:spacing w:after="240"/>
        <w:ind w:left="1440" w:hanging="720"/>
      </w:pPr>
      <w:r w:rsidRPr="0013396E">
        <w:lastRenderedPageBreak/>
        <w:t>(b)</w:t>
      </w:r>
      <w:r w:rsidRPr="0013396E">
        <w:tab/>
        <w:t>A QSE representing a Switchable Generation Resource that ERCOT directs to switch to the ERCOT Control Area cannot submit a dispute to recover the same incremental fuel and operations costs under both Section 6.6.12.1, Switchable Generation Make-Whole Payment, and Section 6.8.1, Determination of Operating Losses During an LCAP or ECAP Effective Period.</w:t>
      </w:r>
      <w:r w:rsidRPr="0013396E" w:rsidDel="00445D1B">
        <w:t xml:space="preserve"> </w:t>
      </w:r>
    </w:p>
    <w:p w14:paraId="11906CB8" w14:textId="14EDFEA8" w:rsidR="00162CAA" w:rsidRPr="000B7133" w:rsidRDefault="00162CAA" w:rsidP="000B7133">
      <w:pPr>
        <w:keepNext/>
        <w:tabs>
          <w:tab w:val="left" w:pos="1080"/>
        </w:tabs>
        <w:spacing w:before="240" w:after="240"/>
        <w:ind w:left="1080" w:hanging="1080"/>
        <w:outlineLvl w:val="2"/>
        <w:rPr>
          <w:b/>
          <w:bCs/>
          <w:i/>
          <w:iCs/>
          <w:snapToGrid w:val="0"/>
        </w:rPr>
      </w:pPr>
      <w:r w:rsidRPr="000B7133">
        <w:rPr>
          <w:b/>
          <w:bCs/>
          <w:i/>
          <w:iCs/>
          <w:snapToGrid w:val="0"/>
        </w:rPr>
        <w:t xml:space="preserve"> </w:t>
      </w:r>
      <w:bookmarkStart w:id="2288" w:name="_Toc60038352"/>
      <w:bookmarkStart w:id="2289" w:name="_Toc214879042"/>
      <w:r w:rsidRPr="0013396E">
        <w:rPr>
          <w:b/>
          <w:bCs/>
          <w:i/>
          <w:iCs/>
          <w:snapToGrid w:val="0"/>
        </w:rPr>
        <w:t>6.8.2</w:t>
      </w:r>
      <w:bookmarkEnd w:id="2288"/>
      <w:r w:rsidR="003D3379" w:rsidRPr="0013396E">
        <w:rPr>
          <w:b/>
          <w:bCs/>
          <w:i/>
          <w:iCs/>
          <w:snapToGrid w:val="0"/>
        </w:rPr>
        <w:tab/>
      </w:r>
      <w:r w:rsidRPr="000B7133">
        <w:rPr>
          <w:b/>
          <w:bCs/>
          <w:i/>
          <w:iCs/>
          <w:snapToGrid w:val="0"/>
        </w:rPr>
        <w:t xml:space="preserve">Recovery of Operating Losses During an LCAP </w:t>
      </w:r>
      <w:r w:rsidR="00DA793B" w:rsidRPr="000B7133">
        <w:rPr>
          <w:b/>
          <w:bCs/>
          <w:i/>
          <w:iCs/>
          <w:snapToGrid w:val="0"/>
        </w:rPr>
        <w:t xml:space="preserve">or ECAP </w:t>
      </w:r>
      <w:r w:rsidRPr="000B7133">
        <w:rPr>
          <w:b/>
          <w:bCs/>
          <w:i/>
          <w:iCs/>
          <w:snapToGrid w:val="0"/>
        </w:rPr>
        <w:t>Effective Period</w:t>
      </w:r>
      <w:bookmarkEnd w:id="2289"/>
    </w:p>
    <w:p w14:paraId="6CA794D3" w14:textId="07B7710E" w:rsidR="00162CAA" w:rsidRPr="0013396E" w:rsidRDefault="00162CAA" w:rsidP="00162CAA">
      <w:pPr>
        <w:spacing w:after="240"/>
        <w:ind w:left="720" w:hanging="720"/>
      </w:pPr>
      <w:r w:rsidRPr="0013396E">
        <w:t>(1)</w:t>
      </w:r>
      <w:r w:rsidRPr="0013396E">
        <w:tab/>
        <w:t xml:space="preserve">ERCOT shall calculate the recovery of operating losses during an LCAP </w:t>
      </w:r>
      <w:r w:rsidR="00DA793B">
        <w:t xml:space="preserve">or ECAP </w:t>
      </w:r>
      <w:r w:rsidRPr="0013396E">
        <w:t>Effective Period with the actual marginal costs that exceed LCAP</w:t>
      </w:r>
      <w:r w:rsidR="00DA793B" w:rsidRPr="00DA793B">
        <w:t xml:space="preserve"> </w:t>
      </w:r>
      <w:r w:rsidR="00DA793B">
        <w:t>or ECAP</w:t>
      </w:r>
      <w:r w:rsidRPr="0013396E">
        <w:t xml:space="preserve"> revenues in accordance with this Section.</w:t>
      </w:r>
    </w:p>
    <w:p w14:paraId="74055584" w14:textId="77777777" w:rsidR="00162CAA" w:rsidRPr="0013396E" w:rsidRDefault="00162CAA" w:rsidP="00162CAA">
      <w:pPr>
        <w:spacing w:after="240"/>
        <w:ind w:left="720" w:hanging="720"/>
      </w:pPr>
      <w:r w:rsidRPr="0013396E">
        <w:t>(2)</w:t>
      </w:r>
      <w:r w:rsidRPr="0013396E">
        <w:tab/>
        <w:t>The actual marginal cost (AMC) and marginal energy production (MEP) used to calculate operating losses (OPL) for a Combined Cycle Train are the AMC and MEP that correspond to the Combined Cycle Generation Resource, within a Combined Cycle Train, that operates in Real-Time for the 15-minute Settlement Interval.</w:t>
      </w:r>
    </w:p>
    <w:p w14:paraId="0BAE9454" w14:textId="25BA42EC" w:rsidR="00162CAA" w:rsidRPr="0013396E" w:rsidRDefault="00162CAA" w:rsidP="00162CAA">
      <w:pPr>
        <w:spacing w:before="240" w:after="240"/>
        <w:ind w:left="720" w:hanging="720"/>
        <w:rPr>
          <w:szCs w:val="24"/>
        </w:rPr>
      </w:pPr>
      <w:r w:rsidRPr="0013396E">
        <w:rPr>
          <w:szCs w:val="24"/>
        </w:rPr>
        <w:t>(3)       Payment for operating losses during an LCAP</w:t>
      </w:r>
      <w:r w:rsidR="00DA793B" w:rsidRPr="00DA793B">
        <w:t xml:space="preserve"> </w:t>
      </w:r>
      <w:r w:rsidR="00DA793B">
        <w:t>or ECAP</w:t>
      </w:r>
      <w:r w:rsidRPr="0013396E">
        <w:rPr>
          <w:szCs w:val="24"/>
        </w:rPr>
        <w:t xml:space="preserve"> Effective Period is calculated as follows:  </w:t>
      </w:r>
    </w:p>
    <w:p w14:paraId="437D193B" w14:textId="77777777" w:rsidR="00162CAA" w:rsidRPr="0013396E" w:rsidRDefault="00162CAA" w:rsidP="00162CAA">
      <w:pPr>
        <w:spacing w:before="240" w:after="240"/>
        <w:ind w:left="2160" w:hanging="1440"/>
        <w:rPr>
          <w:b/>
          <w:bCs/>
          <w:i/>
          <w:szCs w:val="24"/>
          <w:vertAlign w:val="subscript"/>
        </w:rPr>
      </w:pPr>
      <w:r w:rsidRPr="0013396E">
        <w:rPr>
          <w:b/>
          <w:bCs/>
          <w:szCs w:val="24"/>
        </w:rPr>
        <w:t xml:space="preserve">OPLPAMT </w:t>
      </w:r>
      <w:r w:rsidRPr="0013396E">
        <w:rPr>
          <w:b/>
          <w:bCs/>
          <w:i/>
          <w:szCs w:val="24"/>
          <w:vertAlign w:val="subscript"/>
        </w:rPr>
        <w:t>q, r, i</w:t>
      </w:r>
      <w:r w:rsidRPr="0013396E">
        <w:rPr>
          <w:b/>
          <w:bCs/>
          <w:szCs w:val="24"/>
        </w:rPr>
        <w:t xml:space="preserve">  =  (-1) * (OPL</w:t>
      </w:r>
      <w:r w:rsidRPr="0013396E">
        <w:rPr>
          <w:b/>
          <w:bCs/>
          <w:i/>
          <w:szCs w:val="24"/>
          <w:vertAlign w:val="subscript"/>
        </w:rPr>
        <w:t xml:space="preserve"> q, r, i</w:t>
      </w:r>
      <w:r w:rsidRPr="0013396E">
        <w:rPr>
          <w:b/>
          <w:bCs/>
          <w:szCs w:val="24"/>
        </w:rPr>
        <w:t xml:space="preserve"> + ADJOPL</w:t>
      </w:r>
      <w:r w:rsidRPr="0013396E">
        <w:rPr>
          <w:b/>
          <w:bCs/>
          <w:i/>
          <w:szCs w:val="24"/>
          <w:vertAlign w:val="subscript"/>
        </w:rPr>
        <w:t xml:space="preserve"> q, r, i</w:t>
      </w:r>
      <w:r w:rsidRPr="0013396E">
        <w:rPr>
          <w:b/>
          <w:bCs/>
          <w:szCs w:val="24"/>
        </w:rPr>
        <w:t>)</w:t>
      </w:r>
    </w:p>
    <w:p w14:paraId="313DC78C" w14:textId="77777777" w:rsidR="00162CAA" w:rsidRPr="0013396E" w:rsidRDefault="00162CAA" w:rsidP="00162CAA">
      <w:pPr>
        <w:spacing w:after="240"/>
        <w:ind w:left="720"/>
        <w:rPr>
          <w:szCs w:val="24"/>
        </w:rPr>
      </w:pPr>
      <w:r w:rsidRPr="0013396E">
        <w:rPr>
          <w:szCs w:val="24"/>
        </w:rPr>
        <w:t>Where,</w:t>
      </w:r>
    </w:p>
    <w:p w14:paraId="2A1D1AE8" w14:textId="77777777" w:rsidR="00162CAA" w:rsidRPr="0013396E" w:rsidRDefault="00162CAA" w:rsidP="00162CAA">
      <w:pPr>
        <w:spacing w:after="240"/>
        <w:ind w:left="1440" w:hanging="720"/>
        <w:rPr>
          <w:iCs/>
          <w:szCs w:val="24"/>
        </w:rPr>
      </w:pPr>
      <w:r w:rsidRPr="0013396E">
        <w:rPr>
          <w:iCs/>
          <w:szCs w:val="24"/>
        </w:rPr>
        <w:t>For the Generation Resource:</w:t>
      </w:r>
    </w:p>
    <w:p w14:paraId="399DEFFA" w14:textId="5C1CE227" w:rsidR="00162CAA" w:rsidRPr="0013396E" w:rsidRDefault="00162CAA" w:rsidP="00162CAA">
      <w:pPr>
        <w:tabs>
          <w:tab w:val="decimal" w:pos="1440"/>
          <w:tab w:val="left" w:pos="2340"/>
        </w:tabs>
        <w:spacing w:after="240"/>
        <w:ind w:left="3420" w:hanging="1980"/>
        <w:rPr>
          <w:bCs/>
          <w:i/>
          <w:szCs w:val="24"/>
          <w:vertAlign w:val="subscript"/>
        </w:rPr>
      </w:pPr>
      <w:r w:rsidRPr="0013396E">
        <w:rPr>
          <w:bCs/>
          <w:szCs w:val="24"/>
        </w:rPr>
        <w:t>OPL</w:t>
      </w:r>
      <w:r w:rsidRPr="0013396E">
        <w:rPr>
          <w:i/>
          <w:szCs w:val="24"/>
          <w:vertAlign w:val="subscript"/>
        </w:rPr>
        <w:t xml:space="preserve"> </w:t>
      </w:r>
      <w:r w:rsidRPr="0013396E">
        <w:rPr>
          <w:bCs/>
          <w:i/>
          <w:szCs w:val="24"/>
          <w:vertAlign w:val="subscript"/>
        </w:rPr>
        <w:t>q, r,</w:t>
      </w:r>
      <w:r w:rsidR="00786744" w:rsidRPr="0013396E">
        <w:rPr>
          <w:bCs/>
          <w:i/>
          <w:szCs w:val="24"/>
          <w:vertAlign w:val="subscript"/>
        </w:rPr>
        <w:t xml:space="preserve"> </w:t>
      </w:r>
      <w:r w:rsidRPr="0013396E">
        <w:rPr>
          <w:bCs/>
          <w:i/>
          <w:szCs w:val="24"/>
          <w:vertAlign w:val="subscript"/>
        </w:rPr>
        <w:t xml:space="preserve">i           </w:t>
      </w:r>
      <w:r w:rsidRPr="0013396E">
        <w:rPr>
          <w:bCs/>
          <w:szCs w:val="24"/>
        </w:rPr>
        <w:t xml:space="preserve">  = </w:t>
      </w:r>
      <w:r w:rsidRPr="0013396E">
        <w:rPr>
          <w:bCs/>
          <w:szCs w:val="24"/>
        </w:rPr>
        <w:tab/>
        <w:t xml:space="preserve">Max(0, (AMC </w:t>
      </w:r>
      <w:r w:rsidRPr="0013396E">
        <w:rPr>
          <w:bCs/>
          <w:i/>
          <w:szCs w:val="24"/>
          <w:vertAlign w:val="subscript"/>
        </w:rPr>
        <w:t>q, r, i</w:t>
      </w:r>
      <w:r w:rsidRPr="0013396E">
        <w:rPr>
          <w:bCs/>
          <w:szCs w:val="24"/>
        </w:rPr>
        <w:t xml:space="preserve"> - Max(LCAP, RTSPP</w:t>
      </w:r>
      <w:r w:rsidRPr="0013396E">
        <w:rPr>
          <w:szCs w:val="24"/>
        </w:rPr>
        <w:t xml:space="preserve"> </w:t>
      </w:r>
      <w:r w:rsidRPr="0013396E">
        <w:rPr>
          <w:i/>
          <w:szCs w:val="24"/>
          <w:vertAlign w:val="subscript"/>
        </w:rPr>
        <w:t>p, i</w:t>
      </w:r>
      <w:r w:rsidRPr="0013396E">
        <w:rPr>
          <w:bCs/>
          <w:szCs w:val="24"/>
        </w:rPr>
        <w:t>)) *</w:t>
      </w:r>
      <w:r w:rsidRPr="0013396E">
        <w:rPr>
          <w:szCs w:val="24"/>
        </w:rPr>
        <w:t xml:space="preserve"> Min(</w:t>
      </w:r>
      <w:r w:rsidRPr="0013396E">
        <w:rPr>
          <w:bCs/>
          <w:szCs w:val="24"/>
        </w:rPr>
        <w:t xml:space="preserve">RTMG </w:t>
      </w:r>
      <w:r w:rsidRPr="0013396E">
        <w:rPr>
          <w:bCs/>
          <w:i/>
          <w:szCs w:val="24"/>
          <w:vertAlign w:val="subscript"/>
        </w:rPr>
        <w:t>q, r, i</w:t>
      </w:r>
      <w:r w:rsidRPr="0013396E">
        <w:rPr>
          <w:szCs w:val="24"/>
        </w:rPr>
        <w:t>, MEP</w:t>
      </w:r>
      <w:r w:rsidRPr="0013396E">
        <w:rPr>
          <w:bCs/>
          <w:i/>
          <w:szCs w:val="24"/>
          <w:vertAlign w:val="subscript"/>
        </w:rPr>
        <w:t xml:space="preserve"> q, r, i</w:t>
      </w:r>
      <w:r w:rsidRPr="0013396E">
        <w:rPr>
          <w:bCs/>
          <w:szCs w:val="24"/>
        </w:rPr>
        <w:t xml:space="preserve">))  </w:t>
      </w:r>
    </w:p>
    <w:p w14:paraId="39E4211B" w14:textId="77777777" w:rsidR="00DA793B" w:rsidRPr="00DA793B" w:rsidRDefault="00DA793B" w:rsidP="00DA793B">
      <w:pPr>
        <w:tabs>
          <w:tab w:val="left" w:pos="2340"/>
          <w:tab w:val="left" w:pos="3420"/>
        </w:tabs>
        <w:spacing w:after="240"/>
        <w:ind w:left="1440"/>
        <w:rPr>
          <w:bCs/>
          <w:iCs/>
          <w:szCs w:val="24"/>
          <w:lang w:val="sv-SE"/>
        </w:rPr>
      </w:pPr>
      <w:r w:rsidRPr="00DA793B">
        <w:rPr>
          <w:bCs/>
          <w:iCs/>
          <w:szCs w:val="24"/>
          <w:lang w:val="sv-SE"/>
        </w:rPr>
        <w:t xml:space="preserve">AMC </w:t>
      </w:r>
      <w:r w:rsidRPr="00DA793B">
        <w:rPr>
          <w:bCs/>
          <w:i/>
          <w:szCs w:val="24"/>
          <w:vertAlign w:val="subscript"/>
          <w:lang w:val="sv-SE"/>
        </w:rPr>
        <w:t>q, r, i</w:t>
      </w:r>
      <w:r w:rsidRPr="00DA793B">
        <w:rPr>
          <w:bCs/>
          <w:iCs/>
          <w:szCs w:val="24"/>
          <w:lang w:val="sv-SE"/>
        </w:rPr>
        <w:t xml:space="preserve">    =     MFC </w:t>
      </w:r>
      <w:r w:rsidRPr="00DA793B">
        <w:rPr>
          <w:bCs/>
          <w:i/>
          <w:szCs w:val="24"/>
          <w:vertAlign w:val="subscript"/>
          <w:lang w:val="sv-SE"/>
        </w:rPr>
        <w:t xml:space="preserve">q, r, i </w:t>
      </w:r>
      <w:r w:rsidRPr="00DA793B">
        <w:rPr>
          <w:bCs/>
          <w:iCs/>
          <w:szCs w:val="24"/>
          <w:lang w:val="sv-SE"/>
        </w:rPr>
        <w:t xml:space="preserve">  + VOM </w:t>
      </w:r>
      <w:r w:rsidRPr="00DA793B">
        <w:rPr>
          <w:bCs/>
          <w:i/>
          <w:szCs w:val="24"/>
          <w:vertAlign w:val="subscript"/>
          <w:lang w:val="sv-SE"/>
        </w:rPr>
        <w:t>q, r</w:t>
      </w:r>
      <w:r w:rsidRPr="00DA793B">
        <w:rPr>
          <w:bCs/>
          <w:iCs/>
          <w:szCs w:val="24"/>
          <w:lang w:val="sv-SE"/>
        </w:rPr>
        <w:t xml:space="preserve">     </w:t>
      </w:r>
    </w:p>
    <w:p w14:paraId="7B0C1E69" w14:textId="02F51776" w:rsidR="00162CAA" w:rsidRPr="0013396E" w:rsidRDefault="00162CAA" w:rsidP="00162CAA">
      <w:pPr>
        <w:spacing w:after="240"/>
        <w:ind w:firstLine="720"/>
        <w:rPr>
          <w:iCs/>
          <w:szCs w:val="24"/>
        </w:rPr>
      </w:pPr>
      <w:r w:rsidRPr="0013396E">
        <w:rPr>
          <w:iCs/>
          <w:szCs w:val="24"/>
        </w:rPr>
        <w:t xml:space="preserve">If ERCOT approved </w:t>
      </w:r>
      <w:r w:rsidR="00DA793B">
        <w:rPr>
          <w:iCs/>
          <w:szCs w:val="24"/>
        </w:rPr>
        <w:t>ROM</w:t>
      </w:r>
      <w:r w:rsidRPr="0013396E">
        <w:rPr>
          <w:iCs/>
          <w:szCs w:val="24"/>
        </w:rPr>
        <w:t xml:space="preserve"> for the Generation Resource:</w:t>
      </w:r>
    </w:p>
    <w:p w14:paraId="1AF7A51F" w14:textId="71896F96" w:rsidR="00162CAA" w:rsidRPr="0013396E" w:rsidRDefault="00162CAA" w:rsidP="00162CAA">
      <w:pPr>
        <w:tabs>
          <w:tab w:val="left" w:pos="2340"/>
          <w:tab w:val="left" w:pos="3420"/>
        </w:tabs>
        <w:spacing w:after="240"/>
        <w:ind w:left="720"/>
        <w:rPr>
          <w:bCs/>
          <w:iCs/>
          <w:szCs w:val="24"/>
        </w:rPr>
      </w:pPr>
      <w:r w:rsidRPr="0013396E">
        <w:rPr>
          <w:bCs/>
          <w:iCs/>
          <w:szCs w:val="24"/>
        </w:rPr>
        <w:t xml:space="preserve">          </w:t>
      </w:r>
    </w:p>
    <w:p w14:paraId="29865D38" w14:textId="77777777" w:rsidR="00162CAA" w:rsidRPr="0013396E" w:rsidRDefault="00162CAA" w:rsidP="00162CAA">
      <w:pPr>
        <w:tabs>
          <w:tab w:val="left" w:pos="2340"/>
          <w:tab w:val="left" w:pos="3420"/>
        </w:tabs>
        <w:spacing w:after="240"/>
        <w:ind w:left="720"/>
        <w:rPr>
          <w:bCs/>
          <w:iCs/>
          <w:szCs w:val="24"/>
        </w:rPr>
      </w:pPr>
      <w:r w:rsidRPr="0013396E">
        <w:rPr>
          <w:szCs w:val="24"/>
        </w:rPr>
        <w:t xml:space="preserve">          MEP</w:t>
      </w:r>
      <w:r w:rsidRPr="0013396E">
        <w:rPr>
          <w:bCs/>
          <w:i/>
          <w:szCs w:val="24"/>
          <w:vertAlign w:val="subscript"/>
        </w:rPr>
        <w:t xml:space="preserve"> q, r, i</w:t>
      </w:r>
      <w:r w:rsidRPr="0013396E">
        <w:rPr>
          <w:bCs/>
          <w:szCs w:val="24"/>
        </w:rPr>
        <w:tab/>
        <w:t xml:space="preserve">  =       AMF</w:t>
      </w:r>
      <w:r w:rsidRPr="0013396E">
        <w:rPr>
          <w:bCs/>
          <w:i/>
          <w:szCs w:val="24"/>
          <w:vertAlign w:val="subscript"/>
          <w:lang w:val="es-ES"/>
        </w:rPr>
        <w:t xml:space="preserve"> q, r, i</w:t>
      </w:r>
      <w:r w:rsidRPr="0013396E">
        <w:rPr>
          <w:bCs/>
          <w:szCs w:val="24"/>
        </w:rPr>
        <w:t xml:space="preserve"> / AHR </w:t>
      </w:r>
      <w:r w:rsidRPr="0013396E">
        <w:rPr>
          <w:bCs/>
          <w:i/>
          <w:szCs w:val="24"/>
          <w:vertAlign w:val="subscript"/>
          <w:lang w:val="es-ES"/>
        </w:rPr>
        <w:t xml:space="preserve">q, r, i </w:t>
      </w:r>
    </w:p>
    <w:p w14:paraId="109DAAA2" w14:textId="53D10AE7" w:rsidR="00DA793B" w:rsidRPr="00DA793B" w:rsidRDefault="00DA793B" w:rsidP="00016609">
      <w:pPr>
        <w:tabs>
          <w:tab w:val="left" w:pos="2340"/>
          <w:tab w:val="left" w:pos="3420"/>
        </w:tabs>
        <w:spacing w:after="240"/>
        <w:ind w:left="720"/>
        <w:rPr>
          <w:bCs/>
          <w:iCs/>
          <w:szCs w:val="24"/>
          <w:lang w:val="sv-SE"/>
        </w:rPr>
      </w:pPr>
      <w:r w:rsidRPr="0013396E">
        <w:rPr>
          <w:szCs w:val="24"/>
        </w:rPr>
        <w:t xml:space="preserve">          </w:t>
      </w:r>
      <w:r w:rsidRPr="00DA793B">
        <w:rPr>
          <w:szCs w:val="24"/>
        </w:rPr>
        <w:t>MFC</w:t>
      </w:r>
      <w:r w:rsidRPr="00DA793B">
        <w:rPr>
          <w:bCs/>
          <w:iCs/>
          <w:szCs w:val="24"/>
          <w:lang w:val="sv-SE"/>
        </w:rPr>
        <w:t xml:space="preserve"> </w:t>
      </w:r>
      <w:r w:rsidRPr="00DA793B">
        <w:rPr>
          <w:bCs/>
          <w:i/>
          <w:szCs w:val="24"/>
          <w:vertAlign w:val="subscript"/>
          <w:lang w:val="sv-SE"/>
        </w:rPr>
        <w:t xml:space="preserve">q, r, i </w:t>
      </w:r>
      <w:r w:rsidRPr="00DA793B">
        <w:rPr>
          <w:bCs/>
          <w:iCs/>
          <w:szCs w:val="24"/>
          <w:lang w:val="sv-SE"/>
        </w:rPr>
        <w:t xml:space="preserve">     =   AHR </w:t>
      </w:r>
      <w:r w:rsidRPr="00DA793B">
        <w:rPr>
          <w:bCs/>
          <w:i/>
          <w:szCs w:val="24"/>
          <w:vertAlign w:val="subscript"/>
          <w:lang w:val="sv-SE"/>
        </w:rPr>
        <w:t>q, r, i</w:t>
      </w:r>
      <w:r w:rsidRPr="00DA793B">
        <w:rPr>
          <w:bCs/>
          <w:iCs/>
          <w:szCs w:val="24"/>
          <w:lang w:val="sv-SE"/>
        </w:rPr>
        <w:t xml:space="preserve"> * WAFP </w:t>
      </w:r>
      <w:r w:rsidRPr="00DA793B">
        <w:rPr>
          <w:bCs/>
          <w:i/>
          <w:szCs w:val="24"/>
          <w:vertAlign w:val="subscript"/>
          <w:lang w:val="sv-SE"/>
        </w:rPr>
        <w:t>q, r, i</w:t>
      </w:r>
      <w:r w:rsidRPr="00DA793B">
        <w:rPr>
          <w:bCs/>
          <w:iCs/>
          <w:szCs w:val="24"/>
          <w:lang w:val="sv-SE"/>
        </w:rPr>
        <w:t xml:space="preserve">  </w:t>
      </w:r>
    </w:p>
    <w:p w14:paraId="0BA7B357" w14:textId="0A4FC943" w:rsidR="00DA793B" w:rsidRPr="00DA793B" w:rsidRDefault="00DA793B" w:rsidP="00016609">
      <w:pPr>
        <w:tabs>
          <w:tab w:val="left" w:pos="2340"/>
          <w:tab w:val="left" w:pos="3420"/>
        </w:tabs>
        <w:spacing w:after="240"/>
        <w:ind w:left="720"/>
        <w:rPr>
          <w:bCs/>
          <w:iCs/>
          <w:szCs w:val="24"/>
          <w:lang w:val="sv-SE"/>
        </w:rPr>
      </w:pPr>
      <w:r w:rsidRPr="0013396E">
        <w:rPr>
          <w:szCs w:val="24"/>
        </w:rPr>
        <w:t xml:space="preserve">          </w:t>
      </w:r>
      <w:r w:rsidRPr="00DA793B">
        <w:rPr>
          <w:szCs w:val="24"/>
        </w:rPr>
        <w:t>VOM</w:t>
      </w:r>
      <w:r w:rsidRPr="00DA793B">
        <w:rPr>
          <w:bCs/>
          <w:iCs/>
          <w:szCs w:val="24"/>
          <w:lang w:val="sv-SE"/>
        </w:rPr>
        <w:t xml:space="preserve"> </w:t>
      </w:r>
      <w:r w:rsidRPr="00DA793B">
        <w:rPr>
          <w:bCs/>
          <w:i/>
          <w:szCs w:val="24"/>
          <w:vertAlign w:val="subscript"/>
          <w:lang w:val="sv-SE"/>
        </w:rPr>
        <w:t>q, r</w:t>
      </w:r>
      <w:r w:rsidRPr="00DA793B">
        <w:rPr>
          <w:bCs/>
          <w:iCs/>
          <w:szCs w:val="24"/>
          <w:lang w:val="sv-SE"/>
        </w:rPr>
        <w:t xml:space="preserve">   =    ROM </w:t>
      </w:r>
      <w:r w:rsidRPr="00DA793B">
        <w:rPr>
          <w:bCs/>
          <w:i/>
          <w:szCs w:val="24"/>
          <w:vertAlign w:val="subscript"/>
          <w:lang w:val="sv-SE"/>
        </w:rPr>
        <w:t>q, r</w:t>
      </w:r>
      <w:r w:rsidRPr="00DA793B">
        <w:rPr>
          <w:bCs/>
          <w:iCs/>
          <w:szCs w:val="24"/>
          <w:lang w:val="sv-SE"/>
        </w:rPr>
        <w:t xml:space="preserve">   + IVC </w:t>
      </w:r>
      <w:r w:rsidRPr="00DA793B">
        <w:rPr>
          <w:bCs/>
          <w:i/>
          <w:szCs w:val="24"/>
          <w:vertAlign w:val="subscript"/>
          <w:lang w:val="sv-SE"/>
        </w:rPr>
        <w:t>q, r</w:t>
      </w:r>
      <w:r w:rsidRPr="00DA793B">
        <w:rPr>
          <w:bCs/>
          <w:iCs/>
          <w:szCs w:val="24"/>
          <w:lang w:val="sv-SE"/>
        </w:rPr>
        <w:t xml:space="preserve">   </w:t>
      </w:r>
    </w:p>
    <w:p w14:paraId="22B307B6" w14:textId="77777777" w:rsidR="00162CAA" w:rsidRPr="0013396E" w:rsidRDefault="00162CAA" w:rsidP="00162CAA">
      <w:pPr>
        <w:tabs>
          <w:tab w:val="left" w:pos="2340"/>
          <w:tab w:val="left" w:pos="3420"/>
        </w:tabs>
        <w:spacing w:after="240"/>
        <w:ind w:left="720"/>
        <w:rPr>
          <w:bCs/>
          <w:iCs/>
          <w:szCs w:val="24"/>
        </w:rPr>
      </w:pPr>
      <w:r w:rsidRPr="0013396E">
        <w:rPr>
          <w:bCs/>
          <w:iCs/>
          <w:szCs w:val="24"/>
        </w:rPr>
        <w:t xml:space="preserve">Otherwise, </w:t>
      </w:r>
    </w:p>
    <w:p w14:paraId="493B86D7" w14:textId="3D32F98F" w:rsidR="00162CAA" w:rsidRPr="0013396E" w:rsidRDefault="00DA793B" w:rsidP="00162CAA">
      <w:pPr>
        <w:tabs>
          <w:tab w:val="decimal" w:pos="1440"/>
          <w:tab w:val="left" w:pos="2340"/>
        </w:tabs>
        <w:spacing w:after="240"/>
        <w:ind w:left="3420" w:hanging="1980"/>
        <w:rPr>
          <w:bCs/>
          <w:szCs w:val="24"/>
        </w:rPr>
      </w:pPr>
      <w:r>
        <w:rPr>
          <w:bCs/>
          <w:szCs w:val="24"/>
        </w:rPr>
        <w:t>MFC</w:t>
      </w:r>
      <w:r w:rsidR="00162CAA" w:rsidRPr="0013396E">
        <w:rPr>
          <w:bCs/>
          <w:szCs w:val="24"/>
        </w:rPr>
        <w:t xml:space="preserve"> </w:t>
      </w:r>
      <w:r w:rsidR="00162CAA" w:rsidRPr="0013396E">
        <w:rPr>
          <w:bCs/>
          <w:i/>
          <w:szCs w:val="24"/>
          <w:vertAlign w:val="subscript"/>
        </w:rPr>
        <w:t xml:space="preserve">q, r, i   </w:t>
      </w:r>
      <w:r w:rsidR="00162CAA" w:rsidRPr="0013396E">
        <w:rPr>
          <w:bCs/>
          <w:szCs w:val="24"/>
        </w:rPr>
        <w:t xml:space="preserve"> = </w:t>
      </w:r>
      <w:r w:rsidR="00162CAA" w:rsidRPr="0013396E">
        <w:rPr>
          <w:bCs/>
          <w:szCs w:val="24"/>
        </w:rPr>
        <w:tab/>
        <w:t xml:space="preserve"> P</w:t>
      </w:r>
      <w:r w:rsidR="00162CAA" w:rsidRPr="0013396E">
        <w:rPr>
          <w:bCs/>
          <w:szCs w:val="24"/>
          <w:lang w:val="pt-BR"/>
        </w:rPr>
        <w:t xml:space="preserve">AHR </w:t>
      </w:r>
      <w:r w:rsidR="00162CAA" w:rsidRPr="0013396E">
        <w:rPr>
          <w:bCs/>
          <w:i/>
          <w:szCs w:val="24"/>
          <w:vertAlign w:val="subscript"/>
          <w:lang w:val="es-ES"/>
        </w:rPr>
        <w:t>q, r, i</w:t>
      </w:r>
      <w:r w:rsidR="00162CAA" w:rsidRPr="0013396E">
        <w:rPr>
          <w:bCs/>
          <w:szCs w:val="24"/>
          <w:lang w:val="es-ES"/>
        </w:rPr>
        <w:t xml:space="preserve"> </w:t>
      </w:r>
      <w:r w:rsidR="00162CAA" w:rsidRPr="0013396E">
        <w:rPr>
          <w:bCs/>
          <w:szCs w:val="24"/>
        </w:rPr>
        <w:t xml:space="preserve">* </w:t>
      </w:r>
      <w:r w:rsidR="00162CAA" w:rsidRPr="0013396E">
        <w:rPr>
          <w:szCs w:val="24"/>
        </w:rPr>
        <w:t>WAFP</w:t>
      </w:r>
      <w:r w:rsidR="00162CAA" w:rsidRPr="0013396E">
        <w:rPr>
          <w:i/>
          <w:szCs w:val="24"/>
        </w:rPr>
        <w:t xml:space="preserve"> </w:t>
      </w:r>
      <w:r w:rsidR="00162CAA" w:rsidRPr="0013396E">
        <w:rPr>
          <w:bCs/>
          <w:i/>
          <w:szCs w:val="24"/>
          <w:vertAlign w:val="subscript"/>
          <w:lang w:val="es-ES"/>
        </w:rPr>
        <w:t>q, r, i</w:t>
      </w:r>
      <w:r w:rsidR="00162CAA" w:rsidRPr="0013396E">
        <w:rPr>
          <w:bCs/>
          <w:szCs w:val="24"/>
        </w:rPr>
        <w:t xml:space="preserve">    </w:t>
      </w:r>
    </w:p>
    <w:p w14:paraId="056C6951" w14:textId="77777777" w:rsidR="00DA793B" w:rsidRPr="00DA793B" w:rsidRDefault="00DA793B" w:rsidP="00DA793B">
      <w:pPr>
        <w:tabs>
          <w:tab w:val="decimal" w:pos="1440"/>
          <w:tab w:val="left" w:pos="2340"/>
        </w:tabs>
        <w:spacing w:after="240"/>
        <w:ind w:left="3420" w:hanging="1980"/>
        <w:rPr>
          <w:bCs/>
          <w:iCs/>
          <w:szCs w:val="24"/>
          <w:lang w:val="sv-SE"/>
        </w:rPr>
      </w:pPr>
      <w:r w:rsidRPr="00DA793B">
        <w:rPr>
          <w:bCs/>
          <w:iCs/>
          <w:szCs w:val="24"/>
          <w:lang w:val="sv-SE"/>
        </w:rPr>
        <w:t xml:space="preserve">VOM </w:t>
      </w:r>
      <w:r w:rsidRPr="00DA793B">
        <w:rPr>
          <w:bCs/>
          <w:i/>
          <w:szCs w:val="24"/>
          <w:vertAlign w:val="subscript"/>
          <w:lang w:val="sv-SE"/>
        </w:rPr>
        <w:t>q, r</w:t>
      </w:r>
      <w:r w:rsidRPr="00DA793B">
        <w:rPr>
          <w:bCs/>
          <w:iCs/>
          <w:szCs w:val="24"/>
          <w:lang w:val="sv-SE"/>
        </w:rPr>
        <w:t xml:space="preserve">     =     </w:t>
      </w:r>
      <w:r w:rsidRPr="00DA793B">
        <w:rPr>
          <w:bCs/>
          <w:iCs/>
          <w:szCs w:val="24"/>
          <w:lang w:val="sv-SE"/>
        </w:rPr>
        <w:tab/>
      </w:r>
      <w:r w:rsidRPr="00DA793B">
        <w:rPr>
          <w:bCs/>
          <w:szCs w:val="24"/>
        </w:rPr>
        <w:t>Max (</w:t>
      </w:r>
      <w:r w:rsidRPr="00DA793B">
        <w:rPr>
          <w:bCs/>
          <w:iCs/>
          <w:szCs w:val="24"/>
          <w:lang w:val="sv-SE"/>
        </w:rPr>
        <w:t xml:space="preserve">IVC </w:t>
      </w:r>
      <w:r w:rsidRPr="00DA793B">
        <w:rPr>
          <w:bCs/>
          <w:i/>
          <w:szCs w:val="24"/>
          <w:vertAlign w:val="subscript"/>
          <w:lang w:val="sv-SE"/>
        </w:rPr>
        <w:t>q, r</w:t>
      </w:r>
      <w:r w:rsidRPr="00DA793B">
        <w:rPr>
          <w:bCs/>
          <w:iCs/>
          <w:szCs w:val="24"/>
          <w:lang w:val="sv-SE"/>
        </w:rPr>
        <w:t>,</w:t>
      </w:r>
      <w:r w:rsidRPr="00DA793B">
        <w:rPr>
          <w:bCs/>
          <w:i/>
          <w:szCs w:val="24"/>
          <w:vertAlign w:val="subscript"/>
          <w:lang w:val="sv-SE"/>
        </w:rPr>
        <w:t xml:space="preserve"> </w:t>
      </w:r>
      <w:r w:rsidRPr="00DA793B">
        <w:rPr>
          <w:bCs/>
          <w:iCs/>
          <w:szCs w:val="24"/>
          <w:lang w:val="sv-SE"/>
        </w:rPr>
        <w:t xml:space="preserve"> </w:t>
      </w:r>
      <w:r w:rsidRPr="00DA793B">
        <w:rPr>
          <w:bCs/>
          <w:szCs w:val="24"/>
        </w:rPr>
        <w:t xml:space="preserve">STOM </w:t>
      </w:r>
      <w:r w:rsidRPr="00DA793B">
        <w:rPr>
          <w:bCs/>
          <w:i/>
          <w:szCs w:val="24"/>
          <w:vertAlign w:val="subscript"/>
        </w:rPr>
        <w:t>rc</w:t>
      </w:r>
      <w:r w:rsidRPr="00DA793B">
        <w:rPr>
          <w:bCs/>
          <w:iCs/>
          <w:szCs w:val="24"/>
        </w:rPr>
        <w:t>)</w:t>
      </w:r>
    </w:p>
    <w:p w14:paraId="0BB0C904" w14:textId="77777777" w:rsidR="00162CAA" w:rsidRPr="0013396E" w:rsidRDefault="00162CAA" w:rsidP="00162CAA">
      <w:pPr>
        <w:tabs>
          <w:tab w:val="decimal" w:pos="1440"/>
          <w:tab w:val="left" w:pos="2340"/>
        </w:tabs>
        <w:spacing w:after="240"/>
        <w:ind w:left="3420" w:hanging="1980"/>
        <w:rPr>
          <w:bCs/>
          <w:szCs w:val="24"/>
        </w:rPr>
      </w:pPr>
      <w:r w:rsidRPr="0013396E">
        <w:rPr>
          <w:szCs w:val="24"/>
        </w:rPr>
        <w:t>MEP</w:t>
      </w:r>
      <w:r w:rsidRPr="0013396E">
        <w:rPr>
          <w:bCs/>
          <w:i/>
          <w:szCs w:val="24"/>
          <w:vertAlign w:val="subscript"/>
        </w:rPr>
        <w:t xml:space="preserve"> q, r, i</w:t>
      </w:r>
      <w:r w:rsidRPr="0013396E">
        <w:rPr>
          <w:bCs/>
          <w:szCs w:val="24"/>
        </w:rPr>
        <w:tab/>
        <w:t xml:space="preserve">        =       AMF</w:t>
      </w:r>
      <w:r w:rsidRPr="0013396E">
        <w:rPr>
          <w:bCs/>
          <w:i/>
          <w:szCs w:val="24"/>
          <w:vertAlign w:val="subscript"/>
          <w:lang w:val="es-ES"/>
        </w:rPr>
        <w:t xml:space="preserve"> q, r, i</w:t>
      </w:r>
      <w:r w:rsidRPr="0013396E">
        <w:rPr>
          <w:bCs/>
          <w:szCs w:val="24"/>
        </w:rPr>
        <w:t xml:space="preserve"> / PAHR </w:t>
      </w:r>
      <w:r w:rsidRPr="0013396E">
        <w:rPr>
          <w:bCs/>
          <w:i/>
          <w:szCs w:val="24"/>
          <w:vertAlign w:val="subscript"/>
          <w:lang w:val="es-ES"/>
        </w:rPr>
        <w:t xml:space="preserve">q, r, i </w:t>
      </w:r>
    </w:p>
    <w:p w14:paraId="181C48F1" w14:textId="77777777" w:rsidR="00162CAA" w:rsidRPr="0013396E" w:rsidRDefault="00162CAA" w:rsidP="00162CAA">
      <w:pPr>
        <w:tabs>
          <w:tab w:val="left" w:pos="2340"/>
          <w:tab w:val="left" w:pos="3420"/>
        </w:tabs>
        <w:spacing w:after="240"/>
        <w:ind w:left="720"/>
        <w:rPr>
          <w:bCs/>
          <w:iCs/>
          <w:szCs w:val="24"/>
        </w:rPr>
      </w:pPr>
      <w:r w:rsidRPr="0013396E">
        <w:rPr>
          <w:bCs/>
          <w:iCs/>
          <w:szCs w:val="24"/>
        </w:rPr>
        <w:lastRenderedPageBreak/>
        <w:t>For ESRs:</w:t>
      </w:r>
    </w:p>
    <w:p w14:paraId="1026F8A8" w14:textId="3E3F3DBE" w:rsidR="00162CAA" w:rsidRPr="0013396E" w:rsidRDefault="00162CAA" w:rsidP="00162CAA">
      <w:pPr>
        <w:tabs>
          <w:tab w:val="left" w:pos="2340"/>
        </w:tabs>
        <w:spacing w:after="240"/>
        <w:ind w:left="3420" w:hanging="1980"/>
        <w:rPr>
          <w:bCs/>
          <w:i/>
          <w:szCs w:val="24"/>
          <w:vertAlign w:val="subscript"/>
        </w:rPr>
      </w:pPr>
      <w:r w:rsidRPr="0013396E">
        <w:rPr>
          <w:bCs/>
          <w:szCs w:val="24"/>
        </w:rPr>
        <w:t xml:space="preserve">OPL </w:t>
      </w:r>
      <w:r w:rsidRPr="0013396E">
        <w:rPr>
          <w:bCs/>
          <w:i/>
          <w:szCs w:val="24"/>
          <w:vertAlign w:val="subscript"/>
        </w:rPr>
        <w:t xml:space="preserve">q, r, i </w:t>
      </w:r>
      <w:r w:rsidRPr="0013396E">
        <w:rPr>
          <w:bCs/>
          <w:szCs w:val="24"/>
        </w:rPr>
        <w:t xml:space="preserve">        = </w:t>
      </w:r>
      <w:r w:rsidRPr="0013396E">
        <w:rPr>
          <w:bCs/>
          <w:szCs w:val="24"/>
        </w:rPr>
        <w:tab/>
        <w:t xml:space="preserve">Max(0, (AMC </w:t>
      </w:r>
      <w:r w:rsidRPr="0013396E">
        <w:rPr>
          <w:bCs/>
          <w:i/>
          <w:szCs w:val="24"/>
          <w:vertAlign w:val="subscript"/>
        </w:rPr>
        <w:t xml:space="preserve">q, r, i </w:t>
      </w:r>
      <w:r w:rsidRPr="0013396E">
        <w:rPr>
          <w:bCs/>
          <w:szCs w:val="24"/>
        </w:rPr>
        <w:t>- Max(LCAP, RTSPP</w:t>
      </w:r>
      <w:r w:rsidRPr="0013396E">
        <w:rPr>
          <w:i/>
          <w:szCs w:val="24"/>
          <w:vertAlign w:val="subscript"/>
        </w:rPr>
        <w:t xml:space="preserve"> p, i</w:t>
      </w:r>
      <w:r w:rsidRPr="0013396E">
        <w:rPr>
          <w:bCs/>
          <w:szCs w:val="24"/>
        </w:rPr>
        <w:t xml:space="preserve">)) * RTMG </w:t>
      </w:r>
      <w:r w:rsidRPr="0013396E">
        <w:rPr>
          <w:bCs/>
          <w:i/>
          <w:szCs w:val="24"/>
          <w:vertAlign w:val="subscript"/>
        </w:rPr>
        <w:t>q, r, i</w:t>
      </w:r>
      <w:r w:rsidRPr="0013396E">
        <w:rPr>
          <w:bCs/>
          <w:szCs w:val="24"/>
        </w:rPr>
        <w:t>)</w:t>
      </w:r>
    </w:p>
    <w:p w14:paraId="421DF3DD" w14:textId="77777777" w:rsidR="00162CAA" w:rsidRPr="0013396E" w:rsidRDefault="00162CAA" w:rsidP="00162CAA">
      <w:pPr>
        <w:tabs>
          <w:tab w:val="left" w:pos="2340"/>
          <w:tab w:val="left" w:pos="3420"/>
        </w:tabs>
        <w:spacing w:after="240"/>
        <w:ind w:left="720"/>
        <w:rPr>
          <w:bCs/>
          <w:iCs/>
          <w:szCs w:val="24"/>
        </w:rPr>
      </w:pPr>
      <w:r w:rsidRPr="0013396E">
        <w:rPr>
          <w:bCs/>
          <w:iCs/>
          <w:szCs w:val="24"/>
        </w:rPr>
        <w:t>Where,</w:t>
      </w:r>
    </w:p>
    <w:p w14:paraId="12212CEB" w14:textId="77777777" w:rsidR="00162CAA" w:rsidRPr="0013396E" w:rsidRDefault="00162CAA" w:rsidP="00162CAA">
      <w:pPr>
        <w:tabs>
          <w:tab w:val="decimal" w:pos="1440"/>
          <w:tab w:val="left" w:pos="2340"/>
        </w:tabs>
        <w:spacing w:after="240"/>
        <w:ind w:left="3420" w:hanging="1980"/>
        <w:rPr>
          <w:bCs/>
          <w:i/>
          <w:szCs w:val="24"/>
          <w:vertAlign w:val="subscript"/>
        </w:rPr>
      </w:pPr>
      <w:r w:rsidRPr="0013396E">
        <w:rPr>
          <w:bCs/>
          <w:szCs w:val="24"/>
        </w:rPr>
        <w:t xml:space="preserve">AMC </w:t>
      </w:r>
      <w:r w:rsidRPr="0013396E">
        <w:rPr>
          <w:bCs/>
          <w:i/>
          <w:szCs w:val="24"/>
          <w:vertAlign w:val="subscript"/>
        </w:rPr>
        <w:t xml:space="preserve">q, r, i    </w:t>
      </w:r>
      <w:r w:rsidRPr="0013396E">
        <w:rPr>
          <w:bCs/>
          <w:szCs w:val="24"/>
        </w:rPr>
        <w:t xml:space="preserve"> = </w:t>
      </w:r>
      <w:r w:rsidRPr="0013396E">
        <w:rPr>
          <w:bCs/>
          <w:szCs w:val="24"/>
        </w:rPr>
        <w:tab/>
        <w:t>A</w:t>
      </w:r>
      <w:r w:rsidRPr="0013396E">
        <w:rPr>
          <w:szCs w:val="24"/>
        </w:rPr>
        <w:t>FC</w:t>
      </w:r>
      <w:r w:rsidRPr="0013396E">
        <w:rPr>
          <w:bCs/>
          <w:i/>
          <w:szCs w:val="24"/>
          <w:vertAlign w:val="subscript"/>
          <w:lang w:val="es-ES"/>
        </w:rPr>
        <w:t xml:space="preserve"> q, r, i</w:t>
      </w:r>
      <w:r w:rsidRPr="0013396E">
        <w:rPr>
          <w:i/>
          <w:szCs w:val="24"/>
          <w:vertAlign w:val="subscript"/>
          <w:lang w:val="es-ES"/>
        </w:rPr>
        <w:t xml:space="preserve"> </w:t>
      </w:r>
      <w:r w:rsidRPr="0013396E">
        <w:rPr>
          <w:bCs/>
          <w:szCs w:val="24"/>
        </w:rPr>
        <w:t xml:space="preserve">+ STOM </w:t>
      </w:r>
      <w:r w:rsidRPr="0013396E">
        <w:rPr>
          <w:bCs/>
          <w:i/>
          <w:szCs w:val="24"/>
          <w:vertAlign w:val="subscript"/>
        </w:rPr>
        <w:t>rc</w:t>
      </w:r>
      <w:r w:rsidRPr="0013396E">
        <w:rPr>
          <w:bCs/>
          <w:szCs w:val="24"/>
        </w:rPr>
        <w:t xml:space="preserve">    </w:t>
      </w:r>
    </w:p>
    <w:p w14:paraId="1DC4FFBA" w14:textId="77777777" w:rsidR="00162CAA" w:rsidRPr="0013396E" w:rsidRDefault="00162CAA" w:rsidP="00162CAA">
      <w:pPr>
        <w:rPr>
          <w:szCs w:val="24"/>
        </w:rPr>
      </w:pPr>
      <w:r w:rsidRPr="0013396E">
        <w:rPr>
          <w:szCs w:val="24"/>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802"/>
        <w:gridCol w:w="1052"/>
        <w:gridCol w:w="6496"/>
      </w:tblGrid>
      <w:tr w:rsidR="00162CAA" w:rsidRPr="0013396E" w14:paraId="5F2D635D" w14:textId="77777777" w:rsidTr="00890B99">
        <w:trPr>
          <w:cantSplit/>
          <w:trHeight w:val="359"/>
          <w:tblHeader/>
        </w:trPr>
        <w:tc>
          <w:tcPr>
            <w:tcW w:w="1008" w:type="pct"/>
            <w:tcBorders>
              <w:top w:val="single" w:sz="4" w:space="0" w:color="auto"/>
              <w:left w:val="single" w:sz="4" w:space="0" w:color="auto"/>
              <w:bottom w:val="single" w:sz="6" w:space="0" w:color="auto"/>
              <w:right w:val="single" w:sz="6" w:space="0" w:color="auto"/>
            </w:tcBorders>
            <w:hideMark/>
          </w:tcPr>
          <w:p w14:paraId="29933992" w14:textId="77777777" w:rsidR="00162CAA" w:rsidRPr="0013396E" w:rsidRDefault="00162CAA" w:rsidP="00162CAA">
            <w:pPr>
              <w:spacing w:after="240"/>
              <w:rPr>
                <w:b/>
                <w:iCs/>
                <w:sz w:val="20"/>
                <w:szCs w:val="24"/>
              </w:rPr>
            </w:pPr>
            <w:r w:rsidRPr="0013396E">
              <w:rPr>
                <w:b/>
                <w:iCs/>
                <w:sz w:val="20"/>
                <w:szCs w:val="24"/>
              </w:rPr>
              <w:t>Variable</w:t>
            </w:r>
          </w:p>
        </w:tc>
        <w:tc>
          <w:tcPr>
            <w:tcW w:w="607" w:type="pct"/>
            <w:tcBorders>
              <w:top w:val="single" w:sz="4" w:space="0" w:color="auto"/>
              <w:left w:val="single" w:sz="6" w:space="0" w:color="auto"/>
              <w:bottom w:val="single" w:sz="6" w:space="0" w:color="auto"/>
              <w:right w:val="single" w:sz="6" w:space="0" w:color="auto"/>
            </w:tcBorders>
            <w:hideMark/>
          </w:tcPr>
          <w:p w14:paraId="101455F5" w14:textId="77777777" w:rsidR="00162CAA" w:rsidRPr="0013396E" w:rsidRDefault="00162CAA" w:rsidP="00162CAA">
            <w:pPr>
              <w:spacing w:after="240"/>
              <w:jc w:val="center"/>
              <w:rPr>
                <w:b/>
                <w:iCs/>
                <w:sz w:val="20"/>
                <w:szCs w:val="24"/>
              </w:rPr>
            </w:pPr>
            <w:r w:rsidRPr="0013396E">
              <w:rPr>
                <w:b/>
                <w:iCs/>
                <w:sz w:val="20"/>
                <w:szCs w:val="24"/>
              </w:rPr>
              <w:t>Unit</w:t>
            </w:r>
          </w:p>
        </w:tc>
        <w:tc>
          <w:tcPr>
            <w:tcW w:w="3385" w:type="pct"/>
            <w:tcBorders>
              <w:top w:val="single" w:sz="4" w:space="0" w:color="auto"/>
              <w:left w:val="single" w:sz="6" w:space="0" w:color="auto"/>
              <w:bottom w:val="single" w:sz="6" w:space="0" w:color="auto"/>
              <w:right w:val="single" w:sz="4" w:space="0" w:color="auto"/>
            </w:tcBorders>
            <w:hideMark/>
          </w:tcPr>
          <w:p w14:paraId="77324927" w14:textId="77777777" w:rsidR="00162CAA" w:rsidRPr="0013396E" w:rsidRDefault="00162CAA" w:rsidP="00162CAA">
            <w:pPr>
              <w:spacing w:after="240"/>
              <w:rPr>
                <w:b/>
                <w:iCs/>
                <w:sz w:val="20"/>
                <w:szCs w:val="24"/>
              </w:rPr>
            </w:pPr>
            <w:r w:rsidRPr="0013396E">
              <w:rPr>
                <w:b/>
                <w:iCs/>
                <w:sz w:val="20"/>
                <w:szCs w:val="24"/>
              </w:rPr>
              <w:t>Definition</w:t>
            </w:r>
          </w:p>
        </w:tc>
      </w:tr>
      <w:tr w:rsidR="00162CAA" w:rsidRPr="0013396E" w14:paraId="6DE41FB8" w14:textId="77777777" w:rsidTr="00890B99">
        <w:trPr>
          <w:cantSplit/>
        </w:trPr>
        <w:tc>
          <w:tcPr>
            <w:tcW w:w="1008" w:type="pct"/>
            <w:tcBorders>
              <w:top w:val="single" w:sz="6" w:space="0" w:color="auto"/>
              <w:left w:val="single" w:sz="4" w:space="0" w:color="auto"/>
              <w:bottom w:val="single" w:sz="6" w:space="0" w:color="auto"/>
              <w:right w:val="single" w:sz="6" w:space="0" w:color="auto"/>
            </w:tcBorders>
            <w:hideMark/>
          </w:tcPr>
          <w:p w14:paraId="6B49CCE9" w14:textId="77777777" w:rsidR="00162CAA" w:rsidRPr="0013396E" w:rsidRDefault="00162CAA" w:rsidP="00162CAA">
            <w:pPr>
              <w:spacing w:after="60"/>
              <w:rPr>
                <w:iCs/>
                <w:sz w:val="20"/>
                <w:szCs w:val="24"/>
              </w:rPr>
            </w:pPr>
            <w:r w:rsidRPr="0013396E">
              <w:rPr>
                <w:iCs/>
                <w:sz w:val="20"/>
                <w:szCs w:val="24"/>
              </w:rPr>
              <w:t xml:space="preserve">OPLPAMT </w:t>
            </w:r>
            <w:r w:rsidRPr="0013396E">
              <w:rPr>
                <w:i/>
                <w:iCs/>
                <w:sz w:val="20"/>
                <w:szCs w:val="24"/>
                <w:vertAlign w:val="subscript"/>
              </w:rPr>
              <w:t>q, r, i</w:t>
            </w:r>
            <w:r w:rsidRPr="0013396E">
              <w:rPr>
                <w:b/>
                <w:iCs/>
                <w:sz w:val="20"/>
                <w:szCs w:val="24"/>
              </w:rPr>
              <w:t xml:space="preserve">  </w:t>
            </w:r>
          </w:p>
        </w:tc>
        <w:tc>
          <w:tcPr>
            <w:tcW w:w="607" w:type="pct"/>
            <w:tcBorders>
              <w:top w:val="single" w:sz="6" w:space="0" w:color="auto"/>
              <w:left w:val="single" w:sz="6" w:space="0" w:color="auto"/>
              <w:bottom w:val="single" w:sz="6" w:space="0" w:color="auto"/>
              <w:right w:val="single" w:sz="6" w:space="0" w:color="auto"/>
            </w:tcBorders>
            <w:hideMark/>
          </w:tcPr>
          <w:p w14:paraId="0946F697" w14:textId="77777777" w:rsidR="00162CAA" w:rsidRPr="0013396E" w:rsidRDefault="00162CAA" w:rsidP="00162CAA">
            <w:pPr>
              <w:spacing w:after="60"/>
              <w:rPr>
                <w:iCs/>
                <w:sz w:val="20"/>
                <w:szCs w:val="24"/>
              </w:rPr>
            </w:pPr>
            <w:r w:rsidRPr="0013396E">
              <w:rPr>
                <w:iCs/>
                <w:sz w:val="20"/>
                <w:szCs w:val="24"/>
              </w:rPr>
              <w:t>$</w:t>
            </w:r>
          </w:p>
        </w:tc>
        <w:tc>
          <w:tcPr>
            <w:tcW w:w="3385" w:type="pct"/>
            <w:tcBorders>
              <w:top w:val="single" w:sz="6" w:space="0" w:color="auto"/>
              <w:left w:val="single" w:sz="6" w:space="0" w:color="auto"/>
              <w:bottom w:val="single" w:sz="6" w:space="0" w:color="auto"/>
              <w:right w:val="single" w:sz="4" w:space="0" w:color="auto"/>
            </w:tcBorders>
            <w:hideMark/>
          </w:tcPr>
          <w:p w14:paraId="026EC0B9" w14:textId="77777777" w:rsidR="00162CAA" w:rsidRPr="0013396E" w:rsidRDefault="00162CAA" w:rsidP="00162CAA">
            <w:pPr>
              <w:spacing w:after="60"/>
              <w:rPr>
                <w:iCs/>
                <w:sz w:val="20"/>
                <w:szCs w:val="24"/>
              </w:rPr>
            </w:pPr>
            <w:r w:rsidRPr="0013396E">
              <w:rPr>
                <w:i/>
                <w:iCs/>
                <w:sz w:val="20"/>
                <w:szCs w:val="24"/>
              </w:rPr>
              <w:t>Operating Losses Payment Amount –</w:t>
            </w:r>
            <w:r w:rsidRPr="0013396E">
              <w:rPr>
                <w:iCs/>
                <w:sz w:val="20"/>
                <w:szCs w:val="24"/>
              </w:rPr>
              <w:t xml:space="preserve"> The operating losses payment to the QSE </w:t>
            </w:r>
            <w:r w:rsidRPr="0013396E">
              <w:rPr>
                <w:i/>
                <w:iCs/>
                <w:sz w:val="20"/>
                <w:szCs w:val="24"/>
              </w:rPr>
              <w:t>q,</w:t>
            </w:r>
            <w:r w:rsidRPr="0013396E">
              <w:rPr>
                <w:iCs/>
                <w:sz w:val="20"/>
                <w:szCs w:val="24"/>
              </w:rPr>
              <w:t xml:space="preserve"> for Resource </w:t>
            </w:r>
            <w:r w:rsidRPr="0013396E">
              <w:rPr>
                <w:i/>
                <w:iCs/>
                <w:sz w:val="20"/>
                <w:szCs w:val="24"/>
              </w:rPr>
              <w:t>r</w:t>
            </w:r>
            <w:r w:rsidRPr="0013396E">
              <w:rPr>
                <w:iCs/>
                <w:sz w:val="20"/>
                <w:szCs w:val="24"/>
              </w:rPr>
              <w:t xml:space="preserve">, for the 15-minute Settlement Interval </w:t>
            </w:r>
            <w:r w:rsidRPr="0013396E">
              <w:rPr>
                <w:i/>
                <w:sz w:val="20"/>
                <w:szCs w:val="24"/>
              </w:rPr>
              <w:t>i</w:t>
            </w:r>
            <w:r w:rsidRPr="0013396E">
              <w:rPr>
                <w:iCs/>
                <w:sz w:val="20"/>
                <w:szCs w:val="24"/>
              </w:rPr>
              <w:t xml:space="preserve"> within the Operating Day.  Where for a Combined Cycle Train, the Resource </w:t>
            </w:r>
            <w:r w:rsidRPr="0013396E">
              <w:rPr>
                <w:i/>
                <w:iCs/>
                <w:sz w:val="20"/>
                <w:szCs w:val="24"/>
              </w:rPr>
              <w:t xml:space="preserve">r </w:t>
            </w:r>
            <w:r w:rsidRPr="0013396E">
              <w:rPr>
                <w:iCs/>
                <w:sz w:val="20"/>
                <w:szCs w:val="24"/>
              </w:rPr>
              <w:t>is the Combined Cycle Train.</w:t>
            </w:r>
          </w:p>
        </w:tc>
      </w:tr>
      <w:tr w:rsidR="00162CAA" w:rsidRPr="0013396E" w14:paraId="3EB6A42B" w14:textId="77777777" w:rsidTr="00890B99">
        <w:trPr>
          <w:cantSplit/>
        </w:trPr>
        <w:tc>
          <w:tcPr>
            <w:tcW w:w="1008" w:type="pct"/>
            <w:tcBorders>
              <w:top w:val="single" w:sz="6" w:space="0" w:color="auto"/>
              <w:left w:val="single" w:sz="4" w:space="0" w:color="auto"/>
              <w:bottom w:val="single" w:sz="6" w:space="0" w:color="auto"/>
              <w:right w:val="single" w:sz="6" w:space="0" w:color="auto"/>
            </w:tcBorders>
            <w:hideMark/>
          </w:tcPr>
          <w:p w14:paraId="63A1BD9F" w14:textId="77777777" w:rsidR="00162CAA" w:rsidRPr="0013396E" w:rsidRDefault="00162CAA" w:rsidP="00162CAA">
            <w:pPr>
              <w:spacing w:after="60"/>
              <w:rPr>
                <w:sz w:val="20"/>
                <w:szCs w:val="24"/>
              </w:rPr>
            </w:pPr>
            <w:r w:rsidRPr="0013396E">
              <w:rPr>
                <w:sz w:val="20"/>
                <w:szCs w:val="24"/>
              </w:rPr>
              <w:t>OPL</w:t>
            </w:r>
            <w:r w:rsidRPr="0013396E">
              <w:rPr>
                <w:szCs w:val="24"/>
              </w:rPr>
              <w:t xml:space="preserve"> </w:t>
            </w:r>
            <w:r w:rsidRPr="0013396E">
              <w:rPr>
                <w:i/>
                <w:iCs/>
                <w:sz w:val="20"/>
                <w:szCs w:val="24"/>
                <w:vertAlign w:val="subscript"/>
              </w:rPr>
              <w:t>q, r, i</w:t>
            </w:r>
            <w:r w:rsidRPr="0013396E">
              <w:rPr>
                <w:szCs w:val="24"/>
              </w:rPr>
              <w:t xml:space="preserve">  </w:t>
            </w:r>
          </w:p>
        </w:tc>
        <w:tc>
          <w:tcPr>
            <w:tcW w:w="607" w:type="pct"/>
            <w:tcBorders>
              <w:top w:val="single" w:sz="6" w:space="0" w:color="auto"/>
              <w:left w:val="single" w:sz="6" w:space="0" w:color="auto"/>
              <w:bottom w:val="single" w:sz="6" w:space="0" w:color="auto"/>
              <w:right w:val="single" w:sz="6" w:space="0" w:color="auto"/>
            </w:tcBorders>
            <w:hideMark/>
          </w:tcPr>
          <w:p w14:paraId="4EF45D32" w14:textId="77777777" w:rsidR="00162CAA" w:rsidRPr="0013396E" w:rsidRDefault="00162CAA" w:rsidP="00162CAA">
            <w:pPr>
              <w:spacing w:after="60"/>
              <w:rPr>
                <w:sz w:val="20"/>
                <w:szCs w:val="24"/>
              </w:rPr>
            </w:pPr>
            <w:r w:rsidRPr="0013396E">
              <w:rPr>
                <w:szCs w:val="24"/>
              </w:rPr>
              <w:t>$</w:t>
            </w:r>
          </w:p>
        </w:tc>
        <w:tc>
          <w:tcPr>
            <w:tcW w:w="3385" w:type="pct"/>
            <w:tcBorders>
              <w:top w:val="single" w:sz="6" w:space="0" w:color="auto"/>
              <w:left w:val="single" w:sz="6" w:space="0" w:color="auto"/>
              <w:bottom w:val="single" w:sz="6" w:space="0" w:color="auto"/>
              <w:right w:val="single" w:sz="4" w:space="0" w:color="auto"/>
            </w:tcBorders>
            <w:hideMark/>
          </w:tcPr>
          <w:p w14:paraId="0FA8183D" w14:textId="77777777" w:rsidR="00162CAA" w:rsidRPr="0013396E" w:rsidRDefault="00162CAA" w:rsidP="00162CAA">
            <w:pPr>
              <w:spacing w:after="60"/>
              <w:rPr>
                <w:i/>
                <w:iCs/>
                <w:sz w:val="20"/>
                <w:szCs w:val="24"/>
              </w:rPr>
            </w:pPr>
            <w:r w:rsidRPr="0013396E">
              <w:rPr>
                <w:i/>
                <w:iCs/>
                <w:sz w:val="20"/>
                <w:szCs w:val="24"/>
              </w:rPr>
              <w:t>Operating Losses</w:t>
            </w:r>
            <w:r w:rsidRPr="0013396E">
              <w:rPr>
                <w:szCs w:val="24"/>
              </w:rPr>
              <w:t xml:space="preserve"> – </w:t>
            </w:r>
            <w:r w:rsidRPr="0013396E">
              <w:rPr>
                <w:iCs/>
                <w:sz w:val="20"/>
                <w:szCs w:val="24"/>
              </w:rPr>
              <w:t xml:space="preserve">The operating losses for Resource </w:t>
            </w:r>
            <w:r w:rsidRPr="0013396E">
              <w:rPr>
                <w:i/>
                <w:iCs/>
                <w:sz w:val="20"/>
                <w:szCs w:val="24"/>
              </w:rPr>
              <w:t>r</w:t>
            </w:r>
            <w:r w:rsidRPr="0013396E">
              <w:rPr>
                <w:iCs/>
                <w:sz w:val="20"/>
                <w:szCs w:val="24"/>
              </w:rPr>
              <w:t xml:space="preserve">, represented by QSE </w:t>
            </w:r>
            <w:r w:rsidRPr="0013396E">
              <w:rPr>
                <w:i/>
                <w:iCs/>
                <w:sz w:val="20"/>
                <w:szCs w:val="24"/>
              </w:rPr>
              <w:t>q,</w:t>
            </w:r>
            <w:r w:rsidRPr="0013396E">
              <w:rPr>
                <w:iCs/>
                <w:sz w:val="20"/>
                <w:szCs w:val="24"/>
              </w:rPr>
              <w:t xml:space="preserve"> for the 15-minute Settlement Interval </w:t>
            </w:r>
            <w:r w:rsidRPr="0013396E">
              <w:rPr>
                <w:i/>
                <w:sz w:val="20"/>
                <w:szCs w:val="24"/>
              </w:rPr>
              <w:t>i</w:t>
            </w:r>
            <w:r w:rsidRPr="0013396E">
              <w:rPr>
                <w:iCs/>
                <w:sz w:val="20"/>
                <w:szCs w:val="24"/>
              </w:rPr>
              <w:t xml:space="preserve"> within the Operating Day.  Where for a Combined Cycle Train, the Resource </w:t>
            </w:r>
            <w:r w:rsidRPr="0013396E">
              <w:rPr>
                <w:i/>
                <w:iCs/>
                <w:sz w:val="20"/>
                <w:szCs w:val="24"/>
              </w:rPr>
              <w:t xml:space="preserve">r </w:t>
            </w:r>
            <w:r w:rsidRPr="0013396E">
              <w:rPr>
                <w:iCs/>
                <w:sz w:val="20"/>
                <w:szCs w:val="24"/>
              </w:rPr>
              <w:t>is the Combined Cycle Train.</w:t>
            </w:r>
          </w:p>
        </w:tc>
      </w:tr>
      <w:tr w:rsidR="00162CAA" w:rsidRPr="0013396E" w14:paraId="6D338ABF" w14:textId="77777777" w:rsidTr="00890B99">
        <w:trPr>
          <w:cantSplit/>
        </w:trPr>
        <w:tc>
          <w:tcPr>
            <w:tcW w:w="1008" w:type="pct"/>
            <w:tcBorders>
              <w:top w:val="single" w:sz="6" w:space="0" w:color="auto"/>
              <w:left w:val="single" w:sz="4" w:space="0" w:color="auto"/>
              <w:bottom w:val="single" w:sz="6" w:space="0" w:color="auto"/>
              <w:right w:val="single" w:sz="6" w:space="0" w:color="auto"/>
            </w:tcBorders>
            <w:hideMark/>
          </w:tcPr>
          <w:p w14:paraId="7FC4CE73" w14:textId="77777777" w:rsidR="00162CAA" w:rsidRPr="0013396E" w:rsidRDefault="00162CAA" w:rsidP="00162CAA">
            <w:pPr>
              <w:spacing w:after="60"/>
              <w:rPr>
                <w:sz w:val="20"/>
                <w:szCs w:val="24"/>
              </w:rPr>
            </w:pPr>
            <w:r w:rsidRPr="0013396E">
              <w:rPr>
                <w:sz w:val="20"/>
                <w:szCs w:val="24"/>
              </w:rPr>
              <w:t xml:space="preserve">ADJOPL </w:t>
            </w:r>
            <w:r w:rsidRPr="0013396E">
              <w:rPr>
                <w:i/>
                <w:sz w:val="20"/>
                <w:szCs w:val="24"/>
                <w:vertAlign w:val="subscript"/>
              </w:rPr>
              <w:t>q, r, i</w:t>
            </w:r>
            <w:r w:rsidRPr="0013396E">
              <w:rPr>
                <w:b/>
                <w:sz w:val="20"/>
                <w:szCs w:val="24"/>
              </w:rPr>
              <w:t xml:space="preserve">  </w:t>
            </w:r>
          </w:p>
        </w:tc>
        <w:tc>
          <w:tcPr>
            <w:tcW w:w="607" w:type="pct"/>
            <w:tcBorders>
              <w:top w:val="single" w:sz="6" w:space="0" w:color="auto"/>
              <w:left w:val="single" w:sz="6" w:space="0" w:color="auto"/>
              <w:bottom w:val="single" w:sz="6" w:space="0" w:color="auto"/>
              <w:right w:val="single" w:sz="6" w:space="0" w:color="auto"/>
            </w:tcBorders>
            <w:hideMark/>
          </w:tcPr>
          <w:p w14:paraId="3C3100E6" w14:textId="77777777" w:rsidR="00162CAA" w:rsidRPr="0013396E" w:rsidRDefault="00162CAA" w:rsidP="00162CAA">
            <w:pPr>
              <w:spacing w:after="60"/>
              <w:rPr>
                <w:sz w:val="20"/>
                <w:szCs w:val="24"/>
              </w:rPr>
            </w:pPr>
            <w:r w:rsidRPr="0013396E">
              <w:rPr>
                <w:sz w:val="20"/>
                <w:szCs w:val="24"/>
              </w:rPr>
              <w:t>$</w:t>
            </w:r>
          </w:p>
        </w:tc>
        <w:tc>
          <w:tcPr>
            <w:tcW w:w="3385" w:type="pct"/>
            <w:tcBorders>
              <w:top w:val="single" w:sz="6" w:space="0" w:color="auto"/>
              <w:left w:val="single" w:sz="6" w:space="0" w:color="auto"/>
              <w:bottom w:val="single" w:sz="6" w:space="0" w:color="auto"/>
              <w:right w:val="single" w:sz="4" w:space="0" w:color="auto"/>
            </w:tcBorders>
            <w:hideMark/>
          </w:tcPr>
          <w:p w14:paraId="3EFC396B" w14:textId="77777777" w:rsidR="00162CAA" w:rsidRPr="0013396E" w:rsidRDefault="00162CAA" w:rsidP="00162CAA">
            <w:pPr>
              <w:spacing w:after="60"/>
              <w:rPr>
                <w:i/>
                <w:sz w:val="20"/>
                <w:szCs w:val="24"/>
              </w:rPr>
            </w:pPr>
            <w:r w:rsidRPr="0013396E">
              <w:rPr>
                <w:i/>
                <w:iCs/>
                <w:sz w:val="20"/>
                <w:szCs w:val="24"/>
              </w:rPr>
              <w:t>Operating Losses</w:t>
            </w:r>
            <w:r w:rsidRPr="0013396E">
              <w:rPr>
                <w:szCs w:val="24"/>
              </w:rPr>
              <w:t xml:space="preserve"> </w:t>
            </w:r>
            <w:r w:rsidRPr="0013396E">
              <w:rPr>
                <w:i/>
                <w:iCs/>
                <w:sz w:val="20"/>
                <w:szCs w:val="24"/>
              </w:rPr>
              <w:t>Adjustment</w:t>
            </w:r>
            <w:r w:rsidRPr="0013396E">
              <w:rPr>
                <w:szCs w:val="24"/>
              </w:rPr>
              <w:t xml:space="preserve"> – </w:t>
            </w:r>
            <w:r w:rsidRPr="0013396E">
              <w:rPr>
                <w:iCs/>
                <w:sz w:val="20"/>
                <w:szCs w:val="24"/>
              </w:rPr>
              <w:t xml:space="preserve">The adjustment to the operating losses for Resource </w:t>
            </w:r>
            <w:r w:rsidRPr="0013396E">
              <w:rPr>
                <w:i/>
                <w:iCs/>
                <w:sz w:val="20"/>
                <w:szCs w:val="24"/>
              </w:rPr>
              <w:t>r</w:t>
            </w:r>
            <w:r w:rsidRPr="0013396E">
              <w:rPr>
                <w:iCs/>
                <w:sz w:val="20"/>
                <w:szCs w:val="24"/>
              </w:rPr>
              <w:t xml:space="preserve">, represented by QSE </w:t>
            </w:r>
            <w:r w:rsidRPr="0013396E">
              <w:rPr>
                <w:i/>
                <w:iCs/>
                <w:sz w:val="20"/>
                <w:szCs w:val="24"/>
              </w:rPr>
              <w:t xml:space="preserve">q, </w:t>
            </w:r>
            <w:r w:rsidRPr="0013396E">
              <w:rPr>
                <w:iCs/>
                <w:sz w:val="20"/>
                <w:szCs w:val="24"/>
              </w:rPr>
              <w:t xml:space="preserve">for the 15-minute Settlement Interval </w:t>
            </w:r>
            <w:r w:rsidRPr="0013396E">
              <w:rPr>
                <w:i/>
                <w:sz w:val="20"/>
                <w:szCs w:val="24"/>
              </w:rPr>
              <w:t>i</w:t>
            </w:r>
            <w:r w:rsidRPr="0013396E">
              <w:rPr>
                <w:iCs/>
                <w:sz w:val="20"/>
                <w:szCs w:val="24"/>
              </w:rPr>
              <w:t xml:space="preserve"> within the Operating Day.  Where for a Combined Cycle Train, the Resource </w:t>
            </w:r>
            <w:r w:rsidRPr="0013396E">
              <w:rPr>
                <w:i/>
                <w:iCs/>
                <w:sz w:val="20"/>
                <w:szCs w:val="24"/>
              </w:rPr>
              <w:t xml:space="preserve">r </w:t>
            </w:r>
            <w:r w:rsidRPr="0013396E">
              <w:rPr>
                <w:iCs/>
                <w:sz w:val="20"/>
                <w:szCs w:val="24"/>
              </w:rPr>
              <w:t>is the Combined Cycle Train.</w:t>
            </w:r>
          </w:p>
        </w:tc>
      </w:tr>
      <w:tr w:rsidR="00162CAA" w:rsidRPr="0013396E" w14:paraId="5ED52335" w14:textId="77777777" w:rsidTr="00890B99">
        <w:trPr>
          <w:cantSplit/>
        </w:trPr>
        <w:tc>
          <w:tcPr>
            <w:tcW w:w="1008" w:type="pct"/>
            <w:tcBorders>
              <w:top w:val="single" w:sz="6" w:space="0" w:color="auto"/>
              <w:left w:val="single" w:sz="4" w:space="0" w:color="auto"/>
              <w:bottom w:val="single" w:sz="6" w:space="0" w:color="auto"/>
              <w:right w:val="single" w:sz="6" w:space="0" w:color="auto"/>
            </w:tcBorders>
            <w:hideMark/>
          </w:tcPr>
          <w:p w14:paraId="6D5EA929" w14:textId="77777777" w:rsidR="00162CAA" w:rsidRPr="0013396E" w:rsidRDefault="00162CAA" w:rsidP="00162CAA">
            <w:pPr>
              <w:spacing w:after="60"/>
              <w:rPr>
                <w:sz w:val="20"/>
                <w:szCs w:val="24"/>
              </w:rPr>
            </w:pPr>
            <w:r w:rsidRPr="0013396E">
              <w:rPr>
                <w:sz w:val="20"/>
                <w:szCs w:val="24"/>
              </w:rPr>
              <w:t>WAFP</w:t>
            </w:r>
            <w:r w:rsidRPr="0013396E">
              <w:rPr>
                <w:bCs/>
                <w:i/>
                <w:szCs w:val="24"/>
                <w:vertAlign w:val="subscript"/>
                <w:lang w:val="es-ES"/>
              </w:rPr>
              <w:t xml:space="preserve"> </w:t>
            </w:r>
            <w:r w:rsidRPr="0013396E">
              <w:rPr>
                <w:i/>
                <w:sz w:val="20"/>
                <w:szCs w:val="24"/>
                <w:vertAlign w:val="subscript"/>
              </w:rPr>
              <w:t>q, r, i</w:t>
            </w:r>
          </w:p>
        </w:tc>
        <w:tc>
          <w:tcPr>
            <w:tcW w:w="607" w:type="pct"/>
            <w:tcBorders>
              <w:top w:val="single" w:sz="6" w:space="0" w:color="auto"/>
              <w:left w:val="single" w:sz="6" w:space="0" w:color="auto"/>
              <w:bottom w:val="single" w:sz="6" w:space="0" w:color="auto"/>
              <w:right w:val="single" w:sz="6" w:space="0" w:color="auto"/>
            </w:tcBorders>
            <w:hideMark/>
          </w:tcPr>
          <w:p w14:paraId="638C79C3" w14:textId="77777777" w:rsidR="00162CAA" w:rsidRPr="0013396E" w:rsidRDefault="00162CAA" w:rsidP="00162CAA">
            <w:pPr>
              <w:spacing w:after="60"/>
              <w:rPr>
                <w:sz w:val="20"/>
                <w:szCs w:val="24"/>
              </w:rPr>
            </w:pPr>
            <w:r w:rsidRPr="0013396E">
              <w:rPr>
                <w:iCs/>
                <w:sz w:val="20"/>
                <w:szCs w:val="24"/>
              </w:rPr>
              <w:t>$/MMBtu</w:t>
            </w:r>
          </w:p>
        </w:tc>
        <w:tc>
          <w:tcPr>
            <w:tcW w:w="3385" w:type="pct"/>
            <w:tcBorders>
              <w:top w:val="single" w:sz="6" w:space="0" w:color="auto"/>
              <w:left w:val="single" w:sz="6" w:space="0" w:color="auto"/>
              <w:bottom w:val="single" w:sz="6" w:space="0" w:color="auto"/>
              <w:right w:val="single" w:sz="4" w:space="0" w:color="auto"/>
            </w:tcBorders>
            <w:hideMark/>
          </w:tcPr>
          <w:p w14:paraId="1F280F06" w14:textId="089EEA1B" w:rsidR="00162CAA" w:rsidRPr="0013396E" w:rsidRDefault="00162CAA" w:rsidP="00162CAA">
            <w:pPr>
              <w:spacing w:after="60"/>
              <w:rPr>
                <w:i/>
                <w:sz w:val="20"/>
                <w:szCs w:val="24"/>
              </w:rPr>
            </w:pPr>
            <w:r w:rsidRPr="0013396E">
              <w:rPr>
                <w:i/>
                <w:sz w:val="20"/>
                <w:szCs w:val="24"/>
              </w:rPr>
              <w:t>Weighted Average Fuel Price</w:t>
            </w:r>
            <w:r w:rsidR="00FC7FA4" w:rsidRPr="0013396E">
              <w:rPr>
                <w:i/>
                <w:sz w:val="20"/>
                <w:szCs w:val="24"/>
              </w:rPr>
              <w:t xml:space="preserve"> </w:t>
            </w:r>
            <w:r w:rsidR="00FC7FA4" w:rsidRPr="0013396E">
              <w:rPr>
                <w:szCs w:val="24"/>
              </w:rPr>
              <w:t xml:space="preserve">– </w:t>
            </w:r>
            <w:r w:rsidRPr="0013396E">
              <w:rPr>
                <w:sz w:val="20"/>
                <w:szCs w:val="24"/>
              </w:rPr>
              <w:t xml:space="preserve">The volume-weighted average price of fuel submitted to ERCOT for the LCAP </w:t>
            </w:r>
            <w:r w:rsidR="00DA793B">
              <w:rPr>
                <w:sz w:val="20"/>
                <w:szCs w:val="24"/>
              </w:rPr>
              <w:t xml:space="preserve">or ECAP </w:t>
            </w:r>
            <w:r w:rsidRPr="0013396E">
              <w:rPr>
                <w:sz w:val="20"/>
                <w:szCs w:val="24"/>
              </w:rPr>
              <w:t xml:space="preserve">Effective Period for a specific Resource </w:t>
            </w:r>
            <w:r w:rsidRPr="0013396E">
              <w:rPr>
                <w:i/>
                <w:iCs/>
                <w:sz w:val="20"/>
                <w:szCs w:val="24"/>
              </w:rPr>
              <w:t>r,</w:t>
            </w:r>
            <w:r w:rsidRPr="0013396E">
              <w:rPr>
                <w:sz w:val="20"/>
                <w:szCs w:val="24"/>
              </w:rPr>
              <w:t xml:space="preserve"> represented by QSE </w:t>
            </w:r>
            <w:r w:rsidRPr="0013396E">
              <w:rPr>
                <w:i/>
                <w:iCs/>
                <w:sz w:val="20"/>
                <w:szCs w:val="24"/>
              </w:rPr>
              <w:t>q,</w:t>
            </w:r>
            <w:r w:rsidRPr="0013396E">
              <w:rPr>
                <w:sz w:val="20"/>
                <w:szCs w:val="24"/>
              </w:rPr>
              <w:t xml:space="preserve"> and specific 15-minute Settlement Interval </w:t>
            </w:r>
            <w:r w:rsidRPr="0013396E">
              <w:rPr>
                <w:i/>
                <w:iCs/>
                <w:sz w:val="20"/>
                <w:szCs w:val="24"/>
              </w:rPr>
              <w:t>i</w:t>
            </w:r>
            <w:r w:rsidRPr="0013396E">
              <w:rPr>
                <w:sz w:val="20"/>
                <w:szCs w:val="24"/>
              </w:rPr>
              <w:t xml:space="preserve"> within the Operating Day.</w:t>
            </w:r>
            <w:r w:rsidR="0021573A" w:rsidRPr="0013396E">
              <w:rPr>
                <w:sz w:val="20"/>
                <w:szCs w:val="24"/>
              </w:rPr>
              <w:t xml:space="preserve">  </w:t>
            </w:r>
            <w:r w:rsidRPr="0013396E">
              <w:rPr>
                <w:iCs/>
                <w:sz w:val="20"/>
                <w:szCs w:val="24"/>
              </w:rPr>
              <w:t xml:space="preserve">Where for a Combined Cycle Train, the Resource </w:t>
            </w:r>
            <w:r w:rsidRPr="0013396E">
              <w:rPr>
                <w:i/>
                <w:sz w:val="20"/>
                <w:szCs w:val="24"/>
              </w:rPr>
              <w:t>r</w:t>
            </w:r>
            <w:r w:rsidRPr="0013396E">
              <w:rPr>
                <w:iCs/>
                <w:sz w:val="20"/>
                <w:szCs w:val="24"/>
              </w:rPr>
              <w:t xml:space="preserve"> is a Combined Cycle Generation Resource within the Combined Cycle Train.</w:t>
            </w:r>
          </w:p>
        </w:tc>
      </w:tr>
      <w:tr w:rsidR="00162CAA" w:rsidRPr="0013396E" w14:paraId="387875FF" w14:textId="77777777" w:rsidTr="00890B99">
        <w:trPr>
          <w:cantSplit/>
        </w:trPr>
        <w:tc>
          <w:tcPr>
            <w:tcW w:w="1008" w:type="pct"/>
            <w:tcBorders>
              <w:top w:val="single" w:sz="6" w:space="0" w:color="auto"/>
              <w:left w:val="single" w:sz="4" w:space="0" w:color="auto"/>
              <w:bottom w:val="single" w:sz="6" w:space="0" w:color="auto"/>
              <w:right w:val="single" w:sz="6" w:space="0" w:color="auto"/>
            </w:tcBorders>
            <w:hideMark/>
          </w:tcPr>
          <w:p w14:paraId="31B493C7" w14:textId="77777777" w:rsidR="00162CAA" w:rsidRPr="0013396E" w:rsidRDefault="00162CAA" w:rsidP="00162CAA">
            <w:pPr>
              <w:spacing w:after="60"/>
              <w:rPr>
                <w:iCs/>
                <w:sz w:val="20"/>
                <w:szCs w:val="24"/>
              </w:rPr>
            </w:pPr>
            <w:r w:rsidRPr="0013396E">
              <w:rPr>
                <w:iCs/>
                <w:sz w:val="20"/>
                <w:szCs w:val="24"/>
              </w:rPr>
              <w:t xml:space="preserve">AMC </w:t>
            </w:r>
            <w:r w:rsidRPr="0013396E">
              <w:rPr>
                <w:i/>
                <w:iCs/>
                <w:sz w:val="20"/>
                <w:szCs w:val="24"/>
                <w:vertAlign w:val="subscript"/>
              </w:rPr>
              <w:t>q, r, i</w:t>
            </w:r>
            <w:r w:rsidRPr="0013396E">
              <w:rPr>
                <w:iCs/>
                <w:sz w:val="20"/>
                <w:szCs w:val="24"/>
              </w:rPr>
              <w:t xml:space="preserve"> </w:t>
            </w:r>
          </w:p>
        </w:tc>
        <w:tc>
          <w:tcPr>
            <w:tcW w:w="607" w:type="pct"/>
            <w:tcBorders>
              <w:top w:val="single" w:sz="6" w:space="0" w:color="auto"/>
              <w:left w:val="single" w:sz="6" w:space="0" w:color="auto"/>
              <w:bottom w:val="single" w:sz="6" w:space="0" w:color="auto"/>
              <w:right w:val="single" w:sz="6" w:space="0" w:color="auto"/>
            </w:tcBorders>
            <w:hideMark/>
          </w:tcPr>
          <w:p w14:paraId="779605DE" w14:textId="77777777" w:rsidR="00162CAA" w:rsidRPr="0013396E" w:rsidRDefault="00162CAA" w:rsidP="00162CAA">
            <w:pPr>
              <w:spacing w:after="60"/>
              <w:rPr>
                <w:iCs/>
                <w:sz w:val="20"/>
                <w:szCs w:val="24"/>
              </w:rPr>
            </w:pPr>
            <w:r w:rsidRPr="0013396E">
              <w:rPr>
                <w:iCs/>
                <w:sz w:val="20"/>
                <w:szCs w:val="24"/>
              </w:rPr>
              <w:t>$/MWh</w:t>
            </w:r>
          </w:p>
        </w:tc>
        <w:tc>
          <w:tcPr>
            <w:tcW w:w="3385" w:type="pct"/>
            <w:tcBorders>
              <w:top w:val="single" w:sz="6" w:space="0" w:color="auto"/>
              <w:left w:val="single" w:sz="6" w:space="0" w:color="auto"/>
              <w:bottom w:val="single" w:sz="6" w:space="0" w:color="auto"/>
              <w:right w:val="single" w:sz="4" w:space="0" w:color="auto"/>
            </w:tcBorders>
            <w:hideMark/>
          </w:tcPr>
          <w:p w14:paraId="516C07EA" w14:textId="77777777" w:rsidR="00162CAA" w:rsidRPr="0013396E" w:rsidRDefault="00162CAA" w:rsidP="00162CAA">
            <w:pPr>
              <w:spacing w:after="60"/>
              <w:rPr>
                <w:iCs/>
                <w:sz w:val="20"/>
                <w:szCs w:val="24"/>
              </w:rPr>
            </w:pPr>
            <w:r w:rsidRPr="0013396E">
              <w:rPr>
                <w:i/>
                <w:iCs/>
                <w:sz w:val="20"/>
                <w:szCs w:val="24"/>
              </w:rPr>
              <w:t>Actual Marginal Cost –</w:t>
            </w:r>
            <w:r w:rsidRPr="0013396E">
              <w:rPr>
                <w:sz w:val="20"/>
                <w:szCs w:val="24"/>
              </w:rPr>
              <w:t xml:space="preserve"> </w:t>
            </w:r>
            <w:r w:rsidRPr="0013396E">
              <w:rPr>
                <w:iCs/>
                <w:sz w:val="20"/>
                <w:szCs w:val="24"/>
              </w:rPr>
              <w:t xml:space="preserve">The actual marginal costs for Resource </w:t>
            </w:r>
            <w:r w:rsidRPr="0013396E">
              <w:rPr>
                <w:i/>
                <w:iCs/>
                <w:sz w:val="20"/>
                <w:szCs w:val="24"/>
              </w:rPr>
              <w:t xml:space="preserve">r </w:t>
            </w:r>
            <w:r w:rsidRPr="0013396E">
              <w:rPr>
                <w:iCs/>
                <w:sz w:val="20"/>
                <w:szCs w:val="24"/>
              </w:rPr>
              <w:t>represented by QSE</w:t>
            </w:r>
            <w:r w:rsidRPr="0013396E">
              <w:rPr>
                <w:i/>
                <w:iCs/>
                <w:sz w:val="20"/>
                <w:szCs w:val="24"/>
              </w:rPr>
              <w:t xml:space="preserve"> q</w:t>
            </w:r>
            <w:r w:rsidRPr="0013396E">
              <w:rPr>
                <w:iCs/>
                <w:sz w:val="20"/>
                <w:szCs w:val="24"/>
              </w:rPr>
              <w:t xml:space="preserve"> for the </w:t>
            </w:r>
            <w:r w:rsidRPr="0013396E">
              <w:rPr>
                <w:sz w:val="20"/>
                <w:szCs w:val="24"/>
              </w:rPr>
              <w:t xml:space="preserve">15-minute Settlement Interval </w:t>
            </w:r>
            <w:r w:rsidRPr="0013396E">
              <w:rPr>
                <w:i/>
                <w:iCs/>
                <w:sz w:val="20"/>
                <w:szCs w:val="24"/>
              </w:rPr>
              <w:t>i</w:t>
            </w:r>
            <w:r w:rsidRPr="0013396E">
              <w:rPr>
                <w:sz w:val="20"/>
                <w:szCs w:val="24"/>
              </w:rPr>
              <w:t xml:space="preserve"> within the Operating Day.</w:t>
            </w:r>
            <w:r w:rsidRPr="0013396E">
              <w:rPr>
                <w:iCs/>
                <w:sz w:val="20"/>
                <w:szCs w:val="24"/>
              </w:rPr>
              <w:t xml:space="preserve">  Where for a Combined Cycle Train, the Resource </w:t>
            </w:r>
            <w:r w:rsidRPr="0013396E">
              <w:rPr>
                <w:i/>
                <w:iCs/>
                <w:sz w:val="20"/>
                <w:szCs w:val="24"/>
              </w:rPr>
              <w:t>r</w:t>
            </w:r>
            <w:r w:rsidRPr="0013396E">
              <w:rPr>
                <w:iCs/>
                <w:sz w:val="20"/>
                <w:szCs w:val="24"/>
              </w:rPr>
              <w:t xml:space="preserve"> is a Combined Cycle Generation Resource within the Combined Cycle Train.</w:t>
            </w:r>
          </w:p>
        </w:tc>
      </w:tr>
      <w:tr w:rsidR="00DA793B" w:rsidRPr="0013396E" w14:paraId="3585F093" w14:textId="77777777" w:rsidTr="00890B99">
        <w:trPr>
          <w:cantSplit/>
        </w:trPr>
        <w:tc>
          <w:tcPr>
            <w:tcW w:w="1008" w:type="pct"/>
            <w:tcBorders>
              <w:top w:val="single" w:sz="6" w:space="0" w:color="auto"/>
              <w:left w:val="single" w:sz="4" w:space="0" w:color="auto"/>
              <w:bottom w:val="single" w:sz="6" w:space="0" w:color="auto"/>
              <w:right w:val="single" w:sz="6" w:space="0" w:color="auto"/>
            </w:tcBorders>
          </w:tcPr>
          <w:p w14:paraId="05507E00" w14:textId="74B3D883" w:rsidR="00DA793B" w:rsidRPr="0013396E" w:rsidRDefault="00DA793B" w:rsidP="00DA793B">
            <w:pPr>
              <w:spacing w:after="60"/>
              <w:rPr>
                <w:iCs/>
                <w:sz w:val="20"/>
                <w:szCs w:val="24"/>
              </w:rPr>
            </w:pPr>
            <w:r w:rsidRPr="00CF7EAF">
              <w:rPr>
                <w:iCs/>
                <w:sz w:val="20"/>
              </w:rPr>
              <w:t xml:space="preserve">MFC </w:t>
            </w:r>
            <w:r w:rsidRPr="00CF7EAF">
              <w:rPr>
                <w:i/>
                <w:iCs/>
                <w:sz w:val="20"/>
                <w:vertAlign w:val="subscript"/>
              </w:rPr>
              <w:t>q, r, i</w:t>
            </w:r>
            <w:r w:rsidRPr="00CF7EAF">
              <w:rPr>
                <w:iCs/>
                <w:sz w:val="20"/>
              </w:rPr>
              <w:t xml:space="preserve"> </w:t>
            </w:r>
          </w:p>
        </w:tc>
        <w:tc>
          <w:tcPr>
            <w:tcW w:w="607" w:type="pct"/>
            <w:tcBorders>
              <w:top w:val="single" w:sz="6" w:space="0" w:color="auto"/>
              <w:left w:val="single" w:sz="6" w:space="0" w:color="auto"/>
              <w:bottom w:val="single" w:sz="6" w:space="0" w:color="auto"/>
              <w:right w:val="single" w:sz="6" w:space="0" w:color="auto"/>
            </w:tcBorders>
          </w:tcPr>
          <w:p w14:paraId="7BFE853C" w14:textId="3285FD05" w:rsidR="00DA793B" w:rsidRPr="0013396E" w:rsidRDefault="00DA793B" w:rsidP="00DA793B">
            <w:pPr>
              <w:spacing w:after="60"/>
              <w:rPr>
                <w:iCs/>
                <w:sz w:val="20"/>
                <w:szCs w:val="24"/>
              </w:rPr>
            </w:pPr>
            <w:r w:rsidRPr="00CF7EAF">
              <w:rPr>
                <w:iCs/>
                <w:sz w:val="20"/>
              </w:rPr>
              <w:t>$/MWh</w:t>
            </w:r>
          </w:p>
        </w:tc>
        <w:tc>
          <w:tcPr>
            <w:tcW w:w="3385" w:type="pct"/>
            <w:tcBorders>
              <w:top w:val="single" w:sz="6" w:space="0" w:color="auto"/>
              <w:left w:val="single" w:sz="6" w:space="0" w:color="auto"/>
              <w:bottom w:val="single" w:sz="6" w:space="0" w:color="auto"/>
              <w:right w:val="single" w:sz="4" w:space="0" w:color="auto"/>
            </w:tcBorders>
          </w:tcPr>
          <w:p w14:paraId="6E4A5AAF" w14:textId="59488427" w:rsidR="00DA793B" w:rsidRPr="0013396E" w:rsidRDefault="00DA793B" w:rsidP="00DA793B">
            <w:pPr>
              <w:spacing w:after="60"/>
              <w:rPr>
                <w:i/>
                <w:iCs/>
                <w:sz w:val="20"/>
                <w:szCs w:val="24"/>
              </w:rPr>
            </w:pPr>
            <w:r w:rsidRPr="00CF7EAF">
              <w:rPr>
                <w:iCs/>
                <w:sz w:val="20"/>
              </w:rPr>
              <w:t xml:space="preserve">Marginal Fuel Cost – The marginal fuel cost for Resource </w:t>
            </w:r>
            <w:r w:rsidRPr="00CF7EAF">
              <w:rPr>
                <w:i/>
                <w:sz w:val="20"/>
              </w:rPr>
              <w:t>r</w:t>
            </w:r>
            <w:r w:rsidRPr="00CF7EAF">
              <w:rPr>
                <w:iCs/>
                <w:sz w:val="20"/>
              </w:rPr>
              <w:t xml:space="preserve"> represented by QSE </w:t>
            </w:r>
            <w:r w:rsidRPr="00CF7EAF">
              <w:rPr>
                <w:i/>
                <w:sz w:val="20"/>
              </w:rPr>
              <w:t>q</w:t>
            </w:r>
            <w:r w:rsidRPr="00CF7EAF">
              <w:rPr>
                <w:iCs/>
                <w:sz w:val="20"/>
              </w:rPr>
              <w:t xml:space="preserve"> for the 15-minute Settlement Interval </w:t>
            </w:r>
            <w:r w:rsidRPr="00CF7EAF">
              <w:rPr>
                <w:i/>
                <w:sz w:val="20"/>
              </w:rPr>
              <w:t>i</w:t>
            </w:r>
            <w:r w:rsidRPr="00CF7EAF">
              <w:rPr>
                <w:iCs/>
                <w:sz w:val="20"/>
              </w:rPr>
              <w:t xml:space="preserve"> within the Operating Day.  Where for a Combined Cycle Train, the Resource </w:t>
            </w:r>
            <w:r w:rsidRPr="00CF7EAF">
              <w:rPr>
                <w:i/>
                <w:sz w:val="20"/>
              </w:rPr>
              <w:t>r</w:t>
            </w:r>
            <w:r w:rsidRPr="00CF7EAF">
              <w:rPr>
                <w:iCs/>
                <w:sz w:val="20"/>
              </w:rPr>
              <w:t xml:space="preserve"> is a Combined Cycle Generation Resource within the Combined Cycle Train.</w:t>
            </w:r>
          </w:p>
        </w:tc>
      </w:tr>
      <w:tr w:rsidR="00162CAA" w:rsidRPr="0013396E" w14:paraId="3EF890FC" w14:textId="77777777" w:rsidTr="00890B99">
        <w:trPr>
          <w:cantSplit/>
        </w:trPr>
        <w:tc>
          <w:tcPr>
            <w:tcW w:w="1008" w:type="pct"/>
            <w:tcBorders>
              <w:top w:val="single" w:sz="6" w:space="0" w:color="auto"/>
              <w:left w:val="single" w:sz="4" w:space="0" w:color="auto"/>
              <w:bottom w:val="single" w:sz="6" w:space="0" w:color="auto"/>
              <w:right w:val="single" w:sz="6" w:space="0" w:color="auto"/>
            </w:tcBorders>
            <w:hideMark/>
          </w:tcPr>
          <w:p w14:paraId="00539740" w14:textId="77777777" w:rsidR="00162CAA" w:rsidRPr="0013396E" w:rsidRDefault="00162CAA" w:rsidP="00162CAA">
            <w:pPr>
              <w:spacing w:after="60"/>
              <w:rPr>
                <w:iCs/>
                <w:sz w:val="20"/>
                <w:szCs w:val="24"/>
              </w:rPr>
            </w:pPr>
            <w:r w:rsidRPr="0013396E">
              <w:rPr>
                <w:iCs/>
                <w:sz w:val="20"/>
                <w:szCs w:val="24"/>
              </w:rPr>
              <w:t>LCAP</w:t>
            </w:r>
          </w:p>
        </w:tc>
        <w:tc>
          <w:tcPr>
            <w:tcW w:w="607" w:type="pct"/>
            <w:tcBorders>
              <w:top w:val="single" w:sz="6" w:space="0" w:color="auto"/>
              <w:left w:val="single" w:sz="6" w:space="0" w:color="auto"/>
              <w:bottom w:val="single" w:sz="6" w:space="0" w:color="auto"/>
              <w:right w:val="single" w:sz="6" w:space="0" w:color="auto"/>
            </w:tcBorders>
            <w:hideMark/>
          </w:tcPr>
          <w:p w14:paraId="21DE1D09" w14:textId="77777777" w:rsidR="00162CAA" w:rsidRPr="0013396E" w:rsidRDefault="00162CAA" w:rsidP="00162CAA">
            <w:pPr>
              <w:spacing w:after="60"/>
              <w:rPr>
                <w:iCs/>
                <w:sz w:val="20"/>
                <w:szCs w:val="24"/>
              </w:rPr>
            </w:pPr>
            <w:r w:rsidRPr="0013396E">
              <w:rPr>
                <w:iCs/>
                <w:sz w:val="20"/>
                <w:szCs w:val="24"/>
              </w:rPr>
              <w:t>$/MWh</w:t>
            </w:r>
          </w:p>
        </w:tc>
        <w:tc>
          <w:tcPr>
            <w:tcW w:w="3385" w:type="pct"/>
            <w:tcBorders>
              <w:top w:val="single" w:sz="6" w:space="0" w:color="auto"/>
              <w:left w:val="single" w:sz="6" w:space="0" w:color="auto"/>
              <w:bottom w:val="single" w:sz="6" w:space="0" w:color="auto"/>
              <w:right w:val="single" w:sz="4" w:space="0" w:color="auto"/>
            </w:tcBorders>
            <w:hideMark/>
          </w:tcPr>
          <w:p w14:paraId="610CB13E" w14:textId="3A192EF2" w:rsidR="00162CAA" w:rsidRPr="0013396E" w:rsidRDefault="00162CAA" w:rsidP="00162CAA">
            <w:pPr>
              <w:spacing w:after="60"/>
              <w:rPr>
                <w:i/>
                <w:iCs/>
                <w:sz w:val="20"/>
                <w:szCs w:val="24"/>
              </w:rPr>
            </w:pPr>
            <w:r w:rsidRPr="0013396E">
              <w:rPr>
                <w:i/>
                <w:iCs/>
                <w:sz w:val="20"/>
                <w:szCs w:val="24"/>
              </w:rPr>
              <w:t xml:space="preserve">Low System Wide Offer Cap – </w:t>
            </w:r>
            <w:r w:rsidRPr="0013396E">
              <w:rPr>
                <w:iCs/>
                <w:sz w:val="20"/>
                <w:szCs w:val="24"/>
              </w:rPr>
              <w:t xml:space="preserve">The value set per paragraph (1) of Section 4.4.11, </w:t>
            </w:r>
            <w:r w:rsidR="00F611B9">
              <w:rPr>
                <w:iCs/>
                <w:sz w:val="20"/>
                <w:szCs w:val="24"/>
              </w:rPr>
              <w:t xml:space="preserve">Day-Ahead and Real-Time </w:t>
            </w:r>
            <w:r w:rsidRPr="0013396E">
              <w:rPr>
                <w:iCs/>
                <w:sz w:val="20"/>
                <w:szCs w:val="24"/>
              </w:rPr>
              <w:t>System-Wide Offer Caps.</w:t>
            </w:r>
          </w:p>
        </w:tc>
      </w:tr>
      <w:tr w:rsidR="00162CAA" w:rsidRPr="0013396E" w14:paraId="7E084C56" w14:textId="77777777" w:rsidTr="00890B99">
        <w:trPr>
          <w:cantSplit/>
        </w:trPr>
        <w:tc>
          <w:tcPr>
            <w:tcW w:w="1008" w:type="pct"/>
            <w:tcBorders>
              <w:top w:val="single" w:sz="6" w:space="0" w:color="auto"/>
              <w:left w:val="single" w:sz="4" w:space="0" w:color="auto"/>
              <w:bottom w:val="single" w:sz="6" w:space="0" w:color="auto"/>
              <w:right w:val="single" w:sz="6" w:space="0" w:color="auto"/>
            </w:tcBorders>
            <w:hideMark/>
          </w:tcPr>
          <w:p w14:paraId="60DED7E1" w14:textId="77777777" w:rsidR="00162CAA" w:rsidRPr="0013396E" w:rsidRDefault="00162CAA" w:rsidP="00162CAA">
            <w:pPr>
              <w:spacing w:after="60"/>
              <w:rPr>
                <w:iCs/>
                <w:sz w:val="20"/>
                <w:szCs w:val="24"/>
              </w:rPr>
            </w:pPr>
            <w:r w:rsidRPr="0013396E">
              <w:rPr>
                <w:iCs/>
                <w:sz w:val="20"/>
                <w:szCs w:val="24"/>
              </w:rPr>
              <w:t xml:space="preserve">ROM </w:t>
            </w:r>
            <w:r w:rsidRPr="0013396E">
              <w:rPr>
                <w:i/>
                <w:iCs/>
                <w:sz w:val="20"/>
                <w:szCs w:val="24"/>
                <w:vertAlign w:val="subscript"/>
              </w:rPr>
              <w:t>q, r</w:t>
            </w:r>
          </w:p>
        </w:tc>
        <w:tc>
          <w:tcPr>
            <w:tcW w:w="607" w:type="pct"/>
            <w:tcBorders>
              <w:top w:val="single" w:sz="6" w:space="0" w:color="auto"/>
              <w:left w:val="single" w:sz="6" w:space="0" w:color="auto"/>
              <w:bottom w:val="single" w:sz="6" w:space="0" w:color="auto"/>
              <w:right w:val="single" w:sz="6" w:space="0" w:color="auto"/>
            </w:tcBorders>
            <w:hideMark/>
          </w:tcPr>
          <w:p w14:paraId="600CC5C0" w14:textId="77777777" w:rsidR="00162CAA" w:rsidRPr="0013396E" w:rsidRDefault="00162CAA" w:rsidP="00162CAA">
            <w:pPr>
              <w:spacing w:after="60"/>
              <w:rPr>
                <w:iCs/>
                <w:sz w:val="20"/>
                <w:szCs w:val="24"/>
              </w:rPr>
            </w:pPr>
            <w:r w:rsidRPr="0013396E">
              <w:rPr>
                <w:iCs/>
                <w:sz w:val="20"/>
                <w:szCs w:val="24"/>
              </w:rPr>
              <w:t>$/MWh</w:t>
            </w:r>
          </w:p>
        </w:tc>
        <w:tc>
          <w:tcPr>
            <w:tcW w:w="3385" w:type="pct"/>
            <w:tcBorders>
              <w:top w:val="single" w:sz="6" w:space="0" w:color="auto"/>
              <w:left w:val="single" w:sz="6" w:space="0" w:color="auto"/>
              <w:bottom w:val="single" w:sz="6" w:space="0" w:color="auto"/>
              <w:right w:val="single" w:sz="4" w:space="0" w:color="auto"/>
            </w:tcBorders>
            <w:hideMark/>
          </w:tcPr>
          <w:p w14:paraId="650B4FFB" w14:textId="70E1C690" w:rsidR="00162CAA" w:rsidRPr="0013396E" w:rsidRDefault="00162CAA" w:rsidP="00162CAA">
            <w:pPr>
              <w:spacing w:after="60"/>
              <w:rPr>
                <w:i/>
                <w:iCs/>
                <w:sz w:val="20"/>
                <w:szCs w:val="24"/>
              </w:rPr>
            </w:pPr>
            <w:r w:rsidRPr="0013396E">
              <w:rPr>
                <w:i/>
                <w:iCs/>
                <w:sz w:val="20"/>
                <w:szCs w:val="24"/>
              </w:rPr>
              <w:t xml:space="preserve">Raw Verifiable Operations and Maintenance Cost Above LSL – </w:t>
            </w:r>
            <w:r w:rsidRPr="0013396E">
              <w:rPr>
                <w:iCs/>
                <w:sz w:val="20"/>
                <w:szCs w:val="24"/>
              </w:rPr>
              <w:t xml:space="preserve">The raw verifiable O&amp;M cost for the Resource </w:t>
            </w:r>
            <w:r w:rsidRPr="0013396E">
              <w:rPr>
                <w:i/>
                <w:iCs/>
                <w:sz w:val="20"/>
                <w:szCs w:val="24"/>
              </w:rPr>
              <w:t xml:space="preserve">r </w:t>
            </w:r>
            <w:r w:rsidRPr="0013396E">
              <w:rPr>
                <w:iCs/>
                <w:sz w:val="20"/>
                <w:szCs w:val="24"/>
              </w:rPr>
              <w:t>represented by QSE</w:t>
            </w:r>
            <w:r w:rsidRPr="0013396E">
              <w:rPr>
                <w:i/>
                <w:iCs/>
                <w:sz w:val="20"/>
                <w:szCs w:val="24"/>
              </w:rPr>
              <w:t xml:space="preserve"> q</w:t>
            </w:r>
            <w:r w:rsidRPr="0013396E">
              <w:rPr>
                <w:iCs/>
                <w:sz w:val="20"/>
                <w:szCs w:val="24"/>
              </w:rPr>
              <w:t xml:space="preserve"> for operations above LSL.  Where for a Combined Cycle Train, the Resource </w:t>
            </w:r>
            <w:r w:rsidRPr="0013396E">
              <w:rPr>
                <w:i/>
                <w:iCs/>
                <w:sz w:val="20"/>
                <w:szCs w:val="24"/>
              </w:rPr>
              <w:t>r</w:t>
            </w:r>
            <w:r w:rsidRPr="0013396E">
              <w:rPr>
                <w:iCs/>
                <w:sz w:val="20"/>
                <w:szCs w:val="24"/>
              </w:rPr>
              <w:t xml:space="preserve"> is a Combined Cycle Generation Resource within the Combined Cycle Train.</w:t>
            </w:r>
          </w:p>
        </w:tc>
      </w:tr>
      <w:tr w:rsidR="00DA793B" w:rsidRPr="0013396E" w14:paraId="0EBDFFBF" w14:textId="77777777" w:rsidTr="00890B99">
        <w:trPr>
          <w:cantSplit/>
        </w:trPr>
        <w:tc>
          <w:tcPr>
            <w:tcW w:w="1008" w:type="pct"/>
            <w:tcBorders>
              <w:top w:val="single" w:sz="6" w:space="0" w:color="auto"/>
              <w:left w:val="single" w:sz="4" w:space="0" w:color="auto"/>
              <w:bottom w:val="single" w:sz="6" w:space="0" w:color="auto"/>
              <w:right w:val="single" w:sz="6" w:space="0" w:color="auto"/>
            </w:tcBorders>
          </w:tcPr>
          <w:p w14:paraId="27CD00A2" w14:textId="10ADEAA9" w:rsidR="00DA793B" w:rsidRPr="0013396E" w:rsidRDefault="00DA793B" w:rsidP="00DA793B">
            <w:pPr>
              <w:spacing w:after="60"/>
              <w:rPr>
                <w:iCs/>
                <w:sz w:val="20"/>
                <w:szCs w:val="24"/>
              </w:rPr>
            </w:pPr>
            <w:r w:rsidRPr="00CF7EAF">
              <w:rPr>
                <w:iCs/>
                <w:sz w:val="20"/>
              </w:rPr>
              <w:t xml:space="preserve">VOM </w:t>
            </w:r>
            <w:r w:rsidRPr="00CF7EAF">
              <w:rPr>
                <w:i/>
                <w:iCs/>
                <w:sz w:val="20"/>
                <w:vertAlign w:val="subscript"/>
              </w:rPr>
              <w:t>q, r</w:t>
            </w:r>
          </w:p>
        </w:tc>
        <w:tc>
          <w:tcPr>
            <w:tcW w:w="607" w:type="pct"/>
            <w:tcBorders>
              <w:top w:val="single" w:sz="6" w:space="0" w:color="auto"/>
              <w:left w:val="single" w:sz="6" w:space="0" w:color="auto"/>
              <w:bottom w:val="single" w:sz="6" w:space="0" w:color="auto"/>
              <w:right w:val="single" w:sz="6" w:space="0" w:color="auto"/>
            </w:tcBorders>
          </w:tcPr>
          <w:p w14:paraId="7E9E0FAE" w14:textId="7B101A1A" w:rsidR="00DA793B" w:rsidRPr="0013396E" w:rsidRDefault="00DA793B" w:rsidP="00DA793B">
            <w:pPr>
              <w:spacing w:after="60"/>
              <w:rPr>
                <w:iCs/>
                <w:sz w:val="20"/>
                <w:szCs w:val="24"/>
              </w:rPr>
            </w:pPr>
            <w:r w:rsidRPr="00CF7EAF">
              <w:rPr>
                <w:iCs/>
                <w:sz w:val="20"/>
              </w:rPr>
              <w:t>$/MWh</w:t>
            </w:r>
          </w:p>
        </w:tc>
        <w:tc>
          <w:tcPr>
            <w:tcW w:w="3385" w:type="pct"/>
            <w:tcBorders>
              <w:top w:val="single" w:sz="6" w:space="0" w:color="auto"/>
              <w:left w:val="single" w:sz="6" w:space="0" w:color="auto"/>
              <w:bottom w:val="single" w:sz="6" w:space="0" w:color="auto"/>
              <w:right w:val="single" w:sz="4" w:space="0" w:color="auto"/>
            </w:tcBorders>
          </w:tcPr>
          <w:p w14:paraId="10CC7555" w14:textId="33C646F1" w:rsidR="00DA793B" w:rsidRPr="0013396E" w:rsidRDefault="00DA793B" w:rsidP="00DA793B">
            <w:pPr>
              <w:spacing w:after="60"/>
              <w:rPr>
                <w:i/>
                <w:iCs/>
                <w:sz w:val="20"/>
                <w:szCs w:val="24"/>
              </w:rPr>
            </w:pPr>
            <w:r w:rsidRPr="00CF7EAF">
              <w:rPr>
                <w:iCs/>
                <w:sz w:val="20"/>
              </w:rPr>
              <w:t xml:space="preserve">Variable Operations and Maintenance Cost – The variable operations and maintenance cost incurred by the Resource </w:t>
            </w:r>
            <w:r w:rsidRPr="00CF7EAF">
              <w:rPr>
                <w:i/>
                <w:sz w:val="20"/>
              </w:rPr>
              <w:t>r</w:t>
            </w:r>
            <w:r w:rsidRPr="00CF7EAF">
              <w:rPr>
                <w:iCs/>
                <w:sz w:val="20"/>
              </w:rPr>
              <w:t xml:space="preserve"> represented by QSE </w:t>
            </w:r>
            <w:r w:rsidRPr="00CF7EAF">
              <w:rPr>
                <w:i/>
                <w:sz w:val="20"/>
              </w:rPr>
              <w:t>q</w:t>
            </w:r>
            <w:r w:rsidRPr="00CF7EAF">
              <w:rPr>
                <w:iCs/>
                <w:sz w:val="20"/>
              </w:rPr>
              <w:t xml:space="preserve"> for operations after breaker close.  Where for a Combined Cycle Train, the Resource </w:t>
            </w:r>
            <w:r w:rsidRPr="00CF7EAF">
              <w:rPr>
                <w:i/>
                <w:sz w:val="20"/>
              </w:rPr>
              <w:t>r</w:t>
            </w:r>
            <w:r w:rsidRPr="00CF7EAF">
              <w:rPr>
                <w:iCs/>
                <w:sz w:val="20"/>
              </w:rPr>
              <w:t xml:space="preserve"> is a Combined Cycle Generation Resource within the Combined Cycle Train.</w:t>
            </w:r>
          </w:p>
        </w:tc>
      </w:tr>
      <w:tr w:rsidR="00DA793B" w:rsidRPr="0013396E" w14:paraId="58791485" w14:textId="77777777" w:rsidTr="00890B99">
        <w:trPr>
          <w:cantSplit/>
        </w:trPr>
        <w:tc>
          <w:tcPr>
            <w:tcW w:w="1008" w:type="pct"/>
            <w:tcBorders>
              <w:top w:val="single" w:sz="6" w:space="0" w:color="auto"/>
              <w:left w:val="single" w:sz="4" w:space="0" w:color="auto"/>
              <w:bottom w:val="single" w:sz="6" w:space="0" w:color="auto"/>
              <w:right w:val="single" w:sz="6" w:space="0" w:color="auto"/>
            </w:tcBorders>
          </w:tcPr>
          <w:p w14:paraId="10D5FD64" w14:textId="589C49D1" w:rsidR="00DA793B" w:rsidRPr="0013396E" w:rsidRDefault="00DA793B" w:rsidP="00DA793B">
            <w:pPr>
              <w:spacing w:after="60"/>
              <w:rPr>
                <w:iCs/>
                <w:sz w:val="20"/>
                <w:szCs w:val="24"/>
              </w:rPr>
            </w:pPr>
            <w:r w:rsidRPr="00CF7EAF">
              <w:rPr>
                <w:iCs/>
                <w:sz w:val="20"/>
              </w:rPr>
              <w:lastRenderedPageBreak/>
              <w:t xml:space="preserve">IVC </w:t>
            </w:r>
            <w:r w:rsidRPr="00CF7EAF">
              <w:rPr>
                <w:i/>
                <w:iCs/>
                <w:sz w:val="20"/>
                <w:vertAlign w:val="subscript"/>
              </w:rPr>
              <w:t>q, r</w:t>
            </w:r>
          </w:p>
        </w:tc>
        <w:tc>
          <w:tcPr>
            <w:tcW w:w="607" w:type="pct"/>
            <w:tcBorders>
              <w:top w:val="single" w:sz="6" w:space="0" w:color="auto"/>
              <w:left w:val="single" w:sz="6" w:space="0" w:color="auto"/>
              <w:bottom w:val="single" w:sz="6" w:space="0" w:color="auto"/>
              <w:right w:val="single" w:sz="6" w:space="0" w:color="auto"/>
            </w:tcBorders>
          </w:tcPr>
          <w:p w14:paraId="7C669FC5" w14:textId="7EC8AE97" w:rsidR="00DA793B" w:rsidRPr="0013396E" w:rsidRDefault="00DA793B" w:rsidP="00DA793B">
            <w:pPr>
              <w:spacing w:after="60"/>
              <w:rPr>
                <w:iCs/>
                <w:sz w:val="20"/>
                <w:szCs w:val="24"/>
              </w:rPr>
            </w:pPr>
            <w:r w:rsidRPr="00CF7EAF">
              <w:rPr>
                <w:iCs/>
                <w:sz w:val="20"/>
              </w:rPr>
              <w:t>$/MWh</w:t>
            </w:r>
          </w:p>
        </w:tc>
        <w:tc>
          <w:tcPr>
            <w:tcW w:w="3385" w:type="pct"/>
            <w:tcBorders>
              <w:top w:val="single" w:sz="6" w:space="0" w:color="auto"/>
              <w:left w:val="single" w:sz="6" w:space="0" w:color="auto"/>
              <w:bottom w:val="single" w:sz="6" w:space="0" w:color="auto"/>
              <w:right w:val="single" w:sz="4" w:space="0" w:color="auto"/>
            </w:tcBorders>
          </w:tcPr>
          <w:p w14:paraId="080C3C7C" w14:textId="73DEC49F" w:rsidR="00DA793B" w:rsidRPr="0013396E" w:rsidRDefault="00DA793B" w:rsidP="00DA793B">
            <w:pPr>
              <w:spacing w:after="60"/>
              <w:rPr>
                <w:i/>
                <w:iCs/>
                <w:sz w:val="20"/>
                <w:szCs w:val="24"/>
              </w:rPr>
            </w:pPr>
            <w:r w:rsidRPr="00CF7EAF">
              <w:rPr>
                <w:iCs/>
                <w:sz w:val="20"/>
              </w:rPr>
              <w:t xml:space="preserve">Incremental Variable Operations and Maintenance Cost – The incremental variable operations and maintenance cost incurred by the Resource </w:t>
            </w:r>
            <w:r w:rsidRPr="00CF7EAF">
              <w:rPr>
                <w:i/>
                <w:sz w:val="20"/>
              </w:rPr>
              <w:t>r</w:t>
            </w:r>
            <w:r w:rsidRPr="00CF7EAF">
              <w:rPr>
                <w:iCs/>
                <w:sz w:val="20"/>
              </w:rPr>
              <w:t xml:space="preserve"> represented by QSE </w:t>
            </w:r>
            <w:r w:rsidRPr="00CF7EAF">
              <w:rPr>
                <w:i/>
                <w:sz w:val="20"/>
              </w:rPr>
              <w:t>q</w:t>
            </w:r>
            <w:r w:rsidRPr="00CF7EAF">
              <w:rPr>
                <w:iCs/>
                <w:sz w:val="20"/>
              </w:rPr>
              <w:t xml:space="preserve"> for operations after breaker close.  Where for a Combined Cycle Train, the Resource </w:t>
            </w:r>
            <w:r w:rsidRPr="00CF7EAF">
              <w:rPr>
                <w:i/>
                <w:sz w:val="20"/>
              </w:rPr>
              <w:t>r</w:t>
            </w:r>
            <w:r w:rsidRPr="00CF7EAF">
              <w:rPr>
                <w:iCs/>
                <w:sz w:val="20"/>
              </w:rPr>
              <w:t xml:space="preserve"> is a Combined Cycle Generation Resource within the Combined Cycle Train.</w:t>
            </w:r>
          </w:p>
        </w:tc>
      </w:tr>
      <w:tr w:rsidR="00162CAA" w:rsidRPr="0013396E" w14:paraId="7D685698" w14:textId="77777777" w:rsidTr="00890B99">
        <w:trPr>
          <w:cantSplit/>
        </w:trPr>
        <w:tc>
          <w:tcPr>
            <w:tcW w:w="1008" w:type="pct"/>
            <w:tcBorders>
              <w:top w:val="single" w:sz="6" w:space="0" w:color="auto"/>
              <w:left w:val="single" w:sz="4" w:space="0" w:color="auto"/>
              <w:bottom w:val="single" w:sz="6" w:space="0" w:color="auto"/>
              <w:right w:val="single" w:sz="6" w:space="0" w:color="auto"/>
            </w:tcBorders>
            <w:hideMark/>
          </w:tcPr>
          <w:p w14:paraId="1F657E9F" w14:textId="77777777" w:rsidR="00162CAA" w:rsidRPr="0013396E" w:rsidRDefault="00162CAA" w:rsidP="00162CAA">
            <w:pPr>
              <w:spacing w:after="60"/>
              <w:rPr>
                <w:iCs/>
                <w:sz w:val="20"/>
                <w:szCs w:val="24"/>
              </w:rPr>
            </w:pPr>
            <w:r w:rsidRPr="0013396E">
              <w:rPr>
                <w:iCs/>
                <w:sz w:val="20"/>
                <w:szCs w:val="24"/>
              </w:rPr>
              <w:t xml:space="preserve">AMF </w:t>
            </w:r>
            <w:r w:rsidRPr="0013396E">
              <w:rPr>
                <w:i/>
                <w:iCs/>
                <w:sz w:val="20"/>
                <w:szCs w:val="24"/>
                <w:vertAlign w:val="subscript"/>
              </w:rPr>
              <w:t>q, r, i</w:t>
            </w:r>
          </w:p>
        </w:tc>
        <w:tc>
          <w:tcPr>
            <w:tcW w:w="607" w:type="pct"/>
            <w:tcBorders>
              <w:top w:val="single" w:sz="6" w:space="0" w:color="auto"/>
              <w:left w:val="single" w:sz="6" w:space="0" w:color="auto"/>
              <w:bottom w:val="single" w:sz="6" w:space="0" w:color="auto"/>
              <w:right w:val="single" w:sz="6" w:space="0" w:color="auto"/>
            </w:tcBorders>
            <w:hideMark/>
          </w:tcPr>
          <w:p w14:paraId="13B76B83" w14:textId="77777777" w:rsidR="00162CAA" w:rsidRPr="0013396E" w:rsidRDefault="00162CAA" w:rsidP="00162CAA">
            <w:pPr>
              <w:spacing w:after="60"/>
              <w:rPr>
                <w:iCs/>
                <w:sz w:val="20"/>
                <w:szCs w:val="24"/>
              </w:rPr>
            </w:pPr>
            <w:r w:rsidRPr="0013396E">
              <w:rPr>
                <w:iCs/>
                <w:sz w:val="20"/>
                <w:szCs w:val="24"/>
              </w:rPr>
              <w:t>MMBtu</w:t>
            </w:r>
          </w:p>
        </w:tc>
        <w:tc>
          <w:tcPr>
            <w:tcW w:w="3385" w:type="pct"/>
            <w:tcBorders>
              <w:top w:val="single" w:sz="6" w:space="0" w:color="auto"/>
              <w:left w:val="single" w:sz="6" w:space="0" w:color="auto"/>
              <w:bottom w:val="single" w:sz="6" w:space="0" w:color="auto"/>
              <w:right w:val="single" w:sz="4" w:space="0" w:color="auto"/>
            </w:tcBorders>
            <w:hideMark/>
          </w:tcPr>
          <w:p w14:paraId="7EA43A95" w14:textId="16351B14" w:rsidR="00162CAA" w:rsidRPr="0013396E" w:rsidRDefault="00162CAA" w:rsidP="00162CAA">
            <w:pPr>
              <w:spacing w:after="60"/>
              <w:rPr>
                <w:i/>
                <w:iCs/>
                <w:sz w:val="20"/>
                <w:szCs w:val="24"/>
              </w:rPr>
            </w:pPr>
            <w:r w:rsidRPr="0013396E">
              <w:rPr>
                <w:i/>
                <w:iCs/>
                <w:sz w:val="20"/>
                <w:szCs w:val="24"/>
              </w:rPr>
              <w:t xml:space="preserve">Actual Marginal Fuel per QSE per Resource - </w:t>
            </w:r>
            <w:r w:rsidRPr="0013396E">
              <w:rPr>
                <w:iCs/>
                <w:sz w:val="20"/>
                <w:szCs w:val="24"/>
              </w:rPr>
              <w:t xml:space="preserve">The actual marginal purchased and delivered fuel for the Resource </w:t>
            </w:r>
            <w:r w:rsidRPr="0013396E">
              <w:rPr>
                <w:i/>
                <w:sz w:val="20"/>
                <w:szCs w:val="24"/>
              </w:rPr>
              <w:t>r</w:t>
            </w:r>
            <w:r w:rsidRPr="0013396E">
              <w:rPr>
                <w:iCs/>
                <w:sz w:val="20"/>
                <w:szCs w:val="24"/>
              </w:rPr>
              <w:t xml:space="preserve"> represented by QSE </w:t>
            </w:r>
            <w:r w:rsidRPr="0013396E">
              <w:rPr>
                <w:i/>
                <w:sz w:val="20"/>
                <w:szCs w:val="24"/>
              </w:rPr>
              <w:t>q</w:t>
            </w:r>
            <w:r w:rsidRPr="0013396E">
              <w:rPr>
                <w:iCs/>
                <w:sz w:val="20"/>
                <w:szCs w:val="24"/>
              </w:rPr>
              <w:t xml:space="preserve"> for the </w:t>
            </w:r>
            <w:r w:rsidRPr="0013396E">
              <w:rPr>
                <w:sz w:val="20"/>
                <w:szCs w:val="24"/>
              </w:rPr>
              <w:t xml:space="preserve">15-minute Settlement Interval </w:t>
            </w:r>
            <w:r w:rsidRPr="0013396E">
              <w:rPr>
                <w:i/>
                <w:iCs/>
                <w:sz w:val="20"/>
                <w:szCs w:val="24"/>
              </w:rPr>
              <w:t>i</w:t>
            </w:r>
            <w:r w:rsidRPr="0013396E">
              <w:rPr>
                <w:sz w:val="20"/>
                <w:szCs w:val="24"/>
              </w:rPr>
              <w:t xml:space="preserve"> within the Operating Day.  </w:t>
            </w:r>
            <w:r w:rsidRPr="0013396E">
              <w:rPr>
                <w:iCs/>
                <w:sz w:val="20"/>
                <w:szCs w:val="24"/>
              </w:rPr>
              <w:t xml:space="preserve">The AMF represents only the fuel used to calculate the weighted average fuel price, WAFP.  Where for a Combined Cycle Train, the Resource </w:t>
            </w:r>
            <w:r w:rsidRPr="0013396E">
              <w:rPr>
                <w:i/>
                <w:iCs/>
                <w:sz w:val="20"/>
                <w:szCs w:val="24"/>
              </w:rPr>
              <w:t>r</w:t>
            </w:r>
            <w:r w:rsidRPr="0013396E">
              <w:rPr>
                <w:iCs/>
                <w:sz w:val="20"/>
                <w:szCs w:val="24"/>
              </w:rPr>
              <w:t xml:space="preserve"> is a Combined Cycle Generation Resource within the Combined Cycle Train.</w:t>
            </w:r>
          </w:p>
        </w:tc>
      </w:tr>
      <w:tr w:rsidR="00162CAA" w:rsidRPr="0013396E" w14:paraId="68177724" w14:textId="77777777" w:rsidTr="00890B99">
        <w:trPr>
          <w:cantSplit/>
        </w:trPr>
        <w:tc>
          <w:tcPr>
            <w:tcW w:w="1008" w:type="pct"/>
            <w:tcBorders>
              <w:top w:val="single" w:sz="6" w:space="0" w:color="auto"/>
              <w:left w:val="single" w:sz="4" w:space="0" w:color="auto"/>
              <w:bottom w:val="single" w:sz="6" w:space="0" w:color="auto"/>
              <w:right w:val="single" w:sz="6" w:space="0" w:color="auto"/>
            </w:tcBorders>
            <w:hideMark/>
          </w:tcPr>
          <w:p w14:paraId="26CEF7C9" w14:textId="77777777" w:rsidR="00162CAA" w:rsidRPr="0013396E" w:rsidRDefault="00162CAA" w:rsidP="00162CAA">
            <w:pPr>
              <w:spacing w:after="60"/>
              <w:rPr>
                <w:iCs/>
                <w:sz w:val="20"/>
                <w:szCs w:val="24"/>
              </w:rPr>
            </w:pPr>
            <w:r w:rsidRPr="0013396E">
              <w:rPr>
                <w:iCs/>
                <w:sz w:val="20"/>
                <w:szCs w:val="24"/>
              </w:rPr>
              <w:t xml:space="preserve">STOM </w:t>
            </w:r>
            <w:r w:rsidRPr="0013396E">
              <w:rPr>
                <w:i/>
                <w:iCs/>
                <w:sz w:val="20"/>
                <w:szCs w:val="24"/>
                <w:vertAlign w:val="subscript"/>
              </w:rPr>
              <w:t>rc</w:t>
            </w:r>
            <w:r w:rsidRPr="0013396E">
              <w:rPr>
                <w:iCs/>
                <w:sz w:val="20"/>
                <w:szCs w:val="24"/>
                <w:vertAlign w:val="subscript"/>
              </w:rPr>
              <w:t xml:space="preserve"> </w:t>
            </w:r>
          </w:p>
        </w:tc>
        <w:tc>
          <w:tcPr>
            <w:tcW w:w="607" w:type="pct"/>
            <w:tcBorders>
              <w:top w:val="single" w:sz="6" w:space="0" w:color="auto"/>
              <w:left w:val="single" w:sz="6" w:space="0" w:color="auto"/>
              <w:bottom w:val="single" w:sz="6" w:space="0" w:color="auto"/>
              <w:right w:val="single" w:sz="6" w:space="0" w:color="auto"/>
            </w:tcBorders>
            <w:hideMark/>
          </w:tcPr>
          <w:p w14:paraId="6D04A984" w14:textId="77777777" w:rsidR="00162CAA" w:rsidRPr="0013396E" w:rsidRDefault="00162CAA" w:rsidP="00162CAA">
            <w:pPr>
              <w:spacing w:after="60"/>
              <w:rPr>
                <w:iCs/>
                <w:sz w:val="20"/>
                <w:szCs w:val="24"/>
              </w:rPr>
            </w:pPr>
            <w:r w:rsidRPr="0013396E">
              <w:rPr>
                <w:iCs/>
                <w:sz w:val="20"/>
                <w:szCs w:val="24"/>
              </w:rPr>
              <w:t>$/MWh</w:t>
            </w:r>
          </w:p>
        </w:tc>
        <w:tc>
          <w:tcPr>
            <w:tcW w:w="3385" w:type="pct"/>
            <w:tcBorders>
              <w:top w:val="single" w:sz="6" w:space="0" w:color="auto"/>
              <w:left w:val="single" w:sz="6" w:space="0" w:color="auto"/>
              <w:bottom w:val="single" w:sz="6" w:space="0" w:color="auto"/>
              <w:right w:val="single" w:sz="4" w:space="0" w:color="auto"/>
            </w:tcBorders>
            <w:hideMark/>
          </w:tcPr>
          <w:p w14:paraId="66E82270" w14:textId="6EA3E5BE" w:rsidR="00162CAA" w:rsidRDefault="00162CAA" w:rsidP="00162CAA">
            <w:pPr>
              <w:spacing w:after="60"/>
              <w:rPr>
                <w:iCs/>
                <w:sz w:val="20"/>
                <w:szCs w:val="24"/>
              </w:rPr>
            </w:pPr>
            <w:r w:rsidRPr="0013396E">
              <w:rPr>
                <w:i/>
                <w:iCs/>
                <w:sz w:val="20"/>
                <w:szCs w:val="24"/>
              </w:rPr>
              <w:t xml:space="preserve">Standard Operations and Maintenance Cost – </w:t>
            </w:r>
            <w:r w:rsidRPr="0013396E">
              <w:rPr>
                <w:iCs/>
                <w:sz w:val="20"/>
                <w:szCs w:val="24"/>
              </w:rPr>
              <w:t xml:space="preserve">The standard O&amp;M cost for the Resource category </w:t>
            </w:r>
            <w:r w:rsidRPr="0013396E">
              <w:rPr>
                <w:i/>
                <w:iCs/>
                <w:sz w:val="20"/>
                <w:szCs w:val="24"/>
              </w:rPr>
              <w:t>rc</w:t>
            </w:r>
            <w:r w:rsidRPr="0013396E">
              <w:rPr>
                <w:iCs/>
                <w:sz w:val="20"/>
                <w:szCs w:val="24"/>
              </w:rPr>
              <w:t xml:space="preserve"> </w:t>
            </w:r>
            <w:r w:rsidR="00DA793B" w:rsidRPr="00CF7EAF">
              <w:rPr>
                <w:iCs/>
                <w:sz w:val="20"/>
              </w:rPr>
              <w:t>shall be set to the minimum energy variable O&amp;M costs</w:t>
            </w:r>
            <w:r w:rsidRPr="0013396E">
              <w:rPr>
                <w:iCs/>
                <w:sz w:val="20"/>
                <w:szCs w:val="24"/>
              </w:rPr>
              <w:t>, as described in paragraph (6)(c) of Section 5.6.1, Verifiable Costs.  For an ESR, STOM shall be set at $0.3/MWh.</w:t>
            </w:r>
          </w:p>
          <w:tbl>
            <w:tblPr>
              <w:tblW w:w="6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70"/>
            </w:tblGrid>
            <w:tr w:rsidR="00DA793B" w:rsidRPr="00CF7EAF" w14:paraId="181DC62B" w14:textId="77777777" w:rsidTr="004B69AB">
              <w:tc>
                <w:tcPr>
                  <w:tcW w:w="6265" w:type="dxa"/>
                  <w:tcBorders>
                    <w:top w:val="single" w:sz="4" w:space="0" w:color="auto"/>
                    <w:left w:val="single" w:sz="4" w:space="0" w:color="auto"/>
                    <w:bottom w:val="single" w:sz="4" w:space="0" w:color="auto"/>
                    <w:right w:val="single" w:sz="4" w:space="0" w:color="auto"/>
                  </w:tcBorders>
                  <w:shd w:val="clear" w:color="auto" w:fill="D9D9D9"/>
                  <w:hideMark/>
                </w:tcPr>
                <w:p w14:paraId="24A7B8AD" w14:textId="77777777" w:rsidR="00DA793B" w:rsidRPr="00CF7EAF" w:rsidRDefault="00DA793B" w:rsidP="00DA793B">
                  <w:pPr>
                    <w:spacing w:before="120" w:after="240"/>
                    <w:rPr>
                      <w:b/>
                      <w:i/>
                    </w:rPr>
                  </w:pPr>
                  <w:r w:rsidRPr="00CF7EAF">
                    <w:rPr>
                      <w:b/>
                      <w:i/>
                    </w:rPr>
                    <w:t xml:space="preserve">[NPRR1086:  </w:t>
                  </w:r>
                  <w:r w:rsidRPr="00CF7EAF">
                    <w:rPr>
                      <w:b/>
                      <w:i/>
                      <w:iCs/>
                    </w:rPr>
                    <w:t>Replace the definition above with the following upon system implementation of NPRR1029:]</w:t>
                  </w:r>
                </w:p>
                <w:p w14:paraId="516483B6" w14:textId="3E0D5B83" w:rsidR="00DA793B" w:rsidRPr="00CF7EAF" w:rsidRDefault="00DA793B" w:rsidP="00DA793B">
                  <w:pPr>
                    <w:spacing w:after="60"/>
                    <w:ind w:left="30"/>
                    <w:rPr>
                      <w:iCs/>
                    </w:rPr>
                  </w:pPr>
                  <w:r w:rsidRPr="00CF7EAF">
                    <w:rPr>
                      <w:i/>
                      <w:iCs/>
                      <w:sz w:val="20"/>
                    </w:rPr>
                    <w:t xml:space="preserve">Standard Operations and Maintenance Cost – </w:t>
                  </w:r>
                  <w:r w:rsidRPr="00CF7EAF">
                    <w:rPr>
                      <w:iCs/>
                      <w:sz w:val="20"/>
                    </w:rPr>
                    <w:t xml:space="preserve">The standard O&amp;M cost for the Resource category </w:t>
                  </w:r>
                  <w:r w:rsidRPr="00CF7EAF">
                    <w:rPr>
                      <w:i/>
                      <w:iCs/>
                      <w:sz w:val="20"/>
                    </w:rPr>
                    <w:t>rc</w:t>
                  </w:r>
                  <w:r w:rsidRPr="00CF7EAF">
                    <w:rPr>
                      <w:iCs/>
                      <w:sz w:val="20"/>
                    </w:rPr>
                    <w:t>, shall be set to the minimum energy variable O&amp;M costs, as described in paragraph (6)(c) of Section 5.6.1, Verifiable Costs.  For an ESR, STOM shall be set at $0.3/MWh and for a DC-Coupled Resource, the value shall be set at $4.40/MWh.</w:t>
                  </w:r>
                </w:p>
              </w:tc>
            </w:tr>
          </w:tbl>
          <w:p w14:paraId="5339B667" w14:textId="77777777" w:rsidR="00162CAA" w:rsidRPr="0013396E" w:rsidRDefault="00162CAA" w:rsidP="00162CAA">
            <w:pPr>
              <w:rPr>
                <w:sz w:val="20"/>
              </w:rPr>
            </w:pPr>
          </w:p>
        </w:tc>
      </w:tr>
      <w:tr w:rsidR="00162CAA" w:rsidRPr="0013396E" w14:paraId="3C6D83CF" w14:textId="77777777" w:rsidTr="00890B99">
        <w:trPr>
          <w:cantSplit/>
        </w:trPr>
        <w:tc>
          <w:tcPr>
            <w:tcW w:w="1008" w:type="pct"/>
            <w:tcBorders>
              <w:top w:val="single" w:sz="6" w:space="0" w:color="auto"/>
              <w:left w:val="single" w:sz="4" w:space="0" w:color="auto"/>
              <w:bottom w:val="single" w:sz="6" w:space="0" w:color="auto"/>
              <w:right w:val="single" w:sz="6" w:space="0" w:color="auto"/>
            </w:tcBorders>
            <w:hideMark/>
          </w:tcPr>
          <w:p w14:paraId="6742853B" w14:textId="77777777" w:rsidR="00162CAA" w:rsidRPr="0013396E" w:rsidRDefault="00162CAA" w:rsidP="00162CAA">
            <w:pPr>
              <w:spacing w:after="60"/>
              <w:rPr>
                <w:iCs/>
                <w:sz w:val="20"/>
                <w:szCs w:val="24"/>
              </w:rPr>
            </w:pPr>
            <w:r w:rsidRPr="0013396E">
              <w:rPr>
                <w:iCs/>
                <w:sz w:val="20"/>
                <w:szCs w:val="24"/>
              </w:rPr>
              <w:t>RTSPP</w:t>
            </w:r>
            <w:r w:rsidRPr="0013396E">
              <w:rPr>
                <w:i/>
                <w:sz w:val="20"/>
                <w:szCs w:val="24"/>
                <w:vertAlign w:val="subscript"/>
              </w:rPr>
              <w:t xml:space="preserve"> p, i</w:t>
            </w:r>
          </w:p>
        </w:tc>
        <w:tc>
          <w:tcPr>
            <w:tcW w:w="607" w:type="pct"/>
            <w:tcBorders>
              <w:top w:val="single" w:sz="6" w:space="0" w:color="auto"/>
              <w:left w:val="single" w:sz="6" w:space="0" w:color="auto"/>
              <w:bottom w:val="single" w:sz="6" w:space="0" w:color="auto"/>
              <w:right w:val="single" w:sz="6" w:space="0" w:color="auto"/>
            </w:tcBorders>
            <w:hideMark/>
          </w:tcPr>
          <w:p w14:paraId="7DFE0A83" w14:textId="77777777" w:rsidR="00162CAA" w:rsidRPr="0013396E" w:rsidRDefault="00162CAA" w:rsidP="00162CAA">
            <w:pPr>
              <w:spacing w:after="60"/>
              <w:rPr>
                <w:iCs/>
                <w:sz w:val="20"/>
                <w:szCs w:val="24"/>
              </w:rPr>
            </w:pPr>
            <w:r w:rsidRPr="0013396E">
              <w:rPr>
                <w:iCs/>
                <w:sz w:val="20"/>
                <w:szCs w:val="24"/>
              </w:rPr>
              <w:t>$/MWh</w:t>
            </w:r>
          </w:p>
        </w:tc>
        <w:tc>
          <w:tcPr>
            <w:tcW w:w="3385" w:type="pct"/>
            <w:tcBorders>
              <w:top w:val="single" w:sz="6" w:space="0" w:color="auto"/>
              <w:left w:val="single" w:sz="6" w:space="0" w:color="auto"/>
              <w:bottom w:val="single" w:sz="6" w:space="0" w:color="auto"/>
              <w:right w:val="single" w:sz="4" w:space="0" w:color="auto"/>
            </w:tcBorders>
            <w:hideMark/>
          </w:tcPr>
          <w:p w14:paraId="15E63AE1" w14:textId="77777777" w:rsidR="00162CAA" w:rsidRPr="0013396E" w:rsidRDefault="00162CAA" w:rsidP="00162CAA">
            <w:pPr>
              <w:spacing w:after="60"/>
              <w:rPr>
                <w:iCs/>
                <w:sz w:val="20"/>
                <w:szCs w:val="24"/>
              </w:rPr>
            </w:pPr>
            <w:r w:rsidRPr="0013396E">
              <w:rPr>
                <w:i/>
                <w:iCs/>
                <w:sz w:val="20"/>
                <w:szCs w:val="24"/>
              </w:rPr>
              <w:t xml:space="preserve">Real-Time Settlement Point Price - </w:t>
            </w:r>
            <w:r w:rsidRPr="0013396E">
              <w:rPr>
                <w:iCs/>
                <w:sz w:val="20"/>
                <w:szCs w:val="24"/>
              </w:rPr>
              <w:t xml:space="preserve">The Real-Time Settlement Point Price at the Settlement Point </w:t>
            </w:r>
            <w:r w:rsidRPr="0013396E">
              <w:rPr>
                <w:i/>
                <w:iCs/>
                <w:sz w:val="20"/>
                <w:szCs w:val="24"/>
              </w:rPr>
              <w:t xml:space="preserve">p, </w:t>
            </w:r>
            <w:r w:rsidRPr="0013396E">
              <w:rPr>
                <w:iCs/>
                <w:sz w:val="20"/>
                <w:szCs w:val="24"/>
              </w:rPr>
              <w:t xml:space="preserve">for the 15-minute Settlement Interval </w:t>
            </w:r>
            <w:r w:rsidRPr="0013396E">
              <w:rPr>
                <w:i/>
                <w:iCs/>
                <w:sz w:val="20"/>
                <w:szCs w:val="24"/>
              </w:rPr>
              <w:t>i</w:t>
            </w:r>
            <w:r w:rsidRPr="0013396E">
              <w:rPr>
                <w:iCs/>
                <w:sz w:val="20"/>
                <w:szCs w:val="24"/>
              </w:rPr>
              <w:t>.</w:t>
            </w:r>
          </w:p>
        </w:tc>
      </w:tr>
      <w:tr w:rsidR="00162CAA" w:rsidRPr="0013396E" w14:paraId="34C2B213" w14:textId="77777777" w:rsidTr="00890B99">
        <w:trPr>
          <w:cantSplit/>
        </w:trPr>
        <w:tc>
          <w:tcPr>
            <w:tcW w:w="1008" w:type="pct"/>
            <w:tcBorders>
              <w:top w:val="single" w:sz="6" w:space="0" w:color="auto"/>
              <w:left w:val="single" w:sz="4" w:space="0" w:color="auto"/>
              <w:bottom w:val="single" w:sz="6" w:space="0" w:color="auto"/>
              <w:right w:val="single" w:sz="6" w:space="0" w:color="auto"/>
            </w:tcBorders>
            <w:hideMark/>
          </w:tcPr>
          <w:p w14:paraId="50666D45" w14:textId="77777777" w:rsidR="00162CAA" w:rsidRPr="0013396E" w:rsidRDefault="00162CAA" w:rsidP="00162CAA">
            <w:pPr>
              <w:spacing w:after="60"/>
              <w:rPr>
                <w:iCs/>
                <w:sz w:val="20"/>
                <w:szCs w:val="24"/>
              </w:rPr>
            </w:pPr>
            <w:r w:rsidRPr="0013396E">
              <w:rPr>
                <w:iCs/>
                <w:sz w:val="20"/>
                <w:szCs w:val="24"/>
              </w:rPr>
              <w:t xml:space="preserve">AFC </w:t>
            </w:r>
            <w:r w:rsidRPr="0013396E">
              <w:rPr>
                <w:i/>
                <w:sz w:val="20"/>
                <w:szCs w:val="24"/>
                <w:vertAlign w:val="subscript"/>
              </w:rPr>
              <w:t>q, r, i</w:t>
            </w:r>
          </w:p>
        </w:tc>
        <w:tc>
          <w:tcPr>
            <w:tcW w:w="607" w:type="pct"/>
            <w:tcBorders>
              <w:top w:val="single" w:sz="6" w:space="0" w:color="auto"/>
              <w:left w:val="single" w:sz="6" w:space="0" w:color="auto"/>
              <w:bottom w:val="single" w:sz="6" w:space="0" w:color="auto"/>
              <w:right w:val="single" w:sz="6" w:space="0" w:color="auto"/>
            </w:tcBorders>
            <w:hideMark/>
          </w:tcPr>
          <w:p w14:paraId="047ADE71" w14:textId="77777777" w:rsidR="00162CAA" w:rsidRPr="0013396E" w:rsidRDefault="00162CAA" w:rsidP="00162CAA">
            <w:pPr>
              <w:spacing w:after="60"/>
              <w:rPr>
                <w:iCs/>
                <w:sz w:val="20"/>
                <w:szCs w:val="24"/>
              </w:rPr>
            </w:pPr>
            <w:r w:rsidRPr="0013396E">
              <w:rPr>
                <w:iCs/>
                <w:sz w:val="20"/>
                <w:szCs w:val="24"/>
              </w:rPr>
              <w:t>$/MWh</w:t>
            </w:r>
          </w:p>
        </w:tc>
        <w:tc>
          <w:tcPr>
            <w:tcW w:w="3385" w:type="pct"/>
            <w:tcBorders>
              <w:top w:val="single" w:sz="6" w:space="0" w:color="auto"/>
              <w:left w:val="single" w:sz="6" w:space="0" w:color="auto"/>
              <w:bottom w:val="single" w:sz="6" w:space="0" w:color="auto"/>
              <w:right w:val="single" w:sz="4" w:space="0" w:color="auto"/>
            </w:tcBorders>
            <w:hideMark/>
          </w:tcPr>
          <w:p w14:paraId="78B43784" w14:textId="676D10BD" w:rsidR="00162CAA" w:rsidRPr="0013396E" w:rsidRDefault="00162CAA" w:rsidP="00162CAA">
            <w:pPr>
              <w:spacing w:after="60"/>
              <w:rPr>
                <w:i/>
                <w:iCs/>
                <w:sz w:val="20"/>
                <w:szCs w:val="24"/>
              </w:rPr>
            </w:pPr>
            <w:r w:rsidRPr="0013396E">
              <w:rPr>
                <w:i/>
                <w:iCs/>
                <w:sz w:val="20"/>
                <w:szCs w:val="24"/>
              </w:rPr>
              <w:t xml:space="preserve">Average Fuel Cost per Resource </w:t>
            </w:r>
            <w:r w:rsidR="00AA496E" w:rsidRPr="0013396E">
              <w:rPr>
                <w:i/>
                <w:iCs/>
                <w:sz w:val="20"/>
                <w:szCs w:val="24"/>
              </w:rPr>
              <w:t xml:space="preserve">- </w:t>
            </w:r>
            <w:r w:rsidRPr="0013396E">
              <w:rPr>
                <w:iCs/>
                <w:sz w:val="20"/>
                <w:szCs w:val="24"/>
              </w:rPr>
              <w:t>The average electricity cost used to charge the ESR</w:t>
            </w:r>
            <w:r w:rsidRPr="0013396E">
              <w:rPr>
                <w:i/>
                <w:iCs/>
                <w:sz w:val="20"/>
                <w:szCs w:val="24"/>
              </w:rPr>
              <w:t xml:space="preserve"> r </w:t>
            </w:r>
            <w:r w:rsidRPr="0013396E">
              <w:rPr>
                <w:iCs/>
                <w:sz w:val="20"/>
                <w:szCs w:val="24"/>
              </w:rPr>
              <w:t>represented by QSE</w:t>
            </w:r>
            <w:r w:rsidRPr="0013396E">
              <w:rPr>
                <w:i/>
                <w:iCs/>
                <w:sz w:val="20"/>
                <w:szCs w:val="24"/>
              </w:rPr>
              <w:t xml:space="preserve"> q</w:t>
            </w:r>
            <w:r w:rsidRPr="0013396E">
              <w:rPr>
                <w:iCs/>
                <w:sz w:val="20"/>
                <w:szCs w:val="24"/>
              </w:rPr>
              <w:t xml:space="preserve"> applicable to the energy discharge for the 15-minute Settlement Interval </w:t>
            </w:r>
            <w:r w:rsidRPr="0013396E">
              <w:rPr>
                <w:i/>
                <w:sz w:val="20"/>
                <w:szCs w:val="24"/>
              </w:rPr>
              <w:t>i</w:t>
            </w:r>
            <w:r w:rsidRPr="0013396E">
              <w:rPr>
                <w:iCs/>
                <w:sz w:val="20"/>
                <w:szCs w:val="24"/>
              </w:rPr>
              <w:t xml:space="preserve"> within the Operating Day.</w:t>
            </w:r>
          </w:p>
        </w:tc>
      </w:tr>
      <w:tr w:rsidR="00162CAA" w:rsidRPr="0013396E" w14:paraId="64E73A6D" w14:textId="77777777" w:rsidTr="00890B99">
        <w:trPr>
          <w:cantSplit/>
        </w:trPr>
        <w:tc>
          <w:tcPr>
            <w:tcW w:w="1008" w:type="pct"/>
            <w:tcBorders>
              <w:top w:val="single" w:sz="6" w:space="0" w:color="auto"/>
              <w:left w:val="single" w:sz="4" w:space="0" w:color="auto"/>
              <w:bottom w:val="single" w:sz="6" w:space="0" w:color="auto"/>
              <w:right w:val="single" w:sz="6" w:space="0" w:color="auto"/>
            </w:tcBorders>
            <w:hideMark/>
          </w:tcPr>
          <w:p w14:paraId="2C3644C4" w14:textId="77777777" w:rsidR="00162CAA" w:rsidRPr="0013396E" w:rsidRDefault="00162CAA" w:rsidP="00162CAA">
            <w:pPr>
              <w:spacing w:after="60"/>
              <w:rPr>
                <w:i/>
                <w:iCs/>
                <w:sz w:val="20"/>
                <w:szCs w:val="24"/>
              </w:rPr>
            </w:pPr>
            <w:r w:rsidRPr="0013396E">
              <w:rPr>
                <w:iCs/>
                <w:sz w:val="20"/>
                <w:szCs w:val="24"/>
                <w:lang w:val="pt-BR"/>
              </w:rPr>
              <w:t xml:space="preserve">AHR </w:t>
            </w:r>
            <w:r w:rsidRPr="0013396E">
              <w:rPr>
                <w:i/>
                <w:iCs/>
                <w:sz w:val="20"/>
                <w:szCs w:val="24"/>
                <w:vertAlign w:val="subscript"/>
                <w:lang w:val="es-ES"/>
              </w:rPr>
              <w:t>q, r, i</w:t>
            </w:r>
          </w:p>
        </w:tc>
        <w:tc>
          <w:tcPr>
            <w:tcW w:w="607" w:type="pct"/>
            <w:tcBorders>
              <w:top w:val="single" w:sz="6" w:space="0" w:color="auto"/>
              <w:left w:val="single" w:sz="6" w:space="0" w:color="auto"/>
              <w:bottom w:val="single" w:sz="6" w:space="0" w:color="auto"/>
              <w:right w:val="single" w:sz="6" w:space="0" w:color="auto"/>
            </w:tcBorders>
            <w:hideMark/>
          </w:tcPr>
          <w:p w14:paraId="38F8E015" w14:textId="77777777" w:rsidR="00162CAA" w:rsidRPr="0013396E" w:rsidRDefault="00162CAA" w:rsidP="00162CAA">
            <w:pPr>
              <w:spacing w:after="60"/>
              <w:rPr>
                <w:iCs/>
                <w:sz w:val="20"/>
                <w:szCs w:val="24"/>
              </w:rPr>
            </w:pPr>
            <w:r w:rsidRPr="0013396E">
              <w:rPr>
                <w:iCs/>
                <w:sz w:val="20"/>
                <w:szCs w:val="24"/>
              </w:rPr>
              <w:t>MMBtu / MWh</w:t>
            </w:r>
          </w:p>
        </w:tc>
        <w:tc>
          <w:tcPr>
            <w:tcW w:w="3385" w:type="pct"/>
            <w:tcBorders>
              <w:top w:val="single" w:sz="6" w:space="0" w:color="auto"/>
              <w:left w:val="single" w:sz="6" w:space="0" w:color="auto"/>
              <w:bottom w:val="single" w:sz="6" w:space="0" w:color="auto"/>
              <w:right w:val="single" w:sz="4" w:space="0" w:color="auto"/>
            </w:tcBorders>
            <w:hideMark/>
          </w:tcPr>
          <w:p w14:paraId="3EB9470B" w14:textId="2048B542" w:rsidR="00162CAA" w:rsidRPr="0013396E" w:rsidRDefault="00162CAA" w:rsidP="00162CAA">
            <w:pPr>
              <w:spacing w:after="60"/>
              <w:rPr>
                <w:iCs/>
                <w:sz w:val="20"/>
                <w:szCs w:val="24"/>
              </w:rPr>
            </w:pPr>
            <w:r w:rsidRPr="0013396E">
              <w:rPr>
                <w:i/>
                <w:iCs/>
                <w:sz w:val="20"/>
                <w:szCs w:val="24"/>
              </w:rPr>
              <w:t xml:space="preserve">Average Heat Rate per Resource – </w:t>
            </w:r>
            <w:r w:rsidRPr="0013396E">
              <w:rPr>
                <w:iCs/>
                <w:sz w:val="20"/>
                <w:szCs w:val="24"/>
              </w:rPr>
              <w:t xml:space="preserve">The verifiable </w:t>
            </w:r>
            <w:r w:rsidR="00151A02" w:rsidRPr="00CF7EAF">
              <w:rPr>
                <w:iCs/>
                <w:sz w:val="20"/>
              </w:rPr>
              <w:t>or actual submitted</w:t>
            </w:r>
            <w:r w:rsidR="00151A02" w:rsidRPr="0013396E">
              <w:rPr>
                <w:iCs/>
                <w:sz w:val="20"/>
                <w:szCs w:val="24"/>
              </w:rPr>
              <w:t xml:space="preserve"> </w:t>
            </w:r>
            <w:r w:rsidRPr="0013396E">
              <w:rPr>
                <w:iCs/>
                <w:sz w:val="20"/>
                <w:szCs w:val="24"/>
              </w:rPr>
              <w:t xml:space="preserve">average heat rate for the Resource </w:t>
            </w:r>
            <w:r w:rsidRPr="0013396E">
              <w:rPr>
                <w:i/>
                <w:iCs/>
                <w:sz w:val="20"/>
                <w:szCs w:val="24"/>
              </w:rPr>
              <w:t xml:space="preserve">r </w:t>
            </w:r>
            <w:r w:rsidRPr="0013396E">
              <w:rPr>
                <w:iCs/>
                <w:sz w:val="20"/>
                <w:szCs w:val="24"/>
              </w:rPr>
              <w:t>represented by QSE</w:t>
            </w:r>
            <w:r w:rsidRPr="0013396E">
              <w:rPr>
                <w:i/>
                <w:iCs/>
                <w:sz w:val="20"/>
                <w:szCs w:val="24"/>
              </w:rPr>
              <w:t xml:space="preserve"> q</w:t>
            </w:r>
            <w:r w:rsidRPr="0013396E">
              <w:rPr>
                <w:iCs/>
                <w:sz w:val="20"/>
                <w:szCs w:val="24"/>
              </w:rPr>
              <w:t xml:space="preserve">, for operating levels between LSL and High Sustained Limit (HSL), for the 15-minute Settlement Interval </w:t>
            </w:r>
            <w:r w:rsidRPr="0013396E">
              <w:rPr>
                <w:i/>
                <w:iCs/>
                <w:sz w:val="20"/>
                <w:szCs w:val="24"/>
              </w:rPr>
              <w:t>i</w:t>
            </w:r>
            <w:r w:rsidRPr="0013396E">
              <w:rPr>
                <w:iCs/>
                <w:sz w:val="20"/>
                <w:szCs w:val="24"/>
              </w:rPr>
              <w:t xml:space="preserve">.  Where for a Combined Cycle Train, the Resource </w:t>
            </w:r>
            <w:r w:rsidRPr="0013396E">
              <w:rPr>
                <w:i/>
                <w:iCs/>
                <w:sz w:val="20"/>
                <w:szCs w:val="24"/>
              </w:rPr>
              <w:t>r</w:t>
            </w:r>
            <w:r w:rsidRPr="0013396E">
              <w:rPr>
                <w:iCs/>
                <w:sz w:val="20"/>
                <w:szCs w:val="24"/>
              </w:rPr>
              <w:t xml:space="preserve"> is a Combined Cycle Generation Resource within the Combined Cycle Train.</w:t>
            </w:r>
          </w:p>
        </w:tc>
      </w:tr>
      <w:tr w:rsidR="00162CAA" w:rsidRPr="0013396E" w14:paraId="3A6C43AD" w14:textId="77777777" w:rsidTr="00890B99">
        <w:trPr>
          <w:cantSplit/>
        </w:trPr>
        <w:tc>
          <w:tcPr>
            <w:tcW w:w="1008" w:type="pct"/>
            <w:tcBorders>
              <w:top w:val="single" w:sz="6" w:space="0" w:color="auto"/>
              <w:left w:val="single" w:sz="4" w:space="0" w:color="auto"/>
              <w:bottom w:val="single" w:sz="6" w:space="0" w:color="auto"/>
              <w:right w:val="single" w:sz="6" w:space="0" w:color="auto"/>
            </w:tcBorders>
            <w:hideMark/>
          </w:tcPr>
          <w:p w14:paraId="15B941BD" w14:textId="77777777" w:rsidR="00162CAA" w:rsidRPr="0013396E" w:rsidRDefault="00162CAA" w:rsidP="00162CAA">
            <w:pPr>
              <w:spacing w:after="60"/>
              <w:rPr>
                <w:iCs/>
                <w:sz w:val="20"/>
                <w:szCs w:val="24"/>
                <w:lang w:val="pt-BR"/>
              </w:rPr>
            </w:pPr>
            <w:r w:rsidRPr="0013396E">
              <w:rPr>
                <w:iCs/>
                <w:sz w:val="20"/>
                <w:szCs w:val="24"/>
              </w:rPr>
              <w:t>PA</w:t>
            </w:r>
            <w:r w:rsidRPr="0013396E">
              <w:rPr>
                <w:iCs/>
                <w:sz w:val="20"/>
                <w:szCs w:val="24"/>
                <w:lang w:val="pt-BR"/>
              </w:rPr>
              <w:t xml:space="preserve">HR </w:t>
            </w:r>
            <w:r w:rsidRPr="0013396E">
              <w:rPr>
                <w:i/>
                <w:iCs/>
                <w:sz w:val="20"/>
                <w:szCs w:val="24"/>
                <w:vertAlign w:val="subscript"/>
                <w:lang w:val="pt-BR"/>
              </w:rPr>
              <w:t xml:space="preserve">q, </w:t>
            </w:r>
            <w:r w:rsidRPr="0013396E">
              <w:rPr>
                <w:i/>
                <w:iCs/>
                <w:sz w:val="20"/>
                <w:szCs w:val="24"/>
                <w:vertAlign w:val="subscript"/>
              </w:rPr>
              <w:t xml:space="preserve">r, </w:t>
            </w:r>
            <w:r w:rsidRPr="0013396E">
              <w:rPr>
                <w:i/>
                <w:iCs/>
                <w:sz w:val="20"/>
                <w:szCs w:val="24"/>
                <w:vertAlign w:val="subscript"/>
                <w:lang w:val="es-ES"/>
              </w:rPr>
              <w:t>i</w:t>
            </w:r>
          </w:p>
        </w:tc>
        <w:tc>
          <w:tcPr>
            <w:tcW w:w="607" w:type="pct"/>
            <w:tcBorders>
              <w:top w:val="single" w:sz="6" w:space="0" w:color="auto"/>
              <w:left w:val="single" w:sz="6" w:space="0" w:color="auto"/>
              <w:bottom w:val="single" w:sz="6" w:space="0" w:color="auto"/>
              <w:right w:val="single" w:sz="6" w:space="0" w:color="auto"/>
            </w:tcBorders>
            <w:hideMark/>
          </w:tcPr>
          <w:p w14:paraId="7F1BB6D7" w14:textId="77777777" w:rsidR="00162CAA" w:rsidRPr="0013396E" w:rsidRDefault="00162CAA" w:rsidP="00162CAA">
            <w:pPr>
              <w:spacing w:after="60"/>
              <w:rPr>
                <w:iCs/>
                <w:sz w:val="20"/>
                <w:szCs w:val="24"/>
              </w:rPr>
            </w:pPr>
            <w:r w:rsidRPr="0013396E">
              <w:rPr>
                <w:iCs/>
                <w:sz w:val="20"/>
                <w:szCs w:val="24"/>
              </w:rPr>
              <w:t>MMBtu / MWh</w:t>
            </w:r>
          </w:p>
        </w:tc>
        <w:tc>
          <w:tcPr>
            <w:tcW w:w="3385" w:type="pct"/>
            <w:tcBorders>
              <w:top w:val="single" w:sz="6" w:space="0" w:color="auto"/>
              <w:left w:val="single" w:sz="6" w:space="0" w:color="auto"/>
              <w:bottom w:val="single" w:sz="6" w:space="0" w:color="auto"/>
              <w:right w:val="single" w:sz="4" w:space="0" w:color="auto"/>
            </w:tcBorders>
            <w:hideMark/>
          </w:tcPr>
          <w:p w14:paraId="6542455F" w14:textId="51277844" w:rsidR="00162CAA" w:rsidRPr="0013396E" w:rsidRDefault="00162CAA" w:rsidP="00162CAA">
            <w:pPr>
              <w:spacing w:after="60"/>
              <w:rPr>
                <w:i/>
                <w:iCs/>
                <w:sz w:val="20"/>
                <w:szCs w:val="24"/>
              </w:rPr>
            </w:pPr>
            <w:r w:rsidRPr="0013396E">
              <w:rPr>
                <w:i/>
                <w:iCs/>
                <w:sz w:val="20"/>
                <w:szCs w:val="24"/>
              </w:rPr>
              <w:t xml:space="preserve">Proxy Average Heat Rate – </w:t>
            </w:r>
            <w:r w:rsidRPr="0013396E">
              <w:rPr>
                <w:iCs/>
                <w:sz w:val="20"/>
                <w:szCs w:val="24"/>
              </w:rPr>
              <w:t xml:space="preserve">The proxy </w:t>
            </w:r>
            <w:r w:rsidR="00151A02" w:rsidRPr="00CF7EAF">
              <w:rPr>
                <w:iCs/>
                <w:sz w:val="20"/>
              </w:rPr>
              <w:t>or actual submitted</w:t>
            </w:r>
            <w:r w:rsidR="00151A02" w:rsidRPr="0013396E">
              <w:rPr>
                <w:iCs/>
                <w:sz w:val="20"/>
                <w:szCs w:val="24"/>
              </w:rPr>
              <w:t xml:space="preserve"> </w:t>
            </w:r>
            <w:r w:rsidRPr="0013396E">
              <w:rPr>
                <w:iCs/>
                <w:sz w:val="20"/>
                <w:szCs w:val="24"/>
              </w:rPr>
              <w:t xml:space="preserve">average heat rate for the Resource </w:t>
            </w:r>
            <w:r w:rsidRPr="0013396E">
              <w:rPr>
                <w:i/>
                <w:iCs/>
                <w:sz w:val="20"/>
                <w:szCs w:val="24"/>
              </w:rPr>
              <w:t>r,</w:t>
            </w:r>
            <w:r w:rsidRPr="0013396E">
              <w:rPr>
                <w:iCs/>
                <w:sz w:val="20"/>
                <w:szCs w:val="24"/>
              </w:rPr>
              <w:t xml:space="preserve"> represented by QSE</w:t>
            </w:r>
            <w:r w:rsidRPr="0013396E">
              <w:rPr>
                <w:i/>
                <w:iCs/>
                <w:sz w:val="20"/>
                <w:szCs w:val="24"/>
              </w:rPr>
              <w:t xml:space="preserve"> q</w:t>
            </w:r>
            <w:r w:rsidRPr="0013396E">
              <w:rPr>
                <w:iCs/>
                <w:sz w:val="20"/>
                <w:szCs w:val="24"/>
              </w:rPr>
              <w:t xml:space="preserve">, for the 15-minute Settlement Interval </w:t>
            </w:r>
            <w:r w:rsidRPr="0013396E">
              <w:rPr>
                <w:i/>
                <w:iCs/>
                <w:sz w:val="20"/>
                <w:szCs w:val="24"/>
              </w:rPr>
              <w:t>i</w:t>
            </w:r>
            <w:r w:rsidRPr="0013396E">
              <w:rPr>
                <w:iCs/>
                <w:sz w:val="20"/>
                <w:szCs w:val="24"/>
              </w:rPr>
              <w:t xml:space="preserve">.  Where for a Combined Cycle Train, the Resource </w:t>
            </w:r>
            <w:r w:rsidRPr="0013396E">
              <w:rPr>
                <w:i/>
                <w:iCs/>
                <w:sz w:val="20"/>
                <w:szCs w:val="24"/>
              </w:rPr>
              <w:t xml:space="preserve">r </w:t>
            </w:r>
            <w:r w:rsidRPr="0013396E">
              <w:rPr>
                <w:iCs/>
                <w:sz w:val="20"/>
                <w:szCs w:val="24"/>
              </w:rPr>
              <w:t>is a Combined Cycle Generation Resource within the Combined Cycle Train.</w:t>
            </w:r>
          </w:p>
        </w:tc>
      </w:tr>
      <w:tr w:rsidR="00162CAA" w:rsidRPr="0013396E" w14:paraId="2833A6CE" w14:textId="77777777" w:rsidTr="00890B99">
        <w:trPr>
          <w:cantSplit/>
        </w:trPr>
        <w:tc>
          <w:tcPr>
            <w:tcW w:w="1008" w:type="pct"/>
            <w:tcBorders>
              <w:top w:val="single" w:sz="6" w:space="0" w:color="auto"/>
              <w:left w:val="single" w:sz="4" w:space="0" w:color="auto"/>
              <w:bottom w:val="single" w:sz="6" w:space="0" w:color="auto"/>
              <w:right w:val="single" w:sz="6" w:space="0" w:color="auto"/>
            </w:tcBorders>
            <w:hideMark/>
          </w:tcPr>
          <w:p w14:paraId="666D087B" w14:textId="77777777" w:rsidR="00162CAA" w:rsidRPr="0013396E" w:rsidRDefault="00162CAA" w:rsidP="00162CAA">
            <w:pPr>
              <w:spacing w:after="60"/>
              <w:rPr>
                <w:iCs/>
                <w:sz w:val="20"/>
                <w:szCs w:val="24"/>
              </w:rPr>
            </w:pPr>
            <w:r w:rsidRPr="0013396E">
              <w:rPr>
                <w:iCs/>
                <w:sz w:val="20"/>
                <w:szCs w:val="24"/>
              </w:rPr>
              <w:t xml:space="preserve">RTMG </w:t>
            </w:r>
            <w:r w:rsidRPr="0013396E">
              <w:rPr>
                <w:i/>
                <w:iCs/>
                <w:sz w:val="20"/>
                <w:szCs w:val="24"/>
                <w:vertAlign w:val="subscript"/>
              </w:rPr>
              <w:t>q, r, i</w:t>
            </w:r>
          </w:p>
        </w:tc>
        <w:tc>
          <w:tcPr>
            <w:tcW w:w="607" w:type="pct"/>
            <w:tcBorders>
              <w:top w:val="single" w:sz="6" w:space="0" w:color="auto"/>
              <w:left w:val="single" w:sz="6" w:space="0" w:color="auto"/>
              <w:bottom w:val="single" w:sz="6" w:space="0" w:color="auto"/>
              <w:right w:val="single" w:sz="6" w:space="0" w:color="auto"/>
            </w:tcBorders>
            <w:hideMark/>
          </w:tcPr>
          <w:p w14:paraId="7FEB3F34" w14:textId="77777777" w:rsidR="00162CAA" w:rsidRPr="0013396E" w:rsidRDefault="00162CAA" w:rsidP="00162CAA">
            <w:pPr>
              <w:spacing w:after="60"/>
              <w:rPr>
                <w:iCs/>
                <w:sz w:val="20"/>
                <w:szCs w:val="24"/>
              </w:rPr>
            </w:pPr>
            <w:r w:rsidRPr="0013396E">
              <w:rPr>
                <w:iCs/>
                <w:sz w:val="20"/>
                <w:szCs w:val="24"/>
              </w:rPr>
              <w:t>MWh</w:t>
            </w:r>
          </w:p>
        </w:tc>
        <w:tc>
          <w:tcPr>
            <w:tcW w:w="3385" w:type="pct"/>
            <w:tcBorders>
              <w:top w:val="single" w:sz="6" w:space="0" w:color="auto"/>
              <w:left w:val="single" w:sz="6" w:space="0" w:color="auto"/>
              <w:bottom w:val="single" w:sz="6" w:space="0" w:color="auto"/>
              <w:right w:val="single" w:sz="4" w:space="0" w:color="auto"/>
            </w:tcBorders>
            <w:hideMark/>
          </w:tcPr>
          <w:p w14:paraId="7EE4BD00" w14:textId="4057CC69" w:rsidR="00162CAA" w:rsidRPr="0013396E" w:rsidRDefault="00162CAA" w:rsidP="00162CAA">
            <w:pPr>
              <w:spacing w:after="60"/>
              <w:rPr>
                <w:iCs/>
                <w:sz w:val="20"/>
                <w:szCs w:val="24"/>
              </w:rPr>
            </w:pPr>
            <w:r w:rsidRPr="0013396E">
              <w:rPr>
                <w:i/>
                <w:iCs/>
                <w:sz w:val="20"/>
                <w:szCs w:val="24"/>
              </w:rPr>
              <w:t>Real-Time Metered Generation per QSE per Resource by Settlement Interval by hour</w:t>
            </w:r>
            <w:r w:rsidR="00074771" w:rsidRPr="0013396E">
              <w:rPr>
                <w:i/>
                <w:iCs/>
                <w:sz w:val="20"/>
                <w:szCs w:val="24"/>
              </w:rPr>
              <w:t xml:space="preserve"> – </w:t>
            </w:r>
            <w:r w:rsidRPr="0013396E">
              <w:rPr>
                <w:iCs/>
                <w:sz w:val="20"/>
                <w:szCs w:val="24"/>
              </w:rPr>
              <w:t xml:space="preserve">The Real-Time energy from Resource </w:t>
            </w:r>
            <w:r w:rsidRPr="0013396E">
              <w:rPr>
                <w:i/>
                <w:sz w:val="20"/>
                <w:szCs w:val="24"/>
              </w:rPr>
              <w:t>r</w:t>
            </w:r>
            <w:r w:rsidRPr="0013396E">
              <w:rPr>
                <w:iCs/>
                <w:sz w:val="20"/>
                <w:szCs w:val="24"/>
              </w:rPr>
              <w:t xml:space="preserve"> represented by QSE </w:t>
            </w:r>
            <w:r w:rsidRPr="0013396E">
              <w:rPr>
                <w:i/>
                <w:sz w:val="20"/>
                <w:szCs w:val="24"/>
              </w:rPr>
              <w:t>q</w:t>
            </w:r>
            <w:r w:rsidRPr="0013396E">
              <w:rPr>
                <w:iCs/>
                <w:sz w:val="20"/>
                <w:szCs w:val="24"/>
              </w:rPr>
              <w:t xml:space="preserve">, for the 15-minute Settlement Interval </w:t>
            </w:r>
            <w:r w:rsidRPr="0013396E">
              <w:rPr>
                <w:i/>
                <w:sz w:val="20"/>
                <w:szCs w:val="24"/>
              </w:rPr>
              <w:t>i</w:t>
            </w:r>
            <w:r w:rsidRPr="0013396E">
              <w:rPr>
                <w:iCs/>
                <w:sz w:val="20"/>
                <w:szCs w:val="24"/>
              </w:rPr>
              <w:t xml:space="preserve">.  Where for a Combined Cycle Train, the Resource </w:t>
            </w:r>
            <w:r w:rsidRPr="0013396E">
              <w:rPr>
                <w:i/>
                <w:sz w:val="20"/>
                <w:szCs w:val="24"/>
              </w:rPr>
              <w:t>r</w:t>
            </w:r>
            <w:r w:rsidRPr="0013396E">
              <w:rPr>
                <w:iCs/>
                <w:sz w:val="20"/>
                <w:szCs w:val="24"/>
              </w:rPr>
              <w:t xml:space="preserve"> is the Combined Cycle Train.</w:t>
            </w:r>
          </w:p>
        </w:tc>
      </w:tr>
      <w:tr w:rsidR="00162CAA" w:rsidRPr="0013396E" w14:paraId="0B46C28D" w14:textId="77777777" w:rsidTr="00890B99">
        <w:trPr>
          <w:cantSplit/>
        </w:trPr>
        <w:tc>
          <w:tcPr>
            <w:tcW w:w="1008" w:type="pct"/>
            <w:tcBorders>
              <w:top w:val="single" w:sz="6" w:space="0" w:color="auto"/>
              <w:left w:val="single" w:sz="4" w:space="0" w:color="auto"/>
              <w:bottom w:val="single" w:sz="6" w:space="0" w:color="auto"/>
              <w:right w:val="single" w:sz="6" w:space="0" w:color="auto"/>
            </w:tcBorders>
            <w:hideMark/>
          </w:tcPr>
          <w:p w14:paraId="609305C6" w14:textId="77777777" w:rsidR="00162CAA" w:rsidRPr="0013396E" w:rsidRDefault="00162CAA" w:rsidP="00162CAA">
            <w:pPr>
              <w:spacing w:after="60"/>
              <w:rPr>
                <w:iCs/>
                <w:sz w:val="20"/>
                <w:szCs w:val="24"/>
              </w:rPr>
            </w:pPr>
            <w:r w:rsidRPr="0013396E">
              <w:rPr>
                <w:iCs/>
                <w:sz w:val="20"/>
                <w:szCs w:val="24"/>
              </w:rPr>
              <w:t>MEP</w:t>
            </w:r>
            <w:r w:rsidRPr="0013396E">
              <w:rPr>
                <w:szCs w:val="24"/>
              </w:rPr>
              <w:t xml:space="preserve"> </w:t>
            </w:r>
            <w:r w:rsidRPr="0013396E">
              <w:rPr>
                <w:i/>
                <w:iCs/>
                <w:sz w:val="20"/>
                <w:szCs w:val="24"/>
                <w:vertAlign w:val="subscript"/>
              </w:rPr>
              <w:t>q, r, i</w:t>
            </w:r>
          </w:p>
        </w:tc>
        <w:tc>
          <w:tcPr>
            <w:tcW w:w="607" w:type="pct"/>
            <w:tcBorders>
              <w:top w:val="single" w:sz="6" w:space="0" w:color="auto"/>
              <w:left w:val="single" w:sz="6" w:space="0" w:color="auto"/>
              <w:bottom w:val="single" w:sz="6" w:space="0" w:color="auto"/>
              <w:right w:val="single" w:sz="6" w:space="0" w:color="auto"/>
            </w:tcBorders>
            <w:hideMark/>
          </w:tcPr>
          <w:p w14:paraId="03516E13" w14:textId="77777777" w:rsidR="00162CAA" w:rsidRPr="0013396E" w:rsidRDefault="00162CAA" w:rsidP="00162CAA">
            <w:pPr>
              <w:spacing w:after="60"/>
              <w:rPr>
                <w:iCs/>
                <w:sz w:val="20"/>
                <w:szCs w:val="24"/>
              </w:rPr>
            </w:pPr>
            <w:r w:rsidRPr="0013396E">
              <w:rPr>
                <w:iCs/>
                <w:sz w:val="20"/>
                <w:szCs w:val="24"/>
              </w:rPr>
              <w:t>MWh</w:t>
            </w:r>
          </w:p>
        </w:tc>
        <w:tc>
          <w:tcPr>
            <w:tcW w:w="3385" w:type="pct"/>
            <w:tcBorders>
              <w:top w:val="single" w:sz="6" w:space="0" w:color="auto"/>
              <w:left w:val="single" w:sz="6" w:space="0" w:color="auto"/>
              <w:bottom w:val="single" w:sz="6" w:space="0" w:color="auto"/>
              <w:right w:val="single" w:sz="4" w:space="0" w:color="auto"/>
            </w:tcBorders>
            <w:hideMark/>
          </w:tcPr>
          <w:p w14:paraId="65F88D04" w14:textId="7004FCEB" w:rsidR="00162CAA" w:rsidRPr="0013396E" w:rsidRDefault="00162CAA" w:rsidP="00162CAA">
            <w:pPr>
              <w:spacing w:after="60"/>
              <w:rPr>
                <w:i/>
                <w:iCs/>
                <w:sz w:val="20"/>
                <w:szCs w:val="24"/>
              </w:rPr>
            </w:pPr>
            <w:r w:rsidRPr="0013396E">
              <w:rPr>
                <w:i/>
                <w:iCs/>
                <w:sz w:val="20"/>
                <w:szCs w:val="24"/>
              </w:rPr>
              <w:t xml:space="preserve">Marginal Energy Production per QSE per Resource by Settlement Interval </w:t>
            </w:r>
            <w:r w:rsidR="00AC7B7A" w:rsidRPr="0013396E">
              <w:rPr>
                <w:i/>
                <w:iCs/>
                <w:sz w:val="20"/>
                <w:szCs w:val="24"/>
              </w:rPr>
              <w:t>–</w:t>
            </w:r>
            <w:r w:rsidRPr="0013396E">
              <w:rPr>
                <w:szCs w:val="24"/>
              </w:rPr>
              <w:t xml:space="preserve"> </w:t>
            </w:r>
            <w:r w:rsidRPr="0013396E">
              <w:rPr>
                <w:iCs/>
                <w:sz w:val="20"/>
                <w:szCs w:val="24"/>
              </w:rPr>
              <w:t xml:space="preserve">The calculated marginal generation of Resource </w:t>
            </w:r>
            <w:r w:rsidRPr="0013396E">
              <w:rPr>
                <w:i/>
                <w:sz w:val="20"/>
                <w:szCs w:val="24"/>
              </w:rPr>
              <w:t>r</w:t>
            </w:r>
            <w:r w:rsidRPr="0013396E">
              <w:rPr>
                <w:iCs/>
                <w:sz w:val="20"/>
                <w:szCs w:val="24"/>
              </w:rPr>
              <w:t xml:space="preserve"> represented by QSE </w:t>
            </w:r>
            <w:r w:rsidRPr="0013396E">
              <w:rPr>
                <w:i/>
                <w:sz w:val="20"/>
                <w:szCs w:val="24"/>
              </w:rPr>
              <w:t>q</w:t>
            </w:r>
            <w:r w:rsidRPr="0013396E">
              <w:rPr>
                <w:iCs/>
                <w:sz w:val="20"/>
                <w:szCs w:val="24"/>
              </w:rPr>
              <w:t xml:space="preserve"> in Real-Time for the 15-minute Settlement Interval </w:t>
            </w:r>
            <w:r w:rsidRPr="0013396E">
              <w:rPr>
                <w:i/>
                <w:sz w:val="20"/>
                <w:szCs w:val="24"/>
              </w:rPr>
              <w:t>i</w:t>
            </w:r>
            <w:r w:rsidRPr="0013396E">
              <w:rPr>
                <w:iCs/>
                <w:sz w:val="20"/>
                <w:szCs w:val="24"/>
              </w:rPr>
              <w:t xml:space="preserve">.  Where for a Combined Cycle Train, the Resource </w:t>
            </w:r>
            <w:r w:rsidRPr="0013396E">
              <w:rPr>
                <w:i/>
                <w:iCs/>
                <w:sz w:val="20"/>
                <w:szCs w:val="24"/>
              </w:rPr>
              <w:t>r</w:t>
            </w:r>
            <w:r w:rsidRPr="0013396E">
              <w:rPr>
                <w:iCs/>
                <w:sz w:val="20"/>
                <w:szCs w:val="24"/>
              </w:rPr>
              <w:t xml:space="preserve"> is a Combined Cycle Generation Resource within the Combined Cycle Train.</w:t>
            </w:r>
          </w:p>
        </w:tc>
      </w:tr>
      <w:tr w:rsidR="00162CAA" w:rsidRPr="0013396E" w14:paraId="20572FC6" w14:textId="77777777" w:rsidTr="00890B99">
        <w:trPr>
          <w:cantSplit/>
        </w:trPr>
        <w:tc>
          <w:tcPr>
            <w:tcW w:w="1008" w:type="pct"/>
            <w:tcBorders>
              <w:top w:val="single" w:sz="6" w:space="0" w:color="auto"/>
              <w:left w:val="single" w:sz="4" w:space="0" w:color="auto"/>
              <w:bottom w:val="single" w:sz="6" w:space="0" w:color="auto"/>
              <w:right w:val="single" w:sz="6" w:space="0" w:color="auto"/>
            </w:tcBorders>
            <w:hideMark/>
          </w:tcPr>
          <w:p w14:paraId="34A25B83" w14:textId="77777777" w:rsidR="00162CAA" w:rsidRPr="0013396E" w:rsidRDefault="00162CAA" w:rsidP="00162CAA">
            <w:pPr>
              <w:spacing w:after="60"/>
              <w:rPr>
                <w:i/>
                <w:iCs/>
                <w:sz w:val="20"/>
                <w:szCs w:val="24"/>
              </w:rPr>
            </w:pPr>
            <w:r w:rsidRPr="0013396E">
              <w:rPr>
                <w:i/>
                <w:iCs/>
                <w:sz w:val="20"/>
                <w:szCs w:val="24"/>
              </w:rPr>
              <w:t>q</w:t>
            </w:r>
          </w:p>
        </w:tc>
        <w:tc>
          <w:tcPr>
            <w:tcW w:w="607" w:type="pct"/>
            <w:tcBorders>
              <w:top w:val="single" w:sz="6" w:space="0" w:color="auto"/>
              <w:left w:val="single" w:sz="6" w:space="0" w:color="auto"/>
              <w:bottom w:val="single" w:sz="6" w:space="0" w:color="auto"/>
              <w:right w:val="single" w:sz="6" w:space="0" w:color="auto"/>
            </w:tcBorders>
            <w:hideMark/>
          </w:tcPr>
          <w:p w14:paraId="539D8495" w14:textId="77777777" w:rsidR="00162CAA" w:rsidRPr="0013396E" w:rsidRDefault="00162CAA" w:rsidP="00162CAA">
            <w:pPr>
              <w:spacing w:after="60"/>
              <w:rPr>
                <w:iCs/>
                <w:sz w:val="20"/>
                <w:szCs w:val="24"/>
              </w:rPr>
            </w:pPr>
            <w:r w:rsidRPr="0013396E">
              <w:rPr>
                <w:iCs/>
                <w:sz w:val="20"/>
                <w:szCs w:val="24"/>
              </w:rPr>
              <w:t>None</w:t>
            </w:r>
          </w:p>
        </w:tc>
        <w:tc>
          <w:tcPr>
            <w:tcW w:w="3385" w:type="pct"/>
            <w:tcBorders>
              <w:top w:val="single" w:sz="6" w:space="0" w:color="auto"/>
              <w:left w:val="single" w:sz="6" w:space="0" w:color="auto"/>
              <w:bottom w:val="single" w:sz="6" w:space="0" w:color="auto"/>
              <w:right w:val="single" w:sz="4" w:space="0" w:color="auto"/>
            </w:tcBorders>
            <w:hideMark/>
          </w:tcPr>
          <w:p w14:paraId="5CF439B8" w14:textId="77777777" w:rsidR="00162CAA" w:rsidRPr="0013396E" w:rsidRDefault="00162CAA" w:rsidP="00162CAA">
            <w:pPr>
              <w:spacing w:after="60"/>
              <w:rPr>
                <w:iCs/>
                <w:sz w:val="20"/>
                <w:szCs w:val="24"/>
              </w:rPr>
            </w:pPr>
            <w:r w:rsidRPr="0013396E">
              <w:rPr>
                <w:iCs/>
                <w:sz w:val="20"/>
                <w:szCs w:val="24"/>
              </w:rPr>
              <w:t>A QSE.</w:t>
            </w:r>
          </w:p>
        </w:tc>
      </w:tr>
      <w:tr w:rsidR="00162CAA" w:rsidRPr="0013396E" w14:paraId="698260F0" w14:textId="77777777" w:rsidTr="00890B99">
        <w:trPr>
          <w:cantSplit/>
        </w:trPr>
        <w:tc>
          <w:tcPr>
            <w:tcW w:w="1008" w:type="pct"/>
            <w:tcBorders>
              <w:top w:val="single" w:sz="6" w:space="0" w:color="auto"/>
              <w:left w:val="single" w:sz="4" w:space="0" w:color="auto"/>
              <w:bottom w:val="single" w:sz="6" w:space="0" w:color="auto"/>
              <w:right w:val="single" w:sz="6" w:space="0" w:color="auto"/>
            </w:tcBorders>
            <w:hideMark/>
          </w:tcPr>
          <w:p w14:paraId="4BD06FEF" w14:textId="77777777" w:rsidR="00162CAA" w:rsidRPr="0013396E" w:rsidRDefault="00162CAA" w:rsidP="00162CAA">
            <w:pPr>
              <w:spacing w:after="60"/>
              <w:rPr>
                <w:i/>
                <w:iCs/>
                <w:sz w:val="20"/>
                <w:szCs w:val="24"/>
              </w:rPr>
            </w:pPr>
            <w:r w:rsidRPr="0013396E">
              <w:rPr>
                <w:i/>
                <w:iCs/>
                <w:sz w:val="20"/>
                <w:szCs w:val="24"/>
              </w:rPr>
              <w:t>r</w:t>
            </w:r>
          </w:p>
        </w:tc>
        <w:tc>
          <w:tcPr>
            <w:tcW w:w="607" w:type="pct"/>
            <w:tcBorders>
              <w:top w:val="single" w:sz="6" w:space="0" w:color="auto"/>
              <w:left w:val="single" w:sz="6" w:space="0" w:color="auto"/>
              <w:bottom w:val="single" w:sz="6" w:space="0" w:color="auto"/>
              <w:right w:val="single" w:sz="6" w:space="0" w:color="auto"/>
            </w:tcBorders>
            <w:hideMark/>
          </w:tcPr>
          <w:p w14:paraId="1662F5B9" w14:textId="77777777" w:rsidR="00162CAA" w:rsidRPr="0013396E" w:rsidRDefault="00162CAA" w:rsidP="00162CAA">
            <w:pPr>
              <w:spacing w:after="60"/>
              <w:rPr>
                <w:iCs/>
                <w:sz w:val="20"/>
                <w:szCs w:val="24"/>
              </w:rPr>
            </w:pPr>
            <w:r w:rsidRPr="0013396E">
              <w:rPr>
                <w:iCs/>
                <w:sz w:val="20"/>
                <w:szCs w:val="24"/>
              </w:rPr>
              <w:t>None</w:t>
            </w:r>
          </w:p>
        </w:tc>
        <w:tc>
          <w:tcPr>
            <w:tcW w:w="3385" w:type="pct"/>
            <w:tcBorders>
              <w:top w:val="single" w:sz="6" w:space="0" w:color="auto"/>
              <w:left w:val="single" w:sz="6" w:space="0" w:color="auto"/>
              <w:bottom w:val="single" w:sz="6" w:space="0" w:color="auto"/>
              <w:right w:val="single" w:sz="4" w:space="0" w:color="auto"/>
            </w:tcBorders>
            <w:hideMark/>
          </w:tcPr>
          <w:p w14:paraId="6D798223" w14:textId="77777777" w:rsidR="00162CAA" w:rsidRPr="0013396E" w:rsidRDefault="00162CAA" w:rsidP="00162CAA">
            <w:pPr>
              <w:spacing w:after="60"/>
              <w:rPr>
                <w:iCs/>
                <w:sz w:val="20"/>
                <w:szCs w:val="24"/>
              </w:rPr>
            </w:pPr>
            <w:r w:rsidRPr="0013396E">
              <w:rPr>
                <w:iCs/>
                <w:sz w:val="20"/>
                <w:szCs w:val="24"/>
              </w:rPr>
              <w:t>A Generation Resource or ESR.</w:t>
            </w:r>
          </w:p>
        </w:tc>
      </w:tr>
      <w:tr w:rsidR="00162CAA" w:rsidRPr="0013396E" w14:paraId="179EADC1" w14:textId="77777777" w:rsidTr="00890B99">
        <w:trPr>
          <w:cantSplit/>
        </w:trPr>
        <w:tc>
          <w:tcPr>
            <w:tcW w:w="1008" w:type="pct"/>
            <w:tcBorders>
              <w:top w:val="single" w:sz="6" w:space="0" w:color="auto"/>
              <w:left w:val="single" w:sz="4" w:space="0" w:color="auto"/>
              <w:bottom w:val="single" w:sz="6" w:space="0" w:color="auto"/>
              <w:right w:val="single" w:sz="6" w:space="0" w:color="auto"/>
            </w:tcBorders>
            <w:hideMark/>
          </w:tcPr>
          <w:p w14:paraId="49CDCA80" w14:textId="77777777" w:rsidR="00162CAA" w:rsidRPr="0013396E" w:rsidRDefault="00162CAA" w:rsidP="00162CAA">
            <w:pPr>
              <w:spacing w:after="60"/>
              <w:rPr>
                <w:i/>
                <w:iCs/>
                <w:sz w:val="20"/>
                <w:szCs w:val="24"/>
              </w:rPr>
            </w:pPr>
            <w:r w:rsidRPr="0013396E">
              <w:rPr>
                <w:i/>
                <w:iCs/>
                <w:sz w:val="20"/>
                <w:szCs w:val="24"/>
              </w:rPr>
              <w:lastRenderedPageBreak/>
              <w:t>i</w:t>
            </w:r>
          </w:p>
        </w:tc>
        <w:tc>
          <w:tcPr>
            <w:tcW w:w="607" w:type="pct"/>
            <w:tcBorders>
              <w:top w:val="single" w:sz="6" w:space="0" w:color="auto"/>
              <w:left w:val="single" w:sz="6" w:space="0" w:color="auto"/>
              <w:bottom w:val="single" w:sz="6" w:space="0" w:color="auto"/>
              <w:right w:val="single" w:sz="6" w:space="0" w:color="auto"/>
            </w:tcBorders>
            <w:hideMark/>
          </w:tcPr>
          <w:p w14:paraId="76DE7F3E" w14:textId="77777777" w:rsidR="00162CAA" w:rsidRPr="0013396E" w:rsidRDefault="00162CAA" w:rsidP="00162CAA">
            <w:pPr>
              <w:spacing w:after="60"/>
              <w:rPr>
                <w:iCs/>
                <w:sz w:val="20"/>
                <w:szCs w:val="24"/>
              </w:rPr>
            </w:pPr>
            <w:r w:rsidRPr="0013396E">
              <w:rPr>
                <w:iCs/>
                <w:sz w:val="20"/>
                <w:szCs w:val="24"/>
              </w:rPr>
              <w:t>None</w:t>
            </w:r>
          </w:p>
        </w:tc>
        <w:tc>
          <w:tcPr>
            <w:tcW w:w="3385" w:type="pct"/>
            <w:tcBorders>
              <w:top w:val="single" w:sz="6" w:space="0" w:color="auto"/>
              <w:left w:val="single" w:sz="6" w:space="0" w:color="auto"/>
              <w:bottom w:val="single" w:sz="6" w:space="0" w:color="auto"/>
              <w:right w:val="single" w:sz="4" w:space="0" w:color="auto"/>
            </w:tcBorders>
            <w:hideMark/>
          </w:tcPr>
          <w:p w14:paraId="50C45932" w14:textId="0FC044BE" w:rsidR="00162CAA" w:rsidRPr="0013396E" w:rsidRDefault="00162CAA" w:rsidP="00162CAA">
            <w:pPr>
              <w:spacing w:after="60"/>
              <w:rPr>
                <w:iCs/>
                <w:sz w:val="20"/>
                <w:szCs w:val="24"/>
              </w:rPr>
            </w:pPr>
            <w:r w:rsidRPr="0013396E">
              <w:rPr>
                <w:iCs/>
                <w:sz w:val="20"/>
                <w:szCs w:val="24"/>
              </w:rPr>
              <w:t xml:space="preserve">A 15-minute Settlement Interval within the Operating Day during an LCAP </w:t>
            </w:r>
            <w:r w:rsidR="00151A02">
              <w:rPr>
                <w:iCs/>
                <w:sz w:val="20"/>
                <w:szCs w:val="24"/>
              </w:rPr>
              <w:t xml:space="preserve">or ECAP </w:t>
            </w:r>
            <w:r w:rsidRPr="0013396E">
              <w:rPr>
                <w:iCs/>
                <w:sz w:val="20"/>
                <w:szCs w:val="24"/>
              </w:rPr>
              <w:t>Effective Period.</w:t>
            </w:r>
          </w:p>
        </w:tc>
      </w:tr>
      <w:tr w:rsidR="00162CAA" w:rsidRPr="0013396E" w14:paraId="3B635D5B" w14:textId="77777777" w:rsidTr="00890B99">
        <w:trPr>
          <w:cantSplit/>
        </w:trPr>
        <w:tc>
          <w:tcPr>
            <w:tcW w:w="1008" w:type="pct"/>
            <w:tcBorders>
              <w:top w:val="single" w:sz="6" w:space="0" w:color="auto"/>
              <w:left w:val="single" w:sz="4" w:space="0" w:color="auto"/>
              <w:bottom w:val="single" w:sz="6" w:space="0" w:color="auto"/>
              <w:right w:val="single" w:sz="6" w:space="0" w:color="auto"/>
            </w:tcBorders>
            <w:hideMark/>
          </w:tcPr>
          <w:p w14:paraId="3D7C8FBE" w14:textId="77777777" w:rsidR="00162CAA" w:rsidRPr="0013396E" w:rsidRDefault="00162CAA" w:rsidP="00162CAA">
            <w:pPr>
              <w:spacing w:after="60"/>
              <w:rPr>
                <w:i/>
                <w:iCs/>
                <w:sz w:val="20"/>
                <w:szCs w:val="24"/>
              </w:rPr>
            </w:pPr>
            <w:r w:rsidRPr="0013396E">
              <w:rPr>
                <w:i/>
                <w:iCs/>
                <w:sz w:val="20"/>
                <w:szCs w:val="24"/>
              </w:rPr>
              <w:t>rc</w:t>
            </w:r>
          </w:p>
        </w:tc>
        <w:tc>
          <w:tcPr>
            <w:tcW w:w="607" w:type="pct"/>
            <w:tcBorders>
              <w:top w:val="single" w:sz="6" w:space="0" w:color="auto"/>
              <w:left w:val="single" w:sz="6" w:space="0" w:color="auto"/>
              <w:bottom w:val="single" w:sz="6" w:space="0" w:color="auto"/>
              <w:right w:val="single" w:sz="6" w:space="0" w:color="auto"/>
            </w:tcBorders>
            <w:hideMark/>
          </w:tcPr>
          <w:p w14:paraId="6EA34290" w14:textId="77777777" w:rsidR="00162CAA" w:rsidRPr="0013396E" w:rsidRDefault="00162CAA" w:rsidP="00162CAA">
            <w:pPr>
              <w:spacing w:after="60"/>
              <w:rPr>
                <w:iCs/>
                <w:sz w:val="20"/>
                <w:szCs w:val="24"/>
              </w:rPr>
            </w:pPr>
            <w:r w:rsidRPr="0013396E">
              <w:rPr>
                <w:iCs/>
                <w:sz w:val="20"/>
                <w:szCs w:val="24"/>
              </w:rPr>
              <w:t>None</w:t>
            </w:r>
          </w:p>
        </w:tc>
        <w:tc>
          <w:tcPr>
            <w:tcW w:w="3385" w:type="pct"/>
            <w:tcBorders>
              <w:top w:val="single" w:sz="6" w:space="0" w:color="auto"/>
              <w:left w:val="single" w:sz="6" w:space="0" w:color="auto"/>
              <w:bottom w:val="single" w:sz="6" w:space="0" w:color="auto"/>
              <w:right w:val="single" w:sz="4" w:space="0" w:color="auto"/>
            </w:tcBorders>
            <w:hideMark/>
          </w:tcPr>
          <w:p w14:paraId="083D86A7" w14:textId="408D9776" w:rsidR="00162CAA" w:rsidRPr="0013396E" w:rsidRDefault="00162CAA" w:rsidP="00162CAA">
            <w:pPr>
              <w:spacing w:after="60"/>
              <w:rPr>
                <w:iCs/>
                <w:sz w:val="20"/>
                <w:szCs w:val="24"/>
              </w:rPr>
            </w:pPr>
            <w:r w:rsidRPr="0013396E">
              <w:rPr>
                <w:iCs/>
                <w:sz w:val="20"/>
                <w:szCs w:val="24"/>
              </w:rPr>
              <w:t>A Resource category</w:t>
            </w:r>
            <w:r w:rsidR="00AC7B7A" w:rsidRPr="0013396E">
              <w:rPr>
                <w:iCs/>
                <w:sz w:val="20"/>
                <w:szCs w:val="24"/>
              </w:rPr>
              <w:t>.</w:t>
            </w:r>
          </w:p>
        </w:tc>
      </w:tr>
    </w:tbl>
    <w:p w14:paraId="6E0137BC" w14:textId="757B6E33" w:rsidR="00162CAA" w:rsidRPr="0013396E" w:rsidRDefault="00162CAA" w:rsidP="00162CAA">
      <w:pPr>
        <w:spacing w:before="240" w:after="240"/>
        <w:ind w:left="720" w:hanging="720"/>
        <w:rPr>
          <w:iCs/>
          <w:szCs w:val="24"/>
        </w:rPr>
      </w:pPr>
      <w:r w:rsidRPr="0013396E">
        <w:rPr>
          <w:iCs/>
          <w:szCs w:val="24"/>
        </w:rPr>
        <w:t>(</w:t>
      </w:r>
      <w:r w:rsidR="00010E34" w:rsidRPr="0013396E">
        <w:rPr>
          <w:iCs/>
          <w:szCs w:val="24"/>
        </w:rPr>
        <w:t>4</w:t>
      </w:r>
      <w:r w:rsidRPr="0013396E">
        <w:rPr>
          <w:iCs/>
          <w:szCs w:val="24"/>
        </w:rPr>
        <w:t>)</w:t>
      </w:r>
      <w:r w:rsidRPr="0013396E">
        <w:rPr>
          <w:iCs/>
          <w:szCs w:val="24"/>
        </w:rPr>
        <w:tab/>
        <w:t xml:space="preserve">The total compensation to each QSE for operating losses during an LCAP </w:t>
      </w:r>
      <w:r w:rsidR="00151A02">
        <w:rPr>
          <w:iCs/>
          <w:szCs w:val="24"/>
        </w:rPr>
        <w:t xml:space="preserve">or ECAP </w:t>
      </w:r>
      <w:r w:rsidRPr="0013396E">
        <w:rPr>
          <w:iCs/>
          <w:szCs w:val="24"/>
        </w:rPr>
        <w:t>Effective Period for the 15-minute Settlement Interval is calculated as follows:</w:t>
      </w:r>
    </w:p>
    <w:p w14:paraId="3FC412AB" w14:textId="1D3B862C" w:rsidR="00162CAA" w:rsidRPr="0013396E" w:rsidRDefault="00162CAA" w:rsidP="00162CAA">
      <w:pPr>
        <w:spacing w:after="240"/>
        <w:ind w:left="1440" w:hanging="720"/>
        <w:rPr>
          <w:b/>
          <w:bCs/>
          <w:i/>
          <w:iCs/>
          <w:szCs w:val="24"/>
          <w:vertAlign w:val="subscript"/>
          <w:lang w:val="es-ES"/>
        </w:rPr>
      </w:pPr>
      <w:r w:rsidRPr="0013396E">
        <w:rPr>
          <w:b/>
          <w:bCs/>
          <w:iCs/>
          <w:szCs w:val="24"/>
        </w:rPr>
        <w:t xml:space="preserve">OPLPAMTQSETOT </w:t>
      </w:r>
      <w:r w:rsidRPr="0013396E">
        <w:rPr>
          <w:b/>
          <w:bCs/>
          <w:i/>
          <w:iCs/>
          <w:szCs w:val="24"/>
          <w:vertAlign w:val="subscript"/>
        </w:rPr>
        <w:t xml:space="preserve">q  </w:t>
      </w:r>
      <w:r w:rsidRPr="0013396E">
        <w:rPr>
          <w:b/>
          <w:bCs/>
          <w:iCs/>
          <w:szCs w:val="24"/>
        </w:rPr>
        <w:t xml:space="preserve">       =  </w:t>
      </w:r>
      <w:r w:rsidRPr="0013396E">
        <w:rPr>
          <w:b/>
          <w:bCs/>
          <w:iCs/>
          <w:szCs w:val="24"/>
        </w:rPr>
        <w:tab/>
      </w:r>
      <w:r w:rsidRPr="0013396E">
        <w:rPr>
          <w:b/>
          <w:bCs/>
          <w:noProof/>
          <w:position w:val="-18"/>
          <w:szCs w:val="24"/>
        </w:rPr>
        <w:drawing>
          <wp:inline distT="0" distB="0" distL="0" distR="0" wp14:anchorId="3F9EDDAE" wp14:editId="4CAB3B85">
            <wp:extent cx="190500" cy="36195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71" cstate="print">
                      <a:extLst>
                        <a:ext uri="{28A0092B-C50C-407E-A947-70E740481C1C}">
                          <a14:useLocalDpi xmlns:a14="http://schemas.microsoft.com/office/drawing/2010/main" val="0"/>
                        </a:ext>
                      </a:extLst>
                    </a:blip>
                    <a:srcRect/>
                    <a:stretch>
                      <a:fillRect/>
                    </a:stretch>
                  </pic:blipFill>
                  <pic:spPr bwMode="auto">
                    <a:xfrm>
                      <a:off x="0" y="0"/>
                      <a:ext cx="190500" cy="361950"/>
                    </a:xfrm>
                    <a:prstGeom prst="rect">
                      <a:avLst/>
                    </a:prstGeom>
                    <a:noFill/>
                    <a:ln>
                      <a:noFill/>
                    </a:ln>
                  </pic:spPr>
                </pic:pic>
              </a:graphicData>
            </a:graphic>
          </wp:inline>
        </w:drawing>
      </w:r>
      <w:r w:rsidRPr="0013396E">
        <w:rPr>
          <w:b/>
          <w:bCs/>
          <w:szCs w:val="24"/>
        </w:rPr>
        <w:t xml:space="preserve"> </w:t>
      </w:r>
      <w:r w:rsidRPr="0013396E">
        <w:rPr>
          <w:b/>
          <w:bCs/>
          <w:iCs/>
          <w:szCs w:val="24"/>
        </w:rPr>
        <w:t xml:space="preserve">OPLPAMT </w:t>
      </w:r>
      <w:r w:rsidRPr="0013396E">
        <w:rPr>
          <w:b/>
          <w:bCs/>
          <w:i/>
          <w:iCs/>
          <w:sz w:val="20"/>
          <w:szCs w:val="24"/>
          <w:vertAlign w:val="subscript"/>
        </w:rPr>
        <w:t>q, r, i</w:t>
      </w:r>
    </w:p>
    <w:p w14:paraId="600D0F33" w14:textId="77777777" w:rsidR="00162CAA" w:rsidRPr="0013396E" w:rsidRDefault="00162CAA" w:rsidP="00162CAA">
      <w:pPr>
        <w:rPr>
          <w:szCs w:val="24"/>
        </w:rPr>
      </w:pPr>
      <w:r w:rsidRPr="0013396E">
        <w:rPr>
          <w:szCs w:val="24"/>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5"/>
        <w:gridCol w:w="810"/>
        <w:gridCol w:w="5935"/>
      </w:tblGrid>
      <w:tr w:rsidR="00162CAA" w:rsidRPr="0013396E" w14:paraId="338D95C1" w14:textId="77777777" w:rsidTr="00764A29">
        <w:trPr>
          <w:cantSplit/>
          <w:tblHeader/>
        </w:trPr>
        <w:tc>
          <w:tcPr>
            <w:tcW w:w="1393" w:type="pct"/>
            <w:tcBorders>
              <w:top w:val="single" w:sz="4" w:space="0" w:color="auto"/>
              <w:left w:val="single" w:sz="4" w:space="0" w:color="auto"/>
              <w:bottom w:val="single" w:sz="4" w:space="0" w:color="auto"/>
              <w:right w:val="single" w:sz="4" w:space="0" w:color="auto"/>
            </w:tcBorders>
            <w:hideMark/>
          </w:tcPr>
          <w:p w14:paraId="700CF2A3" w14:textId="77777777" w:rsidR="00162CAA" w:rsidRPr="0013396E" w:rsidRDefault="00162CAA" w:rsidP="00162CAA">
            <w:pPr>
              <w:spacing w:after="240"/>
              <w:rPr>
                <w:b/>
                <w:iCs/>
                <w:sz w:val="20"/>
                <w:szCs w:val="24"/>
              </w:rPr>
            </w:pPr>
            <w:r w:rsidRPr="0013396E">
              <w:rPr>
                <w:b/>
                <w:iCs/>
                <w:sz w:val="20"/>
                <w:szCs w:val="24"/>
              </w:rPr>
              <w:t>Variable</w:t>
            </w:r>
          </w:p>
        </w:tc>
        <w:tc>
          <w:tcPr>
            <w:tcW w:w="433" w:type="pct"/>
            <w:tcBorders>
              <w:top w:val="single" w:sz="4" w:space="0" w:color="auto"/>
              <w:left w:val="single" w:sz="4" w:space="0" w:color="auto"/>
              <w:bottom w:val="single" w:sz="4" w:space="0" w:color="auto"/>
              <w:right w:val="single" w:sz="4" w:space="0" w:color="auto"/>
            </w:tcBorders>
            <w:hideMark/>
          </w:tcPr>
          <w:p w14:paraId="3BC5529F" w14:textId="77777777" w:rsidR="00162CAA" w:rsidRPr="0013396E" w:rsidRDefault="00162CAA" w:rsidP="00162CAA">
            <w:pPr>
              <w:spacing w:after="240"/>
              <w:rPr>
                <w:b/>
                <w:iCs/>
                <w:sz w:val="20"/>
                <w:szCs w:val="24"/>
              </w:rPr>
            </w:pPr>
            <w:r w:rsidRPr="0013396E">
              <w:rPr>
                <w:b/>
                <w:iCs/>
                <w:sz w:val="20"/>
                <w:szCs w:val="24"/>
              </w:rPr>
              <w:t>Unit</w:t>
            </w:r>
          </w:p>
        </w:tc>
        <w:tc>
          <w:tcPr>
            <w:tcW w:w="3174" w:type="pct"/>
            <w:tcBorders>
              <w:top w:val="single" w:sz="4" w:space="0" w:color="auto"/>
              <w:left w:val="single" w:sz="4" w:space="0" w:color="auto"/>
              <w:bottom w:val="single" w:sz="4" w:space="0" w:color="auto"/>
              <w:right w:val="single" w:sz="4" w:space="0" w:color="auto"/>
            </w:tcBorders>
            <w:hideMark/>
          </w:tcPr>
          <w:p w14:paraId="1BFF7DE6" w14:textId="77777777" w:rsidR="00162CAA" w:rsidRPr="0013396E" w:rsidRDefault="00162CAA" w:rsidP="00162CAA">
            <w:pPr>
              <w:spacing w:after="240"/>
              <w:rPr>
                <w:b/>
                <w:iCs/>
                <w:sz w:val="20"/>
                <w:szCs w:val="24"/>
              </w:rPr>
            </w:pPr>
            <w:r w:rsidRPr="0013396E">
              <w:rPr>
                <w:b/>
                <w:iCs/>
                <w:sz w:val="20"/>
                <w:szCs w:val="24"/>
              </w:rPr>
              <w:t>Definition</w:t>
            </w:r>
          </w:p>
        </w:tc>
      </w:tr>
      <w:tr w:rsidR="00162CAA" w:rsidRPr="0013396E" w14:paraId="0AECBAB8" w14:textId="77777777" w:rsidTr="00764A29">
        <w:trPr>
          <w:cantSplit/>
        </w:trPr>
        <w:tc>
          <w:tcPr>
            <w:tcW w:w="1393" w:type="pct"/>
            <w:tcBorders>
              <w:top w:val="single" w:sz="4" w:space="0" w:color="auto"/>
              <w:left w:val="single" w:sz="4" w:space="0" w:color="auto"/>
              <w:bottom w:val="single" w:sz="4" w:space="0" w:color="auto"/>
              <w:right w:val="single" w:sz="4" w:space="0" w:color="auto"/>
            </w:tcBorders>
            <w:hideMark/>
          </w:tcPr>
          <w:p w14:paraId="59B6E59A" w14:textId="77777777" w:rsidR="00162CAA" w:rsidRPr="0013396E" w:rsidRDefault="00162CAA" w:rsidP="00162CAA">
            <w:pPr>
              <w:spacing w:after="60"/>
              <w:rPr>
                <w:iCs/>
                <w:sz w:val="20"/>
                <w:szCs w:val="24"/>
              </w:rPr>
            </w:pPr>
            <w:r w:rsidRPr="0013396E">
              <w:rPr>
                <w:iCs/>
                <w:sz w:val="20"/>
                <w:szCs w:val="24"/>
              </w:rPr>
              <w:t>OPLPAMTQSETOT</w:t>
            </w:r>
            <w:r w:rsidRPr="0013396E">
              <w:rPr>
                <w:b/>
                <w:iCs/>
                <w:sz w:val="20"/>
                <w:szCs w:val="24"/>
              </w:rPr>
              <w:t xml:space="preserve"> </w:t>
            </w:r>
            <w:r w:rsidRPr="0013396E">
              <w:rPr>
                <w:i/>
                <w:iCs/>
                <w:sz w:val="20"/>
                <w:szCs w:val="24"/>
                <w:vertAlign w:val="subscript"/>
              </w:rPr>
              <w:t>q</w:t>
            </w:r>
            <w:r w:rsidRPr="0013396E">
              <w:rPr>
                <w:iCs/>
                <w:sz w:val="20"/>
                <w:szCs w:val="24"/>
              </w:rPr>
              <w:t xml:space="preserve"> </w:t>
            </w:r>
          </w:p>
        </w:tc>
        <w:tc>
          <w:tcPr>
            <w:tcW w:w="433" w:type="pct"/>
            <w:tcBorders>
              <w:top w:val="single" w:sz="4" w:space="0" w:color="auto"/>
              <w:left w:val="single" w:sz="4" w:space="0" w:color="auto"/>
              <w:bottom w:val="single" w:sz="4" w:space="0" w:color="auto"/>
              <w:right w:val="single" w:sz="4" w:space="0" w:color="auto"/>
            </w:tcBorders>
            <w:hideMark/>
          </w:tcPr>
          <w:p w14:paraId="589332A4" w14:textId="77777777" w:rsidR="00162CAA" w:rsidRPr="0013396E" w:rsidRDefault="00162CAA" w:rsidP="00162CAA">
            <w:pPr>
              <w:spacing w:after="60"/>
              <w:rPr>
                <w:iCs/>
                <w:sz w:val="20"/>
                <w:szCs w:val="24"/>
              </w:rPr>
            </w:pPr>
            <w:r w:rsidRPr="0013396E">
              <w:rPr>
                <w:iCs/>
                <w:sz w:val="20"/>
                <w:szCs w:val="24"/>
              </w:rPr>
              <w:t>$</w:t>
            </w:r>
          </w:p>
        </w:tc>
        <w:tc>
          <w:tcPr>
            <w:tcW w:w="3174" w:type="pct"/>
            <w:tcBorders>
              <w:top w:val="single" w:sz="4" w:space="0" w:color="auto"/>
              <w:left w:val="single" w:sz="4" w:space="0" w:color="auto"/>
              <w:bottom w:val="single" w:sz="4" w:space="0" w:color="auto"/>
              <w:right w:val="single" w:sz="4" w:space="0" w:color="auto"/>
            </w:tcBorders>
            <w:hideMark/>
          </w:tcPr>
          <w:p w14:paraId="220A946C" w14:textId="77777777" w:rsidR="00162CAA" w:rsidRPr="0013396E" w:rsidRDefault="00162CAA" w:rsidP="00162CAA">
            <w:pPr>
              <w:spacing w:after="60"/>
              <w:rPr>
                <w:iCs/>
                <w:sz w:val="20"/>
                <w:szCs w:val="24"/>
              </w:rPr>
            </w:pPr>
            <w:r w:rsidRPr="0013396E">
              <w:rPr>
                <w:i/>
                <w:iCs/>
                <w:sz w:val="20"/>
                <w:szCs w:val="24"/>
              </w:rPr>
              <w:t xml:space="preserve">Total Operating Losses Payment Amount per QSE – </w:t>
            </w:r>
            <w:r w:rsidRPr="0013396E">
              <w:rPr>
                <w:iCs/>
                <w:sz w:val="20"/>
                <w:szCs w:val="24"/>
              </w:rPr>
              <w:t xml:space="preserve">The total operating losses payment to the QSE </w:t>
            </w:r>
            <w:r w:rsidRPr="0013396E">
              <w:rPr>
                <w:i/>
                <w:sz w:val="20"/>
                <w:szCs w:val="24"/>
              </w:rPr>
              <w:t>q</w:t>
            </w:r>
            <w:r w:rsidRPr="0013396E">
              <w:rPr>
                <w:iCs/>
                <w:sz w:val="20"/>
                <w:szCs w:val="24"/>
              </w:rPr>
              <w:t xml:space="preserve">, for all Resources, for the 15-minute Settlement Interval within the Operating Day.  </w:t>
            </w:r>
          </w:p>
        </w:tc>
      </w:tr>
      <w:tr w:rsidR="00162CAA" w:rsidRPr="0013396E" w14:paraId="6E1C42CE" w14:textId="77777777" w:rsidTr="00764A29">
        <w:trPr>
          <w:cantSplit/>
        </w:trPr>
        <w:tc>
          <w:tcPr>
            <w:tcW w:w="1393" w:type="pct"/>
            <w:tcBorders>
              <w:top w:val="single" w:sz="4" w:space="0" w:color="auto"/>
              <w:left w:val="single" w:sz="4" w:space="0" w:color="auto"/>
              <w:bottom w:val="single" w:sz="4" w:space="0" w:color="auto"/>
              <w:right w:val="single" w:sz="4" w:space="0" w:color="auto"/>
            </w:tcBorders>
            <w:hideMark/>
          </w:tcPr>
          <w:p w14:paraId="36C3E343" w14:textId="77777777" w:rsidR="00162CAA" w:rsidRPr="0013396E" w:rsidRDefault="00162CAA" w:rsidP="00162CAA">
            <w:pPr>
              <w:spacing w:after="60"/>
              <w:rPr>
                <w:iCs/>
                <w:sz w:val="20"/>
                <w:szCs w:val="24"/>
              </w:rPr>
            </w:pPr>
            <w:r w:rsidRPr="0013396E">
              <w:rPr>
                <w:iCs/>
                <w:sz w:val="20"/>
                <w:szCs w:val="24"/>
              </w:rPr>
              <w:t xml:space="preserve">OPLPAMT </w:t>
            </w:r>
            <w:r w:rsidRPr="0013396E">
              <w:rPr>
                <w:i/>
                <w:iCs/>
                <w:sz w:val="20"/>
                <w:szCs w:val="24"/>
                <w:vertAlign w:val="subscript"/>
              </w:rPr>
              <w:t>q, r, i</w:t>
            </w:r>
            <w:r w:rsidRPr="0013396E">
              <w:rPr>
                <w:szCs w:val="24"/>
              </w:rPr>
              <w:t xml:space="preserve">  </w:t>
            </w:r>
          </w:p>
        </w:tc>
        <w:tc>
          <w:tcPr>
            <w:tcW w:w="433" w:type="pct"/>
            <w:tcBorders>
              <w:top w:val="single" w:sz="4" w:space="0" w:color="auto"/>
              <w:left w:val="single" w:sz="4" w:space="0" w:color="auto"/>
              <w:bottom w:val="single" w:sz="4" w:space="0" w:color="auto"/>
              <w:right w:val="single" w:sz="4" w:space="0" w:color="auto"/>
            </w:tcBorders>
            <w:hideMark/>
          </w:tcPr>
          <w:p w14:paraId="13F24095" w14:textId="77777777" w:rsidR="00162CAA" w:rsidRPr="0013396E" w:rsidRDefault="00162CAA" w:rsidP="00162CAA">
            <w:pPr>
              <w:spacing w:after="60"/>
              <w:rPr>
                <w:i/>
                <w:iCs/>
                <w:sz w:val="20"/>
                <w:szCs w:val="24"/>
              </w:rPr>
            </w:pPr>
            <w:r w:rsidRPr="0013396E">
              <w:rPr>
                <w:szCs w:val="24"/>
              </w:rPr>
              <w:t>$</w:t>
            </w:r>
          </w:p>
        </w:tc>
        <w:tc>
          <w:tcPr>
            <w:tcW w:w="3174" w:type="pct"/>
            <w:tcBorders>
              <w:top w:val="single" w:sz="4" w:space="0" w:color="auto"/>
              <w:left w:val="single" w:sz="4" w:space="0" w:color="auto"/>
              <w:bottom w:val="single" w:sz="4" w:space="0" w:color="auto"/>
              <w:right w:val="single" w:sz="4" w:space="0" w:color="auto"/>
            </w:tcBorders>
            <w:hideMark/>
          </w:tcPr>
          <w:p w14:paraId="4FA4534B" w14:textId="77777777" w:rsidR="00162CAA" w:rsidRPr="0013396E" w:rsidRDefault="00162CAA" w:rsidP="00162CAA">
            <w:pPr>
              <w:spacing w:after="60"/>
              <w:rPr>
                <w:iCs/>
                <w:sz w:val="20"/>
                <w:szCs w:val="24"/>
              </w:rPr>
            </w:pPr>
            <w:r w:rsidRPr="0013396E">
              <w:rPr>
                <w:i/>
                <w:iCs/>
                <w:sz w:val="20"/>
                <w:szCs w:val="24"/>
              </w:rPr>
              <w:t>Operating Losses Payment Amount</w:t>
            </w:r>
            <w:r w:rsidRPr="0013396E">
              <w:rPr>
                <w:szCs w:val="24"/>
              </w:rPr>
              <w:t xml:space="preserve"> – </w:t>
            </w:r>
            <w:r w:rsidRPr="0013396E">
              <w:rPr>
                <w:iCs/>
                <w:sz w:val="20"/>
                <w:szCs w:val="24"/>
              </w:rPr>
              <w:t xml:space="preserve">The operating losses payment to the QSE </w:t>
            </w:r>
            <w:r w:rsidRPr="0013396E">
              <w:rPr>
                <w:i/>
                <w:sz w:val="20"/>
                <w:szCs w:val="24"/>
              </w:rPr>
              <w:t>q</w:t>
            </w:r>
            <w:r w:rsidRPr="0013396E">
              <w:rPr>
                <w:iCs/>
                <w:sz w:val="20"/>
                <w:szCs w:val="24"/>
              </w:rPr>
              <w:t xml:space="preserve">, for Resource </w:t>
            </w:r>
            <w:r w:rsidRPr="0013396E">
              <w:rPr>
                <w:i/>
                <w:sz w:val="20"/>
                <w:szCs w:val="24"/>
              </w:rPr>
              <w:t>r</w:t>
            </w:r>
            <w:r w:rsidRPr="0013396E">
              <w:rPr>
                <w:iCs/>
                <w:sz w:val="20"/>
                <w:szCs w:val="24"/>
              </w:rPr>
              <w:t xml:space="preserve">, for the 15-minute Settlement Interval </w:t>
            </w:r>
            <w:r w:rsidRPr="0013396E">
              <w:rPr>
                <w:i/>
                <w:sz w:val="20"/>
                <w:szCs w:val="24"/>
              </w:rPr>
              <w:t>i</w:t>
            </w:r>
            <w:r w:rsidRPr="0013396E">
              <w:rPr>
                <w:iCs/>
                <w:sz w:val="20"/>
                <w:szCs w:val="24"/>
              </w:rPr>
              <w:t xml:space="preserve"> within the Operating Day.  Where for a Combined Cycle Train, the Resource </w:t>
            </w:r>
            <w:r w:rsidRPr="0013396E">
              <w:rPr>
                <w:i/>
                <w:sz w:val="20"/>
                <w:szCs w:val="24"/>
              </w:rPr>
              <w:t>r</w:t>
            </w:r>
            <w:r w:rsidRPr="0013396E">
              <w:rPr>
                <w:iCs/>
                <w:sz w:val="20"/>
                <w:szCs w:val="24"/>
              </w:rPr>
              <w:t xml:space="preserve"> is the Combined Cycle Train.</w:t>
            </w:r>
          </w:p>
        </w:tc>
      </w:tr>
      <w:tr w:rsidR="00162CAA" w:rsidRPr="0013396E" w14:paraId="4FF942CC" w14:textId="77777777" w:rsidTr="00764A29">
        <w:trPr>
          <w:cantSplit/>
        </w:trPr>
        <w:tc>
          <w:tcPr>
            <w:tcW w:w="1393" w:type="pct"/>
            <w:tcBorders>
              <w:top w:val="single" w:sz="4" w:space="0" w:color="auto"/>
              <w:left w:val="single" w:sz="4" w:space="0" w:color="auto"/>
              <w:bottom w:val="single" w:sz="4" w:space="0" w:color="auto"/>
              <w:right w:val="single" w:sz="4" w:space="0" w:color="auto"/>
            </w:tcBorders>
            <w:hideMark/>
          </w:tcPr>
          <w:p w14:paraId="4D3BBB84" w14:textId="77777777" w:rsidR="00162CAA" w:rsidRPr="0013396E" w:rsidRDefault="00162CAA" w:rsidP="00162CAA">
            <w:pPr>
              <w:spacing w:after="60"/>
              <w:rPr>
                <w:i/>
                <w:iCs/>
                <w:sz w:val="20"/>
                <w:szCs w:val="24"/>
              </w:rPr>
            </w:pPr>
            <w:r w:rsidRPr="0013396E">
              <w:rPr>
                <w:i/>
                <w:iCs/>
                <w:sz w:val="20"/>
                <w:szCs w:val="24"/>
              </w:rPr>
              <w:t>q</w:t>
            </w:r>
          </w:p>
        </w:tc>
        <w:tc>
          <w:tcPr>
            <w:tcW w:w="433" w:type="pct"/>
            <w:tcBorders>
              <w:top w:val="single" w:sz="4" w:space="0" w:color="auto"/>
              <w:left w:val="single" w:sz="4" w:space="0" w:color="auto"/>
              <w:bottom w:val="single" w:sz="4" w:space="0" w:color="auto"/>
              <w:right w:val="single" w:sz="4" w:space="0" w:color="auto"/>
            </w:tcBorders>
            <w:hideMark/>
          </w:tcPr>
          <w:p w14:paraId="07959956" w14:textId="77777777" w:rsidR="00162CAA" w:rsidRPr="0013396E" w:rsidRDefault="00162CAA" w:rsidP="00162CAA">
            <w:pPr>
              <w:spacing w:after="60"/>
              <w:rPr>
                <w:iCs/>
                <w:sz w:val="20"/>
                <w:szCs w:val="24"/>
              </w:rPr>
            </w:pPr>
            <w:r w:rsidRPr="0013396E">
              <w:rPr>
                <w:iCs/>
                <w:sz w:val="20"/>
                <w:szCs w:val="24"/>
              </w:rPr>
              <w:t>none</w:t>
            </w:r>
          </w:p>
        </w:tc>
        <w:tc>
          <w:tcPr>
            <w:tcW w:w="3174" w:type="pct"/>
            <w:tcBorders>
              <w:top w:val="single" w:sz="4" w:space="0" w:color="auto"/>
              <w:left w:val="single" w:sz="4" w:space="0" w:color="auto"/>
              <w:bottom w:val="single" w:sz="4" w:space="0" w:color="auto"/>
              <w:right w:val="single" w:sz="4" w:space="0" w:color="auto"/>
            </w:tcBorders>
            <w:hideMark/>
          </w:tcPr>
          <w:p w14:paraId="11283EAE" w14:textId="77777777" w:rsidR="00162CAA" w:rsidRPr="0013396E" w:rsidRDefault="00162CAA" w:rsidP="00162CAA">
            <w:pPr>
              <w:spacing w:after="60"/>
              <w:rPr>
                <w:iCs/>
                <w:sz w:val="20"/>
                <w:szCs w:val="24"/>
              </w:rPr>
            </w:pPr>
            <w:r w:rsidRPr="0013396E">
              <w:rPr>
                <w:iCs/>
                <w:sz w:val="20"/>
                <w:szCs w:val="24"/>
              </w:rPr>
              <w:t>A QSE.</w:t>
            </w:r>
          </w:p>
        </w:tc>
      </w:tr>
      <w:tr w:rsidR="00162CAA" w:rsidRPr="0013396E" w14:paraId="3BC7ADAE" w14:textId="77777777" w:rsidTr="00764A29">
        <w:trPr>
          <w:cantSplit/>
        </w:trPr>
        <w:tc>
          <w:tcPr>
            <w:tcW w:w="1393" w:type="pct"/>
            <w:tcBorders>
              <w:top w:val="single" w:sz="4" w:space="0" w:color="auto"/>
              <w:left w:val="single" w:sz="4" w:space="0" w:color="auto"/>
              <w:bottom w:val="single" w:sz="4" w:space="0" w:color="auto"/>
              <w:right w:val="single" w:sz="4" w:space="0" w:color="auto"/>
            </w:tcBorders>
            <w:hideMark/>
          </w:tcPr>
          <w:p w14:paraId="28845EAF" w14:textId="77777777" w:rsidR="00162CAA" w:rsidRPr="0013396E" w:rsidRDefault="00162CAA" w:rsidP="00162CAA">
            <w:pPr>
              <w:spacing w:after="60"/>
              <w:rPr>
                <w:i/>
                <w:iCs/>
                <w:sz w:val="20"/>
                <w:szCs w:val="24"/>
              </w:rPr>
            </w:pPr>
            <w:r w:rsidRPr="0013396E">
              <w:rPr>
                <w:i/>
                <w:iCs/>
                <w:sz w:val="20"/>
                <w:szCs w:val="24"/>
              </w:rPr>
              <w:t>r</w:t>
            </w:r>
          </w:p>
        </w:tc>
        <w:tc>
          <w:tcPr>
            <w:tcW w:w="433" w:type="pct"/>
            <w:tcBorders>
              <w:top w:val="single" w:sz="4" w:space="0" w:color="auto"/>
              <w:left w:val="single" w:sz="4" w:space="0" w:color="auto"/>
              <w:bottom w:val="single" w:sz="4" w:space="0" w:color="auto"/>
              <w:right w:val="single" w:sz="4" w:space="0" w:color="auto"/>
            </w:tcBorders>
            <w:hideMark/>
          </w:tcPr>
          <w:p w14:paraId="7931197E" w14:textId="77777777" w:rsidR="00162CAA" w:rsidRPr="0013396E" w:rsidRDefault="00162CAA" w:rsidP="00162CAA">
            <w:pPr>
              <w:spacing w:after="60"/>
              <w:rPr>
                <w:iCs/>
                <w:sz w:val="20"/>
                <w:szCs w:val="24"/>
              </w:rPr>
            </w:pPr>
            <w:r w:rsidRPr="0013396E">
              <w:rPr>
                <w:iCs/>
                <w:sz w:val="20"/>
                <w:szCs w:val="24"/>
              </w:rPr>
              <w:t>none</w:t>
            </w:r>
          </w:p>
        </w:tc>
        <w:tc>
          <w:tcPr>
            <w:tcW w:w="3174" w:type="pct"/>
            <w:tcBorders>
              <w:top w:val="single" w:sz="4" w:space="0" w:color="auto"/>
              <w:left w:val="single" w:sz="4" w:space="0" w:color="auto"/>
              <w:bottom w:val="single" w:sz="4" w:space="0" w:color="auto"/>
              <w:right w:val="single" w:sz="4" w:space="0" w:color="auto"/>
            </w:tcBorders>
            <w:hideMark/>
          </w:tcPr>
          <w:p w14:paraId="6BABE045" w14:textId="77777777" w:rsidR="00162CAA" w:rsidRPr="0013396E" w:rsidRDefault="00162CAA" w:rsidP="00162CAA">
            <w:pPr>
              <w:spacing w:after="60"/>
              <w:rPr>
                <w:iCs/>
                <w:sz w:val="20"/>
                <w:szCs w:val="24"/>
              </w:rPr>
            </w:pPr>
            <w:r w:rsidRPr="0013396E">
              <w:rPr>
                <w:iCs/>
                <w:sz w:val="20"/>
                <w:szCs w:val="24"/>
              </w:rPr>
              <w:t>A Generation Resource or ESR.</w:t>
            </w:r>
          </w:p>
        </w:tc>
      </w:tr>
      <w:tr w:rsidR="00162CAA" w:rsidRPr="0013396E" w14:paraId="7F2411BD" w14:textId="77777777" w:rsidTr="00764A29">
        <w:trPr>
          <w:cantSplit/>
        </w:trPr>
        <w:tc>
          <w:tcPr>
            <w:tcW w:w="1393" w:type="pct"/>
            <w:tcBorders>
              <w:top w:val="single" w:sz="4" w:space="0" w:color="auto"/>
              <w:left w:val="single" w:sz="4" w:space="0" w:color="auto"/>
              <w:bottom w:val="single" w:sz="4" w:space="0" w:color="auto"/>
              <w:right w:val="single" w:sz="4" w:space="0" w:color="auto"/>
            </w:tcBorders>
            <w:hideMark/>
          </w:tcPr>
          <w:p w14:paraId="765EB45D" w14:textId="77777777" w:rsidR="00162CAA" w:rsidRPr="0013396E" w:rsidRDefault="00162CAA" w:rsidP="00162CAA">
            <w:pPr>
              <w:spacing w:after="60"/>
              <w:rPr>
                <w:i/>
                <w:iCs/>
                <w:sz w:val="20"/>
                <w:szCs w:val="24"/>
              </w:rPr>
            </w:pPr>
            <w:r w:rsidRPr="0013396E">
              <w:rPr>
                <w:i/>
                <w:iCs/>
                <w:sz w:val="20"/>
                <w:szCs w:val="24"/>
              </w:rPr>
              <w:t>i</w:t>
            </w:r>
          </w:p>
        </w:tc>
        <w:tc>
          <w:tcPr>
            <w:tcW w:w="433" w:type="pct"/>
            <w:tcBorders>
              <w:top w:val="single" w:sz="4" w:space="0" w:color="auto"/>
              <w:left w:val="single" w:sz="4" w:space="0" w:color="auto"/>
              <w:bottom w:val="single" w:sz="4" w:space="0" w:color="auto"/>
              <w:right w:val="single" w:sz="4" w:space="0" w:color="auto"/>
            </w:tcBorders>
            <w:hideMark/>
          </w:tcPr>
          <w:p w14:paraId="2A3A50EB" w14:textId="77777777" w:rsidR="00162CAA" w:rsidRPr="0013396E" w:rsidRDefault="00162CAA" w:rsidP="00162CAA">
            <w:pPr>
              <w:spacing w:after="60"/>
              <w:rPr>
                <w:iCs/>
                <w:sz w:val="20"/>
                <w:szCs w:val="24"/>
              </w:rPr>
            </w:pPr>
            <w:r w:rsidRPr="0013396E">
              <w:rPr>
                <w:iCs/>
                <w:sz w:val="20"/>
                <w:szCs w:val="24"/>
              </w:rPr>
              <w:t>none</w:t>
            </w:r>
          </w:p>
        </w:tc>
        <w:tc>
          <w:tcPr>
            <w:tcW w:w="3174" w:type="pct"/>
            <w:tcBorders>
              <w:top w:val="single" w:sz="4" w:space="0" w:color="auto"/>
              <w:left w:val="single" w:sz="4" w:space="0" w:color="auto"/>
              <w:bottom w:val="single" w:sz="4" w:space="0" w:color="auto"/>
              <w:right w:val="single" w:sz="4" w:space="0" w:color="auto"/>
            </w:tcBorders>
            <w:hideMark/>
          </w:tcPr>
          <w:p w14:paraId="1A3F0809" w14:textId="045D1164" w:rsidR="00162CAA" w:rsidRPr="0013396E" w:rsidRDefault="00162CAA" w:rsidP="00162CAA">
            <w:pPr>
              <w:spacing w:after="60"/>
              <w:rPr>
                <w:iCs/>
                <w:sz w:val="20"/>
                <w:szCs w:val="24"/>
              </w:rPr>
            </w:pPr>
            <w:r w:rsidRPr="0013396E">
              <w:rPr>
                <w:iCs/>
                <w:sz w:val="20"/>
                <w:szCs w:val="24"/>
              </w:rPr>
              <w:t xml:space="preserve">A 15-minute Settlement Interval within the Operating Day during an LCAP </w:t>
            </w:r>
            <w:r w:rsidR="00151A02">
              <w:rPr>
                <w:iCs/>
                <w:sz w:val="20"/>
                <w:szCs w:val="24"/>
              </w:rPr>
              <w:t xml:space="preserve">or ECAP </w:t>
            </w:r>
            <w:r w:rsidRPr="0013396E">
              <w:rPr>
                <w:iCs/>
                <w:sz w:val="20"/>
                <w:szCs w:val="24"/>
              </w:rPr>
              <w:t>Effective Period.</w:t>
            </w:r>
          </w:p>
        </w:tc>
      </w:tr>
    </w:tbl>
    <w:p w14:paraId="2CDA08BA" w14:textId="77777777" w:rsidR="00445D1B" w:rsidRPr="0013396E" w:rsidRDefault="00445D1B" w:rsidP="000B7133">
      <w:pPr>
        <w:keepNext/>
        <w:tabs>
          <w:tab w:val="left" w:pos="1080"/>
        </w:tabs>
        <w:spacing w:before="240" w:after="240"/>
        <w:ind w:left="1080" w:hanging="1080"/>
        <w:outlineLvl w:val="2"/>
        <w:rPr>
          <w:b/>
          <w:bCs/>
          <w:i/>
          <w:iCs/>
          <w:snapToGrid w:val="0"/>
        </w:rPr>
      </w:pPr>
      <w:bookmarkStart w:id="2290" w:name="_Toc214879043"/>
      <w:bookmarkStart w:id="2291" w:name="_Toc493250760"/>
      <w:bookmarkStart w:id="2292" w:name="_Toc181499"/>
      <w:bookmarkStart w:id="2293" w:name="_Toc181597"/>
      <w:r w:rsidRPr="0013396E">
        <w:rPr>
          <w:b/>
          <w:bCs/>
          <w:i/>
          <w:iCs/>
          <w:snapToGrid w:val="0"/>
        </w:rPr>
        <w:t>6.8.3</w:t>
      </w:r>
      <w:r w:rsidRPr="0013396E">
        <w:rPr>
          <w:b/>
          <w:bCs/>
          <w:i/>
          <w:iCs/>
          <w:snapToGrid w:val="0"/>
        </w:rPr>
        <w:tab/>
        <w:t>Charges for Operating Losses During an LCAP or ECAP Effective Period</w:t>
      </w:r>
      <w:bookmarkEnd w:id="2290"/>
    </w:p>
    <w:p w14:paraId="438D8BAE" w14:textId="77777777" w:rsidR="00445D1B" w:rsidRPr="0013396E" w:rsidRDefault="00445D1B" w:rsidP="00445D1B">
      <w:pPr>
        <w:spacing w:before="240" w:after="240"/>
        <w:ind w:left="720" w:hanging="720"/>
      </w:pPr>
      <w:r w:rsidRPr="0013396E">
        <w:t>(1)</w:t>
      </w:r>
      <w:r w:rsidRPr="0013396E">
        <w:tab/>
        <w:t>ERCOT shall allocate the total operating losses payment amount to the QSEs representing Loads.  The resulting charge to each QSE’s Load Ratio Share (LRS) for a 15-minute Settlement Interval is calculated as follows:</w:t>
      </w:r>
    </w:p>
    <w:p w14:paraId="28347053" w14:textId="77777777" w:rsidR="00445D1B" w:rsidRPr="0013396E" w:rsidRDefault="00445D1B" w:rsidP="00445D1B">
      <w:pPr>
        <w:tabs>
          <w:tab w:val="left" w:pos="2340"/>
          <w:tab w:val="left" w:pos="3420"/>
        </w:tabs>
        <w:spacing w:after="240"/>
        <w:ind w:left="3420" w:hanging="2700"/>
        <w:rPr>
          <w:b/>
          <w:bCs/>
          <w:szCs w:val="24"/>
          <w:lang w:val="sv-SE"/>
        </w:rPr>
      </w:pPr>
      <w:r w:rsidRPr="0013396E">
        <w:rPr>
          <w:b/>
          <w:bCs/>
          <w:szCs w:val="24"/>
          <w:lang w:val="sv-SE"/>
        </w:rPr>
        <w:t xml:space="preserve">LALCAPAMT </w:t>
      </w:r>
      <w:r w:rsidRPr="0013396E">
        <w:rPr>
          <w:b/>
          <w:bCs/>
          <w:i/>
          <w:szCs w:val="24"/>
          <w:vertAlign w:val="subscript"/>
          <w:lang w:val="sv-SE"/>
        </w:rPr>
        <w:t>q, i</w:t>
      </w:r>
      <w:r w:rsidRPr="0013396E">
        <w:rPr>
          <w:b/>
          <w:bCs/>
          <w:szCs w:val="24"/>
          <w:lang w:val="sv-SE"/>
        </w:rPr>
        <w:tab/>
        <w:t>=</w:t>
      </w:r>
      <w:r w:rsidRPr="0013396E">
        <w:rPr>
          <w:b/>
          <w:bCs/>
          <w:szCs w:val="24"/>
          <w:lang w:val="sv-SE"/>
        </w:rPr>
        <w:tab/>
        <w:t xml:space="preserve">(-1) * OPLPAMTTOT </w:t>
      </w:r>
      <w:r w:rsidRPr="0013396E">
        <w:rPr>
          <w:b/>
          <w:bCs/>
          <w:i/>
          <w:szCs w:val="24"/>
          <w:vertAlign w:val="subscript"/>
          <w:lang w:val="sv-SE"/>
        </w:rPr>
        <w:t>i</w:t>
      </w:r>
      <w:r w:rsidRPr="0013396E">
        <w:rPr>
          <w:b/>
          <w:bCs/>
          <w:szCs w:val="24"/>
          <w:lang w:val="sv-SE"/>
        </w:rPr>
        <w:t xml:space="preserve"> * LRS </w:t>
      </w:r>
      <w:r w:rsidRPr="0013396E">
        <w:rPr>
          <w:b/>
          <w:bCs/>
          <w:i/>
          <w:szCs w:val="24"/>
          <w:vertAlign w:val="subscript"/>
          <w:lang w:val="sv-SE"/>
        </w:rPr>
        <w:t>q, i</w:t>
      </w:r>
    </w:p>
    <w:p w14:paraId="7EC5D905" w14:textId="77777777" w:rsidR="00445D1B" w:rsidRPr="0013396E" w:rsidRDefault="00445D1B" w:rsidP="00445D1B">
      <w:pPr>
        <w:tabs>
          <w:tab w:val="left" w:pos="2340"/>
          <w:tab w:val="left" w:pos="3420"/>
        </w:tabs>
        <w:spacing w:after="240"/>
        <w:ind w:left="3420" w:hanging="2700"/>
        <w:rPr>
          <w:b/>
          <w:bCs/>
          <w:szCs w:val="24"/>
        </w:rPr>
      </w:pPr>
      <w:r w:rsidRPr="0013396E">
        <w:rPr>
          <w:b/>
          <w:bCs/>
          <w:szCs w:val="24"/>
        </w:rPr>
        <w:t>Where:</w:t>
      </w:r>
    </w:p>
    <w:p w14:paraId="07238FDA" w14:textId="77777777" w:rsidR="00445D1B" w:rsidRPr="0013396E" w:rsidRDefault="00445D1B" w:rsidP="00445D1B">
      <w:pPr>
        <w:tabs>
          <w:tab w:val="left" w:pos="2340"/>
          <w:tab w:val="left" w:pos="3420"/>
        </w:tabs>
        <w:spacing w:after="240"/>
        <w:ind w:left="3420" w:hanging="2700"/>
        <w:rPr>
          <w:bCs/>
          <w:i/>
          <w:szCs w:val="24"/>
          <w:vertAlign w:val="subscript"/>
        </w:rPr>
      </w:pPr>
      <w:r w:rsidRPr="0013396E">
        <w:rPr>
          <w:bCs/>
          <w:szCs w:val="24"/>
        </w:rPr>
        <w:t xml:space="preserve">OPLPAMTTOT </w:t>
      </w:r>
      <w:r w:rsidRPr="0013396E">
        <w:rPr>
          <w:bCs/>
          <w:i/>
          <w:szCs w:val="24"/>
          <w:vertAlign w:val="subscript"/>
        </w:rPr>
        <w:t xml:space="preserve">i </w:t>
      </w:r>
      <w:r w:rsidRPr="0013396E">
        <w:rPr>
          <w:bCs/>
          <w:szCs w:val="24"/>
        </w:rPr>
        <w:tab/>
      </w:r>
      <w:r w:rsidRPr="0013396E">
        <w:rPr>
          <w:bCs/>
          <w:szCs w:val="24"/>
        </w:rPr>
        <w:tab/>
        <w:t>=</w:t>
      </w:r>
      <w:r w:rsidRPr="0013396E">
        <w:rPr>
          <w:bCs/>
          <w:szCs w:val="24"/>
        </w:rPr>
        <w:tab/>
      </w:r>
      <w:r w:rsidRPr="0013396E">
        <w:rPr>
          <w:bCs/>
          <w:position w:val="-22"/>
          <w:szCs w:val="24"/>
        </w:rPr>
        <w:object w:dxaOrig="330" w:dyaOrig="630" w14:anchorId="1CB37D49">
          <v:shape id="_x0000_i1293" type="#_x0000_t75" style="width:12pt;height:30pt" o:ole="">
            <v:imagedata r:id="rId372" o:title=""/>
          </v:shape>
          <o:OLEObject Type="Embed" ProgID="Equation.3" ShapeID="_x0000_i1293" DrawAspect="Content" ObjectID="_1836311570" r:id="rId373"/>
        </w:object>
      </w:r>
      <w:r w:rsidRPr="0013396E">
        <w:rPr>
          <w:bCs/>
          <w:szCs w:val="24"/>
        </w:rPr>
        <w:t>OPLPAMTQSETOT</w:t>
      </w:r>
      <w:r w:rsidRPr="0013396E">
        <w:rPr>
          <w:bCs/>
          <w:i/>
          <w:szCs w:val="24"/>
          <w:vertAlign w:val="subscript"/>
        </w:rPr>
        <w:t xml:space="preserve"> i, q</w:t>
      </w:r>
    </w:p>
    <w:p w14:paraId="7A525B8F" w14:textId="77777777" w:rsidR="00445D1B" w:rsidRPr="0013396E" w:rsidRDefault="00445D1B" w:rsidP="00445D1B">
      <w:pPr>
        <w:spacing w:before="120"/>
        <w:rPr>
          <w:szCs w:val="24"/>
        </w:rPr>
      </w:pPr>
      <w:r w:rsidRPr="0013396E">
        <w:rPr>
          <w:szCs w:val="24"/>
        </w:rPr>
        <w:t>The above variables are defined as follows:</w:t>
      </w:r>
    </w:p>
    <w:tbl>
      <w:tblPr>
        <w:tblW w:w="495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209"/>
        <w:gridCol w:w="620"/>
        <w:gridCol w:w="6428"/>
      </w:tblGrid>
      <w:tr w:rsidR="00445D1B" w:rsidRPr="0013396E" w14:paraId="0F61109D" w14:textId="77777777" w:rsidTr="004B69AB">
        <w:tc>
          <w:tcPr>
            <w:tcW w:w="1193" w:type="pct"/>
            <w:tcBorders>
              <w:top w:val="single" w:sz="4" w:space="0" w:color="auto"/>
              <w:left w:val="single" w:sz="4" w:space="0" w:color="auto"/>
              <w:bottom w:val="single" w:sz="6" w:space="0" w:color="auto"/>
              <w:right w:val="single" w:sz="6" w:space="0" w:color="auto"/>
            </w:tcBorders>
            <w:hideMark/>
          </w:tcPr>
          <w:p w14:paraId="448F7416" w14:textId="77777777" w:rsidR="00445D1B" w:rsidRPr="0013396E" w:rsidRDefault="00445D1B" w:rsidP="004B69AB">
            <w:pPr>
              <w:spacing w:after="240"/>
              <w:rPr>
                <w:b/>
                <w:iCs/>
                <w:sz w:val="20"/>
              </w:rPr>
            </w:pPr>
            <w:r w:rsidRPr="0013396E">
              <w:rPr>
                <w:b/>
                <w:iCs/>
                <w:sz w:val="20"/>
              </w:rPr>
              <w:t>Variable</w:t>
            </w:r>
          </w:p>
        </w:tc>
        <w:tc>
          <w:tcPr>
            <w:tcW w:w="335" w:type="pct"/>
            <w:tcBorders>
              <w:top w:val="single" w:sz="4" w:space="0" w:color="auto"/>
              <w:left w:val="single" w:sz="6" w:space="0" w:color="auto"/>
              <w:bottom w:val="single" w:sz="6" w:space="0" w:color="auto"/>
              <w:right w:val="single" w:sz="6" w:space="0" w:color="auto"/>
            </w:tcBorders>
            <w:hideMark/>
          </w:tcPr>
          <w:p w14:paraId="4E6542A3" w14:textId="77777777" w:rsidR="00445D1B" w:rsidRPr="0013396E" w:rsidRDefault="00445D1B" w:rsidP="004B69AB">
            <w:pPr>
              <w:spacing w:after="240"/>
              <w:jc w:val="center"/>
              <w:rPr>
                <w:b/>
                <w:iCs/>
                <w:sz w:val="20"/>
              </w:rPr>
            </w:pPr>
            <w:r w:rsidRPr="0013396E">
              <w:rPr>
                <w:b/>
                <w:iCs/>
                <w:sz w:val="20"/>
              </w:rPr>
              <w:t>Unit</w:t>
            </w:r>
          </w:p>
        </w:tc>
        <w:tc>
          <w:tcPr>
            <w:tcW w:w="3472" w:type="pct"/>
            <w:tcBorders>
              <w:top w:val="single" w:sz="4" w:space="0" w:color="auto"/>
              <w:left w:val="single" w:sz="6" w:space="0" w:color="auto"/>
              <w:bottom w:val="single" w:sz="6" w:space="0" w:color="auto"/>
              <w:right w:val="single" w:sz="4" w:space="0" w:color="auto"/>
            </w:tcBorders>
            <w:hideMark/>
          </w:tcPr>
          <w:p w14:paraId="1DBA4E78" w14:textId="77777777" w:rsidR="00445D1B" w:rsidRPr="0013396E" w:rsidRDefault="00445D1B" w:rsidP="004B69AB">
            <w:pPr>
              <w:spacing w:after="240"/>
              <w:rPr>
                <w:b/>
                <w:iCs/>
                <w:sz w:val="20"/>
              </w:rPr>
            </w:pPr>
            <w:r w:rsidRPr="0013396E">
              <w:rPr>
                <w:b/>
                <w:iCs/>
                <w:sz w:val="20"/>
              </w:rPr>
              <w:t>Definition</w:t>
            </w:r>
          </w:p>
        </w:tc>
      </w:tr>
      <w:tr w:rsidR="00445D1B" w:rsidRPr="0013396E" w14:paraId="0F953F39" w14:textId="77777777" w:rsidTr="004B69AB">
        <w:tc>
          <w:tcPr>
            <w:tcW w:w="1193" w:type="pct"/>
            <w:tcBorders>
              <w:top w:val="single" w:sz="6" w:space="0" w:color="auto"/>
              <w:left w:val="single" w:sz="4" w:space="0" w:color="auto"/>
              <w:bottom w:val="single" w:sz="6" w:space="0" w:color="auto"/>
              <w:right w:val="single" w:sz="6" w:space="0" w:color="auto"/>
            </w:tcBorders>
            <w:hideMark/>
          </w:tcPr>
          <w:p w14:paraId="19C7014C" w14:textId="77777777" w:rsidR="00445D1B" w:rsidRPr="0013396E" w:rsidRDefault="00445D1B" w:rsidP="004B69AB">
            <w:pPr>
              <w:spacing w:after="60"/>
              <w:rPr>
                <w:iCs/>
                <w:sz w:val="20"/>
              </w:rPr>
            </w:pPr>
            <w:r w:rsidRPr="0013396E">
              <w:rPr>
                <w:iCs/>
                <w:sz w:val="20"/>
              </w:rPr>
              <w:t xml:space="preserve">LALCAPAMT </w:t>
            </w:r>
            <w:r w:rsidRPr="0013396E">
              <w:rPr>
                <w:i/>
                <w:iCs/>
                <w:sz w:val="20"/>
                <w:vertAlign w:val="subscript"/>
              </w:rPr>
              <w:t>q, i</w:t>
            </w:r>
          </w:p>
        </w:tc>
        <w:tc>
          <w:tcPr>
            <w:tcW w:w="335" w:type="pct"/>
            <w:tcBorders>
              <w:top w:val="single" w:sz="6" w:space="0" w:color="auto"/>
              <w:left w:val="single" w:sz="6" w:space="0" w:color="auto"/>
              <w:bottom w:val="single" w:sz="6" w:space="0" w:color="auto"/>
              <w:right w:val="single" w:sz="6" w:space="0" w:color="auto"/>
            </w:tcBorders>
            <w:hideMark/>
          </w:tcPr>
          <w:p w14:paraId="0289852C" w14:textId="77777777" w:rsidR="00445D1B" w:rsidRPr="0013396E" w:rsidRDefault="00445D1B" w:rsidP="004B69AB">
            <w:pPr>
              <w:spacing w:after="60"/>
              <w:jc w:val="center"/>
              <w:rPr>
                <w:iCs/>
                <w:sz w:val="20"/>
              </w:rPr>
            </w:pPr>
            <w:r w:rsidRPr="0013396E">
              <w:rPr>
                <w:iCs/>
                <w:sz w:val="20"/>
              </w:rPr>
              <w:t>$</w:t>
            </w:r>
          </w:p>
        </w:tc>
        <w:tc>
          <w:tcPr>
            <w:tcW w:w="3472" w:type="pct"/>
            <w:tcBorders>
              <w:top w:val="single" w:sz="6" w:space="0" w:color="auto"/>
              <w:left w:val="single" w:sz="6" w:space="0" w:color="auto"/>
              <w:bottom w:val="single" w:sz="6" w:space="0" w:color="auto"/>
              <w:right w:val="single" w:sz="4" w:space="0" w:color="auto"/>
            </w:tcBorders>
            <w:hideMark/>
          </w:tcPr>
          <w:p w14:paraId="70C6A42D" w14:textId="77777777" w:rsidR="00445D1B" w:rsidRPr="0013396E" w:rsidRDefault="00445D1B" w:rsidP="004B69AB">
            <w:pPr>
              <w:spacing w:after="60"/>
              <w:rPr>
                <w:iCs/>
                <w:sz w:val="20"/>
              </w:rPr>
            </w:pPr>
            <w:r w:rsidRPr="0013396E">
              <w:rPr>
                <w:i/>
                <w:iCs/>
                <w:sz w:val="20"/>
              </w:rPr>
              <w:t xml:space="preserve">Load Allocated LCAP or ECAP Effective Period Charge </w:t>
            </w:r>
            <w:r w:rsidRPr="0013396E">
              <w:rPr>
                <w:szCs w:val="24"/>
              </w:rPr>
              <w:t>–</w:t>
            </w:r>
            <w:r w:rsidRPr="0013396E">
              <w:rPr>
                <w:iCs/>
                <w:sz w:val="20"/>
              </w:rPr>
              <w:t xml:space="preserve"> The amount owed from the QSE </w:t>
            </w:r>
            <w:r w:rsidRPr="0013396E">
              <w:rPr>
                <w:i/>
                <w:iCs/>
                <w:sz w:val="20"/>
              </w:rPr>
              <w:t xml:space="preserve">q, </w:t>
            </w:r>
            <w:r w:rsidRPr="0013396E">
              <w:rPr>
                <w:iCs/>
                <w:sz w:val="20"/>
              </w:rPr>
              <w:t xml:space="preserve">based on Load Ratio Share, for the 15-minute Settlement Interval </w:t>
            </w:r>
            <w:r w:rsidRPr="0013396E">
              <w:rPr>
                <w:i/>
                <w:iCs/>
                <w:sz w:val="20"/>
              </w:rPr>
              <w:t>i</w:t>
            </w:r>
            <w:r w:rsidRPr="0013396E">
              <w:rPr>
                <w:iCs/>
                <w:sz w:val="20"/>
              </w:rPr>
              <w:t>.</w:t>
            </w:r>
          </w:p>
        </w:tc>
      </w:tr>
      <w:tr w:rsidR="00445D1B" w:rsidRPr="0013396E" w14:paraId="04044F9B" w14:textId="77777777" w:rsidTr="004B69AB">
        <w:trPr>
          <w:cantSplit/>
        </w:trPr>
        <w:tc>
          <w:tcPr>
            <w:tcW w:w="1193" w:type="pct"/>
            <w:tcBorders>
              <w:top w:val="single" w:sz="4" w:space="0" w:color="auto"/>
              <w:left w:val="single" w:sz="4" w:space="0" w:color="auto"/>
              <w:bottom w:val="single" w:sz="4" w:space="0" w:color="auto"/>
              <w:right w:val="single" w:sz="4" w:space="0" w:color="auto"/>
            </w:tcBorders>
            <w:hideMark/>
          </w:tcPr>
          <w:p w14:paraId="6BA73543" w14:textId="77777777" w:rsidR="00445D1B" w:rsidRPr="0013396E" w:rsidRDefault="00445D1B" w:rsidP="004B69AB">
            <w:pPr>
              <w:spacing w:after="60"/>
              <w:rPr>
                <w:iCs/>
                <w:sz w:val="20"/>
                <w:szCs w:val="24"/>
              </w:rPr>
            </w:pPr>
            <w:r w:rsidRPr="0013396E">
              <w:rPr>
                <w:iCs/>
                <w:sz w:val="20"/>
                <w:szCs w:val="24"/>
              </w:rPr>
              <w:t>OPLPAMTQSETOT</w:t>
            </w:r>
            <w:r w:rsidRPr="0013396E">
              <w:rPr>
                <w:b/>
                <w:iCs/>
                <w:sz w:val="20"/>
                <w:szCs w:val="24"/>
              </w:rPr>
              <w:t xml:space="preserve"> </w:t>
            </w:r>
            <w:r w:rsidRPr="0013396E">
              <w:rPr>
                <w:i/>
                <w:iCs/>
                <w:sz w:val="20"/>
                <w:szCs w:val="24"/>
                <w:vertAlign w:val="subscript"/>
              </w:rPr>
              <w:t>i, q</w:t>
            </w:r>
            <w:r w:rsidRPr="0013396E">
              <w:rPr>
                <w:iCs/>
                <w:sz w:val="20"/>
                <w:szCs w:val="24"/>
              </w:rPr>
              <w:t xml:space="preserve"> </w:t>
            </w:r>
          </w:p>
        </w:tc>
        <w:tc>
          <w:tcPr>
            <w:tcW w:w="335" w:type="pct"/>
            <w:tcBorders>
              <w:top w:val="single" w:sz="4" w:space="0" w:color="auto"/>
              <w:left w:val="single" w:sz="4" w:space="0" w:color="auto"/>
              <w:bottom w:val="single" w:sz="4" w:space="0" w:color="auto"/>
              <w:right w:val="single" w:sz="4" w:space="0" w:color="auto"/>
            </w:tcBorders>
            <w:hideMark/>
          </w:tcPr>
          <w:p w14:paraId="08B33717" w14:textId="77777777" w:rsidR="00445D1B" w:rsidRPr="0013396E" w:rsidRDefault="00445D1B" w:rsidP="004B69AB">
            <w:pPr>
              <w:spacing w:after="60"/>
              <w:jc w:val="center"/>
              <w:rPr>
                <w:iCs/>
                <w:sz w:val="20"/>
                <w:szCs w:val="24"/>
              </w:rPr>
            </w:pPr>
            <w:r w:rsidRPr="0013396E">
              <w:rPr>
                <w:iCs/>
                <w:sz w:val="20"/>
                <w:szCs w:val="24"/>
              </w:rPr>
              <w:t>$</w:t>
            </w:r>
          </w:p>
        </w:tc>
        <w:tc>
          <w:tcPr>
            <w:tcW w:w="3472" w:type="pct"/>
            <w:tcBorders>
              <w:top w:val="single" w:sz="4" w:space="0" w:color="auto"/>
              <w:left w:val="single" w:sz="4" w:space="0" w:color="auto"/>
              <w:bottom w:val="single" w:sz="4" w:space="0" w:color="auto"/>
              <w:right w:val="single" w:sz="4" w:space="0" w:color="auto"/>
            </w:tcBorders>
            <w:hideMark/>
          </w:tcPr>
          <w:p w14:paraId="5E55289F" w14:textId="77777777" w:rsidR="00445D1B" w:rsidRPr="0013396E" w:rsidRDefault="00445D1B" w:rsidP="004B69AB">
            <w:pPr>
              <w:spacing w:after="60"/>
              <w:rPr>
                <w:iCs/>
                <w:sz w:val="20"/>
                <w:szCs w:val="24"/>
              </w:rPr>
            </w:pPr>
            <w:r w:rsidRPr="0013396E">
              <w:rPr>
                <w:i/>
                <w:iCs/>
                <w:sz w:val="20"/>
                <w:szCs w:val="24"/>
              </w:rPr>
              <w:t xml:space="preserve">Total Operating Losses Payment Amount per QSE – </w:t>
            </w:r>
            <w:r w:rsidRPr="0013396E">
              <w:rPr>
                <w:iCs/>
                <w:sz w:val="20"/>
                <w:szCs w:val="24"/>
              </w:rPr>
              <w:t xml:space="preserve">The total operating losses payment to the QSE </w:t>
            </w:r>
            <w:r w:rsidRPr="0013396E">
              <w:rPr>
                <w:i/>
                <w:iCs/>
                <w:sz w:val="20"/>
                <w:szCs w:val="24"/>
              </w:rPr>
              <w:t>q</w:t>
            </w:r>
            <w:r w:rsidRPr="0013396E">
              <w:rPr>
                <w:iCs/>
                <w:sz w:val="20"/>
                <w:szCs w:val="24"/>
              </w:rPr>
              <w:t xml:space="preserve">, for all Resources, for the 15-minute Settlement Interval </w:t>
            </w:r>
            <w:r w:rsidRPr="0013396E">
              <w:rPr>
                <w:i/>
                <w:sz w:val="20"/>
                <w:szCs w:val="24"/>
              </w:rPr>
              <w:t xml:space="preserve">i </w:t>
            </w:r>
            <w:r w:rsidRPr="0013396E">
              <w:rPr>
                <w:sz w:val="20"/>
                <w:szCs w:val="24"/>
              </w:rPr>
              <w:t>within the Operating Day</w:t>
            </w:r>
            <w:r w:rsidRPr="0013396E">
              <w:rPr>
                <w:szCs w:val="24"/>
              </w:rPr>
              <w:t>.</w:t>
            </w:r>
            <w:r w:rsidRPr="0013396E">
              <w:rPr>
                <w:iCs/>
                <w:sz w:val="20"/>
                <w:szCs w:val="24"/>
              </w:rPr>
              <w:t xml:space="preserve"> </w:t>
            </w:r>
            <w:r w:rsidRPr="0013396E">
              <w:rPr>
                <w:iCs/>
                <w:sz w:val="20"/>
              </w:rPr>
              <w:t xml:space="preserve"> </w:t>
            </w:r>
          </w:p>
        </w:tc>
      </w:tr>
      <w:tr w:rsidR="00445D1B" w:rsidRPr="0013396E" w14:paraId="0598F478" w14:textId="77777777" w:rsidTr="004B69AB">
        <w:tc>
          <w:tcPr>
            <w:tcW w:w="1193" w:type="pct"/>
            <w:tcBorders>
              <w:top w:val="single" w:sz="6" w:space="0" w:color="auto"/>
              <w:left w:val="single" w:sz="4" w:space="0" w:color="auto"/>
              <w:bottom w:val="single" w:sz="6" w:space="0" w:color="auto"/>
              <w:right w:val="single" w:sz="6" w:space="0" w:color="auto"/>
            </w:tcBorders>
            <w:hideMark/>
          </w:tcPr>
          <w:p w14:paraId="346E99BE" w14:textId="77777777" w:rsidR="00445D1B" w:rsidRPr="0013396E" w:rsidRDefault="00445D1B" w:rsidP="004B69AB">
            <w:pPr>
              <w:spacing w:after="60"/>
              <w:rPr>
                <w:iCs/>
                <w:sz w:val="20"/>
              </w:rPr>
            </w:pPr>
            <w:r w:rsidRPr="0013396E">
              <w:rPr>
                <w:iCs/>
                <w:sz w:val="20"/>
              </w:rPr>
              <w:lastRenderedPageBreak/>
              <w:t xml:space="preserve">OPLPAMTTOT </w:t>
            </w:r>
            <w:r w:rsidRPr="0013396E">
              <w:rPr>
                <w:i/>
                <w:iCs/>
                <w:sz w:val="20"/>
                <w:vertAlign w:val="subscript"/>
              </w:rPr>
              <w:t>i</w:t>
            </w:r>
          </w:p>
        </w:tc>
        <w:tc>
          <w:tcPr>
            <w:tcW w:w="335" w:type="pct"/>
            <w:tcBorders>
              <w:top w:val="single" w:sz="6" w:space="0" w:color="auto"/>
              <w:left w:val="single" w:sz="6" w:space="0" w:color="auto"/>
              <w:bottom w:val="single" w:sz="6" w:space="0" w:color="auto"/>
              <w:right w:val="single" w:sz="6" w:space="0" w:color="auto"/>
            </w:tcBorders>
            <w:hideMark/>
          </w:tcPr>
          <w:p w14:paraId="120CDCDA" w14:textId="77777777" w:rsidR="00445D1B" w:rsidRPr="0013396E" w:rsidRDefault="00445D1B" w:rsidP="004B69AB">
            <w:pPr>
              <w:spacing w:after="60"/>
              <w:jc w:val="center"/>
              <w:rPr>
                <w:iCs/>
                <w:sz w:val="20"/>
              </w:rPr>
            </w:pPr>
            <w:r w:rsidRPr="0013396E">
              <w:rPr>
                <w:iCs/>
                <w:sz w:val="20"/>
              </w:rPr>
              <w:t>$</w:t>
            </w:r>
          </w:p>
        </w:tc>
        <w:tc>
          <w:tcPr>
            <w:tcW w:w="3472" w:type="pct"/>
            <w:tcBorders>
              <w:top w:val="single" w:sz="6" w:space="0" w:color="auto"/>
              <w:left w:val="single" w:sz="6" w:space="0" w:color="auto"/>
              <w:bottom w:val="single" w:sz="6" w:space="0" w:color="auto"/>
              <w:right w:val="single" w:sz="4" w:space="0" w:color="auto"/>
            </w:tcBorders>
            <w:hideMark/>
          </w:tcPr>
          <w:p w14:paraId="12814DF9" w14:textId="77777777" w:rsidR="00445D1B" w:rsidRPr="0013396E" w:rsidRDefault="00445D1B" w:rsidP="004B69AB">
            <w:pPr>
              <w:spacing w:after="60"/>
              <w:rPr>
                <w:iCs/>
                <w:sz w:val="20"/>
              </w:rPr>
            </w:pPr>
            <w:r w:rsidRPr="0013396E">
              <w:rPr>
                <w:i/>
                <w:sz w:val="20"/>
              </w:rPr>
              <w:t xml:space="preserve">Total Operating Losses Payment Amount – </w:t>
            </w:r>
            <w:r w:rsidRPr="0013396E">
              <w:rPr>
                <w:iCs/>
                <w:sz w:val="20"/>
              </w:rPr>
              <w:t>The sum of Operating Losses Payments to all QSEs, for the 15-minute Settlement Interval</w:t>
            </w:r>
            <w:r w:rsidRPr="0013396E">
              <w:rPr>
                <w:i/>
                <w:iCs/>
                <w:sz w:val="20"/>
              </w:rPr>
              <w:t xml:space="preserve"> i</w:t>
            </w:r>
            <w:r w:rsidRPr="0013396E">
              <w:rPr>
                <w:iCs/>
                <w:sz w:val="20"/>
              </w:rPr>
              <w:t>.</w:t>
            </w:r>
          </w:p>
        </w:tc>
      </w:tr>
      <w:tr w:rsidR="00445D1B" w:rsidRPr="0013396E" w14:paraId="505FE61F" w14:textId="77777777" w:rsidTr="004B69AB">
        <w:tc>
          <w:tcPr>
            <w:tcW w:w="1193" w:type="pct"/>
            <w:tcBorders>
              <w:top w:val="single" w:sz="6" w:space="0" w:color="auto"/>
              <w:left w:val="single" w:sz="4" w:space="0" w:color="auto"/>
              <w:bottom w:val="single" w:sz="6" w:space="0" w:color="auto"/>
              <w:right w:val="single" w:sz="6" w:space="0" w:color="auto"/>
            </w:tcBorders>
            <w:hideMark/>
          </w:tcPr>
          <w:p w14:paraId="57E75D1C" w14:textId="77777777" w:rsidR="00445D1B" w:rsidRPr="0013396E" w:rsidRDefault="00445D1B" w:rsidP="004B69AB">
            <w:pPr>
              <w:spacing w:after="60"/>
              <w:rPr>
                <w:iCs/>
                <w:sz w:val="20"/>
              </w:rPr>
            </w:pPr>
            <w:r w:rsidRPr="0013396E">
              <w:rPr>
                <w:iCs/>
                <w:sz w:val="20"/>
              </w:rPr>
              <w:t xml:space="preserve">LRS </w:t>
            </w:r>
            <w:r w:rsidRPr="0013396E">
              <w:rPr>
                <w:i/>
                <w:iCs/>
                <w:sz w:val="20"/>
                <w:vertAlign w:val="subscript"/>
              </w:rPr>
              <w:t>q, i</w:t>
            </w:r>
          </w:p>
        </w:tc>
        <w:tc>
          <w:tcPr>
            <w:tcW w:w="335" w:type="pct"/>
            <w:tcBorders>
              <w:top w:val="single" w:sz="6" w:space="0" w:color="auto"/>
              <w:left w:val="single" w:sz="6" w:space="0" w:color="auto"/>
              <w:bottom w:val="single" w:sz="6" w:space="0" w:color="auto"/>
              <w:right w:val="single" w:sz="6" w:space="0" w:color="auto"/>
            </w:tcBorders>
            <w:hideMark/>
          </w:tcPr>
          <w:p w14:paraId="61EBD9E1" w14:textId="77777777" w:rsidR="00445D1B" w:rsidRPr="0013396E" w:rsidRDefault="00445D1B" w:rsidP="004B69AB">
            <w:pPr>
              <w:spacing w:after="60"/>
              <w:jc w:val="center"/>
              <w:rPr>
                <w:iCs/>
                <w:sz w:val="20"/>
              </w:rPr>
            </w:pPr>
            <w:r w:rsidRPr="0013396E">
              <w:rPr>
                <w:iCs/>
                <w:sz w:val="20"/>
              </w:rPr>
              <w:t>none</w:t>
            </w:r>
          </w:p>
        </w:tc>
        <w:tc>
          <w:tcPr>
            <w:tcW w:w="3472" w:type="pct"/>
            <w:tcBorders>
              <w:top w:val="single" w:sz="6" w:space="0" w:color="auto"/>
              <w:left w:val="single" w:sz="6" w:space="0" w:color="auto"/>
              <w:bottom w:val="single" w:sz="6" w:space="0" w:color="auto"/>
              <w:right w:val="single" w:sz="4" w:space="0" w:color="auto"/>
            </w:tcBorders>
            <w:hideMark/>
          </w:tcPr>
          <w:p w14:paraId="30127D5B" w14:textId="77777777" w:rsidR="00445D1B" w:rsidRPr="0013396E" w:rsidRDefault="00445D1B" w:rsidP="004B69AB">
            <w:pPr>
              <w:spacing w:after="60"/>
              <w:rPr>
                <w:i/>
                <w:iCs/>
                <w:sz w:val="20"/>
              </w:rPr>
            </w:pPr>
            <w:r w:rsidRPr="0013396E">
              <w:rPr>
                <w:i/>
                <w:iCs/>
                <w:sz w:val="20"/>
              </w:rPr>
              <w:t>Load Ratio Share</w:t>
            </w:r>
            <w:r w:rsidRPr="0013396E">
              <w:rPr>
                <w:iCs/>
                <w:sz w:val="20"/>
              </w:rPr>
              <w:t xml:space="preserve"> </w:t>
            </w:r>
            <w:r w:rsidRPr="0013396E">
              <w:rPr>
                <w:i/>
                <w:sz w:val="20"/>
              </w:rPr>
              <w:t xml:space="preserve">– </w:t>
            </w:r>
            <w:r w:rsidRPr="0013396E">
              <w:rPr>
                <w:iCs/>
                <w:sz w:val="20"/>
              </w:rPr>
              <w:t>The ratio of Adjusted Metered Load to the total ERCOT Adjusted Metered Load for the 15-minute Settlement Interval.  See Section 6.6.2, Load Ratio Share, item (2).</w:t>
            </w:r>
          </w:p>
        </w:tc>
      </w:tr>
      <w:tr w:rsidR="00445D1B" w:rsidRPr="0013396E" w14:paraId="27C10F94" w14:textId="77777777" w:rsidTr="004B69AB">
        <w:tc>
          <w:tcPr>
            <w:tcW w:w="1193" w:type="pct"/>
            <w:tcBorders>
              <w:top w:val="single" w:sz="6" w:space="0" w:color="auto"/>
              <w:left w:val="single" w:sz="4" w:space="0" w:color="auto"/>
              <w:bottom w:val="single" w:sz="6" w:space="0" w:color="auto"/>
              <w:right w:val="single" w:sz="6" w:space="0" w:color="auto"/>
            </w:tcBorders>
            <w:hideMark/>
          </w:tcPr>
          <w:p w14:paraId="0A0C19D8" w14:textId="77777777" w:rsidR="00445D1B" w:rsidRPr="0013396E" w:rsidRDefault="00445D1B" w:rsidP="004B69AB">
            <w:pPr>
              <w:spacing w:after="60"/>
              <w:rPr>
                <w:i/>
                <w:iCs/>
                <w:sz w:val="20"/>
              </w:rPr>
            </w:pPr>
            <w:r w:rsidRPr="0013396E">
              <w:rPr>
                <w:i/>
                <w:iCs/>
                <w:sz w:val="20"/>
              </w:rPr>
              <w:t>i</w:t>
            </w:r>
          </w:p>
        </w:tc>
        <w:tc>
          <w:tcPr>
            <w:tcW w:w="335" w:type="pct"/>
            <w:tcBorders>
              <w:top w:val="single" w:sz="6" w:space="0" w:color="auto"/>
              <w:left w:val="single" w:sz="6" w:space="0" w:color="auto"/>
              <w:bottom w:val="single" w:sz="6" w:space="0" w:color="auto"/>
              <w:right w:val="single" w:sz="6" w:space="0" w:color="auto"/>
            </w:tcBorders>
            <w:hideMark/>
          </w:tcPr>
          <w:p w14:paraId="0D481A23" w14:textId="77777777" w:rsidR="00445D1B" w:rsidRPr="0013396E" w:rsidRDefault="00445D1B" w:rsidP="004B69AB">
            <w:pPr>
              <w:spacing w:after="60"/>
              <w:jc w:val="center"/>
              <w:rPr>
                <w:iCs/>
                <w:sz w:val="20"/>
              </w:rPr>
            </w:pPr>
            <w:r w:rsidRPr="0013396E">
              <w:rPr>
                <w:iCs/>
                <w:sz w:val="20"/>
              </w:rPr>
              <w:t>none</w:t>
            </w:r>
          </w:p>
        </w:tc>
        <w:tc>
          <w:tcPr>
            <w:tcW w:w="3472" w:type="pct"/>
            <w:tcBorders>
              <w:top w:val="single" w:sz="6" w:space="0" w:color="auto"/>
              <w:left w:val="single" w:sz="6" w:space="0" w:color="auto"/>
              <w:bottom w:val="single" w:sz="6" w:space="0" w:color="auto"/>
              <w:right w:val="single" w:sz="4" w:space="0" w:color="auto"/>
            </w:tcBorders>
            <w:hideMark/>
          </w:tcPr>
          <w:p w14:paraId="221F59B4" w14:textId="77777777" w:rsidR="00445D1B" w:rsidRPr="0013396E" w:rsidRDefault="00445D1B" w:rsidP="004B69AB">
            <w:pPr>
              <w:spacing w:after="60"/>
              <w:rPr>
                <w:iCs/>
                <w:sz w:val="20"/>
              </w:rPr>
            </w:pPr>
            <w:r w:rsidRPr="0013396E">
              <w:rPr>
                <w:iCs/>
                <w:sz w:val="20"/>
              </w:rPr>
              <w:t>A 15-minute Settlement Interval.</w:t>
            </w:r>
          </w:p>
        </w:tc>
      </w:tr>
      <w:tr w:rsidR="00445D1B" w:rsidRPr="0013396E" w14:paraId="74611B77" w14:textId="77777777" w:rsidTr="004B69AB">
        <w:tc>
          <w:tcPr>
            <w:tcW w:w="1193" w:type="pct"/>
            <w:tcBorders>
              <w:top w:val="single" w:sz="6" w:space="0" w:color="auto"/>
              <w:left w:val="single" w:sz="4" w:space="0" w:color="auto"/>
              <w:bottom w:val="single" w:sz="6" w:space="0" w:color="auto"/>
              <w:right w:val="single" w:sz="6" w:space="0" w:color="auto"/>
            </w:tcBorders>
            <w:hideMark/>
          </w:tcPr>
          <w:p w14:paraId="347F7BA8" w14:textId="77777777" w:rsidR="00445D1B" w:rsidRPr="0013396E" w:rsidRDefault="00445D1B" w:rsidP="004B69AB">
            <w:pPr>
              <w:spacing w:after="60"/>
              <w:rPr>
                <w:i/>
                <w:iCs/>
                <w:sz w:val="20"/>
              </w:rPr>
            </w:pPr>
            <w:r w:rsidRPr="0013396E">
              <w:rPr>
                <w:i/>
                <w:iCs/>
                <w:sz w:val="20"/>
              </w:rPr>
              <w:t>q</w:t>
            </w:r>
          </w:p>
        </w:tc>
        <w:tc>
          <w:tcPr>
            <w:tcW w:w="335" w:type="pct"/>
            <w:tcBorders>
              <w:top w:val="single" w:sz="6" w:space="0" w:color="auto"/>
              <w:left w:val="single" w:sz="6" w:space="0" w:color="auto"/>
              <w:bottom w:val="single" w:sz="6" w:space="0" w:color="auto"/>
              <w:right w:val="single" w:sz="6" w:space="0" w:color="auto"/>
            </w:tcBorders>
            <w:hideMark/>
          </w:tcPr>
          <w:p w14:paraId="19B79C2C" w14:textId="77777777" w:rsidR="00445D1B" w:rsidRPr="0013396E" w:rsidRDefault="00445D1B" w:rsidP="004B69AB">
            <w:pPr>
              <w:spacing w:after="60"/>
              <w:jc w:val="center"/>
              <w:rPr>
                <w:iCs/>
                <w:sz w:val="20"/>
              </w:rPr>
            </w:pPr>
            <w:r w:rsidRPr="0013396E">
              <w:rPr>
                <w:iCs/>
                <w:sz w:val="20"/>
              </w:rPr>
              <w:t>none</w:t>
            </w:r>
          </w:p>
        </w:tc>
        <w:tc>
          <w:tcPr>
            <w:tcW w:w="3472" w:type="pct"/>
            <w:tcBorders>
              <w:top w:val="single" w:sz="6" w:space="0" w:color="auto"/>
              <w:left w:val="single" w:sz="6" w:space="0" w:color="auto"/>
              <w:bottom w:val="single" w:sz="6" w:space="0" w:color="auto"/>
              <w:right w:val="single" w:sz="4" w:space="0" w:color="auto"/>
            </w:tcBorders>
            <w:hideMark/>
          </w:tcPr>
          <w:p w14:paraId="33EF0A0B" w14:textId="77777777" w:rsidR="00445D1B" w:rsidRPr="0013396E" w:rsidRDefault="00445D1B" w:rsidP="004B69AB">
            <w:pPr>
              <w:spacing w:after="60"/>
              <w:rPr>
                <w:iCs/>
                <w:sz w:val="20"/>
              </w:rPr>
            </w:pPr>
            <w:r w:rsidRPr="0013396E">
              <w:rPr>
                <w:iCs/>
                <w:sz w:val="20"/>
              </w:rPr>
              <w:t>A QSE.</w:t>
            </w:r>
          </w:p>
        </w:tc>
      </w:tr>
    </w:tbl>
    <w:p w14:paraId="27F5A638" w14:textId="7DD6D0D5" w:rsidR="00162CAA" w:rsidRPr="000B7133" w:rsidRDefault="00162CAA" w:rsidP="000B7133">
      <w:pPr>
        <w:keepNext/>
        <w:tabs>
          <w:tab w:val="left" w:pos="1080"/>
        </w:tabs>
        <w:spacing w:before="240" w:after="240"/>
        <w:ind w:left="1080" w:hanging="1080"/>
        <w:outlineLvl w:val="2"/>
        <w:rPr>
          <w:b/>
          <w:bCs/>
          <w:i/>
          <w:iCs/>
          <w:snapToGrid w:val="0"/>
        </w:rPr>
      </w:pPr>
      <w:bookmarkStart w:id="2294" w:name="_Toc214879044"/>
      <w:bookmarkStart w:id="2295" w:name="_Hlk76542775"/>
      <w:bookmarkEnd w:id="2291"/>
      <w:bookmarkEnd w:id="2292"/>
      <w:bookmarkEnd w:id="2293"/>
      <w:r w:rsidRPr="000B7133">
        <w:rPr>
          <w:b/>
          <w:bCs/>
          <w:i/>
          <w:iCs/>
          <w:snapToGrid w:val="0"/>
        </w:rPr>
        <w:t>6.8.4    Miscellaneous Invoice for Payments and Charges for an LCAP</w:t>
      </w:r>
      <w:r w:rsidR="00445D1B" w:rsidRPr="000B7133">
        <w:rPr>
          <w:b/>
          <w:bCs/>
          <w:i/>
          <w:iCs/>
          <w:snapToGrid w:val="0"/>
        </w:rPr>
        <w:t xml:space="preserve"> or ECAP</w:t>
      </w:r>
      <w:r w:rsidRPr="000B7133">
        <w:rPr>
          <w:b/>
          <w:bCs/>
          <w:i/>
          <w:iCs/>
          <w:snapToGrid w:val="0"/>
        </w:rPr>
        <w:t xml:space="preserve"> Effective Period</w:t>
      </w:r>
      <w:bookmarkEnd w:id="2294"/>
      <w:r w:rsidRPr="000B7133">
        <w:rPr>
          <w:b/>
          <w:bCs/>
          <w:i/>
          <w:iCs/>
          <w:snapToGrid w:val="0"/>
        </w:rPr>
        <w:t xml:space="preserve">  </w:t>
      </w:r>
    </w:p>
    <w:p w14:paraId="3FD09EF7" w14:textId="77777777" w:rsidR="00445D1B" w:rsidRPr="0013396E" w:rsidRDefault="00445D1B" w:rsidP="00445D1B">
      <w:pPr>
        <w:spacing w:after="240"/>
        <w:ind w:left="720" w:hanging="720"/>
        <w:rPr>
          <w:bCs/>
          <w:iCs/>
        </w:rPr>
      </w:pPr>
      <w:r w:rsidRPr="0013396E">
        <w:rPr>
          <w:bCs/>
          <w:iCs/>
        </w:rPr>
        <w:t>(1)</w:t>
      </w:r>
      <w:r w:rsidRPr="0013396E">
        <w:rPr>
          <w:bCs/>
          <w:iCs/>
        </w:rPr>
        <w:tab/>
        <w:t>ERCOT shall issue one-time miscellaneous Invoices using the most recent available Settlement data at the time the Invoices were issued.</w:t>
      </w:r>
    </w:p>
    <w:p w14:paraId="416F3F86" w14:textId="77777777" w:rsidR="00445D1B" w:rsidRPr="0013396E" w:rsidRDefault="00445D1B" w:rsidP="00445D1B">
      <w:pPr>
        <w:spacing w:after="240"/>
        <w:ind w:left="720" w:hanging="720"/>
        <w:rPr>
          <w:bCs/>
        </w:rPr>
      </w:pPr>
      <w:r w:rsidRPr="0013396E">
        <w:rPr>
          <w:bCs/>
          <w:iCs/>
        </w:rPr>
        <w:t>(2)</w:t>
      </w:r>
      <w:r w:rsidRPr="0013396E">
        <w:rPr>
          <w:bCs/>
          <w:iCs/>
        </w:rPr>
        <w:tab/>
        <w:t xml:space="preserve">ERCOT shall issue miscellaneous Invoices to </w:t>
      </w:r>
      <w:r w:rsidRPr="0013396E">
        <w:t>QSEs</w:t>
      </w:r>
      <w:r w:rsidRPr="0013396E">
        <w:rPr>
          <w:bCs/>
          <w:iCs/>
        </w:rPr>
        <w:t xml:space="preserve"> for payment of operating losses during an LCAP or ECAP Effective Period,</w:t>
      </w:r>
      <w:r w:rsidRPr="0013396E">
        <w:rPr>
          <w:bCs/>
        </w:rPr>
        <w:t xml:space="preserve"> as described in Section 6.8.2, Recovery of Operating Losses During an LCAP or ECAP Effective Period.  </w:t>
      </w:r>
    </w:p>
    <w:p w14:paraId="63E4D0B1" w14:textId="77777777" w:rsidR="00445D1B" w:rsidRPr="0013396E" w:rsidRDefault="00445D1B" w:rsidP="00445D1B">
      <w:pPr>
        <w:spacing w:after="240"/>
        <w:ind w:left="720" w:hanging="720"/>
        <w:rPr>
          <w:bCs/>
          <w:iCs/>
        </w:rPr>
      </w:pPr>
      <w:r w:rsidRPr="0013396E">
        <w:rPr>
          <w:bCs/>
          <w:iCs/>
        </w:rPr>
        <w:t>(3)</w:t>
      </w:r>
      <w:r w:rsidRPr="0013396E">
        <w:rPr>
          <w:bCs/>
          <w:iCs/>
        </w:rPr>
        <w:tab/>
        <w:t xml:space="preserve">ERCOT shall issue miscellaneous Invoices and allocate costs to the impacted QSEs as described in Section 6.8.3, Charges for Operating Losses During an LCAP or ECAP Effective Period. </w:t>
      </w:r>
    </w:p>
    <w:p w14:paraId="21D691AA" w14:textId="6087CEB7" w:rsidR="00162CAA" w:rsidRPr="0013396E" w:rsidRDefault="00445D1B" w:rsidP="00162CAA">
      <w:pPr>
        <w:spacing w:after="240"/>
        <w:ind w:left="720" w:hanging="720"/>
        <w:rPr>
          <w:szCs w:val="24"/>
        </w:rPr>
      </w:pPr>
      <w:r w:rsidRPr="0013396E">
        <w:t>(4)</w:t>
      </w:r>
      <w:r w:rsidRPr="0013396E">
        <w:tab/>
        <w:t xml:space="preserve">ERCOT </w:t>
      </w:r>
      <w:r w:rsidRPr="0013396E">
        <w:rPr>
          <w:bCs/>
        </w:rPr>
        <w:t>shall</w:t>
      </w:r>
      <w:r w:rsidRPr="0013396E">
        <w:t xml:space="preserve"> issue a Market Notice in conjunction with the issuance of miscellaneous Invoices for payments or charges for an LCAP or ECAP Effective Period.</w:t>
      </w:r>
      <w:r w:rsidRPr="0013396E" w:rsidDel="00445D1B">
        <w:rPr>
          <w:bCs/>
          <w:iCs/>
          <w:szCs w:val="24"/>
        </w:rPr>
        <w:t xml:space="preserve"> </w:t>
      </w:r>
      <w:bookmarkEnd w:id="2295"/>
    </w:p>
    <w:p w14:paraId="5284BC3F" w14:textId="77777777" w:rsidR="008B7FF7" w:rsidRPr="0013396E" w:rsidRDefault="008B7FF7"/>
    <w:tbl>
      <w:tblPr>
        <w:tblW w:w="5000" w:type="pct"/>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8B7FF7" w:rsidRPr="00CF7EAF" w14:paraId="21E20A93" w14:textId="77777777" w:rsidTr="008B7FF7">
        <w:trPr>
          <w:trHeight w:val="206"/>
        </w:trPr>
        <w:tc>
          <w:tcPr>
            <w:tcW w:w="5000" w:type="pct"/>
            <w:tcBorders>
              <w:top w:val="single" w:sz="4" w:space="0" w:color="auto"/>
              <w:left w:val="single" w:sz="4" w:space="0" w:color="auto"/>
              <w:bottom w:val="single" w:sz="4" w:space="0" w:color="auto"/>
              <w:right w:val="single" w:sz="4" w:space="0" w:color="auto"/>
            </w:tcBorders>
            <w:shd w:val="pct12" w:color="auto" w:fill="auto"/>
          </w:tcPr>
          <w:p w14:paraId="62F3110D" w14:textId="7EEDC6FE" w:rsidR="008B7FF7" w:rsidRPr="008B7FF7" w:rsidRDefault="008B7FF7" w:rsidP="008B7FF7">
            <w:pPr>
              <w:pStyle w:val="Instructions"/>
            </w:pPr>
            <w:r w:rsidRPr="0013396E">
              <w:t>[NPRR1216:  Delete Section 6.8.4 above upon Phase 2 system implementation.]</w:t>
            </w:r>
          </w:p>
        </w:tc>
      </w:tr>
    </w:tbl>
    <w:p w14:paraId="5A66784B" w14:textId="77777777" w:rsidR="000E1BF8" w:rsidRPr="000E1BF8" w:rsidRDefault="000E1BF8" w:rsidP="000E1BF8">
      <w:pPr>
        <w:pStyle w:val="BodyText"/>
      </w:pPr>
    </w:p>
    <w:sectPr w:rsidR="000E1BF8" w:rsidRPr="000E1BF8" w:rsidSect="00163B6D">
      <w:headerReference w:type="even" r:id="rId374"/>
      <w:headerReference w:type="default" r:id="rId375"/>
      <w:footerReference w:type="default" r:id="rId376"/>
      <w:pgSz w:w="12240" w:h="15840" w:code="1"/>
      <w:pgMar w:top="1440" w:right="1440" w:bottom="1440" w:left="1440" w:header="720" w:footer="720" w:gutter="0"/>
      <w:pgNumType w:start="1" w:chapStyle="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005EE" w14:textId="77777777" w:rsidR="00CE2F4B" w:rsidRDefault="00CE2F4B">
      <w:r>
        <w:separator/>
      </w:r>
    </w:p>
  </w:endnote>
  <w:endnote w:type="continuationSeparator" w:id="0">
    <w:p w14:paraId="4B824C38" w14:textId="77777777" w:rsidR="00CE2F4B" w:rsidRDefault="00CE2F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Times New Roman Bold">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EB107" w14:textId="77777777" w:rsidR="00847E53" w:rsidRDefault="00847E5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6-4</w:t>
    </w:r>
    <w:r>
      <w:rPr>
        <w:rStyle w:val="PageNumber"/>
      </w:rPr>
      <w:fldChar w:fldCharType="end"/>
    </w:r>
  </w:p>
  <w:p w14:paraId="62BA06B9" w14:textId="77777777" w:rsidR="00847E53" w:rsidRDefault="00847E5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5B7FC" w14:textId="77777777" w:rsidR="00847E53" w:rsidRDefault="00847E53">
    <w:pPr>
      <w:pStyle w:val="Footer"/>
      <w:pBdr>
        <w:top w:val="none" w:sz="0" w:space="0" w:color="auto"/>
      </w:pBdr>
      <w:jc w:val="center"/>
    </w:pPr>
    <w: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C5E6A" w14:textId="19770513" w:rsidR="00847E53" w:rsidRDefault="00847E53">
    <w:pPr>
      <w:pStyle w:val="Footer"/>
      <w:spacing w:before="0" w:after="0"/>
    </w:pPr>
    <w:r>
      <w:t xml:space="preserve">ERCOT Nodal Protocols – </w:t>
    </w:r>
    <w:r w:rsidR="00BD31B0">
      <w:t>April 1</w:t>
    </w:r>
    <w:r>
      <w:t>, 202</w:t>
    </w:r>
    <w:r w:rsidR="00BD31B0">
      <w:t>6</w:t>
    </w:r>
  </w:p>
  <w:p w14:paraId="0D9EECB1" w14:textId="77777777" w:rsidR="00847E53" w:rsidRDefault="00847E53">
    <w:pPr>
      <w:pStyle w:val="Footer"/>
      <w:spacing w:before="0" w:after="0"/>
      <w:jc w:val="center"/>
    </w:pPr>
    <w:r>
      <w:t>PUBLIC</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C0840" w14:textId="121064BF" w:rsidR="00847E53" w:rsidRDefault="00847E53">
    <w:pPr>
      <w:pStyle w:val="Footer"/>
      <w:spacing w:before="0" w:after="0"/>
    </w:pPr>
    <w:r>
      <w:t xml:space="preserve">ERCOT Nodal Protocols – </w:t>
    </w:r>
    <w:r w:rsidR="00F26F09">
      <w:t>April</w:t>
    </w:r>
    <w:r w:rsidR="00AD58D8">
      <w:t xml:space="preserve"> </w:t>
    </w:r>
    <w:r w:rsidR="00F26F09">
      <w:t>1</w:t>
    </w:r>
    <w:r>
      <w:t>, 202</w:t>
    </w:r>
    <w:r w:rsidR="00F26F09">
      <w:t>6</w:t>
    </w:r>
    <w:r>
      <w:tab/>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6-113</w:t>
    </w:r>
    <w:r>
      <w:rPr>
        <w:rStyle w:val="PageNumber"/>
      </w:rPr>
      <w:fldChar w:fldCharType="end"/>
    </w:r>
  </w:p>
  <w:p w14:paraId="63C56D18" w14:textId="77777777" w:rsidR="00847E53" w:rsidRDefault="00847E53">
    <w:pPr>
      <w:pStyle w:val="Footer"/>
      <w:spacing w:before="0" w:after="0"/>
      <w:jc w:val="center"/>
    </w:pPr>
    <w: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869F21" w14:textId="77777777" w:rsidR="00CE2F4B" w:rsidRDefault="00CE2F4B">
      <w:r>
        <w:separator/>
      </w:r>
    </w:p>
  </w:footnote>
  <w:footnote w:type="continuationSeparator" w:id="0">
    <w:p w14:paraId="75F711FE" w14:textId="77777777" w:rsidR="00CE2F4B" w:rsidRDefault="00CE2F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659C0" w14:textId="77777777" w:rsidR="00847E53" w:rsidRDefault="00847E53">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F47CA" w14:textId="77777777" w:rsidR="00847E53" w:rsidRDefault="00847E53">
    <w:pPr>
      <w:pStyle w:val="Header"/>
    </w:pPr>
    <w:r>
      <w:t>Section 6:  Table of Contents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C0EAA" w14:textId="77777777" w:rsidR="00847E53" w:rsidRDefault="00847E53"/>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10148" w14:textId="77777777" w:rsidR="00847E53" w:rsidRDefault="00847E53">
    <w:pPr>
      <w:pStyle w:val="Header"/>
    </w:pPr>
    <w:r>
      <w:t>Section 6:  Adjustment Period and Real-Time Operations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F7A2FD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E6062D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4FCA17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246A37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866F5E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B94A24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31A19B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7344DE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4EAA40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D0E323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12" w15:restartNumberingAfterBreak="0">
    <w:nsid w:val="01331FBD"/>
    <w:multiLevelType w:val="hybridMultilevel"/>
    <w:tmpl w:val="206E6AEC"/>
    <w:lvl w:ilvl="0" w:tplc="9DA0B14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05E42166"/>
    <w:multiLevelType w:val="hybridMultilevel"/>
    <w:tmpl w:val="1854A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63E27D5"/>
    <w:multiLevelType w:val="hybridMultilevel"/>
    <w:tmpl w:val="A0FC7628"/>
    <w:lvl w:ilvl="0" w:tplc="6714F8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EAC17CB"/>
    <w:multiLevelType w:val="hybridMultilevel"/>
    <w:tmpl w:val="D444EEA0"/>
    <w:lvl w:ilvl="0" w:tplc="9DA0B14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5B1676E"/>
    <w:multiLevelType w:val="hybridMultilevel"/>
    <w:tmpl w:val="667E7C30"/>
    <w:lvl w:ilvl="0" w:tplc="FFFFFFFF">
      <w:start w:val="1"/>
      <w:numFmt w:val="bullet"/>
      <w:pStyle w:val="TableBulletBullet"/>
      <w:lvlText w:val="o"/>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0DF51AB"/>
    <w:multiLevelType w:val="hybridMultilevel"/>
    <w:tmpl w:val="43489124"/>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2DC01D7"/>
    <w:multiLevelType w:val="hybridMultilevel"/>
    <w:tmpl w:val="CA5E0E18"/>
    <w:lvl w:ilvl="0" w:tplc="055C06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3A24688"/>
    <w:multiLevelType w:val="hybridMultilevel"/>
    <w:tmpl w:val="25C09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4F92F37"/>
    <w:multiLevelType w:val="hybridMultilevel"/>
    <w:tmpl w:val="3334A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E522E52"/>
    <w:multiLevelType w:val="hybridMultilevel"/>
    <w:tmpl w:val="AD08915E"/>
    <w:lvl w:ilvl="0" w:tplc="B642888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3F87D58"/>
    <w:multiLevelType w:val="hybridMultilevel"/>
    <w:tmpl w:val="F39062F8"/>
    <w:lvl w:ilvl="0" w:tplc="FFFFFFFF">
      <w:start w:val="1"/>
      <w:numFmt w:val="bullet"/>
      <w:lvlText w:val=""/>
      <w:lvlJc w:val="left"/>
      <w:pPr>
        <w:tabs>
          <w:tab w:val="num" w:pos="2520"/>
        </w:tabs>
        <w:ind w:left="2520" w:hanging="720"/>
      </w:pPr>
      <w:rPr>
        <w:rFonts w:ascii="Symbol" w:hAnsi="Symbol" w:hint="default"/>
      </w:rPr>
    </w:lvl>
    <w:lvl w:ilvl="1" w:tplc="FFFFFFFF" w:tentative="1">
      <w:start w:val="1"/>
      <w:numFmt w:val="bullet"/>
      <w:lvlText w:val="o"/>
      <w:lvlJc w:val="left"/>
      <w:pPr>
        <w:tabs>
          <w:tab w:val="num" w:pos="3960"/>
        </w:tabs>
        <w:ind w:left="3960" w:hanging="360"/>
      </w:pPr>
      <w:rPr>
        <w:rFonts w:ascii="Courier New" w:hAnsi="Courier New" w:hint="default"/>
      </w:rPr>
    </w:lvl>
    <w:lvl w:ilvl="2" w:tplc="FFFFFFFF" w:tentative="1">
      <w:start w:val="1"/>
      <w:numFmt w:val="bullet"/>
      <w:lvlText w:val=""/>
      <w:lvlJc w:val="left"/>
      <w:pPr>
        <w:tabs>
          <w:tab w:val="num" w:pos="4680"/>
        </w:tabs>
        <w:ind w:left="4680" w:hanging="360"/>
      </w:pPr>
      <w:rPr>
        <w:rFonts w:ascii="Wingdings" w:hAnsi="Wingdings" w:hint="default"/>
      </w:rPr>
    </w:lvl>
    <w:lvl w:ilvl="3" w:tplc="FFFFFFFF" w:tentative="1">
      <w:start w:val="1"/>
      <w:numFmt w:val="bullet"/>
      <w:lvlText w:val=""/>
      <w:lvlJc w:val="left"/>
      <w:pPr>
        <w:tabs>
          <w:tab w:val="num" w:pos="5400"/>
        </w:tabs>
        <w:ind w:left="5400" w:hanging="360"/>
      </w:pPr>
      <w:rPr>
        <w:rFonts w:ascii="Symbol" w:hAnsi="Symbol" w:hint="default"/>
      </w:rPr>
    </w:lvl>
    <w:lvl w:ilvl="4" w:tplc="FFFFFFFF" w:tentative="1">
      <w:start w:val="1"/>
      <w:numFmt w:val="bullet"/>
      <w:lvlText w:val="o"/>
      <w:lvlJc w:val="left"/>
      <w:pPr>
        <w:tabs>
          <w:tab w:val="num" w:pos="6120"/>
        </w:tabs>
        <w:ind w:left="6120" w:hanging="360"/>
      </w:pPr>
      <w:rPr>
        <w:rFonts w:ascii="Courier New" w:hAnsi="Courier New" w:hint="default"/>
      </w:rPr>
    </w:lvl>
    <w:lvl w:ilvl="5" w:tplc="FFFFFFFF" w:tentative="1">
      <w:start w:val="1"/>
      <w:numFmt w:val="bullet"/>
      <w:lvlText w:val=""/>
      <w:lvlJc w:val="left"/>
      <w:pPr>
        <w:tabs>
          <w:tab w:val="num" w:pos="6840"/>
        </w:tabs>
        <w:ind w:left="6840" w:hanging="360"/>
      </w:pPr>
      <w:rPr>
        <w:rFonts w:ascii="Wingdings" w:hAnsi="Wingdings" w:hint="default"/>
      </w:rPr>
    </w:lvl>
    <w:lvl w:ilvl="6" w:tplc="FFFFFFFF" w:tentative="1">
      <w:start w:val="1"/>
      <w:numFmt w:val="bullet"/>
      <w:lvlText w:val=""/>
      <w:lvlJc w:val="left"/>
      <w:pPr>
        <w:tabs>
          <w:tab w:val="num" w:pos="7560"/>
        </w:tabs>
        <w:ind w:left="7560" w:hanging="360"/>
      </w:pPr>
      <w:rPr>
        <w:rFonts w:ascii="Symbol" w:hAnsi="Symbol" w:hint="default"/>
      </w:rPr>
    </w:lvl>
    <w:lvl w:ilvl="7" w:tplc="FFFFFFFF" w:tentative="1">
      <w:start w:val="1"/>
      <w:numFmt w:val="bullet"/>
      <w:lvlText w:val="o"/>
      <w:lvlJc w:val="left"/>
      <w:pPr>
        <w:tabs>
          <w:tab w:val="num" w:pos="8280"/>
        </w:tabs>
        <w:ind w:left="8280" w:hanging="360"/>
      </w:pPr>
      <w:rPr>
        <w:rFonts w:ascii="Courier New" w:hAnsi="Courier New" w:hint="default"/>
      </w:rPr>
    </w:lvl>
    <w:lvl w:ilvl="8" w:tplc="FFFFFFFF" w:tentative="1">
      <w:start w:val="1"/>
      <w:numFmt w:val="bullet"/>
      <w:lvlText w:val=""/>
      <w:lvlJc w:val="left"/>
      <w:pPr>
        <w:tabs>
          <w:tab w:val="num" w:pos="9000"/>
        </w:tabs>
        <w:ind w:left="9000" w:hanging="360"/>
      </w:pPr>
      <w:rPr>
        <w:rFonts w:ascii="Wingdings" w:hAnsi="Wingdings" w:hint="default"/>
      </w:rPr>
    </w:lvl>
  </w:abstractNum>
  <w:abstractNum w:abstractNumId="25" w15:restartNumberingAfterBreak="0">
    <w:nsid w:val="4A823264"/>
    <w:multiLevelType w:val="hybridMultilevel"/>
    <w:tmpl w:val="3DBCD944"/>
    <w:lvl w:ilvl="0" w:tplc="8258020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9EF626A"/>
    <w:multiLevelType w:val="multilevel"/>
    <w:tmpl w:val="7DA4985E"/>
    <w:lvl w:ilvl="0">
      <w:start w:val="6"/>
      <w:numFmt w:val="decimal"/>
      <w:lvlText w:val="%1"/>
      <w:lvlJc w:val="left"/>
      <w:pPr>
        <w:tabs>
          <w:tab w:val="num" w:pos="1260"/>
        </w:tabs>
        <w:ind w:left="1260" w:hanging="1260"/>
      </w:pPr>
      <w:rPr>
        <w:rFonts w:hint="default"/>
      </w:rPr>
    </w:lvl>
    <w:lvl w:ilvl="1">
      <w:start w:val="6"/>
      <w:numFmt w:val="decimal"/>
      <w:lvlText w:val="%1.%2"/>
      <w:lvlJc w:val="left"/>
      <w:pPr>
        <w:tabs>
          <w:tab w:val="num" w:pos="1260"/>
        </w:tabs>
        <w:ind w:left="1260" w:hanging="1260"/>
      </w:pPr>
      <w:rPr>
        <w:rFonts w:hint="default"/>
      </w:rPr>
    </w:lvl>
    <w:lvl w:ilvl="2">
      <w:start w:val="1"/>
      <w:numFmt w:val="decimal"/>
      <w:lvlText w:val="%1.%2.%3"/>
      <w:lvlJc w:val="left"/>
      <w:pPr>
        <w:tabs>
          <w:tab w:val="num" w:pos="1260"/>
        </w:tabs>
        <w:ind w:left="1260" w:hanging="1260"/>
      </w:pPr>
      <w:rPr>
        <w:rFonts w:hint="default"/>
      </w:rPr>
    </w:lvl>
    <w:lvl w:ilvl="3">
      <w:start w:val="5"/>
      <w:numFmt w:val="decimal"/>
      <w:lvlText w:val="%1.%2.%3.%4"/>
      <w:lvlJc w:val="left"/>
      <w:pPr>
        <w:tabs>
          <w:tab w:val="num" w:pos="1260"/>
        </w:tabs>
        <w:ind w:left="1260" w:hanging="1260"/>
      </w:pPr>
      <w:rPr>
        <w:rFonts w:hint="default"/>
      </w:rPr>
    </w:lvl>
    <w:lvl w:ilvl="4">
      <w:start w:val="1"/>
      <w:numFmt w:val="decimal"/>
      <w:lvlText w:val="%1.%2.%3.%4.%5"/>
      <w:lvlJc w:val="left"/>
      <w:pPr>
        <w:tabs>
          <w:tab w:val="num" w:pos="1260"/>
        </w:tabs>
        <w:ind w:left="1260" w:hanging="1260"/>
      </w:pPr>
      <w:rPr>
        <w:rFonts w:hint="default"/>
      </w:rPr>
    </w:lvl>
    <w:lvl w:ilvl="5">
      <w:start w:val="1"/>
      <w:numFmt w:val="decimal"/>
      <w:lvlText w:val="%1.%2.%3.%4.%5.%6"/>
      <w:lvlJc w:val="left"/>
      <w:pPr>
        <w:tabs>
          <w:tab w:val="num" w:pos="1260"/>
        </w:tabs>
        <w:ind w:left="1260" w:hanging="126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5F00576E"/>
    <w:multiLevelType w:val="hybridMultilevel"/>
    <w:tmpl w:val="9B94FD1C"/>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29"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0" w15:restartNumberingAfterBreak="0">
    <w:nsid w:val="66510064"/>
    <w:multiLevelType w:val="multilevel"/>
    <w:tmpl w:val="C3CC0A34"/>
    <w:lvl w:ilvl="0">
      <w:start w:val="6"/>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1"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B735B7"/>
    <w:multiLevelType w:val="hybridMultilevel"/>
    <w:tmpl w:val="F252E148"/>
    <w:lvl w:ilvl="0" w:tplc="DD0247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7ACC4596"/>
    <w:multiLevelType w:val="hybridMultilevel"/>
    <w:tmpl w:val="3D0A2E26"/>
    <w:lvl w:ilvl="0" w:tplc="412A4CD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588394967">
    <w:abstractNumId w:val="30"/>
  </w:num>
  <w:num w:numId="2" w16cid:durableId="1523787623">
    <w:abstractNumId w:val="18"/>
  </w:num>
  <w:num w:numId="3" w16cid:durableId="642658412">
    <w:abstractNumId w:val="17"/>
  </w:num>
  <w:num w:numId="4" w16cid:durableId="1318267891">
    <w:abstractNumId w:val="26"/>
  </w:num>
  <w:num w:numId="5" w16cid:durableId="303512108">
    <w:abstractNumId w:val="12"/>
  </w:num>
  <w:num w:numId="6" w16cid:durableId="486629358">
    <w:abstractNumId w:val="15"/>
  </w:num>
  <w:num w:numId="7" w16cid:durableId="1663117771">
    <w:abstractNumId w:val="9"/>
  </w:num>
  <w:num w:numId="8" w16cid:durableId="92286252">
    <w:abstractNumId w:val="7"/>
  </w:num>
  <w:num w:numId="9" w16cid:durableId="1175457146">
    <w:abstractNumId w:val="6"/>
  </w:num>
  <w:num w:numId="10" w16cid:durableId="1618370192">
    <w:abstractNumId w:val="5"/>
  </w:num>
  <w:num w:numId="11" w16cid:durableId="972828304">
    <w:abstractNumId w:val="4"/>
  </w:num>
  <w:num w:numId="12" w16cid:durableId="1467358918">
    <w:abstractNumId w:val="8"/>
  </w:num>
  <w:num w:numId="13" w16cid:durableId="1920091159">
    <w:abstractNumId w:val="3"/>
  </w:num>
  <w:num w:numId="14" w16cid:durableId="1678536635">
    <w:abstractNumId w:val="2"/>
  </w:num>
  <w:num w:numId="15" w16cid:durableId="2018146079">
    <w:abstractNumId w:val="1"/>
  </w:num>
  <w:num w:numId="16" w16cid:durableId="1682321493">
    <w:abstractNumId w:val="0"/>
  </w:num>
  <w:num w:numId="17" w16cid:durableId="593170576">
    <w:abstractNumId w:val="35"/>
  </w:num>
  <w:num w:numId="18" w16cid:durableId="1082946959">
    <w:abstractNumId w:val="21"/>
  </w:num>
  <w:num w:numId="19" w16cid:durableId="656691241">
    <w:abstractNumId w:val="36"/>
  </w:num>
  <w:num w:numId="20" w16cid:durableId="208759907">
    <w:abstractNumId w:val="23"/>
  </w:num>
  <w:num w:numId="21" w16cid:durableId="101607424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49347319">
    <w:abstractNumId w:val="37"/>
  </w:num>
  <w:num w:numId="23" w16cid:durableId="1255866520">
    <w:abstractNumId w:val="11"/>
  </w:num>
  <w:num w:numId="24" w16cid:durableId="1221408044">
    <w:abstractNumId w:val="17"/>
  </w:num>
  <w:num w:numId="25" w16cid:durableId="1640651447">
    <w:abstractNumId w:val="18"/>
  </w:num>
  <w:num w:numId="26" w16cid:durableId="460271880">
    <w:abstractNumId w:val="19"/>
  </w:num>
  <w:num w:numId="27" w16cid:durableId="399790951">
    <w:abstractNumId w:val="25"/>
  </w:num>
  <w:num w:numId="28" w16cid:durableId="2070379207">
    <w:abstractNumId w:val="32"/>
  </w:num>
  <w:num w:numId="29" w16cid:durableId="403720512">
    <w:abstractNumId w:val="24"/>
  </w:num>
  <w:num w:numId="30" w16cid:durableId="813646416">
    <w:abstractNumId w:val="27"/>
  </w:num>
  <w:num w:numId="31" w16cid:durableId="211887938">
    <w:abstractNumId w:val="13"/>
  </w:num>
  <w:num w:numId="32" w16cid:durableId="525410908">
    <w:abstractNumId w:val="28"/>
  </w:num>
  <w:num w:numId="33" w16cid:durableId="1809593539">
    <w:abstractNumId w:val="10"/>
  </w:num>
  <w:num w:numId="34" w16cid:durableId="1265264300">
    <w:abstractNumId w:val="29"/>
  </w:num>
  <w:num w:numId="35" w16cid:durableId="210114154">
    <w:abstractNumId w:val="33"/>
  </w:num>
  <w:num w:numId="36" w16cid:durableId="143471110">
    <w:abstractNumId w:val="34"/>
  </w:num>
  <w:num w:numId="37" w16cid:durableId="1866793999">
    <w:abstractNumId w:val="22"/>
  </w:num>
  <w:num w:numId="38" w16cid:durableId="1996520035">
    <w:abstractNumId w:val="31"/>
  </w:num>
  <w:num w:numId="39" w16cid:durableId="948467893">
    <w:abstractNumId w:val="16"/>
  </w:num>
  <w:num w:numId="40" w16cid:durableId="2135127544">
    <w:abstractNumId w:val="14"/>
  </w:num>
  <w:num w:numId="41" w16cid:durableId="33962831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582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FF9"/>
    <w:rsid w:val="00000566"/>
    <w:rsid w:val="0000090E"/>
    <w:rsid w:val="00000CED"/>
    <w:rsid w:val="00001C85"/>
    <w:rsid w:val="00001F04"/>
    <w:rsid w:val="00002480"/>
    <w:rsid w:val="000026E4"/>
    <w:rsid w:val="000028CC"/>
    <w:rsid w:val="00002953"/>
    <w:rsid w:val="00002B0B"/>
    <w:rsid w:val="00002E40"/>
    <w:rsid w:val="00003B7A"/>
    <w:rsid w:val="00004439"/>
    <w:rsid w:val="00004794"/>
    <w:rsid w:val="000054C9"/>
    <w:rsid w:val="000055C2"/>
    <w:rsid w:val="00005EAE"/>
    <w:rsid w:val="00006761"/>
    <w:rsid w:val="00006A9F"/>
    <w:rsid w:val="000071AF"/>
    <w:rsid w:val="000073DF"/>
    <w:rsid w:val="0000784E"/>
    <w:rsid w:val="00007CEC"/>
    <w:rsid w:val="000101A0"/>
    <w:rsid w:val="0001084D"/>
    <w:rsid w:val="00010E34"/>
    <w:rsid w:val="00011466"/>
    <w:rsid w:val="00011D3F"/>
    <w:rsid w:val="00012013"/>
    <w:rsid w:val="00012F03"/>
    <w:rsid w:val="00013237"/>
    <w:rsid w:val="0001484D"/>
    <w:rsid w:val="00015350"/>
    <w:rsid w:val="00015475"/>
    <w:rsid w:val="00015E6D"/>
    <w:rsid w:val="00016609"/>
    <w:rsid w:val="000169BA"/>
    <w:rsid w:val="00016A30"/>
    <w:rsid w:val="00017821"/>
    <w:rsid w:val="00017E10"/>
    <w:rsid w:val="00020052"/>
    <w:rsid w:val="00020654"/>
    <w:rsid w:val="00020E00"/>
    <w:rsid w:val="000229CF"/>
    <w:rsid w:val="00022B1F"/>
    <w:rsid w:val="00023971"/>
    <w:rsid w:val="00024571"/>
    <w:rsid w:val="00024DA7"/>
    <w:rsid w:val="00025D0B"/>
    <w:rsid w:val="000266C6"/>
    <w:rsid w:val="0002693D"/>
    <w:rsid w:val="00026B75"/>
    <w:rsid w:val="00026D8B"/>
    <w:rsid w:val="00030906"/>
    <w:rsid w:val="0003094A"/>
    <w:rsid w:val="00031AC3"/>
    <w:rsid w:val="000333B4"/>
    <w:rsid w:val="00035822"/>
    <w:rsid w:val="00036295"/>
    <w:rsid w:val="000363CB"/>
    <w:rsid w:val="00036739"/>
    <w:rsid w:val="000402E8"/>
    <w:rsid w:val="00041023"/>
    <w:rsid w:val="00041084"/>
    <w:rsid w:val="0004177A"/>
    <w:rsid w:val="0004184E"/>
    <w:rsid w:val="00042001"/>
    <w:rsid w:val="00043BF4"/>
    <w:rsid w:val="00043CF0"/>
    <w:rsid w:val="00043D95"/>
    <w:rsid w:val="00044161"/>
    <w:rsid w:val="000445FA"/>
    <w:rsid w:val="00045AB4"/>
    <w:rsid w:val="00045FBB"/>
    <w:rsid w:val="000468AC"/>
    <w:rsid w:val="00046A15"/>
    <w:rsid w:val="00050246"/>
    <w:rsid w:val="0005057D"/>
    <w:rsid w:val="00050CAD"/>
    <w:rsid w:val="000520A3"/>
    <w:rsid w:val="00052561"/>
    <w:rsid w:val="000526E3"/>
    <w:rsid w:val="00052DE1"/>
    <w:rsid w:val="00052E36"/>
    <w:rsid w:val="0005352F"/>
    <w:rsid w:val="00054291"/>
    <w:rsid w:val="000545FA"/>
    <w:rsid w:val="00054A09"/>
    <w:rsid w:val="000554AB"/>
    <w:rsid w:val="00057024"/>
    <w:rsid w:val="000577FD"/>
    <w:rsid w:val="00057FF4"/>
    <w:rsid w:val="00060778"/>
    <w:rsid w:val="00060FF0"/>
    <w:rsid w:val="00061574"/>
    <w:rsid w:val="000619A3"/>
    <w:rsid w:val="000626A9"/>
    <w:rsid w:val="000627E2"/>
    <w:rsid w:val="00062ED5"/>
    <w:rsid w:val="00062F25"/>
    <w:rsid w:val="00062F8C"/>
    <w:rsid w:val="0006334F"/>
    <w:rsid w:val="00064207"/>
    <w:rsid w:val="00064475"/>
    <w:rsid w:val="00065446"/>
    <w:rsid w:val="00065EC3"/>
    <w:rsid w:val="0006793C"/>
    <w:rsid w:val="00070608"/>
    <w:rsid w:val="00071F04"/>
    <w:rsid w:val="00071FE7"/>
    <w:rsid w:val="0007207E"/>
    <w:rsid w:val="00072829"/>
    <w:rsid w:val="00073351"/>
    <w:rsid w:val="00073C0E"/>
    <w:rsid w:val="00073F39"/>
    <w:rsid w:val="00073FC4"/>
    <w:rsid w:val="00074730"/>
    <w:rsid w:val="00074771"/>
    <w:rsid w:val="000747B5"/>
    <w:rsid w:val="00074FED"/>
    <w:rsid w:val="00075DEB"/>
    <w:rsid w:val="00075F06"/>
    <w:rsid w:val="00077376"/>
    <w:rsid w:val="00077764"/>
    <w:rsid w:val="000778B5"/>
    <w:rsid w:val="000778F6"/>
    <w:rsid w:val="00077C18"/>
    <w:rsid w:val="000800A9"/>
    <w:rsid w:val="000809F8"/>
    <w:rsid w:val="00082248"/>
    <w:rsid w:val="0008276E"/>
    <w:rsid w:val="00082984"/>
    <w:rsid w:val="0008391D"/>
    <w:rsid w:val="00083A07"/>
    <w:rsid w:val="00083DC3"/>
    <w:rsid w:val="000846BC"/>
    <w:rsid w:val="00086215"/>
    <w:rsid w:val="00086327"/>
    <w:rsid w:val="00086EAB"/>
    <w:rsid w:val="000871CF"/>
    <w:rsid w:val="00087F34"/>
    <w:rsid w:val="00090907"/>
    <w:rsid w:val="00090A9F"/>
    <w:rsid w:val="00091181"/>
    <w:rsid w:val="0009153B"/>
    <w:rsid w:val="0009164A"/>
    <w:rsid w:val="00091795"/>
    <w:rsid w:val="00091864"/>
    <w:rsid w:val="000932C9"/>
    <w:rsid w:val="000935B3"/>
    <w:rsid w:val="00093CD6"/>
    <w:rsid w:val="000946E5"/>
    <w:rsid w:val="00094CCC"/>
    <w:rsid w:val="0009513E"/>
    <w:rsid w:val="00095A39"/>
    <w:rsid w:val="00096089"/>
    <w:rsid w:val="00096737"/>
    <w:rsid w:val="00096A8C"/>
    <w:rsid w:val="00096CDE"/>
    <w:rsid w:val="00096EA3"/>
    <w:rsid w:val="0009759D"/>
    <w:rsid w:val="00097790"/>
    <w:rsid w:val="00097886"/>
    <w:rsid w:val="000A0348"/>
    <w:rsid w:val="000A1457"/>
    <w:rsid w:val="000A1D62"/>
    <w:rsid w:val="000A1FB1"/>
    <w:rsid w:val="000A23D1"/>
    <w:rsid w:val="000A297B"/>
    <w:rsid w:val="000A2AC2"/>
    <w:rsid w:val="000A4787"/>
    <w:rsid w:val="000A52C2"/>
    <w:rsid w:val="000A64BE"/>
    <w:rsid w:val="000A6A84"/>
    <w:rsid w:val="000A71A7"/>
    <w:rsid w:val="000A71B4"/>
    <w:rsid w:val="000B094E"/>
    <w:rsid w:val="000B1D41"/>
    <w:rsid w:val="000B2AE1"/>
    <w:rsid w:val="000B2DD1"/>
    <w:rsid w:val="000B3F7E"/>
    <w:rsid w:val="000B4BD6"/>
    <w:rsid w:val="000B53D6"/>
    <w:rsid w:val="000B5736"/>
    <w:rsid w:val="000B6981"/>
    <w:rsid w:val="000B7133"/>
    <w:rsid w:val="000B7373"/>
    <w:rsid w:val="000C0211"/>
    <w:rsid w:val="000C0366"/>
    <w:rsid w:val="000C0509"/>
    <w:rsid w:val="000C051B"/>
    <w:rsid w:val="000C109E"/>
    <w:rsid w:val="000C1590"/>
    <w:rsid w:val="000C1E34"/>
    <w:rsid w:val="000C1EEE"/>
    <w:rsid w:val="000C2249"/>
    <w:rsid w:val="000C2966"/>
    <w:rsid w:val="000C2F8C"/>
    <w:rsid w:val="000C30B5"/>
    <w:rsid w:val="000C30C4"/>
    <w:rsid w:val="000C52C9"/>
    <w:rsid w:val="000C5652"/>
    <w:rsid w:val="000C5F44"/>
    <w:rsid w:val="000C668E"/>
    <w:rsid w:val="000C6FFF"/>
    <w:rsid w:val="000C710D"/>
    <w:rsid w:val="000C75DF"/>
    <w:rsid w:val="000C75ED"/>
    <w:rsid w:val="000C76D1"/>
    <w:rsid w:val="000D0678"/>
    <w:rsid w:val="000D0883"/>
    <w:rsid w:val="000D14FE"/>
    <w:rsid w:val="000D1A5D"/>
    <w:rsid w:val="000D1C0D"/>
    <w:rsid w:val="000D262D"/>
    <w:rsid w:val="000D2EEE"/>
    <w:rsid w:val="000D3AEA"/>
    <w:rsid w:val="000D3DC1"/>
    <w:rsid w:val="000D4C38"/>
    <w:rsid w:val="000D4D62"/>
    <w:rsid w:val="000D500E"/>
    <w:rsid w:val="000D534C"/>
    <w:rsid w:val="000D5541"/>
    <w:rsid w:val="000D62ED"/>
    <w:rsid w:val="000D657F"/>
    <w:rsid w:val="000D6728"/>
    <w:rsid w:val="000D6E93"/>
    <w:rsid w:val="000D7276"/>
    <w:rsid w:val="000D7680"/>
    <w:rsid w:val="000E0031"/>
    <w:rsid w:val="000E087D"/>
    <w:rsid w:val="000E16BC"/>
    <w:rsid w:val="000E178A"/>
    <w:rsid w:val="000E17E6"/>
    <w:rsid w:val="000E1B9D"/>
    <w:rsid w:val="000E1BF8"/>
    <w:rsid w:val="000E20D3"/>
    <w:rsid w:val="000E22A9"/>
    <w:rsid w:val="000E28A8"/>
    <w:rsid w:val="000E2F2C"/>
    <w:rsid w:val="000E3447"/>
    <w:rsid w:val="000E356A"/>
    <w:rsid w:val="000E3735"/>
    <w:rsid w:val="000E3A0F"/>
    <w:rsid w:val="000E412A"/>
    <w:rsid w:val="000E4CFB"/>
    <w:rsid w:val="000E5065"/>
    <w:rsid w:val="000E55F3"/>
    <w:rsid w:val="000E5916"/>
    <w:rsid w:val="000E6D97"/>
    <w:rsid w:val="000E795F"/>
    <w:rsid w:val="000F00BD"/>
    <w:rsid w:val="000F0BAD"/>
    <w:rsid w:val="000F19D4"/>
    <w:rsid w:val="000F2BCF"/>
    <w:rsid w:val="000F30A5"/>
    <w:rsid w:val="000F3CEA"/>
    <w:rsid w:val="000F448F"/>
    <w:rsid w:val="000F620F"/>
    <w:rsid w:val="000F6422"/>
    <w:rsid w:val="000F6AB9"/>
    <w:rsid w:val="000F6ECD"/>
    <w:rsid w:val="000F7537"/>
    <w:rsid w:val="000F78EE"/>
    <w:rsid w:val="000F793F"/>
    <w:rsid w:val="001003E6"/>
    <w:rsid w:val="001016DD"/>
    <w:rsid w:val="00101702"/>
    <w:rsid w:val="00101759"/>
    <w:rsid w:val="00101E04"/>
    <w:rsid w:val="00101FDF"/>
    <w:rsid w:val="00102C7D"/>
    <w:rsid w:val="00103BC5"/>
    <w:rsid w:val="001047CF"/>
    <w:rsid w:val="001050F2"/>
    <w:rsid w:val="001055C2"/>
    <w:rsid w:val="001060D1"/>
    <w:rsid w:val="001074ED"/>
    <w:rsid w:val="00107CC2"/>
    <w:rsid w:val="001100BF"/>
    <w:rsid w:val="001106C6"/>
    <w:rsid w:val="00110CAA"/>
    <w:rsid w:val="0011126C"/>
    <w:rsid w:val="00111762"/>
    <w:rsid w:val="0011301A"/>
    <w:rsid w:val="0011303E"/>
    <w:rsid w:val="001132CD"/>
    <w:rsid w:val="0011352E"/>
    <w:rsid w:val="001138B9"/>
    <w:rsid w:val="001140F6"/>
    <w:rsid w:val="00114164"/>
    <w:rsid w:val="0011669A"/>
    <w:rsid w:val="00120D60"/>
    <w:rsid w:val="001225FF"/>
    <w:rsid w:val="00122777"/>
    <w:rsid w:val="00122925"/>
    <w:rsid w:val="001232F6"/>
    <w:rsid w:val="00123F28"/>
    <w:rsid w:val="00124410"/>
    <w:rsid w:val="00124B89"/>
    <w:rsid w:val="00124CA4"/>
    <w:rsid w:val="00124CD9"/>
    <w:rsid w:val="00124DCF"/>
    <w:rsid w:val="00125072"/>
    <w:rsid w:val="00125F54"/>
    <w:rsid w:val="00126220"/>
    <w:rsid w:val="00126495"/>
    <w:rsid w:val="0012677F"/>
    <w:rsid w:val="00126E53"/>
    <w:rsid w:val="00130DBD"/>
    <w:rsid w:val="00132A4B"/>
    <w:rsid w:val="00132BC1"/>
    <w:rsid w:val="00133296"/>
    <w:rsid w:val="001335E7"/>
    <w:rsid w:val="001336DC"/>
    <w:rsid w:val="0013383A"/>
    <w:rsid w:val="0013396E"/>
    <w:rsid w:val="00134227"/>
    <w:rsid w:val="00134AC6"/>
    <w:rsid w:val="00134BA9"/>
    <w:rsid w:val="0013555F"/>
    <w:rsid w:val="0013559C"/>
    <w:rsid w:val="00135A7D"/>
    <w:rsid w:val="0013663B"/>
    <w:rsid w:val="001403C9"/>
    <w:rsid w:val="00140F42"/>
    <w:rsid w:val="0014151E"/>
    <w:rsid w:val="001421CA"/>
    <w:rsid w:val="00142344"/>
    <w:rsid w:val="00142463"/>
    <w:rsid w:val="00142F7A"/>
    <w:rsid w:val="001441AB"/>
    <w:rsid w:val="00144252"/>
    <w:rsid w:val="00144D6A"/>
    <w:rsid w:val="00144F23"/>
    <w:rsid w:val="0014600D"/>
    <w:rsid w:val="00146F58"/>
    <w:rsid w:val="00147124"/>
    <w:rsid w:val="00147943"/>
    <w:rsid w:val="00147A53"/>
    <w:rsid w:val="00147C3B"/>
    <w:rsid w:val="00150223"/>
    <w:rsid w:val="001503B2"/>
    <w:rsid w:val="00150534"/>
    <w:rsid w:val="00150BEB"/>
    <w:rsid w:val="00151051"/>
    <w:rsid w:val="0015115C"/>
    <w:rsid w:val="001517C7"/>
    <w:rsid w:val="00151A02"/>
    <w:rsid w:val="00152377"/>
    <w:rsid w:val="00152F71"/>
    <w:rsid w:val="0015372B"/>
    <w:rsid w:val="0015393D"/>
    <w:rsid w:val="001543D5"/>
    <w:rsid w:val="00154FF3"/>
    <w:rsid w:val="001557F2"/>
    <w:rsid w:val="00155D5F"/>
    <w:rsid w:val="00156086"/>
    <w:rsid w:val="001577F9"/>
    <w:rsid w:val="00157962"/>
    <w:rsid w:val="00160304"/>
    <w:rsid w:val="00160AE8"/>
    <w:rsid w:val="00160C15"/>
    <w:rsid w:val="0016238E"/>
    <w:rsid w:val="001629C3"/>
    <w:rsid w:val="00162CAA"/>
    <w:rsid w:val="00163B6D"/>
    <w:rsid w:val="001641C5"/>
    <w:rsid w:val="001647F4"/>
    <w:rsid w:val="00164880"/>
    <w:rsid w:val="00164ED6"/>
    <w:rsid w:val="0016506B"/>
    <w:rsid w:val="00166B04"/>
    <w:rsid w:val="001675E4"/>
    <w:rsid w:val="001675E9"/>
    <w:rsid w:val="00170E09"/>
    <w:rsid w:val="00171831"/>
    <w:rsid w:val="00172067"/>
    <w:rsid w:val="00172351"/>
    <w:rsid w:val="00172497"/>
    <w:rsid w:val="00172DD3"/>
    <w:rsid w:val="001730FE"/>
    <w:rsid w:val="0017397A"/>
    <w:rsid w:val="00173A7F"/>
    <w:rsid w:val="001746EA"/>
    <w:rsid w:val="001754D0"/>
    <w:rsid w:val="00175930"/>
    <w:rsid w:val="001759DA"/>
    <w:rsid w:val="00175C42"/>
    <w:rsid w:val="001764A5"/>
    <w:rsid w:val="001765B4"/>
    <w:rsid w:val="00176A26"/>
    <w:rsid w:val="0017735D"/>
    <w:rsid w:val="001812BD"/>
    <w:rsid w:val="0018192E"/>
    <w:rsid w:val="0018223C"/>
    <w:rsid w:val="0018254B"/>
    <w:rsid w:val="001837C4"/>
    <w:rsid w:val="0018445E"/>
    <w:rsid w:val="00184592"/>
    <w:rsid w:val="001845CD"/>
    <w:rsid w:val="001847EB"/>
    <w:rsid w:val="00184CA3"/>
    <w:rsid w:val="0018587E"/>
    <w:rsid w:val="00186863"/>
    <w:rsid w:val="00186D32"/>
    <w:rsid w:val="0018785B"/>
    <w:rsid w:val="001920BD"/>
    <w:rsid w:val="00192EFF"/>
    <w:rsid w:val="00194E91"/>
    <w:rsid w:val="001962A1"/>
    <w:rsid w:val="00196B38"/>
    <w:rsid w:val="00196B62"/>
    <w:rsid w:val="00196E0F"/>
    <w:rsid w:val="001979DF"/>
    <w:rsid w:val="001A0ED1"/>
    <w:rsid w:val="001A1946"/>
    <w:rsid w:val="001A1C24"/>
    <w:rsid w:val="001A1ED5"/>
    <w:rsid w:val="001A290D"/>
    <w:rsid w:val="001A29B1"/>
    <w:rsid w:val="001A2A4E"/>
    <w:rsid w:val="001A37D3"/>
    <w:rsid w:val="001A4202"/>
    <w:rsid w:val="001A4257"/>
    <w:rsid w:val="001A6006"/>
    <w:rsid w:val="001A65BF"/>
    <w:rsid w:val="001A78EC"/>
    <w:rsid w:val="001A7DF3"/>
    <w:rsid w:val="001B01E3"/>
    <w:rsid w:val="001B026B"/>
    <w:rsid w:val="001B11AD"/>
    <w:rsid w:val="001B1546"/>
    <w:rsid w:val="001B19D5"/>
    <w:rsid w:val="001B1A8E"/>
    <w:rsid w:val="001B1AFA"/>
    <w:rsid w:val="001B6149"/>
    <w:rsid w:val="001B737D"/>
    <w:rsid w:val="001C0176"/>
    <w:rsid w:val="001C0FC7"/>
    <w:rsid w:val="001C0FEC"/>
    <w:rsid w:val="001C0FF9"/>
    <w:rsid w:val="001C1627"/>
    <w:rsid w:val="001C180C"/>
    <w:rsid w:val="001C2922"/>
    <w:rsid w:val="001C2BC4"/>
    <w:rsid w:val="001C34D7"/>
    <w:rsid w:val="001C37BE"/>
    <w:rsid w:val="001C490B"/>
    <w:rsid w:val="001C51B4"/>
    <w:rsid w:val="001C55F4"/>
    <w:rsid w:val="001C6386"/>
    <w:rsid w:val="001C68CC"/>
    <w:rsid w:val="001C70C9"/>
    <w:rsid w:val="001C7293"/>
    <w:rsid w:val="001C74DD"/>
    <w:rsid w:val="001C7670"/>
    <w:rsid w:val="001D09AB"/>
    <w:rsid w:val="001D250C"/>
    <w:rsid w:val="001D2F3D"/>
    <w:rsid w:val="001D2FC5"/>
    <w:rsid w:val="001D3530"/>
    <w:rsid w:val="001D3E0B"/>
    <w:rsid w:val="001D4369"/>
    <w:rsid w:val="001D4C77"/>
    <w:rsid w:val="001D4E56"/>
    <w:rsid w:val="001D5DAC"/>
    <w:rsid w:val="001D689C"/>
    <w:rsid w:val="001E06A3"/>
    <w:rsid w:val="001E14CB"/>
    <w:rsid w:val="001E1588"/>
    <w:rsid w:val="001E163F"/>
    <w:rsid w:val="001E1FA7"/>
    <w:rsid w:val="001E2376"/>
    <w:rsid w:val="001E2A82"/>
    <w:rsid w:val="001E2C4D"/>
    <w:rsid w:val="001E3746"/>
    <w:rsid w:val="001E4447"/>
    <w:rsid w:val="001E4802"/>
    <w:rsid w:val="001E567F"/>
    <w:rsid w:val="001E5EA5"/>
    <w:rsid w:val="001E68DA"/>
    <w:rsid w:val="001E71A3"/>
    <w:rsid w:val="001E753B"/>
    <w:rsid w:val="001E774B"/>
    <w:rsid w:val="001E7D23"/>
    <w:rsid w:val="001E7FE6"/>
    <w:rsid w:val="001F04FD"/>
    <w:rsid w:val="001F0DC8"/>
    <w:rsid w:val="001F1397"/>
    <w:rsid w:val="001F147F"/>
    <w:rsid w:val="001F1A61"/>
    <w:rsid w:val="001F1F77"/>
    <w:rsid w:val="001F2D51"/>
    <w:rsid w:val="001F3516"/>
    <w:rsid w:val="001F3541"/>
    <w:rsid w:val="001F3C10"/>
    <w:rsid w:val="001F5155"/>
    <w:rsid w:val="001F55B1"/>
    <w:rsid w:val="001F7A5E"/>
    <w:rsid w:val="001F7DAE"/>
    <w:rsid w:val="002012DA"/>
    <w:rsid w:val="00201765"/>
    <w:rsid w:val="002018B0"/>
    <w:rsid w:val="00201C4E"/>
    <w:rsid w:val="002025C7"/>
    <w:rsid w:val="00202637"/>
    <w:rsid w:val="00202FAA"/>
    <w:rsid w:val="00204D2A"/>
    <w:rsid w:val="002055D5"/>
    <w:rsid w:val="00206172"/>
    <w:rsid w:val="00207AC3"/>
    <w:rsid w:val="00207DD7"/>
    <w:rsid w:val="002102B0"/>
    <w:rsid w:val="00210563"/>
    <w:rsid w:val="00210647"/>
    <w:rsid w:val="00210676"/>
    <w:rsid w:val="00210B8E"/>
    <w:rsid w:val="002111D7"/>
    <w:rsid w:val="00211945"/>
    <w:rsid w:val="00211E14"/>
    <w:rsid w:val="00213B72"/>
    <w:rsid w:val="00213D57"/>
    <w:rsid w:val="0021573A"/>
    <w:rsid w:val="0021589B"/>
    <w:rsid w:val="00215982"/>
    <w:rsid w:val="00216C2A"/>
    <w:rsid w:val="00221644"/>
    <w:rsid w:val="00221889"/>
    <w:rsid w:val="00221A13"/>
    <w:rsid w:val="00221BB6"/>
    <w:rsid w:val="002224A4"/>
    <w:rsid w:val="00222B2B"/>
    <w:rsid w:val="00223426"/>
    <w:rsid w:val="0022373F"/>
    <w:rsid w:val="002237FD"/>
    <w:rsid w:val="00223D68"/>
    <w:rsid w:val="00224021"/>
    <w:rsid w:val="00224A11"/>
    <w:rsid w:val="00225758"/>
    <w:rsid w:val="0022627B"/>
    <w:rsid w:val="00226B32"/>
    <w:rsid w:val="00226E86"/>
    <w:rsid w:val="00227BCB"/>
    <w:rsid w:val="00227FBE"/>
    <w:rsid w:val="0023008D"/>
    <w:rsid w:val="00230182"/>
    <w:rsid w:val="002309E6"/>
    <w:rsid w:val="00230F30"/>
    <w:rsid w:val="00231690"/>
    <w:rsid w:val="00231B5D"/>
    <w:rsid w:val="0023315A"/>
    <w:rsid w:val="00233303"/>
    <w:rsid w:val="0023356F"/>
    <w:rsid w:val="00233C78"/>
    <w:rsid w:val="00233E49"/>
    <w:rsid w:val="002341C4"/>
    <w:rsid w:val="00234FA4"/>
    <w:rsid w:val="00234FC1"/>
    <w:rsid w:val="00235D03"/>
    <w:rsid w:val="00235DE4"/>
    <w:rsid w:val="00236030"/>
    <w:rsid w:val="00236104"/>
    <w:rsid w:val="00236E90"/>
    <w:rsid w:val="0023731B"/>
    <w:rsid w:val="00237AE8"/>
    <w:rsid w:val="00237F21"/>
    <w:rsid w:val="002401F7"/>
    <w:rsid w:val="0024071F"/>
    <w:rsid w:val="002416B5"/>
    <w:rsid w:val="00242604"/>
    <w:rsid w:val="002427FA"/>
    <w:rsid w:val="00243207"/>
    <w:rsid w:val="00243338"/>
    <w:rsid w:val="002433C7"/>
    <w:rsid w:val="00243D22"/>
    <w:rsid w:val="00243FD3"/>
    <w:rsid w:val="00243FE9"/>
    <w:rsid w:val="002444FE"/>
    <w:rsid w:val="00244B27"/>
    <w:rsid w:val="00244B89"/>
    <w:rsid w:val="002458AE"/>
    <w:rsid w:val="00245978"/>
    <w:rsid w:val="00245F93"/>
    <w:rsid w:val="002466C0"/>
    <w:rsid w:val="002470D1"/>
    <w:rsid w:val="00247C2A"/>
    <w:rsid w:val="002517BC"/>
    <w:rsid w:val="002519E7"/>
    <w:rsid w:val="00251A5E"/>
    <w:rsid w:val="002531A6"/>
    <w:rsid w:val="002532DC"/>
    <w:rsid w:val="00253391"/>
    <w:rsid w:val="00254138"/>
    <w:rsid w:val="002544E5"/>
    <w:rsid w:val="0025679E"/>
    <w:rsid w:val="00256DD1"/>
    <w:rsid w:val="002574F1"/>
    <w:rsid w:val="0026031C"/>
    <w:rsid w:val="0026064D"/>
    <w:rsid w:val="00261125"/>
    <w:rsid w:val="0026181A"/>
    <w:rsid w:val="00261F65"/>
    <w:rsid w:val="0026313F"/>
    <w:rsid w:val="002634AD"/>
    <w:rsid w:val="002638DA"/>
    <w:rsid w:val="00263D10"/>
    <w:rsid w:val="00266C9D"/>
    <w:rsid w:val="00267839"/>
    <w:rsid w:val="002704CF"/>
    <w:rsid w:val="00272B4E"/>
    <w:rsid w:val="002731C4"/>
    <w:rsid w:val="002732A3"/>
    <w:rsid w:val="002734AA"/>
    <w:rsid w:val="002740AF"/>
    <w:rsid w:val="00274583"/>
    <w:rsid w:val="00275027"/>
    <w:rsid w:val="00275091"/>
    <w:rsid w:val="002761D1"/>
    <w:rsid w:val="00276BD3"/>
    <w:rsid w:val="00277D88"/>
    <w:rsid w:val="00277FF9"/>
    <w:rsid w:val="002809CB"/>
    <w:rsid w:val="00280E04"/>
    <w:rsid w:val="00281DEA"/>
    <w:rsid w:val="002827F7"/>
    <w:rsid w:val="0028305D"/>
    <w:rsid w:val="00283970"/>
    <w:rsid w:val="00283C47"/>
    <w:rsid w:val="00283DFC"/>
    <w:rsid w:val="002854FC"/>
    <w:rsid w:val="00285A4F"/>
    <w:rsid w:val="00285DD7"/>
    <w:rsid w:val="0028663E"/>
    <w:rsid w:val="00286EDB"/>
    <w:rsid w:val="00286FD1"/>
    <w:rsid w:val="002877D1"/>
    <w:rsid w:val="00290003"/>
    <w:rsid w:val="00290135"/>
    <w:rsid w:val="00291467"/>
    <w:rsid w:val="002914A3"/>
    <w:rsid w:val="00291DAD"/>
    <w:rsid w:val="00292359"/>
    <w:rsid w:val="00292E39"/>
    <w:rsid w:val="00292E75"/>
    <w:rsid w:val="00293899"/>
    <w:rsid w:val="00293D76"/>
    <w:rsid w:val="00294484"/>
    <w:rsid w:val="00294E58"/>
    <w:rsid w:val="00294F2D"/>
    <w:rsid w:val="00295768"/>
    <w:rsid w:val="00295D73"/>
    <w:rsid w:val="00296750"/>
    <w:rsid w:val="00296EF6"/>
    <w:rsid w:val="00297437"/>
    <w:rsid w:val="00297A7E"/>
    <w:rsid w:val="002A03E2"/>
    <w:rsid w:val="002A0AD7"/>
    <w:rsid w:val="002A2247"/>
    <w:rsid w:val="002A245D"/>
    <w:rsid w:val="002A2564"/>
    <w:rsid w:val="002A2D73"/>
    <w:rsid w:val="002A2F43"/>
    <w:rsid w:val="002A367C"/>
    <w:rsid w:val="002A38DB"/>
    <w:rsid w:val="002A3C2C"/>
    <w:rsid w:val="002A620F"/>
    <w:rsid w:val="002A736E"/>
    <w:rsid w:val="002A7971"/>
    <w:rsid w:val="002A7BA2"/>
    <w:rsid w:val="002A7BFB"/>
    <w:rsid w:val="002B1595"/>
    <w:rsid w:val="002B183F"/>
    <w:rsid w:val="002B18C7"/>
    <w:rsid w:val="002B1922"/>
    <w:rsid w:val="002B1B83"/>
    <w:rsid w:val="002B1E33"/>
    <w:rsid w:val="002B2244"/>
    <w:rsid w:val="002B2DF9"/>
    <w:rsid w:val="002B3F3E"/>
    <w:rsid w:val="002B41A6"/>
    <w:rsid w:val="002B4B2F"/>
    <w:rsid w:val="002B4DEF"/>
    <w:rsid w:val="002B506A"/>
    <w:rsid w:val="002B5070"/>
    <w:rsid w:val="002B516C"/>
    <w:rsid w:val="002B5AE9"/>
    <w:rsid w:val="002B5C5B"/>
    <w:rsid w:val="002B5D80"/>
    <w:rsid w:val="002B620E"/>
    <w:rsid w:val="002B67BE"/>
    <w:rsid w:val="002B67D6"/>
    <w:rsid w:val="002B7047"/>
    <w:rsid w:val="002B72E7"/>
    <w:rsid w:val="002B735C"/>
    <w:rsid w:val="002B7726"/>
    <w:rsid w:val="002B7CE1"/>
    <w:rsid w:val="002C04DC"/>
    <w:rsid w:val="002C0ED5"/>
    <w:rsid w:val="002C30E7"/>
    <w:rsid w:val="002C448D"/>
    <w:rsid w:val="002C472C"/>
    <w:rsid w:val="002C4BBA"/>
    <w:rsid w:val="002C5AB2"/>
    <w:rsid w:val="002C6440"/>
    <w:rsid w:val="002C6FAE"/>
    <w:rsid w:val="002C7EEC"/>
    <w:rsid w:val="002D0753"/>
    <w:rsid w:val="002D0A0B"/>
    <w:rsid w:val="002D0D73"/>
    <w:rsid w:val="002D16AB"/>
    <w:rsid w:val="002D23E6"/>
    <w:rsid w:val="002D28ED"/>
    <w:rsid w:val="002D2B6C"/>
    <w:rsid w:val="002D2D7F"/>
    <w:rsid w:val="002D30D5"/>
    <w:rsid w:val="002D385D"/>
    <w:rsid w:val="002D3D7F"/>
    <w:rsid w:val="002D411E"/>
    <w:rsid w:val="002D5050"/>
    <w:rsid w:val="002D57E3"/>
    <w:rsid w:val="002D590C"/>
    <w:rsid w:val="002D5B11"/>
    <w:rsid w:val="002D5C44"/>
    <w:rsid w:val="002D6795"/>
    <w:rsid w:val="002D7A93"/>
    <w:rsid w:val="002D7F17"/>
    <w:rsid w:val="002E27E9"/>
    <w:rsid w:val="002E2B7B"/>
    <w:rsid w:val="002E3041"/>
    <w:rsid w:val="002E3A4D"/>
    <w:rsid w:val="002E3DBC"/>
    <w:rsid w:val="002E4059"/>
    <w:rsid w:val="002E4A29"/>
    <w:rsid w:val="002E60F6"/>
    <w:rsid w:val="002E6706"/>
    <w:rsid w:val="002E6A2A"/>
    <w:rsid w:val="002E713A"/>
    <w:rsid w:val="002E7D22"/>
    <w:rsid w:val="002F038E"/>
    <w:rsid w:val="002F0DFA"/>
    <w:rsid w:val="002F11FE"/>
    <w:rsid w:val="002F1471"/>
    <w:rsid w:val="002F1AE6"/>
    <w:rsid w:val="002F2B59"/>
    <w:rsid w:val="002F319A"/>
    <w:rsid w:val="002F3D6D"/>
    <w:rsid w:val="002F3F37"/>
    <w:rsid w:val="002F4D2E"/>
    <w:rsid w:val="002F527F"/>
    <w:rsid w:val="002F55A8"/>
    <w:rsid w:val="002F5823"/>
    <w:rsid w:val="002F6BCB"/>
    <w:rsid w:val="002F6E69"/>
    <w:rsid w:val="002F73C9"/>
    <w:rsid w:val="002F777C"/>
    <w:rsid w:val="003016E5"/>
    <w:rsid w:val="00301C39"/>
    <w:rsid w:val="00301FCF"/>
    <w:rsid w:val="00302514"/>
    <w:rsid w:val="00302900"/>
    <w:rsid w:val="00302F29"/>
    <w:rsid w:val="00303DD1"/>
    <w:rsid w:val="00303EF0"/>
    <w:rsid w:val="00304433"/>
    <w:rsid w:val="00305151"/>
    <w:rsid w:val="00305BDC"/>
    <w:rsid w:val="00305EBC"/>
    <w:rsid w:val="00305EC0"/>
    <w:rsid w:val="00306699"/>
    <w:rsid w:val="0030702F"/>
    <w:rsid w:val="00310C0B"/>
    <w:rsid w:val="0031180B"/>
    <w:rsid w:val="00311FF1"/>
    <w:rsid w:val="0031359E"/>
    <w:rsid w:val="00313A70"/>
    <w:rsid w:val="00314848"/>
    <w:rsid w:val="00315F0D"/>
    <w:rsid w:val="00316AC4"/>
    <w:rsid w:val="00316CC9"/>
    <w:rsid w:val="00316EE7"/>
    <w:rsid w:val="0031750B"/>
    <w:rsid w:val="003175C1"/>
    <w:rsid w:val="00317CFB"/>
    <w:rsid w:val="00320905"/>
    <w:rsid w:val="0032129F"/>
    <w:rsid w:val="003229C9"/>
    <w:rsid w:val="003229D6"/>
    <w:rsid w:val="00322BA1"/>
    <w:rsid w:val="003235C1"/>
    <w:rsid w:val="00323C20"/>
    <w:rsid w:val="003262AD"/>
    <w:rsid w:val="00326E07"/>
    <w:rsid w:val="00326E23"/>
    <w:rsid w:val="003273CB"/>
    <w:rsid w:val="0032743B"/>
    <w:rsid w:val="00327C76"/>
    <w:rsid w:val="003302D0"/>
    <w:rsid w:val="003303CF"/>
    <w:rsid w:val="0033075C"/>
    <w:rsid w:val="00330C95"/>
    <w:rsid w:val="00330E8C"/>
    <w:rsid w:val="00330FCC"/>
    <w:rsid w:val="00331C85"/>
    <w:rsid w:val="003347DD"/>
    <w:rsid w:val="00334A68"/>
    <w:rsid w:val="00336E4B"/>
    <w:rsid w:val="00337D2D"/>
    <w:rsid w:val="00340777"/>
    <w:rsid w:val="00341780"/>
    <w:rsid w:val="00341943"/>
    <w:rsid w:val="00341E07"/>
    <w:rsid w:val="00341E22"/>
    <w:rsid w:val="00342511"/>
    <w:rsid w:val="00342A55"/>
    <w:rsid w:val="00343095"/>
    <w:rsid w:val="0034316B"/>
    <w:rsid w:val="00343671"/>
    <w:rsid w:val="00343992"/>
    <w:rsid w:val="00343BAF"/>
    <w:rsid w:val="00343E89"/>
    <w:rsid w:val="00344609"/>
    <w:rsid w:val="00344B1B"/>
    <w:rsid w:val="003451DD"/>
    <w:rsid w:val="003458BC"/>
    <w:rsid w:val="003459E8"/>
    <w:rsid w:val="003474AD"/>
    <w:rsid w:val="00347857"/>
    <w:rsid w:val="00347AEF"/>
    <w:rsid w:val="00347D2D"/>
    <w:rsid w:val="003512D1"/>
    <w:rsid w:val="00351B7A"/>
    <w:rsid w:val="00352A0F"/>
    <w:rsid w:val="00353AC8"/>
    <w:rsid w:val="003545E8"/>
    <w:rsid w:val="00356445"/>
    <w:rsid w:val="003567FF"/>
    <w:rsid w:val="00356E4B"/>
    <w:rsid w:val="003579EE"/>
    <w:rsid w:val="00357CFC"/>
    <w:rsid w:val="00357D2C"/>
    <w:rsid w:val="00360905"/>
    <w:rsid w:val="00360A7A"/>
    <w:rsid w:val="00360CD5"/>
    <w:rsid w:val="0036172A"/>
    <w:rsid w:val="003618AC"/>
    <w:rsid w:val="00361AA4"/>
    <w:rsid w:val="00361E89"/>
    <w:rsid w:val="00362CE4"/>
    <w:rsid w:val="00363095"/>
    <w:rsid w:val="00363707"/>
    <w:rsid w:val="0036499C"/>
    <w:rsid w:val="003649AF"/>
    <w:rsid w:val="00364D59"/>
    <w:rsid w:val="00364F71"/>
    <w:rsid w:val="003660D6"/>
    <w:rsid w:val="00366373"/>
    <w:rsid w:val="00366FCD"/>
    <w:rsid w:val="003673D6"/>
    <w:rsid w:val="00367749"/>
    <w:rsid w:val="00370E68"/>
    <w:rsid w:val="00370F95"/>
    <w:rsid w:val="00370FA8"/>
    <w:rsid w:val="003712B1"/>
    <w:rsid w:val="00371616"/>
    <w:rsid w:val="003719FB"/>
    <w:rsid w:val="003727C9"/>
    <w:rsid w:val="00372D7A"/>
    <w:rsid w:val="00373914"/>
    <w:rsid w:val="00374C47"/>
    <w:rsid w:val="00374F87"/>
    <w:rsid w:val="00375887"/>
    <w:rsid w:val="0037603F"/>
    <w:rsid w:val="003762C8"/>
    <w:rsid w:val="00376F97"/>
    <w:rsid w:val="003779F5"/>
    <w:rsid w:val="00377B11"/>
    <w:rsid w:val="003810AB"/>
    <w:rsid w:val="003816CB"/>
    <w:rsid w:val="0038280D"/>
    <w:rsid w:val="0038335C"/>
    <w:rsid w:val="00383C0B"/>
    <w:rsid w:val="00384047"/>
    <w:rsid w:val="003847FF"/>
    <w:rsid w:val="00384EF9"/>
    <w:rsid w:val="003854A3"/>
    <w:rsid w:val="00386B58"/>
    <w:rsid w:val="00387324"/>
    <w:rsid w:val="00387493"/>
    <w:rsid w:val="00387A40"/>
    <w:rsid w:val="003900CE"/>
    <w:rsid w:val="003900E4"/>
    <w:rsid w:val="003904E6"/>
    <w:rsid w:val="0039182E"/>
    <w:rsid w:val="00391D8B"/>
    <w:rsid w:val="00392666"/>
    <w:rsid w:val="00393A29"/>
    <w:rsid w:val="00393C33"/>
    <w:rsid w:val="00393FFF"/>
    <w:rsid w:val="0039421D"/>
    <w:rsid w:val="003946D7"/>
    <w:rsid w:val="003948AF"/>
    <w:rsid w:val="00394CE1"/>
    <w:rsid w:val="00394D9C"/>
    <w:rsid w:val="00394ED1"/>
    <w:rsid w:val="00395267"/>
    <w:rsid w:val="00395C3C"/>
    <w:rsid w:val="0039611D"/>
    <w:rsid w:val="003963CD"/>
    <w:rsid w:val="00396A0F"/>
    <w:rsid w:val="003974B0"/>
    <w:rsid w:val="003976E9"/>
    <w:rsid w:val="003978C8"/>
    <w:rsid w:val="003978EB"/>
    <w:rsid w:val="00397906"/>
    <w:rsid w:val="00397A7F"/>
    <w:rsid w:val="00397FCE"/>
    <w:rsid w:val="003A0403"/>
    <w:rsid w:val="003A0CA0"/>
    <w:rsid w:val="003A0CB9"/>
    <w:rsid w:val="003A0D59"/>
    <w:rsid w:val="003A1996"/>
    <w:rsid w:val="003A1CF4"/>
    <w:rsid w:val="003A3C9D"/>
    <w:rsid w:val="003A3EE1"/>
    <w:rsid w:val="003A4075"/>
    <w:rsid w:val="003A44AA"/>
    <w:rsid w:val="003A4D89"/>
    <w:rsid w:val="003A521E"/>
    <w:rsid w:val="003A58FF"/>
    <w:rsid w:val="003A5AC3"/>
    <w:rsid w:val="003A680A"/>
    <w:rsid w:val="003A6CCF"/>
    <w:rsid w:val="003A72E3"/>
    <w:rsid w:val="003A7628"/>
    <w:rsid w:val="003A7801"/>
    <w:rsid w:val="003A7F32"/>
    <w:rsid w:val="003B05E0"/>
    <w:rsid w:val="003B23BE"/>
    <w:rsid w:val="003B25C6"/>
    <w:rsid w:val="003B2616"/>
    <w:rsid w:val="003B27D9"/>
    <w:rsid w:val="003B2F40"/>
    <w:rsid w:val="003B3A3E"/>
    <w:rsid w:val="003B46CE"/>
    <w:rsid w:val="003B4D84"/>
    <w:rsid w:val="003B5252"/>
    <w:rsid w:val="003B623B"/>
    <w:rsid w:val="003B64E5"/>
    <w:rsid w:val="003B73DB"/>
    <w:rsid w:val="003B77DB"/>
    <w:rsid w:val="003B7F86"/>
    <w:rsid w:val="003C098D"/>
    <w:rsid w:val="003C098F"/>
    <w:rsid w:val="003C0DF9"/>
    <w:rsid w:val="003C0E24"/>
    <w:rsid w:val="003C1250"/>
    <w:rsid w:val="003C1ACD"/>
    <w:rsid w:val="003C21E1"/>
    <w:rsid w:val="003C2BD5"/>
    <w:rsid w:val="003C2D8B"/>
    <w:rsid w:val="003C3AD8"/>
    <w:rsid w:val="003C3FC4"/>
    <w:rsid w:val="003C4369"/>
    <w:rsid w:val="003C46B5"/>
    <w:rsid w:val="003C46C8"/>
    <w:rsid w:val="003C5A02"/>
    <w:rsid w:val="003C6139"/>
    <w:rsid w:val="003D016F"/>
    <w:rsid w:val="003D0AA4"/>
    <w:rsid w:val="003D0B9C"/>
    <w:rsid w:val="003D2297"/>
    <w:rsid w:val="003D2634"/>
    <w:rsid w:val="003D26F9"/>
    <w:rsid w:val="003D274B"/>
    <w:rsid w:val="003D3379"/>
    <w:rsid w:val="003D368E"/>
    <w:rsid w:val="003D39E0"/>
    <w:rsid w:val="003D3DCF"/>
    <w:rsid w:val="003D4CBF"/>
    <w:rsid w:val="003D4DE3"/>
    <w:rsid w:val="003D4E9E"/>
    <w:rsid w:val="003D4F77"/>
    <w:rsid w:val="003D6691"/>
    <w:rsid w:val="003D77E1"/>
    <w:rsid w:val="003D7A22"/>
    <w:rsid w:val="003D7AB5"/>
    <w:rsid w:val="003E2347"/>
    <w:rsid w:val="003E2750"/>
    <w:rsid w:val="003E30EF"/>
    <w:rsid w:val="003E3DF5"/>
    <w:rsid w:val="003E42A7"/>
    <w:rsid w:val="003E4FCD"/>
    <w:rsid w:val="003E52F1"/>
    <w:rsid w:val="003E5E33"/>
    <w:rsid w:val="003E6EF2"/>
    <w:rsid w:val="003E7BAA"/>
    <w:rsid w:val="003F06D7"/>
    <w:rsid w:val="003F14E3"/>
    <w:rsid w:val="003F160F"/>
    <w:rsid w:val="003F1B6B"/>
    <w:rsid w:val="003F29A0"/>
    <w:rsid w:val="003F3792"/>
    <w:rsid w:val="003F383B"/>
    <w:rsid w:val="003F3DC4"/>
    <w:rsid w:val="003F46E3"/>
    <w:rsid w:val="003F473B"/>
    <w:rsid w:val="003F4A21"/>
    <w:rsid w:val="003F53D0"/>
    <w:rsid w:val="003F5E79"/>
    <w:rsid w:val="003F6011"/>
    <w:rsid w:val="003F6684"/>
    <w:rsid w:val="003F6C1A"/>
    <w:rsid w:val="003F735B"/>
    <w:rsid w:val="003F739B"/>
    <w:rsid w:val="003F73AF"/>
    <w:rsid w:val="003F7506"/>
    <w:rsid w:val="003F758C"/>
    <w:rsid w:val="0040046F"/>
    <w:rsid w:val="004007D1"/>
    <w:rsid w:val="00400801"/>
    <w:rsid w:val="00400BC3"/>
    <w:rsid w:val="00401F04"/>
    <w:rsid w:val="00401F42"/>
    <w:rsid w:val="00402051"/>
    <w:rsid w:val="00402A85"/>
    <w:rsid w:val="0040329E"/>
    <w:rsid w:val="00404E98"/>
    <w:rsid w:val="00405155"/>
    <w:rsid w:val="00405D90"/>
    <w:rsid w:val="0040637E"/>
    <w:rsid w:val="004066D4"/>
    <w:rsid w:val="004067E8"/>
    <w:rsid w:val="0040684F"/>
    <w:rsid w:val="0040767B"/>
    <w:rsid w:val="0040769C"/>
    <w:rsid w:val="00407C84"/>
    <w:rsid w:val="00410285"/>
    <w:rsid w:val="004108AD"/>
    <w:rsid w:val="004116AE"/>
    <w:rsid w:val="00411ACA"/>
    <w:rsid w:val="00413071"/>
    <w:rsid w:val="004139A4"/>
    <w:rsid w:val="0041428D"/>
    <w:rsid w:val="00414995"/>
    <w:rsid w:val="00414DD8"/>
    <w:rsid w:val="00414FEA"/>
    <w:rsid w:val="00415AEF"/>
    <w:rsid w:val="0041629A"/>
    <w:rsid w:val="00416DF5"/>
    <w:rsid w:val="004171C7"/>
    <w:rsid w:val="004178FB"/>
    <w:rsid w:val="00417B4E"/>
    <w:rsid w:val="004201FA"/>
    <w:rsid w:val="00420709"/>
    <w:rsid w:val="00420FAF"/>
    <w:rsid w:val="004211E1"/>
    <w:rsid w:val="00421A47"/>
    <w:rsid w:val="00422B96"/>
    <w:rsid w:val="00422E13"/>
    <w:rsid w:val="00423D31"/>
    <w:rsid w:val="00424B9A"/>
    <w:rsid w:val="0042512D"/>
    <w:rsid w:val="00425355"/>
    <w:rsid w:val="00426000"/>
    <w:rsid w:val="00426186"/>
    <w:rsid w:val="00426634"/>
    <w:rsid w:val="00426931"/>
    <w:rsid w:val="00426A3E"/>
    <w:rsid w:val="00426BFC"/>
    <w:rsid w:val="00427AA2"/>
    <w:rsid w:val="00427EDA"/>
    <w:rsid w:val="00430429"/>
    <w:rsid w:val="00430C7E"/>
    <w:rsid w:val="00431432"/>
    <w:rsid w:val="00431554"/>
    <w:rsid w:val="00431C69"/>
    <w:rsid w:val="00431F0B"/>
    <w:rsid w:val="004328DE"/>
    <w:rsid w:val="00433A74"/>
    <w:rsid w:val="004347E2"/>
    <w:rsid w:val="00435DBD"/>
    <w:rsid w:val="00436830"/>
    <w:rsid w:val="00437451"/>
    <w:rsid w:val="00437C6D"/>
    <w:rsid w:val="00440B24"/>
    <w:rsid w:val="00440E99"/>
    <w:rsid w:val="00440FC6"/>
    <w:rsid w:val="00441415"/>
    <w:rsid w:val="00441494"/>
    <w:rsid w:val="004415B7"/>
    <w:rsid w:val="00442A63"/>
    <w:rsid w:val="00443320"/>
    <w:rsid w:val="00443616"/>
    <w:rsid w:val="00443620"/>
    <w:rsid w:val="00443E82"/>
    <w:rsid w:val="004440A8"/>
    <w:rsid w:val="004443C3"/>
    <w:rsid w:val="00444476"/>
    <w:rsid w:val="0044521D"/>
    <w:rsid w:val="00445D1B"/>
    <w:rsid w:val="00446C58"/>
    <w:rsid w:val="00446D56"/>
    <w:rsid w:val="00446DBD"/>
    <w:rsid w:val="00446EB7"/>
    <w:rsid w:val="00450C12"/>
    <w:rsid w:val="00450E29"/>
    <w:rsid w:val="004510FA"/>
    <w:rsid w:val="0045143A"/>
    <w:rsid w:val="00453B06"/>
    <w:rsid w:val="00454C35"/>
    <w:rsid w:val="00454C86"/>
    <w:rsid w:val="00456109"/>
    <w:rsid w:val="00456326"/>
    <w:rsid w:val="00456736"/>
    <w:rsid w:val="00456975"/>
    <w:rsid w:val="00456EEF"/>
    <w:rsid w:val="00457036"/>
    <w:rsid w:val="0045796A"/>
    <w:rsid w:val="00457C20"/>
    <w:rsid w:val="00460A86"/>
    <w:rsid w:val="0046144F"/>
    <w:rsid w:val="004614AA"/>
    <w:rsid w:val="00461970"/>
    <w:rsid w:val="00462942"/>
    <w:rsid w:val="00462B26"/>
    <w:rsid w:val="00463695"/>
    <w:rsid w:val="00463ECC"/>
    <w:rsid w:val="00464265"/>
    <w:rsid w:val="004645DA"/>
    <w:rsid w:val="004648F7"/>
    <w:rsid w:val="00465C0A"/>
    <w:rsid w:val="00466751"/>
    <w:rsid w:val="0046687F"/>
    <w:rsid w:val="004669BA"/>
    <w:rsid w:val="00467363"/>
    <w:rsid w:val="00467A55"/>
    <w:rsid w:val="004701C3"/>
    <w:rsid w:val="00470AB8"/>
    <w:rsid w:val="00470F66"/>
    <w:rsid w:val="0047162D"/>
    <w:rsid w:val="0047181B"/>
    <w:rsid w:val="00471C40"/>
    <w:rsid w:val="004724D5"/>
    <w:rsid w:val="004727D2"/>
    <w:rsid w:val="004732E8"/>
    <w:rsid w:val="004739C6"/>
    <w:rsid w:val="00473A46"/>
    <w:rsid w:val="00474717"/>
    <w:rsid w:val="00474C49"/>
    <w:rsid w:val="0047536B"/>
    <w:rsid w:val="004756F6"/>
    <w:rsid w:val="00476733"/>
    <w:rsid w:val="004771AF"/>
    <w:rsid w:val="00477E68"/>
    <w:rsid w:val="00477F93"/>
    <w:rsid w:val="00480525"/>
    <w:rsid w:val="00481FA0"/>
    <w:rsid w:val="004823FA"/>
    <w:rsid w:val="00482640"/>
    <w:rsid w:val="00482F20"/>
    <w:rsid w:val="00482FEB"/>
    <w:rsid w:val="004837DD"/>
    <w:rsid w:val="00483C5A"/>
    <w:rsid w:val="004840D6"/>
    <w:rsid w:val="00484C4A"/>
    <w:rsid w:val="00485785"/>
    <w:rsid w:val="00485AB8"/>
    <w:rsid w:val="00485D86"/>
    <w:rsid w:val="00485D99"/>
    <w:rsid w:val="00486647"/>
    <w:rsid w:val="004874DF"/>
    <w:rsid w:val="00487A38"/>
    <w:rsid w:val="00487DB1"/>
    <w:rsid w:val="004906F6"/>
    <w:rsid w:val="00490BDC"/>
    <w:rsid w:val="00490BFE"/>
    <w:rsid w:val="00490E8F"/>
    <w:rsid w:val="004913C5"/>
    <w:rsid w:val="0049247E"/>
    <w:rsid w:val="004924C5"/>
    <w:rsid w:val="00492BE2"/>
    <w:rsid w:val="00492CB8"/>
    <w:rsid w:val="00493673"/>
    <w:rsid w:val="004939D2"/>
    <w:rsid w:val="00493D87"/>
    <w:rsid w:val="004940BD"/>
    <w:rsid w:val="00494238"/>
    <w:rsid w:val="0049448C"/>
    <w:rsid w:val="0049494B"/>
    <w:rsid w:val="00495016"/>
    <w:rsid w:val="00495C8E"/>
    <w:rsid w:val="00496513"/>
    <w:rsid w:val="004965B5"/>
    <w:rsid w:val="004965EC"/>
    <w:rsid w:val="00496744"/>
    <w:rsid w:val="00496BE5"/>
    <w:rsid w:val="00496C38"/>
    <w:rsid w:val="00496F16"/>
    <w:rsid w:val="00497E3E"/>
    <w:rsid w:val="004A091F"/>
    <w:rsid w:val="004A0ABD"/>
    <w:rsid w:val="004A1126"/>
    <w:rsid w:val="004A1D18"/>
    <w:rsid w:val="004A2AA6"/>
    <w:rsid w:val="004A2B16"/>
    <w:rsid w:val="004A3739"/>
    <w:rsid w:val="004A39F9"/>
    <w:rsid w:val="004A4733"/>
    <w:rsid w:val="004A4849"/>
    <w:rsid w:val="004A4DDB"/>
    <w:rsid w:val="004A5B0B"/>
    <w:rsid w:val="004A665A"/>
    <w:rsid w:val="004A6858"/>
    <w:rsid w:val="004A7660"/>
    <w:rsid w:val="004A7782"/>
    <w:rsid w:val="004A78E0"/>
    <w:rsid w:val="004A7B46"/>
    <w:rsid w:val="004A7CB3"/>
    <w:rsid w:val="004A7ECF"/>
    <w:rsid w:val="004B0DA4"/>
    <w:rsid w:val="004B1B9D"/>
    <w:rsid w:val="004B22DF"/>
    <w:rsid w:val="004B3248"/>
    <w:rsid w:val="004B3525"/>
    <w:rsid w:val="004B52B4"/>
    <w:rsid w:val="004B6019"/>
    <w:rsid w:val="004B67CA"/>
    <w:rsid w:val="004B6A08"/>
    <w:rsid w:val="004B6E53"/>
    <w:rsid w:val="004B7147"/>
    <w:rsid w:val="004B7622"/>
    <w:rsid w:val="004C036A"/>
    <w:rsid w:val="004C1CD6"/>
    <w:rsid w:val="004C2079"/>
    <w:rsid w:val="004C248D"/>
    <w:rsid w:val="004C2754"/>
    <w:rsid w:val="004C2CFA"/>
    <w:rsid w:val="004C32A5"/>
    <w:rsid w:val="004C346A"/>
    <w:rsid w:val="004C40D7"/>
    <w:rsid w:val="004C48C1"/>
    <w:rsid w:val="004C4F4D"/>
    <w:rsid w:val="004C538F"/>
    <w:rsid w:val="004C54B2"/>
    <w:rsid w:val="004C5779"/>
    <w:rsid w:val="004C5A3C"/>
    <w:rsid w:val="004C72B7"/>
    <w:rsid w:val="004D029C"/>
    <w:rsid w:val="004D16AD"/>
    <w:rsid w:val="004D1724"/>
    <w:rsid w:val="004D2827"/>
    <w:rsid w:val="004D4251"/>
    <w:rsid w:val="004D5023"/>
    <w:rsid w:val="004D50F3"/>
    <w:rsid w:val="004D55AF"/>
    <w:rsid w:val="004D678D"/>
    <w:rsid w:val="004D6DFA"/>
    <w:rsid w:val="004E0395"/>
    <w:rsid w:val="004E05F9"/>
    <w:rsid w:val="004E071B"/>
    <w:rsid w:val="004E1490"/>
    <w:rsid w:val="004E1F91"/>
    <w:rsid w:val="004E219F"/>
    <w:rsid w:val="004E28B2"/>
    <w:rsid w:val="004E340A"/>
    <w:rsid w:val="004E4151"/>
    <w:rsid w:val="004E4A46"/>
    <w:rsid w:val="004E4B05"/>
    <w:rsid w:val="004E554E"/>
    <w:rsid w:val="004E58E9"/>
    <w:rsid w:val="004E66A1"/>
    <w:rsid w:val="004F01B5"/>
    <w:rsid w:val="004F08F1"/>
    <w:rsid w:val="004F0B9F"/>
    <w:rsid w:val="004F18AF"/>
    <w:rsid w:val="004F1C4C"/>
    <w:rsid w:val="004F1CE6"/>
    <w:rsid w:val="004F2298"/>
    <w:rsid w:val="004F2445"/>
    <w:rsid w:val="004F2F96"/>
    <w:rsid w:val="004F4AC1"/>
    <w:rsid w:val="004F4B4F"/>
    <w:rsid w:val="004F5A41"/>
    <w:rsid w:val="004F7F4D"/>
    <w:rsid w:val="005006D5"/>
    <w:rsid w:val="005009AD"/>
    <w:rsid w:val="00501B50"/>
    <w:rsid w:val="005030ED"/>
    <w:rsid w:val="00503970"/>
    <w:rsid w:val="00503DD0"/>
    <w:rsid w:val="00503EF4"/>
    <w:rsid w:val="0050447A"/>
    <w:rsid w:val="0050458F"/>
    <w:rsid w:val="0050535E"/>
    <w:rsid w:val="005061FD"/>
    <w:rsid w:val="0050685E"/>
    <w:rsid w:val="005075DF"/>
    <w:rsid w:val="00507C32"/>
    <w:rsid w:val="00510B70"/>
    <w:rsid w:val="00510E47"/>
    <w:rsid w:val="0051118D"/>
    <w:rsid w:val="00512F93"/>
    <w:rsid w:val="0051393B"/>
    <w:rsid w:val="00513A82"/>
    <w:rsid w:val="00514A42"/>
    <w:rsid w:val="00514AFA"/>
    <w:rsid w:val="0051509C"/>
    <w:rsid w:val="005161BF"/>
    <w:rsid w:val="00516F78"/>
    <w:rsid w:val="00516F86"/>
    <w:rsid w:val="00517106"/>
    <w:rsid w:val="00517362"/>
    <w:rsid w:val="005173D2"/>
    <w:rsid w:val="00520639"/>
    <w:rsid w:val="005215C5"/>
    <w:rsid w:val="00522C0F"/>
    <w:rsid w:val="00522CAA"/>
    <w:rsid w:val="00522F13"/>
    <w:rsid w:val="005233BF"/>
    <w:rsid w:val="0052368D"/>
    <w:rsid w:val="00523A76"/>
    <w:rsid w:val="00523F79"/>
    <w:rsid w:val="00524281"/>
    <w:rsid w:val="00525E33"/>
    <w:rsid w:val="005264EC"/>
    <w:rsid w:val="0052684A"/>
    <w:rsid w:val="00527A80"/>
    <w:rsid w:val="00530066"/>
    <w:rsid w:val="0053016B"/>
    <w:rsid w:val="0053020C"/>
    <w:rsid w:val="005309FD"/>
    <w:rsid w:val="005310B6"/>
    <w:rsid w:val="00531362"/>
    <w:rsid w:val="0053194F"/>
    <w:rsid w:val="005329CD"/>
    <w:rsid w:val="00532A75"/>
    <w:rsid w:val="00532E7C"/>
    <w:rsid w:val="0053481C"/>
    <w:rsid w:val="005354D5"/>
    <w:rsid w:val="005355F6"/>
    <w:rsid w:val="00535930"/>
    <w:rsid w:val="005367A3"/>
    <w:rsid w:val="00536B98"/>
    <w:rsid w:val="00537026"/>
    <w:rsid w:val="005379A5"/>
    <w:rsid w:val="00537E31"/>
    <w:rsid w:val="00537F28"/>
    <w:rsid w:val="00540AB6"/>
    <w:rsid w:val="00540B55"/>
    <w:rsid w:val="00540BAB"/>
    <w:rsid w:val="0054220F"/>
    <w:rsid w:val="005425C2"/>
    <w:rsid w:val="00542C68"/>
    <w:rsid w:val="00543BC9"/>
    <w:rsid w:val="00544592"/>
    <w:rsid w:val="00545B17"/>
    <w:rsid w:val="0054619E"/>
    <w:rsid w:val="00547317"/>
    <w:rsid w:val="0054748B"/>
    <w:rsid w:val="00547A51"/>
    <w:rsid w:val="00547A86"/>
    <w:rsid w:val="00551ACD"/>
    <w:rsid w:val="00553FDC"/>
    <w:rsid w:val="0055420E"/>
    <w:rsid w:val="00556481"/>
    <w:rsid w:val="005567A3"/>
    <w:rsid w:val="0055721B"/>
    <w:rsid w:val="005578D2"/>
    <w:rsid w:val="00560647"/>
    <w:rsid w:val="00562507"/>
    <w:rsid w:val="005629F4"/>
    <w:rsid w:val="00562FE0"/>
    <w:rsid w:val="00563928"/>
    <w:rsid w:val="00563E9C"/>
    <w:rsid w:val="00564E87"/>
    <w:rsid w:val="005659F9"/>
    <w:rsid w:val="00566800"/>
    <w:rsid w:val="0056684A"/>
    <w:rsid w:val="00566E39"/>
    <w:rsid w:val="00567494"/>
    <w:rsid w:val="005675AB"/>
    <w:rsid w:val="00567A2A"/>
    <w:rsid w:val="005707C4"/>
    <w:rsid w:val="00570FE2"/>
    <w:rsid w:val="00571CB5"/>
    <w:rsid w:val="00572195"/>
    <w:rsid w:val="005726D1"/>
    <w:rsid w:val="005728E5"/>
    <w:rsid w:val="005729F7"/>
    <w:rsid w:val="00572BB7"/>
    <w:rsid w:val="00572C14"/>
    <w:rsid w:val="00573122"/>
    <w:rsid w:val="005734EE"/>
    <w:rsid w:val="00573810"/>
    <w:rsid w:val="005738D4"/>
    <w:rsid w:val="00573B9E"/>
    <w:rsid w:val="0057461A"/>
    <w:rsid w:val="00574AA7"/>
    <w:rsid w:val="005752AB"/>
    <w:rsid w:val="005755D9"/>
    <w:rsid w:val="00575D3A"/>
    <w:rsid w:val="00576B1F"/>
    <w:rsid w:val="00577296"/>
    <w:rsid w:val="005777E0"/>
    <w:rsid w:val="0058136B"/>
    <w:rsid w:val="005814DD"/>
    <w:rsid w:val="0058150D"/>
    <w:rsid w:val="00581B13"/>
    <w:rsid w:val="00581B93"/>
    <w:rsid w:val="00581C90"/>
    <w:rsid w:val="00582ACD"/>
    <w:rsid w:val="00584326"/>
    <w:rsid w:val="0058432B"/>
    <w:rsid w:val="0058435E"/>
    <w:rsid w:val="00584550"/>
    <w:rsid w:val="00585019"/>
    <w:rsid w:val="00585AA5"/>
    <w:rsid w:val="005867E8"/>
    <w:rsid w:val="00586829"/>
    <w:rsid w:val="005901F6"/>
    <w:rsid w:val="00590838"/>
    <w:rsid w:val="00590889"/>
    <w:rsid w:val="0059091F"/>
    <w:rsid w:val="005911C2"/>
    <w:rsid w:val="00591200"/>
    <w:rsid w:val="00591FEE"/>
    <w:rsid w:val="00592A45"/>
    <w:rsid w:val="00594A93"/>
    <w:rsid w:val="00594E4D"/>
    <w:rsid w:val="0059521E"/>
    <w:rsid w:val="005952D5"/>
    <w:rsid w:val="00595CA6"/>
    <w:rsid w:val="00595F3F"/>
    <w:rsid w:val="0059649E"/>
    <w:rsid w:val="005971F3"/>
    <w:rsid w:val="005975E8"/>
    <w:rsid w:val="00597FDD"/>
    <w:rsid w:val="005A052E"/>
    <w:rsid w:val="005A1251"/>
    <w:rsid w:val="005A174A"/>
    <w:rsid w:val="005A18E7"/>
    <w:rsid w:val="005A328C"/>
    <w:rsid w:val="005A4CF0"/>
    <w:rsid w:val="005A571D"/>
    <w:rsid w:val="005A755E"/>
    <w:rsid w:val="005A7D2B"/>
    <w:rsid w:val="005A7D8E"/>
    <w:rsid w:val="005B069A"/>
    <w:rsid w:val="005B0B47"/>
    <w:rsid w:val="005B0D57"/>
    <w:rsid w:val="005B1A1E"/>
    <w:rsid w:val="005B1AEA"/>
    <w:rsid w:val="005B251A"/>
    <w:rsid w:val="005B34DD"/>
    <w:rsid w:val="005B387A"/>
    <w:rsid w:val="005B3A10"/>
    <w:rsid w:val="005B416F"/>
    <w:rsid w:val="005B455B"/>
    <w:rsid w:val="005B4AEE"/>
    <w:rsid w:val="005B4EDE"/>
    <w:rsid w:val="005B5717"/>
    <w:rsid w:val="005B5875"/>
    <w:rsid w:val="005B6369"/>
    <w:rsid w:val="005B69A4"/>
    <w:rsid w:val="005B6FF7"/>
    <w:rsid w:val="005B74E3"/>
    <w:rsid w:val="005C0197"/>
    <w:rsid w:val="005C0C90"/>
    <w:rsid w:val="005C0E71"/>
    <w:rsid w:val="005C1A49"/>
    <w:rsid w:val="005C1E65"/>
    <w:rsid w:val="005C27DA"/>
    <w:rsid w:val="005C2B49"/>
    <w:rsid w:val="005C2D31"/>
    <w:rsid w:val="005C2DC7"/>
    <w:rsid w:val="005C30B8"/>
    <w:rsid w:val="005C33AE"/>
    <w:rsid w:val="005C42E7"/>
    <w:rsid w:val="005C4450"/>
    <w:rsid w:val="005C4544"/>
    <w:rsid w:val="005C480D"/>
    <w:rsid w:val="005C5370"/>
    <w:rsid w:val="005C5792"/>
    <w:rsid w:val="005C5A9B"/>
    <w:rsid w:val="005C5D09"/>
    <w:rsid w:val="005C61E3"/>
    <w:rsid w:val="005C61F3"/>
    <w:rsid w:val="005C6B2F"/>
    <w:rsid w:val="005C6B50"/>
    <w:rsid w:val="005C6D56"/>
    <w:rsid w:val="005C704F"/>
    <w:rsid w:val="005C7491"/>
    <w:rsid w:val="005C77EF"/>
    <w:rsid w:val="005C7988"/>
    <w:rsid w:val="005C7AA8"/>
    <w:rsid w:val="005D03A4"/>
    <w:rsid w:val="005D18C8"/>
    <w:rsid w:val="005D1E52"/>
    <w:rsid w:val="005D29F3"/>
    <w:rsid w:val="005D2DD0"/>
    <w:rsid w:val="005D316E"/>
    <w:rsid w:val="005D345E"/>
    <w:rsid w:val="005D390B"/>
    <w:rsid w:val="005D3D90"/>
    <w:rsid w:val="005D422A"/>
    <w:rsid w:val="005D68C2"/>
    <w:rsid w:val="005D79F3"/>
    <w:rsid w:val="005E0731"/>
    <w:rsid w:val="005E0C3E"/>
    <w:rsid w:val="005E0EE9"/>
    <w:rsid w:val="005E11C0"/>
    <w:rsid w:val="005E139D"/>
    <w:rsid w:val="005E3492"/>
    <w:rsid w:val="005E349E"/>
    <w:rsid w:val="005E5ABD"/>
    <w:rsid w:val="005E5CA0"/>
    <w:rsid w:val="005E62C6"/>
    <w:rsid w:val="005E6EDF"/>
    <w:rsid w:val="005F033D"/>
    <w:rsid w:val="005F17EF"/>
    <w:rsid w:val="005F232E"/>
    <w:rsid w:val="005F29DB"/>
    <w:rsid w:val="005F3940"/>
    <w:rsid w:val="005F3FD4"/>
    <w:rsid w:val="005F406D"/>
    <w:rsid w:val="005F4645"/>
    <w:rsid w:val="005F5645"/>
    <w:rsid w:val="005F63FE"/>
    <w:rsid w:val="005F66C6"/>
    <w:rsid w:val="00601A86"/>
    <w:rsid w:val="00602196"/>
    <w:rsid w:val="006021B8"/>
    <w:rsid w:val="0060225A"/>
    <w:rsid w:val="00602883"/>
    <w:rsid w:val="00603360"/>
    <w:rsid w:val="00603616"/>
    <w:rsid w:val="006039B1"/>
    <w:rsid w:val="006041A1"/>
    <w:rsid w:val="0060488A"/>
    <w:rsid w:val="006049CC"/>
    <w:rsid w:val="00605FC6"/>
    <w:rsid w:val="00606B30"/>
    <w:rsid w:val="00606BE1"/>
    <w:rsid w:val="006072E6"/>
    <w:rsid w:val="00607709"/>
    <w:rsid w:val="00611796"/>
    <w:rsid w:val="00612871"/>
    <w:rsid w:val="006129CF"/>
    <w:rsid w:val="006133CF"/>
    <w:rsid w:val="00613DE3"/>
    <w:rsid w:val="00614118"/>
    <w:rsid w:val="00614444"/>
    <w:rsid w:val="00614937"/>
    <w:rsid w:val="00614A3C"/>
    <w:rsid w:val="006152E6"/>
    <w:rsid w:val="006164A6"/>
    <w:rsid w:val="006169D8"/>
    <w:rsid w:val="00616C24"/>
    <w:rsid w:val="00617070"/>
    <w:rsid w:val="006170BA"/>
    <w:rsid w:val="006179AF"/>
    <w:rsid w:val="00617E02"/>
    <w:rsid w:val="006208B1"/>
    <w:rsid w:val="00620C1B"/>
    <w:rsid w:val="00620EC2"/>
    <w:rsid w:val="00621710"/>
    <w:rsid w:val="00621E3C"/>
    <w:rsid w:val="00622012"/>
    <w:rsid w:val="00622175"/>
    <w:rsid w:val="00622523"/>
    <w:rsid w:val="00622854"/>
    <w:rsid w:val="00623066"/>
    <w:rsid w:val="00623F26"/>
    <w:rsid w:val="00624FA2"/>
    <w:rsid w:val="00625EF6"/>
    <w:rsid w:val="00626141"/>
    <w:rsid w:val="006261D4"/>
    <w:rsid w:val="00627019"/>
    <w:rsid w:val="006270F8"/>
    <w:rsid w:val="00627814"/>
    <w:rsid w:val="00627984"/>
    <w:rsid w:val="006301CB"/>
    <w:rsid w:val="006310B6"/>
    <w:rsid w:val="00631802"/>
    <w:rsid w:val="006318D5"/>
    <w:rsid w:val="00632776"/>
    <w:rsid w:val="00632873"/>
    <w:rsid w:val="00632B25"/>
    <w:rsid w:val="00632C73"/>
    <w:rsid w:val="006331A2"/>
    <w:rsid w:val="0063339B"/>
    <w:rsid w:val="00633725"/>
    <w:rsid w:val="00633EBD"/>
    <w:rsid w:val="00634C84"/>
    <w:rsid w:val="00634D43"/>
    <w:rsid w:val="00635146"/>
    <w:rsid w:val="00635AF8"/>
    <w:rsid w:val="00636003"/>
    <w:rsid w:val="00636A1B"/>
    <w:rsid w:val="00636C61"/>
    <w:rsid w:val="00637160"/>
    <w:rsid w:val="0063763C"/>
    <w:rsid w:val="00637B86"/>
    <w:rsid w:val="006406A1"/>
    <w:rsid w:val="00640A5D"/>
    <w:rsid w:val="00640D52"/>
    <w:rsid w:val="0064112F"/>
    <w:rsid w:val="0064146D"/>
    <w:rsid w:val="006414C3"/>
    <w:rsid w:val="00641A57"/>
    <w:rsid w:val="00641E7A"/>
    <w:rsid w:val="006425C7"/>
    <w:rsid w:val="00642E80"/>
    <w:rsid w:val="00643BEC"/>
    <w:rsid w:val="006443E4"/>
    <w:rsid w:val="006444D9"/>
    <w:rsid w:val="0064460C"/>
    <w:rsid w:val="00644B26"/>
    <w:rsid w:val="00644D1F"/>
    <w:rsid w:val="00644D24"/>
    <w:rsid w:val="00645A83"/>
    <w:rsid w:val="00645D22"/>
    <w:rsid w:val="006465B2"/>
    <w:rsid w:val="00646753"/>
    <w:rsid w:val="00646E61"/>
    <w:rsid w:val="0064773E"/>
    <w:rsid w:val="00647F76"/>
    <w:rsid w:val="00650530"/>
    <w:rsid w:val="00650777"/>
    <w:rsid w:val="00651B2D"/>
    <w:rsid w:val="006520E3"/>
    <w:rsid w:val="00652D0C"/>
    <w:rsid w:val="00653828"/>
    <w:rsid w:val="00653AA6"/>
    <w:rsid w:val="0065408B"/>
    <w:rsid w:val="006541C8"/>
    <w:rsid w:val="00654474"/>
    <w:rsid w:val="0065571F"/>
    <w:rsid w:val="006563AE"/>
    <w:rsid w:val="00656F44"/>
    <w:rsid w:val="00657137"/>
    <w:rsid w:val="0065716F"/>
    <w:rsid w:val="00657414"/>
    <w:rsid w:val="006575B8"/>
    <w:rsid w:val="00657819"/>
    <w:rsid w:val="00657849"/>
    <w:rsid w:val="006601AD"/>
    <w:rsid w:val="00660B27"/>
    <w:rsid w:val="006612A4"/>
    <w:rsid w:val="006612C7"/>
    <w:rsid w:val="006628B7"/>
    <w:rsid w:val="00663188"/>
    <w:rsid w:val="006635FE"/>
    <w:rsid w:val="00663874"/>
    <w:rsid w:val="00664276"/>
    <w:rsid w:val="00665245"/>
    <w:rsid w:val="006666E1"/>
    <w:rsid w:val="0066695B"/>
    <w:rsid w:val="00667495"/>
    <w:rsid w:val="006674EA"/>
    <w:rsid w:val="006676B7"/>
    <w:rsid w:val="00667912"/>
    <w:rsid w:val="00667CAA"/>
    <w:rsid w:val="00667F22"/>
    <w:rsid w:val="006720F2"/>
    <w:rsid w:val="006722C1"/>
    <w:rsid w:val="00672315"/>
    <w:rsid w:val="00672AD6"/>
    <w:rsid w:val="00672F11"/>
    <w:rsid w:val="00673054"/>
    <w:rsid w:val="00673DAC"/>
    <w:rsid w:val="00674579"/>
    <w:rsid w:val="0067463F"/>
    <w:rsid w:val="00674E70"/>
    <w:rsid w:val="006755E2"/>
    <w:rsid w:val="00676234"/>
    <w:rsid w:val="00676B7C"/>
    <w:rsid w:val="00676BC3"/>
    <w:rsid w:val="00676F00"/>
    <w:rsid w:val="0067773D"/>
    <w:rsid w:val="00677CD9"/>
    <w:rsid w:val="006801DE"/>
    <w:rsid w:val="00680CB8"/>
    <w:rsid w:val="00682A92"/>
    <w:rsid w:val="006837CD"/>
    <w:rsid w:val="00683A03"/>
    <w:rsid w:val="00683CF9"/>
    <w:rsid w:val="00683F75"/>
    <w:rsid w:val="0068419D"/>
    <w:rsid w:val="0068465A"/>
    <w:rsid w:val="00684DEF"/>
    <w:rsid w:val="0068671D"/>
    <w:rsid w:val="006873C7"/>
    <w:rsid w:val="00687F9C"/>
    <w:rsid w:val="00690683"/>
    <w:rsid w:val="00691109"/>
    <w:rsid w:val="006914E7"/>
    <w:rsid w:val="00693022"/>
    <w:rsid w:val="006930B7"/>
    <w:rsid w:val="006937EF"/>
    <w:rsid w:val="00693D2A"/>
    <w:rsid w:val="00694BD2"/>
    <w:rsid w:val="00694FFB"/>
    <w:rsid w:val="0069524B"/>
    <w:rsid w:val="006952D5"/>
    <w:rsid w:val="006957A8"/>
    <w:rsid w:val="006963EB"/>
    <w:rsid w:val="006968AD"/>
    <w:rsid w:val="00697B6D"/>
    <w:rsid w:val="006A033B"/>
    <w:rsid w:val="006A0500"/>
    <w:rsid w:val="006A09F6"/>
    <w:rsid w:val="006A1D6B"/>
    <w:rsid w:val="006A215A"/>
    <w:rsid w:val="006A338A"/>
    <w:rsid w:val="006A3478"/>
    <w:rsid w:val="006A3CBE"/>
    <w:rsid w:val="006A4469"/>
    <w:rsid w:val="006A4D16"/>
    <w:rsid w:val="006A5004"/>
    <w:rsid w:val="006A5592"/>
    <w:rsid w:val="006A564B"/>
    <w:rsid w:val="006A580F"/>
    <w:rsid w:val="006A5C38"/>
    <w:rsid w:val="006A63DD"/>
    <w:rsid w:val="006A7C08"/>
    <w:rsid w:val="006B01C3"/>
    <w:rsid w:val="006B0E64"/>
    <w:rsid w:val="006B16CB"/>
    <w:rsid w:val="006B490E"/>
    <w:rsid w:val="006B4B8C"/>
    <w:rsid w:val="006B4C54"/>
    <w:rsid w:val="006B4D07"/>
    <w:rsid w:val="006B4D53"/>
    <w:rsid w:val="006B51D2"/>
    <w:rsid w:val="006B5869"/>
    <w:rsid w:val="006B5F1A"/>
    <w:rsid w:val="006B60EC"/>
    <w:rsid w:val="006B61FF"/>
    <w:rsid w:val="006B6C59"/>
    <w:rsid w:val="006B72E9"/>
    <w:rsid w:val="006C029F"/>
    <w:rsid w:val="006C0A74"/>
    <w:rsid w:val="006C1246"/>
    <w:rsid w:val="006C177D"/>
    <w:rsid w:val="006C1A1B"/>
    <w:rsid w:val="006C226F"/>
    <w:rsid w:val="006C2581"/>
    <w:rsid w:val="006C25A3"/>
    <w:rsid w:val="006C2699"/>
    <w:rsid w:val="006C2A8D"/>
    <w:rsid w:val="006C31D0"/>
    <w:rsid w:val="006C3674"/>
    <w:rsid w:val="006C375B"/>
    <w:rsid w:val="006C4F86"/>
    <w:rsid w:val="006C5083"/>
    <w:rsid w:val="006C5A42"/>
    <w:rsid w:val="006C5AE2"/>
    <w:rsid w:val="006C5B5E"/>
    <w:rsid w:val="006C5D72"/>
    <w:rsid w:val="006C6628"/>
    <w:rsid w:val="006C66EB"/>
    <w:rsid w:val="006C6A47"/>
    <w:rsid w:val="006C6BA4"/>
    <w:rsid w:val="006C76FF"/>
    <w:rsid w:val="006D037D"/>
    <w:rsid w:val="006D0D5B"/>
    <w:rsid w:val="006D1172"/>
    <w:rsid w:val="006D2732"/>
    <w:rsid w:val="006D2B88"/>
    <w:rsid w:val="006D3418"/>
    <w:rsid w:val="006D34E1"/>
    <w:rsid w:val="006D3F3B"/>
    <w:rsid w:val="006D44BF"/>
    <w:rsid w:val="006D52F8"/>
    <w:rsid w:val="006D55B7"/>
    <w:rsid w:val="006D5749"/>
    <w:rsid w:val="006D6523"/>
    <w:rsid w:val="006D707E"/>
    <w:rsid w:val="006D75B5"/>
    <w:rsid w:val="006D7B7D"/>
    <w:rsid w:val="006D7DC3"/>
    <w:rsid w:val="006E0110"/>
    <w:rsid w:val="006E01A2"/>
    <w:rsid w:val="006E057E"/>
    <w:rsid w:val="006E0A95"/>
    <w:rsid w:val="006E158A"/>
    <w:rsid w:val="006E1ADE"/>
    <w:rsid w:val="006E1C22"/>
    <w:rsid w:val="006E1F31"/>
    <w:rsid w:val="006E3872"/>
    <w:rsid w:val="006E4321"/>
    <w:rsid w:val="006E5C45"/>
    <w:rsid w:val="006E5C66"/>
    <w:rsid w:val="006E5D12"/>
    <w:rsid w:val="006E693C"/>
    <w:rsid w:val="006E7364"/>
    <w:rsid w:val="006F0020"/>
    <w:rsid w:val="006F08EC"/>
    <w:rsid w:val="006F1831"/>
    <w:rsid w:val="006F1BB9"/>
    <w:rsid w:val="006F25E0"/>
    <w:rsid w:val="006F2F0F"/>
    <w:rsid w:val="006F35B7"/>
    <w:rsid w:val="006F3F86"/>
    <w:rsid w:val="006F54AB"/>
    <w:rsid w:val="006F578F"/>
    <w:rsid w:val="006F59E4"/>
    <w:rsid w:val="006F5A43"/>
    <w:rsid w:val="006F60D8"/>
    <w:rsid w:val="006F6289"/>
    <w:rsid w:val="006F6D95"/>
    <w:rsid w:val="006F78A5"/>
    <w:rsid w:val="006F7954"/>
    <w:rsid w:val="00700047"/>
    <w:rsid w:val="007003CA"/>
    <w:rsid w:val="0070050A"/>
    <w:rsid w:val="00701D71"/>
    <w:rsid w:val="007022F8"/>
    <w:rsid w:val="007026FF"/>
    <w:rsid w:val="0070293D"/>
    <w:rsid w:val="007032C4"/>
    <w:rsid w:val="00703A4B"/>
    <w:rsid w:val="0070447C"/>
    <w:rsid w:val="00705783"/>
    <w:rsid w:val="00706396"/>
    <w:rsid w:val="007065C0"/>
    <w:rsid w:val="007074FD"/>
    <w:rsid w:val="007077A8"/>
    <w:rsid w:val="00707ECB"/>
    <w:rsid w:val="0071025E"/>
    <w:rsid w:val="00710C83"/>
    <w:rsid w:val="00712B03"/>
    <w:rsid w:val="00712F36"/>
    <w:rsid w:val="00714823"/>
    <w:rsid w:val="00715089"/>
    <w:rsid w:val="007153B4"/>
    <w:rsid w:val="007154AD"/>
    <w:rsid w:val="00715AD0"/>
    <w:rsid w:val="00715CA6"/>
    <w:rsid w:val="007169E1"/>
    <w:rsid w:val="00716AB8"/>
    <w:rsid w:val="00716B54"/>
    <w:rsid w:val="00720B34"/>
    <w:rsid w:val="00720BF0"/>
    <w:rsid w:val="00720E3C"/>
    <w:rsid w:val="0072108B"/>
    <w:rsid w:val="0072151E"/>
    <w:rsid w:val="00722326"/>
    <w:rsid w:val="00724233"/>
    <w:rsid w:val="007249DD"/>
    <w:rsid w:val="00724F8A"/>
    <w:rsid w:val="00725152"/>
    <w:rsid w:val="007257CD"/>
    <w:rsid w:val="00726791"/>
    <w:rsid w:val="00726FC1"/>
    <w:rsid w:val="00727520"/>
    <w:rsid w:val="00727BC6"/>
    <w:rsid w:val="00730774"/>
    <w:rsid w:val="00731E97"/>
    <w:rsid w:val="007329DC"/>
    <w:rsid w:val="00732F85"/>
    <w:rsid w:val="00732FD4"/>
    <w:rsid w:val="00732FE1"/>
    <w:rsid w:val="007332D0"/>
    <w:rsid w:val="00733824"/>
    <w:rsid w:val="00733D5E"/>
    <w:rsid w:val="007347CA"/>
    <w:rsid w:val="00735841"/>
    <w:rsid w:val="00735A77"/>
    <w:rsid w:val="0073640D"/>
    <w:rsid w:val="00737853"/>
    <w:rsid w:val="00737B38"/>
    <w:rsid w:val="00740438"/>
    <w:rsid w:val="0074061B"/>
    <w:rsid w:val="00740A6B"/>
    <w:rsid w:val="00740A6E"/>
    <w:rsid w:val="00741515"/>
    <w:rsid w:val="007415BF"/>
    <w:rsid w:val="007418A7"/>
    <w:rsid w:val="00741931"/>
    <w:rsid w:val="0074205D"/>
    <w:rsid w:val="00743454"/>
    <w:rsid w:val="00743737"/>
    <w:rsid w:val="007440C7"/>
    <w:rsid w:val="0074411A"/>
    <w:rsid w:val="00745343"/>
    <w:rsid w:val="007453CA"/>
    <w:rsid w:val="0074578C"/>
    <w:rsid w:val="00745851"/>
    <w:rsid w:val="00745852"/>
    <w:rsid w:val="00745A27"/>
    <w:rsid w:val="00745D95"/>
    <w:rsid w:val="007460FA"/>
    <w:rsid w:val="00746435"/>
    <w:rsid w:val="007472E5"/>
    <w:rsid w:val="007477A1"/>
    <w:rsid w:val="00750DB7"/>
    <w:rsid w:val="0075204B"/>
    <w:rsid w:val="007525BF"/>
    <w:rsid w:val="00752622"/>
    <w:rsid w:val="00752857"/>
    <w:rsid w:val="007531B1"/>
    <w:rsid w:val="0075323E"/>
    <w:rsid w:val="00753A11"/>
    <w:rsid w:val="00753CD4"/>
    <w:rsid w:val="00754931"/>
    <w:rsid w:val="00755483"/>
    <w:rsid w:val="00757111"/>
    <w:rsid w:val="007576E4"/>
    <w:rsid w:val="00757C20"/>
    <w:rsid w:val="007603E6"/>
    <w:rsid w:val="0076067E"/>
    <w:rsid w:val="00760B74"/>
    <w:rsid w:val="00760FD9"/>
    <w:rsid w:val="007619B8"/>
    <w:rsid w:val="00762233"/>
    <w:rsid w:val="0076227F"/>
    <w:rsid w:val="0076272C"/>
    <w:rsid w:val="007634B9"/>
    <w:rsid w:val="00763C00"/>
    <w:rsid w:val="0076434B"/>
    <w:rsid w:val="00764A29"/>
    <w:rsid w:val="00764FAB"/>
    <w:rsid w:val="0076509B"/>
    <w:rsid w:val="007656A7"/>
    <w:rsid w:val="0076576D"/>
    <w:rsid w:val="00766054"/>
    <w:rsid w:val="00766F7E"/>
    <w:rsid w:val="00767B0B"/>
    <w:rsid w:val="00770087"/>
    <w:rsid w:val="007704C4"/>
    <w:rsid w:val="00770630"/>
    <w:rsid w:val="0077065E"/>
    <w:rsid w:val="00771428"/>
    <w:rsid w:val="00771E83"/>
    <w:rsid w:val="00772143"/>
    <w:rsid w:val="0077218B"/>
    <w:rsid w:val="00772B1D"/>
    <w:rsid w:val="00772E1E"/>
    <w:rsid w:val="007735DA"/>
    <w:rsid w:val="00773B28"/>
    <w:rsid w:val="007745EE"/>
    <w:rsid w:val="0077476B"/>
    <w:rsid w:val="00775B77"/>
    <w:rsid w:val="00775EDD"/>
    <w:rsid w:val="0077602C"/>
    <w:rsid w:val="00776199"/>
    <w:rsid w:val="007763BA"/>
    <w:rsid w:val="0077677B"/>
    <w:rsid w:val="00776B44"/>
    <w:rsid w:val="00777232"/>
    <w:rsid w:val="007776F1"/>
    <w:rsid w:val="007777B8"/>
    <w:rsid w:val="00780EEA"/>
    <w:rsid w:val="00780FD5"/>
    <w:rsid w:val="007812BE"/>
    <w:rsid w:val="007817BE"/>
    <w:rsid w:val="007818B2"/>
    <w:rsid w:val="0078265A"/>
    <w:rsid w:val="00782DB9"/>
    <w:rsid w:val="00783C06"/>
    <w:rsid w:val="007844A1"/>
    <w:rsid w:val="00784ABF"/>
    <w:rsid w:val="00785038"/>
    <w:rsid w:val="007858A7"/>
    <w:rsid w:val="007865C4"/>
    <w:rsid w:val="00786744"/>
    <w:rsid w:val="00790D88"/>
    <w:rsid w:val="00790E97"/>
    <w:rsid w:val="00790EF1"/>
    <w:rsid w:val="00791D5F"/>
    <w:rsid w:val="00792091"/>
    <w:rsid w:val="00792AC7"/>
    <w:rsid w:val="00792AED"/>
    <w:rsid w:val="00792C7F"/>
    <w:rsid w:val="007964D8"/>
    <w:rsid w:val="0079719E"/>
    <w:rsid w:val="0079790F"/>
    <w:rsid w:val="00797E57"/>
    <w:rsid w:val="007A0072"/>
    <w:rsid w:val="007A0707"/>
    <w:rsid w:val="007A07FE"/>
    <w:rsid w:val="007A0944"/>
    <w:rsid w:val="007A0A04"/>
    <w:rsid w:val="007A1489"/>
    <w:rsid w:val="007A1E53"/>
    <w:rsid w:val="007A2819"/>
    <w:rsid w:val="007A36C8"/>
    <w:rsid w:val="007A5B40"/>
    <w:rsid w:val="007A5C17"/>
    <w:rsid w:val="007A5F57"/>
    <w:rsid w:val="007A63D0"/>
    <w:rsid w:val="007A6AEC"/>
    <w:rsid w:val="007A7651"/>
    <w:rsid w:val="007B034B"/>
    <w:rsid w:val="007B0DCE"/>
    <w:rsid w:val="007B1006"/>
    <w:rsid w:val="007B16F4"/>
    <w:rsid w:val="007B1C84"/>
    <w:rsid w:val="007B25B1"/>
    <w:rsid w:val="007B28FB"/>
    <w:rsid w:val="007B3086"/>
    <w:rsid w:val="007B5759"/>
    <w:rsid w:val="007B71BC"/>
    <w:rsid w:val="007B7493"/>
    <w:rsid w:val="007C0BC2"/>
    <w:rsid w:val="007C1375"/>
    <w:rsid w:val="007C158D"/>
    <w:rsid w:val="007C1FBF"/>
    <w:rsid w:val="007C205F"/>
    <w:rsid w:val="007C2370"/>
    <w:rsid w:val="007C2D9A"/>
    <w:rsid w:val="007C3967"/>
    <w:rsid w:val="007C3AE6"/>
    <w:rsid w:val="007C3AE8"/>
    <w:rsid w:val="007C3D35"/>
    <w:rsid w:val="007C3DC9"/>
    <w:rsid w:val="007C3FBD"/>
    <w:rsid w:val="007C4B00"/>
    <w:rsid w:val="007C5E27"/>
    <w:rsid w:val="007C625B"/>
    <w:rsid w:val="007C6435"/>
    <w:rsid w:val="007C6775"/>
    <w:rsid w:val="007C7690"/>
    <w:rsid w:val="007D0871"/>
    <w:rsid w:val="007D0AC0"/>
    <w:rsid w:val="007D0E63"/>
    <w:rsid w:val="007D1BA4"/>
    <w:rsid w:val="007D1F73"/>
    <w:rsid w:val="007D1FB3"/>
    <w:rsid w:val="007D3019"/>
    <w:rsid w:val="007D32AA"/>
    <w:rsid w:val="007D3D9B"/>
    <w:rsid w:val="007D47B5"/>
    <w:rsid w:val="007D4B3E"/>
    <w:rsid w:val="007D5142"/>
    <w:rsid w:val="007D5377"/>
    <w:rsid w:val="007D5529"/>
    <w:rsid w:val="007D5F98"/>
    <w:rsid w:val="007D6DE7"/>
    <w:rsid w:val="007D701A"/>
    <w:rsid w:val="007D79D3"/>
    <w:rsid w:val="007E0677"/>
    <w:rsid w:val="007E0BFA"/>
    <w:rsid w:val="007E0C1D"/>
    <w:rsid w:val="007E12B1"/>
    <w:rsid w:val="007E3514"/>
    <w:rsid w:val="007E4E22"/>
    <w:rsid w:val="007E786F"/>
    <w:rsid w:val="007E7A35"/>
    <w:rsid w:val="007E7C22"/>
    <w:rsid w:val="007E7D06"/>
    <w:rsid w:val="007F053D"/>
    <w:rsid w:val="007F16F8"/>
    <w:rsid w:val="007F174C"/>
    <w:rsid w:val="007F1896"/>
    <w:rsid w:val="007F2796"/>
    <w:rsid w:val="007F2C93"/>
    <w:rsid w:val="007F3D90"/>
    <w:rsid w:val="007F4724"/>
    <w:rsid w:val="007F4771"/>
    <w:rsid w:val="007F4A9A"/>
    <w:rsid w:val="007F5136"/>
    <w:rsid w:val="007F5974"/>
    <w:rsid w:val="007F5C35"/>
    <w:rsid w:val="007F75D0"/>
    <w:rsid w:val="007F7653"/>
    <w:rsid w:val="00800062"/>
    <w:rsid w:val="00800891"/>
    <w:rsid w:val="00800A97"/>
    <w:rsid w:val="008015A9"/>
    <w:rsid w:val="0080185B"/>
    <w:rsid w:val="00801955"/>
    <w:rsid w:val="00801F32"/>
    <w:rsid w:val="00802253"/>
    <w:rsid w:val="008022A3"/>
    <w:rsid w:val="00802F23"/>
    <w:rsid w:val="008036F7"/>
    <w:rsid w:val="00803F85"/>
    <w:rsid w:val="008050FF"/>
    <w:rsid w:val="008052F7"/>
    <w:rsid w:val="00806724"/>
    <w:rsid w:val="008076A2"/>
    <w:rsid w:val="00807BED"/>
    <w:rsid w:val="00810AE3"/>
    <w:rsid w:val="00810D23"/>
    <w:rsid w:val="00810EBA"/>
    <w:rsid w:val="00811CCD"/>
    <w:rsid w:val="00812BB8"/>
    <w:rsid w:val="00812EDE"/>
    <w:rsid w:val="00812FC0"/>
    <w:rsid w:val="008132C0"/>
    <w:rsid w:val="008137F3"/>
    <w:rsid w:val="0081399B"/>
    <w:rsid w:val="00814267"/>
    <w:rsid w:val="00814954"/>
    <w:rsid w:val="00814AE6"/>
    <w:rsid w:val="00814B3E"/>
    <w:rsid w:val="00814F1F"/>
    <w:rsid w:val="00815042"/>
    <w:rsid w:val="008152FC"/>
    <w:rsid w:val="0081592D"/>
    <w:rsid w:val="00816AA4"/>
    <w:rsid w:val="00816B42"/>
    <w:rsid w:val="00816CF3"/>
    <w:rsid w:val="008173D7"/>
    <w:rsid w:val="00820417"/>
    <w:rsid w:val="008222B8"/>
    <w:rsid w:val="00824543"/>
    <w:rsid w:val="008261B1"/>
    <w:rsid w:val="00826982"/>
    <w:rsid w:val="00826C8A"/>
    <w:rsid w:val="008301B1"/>
    <w:rsid w:val="00830256"/>
    <w:rsid w:val="008304D7"/>
    <w:rsid w:val="00830ABD"/>
    <w:rsid w:val="008315FA"/>
    <w:rsid w:val="008323F3"/>
    <w:rsid w:val="00832506"/>
    <w:rsid w:val="008325D1"/>
    <w:rsid w:val="00832BEA"/>
    <w:rsid w:val="00832D19"/>
    <w:rsid w:val="00833A36"/>
    <w:rsid w:val="00833EDB"/>
    <w:rsid w:val="00833F14"/>
    <w:rsid w:val="00834203"/>
    <w:rsid w:val="008362C3"/>
    <w:rsid w:val="00837BFE"/>
    <w:rsid w:val="00837DE8"/>
    <w:rsid w:val="008417AF"/>
    <w:rsid w:val="00841ABF"/>
    <w:rsid w:val="00841F35"/>
    <w:rsid w:val="00842038"/>
    <w:rsid w:val="008441BD"/>
    <w:rsid w:val="00844688"/>
    <w:rsid w:val="00844FE5"/>
    <w:rsid w:val="00845D28"/>
    <w:rsid w:val="00846FDE"/>
    <w:rsid w:val="00847330"/>
    <w:rsid w:val="00847582"/>
    <w:rsid w:val="00847E52"/>
    <w:rsid w:val="00847E53"/>
    <w:rsid w:val="00850957"/>
    <w:rsid w:val="00851766"/>
    <w:rsid w:val="00851B83"/>
    <w:rsid w:val="008524A7"/>
    <w:rsid w:val="00852585"/>
    <w:rsid w:val="008528ED"/>
    <w:rsid w:val="008530F9"/>
    <w:rsid w:val="00853AD7"/>
    <w:rsid w:val="0085552B"/>
    <w:rsid w:val="0085575B"/>
    <w:rsid w:val="00855A24"/>
    <w:rsid w:val="00855C21"/>
    <w:rsid w:val="00856A6F"/>
    <w:rsid w:val="00857020"/>
    <w:rsid w:val="00857818"/>
    <w:rsid w:val="00857A14"/>
    <w:rsid w:val="00857D4F"/>
    <w:rsid w:val="00857E43"/>
    <w:rsid w:val="008611B7"/>
    <w:rsid w:val="0086156F"/>
    <w:rsid w:val="00861F04"/>
    <w:rsid w:val="0086216B"/>
    <w:rsid w:val="00862975"/>
    <w:rsid w:val="008635AD"/>
    <w:rsid w:val="008637F7"/>
    <w:rsid w:val="0086494F"/>
    <w:rsid w:val="00864FBA"/>
    <w:rsid w:val="00865280"/>
    <w:rsid w:val="008652B1"/>
    <w:rsid w:val="008655AF"/>
    <w:rsid w:val="008658D0"/>
    <w:rsid w:val="00866B4D"/>
    <w:rsid w:val="00866C60"/>
    <w:rsid w:val="008674DD"/>
    <w:rsid w:val="0087043C"/>
    <w:rsid w:val="00870B24"/>
    <w:rsid w:val="0087187B"/>
    <w:rsid w:val="00872468"/>
    <w:rsid w:val="00873B6B"/>
    <w:rsid w:val="00873BD5"/>
    <w:rsid w:val="00873DFB"/>
    <w:rsid w:val="0087426F"/>
    <w:rsid w:val="00874902"/>
    <w:rsid w:val="00875DBB"/>
    <w:rsid w:val="00875FB4"/>
    <w:rsid w:val="00876534"/>
    <w:rsid w:val="00877DED"/>
    <w:rsid w:val="008805A7"/>
    <w:rsid w:val="00880845"/>
    <w:rsid w:val="00880ED7"/>
    <w:rsid w:val="00880FAB"/>
    <w:rsid w:val="0088124F"/>
    <w:rsid w:val="008823E4"/>
    <w:rsid w:val="00882A2C"/>
    <w:rsid w:val="0088377A"/>
    <w:rsid w:val="008841BB"/>
    <w:rsid w:val="00884232"/>
    <w:rsid w:val="008844A7"/>
    <w:rsid w:val="00884B20"/>
    <w:rsid w:val="00885698"/>
    <w:rsid w:val="00885B78"/>
    <w:rsid w:val="00886E1B"/>
    <w:rsid w:val="008871B2"/>
    <w:rsid w:val="008873D7"/>
    <w:rsid w:val="0088741B"/>
    <w:rsid w:val="00887D61"/>
    <w:rsid w:val="00890B99"/>
    <w:rsid w:val="00890D72"/>
    <w:rsid w:val="00890D87"/>
    <w:rsid w:val="00891156"/>
    <w:rsid w:val="00891503"/>
    <w:rsid w:val="00891C5D"/>
    <w:rsid w:val="00892994"/>
    <w:rsid w:val="00892E12"/>
    <w:rsid w:val="008934D7"/>
    <w:rsid w:val="0089433A"/>
    <w:rsid w:val="00894E54"/>
    <w:rsid w:val="00895576"/>
    <w:rsid w:val="00896027"/>
    <w:rsid w:val="00896851"/>
    <w:rsid w:val="00897546"/>
    <w:rsid w:val="008A07CC"/>
    <w:rsid w:val="008A0D41"/>
    <w:rsid w:val="008A1A4D"/>
    <w:rsid w:val="008A25E2"/>
    <w:rsid w:val="008A2A15"/>
    <w:rsid w:val="008A34A4"/>
    <w:rsid w:val="008A379D"/>
    <w:rsid w:val="008A3DA3"/>
    <w:rsid w:val="008A4924"/>
    <w:rsid w:val="008A543E"/>
    <w:rsid w:val="008A54A2"/>
    <w:rsid w:val="008A5A12"/>
    <w:rsid w:val="008A6583"/>
    <w:rsid w:val="008A6B58"/>
    <w:rsid w:val="008A7087"/>
    <w:rsid w:val="008A73DC"/>
    <w:rsid w:val="008B123E"/>
    <w:rsid w:val="008B13F4"/>
    <w:rsid w:val="008B1FC9"/>
    <w:rsid w:val="008B2000"/>
    <w:rsid w:val="008B27D8"/>
    <w:rsid w:val="008B2D35"/>
    <w:rsid w:val="008B3E08"/>
    <w:rsid w:val="008B4535"/>
    <w:rsid w:val="008B5755"/>
    <w:rsid w:val="008B5D3D"/>
    <w:rsid w:val="008B60A4"/>
    <w:rsid w:val="008B61FA"/>
    <w:rsid w:val="008B66B5"/>
    <w:rsid w:val="008B6921"/>
    <w:rsid w:val="008B78CC"/>
    <w:rsid w:val="008B7FF7"/>
    <w:rsid w:val="008C0169"/>
    <w:rsid w:val="008C10CE"/>
    <w:rsid w:val="008C1987"/>
    <w:rsid w:val="008C1CE4"/>
    <w:rsid w:val="008C2590"/>
    <w:rsid w:val="008C2996"/>
    <w:rsid w:val="008C3033"/>
    <w:rsid w:val="008C3226"/>
    <w:rsid w:val="008C3475"/>
    <w:rsid w:val="008C3507"/>
    <w:rsid w:val="008C3F9B"/>
    <w:rsid w:val="008C5104"/>
    <w:rsid w:val="008C5B01"/>
    <w:rsid w:val="008C79EE"/>
    <w:rsid w:val="008C7E79"/>
    <w:rsid w:val="008D0217"/>
    <w:rsid w:val="008D37E4"/>
    <w:rsid w:val="008D38D3"/>
    <w:rsid w:val="008D41BA"/>
    <w:rsid w:val="008D4862"/>
    <w:rsid w:val="008D55FF"/>
    <w:rsid w:val="008D5629"/>
    <w:rsid w:val="008D5F67"/>
    <w:rsid w:val="008D5F70"/>
    <w:rsid w:val="008D61B8"/>
    <w:rsid w:val="008D6212"/>
    <w:rsid w:val="008D714B"/>
    <w:rsid w:val="008D7D6C"/>
    <w:rsid w:val="008E0101"/>
    <w:rsid w:val="008E0379"/>
    <w:rsid w:val="008E16DD"/>
    <w:rsid w:val="008E1EA1"/>
    <w:rsid w:val="008E2780"/>
    <w:rsid w:val="008E27E0"/>
    <w:rsid w:val="008E28C2"/>
    <w:rsid w:val="008E2BE2"/>
    <w:rsid w:val="008E2E93"/>
    <w:rsid w:val="008E41FB"/>
    <w:rsid w:val="008E5041"/>
    <w:rsid w:val="008E6198"/>
    <w:rsid w:val="008E724B"/>
    <w:rsid w:val="008E725B"/>
    <w:rsid w:val="008E77DB"/>
    <w:rsid w:val="008E78E1"/>
    <w:rsid w:val="008F0AA0"/>
    <w:rsid w:val="008F199D"/>
    <w:rsid w:val="008F1B6E"/>
    <w:rsid w:val="008F2000"/>
    <w:rsid w:val="008F2E9E"/>
    <w:rsid w:val="008F39F7"/>
    <w:rsid w:val="008F3A44"/>
    <w:rsid w:val="008F3FC8"/>
    <w:rsid w:val="008F4B78"/>
    <w:rsid w:val="008F5079"/>
    <w:rsid w:val="008F5430"/>
    <w:rsid w:val="008F6246"/>
    <w:rsid w:val="008F7A23"/>
    <w:rsid w:val="00901727"/>
    <w:rsid w:val="00901D94"/>
    <w:rsid w:val="00901DDE"/>
    <w:rsid w:val="00902CFF"/>
    <w:rsid w:val="009032F5"/>
    <w:rsid w:val="00904158"/>
    <w:rsid w:val="00904396"/>
    <w:rsid w:val="009046DB"/>
    <w:rsid w:val="0090488D"/>
    <w:rsid w:val="00904947"/>
    <w:rsid w:val="009051F7"/>
    <w:rsid w:val="009058F4"/>
    <w:rsid w:val="00905B8C"/>
    <w:rsid w:val="00907F33"/>
    <w:rsid w:val="00910305"/>
    <w:rsid w:val="00910734"/>
    <w:rsid w:val="0091139F"/>
    <w:rsid w:val="009117A3"/>
    <w:rsid w:val="00911E24"/>
    <w:rsid w:val="009123B6"/>
    <w:rsid w:val="00912BE2"/>
    <w:rsid w:val="0091302C"/>
    <w:rsid w:val="009133AD"/>
    <w:rsid w:val="00913448"/>
    <w:rsid w:val="009136C9"/>
    <w:rsid w:val="0091522C"/>
    <w:rsid w:val="00915909"/>
    <w:rsid w:val="00915BA9"/>
    <w:rsid w:val="00917335"/>
    <w:rsid w:val="009174FB"/>
    <w:rsid w:val="00917CC5"/>
    <w:rsid w:val="00921BB5"/>
    <w:rsid w:val="00921D6C"/>
    <w:rsid w:val="0092270C"/>
    <w:rsid w:val="00922ECC"/>
    <w:rsid w:val="009232D1"/>
    <w:rsid w:val="00923585"/>
    <w:rsid w:val="00923D29"/>
    <w:rsid w:val="009257B7"/>
    <w:rsid w:val="00925924"/>
    <w:rsid w:val="00925E7F"/>
    <w:rsid w:val="00926A32"/>
    <w:rsid w:val="009275B6"/>
    <w:rsid w:val="0092766A"/>
    <w:rsid w:val="00927DAC"/>
    <w:rsid w:val="00927EC2"/>
    <w:rsid w:val="009307AE"/>
    <w:rsid w:val="0093187A"/>
    <w:rsid w:val="00932083"/>
    <w:rsid w:val="00932B61"/>
    <w:rsid w:val="00933477"/>
    <w:rsid w:val="00935574"/>
    <w:rsid w:val="0093699B"/>
    <w:rsid w:val="00936A4B"/>
    <w:rsid w:val="00936D9F"/>
    <w:rsid w:val="00936E32"/>
    <w:rsid w:val="00937CFE"/>
    <w:rsid w:val="0094032C"/>
    <w:rsid w:val="00941BE9"/>
    <w:rsid w:val="0094200F"/>
    <w:rsid w:val="00946880"/>
    <w:rsid w:val="00946881"/>
    <w:rsid w:val="00947351"/>
    <w:rsid w:val="00947B54"/>
    <w:rsid w:val="00947C1C"/>
    <w:rsid w:val="00951BC9"/>
    <w:rsid w:val="00952F33"/>
    <w:rsid w:val="00953C66"/>
    <w:rsid w:val="00953D5C"/>
    <w:rsid w:val="00954C44"/>
    <w:rsid w:val="00954FBC"/>
    <w:rsid w:val="00955335"/>
    <w:rsid w:val="00955C61"/>
    <w:rsid w:val="009563FC"/>
    <w:rsid w:val="00956696"/>
    <w:rsid w:val="00956C2B"/>
    <w:rsid w:val="00956DC1"/>
    <w:rsid w:val="0095751B"/>
    <w:rsid w:val="0095782B"/>
    <w:rsid w:val="00957D5F"/>
    <w:rsid w:val="00960137"/>
    <w:rsid w:val="0096098F"/>
    <w:rsid w:val="009618C7"/>
    <w:rsid w:val="00963981"/>
    <w:rsid w:val="0096460A"/>
    <w:rsid w:val="009651D1"/>
    <w:rsid w:val="009653B4"/>
    <w:rsid w:val="009653C4"/>
    <w:rsid w:val="009658B2"/>
    <w:rsid w:val="009663CF"/>
    <w:rsid w:val="00966E1D"/>
    <w:rsid w:val="009676E9"/>
    <w:rsid w:val="00967A0A"/>
    <w:rsid w:val="00967F3A"/>
    <w:rsid w:val="00970FF1"/>
    <w:rsid w:val="00971920"/>
    <w:rsid w:val="009721AC"/>
    <w:rsid w:val="00972E17"/>
    <w:rsid w:val="00972F45"/>
    <w:rsid w:val="009733CB"/>
    <w:rsid w:val="00973752"/>
    <w:rsid w:val="00973899"/>
    <w:rsid w:val="009738D4"/>
    <w:rsid w:val="00973ABB"/>
    <w:rsid w:val="00973BD2"/>
    <w:rsid w:val="00973BEB"/>
    <w:rsid w:val="00974819"/>
    <w:rsid w:val="00974BD1"/>
    <w:rsid w:val="00974F2C"/>
    <w:rsid w:val="00974FBE"/>
    <w:rsid w:val="00975976"/>
    <w:rsid w:val="009759D7"/>
    <w:rsid w:val="00977908"/>
    <w:rsid w:val="0098177F"/>
    <w:rsid w:val="00982FAB"/>
    <w:rsid w:val="00983804"/>
    <w:rsid w:val="00983879"/>
    <w:rsid w:val="00983BDE"/>
    <w:rsid w:val="009841DB"/>
    <w:rsid w:val="00984A7C"/>
    <w:rsid w:val="0098514D"/>
    <w:rsid w:val="00985A9C"/>
    <w:rsid w:val="009861FC"/>
    <w:rsid w:val="00986347"/>
    <w:rsid w:val="0098659C"/>
    <w:rsid w:val="00986A68"/>
    <w:rsid w:val="00986DDA"/>
    <w:rsid w:val="0098796C"/>
    <w:rsid w:val="00987987"/>
    <w:rsid w:val="00987C0A"/>
    <w:rsid w:val="00987D8E"/>
    <w:rsid w:val="009913CB"/>
    <w:rsid w:val="0099247E"/>
    <w:rsid w:val="00992E7F"/>
    <w:rsid w:val="00993C96"/>
    <w:rsid w:val="009942F9"/>
    <w:rsid w:val="009944D7"/>
    <w:rsid w:val="009961B4"/>
    <w:rsid w:val="00997848"/>
    <w:rsid w:val="009978C4"/>
    <w:rsid w:val="009A0CB8"/>
    <w:rsid w:val="009A1344"/>
    <w:rsid w:val="009A1BD4"/>
    <w:rsid w:val="009A1F23"/>
    <w:rsid w:val="009A2663"/>
    <w:rsid w:val="009A3123"/>
    <w:rsid w:val="009A47A2"/>
    <w:rsid w:val="009A5000"/>
    <w:rsid w:val="009A53FA"/>
    <w:rsid w:val="009A5523"/>
    <w:rsid w:val="009A56E3"/>
    <w:rsid w:val="009A5CE0"/>
    <w:rsid w:val="009A634F"/>
    <w:rsid w:val="009A7155"/>
    <w:rsid w:val="009A754D"/>
    <w:rsid w:val="009A775D"/>
    <w:rsid w:val="009A7BE1"/>
    <w:rsid w:val="009B0162"/>
    <w:rsid w:val="009B10F6"/>
    <w:rsid w:val="009B1FAB"/>
    <w:rsid w:val="009B2186"/>
    <w:rsid w:val="009B2773"/>
    <w:rsid w:val="009B3645"/>
    <w:rsid w:val="009B4478"/>
    <w:rsid w:val="009B480C"/>
    <w:rsid w:val="009B4E80"/>
    <w:rsid w:val="009B5497"/>
    <w:rsid w:val="009B6865"/>
    <w:rsid w:val="009B7B76"/>
    <w:rsid w:val="009B7C62"/>
    <w:rsid w:val="009C1DC7"/>
    <w:rsid w:val="009C2515"/>
    <w:rsid w:val="009C2B64"/>
    <w:rsid w:val="009C2E2D"/>
    <w:rsid w:val="009C2EEB"/>
    <w:rsid w:val="009C31F8"/>
    <w:rsid w:val="009C388E"/>
    <w:rsid w:val="009C45F9"/>
    <w:rsid w:val="009C4859"/>
    <w:rsid w:val="009C4B72"/>
    <w:rsid w:val="009C5763"/>
    <w:rsid w:val="009C6688"/>
    <w:rsid w:val="009C679A"/>
    <w:rsid w:val="009D024A"/>
    <w:rsid w:val="009D0682"/>
    <w:rsid w:val="009D12A5"/>
    <w:rsid w:val="009D13F0"/>
    <w:rsid w:val="009D25C1"/>
    <w:rsid w:val="009D338C"/>
    <w:rsid w:val="009D3C79"/>
    <w:rsid w:val="009D3F2C"/>
    <w:rsid w:val="009D40E3"/>
    <w:rsid w:val="009D4867"/>
    <w:rsid w:val="009D50C5"/>
    <w:rsid w:val="009D6B0D"/>
    <w:rsid w:val="009D71E5"/>
    <w:rsid w:val="009D7C34"/>
    <w:rsid w:val="009D7E77"/>
    <w:rsid w:val="009E0BB8"/>
    <w:rsid w:val="009E10C7"/>
    <w:rsid w:val="009E1C57"/>
    <w:rsid w:val="009E2600"/>
    <w:rsid w:val="009E2C5F"/>
    <w:rsid w:val="009E3281"/>
    <w:rsid w:val="009E3BCD"/>
    <w:rsid w:val="009E475C"/>
    <w:rsid w:val="009E64BE"/>
    <w:rsid w:val="009E6703"/>
    <w:rsid w:val="009E68BD"/>
    <w:rsid w:val="009E6B92"/>
    <w:rsid w:val="009E7262"/>
    <w:rsid w:val="009E7633"/>
    <w:rsid w:val="009E7BCF"/>
    <w:rsid w:val="009F0264"/>
    <w:rsid w:val="009F03BB"/>
    <w:rsid w:val="009F142E"/>
    <w:rsid w:val="009F203C"/>
    <w:rsid w:val="009F2868"/>
    <w:rsid w:val="009F2D7B"/>
    <w:rsid w:val="009F33F3"/>
    <w:rsid w:val="009F373B"/>
    <w:rsid w:val="009F39CD"/>
    <w:rsid w:val="009F3C21"/>
    <w:rsid w:val="009F4394"/>
    <w:rsid w:val="009F548F"/>
    <w:rsid w:val="009F62BA"/>
    <w:rsid w:val="009F63E1"/>
    <w:rsid w:val="009F7A6D"/>
    <w:rsid w:val="009F7CAC"/>
    <w:rsid w:val="00A00430"/>
    <w:rsid w:val="00A004CF"/>
    <w:rsid w:val="00A00C94"/>
    <w:rsid w:val="00A01999"/>
    <w:rsid w:val="00A01A2C"/>
    <w:rsid w:val="00A02B41"/>
    <w:rsid w:val="00A05B7A"/>
    <w:rsid w:val="00A0631D"/>
    <w:rsid w:val="00A066B2"/>
    <w:rsid w:val="00A06812"/>
    <w:rsid w:val="00A07032"/>
    <w:rsid w:val="00A07A61"/>
    <w:rsid w:val="00A10891"/>
    <w:rsid w:val="00A10AD2"/>
    <w:rsid w:val="00A10CBA"/>
    <w:rsid w:val="00A11229"/>
    <w:rsid w:val="00A11824"/>
    <w:rsid w:val="00A118F7"/>
    <w:rsid w:val="00A119B4"/>
    <w:rsid w:val="00A12B52"/>
    <w:rsid w:val="00A12D94"/>
    <w:rsid w:val="00A12F03"/>
    <w:rsid w:val="00A1378D"/>
    <w:rsid w:val="00A138FA"/>
    <w:rsid w:val="00A13CF2"/>
    <w:rsid w:val="00A13E30"/>
    <w:rsid w:val="00A13FF9"/>
    <w:rsid w:val="00A14044"/>
    <w:rsid w:val="00A14285"/>
    <w:rsid w:val="00A14334"/>
    <w:rsid w:val="00A14B0A"/>
    <w:rsid w:val="00A15EAB"/>
    <w:rsid w:val="00A1642C"/>
    <w:rsid w:val="00A16828"/>
    <w:rsid w:val="00A168E9"/>
    <w:rsid w:val="00A16AF1"/>
    <w:rsid w:val="00A1709B"/>
    <w:rsid w:val="00A2034C"/>
    <w:rsid w:val="00A219D9"/>
    <w:rsid w:val="00A21E7F"/>
    <w:rsid w:val="00A2264F"/>
    <w:rsid w:val="00A2294D"/>
    <w:rsid w:val="00A22AE4"/>
    <w:rsid w:val="00A233CD"/>
    <w:rsid w:val="00A233FA"/>
    <w:rsid w:val="00A2346D"/>
    <w:rsid w:val="00A25872"/>
    <w:rsid w:val="00A2699B"/>
    <w:rsid w:val="00A26DAE"/>
    <w:rsid w:val="00A26F8C"/>
    <w:rsid w:val="00A27360"/>
    <w:rsid w:val="00A2748C"/>
    <w:rsid w:val="00A2781F"/>
    <w:rsid w:val="00A27865"/>
    <w:rsid w:val="00A27C4B"/>
    <w:rsid w:val="00A3063D"/>
    <w:rsid w:val="00A3222B"/>
    <w:rsid w:val="00A32B43"/>
    <w:rsid w:val="00A32F8A"/>
    <w:rsid w:val="00A3317D"/>
    <w:rsid w:val="00A33E2A"/>
    <w:rsid w:val="00A3488F"/>
    <w:rsid w:val="00A34C1F"/>
    <w:rsid w:val="00A3515A"/>
    <w:rsid w:val="00A35554"/>
    <w:rsid w:val="00A35A5E"/>
    <w:rsid w:val="00A35FEA"/>
    <w:rsid w:val="00A366B5"/>
    <w:rsid w:val="00A36DC5"/>
    <w:rsid w:val="00A36EAA"/>
    <w:rsid w:val="00A37424"/>
    <w:rsid w:val="00A37589"/>
    <w:rsid w:val="00A37F32"/>
    <w:rsid w:val="00A405F2"/>
    <w:rsid w:val="00A4149C"/>
    <w:rsid w:val="00A4156B"/>
    <w:rsid w:val="00A4168E"/>
    <w:rsid w:val="00A41C56"/>
    <w:rsid w:val="00A41DA8"/>
    <w:rsid w:val="00A43298"/>
    <w:rsid w:val="00A4440B"/>
    <w:rsid w:val="00A447B2"/>
    <w:rsid w:val="00A44F9D"/>
    <w:rsid w:val="00A45118"/>
    <w:rsid w:val="00A46896"/>
    <w:rsid w:val="00A468AE"/>
    <w:rsid w:val="00A46A4D"/>
    <w:rsid w:val="00A46D8E"/>
    <w:rsid w:val="00A47A88"/>
    <w:rsid w:val="00A47DAE"/>
    <w:rsid w:val="00A47E51"/>
    <w:rsid w:val="00A501E2"/>
    <w:rsid w:val="00A50905"/>
    <w:rsid w:val="00A50CEF"/>
    <w:rsid w:val="00A50DF7"/>
    <w:rsid w:val="00A50E64"/>
    <w:rsid w:val="00A5140B"/>
    <w:rsid w:val="00A52305"/>
    <w:rsid w:val="00A52C17"/>
    <w:rsid w:val="00A532AC"/>
    <w:rsid w:val="00A53433"/>
    <w:rsid w:val="00A5391D"/>
    <w:rsid w:val="00A53AA1"/>
    <w:rsid w:val="00A546DC"/>
    <w:rsid w:val="00A5535F"/>
    <w:rsid w:val="00A5595E"/>
    <w:rsid w:val="00A55B79"/>
    <w:rsid w:val="00A55DF0"/>
    <w:rsid w:val="00A55FE6"/>
    <w:rsid w:val="00A574A4"/>
    <w:rsid w:val="00A575C3"/>
    <w:rsid w:val="00A617F5"/>
    <w:rsid w:val="00A61E57"/>
    <w:rsid w:val="00A6284F"/>
    <w:rsid w:val="00A628E7"/>
    <w:rsid w:val="00A64332"/>
    <w:rsid w:val="00A65875"/>
    <w:rsid w:val="00A659AC"/>
    <w:rsid w:val="00A66241"/>
    <w:rsid w:val="00A66566"/>
    <w:rsid w:val="00A669D4"/>
    <w:rsid w:val="00A66E64"/>
    <w:rsid w:val="00A67803"/>
    <w:rsid w:val="00A704D7"/>
    <w:rsid w:val="00A70513"/>
    <w:rsid w:val="00A71782"/>
    <w:rsid w:val="00A71F32"/>
    <w:rsid w:val="00A72070"/>
    <w:rsid w:val="00A7350C"/>
    <w:rsid w:val="00A74DED"/>
    <w:rsid w:val="00A74F89"/>
    <w:rsid w:val="00A75454"/>
    <w:rsid w:val="00A76B33"/>
    <w:rsid w:val="00A76C0B"/>
    <w:rsid w:val="00A77E6A"/>
    <w:rsid w:val="00A77EFF"/>
    <w:rsid w:val="00A81BC7"/>
    <w:rsid w:val="00A82339"/>
    <w:rsid w:val="00A82448"/>
    <w:rsid w:val="00A82BBE"/>
    <w:rsid w:val="00A838F2"/>
    <w:rsid w:val="00A83CBF"/>
    <w:rsid w:val="00A857E2"/>
    <w:rsid w:val="00A863F2"/>
    <w:rsid w:val="00A8644E"/>
    <w:rsid w:val="00A865B6"/>
    <w:rsid w:val="00A869D8"/>
    <w:rsid w:val="00A86E86"/>
    <w:rsid w:val="00A8729B"/>
    <w:rsid w:val="00A8792F"/>
    <w:rsid w:val="00A9049E"/>
    <w:rsid w:val="00A904E9"/>
    <w:rsid w:val="00A9115A"/>
    <w:rsid w:val="00A92568"/>
    <w:rsid w:val="00A93158"/>
    <w:rsid w:val="00A93ECE"/>
    <w:rsid w:val="00A94020"/>
    <w:rsid w:val="00A944E3"/>
    <w:rsid w:val="00A951BD"/>
    <w:rsid w:val="00A9627B"/>
    <w:rsid w:val="00A963B0"/>
    <w:rsid w:val="00A963C0"/>
    <w:rsid w:val="00A964D6"/>
    <w:rsid w:val="00A96980"/>
    <w:rsid w:val="00A96AED"/>
    <w:rsid w:val="00A96D2E"/>
    <w:rsid w:val="00AA0076"/>
    <w:rsid w:val="00AA0DDA"/>
    <w:rsid w:val="00AA16B3"/>
    <w:rsid w:val="00AA1AB3"/>
    <w:rsid w:val="00AA1FD1"/>
    <w:rsid w:val="00AA242D"/>
    <w:rsid w:val="00AA2AEE"/>
    <w:rsid w:val="00AA3127"/>
    <w:rsid w:val="00AA432B"/>
    <w:rsid w:val="00AA43E9"/>
    <w:rsid w:val="00AA4670"/>
    <w:rsid w:val="00AA496E"/>
    <w:rsid w:val="00AA4A2C"/>
    <w:rsid w:val="00AA554A"/>
    <w:rsid w:val="00AA5D7C"/>
    <w:rsid w:val="00AA638D"/>
    <w:rsid w:val="00AA66DC"/>
    <w:rsid w:val="00AA6A5B"/>
    <w:rsid w:val="00AB066D"/>
    <w:rsid w:val="00AB0B74"/>
    <w:rsid w:val="00AB130D"/>
    <w:rsid w:val="00AB158D"/>
    <w:rsid w:val="00AB24AB"/>
    <w:rsid w:val="00AB278A"/>
    <w:rsid w:val="00AB2BB6"/>
    <w:rsid w:val="00AB3046"/>
    <w:rsid w:val="00AB348E"/>
    <w:rsid w:val="00AB38A1"/>
    <w:rsid w:val="00AB3B33"/>
    <w:rsid w:val="00AB45BE"/>
    <w:rsid w:val="00AB4DA1"/>
    <w:rsid w:val="00AB6120"/>
    <w:rsid w:val="00AB690C"/>
    <w:rsid w:val="00AB6A66"/>
    <w:rsid w:val="00AB769D"/>
    <w:rsid w:val="00AC08B8"/>
    <w:rsid w:val="00AC1609"/>
    <w:rsid w:val="00AC1CF5"/>
    <w:rsid w:val="00AC2697"/>
    <w:rsid w:val="00AC321B"/>
    <w:rsid w:val="00AC3C8A"/>
    <w:rsid w:val="00AC3DA5"/>
    <w:rsid w:val="00AC4192"/>
    <w:rsid w:val="00AC441F"/>
    <w:rsid w:val="00AC4758"/>
    <w:rsid w:val="00AC4DE5"/>
    <w:rsid w:val="00AC4DEE"/>
    <w:rsid w:val="00AC51EB"/>
    <w:rsid w:val="00AC650A"/>
    <w:rsid w:val="00AC6548"/>
    <w:rsid w:val="00AC6E7A"/>
    <w:rsid w:val="00AC71FA"/>
    <w:rsid w:val="00AC775D"/>
    <w:rsid w:val="00AC7A56"/>
    <w:rsid w:val="00AC7B7A"/>
    <w:rsid w:val="00AD0381"/>
    <w:rsid w:val="00AD038F"/>
    <w:rsid w:val="00AD0F01"/>
    <w:rsid w:val="00AD110A"/>
    <w:rsid w:val="00AD13EE"/>
    <w:rsid w:val="00AD1ABE"/>
    <w:rsid w:val="00AD30C8"/>
    <w:rsid w:val="00AD3239"/>
    <w:rsid w:val="00AD3EB1"/>
    <w:rsid w:val="00AD426B"/>
    <w:rsid w:val="00AD486D"/>
    <w:rsid w:val="00AD4DC6"/>
    <w:rsid w:val="00AD4E77"/>
    <w:rsid w:val="00AD58D8"/>
    <w:rsid w:val="00AD5E69"/>
    <w:rsid w:val="00AD6F93"/>
    <w:rsid w:val="00AD786D"/>
    <w:rsid w:val="00AE00DB"/>
    <w:rsid w:val="00AE00FE"/>
    <w:rsid w:val="00AE0530"/>
    <w:rsid w:val="00AE1531"/>
    <w:rsid w:val="00AE1EB6"/>
    <w:rsid w:val="00AE2B7B"/>
    <w:rsid w:val="00AE33E4"/>
    <w:rsid w:val="00AE37EC"/>
    <w:rsid w:val="00AE42A8"/>
    <w:rsid w:val="00AE4E53"/>
    <w:rsid w:val="00AE5596"/>
    <w:rsid w:val="00AE5A55"/>
    <w:rsid w:val="00AE5D60"/>
    <w:rsid w:val="00AE5DD1"/>
    <w:rsid w:val="00AE6023"/>
    <w:rsid w:val="00AE6163"/>
    <w:rsid w:val="00AE6C4D"/>
    <w:rsid w:val="00AE702A"/>
    <w:rsid w:val="00AE766D"/>
    <w:rsid w:val="00AE7C6C"/>
    <w:rsid w:val="00AE7F72"/>
    <w:rsid w:val="00AF03B5"/>
    <w:rsid w:val="00AF0A36"/>
    <w:rsid w:val="00AF0C9B"/>
    <w:rsid w:val="00AF0CF3"/>
    <w:rsid w:val="00AF301F"/>
    <w:rsid w:val="00AF31F1"/>
    <w:rsid w:val="00AF3712"/>
    <w:rsid w:val="00AF38C7"/>
    <w:rsid w:val="00AF3B3E"/>
    <w:rsid w:val="00AF45BD"/>
    <w:rsid w:val="00AF498B"/>
    <w:rsid w:val="00AF5701"/>
    <w:rsid w:val="00AF5CF2"/>
    <w:rsid w:val="00AF64C0"/>
    <w:rsid w:val="00AF686B"/>
    <w:rsid w:val="00AF6BD9"/>
    <w:rsid w:val="00AF768B"/>
    <w:rsid w:val="00AF7E3C"/>
    <w:rsid w:val="00AF7FAD"/>
    <w:rsid w:val="00B00909"/>
    <w:rsid w:val="00B01122"/>
    <w:rsid w:val="00B0115B"/>
    <w:rsid w:val="00B01359"/>
    <w:rsid w:val="00B01FCD"/>
    <w:rsid w:val="00B02259"/>
    <w:rsid w:val="00B026AD"/>
    <w:rsid w:val="00B02C5A"/>
    <w:rsid w:val="00B039ED"/>
    <w:rsid w:val="00B040C2"/>
    <w:rsid w:val="00B04966"/>
    <w:rsid w:val="00B04A83"/>
    <w:rsid w:val="00B0521F"/>
    <w:rsid w:val="00B0573D"/>
    <w:rsid w:val="00B05B2D"/>
    <w:rsid w:val="00B06583"/>
    <w:rsid w:val="00B074A0"/>
    <w:rsid w:val="00B07D39"/>
    <w:rsid w:val="00B1023D"/>
    <w:rsid w:val="00B11620"/>
    <w:rsid w:val="00B11DBA"/>
    <w:rsid w:val="00B1316D"/>
    <w:rsid w:val="00B13282"/>
    <w:rsid w:val="00B15E7C"/>
    <w:rsid w:val="00B16520"/>
    <w:rsid w:val="00B16899"/>
    <w:rsid w:val="00B17C05"/>
    <w:rsid w:val="00B17C2D"/>
    <w:rsid w:val="00B20273"/>
    <w:rsid w:val="00B20439"/>
    <w:rsid w:val="00B2063D"/>
    <w:rsid w:val="00B21480"/>
    <w:rsid w:val="00B218A5"/>
    <w:rsid w:val="00B21E3A"/>
    <w:rsid w:val="00B21F9A"/>
    <w:rsid w:val="00B223D7"/>
    <w:rsid w:val="00B22EE1"/>
    <w:rsid w:val="00B22F98"/>
    <w:rsid w:val="00B24127"/>
    <w:rsid w:val="00B2454D"/>
    <w:rsid w:val="00B2483C"/>
    <w:rsid w:val="00B25AA4"/>
    <w:rsid w:val="00B2638E"/>
    <w:rsid w:val="00B26538"/>
    <w:rsid w:val="00B267EA"/>
    <w:rsid w:val="00B26928"/>
    <w:rsid w:val="00B27012"/>
    <w:rsid w:val="00B27B23"/>
    <w:rsid w:val="00B311BB"/>
    <w:rsid w:val="00B3159C"/>
    <w:rsid w:val="00B33FBE"/>
    <w:rsid w:val="00B34833"/>
    <w:rsid w:val="00B352DC"/>
    <w:rsid w:val="00B361A1"/>
    <w:rsid w:val="00B36370"/>
    <w:rsid w:val="00B3700E"/>
    <w:rsid w:val="00B375D5"/>
    <w:rsid w:val="00B376A9"/>
    <w:rsid w:val="00B3775E"/>
    <w:rsid w:val="00B37C4B"/>
    <w:rsid w:val="00B37FCD"/>
    <w:rsid w:val="00B4018E"/>
    <w:rsid w:val="00B4028E"/>
    <w:rsid w:val="00B40962"/>
    <w:rsid w:val="00B416A8"/>
    <w:rsid w:val="00B42098"/>
    <w:rsid w:val="00B422CE"/>
    <w:rsid w:val="00B42E55"/>
    <w:rsid w:val="00B43D9E"/>
    <w:rsid w:val="00B44A84"/>
    <w:rsid w:val="00B44B0A"/>
    <w:rsid w:val="00B44DD8"/>
    <w:rsid w:val="00B4542B"/>
    <w:rsid w:val="00B46708"/>
    <w:rsid w:val="00B50239"/>
    <w:rsid w:val="00B50DCB"/>
    <w:rsid w:val="00B5194B"/>
    <w:rsid w:val="00B51A50"/>
    <w:rsid w:val="00B5219D"/>
    <w:rsid w:val="00B531AA"/>
    <w:rsid w:val="00B5393C"/>
    <w:rsid w:val="00B53C5C"/>
    <w:rsid w:val="00B54C11"/>
    <w:rsid w:val="00B54D66"/>
    <w:rsid w:val="00B55307"/>
    <w:rsid w:val="00B5561B"/>
    <w:rsid w:val="00B55869"/>
    <w:rsid w:val="00B55BB9"/>
    <w:rsid w:val="00B55F80"/>
    <w:rsid w:val="00B563DA"/>
    <w:rsid w:val="00B57348"/>
    <w:rsid w:val="00B5793A"/>
    <w:rsid w:val="00B57B59"/>
    <w:rsid w:val="00B61776"/>
    <w:rsid w:val="00B62DF4"/>
    <w:rsid w:val="00B64AD3"/>
    <w:rsid w:val="00B650E2"/>
    <w:rsid w:val="00B65153"/>
    <w:rsid w:val="00B6651E"/>
    <w:rsid w:val="00B66A20"/>
    <w:rsid w:val="00B66EA4"/>
    <w:rsid w:val="00B6797A"/>
    <w:rsid w:val="00B67A71"/>
    <w:rsid w:val="00B67C64"/>
    <w:rsid w:val="00B67CCE"/>
    <w:rsid w:val="00B73499"/>
    <w:rsid w:val="00B742F0"/>
    <w:rsid w:val="00B769E9"/>
    <w:rsid w:val="00B76B12"/>
    <w:rsid w:val="00B8036E"/>
    <w:rsid w:val="00B80BA6"/>
    <w:rsid w:val="00B80E54"/>
    <w:rsid w:val="00B80FB1"/>
    <w:rsid w:val="00B815D4"/>
    <w:rsid w:val="00B81A12"/>
    <w:rsid w:val="00B81CB6"/>
    <w:rsid w:val="00B81DDE"/>
    <w:rsid w:val="00B822C0"/>
    <w:rsid w:val="00B8255F"/>
    <w:rsid w:val="00B82B42"/>
    <w:rsid w:val="00B831EE"/>
    <w:rsid w:val="00B833AC"/>
    <w:rsid w:val="00B84541"/>
    <w:rsid w:val="00B845A8"/>
    <w:rsid w:val="00B84F08"/>
    <w:rsid w:val="00B86141"/>
    <w:rsid w:val="00B874F1"/>
    <w:rsid w:val="00B87CDF"/>
    <w:rsid w:val="00B908E3"/>
    <w:rsid w:val="00B90ACA"/>
    <w:rsid w:val="00B9101F"/>
    <w:rsid w:val="00B91F26"/>
    <w:rsid w:val="00B92462"/>
    <w:rsid w:val="00B9372B"/>
    <w:rsid w:val="00B94AE9"/>
    <w:rsid w:val="00B94C14"/>
    <w:rsid w:val="00B9516D"/>
    <w:rsid w:val="00B95477"/>
    <w:rsid w:val="00B95B49"/>
    <w:rsid w:val="00B95C52"/>
    <w:rsid w:val="00B96AA7"/>
    <w:rsid w:val="00B96D37"/>
    <w:rsid w:val="00B97577"/>
    <w:rsid w:val="00BA049F"/>
    <w:rsid w:val="00BA1412"/>
    <w:rsid w:val="00BA2684"/>
    <w:rsid w:val="00BA29CC"/>
    <w:rsid w:val="00BA3A29"/>
    <w:rsid w:val="00BA3F0D"/>
    <w:rsid w:val="00BA43CA"/>
    <w:rsid w:val="00BA723A"/>
    <w:rsid w:val="00BA73E7"/>
    <w:rsid w:val="00BA7506"/>
    <w:rsid w:val="00BA7613"/>
    <w:rsid w:val="00BB011D"/>
    <w:rsid w:val="00BB04FE"/>
    <w:rsid w:val="00BB10B3"/>
    <w:rsid w:val="00BB1D66"/>
    <w:rsid w:val="00BB24A1"/>
    <w:rsid w:val="00BB40E3"/>
    <w:rsid w:val="00BB44BE"/>
    <w:rsid w:val="00BB4BD5"/>
    <w:rsid w:val="00BB6A5D"/>
    <w:rsid w:val="00BB6C60"/>
    <w:rsid w:val="00BB6E06"/>
    <w:rsid w:val="00BB727A"/>
    <w:rsid w:val="00BB7360"/>
    <w:rsid w:val="00BB7F40"/>
    <w:rsid w:val="00BC0338"/>
    <w:rsid w:val="00BC03DD"/>
    <w:rsid w:val="00BC054A"/>
    <w:rsid w:val="00BC0BCA"/>
    <w:rsid w:val="00BC125C"/>
    <w:rsid w:val="00BC156E"/>
    <w:rsid w:val="00BC1C06"/>
    <w:rsid w:val="00BC1FBF"/>
    <w:rsid w:val="00BC383F"/>
    <w:rsid w:val="00BC4317"/>
    <w:rsid w:val="00BC438D"/>
    <w:rsid w:val="00BC6120"/>
    <w:rsid w:val="00BC6345"/>
    <w:rsid w:val="00BC6EA9"/>
    <w:rsid w:val="00BD06D7"/>
    <w:rsid w:val="00BD10B5"/>
    <w:rsid w:val="00BD10DA"/>
    <w:rsid w:val="00BD19E2"/>
    <w:rsid w:val="00BD233D"/>
    <w:rsid w:val="00BD3031"/>
    <w:rsid w:val="00BD3199"/>
    <w:rsid w:val="00BD31B0"/>
    <w:rsid w:val="00BD3772"/>
    <w:rsid w:val="00BD48E9"/>
    <w:rsid w:val="00BD4C7C"/>
    <w:rsid w:val="00BD6B85"/>
    <w:rsid w:val="00BD759A"/>
    <w:rsid w:val="00BD7CC8"/>
    <w:rsid w:val="00BD7F1A"/>
    <w:rsid w:val="00BE01C9"/>
    <w:rsid w:val="00BE082E"/>
    <w:rsid w:val="00BE0B3C"/>
    <w:rsid w:val="00BE11B6"/>
    <w:rsid w:val="00BE136C"/>
    <w:rsid w:val="00BE197B"/>
    <w:rsid w:val="00BE1B01"/>
    <w:rsid w:val="00BE2C2E"/>
    <w:rsid w:val="00BE2EAC"/>
    <w:rsid w:val="00BE3142"/>
    <w:rsid w:val="00BE3301"/>
    <w:rsid w:val="00BE571E"/>
    <w:rsid w:val="00BE6092"/>
    <w:rsid w:val="00BE778F"/>
    <w:rsid w:val="00BF04C3"/>
    <w:rsid w:val="00BF224E"/>
    <w:rsid w:val="00BF48B2"/>
    <w:rsid w:val="00BF697E"/>
    <w:rsid w:val="00BF74CF"/>
    <w:rsid w:val="00C01872"/>
    <w:rsid w:val="00C01952"/>
    <w:rsid w:val="00C01A52"/>
    <w:rsid w:val="00C01EFD"/>
    <w:rsid w:val="00C02747"/>
    <w:rsid w:val="00C02A98"/>
    <w:rsid w:val="00C02B09"/>
    <w:rsid w:val="00C02FC6"/>
    <w:rsid w:val="00C03D95"/>
    <w:rsid w:val="00C04382"/>
    <w:rsid w:val="00C0447D"/>
    <w:rsid w:val="00C0477D"/>
    <w:rsid w:val="00C04A7E"/>
    <w:rsid w:val="00C0502C"/>
    <w:rsid w:val="00C050FD"/>
    <w:rsid w:val="00C058EB"/>
    <w:rsid w:val="00C05D80"/>
    <w:rsid w:val="00C06242"/>
    <w:rsid w:val="00C07D1F"/>
    <w:rsid w:val="00C07FF1"/>
    <w:rsid w:val="00C10A45"/>
    <w:rsid w:val="00C1115D"/>
    <w:rsid w:val="00C11245"/>
    <w:rsid w:val="00C11D9F"/>
    <w:rsid w:val="00C12262"/>
    <w:rsid w:val="00C1227B"/>
    <w:rsid w:val="00C1234C"/>
    <w:rsid w:val="00C12EE1"/>
    <w:rsid w:val="00C12F80"/>
    <w:rsid w:val="00C132EA"/>
    <w:rsid w:val="00C14E8D"/>
    <w:rsid w:val="00C153E4"/>
    <w:rsid w:val="00C1642D"/>
    <w:rsid w:val="00C16EEB"/>
    <w:rsid w:val="00C1706D"/>
    <w:rsid w:val="00C20228"/>
    <w:rsid w:val="00C20F1F"/>
    <w:rsid w:val="00C215CF"/>
    <w:rsid w:val="00C2255C"/>
    <w:rsid w:val="00C22690"/>
    <w:rsid w:val="00C22DE9"/>
    <w:rsid w:val="00C236A2"/>
    <w:rsid w:val="00C23DEE"/>
    <w:rsid w:val="00C25050"/>
    <w:rsid w:val="00C25143"/>
    <w:rsid w:val="00C26BA9"/>
    <w:rsid w:val="00C27DC2"/>
    <w:rsid w:val="00C30E33"/>
    <w:rsid w:val="00C31EDE"/>
    <w:rsid w:val="00C322D6"/>
    <w:rsid w:val="00C32611"/>
    <w:rsid w:val="00C3334D"/>
    <w:rsid w:val="00C33870"/>
    <w:rsid w:val="00C34705"/>
    <w:rsid w:val="00C35B90"/>
    <w:rsid w:val="00C35C17"/>
    <w:rsid w:val="00C36150"/>
    <w:rsid w:val="00C363A0"/>
    <w:rsid w:val="00C36EDA"/>
    <w:rsid w:val="00C36F13"/>
    <w:rsid w:val="00C40597"/>
    <w:rsid w:val="00C405C5"/>
    <w:rsid w:val="00C40AD8"/>
    <w:rsid w:val="00C411E8"/>
    <w:rsid w:val="00C416AE"/>
    <w:rsid w:val="00C41A17"/>
    <w:rsid w:val="00C42189"/>
    <w:rsid w:val="00C425F0"/>
    <w:rsid w:val="00C427DC"/>
    <w:rsid w:val="00C42989"/>
    <w:rsid w:val="00C42F55"/>
    <w:rsid w:val="00C4333E"/>
    <w:rsid w:val="00C43C66"/>
    <w:rsid w:val="00C43C84"/>
    <w:rsid w:val="00C43DB8"/>
    <w:rsid w:val="00C43DEB"/>
    <w:rsid w:val="00C44B73"/>
    <w:rsid w:val="00C45F4D"/>
    <w:rsid w:val="00C4655F"/>
    <w:rsid w:val="00C469CE"/>
    <w:rsid w:val="00C4765B"/>
    <w:rsid w:val="00C476E8"/>
    <w:rsid w:val="00C47A26"/>
    <w:rsid w:val="00C47A9D"/>
    <w:rsid w:val="00C47D06"/>
    <w:rsid w:val="00C50C63"/>
    <w:rsid w:val="00C50E5E"/>
    <w:rsid w:val="00C51026"/>
    <w:rsid w:val="00C52231"/>
    <w:rsid w:val="00C52BB8"/>
    <w:rsid w:val="00C54508"/>
    <w:rsid w:val="00C5454B"/>
    <w:rsid w:val="00C54927"/>
    <w:rsid w:val="00C54935"/>
    <w:rsid w:val="00C549F0"/>
    <w:rsid w:val="00C552D9"/>
    <w:rsid w:val="00C5531B"/>
    <w:rsid w:val="00C5600A"/>
    <w:rsid w:val="00C5603A"/>
    <w:rsid w:val="00C5632E"/>
    <w:rsid w:val="00C56A02"/>
    <w:rsid w:val="00C56C34"/>
    <w:rsid w:val="00C57701"/>
    <w:rsid w:val="00C578BB"/>
    <w:rsid w:val="00C60B69"/>
    <w:rsid w:val="00C60F4B"/>
    <w:rsid w:val="00C61B40"/>
    <w:rsid w:val="00C62DB2"/>
    <w:rsid w:val="00C64411"/>
    <w:rsid w:val="00C64AEE"/>
    <w:rsid w:val="00C64CFE"/>
    <w:rsid w:val="00C64EA0"/>
    <w:rsid w:val="00C6540B"/>
    <w:rsid w:val="00C65425"/>
    <w:rsid w:val="00C66135"/>
    <w:rsid w:val="00C66FE8"/>
    <w:rsid w:val="00C67F7B"/>
    <w:rsid w:val="00C67FF2"/>
    <w:rsid w:val="00C700F5"/>
    <w:rsid w:val="00C71420"/>
    <w:rsid w:val="00C71C62"/>
    <w:rsid w:val="00C72C45"/>
    <w:rsid w:val="00C72E54"/>
    <w:rsid w:val="00C74570"/>
    <w:rsid w:val="00C74DE0"/>
    <w:rsid w:val="00C75A66"/>
    <w:rsid w:val="00C80018"/>
    <w:rsid w:val="00C81CAB"/>
    <w:rsid w:val="00C820F5"/>
    <w:rsid w:val="00C820F7"/>
    <w:rsid w:val="00C824DE"/>
    <w:rsid w:val="00C830CE"/>
    <w:rsid w:val="00C83B06"/>
    <w:rsid w:val="00C84276"/>
    <w:rsid w:val="00C8434E"/>
    <w:rsid w:val="00C858E5"/>
    <w:rsid w:val="00C85A9A"/>
    <w:rsid w:val="00C85F54"/>
    <w:rsid w:val="00C861ED"/>
    <w:rsid w:val="00C8668B"/>
    <w:rsid w:val="00C874A1"/>
    <w:rsid w:val="00C87E92"/>
    <w:rsid w:val="00C905D3"/>
    <w:rsid w:val="00C9075A"/>
    <w:rsid w:val="00C907E1"/>
    <w:rsid w:val="00C90F6A"/>
    <w:rsid w:val="00C9132E"/>
    <w:rsid w:val="00C922D2"/>
    <w:rsid w:val="00C92338"/>
    <w:rsid w:val="00C9282F"/>
    <w:rsid w:val="00C92FD9"/>
    <w:rsid w:val="00C9301F"/>
    <w:rsid w:val="00C952ED"/>
    <w:rsid w:val="00C95FDD"/>
    <w:rsid w:val="00C96764"/>
    <w:rsid w:val="00CA0CFF"/>
    <w:rsid w:val="00CA0D95"/>
    <w:rsid w:val="00CA2206"/>
    <w:rsid w:val="00CA2565"/>
    <w:rsid w:val="00CA2BEB"/>
    <w:rsid w:val="00CA3010"/>
    <w:rsid w:val="00CA3344"/>
    <w:rsid w:val="00CA5F76"/>
    <w:rsid w:val="00CA748F"/>
    <w:rsid w:val="00CA7684"/>
    <w:rsid w:val="00CA77E6"/>
    <w:rsid w:val="00CA7E20"/>
    <w:rsid w:val="00CA7FDE"/>
    <w:rsid w:val="00CB25ED"/>
    <w:rsid w:val="00CB3F90"/>
    <w:rsid w:val="00CB410F"/>
    <w:rsid w:val="00CB42C4"/>
    <w:rsid w:val="00CB4D8B"/>
    <w:rsid w:val="00CB55DC"/>
    <w:rsid w:val="00CB5B59"/>
    <w:rsid w:val="00CB7223"/>
    <w:rsid w:val="00CB7744"/>
    <w:rsid w:val="00CB79EB"/>
    <w:rsid w:val="00CC067A"/>
    <w:rsid w:val="00CC0885"/>
    <w:rsid w:val="00CC16D4"/>
    <w:rsid w:val="00CC17AD"/>
    <w:rsid w:val="00CC1A63"/>
    <w:rsid w:val="00CC1DA5"/>
    <w:rsid w:val="00CC1ED7"/>
    <w:rsid w:val="00CC3476"/>
    <w:rsid w:val="00CC5182"/>
    <w:rsid w:val="00CC54B6"/>
    <w:rsid w:val="00CC5C5F"/>
    <w:rsid w:val="00CC6150"/>
    <w:rsid w:val="00CC6176"/>
    <w:rsid w:val="00CC638A"/>
    <w:rsid w:val="00CC715A"/>
    <w:rsid w:val="00CD0285"/>
    <w:rsid w:val="00CD04A7"/>
    <w:rsid w:val="00CD0E1A"/>
    <w:rsid w:val="00CD4682"/>
    <w:rsid w:val="00CD5F38"/>
    <w:rsid w:val="00CD6B92"/>
    <w:rsid w:val="00CE0A72"/>
    <w:rsid w:val="00CE0C1D"/>
    <w:rsid w:val="00CE0CD6"/>
    <w:rsid w:val="00CE1011"/>
    <w:rsid w:val="00CE190D"/>
    <w:rsid w:val="00CE2D68"/>
    <w:rsid w:val="00CE2F4B"/>
    <w:rsid w:val="00CE3539"/>
    <w:rsid w:val="00CE36D7"/>
    <w:rsid w:val="00CE39AE"/>
    <w:rsid w:val="00CE3A65"/>
    <w:rsid w:val="00CE3F29"/>
    <w:rsid w:val="00CE544D"/>
    <w:rsid w:val="00CE5534"/>
    <w:rsid w:val="00CE56E5"/>
    <w:rsid w:val="00CE5CFC"/>
    <w:rsid w:val="00CE6756"/>
    <w:rsid w:val="00CE74E6"/>
    <w:rsid w:val="00CE78B5"/>
    <w:rsid w:val="00CE7F2B"/>
    <w:rsid w:val="00CF0067"/>
    <w:rsid w:val="00CF02AE"/>
    <w:rsid w:val="00CF0873"/>
    <w:rsid w:val="00CF0E49"/>
    <w:rsid w:val="00CF1CA7"/>
    <w:rsid w:val="00CF216D"/>
    <w:rsid w:val="00CF2C86"/>
    <w:rsid w:val="00CF3D4A"/>
    <w:rsid w:val="00CF3E5D"/>
    <w:rsid w:val="00CF4B13"/>
    <w:rsid w:val="00CF5D7F"/>
    <w:rsid w:val="00CF6614"/>
    <w:rsid w:val="00D003DD"/>
    <w:rsid w:val="00D00543"/>
    <w:rsid w:val="00D013D7"/>
    <w:rsid w:val="00D01B2A"/>
    <w:rsid w:val="00D0288C"/>
    <w:rsid w:val="00D02A39"/>
    <w:rsid w:val="00D02BFE"/>
    <w:rsid w:val="00D048AE"/>
    <w:rsid w:val="00D05316"/>
    <w:rsid w:val="00D05FFE"/>
    <w:rsid w:val="00D06247"/>
    <w:rsid w:val="00D065CA"/>
    <w:rsid w:val="00D06E2E"/>
    <w:rsid w:val="00D07EEE"/>
    <w:rsid w:val="00D12273"/>
    <w:rsid w:val="00D12855"/>
    <w:rsid w:val="00D13CF2"/>
    <w:rsid w:val="00D14291"/>
    <w:rsid w:val="00D146E7"/>
    <w:rsid w:val="00D14735"/>
    <w:rsid w:val="00D1494B"/>
    <w:rsid w:val="00D14A5A"/>
    <w:rsid w:val="00D14D4E"/>
    <w:rsid w:val="00D167EF"/>
    <w:rsid w:val="00D17A9A"/>
    <w:rsid w:val="00D208BC"/>
    <w:rsid w:val="00D22011"/>
    <w:rsid w:val="00D221E2"/>
    <w:rsid w:val="00D222D9"/>
    <w:rsid w:val="00D22791"/>
    <w:rsid w:val="00D22FE6"/>
    <w:rsid w:val="00D2354D"/>
    <w:rsid w:val="00D23ADD"/>
    <w:rsid w:val="00D23C98"/>
    <w:rsid w:val="00D24997"/>
    <w:rsid w:val="00D267F4"/>
    <w:rsid w:val="00D2686F"/>
    <w:rsid w:val="00D275AB"/>
    <w:rsid w:val="00D305FE"/>
    <w:rsid w:val="00D30B34"/>
    <w:rsid w:val="00D30F69"/>
    <w:rsid w:val="00D314E1"/>
    <w:rsid w:val="00D316C9"/>
    <w:rsid w:val="00D31A31"/>
    <w:rsid w:val="00D31F72"/>
    <w:rsid w:val="00D326C6"/>
    <w:rsid w:val="00D33346"/>
    <w:rsid w:val="00D3410D"/>
    <w:rsid w:val="00D34111"/>
    <w:rsid w:val="00D35483"/>
    <w:rsid w:val="00D355CB"/>
    <w:rsid w:val="00D3578A"/>
    <w:rsid w:val="00D36115"/>
    <w:rsid w:val="00D373ED"/>
    <w:rsid w:val="00D4088C"/>
    <w:rsid w:val="00D4102A"/>
    <w:rsid w:val="00D41BAB"/>
    <w:rsid w:val="00D42541"/>
    <w:rsid w:val="00D42A6E"/>
    <w:rsid w:val="00D430E9"/>
    <w:rsid w:val="00D4433A"/>
    <w:rsid w:val="00D443AA"/>
    <w:rsid w:val="00D45767"/>
    <w:rsid w:val="00D45EC3"/>
    <w:rsid w:val="00D46B94"/>
    <w:rsid w:val="00D477A1"/>
    <w:rsid w:val="00D479D5"/>
    <w:rsid w:val="00D50482"/>
    <w:rsid w:val="00D50BE6"/>
    <w:rsid w:val="00D5222B"/>
    <w:rsid w:val="00D52958"/>
    <w:rsid w:val="00D5379D"/>
    <w:rsid w:val="00D55903"/>
    <w:rsid w:val="00D55979"/>
    <w:rsid w:val="00D5634A"/>
    <w:rsid w:val="00D56763"/>
    <w:rsid w:val="00D56BB3"/>
    <w:rsid w:val="00D56F98"/>
    <w:rsid w:val="00D57AAD"/>
    <w:rsid w:val="00D600FF"/>
    <w:rsid w:val="00D607BA"/>
    <w:rsid w:val="00D60C85"/>
    <w:rsid w:val="00D60D3F"/>
    <w:rsid w:val="00D61479"/>
    <w:rsid w:val="00D617D0"/>
    <w:rsid w:val="00D62BEF"/>
    <w:rsid w:val="00D62DA1"/>
    <w:rsid w:val="00D64341"/>
    <w:rsid w:val="00D655D2"/>
    <w:rsid w:val="00D65744"/>
    <w:rsid w:val="00D66126"/>
    <w:rsid w:val="00D67B9E"/>
    <w:rsid w:val="00D67C9C"/>
    <w:rsid w:val="00D7149F"/>
    <w:rsid w:val="00D716A1"/>
    <w:rsid w:val="00D72EDA"/>
    <w:rsid w:val="00D73631"/>
    <w:rsid w:val="00D748C6"/>
    <w:rsid w:val="00D74C96"/>
    <w:rsid w:val="00D74F4E"/>
    <w:rsid w:val="00D75F9D"/>
    <w:rsid w:val="00D76D39"/>
    <w:rsid w:val="00D7779A"/>
    <w:rsid w:val="00D779AB"/>
    <w:rsid w:val="00D804B8"/>
    <w:rsid w:val="00D80725"/>
    <w:rsid w:val="00D811F1"/>
    <w:rsid w:val="00D814F7"/>
    <w:rsid w:val="00D81D75"/>
    <w:rsid w:val="00D8308C"/>
    <w:rsid w:val="00D84FCD"/>
    <w:rsid w:val="00D85149"/>
    <w:rsid w:val="00D852B2"/>
    <w:rsid w:val="00D856C3"/>
    <w:rsid w:val="00D85B50"/>
    <w:rsid w:val="00D85DB4"/>
    <w:rsid w:val="00D8607C"/>
    <w:rsid w:val="00D864DA"/>
    <w:rsid w:val="00D86ECC"/>
    <w:rsid w:val="00D874D1"/>
    <w:rsid w:val="00D87F39"/>
    <w:rsid w:val="00D9059E"/>
    <w:rsid w:val="00D9062D"/>
    <w:rsid w:val="00D90F6F"/>
    <w:rsid w:val="00D91AAB"/>
    <w:rsid w:val="00D92457"/>
    <w:rsid w:val="00D927E6"/>
    <w:rsid w:val="00D93529"/>
    <w:rsid w:val="00D94BFC"/>
    <w:rsid w:val="00D95082"/>
    <w:rsid w:val="00D95776"/>
    <w:rsid w:val="00D97021"/>
    <w:rsid w:val="00D97A23"/>
    <w:rsid w:val="00D97EB0"/>
    <w:rsid w:val="00D97FEA"/>
    <w:rsid w:val="00DA0E3D"/>
    <w:rsid w:val="00DA0FAD"/>
    <w:rsid w:val="00DA19B4"/>
    <w:rsid w:val="00DA19D7"/>
    <w:rsid w:val="00DA1D44"/>
    <w:rsid w:val="00DA1DFB"/>
    <w:rsid w:val="00DA1E33"/>
    <w:rsid w:val="00DA24A0"/>
    <w:rsid w:val="00DA31CA"/>
    <w:rsid w:val="00DA3953"/>
    <w:rsid w:val="00DA3C82"/>
    <w:rsid w:val="00DA4057"/>
    <w:rsid w:val="00DA421D"/>
    <w:rsid w:val="00DA5067"/>
    <w:rsid w:val="00DA6215"/>
    <w:rsid w:val="00DA669C"/>
    <w:rsid w:val="00DA6E55"/>
    <w:rsid w:val="00DA793B"/>
    <w:rsid w:val="00DA7BDE"/>
    <w:rsid w:val="00DB0EDA"/>
    <w:rsid w:val="00DB12B4"/>
    <w:rsid w:val="00DB1959"/>
    <w:rsid w:val="00DB1CB9"/>
    <w:rsid w:val="00DB1DD2"/>
    <w:rsid w:val="00DB23B1"/>
    <w:rsid w:val="00DB2BB5"/>
    <w:rsid w:val="00DB3017"/>
    <w:rsid w:val="00DB32E2"/>
    <w:rsid w:val="00DB3D4A"/>
    <w:rsid w:val="00DB3E94"/>
    <w:rsid w:val="00DB521F"/>
    <w:rsid w:val="00DB5793"/>
    <w:rsid w:val="00DB6E87"/>
    <w:rsid w:val="00DB7A6D"/>
    <w:rsid w:val="00DB7D62"/>
    <w:rsid w:val="00DC02CD"/>
    <w:rsid w:val="00DC0B36"/>
    <w:rsid w:val="00DC32AE"/>
    <w:rsid w:val="00DC3A9A"/>
    <w:rsid w:val="00DC3C0F"/>
    <w:rsid w:val="00DC3C3E"/>
    <w:rsid w:val="00DC3E11"/>
    <w:rsid w:val="00DC46CF"/>
    <w:rsid w:val="00DC54E0"/>
    <w:rsid w:val="00DC5824"/>
    <w:rsid w:val="00DC5C61"/>
    <w:rsid w:val="00DC66B7"/>
    <w:rsid w:val="00DC6B32"/>
    <w:rsid w:val="00DC6D12"/>
    <w:rsid w:val="00DC7F34"/>
    <w:rsid w:val="00DC7F61"/>
    <w:rsid w:val="00DD0169"/>
    <w:rsid w:val="00DD0589"/>
    <w:rsid w:val="00DD071D"/>
    <w:rsid w:val="00DD0A69"/>
    <w:rsid w:val="00DD1123"/>
    <w:rsid w:val="00DD136B"/>
    <w:rsid w:val="00DD1CFF"/>
    <w:rsid w:val="00DD2750"/>
    <w:rsid w:val="00DD3C9A"/>
    <w:rsid w:val="00DD3FB8"/>
    <w:rsid w:val="00DD4604"/>
    <w:rsid w:val="00DD59E6"/>
    <w:rsid w:val="00DD5A51"/>
    <w:rsid w:val="00DD6FA8"/>
    <w:rsid w:val="00DD6FAF"/>
    <w:rsid w:val="00DD770D"/>
    <w:rsid w:val="00DE07DE"/>
    <w:rsid w:val="00DE0F74"/>
    <w:rsid w:val="00DE17EC"/>
    <w:rsid w:val="00DE1A24"/>
    <w:rsid w:val="00DE1D05"/>
    <w:rsid w:val="00DE2112"/>
    <w:rsid w:val="00DE24DE"/>
    <w:rsid w:val="00DE269E"/>
    <w:rsid w:val="00DE2B6B"/>
    <w:rsid w:val="00DE310B"/>
    <w:rsid w:val="00DE3252"/>
    <w:rsid w:val="00DE3800"/>
    <w:rsid w:val="00DE555F"/>
    <w:rsid w:val="00DE5692"/>
    <w:rsid w:val="00DE63E3"/>
    <w:rsid w:val="00DE648A"/>
    <w:rsid w:val="00DE74B1"/>
    <w:rsid w:val="00DE75C6"/>
    <w:rsid w:val="00DE75C8"/>
    <w:rsid w:val="00DE78AA"/>
    <w:rsid w:val="00DE7A12"/>
    <w:rsid w:val="00DE7D38"/>
    <w:rsid w:val="00DF079F"/>
    <w:rsid w:val="00DF0BE4"/>
    <w:rsid w:val="00DF18A8"/>
    <w:rsid w:val="00DF29E0"/>
    <w:rsid w:val="00DF592B"/>
    <w:rsid w:val="00DF66E2"/>
    <w:rsid w:val="00DF6BBE"/>
    <w:rsid w:val="00DF7682"/>
    <w:rsid w:val="00DF78B0"/>
    <w:rsid w:val="00DF7C53"/>
    <w:rsid w:val="00DF7E33"/>
    <w:rsid w:val="00E00F63"/>
    <w:rsid w:val="00E00FE1"/>
    <w:rsid w:val="00E01488"/>
    <w:rsid w:val="00E023E1"/>
    <w:rsid w:val="00E03417"/>
    <w:rsid w:val="00E03CA3"/>
    <w:rsid w:val="00E04355"/>
    <w:rsid w:val="00E0443F"/>
    <w:rsid w:val="00E04972"/>
    <w:rsid w:val="00E04E11"/>
    <w:rsid w:val="00E04FF5"/>
    <w:rsid w:val="00E05337"/>
    <w:rsid w:val="00E05E17"/>
    <w:rsid w:val="00E07775"/>
    <w:rsid w:val="00E0777E"/>
    <w:rsid w:val="00E07B58"/>
    <w:rsid w:val="00E07F27"/>
    <w:rsid w:val="00E10C1C"/>
    <w:rsid w:val="00E10D12"/>
    <w:rsid w:val="00E11738"/>
    <w:rsid w:val="00E12CD9"/>
    <w:rsid w:val="00E1324C"/>
    <w:rsid w:val="00E135FC"/>
    <w:rsid w:val="00E136FB"/>
    <w:rsid w:val="00E14009"/>
    <w:rsid w:val="00E15336"/>
    <w:rsid w:val="00E15B17"/>
    <w:rsid w:val="00E15B46"/>
    <w:rsid w:val="00E15F1D"/>
    <w:rsid w:val="00E163A1"/>
    <w:rsid w:val="00E16CA0"/>
    <w:rsid w:val="00E171B0"/>
    <w:rsid w:val="00E1796A"/>
    <w:rsid w:val="00E211A4"/>
    <w:rsid w:val="00E21852"/>
    <w:rsid w:val="00E21F4F"/>
    <w:rsid w:val="00E22072"/>
    <w:rsid w:val="00E2223F"/>
    <w:rsid w:val="00E226B8"/>
    <w:rsid w:val="00E22847"/>
    <w:rsid w:val="00E228C6"/>
    <w:rsid w:val="00E2407A"/>
    <w:rsid w:val="00E24191"/>
    <w:rsid w:val="00E2466A"/>
    <w:rsid w:val="00E24693"/>
    <w:rsid w:val="00E2493D"/>
    <w:rsid w:val="00E24C37"/>
    <w:rsid w:val="00E255BA"/>
    <w:rsid w:val="00E2565B"/>
    <w:rsid w:val="00E25A7C"/>
    <w:rsid w:val="00E2788A"/>
    <w:rsid w:val="00E27E1C"/>
    <w:rsid w:val="00E314E9"/>
    <w:rsid w:val="00E326D7"/>
    <w:rsid w:val="00E3284B"/>
    <w:rsid w:val="00E328B4"/>
    <w:rsid w:val="00E329DA"/>
    <w:rsid w:val="00E32F40"/>
    <w:rsid w:val="00E330FE"/>
    <w:rsid w:val="00E332FC"/>
    <w:rsid w:val="00E3479C"/>
    <w:rsid w:val="00E34FFD"/>
    <w:rsid w:val="00E3548E"/>
    <w:rsid w:val="00E355BB"/>
    <w:rsid w:val="00E35622"/>
    <w:rsid w:val="00E35A62"/>
    <w:rsid w:val="00E3628F"/>
    <w:rsid w:val="00E36702"/>
    <w:rsid w:val="00E36F7F"/>
    <w:rsid w:val="00E37CFB"/>
    <w:rsid w:val="00E4028A"/>
    <w:rsid w:val="00E409FD"/>
    <w:rsid w:val="00E41CEB"/>
    <w:rsid w:val="00E4241B"/>
    <w:rsid w:val="00E42D8B"/>
    <w:rsid w:val="00E4313A"/>
    <w:rsid w:val="00E4388D"/>
    <w:rsid w:val="00E4453A"/>
    <w:rsid w:val="00E44F61"/>
    <w:rsid w:val="00E45953"/>
    <w:rsid w:val="00E4645A"/>
    <w:rsid w:val="00E46AC3"/>
    <w:rsid w:val="00E46D29"/>
    <w:rsid w:val="00E4736D"/>
    <w:rsid w:val="00E47B24"/>
    <w:rsid w:val="00E50EC7"/>
    <w:rsid w:val="00E5155E"/>
    <w:rsid w:val="00E518A7"/>
    <w:rsid w:val="00E52C5C"/>
    <w:rsid w:val="00E535BE"/>
    <w:rsid w:val="00E53977"/>
    <w:rsid w:val="00E53D7F"/>
    <w:rsid w:val="00E54C5F"/>
    <w:rsid w:val="00E5694F"/>
    <w:rsid w:val="00E569B9"/>
    <w:rsid w:val="00E57DCF"/>
    <w:rsid w:val="00E57EE0"/>
    <w:rsid w:val="00E608A7"/>
    <w:rsid w:val="00E60B84"/>
    <w:rsid w:val="00E60E99"/>
    <w:rsid w:val="00E61C62"/>
    <w:rsid w:val="00E61D29"/>
    <w:rsid w:val="00E621A1"/>
    <w:rsid w:val="00E62A42"/>
    <w:rsid w:val="00E63865"/>
    <w:rsid w:val="00E63B0F"/>
    <w:rsid w:val="00E6503E"/>
    <w:rsid w:val="00E66623"/>
    <w:rsid w:val="00E66916"/>
    <w:rsid w:val="00E67833"/>
    <w:rsid w:val="00E67976"/>
    <w:rsid w:val="00E67FE3"/>
    <w:rsid w:val="00E7133C"/>
    <w:rsid w:val="00E714D5"/>
    <w:rsid w:val="00E71A15"/>
    <w:rsid w:val="00E71BDB"/>
    <w:rsid w:val="00E72903"/>
    <w:rsid w:val="00E741B2"/>
    <w:rsid w:val="00E7426E"/>
    <w:rsid w:val="00E74842"/>
    <w:rsid w:val="00E74C8B"/>
    <w:rsid w:val="00E74F4F"/>
    <w:rsid w:val="00E75154"/>
    <w:rsid w:val="00E753CB"/>
    <w:rsid w:val="00E75DC2"/>
    <w:rsid w:val="00E76174"/>
    <w:rsid w:val="00E7641C"/>
    <w:rsid w:val="00E76A63"/>
    <w:rsid w:val="00E7745B"/>
    <w:rsid w:val="00E779AF"/>
    <w:rsid w:val="00E77AFE"/>
    <w:rsid w:val="00E81046"/>
    <w:rsid w:val="00E812A6"/>
    <w:rsid w:val="00E819EA"/>
    <w:rsid w:val="00E82FE2"/>
    <w:rsid w:val="00E83064"/>
    <w:rsid w:val="00E831E6"/>
    <w:rsid w:val="00E83322"/>
    <w:rsid w:val="00E84DD1"/>
    <w:rsid w:val="00E85A52"/>
    <w:rsid w:val="00E8646B"/>
    <w:rsid w:val="00E87332"/>
    <w:rsid w:val="00E87687"/>
    <w:rsid w:val="00E90727"/>
    <w:rsid w:val="00E9155C"/>
    <w:rsid w:val="00E91BBF"/>
    <w:rsid w:val="00E91FFF"/>
    <w:rsid w:val="00E921AF"/>
    <w:rsid w:val="00E92C57"/>
    <w:rsid w:val="00E930E0"/>
    <w:rsid w:val="00E9412A"/>
    <w:rsid w:val="00E942B8"/>
    <w:rsid w:val="00E9465D"/>
    <w:rsid w:val="00E958F5"/>
    <w:rsid w:val="00E9654A"/>
    <w:rsid w:val="00E97EEA"/>
    <w:rsid w:val="00EA0394"/>
    <w:rsid w:val="00EA10B7"/>
    <w:rsid w:val="00EA1351"/>
    <w:rsid w:val="00EA204D"/>
    <w:rsid w:val="00EA2CE7"/>
    <w:rsid w:val="00EA3A2C"/>
    <w:rsid w:val="00EA3B12"/>
    <w:rsid w:val="00EA3FA6"/>
    <w:rsid w:val="00EA43DF"/>
    <w:rsid w:val="00EA46F9"/>
    <w:rsid w:val="00EA4B95"/>
    <w:rsid w:val="00EA4C4D"/>
    <w:rsid w:val="00EA6172"/>
    <w:rsid w:val="00EA6FD7"/>
    <w:rsid w:val="00EA7072"/>
    <w:rsid w:val="00EA7252"/>
    <w:rsid w:val="00EA74C2"/>
    <w:rsid w:val="00EA77D0"/>
    <w:rsid w:val="00EA784D"/>
    <w:rsid w:val="00EB06C1"/>
    <w:rsid w:val="00EB07E1"/>
    <w:rsid w:val="00EB0849"/>
    <w:rsid w:val="00EB0C90"/>
    <w:rsid w:val="00EB1665"/>
    <w:rsid w:val="00EB2642"/>
    <w:rsid w:val="00EB35AD"/>
    <w:rsid w:val="00EB463D"/>
    <w:rsid w:val="00EB4B2C"/>
    <w:rsid w:val="00EB5109"/>
    <w:rsid w:val="00EB5809"/>
    <w:rsid w:val="00EB5BC6"/>
    <w:rsid w:val="00EB624D"/>
    <w:rsid w:val="00EB69D3"/>
    <w:rsid w:val="00EB716C"/>
    <w:rsid w:val="00EC0374"/>
    <w:rsid w:val="00EC0BD7"/>
    <w:rsid w:val="00EC1972"/>
    <w:rsid w:val="00EC1B8F"/>
    <w:rsid w:val="00EC1DD9"/>
    <w:rsid w:val="00EC3726"/>
    <w:rsid w:val="00EC3E12"/>
    <w:rsid w:val="00EC46C4"/>
    <w:rsid w:val="00EC4D68"/>
    <w:rsid w:val="00EC4F05"/>
    <w:rsid w:val="00EC50FF"/>
    <w:rsid w:val="00EC5231"/>
    <w:rsid w:val="00EC5A18"/>
    <w:rsid w:val="00EC6A86"/>
    <w:rsid w:val="00EC6FFC"/>
    <w:rsid w:val="00EC76E1"/>
    <w:rsid w:val="00ED0318"/>
    <w:rsid w:val="00ED0DBB"/>
    <w:rsid w:val="00ED1596"/>
    <w:rsid w:val="00ED1A6C"/>
    <w:rsid w:val="00ED1EF6"/>
    <w:rsid w:val="00ED2847"/>
    <w:rsid w:val="00ED2C7C"/>
    <w:rsid w:val="00ED3376"/>
    <w:rsid w:val="00ED366A"/>
    <w:rsid w:val="00ED4341"/>
    <w:rsid w:val="00ED4C7D"/>
    <w:rsid w:val="00ED5143"/>
    <w:rsid w:val="00ED61C3"/>
    <w:rsid w:val="00ED6682"/>
    <w:rsid w:val="00ED722B"/>
    <w:rsid w:val="00ED74F0"/>
    <w:rsid w:val="00ED75E9"/>
    <w:rsid w:val="00ED7721"/>
    <w:rsid w:val="00ED7B6A"/>
    <w:rsid w:val="00EE0708"/>
    <w:rsid w:val="00EE13F5"/>
    <w:rsid w:val="00EE16CE"/>
    <w:rsid w:val="00EE1A55"/>
    <w:rsid w:val="00EE372C"/>
    <w:rsid w:val="00EE3B4B"/>
    <w:rsid w:val="00EE3D1D"/>
    <w:rsid w:val="00EE42C6"/>
    <w:rsid w:val="00EE4598"/>
    <w:rsid w:val="00EE463A"/>
    <w:rsid w:val="00EE47CF"/>
    <w:rsid w:val="00EE5128"/>
    <w:rsid w:val="00EE5352"/>
    <w:rsid w:val="00EE651B"/>
    <w:rsid w:val="00EE6A50"/>
    <w:rsid w:val="00EF0436"/>
    <w:rsid w:val="00EF05B5"/>
    <w:rsid w:val="00EF0762"/>
    <w:rsid w:val="00EF07DC"/>
    <w:rsid w:val="00EF0865"/>
    <w:rsid w:val="00EF1265"/>
    <w:rsid w:val="00EF12D3"/>
    <w:rsid w:val="00EF1488"/>
    <w:rsid w:val="00EF1C03"/>
    <w:rsid w:val="00EF35D3"/>
    <w:rsid w:val="00EF3FBF"/>
    <w:rsid w:val="00EF41AD"/>
    <w:rsid w:val="00EF4B9A"/>
    <w:rsid w:val="00EF4C3D"/>
    <w:rsid w:val="00EF4F58"/>
    <w:rsid w:val="00EF4FEE"/>
    <w:rsid w:val="00EF5E03"/>
    <w:rsid w:val="00EF6376"/>
    <w:rsid w:val="00EF74C5"/>
    <w:rsid w:val="00EF7F7F"/>
    <w:rsid w:val="00F00076"/>
    <w:rsid w:val="00F00417"/>
    <w:rsid w:val="00F00B2C"/>
    <w:rsid w:val="00F012C1"/>
    <w:rsid w:val="00F01D8F"/>
    <w:rsid w:val="00F02B78"/>
    <w:rsid w:val="00F03916"/>
    <w:rsid w:val="00F03C42"/>
    <w:rsid w:val="00F03F86"/>
    <w:rsid w:val="00F03FB2"/>
    <w:rsid w:val="00F048B5"/>
    <w:rsid w:val="00F06A69"/>
    <w:rsid w:val="00F06DB0"/>
    <w:rsid w:val="00F074F6"/>
    <w:rsid w:val="00F076F7"/>
    <w:rsid w:val="00F07BAA"/>
    <w:rsid w:val="00F07F30"/>
    <w:rsid w:val="00F10015"/>
    <w:rsid w:val="00F10148"/>
    <w:rsid w:val="00F1032D"/>
    <w:rsid w:val="00F10AF1"/>
    <w:rsid w:val="00F114F9"/>
    <w:rsid w:val="00F12B75"/>
    <w:rsid w:val="00F12CF4"/>
    <w:rsid w:val="00F1321C"/>
    <w:rsid w:val="00F144CE"/>
    <w:rsid w:val="00F1527E"/>
    <w:rsid w:val="00F15AC4"/>
    <w:rsid w:val="00F15CAD"/>
    <w:rsid w:val="00F16E7A"/>
    <w:rsid w:val="00F17687"/>
    <w:rsid w:val="00F221F2"/>
    <w:rsid w:val="00F22728"/>
    <w:rsid w:val="00F23A52"/>
    <w:rsid w:val="00F24831"/>
    <w:rsid w:val="00F2537D"/>
    <w:rsid w:val="00F25645"/>
    <w:rsid w:val="00F25EE7"/>
    <w:rsid w:val="00F26601"/>
    <w:rsid w:val="00F2672B"/>
    <w:rsid w:val="00F26F08"/>
    <w:rsid w:val="00F26F09"/>
    <w:rsid w:val="00F27746"/>
    <w:rsid w:val="00F27831"/>
    <w:rsid w:val="00F31055"/>
    <w:rsid w:val="00F33476"/>
    <w:rsid w:val="00F335C2"/>
    <w:rsid w:val="00F338F4"/>
    <w:rsid w:val="00F33EAF"/>
    <w:rsid w:val="00F3417E"/>
    <w:rsid w:val="00F342A1"/>
    <w:rsid w:val="00F349A5"/>
    <w:rsid w:val="00F34AF6"/>
    <w:rsid w:val="00F3577E"/>
    <w:rsid w:val="00F35A4E"/>
    <w:rsid w:val="00F35E61"/>
    <w:rsid w:val="00F36338"/>
    <w:rsid w:val="00F365A4"/>
    <w:rsid w:val="00F36EFF"/>
    <w:rsid w:val="00F371D4"/>
    <w:rsid w:val="00F40D0D"/>
    <w:rsid w:val="00F411AC"/>
    <w:rsid w:val="00F42313"/>
    <w:rsid w:val="00F42437"/>
    <w:rsid w:val="00F42446"/>
    <w:rsid w:val="00F42848"/>
    <w:rsid w:val="00F429B4"/>
    <w:rsid w:val="00F43476"/>
    <w:rsid w:val="00F43DDF"/>
    <w:rsid w:val="00F44E55"/>
    <w:rsid w:val="00F45232"/>
    <w:rsid w:val="00F466D8"/>
    <w:rsid w:val="00F46726"/>
    <w:rsid w:val="00F46731"/>
    <w:rsid w:val="00F4675A"/>
    <w:rsid w:val="00F4686B"/>
    <w:rsid w:val="00F468C2"/>
    <w:rsid w:val="00F46B0F"/>
    <w:rsid w:val="00F46ED2"/>
    <w:rsid w:val="00F4735B"/>
    <w:rsid w:val="00F47949"/>
    <w:rsid w:val="00F47F93"/>
    <w:rsid w:val="00F47FAE"/>
    <w:rsid w:val="00F510E2"/>
    <w:rsid w:val="00F539D6"/>
    <w:rsid w:val="00F53C1B"/>
    <w:rsid w:val="00F53FB2"/>
    <w:rsid w:val="00F548AA"/>
    <w:rsid w:val="00F548F7"/>
    <w:rsid w:val="00F5497E"/>
    <w:rsid w:val="00F54C08"/>
    <w:rsid w:val="00F55240"/>
    <w:rsid w:val="00F553C1"/>
    <w:rsid w:val="00F55D4D"/>
    <w:rsid w:val="00F564EC"/>
    <w:rsid w:val="00F56C9E"/>
    <w:rsid w:val="00F56CB9"/>
    <w:rsid w:val="00F56D1E"/>
    <w:rsid w:val="00F573EF"/>
    <w:rsid w:val="00F60063"/>
    <w:rsid w:val="00F601F9"/>
    <w:rsid w:val="00F602B7"/>
    <w:rsid w:val="00F60641"/>
    <w:rsid w:val="00F60EF4"/>
    <w:rsid w:val="00F61076"/>
    <w:rsid w:val="00F610D9"/>
    <w:rsid w:val="00F611B9"/>
    <w:rsid w:val="00F61418"/>
    <w:rsid w:val="00F615C9"/>
    <w:rsid w:val="00F623FB"/>
    <w:rsid w:val="00F62EB5"/>
    <w:rsid w:val="00F63473"/>
    <w:rsid w:val="00F63B12"/>
    <w:rsid w:val="00F63CDD"/>
    <w:rsid w:val="00F64146"/>
    <w:rsid w:val="00F64A50"/>
    <w:rsid w:val="00F64B56"/>
    <w:rsid w:val="00F64D00"/>
    <w:rsid w:val="00F653D6"/>
    <w:rsid w:val="00F6555B"/>
    <w:rsid w:val="00F65784"/>
    <w:rsid w:val="00F65897"/>
    <w:rsid w:val="00F65AD1"/>
    <w:rsid w:val="00F65B43"/>
    <w:rsid w:val="00F668FA"/>
    <w:rsid w:val="00F66EF6"/>
    <w:rsid w:val="00F6719C"/>
    <w:rsid w:val="00F67929"/>
    <w:rsid w:val="00F67ADA"/>
    <w:rsid w:val="00F705CD"/>
    <w:rsid w:val="00F70C01"/>
    <w:rsid w:val="00F713DF"/>
    <w:rsid w:val="00F714CB"/>
    <w:rsid w:val="00F72153"/>
    <w:rsid w:val="00F725CA"/>
    <w:rsid w:val="00F726A9"/>
    <w:rsid w:val="00F72D94"/>
    <w:rsid w:val="00F736EA"/>
    <w:rsid w:val="00F742D3"/>
    <w:rsid w:val="00F74586"/>
    <w:rsid w:val="00F74937"/>
    <w:rsid w:val="00F74AB7"/>
    <w:rsid w:val="00F75C0E"/>
    <w:rsid w:val="00F75E29"/>
    <w:rsid w:val="00F75EA8"/>
    <w:rsid w:val="00F769E9"/>
    <w:rsid w:val="00F76BC5"/>
    <w:rsid w:val="00F773F9"/>
    <w:rsid w:val="00F774D9"/>
    <w:rsid w:val="00F779E8"/>
    <w:rsid w:val="00F809C6"/>
    <w:rsid w:val="00F80C62"/>
    <w:rsid w:val="00F82958"/>
    <w:rsid w:val="00F8431F"/>
    <w:rsid w:val="00F852E2"/>
    <w:rsid w:val="00F85B9C"/>
    <w:rsid w:val="00F86B0E"/>
    <w:rsid w:val="00F86C73"/>
    <w:rsid w:val="00F86D77"/>
    <w:rsid w:val="00F8735E"/>
    <w:rsid w:val="00F87A8D"/>
    <w:rsid w:val="00F87E5B"/>
    <w:rsid w:val="00F87E8A"/>
    <w:rsid w:val="00F9007E"/>
    <w:rsid w:val="00F90332"/>
    <w:rsid w:val="00F908C6"/>
    <w:rsid w:val="00F9222C"/>
    <w:rsid w:val="00F92D24"/>
    <w:rsid w:val="00F932D1"/>
    <w:rsid w:val="00F936C1"/>
    <w:rsid w:val="00F93B9F"/>
    <w:rsid w:val="00F94E96"/>
    <w:rsid w:val="00F94F20"/>
    <w:rsid w:val="00F96696"/>
    <w:rsid w:val="00F969DB"/>
    <w:rsid w:val="00F97FFD"/>
    <w:rsid w:val="00FA0372"/>
    <w:rsid w:val="00FA0AF4"/>
    <w:rsid w:val="00FA0BFF"/>
    <w:rsid w:val="00FA163A"/>
    <w:rsid w:val="00FA433F"/>
    <w:rsid w:val="00FA4638"/>
    <w:rsid w:val="00FA4B7C"/>
    <w:rsid w:val="00FA5C6D"/>
    <w:rsid w:val="00FA6B59"/>
    <w:rsid w:val="00FA7951"/>
    <w:rsid w:val="00FA7B59"/>
    <w:rsid w:val="00FB0413"/>
    <w:rsid w:val="00FB0FBD"/>
    <w:rsid w:val="00FB1DA3"/>
    <w:rsid w:val="00FB2B19"/>
    <w:rsid w:val="00FB362D"/>
    <w:rsid w:val="00FB5064"/>
    <w:rsid w:val="00FB52E4"/>
    <w:rsid w:val="00FB599C"/>
    <w:rsid w:val="00FB5BBD"/>
    <w:rsid w:val="00FB5F0C"/>
    <w:rsid w:val="00FB6BF7"/>
    <w:rsid w:val="00FB7AE0"/>
    <w:rsid w:val="00FC0A29"/>
    <w:rsid w:val="00FC15FD"/>
    <w:rsid w:val="00FC2577"/>
    <w:rsid w:val="00FC26B9"/>
    <w:rsid w:val="00FC35DE"/>
    <w:rsid w:val="00FC3A24"/>
    <w:rsid w:val="00FC44EE"/>
    <w:rsid w:val="00FC539A"/>
    <w:rsid w:val="00FC57CF"/>
    <w:rsid w:val="00FC5B43"/>
    <w:rsid w:val="00FC5B77"/>
    <w:rsid w:val="00FC616C"/>
    <w:rsid w:val="00FC6926"/>
    <w:rsid w:val="00FC6CEC"/>
    <w:rsid w:val="00FC7A1D"/>
    <w:rsid w:val="00FC7F38"/>
    <w:rsid w:val="00FC7FA4"/>
    <w:rsid w:val="00FD0CA5"/>
    <w:rsid w:val="00FD1C41"/>
    <w:rsid w:val="00FD2145"/>
    <w:rsid w:val="00FD220A"/>
    <w:rsid w:val="00FD23BA"/>
    <w:rsid w:val="00FD55A4"/>
    <w:rsid w:val="00FD61A7"/>
    <w:rsid w:val="00FD7122"/>
    <w:rsid w:val="00FD7D00"/>
    <w:rsid w:val="00FE1B8A"/>
    <w:rsid w:val="00FE1C93"/>
    <w:rsid w:val="00FE33A3"/>
    <w:rsid w:val="00FE340C"/>
    <w:rsid w:val="00FE350E"/>
    <w:rsid w:val="00FE38AC"/>
    <w:rsid w:val="00FE3F62"/>
    <w:rsid w:val="00FE43B8"/>
    <w:rsid w:val="00FE4D63"/>
    <w:rsid w:val="00FE5D3E"/>
    <w:rsid w:val="00FE6A91"/>
    <w:rsid w:val="00FE6E3D"/>
    <w:rsid w:val="00FE72F4"/>
    <w:rsid w:val="00FE7BE7"/>
    <w:rsid w:val="00FF0290"/>
    <w:rsid w:val="00FF0C31"/>
    <w:rsid w:val="00FF11F0"/>
    <w:rsid w:val="00FF22C6"/>
    <w:rsid w:val="00FF2663"/>
    <w:rsid w:val="00FF2DB3"/>
    <w:rsid w:val="00FF3B9A"/>
    <w:rsid w:val="00FF429C"/>
    <w:rsid w:val="00FF44AA"/>
    <w:rsid w:val="00FF4EC5"/>
    <w:rsid w:val="00FF57C5"/>
    <w:rsid w:val="00FF64CE"/>
    <w:rsid w:val="00FF70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823"/>
    <o:shapelayout v:ext="edit">
      <o:idmap v:ext="edit" data="2,3,4,5"/>
    </o:shapelayout>
  </w:shapeDefaults>
  <w:decimalSymbol w:val="."/>
  <w:listSeparator w:val=","/>
  <w14:docId w14:val="785A79CD"/>
  <w15:chartTrackingRefBased/>
  <w15:docId w15:val="{D45FCE24-C552-436F-B203-D0C0D4284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5A43"/>
    <w:rPr>
      <w:rFonts w:ascii="Times New Roman" w:eastAsia="Times New Roman" w:hAnsi="Times New Roman"/>
      <w:sz w:val="24"/>
    </w:rPr>
  </w:style>
  <w:style w:type="paragraph" w:styleId="Heading1">
    <w:name w:val="heading 1"/>
    <w:aliases w:val="h1"/>
    <w:basedOn w:val="Normal"/>
    <w:next w:val="BodyText"/>
    <w:link w:val="Heading1Char"/>
    <w:qFormat/>
    <w:rsid w:val="00A13FF9"/>
    <w:pPr>
      <w:keepNext/>
      <w:numPr>
        <w:numId w:val="1"/>
      </w:numPr>
      <w:spacing w:after="240"/>
      <w:outlineLvl w:val="0"/>
    </w:pPr>
    <w:rPr>
      <w:b/>
      <w:caps/>
    </w:rPr>
  </w:style>
  <w:style w:type="paragraph" w:styleId="Heading2">
    <w:name w:val="heading 2"/>
    <w:aliases w:val="h2"/>
    <w:basedOn w:val="Normal"/>
    <w:next w:val="BodyText"/>
    <w:link w:val="Heading2Char"/>
    <w:qFormat/>
    <w:rsid w:val="00A13FF9"/>
    <w:pPr>
      <w:keepNext/>
      <w:numPr>
        <w:ilvl w:val="1"/>
        <w:numId w:val="1"/>
      </w:numPr>
      <w:tabs>
        <w:tab w:val="left" w:pos="720"/>
      </w:tabs>
      <w:spacing w:before="240" w:after="240"/>
      <w:outlineLvl w:val="1"/>
    </w:pPr>
    <w:rPr>
      <w:b/>
    </w:rPr>
  </w:style>
  <w:style w:type="paragraph" w:styleId="Heading3">
    <w:name w:val="heading 3"/>
    <w:aliases w:val="h3"/>
    <w:basedOn w:val="Normal"/>
    <w:next w:val="BodyText"/>
    <w:link w:val="Heading3Char"/>
    <w:uiPriority w:val="9"/>
    <w:qFormat/>
    <w:rsid w:val="00A13FF9"/>
    <w:pPr>
      <w:keepNext/>
      <w:numPr>
        <w:ilvl w:val="2"/>
        <w:numId w:val="1"/>
      </w:numPr>
      <w:tabs>
        <w:tab w:val="left" w:pos="1008"/>
      </w:tabs>
      <w:spacing w:before="240" w:after="240"/>
      <w:outlineLvl w:val="2"/>
    </w:pPr>
    <w:rPr>
      <w:b/>
      <w:bCs/>
      <w:i/>
    </w:rPr>
  </w:style>
  <w:style w:type="paragraph" w:styleId="Heading4">
    <w:name w:val="heading 4"/>
    <w:aliases w:val="h4,delete"/>
    <w:basedOn w:val="Normal"/>
    <w:next w:val="BodyText"/>
    <w:link w:val="Heading4Char"/>
    <w:uiPriority w:val="9"/>
    <w:qFormat/>
    <w:rsid w:val="00A13FF9"/>
    <w:pPr>
      <w:keepNext/>
      <w:widowControl w:val="0"/>
      <w:numPr>
        <w:ilvl w:val="3"/>
        <w:numId w:val="1"/>
      </w:numPr>
      <w:tabs>
        <w:tab w:val="left" w:pos="1296"/>
      </w:tabs>
      <w:spacing w:before="240" w:after="240"/>
      <w:outlineLvl w:val="3"/>
    </w:pPr>
    <w:rPr>
      <w:b/>
      <w:bCs/>
      <w:snapToGrid w:val="0"/>
    </w:rPr>
  </w:style>
  <w:style w:type="paragraph" w:styleId="Heading5">
    <w:name w:val="heading 5"/>
    <w:aliases w:val="h5"/>
    <w:basedOn w:val="Normal"/>
    <w:next w:val="BodyText"/>
    <w:link w:val="Heading5Char"/>
    <w:qFormat/>
    <w:rsid w:val="00A13FF9"/>
    <w:pPr>
      <w:keepNext/>
      <w:numPr>
        <w:ilvl w:val="4"/>
        <w:numId w:val="1"/>
      </w:numPr>
      <w:tabs>
        <w:tab w:val="left" w:pos="1440"/>
      </w:tabs>
      <w:spacing w:before="240" w:after="240"/>
      <w:outlineLvl w:val="4"/>
    </w:pPr>
    <w:rPr>
      <w:b/>
      <w:bCs/>
      <w:i/>
      <w:iCs/>
      <w:szCs w:val="26"/>
    </w:rPr>
  </w:style>
  <w:style w:type="paragraph" w:styleId="Heading6">
    <w:name w:val="heading 6"/>
    <w:aliases w:val="h6"/>
    <w:basedOn w:val="Normal"/>
    <w:next w:val="BodyText"/>
    <w:link w:val="Heading6Char"/>
    <w:qFormat/>
    <w:rsid w:val="00A13FF9"/>
    <w:pPr>
      <w:keepNext/>
      <w:numPr>
        <w:ilvl w:val="5"/>
        <w:numId w:val="1"/>
      </w:numPr>
      <w:tabs>
        <w:tab w:val="left" w:pos="1584"/>
      </w:tabs>
      <w:spacing w:before="240" w:after="240"/>
      <w:outlineLvl w:val="5"/>
    </w:pPr>
    <w:rPr>
      <w:b/>
      <w:bCs/>
      <w:szCs w:val="22"/>
    </w:rPr>
  </w:style>
  <w:style w:type="paragraph" w:styleId="Heading7">
    <w:name w:val="heading 7"/>
    <w:basedOn w:val="Normal"/>
    <w:next w:val="BodyText"/>
    <w:link w:val="Heading7Char"/>
    <w:qFormat/>
    <w:rsid w:val="00A13FF9"/>
    <w:pPr>
      <w:keepNext/>
      <w:numPr>
        <w:ilvl w:val="6"/>
        <w:numId w:val="1"/>
      </w:numPr>
      <w:tabs>
        <w:tab w:val="left" w:pos="1728"/>
      </w:tabs>
      <w:spacing w:before="240" w:after="240"/>
      <w:outlineLvl w:val="6"/>
    </w:pPr>
    <w:rPr>
      <w:szCs w:val="24"/>
    </w:rPr>
  </w:style>
  <w:style w:type="paragraph" w:styleId="Heading8">
    <w:name w:val="heading 8"/>
    <w:basedOn w:val="Normal"/>
    <w:next w:val="BodyText"/>
    <w:link w:val="Heading8Char"/>
    <w:qFormat/>
    <w:rsid w:val="00A13FF9"/>
    <w:pPr>
      <w:keepNext/>
      <w:numPr>
        <w:ilvl w:val="7"/>
        <w:numId w:val="1"/>
      </w:numPr>
      <w:tabs>
        <w:tab w:val="left" w:pos="1872"/>
      </w:tabs>
      <w:spacing w:before="240" w:after="240"/>
      <w:outlineLvl w:val="7"/>
    </w:pPr>
    <w:rPr>
      <w:i/>
      <w:iCs/>
      <w:szCs w:val="24"/>
    </w:rPr>
  </w:style>
  <w:style w:type="paragraph" w:styleId="Heading9">
    <w:name w:val="heading 9"/>
    <w:basedOn w:val="Normal"/>
    <w:next w:val="BodyText"/>
    <w:link w:val="Heading9Char"/>
    <w:qFormat/>
    <w:rsid w:val="00A13FF9"/>
    <w:pPr>
      <w:keepNext/>
      <w:numPr>
        <w:ilvl w:val="8"/>
        <w:numId w:val="1"/>
      </w:numPr>
      <w:tabs>
        <w:tab w:val="left" w:pos="2160"/>
      </w:tabs>
      <w:spacing w:before="240" w:after="240"/>
      <w:outlineLvl w:val="8"/>
    </w:pPr>
    <w:rPr>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link w:val="Heading1"/>
    <w:rsid w:val="00A13FF9"/>
    <w:rPr>
      <w:rFonts w:ascii="Times New Roman" w:eastAsia="Times New Roman" w:hAnsi="Times New Roman" w:cs="Times New Roman"/>
      <w:b/>
      <w:caps/>
      <w:sz w:val="24"/>
      <w:szCs w:val="20"/>
    </w:rPr>
  </w:style>
  <w:style w:type="character" w:customStyle="1" w:styleId="Heading2Char">
    <w:name w:val="Heading 2 Char"/>
    <w:aliases w:val="h2 Char"/>
    <w:link w:val="Heading2"/>
    <w:rsid w:val="00A13FF9"/>
    <w:rPr>
      <w:rFonts w:ascii="Times New Roman" w:eastAsia="Times New Roman" w:hAnsi="Times New Roman" w:cs="Times New Roman"/>
      <w:b/>
      <w:sz w:val="24"/>
      <w:szCs w:val="20"/>
    </w:rPr>
  </w:style>
  <w:style w:type="character" w:customStyle="1" w:styleId="Heading3Char">
    <w:name w:val="Heading 3 Char"/>
    <w:aliases w:val="h3 Char"/>
    <w:link w:val="Heading3"/>
    <w:uiPriority w:val="9"/>
    <w:rsid w:val="00A13FF9"/>
    <w:rPr>
      <w:rFonts w:ascii="Times New Roman" w:eastAsia="Times New Roman" w:hAnsi="Times New Roman" w:cs="Times New Roman"/>
      <w:b/>
      <w:bCs/>
      <w:i/>
      <w:sz w:val="24"/>
      <w:szCs w:val="20"/>
    </w:rPr>
  </w:style>
  <w:style w:type="character" w:customStyle="1" w:styleId="Heading4Char">
    <w:name w:val="Heading 4 Char"/>
    <w:aliases w:val="h4 Char,delete Char"/>
    <w:link w:val="Heading4"/>
    <w:uiPriority w:val="9"/>
    <w:rsid w:val="00A13FF9"/>
    <w:rPr>
      <w:rFonts w:ascii="Times New Roman" w:eastAsia="Times New Roman" w:hAnsi="Times New Roman" w:cs="Times New Roman"/>
      <w:b/>
      <w:bCs/>
      <w:snapToGrid w:val="0"/>
      <w:sz w:val="24"/>
      <w:szCs w:val="20"/>
    </w:rPr>
  </w:style>
  <w:style w:type="character" w:customStyle="1" w:styleId="Heading5Char">
    <w:name w:val="Heading 5 Char"/>
    <w:aliases w:val="h5 Char"/>
    <w:link w:val="Heading5"/>
    <w:rsid w:val="00A13FF9"/>
    <w:rPr>
      <w:rFonts w:ascii="Times New Roman" w:eastAsia="Times New Roman" w:hAnsi="Times New Roman" w:cs="Times New Roman"/>
      <w:b/>
      <w:bCs/>
      <w:i/>
      <w:iCs/>
      <w:sz w:val="24"/>
      <w:szCs w:val="26"/>
    </w:rPr>
  </w:style>
  <w:style w:type="character" w:customStyle="1" w:styleId="Heading6Char">
    <w:name w:val="Heading 6 Char"/>
    <w:aliases w:val="h6 Char"/>
    <w:link w:val="Heading6"/>
    <w:rsid w:val="00A13FF9"/>
    <w:rPr>
      <w:rFonts w:ascii="Times New Roman" w:eastAsia="Times New Roman" w:hAnsi="Times New Roman" w:cs="Times New Roman"/>
      <w:b/>
      <w:bCs/>
      <w:sz w:val="24"/>
    </w:rPr>
  </w:style>
  <w:style w:type="character" w:customStyle="1" w:styleId="Heading7Char">
    <w:name w:val="Heading 7 Char"/>
    <w:link w:val="Heading7"/>
    <w:rsid w:val="00A13FF9"/>
    <w:rPr>
      <w:rFonts w:ascii="Times New Roman" w:eastAsia="Times New Roman" w:hAnsi="Times New Roman" w:cs="Times New Roman"/>
      <w:sz w:val="24"/>
      <w:szCs w:val="24"/>
    </w:rPr>
  </w:style>
  <w:style w:type="character" w:customStyle="1" w:styleId="Heading8Char">
    <w:name w:val="Heading 8 Char"/>
    <w:link w:val="Heading8"/>
    <w:rsid w:val="00A13FF9"/>
    <w:rPr>
      <w:rFonts w:ascii="Times New Roman" w:eastAsia="Times New Roman" w:hAnsi="Times New Roman" w:cs="Times New Roman"/>
      <w:i/>
      <w:iCs/>
      <w:sz w:val="24"/>
      <w:szCs w:val="24"/>
    </w:rPr>
  </w:style>
  <w:style w:type="character" w:customStyle="1" w:styleId="Heading9Char">
    <w:name w:val="Heading 9 Char"/>
    <w:link w:val="Heading9"/>
    <w:rsid w:val="00A13FF9"/>
    <w:rPr>
      <w:rFonts w:ascii="Times New Roman" w:eastAsia="Times New Roman" w:hAnsi="Times New Roman" w:cs="Times New Roman"/>
      <w:b/>
      <w:sz w:val="24"/>
      <w:szCs w:val="24"/>
    </w:rPr>
  </w:style>
  <w:style w:type="paragraph" w:styleId="BodyText">
    <w:name w:val="Body Text"/>
    <w:aliases w:val="Char Char Char Char Char Char,Char Char Char Char Char Char Charh2,..., Char Char Char Char Char Char, Char Char Char Char Char Char Char,Body Text Char Char,Body Text Char1 Char Char,Body Text Char Char Char Char, Char Char Char Char Char Cha"/>
    <w:basedOn w:val="Normal"/>
    <w:link w:val="BodyTextChar1"/>
    <w:rsid w:val="00A13FF9"/>
    <w:pPr>
      <w:spacing w:after="240"/>
    </w:pPr>
    <w:rPr>
      <w:iCs/>
    </w:rPr>
  </w:style>
  <w:style w:type="character" w:customStyle="1" w:styleId="BodyTextChar">
    <w:name w:val="Body Text Char"/>
    <w:aliases w:val="Char1 Char Char Char,Body Text Char2 Char Char Char1,Body Text Char2 Char Char Char Char Char Char Char Char Char Char Char Char1,Body Text Char3,Body Text Char1 Char Ch Char, Char1 Char Char Char"/>
    <w:uiPriority w:val="99"/>
    <w:rsid w:val="00A13FF9"/>
    <w:rPr>
      <w:rFonts w:ascii="Times New Roman" w:eastAsia="Times New Roman" w:hAnsi="Times New Roman" w:cs="Times New Roman"/>
      <w:sz w:val="24"/>
      <w:szCs w:val="20"/>
    </w:rPr>
  </w:style>
  <w:style w:type="character" w:customStyle="1" w:styleId="BodyTextChar1">
    <w:name w:val="Body Text Char1"/>
    <w:aliases w:val="Char Char Char Char Char Char Char,Char Char Char Char Char Char Charh2 Char,... Char, Char Char Char Char Char Char Char1, Char Char Char Char Char Char Char Char,Body Text Char Char Char,Body Text Char1 Char Char Char"/>
    <w:link w:val="BodyText"/>
    <w:rsid w:val="00A13FF9"/>
    <w:rPr>
      <w:rFonts w:ascii="Times New Roman" w:eastAsia="Times New Roman" w:hAnsi="Times New Roman" w:cs="Times New Roman"/>
      <w:iCs/>
      <w:sz w:val="24"/>
      <w:szCs w:val="20"/>
    </w:rPr>
  </w:style>
  <w:style w:type="character" w:customStyle="1" w:styleId="CharCharChar1">
    <w:name w:val="Char Char Char1"/>
    <w:aliases w:val=" Char11,Body Text Char Char1, Char Char Char Char Char2, Char1 Char Char1,Body Text Char2 Char Char2,Body Text Char2 Char Char Char Char Char Char Char Char Char Char Char1,Body Text Char2 Char3,Body Text Char2 Char4"/>
    <w:rsid w:val="00A13FF9"/>
    <w:rPr>
      <w:iCs/>
      <w:sz w:val="24"/>
      <w:lang w:val="en-US" w:eastAsia="en-US" w:bidi="ar-SA"/>
    </w:rPr>
  </w:style>
  <w:style w:type="paragraph" w:styleId="List">
    <w:name w:val="List"/>
    <w:aliases w:val=" Char2 Char Char Char Char, Char2 Char, Char1,Char2 Char Char Char Char"/>
    <w:basedOn w:val="Normal"/>
    <w:link w:val="ListChar"/>
    <w:rsid w:val="00A13FF9"/>
    <w:pPr>
      <w:spacing w:after="240"/>
      <w:ind w:left="1440" w:hanging="720"/>
    </w:pPr>
  </w:style>
  <w:style w:type="paragraph" w:styleId="Footer">
    <w:name w:val="footer"/>
    <w:basedOn w:val="Normal"/>
    <w:link w:val="FooterChar"/>
    <w:rsid w:val="00A13FF9"/>
    <w:pPr>
      <w:pBdr>
        <w:top w:val="single" w:sz="4" w:space="0" w:color="auto"/>
      </w:pBdr>
      <w:tabs>
        <w:tab w:val="center" w:pos="4680"/>
        <w:tab w:val="right" w:pos="9360"/>
      </w:tabs>
      <w:spacing w:before="120" w:after="120"/>
    </w:pPr>
    <w:rPr>
      <w:smallCaps/>
      <w:sz w:val="20"/>
    </w:rPr>
  </w:style>
  <w:style w:type="character" w:customStyle="1" w:styleId="FooterChar">
    <w:name w:val="Footer Char"/>
    <w:link w:val="Footer"/>
    <w:rsid w:val="00A13FF9"/>
    <w:rPr>
      <w:rFonts w:ascii="Times New Roman" w:eastAsia="Times New Roman" w:hAnsi="Times New Roman" w:cs="Times New Roman"/>
      <w:smallCaps/>
      <w:sz w:val="20"/>
      <w:szCs w:val="20"/>
    </w:rPr>
  </w:style>
  <w:style w:type="paragraph" w:styleId="FootnoteText">
    <w:name w:val="footnote text"/>
    <w:basedOn w:val="Normal"/>
    <w:link w:val="FootnoteTextChar"/>
    <w:rsid w:val="00A13FF9"/>
    <w:rPr>
      <w:sz w:val="18"/>
    </w:rPr>
  </w:style>
  <w:style w:type="character" w:customStyle="1" w:styleId="FootnoteTextChar">
    <w:name w:val="Footnote Text Char"/>
    <w:link w:val="FootnoteText"/>
    <w:rsid w:val="00A13FF9"/>
    <w:rPr>
      <w:rFonts w:ascii="Times New Roman" w:eastAsia="Times New Roman" w:hAnsi="Times New Roman" w:cs="Times New Roman"/>
      <w:sz w:val="18"/>
      <w:szCs w:val="20"/>
    </w:rPr>
  </w:style>
  <w:style w:type="paragraph" w:styleId="Header">
    <w:name w:val="header"/>
    <w:basedOn w:val="Normal"/>
    <w:link w:val="HeaderChar"/>
    <w:rsid w:val="00A13FF9"/>
    <w:pPr>
      <w:pBdr>
        <w:bottom w:val="single" w:sz="4" w:space="1" w:color="auto"/>
      </w:pBdr>
      <w:tabs>
        <w:tab w:val="center" w:pos="4680"/>
        <w:tab w:val="right" w:pos="9360"/>
      </w:tabs>
      <w:jc w:val="right"/>
    </w:pPr>
    <w:rPr>
      <w:smallCaps/>
      <w:sz w:val="20"/>
    </w:rPr>
  </w:style>
  <w:style w:type="character" w:customStyle="1" w:styleId="HeaderChar">
    <w:name w:val="Header Char"/>
    <w:link w:val="Header"/>
    <w:rsid w:val="00A13FF9"/>
    <w:rPr>
      <w:rFonts w:ascii="Times New Roman" w:eastAsia="Times New Roman" w:hAnsi="Times New Roman" w:cs="Times New Roman"/>
      <w:smallCaps/>
      <w:sz w:val="20"/>
      <w:szCs w:val="20"/>
    </w:rPr>
  </w:style>
  <w:style w:type="character" w:styleId="Hyperlink">
    <w:name w:val="Hyperlink"/>
    <w:uiPriority w:val="99"/>
    <w:rsid w:val="00A13FF9"/>
    <w:rPr>
      <w:color w:val="0000FF"/>
      <w:u w:val="single"/>
    </w:rPr>
  </w:style>
  <w:style w:type="paragraph" w:styleId="TOC1">
    <w:name w:val="toc 1"/>
    <w:basedOn w:val="Normal"/>
    <w:next w:val="Normal"/>
    <w:autoRedefine/>
    <w:uiPriority w:val="39"/>
    <w:rsid w:val="009E7BCF"/>
    <w:pPr>
      <w:tabs>
        <w:tab w:val="left" w:pos="540"/>
        <w:tab w:val="right" w:leader="dot" w:pos="9360"/>
      </w:tabs>
      <w:spacing w:before="120" w:after="120"/>
      <w:ind w:left="540" w:right="720" w:hanging="540"/>
    </w:pPr>
    <w:rPr>
      <w:b/>
      <w:bCs/>
      <w:noProof/>
    </w:rPr>
  </w:style>
  <w:style w:type="paragraph" w:styleId="TOC2">
    <w:name w:val="toc 2"/>
    <w:basedOn w:val="Normal"/>
    <w:next w:val="Normal"/>
    <w:autoRedefine/>
    <w:uiPriority w:val="39"/>
    <w:rsid w:val="00A13FF9"/>
    <w:pPr>
      <w:tabs>
        <w:tab w:val="left" w:pos="1260"/>
        <w:tab w:val="right" w:leader="dot" w:pos="9360"/>
      </w:tabs>
      <w:ind w:left="1260" w:right="720" w:hanging="720"/>
    </w:pPr>
    <w:rPr>
      <w:sz w:val="20"/>
    </w:rPr>
  </w:style>
  <w:style w:type="paragraph" w:styleId="TOC3">
    <w:name w:val="toc 3"/>
    <w:basedOn w:val="Normal"/>
    <w:next w:val="Normal"/>
    <w:autoRedefine/>
    <w:uiPriority w:val="39"/>
    <w:rsid w:val="0098177F"/>
    <w:pPr>
      <w:tabs>
        <w:tab w:val="left" w:pos="1980"/>
        <w:tab w:val="right" w:leader="dot" w:pos="9360"/>
      </w:tabs>
      <w:ind w:left="1980" w:right="720" w:hanging="900"/>
    </w:pPr>
    <w:rPr>
      <w:i/>
      <w:iCs/>
      <w:noProof/>
      <w:sz w:val="20"/>
    </w:rPr>
  </w:style>
  <w:style w:type="character" w:styleId="PageNumber">
    <w:name w:val="page number"/>
    <w:basedOn w:val="DefaultParagraphFont"/>
    <w:rsid w:val="00A13FF9"/>
  </w:style>
  <w:style w:type="paragraph" w:styleId="TOC4">
    <w:name w:val="toc 4"/>
    <w:basedOn w:val="Normal"/>
    <w:next w:val="Normal"/>
    <w:autoRedefine/>
    <w:uiPriority w:val="39"/>
    <w:rsid w:val="007A5F57"/>
    <w:pPr>
      <w:tabs>
        <w:tab w:val="left" w:pos="2700"/>
        <w:tab w:val="right" w:leader="dot" w:pos="9360"/>
      </w:tabs>
      <w:ind w:left="2700" w:right="720" w:hanging="1080"/>
    </w:pPr>
    <w:rPr>
      <w:noProof/>
      <w:sz w:val="20"/>
      <w:lang w:val="fr-FR"/>
    </w:rPr>
  </w:style>
  <w:style w:type="paragraph" w:styleId="TOC5">
    <w:name w:val="toc 5"/>
    <w:basedOn w:val="Normal"/>
    <w:next w:val="Normal"/>
    <w:autoRedefine/>
    <w:uiPriority w:val="39"/>
    <w:rsid w:val="00A13FF9"/>
    <w:pPr>
      <w:tabs>
        <w:tab w:val="left" w:pos="3600"/>
        <w:tab w:val="right" w:leader="dot" w:pos="9360"/>
      </w:tabs>
      <w:ind w:left="3600" w:right="720" w:hanging="1260"/>
    </w:pPr>
    <w:rPr>
      <w:i/>
      <w:noProof/>
      <w:sz w:val="18"/>
      <w:szCs w:val="18"/>
    </w:rPr>
  </w:style>
  <w:style w:type="paragraph" w:styleId="List2">
    <w:name w:val="List 2"/>
    <w:aliases w:val="Char2,Char2 Char Char, Char2"/>
    <w:basedOn w:val="Normal"/>
    <w:link w:val="List2Char"/>
    <w:rsid w:val="00A13FF9"/>
    <w:pPr>
      <w:spacing w:after="240"/>
      <w:ind w:left="2160" w:hanging="720"/>
    </w:pPr>
  </w:style>
  <w:style w:type="paragraph" w:styleId="List3">
    <w:name w:val="List 3"/>
    <w:basedOn w:val="Normal"/>
    <w:rsid w:val="00A13FF9"/>
    <w:pPr>
      <w:spacing w:after="240"/>
      <w:ind w:left="2880" w:hanging="720"/>
    </w:pPr>
  </w:style>
  <w:style w:type="paragraph" w:styleId="TOC6">
    <w:name w:val="toc 6"/>
    <w:basedOn w:val="Normal"/>
    <w:next w:val="Normal"/>
    <w:autoRedefine/>
    <w:uiPriority w:val="39"/>
    <w:rsid w:val="00A13FF9"/>
    <w:pPr>
      <w:tabs>
        <w:tab w:val="left" w:pos="4500"/>
        <w:tab w:val="right" w:leader="dot" w:pos="9360"/>
      </w:tabs>
      <w:ind w:left="4500" w:right="720" w:hanging="1440"/>
    </w:pPr>
    <w:rPr>
      <w:sz w:val="18"/>
      <w:szCs w:val="18"/>
    </w:rPr>
  </w:style>
  <w:style w:type="paragraph" w:styleId="TOC7">
    <w:name w:val="toc 7"/>
    <w:basedOn w:val="Normal"/>
    <w:next w:val="Normal"/>
    <w:autoRedefine/>
    <w:uiPriority w:val="39"/>
    <w:rsid w:val="00A13FF9"/>
    <w:pPr>
      <w:tabs>
        <w:tab w:val="left" w:pos="5400"/>
        <w:tab w:val="right" w:leader="dot" w:pos="9360"/>
      </w:tabs>
      <w:ind w:left="5400" w:right="720" w:hanging="1620"/>
    </w:pPr>
    <w:rPr>
      <w:i/>
      <w:noProof/>
      <w:sz w:val="18"/>
      <w:szCs w:val="18"/>
    </w:rPr>
  </w:style>
  <w:style w:type="paragraph" w:styleId="TOC8">
    <w:name w:val="toc 8"/>
    <w:basedOn w:val="Normal"/>
    <w:next w:val="Normal"/>
    <w:autoRedefine/>
    <w:uiPriority w:val="39"/>
    <w:rsid w:val="00A13FF9"/>
    <w:pPr>
      <w:ind w:left="1680"/>
    </w:pPr>
    <w:rPr>
      <w:sz w:val="18"/>
      <w:szCs w:val="18"/>
    </w:rPr>
  </w:style>
  <w:style w:type="paragraph" w:styleId="TOC9">
    <w:name w:val="toc 9"/>
    <w:basedOn w:val="Normal"/>
    <w:next w:val="Normal"/>
    <w:autoRedefine/>
    <w:uiPriority w:val="39"/>
    <w:rsid w:val="00A13FF9"/>
    <w:pPr>
      <w:ind w:left="1920"/>
    </w:pPr>
    <w:rPr>
      <w:sz w:val="18"/>
      <w:szCs w:val="18"/>
    </w:rPr>
  </w:style>
  <w:style w:type="paragraph" w:customStyle="1" w:styleId="H5">
    <w:name w:val="H5"/>
    <w:basedOn w:val="Heading5"/>
    <w:next w:val="BodyText"/>
    <w:link w:val="H5Char"/>
    <w:rsid w:val="00A13FF9"/>
    <w:pPr>
      <w:numPr>
        <w:ilvl w:val="0"/>
        <w:numId w:val="0"/>
      </w:numPr>
      <w:tabs>
        <w:tab w:val="clear" w:pos="1440"/>
        <w:tab w:val="left" w:pos="1620"/>
      </w:tabs>
      <w:ind w:left="1620" w:hanging="1620"/>
    </w:pPr>
  </w:style>
  <w:style w:type="paragraph" w:customStyle="1" w:styleId="H2">
    <w:name w:val="H2"/>
    <w:basedOn w:val="Heading2"/>
    <w:next w:val="BodyText"/>
    <w:link w:val="H2Char"/>
    <w:rsid w:val="00A13FF9"/>
    <w:pPr>
      <w:numPr>
        <w:ilvl w:val="0"/>
        <w:numId w:val="0"/>
      </w:numPr>
      <w:tabs>
        <w:tab w:val="clear" w:pos="720"/>
        <w:tab w:val="left" w:pos="900"/>
      </w:tabs>
      <w:ind w:left="900" w:hanging="900"/>
    </w:pPr>
  </w:style>
  <w:style w:type="paragraph" w:customStyle="1" w:styleId="H4">
    <w:name w:val="H4"/>
    <w:basedOn w:val="Heading4"/>
    <w:next w:val="BodyText"/>
    <w:link w:val="H4Char"/>
    <w:rsid w:val="00A13FF9"/>
    <w:pPr>
      <w:numPr>
        <w:ilvl w:val="0"/>
        <w:numId w:val="0"/>
      </w:numPr>
      <w:tabs>
        <w:tab w:val="clear" w:pos="1296"/>
        <w:tab w:val="left" w:pos="1260"/>
      </w:tabs>
      <w:ind w:left="1260" w:hanging="1260"/>
    </w:pPr>
  </w:style>
  <w:style w:type="paragraph" w:customStyle="1" w:styleId="H6">
    <w:name w:val="H6"/>
    <w:basedOn w:val="Heading6"/>
    <w:next w:val="BodyText"/>
    <w:link w:val="H6Char"/>
    <w:rsid w:val="00A13FF9"/>
    <w:pPr>
      <w:numPr>
        <w:ilvl w:val="0"/>
        <w:numId w:val="0"/>
      </w:numPr>
      <w:tabs>
        <w:tab w:val="clear" w:pos="1584"/>
        <w:tab w:val="left" w:pos="1800"/>
      </w:tabs>
      <w:ind w:left="1800" w:hanging="1800"/>
    </w:pPr>
  </w:style>
  <w:style w:type="paragraph" w:customStyle="1" w:styleId="H7">
    <w:name w:val="H7"/>
    <w:basedOn w:val="Heading7"/>
    <w:next w:val="BodyText"/>
    <w:rsid w:val="00A13FF9"/>
    <w:pPr>
      <w:numPr>
        <w:ilvl w:val="0"/>
        <w:numId w:val="0"/>
      </w:numPr>
      <w:tabs>
        <w:tab w:val="clear" w:pos="1728"/>
        <w:tab w:val="left" w:pos="1980"/>
      </w:tabs>
      <w:ind w:left="1980" w:hanging="1980"/>
    </w:pPr>
    <w:rPr>
      <w:b/>
      <w:i/>
    </w:rPr>
  </w:style>
  <w:style w:type="paragraph" w:customStyle="1" w:styleId="H8">
    <w:name w:val="H8"/>
    <w:basedOn w:val="Heading8"/>
    <w:next w:val="BodyText"/>
    <w:rsid w:val="00A13FF9"/>
    <w:pPr>
      <w:numPr>
        <w:ilvl w:val="0"/>
        <w:numId w:val="0"/>
      </w:numPr>
      <w:tabs>
        <w:tab w:val="clear" w:pos="1872"/>
        <w:tab w:val="left" w:pos="2160"/>
      </w:tabs>
      <w:ind w:left="2160" w:hanging="2160"/>
    </w:pPr>
    <w:rPr>
      <w:b/>
      <w:i w:val="0"/>
    </w:rPr>
  </w:style>
  <w:style w:type="paragraph" w:customStyle="1" w:styleId="H9">
    <w:name w:val="H9"/>
    <w:basedOn w:val="Heading9"/>
    <w:next w:val="BodyText"/>
    <w:rsid w:val="00A13FF9"/>
    <w:pPr>
      <w:numPr>
        <w:ilvl w:val="0"/>
        <w:numId w:val="0"/>
      </w:numPr>
      <w:tabs>
        <w:tab w:val="clear" w:pos="2160"/>
        <w:tab w:val="left" w:pos="2340"/>
      </w:tabs>
      <w:ind w:left="2340" w:hanging="2340"/>
    </w:pPr>
    <w:rPr>
      <w:i/>
    </w:rPr>
  </w:style>
  <w:style w:type="paragraph" w:customStyle="1" w:styleId="VariableDefinition">
    <w:name w:val="Variable Definition"/>
    <w:basedOn w:val="Normal"/>
    <w:link w:val="VariableDefinitionChar"/>
    <w:rsid w:val="00A13FF9"/>
    <w:pPr>
      <w:tabs>
        <w:tab w:val="left" w:pos="2160"/>
      </w:tabs>
      <w:spacing w:after="240"/>
      <w:ind w:left="2160" w:hanging="1440"/>
      <w:contextualSpacing/>
    </w:pPr>
    <w:rPr>
      <w:iCs/>
    </w:rPr>
  </w:style>
  <w:style w:type="paragraph" w:customStyle="1" w:styleId="FormulaBold">
    <w:name w:val="Formula Bold"/>
    <w:basedOn w:val="Normal"/>
    <w:link w:val="FormulaBoldChar"/>
    <w:rsid w:val="00A13FF9"/>
    <w:pPr>
      <w:tabs>
        <w:tab w:val="left" w:pos="2250"/>
        <w:tab w:val="left" w:pos="3150"/>
        <w:tab w:val="left" w:pos="3960"/>
      </w:tabs>
      <w:spacing w:after="240"/>
      <w:ind w:left="3960" w:hanging="3240"/>
    </w:pPr>
    <w:rPr>
      <w:b/>
      <w:bCs/>
      <w:szCs w:val="24"/>
    </w:rPr>
  </w:style>
  <w:style w:type="character" w:customStyle="1" w:styleId="FormulaBoldChar">
    <w:name w:val="Formula Bold Char"/>
    <w:link w:val="FormulaBold"/>
    <w:rsid w:val="00A13FF9"/>
    <w:rPr>
      <w:rFonts w:ascii="Times New Roman" w:eastAsia="Times New Roman" w:hAnsi="Times New Roman" w:cs="Times New Roman"/>
      <w:b/>
      <w:bCs/>
      <w:sz w:val="24"/>
      <w:szCs w:val="24"/>
    </w:rPr>
  </w:style>
  <w:style w:type="paragraph" w:customStyle="1" w:styleId="Formula">
    <w:name w:val="Formula"/>
    <w:basedOn w:val="Normal"/>
    <w:link w:val="FormulaChar"/>
    <w:rsid w:val="00A13FF9"/>
    <w:pPr>
      <w:tabs>
        <w:tab w:val="left" w:pos="2160"/>
        <w:tab w:val="left" w:pos="2880"/>
      </w:tabs>
      <w:spacing w:after="240"/>
      <w:ind w:leftChars="300" w:left="300" w:hangingChars="900" w:hanging="900"/>
    </w:pPr>
    <w:rPr>
      <w:bCs/>
      <w:szCs w:val="24"/>
    </w:rPr>
  </w:style>
  <w:style w:type="paragraph" w:customStyle="1" w:styleId="BodyTextNumbered">
    <w:name w:val="Body Text Numbered"/>
    <w:basedOn w:val="BodyText"/>
    <w:link w:val="BodyTextNumberedChar"/>
    <w:rsid w:val="00A13FF9"/>
    <w:pPr>
      <w:ind w:left="720" w:hanging="720"/>
    </w:pPr>
    <w:rPr>
      <w:iCs w:val="0"/>
    </w:rPr>
  </w:style>
  <w:style w:type="paragraph" w:customStyle="1" w:styleId="tablecontents">
    <w:name w:val="table contents"/>
    <w:basedOn w:val="Normal"/>
    <w:rsid w:val="00A13FF9"/>
    <w:rPr>
      <w:sz w:val="20"/>
    </w:rPr>
  </w:style>
  <w:style w:type="paragraph" w:styleId="BalloonText">
    <w:name w:val="Balloon Text"/>
    <w:basedOn w:val="Normal"/>
    <w:link w:val="BalloonTextChar"/>
    <w:uiPriority w:val="99"/>
    <w:rsid w:val="00A13FF9"/>
    <w:rPr>
      <w:rFonts w:ascii="Tahoma" w:hAnsi="Tahoma" w:cs="Tahoma"/>
      <w:sz w:val="16"/>
      <w:szCs w:val="16"/>
    </w:rPr>
  </w:style>
  <w:style w:type="character" w:customStyle="1" w:styleId="BalloonTextChar">
    <w:name w:val="Balloon Text Char"/>
    <w:link w:val="BalloonText"/>
    <w:uiPriority w:val="99"/>
    <w:rsid w:val="00A13FF9"/>
    <w:rPr>
      <w:rFonts w:ascii="Tahoma" w:eastAsia="Times New Roman" w:hAnsi="Tahoma" w:cs="Tahoma"/>
      <w:sz w:val="16"/>
      <w:szCs w:val="16"/>
    </w:rPr>
  </w:style>
  <w:style w:type="character" w:styleId="CommentReference">
    <w:name w:val="annotation reference"/>
    <w:rsid w:val="00A13FF9"/>
    <w:rPr>
      <w:sz w:val="16"/>
      <w:szCs w:val="16"/>
    </w:rPr>
  </w:style>
  <w:style w:type="paragraph" w:styleId="CommentText">
    <w:name w:val="annotation text"/>
    <w:basedOn w:val="Normal"/>
    <w:link w:val="CommentTextChar"/>
    <w:rsid w:val="00A13FF9"/>
    <w:rPr>
      <w:sz w:val="20"/>
    </w:rPr>
  </w:style>
  <w:style w:type="character" w:customStyle="1" w:styleId="CommentTextChar">
    <w:name w:val="Comment Text Char"/>
    <w:link w:val="CommentText"/>
    <w:rsid w:val="00A13FF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rsid w:val="00A13FF9"/>
    <w:rPr>
      <w:b/>
      <w:bCs/>
    </w:rPr>
  </w:style>
  <w:style w:type="character" w:customStyle="1" w:styleId="CommentSubjectChar">
    <w:name w:val="Comment Subject Char"/>
    <w:link w:val="CommentSubject"/>
    <w:uiPriority w:val="99"/>
    <w:rsid w:val="00A13FF9"/>
    <w:rPr>
      <w:rFonts w:ascii="Times New Roman" w:eastAsia="Times New Roman" w:hAnsi="Times New Roman" w:cs="Times New Roman"/>
      <w:b/>
      <w:bCs/>
      <w:sz w:val="20"/>
      <w:szCs w:val="20"/>
    </w:rPr>
  </w:style>
  <w:style w:type="paragraph" w:customStyle="1" w:styleId="HeadSub">
    <w:name w:val="Head Sub"/>
    <w:basedOn w:val="BodyText"/>
    <w:next w:val="BodyText"/>
    <w:rsid w:val="00A13FF9"/>
    <w:pPr>
      <w:keepNext/>
      <w:spacing w:before="240"/>
    </w:pPr>
    <w:rPr>
      <w:b/>
    </w:rPr>
  </w:style>
  <w:style w:type="paragraph" w:customStyle="1" w:styleId="TableBody">
    <w:name w:val="Table Body"/>
    <w:basedOn w:val="BodyText"/>
    <w:rsid w:val="00A13FF9"/>
    <w:pPr>
      <w:spacing w:after="60"/>
    </w:pPr>
    <w:rPr>
      <w:sz w:val="20"/>
    </w:rPr>
  </w:style>
  <w:style w:type="paragraph" w:customStyle="1" w:styleId="TableHead">
    <w:name w:val="Table Head"/>
    <w:basedOn w:val="BodyText"/>
    <w:rsid w:val="00A13FF9"/>
    <w:pPr>
      <w:spacing w:after="120"/>
    </w:pPr>
    <w:rPr>
      <w:b/>
      <w:sz w:val="20"/>
    </w:rPr>
  </w:style>
  <w:style w:type="paragraph" w:styleId="DocumentMap">
    <w:name w:val="Document Map"/>
    <w:basedOn w:val="Normal"/>
    <w:link w:val="DocumentMapChar"/>
    <w:rsid w:val="00A13FF9"/>
    <w:pPr>
      <w:shd w:val="clear" w:color="auto" w:fill="000080"/>
    </w:pPr>
    <w:rPr>
      <w:rFonts w:ascii="Tahoma" w:hAnsi="Tahoma" w:cs="Tahoma"/>
      <w:sz w:val="20"/>
    </w:rPr>
  </w:style>
  <w:style w:type="character" w:customStyle="1" w:styleId="DocumentMapChar">
    <w:name w:val="Document Map Char"/>
    <w:link w:val="DocumentMap"/>
    <w:rsid w:val="00A13FF9"/>
    <w:rPr>
      <w:rFonts w:ascii="Tahoma" w:eastAsia="Times New Roman" w:hAnsi="Tahoma" w:cs="Tahoma"/>
      <w:sz w:val="20"/>
      <w:szCs w:val="20"/>
      <w:shd w:val="clear" w:color="auto" w:fill="000080"/>
    </w:rPr>
  </w:style>
  <w:style w:type="character" w:styleId="FollowedHyperlink">
    <w:name w:val="FollowedHyperlink"/>
    <w:rsid w:val="00A13FF9"/>
    <w:rPr>
      <w:color w:val="800080"/>
      <w:u w:val="single"/>
    </w:rPr>
  </w:style>
  <w:style w:type="paragraph" w:customStyle="1" w:styleId="Default">
    <w:name w:val="Default"/>
    <w:rsid w:val="00A13FF9"/>
    <w:pPr>
      <w:autoSpaceDE w:val="0"/>
      <w:autoSpaceDN w:val="0"/>
      <w:adjustRightInd w:val="0"/>
    </w:pPr>
    <w:rPr>
      <w:rFonts w:ascii="Arial" w:eastAsia="Times New Roman" w:hAnsi="Arial" w:cs="Arial"/>
      <w:color w:val="000000"/>
      <w:sz w:val="24"/>
      <w:szCs w:val="24"/>
    </w:rPr>
  </w:style>
  <w:style w:type="paragraph" w:customStyle="1" w:styleId="VariableDefinitionwide">
    <w:name w:val="Variable Definition wide"/>
    <w:basedOn w:val="Normal"/>
    <w:rsid w:val="00A13FF9"/>
    <w:pPr>
      <w:tabs>
        <w:tab w:val="left" w:pos="2160"/>
      </w:tabs>
      <w:spacing w:after="240"/>
      <w:ind w:left="4320" w:hanging="3600"/>
      <w:contextualSpacing/>
    </w:pPr>
    <w:rPr>
      <w:iCs/>
    </w:rPr>
  </w:style>
  <w:style w:type="paragraph" w:styleId="BlockText">
    <w:name w:val="Block Text"/>
    <w:basedOn w:val="Normal"/>
    <w:rsid w:val="00A13FF9"/>
    <w:pPr>
      <w:spacing w:after="120"/>
      <w:ind w:left="1440" w:right="1440"/>
    </w:pPr>
  </w:style>
  <w:style w:type="paragraph" w:styleId="NormalWeb">
    <w:name w:val="Normal (Web)"/>
    <w:basedOn w:val="Normal"/>
    <w:uiPriority w:val="99"/>
    <w:rsid w:val="00A13FF9"/>
    <w:pPr>
      <w:spacing w:before="100" w:beforeAutospacing="1" w:after="100" w:afterAutospacing="1"/>
    </w:pPr>
    <w:rPr>
      <w:szCs w:val="24"/>
    </w:rPr>
  </w:style>
  <w:style w:type="paragraph" w:customStyle="1" w:styleId="H3">
    <w:name w:val="H3"/>
    <w:basedOn w:val="Heading3"/>
    <w:next w:val="BodyText"/>
    <w:link w:val="H3Char"/>
    <w:rsid w:val="00A13FF9"/>
    <w:pPr>
      <w:numPr>
        <w:ilvl w:val="0"/>
        <w:numId w:val="0"/>
      </w:numPr>
      <w:tabs>
        <w:tab w:val="clear" w:pos="1008"/>
        <w:tab w:val="left" w:pos="1080"/>
      </w:tabs>
      <w:ind w:left="1080" w:hanging="1080"/>
    </w:pPr>
  </w:style>
  <w:style w:type="table" w:styleId="TableGrid">
    <w:name w:val="Table Grid"/>
    <w:basedOn w:val="TableNormal"/>
    <w:rsid w:val="00A13FF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2Char">
    <w:name w:val="H2 Char"/>
    <w:link w:val="H2"/>
    <w:rsid w:val="00A13FF9"/>
    <w:rPr>
      <w:rFonts w:ascii="Times New Roman" w:eastAsia="Times New Roman" w:hAnsi="Times New Roman" w:cs="Times New Roman"/>
      <w:b/>
      <w:sz w:val="24"/>
      <w:szCs w:val="20"/>
    </w:rPr>
  </w:style>
  <w:style w:type="character" w:customStyle="1" w:styleId="CharChar">
    <w:name w:val="Char Char"/>
    <w:aliases w:val="Body Text Indent Char, Char Char"/>
    <w:rsid w:val="00A13FF9"/>
    <w:rPr>
      <w:iCs/>
      <w:sz w:val="24"/>
      <w:lang w:val="en-US" w:eastAsia="en-US" w:bidi="ar-SA"/>
    </w:rPr>
  </w:style>
  <w:style w:type="paragraph" w:customStyle="1" w:styleId="NormalArial">
    <w:name w:val="Normal+Arial"/>
    <w:basedOn w:val="Normal"/>
    <w:link w:val="NormalArialChar"/>
    <w:rsid w:val="00A13FF9"/>
    <w:rPr>
      <w:rFonts w:ascii="Arial" w:hAnsi="Arial"/>
      <w:szCs w:val="24"/>
    </w:rPr>
  </w:style>
  <w:style w:type="paragraph" w:customStyle="1" w:styleId="TableBullet">
    <w:name w:val="Table Bullet"/>
    <w:basedOn w:val="TableBody"/>
    <w:rsid w:val="00A13FF9"/>
    <w:pPr>
      <w:numPr>
        <w:numId w:val="2"/>
      </w:numPr>
      <w:tabs>
        <w:tab w:val="clear" w:pos="360"/>
        <w:tab w:val="num" w:pos="1080"/>
      </w:tabs>
      <w:ind w:left="0" w:firstLine="0"/>
    </w:pPr>
  </w:style>
  <w:style w:type="character" w:customStyle="1" w:styleId="NormalArialChar">
    <w:name w:val="Normal+Arial Char"/>
    <w:link w:val="NormalArial"/>
    <w:rsid w:val="00A13FF9"/>
    <w:rPr>
      <w:rFonts w:ascii="Arial" w:eastAsia="Times New Roman" w:hAnsi="Arial" w:cs="Times New Roman"/>
      <w:sz w:val="24"/>
      <w:szCs w:val="24"/>
    </w:rPr>
  </w:style>
  <w:style w:type="character" w:customStyle="1" w:styleId="BodyTextNumberedChar">
    <w:name w:val="Body Text Numbered Char"/>
    <w:link w:val="BodyTextNumbered"/>
    <w:rsid w:val="00A13FF9"/>
    <w:rPr>
      <w:rFonts w:ascii="Times New Roman" w:eastAsia="Times New Roman" w:hAnsi="Times New Roman" w:cs="Times New Roman"/>
      <w:sz w:val="24"/>
      <w:szCs w:val="20"/>
    </w:rPr>
  </w:style>
  <w:style w:type="character" w:customStyle="1" w:styleId="BodyTextCharChar2">
    <w:name w:val="Body Text Char Char2"/>
    <w:aliases w:val=" Char Char Char Char Char Char Char Char1,Body Text Char Char Char Char Char, Char Char Char Char Char Char Char Char1 Char Char Char, Char Char Char Char Char Char1 Char"/>
    <w:rsid w:val="00A13FF9"/>
    <w:rPr>
      <w:iCs/>
      <w:sz w:val="24"/>
      <w:lang w:val="en-US" w:eastAsia="en-US" w:bidi="ar-SA"/>
    </w:rPr>
  </w:style>
  <w:style w:type="character" w:customStyle="1" w:styleId="ListChar">
    <w:name w:val="List Char"/>
    <w:aliases w:val=" Char2 Char Char Char Char Char1, Char2 Char Char, Char1 Char,Char2 Char Char Char Char Char1"/>
    <w:link w:val="List"/>
    <w:rsid w:val="00A13FF9"/>
    <w:rPr>
      <w:rFonts w:ascii="Times New Roman" w:eastAsia="Times New Roman" w:hAnsi="Times New Roman" w:cs="Times New Roman"/>
      <w:sz w:val="24"/>
      <w:szCs w:val="20"/>
    </w:rPr>
  </w:style>
  <w:style w:type="character" w:customStyle="1" w:styleId="BodyTextNumberedChar1">
    <w:name w:val="Body Text Numbered Char1"/>
    <w:rsid w:val="00A13FF9"/>
    <w:rPr>
      <w:iCs/>
      <w:sz w:val="24"/>
      <w:lang w:val="en-US" w:eastAsia="en-US" w:bidi="ar-SA"/>
    </w:rPr>
  </w:style>
  <w:style w:type="character" w:customStyle="1" w:styleId="FormulaChar">
    <w:name w:val="Formula Char"/>
    <w:link w:val="Formula"/>
    <w:rsid w:val="00A13FF9"/>
    <w:rPr>
      <w:rFonts w:ascii="Times New Roman" w:eastAsia="Times New Roman" w:hAnsi="Times New Roman" w:cs="Times New Roman"/>
      <w:bCs/>
      <w:sz w:val="24"/>
      <w:szCs w:val="24"/>
    </w:rPr>
  </w:style>
  <w:style w:type="paragraph" w:customStyle="1" w:styleId="Char3">
    <w:name w:val="Char3"/>
    <w:basedOn w:val="Normal"/>
    <w:rsid w:val="00A13FF9"/>
    <w:pPr>
      <w:spacing w:after="160" w:line="240" w:lineRule="exact"/>
    </w:pPr>
    <w:rPr>
      <w:rFonts w:ascii="Verdana" w:hAnsi="Verdana"/>
      <w:sz w:val="16"/>
    </w:rPr>
  </w:style>
  <w:style w:type="paragraph" w:customStyle="1" w:styleId="Char">
    <w:name w:val="Char"/>
    <w:basedOn w:val="Normal"/>
    <w:rsid w:val="00A13FF9"/>
    <w:pPr>
      <w:spacing w:after="160" w:line="240" w:lineRule="exact"/>
    </w:pPr>
    <w:rPr>
      <w:rFonts w:ascii="Verdana" w:hAnsi="Verdana"/>
      <w:sz w:val="16"/>
    </w:rPr>
  </w:style>
  <w:style w:type="paragraph" w:customStyle="1" w:styleId="formula0">
    <w:name w:val="formula"/>
    <w:basedOn w:val="Normal"/>
    <w:rsid w:val="00A13FF9"/>
    <w:pPr>
      <w:spacing w:after="120"/>
      <w:ind w:left="720" w:hanging="720"/>
    </w:pPr>
    <w:rPr>
      <w:szCs w:val="24"/>
    </w:rPr>
  </w:style>
  <w:style w:type="character" w:customStyle="1" w:styleId="H4Char">
    <w:name w:val="H4 Char"/>
    <w:link w:val="H4"/>
    <w:rsid w:val="00A13FF9"/>
    <w:rPr>
      <w:rFonts w:ascii="Times New Roman" w:eastAsia="Times New Roman" w:hAnsi="Times New Roman" w:cs="Times New Roman"/>
      <w:b/>
      <w:bCs/>
      <w:snapToGrid w:val="0"/>
      <w:sz w:val="24"/>
      <w:szCs w:val="20"/>
    </w:rPr>
  </w:style>
  <w:style w:type="paragraph" w:customStyle="1" w:styleId="tablebody0">
    <w:name w:val="tablebody"/>
    <w:basedOn w:val="Normal"/>
    <w:rsid w:val="00A13FF9"/>
    <w:pPr>
      <w:spacing w:after="60"/>
    </w:pPr>
    <w:rPr>
      <w:sz w:val="20"/>
    </w:rPr>
  </w:style>
  <w:style w:type="paragraph" w:customStyle="1" w:styleId="Instructions">
    <w:name w:val="Instructions"/>
    <w:basedOn w:val="BodyText"/>
    <w:link w:val="InstructionsChar"/>
    <w:rsid w:val="00A13FF9"/>
    <w:rPr>
      <w:b/>
      <w:i/>
      <w:szCs w:val="24"/>
    </w:rPr>
  </w:style>
  <w:style w:type="character" w:customStyle="1" w:styleId="InstructionsChar">
    <w:name w:val="Instructions Char"/>
    <w:link w:val="Instructions"/>
    <w:rsid w:val="00A13FF9"/>
    <w:rPr>
      <w:rFonts w:ascii="Times New Roman" w:eastAsia="Times New Roman" w:hAnsi="Times New Roman" w:cs="Times New Roman"/>
      <w:b/>
      <w:i/>
      <w:iCs/>
      <w:sz w:val="24"/>
      <w:szCs w:val="24"/>
    </w:rPr>
  </w:style>
  <w:style w:type="paragraph" w:customStyle="1" w:styleId="Char4">
    <w:name w:val="Char4"/>
    <w:basedOn w:val="Normal"/>
    <w:rsid w:val="00A13FF9"/>
    <w:pPr>
      <w:spacing w:after="160" w:line="240" w:lineRule="exact"/>
    </w:pPr>
    <w:rPr>
      <w:rFonts w:ascii="Verdana" w:hAnsi="Verdana"/>
      <w:sz w:val="16"/>
    </w:rPr>
  </w:style>
  <w:style w:type="paragraph" w:customStyle="1" w:styleId="TXUHeader">
    <w:name w:val="TXUHeader"/>
    <w:basedOn w:val="Normal"/>
    <w:rsid w:val="00A13FF9"/>
    <w:pPr>
      <w:tabs>
        <w:tab w:val="right" w:pos="9360"/>
      </w:tabs>
    </w:pPr>
    <w:rPr>
      <w:noProof/>
      <w:sz w:val="16"/>
    </w:rPr>
  </w:style>
  <w:style w:type="paragraph" w:customStyle="1" w:styleId="Char32">
    <w:name w:val="Char32"/>
    <w:basedOn w:val="Normal"/>
    <w:rsid w:val="00A13FF9"/>
    <w:pPr>
      <w:spacing w:after="160" w:line="240" w:lineRule="exact"/>
    </w:pPr>
    <w:rPr>
      <w:rFonts w:ascii="Verdana" w:hAnsi="Verdana"/>
      <w:sz w:val="16"/>
    </w:rPr>
  </w:style>
  <w:style w:type="paragraph" w:customStyle="1" w:styleId="Char31">
    <w:name w:val="Char31"/>
    <w:basedOn w:val="Normal"/>
    <w:rsid w:val="00A13FF9"/>
    <w:pPr>
      <w:spacing w:after="160" w:line="240" w:lineRule="exact"/>
    </w:pPr>
    <w:rPr>
      <w:rFonts w:ascii="Verdana" w:hAnsi="Verdana"/>
      <w:sz w:val="16"/>
    </w:rPr>
  </w:style>
  <w:style w:type="character" w:customStyle="1" w:styleId="H5Char">
    <w:name w:val="H5 Char"/>
    <w:link w:val="H5"/>
    <w:rsid w:val="00A13FF9"/>
    <w:rPr>
      <w:rFonts w:ascii="Times New Roman" w:eastAsia="Times New Roman" w:hAnsi="Times New Roman" w:cs="Times New Roman"/>
      <w:b/>
      <w:bCs/>
      <w:i/>
      <w:iCs/>
      <w:sz w:val="24"/>
      <w:szCs w:val="26"/>
    </w:rPr>
  </w:style>
  <w:style w:type="paragraph" w:customStyle="1" w:styleId="TableBulletBullet">
    <w:name w:val="Table Bullet/Bullet"/>
    <w:basedOn w:val="Normal"/>
    <w:rsid w:val="00A13FF9"/>
    <w:pPr>
      <w:numPr>
        <w:numId w:val="3"/>
      </w:numPr>
    </w:pPr>
  </w:style>
  <w:style w:type="paragraph" w:customStyle="1" w:styleId="Char1">
    <w:name w:val="Char1"/>
    <w:basedOn w:val="Normal"/>
    <w:rsid w:val="00A13FF9"/>
    <w:pPr>
      <w:spacing w:after="160" w:line="240" w:lineRule="exact"/>
    </w:pPr>
    <w:rPr>
      <w:rFonts w:ascii="Verdana" w:hAnsi="Verdana"/>
      <w:sz w:val="16"/>
    </w:rPr>
  </w:style>
  <w:style w:type="paragraph" w:customStyle="1" w:styleId="Char11">
    <w:name w:val="Char11"/>
    <w:basedOn w:val="Normal"/>
    <w:rsid w:val="00A13FF9"/>
    <w:pPr>
      <w:spacing w:after="160" w:line="240" w:lineRule="exact"/>
    </w:pPr>
    <w:rPr>
      <w:rFonts w:ascii="Verdana" w:hAnsi="Verdana"/>
      <w:sz w:val="16"/>
    </w:rPr>
  </w:style>
  <w:style w:type="paragraph" w:styleId="Revision">
    <w:name w:val="Revision"/>
    <w:hidden/>
    <w:uiPriority w:val="99"/>
    <w:rsid w:val="00A13FF9"/>
    <w:rPr>
      <w:rFonts w:ascii="Times New Roman" w:eastAsia="Times New Roman" w:hAnsi="Times New Roman"/>
      <w:sz w:val="24"/>
    </w:rPr>
  </w:style>
  <w:style w:type="character" w:customStyle="1" w:styleId="H3Char">
    <w:name w:val="H3 Char"/>
    <w:link w:val="H3"/>
    <w:rsid w:val="00A13FF9"/>
    <w:rPr>
      <w:rFonts w:ascii="Times New Roman" w:eastAsia="Times New Roman" w:hAnsi="Times New Roman" w:cs="Times New Roman"/>
      <w:b/>
      <w:bCs/>
      <w:i/>
      <w:sz w:val="24"/>
      <w:szCs w:val="20"/>
    </w:rPr>
  </w:style>
  <w:style w:type="table" w:customStyle="1" w:styleId="BoxedLanguage">
    <w:name w:val="Boxed Language"/>
    <w:basedOn w:val="TableNormal"/>
    <w:rsid w:val="00A13FF9"/>
    <w:rPr>
      <w:rFonts w:ascii="Times New Roman" w:eastAsia="Times New Roman" w:hAnsi="Times New Roma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TXUSubject">
    <w:name w:val="TXUSubject"/>
    <w:basedOn w:val="Normal"/>
    <w:next w:val="Normal"/>
    <w:rsid w:val="00A13FF9"/>
    <w:pPr>
      <w:spacing w:after="240"/>
    </w:pPr>
    <w:rPr>
      <w:b/>
      <w:sz w:val="20"/>
    </w:rPr>
  </w:style>
  <w:style w:type="table" w:customStyle="1" w:styleId="FormulaVariableTable">
    <w:name w:val="Formula Variable Table"/>
    <w:basedOn w:val="TableNormal"/>
    <w:rsid w:val="00A13FF9"/>
    <w:rPr>
      <w:rFonts w:ascii="Times New Roman" w:eastAsia="Times New Roman" w:hAnsi="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character" w:customStyle="1" w:styleId="ListChar1">
    <w:name w:val="List Char1"/>
    <w:aliases w:val=" Char2 Char Char Char Char Char, Char2 Char Char1,Char1 Char1"/>
    <w:uiPriority w:val="99"/>
    <w:rsid w:val="00A13FF9"/>
    <w:rPr>
      <w:sz w:val="24"/>
    </w:rPr>
  </w:style>
  <w:style w:type="character" w:customStyle="1" w:styleId="H6Char">
    <w:name w:val="H6 Char"/>
    <w:link w:val="H6"/>
    <w:rsid w:val="00A13FF9"/>
    <w:rPr>
      <w:rFonts w:ascii="Times New Roman" w:eastAsia="Times New Roman" w:hAnsi="Times New Roman" w:cs="Times New Roman"/>
      <w:b/>
      <w:bCs/>
      <w:sz w:val="24"/>
    </w:rPr>
  </w:style>
  <w:style w:type="paragraph" w:customStyle="1" w:styleId="ColorfulList-Accent11">
    <w:name w:val="Colorful List - Accent 11"/>
    <w:basedOn w:val="Normal"/>
    <w:qFormat/>
    <w:rsid w:val="000169BA"/>
    <w:pPr>
      <w:ind w:left="720"/>
      <w:contextualSpacing/>
    </w:pPr>
    <w:rPr>
      <w:szCs w:val="24"/>
    </w:rPr>
  </w:style>
  <w:style w:type="paragraph" w:styleId="ListParagraph">
    <w:name w:val="List Paragraph"/>
    <w:basedOn w:val="Normal"/>
    <w:uiPriority w:val="34"/>
    <w:qFormat/>
    <w:rsid w:val="000169BA"/>
    <w:pPr>
      <w:ind w:left="720"/>
      <w:contextualSpacing/>
    </w:pPr>
    <w:rPr>
      <w:szCs w:val="24"/>
    </w:rPr>
  </w:style>
  <w:style w:type="character" w:customStyle="1" w:styleId="msoins0">
    <w:name w:val="msoins"/>
    <w:rsid w:val="00C61B40"/>
  </w:style>
  <w:style w:type="paragraph" w:styleId="HTMLAddress">
    <w:name w:val="HTML Address"/>
    <w:basedOn w:val="Normal"/>
    <w:link w:val="HTMLAddressChar"/>
    <w:unhideWhenUsed/>
    <w:rsid w:val="00773B28"/>
    <w:rPr>
      <w:i/>
      <w:iCs/>
    </w:rPr>
  </w:style>
  <w:style w:type="character" w:customStyle="1" w:styleId="HTMLAddressChar">
    <w:name w:val="HTML Address Char"/>
    <w:basedOn w:val="DefaultParagraphFont"/>
    <w:link w:val="HTMLAddress"/>
    <w:rsid w:val="00773B28"/>
    <w:rPr>
      <w:rFonts w:ascii="Times New Roman" w:eastAsia="Times New Roman" w:hAnsi="Times New Roman"/>
      <w:i/>
      <w:iCs/>
      <w:sz w:val="24"/>
    </w:rPr>
  </w:style>
  <w:style w:type="character" w:customStyle="1" w:styleId="Heading1Char1">
    <w:name w:val="Heading 1 Char1"/>
    <w:aliases w:val="h1 Char1"/>
    <w:basedOn w:val="DefaultParagraphFont"/>
    <w:rsid w:val="00773B28"/>
    <w:rPr>
      <w:rFonts w:asciiTheme="majorHAnsi" w:eastAsiaTheme="majorEastAsia" w:hAnsiTheme="majorHAnsi" w:cstheme="majorBidi"/>
      <w:color w:val="2E74B5" w:themeColor="accent1" w:themeShade="BF"/>
      <w:sz w:val="32"/>
      <w:szCs w:val="32"/>
    </w:rPr>
  </w:style>
  <w:style w:type="character" w:customStyle="1" w:styleId="Heading2Char1">
    <w:name w:val="Heading 2 Char1"/>
    <w:aliases w:val="h2 Char1"/>
    <w:basedOn w:val="DefaultParagraphFont"/>
    <w:semiHidden/>
    <w:rsid w:val="00773B28"/>
    <w:rPr>
      <w:rFonts w:asciiTheme="majorHAnsi" w:eastAsiaTheme="majorEastAsia" w:hAnsiTheme="majorHAnsi" w:cstheme="majorBidi"/>
      <w:color w:val="2E74B5" w:themeColor="accent1" w:themeShade="BF"/>
      <w:sz w:val="26"/>
      <w:szCs w:val="26"/>
    </w:rPr>
  </w:style>
  <w:style w:type="character" w:customStyle="1" w:styleId="Heading3Char1">
    <w:name w:val="Heading 3 Char1"/>
    <w:aliases w:val="h3 Char1"/>
    <w:basedOn w:val="DefaultParagraphFont"/>
    <w:semiHidden/>
    <w:rsid w:val="00773B28"/>
    <w:rPr>
      <w:rFonts w:asciiTheme="majorHAnsi" w:eastAsiaTheme="majorEastAsia" w:hAnsiTheme="majorHAnsi" w:cstheme="majorBidi"/>
      <w:color w:val="1F4D78" w:themeColor="accent1" w:themeShade="7F"/>
      <w:sz w:val="24"/>
      <w:szCs w:val="24"/>
    </w:rPr>
  </w:style>
  <w:style w:type="character" w:customStyle="1" w:styleId="Heading4Char1">
    <w:name w:val="Heading 4 Char1"/>
    <w:aliases w:val="h4 Char1,delete Char1"/>
    <w:basedOn w:val="DefaultParagraphFont"/>
    <w:semiHidden/>
    <w:rsid w:val="00773B28"/>
    <w:rPr>
      <w:rFonts w:asciiTheme="majorHAnsi" w:eastAsiaTheme="majorEastAsia" w:hAnsiTheme="majorHAnsi" w:cstheme="majorBidi"/>
      <w:i/>
      <w:iCs/>
      <w:color w:val="2E74B5" w:themeColor="accent1" w:themeShade="BF"/>
      <w:sz w:val="24"/>
      <w:szCs w:val="24"/>
    </w:rPr>
  </w:style>
  <w:style w:type="character" w:customStyle="1" w:styleId="Heading5Char1">
    <w:name w:val="Heading 5 Char1"/>
    <w:aliases w:val="h5 Char1"/>
    <w:basedOn w:val="DefaultParagraphFont"/>
    <w:semiHidden/>
    <w:rsid w:val="00773B28"/>
    <w:rPr>
      <w:rFonts w:asciiTheme="majorHAnsi" w:eastAsiaTheme="majorEastAsia" w:hAnsiTheme="majorHAnsi" w:cstheme="majorBidi"/>
      <w:color w:val="2E74B5" w:themeColor="accent1" w:themeShade="BF"/>
      <w:sz w:val="24"/>
      <w:szCs w:val="24"/>
    </w:rPr>
  </w:style>
  <w:style w:type="character" w:customStyle="1" w:styleId="Heading6Char1">
    <w:name w:val="Heading 6 Char1"/>
    <w:aliases w:val="h6 Char1"/>
    <w:basedOn w:val="DefaultParagraphFont"/>
    <w:semiHidden/>
    <w:rsid w:val="00773B28"/>
    <w:rPr>
      <w:rFonts w:asciiTheme="majorHAnsi" w:eastAsiaTheme="majorEastAsia" w:hAnsiTheme="majorHAnsi" w:cstheme="majorBidi"/>
      <w:color w:val="1F4D78" w:themeColor="accent1" w:themeShade="7F"/>
      <w:sz w:val="24"/>
      <w:szCs w:val="24"/>
    </w:rPr>
  </w:style>
  <w:style w:type="paragraph" w:styleId="HTMLPreformatted">
    <w:name w:val="HTML Preformatted"/>
    <w:basedOn w:val="Normal"/>
    <w:link w:val="HTMLPreformattedChar"/>
    <w:unhideWhenUsed/>
    <w:rsid w:val="00773B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rsid w:val="00773B28"/>
    <w:rPr>
      <w:rFonts w:ascii="Courier New" w:eastAsia="Times New Roman" w:hAnsi="Courier New" w:cs="Courier New"/>
    </w:rPr>
  </w:style>
  <w:style w:type="paragraph" w:styleId="Index1">
    <w:name w:val="index 1"/>
    <w:basedOn w:val="Normal"/>
    <w:next w:val="Normal"/>
    <w:autoRedefine/>
    <w:unhideWhenUsed/>
    <w:rsid w:val="00773B28"/>
    <w:pPr>
      <w:ind w:left="240" w:hanging="240"/>
    </w:pPr>
  </w:style>
  <w:style w:type="paragraph" w:styleId="Index2">
    <w:name w:val="index 2"/>
    <w:basedOn w:val="Normal"/>
    <w:next w:val="Normal"/>
    <w:autoRedefine/>
    <w:unhideWhenUsed/>
    <w:rsid w:val="00773B28"/>
    <w:pPr>
      <w:ind w:left="480" w:hanging="240"/>
    </w:pPr>
  </w:style>
  <w:style w:type="paragraph" w:styleId="Index3">
    <w:name w:val="index 3"/>
    <w:basedOn w:val="Normal"/>
    <w:next w:val="Normal"/>
    <w:autoRedefine/>
    <w:unhideWhenUsed/>
    <w:rsid w:val="00773B28"/>
    <w:pPr>
      <w:ind w:left="720" w:hanging="240"/>
    </w:pPr>
  </w:style>
  <w:style w:type="paragraph" w:styleId="Index4">
    <w:name w:val="index 4"/>
    <w:basedOn w:val="Normal"/>
    <w:next w:val="Normal"/>
    <w:autoRedefine/>
    <w:unhideWhenUsed/>
    <w:rsid w:val="00773B28"/>
    <w:pPr>
      <w:ind w:left="960" w:hanging="240"/>
    </w:pPr>
  </w:style>
  <w:style w:type="paragraph" w:styleId="Index5">
    <w:name w:val="index 5"/>
    <w:basedOn w:val="Normal"/>
    <w:next w:val="Normal"/>
    <w:autoRedefine/>
    <w:unhideWhenUsed/>
    <w:rsid w:val="00773B28"/>
    <w:pPr>
      <w:ind w:left="1200" w:hanging="240"/>
    </w:pPr>
  </w:style>
  <w:style w:type="paragraph" w:styleId="Index6">
    <w:name w:val="index 6"/>
    <w:basedOn w:val="Normal"/>
    <w:next w:val="Normal"/>
    <w:autoRedefine/>
    <w:unhideWhenUsed/>
    <w:rsid w:val="00773B28"/>
    <w:pPr>
      <w:ind w:left="1440" w:hanging="240"/>
    </w:pPr>
  </w:style>
  <w:style w:type="paragraph" w:styleId="Index7">
    <w:name w:val="index 7"/>
    <w:basedOn w:val="Normal"/>
    <w:next w:val="Normal"/>
    <w:autoRedefine/>
    <w:unhideWhenUsed/>
    <w:rsid w:val="00773B28"/>
    <w:pPr>
      <w:ind w:left="1680" w:hanging="240"/>
    </w:pPr>
  </w:style>
  <w:style w:type="paragraph" w:styleId="Index8">
    <w:name w:val="index 8"/>
    <w:basedOn w:val="Normal"/>
    <w:next w:val="Normal"/>
    <w:autoRedefine/>
    <w:unhideWhenUsed/>
    <w:rsid w:val="00773B28"/>
    <w:pPr>
      <w:ind w:left="1920" w:hanging="240"/>
    </w:pPr>
  </w:style>
  <w:style w:type="paragraph" w:styleId="Index9">
    <w:name w:val="index 9"/>
    <w:basedOn w:val="Normal"/>
    <w:next w:val="Normal"/>
    <w:autoRedefine/>
    <w:unhideWhenUsed/>
    <w:rsid w:val="00773B28"/>
    <w:pPr>
      <w:ind w:left="2160" w:hanging="240"/>
    </w:pPr>
  </w:style>
  <w:style w:type="paragraph" w:styleId="NormalIndent">
    <w:name w:val="Normal Indent"/>
    <w:basedOn w:val="Normal"/>
    <w:unhideWhenUsed/>
    <w:rsid w:val="00773B28"/>
    <w:pPr>
      <w:ind w:left="720"/>
    </w:pPr>
  </w:style>
  <w:style w:type="paragraph" w:styleId="IndexHeading">
    <w:name w:val="index heading"/>
    <w:basedOn w:val="Normal"/>
    <w:next w:val="Index1"/>
    <w:unhideWhenUsed/>
    <w:rsid w:val="00773B28"/>
    <w:rPr>
      <w:rFonts w:ascii="Arial" w:hAnsi="Arial" w:cs="Arial"/>
      <w:b/>
      <w:bCs/>
    </w:rPr>
  </w:style>
  <w:style w:type="paragraph" w:styleId="Caption">
    <w:name w:val="caption"/>
    <w:basedOn w:val="Normal"/>
    <w:next w:val="Normal"/>
    <w:unhideWhenUsed/>
    <w:qFormat/>
    <w:rsid w:val="00773B28"/>
    <w:rPr>
      <w:b/>
      <w:bCs/>
      <w:sz w:val="20"/>
    </w:rPr>
  </w:style>
  <w:style w:type="paragraph" w:styleId="TableofFigures">
    <w:name w:val="table of figures"/>
    <w:basedOn w:val="Normal"/>
    <w:next w:val="Normal"/>
    <w:unhideWhenUsed/>
    <w:rsid w:val="00773B28"/>
  </w:style>
  <w:style w:type="paragraph" w:styleId="EnvelopeAddress">
    <w:name w:val="envelope address"/>
    <w:basedOn w:val="Normal"/>
    <w:unhideWhenUsed/>
    <w:rsid w:val="00773B28"/>
    <w:pPr>
      <w:framePr w:w="7920" w:h="1980" w:hSpace="180" w:wrap="auto" w:hAnchor="page" w:xAlign="center" w:yAlign="bottom"/>
      <w:ind w:left="2880"/>
    </w:pPr>
    <w:rPr>
      <w:rFonts w:ascii="Arial" w:hAnsi="Arial" w:cs="Arial"/>
      <w:szCs w:val="24"/>
    </w:rPr>
  </w:style>
  <w:style w:type="paragraph" w:styleId="EnvelopeReturn">
    <w:name w:val="envelope return"/>
    <w:basedOn w:val="Normal"/>
    <w:unhideWhenUsed/>
    <w:rsid w:val="00773B28"/>
    <w:rPr>
      <w:rFonts w:ascii="Arial" w:hAnsi="Arial" w:cs="Arial"/>
      <w:sz w:val="20"/>
    </w:rPr>
  </w:style>
  <w:style w:type="paragraph" w:styleId="EndnoteText">
    <w:name w:val="endnote text"/>
    <w:basedOn w:val="Normal"/>
    <w:link w:val="EndnoteTextChar"/>
    <w:unhideWhenUsed/>
    <w:rsid w:val="00773B28"/>
    <w:rPr>
      <w:sz w:val="20"/>
    </w:rPr>
  </w:style>
  <w:style w:type="character" w:customStyle="1" w:styleId="EndnoteTextChar">
    <w:name w:val="Endnote Text Char"/>
    <w:basedOn w:val="DefaultParagraphFont"/>
    <w:link w:val="EndnoteText"/>
    <w:rsid w:val="00773B28"/>
    <w:rPr>
      <w:rFonts w:ascii="Times New Roman" w:eastAsia="Times New Roman" w:hAnsi="Times New Roman"/>
    </w:rPr>
  </w:style>
  <w:style w:type="paragraph" w:styleId="TableofAuthorities">
    <w:name w:val="table of authorities"/>
    <w:basedOn w:val="Normal"/>
    <w:next w:val="Normal"/>
    <w:unhideWhenUsed/>
    <w:rsid w:val="00773B28"/>
    <w:pPr>
      <w:ind w:left="240" w:hanging="240"/>
    </w:pPr>
  </w:style>
  <w:style w:type="paragraph" w:styleId="MacroText">
    <w:name w:val="macro"/>
    <w:link w:val="MacroTextChar"/>
    <w:unhideWhenUsed/>
    <w:rsid w:val="00773B28"/>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rPr>
  </w:style>
  <w:style w:type="character" w:customStyle="1" w:styleId="MacroTextChar">
    <w:name w:val="Macro Text Char"/>
    <w:basedOn w:val="DefaultParagraphFont"/>
    <w:link w:val="MacroText"/>
    <w:rsid w:val="00773B28"/>
    <w:rPr>
      <w:rFonts w:ascii="Courier New" w:eastAsia="Times New Roman" w:hAnsi="Courier New" w:cs="Courier New"/>
    </w:rPr>
  </w:style>
  <w:style w:type="paragraph" w:styleId="TOAHeading">
    <w:name w:val="toa heading"/>
    <w:basedOn w:val="Normal"/>
    <w:next w:val="Normal"/>
    <w:unhideWhenUsed/>
    <w:rsid w:val="00773B28"/>
    <w:pPr>
      <w:spacing w:before="120"/>
    </w:pPr>
    <w:rPr>
      <w:rFonts w:ascii="Arial" w:hAnsi="Arial" w:cs="Arial"/>
      <w:b/>
      <w:bCs/>
      <w:szCs w:val="24"/>
    </w:rPr>
  </w:style>
  <w:style w:type="paragraph" w:styleId="ListBullet">
    <w:name w:val="List Bullet"/>
    <w:basedOn w:val="Normal"/>
    <w:unhideWhenUsed/>
    <w:rsid w:val="00773B28"/>
    <w:pPr>
      <w:tabs>
        <w:tab w:val="num" w:pos="360"/>
      </w:tabs>
      <w:ind w:left="360" w:hanging="360"/>
    </w:pPr>
  </w:style>
  <w:style w:type="paragraph" w:styleId="ListNumber">
    <w:name w:val="List Number"/>
    <w:basedOn w:val="Normal"/>
    <w:unhideWhenUsed/>
    <w:rsid w:val="00773B28"/>
    <w:pPr>
      <w:tabs>
        <w:tab w:val="num" w:pos="360"/>
      </w:tabs>
      <w:ind w:left="360" w:hanging="360"/>
    </w:pPr>
  </w:style>
  <w:style w:type="character" w:customStyle="1" w:styleId="List2Char">
    <w:name w:val="List 2 Char"/>
    <w:aliases w:val="Char2 Char,Char2 Char Char Char, Char2 Char1"/>
    <w:link w:val="List2"/>
    <w:locked/>
    <w:rsid w:val="00773B28"/>
    <w:rPr>
      <w:rFonts w:ascii="Times New Roman" w:eastAsia="Times New Roman" w:hAnsi="Times New Roman"/>
      <w:sz w:val="24"/>
    </w:rPr>
  </w:style>
  <w:style w:type="paragraph" w:styleId="List4">
    <w:name w:val="List 4"/>
    <w:basedOn w:val="Normal"/>
    <w:unhideWhenUsed/>
    <w:rsid w:val="00773B28"/>
    <w:pPr>
      <w:ind w:left="1440" w:hanging="360"/>
    </w:pPr>
  </w:style>
  <w:style w:type="paragraph" w:styleId="List5">
    <w:name w:val="List 5"/>
    <w:basedOn w:val="Normal"/>
    <w:unhideWhenUsed/>
    <w:rsid w:val="00773B28"/>
    <w:pPr>
      <w:ind w:left="1800" w:hanging="360"/>
    </w:pPr>
  </w:style>
  <w:style w:type="paragraph" w:styleId="ListBullet2">
    <w:name w:val="List Bullet 2"/>
    <w:basedOn w:val="Normal"/>
    <w:unhideWhenUsed/>
    <w:rsid w:val="00773B28"/>
    <w:pPr>
      <w:tabs>
        <w:tab w:val="num" w:pos="720"/>
      </w:tabs>
      <w:ind w:left="720" w:hanging="360"/>
    </w:pPr>
  </w:style>
  <w:style w:type="paragraph" w:styleId="ListBullet3">
    <w:name w:val="List Bullet 3"/>
    <w:basedOn w:val="Normal"/>
    <w:unhideWhenUsed/>
    <w:rsid w:val="00773B28"/>
    <w:pPr>
      <w:tabs>
        <w:tab w:val="num" w:pos="1080"/>
      </w:tabs>
      <w:ind w:left="1080" w:hanging="360"/>
    </w:pPr>
  </w:style>
  <w:style w:type="paragraph" w:styleId="ListBullet4">
    <w:name w:val="List Bullet 4"/>
    <w:basedOn w:val="Normal"/>
    <w:unhideWhenUsed/>
    <w:rsid w:val="00773B28"/>
    <w:pPr>
      <w:tabs>
        <w:tab w:val="num" w:pos="1440"/>
      </w:tabs>
      <w:ind w:left="1440" w:hanging="360"/>
    </w:pPr>
  </w:style>
  <w:style w:type="paragraph" w:styleId="ListBullet5">
    <w:name w:val="List Bullet 5"/>
    <w:basedOn w:val="Normal"/>
    <w:unhideWhenUsed/>
    <w:rsid w:val="00773B28"/>
    <w:pPr>
      <w:tabs>
        <w:tab w:val="num" w:pos="1800"/>
      </w:tabs>
      <w:ind w:left="1800" w:hanging="360"/>
    </w:pPr>
  </w:style>
  <w:style w:type="paragraph" w:styleId="ListNumber2">
    <w:name w:val="List Number 2"/>
    <w:basedOn w:val="Normal"/>
    <w:unhideWhenUsed/>
    <w:rsid w:val="00773B28"/>
    <w:pPr>
      <w:tabs>
        <w:tab w:val="num" w:pos="720"/>
      </w:tabs>
      <w:ind w:left="720" w:hanging="360"/>
    </w:pPr>
  </w:style>
  <w:style w:type="paragraph" w:styleId="ListNumber3">
    <w:name w:val="List Number 3"/>
    <w:basedOn w:val="Normal"/>
    <w:unhideWhenUsed/>
    <w:rsid w:val="00773B28"/>
    <w:pPr>
      <w:tabs>
        <w:tab w:val="num" w:pos="1080"/>
      </w:tabs>
      <w:ind w:left="1080" w:hanging="360"/>
    </w:pPr>
  </w:style>
  <w:style w:type="paragraph" w:styleId="ListNumber4">
    <w:name w:val="List Number 4"/>
    <w:basedOn w:val="Normal"/>
    <w:unhideWhenUsed/>
    <w:rsid w:val="00773B28"/>
    <w:pPr>
      <w:tabs>
        <w:tab w:val="num" w:pos="1440"/>
      </w:tabs>
      <w:ind w:left="1440" w:hanging="360"/>
    </w:pPr>
  </w:style>
  <w:style w:type="paragraph" w:styleId="ListNumber5">
    <w:name w:val="List Number 5"/>
    <w:basedOn w:val="Normal"/>
    <w:unhideWhenUsed/>
    <w:rsid w:val="00773B28"/>
    <w:pPr>
      <w:tabs>
        <w:tab w:val="num" w:pos="1800"/>
      </w:tabs>
      <w:ind w:left="1800" w:hanging="360"/>
    </w:pPr>
  </w:style>
  <w:style w:type="paragraph" w:styleId="Title">
    <w:name w:val="Title"/>
    <w:basedOn w:val="Normal"/>
    <w:link w:val="TitleChar"/>
    <w:qFormat/>
    <w:rsid w:val="00773B28"/>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773B28"/>
    <w:rPr>
      <w:rFonts w:ascii="Arial" w:eastAsia="Times New Roman" w:hAnsi="Arial" w:cs="Arial"/>
      <w:b/>
      <w:bCs/>
      <w:kern w:val="28"/>
      <w:sz w:val="32"/>
      <w:szCs w:val="32"/>
    </w:rPr>
  </w:style>
  <w:style w:type="paragraph" w:styleId="Closing">
    <w:name w:val="Closing"/>
    <w:basedOn w:val="Normal"/>
    <w:link w:val="ClosingChar"/>
    <w:unhideWhenUsed/>
    <w:rsid w:val="00773B28"/>
    <w:pPr>
      <w:ind w:left="4320"/>
    </w:pPr>
  </w:style>
  <w:style w:type="character" w:customStyle="1" w:styleId="ClosingChar">
    <w:name w:val="Closing Char"/>
    <w:basedOn w:val="DefaultParagraphFont"/>
    <w:link w:val="Closing"/>
    <w:rsid w:val="00773B28"/>
    <w:rPr>
      <w:rFonts w:ascii="Times New Roman" w:eastAsia="Times New Roman" w:hAnsi="Times New Roman"/>
      <w:sz w:val="24"/>
    </w:rPr>
  </w:style>
  <w:style w:type="paragraph" w:styleId="Signature">
    <w:name w:val="Signature"/>
    <w:basedOn w:val="Normal"/>
    <w:link w:val="SignatureChar"/>
    <w:unhideWhenUsed/>
    <w:rsid w:val="00773B28"/>
    <w:pPr>
      <w:ind w:left="4320"/>
    </w:pPr>
  </w:style>
  <w:style w:type="character" w:customStyle="1" w:styleId="SignatureChar">
    <w:name w:val="Signature Char"/>
    <w:basedOn w:val="DefaultParagraphFont"/>
    <w:link w:val="Signature"/>
    <w:rsid w:val="00773B28"/>
    <w:rPr>
      <w:rFonts w:ascii="Times New Roman" w:eastAsia="Times New Roman" w:hAnsi="Times New Roman"/>
      <w:sz w:val="24"/>
    </w:rPr>
  </w:style>
  <w:style w:type="paragraph" w:styleId="BodyTextIndent">
    <w:name w:val="Body Text Indent"/>
    <w:aliases w:val=" Char"/>
    <w:basedOn w:val="Normal"/>
    <w:link w:val="BodyTextIndentChar1"/>
    <w:unhideWhenUsed/>
    <w:rsid w:val="00773B28"/>
    <w:pPr>
      <w:spacing w:after="160" w:line="240" w:lineRule="exact"/>
    </w:pPr>
    <w:rPr>
      <w:rFonts w:ascii="Verdana" w:hAnsi="Verdana"/>
      <w:sz w:val="16"/>
    </w:rPr>
  </w:style>
  <w:style w:type="character" w:customStyle="1" w:styleId="BodyTextIndentChar1">
    <w:name w:val="Body Text Indent Char1"/>
    <w:aliases w:val=" Char Char1"/>
    <w:basedOn w:val="DefaultParagraphFont"/>
    <w:link w:val="BodyTextIndent"/>
    <w:uiPriority w:val="99"/>
    <w:rsid w:val="00773B28"/>
    <w:rPr>
      <w:rFonts w:ascii="Verdana" w:eastAsia="Times New Roman" w:hAnsi="Verdana"/>
      <w:sz w:val="16"/>
    </w:rPr>
  </w:style>
  <w:style w:type="paragraph" w:styleId="ListContinue">
    <w:name w:val="List Continue"/>
    <w:basedOn w:val="Normal"/>
    <w:unhideWhenUsed/>
    <w:rsid w:val="00773B28"/>
    <w:pPr>
      <w:spacing w:after="120"/>
      <w:ind w:left="360"/>
    </w:pPr>
  </w:style>
  <w:style w:type="paragraph" w:styleId="ListContinue2">
    <w:name w:val="List Continue 2"/>
    <w:basedOn w:val="Normal"/>
    <w:unhideWhenUsed/>
    <w:rsid w:val="00773B28"/>
    <w:pPr>
      <w:spacing w:after="120"/>
      <w:ind w:left="720"/>
    </w:pPr>
  </w:style>
  <w:style w:type="paragraph" w:styleId="ListContinue3">
    <w:name w:val="List Continue 3"/>
    <w:basedOn w:val="Normal"/>
    <w:unhideWhenUsed/>
    <w:rsid w:val="00773B28"/>
    <w:pPr>
      <w:spacing w:after="120"/>
      <w:ind w:left="1080"/>
    </w:pPr>
  </w:style>
  <w:style w:type="paragraph" w:styleId="ListContinue4">
    <w:name w:val="List Continue 4"/>
    <w:basedOn w:val="Normal"/>
    <w:unhideWhenUsed/>
    <w:rsid w:val="00773B28"/>
    <w:pPr>
      <w:spacing w:after="120"/>
      <w:ind w:left="1440"/>
    </w:pPr>
  </w:style>
  <w:style w:type="paragraph" w:styleId="ListContinue5">
    <w:name w:val="List Continue 5"/>
    <w:basedOn w:val="Normal"/>
    <w:unhideWhenUsed/>
    <w:rsid w:val="00773B28"/>
    <w:pPr>
      <w:spacing w:after="120"/>
      <w:ind w:left="1800"/>
    </w:pPr>
  </w:style>
  <w:style w:type="paragraph" w:styleId="MessageHeader">
    <w:name w:val="Message Header"/>
    <w:basedOn w:val="Normal"/>
    <w:link w:val="MessageHeaderChar"/>
    <w:unhideWhenUsed/>
    <w:rsid w:val="00773B28"/>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character" w:customStyle="1" w:styleId="MessageHeaderChar">
    <w:name w:val="Message Header Char"/>
    <w:basedOn w:val="DefaultParagraphFont"/>
    <w:link w:val="MessageHeader"/>
    <w:rsid w:val="00773B28"/>
    <w:rPr>
      <w:rFonts w:ascii="Arial" w:eastAsia="Times New Roman" w:hAnsi="Arial" w:cs="Arial"/>
      <w:sz w:val="24"/>
      <w:szCs w:val="24"/>
      <w:shd w:val="pct20" w:color="auto" w:fill="auto"/>
    </w:rPr>
  </w:style>
  <w:style w:type="paragraph" w:styleId="Subtitle">
    <w:name w:val="Subtitle"/>
    <w:basedOn w:val="Normal"/>
    <w:link w:val="SubtitleChar"/>
    <w:qFormat/>
    <w:rsid w:val="00773B28"/>
    <w:pPr>
      <w:spacing w:after="60"/>
      <w:jc w:val="center"/>
      <w:outlineLvl w:val="1"/>
    </w:pPr>
    <w:rPr>
      <w:rFonts w:ascii="Arial" w:hAnsi="Arial" w:cs="Arial"/>
      <w:szCs w:val="24"/>
    </w:rPr>
  </w:style>
  <w:style w:type="character" w:customStyle="1" w:styleId="SubtitleChar">
    <w:name w:val="Subtitle Char"/>
    <w:basedOn w:val="DefaultParagraphFont"/>
    <w:link w:val="Subtitle"/>
    <w:rsid w:val="00773B28"/>
    <w:rPr>
      <w:rFonts w:ascii="Arial" w:eastAsia="Times New Roman" w:hAnsi="Arial" w:cs="Arial"/>
      <w:sz w:val="24"/>
      <w:szCs w:val="24"/>
    </w:rPr>
  </w:style>
  <w:style w:type="paragraph" w:styleId="Salutation">
    <w:name w:val="Salutation"/>
    <w:basedOn w:val="Normal"/>
    <w:next w:val="Normal"/>
    <w:link w:val="SalutationChar"/>
    <w:unhideWhenUsed/>
    <w:rsid w:val="00773B28"/>
  </w:style>
  <w:style w:type="character" w:customStyle="1" w:styleId="SalutationChar">
    <w:name w:val="Salutation Char"/>
    <w:basedOn w:val="DefaultParagraphFont"/>
    <w:link w:val="Salutation"/>
    <w:rsid w:val="00773B28"/>
    <w:rPr>
      <w:rFonts w:ascii="Times New Roman" w:eastAsia="Times New Roman" w:hAnsi="Times New Roman"/>
      <w:sz w:val="24"/>
    </w:rPr>
  </w:style>
  <w:style w:type="paragraph" w:styleId="Date">
    <w:name w:val="Date"/>
    <w:basedOn w:val="Normal"/>
    <w:next w:val="Normal"/>
    <w:link w:val="DateChar"/>
    <w:unhideWhenUsed/>
    <w:rsid w:val="00773B28"/>
  </w:style>
  <w:style w:type="character" w:customStyle="1" w:styleId="DateChar">
    <w:name w:val="Date Char"/>
    <w:basedOn w:val="DefaultParagraphFont"/>
    <w:link w:val="Date"/>
    <w:rsid w:val="00773B28"/>
    <w:rPr>
      <w:rFonts w:ascii="Times New Roman" w:eastAsia="Times New Roman" w:hAnsi="Times New Roman"/>
      <w:sz w:val="24"/>
    </w:rPr>
  </w:style>
  <w:style w:type="paragraph" w:styleId="BodyTextFirstIndent2">
    <w:name w:val="Body Text First Indent 2"/>
    <w:basedOn w:val="BodyTextIndent"/>
    <w:link w:val="BodyTextFirstIndent2Char"/>
    <w:unhideWhenUsed/>
    <w:rsid w:val="00773B28"/>
    <w:pPr>
      <w:spacing w:after="120" w:line="240" w:lineRule="auto"/>
      <w:ind w:left="360" w:firstLine="210"/>
    </w:pPr>
    <w:rPr>
      <w:rFonts w:ascii="Times New Roman" w:hAnsi="Times New Roman"/>
      <w:sz w:val="24"/>
    </w:rPr>
  </w:style>
  <w:style w:type="character" w:customStyle="1" w:styleId="BodyTextFirstIndent2Char">
    <w:name w:val="Body Text First Indent 2 Char"/>
    <w:basedOn w:val="BodyTextIndentChar1"/>
    <w:link w:val="BodyTextFirstIndent2"/>
    <w:rsid w:val="00773B28"/>
    <w:rPr>
      <w:rFonts w:ascii="Times New Roman" w:eastAsia="Times New Roman" w:hAnsi="Times New Roman"/>
      <w:sz w:val="24"/>
    </w:rPr>
  </w:style>
  <w:style w:type="paragraph" w:styleId="NoteHeading">
    <w:name w:val="Note Heading"/>
    <w:basedOn w:val="Normal"/>
    <w:next w:val="Normal"/>
    <w:link w:val="NoteHeadingChar"/>
    <w:unhideWhenUsed/>
    <w:rsid w:val="00773B28"/>
  </w:style>
  <w:style w:type="character" w:customStyle="1" w:styleId="NoteHeadingChar">
    <w:name w:val="Note Heading Char"/>
    <w:basedOn w:val="DefaultParagraphFont"/>
    <w:link w:val="NoteHeading"/>
    <w:rsid w:val="00773B28"/>
    <w:rPr>
      <w:rFonts w:ascii="Times New Roman" w:eastAsia="Times New Roman" w:hAnsi="Times New Roman"/>
      <w:sz w:val="24"/>
    </w:rPr>
  </w:style>
  <w:style w:type="paragraph" w:styleId="BodyText2">
    <w:name w:val="Body Text 2"/>
    <w:basedOn w:val="Normal"/>
    <w:link w:val="BodyText2Char"/>
    <w:unhideWhenUsed/>
    <w:rsid w:val="00773B28"/>
    <w:pPr>
      <w:spacing w:after="120" w:line="480" w:lineRule="auto"/>
    </w:pPr>
  </w:style>
  <w:style w:type="character" w:customStyle="1" w:styleId="BodyText2Char">
    <w:name w:val="Body Text 2 Char"/>
    <w:basedOn w:val="DefaultParagraphFont"/>
    <w:link w:val="BodyText2"/>
    <w:rsid w:val="00773B28"/>
    <w:rPr>
      <w:rFonts w:ascii="Times New Roman" w:eastAsia="Times New Roman" w:hAnsi="Times New Roman"/>
      <w:sz w:val="24"/>
    </w:rPr>
  </w:style>
  <w:style w:type="paragraph" w:styleId="BodyText3">
    <w:name w:val="Body Text 3"/>
    <w:basedOn w:val="Normal"/>
    <w:link w:val="BodyText3Char"/>
    <w:unhideWhenUsed/>
    <w:rsid w:val="00773B28"/>
    <w:pPr>
      <w:spacing w:after="120"/>
    </w:pPr>
    <w:rPr>
      <w:sz w:val="16"/>
      <w:szCs w:val="16"/>
    </w:rPr>
  </w:style>
  <w:style w:type="character" w:customStyle="1" w:styleId="BodyText3Char">
    <w:name w:val="Body Text 3 Char"/>
    <w:basedOn w:val="DefaultParagraphFont"/>
    <w:link w:val="BodyText3"/>
    <w:rsid w:val="00773B28"/>
    <w:rPr>
      <w:rFonts w:ascii="Times New Roman" w:eastAsia="Times New Roman" w:hAnsi="Times New Roman"/>
      <w:sz w:val="16"/>
      <w:szCs w:val="16"/>
    </w:rPr>
  </w:style>
  <w:style w:type="paragraph" w:styleId="BodyTextIndent2">
    <w:name w:val="Body Text Indent 2"/>
    <w:basedOn w:val="Normal"/>
    <w:link w:val="BodyTextIndent2Char"/>
    <w:unhideWhenUsed/>
    <w:rsid w:val="00773B28"/>
    <w:pPr>
      <w:spacing w:after="120" w:line="480" w:lineRule="auto"/>
      <w:ind w:left="360"/>
    </w:pPr>
  </w:style>
  <w:style w:type="character" w:customStyle="1" w:styleId="BodyTextIndent2Char">
    <w:name w:val="Body Text Indent 2 Char"/>
    <w:basedOn w:val="DefaultParagraphFont"/>
    <w:link w:val="BodyTextIndent2"/>
    <w:rsid w:val="00773B28"/>
    <w:rPr>
      <w:rFonts w:ascii="Times New Roman" w:eastAsia="Times New Roman" w:hAnsi="Times New Roman"/>
      <w:sz w:val="24"/>
    </w:rPr>
  </w:style>
  <w:style w:type="paragraph" w:styleId="BodyTextIndent3">
    <w:name w:val="Body Text Indent 3"/>
    <w:basedOn w:val="Normal"/>
    <w:link w:val="BodyTextIndent3Char"/>
    <w:unhideWhenUsed/>
    <w:rsid w:val="00773B28"/>
    <w:pPr>
      <w:spacing w:after="120"/>
      <w:ind w:left="360"/>
    </w:pPr>
    <w:rPr>
      <w:sz w:val="16"/>
      <w:szCs w:val="16"/>
    </w:rPr>
  </w:style>
  <w:style w:type="character" w:customStyle="1" w:styleId="BodyTextIndent3Char">
    <w:name w:val="Body Text Indent 3 Char"/>
    <w:basedOn w:val="DefaultParagraphFont"/>
    <w:link w:val="BodyTextIndent3"/>
    <w:rsid w:val="00773B28"/>
    <w:rPr>
      <w:rFonts w:ascii="Times New Roman" w:eastAsia="Times New Roman" w:hAnsi="Times New Roman"/>
      <w:sz w:val="16"/>
      <w:szCs w:val="16"/>
    </w:rPr>
  </w:style>
  <w:style w:type="paragraph" w:styleId="PlainText">
    <w:name w:val="Plain Text"/>
    <w:basedOn w:val="Normal"/>
    <w:link w:val="PlainTextChar"/>
    <w:unhideWhenUsed/>
    <w:rsid w:val="00773B28"/>
    <w:rPr>
      <w:rFonts w:ascii="Courier New" w:hAnsi="Courier New" w:cs="Courier New"/>
      <w:sz w:val="20"/>
    </w:rPr>
  </w:style>
  <w:style w:type="character" w:customStyle="1" w:styleId="PlainTextChar">
    <w:name w:val="Plain Text Char"/>
    <w:basedOn w:val="DefaultParagraphFont"/>
    <w:link w:val="PlainText"/>
    <w:rsid w:val="00773B28"/>
    <w:rPr>
      <w:rFonts w:ascii="Courier New" w:eastAsia="Times New Roman" w:hAnsi="Courier New" w:cs="Courier New"/>
    </w:rPr>
  </w:style>
  <w:style w:type="paragraph" w:styleId="E-mailSignature">
    <w:name w:val="E-mail Signature"/>
    <w:basedOn w:val="Normal"/>
    <w:link w:val="E-mailSignatureChar"/>
    <w:unhideWhenUsed/>
    <w:rsid w:val="00773B28"/>
  </w:style>
  <w:style w:type="character" w:customStyle="1" w:styleId="E-mailSignatureChar">
    <w:name w:val="E-mail Signature Char"/>
    <w:basedOn w:val="DefaultParagraphFont"/>
    <w:link w:val="E-mailSignature"/>
    <w:rsid w:val="00773B28"/>
    <w:rPr>
      <w:rFonts w:ascii="Times New Roman" w:eastAsia="Times New Roman" w:hAnsi="Times New Roman"/>
      <w:sz w:val="24"/>
    </w:rPr>
  </w:style>
  <w:style w:type="paragraph" w:styleId="NoSpacing">
    <w:name w:val="No Spacing"/>
    <w:uiPriority w:val="1"/>
    <w:qFormat/>
    <w:rsid w:val="00773B28"/>
    <w:rPr>
      <w:rFonts w:ascii="Times New Roman" w:eastAsia="Times New Roman" w:hAnsi="Times New Roman"/>
      <w:sz w:val="24"/>
      <w:szCs w:val="24"/>
    </w:rPr>
  </w:style>
  <w:style w:type="paragraph" w:customStyle="1" w:styleId="TXUNormal">
    <w:name w:val="TXUNormal"/>
    <w:rsid w:val="00773B28"/>
    <w:pPr>
      <w:spacing w:after="120"/>
    </w:pPr>
    <w:rPr>
      <w:rFonts w:ascii="Times New Roman" w:eastAsia="Times New Roman" w:hAnsi="Times New Roman"/>
    </w:rPr>
  </w:style>
  <w:style w:type="paragraph" w:customStyle="1" w:styleId="TXUHeaderForm">
    <w:name w:val="TXUHeaderForm"/>
    <w:basedOn w:val="TXUHeader"/>
    <w:next w:val="Normal"/>
    <w:rsid w:val="00773B28"/>
    <w:rPr>
      <w:sz w:val="24"/>
    </w:rPr>
  </w:style>
  <w:style w:type="paragraph" w:customStyle="1" w:styleId="TXUFooter">
    <w:name w:val="TXUFooter"/>
    <w:basedOn w:val="TXUNormal"/>
    <w:rsid w:val="00773B28"/>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sid w:val="00773B28"/>
    <w:rPr>
      <w:sz w:val="20"/>
    </w:rPr>
  </w:style>
  <w:style w:type="paragraph" w:customStyle="1" w:styleId="Comments">
    <w:name w:val="Comments"/>
    <w:basedOn w:val="Normal"/>
    <w:rsid w:val="00773B28"/>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style>
  <w:style w:type="character" w:customStyle="1" w:styleId="BulletChar">
    <w:name w:val="Bullet Char"/>
    <w:link w:val="Bullet"/>
    <w:locked/>
    <w:rsid w:val="00773B28"/>
    <w:rPr>
      <w:sz w:val="24"/>
    </w:rPr>
  </w:style>
  <w:style w:type="paragraph" w:customStyle="1" w:styleId="Bullet">
    <w:name w:val="Bullet"/>
    <w:basedOn w:val="Normal"/>
    <w:link w:val="BulletChar"/>
    <w:rsid w:val="00773B28"/>
    <w:pPr>
      <w:numPr>
        <w:numId w:val="22"/>
      </w:numPr>
      <w:tabs>
        <w:tab w:val="clear" w:pos="360"/>
        <w:tab w:val="num" w:pos="432"/>
      </w:tabs>
      <w:spacing w:after="180"/>
      <w:ind w:left="432" w:hanging="432"/>
    </w:pPr>
    <w:rPr>
      <w:rFonts w:ascii="Calibri" w:eastAsia="Calibri" w:hAnsi="Calibri"/>
    </w:rPr>
  </w:style>
  <w:style w:type="character" w:customStyle="1" w:styleId="BulletIndentChar">
    <w:name w:val="Bullet Indent Char"/>
    <w:link w:val="BulletIndent"/>
    <w:locked/>
    <w:rsid w:val="00773B28"/>
    <w:rPr>
      <w:sz w:val="24"/>
    </w:rPr>
  </w:style>
  <w:style w:type="paragraph" w:customStyle="1" w:styleId="BulletIndent">
    <w:name w:val="Bullet Indent"/>
    <w:basedOn w:val="Normal"/>
    <w:link w:val="BulletIndentChar"/>
    <w:rsid w:val="00773B28"/>
    <w:pPr>
      <w:numPr>
        <w:numId w:val="23"/>
      </w:numPr>
      <w:tabs>
        <w:tab w:val="clear" w:pos="360"/>
        <w:tab w:val="num" w:pos="432"/>
      </w:tabs>
      <w:spacing w:after="180"/>
      <w:ind w:left="432" w:hanging="432"/>
    </w:pPr>
    <w:rPr>
      <w:rFonts w:ascii="Calibri" w:eastAsia="Calibri" w:hAnsi="Calibri"/>
    </w:rPr>
  </w:style>
  <w:style w:type="character" w:customStyle="1" w:styleId="ListSubChar">
    <w:name w:val="List Sub Char"/>
    <w:link w:val="ListSub"/>
    <w:locked/>
    <w:rsid w:val="00773B28"/>
    <w:rPr>
      <w:sz w:val="24"/>
    </w:rPr>
  </w:style>
  <w:style w:type="paragraph" w:customStyle="1" w:styleId="ListSub">
    <w:name w:val="List Sub"/>
    <w:basedOn w:val="List"/>
    <w:link w:val="ListSubChar"/>
    <w:rsid w:val="00773B28"/>
    <w:pPr>
      <w:ind w:left="720" w:firstLine="0"/>
    </w:pPr>
    <w:rPr>
      <w:rFonts w:ascii="Calibri" w:eastAsia="Calibri" w:hAnsi="Calibri"/>
    </w:rPr>
  </w:style>
  <w:style w:type="paragraph" w:customStyle="1" w:styleId="Spaceafterbox">
    <w:name w:val="Space after box"/>
    <w:basedOn w:val="Normal"/>
    <w:rsid w:val="00773B28"/>
  </w:style>
  <w:style w:type="character" w:customStyle="1" w:styleId="VariableDefinitionChar">
    <w:name w:val="Variable Definition Char"/>
    <w:link w:val="VariableDefinition"/>
    <w:locked/>
    <w:rsid w:val="00773B28"/>
    <w:rPr>
      <w:rFonts w:ascii="Times New Roman" w:eastAsia="Times New Roman" w:hAnsi="Times New Roman"/>
      <w:iCs/>
      <w:sz w:val="24"/>
    </w:rPr>
  </w:style>
  <w:style w:type="paragraph" w:customStyle="1" w:styleId="TermDefinition">
    <w:name w:val="Term Definition"/>
    <w:basedOn w:val="Normal"/>
    <w:rsid w:val="00773B28"/>
    <w:pPr>
      <w:spacing w:after="60"/>
      <w:ind w:left="720"/>
    </w:pPr>
  </w:style>
  <w:style w:type="character" w:customStyle="1" w:styleId="TermTitleChar">
    <w:name w:val="Term Title Char"/>
    <w:link w:val="TermTitle"/>
    <w:locked/>
    <w:rsid w:val="00773B28"/>
    <w:rPr>
      <w:b/>
      <w:sz w:val="24"/>
    </w:rPr>
  </w:style>
  <w:style w:type="paragraph" w:customStyle="1" w:styleId="TermTitle">
    <w:name w:val="Term Title"/>
    <w:basedOn w:val="Normal"/>
    <w:link w:val="TermTitleChar"/>
    <w:rsid w:val="00773B28"/>
    <w:pPr>
      <w:spacing w:before="120"/>
      <w:ind w:left="720"/>
    </w:pPr>
    <w:rPr>
      <w:rFonts w:ascii="Calibri" w:eastAsia="Calibri" w:hAnsi="Calibri"/>
      <w:b/>
    </w:rPr>
  </w:style>
  <w:style w:type="paragraph" w:customStyle="1" w:styleId="Style1">
    <w:name w:val="Style1"/>
    <w:basedOn w:val="BodyText3"/>
    <w:rsid w:val="00773B28"/>
    <w:rPr>
      <w:b/>
      <w:sz w:val="40"/>
      <w:szCs w:val="40"/>
    </w:rPr>
  </w:style>
  <w:style w:type="paragraph" w:customStyle="1" w:styleId="note">
    <w:name w:val="note"/>
    <w:basedOn w:val="Normal"/>
    <w:rsid w:val="00773B28"/>
    <w:rPr>
      <w:sz w:val="22"/>
    </w:rPr>
  </w:style>
  <w:style w:type="paragraph" w:customStyle="1" w:styleId="List1">
    <w:name w:val="List1"/>
    <w:basedOn w:val="H4"/>
    <w:rsid w:val="00773B28"/>
    <w:pPr>
      <w:tabs>
        <w:tab w:val="clear" w:pos="1260"/>
      </w:tabs>
      <w:snapToGrid w:val="0"/>
      <w:ind w:left="1440" w:hanging="720"/>
    </w:pPr>
    <w:rPr>
      <w:rFonts w:ascii="Calibri" w:eastAsia="Calibri" w:hAnsi="Calibri"/>
      <w:b w:val="0"/>
      <w:bCs w:val="0"/>
      <w:snapToGrid/>
    </w:rPr>
  </w:style>
  <w:style w:type="paragraph" w:customStyle="1" w:styleId="Bullet15">
    <w:name w:val="Bullet (1.5)"/>
    <w:basedOn w:val="Normal"/>
    <w:rsid w:val="00773B28"/>
    <w:pPr>
      <w:tabs>
        <w:tab w:val="num" w:pos="2520"/>
      </w:tabs>
      <w:spacing w:after="120"/>
      <w:ind w:left="2520" w:hanging="720"/>
    </w:pPr>
  </w:style>
  <w:style w:type="character" w:customStyle="1" w:styleId="BulletCharCharChar">
    <w:name w:val="Bullet Char Char Char"/>
    <w:link w:val="BulletCharChar"/>
    <w:locked/>
    <w:rsid w:val="00773B28"/>
    <w:rPr>
      <w:sz w:val="24"/>
    </w:rPr>
  </w:style>
  <w:style w:type="paragraph" w:customStyle="1" w:styleId="BulletCharChar">
    <w:name w:val="Bullet Char Char"/>
    <w:basedOn w:val="Normal"/>
    <w:link w:val="BulletCharCharChar"/>
    <w:rsid w:val="00773B28"/>
    <w:pPr>
      <w:tabs>
        <w:tab w:val="num" w:pos="450"/>
      </w:tabs>
      <w:spacing w:after="180"/>
      <w:ind w:left="450" w:hanging="360"/>
    </w:pPr>
    <w:rPr>
      <w:rFonts w:ascii="Calibri" w:eastAsia="Calibri" w:hAnsi="Calibri"/>
    </w:rPr>
  </w:style>
  <w:style w:type="paragraph" w:customStyle="1" w:styleId="bodytextnumbered0">
    <w:name w:val="bodytextnumbered"/>
    <w:basedOn w:val="Normal"/>
    <w:rsid w:val="00773B28"/>
    <w:pPr>
      <w:spacing w:after="240"/>
      <w:ind w:left="720" w:hanging="720"/>
    </w:pPr>
    <w:rPr>
      <w:rFonts w:eastAsia="Calibri"/>
      <w:szCs w:val="24"/>
    </w:rPr>
  </w:style>
  <w:style w:type="paragraph" w:customStyle="1" w:styleId="PJMNormal">
    <w:name w:val="PJM_Normal"/>
    <w:basedOn w:val="Default"/>
    <w:next w:val="Default"/>
    <w:rsid w:val="00773B28"/>
    <w:pPr>
      <w:spacing w:before="120" w:after="120"/>
    </w:pPr>
    <w:rPr>
      <w:rFonts w:cs="Times New Roman"/>
      <w:color w:val="auto"/>
    </w:rPr>
  </w:style>
  <w:style w:type="paragraph" w:customStyle="1" w:styleId="PJMListOutline1">
    <w:name w:val="PJM_List_Outline_1"/>
    <w:basedOn w:val="Default"/>
    <w:next w:val="Default"/>
    <w:rsid w:val="00773B28"/>
    <w:pPr>
      <w:spacing w:before="120" w:after="120"/>
    </w:pPr>
    <w:rPr>
      <w:rFonts w:cs="Times New Roman"/>
      <w:color w:val="auto"/>
    </w:rPr>
  </w:style>
  <w:style w:type="paragraph" w:customStyle="1" w:styleId="VariableDefinition1">
    <w:name w:val="Variable Definition+1"/>
    <w:basedOn w:val="Default"/>
    <w:next w:val="Default"/>
    <w:rsid w:val="00773B28"/>
    <w:pPr>
      <w:spacing w:after="240"/>
    </w:pPr>
    <w:rPr>
      <w:rFonts w:ascii="Times New Roman" w:hAnsi="Times New Roman" w:cs="Times New Roman"/>
      <w:color w:val="auto"/>
    </w:rPr>
  </w:style>
  <w:style w:type="paragraph" w:customStyle="1" w:styleId="ListSub2">
    <w:name w:val="List Sub+2"/>
    <w:basedOn w:val="Default"/>
    <w:next w:val="Default"/>
    <w:rsid w:val="00773B28"/>
    <w:pPr>
      <w:spacing w:after="240"/>
    </w:pPr>
    <w:rPr>
      <w:rFonts w:ascii="Times New Roman" w:hAnsi="Times New Roman" w:cs="Times New Roman"/>
      <w:color w:val="auto"/>
    </w:rPr>
  </w:style>
  <w:style w:type="paragraph" w:customStyle="1" w:styleId="H">
    <w:name w:val="H%"/>
    <w:basedOn w:val="H4"/>
    <w:rsid w:val="00773B28"/>
    <w:pPr>
      <w:snapToGrid w:val="0"/>
    </w:pPr>
    <w:rPr>
      <w:rFonts w:ascii="Calibri" w:eastAsia="Calibri" w:hAnsi="Calibri"/>
      <w:snapToGrid/>
      <w:szCs w:val="24"/>
    </w:rPr>
  </w:style>
  <w:style w:type="paragraph" w:customStyle="1" w:styleId="Style2">
    <w:name w:val="Style2"/>
    <w:basedOn w:val="H5"/>
    <w:autoRedefine/>
    <w:rsid w:val="00773B28"/>
    <w:rPr>
      <w:rFonts w:ascii="Calibri" w:eastAsia="Calibri" w:hAnsi="Calibri"/>
      <w:i w:val="0"/>
    </w:rPr>
  </w:style>
  <w:style w:type="paragraph" w:customStyle="1" w:styleId="listintroduction">
    <w:name w:val="listintroduction"/>
    <w:basedOn w:val="Normal"/>
    <w:rsid w:val="00773B28"/>
    <w:pPr>
      <w:keepNext/>
      <w:spacing w:after="240"/>
    </w:pPr>
    <w:rPr>
      <w:szCs w:val="24"/>
    </w:rPr>
  </w:style>
  <w:style w:type="paragraph" w:customStyle="1" w:styleId="RegularText">
    <w:name w:val="Regular Text"/>
    <w:basedOn w:val="Normal"/>
    <w:rsid w:val="00773B28"/>
    <w:pPr>
      <w:spacing w:before="120" w:after="120"/>
      <w:ind w:left="432"/>
      <w:jc w:val="both"/>
    </w:pPr>
  </w:style>
  <w:style w:type="character" w:styleId="FootnoteReference">
    <w:name w:val="footnote reference"/>
    <w:unhideWhenUsed/>
    <w:rsid w:val="00773B28"/>
    <w:rPr>
      <w:vertAlign w:val="superscript"/>
    </w:rPr>
  </w:style>
  <w:style w:type="character" w:styleId="PlaceholderText">
    <w:name w:val="Placeholder Text"/>
    <w:basedOn w:val="DefaultParagraphFont"/>
    <w:uiPriority w:val="99"/>
    <w:rsid w:val="00773B28"/>
    <w:rPr>
      <w:color w:val="808080"/>
    </w:rPr>
  </w:style>
  <w:style w:type="character" w:customStyle="1" w:styleId="CharCharCharCharCharCharCharChar">
    <w:name w:val="Char Char Char Char Char Char Char Char"/>
    <w:rsid w:val="00773B28"/>
    <w:rPr>
      <w:iCs/>
      <w:sz w:val="24"/>
      <w:lang w:val="en-US" w:eastAsia="en-US" w:bidi="ar-SA"/>
    </w:rPr>
  </w:style>
  <w:style w:type="paragraph" w:customStyle="1" w:styleId="InstructionsCharCharCharCharCharChar">
    <w:name w:val="Instructions Char Char Char Char Char Char"/>
    <w:basedOn w:val="Normal"/>
    <w:link w:val="InstructionsCharCharCharCharCharCharChar"/>
    <w:rsid w:val="00773B28"/>
    <w:rPr>
      <w:szCs w:val="24"/>
    </w:rPr>
  </w:style>
  <w:style w:type="character" w:customStyle="1" w:styleId="InstructionsCharCharCharCharCharCharChar">
    <w:name w:val="Instructions Char Char Char Char Char Char Char"/>
    <w:link w:val="InstructionsCharCharCharCharCharChar"/>
    <w:locked/>
    <w:rsid w:val="00773B28"/>
    <w:rPr>
      <w:rFonts w:ascii="Times New Roman" w:eastAsia="Times New Roman" w:hAnsi="Times New Roman"/>
      <w:sz w:val="24"/>
      <w:szCs w:val="24"/>
    </w:rPr>
  </w:style>
  <w:style w:type="character" w:customStyle="1" w:styleId="CharCharCharCharCharCharCharChar1">
    <w:name w:val="Char Char Char Char Char Char Char Char1"/>
    <w:rsid w:val="00773B28"/>
    <w:rPr>
      <w:iCs/>
      <w:sz w:val="24"/>
      <w:lang w:val="en-US" w:eastAsia="en-US" w:bidi="ar-SA"/>
    </w:rPr>
  </w:style>
  <w:style w:type="character" w:customStyle="1" w:styleId="BodyTextChar1Char">
    <w:name w:val="Body Text Char1 Char"/>
    <w:aliases w:val="Char Char Char Char Char Char Char1 Char,Char Char Char Char Char Char Char Char2 Char,Body Text Char Char Char1 Char,Body Text Char1 Char Char Char1 Char,Body Text Char Char Char Char Char1 Char"/>
    <w:rsid w:val="00773B28"/>
    <w:rPr>
      <w:iCs/>
      <w:sz w:val="24"/>
      <w:lang w:val="en-US" w:eastAsia="en-US" w:bidi="ar-SA"/>
    </w:rPr>
  </w:style>
  <w:style w:type="character" w:customStyle="1" w:styleId="H2CharChar">
    <w:name w:val="H2 Char Char"/>
    <w:rsid w:val="00773B28"/>
    <w:rPr>
      <w:b w:val="0"/>
      <w:bCs w:val="0"/>
      <w:sz w:val="24"/>
      <w:lang w:val="en-US" w:eastAsia="en-US" w:bidi="ar-SA"/>
    </w:rPr>
  </w:style>
  <w:style w:type="character" w:customStyle="1" w:styleId="CharCharCharCharChar">
    <w:name w:val="Char Char Char Char Char"/>
    <w:aliases w:val="Body Text Char2 Char2,Char Char Char Char Char1,Body Text Char2 Char, Char Char Char Char Char1"/>
    <w:rsid w:val="00773B28"/>
    <w:rPr>
      <w:iCs/>
      <w:sz w:val="24"/>
      <w:lang w:val="en-US" w:eastAsia="en-US" w:bidi="ar-SA"/>
    </w:rPr>
  </w:style>
  <w:style w:type="character" w:customStyle="1" w:styleId="BodyTextChar2Char1">
    <w:name w:val="Body Text Char2 Char1"/>
    <w:aliases w:val="Char Char Char Char11,Char Char Char Char111"/>
    <w:rsid w:val="00773B28"/>
    <w:rPr>
      <w:iCs/>
      <w:sz w:val="24"/>
      <w:lang w:val="en-US" w:eastAsia="en-US" w:bidi="ar-SA"/>
    </w:rPr>
  </w:style>
  <w:style w:type="paragraph" w:customStyle="1" w:styleId="ListIntroduction0">
    <w:name w:val="List Introduction"/>
    <w:basedOn w:val="Normal"/>
    <w:link w:val="ListIntroductionChar"/>
    <w:rsid w:val="00773B28"/>
    <w:rPr>
      <w:szCs w:val="24"/>
    </w:rPr>
  </w:style>
  <w:style w:type="character" w:customStyle="1" w:styleId="ListIntroductionChar">
    <w:name w:val="List Introduction Char"/>
    <w:link w:val="ListIntroduction0"/>
    <w:locked/>
    <w:rsid w:val="00773B28"/>
    <w:rPr>
      <w:rFonts w:ascii="Times New Roman" w:eastAsia="Times New Roman" w:hAnsi="Times New Roman"/>
      <w:sz w:val="24"/>
      <w:szCs w:val="24"/>
    </w:rPr>
  </w:style>
  <w:style w:type="character" w:customStyle="1" w:styleId="BodyTextNumberedCharChar">
    <w:name w:val="Body Text Numbered Char Char"/>
    <w:rsid w:val="00773B28"/>
    <w:rPr>
      <w:iCs/>
      <w:sz w:val="24"/>
      <w:lang w:val="en-US" w:eastAsia="en-US" w:bidi="ar-SA"/>
    </w:rPr>
  </w:style>
  <w:style w:type="character" w:customStyle="1" w:styleId="DeltaViewInsertion">
    <w:name w:val="DeltaView Insertion"/>
    <w:rsid w:val="00773B28"/>
    <w:rPr>
      <w:color w:val="0000FF"/>
      <w:spacing w:val="0"/>
      <w:u w:val="double"/>
    </w:rPr>
  </w:style>
  <w:style w:type="character" w:customStyle="1" w:styleId="DeltaViewMoveDestination">
    <w:name w:val="DeltaView Move Destination"/>
    <w:rsid w:val="00773B28"/>
    <w:rPr>
      <w:color w:val="00C000"/>
      <w:spacing w:val="0"/>
      <w:u w:val="double"/>
    </w:rPr>
  </w:style>
  <w:style w:type="paragraph" w:styleId="BodyTextFirstIndent">
    <w:name w:val="Body Text First Indent"/>
    <w:basedOn w:val="BodyText"/>
    <w:link w:val="BodyTextFirstIndentChar"/>
    <w:unhideWhenUsed/>
    <w:rsid w:val="00773B28"/>
    <w:pPr>
      <w:spacing w:after="0"/>
      <w:ind w:firstLine="360"/>
    </w:pPr>
    <w:rPr>
      <w:iCs w:val="0"/>
      <w:szCs w:val="24"/>
    </w:rPr>
  </w:style>
  <w:style w:type="character" w:customStyle="1" w:styleId="BodyTextFirstIndentChar">
    <w:name w:val="Body Text First Indent Char"/>
    <w:basedOn w:val="BodyTextChar1"/>
    <w:link w:val="BodyTextFirstIndent"/>
    <w:rsid w:val="00773B28"/>
    <w:rPr>
      <w:rFonts w:ascii="Times New Roman" w:eastAsia="Times New Roman" w:hAnsi="Times New Roman" w:cs="Times New Roman"/>
      <w:iCs w:val="0"/>
      <w:sz w:val="24"/>
      <w:szCs w:val="24"/>
    </w:rPr>
  </w:style>
  <w:style w:type="character" w:customStyle="1" w:styleId="BodyTextChar2">
    <w:name w:val="Body Text Char2"/>
    <w:aliases w:val="Char Char Char Char Char Char Char2,Char Char Char Char Char Char Charh2 Char1,... Char1, Char Char Char Char Char Char Char2, Char Char Char Char Char Char Char Char3,Body Text Char Char Char3,Body Text Char1 Char Char Char3"/>
    <w:basedOn w:val="DefaultParagraphFont"/>
    <w:rsid w:val="00773B28"/>
    <w:rPr>
      <w:rFonts w:ascii="Times New Roman" w:eastAsia="Times New Roman" w:hAnsi="Times New Roman"/>
      <w:sz w:val="24"/>
      <w:szCs w:val="24"/>
    </w:rPr>
  </w:style>
  <w:style w:type="character" w:customStyle="1" w:styleId="H3Char1">
    <w:name w:val="H3 Char1"/>
    <w:rsid w:val="00773B28"/>
    <w:rPr>
      <w:b/>
      <w:bCs/>
      <w:i/>
      <w:iCs w:val="0"/>
      <w:sz w:val="24"/>
      <w:lang w:val="en-US" w:eastAsia="en-US" w:bidi="ar-SA"/>
    </w:rPr>
  </w:style>
  <w:style w:type="character" w:customStyle="1" w:styleId="bodytextnumberedchar0">
    <w:name w:val="bodytextnumberedchar"/>
    <w:rsid w:val="00773B28"/>
  </w:style>
  <w:style w:type="character" w:customStyle="1" w:styleId="TableHeadChar">
    <w:name w:val="Table Head Char"/>
    <w:rsid w:val="00773B28"/>
    <w:rPr>
      <w:b/>
      <w:bCs w:val="0"/>
      <w:iCs/>
      <w:sz w:val="24"/>
      <w:lang w:val="en-US" w:eastAsia="en-US" w:bidi="ar-SA"/>
    </w:rPr>
  </w:style>
  <w:style w:type="character" w:customStyle="1" w:styleId="Char1CharChar">
    <w:name w:val="Char1 Char Char"/>
    <w:rsid w:val="00773B28"/>
    <w:rPr>
      <w:iCs/>
      <w:sz w:val="24"/>
      <w:lang w:val="en-US" w:eastAsia="en-US" w:bidi="ar-SA"/>
    </w:rPr>
  </w:style>
  <w:style w:type="character" w:customStyle="1" w:styleId="CharChar2">
    <w:name w:val="Char Char2"/>
    <w:rsid w:val="00773B28"/>
    <w:rPr>
      <w:b/>
      <w:bCs/>
      <w:i/>
      <w:iCs w:val="0"/>
      <w:sz w:val="24"/>
      <w:lang w:val="en-US" w:eastAsia="en-US" w:bidi="ar-SA"/>
    </w:rPr>
  </w:style>
  <w:style w:type="character" w:customStyle="1" w:styleId="Char21">
    <w:name w:val="Char21"/>
    <w:rsid w:val="00773B28"/>
    <w:rPr>
      <w:b/>
      <w:bCs/>
      <w:i/>
      <w:iCs w:val="0"/>
      <w:sz w:val="24"/>
      <w:lang w:val="en-US" w:eastAsia="en-US" w:bidi="ar-SA"/>
    </w:rPr>
  </w:style>
  <w:style w:type="character" w:customStyle="1" w:styleId="CharCharChar">
    <w:name w:val="Char Char Char"/>
    <w:rsid w:val="00773B28"/>
    <w:rPr>
      <w:sz w:val="24"/>
      <w:lang w:val="en-US" w:eastAsia="en-US" w:bidi="ar-SA"/>
    </w:rPr>
  </w:style>
  <w:style w:type="character" w:customStyle="1" w:styleId="h3CharChar">
    <w:name w:val="h3 Char Char"/>
    <w:rsid w:val="00773B28"/>
    <w:rPr>
      <w:b/>
      <w:bCs/>
      <w:i/>
      <w:iCs w:val="0"/>
      <w:sz w:val="24"/>
      <w:lang w:val="en-US" w:eastAsia="en-US" w:bidi="ar-SA"/>
    </w:rPr>
  </w:style>
  <w:style w:type="character" w:customStyle="1" w:styleId="InstructionsCharChar">
    <w:name w:val="Instructions Char Char"/>
    <w:rsid w:val="00773B28"/>
    <w:rPr>
      <w:b/>
      <w:bCs w:val="0"/>
      <w:i/>
      <w:iCs/>
      <w:sz w:val="24"/>
      <w:szCs w:val="24"/>
      <w:lang w:val="en-US" w:eastAsia="en-US" w:bidi="ar-SA"/>
    </w:rPr>
  </w:style>
  <w:style w:type="character" w:customStyle="1" w:styleId="CharCharCharChar1">
    <w:name w:val="Char Char Char Char1"/>
    <w:aliases w:val="Char1 Char Char Char Char, Char1 Char Char Char Char"/>
    <w:rsid w:val="00773B28"/>
    <w:rPr>
      <w:sz w:val="24"/>
      <w:lang w:val="en-US" w:eastAsia="en-US" w:bidi="ar-SA"/>
    </w:rPr>
  </w:style>
  <w:style w:type="character" w:customStyle="1" w:styleId="H3CharChar0">
    <w:name w:val="H3 Char Char"/>
    <w:rsid w:val="00773B28"/>
    <w:rPr>
      <w:b w:val="0"/>
      <w:bCs w:val="0"/>
      <w:i w:val="0"/>
      <w:iCs w:val="0"/>
      <w:sz w:val="24"/>
      <w:lang w:val="en-US" w:eastAsia="en-US" w:bidi="ar-SA"/>
    </w:rPr>
  </w:style>
  <w:style w:type="character" w:customStyle="1" w:styleId="ListIntroductionCharChar">
    <w:name w:val="List Introduction Char Char"/>
    <w:rsid w:val="00773B28"/>
    <w:rPr>
      <w:iCs/>
      <w:sz w:val="24"/>
      <w:lang w:val="en-US" w:eastAsia="en-US" w:bidi="ar-SA"/>
    </w:rPr>
  </w:style>
  <w:style w:type="character" w:customStyle="1" w:styleId="H4CharChar">
    <w:name w:val="H4 Char Char"/>
    <w:rsid w:val="00773B28"/>
    <w:rPr>
      <w:b/>
      <w:bCs/>
      <w:snapToGrid/>
      <w:sz w:val="24"/>
      <w:lang w:val="en-US" w:eastAsia="en-US" w:bidi="ar-SA"/>
    </w:rPr>
  </w:style>
  <w:style w:type="character" w:customStyle="1" w:styleId="Char2CharChar1">
    <w:name w:val="Char2 Char Char1"/>
    <w:rsid w:val="00773B28"/>
    <w:rPr>
      <w:sz w:val="24"/>
      <w:lang w:val="en-US" w:eastAsia="en-US" w:bidi="ar-SA"/>
    </w:rPr>
  </w:style>
  <w:style w:type="character" w:customStyle="1" w:styleId="CharChar3">
    <w:name w:val="Char Char3"/>
    <w:rsid w:val="00773B28"/>
    <w:rPr>
      <w:sz w:val="24"/>
      <w:lang w:val="en-US" w:eastAsia="en-US" w:bidi="ar-SA"/>
    </w:rPr>
  </w:style>
  <w:style w:type="character" w:customStyle="1" w:styleId="CharCharChar11">
    <w:name w:val="Char Char Char11"/>
    <w:aliases w:val="Char111,Body Text Char Char11,Char Char Char Char Char21,Char1 Char Char11,Body Text Char2 Char Char21,Body Text Char2 Char Char Char Char Char Char Char Char Char Char Char11,Body Text Char2 Char31,Body Text Char2 Char41"/>
    <w:rsid w:val="00773B28"/>
    <w:rPr>
      <w:sz w:val="24"/>
      <w:lang w:val="en-US" w:eastAsia="en-US" w:bidi="ar-SA"/>
    </w:rPr>
  </w:style>
  <w:style w:type="character" w:customStyle="1" w:styleId="CharChar4">
    <w:name w:val="Char Char4"/>
    <w:rsid w:val="00773B28"/>
    <w:rPr>
      <w:sz w:val="24"/>
      <w:lang w:val="en-US" w:eastAsia="en-US" w:bidi="ar-SA"/>
    </w:rPr>
  </w:style>
  <w:style w:type="character" w:customStyle="1" w:styleId="Char1CharChar1">
    <w:name w:val="Char1 Char Char1"/>
    <w:rsid w:val="00773B28"/>
    <w:rPr>
      <w:sz w:val="24"/>
      <w:lang w:val="en-US" w:eastAsia="en-US" w:bidi="ar-SA"/>
    </w:rPr>
  </w:style>
  <w:style w:type="character" w:customStyle="1" w:styleId="CharChar12">
    <w:name w:val="Char Char12"/>
    <w:rsid w:val="00773B28"/>
    <w:rPr>
      <w:sz w:val="24"/>
      <w:lang w:val="en-US" w:eastAsia="en-US" w:bidi="ar-SA"/>
    </w:rPr>
  </w:style>
  <w:style w:type="character" w:customStyle="1" w:styleId="CharChar5">
    <w:name w:val="Char Char5"/>
    <w:rsid w:val="00773B28"/>
    <w:rPr>
      <w:iCs/>
      <w:sz w:val="24"/>
      <w:lang w:val="en-US" w:eastAsia="en-US" w:bidi="ar-SA"/>
    </w:rPr>
  </w:style>
  <w:style w:type="character" w:customStyle="1" w:styleId="CharCharCharChar3">
    <w:name w:val="Char Char Char Char3"/>
    <w:rsid w:val="00773B28"/>
    <w:rPr>
      <w:iCs/>
      <w:sz w:val="24"/>
      <w:lang w:val="en-US" w:eastAsia="en-US" w:bidi="ar-SA"/>
    </w:rPr>
  </w:style>
  <w:style w:type="character" w:customStyle="1" w:styleId="CharChar42">
    <w:name w:val="Char Char42"/>
    <w:rsid w:val="00773B28"/>
    <w:rPr>
      <w:sz w:val="24"/>
      <w:lang w:val="en-US" w:eastAsia="en-US" w:bidi="ar-SA"/>
    </w:rPr>
  </w:style>
  <w:style w:type="character" w:customStyle="1" w:styleId="CharCharChar2">
    <w:name w:val="Char Char Char2"/>
    <w:rsid w:val="00773B28"/>
    <w:rPr>
      <w:iCs/>
      <w:sz w:val="24"/>
      <w:lang w:val="en-US" w:eastAsia="en-US" w:bidi="ar-SA"/>
    </w:rPr>
  </w:style>
  <w:style w:type="character" w:customStyle="1" w:styleId="Char1CharChar12">
    <w:name w:val="Char1 Char Char12"/>
    <w:rsid w:val="00773B28"/>
    <w:rPr>
      <w:sz w:val="24"/>
      <w:lang w:val="en-US" w:eastAsia="en-US" w:bidi="ar-SA"/>
    </w:rPr>
  </w:style>
  <w:style w:type="character" w:customStyle="1" w:styleId="CharCharChar22">
    <w:name w:val="Char Char Char22"/>
    <w:rsid w:val="00773B28"/>
    <w:rPr>
      <w:iCs/>
      <w:sz w:val="24"/>
      <w:lang w:val="en-US" w:eastAsia="en-US" w:bidi="ar-SA"/>
    </w:rPr>
  </w:style>
  <w:style w:type="character" w:customStyle="1" w:styleId="CharChar6">
    <w:name w:val="Char Char6"/>
    <w:rsid w:val="00773B28"/>
    <w:rPr>
      <w:sz w:val="24"/>
      <w:lang w:val="en-US" w:eastAsia="en-US" w:bidi="ar-SA"/>
    </w:rPr>
  </w:style>
  <w:style w:type="character" w:customStyle="1" w:styleId="ListCharChar">
    <w:name w:val="List Char Char"/>
    <w:rsid w:val="00773B28"/>
    <w:rPr>
      <w:sz w:val="24"/>
      <w:lang w:val="en-US" w:eastAsia="en-US" w:bidi="ar-SA"/>
    </w:rPr>
  </w:style>
  <w:style w:type="character" w:customStyle="1" w:styleId="CharChar11">
    <w:name w:val="Char Char11"/>
    <w:rsid w:val="00773B28"/>
    <w:rPr>
      <w:sz w:val="24"/>
      <w:lang w:val="en-US" w:eastAsia="en-US" w:bidi="ar-SA"/>
    </w:rPr>
  </w:style>
  <w:style w:type="character" w:customStyle="1" w:styleId="CharCharCharChar2">
    <w:name w:val="Char Char Char Char2"/>
    <w:aliases w:val="Char Char Char Char Char Char1,Char1 Char Char Char1,Body Text Char2 Char Char Char,Body Text Char2 Char Char Char Char Char Char Char Char Char Char Char Char,Body Text Char2 Char Char1, Char Char Char Char Char Char1"/>
    <w:rsid w:val="00773B28"/>
    <w:rPr>
      <w:iCs/>
      <w:sz w:val="24"/>
      <w:lang w:val="en-US" w:eastAsia="en-US" w:bidi="ar-SA"/>
    </w:rPr>
  </w:style>
  <w:style w:type="character" w:customStyle="1" w:styleId="CharChar41">
    <w:name w:val="Char Char41"/>
    <w:rsid w:val="00773B28"/>
    <w:rPr>
      <w:sz w:val="24"/>
      <w:lang w:val="en-US" w:eastAsia="en-US" w:bidi="ar-SA"/>
    </w:rPr>
  </w:style>
  <w:style w:type="character" w:customStyle="1" w:styleId="CharCharChar21">
    <w:name w:val="Char Char Char21"/>
    <w:rsid w:val="00773B28"/>
    <w:rPr>
      <w:iCs/>
      <w:sz w:val="24"/>
      <w:lang w:val="en-US" w:eastAsia="en-US" w:bidi="ar-SA"/>
    </w:rPr>
  </w:style>
  <w:style w:type="character" w:customStyle="1" w:styleId="BodyText1Char">
    <w:name w:val="Body Text1 Char"/>
    <w:aliases w:val="Char11 Char,Char Char Char Char Char Char Char Char Char Char Char Char Char Char Char Char Char Char Char Char Char Char Char Char, Char11 Char"/>
    <w:rsid w:val="00773B28"/>
    <w:rPr>
      <w:iCs/>
      <w:sz w:val="24"/>
      <w:lang w:val="en-US" w:eastAsia="en-US" w:bidi="ar-SA"/>
    </w:rPr>
  </w:style>
  <w:style w:type="character" w:customStyle="1" w:styleId="TextChar">
    <w:name w:val="Text Char"/>
    <w:rsid w:val="00773B28"/>
    <w:rPr>
      <w:iCs/>
      <w:sz w:val="24"/>
      <w:lang w:val="en-US" w:eastAsia="en-US" w:bidi="ar-SA"/>
    </w:rPr>
  </w:style>
  <w:style w:type="table" w:customStyle="1" w:styleId="VariableTable">
    <w:name w:val="Variable Table"/>
    <w:basedOn w:val="TableNormal"/>
    <w:rsid w:val="00773B28"/>
    <w:rPr>
      <w:rFonts w:ascii="Times New Roman" w:eastAsia="Times New Roman" w:hAnsi="Times New Roman"/>
    </w:rPr>
    <w:tblPr>
      <w:tblInd w:w="0" w:type="nil"/>
    </w:tblPr>
  </w:style>
  <w:style w:type="table" w:customStyle="1" w:styleId="TableGrid1">
    <w:name w:val="Table Grid1"/>
    <w:basedOn w:val="TableNormal"/>
    <w:rsid w:val="00773B28"/>
    <w:rPr>
      <w:rFonts w:ascii="Times New Roman" w:eastAsia="Times New Roman" w:hAnsi="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rsid w:val="00773B28"/>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
    <w:name w:val="Boxed Language1"/>
    <w:basedOn w:val="TableNormal"/>
    <w:rsid w:val="00773B28"/>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
    <w:name w:val="Formula Variable Table1"/>
    <w:basedOn w:val="TableNormal"/>
    <w:rsid w:val="00773B28"/>
    <w:rPr>
      <w:rFonts w:ascii="Times New Roman" w:eastAsia="Times New Roman" w:hAnsi="Times New Roman"/>
    </w:rPr>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equals">
    <w:name w:val="equals"/>
    <w:basedOn w:val="Normal"/>
    <w:rsid w:val="00773B28"/>
    <w:pPr>
      <w:spacing w:after="240"/>
      <w:ind w:left="3168" w:hanging="2880"/>
    </w:pPr>
    <w:rPr>
      <w:iCs/>
    </w:rPr>
  </w:style>
  <w:style w:type="paragraph" w:customStyle="1" w:styleId="Acronym">
    <w:name w:val="Acronym"/>
    <w:basedOn w:val="Normal"/>
    <w:rsid w:val="00773B28"/>
    <w:pPr>
      <w:tabs>
        <w:tab w:val="left" w:pos="1440"/>
      </w:tabs>
    </w:pPr>
    <w:rPr>
      <w:iCs/>
    </w:rPr>
  </w:style>
  <w:style w:type="character" w:customStyle="1" w:styleId="CharChar1">
    <w:name w:val="Char Char1"/>
    <w:rsid w:val="00D81D75"/>
    <w:rPr>
      <w:b/>
      <w:bCs/>
      <w:i/>
      <w:iCs/>
      <w:sz w:val="24"/>
      <w:szCs w:val="26"/>
      <w:lang w:val="en-US" w:eastAsia="en-US" w:bidi="ar-SA"/>
    </w:rPr>
  </w:style>
  <w:style w:type="character" w:customStyle="1" w:styleId="Char2CharCharCharCharChar">
    <w:name w:val="Char2 Char Char Char Char Char"/>
    <w:aliases w:val=" Char2 Char Char Char"/>
    <w:rsid w:val="00D81D75"/>
    <w:rPr>
      <w:sz w:val="24"/>
      <w:lang w:val="en-US" w:eastAsia="en-US" w:bidi="ar-SA"/>
    </w:rPr>
  </w:style>
  <w:style w:type="character" w:customStyle="1" w:styleId="CharCharCharChar">
    <w:name w:val="Char Char Char Char"/>
    <w:aliases w:val="Body Text Char2 Char Char"/>
    <w:rsid w:val="00D81D75"/>
    <w:rPr>
      <w:iCs/>
      <w:sz w:val="24"/>
      <w:lang w:val="en-US" w:eastAsia="en-US" w:bidi="ar-SA"/>
    </w:rPr>
  </w:style>
  <w:style w:type="character" w:styleId="Strong">
    <w:name w:val="Strong"/>
    <w:qFormat/>
    <w:rsid w:val="00D81D75"/>
    <w:rPr>
      <w:b/>
      <w:bCs/>
    </w:rPr>
  </w:style>
  <w:style w:type="paragraph" w:customStyle="1" w:styleId="BulletIndent2">
    <w:name w:val="Bullet Indent 2"/>
    <w:basedOn w:val="BulletIndent"/>
    <w:rsid w:val="00D81D75"/>
    <w:pPr>
      <w:numPr>
        <w:numId w:val="0"/>
      </w:numPr>
      <w:tabs>
        <w:tab w:val="left" w:pos="2520"/>
      </w:tabs>
      <w:ind w:left="2520" w:hanging="547"/>
    </w:pPr>
    <w:rPr>
      <w:rFonts w:ascii="Times New Roman" w:eastAsia="Times New Roman" w:hAnsi="Times New Roman"/>
    </w:rPr>
  </w:style>
  <w:style w:type="character" w:customStyle="1" w:styleId="ListCharChar1">
    <w:name w:val="List Char Char1"/>
    <w:rsid w:val="00D81D75"/>
    <w:rPr>
      <w:sz w:val="24"/>
      <w:lang w:val="en-US" w:eastAsia="en-US" w:bidi="ar-SA"/>
    </w:rPr>
  </w:style>
  <w:style w:type="character" w:customStyle="1" w:styleId="UnresolvedMention1">
    <w:name w:val="Unresolved Mention1"/>
    <w:basedOn w:val="DefaultParagraphFont"/>
    <w:uiPriority w:val="99"/>
    <w:semiHidden/>
    <w:unhideWhenUsed/>
    <w:rsid w:val="00D81D75"/>
    <w:rPr>
      <w:color w:val="605E5C"/>
      <w:shd w:val="clear" w:color="auto" w:fill="E1DFDD"/>
    </w:rPr>
  </w:style>
  <w:style w:type="table" w:customStyle="1" w:styleId="BoxedLanguage2">
    <w:name w:val="Boxed Language2"/>
    <w:basedOn w:val="TableNormal"/>
    <w:rsid w:val="00D81D75"/>
    <w:rPr>
      <w:rFonts w:ascii="Times New Roman" w:eastAsia="Times New Roman" w:hAnsi="Times New Roma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2">
    <w:name w:val="Formula Variable Table2"/>
    <w:basedOn w:val="TableNormal"/>
    <w:rsid w:val="00D81D75"/>
    <w:rPr>
      <w:rFonts w:ascii="Times New Roman" w:eastAsia="Times New Roman" w:hAnsi="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
    <w:name w:val="Table Grid3"/>
    <w:basedOn w:val="TableNormal"/>
    <w:next w:val="TableGrid"/>
    <w:rsid w:val="00D81D7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1">
    <w:name w:val="Variable Table1"/>
    <w:basedOn w:val="TableNormal"/>
    <w:rsid w:val="00D81D75"/>
    <w:rPr>
      <w:rFonts w:ascii="Times New Roman" w:eastAsia="Times New Roman" w:hAnsi="Times New Roman"/>
    </w:rPr>
    <w:tblPr/>
  </w:style>
  <w:style w:type="table" w:customStyle="1" w:styleId="TableGrid11">
    <w:name w:val="Table Grid11"/>
    <w:basedOn w:val="TableNormal"/>
    <w:next w:val="TableGrid"/>
    <w:rsid w:val="00D81D75"/>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BoxedLanguage3">
    <w:name w:val="Boxed Language3"/>
    <w:basedOn w:val="TableNormal"/>
    <w:rsid w:val="00D81D75"/>
    <w:rPr>
      <w:rFonts w:ascii="Times New Roman" w:eastAsia="Times New Roman" w:hAnsi="Times New Roma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3">
    <w:name w:val="Formula Variable Table3"/>
    <w:basedOn w:val="TableNormal"/>
    <w:rsid w:val="00D81D75"/>
    <w:rPr>
      <w:rFonts w:ascii="Times New Roman" w:eastAsia="Times New Roman" w:hAnsi="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
    <w:name w:val="Table Grid4"/>
    <w:basedOn w:val="TableNormal"/>
    <w:next w:val="TableGrid"/>
    <w:rsid w:val="00D81D7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2">
    <w:name w:val="Variable Table2"/>
    <w:basedOn w:val="TableNormal"/>
    <w:rsid w:val="00D81D75"/>
    <w:rPr>
      <w:rFonts w:ascii="Times New Roman" w:eastAsia="Times New Roman" w:hAnsi="Times New Roman"/>
    </w:rPr>
    <w:tblPr/>
  </w:style>
  <w:style w:type="table" w:customStyle="1" w:styleId="TableGrid12">
    <w:name w:val="Table Grid12"/>
    <w:basedOn w:val="TableNormal"/>
    <w:next w:val="TableGrid"/>
    <w:rsid w:val="00D81D75"/>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next w:val="TableGrid"/>
    <w:rsid w:val="00D81D7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1">
    <w:name w:val="Boxed Language11"/>
    <w:basedOn w:val="TableNormal"/>
    <w:rsid w:val="00D81D75"/>
    <w:rPr>
      <w:rFonts w:ascii="Times New Roman" w:eastAsia="Times New Roman" w:hAnsi="Times New Roma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1">
    <w:name w:val="Formula Variable Table11"/>
    <w:basedOn w:val="TableNormal"/>
    <w:rsid w:val="00D81D75"/>
    <w:rPr>
      <w:rFonts w:ascii="Times New Roman" w:eastAsia="Times New Roman" w:hAnsi="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character" w:styleId="UnresolvedMention">
    <w:name w:val="Unresolved Mention"/>
    <w:basedOn w:val="DefaultParagraphFont"/>
    <w:uiPriority w:val="99"/>
    <w:semiHidden/>
    <w:unhideWhenUsed/>
    <w:rsid w:val="00E4313A"/>
    <w:rPr>
      <w:color w:val="605E5C"/>
      <w:shd w:val="clear" w:color="auto" w:fill="E1DFDD"/>
    </w:rPr>
  </w:style>
  <w:style w:type="character" w:customStyle="1" w:styleId="BodyTextIndentChar2">
    <w:name w:val="Body Text Indent Char2"/>
    <w:aliases w:val=" Char Char2"/>
    <w:basedOn w:val="DefaultParagraphFont"/>
    <w:rsid w:val="00567A2A"/>
    <w:rPr>
      <w:iCs/>
      <w:sz w:val="24"/>
    </w:rPr>
  </w:style>
  <w:style w:type="table" w:customStyle="1" w:styleId="FormulaVariableTable111">
    <w:name w:val="Formula Variable Table111"/>
    <w:basedOn w:val="TableNormal"/>
    <w:rsid w:val="00567A2A"/>
    <w:rPr>
      <w:rFonts w:ascii="Times New Roman" w:eastAsia="Times New Roman" w:hAnsi="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5">
    <w:name w:val="Table Grid5"/>
    <w:basedOn w:val="TableNormal"/>
    <w:next w:val="TableGrid"/>
    <w:rsid w:val="00567A2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4">
    <w:name w:val="Boxed Language4"/>
    <w:basedOn w:val="TableNormal"/>
    <w:rsid w:val="00567A2A"/>
    <w:rPr>
      <w:rFonts w:ascii="Times New Roman" w:eastAsia="Times New Roman" w:hAnsi="Times New Roma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4">
    <w:name w:val="Formula Variable Table4"/>
    <w:basedOn w:val="TableNormal"/>
    <w:rsid w:val="00567A2A"/>
    <w:rPr>
      <w:rFonts w:ascii="Times New Roman" w:eastAsia="Times New Roman" w:hAnsi="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VariableTable3">
    <w:name w:val="Variable Table3"/>
    <w:basedOn w:val="TableNormal"/>
    <w:rsid w:val="00567A2A"/>
    <w:rPr>
      <w:rFonts w:ascii="Times New Roman" w:eastAsia="Times New Roman" w:hAnsi="Times New Roman"/>
    </w:rPr>
    <w:tblPr>
      <w:tblInd w:w="0" w:type="nil"/>
    </w:tblPr>
  </w:style>
  <w:style w:type="table" w:customStyle="1" w:styleId="TableGrid13">
    <w:name w:val="Table Grid13"/>
    <w:basedOn w:val="TableNormal"/>
    <w:rsid w:val="00567A2A"/>
    <w:rPr>
      <w:rFonts w:ascii="Times New Roman" w:eastAsia="Times New Roman" w:hAnsi="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
    <w:name w:val="Table Grid22"/>
    <w:basedOn w:val="TableNormal"/>
    <w:rsid w:val="00567A2A"/>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2">
    <w:name w:val="Boxed Language12"/>
    <w:basedOn w:val="TableNormal"/>
    <w:rsid w:val="00567A2A"/>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2">
    <w:name w:val="Formula Variable Table12"/>
    <w:basedOn w:val="TableNormal"/>
    <w:rsid w:val="00567A2A"/>
    <w:rPr>
      <w:rFonts w:ascii="Times New Roman" w:eastAsia="Times New Roman" w:hAnsi="Times New Roman"/>
    </w:rPr>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BoxedLanguage21">
    <w:name w:val="Boxed Language21"/>
    <w:basedOn w:val="TableNormal"/>
    <w:rsid w:val="00567A2A"/>
    <w:rPr>
      <w:rFonts w:ascii="Times New Roman" w:eastAsia="Times New Roman" w:hAnsi="Times New Roma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21">
    <w:name w:val="Formula Variable Table21"/>
    <w:basedOn w:val="TableNormal"/>
    <w:rsid w:val="00567A2A"/>
    <w:rPr>
      <w:rFonts w:ascii="Times New Roman" w:eastAsia="Times New Roman" w:hAnsi="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1">
    <w:name w:val="Table Grid31"/>
    <w:basedOn w:val="TableNormal"/>
    <w:next w:val="TableGrid"/>
    <w:rsid w:val="00567A2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11">
    <w:name w:val="Variable Table11"/>
    <w:basedOn w:val="TableNormal"/>
    <w:rsid w:val="00567A2A"/>
    <w:rPr>
      <w:rFonts w:ascii="Times New Roman" w:eastAsia="Times New Roman" w:hAnsi="Times New Roman"/>
    </w:rPr>
    <w:tblPr/>
  </w:style>
  <w:style w:type="table" w:customStyle="1" w:styleId="TableGrid111">
    <w:name w:val="Table Grid111"/>
    <w:basedOn w:val="TableNormal"/>
    <w:next w:val="TableGrid"/>
    <w:rsid w:val="00567A2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BoxedLanguage31">
    <w:name w:val="Boxed Language31"/>
    <w:basedOn w:val="TableNormal"/>
    <w:rsid w:val="00567A2A"/>
    <w:rPr>
      <w:rFonts w:ascii="Times New Roman" w:eastAsia="Times New Roman" w:hAnsi="Times New Roma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31">
    <w:name w:val="Formula Variable Table31"/>
    <w:basedOn w:val="TableNormal"/>
    <w:rsid w:val="00567A2A"/>
    <w:rPr>
      <w:rFonts w:ascii="Times New Roman" w:eastAsia="Times New Roman" w:hAnsi="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1">
    <w:name w:val="Table Grid41"/>
    <w:basedOn w:val="TableNormal"/>
    <w:next w:val="TableGrid"/>
    <w:rsid w:val="00567A2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21">
    <w:name w:val="Variable Table21"/>
    <w:basedOn w:val="TableNormal"/>
    <w:rsid w:val="00567A2A"/>
    <w:rPr>
      <w:rFonts w:ascii="Times New Roman" w:eastAsia="Times New Roman" w:hAnsi="Times New Roman"/>
    </w:rPr>
    <w:tblPr/>
  </w:style>
  <w:style w:type="table" w:customStyle="1" w:styleId="TableGrid121">
    <w:name w:val="Table Grid121"/>
    <w:basedOn w:val="TableNormal"/>
    <w:next w:val="TableGrid"/>
    <w:rsid w:val="00567A2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
    <w:name w:val="Table Grid211"/>
    <w:basedOn w:val="TableNormal"/>
    <w:next w:val="TableGrid"/>
    <w:rsid w:val="00567A2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11">
    <w:name w:val="Boxed Language111"/>
    <w:basedOn w:val="TableNormal"/>
    <w:rsid w:val="00567A2A"/>
    <w:rPr>
      <w:rFonts w:ascii="Times New Roman" w:eastAsia="Times New Roman" w:hAnsi="Times New Roma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12">
    <w:name w:val="Formula Variable Table112"/>
    <w:basedOn w:val="TableNormal"/>
    <w:rsid w:val="00567A2A"/>
    <w:rPr>
      <w:rFonts w:ascii="Times New Roman" w:eastAsia="Times New Roman" w:hAnsi="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character" w:customStyle="1" w:styleId="ui-provider">
    <w:name w:val="ui-provider"/>
    <w:basedOn w:val="DefaultParagraphFont"/>
    <w:rsid w:val="009944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1617">
      <w:bodyDiv w:val="1"/>
      <w:marLeft w:val="0"/>
      <w:marRight w:val="0"/>
      <w:marTop w:val="0"/>
      <w:marBottom w:val="0"/>
      <w:divBdr>
        <w:top w:val="none" w:sz="0" w:space="0" w:color="auto"/>
        <w:left w:val="none" w:sz="0" w:space="0" w:color="auto"/>
        <w:bottom w:val="none" w:sz="0" w:space="0" w:color="auto"/>
        <w:right w:val="none" w:sz="0" w:space="0" w:color="auto"/>
      </w:divBdr>
    </w:div>
    <w:div w:id="26223770">
      <w:bodyDiv w:val="1"/>
      <w:marLeft w:val="0"/>
      <w:marRight w:val="0"/>
      <w:marTop w:val="0"/>
      <w:marBottom w:val="0"/>
      <w:divBdr>
        <w:top w:val="none" w:sz="0" w:space="0" w:color="auto"/>
        <w:left w:val="none" w:sz="0" w:space="0" w:color="auto"/>
        <w:bottom w:val="none" w:sz="0" w:space="0" w:color="auto"/>
        <w:right w:val="none" w:sz="0" w:space="0" w:color="auto"/>
      </w:divBdr>
    </w:div>
    <w:div w:id="341973728">
      <w:bodyDiv w:val="1"/>
      <w:marLeft w:val="0"/>
      <w:marRight w:val="0"/>
      <w:marTop w:val="0"/>
      <w:marBottom w:val="0"/>
      <w:divBdr>
        <w:top w:val="none" w:sz="0" w:space="0" w:color="auto"/>
        <w:left w:val="none" w:sz="0" w:space="0" w:color="auto"/>
        <w:bottom w:val="none" w:sz="0" w:space="0" w:color="auto"/>
        <w:right w:val="none" w:sz="0" w:space="0" w:color="auto"/>
      </w:divBdr>
    </w:div>
    <w:div w:id="384067590">
      <w:bodyDiv w:val="1"/>
      <w:marLeft w:val="0"/>
      <w:marRight w:val="0"/>
      <w:marTop w:val="0"/>
      <w:marBottom w:val="0"/>
      <w:divBdr>
        <w:top w:val="none" w:sz="0" w:space="0" w:color="auto"/>
        <w:left w:val="none" w:sz="0" w:space="0" w:color="auto"/>
        <w:bottom w:val="none" w:sz="0" w:space="0" w:color="auto"/>
        <w:right w:val="none" w:sz="0" w:space="0" w:color="auto"/>
      </w:divBdr>
    </w:div>
    <w:div w:id="399984184">
      <w:bodyDiv w:val="1"/>
      <w:marLeft w:val="0"/>
      <w:marRight w:val="0"/>
      <w:marTop w:val="0"/>
      <w:marBottom w:val="0"/>
      <w:divBdr>
        <w:top w:val="none" w:sz="0" w:space="0" w:color="auto"/>
        <w:left w:val="none" w:sz="0" w:space="0" w:color="auto"/>
        <w:bottom w:val="none" w:sz="0" w:space="0" w:color="auto"/>
        <w:right w:val="none" w:sz="0" w:space="0" w:color="auto"/>
      </w:divBdr>
    </w:div>
    <w:div w:id="503475334">
      <w:bodyDiv w:val="1"/>
      <w:marLeft w:val="0"/>
      <w:marRight w:val="0"/>
      <w:marTop w:val="0"/>
      <w:marBottom w:val="0"/>
      <w:divBdr>
        <w:top w:val="none" w:sz="0" w:space="0" w:color="auto"/>
        <w:left w:val="none" w:sz="0" w:space="0" w:color="auto"/>
        <w:bottom w:val="none" w:sz="0" w:space="0" w:color="auto"/>
        <w:right w:val="none" w:sz="0" w:space="0" w:color="auto"/>
      </w:divBdr>
    </w:div>
    <w:div w:id="538201306">
      <w:bodyDiv w:val="1"/>
      <w:marLeft w:val="0"/>
      <w:marRight w:val="0"/>
      <w:marTop w:val="0"/>
      <w:marBottom w:val="0"/>
      <w:divBdr>
        <w:top w:val="none" w:sz="0" w:space="0" w:color="auto"/>
        <w:left w:val="none" w:sz="0" w:space="0" w:color="auto"/>
        <w:bottom w:val="none" w:sz="0" w:space="0" w:color="auto"/>
        <w:right w:val="none" w:sz="0" w:space="0" w:color="auto"/>
      </w:divBdr>
    </w:div>
    <w:div w:id="564294947">
      <w:bodyDiv w:val="1"/>
      <w:marLeft w:val="0"/>
      <w:marRight w:val="0"/>
      <w:marTop w:val="0"/>
      <w:marBottom w:val="0"/>
      <w:divBdr>
        <w:top w:val="none" w:sz="0" w:space="0" w:color="auto"/>
        <w:left w:val="none" w:sz="0" w:space="0" w:color="auto"/>
        <w:bottom w:val="none" w:sz="0" w:space="0" w:color="auto"/>
        <w:right w:val="none" w:sz="0" w:space="0" w:color="auto"/>
      </w:divBdr>
    </w:div>
    <w:div w:id="740442591">
      <w:bodyDiv w:val="1"/>
      <w:marLeft w:val="0"/>
      <w:marRight w:val="0"/>
      <w:marTop w:val="0"/>
      <w:marBottom w:val="0"/>
      <w:divBdr>
        <w:top w:val="none" w:sz="0" w:space="0" w:color="auto"/>
        <w:left w:val="none" w:sz="0" w:space="0" w:color="auto"/>
        <w:bottom w:val="none" w:sz="0" w:space="0" w:color="auto"/>
        <w:right w:val="none" w:sz="0" w:space="0" w:color="auto"/>
      </w:divBdr>
    </w:div>
    <w:div w:id="976958186">
      <w:bodyDiv w:val="1"/>
      <w:marLeft w:val="0"/>
      <w:marRight w:val="0"/>
      <w:marTop w:val="0"/>
      <w:marBottom w:val="0"/>
      <w:divBdr>
        <w:top w:val="none" w:sz="0" w:space="0" w:color="auto"/>
        <w:left w:val="none" w:sz="0" w:space="0" w:color="auto"/>
        <w:bottom w:val="none" w:sz="0" w:space="0" w:color="auto"/>
        <w:right w:val="none" w:sz="0" w:space="0" w:color="auto"/>
      </w:divBdr>
    </w:div>
    <w:div w:id="1006714655">
      <w:bodyDiv w:val="1"/>
      <w:marLeft w:val="0"/>
      <w:marRight w:val="0"/>
      <w:marTop w:val="0"/>
      <w:marBottom w:val="0"/>
      <w:divBdr>
        <w:top w:val="none" w:sz="0" w:space="0" w:color="auto"/>
        <w:left w:val="none" w:sz="0" w:space="0" w:color="auto"/>
        <w:bottom w:val="none" w:sz="0" w:space="0" w:color="auto"/>
        <w:right w:val="none" w:sz="0" w:space="0" w:color="auto"/>
      </w:divBdr>
    </w:div>
    <w:div w:id="1193885112">
      <w:bodyDiv w:val="1"/>
      <w:marLeft w:val="0"/>
      <w:marRight w:val="0"/>
      <w:marTop w:val="0"/>
      <w:marBottom w:val="0"/>
      <w:divBdr>
        <w:top w:val="none" w:sz="0" w:space="0" w:color="auto"/>
        <w:left w:val="none" w:sz="0" w:space="0" w:color="auto"/>
        <w:bottom w:val="none" w:sz="0" w:space="0" w:color="auto"/>
        <w:right w:val="none" w:sz="0" w:space="0" w:color="auto"/>
      </w:divBdr>
    </w:div>
    <w:div w:id="1278902238">
      <w:bodyDiv w:val="1"/>
      <w:marLeft w:val="0"/>
      <w:marRight w:val="0"/>
      <w:marTop w:val="0"/>
      <w:marBottom w:val="0"/>
      <w:divBdr>
        <w:top w:val="none" w:sz="0" w:space="0" w:color="auto"/>
        <w:left w:val="none" w:sz="0" w:space="0" w:color="auto"/>
        <w:bottom w:val="none" w:sz="0" w:space="0" w:color="auto"/>
        <w:right w:val="none" w:sz="0" w:space="0" w:color="auto"/>
      </w:divBdr>
    </w:div>
    <w:div w:id="1350912899">
      <w:bodyDiv w:val="1"/>
      <w:marLeft w:val="0"/>
      <w:marRight w:val="0"/>
      <w:marTop w:val="0"/>
      <w:marBottom w:val="0"/>
      <w:divBdr>
        <w:top w:val="none" w:sz="0" w:space="0" w:color="auto"/>
        <w:left w:val="none" w:sz="0" w:space="0" w:color="auto"/>
        <w:bottom w:val="none" w:sz="0" w:space="0" w:color="auto"/>
        <w:right w:val="none" w:sz="0" w:space="0" w:color="auto"/>
      </w:divBdr>
    </w:div>
    <w:div w:id="1428772245">
      <w:bodyDiv w:val="1"/>
      <w:marLeft w:val="0"/>
      <w:marRight w:val="0"/>
      <w:marTop w:val="0"/>
      <w:marBottom w:val="0"/>
      <w:divBdr>
        <w:top w:val="none" w:sz="0" w:space="0" w:color="auto"/>
        <w:left w:val="none" w:sz="0" w:space="0" w:color="auto"/>
        <w:bottom w:val="none" w:sz="0" w:space="0" w:color="auto"/>
        <w:right w:val="none" w:sz="0" w:space="0" w:color="auto"/>
      </w:divBdr>
    </w:div>
    <w:div w:id="1545022755">
      <w:bodyDiv w:val="1"/>
      <w:marLeft w:val="0"/>
      <w:marRight w:val="0"/>
      <w:marTop w:val="0"/>
      <w:marBottom w:val="0"/>
      <w:divBdr>
        <w:top w:val="none" w:sz="0" w:space="0" w:color="auto"/>
        <w:left w:val="none" w:sz="0" w:space="0" w:color="auto"/>
        <w:bottom w:val="none" w:sz="0" w:space="0" w:color="auto"/>
        <w:right w:val="none" w:sz="0" w:space="0" w:color="auto"/>
      </w:divBdr>
    </w:div>
    <w:div w:id="1658535008">
      <w:bodyDiv w:val="1"/>
      <w:marLeft w:val="0"/>
      <w:marRight w:val="0"/>
      <w:marTop w:val="0"/>
      <w:marBottom w:val="0"/>
      <w:divBdr>
        <w:top w:val="none" w:sz="0" w:space="0" w:color="auto"/>
        <w:left w:val="none" w:sz="0" w:space="0" w:color="auto"/>
        <w:bottom w:val="none" w:sz="0" w:space="0" w:color="auto"/>
        <w:right w:val="none" w:sz="0" w:space="0" w:color="auto"/>
      </w:divBdr>
    </w:div>
    <w:div w:id="1692612079">
      <w:bodyDiv w:val="1"/>
      <w:marLeft w:val="0"/>
      <w:marRight w:val="0"/>
      <w:marTop w:val="0"/>
      <w:marBottom w:val="0"/>
      <w:divBdr>
        <w:top w:val="none" w:sz="0" w:space="0" w:color="auto"/>
        <w:left w:val="none" w:sz="0" w:space="0" w:color="auto"/>
        <w:bottom w:val="none" w:sz="0" w:space="0" w:color="auto"/>
        <w:right w:val="none" w:sz="0" w:space="0" w:color="auto"/>
      </w:divBdr>
    </w:div>
    <w:div w:id="1708212023">
      <w:bodyDiv w:val="1"/>
      <w:marLeft w:val="0"/>
      <w:marRight w:val="0"/>
      <w:marTop w:val="0"/>
      <w:marBottom w:val="0"/>
      <w:divBdr>
        <w:top w:val="none" w:sz="0" w:space="0" w:color="auto"/>
        <w:left w:val="none" w:sz="0" w:space="0" w:color="auto"/>
        <w:bottom w:val="none" w:sz="0" w:space="0" w:color="auto"/>
        <w:right w:val="none" w:sz="0" w:space="0" w:color="auto"/>
      </w:divBdr>
    </w:div>
    <w:div w:id="1839071953">
      <w:bodyDiv w:val="1"/>
      <w:marLeft w:val="0"/>
      <w:marRight w:val="0"/>
      <w:marTop w:val="0"/>
      <w:marBottom w:val="0"/>
      <w:divBdr>
        <w:top w:val="none" w:sz="0" w:space="0" w:color="auto"/>
        <w:left w:val="none" w:sz="0" w:space="0" w:color="auto"/>
        <w:bottom w:val="none" w:sz="0" w:space="0" w:color="auto"/>
        <w:right w:val="none" w:sz="0" w:space="0" w:color="auto"/>
      </w:divBdr>
    </w:div>
    <w:div w:id="1843624201">
      <w:bodyDiv w:val="1"/>
      <w:marLeft w:val="0"/>
      <w:marRight w:val="0"/>
      <w:marTop w:val="0"/>
      <w:marBottom w:val="0"/>
      <w:divBdr>
        <w:top w:val="none" w:sz="0" w:space="0" w:color="auto"/>
        <w:left w:val="none" w:sz="0" w:space="0" w:color="auto"/>
        <w:bottom w:val="none" w:sz="0" w:space="0" w:color="auto"/>
        <w:right w:val="none" w:sz="0" w:space="0" w:color="auto"/>
      </w:divBdr>
    </w:div>
    <w:div w:id="1847288253">
      <w:bodyDiv w:val="1"/>
      <w:marLeft w:val="0"/>
      <w:marRight w:val="0"/>
      <w:marTop w:val="0"/>
      <w:marBottom w:val="0"/>
      <w:divBdr>
        <w:top w:val="none" w:sz="0" w:space="0" w:color="auto"/>
        <w:left w:val="none" w:sz="0" w:space="0" w:color="auto"/>
        <w:bottom w:val="none" w:sz="0" w:space="0" w:color="auto"/>
        <w:right w:val="none" w:sz="0" w:space="0" w:color="auto"/>
      </w:divBdr>
    </w:div>
    <w:div w:id="1904833385">
      <w:bodyDiv w:val="1"/>
      <w:marLeft w:val="0"/>
      <w:marRight w:val="0"/>
      <w:marTop w:val="0"/>
      <w:marBottom w:val="0"/>
      <w:divBdr>
        <w:top w:val="none" w:sz="0" w:space="0" w:color="auto"/>
        <w:left w:val="none" w:sz="0" w:space="0" w:color="auto"/>
        <w:bottom w:val="none" w:sz="0" w:space="0" w:color="auto"/>
        <w:right w:val="none" w:sz="0" w:space="0" w:color="auto"/>
      </w:divBdr>
    </w:div>
    <w:div w:id="1915579373">
      <w:bodyDiv w:val="1"/>
      <w:marLeft w:val="0"/>
      <w:marRight w:val="0"/>
      <w:marTop w:val="0"/>
      <w:marBottom w:val="0"/>
      <w:divBdr>
        <w:top w:val="none" w:sz="0" w:space="0" w:color="auto"/>
        <w:left w:val="none" w:sz="0" w:space="0" w:color="auto"/>
        <w:bottom w:val="none" w:sz="0" w:space="0" w:color="auto"/>
        <w:right w:val="none" w:sz="0" w:space="0" w:color="auto"/>
      </w:divBdr>
    </w:div>
    <w:div w:id="2138601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82.bin"/><Relationship Id="rId299" Type="http://schemas.openxmlformats.org/officeDocument/2006/relationships/oleObject" Target="embeddings/oleObject210.bin"/><Relationship Id="rId21" Type="http://schemas.openxmlformats.org/officeDocument/2006/relationships/oleObject" Target="embeddings/oleObject4.bin"/><Relationship Id="rId63" Type="http://schemas.openxmlformats.org/officeDocument/2006/relationships/oleObject" Target="embeddings/oleObject39.bin"/><Relationship Id="rId159" Type="http://schemas.openxmlformats.org/officeDocument/2006/relationships/oleObject" Target="embeddings/oleObject109.bin"/><Relationship Id="rId324" Type="http://schemas.openxmlformats.org/officeDocument/2006/relationships/oleObject" Target="embeddings/oleObject226.bin"/><Relationship Id="rId366" Type="http://schemas.openxmlformats.org/officeDocument/2006/relationships/oleObject" Target="embeddings/oleObject263.bin"/><Relationship Id="rId170" Type="http://schemas.openxmlformats.org/officeDocument/2006/relationships/oleObject" Target="embeddings/oleObject117.bin"/><Relationship Id="rId226" Type="http://schemas.openxmlformats.org/officeDocument/2006/relationships/image" Target="media/image60.wmf"/><Relationship Id="rId268" Type="http://schemas.openxmlformats.org/officeDocument/2006/relationships/oleObject" Target="embeddings/oleObject186.bin"/><Relationship Id="rId32" Type="http://schemas.openxmlformats.org/officeDocument/2006/relationships/oleObject" Target="embeddings/oleObject11.bin"/><Relationship Id="rId74" Type="http://schemas.openxmlformats.org/officeDocument/2006/relationships/oleObject" Target="embeddings/oleObject48.bin"/><Relationship Id="rId128" Type="http://schemas.openxmlformats.org/officeDocument/2006/relationships/oleObject" Target="embeddings/oleObject88.bin"/><Relationship Id="rId335" Type="http://schemas.openxmlformats.org/officeDocument/2006/relationships/oleObject" Target="embeddings/oleObject233.bin"/><Relationship Id="rId377" Type="http://schemas.openxmlformats.org/officeDocument/2006/relationships/fontTable" Target="fontTable.xml"/><Relationship Id="rId5" Type="http://schemas.openxmlformats.org/officeDocument/2006/relationships/webSettings" Target="webSettings.xml"/><Relationship Id="rId181" Type="http://schemas.openxmlformats.org/officeDocument/2006/relationships/oleObject" Target="embeddings/oleObject125.bin"/><Relationship Id="rId237" Type="http://schemas.openxmlformats.org/officeDocument/2006/relationships/oleObject" Target="embeddings/oleObject160.bin"/><Relationship Id="rId279" Type="http://schemas.openxmlformats.org/officeDocument/2006/relationships/image" Target="media/image71.wmf"/><Relationship Id="rId43" Type="http://schemas.openxmlformats.org/officeDocument/2006/relationships/image" Target="media/image11.wmf"/><Relationship Id="rId139" Type="http://schemas.openxmlformats.org/officeDocument/2006/relationships/oleObject" Target="embeddings/oleObject97.bin"/><Relationship Id="rId290" Type="http://schemas.openxmlformats.org/officeDocument/2006/relationships/image" Target="media/image75.wmf"/><Relationship Id="rId304" Type="http://schemas.openxmlformats.org/officeDocument/2006/relationships/oleObject" Target="embeddings/oleObject213.bin"/><Relationship Id="rId346" Type="http://schemas.openxmlformats.org/officeDocument/2006/relationships/oleObject" Target="embeddings/oleObject243.bin"/><Relationship Id="rId85" Type="http://schemas.openxmlformats.org/officeDocument/2006/relationships/image" Target="media/image17.wmf"/><Relationship Id="rId150" Type="http://schemas.openxmlformats.org/officeDocument/2006/relationships/oleObject" Target="embeddings/oleObject104.bin"/><Relationship Id="rId192" Type="http://schemas.openxmlformats.org/officeDocument/2006/relationships/oleObject" Target="embeddings/oleObject135.bin"/><Relationship Id="rId206" Type="http://schemas.openxmlformats.org/officeDocument/2006/relationships/oleObject" Target="embeddings/oleObject142.bin"/><Relationship Id="rId248" Type="http://schemas.openxmlformats.org/officeDocument/2006/relationships/image" Target="media/image67.wmf"/><Relationship Id="rId12" Type="http://schemas.openxmlformats.org/officeDocument/2006/relationships/footer" Target="footer3.xml"/><Relationship Id="rId108" Type="http://schemas.openxmlformats.org/officeDocument/2006/relationships/oleObject" Target="embeddings/oleObject76.bin"/><Relationship Id="rId315" Type="http://schemas.openxmlformats.org/officeDocument/2006/relationships/image" Target="media/image85.wmf"/><Relationship Id="rId357" Type="http://schemas.openxmlformats.org/officeDocument/2006/relationships/oleObject" Target="embeddings/oleObject254.bin"/><Relationship Id="rId54" Type="http://schemas.openxmlformats.org/officeDocument/2006/relationships/oleObject" Target="embeddings/oleObject30.bin"/><Relationship Id="rId96" Type="http://schemas.openxmlformats.org/officeDocument/2006/relationships/oleObject" Target="embeddings/oleObject66.bin"/><Relationship Id="rId161" Type="http://schemas.openxmlformats.org/officeDocument/2006/relationships/oleObject" Target="embeddings/oleObject110.bin"/><Relationship Id="rId217" Type="http://schemas.openxmlformats.org/officeDocument/2006/relationships/oleObject" Target="embeddings/oleObject150.bin"/><Relationship Id="rId259" Type="http://schemas.openxmlformats.org/officeDocument/2006/relationships/oleObject" Target="embeddings/oleObject177.bin"/><Relationship Id="rId23" Type="http://schemas.openxmlformats.org/officeDocument/2006/relationships/oleObject" Target="embeddings/oleObject5.bin"/><Relationship Id="rId119" Type="http://schemas.openxmlformats.org/officeDocument/2006/relationships/oleObject" Target="embeddings/oleObject84.bin"/><Relationship Id="rId270" Type="http://schemas.openxmlformats.org/officeDocument/2006/relationships/oleObject" Target="embeddings/oleObject188.bin"/><Relationship Id="rId326" Type="http://schemas.openxmlformats.org/officeDocument/2006/relationships/oleObject" Target="embeddings/oleObject227.bin"/><Relationship Id="rId65" Type="http://schemas.openxmlformats.org/officeDocument/2006/relationships/oleObject" Target="embeddings/oleObject41.bin"/><Relationship Id="rId130" Type="http://schemas.openxmlformats.org/officeDocument/2006/relationships/oleObject" Target="embeddings/oleObject90.bin"/><Relationship Id="rId368" Type="http://schemas.openxmlformats.org/officeDocument/2006/relationships/oleObject" Target="embeddings/oleObject265.bin"/><Relationship Id="rId172" Type="http://schemas.openxmlformats.org/officeDocument/2006/relationships/oleObject" Target="embeddings/oleObject119.bin"/><Relationship Id="rId228" Type="http://schemas.openxmlformats.org/officeDocument/2006/relationships/image" Target="media/image62.wmf"/><Relationship Id="rId281" Type="http://schemas.openxmlformats.org/officeDocument/2006/relationships/image" Target="media/image72.wmf"/><Relationship Id="rId337" Type="http://schemas.openxmlformats.org/officeDocument/2006/relationships/oleObject" Target="embeddings/oleObject235.bin"/><Relationship Id="rId34" Type="http://schemas.openxmlformats.org/officeDocument/2006/relationships/oleObject" Target="embeddings/oleObject12.bin"/><Relationship Id="rId76" Type="http://schemas.openxmlformats.org/officeDocument/2006/relationships/oleObject" Target="embeddings/oleObject50.bin"/><Relationship Id="rId141" Type="http://schemas.openxmlformats.org/officeDocument/2006/relationships/oleObject" Target="embeddings/oleObject98.bin"/><Relationship Id="rId7" Type="http://schemas.openxmlformats.org/officeDocument/2006/relationships/endnotes" Target="endnotes.xml"/><Relationship Id="rId183" Type="http://schemas.openxmlformats.org/officeDocument/2006/relationships/oleObject" Target="embeddings/oleObject127.bin"/><Relationship Id="rId239" Type="http://schemas.openxmlformats.org/officeDocument/2006/relationships/oleObject" Target="embeddings/oleObject162.bin"/><Relationship Id="rId250" Type="http://schemas.openxmlformats.org/officeDocument/2006/relationships/oleObject" Target="embeddings/oleObject171.bin"/><Relationship Id="rId292" Type="http://schemas.openxmlformats.org/officeDocument/2006/relationships/oleObject" Target="embeddings/oleObject205.bin"/><Relationship Id="rId306" Type="http://schemas.openxmlformats.org/officeDocument/2006/relationships/oleObject" Target="embeddings/oleObject214.bin"/><Relationship Id="rId45" Type="http://schemas.openxmlformats.org/officeDocument/2006/relationships/image" Target="media/image12.wmf"/><Relationship Id="rId87" Type="http://schemas.openxmlformats.org/officeDocument/2006/relationships/oleObject" Target="embeddings/oleObject58.bin"/><Relationship Id="rId110" Type="http://schemas.openxmlformats.org/officeDocument/2006/relationships/image" Target="media/image21.wmf"/><Relationship Id="rId348" Type="http://schemas.openxmlformats.org/officeDocument/2006/relationships/oleObject" Target="embeddings/oleObject245.bin"/><Relationship Id="rId152" Type="http://schemas.openxmlformats.org/officeDocument/2006/relationships/oleObject" Target="embeddings/oleObject106.bin"/><Relationship Id="rId194" Type="http://schemas.openxmlformats.org/officeDocument/2006/relationships/image" Target="media/image46.wmf"/><Relationship Id="rId208" Type="http://schemas.openxmlformats.org/officeDocument/2006/relationships/oleObject" Target="embeddings/oleObject143.bin"/><Relationship Id="rId261" Type="http://schemas.openxmlformats.org/officeDocument/2006/relationships/oleObject" Target="embeddings/oleObject179.bin"/><Relationship Id="rId14" Type="http://schemas.openxmlformats.org/officeDocument/2006/relationships/image" Target="media/image2.emf"/><Relationship Id="rId56" Type="http://schemas.openxmlformats.org/officeDocument/2006/relationships/oleObject" Target="embeddings/oleObject32.bin"/><Relationship Id="rId317" Type="http://schemas.openxmlformats.org/officeDocument/2006/relationships/image" Target="media/image86.wmf"/><Relationship Id="rId359" Type="http://schemas.openxmlformats.org/officeDocument/2006/relationships/oleObject" Target="embeddings/oleObject256.bin"/><Relationship Id="rId98" Type="http://schemas.openxmlformats.org/officeDocument/2006/relationships/oleObject" Target="embeddings/oleObject68.bin"/><Relationship Id="rId121" Type="http://schemas.openxmlformats.org/officeDocument/2006/relationships/oleObject" Target="embeddings/oleObject86.bin"/><Relationship Id="rId163" Type="http://schemas.openxmlformats.org/officeDocument/2006/relationships/oleObject" Target="embeddings/oleObject112.bin"/><Relationship Id="rId219" Type="http://schemas.openxmlformats.org/officeDocument/2006/relationships/oleObject" Target="embeddings/oleObject151.bin"/><Relationship Id="rId370" Type="http://schemas.openxmlformats.org/officeDocument/2006/relationships/image" Target="media/image92.wmf"/><Relationship Id="rId230" Type="http://schemas.openxmlformats.org/officeDocument/2006/relationships/image" Target="media/image64.wmf"/><Relationship Id="rId25" Type="http://schemas.openxmlformats.org/officeDocument/2006/relationships/oleObject" Target="embeddings/oleObject6.bin"/><Relationship Id="rId67" Type="http://schemas.openxmlformats.org/officeDocument/2006/relationships/oleObject" Target="embeddings/oleObject43.bin"/><Relationship Id="rId272" Type="http://schemas.openxmlformats.org/officeDocument/2006/relationships/oleObject" Target="embeddings/oleObject190.bin"/><Relationship Id="rId328" Type="http://schemas.openxmlformats.org/officeDocument/2006/relationships/oleObject" Target="embeddings/oleObject228.bin"/><Relationship Id="rId132" Type="http://schemas.openxmlformats.org/officeDocument/2006/relationships/oleObject" Target="embeddings/oleObject91.bin"/><Relationship Id="rId174" Type="http://schemas.openxmlformats.org/officeDocument/2006/relationships/image" Target="media/image42.wmf"/><Relationship Id="rId241" Type="http://schemas.openxmlformats.org/officeDocument/2006/relationships/image" Target="media/image66.wmf"/><Relationship Id="rId36" Type="http://schemas.openxmlformats.org/officeDocument/2006/relationships/oleObject" Target="embeddings/oleObject14.bin"/><Relationship Id="rId283" Type="http://schemas.openxmlformats.org/officeDocument/2006/relationships/oleObject" Target="embeddings/oleObject199.bin"/><Relationship Id="rId339" Type="http://schemas.openxmlformats.org/officeDocument/2006/relationships/oleObject" Target="embeddings/oleObject236.bin"/><Relationship Id="rId78" Type="http://schemas.openxmlformats.org/officeDocument/2006/relationships/oleObject" Target="embeddings/oleObject51.bin"/><Relationship Id="rId101" Type="http://schemas.openxmlformats.org/officeDocument/2006/relationships/image" Target="media/image19.wmf"/><Relationship Id="rId143" Type="http://schemas.openxmlformats.org/officeDocument/2006/relationships/oleObject" Target="embeddings/oleObject100.bin"/><Relationship Id="rId185" Type="http://schemas.openxmlformats.org/officeDocument/2006/relationships/oleObject" Target="embeddings/oleObject128.bin"/><Relationship Id="rId350" Type="http://schemas.openxmlformats.org/officeDocument/2006/relationships/oleObject" Target="embeddings/oleObject247.bin"/><Relationship Id="rId9" Type="http://schemas.openxmlformats.org/officeDocument/2006/relationships/footer" Target="footer1.xml"/><Relationship Id="rId210" Type="http://schemas.openxmlformats.org/officeDocument/2006/relationships/oleObject" Target="embeddings/oleObject144.bin"/><Relationship Id="rId26" Type="http://schemas.openxmlformats.org/officeDocument/2006/relationships/image" Target="media/image8.wmf"/><Relationship Id="rId231" Type="http://schemas.openxmlformats.org/officeDocument/2006/relationships/oleObject" Target="embeddings/oleObject155.bin"/><Relationship Id="rId252" Type="http://schemas.openxmlformats.org/officeDocument/2006/relationships/oleObject" Target="embeddings/oleObject172.bin"/><Relationship Id="rId273" Type="http://schemas.openxmlformats.org/officeDocument/2006/relationships/oleObject" Target="embeddings/oleObject191.bin"/><Relationship Id="rId294" Type="http://schemas.openxmlformats.org/officeDocument/2006/relationships/oleObject" Target="embeddings/oleObject207.bin"/><Relationship Id="rId308" Type="http://schemas.openxmlformats.org/officeDocument/2006/relationships/image" Target="media/image82.wmf"/><Relationship Id="rId329" Type="http://schemas.openxmlformats.org/officeDocument/2006/relationships/oleObject" Target="embeddings/oleObject229.bin"/><Relationship Id="rId47" Type="http://schemas.openxmlformats.org/officeDocument/2006/relationships/oleObject" Target="embeddings/oleObject23.bin"/><Relationship Id="rId68" Type="http://schemas.openxmlformats.org/officeDocument/2006/relationships/oleObject" Target="embeddings/oleObject44.bin"/><Relationship Id="rId89" Type="http://schemas.openxmlformats.org/officeDocument/2006/relationships/oleObject" Target="embeddings/oleObject60.bin"/><Relationship Id="rId112" Type="http://schemas.openxmlformats.org/officeDocument/2006/relationships/oleObject" Target="embeddings/oleObject79.bin"/><Relationship Id="rId133" Type="http://schemas.openxmlformats.org/officeDocument/2006/relationships/oleObject" Target="embeddings/oleObject92.bin"/><Relationship Id="rId154" Type="http://schemas.openxmlformats.org/officeDocument/2006/relationships/image" Target="media/image36.wmf"/><Relationship Id="rId175" Type="http://schemas.openxmlformats.org/officeDocument/2006/relationships/oleObject" Target="embeddings/oleObject121.bin"/><Relationship Id="rId340" Type="http://schemas.openxmlformats.org/officeDocument/2006/relationships/oleObject" Target="embeddings/oleObject237.bin"/><Relationship Id="rId361" Type="http://schemas.openxmlformats.org/officeDocument/2006/relationships/oleObject" Target="embeddings/oleObject258.bin"/><Relationship Id="rId196" Type="http://schemas.openxmlformats.org/officeDocument/2006/relationships/image" Target="media/image47.wmf"/><Relationship Id="rId200" Type="http://schemas.openxmlformats.org/officeDocument/2006/relationships/oleObject" Target="embeddings/oleObject139.bin"/><Relationship Id="rId16" Type="http://schemas.openxmlformats.org/officeDocument/2006/relationships/oleObject" Target="embeddings/oleObject1.bin"/><Relationship Id="rId221" Type="http://schemas.openxmlformats.org/officeDocument/2006/relationships/oleObject" Target="embeddings/oleObject152.bin"/><Relationship Id="rId242" Type="http://schemas.openxmlformats.org/officeDocument/2006/relationships/oleObject" Target="embeddings/oleObject164.bin"/><Relationship Id="rId263" Type="http://schemas.openxmlformats.org/officeDocument/2006/relationships/oleObject" Target="embeddings/oleObject181.bin"/><Relationship Id="rId284" Type="http://schemas.openxmlformats.org/officeDocument/2006/relationships/image" Target="media/image73.wmf"/><Relationship Id="rId319" Type="http://schemas.openxmlformats.org/officeDocument/2006/relationships/oleObject" Target="embeddings/oleObject221.bin"/><Relationship Id="rId37" Type="http://schemas.openxmlformats.org/officeDocument/2006/relationships/oleObject" Target="embeddings/oleObject15.bin"/><Relationship Id="rId58" Type="http://schemas.openxmlformats.org/officeDocument/2006/relationships/oleObject" Target="embeddings/oleObject34.bin"/><Relationship Id="rId79" Type="http://schemas.openxmlformats.org/officeDocument/2006/relationships/image" Target="media/image16.wmf"/><Relationship Id="rId102" Type="http://schemas.openxmlformats.org/officeDocument/2006/relationships/oleObject" Target="embeddings/oleObject71.bin"/><Relationship Id="rId123" Type="http://schemas.openxmlformats.org/officeDocument/2006/relationships/image" Target="media/image25.png"/><Relationship Id="rId144" Type="http://schemas.openxmlformats.org/officeDocument/2006/relationships/oleObject" Target="embeddings/oleObject101.bin"/><Relationship Id="rId330" Type="http://schemas.openxmlformats.org/officeDocument/2006/relationships/image" Target="media/image89.wmf"/><Relationship Id="rId90" Type="http://schemas.openxmlformats.org/officeDocument/2006/relationships/oleObject" Target="embeddings/oleObject61.bin"/><Relationship Id="rId165" Type="http://schemas.openxmlformats.org/officeDocument/2006/relationships/oleObject" Target="embeddings/oleObject113.bin"/><Relationship Id="rId186" Type="http://schemas.openxmlformats.org/officeDocument/2006/relationships/oleObject" Target="embeddings/oleObject129.bin"/><Relationship Id="rId351" Type="http://schemas.openxmlformats.org/officeDocument/2006/relationships/oleObject" Target="embeddings/oleObject248.bin"/><Relationship Id="rId372" Type="http://schemas.openxmlformats.org/officeDocument/2006/relationships/image" Target="media/image94.wmf"/><Relationship Id="rId211" Type="http://schemas.openxmlformats.org/officeDocument/2006/relationships/image" Target="media/image55.wmf"/><Relationship Id="rId232" Type="http://schemas.openxmlformats.org/officeDocument/2006/relationships/oleObject" Target="embeddings/oleObject156.bin"/><Relationship Id="rId253" Type="http://schemas.openxmlformats.org/officeDocument/2006/relationships/image" Target="media/image69.wmf"/><Relationship Id="rId274" Type="http://schemas.openxmlformats.org/officeDocument/2006/relationships/oleObject" Target="embeddings/oleObject192.bin"/><Relationship Id="rId295" Type="http://schemas.openxmlformats.org/officeDocument/2006/relationships/oleObject" Target="embeddings/oleObject208.bin"/><Relationship Id="rId309" Type="http://schemas.openxmlformats.org/officeDocument/2006/relationships/oleObject" Target="embeddings/oleObject215.bin"/><Relationship Id="rId27" Type="http://schemas.openxmlformats.org/officeDocument/2006/relationships/oleObject" Target="embeddings/oleObject7.bin"/><Relationship Id="rId48" Type="http://schemas.openxmlformats.org/officeDocument/2006/relationships/oleObject" Target="embeddings/oleObject24.bin"/><Relationship Id="rId69" Type="http://schemas.openxmlformats.org/officeDocument/2006/relationships/oleObject" Target="embeddings/oleObject45.bin"/><Relationship Id="rId113" Type="http://schemas.openxmlformats.org/officeDocument/2006/relationships/image" Target="media/image22.wmf"/><Relationship Id="rId134" Type="http://schemas.openxmlformats.org/officeDocument/2006/relationships/image" Target="media/image30.wmf"/><Relationship Id="rId320" Type="http://schemas.openxmlformats.org/officeDocument/2006/relationships/oleObject" Target="embeddings/oleObject222.bin"/><Relationship Id="rId80" Type="http://schemas.openxmlformats.org/officeDocument/2006/relationships/oleObject" Target="embeddings/oleObject52.bin"/><Relationship Id="rId155" Type="http://schemas.openxmlformats.org/officeDocument/2006/relationships/image" Target="media/image37.wmf"/><Relationship Id="rId176" Type="http://schemas.openxmlformats.org/officeDocument/2006/relationships/image" Target="media/image43.wmf"/><Relationship Id="rId197" Type="http://schemas.openxmlformats.org/officeDocument/2006/relationships/oleObject" Target="embeddings/oleObject138.bin"/><Relationship Id="rId341" Type="http://schemas.openxmlformats.org/officeDocument/2006/relationships/oleObject" Target="embeddings/oleObject238.bin"/><Relationship Id="rId362" Type="http://schemas.openxmlformats.org/officeDocument/2006/relationships/oleObject" Target="embeddings/oleObject259.bin"/><Relationship Id="rId201" Type="http://schemas.openxmlformats.org/officeDocument/2006/relationships/image" Target="media/image50.wmf"/><Relationship Id="rId222" Type="http://schemas.openxmlformats.org/officeDocument/2006/relationships/oleObject" Target="embeddings/oleObject153.bin"/><Relationship Id="rId243" Type="http://schemas.openxmlformats.org/officeDocument/2006/relationships/oleObject" Target="embeddings/oleObject165.bin"/><Relationship Id="rId264" Type="http://schemas.openxmlformats.org/officeDocument/2006/relationships/oleObject" Target="embeddings/oleObject182.bin"/><Relationship Id="rId285" Type="http://schemas.openxmlformats.org/officeDocument/2006/relationships/oleObject" Target="embeddings/oleObject200.bin"/><Relationship Id="rId17" Type="http://schemas.openxmlformats.org/officeDocument/2006/relationships/oleObject" Target="embeddings/oleObject2.bin"/><Relationship Id="rId38" Type="http://schemas.openxmlformats.org/officeDocument/2006/relationships/oleObject" Target="embeddings/oleObject16.bin"/><Relationship Id="rId59" Type="http://schemas.openxmlformats.org/officeDocument/2006/relationships/oleObject" Target="embeddings/oleObject35.bin"/><Relationship Id="rId103" Type="http://schemas.openxmlformats.org/officeDocument/2006/relationships/image" Target="media/image20.wmf"/><Relationship Id="rId124" Type="http://schemas.openxmlformats.org/officeDocument/2006/relationships/image" Target="media/image26.png"/><Relationship Id="rId310" Type="http://schemas.openxmlformats.org/officeDocument/2006/relationships/image" Target="media/image83.wmf"/><Relationship Id="rId70" Type="http://schemas.openxmlformats.org/officeDocument/2006/relationships/oleObject" Target="embeddings/oleObject46.bin"/><Relationship Id="rId91" Type="http://schemas.openxmlformats.org/officeDocument/2006/relationships/image" Target="media/image18.wmf"/><Relationship Id="rId145" Type="http://schemas.openxmlformats.org/officeDocument/2006/relationships/oleObject" Target="embeddings/oleObject102.bin"/><Relationship Id="rId166" Type="http://schemas.openxmlformats.org/officeDocument/2006/relationships/oleObject" Target="embeddings/oleObject114.bin"/><Relationship Id="rId187" Type="http://schemas.openxmlformats.org/officeDocument/2006/relationships/oleObject" Target="embeddings/oleObject130.bin"/><Relationship Id="rId331" Type="http://schemas.openxmlformats.org/officeDocument/2006/relationships/oleObject" Target="embeddings/oleObject230.bin"/><Relationship Id="rId352" Type="http://schemas.openxmlformats.org/officeDocument/2006/relationships/oleObject" Target="embeddings/oleObject249.bin"/><Relationship Id="rId373" Type="http://schemas.openxmlformats.org/officeDocument/2006/relationships/oleObject" Target="embeddings/oleObject267.bin"/><Relationship Id="rId1" Type="http://schemas.openxmlformats.org/officeDocument/2006/relationships/customXml" Target="../customXml/item1.xml"/><Relationship Id="rId212" Type="http://schemas.openxmlformats.org/officeDocument/2006/relationships/oleObject" Target="embeddings/oleObject145.bin"/><Relationship Id="rId233" Type="http://schemas.openxmlformats.org/officeDocument/2006/relationships/oleObject" Target="embeddings/oleObject157.bin"/><Relationship Id="rId254" Type="http://schemas.openxmlformats.org/officeDocument/2006/relationships/oleObject" Target="embeddings/oleObject173.bin"/><Relationship Id="rId28" Type="http://schemas.openxmlformats.org/officeDocument/2006/relationships/image" Target="media/image9.wmf"/><Relationship Id="rId49" Type="http://schemas.openxmlformats.org/officeDocument/2006/relationships/oleObject" Target="embeddings/oleObject25.bin"/><Relationship Id="rId114" Type="http://schemas.openxmlformats.org/officeDocument/2006/relationships/oleObject" Target="embeddings/oleObject80.bin"/><Relationship Id="rId275" Type="http://schemas.openxmlformats.org/officeDocument/2006/relationships/oleObject" Target="embeddings/oleObject193.bin"/><Relationship Id="rId296" Type="http://schemas.openxmlformats.org/officeDocument/2006/relationships/image" Target="media/image76.wmf"/><Relationship Id="rId300" Type="http://schemas.openxmlformats.org/officeDocument/2006/relationships/image" Target="media/image78.wmf"/><Relationship Id="rId60" Type="http://schemas.openxmlformats.org/officeDocument/2006/relationships/oleObject" Target="embeddings/oleObject36.bin"/><Relationship Id="rId81" Type="http://schemas.openxmlformats.org/officeDocument/2006/relationships/oleObject" Target="embeddings/oleObject53.bin"/><Relationship Id="rId135" Type="http://schemas.openxmlformats.org/officeDocument/2006/relationships/oleObject" Target="embeddings/oleObject93.bin"/><Relationship Id="rId156" Type="http://schemas.openxmlformats.org/officeDocument/2006/relationships/oleObject" Target="embeddings/oleObject107.bin"/><Relationship Id="rId177" Type="http://schemas.openxmlformats.org/officeDocument/2006/relationships/oleObject" Target="embeddings/oleObject122.bin"/><Relationship Id="rId198" Type="http://schemas.openxmlformats.org/officeDocument/2006/relationships/image" Target="media/image48.wmf"/><Relationship Id="rId321" Type="http://schemas.openxmlformats.org/officeDocument/2006/relationships/oleObject" Target="embeddings/oleObject223.bin"/><Relationship Id="rId342" Type="http://schemas.openxmlformats.org/officeDocument/2006/relationships/oleObject" Target="embeddings/oleObject239.bin"/><Relationship Id="rId363" Type="http://schemas.openxmlformats.org/officeDocument/2006/relationships/oleObject" Target="embeddings/oleObject260.bin"/><Relationship Id="rId202" Type="http://schemas.openxmlformats.org/officeDocument/2006/relationships/oleObject" Target="embeddings/oleObject140.bin"/><Relationship Id="rId223" Type="http://schemas.openxmlformats.org/officeDocument/2006/relationships/image" Target="media/image58.wmf"/><Relationship Id="rId244" Type="http://schemas.openxmlformats.org/officeDocument/2006/relationships/oleObject" Target="embeddings/oleObject166.bin"/><Relationship Id="rId18" Type="http://schemas.openxmlformats.org/officeDocument/2006/relationships/image" Target="media/image4.wmf"/><Relationship Id="rId39" Type="http://schemas.openxmlformats.org/officeDocument/2006/relationships/oleObject" Target="embeddings/oleObject17.bin"/><Relationship Id="rId265" Type="http://schemas.openxmlformats.org/officeDocument/2006/relationships/oleObject" Target="embeddings/oleObject183.bin"/><Relationship Id="rId286" Type="http://schemas.openxmlformats.org/officeDocument/2006/relationships/oleObject" Target="embeddings/oleObject201.bin"/><Relationship Id="rId50" Type="http://schemas.openxmlformats.org/officeDocument/2006/relationships/oleObject" Target="embeddings/oleObject26.bin"/><Relationship Id="rId104" Type="http://schemas.openxmlformats.org/officeDocument/2006/relationships/oleObject" Target="embeddings/oleObject72.bin"/><Relationship Id="rId125" Type="http://schemas.openxmlformats.org/officeDocument/2006/relationships/image" Target="media/image27.wmf"/><Relationship Id="rId146" Type="http://schemas.openxmlformats.org/officeDocument/2006/relationships/image" Target="media/image32.wmf"/><Relationship Id="rId167" Type="http://schemas.openxmlformats.org/officeDocument/2006/relationships/oleObject" Target="embeddings/oleObject115.bin"/><Relationship Id="rId188" Type="http://schemas.openxmlformats.org/officeDocument/2006/relationships/oleObject" Target="embeddings/oleObject131.bin"/><Relationship Id="rId311" Type="http://schemas.openxmlformats.org/officeDocument/2006/relationships/image" Target="media/image84.wmf"/><Relationship Id="rId332" Type="http://schemas.openxmlformats.org/officeDocument/2006/relationships/image" Target="media/image90.wmf"/><Relationship Id="rId353" Type="http://schemas.openxmlformats.org/officeDocument/2006/relationships/oleObject" Target="embeddings/oleObject250.bin"/><Relationship Id="rId374" Type="http://schemas.openxmlformats.org/officeDocument/2006/relationships/header" Target="header3.xml"/><Relationship Id="rId71" Type="http://schemas.openxmlformats.org/officeDocument/2006/relationships/image" Target="media/image13.wmf"/><Relationship Id="rId92" Type="http://schemas.openxmlformats.org/officeDocument/2006/relationships/oleObject" Target="embeddings/oleObject62.bin"/><Relationship Id="rId213" Type="http://schemas.openxmlformats.org/officeDocument/2006/relationships/oleObject" Target="embeddings/oleObject146.bin"/><Relationship Id="rId234" Type="http://schemas.openxmlformats.org/officeDocument/2006/relationships/oleObject" Target="embeddings/oleObject158.bin"/><Relationship Id="rId2" Type="http://schemas.openxmlformats.org/officeDocument/2006/relationships/numbering" Target="numbering.xml"/><Relationship Id="rId29" Type="http://schemas.openxmlformats.org/officeDocument/2006/relationships/oleObject" Target="embeddings/oleObject8.bin"/><Relationship Id="rId255" Type="http://schemas.openxmlformats.org/officeDocument/2006/relationships/image" Target="media/image70.wmf"/><Relationship Id="rId276" Type="http://schemas.openxmlformats.org/officeDocument/2006/relationships/oleObject" Target="embeddings/oleObject194.bin"/><Relationship Id="rId297" Type="http://schemas.openxmlformats.org/officeDocument/2006/relationships/oleObject" Target="embeddings/oleObject209.bin"/><Relationship Id="rId40" Type="http://schemas.openxmlformats.org/officeDocument/2006/relationships/oleObject" Target="embeddings/oleObject18.bin"/><Relationship Id="rId115" Type="http://schemas.openxmlformats.org/officeDocument/2006/relationships/image" Target="media/image23.wmf"/><Relationship Id="rId136" Type="http://schemas.openxmlformats.org/officeDocument/2006/relationships/oleObject" Target="embeddings/oleObject94.bin"/><Relationship Id="rId157" Type="http://schemas.openxmlformats.org/officeDocument/2006/relationships/image" Target="media/image38.wmf"/><Relationship Id="rId178" Type="http://schemas.openxmlformats.org/officeDocument/2006/relationships/oleObject" Target="embeddings/oleObject123.bin"/><Relationship Id="rId301" Type="http://schemas.openxmlformats.org/officeDocument/2006/relationships/oleObject" Target="embeddings/oleObject211.bin"/><Relationship Id="rId322" Type="http://schemas.openxmlformats.org/officeDocument/2006/relationships/oleObject" Target="embeddings/oleObject224.bin"/><Relationship Id="rId343" Type="http://schemas.openxmlformats.org/officeDocument/2006/relationships/oleObject" Target="embeddings/oleObject240.bin"/><Relationship Id="rId364" Type="http://schemas.openxmlformats.org/officeDocument/2006/relationships/oleObject" Target="embeddings/oleObject261.bin"/><Relationship Id="rId61" Type="http://schemas.openxmlformats.org/officeDocument/2006/relationships/oleObject" Target="embeddings/oleObject37.bin"/><Relationship Id="rId82" Type="http://schemas.openxmlformats.org/officeDocument/2006/relationships/oleObject" Target="embeddings/oleObject54.bin"/><Relationship Id="rId199" Type="http://schemas.openxmlformats.org/officeDocument/2006/relationships/image" Target="media/image49.wmf"/><Relationship Id="rId203" Type="http://schemas.openxmlformats.org/officeDocument/2006/relationships/image" Target="media/image51.wmf"/><Relationship Id="rId19" Type="http://schemas.openxmlformats.org/officeDocument/2006/relationships/oleObject" Target="embeddings/oleObject3.bin"/><Relationship Id="rId224" Type="http://schemas.openxmlformats.org/officeDocument/2006/relationships/oleObject" Target="embeddings/oleObject154.bin"/><Relationship Id="rId245" Type="http://schemas.openxmlformats.org/officeDocument/2006/relationships/oleObject" Target="embeddings/oleObject167.bin"/><Relationship Id="rId266" Type="http://schemas.openxmlformats.org/officeDocument/2006/relationships/oleObject" Target="embeddings/oleObject184.bin"/><Relationship Id="rId287" Type="http://schemas.openxmlformats.org/officeDocument/2006/relationships/oleObject" Target="embeddings/oleObject202.bin"/><Relationship Id="rId30" Type="http://schemas.openxmlformats.org/officeDocument/2006/relationships/oleObject" Target="embeddings/oleObject9.bin"/><Relationship Id="rId105" Type="http://schemas.openxmlformats.org/officeDocument/2006/relationships/oleObject" Target="embeddings/oleObject73.bin"/><Relationship Id="rId126" Type="http://schemas.openxmlformats.org/officeDocument/2006/relationships/image" Target="media/image28.wmf"/><Relationship Id="rId147" Type="http://schemas.openxmlformats.org/officeDocument/2006/relationships/oleObject" Target="embeddings/oleObject103.bin"/><Relationship Id="rId168" Type="http://schemas.openxmlformats.org/officeDocument/2006/relationships/image" Target="media/image41.wmf"/><Relationship Id="rId312" Type="http://schemas.openxmlformats.org/officeDocument/2006/relationships/oleObject" Target="embeddings/oleObject216.bin"/><Relationship Id="rId333" Type="http://schemas.openxmlformats.org/officeDocument/2006/relationships/oleObject" Target="embeddings/oleObject231.bin"/><Relationship Id="rId354" Type="http://schemas.openxmlformats.org/officeDocument/2006/relationships/oleObject" Target="embeddings/oleObject251.bin"/><Relationship Id="rId51" Type="http://schemas.openxmlformats.org/officeDocument/2006/relationships/oleObject" Target="embeddings/oleObject27.bin"/><Relationship Id="rId72" Type="http://schemas.openxmlformats.org/officeDocument/2006/relationships/oleObject" Target="embeddings/oleObject47.bin"/><Relationship Id="rId93" Type="http://schemas.openxmlformats.org/officeDocument/2006/relationships/oleObject" Target="embeddings/oleObject63.bin"/><Relationship Id="rId189" Type="http://schemas.openxmlformats.org/officeDocument/2006/relationships/oleObject" Target="embeddings/oleObject132.bin"/><Relationship Id="rId375" Type="http://schemas.openxmlformats.org/officeDocument/2006/relationships/header" Target="header4.xml"/><Relationship Id="rId3" Type="http://schemas.openxmlformats.org/officeDocument/2006/relationships/styles" Target="styles.xml"/><Relationship Id="rId214" Type="http://schemas.openxmlformats.org/officeDocument/2006/relationships/oleObject" Target="embeddings/oleObject147.bin"/><Relationship Id="rId235" Type="http://schemas.openxmlformats.org/officeDocument/2006/relationships/oleObject" Target="embeddings/oleObject159.bin"/><Relationship Id="rId256" Type="http://schemas.openxmlformats.org/officeDocument/2006/relationships/oleObject" Target="embeddings/oleObject174.bin"/><Relationship Id="rId277" Type="http://schemas.openxmlformats.org/officeDocument/2006/relationships/oleObject" Target="embeddings/oleObject195.bin"/><Relationship Id="rId298" Type="http://schemas.openxmlformats.org/officeDocument/2006/relationships/image" Target="media/image77.wmf"/><Relationship Id="rId116" Type="http://schemas.openxmlformats.org/officeDocument/2006/relationships/oleObject" Target="embeddings/oleObject81.bin"/><Relationship Id="rId137" Type="http://schemas.openxmlformats.org/officeDocument/2006/relationships/oleObject" Target="embeddings/oleObject95.bin"/><Relationship Id="rId158" Type="http://schemas.openxmlformats.org/officeDocument/2006/relationships/oleObject" Target="embeddings/oleObject108.bin"/><Relationship Id="rId302" Type="http://schemas.openxmlformats.org/officeDocument/2006/relationships/oleObject" Target="embeddings/oleObject212.bin"/><Relationship Id="rId323" Type="http://schemas.openxmlformats.org/officeDocument/2006/relationships/oleObject" Target="embeddings/oleObject225.bin"/><Relationship Id="rId344" Type="http://schemas.openxmlformats.org/officeDocument/2006/relationships/oleObject" Target="embeddings/oleObject241.bin"/><Relationship Id="rId20" Type="http://schemas.openxmlformats.org/officeDocument/2006/relationships/image" Target="media/image5.wmf"/><Relationship Id="rId41" Type="http://schemas.openxmlformats.org/officeDocument/2006/relationships/oleObject" Target="embeddings/oleObject19.bin"/><Relationship Id="rId62" Type="http://schemas.openxmlformats.org/officeDocument/2006/relationships/oleObject" Target="embeddings/oleObject38.bin"/><Relationship Id="rId83" Type="http://schemas.openxmlformats.org/officeDocument/2006/relationships/oleObject" Target="embeddings/oleObject55.bin"/><Relationship Id="rId179" Type="http://schemas.openxmlformats.org/officeDocument/2006/relationships/oleObject" Target="embeddings/oleObject124.bin"/><Relationship Id="rId365" Type="http://schemas.openxmlformats.org/officeDocument/2006/relationships/oleObject" Target="embeddings/oleObject262.bin"/><Relationship Id="rId190" Type="http://schemas.openxmlformats.org/officeDocument/2006/relationships/oleObject" Target="embeddings/oleObject133.bin"/><Relationship Id="rId204" Type="http://schemas.openxmlformats.org/officeDocument/2006/relationships/oleObject" Target="embeddings/oleObject141.bin"/><Relationship Id="rId225" Type="http://schemas.openxmlformats.org/officeDocument/2006/relationships/image" Target="media/image59.wmf"/><Relationship Id="rId246" Type="http://schemas.openxmlformats.org/officeDocument/2006/relationships/oleObject" Target="embeddings/oleObject168.bin"/><Relationship Id="rId267" Type="http://schemas.openxmlformats.org/officeDocument/2006/relationships/oleObject" Target="embeddings/oleObject185.bin"/><Relationship Id="rId288" Type="http://schemas.openxmlformats.org/officeDocument/2006/relationships/oleObject" Target="embeddings/oleObject203.bin"/><Relationship Id="rId106" Type="http://schemas.openxmlformats.org/officeDocument/2006/relationships/oleObject" Target="embeddings/oleObject74.bin"/><Relationship Id="rId127" Type="http://schemas.openxmlformats.org/officeDocument/2006/relationships/oleObject" Target="embeddings/oleObject87.bin"/><Relationship Id="rId313" Type="http://schemas.openxmlformats.org/officeDocument/2006/relationships/oleObject" Target="embeddings/oleObject217.bin"/><Relationship Id="rId10" Type="http://schemas.openxmlformats.org/officeDocument/2006/relationships/footer" Target="footer2.xml"/><Relationship Id="rId31" Type="http://schemas.openxmlformats.org/officeDocument/2006/relationships/oleObject" Target="embeddings/oleObject10.bin"/><Relationship Id="rId52" Type="http://schemas.openxmlformats.org/officeDocument/2006/relationships/oleObject" Target="embeddings/oleObject28.bin"/><Relationship Id="rId73" Type="http://schemas.openxmlformats.org/officeDocument/2006/relationships/image" Target="media/image14.wmf"/><Relationship Id="rId94" Type="http://schemas.openxmlformats.org/officeDocument/2006/relationships/oleObject" Target="embeddings/oleObject64.bin"/><Relationship Id="rId148" Type="http://schemas.openxmlformats.org/officeDocument/2006/relationships/image" Target="media/image33.wmf"/><Relationship Id="rId169" Type="http://schemas.openxmlformats.org/officeDocument/2006/relationships/oleObject" Target="embeddings/oleObject116.bin"/><Relationship Id="rId334" Type="http://schemas.openxmlformats.org/officeDocument/2006/relationships/oleObject" Target="embeddings/oleObject232.bin"/><Relationship Id="rId355" Type="http://schemas.openxmlformats.org/officeDocument/2006/relationships/oleObject" Target="embeddings/oleObject252.bin"/><Relationship Id="rId376" Type="http://schemas.openxmlformats.org/officeDocument/2006/relationships/footer" Target="footer4.xml"/><Relationship Id="rId4" Type="http://schemas.openxmlformats.org/officeDocument/2006/relationships/settings" Target="settings.xml"/><Relationship Id="rId180" Type="http://schemas.openxmlformats.org/officeDocument/2006/relationships/image" Target="media/image44.wmf"/><Relationship Id="rId215" Type="http://schemas.openxmlformats.org/officeDocument/2006/relationships/oleObject" Target="embeddings/oleObject148.bin"/><Relationship Id="rId236" Type="http://schemas.openxmlformats.org/officeDocument/2006/relationships/image" Target="media/image65.wmf"/><Relationship Id="rId257" Type="http://schemas.openxmlformats.org/officeDocument/2006/relationships/oleObject" Target="embeddings/oleObject175.bin"/><Relationship Id="rId278" Type="http://schemas.openxmlformats.org/officeDocument/2006/relationships/oleObject" Target="embeddings/oleObject196.bin"/><Relationship Id="rId303" Type="http://schemas.openxmlformats.org/officeDocument/2006/relationships/image" Target="media/image79.wmf"/><Relationship Id="rId42" Type="http://schemas.openxmlformats.org/officeDocument/2006/relationships/oleObject" Target="embeddings/oleObject20.bin"/><Relationship Id="rId84" Type="http://schemas.openxmlformats.org/officeDocument/2006/relationships/oleObject" Target="embeddings/oleObject56.bin"/><Relationship Id="rId138" Type="http://schemas.openxmlformats.org/officeDocument/2006/relationships/oleObject" Target="embeddings/oleObject96.bin"/><Relationship Id="rId345" Type="http://schemas.openxmlformats.org/officeDocument/2006/relationships/oleObject" Target="embeddings/oleObject242.bin"/><Relationship Id="rId191" Type="http://schemas.openxmlformats.org/officeDocument/2006/relationships/oleObject" Target="embeddings/oleObject134.bin"/><Relationship Id="rId205" Type="http://schemas.openxmlformats.org/officeDocument/2006/relationships/image" Target="media/image52.wmf"/><Relationship Id="rId247" Type="http://schemas.openxmlformats.org/officeDocument/2006/relationships/oleObject" Target="embeddings/oleObject169.bin"/><Relationship Id="rId107" Type="http://schemas.openxmlformats.org/officeDocument/2006/relationships/oleObject" Target="embeddings/oleObject75.bin"/><Relationship Id="rId289" Type="http://schemas.openxmlformats.org/officeDocument/2006/relationships/image" Target="media/image74.wmf"/><Relationship Id="rId11" Type="http://schemas.openxmlformats.org/officeDocument/2006/relationships/header" Target="header2.xml"/><Relationship Id="rId53" Type="http://schemas.openxmlformats.org/officeDocument/2006/relationships/oleObject" Target="embeddings/oleObject29.bin"/><Relationship Id="rId149" Type="http://schemas.openxmlformats.org/officeDocument/2006/relationships/image" Target="media/image34.wmf"/><Relationship Id="rId314" Type="http://schemas.openxmlformats.org/officeDocument/2006/relationships/oleObject" Target="embeddings/oleObject218.bin"/><Relationship Id="rId356" Type="http://schemas.openxmlformats.org/officeDocument/2006/relationships/oleObject" Target="embeddings/oleObject253.bin"/><Relationship Id="rId95" Type="http://schemas.openxmlformats.org/officeDocument/2006/relationships/oleObject" Target="embeddings/oleObject65.bin"/><Relationship Id="rId160" Type="http://schemas.openxmlformats.org/officeDocument/2006/relationships/image" Target="media/image39.wmf"/><Relationship Id="rId216" Type="http://schemas.openxmlformats.org/officeDocument/2006/relationships/oleObject" Target="embeddings/oleObject149.bin"/><Relationship Id="rId258" Type="http://schemas.openxmlformats.org/officeDocument/2006/relationships/oleObject" Target="embeddings/oleObject176.bin"/><Relationship Id="rId22" Type="http://schemas.openxmlformats.org/officeDocument/2006/relationships/image" Target="media/image6.wmf"/><Relationship Id="rId64" Type="http://schemas.openxmlformats.org/officeDocument/2006/relationships/oleObject" Target="embeddings/oleObject40.bin"/><Relationship Id="rId118" Type="http://schemas.openxmlformats.org/officeDocument/2006/relationships/oleObject" Target="embeddings/oleObject83.bin"/><Relationship Id="rId325" Type="http://schemas.openxmlformats.org/officeDocument/2006/relationships/image" Target="media/image87.wmf"/><Relationship Id="rId367" Type="http://schemas.openxmlformats.org/officeDocument/2006/relationships/oleObject" Target="embeddings/oleObject264.bin"/><Relationship Id="rId171" Type="http://schemas.openxmlformats.org/officeDocument/2006/relationships/oleObject" Target="embeddings/oleObject118.bin"/><Relationship Id="rId227" Type="http://schemas.openxmlformats.org/officeDocument/2006/relationships/image" Target="media/image61.wmf"/><Relationship Id="rId269" Type="http://schemas.openxmlformats.org/officeDocument/2006/relationships/oleObject" Target="embeddings/oleObject187.bin"/><Relationship Id="rId33" Type="http://schemas.openxmlformats.org/officeDocument/2006/relationships/image" Target="media/image10.wmf"/><Relationship Id="rId129" Type="http://schemas.openxmlformats.org/officeDocument/2006/relationships/oleObject" Target="embeddings/oleObject89.bin"/><Relationship Id="rId280" Type="http://schemas.openxmlformats.org/officeDocument/2006/relationships/oleObject" Target="embeddings/oleObject197.bin"/><Relationship Id="rId336" Type="http://schemas.openxmlformats.org/officeDocument/2006/relationships/oleObject" Target="embeddings/oleObject234.bin"/><Relationship Id="rId75" Type="http://schemas.openxmlformats.org/officeDocument/2006/relationships/oleObject" Target="embeddings/oleObject49.bin"/><Relationship Id="rId140" Type="http://schemas.openxmlformats.org/officeDocument/2006/relationships/image" Target="media/image31.wmf"/><Relationship Id="rId182" Type="http://schemas.openxmlformats.org/officeDocument/2006/relationships/oleObject" Target="embeddings/oleObject126.bin"/><Relationship Id="rId378" Type="http://schemas.openxmlformats.org/officeDocument/2006/relationships/theme" Target="theme/theme1.xml"/><Relationship Id="rId6" Type="http://schemas.openxmlformats.org/officeDocument/2006/relationships/footnotes" Target="footnotes.xml"/><Relationship Id="rId238" Type="http://schemas.openxmlformats.org/officeDocument/2006/relationships/oleObject" Target="embeddings/oleObject161.bin"/><Relationship Id="rId291" Type="http://schemas.openxmlformats.org/officeDocument/2006/relationships/oleObject" Target="embeddings/oleObject204.bin"/><Relationship Id="rId305" Type="http://schemas.openxmlformats.org/officeDocument/2006/relationships/image" Target="media/image80.wmf"/><Relationship Id="rId347" Type="http://schemas.openxmlformats.org/officeDocument/2006/relationships/oleObject" Target="embeddings/oleObject244.bin"/><Relationship Id="rId44" Type="http://schemas.openxmlformats.org/officeDocument/2006/relationships/oleObject" Target="embeddings/oleObject21.bin"/><Relationship Id="rId86" Type="http://schemas.openxmlformats.org/officeDocument/2006/relationships/oleObject" Target="embeddings/oleObject57.bin"/><Relationship Id="rId151" Type="http://schemas.openxmlformats.org/officeDocument/2006/relationships/oleObject" Target="embeddings/oleObject105.bin"/><Relationship Id="rId193" Type="http://schemas.openxmlformats.org/officeDocument/2006/relationships/oleObject" Target="embeddings/oleObject136.bin"/><Relationship Id="rId207" Type="http://schemas.openxmlformats.org/officeDocument/2006/relationships/image" Target="media/image53.wmf"/><Relationship Id="rId249" Type="http://schemas.openxmlformats.org/officeDocument/2006/relationships/oleObject" Target="embeddings/oleObject170.bin"/><Relationship Id="rId13" Type="http://schemas.openxmlformats.org/officeDocument/2006/relationships/image" Target="media/image1.png"/><Relationship Id="rId109" Type="http://schemas.openxmlformats.org/officeDocument/2006/relationships/oleObject" Target="embeddings/oleObject77.bin"/><Relationship Id="rId260" Type="http://schemas.openxmlformats.org/officeDocument/2006/relationships/oleObject" Target="embeddings/oleObject178.bin"/><Relationship Id="rId316" Type="http://schemas.openxmlformats.org/officeDocument/2006/relationships/oleObject" Target="embeddings/oleObject219.bin"/><Relationship Id="rId55" Type="http://schemas.openxmlformats.org/officeDocument/2006/relationships/oleObject" Target="embeddings/oleObject31.bin"/><Relationship Id="rId97" Type="http://schemas.openxmlformats.org/officeDocument/2006/relationships/oleObject" Target="embeddings/oleObject67.bin"/><Relationship Id="rId120" Type="http://schemas.openxmlformats.org/officeDocument/2006/relationships/oleObject" Target="embeddings/oleObject85.bin"/><Relationship Id="rId358" Type="http://schemas.openxmlformats.org/officeDocument/2006/relationships/oleObject" Target="embeddings/oleObject255.bin"/><Relationship Id="rId162" Type="http://schemas.openxmlformats.org/officeDocument/2006/relationships/oleObject" Target="embeddings/oleObject111.bin"/><Relationship Id="rId218" Type="http://schemas.openxmlformats.org/officeDocument/2006/relationships/image" Target="media/image56.wmf"/><Relationship Id="rId271" Type="http://schemas.openxmlformats.org/officeDocument/2006/relationships/oleObject" Target="embeddings/oleObject189.bin"/><Relationship Id="rId24" Type="http://schemas.openxmlformats.org/officeDocument/2006/relationships/image" Target="media/image7.wmf"/><Relationship Id="rId66" Type="http://schemas.openxmlformats.org/officeDocument/2006/relationships/oleObject" Target="embeddings/oleObject42.bin"/><Relationship Id="rId131" Type="http://schemas.openxmlformats.org/officeDocument/2006/relationships/image" Target="media/image29.wmf"/><Relationship Id="rId327" Type="http://schemas.openxmlformats.org/officeDocument/2006/relationships/image" Target="media/image88.wmf"/><Relationship Id="rId369" Type="http://schemas.openxmlformats.org/officeDocument/2006/relationships/oleObject" Target="embeddings/oleObject266.bin"/><Relationship Id="rId173" Type="http://schemas.openxmlformats.org/officeDocument/2006/relationships/oleObject" Target="embeddings/oleObject120.bin"/><Relationship Id="rId229" Type="http://schemas.openxmlformats.org/officeDocument/2006/relationships/image" Target="media/image63.wmf"/><Relationship Id="rId240" Type="http://schemas.openxmlformats.org/officeDocument/2006/relationships/oleObject" Target="embeddings/oleObject163.bin"/><Relationship Id="rId35" Type="http://schemas.openxmlformats.org/officeDocument/2006/relationships/oleObject" Target="embeddings/oleObject13.bin"/><Relationship Id="rId77" Type="http://schemas.openxmlformats.org/officeDocument/2006/relationships/image" Target="media/image15.wmf"/><Relationship Id="rId100" Type="http://schemas.openxmlformats.org/officeDocument/2006/relationships/oleObject" Target="embeddings/oleObject70.bin"/><Relationship Id="rId282" Type="http://schemas.openxmlformats.org/officeDocument/2006/relationships/oleObject" Target="embeddings/oleObject198.bin"/><Relationship Id="rId338" Type="http://schemas.openxmlformats.org/officeDocument/2006/relationships/image" Target="media/image91.wmf"/><Relationship Id="rId8" Type="http://schemas.openxmlformats.org/officeDocument/2006/relationships/header" Target="header1.xml"/><Relationship Id="rId142" Type="http://schemas.openxmlformats.org/officeDocument/2006/relationships/oleObject" Target="embeddings/oleObject99.bin"/><Relationship Id="rId184" Type="http://schemas.openxmlformats.org/officeDocument/2006/relationships/image" Target="media/image45.wmf"/><Relationship Id="rId251" Type="http://schemas.openxmlformats.org/officeDocument/2006/relationships/image" Target="media/image68.wmf"/><Relationship Id="rId46" Type="http://schemas.openxmlformats.org/officeDocument/2006/relationships/oleObject" Target="embeddings/oleObject22.bin"/><Relationship Id="rId293" Type="http://schemas.openxmlformats.org/officeDocument/2006/relationships/oleObject" Target="embeddings/oleObject206.bin"/><Relationship Id="rId307" Type="http://schemas.openxmlformats.org/officeDocument/2006/relationships/image" Target="media/image81.wmf"/><Relationship Id="rId349" Type="http://schemas.openxmlformats.org/officeDocument/2006/relationships/oleObject" Target="embeddings/oleObject246.bin"/><Relationship Id="rId88" Type="http://schemas.openxmlformats.org/officeDocument/2006/relationships/oleObject" Target="embeddings/oleObject59.bin"/><Relationship Id="rId111" Type="http://schemas.openxmlformats.org/officeDocument/2006/relationships/oleObject" Target="embeddings/oleObject78.bin"/><Relationship Id="rId153" Type="http://schemas.openxmlformats.org/officeDocument/2006/relationships/image" Target="media/image35.wmf"/><Relationship Id="rId195" Type="http://schemas.openxmlformats.org/officeDocument/2006/relationships/oleObject" Target="embeddings/oleObject137.bin"/><Relationship Id="rId209" Type="http://schemas.openxmlformats.org/officeDocument/2006/relationships/image" Target="media/image54.wmf"/><Relationship Id="rId360" Type="http://schemas.openxmlformats.org/officeDocument/2006/relationships/oleObject" Target="embeddings/oleObject257.bin"/><Relationship Id="rId220" Type="http://schemas.openxmlformats.org/officeDocument/2006/relationships/image" Target="media/image57.wmf"/><Relationship Id="rId15" Type="http://schemas.openxmlformats.org/officeDocument/2006/relationships/image" Target="media/image3.wmf"/><Relationship Id="rId57" Type="http://schemas.openxmlformats.org/officeDocument/2006/relationships/oleObject" Target="embeddings/oleObject33.bin"/><Relationship Id="rId262" Type="http://schemas.openxmlformats.org/officeDocument/2006/relationships/oleObject" Target="embeddings/oleObject180.bin"/><Relationship Id="rId318" Type="http://schemas.openxmlformats.org/officeDocument/2006/relationships/oleObject" Target="embeddings/oleObject220.bin"/><Relationship Id="rId99" Type="http://schemas.openxmlformats.org/officeDocument/2006/relationships/oleObject" Target="embeddings/oleObject69.bin"/><Relationship Id="rId122" Type="http://schemas.openxmlformats.org/officeDocument/2006/relationships/image" Target="media/image24.wmf"/><Relationship Id="rId164" Type="http://schemas.openxmlformats.org/officeDocument/2006/relationships/image" Target="media/image40.wmf"/><Relationship Id="rId371" Type="http://schemas.openxmlformats.org/officeDocument/2006/relationships/image" Target="media/image9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3D4AF7-9148-4D7E-A43E-68DD1F3EF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330</Pages>
  <Words>124925</Words>
  <Characters>634622</Characters>
  <Application>Microsoft Office Word</Application>
  <DocSecurity>0</DocSecurity>
  <Lines>16700</Lines>
  <Paragraphs>10404</Paragraphs>
  <ScaleCrop>false</ScaleCrop>
  <HeadingPairs>
    <vt:vector size="2" baseType="variant">
      <vt:variant>
        <vt:lpstr>Title</vt:lpstr>
      </vt:variant>
      <vt:variant>
        <vt:i4>1</vt:i4>
      </vt:variant>
    </vt:vector>
  </HeadingPairs>
  <TitlesOfParts>
    <vt:vector size="1" baseType="lpstr">
      <vt:lpstr/>
    </vt:vector>
  </TitlesOfParts>
  <Company>The Electric Reliability Council of Texas</Company>
  <LinksUpToDate>false</LinksUpToDate>
  <CharactersWithSpaces>749143</CharactersWithSpaces>
  <SharedDoc>false</SharedDoc>
  <HLinks>
    <vt:vector size="954" baseType="variant">
      <vt:variant>
        <vt:i4>1572918</vt:i4>
      </vt:variant>
      <vt:variant>
        <vt:i4>950</vt:i4>
      </vt:variant>
      <vt:variant>
        <vt:i4>0</vt:i4>
      </vt:variant>
      <vt:variant>
        <vt:i4>5</vt:i4>
      </vt:variant>
      <vt:variant>
        <vt:lpwstr/>
      </vt:variant>
      <vt:variant>
        <vt:lpwstr>_Toc17798786</vt:lpwstr>
      </vt:variant>
      <vt:variant>
        <vt:i4>1769526</vt:i4>
      </vt:variant>
      <vt:variant>
        <vt:i4>944</vt:i4>
      </vt:variant>
      <vt:variant>
        <vt:i4>0</vt:i4>
      </vt:variant>
      <vt:variant>
        <vt:i4>5</vt:i4>
      </vt:variant>
      <vt:variant>
        <vt:lpwstr/>
      </vt:variant>
      <vt:variant>
        <vt:lpwstr>_Toc17798785</vt:lpwstr>
      </vt:variant>
      <vt:variant>
        <vt:i4>1703990</vt:i4>
      </vt:variant>
      <vt:variant>
        <vt:i4>938</vt:i4>
      </vt:variant>
      <vt:variant>
        <vt:i4>0</vt:i4>
      </vt:variant>
      <vt:variant>
        <vt:i4>5</vt:i4>
      </vt:variant>
      <vt:variant>
        <vt:lpwstr/>
      </vt:variant>
      <vt:variant>
        <vt:lpwstr>_Toc17798784</vt:lpwstr>
      </vt:variant>
      <vt:variant>
        <vt:i4>1900598</vt:i4>
      </vt:variant>
      <vt:variant>
        <vt:i4>932</vt:i4>
      </vt:variant>
      <vt:variant>
        <vt:i4>0</vt:i4>
      </vt:variant>
      <vt:variant>
        <vt:i4>5</vt:i4>
      </vt:variant>
      <vt:variant>
        <vt:lpwstr/>
      </vt:variant>
      <vt:variant>
        <vt:lpwstr>_Toc17798783</vt:lpwstr>
      </vt:variant>
      <vt:variant>
        <vt:i4>1835062</vt:i4>
      </vt:variant>
      <vt:variant>
        <vt:i4>926</vt:i4>
      </vt:variant>
      <vt:variant>
        <vt:i4>0</vt:i4>
      </vt:variant>
      <vt:variant>
        <vt:i4>5</vt:i4>
      </vt:variant>
      <vt:variant>
        <vt:lpwstr/>
      </vt:variant>
      <vt:variant>
        <vt:lpwstr>_Toc17798782</vt:lpwstr>
      </vt:variant>
      <vt:variant>
        <vt:i4>2031670</vt:i4>
      </vt:variant>
      <vt:variant>
        <vt:i4>920</vt:i4>
      </vt:variant>
      <vt:variant>
        <vt:i4>0</vt:i4>
      </vt:variant>
      <vt:variant>
        <vt:i4>5</vt:i4>
      </vt:variant>
      <vt:variant>
        <vt:lpwstr/>
      </vt:variant>
      <vt:variant>
        <vt:lpwstr>_Toc17798781</vt:lpwstr>
      </vt:variant>
      <vt:variant>
        <vt:i4>1966134</vt:i4>
      </vt:variant>
      <vt:variant>
        <vt:i4>914</vt:i4>
      </vt:variant>
      <vt:variant>
        <vt:i4>0</vt:i4>
      </vt:variant>
      <vt:variant>
        <vt:i4>5</vt:i4>
      </vt:variant>
      <vt:variant>
        <vt:lpwstr/>
      </vt:variant>
      <vt:variant>
        <vt:lpwstr>_Toc17798780</vt:lpwstr>
      </vt:variant>
      <vt:variant>
        <vt:i4>1507385</vt:i4>
      </vt:variant>
      <vt:variant>
        <vt:i4>908</vt:i4>
      </vt:variant>
      <vt:variant>
        <vt:i4>0</vt:i4>
      </vt:variant>
      <vt:variant>
        <vt:i4>5</vt:i4>
      </vt:variant>
      <vt:variant>
        <vt:lpwstr/>
      </vt:variant>
      <vt:variant>
        <vt:lpwstr>_Toc17798779</vt:lpwstr>
      </vt:variant>
      <vt:variant>
        <vt:i4>1441849</vt:i4>
      </vt:variant>
      <vt:variant>
        <vt:i4>902</vt:i4>
      </vt:variant>
      <vt:variant>
        <vt:i4>0</vt:i4>
      </vt:variant>
      <vt:variant>
        <vt:i4>5</vt:i4>
      </vt:variant>
      <vt:variant>
        <vt:lpwstr/>
      </vt:variant>
      <vt:variant>
        <vt:lpwstr>_Toc17798778</vt:lpwstr>
      </vt:variant>
      <vt:variant>
        <vt:i4>1638457</vt:i4>
      </vt:variant>
      <vt:variant>
        <vt:i4>896</vt:i4>
      </vt:variant>
      <vt:variant>
        <vt:i4>0</vt:i4>
      </vt:variant>
      <vt:variant>
        <vt:i4>5</vt:i4>
      </vt:variant>
      <vt:variant>
        <vt:lpwstr/>
      </vt:variant>
      <vt:variant>
        <vt:lpwstr>_Toc17798777</vt:lpwstr>
      </vt:variant>
      <vt:variant>
        <vt:i4>1572921</vt:i4>
      </vt:variant>
      <vt:variant>
        <vt:i4>890</vt:i4>
      </vt:variant>
      <vt:variant>
        <vt:i4>0</vt:i4>
      </vt:variant>
      <vt:variant>
        <vt:i4>5</vt:i4>
      </vt:variant>
      <vt:variant>
        <vt:lpwstr/>
      </vt:variant>
      <vt:variant>
        <vt:lpwstr>_Toc17798776</vt:lpwstr>
      </vt:variant>
      <vt:variant>
        <vt:i4>1769529</vt:i4>
      </vt:variant>
      <vt:variant>
        <vt:i4>884</vt:i4>
      </vt:variant>
      <vt:variant>
        <vt:i4>0</vt:i4>
      </vt:variant>
      <vt:variant>
        <vt:i4>5</vt:i4>
      </vt:variant>
      <vt:variant>
        <vt:lpwstr/>
      </vt:variant>
      <vt:variant>
        <vt:lpwstr>_Toc17798775</vt:lpwstr>
      </vt:variant>
      <vt:variant>
        <vt:i4>1703993</vt:i4>
      </vt:variant>
      <vt:variant>
        <vt:i4>878</vt:i4>
      </vt:variant>
      <vt:variant>
        <vt:i4>0</vt:i4>
      </vt:variant>
      <vt:variant>
        <vt:i4>5</vt:i4>
      </vt:variant>
      <vt:variant>
        <vt:lpwstr/>
      </vt:variant>
      <vt:variant>
        <vt:lpwstr>_Toc17798774</vt:lpwstr>
      </vt:variant>
      <vt:variant>
        <vt:i4>1900601</vt:i4>
      </vt:variant>
      <vt:variant>
        <vt:i4>872</vt:i4>
      </vt:variant>
      <vt:variant>
        <vt:i4>0</vt:i4>
      </vt:variant>
      <vt:variant>
        <vt:i4>5</vt:i4>
      </vt:variant>
      <vt:variant>
        <vt:lpwstr/>
      </vt:variant>
      <vt:variant>
        <vt:lpwstr>_Toc17798773</vt:lpwstr>
      </vt:variant>
      <vt:variant>
        <vt:i4>1835065</vt:i4>
      </vt:variant>
      <vt:variant>
        <vt:i4>866</vt:i4>
      </vt:variant>
      <vt:variant>
        <vt:i4>0</vt:i4>
      </vt:variant>
      <vt:variant>
        <vt:i4>5</vt:i4>
      </vt:variant>
      <vt:variant>
        <vt:lpwstr/>
      </vt:variant>
      <vt:variant>
        <vt:lpwstr>_Toc17798772</vt:lpwstr>
      </vt:variant>
      <vt:variant>
        <vt:i4>2031673</vt:i4>
      </vt:variant>
      <vt:variant>
        <vt:i4>860</vt:i4>
      </vt:variant>
      <vt:variant>
        <vt:i4>0</vt:i4>
      </vt:variant>
      <vt:variant>
        <vt:i4>5</vt:i4>
      </vt:variant>
      <vt:variant>
        <vt:lpwstr/>
      </vt:variant>
      <vt:variant>
        <vt:lpwstr>_Toc17798771</vt:lpwstr>
      </vt:variant>
      <vt:variant>
        <vt:i4>1966137</vt:i4>
      </vt:variant>
      <vt:variant>
        <vt:i4>854</vt:i4>
      </vt:variant>
      <vt:variant>
        <vt:i4>0</vt:i4>
      </vt:variant>
      <vt:variant>
        <vt:i4>5</vt:i4>
      </vt:variant>
      <vt:variant>
        <vt:lpwstr/>
      </vt:variant>
      <vt:variant>
        <vt:lpwstr>_Toc17798770</vt:lpwstr>
      </vt:variant>
      <vt:variant>
        <vt:i4>1507384</vt:i4>
      </vt:variant>
      <vt:variant>
        <vt:i4>848</vt:i4>
      </vt:variant>
      <vt:variant>
        <vt:i4>0</vt:i4>
      </vt:variant>
      <vt:variant>
        <vt:i4>5</vt:i4>
      </vt:variant>
      <vt:variant>
        <vt:lpwstr/>
      </vt:variant>
      <vt:variant>
        <vt:lpwstr>_Toc17798769</vt:lpwstr>
      </vt:variant>
      <vt:variant>
        <vt:i4>1441848</vt:i4>
      </vt:variant>
      <vt:variant>
        <vt:i4>842</vt:i4>
      </vt:variant>
      <vt:variant>
        <vt:i4>0</vt:i4>
      </vt:variant>
      <vt:variant>
        <vt:i4>5</vt:i4>
      </vt:variant>
      <vt:variant>
        <vt:lpwstr/>
      </vt:variant>
      <vt:variant>
        <vt:lpwstr>_Toc17798768</vt:lpwstr>
      </vt:variant>
      <vt:variant>
        <vt:i4>1638456</vt:i4>
      </vt:variant>
      <vt:variant>
        <vt:i4>836</vt:i4>
      </vt:variant>
      <vt:variant>
        <vt:i4>0</vt:i4>
      </vt:variant>
      <vt:variant>
        <vt:i4>5</vt:i4>
      </vt:variant>
      <vt:variant>
        <vt:lpwstr/>
      </vt:variant>
      <vt:variant>
        <vt:lpwstr>_Toc17798767</vt:lpwstr>
      </vt:variant>
      <vt:variant>
        <vt:i4>1572920</vt:i4>
      </vt:variant>
      <vt:variant>
        <vt:i4>830</vt:i4>
      </vt:variant>
      <vt:variant>
        <vt:i4>0</vt:i4>
      </vt:variant>
      <vt:variant>
        <vt:i4>5</vt:i4>
      </vt:variant>
      <vt:variant>
        <vt:lpwstr/>
      </vt:variant>
      <vt:variant>
        <vt:lpwstr>_Toc17798766</vt:lpwstr>
      </vt:variant>
      <vt:variant>
        <vt:i4>1769528</vt:i4>
      </vt:variant>
      <vt:variant>
        <vt:i4>824</vt:i4>
      </vt:variant>
      <vt:variant>
        <vt:i4>0</vt:i4>
      </vt:variant>
      <vt:variant>
        <vt:i4>5</vt:i4>
      </vt:variant>
      <vt:variant>
        <vt:lpwstr/>
      </vt:variant>
      <vt:variant>
        <vt:lpwstr>_Toc17798765</vt:lpwstr>
      </vt:variant>
      <vt:variant>
        <vt:i4>1703992</vt:i4>
      </vt:variant>
      <vt:variant>
        <vt:i4>818</vt:i4>
      </vt:variant>
      <vt:variant>
        <vt:i4>0</vt:i4>
      </vt:variant>
      <vt:variant>
        <vt:i4>5</vt:i4>
      </vt:variant>
      <vt:variant>
        <vt:lpwstr/>
      </vt:variant>
      <vt:variant>
        <vt:lpwstr>_Toc17798764</vt:lpwstr>
      </vt:variant>
      <vt:variant>
        <vt:i4>1900600</vt:i4>
      </vt:variant>
      <vt:variant>
        <vt:i4>812</vt:i4>
      </vt:variant>
      <vt:variant>
        <vt:i4>0</vt:i4>
      </vt:variant>
      <vt:variant>
        <vt:i4>5</vt:i4>
      </vt:variant>
      <vt:variant>
        <vt:lpwstr/>
      </vt:variant>
      <vt:variant>
        <vt:lpwstr>_Toc17798763</vt:lpwstr>
      </vt:variant>
      <vt:variant>
        <vt:i4>1835064</vt:i4>
      </vt:variant>
      <vt:variant>
        <vt:i4>806</vt:i4>
      </vt:variant>
      <vt:variant>
        <vt:i4>0</vt:i4>
      </vt:variant>
      <vt:variant>
        <vt:i4>5</vt:i4>
      </vt:variant>
      <vt:variant>
        <vt:lpwstr/>
      </vt:variant>
      <vt:variant>
        <vt:lpwstr>_Toc17798762</vt:lpwstr>
      </vt:variant>
      <vt:variant>
        <vt:i4>2031672</vt:i4>
      </vt:variant>
      <vt:variant>
        <vt:i4>800</vt:i4>
      </vt:variant>
      <vt:variant>
        <vt:i4>0</vt:i4>
      </vt:variant>
      <vt:variant>
        <vt:i4>5</vt:i4>
      </vt:variant>
      <vt:variant>
        <vt:lpwstr/>
      </vt:variant>
      <vt:variant>
        <vt:lpwstr>_Toc17798761</vt:lpwstr>
      </vt:variant>
      <vt:variant>
        <vt:i4>1966136</vt:i4>
      </vt:variant>
      <vt:variant>
        <vt:i4>794</vt:i4>
      </vt:variant>
      <vt:variant>
        <vt:i4>0</vt:i4>
      </vt:variant>
      <vt:variant>
        <vt:i4>5</vt:i4>
      </vt:variant>
      <vt:variant>
        <vt:lpwstr/>
      </vt:variant>
      <vt:variant>
        <vt:lpwstr>_Toc17798760</vt:lpwstr>
      </vt:variant>
      <vt:variant>
        <vt:i4>1900603</vt:i4>
      </vt:variant>
      <vt:variant>
        <vt:i4>788</vt:i4>
      </vt:variant>
      <vt:variant>
        <vt:i4>0</vt:i4>
      </vt:variant>
      <vt:variant>
        <vt:i4>5</vt:i4>
      </vt:variant>
      <vt:variant>
        <vt:lpwstr/>
      </vt:variant>
      <vt:variant>
        <vt:lpwstr>_Toc17798753</vt:lpwstr>
      </vt:variant>
      <vt:variant>
        <vt:i4>1835067</vt:i4>
      </vt:variant>
      <vt:variant>
        <vt:i4>782</vt:i4>
      </vt:variant>
      <vt:variant>
        <vt:i4>0</vt:i4>
      </vt:variant>
      <vt:variant>
        <vt:i4>5</vt:i4>
      </vt:variant>
      <vt:variant>
        <vt:lpwstr/>
      </vt:variant>
      <vt:variant>
        <vt:lpwstr>_Toc17798752</vt:lpwstr>
      </vt:variant>
      <vt:variant>
        <vt:i4>2031675</vt:i4>
      </vt:variant>
      <vt:variant>
        <vt:i4>776</vt:i4>
      </vt:variant>
      <vt:variant>
        <vt:i4>0</vt:i4>
      </vt:variant>
      <vt:variant>
        <vt:i4>5</vt:i4>
      </vt:variant>
      <vt:variant>
        <vt:lpwstr/>
      </vt:variant>
      <vt:variant>
        <vt:lpwstr>_Toc17798751</vt:lpwstr>
      </vt:variant>
      <vt:variant>
        <vt:i4>1966139</vt:i4>
      </vt:variant>
      <vt:variant>
        <vt:i4>770</vt:i4>
      </vt:variant>
      <vt:variant>
        <vt:i4>0</vt:i4>
      </vt:variant>
      <vt:variant>
        <vt:i4>5</vt:i4>
      </vt:variant>
      <vt:variant>
        <vt:lpwstr/>
      </vt:variant>
      <vt:variant>
        <vt:lpwstr>_Toc17798750</vt:lpwstr>
      </vt:variant>
      <vt:variant>
        <vt:i4>1507386</vt:i4>
      </vt:variant>
      <vt:variant>
        <vt:i4>764</vt:i4>
      </vt:variant>
      <vt:variant>
        <vt:i4>0</vt:i4>
      </vt:variant>
      <vt:variant>
        <vt:i4>5</vt:i4>
      </vt:variant>
      <vt:variant>
        <vt:lpwstr/>
      </vt:variant>
      <vt:variant>
        <vt:lpwstr>_Toc17798749</vt:lpwstr>
      </vt:variant>
      <vt:variant>
        <vt:i4>1441850</vt:i4>
      </vt:variant>
      <vt:variant>
        <vt:i4>758</vt:i4>
      </vt:variant>
      <vt:variant>
        <vt:i4>0</vt:i4>
      </vt:variant>
      <vt:variant>
        <vt:i4>5</vt:i4>
      </vt:variant>
      <vt:variant>
        <vt:lpwstr/>
      </vt:variant>
      <vt:variant>
        <vt:lpwstr>_Toc17798748</vt:lpwstr>
      </vt:variant>
      <vt:variant>
        <vt:i4>1572922</vt:i4>
      </vt:variant>
      <vt:variant>
        <vt:i4>752</vt:i4>
      </vt:variant>
      <vt:variant>
        <vt:i4>0</vt:i4>
      </vt:variant>
      <vt:variant>
        <vt:i4>5</vt:i4>
      </vt:variant>
      <vt:variant>
        <vt:lpwstr/>
      </vt:variant>
      <vt:variant>
        <vt:lpwstr>_Toc17798746</vt:lpwstr>
      </vt:variant>
      <vt:variant>
        <vt:i4>1769530</vt:i4>
      </vt:variant>
      <vt:variant>
        <vt:i4>746</vt:i4>
      </vt:variant>
      <vt:variant>
        <vt:i4>0</vt:i4>
      </vt:variant>
      <vt:variant>
        <vt:i4>5</vt:i4>
      </vt:variant>
      <vt:variant>
        <vt:lpwstr/>
      </vt:variant>
      <vt:variant>
        <vt:lpwstr>_Toc17798745</vt:lpwstr>
      </vt:variant>
      <vt:variant>
        <vt:i4>1703994</vt:i4>
      </vt:variant>
      <vt:variant>
        <vt:i4>740</vt:i4>
      </vt:variant>
      <vt:variant>
        <vt:i4>0</vt:i4>
      </vt:variant>
      <vt:variant>
        <vt:i4>5</vt:i4>
      </vt:variant>
      <vt:variant>
        <vt:lpwstr/>
      </vt:variant>
      <vt:variant>
        <vt:lpwstr>_Toc17798744</vt:lpwstr>
      </vt:variant>
      <vt:variant>
        <vt:i4>1900602</vt:i4>
      </vt:variant>
      <vt:variant>
        <vt:i4>734</vt:i4>
      </vt:variant>
      <vt:variant>
        <vt:i4>0</vt:i4>
      </vt:variant>
      <vt:variant>
        <vt:i4>5</vt:i4>
      </vt:variant>
      <vt:variant>
        <vt:lpwstr/>
      </vt:variant>
      <vt:variant>
        <vt:lpwstr>_Toc17798743</vt:lpwstr>
      </vt:variant>
      <vt:variant>
        <vt:i4>1835066</vt:i4>
      </vt:variant>
      <vt:variant>
        <vt:i4>728</vt:i4>
      </vt:variant>
      <vt:variant>
        <vt:i4>0</vt:i4>
      </vt:variant>
      <vt:variant>
        <vt:i4>5</vt:i4>
      </vt:variant>
      <vt:variant>
        <vt:lpwstr/>
      </vt:variant>
      <vt:variant>
        <vt:lpwstr>_Toc17798742</vt:lpwstr>
      </vt:variant>
      <vt:variant>
        <vt:i4>2031674</vt:i4>
      </vt:variant>
      <vt:variant>
        <vt:i4>722</vt:i4>
      </vt:variant>
      <vt:variant>
        <vt:i4>0</vt:i4>
      </vt:variant>
      <vt:variant>
        <vt:i4>5</vt:i4>
      </vt:variant>
      <vt:variant>
        <vt:lpwstr/>
      </vt:variant>
      <vt:variant>
        <vt:lpwstr>_Toc17798741</vt:lpwstr>
      </vt:variant>
      <vt:variant>
        <vt:i4>1966138</vt:i4>
      </vt:variant>
      <vt:variant>
        <vt:i4>716</vt:i4>
      </vt:variant>
      <vt:variant>
        <vt:i4>0</vt:i4>
      </vt:variant>
      <vt:variant>
        <vt:i4>5</vt:i4>
      </vt:variant>
      <vt:variant>
        <vt:lpwstr/>
      </vt:variant>
      <vt:variant>
        <vt:lpwstr>_Toc17798740</vt:lpwstr>
      </vt:variant>
      <vt:variant>
        <vt:i4>1507389</vt:i4>
      </vt:variant>
      <vt:variant>
        <vt:i4>710</vt:i4>
      </vt:variant>
      <vt:variant>
        <vt:i4>0</vt:i4>
      </vt:variant>
      <vt:variant>
        <vt:i4>5</vt:i4>
      </vt:variant>
      <vt:variant>
        <vt:lpwstr/>
      </vt:variant>
      <vt:variant>
        <vt:lpwstr>_Toc17798739</vt:lpwstr>
      </vt:variant>
      <vt:variant>
        <vt:i4>1441853</vt:i4>
      </vt:variant>
      <vt:variant>
        <vt:i4>704</vt:i4>
      </vt:variant>
      <vt:variant>
        <vt:i4>0</vt:i4>
      </vt:variant>
      <vt:variant>
        <vt:i4>5</vt:i4>
      </vt:variant>
      <vt:variant>
        <vt:lpwstr/>
      </vt:variant>
      <vt:variant>
        <vt:lpwstr>_Toc17798738</vt:lpwstr>
      </vt:variant>
      <vt:variant>
        <vt:i4>1638461</vt:i4>
      </vt:variant>
      <vt:variant>
        <vt:i4>698</vt:i4>
      </vt:variant>
      <vt:variant>
        <vt:i4>0</vt:i4>
      </vt:variant>
      <vt:variant>
        <vt:i4>5</vt:i4>
      </vt:variant>
      <vt:variant>
        <vt:lpwstr/>
      </vt:variant>
      <vt:variant>
        <vt:lpwstr>_Toc17798737</vt:lpwstr>
      </vt:variant>
      <vt:variant>
        <vt:i4>1572925</vt:i4>
      </vt:variant>
      <vt:variant>
        <vt:i4>692</vt:i4>
      </vt:variant>
      <vt:variant>
        <vt:i4>0</vt:i4>
      </vt:variant>
      <vt:variant>
        <vt:i4>5</vt:i4>
      </vt:variant>
      <vt:variant>
        <vt:lpwstr/>
      </vt:variant>
      <vt:variant>
        <vt:lpwstr>_Toc17798736</vt:lpwstr>
      </vt:variant>
      <vt:variant>
        <vt:i4>1769533</vt:i4>
      </vt:variant>
      <vt:variant>
        <vt:i4>686</vt:i4>
      </vt:variant>
      <vt:variant>
        <vt:i4>0</vt:i4>
      </vt:variant>
      <vt:variant>
        <vt:i4>5</vt:i4>
      </vt:variant>
      <vt:variant>
        <vt:lpwstr/>
      </vt:variant>
      <vt:variant>
        <vt:lpwstr>_Toc17798735</vt:lpwstr>
      </vt:variant>
      <vt:variant>
        <vt:i4>1900605</vt:i4>
      </vt:variant>
      <vt:variant>
        <vt:i4>680</vt:i4>
      </vt:variant>
      <vt:variant>
        <vt:i4>0</vt:i4>
      </vt:variant>
      <vt:variant>
        <vt:i4>5</vt:i4>
      </vt:variant>
      <vt:variant>
        <vt:lpwstr/>
      </vt:variant>
      <vt:variant>
        <vt:lpwstr>_Toc17798733</vt:lpwstr>
      </vt:variant>
      <vt:variant>
        <vt:i4>1835069</vt:i4>
      </vt:variant>
      <vt:variant>
        <vt:i4>674</vt:i4>
      </vt:variant>
      <vt:variant>
        <vt:i4>0</vt:i4>
      </vt:variant>
      <vt:variant>
        <vt:i4>5</vt:i4>
      </vt:variant>
      <vt:variant>
        <vt:lpwstr/>
      </vt:variant>
      <vt:variant>
        <vt:lpwstr>_Toc17798732</vt:lpwstr>
      </vt:variant>
      <vt:variant>
        <vt:i4>2031677</vt:i4>
      </vt:variant>
      <vt:variant>
        <vt:i4>668</vt:i4>
      </vt:variant>
      <vt:variant>
        <vt:i4>0</vt:i4>
      </vt:variant>
      <vt:variant>
        <vt:i4>5</vt:i4>
      </vt:variant>
      <vt:variant>
        <vt:lpwstr/>
      </vt:variant>
      <vt:variant>
        <vt:lpwstr>_Toc17798731</vt:lpwstr>
      </vt:variant>
      <vt:variant>
        <vt:i4>1966141</vt:i4>
      </vt:variant>
      <vt:variant>
        <vt:i4>662</vt:i4>
      </vt:variant>
      <vt:variant>
        <vt:i4>0</vt:i4>
      </vt:variant>
      <vt:variant>
        <vt:i4>5</vt:i4>
      </vt:variant>
      <vt:variant>
        <vt:lpwstr/>
      </vt:variant>
      <vt:variant>
        <vt:lpwstr>_Toc17798730</vt:lpwstr>
      </vt:variant>
      <vt:variant>
        <vt:i4>1507388</vt:i4>
      </vt:variant>
      <vt:variant>
        <vt:i4>656</vt:i4>
      </vt:variant>
      <vt:variant>
        <vt:i4>0</vt:i4>
      </vt:variant>
      <vt:variant>
        <vt:i4>5</vt:i4>
      </vt:variant>
      <vt:variant>
        <vt:lpwstr/>
      </vt:variant>
      <vt:variant>
        <vt:lpwstr>_Toc17798729</vt:lpwstr>
      </vt:variant>
      <vt:variant>
        <vt:i4>1441852</vt:i4>
      </vt:variant>
      <vt:variant>
        <vt:i4>650</vt:i4>
      </vt:variant>
      <vt:variant>
        <vt:i4>0</vt:i4>
      </vt:variant>
      <vt:variant>
        <vt:i4>5</vt:i4>
      </vt:variant>
      <vt:variant>
        <vt:lpwstr/>
      </vt:variant>
      <vt:variant>
        <vt:lpwstr>_Toc17798728</vt:lpwstr>
      </vt:variant>
      <vt:variant>
        <vt:i4>1638460</vt:i4>
      </vt:variant>
      <vt:variant>
        <vt:i4>644</vt:i4>
      </vt:variant>
      <vt:variant>
        <vt:i4>0</vt:i4>
      </vt:variant>
      <vt:variant>
        <vt:i4>5</vt:i4>
      </vt:variant>
      <vt:variant>
        <vt:lpwstr/>
      </vt:variant>
      <vt:variant>
        <vt:lpwstr>_Toc17798727</vt:lpwstr>
      </vt:variant>
      <vt:variant>
        <vt:i4>1572924</vt:i4>
      </vt:variant>
      <vt:variant>
        <vt:i4>638</vt:i4>
      </vt:variant>
      <vt:variant>
        <vt:i4>0</vt:i4>
      </vt:variant>
      <vt:variant>
        <vt:i4>5</vt:i4>
      </vt:variant>
      <vt:variant>
        <vt:lpwstr/>
      </vt:variant>
      <vt:variant>
        <vt:lpwstr>_Toc17798726</vt:lpwstr>
      </vt:variant>
      <vt:variant>
        <vt:i4>1769532</vt:i4>
      </vt:variant>
      <vt:variant>
        <vt:i4>632</vt:i4>
      </vt:variant>
      <vt:variant>
        <vt:i4>0</vt:i4>
      </vt:variant>
      <vt:variant>
        <vt:i4>5</vt:i4>
      </vt:variant>
      <vt:variant>
        <vt:lpwstr/>
      </vt:variant>
      <vt:variant>
        <vt:lpwstr>_Toc17798725</vt:lpwstr>
      </vt:variant>
      <vt:variant>
        <vt:i4>1703996</vt:i4>
      </vt:variant>
      <vt:variant>
        <vt:i4>626</vt:i4>
      </vt:variant>
      <vt:variant>
        <vt:i4>0</vt:i4>
      </vt:variant>
      <vt:variant>
        <vt:i4>5</vt:i4>
      </vt:variant>
      <vt:variant>
        <vt:lpwstr/>
      </vt:variant>
      <vt:variant>
        <vt:lpwstr>_Toc17798724</vt:lpwstr>
      </vt:variant>
      <vt:variant>
        <vt:i4>1900604</vt:i4>
      </vt:variant>
      <vt:variant>
        <vt:i4>620</vt:i4>
      </vt:variant>
      <vt:variant>
        <vt:i4>0</vt:i4>
      </vt:variant>
      <vt:variant>
        <vt:i4>5</vt:i4>
      </vt:variant>
      <vt:variant>
        <vt:lpwstr/>
      </vt:variant>
      <vt:variant>
        <vt:lpwstr>_Toc17798723</vt:lpwstr>
      </vt:variant>
      <vt:variant>
        <vt:i4>1835068</vt:i4>
      </vt:variant>
      <vt:variant>
        <vt:i4>614</vt:i4>
      </vt:variant>
      <vt:variant>
        <vt:i4>0</vt:i4>
      </vt:variant>
      <vt:variant>
        <vt:i4>5</vt:i4>
      </vt:variant>
      <vt:variant>
        <vt:lpwstr/>
      </vt:variant>
      <vt:variant>
        <vt:lpwstr>_Toc17798722</vt:lpwstr>
      </vt:variant>
      <vt:variant>
        <vt:i4>2031676</vt:i4>
      </vt:variant>
      <vt:variant>
        <vt:i4>608</vt:i4>
      </vt:variant>
      <vt:variant>
        <vt:i4>0</vt:i4>
      </vt:variant>
      <vt:variant>
        <vt:i4>5</vt:i4>
      </vt:variant>
      <vt:variant>
        <vt:lpwstr/>
      </vt:variant>
      <vt:variant>
        <vt:lpwstr>_Toc17798721</vt:lpwstr>
      </vt:variant>
      <vt:variant>
        <vt:i4>1966140</vt:i4>
      </vt:variant>
      <vt:variant>
        <vt:i4>602</vt:i4>
      </vt:variant>
      <vt:variant>
        <vt:i4>0</vt:i4>
      </vt:variant>
      <vt:variant>
        <vt:i4>5</vt:i4>
      </vt:variant>
      <vt:variant>
        <vt:lpwstr/>
      </vt:variant>
      <vt:variant>
        <vt:lpwstr>_Toc17798720</vt:lpwstr>
      </vt:variant>
      <vt:variant>
        <vt:i4>1507391</vt:i4>
      </vt:variant>
      <vt:variant>
        <vt:i4>596</vt:i4>
      </vt:variant>
      <vt:variant>
        <vt:i4>0</vt:i4>
      </vt:variant>
      <vt:variant>
        <vt:i4>5</vt:i4>
      </vt:variant>
      <vt:variant>
        <vt:lpwstr/>
      </vt:variant>
      <vt:variant>
        <vt:lpwstr>_Toc17798719</vt:lpwstr>
      </vt:variant>
      <vt:variant>
        <vt:i4>1441855</vt:i4>
      </vt:variant>
      <vt:variant>
        <vt:i4>590</vt:i4>
      </vt:variant>
      <vt:variant>
        <vt:i4>0</vt:i4>
      </vt:variant>
      <vt:variant>
        <vt:i4>5</vt:i4>
      </vt:variant>
      <vt:variant>
        <vt:lpwstr/>
      </vt:variant>
      <vt:variant>
        <vt:lpwstr>_Toc17798718</vt:lpwstr>
      </vt:variant>
      <vt:variant>
        <vt:i4>1638463</vt:i4>
      </vt:variant>
      <vt:variant>
        <vt:i4>584</vt:i4>
      </vt:variant>
      <vt:variant>
        <vt:i4>0</vt:i4>
      </vt:variant>
      <vt:variant>
        <vt:i4>5</vt:i4>
      </vt:variant>
      <vt:variant>
        <vt:lpwstr/>
      </vt:variant>
      <vt:variant>
        <vt:lpwstr>_Toc17798717</vt:lpwstr>
      </vt:variant>
      <vt:variant>
        <vt:i4>1572927</vt:i4>
      </vt:variant>
      <vt:variant>
        <vt:i4>578</vt:i4>
      </vt:variant>
      <vt:variant>
        <vt:i4>0</vt:i4>
      </vt:variant>
      <vt:variant>
        <vt:i4>5</vt:i4>
      </vt:variant>
      <vt:variant>
        <vt:lpwstr/>
      </vt:variant>
      <vt:variant>
        <vt:lpwstr>_Toc17798716</vt:lpwstr>
      </vt:variant>
      <vt:variant>
        <vt:i4>1769535</vt:i4>
      </vt:variant>
      <vt:variant>
        <vt:i4>572</vt:i4>
      </vt:variant>
      <vt:variant>
        <vt:i4>0</vt:i4>
      </vt:variant>
      <vt:variant>
        <vt:i4>5</vt:i4>
      </vt:variant>
      <vt:variant>
        <vt:lpwstr/>
      </vt:variant>
      <vt:variant>
        <vt:lpwstr>_Toc17798715</vt:lpwstr>
      </vt:variant>
      <vt:variant>
        <vt:i4>1703999</vt:i4>
      </vt:variant>
      <vt:variant>
        <vt:i4>566</vt:i4>
      </vt:variant>
      <vt:variant>
        <vt:i4>0</vt:i4>
      </vt:variant>
      <vt:variant>
        <vt:i4>5</vt:i4>
      </vt:variant>
      <vt:variant>
        <vt:lpwstr/>
      </vt:variant>
      <vt:variant>
        <vt:lpwstr>_Toc17798714</vt:lpwstr>
      </vt:variant>
      <vt:variant>
        <vt:i4>1900607</vt:i4>
      </vt:variant>
      <vt:variant>
        <vt:i4>560</vt:i4>
      </vt:variant>
      <vt:variant>
        <vt:i4>0</vt:i4>
      </vt:variant>
      <vt:variant>
        <vt:i4>5</vt:i4>
      </vt:variant>
      <vt:variant>
        <vt:lpwstr/>
      </vt:variant>
      <vt:variant>
        <vt:lpwstr>_Toc17798713</vt:lpwstr>
      </vt:variant>
      <vt:variant>
        <vt:i4>1835071</vt:i4>
      </vt:variant>
      <vt:variant>
        <vt:i4>554</vt:i4>
      </vt:variant>
      <vt:variant>
        <vt:i4>0</vt:i4>
      </vt:variant>
      <vt:variant>
        <vt:i4>5</vt:i4>
      </vt:variant>
      <vt:variant>
        <vt:lpwstr/>
      </vt:variant>
      <vt:variant>
        <vt:lpwstr>_Toc17798712</vt:lpwstr>
      </vt:variant>
      <vt:variant>
        <vt:i4>2031679</vt:i4>
      </vt:variant>
      <vt:variant>
        <vt:i4>548</vt:i4>
      </vt:variant>
      <vt:variant>
        <vt:i4>0</vt:i4>
      </vt:variant>
      <vt:variant>
        <vt:i4>5</vt:i4>
      </vt:variant>
      <vt:variant>
        <vt:lpwstr/>
      </vt:variant>
      <vt:variant>
        <vt:lpwstr>_Toc17798711</vt:lpwstr>
      </vt:variant>
      <vt:variant>
        <vt:i4>1966143</vt:i4>
      </vt:variant>
      <vt:variant>
        <vt:i4>542</vt:i4>
      </vt:variant>
      <vt:variant>
        <vt:i4>0</vt:i4>
      </vt:variant>
      <vt:variant>
        <vt:i4>5</vt:i4>
      </vt:variant>
      <vt:variant>
        <vt:lpwstr/>
      </vt:variant>
      <vt:variant>
        <vt:lpwstr>_Toc17798710</vt:lpwstr>
      </vt:variant>
      <vt:variant>
        <vt:i4>1507390</vt:i4>
      </vt:variant>
      <vt:variant>
        <vt:i4>536</vt:i4>
      </vt:variant>
      <vt:variant>
        <vt:i4>0</vt:i4>
      </vt:variant>
      <vt:variant>
        <vt:i4>5</vt:i4>
      </vt:variant>
      <vt:variant>
        <vt:lpwstr/>
      </vt:variant>
      <vt:variant>
        <vt:lpwstr>_Toc17798709</vt:lpwstr>
      </vt:variant>
      <vt:variant>
        <vt:i4>1441854</vt:i4>
      </vt:variant>
      <vt:variant>
        <vt:i4>530</vt:i4>
      </vt:variant>
      <vt:variant>
        <vt:i4>0</vt:i4>
      </vt:variant>
      <vt:variant>
        <vt:i4>5</vt:i4>
      </vt:variant>
      <vt:variant>
        <vt:lpwstr/>
      </vt:variant>
      <vt:variant>
        <vt:lpwstr>_Toc17798708</vt:lpwstr>
      </vt:variant>
      <vt:variant>
        <vt:i4>1638462</vt:i4>
      </vt:variant>
      <vt:variant>
        <vt:i4>524</vt:i4>
      </vt:variant>
      <vt:variant>
        <vt:i4>0</vt:i4>
      </vt:variant>
      <vt:variant>
        <vt:i4>5</vt:i4>
      </vt:variant>
      <vt:variant>
        <vt:lpwstr/>
      </vt:variant>
      <vt:variant>
        <vt:lpwstr>_Toc17798707</vt:lpwstr>
      </vt:variant>
      <vt:variant>
        <vt:i4>1572926</vt:i4>
      </vt:variant>
      <vt:variant>
        <vt:i4>518</vt:i4>
      </vt:variant>
      <vt:variant>
        <vt:i4>0</vt:i4>
      </vt:variant>
      <vt:variant>
        <vt:i4>5</vt:i4>
      </vt:variant>
      <vt:variant>
        <vt:lpwstr/>
      </vt:variant>
      <vt:variant>
        <vt:lpwstr>_Toc17798706</vt:lpwstr>
      </vt:variant>
      <vt:variant>
        <vt:i4>1769534</vt:i4>
      </vt:variant>
      <vt:variant>
        <vt:i4>512</vt:i4>
      </vt:variant>
      <vt:variant>
        <vt:i4>0</vt:i4>
      </vt:variant>
      <vt:variant>
        <vt:i4>5</vt:i4>
      </vt:variant>
      <vt:variant>
        <vt:lpwstr/>
      </vt:variant>
      <vt:variant>
        <vt:lpwstr>_Toc17798705</vt:lpwstr>
      </vt:variant>
      <vt:variant>
        <vt:i4>1703998</vt:i4>
      </vt:variant>
      <vt:variant>
        <vt:i4>506</vt:i4>
      </vt:variant>
      <vt:variant>
        <vt:i4>0</vt:i4>
      </vt:variant>
      <vt:variant>
        <vt:i4>5</vt:i4>
      </vt:variant>
      <vt:variant>
        <vt:lpwstr/>
      </vt:variant>
      <vt:variant>
        <vt:lpwstr>_Toc17798704</vt:lpwstr>
      </vt:variant>
      <vt:variant>
        <vt:i4>1900606</vt:i4>
      </vt:variant>
      <vt:variant>
        <vt:i4>500</vt:i4>
      </vt:variant>
      <vt:variant>
        <vt:i4>0</vt:i4>
      </vt:variant>
      <vt:variant>
        <vt:i4>5</vt:i4>
      </vt:variant>
      <vt:variant>
        <vt:lpwstr/>
      </vt:variant>
      <vt:variant>
        <vt:lpwstr>_Toc17798703</vt:lpwstr>
      </vt:variant>
      <vt:variant>
        <vt:i4>1835070</vt:i4>
      </vt:variant>
      <vt:variant>
        <vt:i4>494</vt:i4>
      </vt:variant>
      <vt:variant>
        <vt:i4>0</vt:i4>
      </vt:variant>
      <vt:variant>
        <vt:i4>5</vt:i4>
      </vt:variant>
      <vt:variant>
        <vt:lpwstr/>
      </vt:variant>
      <vt:variant>
        <vt:lpwstr>_Toc17798702</vt:lpwstr>
      </vt:variant>
      <vt:variant>
        <vt:i4>2031678</vt:i4>
      </vt:variant>
      <vt:variant>
        <vt:i4>488</vt:i4>
      </vt:variant>
      <vt:variant>
        <vt:i4>0</vt:i4>
      </vt:variant>
      <vt:variant>
        <vt:i4>5</vt:i4>
      </vt:variant>
      <vt:variant>
        <vt:lpwstr/>
      </vt:variant>
      <vt:variant>
        <vt:lpwstr>_Toc17798701</vt:lpwstr>
      </vt:variant>
      <vt:variant>
        <vt:i4>1966142</vt:i4>
      </vt:variant>
      <vt:variant>
        <vt:i4>482</vt:i4>
      </vt:variant>
      <vt:variant>
        <vt:i4>0</vt:i4>
      </vt:variant>
      <vt:variant>
        <vt:i4>5</vt:i4>
      </vt:variant>
      <vt:variant>
        <vt:lpwstr/>
      </vt:variant>
      <vt:variant>
        <vt:lpwstr>_Toc17798700</vt:lpwstr>
      </vt:variant>
      <vt:variant>
        <vt:i4>1441847</vt:i4>
      </vt:variant>
      <vt:variant>
        <vt:i4>476</vt:i4>
      </vt:variant>
      <vt:variant>
        <vt:i4>0</vt:i4>
      </vt:variant>
      <vt:variant>
        <vt:i4>5</vt:i4>
      </vt:variant>
      <vt:variant>
        <vt:lpwstr/>
      </vt:variant>
      <vt:variant>
        <vt:lpwstr>_Toc17798699</vt:lpwstr>
      </vt:variant>
      <vt:variant>
        <vt:i4>1507383</vt:i4>
      </vt:variant>
      <vt:variant>
        <vt:i4>470</vt:i4>
      </vt:variant>
      <vt:variant>
        <vt:i4>0</vt:i4>
      </vt:variant>
      <vt:variant>
        <vt:i4>5</vt:i4>
      </vt:variant>
      <vt:variant>
        <vt:lpwstr/>
      </vt:variant>
      <vt:variant>
        <vt:lpwstr>_Toc17798698</vt:lpwstr>
      </vt:variant>
      <vt:variant>
        <vt:i4>1572919</vt:i4>
      </vt:variant>
      <vt:variant>
        <vt:i4>464</vt:i4>
      </vt:variant>
      <vt:variant>
        <vt:i4>0</vt:i4>
      </vt:variant>
      <vt:variant>
        <vt:i4>5</vt:i4>
      </vt:variant>
      <vt:variant>
        <vt:lpwstr/>
      </vt:variant>
      <vt:variant>
        <vt:lpwstr>_Toc17798697</vt:lpwstr>
      </vt:variant>
      <vt:variant>
        <vt:i4>1638455</vt:i4>
      </vt:variant>
      <vt:variant>
        <vt:i4>458</vt:i4>
      </vt:variant>
      <vt:variant>
        <vt:i4>0</vt:i4>
      </vt:variant>
      <vt:variant>
        <vt:i4>5</vt:i4>
      </vt:variant>
      <vt:variant>
        <vt:lpwstr/>
      </vt:variant>
      <vt:variant>
        <vt:lpwstr>_Toc17798696</vt:lpwstr>
      </vt:variant>
      <vt:variant>
        <vt:i4>1703991</vt:i4>
      </vt:variant>
      <vt:variant>
        <vt:i4>452</vt:i4>
      </vt:variant>
      <vt:variant>
        <vt:i4>0</vt:i4>
      </vt:variant>
      <vt:variant>
        <vt:i4>5</vt:i4>
      </vt:variant>
      <vt:variant>
        <vt:lpwstr/>
      </vt:variant>
      <vt:variant>
        <vt:lpwstr>_Toc17798695</vt:lpwstr>
      </vt:variant>
      <vt:variant>
        <vt:i4>1769527</vt:i4>
      </vt:variant>
      <vt:variant>
        <vt:i4>446</vt:i4>
      </vt:variant>
      <vt:variant>
        <vt:i4>0</vt:i4>
      </vt:variant>
      <vt:variant>
        <vt:i4>5</vt:i4>
      </vt:variant>
      <vt:variant>
        <vt:lpwstr/>
      </vt:variant>
      <vt:variant>
        <vt:lpwstr>_Toc17798694</vt:lpwstr>
      </vt:variant>
      <vt:variant>
        <vt:i4>1835063</vt:i4>
      </vt:variant>
      <vt:variant>
        <vt:i4>440</vt:i4>
      </vt:variant>
      <vt:variant>
        <vt:i4>0</vt:i4>
      </vt:variant>
      <vt:variant>
        <vt:i4>5</vt:i4>
      </vt:variant>
      <vt:variant>
        <vt:lpwstr/>
      </vt:variant>
      <vt:variant>
        <vt:lpwstr>_Toc17798693</vt:lpwstr>
      </vt:variant>
      <vt:variant>
        <vt:i4>1900599</vt:i4>
      </vt:variant>
      <vt:variant>
        <vt:i4>434</vt:i4>
      </vt:variant>
      <vt:variant>
        <vt:i4>0</vt:i4>
      </vt:variant>
      <vt:variant>
        <vt:i4>5</vt:i4>
      </vt:variant>
      <vt:variant>
        <vt:lpwstr/>
      </vt:variant>
      <vt:variant>
        <vt:lpwstr>_Toc17798692</vt:lpwstr>
      </vt:variant>
      <vt:variant>
        <vt:i4>1966135</vt:i4>
      </vt:variant>
      <vt:variant>
        <vt:i4>428</vt:i4>
      </vt:variant>
      <vt:variant>
        <vt:i4>0</vt:i4>
      </vt:variant>
      <vt:variant>
        <vt:i4>5</vt:i4>
      </vt:variant>
      <vt:variant>
        <vt:lpwstr/>
      </vt:variant>
      <vt:variant>
        <vt:lpwstr>_Toc17798691</vt:lpwstr>
      </vt:variant>
      <vt:variant>
        <vt:i4>2031671</vt:i4>
      </vt:variant>
      <vt:variant>
        <vt:i4>422</vt:i4>
      </vt:variant>
      <vt:variant>
        <vt:i4>0</vt:i4>
      </vt:variant>
      <vt:variant>
        <vt:i4>5</vt:i4>
      </vt:variant>
      <vt:variant>
        <vt:lpwstr/>
      </vt:variant>
      <vt:variant>
        <vt:lpwstr>_Toc17798690</vt:lpwstr>
      </vt:variant>
      <vt:variant>
        <vt:i4>1441846</vt:i4>
      </vt:variant>
      <vt:variant>
        <vt:i4>416</vt:i4>
      </vt:variant>
      <vt:variant>
        <vt:i4>0</vt:i4>
      </vt:variant>
      <vt:variant>
        <vt:i4>5</vt:i4>
      </vt:variant>
      <vt:variant>
        <vt:lpwstr/>
      </vt:variant>
      <vt:variant>
        <vt:lpwstr>_Toc17798689</vt:lpwstr>
      </vt:variant>
      <vt:variant>
        <vt:i4>1507382</vt:i4>
      </vt:variant>
      <vt:variant>
        <vt:i4>410</vt:i4>
      </vt:variant>
      <vt:variant>
        <vt:i4>0</vt:i4>
      </vt:variant>
      <vt:variant>
        <vt:i4>5</vt:i4>
      </vt:variant>
      <vt:variant>
        <vt:lpwstr/>
      </vt:variant>
      <vt:variant>
        <vt:lpwstr>_Toc17798688</vt:lpwstr>
      </vt:variant>
      <vt:variant>
        <vt:i4>1572918</vt:i4>
      </vt:variant>
      <vt:variant>
        <vt:i4>404</vt:i4>
      </vt:variant>
      <vt:variant>
        <vt:i4>0</vt:i4>
      </vt:variant>
      <vt:variant>
        <vt:i4>5</vt:i4>
      </vt:variant>
      <vt:variant>
        <vt:lpwstr/>
      </vt:variant>
      <vt:variant>
        <vt:lpwstr>_Toc17798687</vt:lpwstr>
      </vt:variant>
      <vt:variant>
        <vt:i4>1638454</vt:i4>
      </vt:variant>
      <vt:variant>
        <vt:i4>398</vt:i4>
      </vt:variant>
      <vt:variant>
        <vt:i4>0</vt:i4>
      </vt:variant>
      <vt:variant>
        <vt:i4>5</vt:i4>
      </vt:variant>
      <vt:variant>
        <vt:lpwstr/>
      </vt:variant>
      <vt:variant>
        <vt:lpwstr>_Toc17798686</vt:lpwstr>
      </vt:variant>
      <vt:variant>
        <vt:i4>1703990</vt:i4>
      </vt:variant>
      <vt:variant>
        <vt:i4>392</vt:i4>
      </vt:variant>
      <vt:variant>
        <vt:i4>0</vt:i4>
      </vt:variant>
      <vt:variant>
        <vt:i4>5</vt:i4>
      </vt:variant>
      <vt:variant>
        <vt:lpwstr/>
      </vt:variant>
      <vt:variant>
        <vt:lpwstr>_Toc17798685</vt:lpwstr>
      </vt:variant>
      <vt:variant>
        <vt:i4>1769526</vt:i4>
      </vt:variant>
      <vt:variant>
        <vt:i4>386</vt:i4>
      </vt:variant>
      <vt:variant>
        <vt:i4>0</vt:i4>
      </vt:variant>
      <vt:variant>
        <vt:i4>5</vt:i4>
      </vt:variant>
      <vt:variant>
        <vt:lpwstr/>
      </vt:variant>
      <vt:variant>
        <vt:lpwstr>_Toc17798684</vt:lpwstr>
      </vt:variant>
      <vt:variant>
        <vt:i4>1835062</vt:i4>
      </vt:variant>
      <vt:variant>
        <vt:i4>380</vt:i4>
      </vt:variant>
      <vt:variant>
        <vt:i4>0</vt:i4>
      </vt:variant>
      <vt:variant>
        <vt:i4>5</vt:i4>
      </vt:variant>
      <vt:variant>
        <vt:lpwstr/>
      </vt:variant>
      <vt:variant>
        <vt:lpwstr>_Toc17798683</vt:lpwstr>
      </vt:variant>
      <vt:variant>
        <vt:i4>1900598</vt:i4>
      </vt:variant>
      <vt:variant>
        <vt:i4>374</vt:i4>
      </vt:variant>
      <vt:variant>
        <vt:i4>0</vt:i4>
      </vt:variant>
      <vt:variant>
        <vt:i4>5</vt:i4>
      </vt:variant>
      <vt:variant>
        <vt:lpwstr/>
      </vt:variant>
      <vt:variant>
        <vt:lpwstr>_Toc17798682</vt:lpwstr>
      </vt:variant>
      <vt:variant>
        <vt:i4>1966134</vt:i4>
      </vt:variant>
      <vt:variant>
        <vt:i4>368</vt:i4>
      </vt:variant>
      <vt:variant>
        <vt:i4>0</vt:i4>
      </vt:variant>
      <vt:variant>
        <vt:i4>5</vt:i4>
      </vt:variant>
      <vt:variant>
        <vt:lpwstr/>
      </vt:variant>
      <vt:variant>
        <vt:lpwstr>_Toc17798681</vt:lpwstr>
      </vt:variant>
      <vt:variant>
        <vt:i4>2031670</vt:i4>
      </vt:variant>
      <vt:variant>
        <vt:i4>362</vt:i4>
      </vt:variant>
      <vt:variant>
        <vt:i4>0</vt:i4>
      </vt:variant>
      <vt:variant>
        <vt:i4>5</vt:i4>
      </vt:variant>
      <vt:variant>
        <vt:lpwstr/>
      </vt:variant>
      <vt:variant>
        <vt:lpwstr>_Toc17798680</vt:lpwstr>
      </vt:variant>
      <vt:variant>
        <vt:i4>1441849</vt:i4>
      </vt:variant>
      <vt:variant>
        <vt:i4>356</vt:i4>
      </vt:variant>
      <vt:variant>
        <vt:i4>0</vt:i4>
      </vt:variant>
      <vt:variant>
        <vt:i4>5</vt:i4>
      </vt:variant>
      <vt:variant>
        <vt:lpwstr/>
      </vt:variant>
      <vt:variant>
        <vt:lpwstr>_Toc17798679</vt:lpwstr>
      </vt:variant>
      <vt:variant>
        <vt:i4>1507385</vt:i4>
      </vt:variant>
      <vt:variant>
        <vt:i4>350</vt:i4>
      </vt:variant>
      <vt:variant>
        <vt:i4>0</vt:i4>
      </vt:variant>
      <vt:variant>
        <vt:i4>5</vt:i4>
      </vt:variant>
      <vt:variant>
        <vt:lpwstr/>
      </vt:variant>
      <vt:variant>
        <vt:lpwstr>_Toc17798678</vt:lpwstr>
      </vt:variant>
      <vt:variant>
        <vt:i4>1572921</vt:i4>
      </vt:variant>
      <vt:variant>
        <vt:i4>344</vt:i4>
      </vt:variant>
      <vt:variant>
        <vt:i4>0</vt:i4>
      </vt:variant>
      <vt:variant>
        <vt:i4>5</vt:i4>
      </vt:variant>
      <vt:variant>
        <vt:lpwstr/>
      </vt:variant>
      <vt:variant>
        <vt:lpwstr>_Toc17798677</vt:lpwstr>
      </vt:variant>
      <vt:variant>
        <vt:i4>1638457</vt:i4>
      </vt:variant>
      <vt:variant>
        <vt:i4>338</vt:i4>
      </vt:variant>
      <vt:variant>
        <vt:i4>0</vt:i4>
      </vt:variant>
      <vt:variant>
        <vt:i4>5</vt:i4>
      </vt:variant>
      <vt:variant>
        <vt:lpwstr/>
      </vt:variant>
      <vt:variant>
        <vt:lpwstr>_Toc17798676</vt:lpwstr>
      </vt:variant>
      <vt:variant>
        <vt:i4>1703993</vt:i4>
      </vt:variant>
      <vt:variant>
        <vt:i4>332</vt:i4>
      </vt:variant>
      <vt:variant>
        <vt:i4>0</vt:i4>
      </vt:variant>
      <vt:variant>
        <vt:i4>5</vt:i4>
      </vt:variant>
      <vt:variant>
        <vt:lpwstr/>
      </vt:variant>
      <vt:variant>
        <vt:lpwstr>_Toc17798675</vt:lpwstr>
      </vt:variant>
      <vt:variant>
        <vt:i4>1769529</vt:i4>
      </vt:variant>
      <vt:variant>
        <vt:i4>326</vt:i4>
      </vt:variant>
      <vt:variant>
        <vt:i4>0</vt:i4>
      </vt:variant>
      <vt:variant>
        <vt:i4>5</vt:i4>
      </vt:variant>
      <vt:variant>
        <vt:lpwstr/>
      </vt:variant>
      <vt:variant>
        <vt:lpwstr>_Toc17798674</vt:lpwstr>
      </vt:variant>
      <vt:variant>
        <vt:i4>1835065</vt:i4>
      </vt:variant>
      <vt:variant>
        <vt:i4>320</vt:i4>
      </vt:variant>
      <vt:variant>
        <vt:i4>0</vt:i4>
      </vt:variant>
      <vt:variant>
        <vt:i4>5</vt:i4>
      </vt:variant>
      <vt:variant>
        <vt:lpwstr/>
      </vt:variant>
      <vt:variant>
        <vt:lpwstr>_Toc17798673</vt:lpwstr>
      </vt:variant>
      <vt:variant>
        <vt:i4>1900601</vt:i4>
      </vt:variant>
      <vt:variant>
        <vt:i4>314</vt:i4>
      </vt:variant>
      <vt:variant>
        <vt:i4>0</vt:i4>
      </vt:variant>
      <vt:variant>
        <vt:i4>5</vt:i4>
      </vt:variant>
      <vt:variant>
        <vt:lpwstr/>
      </vt:variant>
      <vt:variant>
        <vt:lpwstr>_Toc17798672</vt:lpwstr>
      </vt:variant>
      <vt:variant>
        <vt:i4>1966137</vt:i4>
      </vt:variant>
      <vt:variant>
        <vt:i4>308</vt:i4>
      </vt:variant>
      <vt:variant>
        <vt:i4>0</vt:i4>
      </vt:variant>
      <vt:variant>
        <vt:i4>5</vt:i4>
      </vt:variant>
      <vt:variant>
        <vt:lpwstr/>
      </vt:variant>
      <vt:variant>
        <vt:lpwstr>_Toc17798671</vt:lpwstr>
      </vt:variant>
      <vt:variant>
        <vt:i4>2031673</vt:i4>
      </vt:variant>
      <vt:variant>
        <vt:i4>302</vt:i4>
      </vt:variant>
      <vt:variant>
        <vt:i4>0</vt:i4>
      </vt:variant>
      <vt:variant>
        <vt:i4>5</vt:i4>
      </vt:variant>
      <vt:variant>
        <vt:lpwstr/>
      </vt:variant>
      <vt:variant>
        <vt:lpwstr>_Toc17798670</vt:lpwstr>
      </vt:variant>
      <vt:variant>
        <vt:i4>1441848</vt:i4>
      </vt:variant>
      <vt:variant>
        <vt:i4>296</vt:i4>
      </vt:variant>
      <vt:variant>
        <vt:i4>0</vt:i4>
      </vt:variant>
      <vt:variant>
        <vt:i4>5</vt:i4>
      </vt:variant>
      <vt:variant>
        <vt:lpwstr/>
      </vt:variant>
      <vt:variant>
        <vt:lpwstr>_Toc17798669</vt:lpwstr>
      </vt:variant>
      <vt:variant>
        <vt:i4>1507384</vt:i4>
      </vt:variant>
      <vt:variant>
        <vt:i4>290</vt:i4>
      </vt:variant>
      <vt:variant>
        <vt:i4>0</vt:i4>
      </vt:variant>
      <vt:variant>
        <vt:i4>5</vt:i4>
      </vt:variant>
      <vt:variant>
        <vt:lpwstr/>
      </vt:variant>
      <vt:variant>
        <vt:lpwstr>_Toc17798668</vt:lpwstr>
      </vt:variant>
      <vt:variant>
        <vt:i4>1572920</vt:i4>
      </vt:variant>
      <vt:variant>
        <vt:i4>284</vt:i4>
      </vt:variant>
      <vt:variant>
        <vt:i4>0</vt:i4>
      </vt:variant>
      <vt:variant>
        <vt:i4>5</vt:i4>
      </vt:variant>
      <vt:variant>
        <vt:lpwstr/>
      </vt:variant>
      <vt:variant>
        <vt:lpwstr>_Toc17798667</vt:lpwstr>
      </vt:variant>
      <vt:variant>
        <vt:i4>1638456</vt:i4>
      </vt:variant>
      <vt:variant>
        <vt:i4>278</vt:i4>
      </vt:variant>
      <vt:variant>
        <vt:i4>0</vt:i4>
      </vt:variant>
      <vt:variant>
        <vt:i4>5</vt:i4>
      </vt:variant>
      <vt:variant>
        <vt:lpwstr/>
      </vt:variant>
      <vt:variant>
        <vt:lpwstr>_Toc17798666</vt:lpwstr>
      </vt:variant>
      <vt:variant>
        <vt:i4>1703992</vt:i4>
      </vt:variant>
      <vt:variant>
        <vt:i4>272</vt:i4>
      </vt:variant>
      <vt:variant>
        <vt:i4>0</vt:i4>
      </vt:variant>
      <vt:variant>
        <vt:i4>5</vt:i4>
      </vt:variant>
      <vt:variant>
        <vt:lpwstr/>
      </vt:variant>
      <vt:variant>
        <vt:lpwstr>_Toc17798665</vt:lpwstr>
      </vt:variant>
      <vt:variant>
        <vt:i4>1769528</vt:i4>
      </vt:variant>
      <vt:variant>
        <vt:i4>266</vt:i4>
      </vt:variant>
      <vt:variant>
        <vt:i4>0</vt:i4>
      </vt:variant>
      <vt:variant>
        <vt:i4>5</vt:i4>
      </vt:variant>
      <vt:variant>
        <vt:lpwstr/>
      </vt:variant>
      <vt:variant>
        <vt:lpwstr>_Toc17798664</vt:lpwstr>
      </vt:variant>
      <vt:variant>
        <vt:i4>1835064</vt:i4>
      </vt:variant>
      <vt:variant>
        <vt:i4>260</vt:i4>
      </vt:variant>
      <vt:variant>
        <vt:i4>0</vt:i4>
      </vt:variant>
      <vt:variant>
        <vt:i4>5</vt:i4>
      </vt:variant>
      <vt:variant>
        <vt:lpwstr/>
      </vt:variant>
      <vt:variant>
        <vt:lpwstr>_Toc17798663</vt:lpwstr>
      </vt:variant>
      <vt:variant>
        <vt:i4>1900600</vt:i4>
      </vt:variant>
      <vt:variant>
        <vt:i4>254</vt:i4>
      </vt:variant>
      <vt:variant>
        <vt:i4>0</vt:i4>
      </vt:variant>
      <vt:variant>
        <vt:i4>5</vt:i4>
      </vt:variant>
      <vt:variant>
        <vt:lpwstr/>
      </vt:variant>
      <vt:variant>
        <vt:lpwstr>_Toc17798662</vt:lpwstr>
      </vt:variant>
      <vt:variant>
        <vt:i4>1966136</vt:i4>
      </vt:variant>
      <vt:variant>
        <vt:i4>248</vt:i4>
      </vt:variant>
      <vt:variant>
        <vt:i4>0</vt:i4>
      </vt:variant>
      <vt:variant>
        <vt:i4>5</vt:i4>
      </vt:variant>
      <vt:variant>
        <vt:lpwstr/>
      </vt:variant>
      <vt:variant>
        <vt:lpwstr>_Toc17798661</vt:lpwstr>
      </vt:variant>
      <vt:variant>
        <vt:i4>2031672</vt:i4>
      </vt:variant>
      <vt:variant>
        <vt:i4>242</vt:i4>
      </vt:variant>
      <vt:variant>
        <vt:i4>0</vt:i4>
      </vt:variant>
      <vt:variant>
        <vt:i4>5</vt:i4>
      </vt:variant>
      <vt:variant>
        <vt:lpwstr/>
      </vt:variant>
      <vt:variant>
        <vt:lpwstr>_Toc17798660</vt:lpwstr>
      </vt:variant>
      <vt:variant>
        <vt:i4>1441851</vt:i4>
      </vt:variant>
      <vt:variant>
        <vt:i4>236</vt:i4>
      </vt:variant>
      <vt:variant>
        <vt:i4>0</vt:i4>
      </vt:variant>
      <vt:variant>
        <vt:i4>5</vt:i4>
      </vt:variant>
      <vt:variant>
        <vt:lpwstr/>
      </vt:variant>
      <vt:variant>
        <vt:lpwstr>_Toc17798659</vt:lpwstr>
      </vt:variant>
      <vt:variant>
        <vt:i4>1507387</vt:i4>
      </vt:variant>
      <vt:variant>
        <vt:i4>230</vt:i4>
      </vt:variant>
      <vt:variant>
        <vt:i4>0</vt:i4>
      </vt:variant>
      <vt:variant>
        <vt:i4>5</vt:i4>
      </vt:variant>
      <vt:variant>
        <vt:lpwstr/>
      </vt:variant>
      <vt:variant>
        <vt:lpwstr>_Toc17798658</vt:lpwstr>
      </vt:variant>
      <vt:variant>
        <vt:i4>1572923</vt:i4>
      </vt:variant>
      <vt:variant>
        <vt:i4>224</vt:i4>
      </vt:variant>
      <vt:variant>
        <vt:i4>0</vt:i4>
      </vt:variant>
      <vt:variant>
        <vt:i4>5</vt:i4>
      </vt:variant>
      <vt:variant>
        <vt:lpwstr/>
      </vt:variant>
      <vt:variant>
        <vt:lpwstr>_Toc17798657</vt:lpwstr>
      </vt:variant>
      <vt:variant>
        <vt:i4>1638459</vt:i4>
      </vt:variant>
      <vt:variant>
        <vt:i4>218</vt:i4>
      </vt:variant>
      <vt:variant>
        <vt:i4>0</vt:i4>
      </vt:variant>
      <vt:variant>
        <vt:i4>5</vt:i4>
      </vt:variant>
      <vt:variant>
        <vt:lpwstr/>
      </vt:variant>
      <vt:variant>
        <vt:lpwstr>_Toc17798656</vt:lpwstr>
      </vt:variant>
      <vt:variant>
        <vt:i4>1703995</vt:i4>
      </vt:variant>
      <vt:variant>
        <vt:i4>212</vt:i4>
      </vt:variant>
      <vt:variant>
        <vt:i4>0</vt:i4>
      </vt:variant>
      <vt:variant>
        <vt:i4>5</vt:i4>
      </vt:variant>
      <vt:variant>
        <vt:lpwstr/>
      </vt:variant>
      <vt:variant>
        <vt:lpwstr>_Toc17798655</vt:lpwstr>
      </vt:variant>
      <vt:variant>
        <vt:i4>1769531</vt:i4>
      </vt:variant>
      <vt:variant>
        <vt:i4>206</vt:i4>
      </vt:variant>
      <vt:variant>
        <vt:i4>0</vt:i4>
      </vt:variant>
      <vt:variant>
        <vt:i4>5</vt:i4>
      </vt:variant>
      <vt:variant>
        <vt:lpwstr/>
      </vt:variant>
      <vt:variant>
        <vt:lpwstr>_Toc17798654</vt:lpwstr>
      </vt:variant>
      <vt:variant>
        <vt:i4>1835067</vt:i4>
      </vt:variant>
      <vt:variant>
        <vt:i4>200</vt:i4>
      </vt:variant>
      <vt:variant>
        <vt:i4>0</vt:i4>
      </vt:variant>
      <vt:variant>
        <vt:i4>5</vt:i4>
      </vt:variant>
      <vt:variant>
        <vt:lpwstr/>
      </vt:variant>
      <vt:variant>
        <vt:lpwstr>_Toc17798653</vt:lpwstr>
      </vt:variant>
      <vt:variant>
        <vt:i4>1900603</vt:i4>
      </vt:variant>
      <vt:variant>
        <vt:i4>194</vt:i4>
      </vt:variant>
      <vt:variant>
        <vt:i4>0</vt:i4>
      </vt:variant>
      <vt:variant>
        <vt:i4>5</vt:i4>
      </vt:variant>
      <vt:variant>
        <vt:lpwstr/>
      </vt:variant>
      <vt:variant>
        <vt:lpwstr>_Toc17798652</vt:lpwstr>
      </vt:variant>
      <vt:variant>
        <vt:i4>1966139</vt:i4>
      </vt:variant>
      <vt:variant>
        <vt:i4>188</vt:i4>
      </vt:variant>
      <vt:variant>
        <vt:i4>0</vt:i4>
      </vt:variant>
      <vt:variant>
        <vt:i4>5</vt:i4>
      </vt:variant>
      <vt:variant>
        <vt:lpwstr/>
      </vt:variant>
      <vt:variant>
        <vt:lpwstr>_Toc17798651</vt:lpwstr>
      </vt:variant>
      <vt:variant>
        <vt:i4>2031675</vt:i4>
      </vt:variant>
      <vt:variant>
        <vt:i4>182</vt:i4>
      </vt:variant>
      <vt:variant>
        <vt:i4>0</vt:i4>
      </vt:variant>
      <vt:variant>
        <vt:i4>5</vt:i4>
      </vt:variant>
      <vt:variant>
        <vt:lpwstr/>
      </vt:variant>
      <vt:variant>
        <vt:lpwstr>_Toc17798650</vt:lpwstr>
      </vt:variant>
      <vt:variant>
        <vt:i4>1441850</vt:i4>
      </vt:variant>
      <vt:variant>
        <vt:i4>176</vt:i4>
      </vt:variant>
      <vt:variant>
        <vt:i4>0</vt:i4>
      </vt:variant>
      <vt:variant>
        <vt:i4>5</vt:i4>
      </vt:variant>
      <vt:variant>
        <vt:lpwstr/>
      </vt:variant>
      <vt:variant>
        <vt:lpwstr>_Toc17798649</vt:lpwstr>
      </vt:variant>
      <vt:variant>
        <vt:i4>1507386</vt:i4>
      </vt:variant>
      <vt:variant>
        <vt:i4>170</vt:i4>
      </vt:variant>
      <vt:variant>
        <vt:i4>0</vt:i4>
      </vt:variant>
      <vt:variant>
        <vt:i4>5</vt:i4>
      </vt:variant>
      <vt:variant>
        <vt:lpwstr/>
      </vt:variant>
      <vt:variant>
        <vt:lpwstr>_Toc17798648</vt:lpwstr>
      </vt:variant>
      <vt:variant>
        <vt:i4>1572922</vt:i4>
      </vt:variant>
      <vt:variant>
        <vt:i4>164</vt:i4>
      </vt:variant>
      <vt:variant>
        <vt:i4>0</vt:i4>
      </vt:variant>
      <vt:variant>
        <vt:i4>5</vt:i4>
      </vt:variant>
      <vt:variant>
        <vt:lpwstr/>
      </vt:variant>
      <vt:variant>
        <vt:lpwstr>_Toc17798647</vt:lpwstr>
      </vt:variant>
      <vt:variant>
        <vt:i4>1638458</vt:i4>
      </vt:variant>
      <vt:variant>
        <vt:i4>158</vt:i4>
      </vt:variant>
      <vt:variant>
        <vt:i4>0</vt:i4>
      </vt:variant>
      <vt:variant>
        <vt:i4>5</vt:i4>
      </vt:variant>
      <vt:variant>
        <vt:lpwstr/>
      </vt:variant>
      <vt:variant>
        <vt:lpwstr>_Toc17798646</vt:lpwstr>
      </vt:variant>
      <vt:variant>
        <vt:i4>1703994</vt:i4>
      </vt:variant>
      <vt:variant>
        <vt:i4>152</vt:i4>
      </vt:variant>
      <vt:variant>
        <vt:i4>0</vt:i4>
      </vt:variant>
      <vt:variant>
        <vt:i4>5</vt:i4>
      </vt:variant>
      <vt:variant>
        <vt:lpwstr/>
      </vt:variant>
      <vt:variant>
        <vt:lpwstr>_Toc17798645</vt:lpwstr>
      </vt:variant>
      <vt:variant>
        <vt:i4>1769530</vt:i4>
      </vt:variant>
      <vt:variant>
        <vt:i4>146</vt:i4>
      </vt:variant>
      <vt:variant>
        <vt:i4>0</vt:i4>
      </vt:variant>
      <vt:variant>
        <vt:i4>5</vt:i4>
      </vt:variant>
      <vt:variant>
        <vt:lpwstr/>
      </vt:variant>
      <vt:variant>
        <vt:lpwstr>_Toc17798644</vt:lpwstr>
      </vt:variant>
      <vt:variant>
        <vt:i4>1835066</vt:i4>
      </vt:variant>
      <vt:variant>
        <vt:i4>140</vt:i4>
      </vt:variant>
      <vt:variant>
        <vt:i4>0</vt:i4>
      </vt:variant>
      <vt:variant>
        <vt:i4>5</vt:i4>
      </vt:variant>
      <vt:variant>
        <vt:lpwstr/>
      </vt:variant>
      <vt:variant>
        <vt:lpwstr>_Toc17798643</vt:lpwstr>
      </vt:variant>
      <vt:variant>
        <vt:i4>1900602</vt:i4>
      </vt:variant>
      <vt:variant>
        <vt:i4>134</vt:i4>
      </vt:variant>
      <vt:variant>
        <vt:i4>0</vt:i4>
      </vt:variant>
      <vt:variant>
        <vt:i4>5</vt:i4>
      </vt:variant>
      <vt:variant>
        <vt:lpwstr/>
      </vt:variant>
      <vt:variant>
        <vt:lpwstr>_Toc17798642</vt:lpwstr>
      </vt:variant>
      <vt:variant>
        <vt:i4>1966138</vt:i4>
      </vt:variant>
      <vt:variant>
        <vt:i4>128</vt:i4>
      </vt:variant>
      <vt:variant>
        <vt:i4>0</vt:i4>
      </vt:variant>
      <vt:variant>
        <vt:i4>5</vt:i4>
      </vt:variant>
      <vt:variant>
        <vt:lpwstr/>
      </vt:variant>
      <vt:variant>
        <vt:lpwstr>_Toc17798641</vt:lpwstr>
      </vt:variant>
      <vt:variant>
        <vt:i4>2031674</vt:i4>
      </vt:variant>
      <vt:variant>
        <vt:i4>122</vt:i4>
      </vt:variant>
      <vt:variant>
        <vt:i4>0</vt:i4>
      </vt:variant>
      <vt:variant>
        <vt:i4>5</vt:i4>
      </vt:variant>
      <vt:variant>
        <vt:lpwstr/>
      </vt:variant>
      <vt:variant>
        <vt:lpwstr>_Toc17798640</vt:lpwstr>
      </vt:variant>
      <vt:variant>
        <vt:i4>1441853</vt:i4>
      </vt:variant>
      <vt:variant>
        <vt:i4>116</vt:i4>
      </vt:variant>
      <vt:variant>
        <vt:i4>0</vt:i4>
      </vt:variant>
      <vt:variant>
        <vt:i4>5</vt:i4>
      </vt:variant>
      <vt:variant>
        <vt:lpwstr/>
      </vt:variant>
      <vt:variant>
        <vt:lpwstr>_Toc17798639</vt:lpwstr>
      </vt:variant>
      <vt:variant>
        <vt:i4>1507389</vt:i4>
      </vt:variant>
      <vt:variant>
        <vt:i4>110</vt:i4>
      </vt:variant>
      <vt:variant>
        <vt:i4>0</vt:i4>
      </vt:variant>
      <vt:variant>
        <vt:i4>5</vt:i4>
      </vt:variant>
      <vt:variant>
        <vt:lpwstr/>
      </vt:variant>
      <vt:variant>
        <vt:lpwstr>_Toc17798638</vt:lpwstr>
      </vt:variant>
      <vt:variant>
        <vt:i4>1572925</vt:i4>
      </vt:variant>
      <vt:variant>
        <vt:i4>104</vt:i4>
      </vt:variant>
      <vt:variant>
        <vt:i4>0</vt:i4>
      </vt:variant>
      <vt:variant>
        <vt:i4>5</vt:i4>
      </vt:variant>
      <vt:variant>
        <vt:lpwstr/>
      </vt:variant>
      <vt:variant>
        <vt:lpwstr>_Toc17798637</vt:lpwstr>
      </vt:variant>
      <vt:variant>
        <vt:i4>1638461</vt:i4>
      </vt:variant>
      <vt:variant>
        <vt:i4>98</vt:i4>
      </vt:variant>
      <vt:variant>
        <vt:i4>0</vt:i4>
      </vt:variant>
      <vt:variant>
        <vt:i4>5</vt:i4>
      </vt:variant>
      <vt:variant>
        <vt:lpwstr/>
      </vt:variant>
      <vt:variant>
        <vt:lpwstr>_Toc17798636</vt:lpwstr>
      </vt:variant>
      <vt:variant>
        <vt:i4>1703997</vt:i4>
      </vt:variant>
      <vt:variant>
        <vt:i4>92</vt:i4>
      </vt:variant>
      <vt:variant>
        <vt:i4>0</vt:i4>
      </vt:variant>
      <vt:variant>
        <vt:i4>5</vt:i4>
      </vt:variant>
      <vt:variant>
        <vt:lpwstr/>
      </vt:variant>
      <vt:variant>
        <vt:lpwstr>_Toc17798635</vt:lpwstr>
      </vt:variant>
      <vt:variant>
        <vt:i4>1769533</vt:i4>
      </vt:variant>
      <vt:variant>
        <vt:i4>86</vt:i4>
      </vt:variant>
      <vt:variant>
        <vt:i4>0</vt:i4>
      </vt:variant>
      <vt:variant>
        <vt:i4>5</vt:i4>
      </vt:variant>
      <vt:variant>
        <vt:lpwstr/>
      </vt:variant>
      <vt:variant>
        <vt:lpwstr>_Toc17798634</vt:lpwstr>
      </vt:variant>
      <vt:variant>
        <vt:i4>1835069</vt:i4>
      </vt:variant>
      <vt:variant>
        <vt:i4>80</vt:i4>
      </vt:variant>
      <vt:variant>
        <vt:i4>0</vt:i4>
      </vt:variant>
      <vt:variant>
        <vt:i4>5</vt:i4>
      </vt:variant>
      <vt:variant>
        <vt:lpwstr/>
      </vt:variant>
      <vt:variant>
        <vt:lpwstr>_Toc17798633</vt:lpwstr>
      </vt:variant>
      <vt:variant>
        <vt:i4>1900605</vt:i4>
      </vt:variant>
      <vt:variant>
        <vt:i4>74</vt:i4>
      </vt:variant>
      <vt:variant>
        <vt:i4>0</vt:i4>
      </vt:variant>
      <vt:variant>
        <vt:i4>5</vt:i4>
      </vt:variant>
      <vt:variant>
        <vt:lpwstr/>
      </vt:variant>
      <vt:variant>
        <vt:lpwstr>_Toc17798632</vt:lpwstr>
      </vt:variant>
      <vt:variant>
        <vt:i4>1966141</vt:i4>
      </vt:variant>
      <vt:variant>
        <vt:i4>68</vt:i4>
      </vt:variant>
      <vt:variant>
        <vt:i4>0</vt:i4>
      </vt:variant>
      <vt:variant>
        <vt:i4>5</vt:i4>
      </vt:variant>
      <vt:variant>
        <vt:lpwstr/>
      </vt:variant>
      <vt:variant>
        <vt:lpwstr>_Toc17798631</vt:lpwstr>
      </vt:variant>
      <vt:variant>
        <vt:i4>2031677</vt:i4>
      </vt:variant>
      <vt:variant>
        <vt:i4>62</vt:i4>
      </vt:variant>
      <vt:variant>
        <vt:i4>0</vt:i4>
      </vt:variant>
      <vt:variant>
        <vt:i4>5</vt:i4>
      </vt:variant>
      <vt:variant>
        <vt:lpwstr/>
      </vt:variant>
      <vt:variant>
        <vt:lpwstr>_Toc17798630</vt:lpwstr>
      </vt:variant>
      <vt:variant>
        <vt:i4>1441852</vt:i4>
      </vt:variant>
      <vt:variant>
        <vt:i4>56</vt:i4>
      </vt:variant>
      <vt:variant>
        <vt:i4>0</vt:i4>
      </vt:variant>
      <vt:variant>
        <vt:i4>5</vt:i4>
      </vt:variant>
      <vt:variant>
        <vt:lpwstr/>
      </vt:variant>
      <vt:variant>
        <vt:lpwstr>_Toc17798629</vt:lpwstr>
      </vt:variant>
      <vt:variant>
        <vt:i4>1507388</vt:i4>
      </vt:variant>
      <vt:variant>
        <vt:i4>50</vt:i4>
      </vt:variant>
      <vt:variant>
        <vt:i4>0</vt:i4>
      </vt:variant>
      <vt:variant>
        <vt:i4>5</vt:i4>
      </vt:variant>
      <vt:variant>
        <vt:lpwstr/>
      </vt:variant>
      <vt:variant>
        <vt:lpwstr>_Toc17798628</vt:lpwstr>
      </vt:variant>
      <vt:variant>
        <vt:i4>1572924</vt:i4>
      </vt:variant>
      <vt:variant>
        <vt:i4>44</vt:i4>
      </vt:variant>
      <vt:variant>
        <vt:i4>0</vt:i4>
      </vt:variant>
      <vt:variant>
        <vt:i4>5</vt:i4>
      </vt:variant>
      <vt:variant>
        <vt:lpwstr/>
      </vt:variant>
      <vt:variant>
        <vt:lpwstr>_Toc17798627</vt:lpwstr>
      </vt:variant>
      <vt:variant>
        <vt:i4>1638460</vt:i4>
      </vt:variant>
      <vt:variant>
        <vt:i4>38</vt:i4>
      </vt:variant>
      <vt:variant>
        <vt:i4>0</vt:i4>
      </vt:variant>
      <vt:variant>
        <vt:i4>5</vt:i4>
      </vt:variant>
      <vt:variant>
        <vt:lpwstr/>
      </vt:variant>
      <vt:variant>
        <vt:lpwstr>_Toc17798626</vt:lpwstr>
      </vt:variant>
      <vt:variant>
        <vt:i4>1703996</vt:i4>
      </vt:variant>
      <vt:variant>
        <vt:i4>32</vt:i4>
      </vt:variant>
      <vt:variant>
        <vt:i4>0</vt:i4>
      </vt:variant>
      <vt:variant>
        <vt:i4>5</vt:i4>
      </vt:variant>
      <vt:variant>
        <vt:lpwstr/>
      </vt:variant>
      <vt:variant>
        <vt:lpwstr>_Toc17798625</vt:lpwstr>
      </vt:variant>
      <vt:variant>
        <vt:i4>1769532</vt:i4>
      </vt:variant>
      <vt:variant>
        <vt:i4>26</vt:i4>
      </vt:variant>
      <vt:variant>
        <vt:i4>0</vt:i4>
      </vt:variant>
      <vt:variant>
        <vt:i4>5</vt:i4>
      </vt:variant>
      <vt:variant>
        <vt:lpwstr/>
      </vt:variant>
      <vt:variant>
        <vt:lpwstr>_Toc17798624</vt:lpwstr>
      </vt:variant>
      <vt:variant>
        <vt:i4>1835068</vt:i4>
      </vt:variant>
      <vt:variant>
        <vt:i4>20</vt:i4>
      </vt:variant>
      <vt:variant>
        <vt:i4>0</vt:i4>
      </vt:variant>
      <vt:variant>
        <vt:i4>5</vt:i4>
      </vt:variant>
      <vt:variant>
        <vt:lpwstr/>
      </vt:variant>
      <vt:variant>
        <vt:lpwstr>_Toc17798623</vt:lpwstr>
      </vt:variant>
      <vt:variant>
        <vt:i4>1900604</vt:i4>
      </vt:variant>
      <vt:variant>
        <vt:i4>14</vt:i4>
      </vt:variant>
      <vt:variant>
        <vt:i4>0</vt:i4>
      </vt:variant>
      <vt:variant>
        <vt:i4>5</vt:i4>
      </vt:variant>
      <vt:variant>
        <vt:lpwstr/>
      </vt:variant>
      <vt:variant>
        <vt:lpwstr>_Toc17798622</vt:lpwstr>
      </vt:variant>
      <vt:variant>
        <vt:i4>1966140</vt:i4>
      </vt:variant>
      <vt:variant>
        <vt:i4>8</vt:i4>
      </vt:variant>
      <vt:variant>
        <vt:i4>0</vt:i4>
      </vt:variant>
      <vt:variant>
        <vt:i4>5</vt:i4>
      </vt:variant>
      <vt:variant>
        <vt:lpwstr/>
      </vt:variant>
      <vt:variant>
        <vt:lpwstr>_Toc17798621</vt:lpwstr>
      </vt:variant>
      <vt:variant>
        <vt:i4>2031676</vt:i4>
      </vt:variant>
      <vt:variant>
        <vt:i4>2</vt:i4>
      </vt:variant>
      <vt:variant>
        <vt:i4>0</vt:i4>
      </vt:variant>
      <vt:variant>
        <vt:i4>5</vt:i4>
      </vt:variant>
      <vt:variant>
        <vt:lpwstr/>
      </vt:variant>
      <vt:variant>
        <vt:lpwstr>_Toc17798620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ERCOT</dc:creator>
  <cp:keywords/>
  <dc:description/>
  <cp:lastModifiedBy>ERCOT 032726</cp:lastModifiedBy>
  <cp:revision>3</cp:revision>
  <cp:lastPrinted>2019-04-29T18:19:00Z</cp:lastPrinted>
  <dcterms:created xsi:type="dcterms:W3CDTF">2026-03-29T22:32:00Z</dcterms:created>
  <dcterms:modified xsi:type="dcterms:W3CDTF">2026-03-29T22:33:00Z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144db1d-993e-40da-980d-6eea152adc50_Enabled">
    <vt:lpwstr>true</vt:lpwstr>
  </property>
  <property fmtid="{D5CDD505-2E9C-101B-9397-08002B2CF9AE}" pid="3" name="MSIP_Label_c144db1d-993e-40da-980d-6eea152adc50_SetDate">
    <vt:lpwstr>2025-01-29T17:42:48Z</vt:lpwstr>
  </property>
  <property fmtid="{D5CDD505-2E9C-101B-9397-08002B2CF9AE}" pid="4" name="MSIP_Label_c144db1d-993e-40da-980d-6eea152adc50_Method">
    <vt:lpwstr>Privileged</vt:lpwstr>
  </property>
  <property fmtid="{D5CDD505-2E9C-101B-9397-08002B2CF9AE}" pid="5" name="MSIP_Label_c144db1d-993e-40da-980d-6eea152adc50_Name">
    <vt:lpwstr>Public</vt:lpwstr>
  </property>
  <property fmtid="{D5CDD505-2E9C-101B-9397-08002B2CF9AE}" pid="6" name="MSIP_Label_c144db1d-993e-40da-980d-6eea152adc50_SiteId">
    <vt:lpwstr>0afb747d-bff7-4596-a9fc-950ef9e0ec45</vt:lpwstr>
  </property>
  <property fmtid="{D5CDD505-2E9C-101B-9397-08002B2CF9AE}" pid="7" name="MSIP_Label_c144db1d-993e-40da-980d-6eea152adc50_ActionId">
    <vt:lpwstr>f3ef5318-583d-4c33-8daa-7794fd2b1724</vt:lpwstr>
  </property>
  <property fmtid="{D5CDD505-2E9C-101B-9397-08002B2CF9AE}" pid="8" name="MSIP_Label_c144db1d-993e-40da-980d-6eea152adc50_ContentBits">
    <vt:lpwstr>0</vt:lpwstr>
  </property>
</Properties>
</file>